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6.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7.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8.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9.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0.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1.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2.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3.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4.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5.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6.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7.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8.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9.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0.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1.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2.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3.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4.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5.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6.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7.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8.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9.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0.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1.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856C9" w14:textId="0E1533CC" w:rsidR="00674DCE" w:rsidRPr="00E50153" w:rsidRDefault="00B8014A" w:rsidP="00D9090E">
      <w:pPr>
        <w:pStyle w:val="Title2"/>
        <w:rPr>
          <w:color w:val="auto"/>
        </w:rPr>
      </w:pPr>
      <w:r w:rsidRPr="00E50153">
        <w:rPr>
          <w:color w:val="auto"/>
        </w:rPr>
        <w:t xml:space="preserve">Review of Assistive Technology </w:t>
      </w:r>
      <w:r w:rsidR="002C16CD" w:rsidRPr="00E50153">
        <w:rPr>
          <w:color w:val="auto"/>
        </w:rPr>
        <w:t xml:space="preserve">Programs </w:t>
      </w:r>
      <w:r w:rsidRPr="00E50153">
        <w:rPr>
          <w:color w:val="auto"/>
        </w:rPr>
        <w:t>in Australia</w:t>
      </w:r>
    </w:p>
    <w:p w14:paraId="44662301" w14:textId="3EA8CCFE" w:rsidR="00247321" w:rsidRPr="00E50153" w:rsidRDefault="00900077" w:rsidP="00D9090E">
      <w:pPr>
        <w:pStyle w:val="Title"/>
        <w:spacing w:before="120" w:after="120"/>
        <w:ind w:left="2268"/>
        <w:rPr>
          <w:color w:val="auto"/>
        </w:rPr>
      </w:pPr>
      <w:r w:rsidRPr="00E50153">
        <w:rPr>
          <w:color w:val="auto"/>
        </w:rPr>
        <w:t>Supplementary Technical</w:t>
      </w:r>
      <w:r w:rsidR="0073411B" w:rsidRPr="00E50153">
        <w:rPr>
          <w:color w:val="auto"/>
        </w:rPr>
        <w:t> </w:t>
      </w:r>
      <w:r w:rsidR="002C72DC" w:rsidRPr="00E50153">
        <w:rPr>
          <w:color w:val="auto"/>
        </w:rPr>
        <w:t>Report</w:t>
      </w:r>
    </w:p>
    <w:p w14:paraId="25D2DCA1" w14:textId="6ED48B51" w:rsidR="002C72DC" w:rsidRPr="00E50153" w:rsidRDefault="002C72DC" w:rsidP="002F3966">
      <w:pPr>
        <w:pStyle w:val="Client"/>
        <w:spacing w:before="0"/>
        <w:ind w:left="2268"/>
        <w:rPr>
          <w:b w:val="0"/>
          <w:color w:val="auto"/>
        </w:rPr>
      </w:pPr>
      <w:r w:rsidRPr="00E50153">
        <w:rPr>
          <w:b w:val="0"/>
          <w:color w:val="auto"/>
        </w:rPr>
        <w:t>for the Australian Government Department of Health</w:t>
      </w:r>
    </w:p>
    <w:p w14:paraId="1D59A9DE" w14:textId="6E18A587" w:rsidR="00247321" w:rsidRPr="00E50153" w:rsidRDefault="00247321" w:rsidP="002F3966">
      <w:pPr>
        <w:pStyle w:val="Date"/>
        <w:ind w:left="2268"/>
        <w:rPr>
          <w:b w:val="0"/>
          <w:color w:val="auto"/>
        </w:rPr>
      </w:pPr>
      <w:r w:rsidRPr="00E50153">
        <w:rPr>
          <w:b w:val="0"/>
          <w:color w:val="auto"/>
        </w:rPr>
        <w:t>Australian Healthcare Associates</w:t>
      </w:r>
    </w:p>
    <w:p w14:paraId="768BEBAA" w14:textId="70A31410" w:rsidR="00B52D27" w:rsidRPr="00E50153" w:rsidRDefault="00900077" w:rsidP="00D9090E">
      <w:pPr>
        <w:pStyle w:val="Date"/>
        <w:ind w:left="2268"/>
        <w:rPr>
          <w:b w:val="0"/>
          <w:color w:val="auto"/>
        </w:rPr>
      </w:pPr>
      <w:r w:rsidRPr="00E50153">
        <w:rPr>
          <w:b w:val="0"/>
          <w:color w:val="auto"/>
        </w:rPr>
        <w:t>9 </w:t>
      </w:r>
      <w:r w:rsidR="00F20A8C" w:rsidRPr="00E50153">
        <w:rPr>
          <w:b w:val="0"/>
          <w:color w:val="auto"/>
        </w:rPr>
        <w:t>June</w:t>
      </w:r>
      <w:r w:rsidR="00247321" w:rsidRPr="00E50153">
        <w:rPr>
          <w:b w:val="0"/>
          <w:color w:val="auto"/>
        </w:rPr>
        <w:t xml:space="preserve"> </w:t>
      </w:r>
      <w:r w:rsidR="00B52D27" w:rsidRPr="00E50153">
        <w:rPr>
          <w:b w:val="0"/>
          <w:color w:val="auto"/>
        </w:rPr>
        <w:t>2020</w:t>
      </w:r>
    </w:p>
    <w:p w14:paraId="70DCBDFC" w14:textId="75FDB0FB" w:rsidR="00B52D27" w:rsidRDefault="00B52D27" w:rsidP="0074178E">
      <w:pPr>
        <w:pStyle w:val="Date"/>
      </w:pPr>
    </w:p>
    <w:p w14:paraId="207B8BAA" w14:textId="7ACFF54C" w:rsidR="0017021F" w:rsidRDefault="0017021F">
      <w:pPr>
        <w:rPr>
          <w:lang w:val="en-AU" w:eastAsia="en-US"/>
        </w:rPr>
      </w:pPr>
      <w:r>
        <w:rPr>
          <w:lang w:val="en-AU" w:eastAsia="en-US"/>
        </w:rPr>
        <w:br w:type="page"/>
      </w:r>
    </w:p>
    <w:p w14:paraId="6F5D9A26" w14:textId="77777777" w:rsidR="0017021F" w:rsidRDefault="0017021F" w:rsidP="0017021F">
      <w:pPr>
        <w:autoSpaceDE w:val="0"/>
        <w:autoSpaceDN w:val="0"/>
        <w:adjustRightInd w:val="0"/>
        <w:rPr>
          <w:rFonts w:ascii="Times New Roman" w:eastAsia="SimSun" w:hAnsi="Times New Roman"/>
          <w:b/>
          <w:bCs/>
          <w:szCs w:val="22"/>
          <w:lang w:val="en-AU" w:eastAsia="en-AU"/>
        </w:rPr>
      </w:pPr>
      <w:r>
        <w:rPr>
          <w:lang w:val="en-AU" w:eastAsia="en-US"/>
        </w:rPr>
        <w:lastRenderedPageBreak/>
        <w:br w:type="page"/>
      </w:r>
      <w:r>
        <w:rPr>
          <w:rFonts w:ascii="Times New Roman" w:eastAsia="SimSun" w:hAnsi="Times New Roman"/>
          <w:b/>
          <w:bCs/>
          <w:szCs w:val="22"/>
          <w:lang w:val="en-AU" w:eastAsia="en-AU"/>
        </w:rPr>
        <w:lastRenderedPageBreak/>
        <w:t>© Commonwealth of Australia as represented by the Australian Government Department of Health 2020</w:t>
      </w:r>
    </w:p>
    <w:p w14:paraId="74EFA3A1" w14:textId="77777777" w:rsidR="0017021F" w:rsidRDefault="0017021F" w:rsidP="0017021F">
      <w:pPr>
        <w:autoSpaceDE w:val="0"/>
        <w:autoSpaceDN w:val="0"/>
        <w:adjustRightInd w:val="0"/>
        <w:rPr>
          <w:rFonts w:ascii="Times New Roman" w:eastAsia="SimSun" w:hAnsi="Times New Roman"/>
          <w:b/>
          <w:bCs/>
          <w:szCs w:val="22"/>
          <w:lang w:val="en-AU" w:eastAsia="en-AU"/>
        </w:rPr>
      </w:pPr>
    </w:p>
    <w:p w14:paraId="28655332" w14:textId="77777777" w:rsidR="0017021F" w:rsidRDefault="0017021F" w:rsidP="0017021F">
      <w:pPr>
        <w:autoSpaceDE w:val="0"/>
        <w:autoSpaceDN w:val="0"/>
        <w:adjustRightInd w:val="0"/>
        <w:spacing w:after="160"/>
        <w:rPr>
          <w:rFonts w:ascii="Times New Roman" w:eastAsia="SimSun" w:hAnsi="Times New Roman"/>
          <w:szCs w:val="22"/>
          <w:lang w:val="en-AU" w:eastAsia="en-AU"/>
        </w:rPr>
      </w:pPr>
      <w:r>
        <w:rPr>
          <w:rFonts w:ascii="Times New Roman" w:eastAsia="SimSun" w:hAnsi="Times New Roman"/>
          <w:szCs w:val="22"/>
          <w:lang w:val="en-AU" w:eastAsia="en-AU"/>
        </w:rPr>
        <w:t xml:space="preserve">Apart from uses permitted by the </w:t>
      </w:r>
      <w:r>
        <w:rPr>
          <w:rFonts w:ascii="Times New Roman" w:eastAsia="SimSun" w:hAnsi="Times New Roman"/>
          <w:i/>
          <w:iCs/>
          <w:szCs w:val="22"/>
          <w:lang w:val="en-AU" w:eastAsia="en-AU"/>
        </w:rPr>
        <w:t xml:space="preserve">Copyright Act 1968 </w:t>
      </w:r>
      <w:r>
        <w:rPr>
          <w:rFonts w:ascii="Times New Roman" w:eastAsia="SimSun" w:hAnsi="Times New Roman"/>
          <w:szCs w:val="22"/>
          <w:lang w:val="en-AU" w:eastAsia="en-AU"/>
        </w:rPr>
        <w:t xml:space="preserve">and this copyright notice, all other rights (including all commercial rights) are expressly reserved. </w:t>
      </w:r>
    </w:p>
    <w:p w14:paraId="52357ACE" w14:textId="77777777" w:rsidR="0017021F" w:rsidRPr="0017021F" w:rsidRDefault="0017021F" w:rsidP="0017021F">
      <w:pPr>
        <w:autoSpaceDE w:val="0"/>
        <w:autoSpaceDN w:val="0"/>
        <w:adjustRightInd w:val="0"/>
        <w:rPr>
          <w:rFonts w:ascii="Times New Roman" w:eastAsia="SimSun" w:hAnsi="Times New Roman"/>
          <w:szCs w:val="22"/>
          <w:lang w:val="en-AU" w:eastAsia="en-AU"/>
        </w:rPr>
      </w:pPr>
      <w:r>
        <w:rPr>
          <w:rFonts w:ascii="Times New Roman" w:eastAsia="SimSun" w:hAnsi="Times New Roman"/>
          <w:b/>
          <w:bCs/>
          <w:szCs w:val="22"/>
          <w:lang w:val="en-AU" w:eastAsia="en-AU"/>
        </w:rPr>
        <w:t>Permitted Uses</w:t>
      </w:r>
      <w:r>
        <w:rPr>
          <w:rFonts w:ascii="Times New Roman" w:eastAsia="SimSun" w:hAnsi="Times New Roman"/>
          <w:b/>
          <w:bCs/>
          <w:szCs w:val="22"/>
          <w:lang w:val="en-AU" w:eastAsia="en-AU"/>
        </w:rPr>
        <w:br/>
      </w:r>
      <w:r w:rsidRPr="0017021F">
        <w:rPr>
          <w:rFonts w:ascii="Times New Roman" w:eastAsia="SimSun" w:hAnsi="Times New Roman"/>
          <w:szCs w:val="22"/>
          <w:lang w:val="en-AU" w:eastAsia="en-AU"/>
        </w:rPr>
        <w:t>You may download, display, print, and reproduce the whole or part of this publication in unaltered form for:</w:t>
      </w:r>
    </w:p>
    <w:p w14:paraId="68B52246" w14:textId="77777777" w:rsidR="0017021F" w:rsidRPr="0017021F" w:rsidRDefault="0017021F" w:rsidP="0017021F">
      <w:pPr>
        <w:autoSpaceDE w:val="0"/>
        <w:autoSpaceDN w:val="0"/>
        <w:adjustRightInd w:val="0"/>
        <w:rPr>
          <w:rFonts w:ascii="Times New Roman" w:eastAsia="SimSun" w:hAnsi="Times New Roman"/>
          <w:szCs w:val="22"/>
          <w:lang w:val="en-AU" w:eastAsia="en-AU"/>
        </w:rPr>
      </w:pPr>
    </w:p>
    <w:p w14:paraId="07F0D7C9" w14:textId="77777777" w:rsidR="0017021F" w:rsidRPr="0017021F" w:rsidRDefault="0017021F" w:rsidP="0017021F">
      <w:pPr>
        <w:autoSpaceDE w:val="0"/>
        <w:autoSpaceDN w:val="0"/>
        <w:adjustRightInd w:val="0"/>
        <w:ind w:left="720" w:hanging="360"/>
        <w:rPr>
          <w:rFonts w:ascii="Times New Roman" w:eastAsia="SimSun" w:hAnsi="Times New Roman"/>
          <w:szCs w:val="22"/>
          <w:lang w:val="en-AU" w:eastAsia="en-AU"/>
        </w:rPr>
      </w:pPr>
      <w:r w:rsidRPr="0017021F">
        <w:rPr>
          <w:rFonts w:ascii="Symbol" w:eastAsia="SimSun" w:hAnsi="Symbol" w:cs="Symbol"/>
          <w:szCs w:val="22"/>
          <w:lang w:val="en-AU" w:eastAsia="en-AU"/>
        </w:rPr>
        <w:t></w:t>
      </w:r>
      <w:r w:rsidRPr="0017021F">
        <w:rPr>
          <w:rFonts w:ascii="Arial" w:eastAsia="SimSun" w:hAnsi="Arial" w:cs="Arial"/>
          <w:szCs w:val="22"/>
          <w:lang w:val="en-AU" w:eastAsia="en-AU"/>
        </w:rPr>
        <w:tab/>
      </w:r>
      <w:r w:rsidRPr="0017021F">
        <w:rPr>
          <w:rFonts w:ascii="Times New Roman" w:eastAsia="SimSun" w:hAnsi="Times New Roman"/>
          <w:szCs w:val="22"/>
          <w:lang w:val="en-AU" w:eastAsia="en-AU"/>
        </w:rPr>
        <w:t>your own personal use;</w:t>
      </w:r>
    </w:p>
    <w:p w14:paraId="3D92F344" w14:textId="77777777" w:rsidR="0017021F" w:rsidRPr="0017021F" w:rsidRDefault="0017021F" w:rsidP="0017021F">
      <w:pPr>
        <w:autoSpaceDE w:val="0"/>
        <w:autoSpaceDN w:val="0"/>
        <w:adjustRightInd w:val="0"/>
        <w:ind w:left="720" w:hanging="360"/>
        <w:rPr>
          <w:rFonts w:ascii="Times New Roman" w:eastAsia="SimSun" w:hAnsi="Times New Roman"/>
          <w:szCs w:val="22"/>
          <w:lang w:val="en-AU" w:eastAsia="en-AU"/>
        </w:rPr>
      </w:pPr>
      <w:r w:rsidRPr="0017021F">
        <w:rPr>
          <w:rFonts w:ascii="Symbol" w:eastAsia="SimSun" w:hAnsi="Symbol" w:cs="Symbol"/>
          <w:szCs w:val="22"/>
          <w:lang w:val="en-AU" w:eastAsia="en-AU"/>
        </w:rPr>
        <w:t></w:t>
      </w:r>
      <w:r w:rsidRPr="0017021F">
        <w:rPr>
          <w:rFonts w:ascii="Arial" w:eastAsia="SimSun" w:hAnsi="Arial" w:cs="Arial"/>
          <w:szCs w:val="22"/>
          <w:lang w:val="en-AU" w:eastAsia="en-AU"/>
        </w:rPr>
        <w:tab/>
      </w:r>
      <w:r w:rsidRPr="0017021F">
        <w:rPr>
          <w:rFonts w:ascii="Times New Roman" w:eastAsia="SimSun" w:hAnsi="Times New Roman"/>
          <w:szCs w:val="22"/>
          <w:lang w:val="en-AU" w:eastAsia="en-AU"/>
        </w:rPr>
        <w:t>use within your organisation; or</w:t>
      </w:r>
    </w:p>
    <w:p w14:paraId="498B48DA" w14:textId="77777777" w:rsidR="0017021F" w:rsidRPr="0017021F" w:rsidRDefault="0017021F" w:rsidP="0017021F">
      <w:pPr>
        <w:autoSpaceDE w:val="0"/>
        <w:autoSpaceDN w:val="0"/>
        <w:adjustRightInd w:val="0"/>
        <w:ind w:left="720" w:hanging="360"/>
        <w:rPr>
          <w:rFonts w:ascii="Times New Roman" w:eastAsia="SimSun" w:hAnsi="Times New Roman"/>
          <w:szCs w:val="22"/>
          <w:lang w:val="en-AU" w:eastAsia="en-AU"/>
        </w:rPr>
      </w:pPr>
      <w:r w:rsidRPr="0017021F">
        <w:rPr>
          <w:rFonts w:ascii="Symbol" w:eastAsia="SimSun" w:hAnsi="Symbol" w:cs="Symbol"/>
          <w:szCs w:val="22"/>
          <w:lang w:val="en-AU" w:eastAsia="en-AU"/>
        </w:rPr>
        <w:t></w:t>
      </w:r>
      <w:r w:rsidRPr="0017021F">
        <w:rPr>
          <w:rFonts w:ascii="Arial" w:eastAsia="SimSun" w:hAnsi="Arial" w:cs="Arial"/>
          <w:szCs w:val="22"/>
          <w:lang w:val="en-AU" w:eastAsia="en-AU"/>
        </w:rPr>
        <w:tab/>
      </w:r>
      <w:r w:rsidRPr="0017021F">
        <w:rPr>
          <w:rFonts w:ascii="Times New Roman" w:eastAsia="SimSun" w:hAnsi="Times New Roman"/>
          <w:szCs w:val="22"/>
          <w:lang w:val="en-AU" w:eastAsia="en-AU"/>
        </w:rPr>
        <w:t xml:space="preserve">distribution and sharing with third parties, </w:t>
      </w:r>
    </w:p>
    <w:p w14:paraId="7F76A22B" w14:textId="77777777" w:rsidR="0017021F" w:rsidRPr="0017021F" w:rsidRDefault="0017021F" w:rsidP="0017021F">
      <w:pPr>
        <w:autoSpaceDE w:val="0"/>
        <w:autoSpaceDN w:val="0"/>
        <w:adjustRightInd w:val="0"/>
        <w:rPr>
          <w:rFonts w:ascii="Times New Roman" w:eastAsia="SimSun" w:hAnsi="Times New Roman"/>
          <w:szCs w:val="22"/>
          <w:lang w:val="en-AU" w:eastAsia="en-AU"/>
        </w:rPr>
      </w:pPr>
    </w:p>
    <w:p w14:paraId="053836B3" w14:textId="77777777" w:rsidR="0017021F" w:rsidRPr="0017021F" w:rsidRDefault="0017021F" w:rsidP="0017021F">
      <w:pPr>
        <w:autoSpaceDE w:val="0"/>
        <w:autoSpaceDN w:val="0"/>
        <w:adjustRightInd w:val="0"/>
        <w:rPr>
          <w:rFonts w:ascii="Times New Roman" w:eastAsia="SimSun" w:hAnsi="Times New Roman"/>
          <w:szCs w:val="22"/>
          <w:lang w:val="en-AU" w:eastAsia="en-AU"/>
        </w:rPr>
      </w:pPr>
      <w:r w:rsidRPr="0017021F">
        <w:rPr>
          <w:rFonts w:ascii="Times New Roman" w:eastAsia="SimSun" w:hAnsi="Times New Roman"/>
          <w:szCs w:val="22"/>
          <w:lang w:val="en-AU" w:eastAsia="en-AU"/>
        </w:rPr>
        <w:t>but only if:</w:t>
      </w:r>
    </w:p>
    <w:p w14:paraId="589713DE" w14:textId="77777777" w:rsidR="0017021F" w:rsidRPr="0017021F" w:rsidRDefault="0017021F" w:rsidP="0017021F">
      <w:pPr>
        <w:autoSpaceDE w:val="0"/>
        <w:autoSpaceDN w:val="0"/>
        <w:adjustRightInd w:val="0"/>
        <w:rPr>
          <w:rFonts w:ascii="Times New Roman" w:eastAsia="SimSun" w:hAnsi="Times New Roman"/>
          <w:szCs w:val="22"/>
          <w:lang w:val="en-AU" w:eastAsia="en-AU"/>
        </w:rPr>
      </w:pPr>
    </w:p>
    <w:p w14:paraId="36E2173F" w14:textId="77777777" w:rsidR="0017021F" w:rsidRPr="0017021F" w:rsidRDefault="0017021F" w:rsidP="0017021F">
      <w:pPr>
        <w:autoSpaceDE w:val="0"/>
        <w:autoSpaceDN w:val="0"/>
        <w:adjustRightInd w:val="0"/>
        <w:ind w:left="720" w:hanging="360"/>
        <w:rPr>
          <w:rFonts w:ascii="Times New Roman" w:eastAsia="SimSun" w:hAnsi="Times New Roman"/>
          <w:szCs w:val="22"/>
          <w:lang w:val="en-AU" w:eastAsia="en-AU"/>
        </w:rPr>
      </w:pPr>
      <w:r w:rsidRPr="0017021F">
        <w:rPr>
          <w:rFonts w:ascii="Symbol" w:eastAsia="SimSun" w:hAnsi="Symbol" w:cs="Symbol"/>
          <w:szCs w:val="22"/>
          <w:lang w:val="en-AU" w:eastAsia="en-AU"/>
        </w:rPr>
        <w:t></w:t>
      </w:r>
      <w:r w:rsidRPr="0017021F">
        <w:rPr>
          <w:rFonts w:ascii="Arial" w:eastAsia="SimSun" w:hAnsi="Arial" w:cs="Arial"/>
          <w:szCs w:val="22"/>
          <w:lang w:val="en-AU" w:eastAsia="en-AU"/>
        </w:rPr>
        <w:tab/>
      </w:r>
      <w:r w:rsidRPr="0017021F">
        <w:rPr>
          <w:rFonts w:ascii="Times New Roman" w:eastAsia="SimSun" w:hAnsi="Times New Roman"/>
          <w:szCs w:val="22"/>
          <w:lang w:val="en-AU" w:eastAsia="en-AU"/>
        </w:rPr>
        <w:t>you or your organisation do not use or reproduce the publication for any commercial purpose; and</w:t>
      </w:r>
    </w:p>
    <w:p w14:paraId="1AA29F6F" w14:textId="77777777" w:rsidR="0017021F" w:rsidRPr="0017021F" w:rsidRDefault="0017021F" w:rsidP="0017021F">
      <w:pPr>
        <w:autoSpaceDE w:val="0"/>
        <w:autoSpaceDN w:val="0"/>
        <w:adjustRightInd w:val="0"/>
        <w:ind w:left="720" w:hanging="360"/>
        <w:rPr>
          <w:rFonts w:ascii="Times New Roman" w:eastAsia="SimSun" w:hAnsi="Times New Roman"/>
          <w:szCs w:val="22"/>
          <w:lang w:val="en-AU" w:eastAsia="en-AU"/>
        </w:rPr>
      </w:pPr>
      <w:r w:rsidRPr="0017021F">
        <w:rPr>
          <w:rFonts w:ascii="Symbol" w:eastAsia="SimSun" w:hAnsi="Symbol" w:cs="Symbol"/>
          <w:szCs w:val="22"/>
          <w:lang w:val="en-AU" w:eastAsia="en-AU"/>
        </w:rPr>
        <w:t></w:t>
      </w:r>
      <w:r w:rsidRPr="0017021F">
        <w:rPr>
          <w:rFonts w:ascii="Arial" w:eastAsia="SimSun" w:hAnsi="Arial" w:cs="Arial"/>
          <w:szCs w:val="22"/>
          <w:lang w:val="en-AU" w:eastAsia="en-AU"/>
        </w:rPr>
        <w:tab/>
      </w:r>
      <w:r w:rsidRPr="0017021F">
        <w:rPr>
          <w:rFonts w:ascii="Times New Roman" w:eastAsia="SimSun" w:hAnsi="Times New Roman"/>
          <w:szCs w:val="22"/>
          <w:lang w:val="en-AU" w:eastAsia="en-AU"/>
        </w:rPr>
        <w:t>if reproduced, this copyright notice and all disclaimer notices are included as part of any reproduction.</w:t>
      </w:r>
    </w:p>
    <w:p w14:paraId="6BCB2D1A" w14:textId="77777777" w:rsidR="0017021F" w:rsidRDefault="0017021F" w:rsidP="0017021F">
      <w:pPr>
        <w:autoSpaceDE w:val="0"/>
        <w:autoSpaceDN w:val="0"/>
        <w:adjustRightInd w:val="0"/>
        <w:rPr>
          <w:rFonts w:ascii="Times New Roman" w:eastAsia="SimSun" w:hAnsi="Times New Roman"/>
          <w:szCs w:val="22"/>
          <w:lang w:val="en-AU" w:eastAsia="en-AU"/>
        </w:rPr>
      </w:pPr>
    </w:p>
    <w:p w14:paraId="6C8E3F18" w14:textId="77777777" w:rsidR="0017021F" w:rsidRDefault="0017021F" w:rsidP="0017021F">
      <w:pPr>
        <w:autoSpaceDE w:val="0"/>
        <w:autoSpaceDN w:val="0"/>
        <w:adjustRightInd w:val="0"/>
        <w:spacing w:after="160"/>
        <w:rPr>
          <w:rFonts w:ascii="Times New Roman" w:eastAsia="SimSun" w:hAnsi="Times New Roman"/>
          <w:szCs w:val="22"/>
          <w:lang w:val="en-AU" w:eastAsia="en-AU"/>
        </w:rPr>
      </w:pPr>
      <w:r>
        <w:rPr>
          <w:rFonts w:ascii="Times New Roman" w:eastAsia="SimSun" w:hAnsi="Times New Roman"/>
          <w:szCs w:val="22"/>
          <w:lang w:val="en-AU" w:eastAsia="en-AU"/>
        </w:rPr>
        <w:t>This licence does not cover, and there is no permission given for, use of the Commonwealth Coat of Arms or any logos and trademarks (including the logo of the Department of Health).</w:t>
      </w:r>
    </w:p>
    <w:p w14:paraId="28177747" w14:textId="77777777" w:rsidR="0017021F" w:rsidRDefault="0017021F" w:rsidP="0017021F">
      <w:pPr>
        <w:autoSpaceDE w:val="0"/>
        <w:autoSpaceDN w:val="0"/>
        <w:adjustRightInd w:val="0"/>
        <w:rPr>
          <w:rFonts w:ascii="Times New Roman" w:eastAsia="SimSun" w:hAnsi="Times New Roman"/>
          <w:b/>
          <w:bCs/>
          <w:szCs w:val="22"/>
          <w:lang w:val="en-AU" w:eastAsia="en-AU"/>
        </w:rPr>
      </w:pPr>
      <w:r>
        <w:rPr>
          <w:rFonts w:ascii="Times New Roman" w:eastAsia="SimSun" w:hAnsi="Times New Roman"/>
          <w:b/>
          <w:bCs/>
          <w:szCs w:val="22"/>
          <w:lang w:val="en-AU" w:eastAsia="en-AU"/>
        </w:rPr>
        <w:t>Disclaimer</w:t>
      </w:r>
    </w:p>
    <w:p w14:paraId="2747A680" w14:textId="77777777" w:rsidR="0017021F" w:rsidRDefault="0017021F" w:rsidP="0017021F">
      <w:pPr>
        <w:autoSpaceDE w:val="0"/>
        <w:autoSpaceDN w:val="0"/>
        <w:adjustRightInd w:val="0"/>
        <w:spacing w:after="160"/>
        <w:rPr>
          <w:rFonts w:ascii="Times New Roman" w:eastAsia="SimSun" w:hAnsi="Times New Roman"/>
          <w:szCs w:val="22"/>
          <w:lang w:val="en-AU" w:eastAsia="en-AU"/>
        </w:rPr>
      </w:pPr>
      <w:r>
        <w:rPr>
          <w:rFonts w:ascii="Times New Roman" w:eastAsia="SimSun" w:hAnsi="Times New Roman"/>
          <w:szCs w:val="22"/>
          <w:lang w:val="en-AU" w:eastAsia="en-AU"/>
        </w:rPr>
        <w:t xml:space="preserve">This publication has been produced independently by Australian Healthcare Associates on the request of the Department of Health. </w:t>
      </w:r>
      <w:bookmarkStart w:id="0" w:name="_GoBack"/>
      <w:bookmarkEnd w:id="0"/>
    </w:p>
    <w:p w14:paraId="02CB4FD3" w14:textId="77777777" w:rsidR="0017021F" w:rsidRDefault="0017021F" w:rsidP="0017021F">
      <w:pPr>
        <w:autoSpaceDE w:val="0"/>
        <w:autoSpaceDN w:val="0"/>
        <w:adjustRightInd w:val="0"/>
        <w:spacing w:after="160"/>
        <w:rPr>
          <w:rFonts w:ascii="Times New Roman" w:eastAsia="SimSun" w:hAnsi="Times New Roman"/>
          <w:szCs w:val="22"/>
          <w:lang w:val="en-AU" w:eastAsia="en-AU"/>
        </w:rPr>
      </w:pPr>
      <w:r>
        <w:rPr>
          <w:rFonts w:ascii="Times New Roman" w:eastAsia="SimSun" w:hAnsi="Times New Roman"/>
          <w:szCs w:val="22"/>
          <w:lang w:val="en-AU" w:eastAsia="en-AU"/>
        </w:rPr>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4CC20487" w14:textId="77777777" w:rsidR="0017021F" w:rsidRDefault="0017021F" w:rsidP="0017021F">
      <w:pPr>
        <w:autoSpaceDE w:val="0"/>
        <w:autoSpaceDN w:val="0"/>
        <w:adjustRightInd w:val="0"/>
        <w:spacing w:after="160"/>
        <w:rPr>
          <w:rFonts w:ascii="Times New Roman" w:eastAsia="SimSun" w:hAnsi="Times New Roman"/>
          <w:szCs w:val="22"/>
          <w:lang w:val="en-AU" w:eastAsia="en-AU"/>
        </w:rPr>
      </w:pPr>
      <w:r>
        <w:rPr>
          <w:rFonts w:ascii="Times New Roman" w:eastAsia="SimSun" w:hAnsi="Times New Roman"/>
          <w:szCs w:val="22"/>
          <w:lang w:val="en-AU" w:eastAsia="en-AU"/>
        </w:rPr>
        <w:t xml:space="preserve">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  </w:t>
      </w:r>
    </w:p>
    <w:p w14:paraId="4A3495B2" w14:textId="77777777" w:rsidR="0017021F" w:rsidRDefault="0017021F" w:rsidP="0017021F">
      <w:pPr>
        <w:autoSpaceDE w:val="0"/>
        <w:autoSpaceDN w:val="0"/>
        <w:adjustRightInd w:val="0"/>
        <w:spacing w:after="160"/>
        <w:rPr>
          <w:rFonts w:ascii="Times New Roman" w:eastAsia="SimSun" w:hAnsi="Times New Roman"/>
          <w:szCs w:val="22"/>
          <w:lang w:val="en-AU" w:eastAsia="en-AU"/>
        </w:rPr>
      </w:pPr>
      <w:r>
        <w:rPr>
          <w:rFonts w:ascii="Times New Roman" w:eastAsia="SimSun" w:hAnsi="Times New Roman"/>
          <w:szCs w:val="22"/>
          <w:lang w:val="en-AU" w:eastAsia="en-AU"/>
        </w:rPr>
        <w:t xml:space="preserve">The information in this publication is provided on the basis that all persons accessing it undertake responsibility for assessing the relevance and accuracy of its content. </w:t>
      </w:r>
    </w:p>
    <w:p w14:paraId="17026171" w14:textId="7FAA13DD" w:rsidR="0017021F" w:rsidRDefault="0017021F">
      <w:pPr>
        <w:rPr>
          <w:lang w:val="en-AU" w:eastAsia="en-US"/>
        </w:rPr>
      </w:pPr>
    </w:p>
    <w:p w14:paraId="3AC8FF45" w14:textId="77777777" w:rsidR="0017021F" w:rsidRPr="0017021F" w:rsidRDefault="0017021F" w:rsidP="0017021F">
      <w:pPr>
        <w:rPr>
          <w:lang w:val="en-AU" w:eastAsia="en-US"/>
        </w:rPr>
        <w:sectPr w:rsidR="0017021F" w:rsidRPr="0017021F" w:rsidSect="00FD140E">
          <w:footerReference w:type="even" r:id="rId11"/>
          <w:footerReference w:type="first" r:id="rId12"/>
          <w:pgSz w:w="11907" w:h="16840" w:code="9"/>
          <w:pgMar w:top="1134" w:right="1134" w:bottom="1134" w:left="1134" w:header="567" w:footer="851" w:gutter="0"/>
          <w:cols w:space="680"/>
          <w:docGrid w:linePitch="360"/>
        </w:sectPr>
      </w:pPr>
    </w:p>
    <w:p w14:paraId="0C487379" w14:textId="77777777" w:rsidR="00D9090E" w:rsidRDefault="00D9090E" w:rsidP="0074178E"/>
    <w:p w14:paraId="20968741" w14:textId="77777777" w:rsidR="0061201F" w:rsidRDefault="00B52D27" w:rsidP="004E2A0B">
      <w:pPr>
        <w:pStyle w:val="TOCHeading"/>
        <w:rPr>
          <w:noProof/>
        </w:rPr>
      </w:pPr>
      <w:r w:rsidRPr="00636B05">
        <w:t>Contents</w:t>
      </w:r>
      <w:r w:rsidR="004511B3">
        <w:fldChar w:fldCharType="begin"/>
      </w:r>
      <w:r w:rsidR="004511B3">
        <w:instrText xml:space="preserve"> TOC \t "Heading 1,1,Heading 2,2,Heading 5,1,Heading 6,2" </w:instrText>
      </w:r>
      <w:r w:rsidR="004511B3">
        <w:fldChar w:fldCharType="separate"/>
      </w:r>
    </w:p>
    <w:p w14:paraId="11FA3FCD" w14:textId="36B72387" w:rsidR="0061201F" w:rsidRDefault="0061201F">
      <w:pPr>
        <w:pStyle w:val="TOC1"/>
        <w:rPr>
          <w:rFonts w:eastAsiaTheme="minorEastAsia" w:cstheme="minorBidi"/>
          <w:b w:val="0"/>
          <w:color w:val="auto"/>
          <w:szCs w:val="22"/>
        </w:rPr>
      </w:pPr>
      <w:r>
        <w:t>1</w:t>
      </w:r>
      <w:r>
        <w:rPr>
          <w:rFonts w:eastAsiaTheme="minorEastAsia" w:cstheme="minorBidi"/>
          <w:b w:val="0"/>
          <w:color w:val="auto"/>
          <w:szCs w:val="22"/>
        </w:rPr>
        <w:tab/>
      </w:r>
      <w:r>
        <w:t>Introduction</w:t>
      </w:r>
      <w:r>
        <w:tab/>
      </w:r>
      <w:r>
        <w:fldChar w:fldCharType="begin"/>
      </w:r>
      <w:r>
        <w:instrText xml:space="preserve"> PAGEREF _Toc60999844 \h </w:instrText>
      </w:r>
      <w:r>
        <w:fldChar w:fldCharType="separate"/>
      </w:r>
      <w:r w:rsidR="00EB1774">
        <w:t>1</w:t>
      </w:r>
      <w:r>
        <w:fldChar w:fldCharType="end"/>
      </w:r>
    </w:p>
    <w:p w14:paraId="486E55D7" w14:textId="253FC09F" w:rsidR="0061201F" w:rsidRDefault="0061201F">
      <w:pPr>
        <w:pStyle w:val="TOC1"/>
        <w:rPr>
          <w:rFonts w:eastAsiaTheme="minorEastAsia" w:cstheme="minorBidi"/>
          <w:b w:val="0"/>
          <w:color w:val="auto"/>
          <w:szCs w:val="22"/>
        </w:rPr>
      </w:pPr>
      <w:r>
        <w:t>Appendix A</w:t>
      </w:r>
      <w:r>
        <w:rPr>
          <w:rFonts w:eastAsiaTheme="minorEastAsia" w:cstheme="minorBidi"/>
          <w:b w:val="0"/>
          <w:color w:val="auto"/>
          <w:szCs w:val="22"/>
        </w:rPr>
        <w:tab/>
      </w:r>
      <w:r>
        <w:t>Review methodology overview</w:t>
      </w:r>
      <w:r>
        <w:tab/>
      </w:r>
      <w:r>
        <w:fldChar w:fldCharType="begin"/>
      </w:r>
      <w:r>
        <w:instrText xml:space="preserve"> PAGEREF _Toc60999845 \h </w:instrText>
      </w:r>
      <w:r>
        <w:fldChar w:fldCharType="separate"/>
      </w:r>
      <w:r w:rsidR="00EB1774">
        <w:t>3</w:t>
      </w:r>
      <w:r>
        <w:fldChar w:fldCharType="end"/>
      </w:r>
    </w:p>
    <w:p w14:paraId="4BE0060D" w14:textId="77DE8B08" w:rsidR="0061201F" w:rsidRDefault="0061201F">
      <w:pPr>
        <w:pStyle w:val="TOC2"/>
        <w:rPr>
          <w:rFonts w:eastAsiaTheme="minorEastAsia" w:cstheme="minorBidi"/>
          <w:szCs w:val="22"/>
        </w:rPr>
      </w:pPr>
      <w:r>
        <w:t>A.1</w:t>
      </w:r>
      <w:r>
        <w:rPr>
          <w:rFonts w:eastAsiaTheme="minorEastAsia" w:cstheme="minorBidi"/>
          <w:szCs w:val="22"/>
        </w:rPr>
        <w:tab/>
      </w:r>
      <w:r>
        <w:t>Introduction</w:t>
      </w:r>
      <w:r>
        <w:tab/>
      </w:r>
      <w:r>
        <w:fldChar w:fldCharType="begin"/>
      </w:r>
      <w:r>
        <w:instrText xml:space="preserve"> PAGEREF _Toc60999846 \h </w:instrText>
      </w:r>
      <w:r>
        <w:fldChar w:fldCharType="separate"/>
      </w:r>
      <w:r w:rsidR="00EB1774">
        <w:t>4</w:t>
      </w:r>
      <w:r>
        <w:fldChar w:fldCharType="end"/>
      </w:r>
    </w:p>
    <w:p w14:paraId="6C54FE9B" w14:textId="26209C38" w:rsidR="0061201F" w:rsidRDefault="0061201F">
      <w:pPr>
        <w:pStyle w:val="TOC2"/>
        <w:rPr>
          <w:rFonts w:eastAsiaTheme="minorEastAsia" w:cstheme="minorBidi"/>
          <w:szCs w:val="22"/>
        </w:rPr>
      </w:pPr>
      <w:r>
        <w:t>A.2</w:t>
      </w:r>
      <w:r>
        <w:rPr>
          <w:rFonts w:eastAsiaTheme="minorEastAsia" w:cstheme="minorBidi"/>
          <w:szCs w:val="22"/>
        </w:rPr>
        <w:tab/>
      </w:r>
      <w:r>
        <w:t>Planning phase</w:t>
      </w:r>
      <w:r>
        <w:tab/>
      </w:r>
      <w:r>
        <w:fldChar w:fldCharType="begin"/>
      </w:r>
      <w:r>
        <w:instrText xml:space="preserve"> PAGEREF _Toc60999847 \h </w:instrText>
      </w:r>
      <w:r>
        <w:fldChar w:fldCharType="separate"/>
      </w:r>
      <w:r w:rsidR="00EB1774">
        <w:t>5</w:t>
      </w:r>
      <w:r>
        <w:fldChar w:fldCharType="end"/>
      </w:r>
    </w:p>
    <w:p w14:paraId="13B87101" w14:textId="7DA0D772" w:rsidR="0061201F" w:rsidRDefault="0061201F">
      <w:pPr>
        <w:pStyle w:val="TOC2"/>
        <w:rPr>
          <w:rFonts w:eastAsiaTheme="minorEastAsia" w:cstheme="minorBidi"/>
          <w:szCs w:val="22"/>
        </w:rPr>
      </w:pPr>
      <w:r>
        <w:t>A.3</w:t>
      </w:r>
      <w:r>
        <w:rPr>
          <w:rFonts w:eastAsiaTheme="minorEastAsia" w:cstheme="minorBidi"/>
          <w:szCs w:val="22"/>
        </w:rPr>
        <w:tab/>
      </w:r>
      <w:r>
        <w:t>Mapping existing AT programs</w:t>
      </w:r>
      <w:r>
        <w:tab/>
      </w:r>
      <w:r>
        <w:fldChar w:fldCharType="begin"/>
      </w:r>
      <w:r>
        <w:instrText xml:space="preserve"> PAGEREF _Toc60999848 \h </w:instrText>
      </w:r>
      <w:r>
        <w:fldChar w:fldCharType="separate"/>
      </w:r>
      <w:r w:rsidR="00EB1774">
        <w:t>5</w:t>
      </w:r>
      <w:r>
        <w:fldChar w:fldCharType="end"/>
      </w:r>
    </w:p>
    <w:p w14:paraId="25D3EE09" w14:textId="345CAFF1" w:rsidR="0061201F" w:rsidRDefault="0061201F">
      <w:pPr>
        <w:pStyle w:val="TOC2"/>
        <w:rPr>
          <w:rFonts w:eastAsiaTheme="minorEastAsia" w:cstheme="minorBidi"/>
          <w:szCs w:val="22"/>
        </w:rPr>
      </w:pPr>
      <w:r>
        <w:t>A.4</w:t>
      </w:r>
      <w:r>
        <w:rPr>
          <w:rFonts w:eastAsiaTheme="minorEastAsia" w:cstheme="minorBidi"/>
          <w:szCs w:val="22"/>
        </w:rPr>
        <w:tab/>
      </w:r>
      <w:r>
        <w:t>Modelling phase</w:t>
      </w:r>
      <w:r>
        <w:tab/>
      </w:r>
      <w:r>
        <w:fldChar w:fldCharType="begin"/>
      </w:r>
      <w:r>
        <w:instrText xml:space="preserve"> PAGEREF _Toc60999849 \h </w:instrText>
      </w:r>
      <w:r>
        <w:fldChar w:fldCharType="separate"/>
      </w:r>
      <w:r w:rsidR="00EB1774">
        <w:t>9</w:t>
      </w:r>
      <w:r>
        <w:fldChar w:fldCharType="end"/>
      </w:r>
    </w:p>
    <w:p w14:paraId="4E5F8B5D" w14:textId="58D32F2B" w:rsidR="0061201F" w:rsidRDefault="0061201F">
      <w:pPr>
        <w:pStyle w:val="TOC2"/>
        <w:rPr>
          <w:rFonts w:eastAsiaTheme="minorEastAsia" w:cstheme="minorBidi"/>
          <w:szCs w:val="22"/>
        </w:rPr>
      </w:pPr>
      <w:r>
        <w:t>A.5</w:t>
      </w:r>
      <w:r>
        <w:rPr>
          <w:rFonts w:eastAsiaTheme="minorEastAsia" w:cstheme="minorBidi"/>
          <w:szCs w:val="22"/>
        </w:rPr>
        <w:tab/>
      </w:r>
      <w:r>
        <w:t>Reporting phase</w:t>
      </w:r>
      <w:r>
        <w:tab/>
      </w:r>
      <w:r>
        <w:fldChar w:fldCharType="begin"/>
      </w:r>
      <w:r>
        <w:instrText xml:space="preserve"> PAGEREF _Toc60999850 \h </w:instrText>
      </w:r>
      <w:r>
        <w:fldChar w:fldCharType="separate"/>
      </w:r>
      <w:r w:rsidR="00EB1774">
        <w:t>30</w:t>
      </w:r>
      <w:r>
        <w:fldChar w:fldCharType="end"/>
      </w:r>
    </w:p>
    <w:p w14:paraId="42723C30" w14:textId="06108EB1" w:rsidR="0061201F" w:rsidRDefault="0061201F">
      <w:pPr>
        <w:pStyle w:val="TOC1"/>
        <w:rPr>
          <w:rFonts w:eastAsiaTheme="minorEastAsia" w:cstheme="minorBidi"/>
          <w:b w:val="0"/>
          <w:color w:val="auto"/>
          <w:szCs w:val="22"/>
        </w:rPr>
      </w:pPr>
      <w:r>
        <w:t>Appendix B</w:t>
      </w:r>
      <w:r>
        <w:rPr>
          <w:rFonts w:eastAsiaTheme="minorEastAsia" w:cstheme="minorBidi"/>
          <w:b w:val="0"/>
          <w:color w:val="auto"/>
          <w:szCs w:val="22"/>
        </w:rPr>
        <w:tab/>
      </w:r>
      <w:r>
        <w:t>Rapid Evidence Review</w:t>
      </w:r>
      <w:r>
        <w:tab/>
      </w:r>
      <w:r>
        <w:fldChar w:fldCharType="begin"/>
      </w:r>
      <w:r>
        <w:instrText xml:space="preserve"> PAGEREF _Toc60999851 \h </w:instrText>
      </w:r>
      <w:r>
        <w:fldChar w:fldCharType="separate"/>
      </w:r>
      <w:r w:rsidR="00EB1774">
        <w:t>32</w:t>
      </w:r>
      <w:r>
        <w:fldChar w:fldCharType="end"/>
      </w:r>
    </w:p>
    <w:p w14:paraId="337BC944" w14:textId="374E8722" w:rsidR="0061201F" w:rsidRDefault="0061201F">
      <w:pPr>
        <w:pStyle w:val="TOC2"/>
        <w:rPr>
          <w:rFonts w:eastAsiaTheme="minorEastAsia" w:cstheme="minorBidi"/>
          <w:szCs w:val="22"/>
        </w:rPr>
      </w:pPr>
      <w:r>
        <w:t>B.1</w:t>
      </w:r>
      <w:r>
        <w:rPr>
          <w:rFonts w:eastAsiaTheme="minorEastAsia" w:cstheme="minorBidi"/>
          <w:szCs w:val="22"/>
        </w:rPr>
        <w:tab/>
      </w:r>
      <w:r>
        <w:t>Introduction</w:t>
      </w:r>
      <w:r>
        <w:tab/>
      </w:r>
      <w:r>
        <w:fldChar w:fldCharType="begin"/>
      </w:r>
      <w:r>
        <w:instrText xml:space="preserve"> PAGEREF _Toc60999852 \h </w:instrText>
      </w:r>
      <w:r>
        <w:fldChar w:fldCharType="separate"/>
      </w:r>
      <w:r w:rsidR="00EB1774">
        <w:t>33</w:t>
      </w:r>
      <w:r>
        <w:fldChar w:fldCharType="end"/>
      </w:r>
    </w:p>
    <w:p w14:paraId="2EE508A6" w14:textId="367C9924" w:rsidR="0061201F" w:rsidRDefault="0061201F">
      <w:pPr>
        <w:pStyle w:val="TOC2"/>
        <w:rPr>
          <w:rFonts w:eastAsiaTheme="minorEastAsia" w:cstheme="minorBidi"/>
          <w:szCs w:val="22"/>
        </w:rPr>
      </w:pPr>
      <w:r>
        <w:t>B.2</w:t>
      </w:r>
      <w:r>
        <w:rPr>
          <w:rFonts w:eastAsiaTheme="minorEastAsia" w:cstheme="minorBidi"/>
          <w:szCs w:val="22"/>
        </w:rPr>
        <w:tab/>
      </w:r>
      <w:r>
        <w:t>Methods</w:t>
      </w:r>
      <w:r>
        <w:tab/>
      </w:r>
      <w:r>
        <w:fldChar w:fldCharType="begin"/>
      </w:r>
      <w:r>
        <w:instrText xml:space="preserve"> PAGEREF _Toc60999853 \h </w:instrText>
      </w:r>
      <w:r>
        <w:fldChar w:fldCharType="separate"/>
      </w:r>
      <w:r w:rsidR="00EB1774">
        <w:t>34</w:t>
      </w:r>
      <w:r>
        <w:fldChar w:fldCharType="end"/>
      </w:r>
    </w:p>
    <w:p w14:paraId="2389A511" w14:textId="126BC8EF" w:rsidR="0061201F" w:rsidRDefault="0061201F">
      <w:pPr>
        <w:pStyle w:val="TOC2"/>
        <w:rPr>
          <w:rFonts w:eastAsiaTheme="minorEastAsia" w:cstheme="minorBidi"/>
          <w:szCs w:val="22"/>
        </w:rPr>
      </w:pPr>
      <w:r>
        <w:t>B.3</w:t>
      </w:r>
      <w:r>
        <w:rPr>
          <w:rFonts w:eastAsiaTheme="minorEastAsia" w:cstheme="minorBidi"/>
          <w:szCs w:val="22"/>
        </w:rPr>
        <w:tab/>
      </w:r>
      <w:r>
        <w:t>Results</w:t>
      </w:r>
      <w:r>
        <w:tab/>
      </w:r>
      <w:r>
        <w:fldChar w:fldCharType="begin"/>
      </w:r>
      <w:r>
        <w:instrText xml:space="preserve"> PAGEREF _Toc60999854 \h </w:instrText>
      </w:r>
      <w:r>
        <w:fldChar w:fldCharType="separate"/>
      </w:r>
      <w:r w:rsidR="00EB1774">
        <w:t>39</w:t>
      </w:r>
      <w:r>
        <w:fldChar w:fldCharType="end"/>
      </w:r>
    </w:p>
    <w:p w14:paraId="728E5211" w14:textId="710E3257" w:rsidR="0061201F" w:rsidRDefault="0061201F">
      <w:pPr>
        <w:pStyle w:val="TOC1"/>
        <w:rPr>
          <w:rFonts w:eastAsiaTheme="minorEastAsia" w:cstheme="minorBidi"/>
          <w:b w:val="0"/>
          <w:color w:val="auto"/>
          <w:szCs w:val="22"/>
        </w:rPr>
      </w:pPr>
      <w:r>
        <w:t>Appendix C</w:t>
      </w:r>
      <w:r>
        <w:rPr>
          <w:rFonts w:eastAsiaTheme="minorEastAsia" w:cstheme="minorBidi"/>
          <w:b w:val="0"/>
          <w:color w:val="auto"/>
          <w:szCs w:val="22"/>
        </w:rPr>
        <w:tab/>
      </w:r>
      <w:r>
        <w:t>Delphi technique for a Consensus Statement on the Benefits of AT</w:t>
      </w:r>
      <w:r>
        <w:tab/>
      </w:r>
      <w:r>
        <w:fldChar w:fldCharType="begin"/>
      </w:r>
      <w:r>
        <w:instrText xml:space="preserve"> PAGEREF _Toc60999855 \h </w:instrText>
      </w:r>
      <w:r>
        <w:fldChar w:fldCharType="separate"/>
      </w:r>
      <w:r w:rsidR="00EB1774">
        <w:t>59</w:t>
      </w:r>
      <w:r>
        <w:fldChar w:fldCharType="end"/>
      </w:r>
    </w:p>
    <w:p w14:paraId="58EF4EA9" w14:textId="5BA21991" w:rsidR="0061201F" w:rsidRDefault="0061201F">
      <w:pPr>
        <w:pStyle w:val="TOC2"/>
        <w:rPr>
          <w:rFonts w:eastAsiaTheme="minorEastAsia" w:cstheme="minorBidi"/>
          <w:szCs w:val="22"/>
        </w:rPr>
      </w:pPr>
      <w:r>
        <w:t>C.1</w:t>
      </w:r>
      <w:r>
        <w:rPr>
          <w:rFonts w:eastAsiaTheme="minorEastAsia" w:cstheme="minorBidi"/>
          <w:szCs w:val="22"/>
        </w:rPr>
        <w:tab/>
      </w:r>
      <w:r>
        <w:t>Introduction</w:t>
      </w:r>
      <w:r>
        <w:tab/>
      </w:r>
      <w:r>
        <w:fldChar w:fldCharType="begin"/>
      </w:r>
      <w:r>
        <w:instrText xml:space="preserve"> PAGEREF _Toc60999856 \h </w:instrText>
      </w:r>
      <w:r>
        <w:fldChar w:fldCharType="separate"/>
      </w:r>
      <w:r w:rsidR="00EB1774">
        <w:t>60</w:t>
      </w:r>
      <w:r>
        <w:fldChar w:fldCharType="end"/>
      </w:r>
    </w:p>
    <w:p w14:paraId="6FA9863A" w14:textId="5FB90F3C" w:rsidR="0061201F" w:rsidRDefault="0061201F">
      <w:pPr>
        <w:pStyle w:val="TOC2"/>
        <w:rPr>
          <w:rFonts w:eastAsiaTheme="minorEastAsia" w:cstheme="minorBidi"/>
          <w:szCs w:val="22"/>
        </w:rPr>
      </w:pPr>
      <w:r>
        <w:t>C.2</w:t>
      </w:r>
      <w:r>
        <w:rPr>
          <w:rFonts w:eastAsiaTheme="minorEastAsia" w:cstheme="minorBidi"/>
          <w:szCs w:val="22"/>
        </w:rPr>
        <w:tab/>
      </w:r>
      <w:r>
        <w:t>Methods</w:t>
      </w:r>
      <w:r>
        <w:tab/>
      </w:r>
      <w:r>
        <w:fldChar w:fldCharType="begin"/>
      </w:r>
      <w:r>
        <w:instrText xml:space="preserve"> PAGEREF _Toc60999857 \h </w:instrText>
      </w:r>
      <w:r>
        <w:fldChar w:fldCharType="separate"/>
      </w:r>
      <w:r w:rsidR="00EB1774">
        <w:t>60</w:t>
      </w:r>
      <w:r>
        <w:fldChar w:fldCharType="end"/>
      </w:r>
    </w:p>
    <w:p w14:paraId="558F614B" w14:textId="2A8ED32E" w:rsidR="0061201F" w:rsidRDefault="0061201F">
      <w:pPr>
        <w:pStyle w:val="TOC2"/>
        <w:rPr>
          <w:rFonts w:eastAsiaTheme="minorEastAsia" w:cstheme="minorBidi"/>
          <w:szCs w:val="22"/>
        </w:rPr>
      </w:pPr>
      <w:r>
        <w:t>C.3</w:t>
      </w:r>
      <w:r>
        <w:rPr>
          <w:rFonts w:eastAsiaTheme="minorEastAsia" w:cstheme="minorBidi"/>
          <w:szCs w:val="22"/>
        </w:rPr>
        <w:tab/>
      </w:r>
      <w:r>
        <w:t>Results</w:t>
      </w:r>
      <w:r>
        <w:tab/>
      </w:r>
      <w:r>
        <w:fldChar w:fldCharType="begin"/>
      </w:r>
      <w:r>
        <w:instrText xml:space="preserve"> PAGEREF _Toc60999858 \h </w:instrText>
      </w:r>
      <w:r>
        <w:fldChar w:fldCharType="separate"/>
      </w:r>
      <w:r w:rsidR="00EB1774">
        <w:t>67</w:t>
      </w:r>
      <w:r>
        <w:fldChar w:fldCharType="end"/>
      </w:r>
    </w:p>
    <w:p w14:paraId="78946EC2" w14:textId="26223E47" w:rsidR="0061201F" w:rsidRDefault="0061201F">
      <w:pPr>
        <w:pStyle w:val="TOC1"/>
        <w:rPr>
          <w:rFonts w:eastAsiaTheme="minorEastAsia" w:cstheme="minorBidi"/>
          <w:b w:val="0"/>
          <w:color w:val="auto"/>
          <w:szCs w:val="22"/>
        </w:rPr>
      </w:pPr>
      <w:r>
        <w:t>Appendix D</w:t>
      </w:r>
      <w:r>
        <w:rPr>
          <w:rFonts w:eastAsiaTheme="minorEastAsia" w:cstheme="minorBidi"/>
          <w:b w:val="0"/>
          <w:color w:val="auto"/>
          <w:szCs w:val="22"/>
        </w:rPr>
        <w:tab/>
      </w:r>
      <w:r>
        <w:t>Archetypes</w:t>
      </w:r>
      <w:r>
        <w:tab/>
      </w:r>
      <w:r>
        <w:fldChar w:fldCharType="begin"/>
      </w:r>
      <w:r>
        <w:instrText xml:space="preserve"> PAGEREF _Toc60999859 \h </w:instrText>
      </w:r>
      <w:r>
        <w:fldChar w:fldCharType="separate"/>
      </w:r>
      <w:r w:rsidR="00EB1774">
        <w:t>96</w:t>
      </w:r>
      <w:r>
        <w:fldChar w:fldCharType="end"/>
      </w:r>
    </w:p>
    <w:p w14:paraId="7169F39F" w14:textId="695475FD" w:rsidR="0061201F" w:rsidRDefault="0061201F">
      <w:pPr>
        <w:pStyle w:val="TOC2"/>
        <w:rPr>
          <w:rFonts w:eastAsiaTheme="minorEastAsia" w:cstheme="minorBidi"/>
          <w:szCs w:val="22"/>
        </w:rPr>
      </w:pPr>
      <w:r>
        <w:t>D.1</w:t>
      </w:r>
      <w:r>
        <w:rPr>
          <w:rFonts w:eastAsiaTheme="minorEastAsia" w:cstheme="minorBidi"/>
          <w:szCs w:val="22"/>
        </w:rPr>
        <w:tab/>
      </w:r>
      <w:r>
        <w:t>Archetype overview</w:t>
      </w:r>
      <w:r>
        <w:tab/>
      </w:r>
      <w:r>
        <w:fldChar w:fldCharType="begin"/>
      </w:r>
      <w:r>
        <w:instrText xml:space="preserve"> PAGEREF _Toc60999860 \h </w:instrText>
      </w:r>
      <w:r>
        <w:fldChar w:fldCharType="separate"/>
      </w:r>
      <w:r w:rsidR="00EB1774">
        <w:t>97</w:t>
      </w:r>
      <w:r>
        <w:fldChar w:fldCharType="end"/>
      </w:r>
    </w:p>
    <w:p w14:paraId="08B41160" w14:textId="604E33A0" w:rsidR="0061201F" w:rsidRDefault="0061201F">
      <w:pPr>
        <w:pStyle w:val="TOC2"/>
        <w:rPr>
          <w:rFonts w:eastAsiaTheme="minorEastAsia" w:cstheme="minorBidi"/>
          <w:szCs w:val="22"/>
        </w:rPr>
      </w:pPr>
      <w:r>
        <w:t>D.2</w:t>
      </w:r>
      <w:r>
        <w:rPr>
          <w:rFonts w:eastAsiaTheme="minorEastAsia" w:cstheme="minorBidi"/>
          <w:szCs w:val="22"/>
        </w:rPr>
        <w:tab/>
      </w:r>
      <w:r>
        <w:t>Archetypes for Mild limitation</w:t>
      </w:r>
      <w:r>
        <w:tab/>
      </w:r>
      <w:r>
        <w:fldChar w:fldCharType="begin"/>
      </w:r>
      <w:r>
        <w:instrText xml:space="preserve"> PAGEREF _Toc60999861 \h </w:instrText>
      </w:r>
      <w:r>
        <w:fldChar w:fldCharType="separate"/>
      </w:r>
      <w:r w:rsidR="00EB1774">
        <w:t>97</w:t>
      </w:r>
      <w:r>
        <w:fldChar w:fldCharType="end"/>
      </w:r>
    </w:p>
    <w:p w14:paraId="7F0B5807" w14:textId="563938A8" w:rsidR="0061201F" w:rsidRDefault="0061201F">
      <w:pPr>
        <w:pStyle w:val="TOC2"/>
        <w:rPr>
          <w:rFonts w:eastAsiaTheme="minorEastAsia" w:cstheme="minorBidi"/>
          <w:szCs w:val="22"/>
        </w:rPr>
      </w:pPr>
      <w:r>
        <w:t>D.3</w:t>
      </w:r>
      <w:r>
        <w:rPr>
          <w:rFonts w:eastAsiaTheme="minorEastAsia" w:cstheme="minorBidi"/>
          <w:szCs w:val="22"/>
        </w:rPr>
        <w:tab/>
      </w:r>
      <w:r>
        <w:t>Archetypes for Moderate limitation</w:t>
      </w:r>
      <w:r>
        <w:tab/>
      </w:r>
      <w:r>
        <w:fldChar w:fldCharType="begin"/>
      </w:r>
      <w:r>
        <w:instrText xml:space="preserve"> PAGEREF _Toc60999862 \h </w:instrText>
      </w:r>
      <w:r>
        <w:fldChar w:fldCharType="separate"/>
      </w:r>
      <w:r w:rsidR="00EB1774">
        <w:t>100</w:t>
      </w:r>
      <w:r>
        <w:fldChar w:fldCharType="end"/>
      </w:r>
    </w:p>
    <w:p w14:paraId="713D01AC" w14:textId="5A6BB18A" w:rsidR="0061201F" w:rsidRDefault="0061201F">
      <w:pPr>
        <w:pStyle w:val="TOC2"/>
        <w:rPr>
          <w:rFonts w:eastAsiaTheme="minorEastAsia" w:cstheme="minorBidi"/>
          <w:szCs w:val="22"/>
        </w:rPr>
      </w:pPr>
      <w:r>
        <w:t>D.4</w:t>
      </w:r>
      <w:r>
        <w:rPr>
          <w:rFonts w:eastAsiaTheme="minorEastAsia" w:cstheme="minorBidi"/>
          <w:szCs w:val="22"/>
        </w:rPr>
        <w:tab/>
      </w:r>
      <w:r>
        <w:t>Archetypes for Severe limitation</w:t>
      </w:r>
      <w:r>
        <w:tab/>
      </w:r>
      <w:r>
        <w:fldChar w:fldCharType="begin"/>
      </w:r>
      <w:r>
        <w:instrText xml:space="preserve"> PAGEREF _Toc60999863 \h </w:instrText>
      </w:r>
      <w:r>
        <w:fldChar w:fldCharType="separate"/>
      </w:r>
      <w:r w:rsidR="00EB1774">
        <w:t>103</w:t>
      </w:r>
      <w:r>
        <w:fldChar w:fldCharType="end"/>
      </w:r>
    </w:p>
    <w:p w14:paraId="4C760A83" w14:textId="00A21AC1" w:rsidR="0061201F" w:rsidRDefault="0061201F">
      <w:pPr>
        <w:pStyle w:val="TOC2"/>
        <w:rPr>
          <w:rFonts w:eastAsiaTheme="minorEastAsia" w:cstheme="minorBidi"/>
          <w:szCs w:val="22"/>
        </w:rPr>
      </w:pPr>
      <w:r>
        <w:t>D.5</w:t>
      </w:r>
      <w:r>
        <w:rPr>
          <w:rFonts w:eastAsiaTheme="minorEastAsia" w:cstheme="minorBidi"/>
          <w:szCs w:val="22"/>
        </w:rPr>
        <w:tab/>
      </w:r>
      <w:r>
        <w:t>Archetypes for Profound limitation</w:t>
      </w:r>
      <w:r>
        <w:tab/>
      </w:r>
      <w:r>
        <w:fldChar w:fldCharType="begin"/>
      </w:r>
      <w:r>
        <w:instrText xml:space="preserve"> PAGEREF _Toc60999864 \h </w:instrText>
      </w:r>
      <w:r>
        <w:fldChar w:fldCharType="separate"/>
      </w:r>
      <w:r w:rsidR="00EB1774">
        <w:t>108</w:t>
      </w:r>
      <w:r>
        <w:fldChar w:fldCharType="end"/>
      </w:r>
    </w:p>
    <w:p w14:paraId="677E1423" w14:textId="36AE3E0D" w:rsidR="0061201F" w:rsidRDefault="0061201F">
      <w:pPr>
        <w:pStyle w:val="TOC1"/>
        <w:rPr>
          <w:rFonts w:eastAsiaTheme="minorEastAsia" w:cstheme="minorBidi"/>
          <w:b w:val="0"/>
          <w:color w:val="auto"/>
          <w:szCs w:val="22"/>
        </w:rPr>
      </w:pPr>
      <w:r>
        <w:t>Appendix E</w:t>
      </w:r>
      <w:r>
        <w:rPr>
          <w:rFonts w:eastAsiaTheme="minorEastAsia" w:cstheme="minorBidi"/>
          <w:b w:val="0"/>
          <w:color w:val="auto"/>
          <w:szCs w:val="22"/>
        </w:rPr>
        <w:tab/>
      </w:r>
      <w:r>
        <w:t>Existing AT programs</w:t>
      </w:r>
      <w:r>
        <w:tab/>
      </w:r>
      <w:r>
        <w:fldChar w:fldCharType="begin"/>
      </w:r>
      <w:r>
        <w:instrText xml:space="preserve"> PAGEREF _Toc60999865 \h </w:instrText>
      </w:r>
      <w:r>
        <w:fldChar w:fldCharType="separate"/>
      </w:r>
      <w:r w:rsidR="00EB1774">
        <w:t>113</w:t>
      </w:r>
      <w:r>
        <w:fldChar w:fldCharType="end"/>
      </w:r>
    </w:p>
    <w:p w14:paraId="6AD766AB" w14:textId="744B67E8" w:rsidR="0061201F" w:rsidRDefault="0061201F">
      <w:pPr>
        <w:pStyle w:val="TOC2"/>
        <w:rPr>
          <w:rFonts w:eastAsiaTheme="minorEastAsia" w:cstheme="minorBidi"/>
          <w:szCs w:val="22"/>
        </w:rPr>
      </w:pPr>
      <w:r>
        <w:t>E.1</w:t>
      </w:r>
      <w:r>
        <w:rPr>
          <w:rFonts w:eastAsiaTheme="minorEastAsia" w:cstheme="minorBidi"/>
          <w:szCs w:val="22"/>
        </w:rPr>
        <w:tab/>
      </w:r>
      <w:r>
        <w:t>National AT programs</w:t>
      </w:r>
      <w:r>
        <w:tab/>
      </w:r>
      <w:r>
        <w:fldChar w:fldCharType="begin"/>
      </w:r>
      <w:r>
        <w:instrText xml:space="preserve"> PAGEREF _Toc60999866 \h </w:instrText>
      </w:r>
      <w:r>
        <w:fldChar w:fldCharType="separate"/>
      </w:r>
      <w:r w:rsidR="00EB1774">
        <w:t>114</w:t>
      </w:r>
      <w:r>
        <w:fldChar w:fldCharType="end"/>
      </w:r>
    </w:p>
    <w:p w14:paraId="648A93CC" w14:textId="650462E6" w:rsidR="0061201F" w:rsidRDefault="0061201F">
      <w:pPr>
        <w:pStyle w:val="TOC2"/>
        <w:rPr>
          <w:rFonts w:eastAsiaTheme="minorEastAsia" w:cstheme="minorBidi"/>
          <w:szCs w:val="22"/>
        </w:rPr>
      </w:pPr>
      <w:r>
        <w:t>E.2</w:t>
      </w:r>
      <w:r>
        <w:rPr>
          <w:rFonts w:eastAsiaTheme="minorEastAsia" w:cstheme="minorBidi"/>
          <w:szCs w:val="22"/>
        </w:rPr>
        <w:tab/>
      </w:r>
      <w:r>
        <w:t>State and territory funded AT programs</w:t>
      </w:r>
      <w:r>
        <w:tab/>
      </w:r>
      <w:r>
        <w:fldChar w:fldCharType="begin"/>
      </w:r>
      <w:r>
        <w:instrText xml:space="preserve"> PAGEREF _Toc60999867 \h </w:instrText>
      </w:r>
      <w:r>
        <w:fldChar w:fldCharType="separate"/>
      </w:r>
      <w:r w:rsidR="00EB1774">
        <w:t>122</w:t>
      </w:r>
      <w:r>
        <w:fldChar w:fldCharType="end"/>
      </w:r>
    </w:p>
    <w:p w14:paraId="3354E5AE" w14:textId="2FA6CAA0" w:rsidR="0061201F" w:rsidRDefault="0061201F">
      <w:pPr>
        <w:pStyle w:val="TOC2"/>
        <w:rPr>
          <w:rFonts w:eastAsiaTheme="minorEastAsia" w:cstheme="minorBidi"/>
          <w:szCs w:val="22"/>
        </w:rPr>
      </w:pPr>
      <w:r>
        <w:t>E.3</w:t>
      </w:r>
      <w:r>
        <w:rPr>
          <w:rFonts w:eastAsiaTheme="minorEastAsia" w:cstheme="minorBidi"/>
          <w:szCs w:val="22"/>
        </w:rPr>
        <w:tab/>
      </w:r>
      <w:r>
        <w:t>Other AT programs</w:t>
      </w:r>
      <w:r>
        <w:tab/>
      </w:r>
      <w:r>
        <w:fldChar w:fldCharType="begin"/>
      </w:r>
      <w:r>
        <w:instrText xml:space="preserve"> PAGEREF _Toc60999868 \h </w:instrText>
      </w:r>
      <w:r>
        <w:fldChar w:fldCharType="separate"/>
      </w:r>
      <w:r w:rsidR="00EB1774">
        <w:t>130</w:t>
      </w:r>
      <w:r>
        <w:fldChar w:fldCharType="end"/>
      </w:r>
    </w:p>
    <w:p w14:paraId="5AFC259E" w14:textId="32DB4C51" w:rsidR="0061201F" w:rsidRDefault="0061201F">
      <w:pPr>
        <w:pStyle w:val="TOC1"/>
        <w:rPr>
          <w:rFonts w:eastAsiaTheme="minorEastAsia" w:cstheme="minorBidi"/>
          <w:b w:val="0"/>
          <w:color w:val="auto"/>
          <w:szCs w:val="22"/>
        </w:rPr>
      </w:pPr>
      <w:r>
        <w:t>Appendix F</w:t>
      </w:r>
      <w:r>
        <w:rPr>
          <w:rFonts w:eastAsiaTheme="minorEastAsia" w:cstheme="minorBidi"/>
          <w:b w:val="0"/>
          <w:color w:val="auto"/>
          <w:szCs w:val="22"/>
        </w:rPr>
        <w:tab/>
      </w:r>
      <w:r>
        <w:t>AT information and advice resources</w:t>
      </w:r>
      <w:r>
        <w:tab/>
      </w:r>
      <w:r>
        <w:fldChar w:fldCharType="begin"/>
      </w:r>
      <w:r>
        <w:instrText xml:space="preserve"> PAGEREF _Toc60999869 \h </w:instrText>
      </w:r>
      <w:r>
        <w:fldChar w:fldCharType="separate"/>
      </w:r>
      <w:r w:rsidR="00EB1774">
        <w:t>131</w:t>
      </w:r>
      <w:r>
        <w:fldChar w:fldCharType="end"/>
      </w:r>
    </w:p>
    <w:p w14:paraId="163BFD56" w14:textId="2FC4B13E" w:rsidR="0061201F" w:rsidRDefault="0061201F">
      <w:pPr>
        <w:pStyle w:val="TOC2"/>
        <w:rPr>
          <w:rFonts w:eastAsiaTheme="minorEastAsia" w:cstheme="minorBidi"/>
          <w:szCs w:val="22"/>
        </w:rPr>
      </w:pPr>
      <w:r>
        <w:t>F.1</w:t>
      </w:r>
      <w:r>
        <w:rPr>
          <w:rFonts w:eastAsiaTheme="minorEastAsia" w:cstheme="minorBidi"/>
          <w:szCs w:val="22"/>
        </w:rPr>
        <w:tab/>
      </w:r>
      <w:r>
        <w:t>AT information and advice resources</w:t>
      </w:r>
      <w:r>
        <w:tab/>
      </w:r>
      <w:r>
        <w:fldChar w:fldCharType="begin"/>
      </w:r>
      <w:r>
        <w:instrText xml:space="preserve"> PAGEREF _Toc60999870 \h </w:instrText>
      </w:r>
      <w:r>
        <w:fldChar w:fldCharType="separate"/>
      </w:r>
      <w:r w:rsidR="00EB1774">
        <w:t>132</w:t>
      </w:r>
      <w:r>
        <w:fldChar w:fldCharType="end"/>
      </w:r>
    </w:p>
    <w:p w14:paraId="1672850A" w14:textId="7F91B15F" w:rsidR="0061201F" w:rsidRDefault="0061201F">
      <w:pPr>
        <w:pStyle w:val="TOC1"/>
        <w:rPr>
          <w:rFonts w:eastAsiaTheme="minorEastAsia" w:cstheme="minorBidi"/>
          <w:b w:val="0"/>
          <w:color w:val="auto"/>
          <w:szCs w:val="22"/>
        </w:rPr>
      </w:pPr>
      <w:r>
        <w:t>Appendix G</w:t>
      </w:r>
      <w:r>
        <w:rPr>
          <w:rFonts w:eastAsiaTheme="minorEastAsia" w:cstheme="minorBidi"/>
          <w:b w:val="0"/>
          <w:color w:val="auto"/>
          <w:szCs w:val="22"/>
        </w:rPr>
        <w:tab/>
      </w:r>
      <w:r>
        <w:t>Alt text long descriptions</w:t>
      </w:r>
      <w:r>
        <w:tab/>
      </w:r>
      <w:r>
        <w:fldChar w:fldCharType="begin"/>
      </w:r>
      <w:r>
        <w:instrText xml:space="preserve"> PAGEREF _Toc60999871 \h </w:instrText>
      </w:r>
      <w:r>
        <w:fldChar w:fldCharType="separate"/>
      </w:r>
      <w:r w:rsidR="00EB1774">
        <w:t>137</w:t>
      </w:r>
      <w:r>
        <w:fldChar w:fldCharType="end"/>
      </w:r>
    </w:p>
    <w:p w14:paraId="42669E55" w14:textId="46FA83BF" w:rsidR="0061201F" w:rsidRDefault="0061201F">
      <w:pPr>
        <w:pStyle w:val="TOC1"/>
        <w:rPr>
          <w:rFonts w:eastAsiaTheme="minorEastAsia" w:cstheme="minorBidi"/>
          <w:b w:val="0"/>
          <w:color w:val="auto"/>
          <w:szCs w:val="22"/>
        </w:rPr>
      </w:pPr>
      <w:r>
        <w:t>Appendix H</w:t>
      </w:r>
      <w:r>
        <w:rPr>
          <w:rFonts w:eastAsiaTheme="minorEastAsia" w:cstheme="minorBidi"/>
          <w:b w:val="0"/>
          <w:color w:val="auto"/>
          <w:szCs w:val="22"/>
        </w:rPr>
        <w:tab/>
      </w:r>
      <w:r>
        <w:t>References</w:t>
      </w:r>
      <w:r>
        <w:tab/>
      </w:r>
      <w:r>
        <w:fldChar w:fldCharType="begin"/>
      </w:r>
      <w:r>
        <w:instrText xml:space="preserve"> PAGEREF _Toc60999872 \h </w:instrText>
      </w:r>
      <w:r>
        <w:fldChar w:fldCharType="separate"/>
      </w:r>
      <w:r w:rsidR="00EB1774">
        <w:t>139</w:t>
      </w:r>
      <w:r>
        <w:fldChar w:fldCharType="end"/>
      </w:r>
    </w:p>
    <w:p w14:paraId="05D91557" w14:textId="6E6B6CB9" w:rsidR="004511B3" w:rsidRPr="0073411B" w:rsidRDefault="004511B3" w:rsidP="0073411B">
      <w:r>
        <w:fldChar w:fldCharType="end"/>
      </w:r>
    </w:p>
    <w:p w14:paraId="51307314" w14:textId="77777777" w:rsidR="004511B3" w:rsidRPr="0073411B" w:rsidRDefault="004511B3" w:rsidP="0073411B">
      <w:r w:rsidRPr="0073411B">
        <w:br w:type="page"/>
      </w:r>
    </w:p>
    <w:p w14:paraId="7414613A" w14:textId="688C0613" w:rsidR="00B52D27" w:rsidRPr="00636B05" w:rsidRDefault="00B52D27" w:rsidP="004E2A0B">
      <w:pPr>
        <w:pStyle w:val="TOCHeading2"/>
      </w:pPr>
      <w:r w:rsidRPr="00636B05">
        <w:lastRenderedPageBreak/>
        <w:t>Tables</w:t>
      </w:r>
    </w:p>
    <w:p w14:paraId="70E93AEF" w14:textId="2536FEE2" w:rsidR="0061201F" w:rsidRDefault="00155D4F">
      <w:pPr>
        <w:pStyle w:val="TableofFigures"/>
        <w:rPr>
          <w:rFonts w:eastAsiaTheme="minorEastAsia" w:cstheme="minorBidi"/>
          <w:noProof/>
          <w:color w:val="auto"/>
          <w:szCs w:val="22"/>
          <w:lang w:val="en-AU" w:eastAsia="en-AU"/>
        </w:rPr>
      </w:pPr>
      <w:r w:rsidRPr="00636B05">
        <w:fldChar w:fldCharType="begin"/>
      </w:r>
      <w:r w:rsidRPr="00636B05">
        <w:instrText xml:space="preserve"> TOC \h \z \c "Table_Apx" </w:instrText>
      </w:r>
      <w:r w:rsidRPr="00636B05">
        <w:fldChar w:fldCharType="separate"/>
      </w:r>
      <w:hyperlink w:anchor="_Toc60999912" w:history="1">
        <w:r w:rsidR="0061201F" w:rsidRPr="00E83ADE">
          <w:rPr>
            <w:rStyle w:val="Hyperlink"/>
          </w:rPr>
          <w:t>Table A</w:t>
        </w:r>
        <w:r w:rsidR="0061201F" w:rsidRPr="00E83ADE">
          <w:rPr>
            <w:rStyle w:val="Hyperlink"/>
          </w:rPr>
          <w:noBreakHyphen/>
          <w:t>1:</w:t>
        </w:r>
        <w:r w:rsidR="0061201F">
          <w:rPr>
            <w:rFonts w:eastAsiaTheme="minorEastAsia" w:cstheme="minorBidi"/>
            <w:noProof/>
            <w:color w:val="auto"/>
            <w:szCs w:val="22"/>
            <w:lang w:val="en-AU" w:eastAsia="en-AU"/>
          </w:rPr>
          <w:tab/>
        </w:r>
        <w:r w:rsidR="0061201F" w:rsidRPr="00E83ADE">
          <w:rPr>
            <w:rStyle w:val="Hyperlink"/>
          </w:rPr>
          <w:t>Stakeholders consulted for the Review</w:t>
        </w:r>
        <w:r w:rsidR="0061201F">
          <w:rPr>
            <w:noProof/>
            <w:webHidden/>
          </w:rPr>
          <w:tab/>
        </w:r>
        <w:r w:rsidR="0061201F">
          <w:rPr>
            <w:noProof/>
            <w:webHidden/>
          </w:rPr>
          <w:fldChar w:fldCharType="begin"/>
        </w:r>
        <w:r w:rsidR="0061201F">
          <w:rPr>
            <w:noProof/>
            <w:webHidden/>
          </w:rPr>
          <w:instrText xml:space="preserve"> PAGEREF _Toc60999912 \h </w:instrText>
        </w:r>
        <w:r w:rsidR="0061201F">
          <w:rPr>
            <w:noProof/>
            <w:webHidden/>
          </w:rPr>
        </w:r>
        <w:r w:rsidR="0061201F">
          <w:rPr>
            <w:noProof/>
            <w:webHidden/>
          </w:rPr>
          <w:fldChar w:fldCharType="separate"/>
        </w:r>
        <w:r w:rsidR="00EB1774">
          <w:rPr>
            <w:noProof/>
            <w:webHidden/>
          </w:rPr>
          <w:t>8</w:t>
        </w:r>
        <w:r w:rsidR="0061201F">
          <w:rPr>
            <w:noProof/>
            <w:webHidden/>
          </w:rPr>
          <w:fldChar w:fldCharType="end"/>
        </w:r>
      </w:hyperlink>
    </w:p>
    <w:p w14:paraId="3E86D816" w14:textId="3946EEEE" w:rsidR="0061201F" w:rsidRDefault="0017021F">
      <w:pPr>
        <w:pStyle w:val="TableofFigures"/>
        <w:rPr>
          <w:rFonts w:eastAsiaTheme="minorEastAsia" w:cstheme="minorBidi"/>
          <w:noProof/>
          <w:color w:val="auto"/>
          <w:szCs w:val="22"/>
          <w:lang w:val="en-AU" w:eastAsia="en-AU"/>
        </w:rPr>
      </w:pPr>
      <w:hyperlink w:anchor="_Toc60999913" w:history="1">
        <w:r w:rsidR="0061201F" w:rsidRPr="00E83ADE">
          <w:rPr>
            <w:rStyle w:val="Hyperlink"/>
          </w:rPr>
          <w:t>Table A</w:t>
        </w:r>
        <w:r w:rsidR="0061201F" w:rsidRPr="00E83ADE">
          <w:rPr>
            <w:rStyle w:val="Hyperlink"/>
          </w:rPr>
          <w:noBreakHyphen/>
          <w:t>2:</w:t>
        </w:r>
        <w:r w:rsidR="0061201F">
          <w:rPr>
            <w:rFonts w:eastAsiaTheme="minorEastAsia" w:cstheme="minorBidi"/>
            <w:noProof/>
            <w:color w:val="auto"/>
            <w:szCs w:val="22"/>
            <w:lang w:val="en-AU" w:eastAsia="en-AU"/>
          </w:rPr>
          <w:tab/>
        </w:r>
        <w:r w:rsidR="0061201F" w:rsidRPr="00E83ADE">
          <w:rPr>
            <w:rStyle w:val="Hyperlink"/>
          </w:rPr>
          <w:t>ABS SDAC limitation category definitions and relevance in aged care programs</w:t>
        </w:r>
        <w:r w:rsidR="0061201F">
          <w:rPr>
            <w:noProof/>
            <w:webHidden/>
          </w:rPr>
          <w:tab/>
        </w:r>
        <w:r w:rsidR="0061201F">
          <w:rPr>
            <w:noProof/>
            <w:webHidden/>
          </w:rPr>
          <w:fldChar w:fldCharType="begin"/>
        </w:r>
        <w:r w:rsidR="0061201F">
          <w:rPr>
            <w:noProof/>
            <w:webHidden/>
          </w:rPr>
          <w:instrText xml:space="preserve"> PAGEREF _Toc60999913 \h </w:instrText>
        </w:r>
        <w:r w:rsidR="0061201F">
          <w:rPr>
            <w:noProof/>
            <w:webHidden/>
          </w:rPr>
        </w:r>
        <w:r w:rsidR="0061201F">
          <w:rPr>
            <w:noProof/>
            <w:webHidden/>
          </w:rPr>
          <w:fldChar w:fldCharType="separate"/>
        </w:r>
        <w:r w:rsidR="00EB1774">
          <w:rPr>
            <w:noProof/>
            <w:webHidden/>
          </w:rPr>
          <w:t>11</w:t>
        </w:r>
        <w:r w:rsidR="0061201F">
          <w:rPr>
            <w:noProof/>
            <w:webHidden/>
          </w:rPr>
          <w:fldChar w:fldCharType="end"/>
        </w:r>
      </w:hyperlink>
    </w:p>
    <w:p w14:paraId="561CA82C" w14:textId="146CF38A" w:rsidR="0061201F" w:rsidRDefault="0017021F">
      <w:pPr>
        <w:pStyle w:val="TableofFigures"/>
        <w:rPr>
          <w:rFonts w:eastAsiaTheme="minorEastAsia" w:cstheme="minorBidi"/>
          <w:noProof/>
          <w:color w:val="auto"/>
          <w:szCs w:val="22"/>
          <w:lang w:val="en-AU" w:eastAsia="en-AU"/>
        </w:rPr>
      </w:pPr>
      <w:hyperlink w:anchor="_Toc60999914" w:history="1">
        <w:r w:rsidR="0061201F" w:rsidRPr="00E83ADE">
          <w:rPr>
            <w:rStyle w:val="Hyperlink"/>
          </w:rPr>
          <w:t>Table A</w:t>
        </w:r>
        <w:r w:rsidR="0061201F" w:rsidRPr="00E83ADE">
          <w:rPr>
            <w:rStyle w:val="Hyperlink"/>
          </w:rPr>
          <w:noBreakHyphen/>
          <w:t>3:</w:t>
        </w:r>
        <w:r w:rsidR="0061201F">
          <w:rPr>
            <w:rFonts w:eastAsiaTheme="minorEastAsia" w:cstheme="minorBidi"/>
            <w:noProof/>
            <w:color w:val="auto"/>
            <w:szCs w:val="22"/>
            <w:lang w:val="en-AU" w:eastAsia="en-AU"/>
          </w:rPr>
          <w:tab/>
        </w:r>
        <w:r w:rsidR="0061201F" w:rsidRPr="00E83ADE">
          <w:rPr>
            <w:rStyle w:val="Hyperlink"/>
          </w:rPr>
          <w:t>AT kits description</w:t>
        </w:r>
        <w:r w:rsidR="0061201F">
          <w:rPr>
            <w:noProof/>
            <w:webHidden/>
          </w:rPr>
          <w:tab/>
        </w:r>
        <w:r w:rsidR="0061201F">
          <w:rPr>
            <w:noProof/>
            <w:webHidden/>
          </w:rPr>
          <w:fldChar w:fldCharType="begin"/>
        </w:r>
        <w:r w:rsidR="0061201F">
          <w:rPr>
            <w:noProof/>
            <w:webHidden/>
          </w:rPr>
          <w:instrText xml:space="preserve"> PAGEREF _Toc60999914 \h </w:instrText>
        </w:r>
        <w:r w:rsidR="0061201F">
          <w:rPr>
            <w:noProof/>
            <w:webHidden/>
          </w:rPr>
        </w:r>
        <w:r w:rsidR="0061201F">
          <w:rPr>
            <w:noProof/>
            <w:webHidden/>
          </w:rPr>
          <w:fldChar w:fldCharType="separate"/>
        </w:r>
        <w:r w:rsidR="00EB1774">
          <w:rPr>
            <w:noProof/>
            <w:webHidden/>
          </w:rPr>
          <w:t>14</w:t>
        </w:r>
        <w:r w:rsidR="0061201F">
          <w:rPr>
            <w:noProof/>
            <w:webHidden/>
          </w:rPr>
          <w:fldChar w:fldCharType="end"/>
        </w:r>
      </w:hyperlink>
    </w:p>
    <w:p w14:paraId="246C7435" w14:textId="33485B91" w:rsidR="0061201F" w:rsidRDefault="0017021F">
      <w:pPr>
        <w:pStyle w:val="TableofFigures"/>
        <w:rPr>
          <w:rFonts w:eastAsiaTheme="minorEastAsia" w:cstheme="minorBidi"/>
          <w:noProof/>
          <w:color w:val="auto"/>
          <w:szCs w:val="22"/>
          <w:lang w:val="en-AU" w:eastAsia="en-AU"/>
        </w:rPr>
      </w:pPr>
      <w:hyperlink w:anchor="_Toc60999915" w:history="1">
        <w:r w:rsidR="0061201F" w:rsidRPr="00E83ADE">
          <w:rPr>
            <w:rStyle w:val="Hyperlink"/>
          </w:rPr>
          <w:t>Table A</w:t>
        </w:r>
        <w:r w:rsidR="0061201F" w:rsidRPr="00E83ADE">
          <w:rPr>
            <w:rStyle w:val="Hyperlink"/>
          </w:rPr>
          <w:noBreakHyphen/>
          <w:t>4:</w:t>
        </w:r>
        <w:r w:rsidR="0061201F">
          <w:rPr>
            <w:rFonts w:eastAsiaTheme="minorEastAsia" w:cstheme="minorBidi"/>
            <w:noProof/>
            <w:color w:val="auto"/>
            <w:szCs w:val="22"/>
            <w:lang w:val="en-AU" w:eastAsia="en-AU"/>
          </w:rPr>
          <w:tab/>
        </w:r>
        <w:r w:rsidR="0061201F" w:rsidRPr="00E83ADE">
          <w:rPr>
            <w:rStyle w:val="Hyperlink"/>
          </w:rPr>
          <w:t>ADL kits description</w:t>
        </w:r>
        <w:r w:rsidR="0061201F">
          <w:rPr>
            <w:noProof/>
            <w:webHidden/>
          </w:rPr>
          <w:tab/>
        </w:r>
        <w:r w:rsidR="0061201F">
          <w:rPr>
            <w:noProof/>
            <w:webHidden/>
          </w:rPr>
          <w:fldChar w:fldCharType="begin"/>
        </w:r>
        <w:r w:rsidR="0061201F">
          <w:rPr>
            <w:noProof/>
            <w:webHidden/>
          </w:rPr>
          <w:instrText xml:space="preserve"> PAGEREF _Toc60999915 \h </w:instrText>
        </w:r>
        <w:r w:rsidR="0061201F">
          <w:rPr>
            <w:noProof/>
            <w:webHidden/>
          </w:rPr>
        </w:r>
        <w:r w:rsidR="0061201F">
          <w:rPr>
            <w:noProof/>
            <w:webHidden/>
          </w:rPr>
          <w:fldChar w:fldCharType="separate"/>
        </w:r>
        <w:r w:rsidR="00EB1774">
          <w:rPr>
            <w:noProof/>
            <w:webHidden/>
          </w:rPr>
          <w:t>16</w:t>
        </w:r>
        <w:r w:rsidR="0061201F">
          <w:rPr>
            <w:noProof/>
            <w:webHidden/>
          </w:rPr>
          <w:fldChar w:fldCharType="end"/>
        </w:r>
      </w:hyperlink>
    </w:p>
    <w:p w14:paraId="6FB2CF05" w14:textId="2953F6E8" w:rsidR="0061201F" w:rsidRDefault="0017021F">
      <w:pPr>
        <w:pStyle w:val="TableofFigures"/>
        <w:rPr>
          <w:rFonts w:eastAsiaTheme="minorEastAsia" w:cstheme="minorBidi"/>
          <w:noProof/>
          <w:color w:val="auto"/>
          <w:szCs w:val="22"/>
          <w:lang w:val="en-AU" w:eastAsia="en-AU"/>
        </w:rPr>
      </w:pPr>
      <w:hyperlink w:anchor="_Toc60999916" w:history="1">
        <w:r w:rsidR="0061201F" w:rsidRPr="00E83ADE">
          <w:rPr>
            <w:rStyle w:val="Hyperlink"/>
          </w:rPr>
          <w:t>Table A</w:t>
        </w:r>
        <w:r w:rsidR="0061201F" w:rsidRPr="00E83ADE">
          <w:rPr>
            <w:rStyle w:val="Hyperlink"/>
          </w:rPr>
          <w:noBreakHyphen/>
          <w:t>5:</w:t>
        </w:r>
        <w:r w:rsidR="0061201F">
          <w:rPr>
            <w:rFonts w:eastAsiaTheme="minorEastAsia" w:cstheme="minorBidi"/>
            <w:noProof/>
            <w:color w:val="auto"/>
            <w:szCs w:val="22"/>
            <w:lang w:val="en-AU" w:eastAsia="en-AU"/>
          </w:rPr>
          <w:tab/>
        </w:r>
        <w:r w:rsidR="0061201F" w:rsidRPr="00E83ADE">
          <w:rPr>
            <w:rStyle w:val="Hyperlink"/>
          </w:rPr>
          <w:t>National total cost of AT Products</w:t>
        </w:r>
        <w:r w:rsidR="0061201F">
          <w:rPr>
            <w:noProof/>
            <w:webHidden/>
          </w:rPr>
          <w:tab/>
        </w:r>
        <w:r w:rsidR="0061201F">
          <w:rPr>
            <w:noProof/>
            <w:webHidden/>
          </w:rPr>
          <w:fldChar w:fldCharType="begin"/>
        </w:r>
        <w:r w:rsidR="0061201F">
          <w:rPr>
            <w:noProof/>
            <w:webHidden/>
          </w:rPr>
          <w:instrText xml:space="preserve"> PAGEREF _Toc60999916 \h </w:instrText>
        </w:r>
        <w:r w:rsidR="0061201F">
          <w:rPr>
            <w:noProof/>
            <w:webHidden/>
          </w:rPr>
        </w:r>
        <w:r w:rsidR="0061201F">
          <w:rPr>
            <w:noProof/>
            <w:webHidden/>
          </w:rPr>
          <w:fldChar w:fldCharType="separate"/>
        </w:r>
        <w:r w:rsidR="00EB1774">
          <w:rPr>
            <w:noProof/>
            <w:webHidden/>
          </w:rPr>
          <w:t>19</w:t>
        </w:r>
        <w:r w:rsidR="0061201F">
          <w:rPr>
            <w:noProof/>
            <w:webHidden/>
          </w:rPr>
          <w:fldChar w:fldCharType="end"/>
        </w:r>
      </w:hyperlink>
    </w:p>
    <w:p w14:paraId="39BCF4BE" w14:textId="052590E8" w:rsidR="0061201F" w:rsidRDefault="0017021F">
      <w:pPr>
        <w:pStyle w:val="TableofFigures"/>
        <w:rPr>
          <w:rFonts w:eastAsiaTheme="minorEastAsia" w:cstheme="minorBidi"/>
          <w:noProof/>
          <w:color w:val="auto"/>
          <w:szCs w:val="22"/>
          <w:lang w:val="en-AU" w:eastAsia="en-AU"/>
        </w:rPr>
      </w:pPr>
      <w:hyperlink w:anchor="_Toc60999917" w:history="1">
        <w:r w:rsidR="0061201F" w:rsidRPr="00E83ADE">
          <w:rPr>
            <w:rStyle w:val="Hyperlink"/>
          </w:rPr>
          <w:t>Table A</w:t>
        </w:r>
        <w:r w:rsidR="0061201F" w:rsidRPr="00E83ADE">
          <w:rPr>
            <w:rStyle w:val="Hyperlink"/>
          </w:rPr>
          <w:noBreakHyphen/>
          <w:t>6:</w:t>
        </w:r>
        <w:r w:rsidR="0061201F">
          <w:rPr>
            <w:rFonts w:eastAsiaTheme="minorEastAsia" w:cstheme="minorBidi"/>
            <w:noProof/>
            <w:color w:val="auto"/>
            <w:szCs w:val="22"/>
            <w:lang w:val="en-AU" w:eastAsia="en-AU"/>
          </w:rPr>
          <w:tab/>
        </w:r>
        <w:r w:rsidR="0061201F" w:rsidRPr="00E83ADE">
          <w:rPr>
            <w:rStyle w:val="Hyperlink"/>
          </w:rPr>
          <w:t>Consumers outside of aged care and in aged care programs</w:t>
        </w:r>
        <w:r w:rsidR="0061201F">
          <w:rPr>
            <w:noProof/>
            <w:webHidden/>
          </w:rPr>
          <w:tab/>
        </w:r>
        <w:r w:rsidR="0061201F">
          <w:rPr>
            <w:noProof/>
            <w:webHidden/>
          </w:rPr>
          <w:fldChar w:fldCharType="begin"/>
        </w:r>
        <w:r w:rsidR="0061201F">
          <w:rPr>
            <w:noProof/>
            <w:webHidden/>
          </w:rPr>
          <w:instrText xml:space="preserve"> PAGEREF _Toc60999917 \h </w:instrText>
        </w:r>
        <w:r w:rsidR="0061201F">
          <w:rPr>
            <w:noProof/>
            <w:webHidden/>
          </w:rPr>
        </w:r>
        <w:r w:rsidR="0061201F">
          <w:rPr>
            <w:noProof/>
            <w:webHidden/>
          </w:rPr>
          <w:fldChar w:fldCharType="separate"/>
        </w:r>
        <w:r w:rsidR="00EB1774">
          <w:rPr>
            <w:noProof/>
            <w:webHidden/>
          </w:rPr>
          <w:t>20</w:t>
        </w:r>
        <w:r w:rsidR="0061201F">
          <w:rPr>
            <w:noProof/>
            <w:webHidden/>
          </w:rPr>
          <w:fldChar w:fldCharType="end"/>
        </w:r>
      </w:hyperlink>
    </w:p>
    <w:p w14:paraId="2105F5AA" w14:textId="3A848A4F" w:rsidR="0061201F" w:rsidRDefault="0017021F">
      <w:pPr>
        <w:pStyle w:val="TableofFigures"/>
        <w:rPr>
          <w:rFonts w:eastAsiaTheme="minorEastAsia" w:cstheme="minorBidi"/>
          <w:noProof/>
          <w:color w:val="auto"/>
          <w:szCs w:val="22"/>
          <w:lang w:val="en-AU" w:eastAsia="en-AU"/>
        </w:rPr>
      </w:pPr>
      <w:hyperlink w:anchor="_Toc60999918" w:history="1">
        <w:r w:rsidR="0061201F" w:rsidRPr="00E83ADE">
          <w:rPr>
            <w:rStyle w:val="Hyperlink"/>
          </w:rPr>
          <w:t>Table A</w:t>
        </w:r>
        <w:r w:rsidR="0061201F" w:rsidRPr="00E83ADE">
          <w:rPr>
            <w:rStyle w:val="Hyperlink"/>
          </w:rPr>
          <w:noBreakHyphen/>
          <w:t>7:</w:t>
        </w:r>
        <w:r w:rsidR="0061201F">
          <w:rPr>
            <w:rFonts w:eastAsiaTheme="minorEastAsia" w:cstheme="minorBidi"/>
            <w:noProof/>
            <w:color w:val="auto"/>
            <w:szCs w:val="22"/>
            <w:lang w:val="en-AU" w:eastAsia="en-AU"/>
          </w:rPr>
          <w:tab/>
        </w:r>
        <w:r w:rsidR="0061201F" w:rsidRPr="00E83ADE">
          <w:rPr>
            <w:rStyle w:val="Hyperlink"/>
          </w:rPr>
          <w:t>Delphi consensus</w:t>
        </w:r>
        <w:r w:rsidR="0061201F">
          <w:rPr>
            <w:noProof/>
            <w:webHidden/>
          </w:rPr>
          <w:tab/>
        </w:r>
        <w:r w:rsidR="0061201F">
          <w:rPr>
            <w:noProof/>
            <w:webHidden/>
          </w:rPr>
          <w:fldChar w:fldCharType="begin"/>
        </w:r>
        <w:r w:rsidR="0061201F">
          <w:rPr>
            <w:noProof/>
            <w:webHidden/>
          </w:rPr>
          <w:instrText xml:space="preserve"> PAGEREF _Toc60999918 \h </w:instrText>
        </w:r>
        <w:r w:rsidR="0061201F">
          <w:rPr>
            <w:noProof/>
            <w:webHidden/>
          </w:rPr>
        </w:r>
        <w:r w:rsidR="0061201F">
          <w:rPr>
            <w:noProof/>
            <w:webHidden/>
          </w:rPr>
          <w:fldChar w:fldCharType="separate"/>
        </w:r>
        <w:r w:rsidR="00EB1774">
          <w:rPr>
            <w:noProof/>
            <w:webHidden/>
          </w:rPr>
          <w:t>25</w:t>
        </w:r>
        <w:r w:rsidR="0061201F">
          <w:rPr>
            <w:noProof/>
            <w:webHidden/>
          </w:rPr>
          <w:fldChar w:fldCharType="end"/>
        </w:r>
      </w:hyperlink>
    </w:p>
    <w:p w14:paraId="7CAE5006" w14:textId="5C90E7CF" w:rsidR="0061201F" w:rsidRDefault="0017021F">
      <w:pPr>
        <w:pStyle w:val="TableofFigures"/>
        <w:rPr>
          <w:rFonts w:eastAsiaTheme="minorEastAsia" w:cstheme="minorBidi"/>
          <w:noProof/>
          <w:color w:val="auto"/>
          <w:szCs w:val="22"/>
          <w:lang w:val="en-AU" w:eastAsia="en-AU"/>
        </w:rPr>
      </w:pPr>
      <w:hyperlink w:anchor="_Toc60999919" w:history="1">
        <w:r w:rsidR="0061201F" w:rsidRPr="00E83ADE">
          <w:rPr>
            <w:rStyle w:val="Hyperlink"/>
          </w:rPr>
          <w:t>Table A</w:t>
        </w:r>
        <w:r w:rsidR="0061201F" w:rsidRPr="00E83ADE">
          <w:rPr>
            <w:rStyle w:val="Hyperlink"/>
          </w:rPr>
          <w:noBreakHyphen/>
          <w:t>8:</w:t>
        </w:r>
        <w:r w:rsidR="0061201F">
          <w:rPr>
            <w:rFonts w:eastAsiaTheme="minorEastAsia" w:cstheme="minorBidi"/>
            <w:noProof/>
            <w:color w:val="auto"/>
            <w:szCs w:val="22"/>
            <w:lang w:val="en-AU" w:eastAsia="en-AU"/>
          </w:rPr>
          <w:tab/>
        </w:r>
        <w:r w:rsidR="0061201F" w:rsidRPr="00E83ADE">
          <w:rPr>
            <w:rStyle w:val="Hyperlink"/>
          </w:rPr>
          <w:t>Cost-benefit based on the combined cost of AT products, kits and AT services</w:t>
        </w:r>
        <w:r w:rsidR="0061201F">
          <w:rPr>
            <w:noProof/>
            <w:webHidden/>
          </w:rPr>
          <w:tab/>
        </w:r>
        <w:r w:rsidR="0061201F">
          <w:rPr>
            <w:noProof/>
            <w:webHidden/>
          </w:rPr>
          <w:fldChar w:fldCharType="begin"/>
        </w:r>
        <w:r w:rsidR="0061201F">
          <w:rPr>
            <w:noProof/>
            <w:webHidden/>
          </w:rPr>
          <w:instrText xml:space="preserve"> PAGEREF _Toc60999919 \h </w:instrText>
        </w:r>
        <w:r w:rsidR="0061201F">
          <w:rPr>
            <w:noProof/>
            <w:webHidden/>
          </w:rPr>
        </w:r>
        <w:r w:rsidR="0061201F">
          <w:rPr>
            <w:noProof/>
            <w:webHidden/>
          </w:rPr>
          <w:fldChar w:fldCharType="separate"/>
        </w:r>
        <w:r w:rsidR="00EB1774">
          <w:rPr>
            <w:noProof/>
            <w:webHidden/>
          </w:rPr>
          <w:t>26</w:t>
        </w:r>
        <w:r w:rsidR="0061201F">
          <w:rPr>
            <w:noProof/>
            <w:webHidden/>
          </w:rPr>
          <w:fldChar w:fldCharType="end"/>
        </w:r>
      </w:hyperlink>
    </w:p>
    <w:p w14:paraId="4640EB25" w14:textId="7DE47940" w:rsidR="0061201F" w:rsidRDefault="0017021F">
      <w:pPr>
        <w:pStyle w:val="TableofFigures"/>
        <w:rPr>
          <w:rFonts w:eastAsiaTheme="minorEastAsia" w:cstheme="minorBidi"/>
          <w:noProof/>
          <w:color w:val="auto"/>
          <w:szCs w:val="22"/>
          <w:lang w:val="en-AU" w:eastAsia="en-AU"/>
        </w:rPr>
      </w:pPr>
      <w:hyperlink w:anchor="_Toc60999920" w:history="1">
        <w:r w:rsidR="0061201F" w:rsidRPr="00E83ADE">
          <w:rPr>
            <w:rStyle w:val="Hyperlink"/>
          </w:rPr>
          <w:t>Table A</w:t>
        </w:r>
        <w:r w:rsidR="0061201F" w:rsidRPr="00E83ADE">
          <w:rPr>
            <w:rStyle w:val="Hyperlink"/>
          </w:rPr>
          <w:noBreakHyphen/>
          <w:t>9:</w:t>
        </w:r>
        <w:r w:rsidR="0061201F">
          <w:rPr>
            <w:rFonts w:eastAsiaTheme="minorEastAsia" w:cstheme="minorBidi"/>
            <w:noProof/>
            <w:color w:val="auto"/>
            <w:szCs w:val="22"/>
            <w:lang w:val="en-AU" w:eastAsia="en-AU"/>
          </w:rPr>
          <w:tab/>
        </w:r>
        <w:r w:rsidR="0061201F" w:rsidRPr="00E83ADE">
          <w:rPr>
            <w:rStyle w:val="Hyperlink"/>
          </w:rPr>
          <w:t>Product options – consumer numbers and annual cost</w:t>
        </w:r>
        <w:r w:rsidR="0061201F">
          <w:rPr>
            <w:noProof/>
            <w:webHidden/>
          </w:rPr>
          <w:tab/>
        </w:r>
        <w:r w:rsidR="0061201F">
          <w:rPr>
            <w:noProof/>
            <w:webHidden/>
          </w:rPr>
          <w:fldChar w:fldCharType="begin"/>
        </w:r>
        <w:r w:rsidR="0061201F">
          <w:rPr>
            <w:noProof/>
            <w:webHidden/>
          </w:rPr>
          <w:instrText xml:space="preserve"> PAGEREF _Toc60999920 \h </w:instrText>
        </w:r>
        <w:r w:rsidR="0061201F">
          <w:rPr>
            <w:noProof/>
            <w:webHidden/>
          </w:rPr>
        </w:r>
        <w:r w:rsidR="0061201F">
          <w:rPr>
            <w:noProof/>
            <w:webHidden/>
          </w:rPr>
          <w:fldChar w:fldCharType="separate"/>
        </w:r>
        <w:r w:rsidR="00EB1774">
          <w:rPr>
            <w:noProof/>
            <w:webHidden/>
          </w:rPr>
          <w:t>27</w:t>
        </w:r>
        <w:r w:rsidR="0061201F">
          <w:rPr>
            <w:noProof/>
            <w:webHidden/>
          </w:rPr>
          <w:fldChar w:fldCharType="end"/>
        </w:r>
      </w:hyperlink>
    </w:p>
    <w:p w14:paraId="4389B2BF" w14:textId="190D948C" w:rsidR="0061201F" w:rsidRDefault="0017021F">
      <w:pPr>
        <w:pStyle w:val="TableofFigures"/>
        <w:rPr>
          <w:rFonts w:eastAsiaTheme="minorEastAsia" w:cstheme="minorBidi"/>
          <w:noProof/>
          <w:color w:val="auto"/>
          <w:szCs w:val="22"/>
          <w:lang w:val="en-AU" w:eastAsia="en-AU"/>
        </w:rPr>
      </w:pPr>
      <w:hyperlink w:anchor="_Toc60999921" w:history="1">
        <w:r w:rsidR="0061201F" w:rsidRPr="00E83ADE">
          <w:rPr>
            <w:rStyle w:val="Hyperlink"/>
          </w:rPr>
          <w:t>Table A</w:t>
        </w:r>
        <w:r w:rsidR="0061201F" w:rsidRPr="00E83ADE">
          <w:rPr>
            <w:rStyle w:val="Hyperlink"/>
          </w:rPr>
          <w:noBreakHyphen/>
          <w:t>10:</w:t>
        </w:r>
        <w:r w:rsidR="0061201F">
          <w:rPr>
            <w:rFonts w:eastAsiaTheme="minorEastAsia" w:cstheme="minorBidi"/>
            <w:noProof/>
            <w:color w:val="auto"/>
            <w:szCs w:val="22"/>
            <w:lang w:val="en-AU" w:eastAsia="en-AU"/>
          </w:rPr>
          <w:tab/>
        </w:r>
        <w:r w:rsidR="0061201F" w:rsidRPr="00E83ADE">
          <w:rPr>
            <w:rStyle w:val="Hyperlink"/>
          </w:rPr>
          <w:t>Key estimates assumptions</w:t>
        </w:r>
        <w:r w:rsidR="0061201F">
          <w:rPr>
            <w:noProof/>
            <w:webHidden/>
          </w:rPr>
          <w:tab/>
        </w:r>
        <w:r w:rsidR="0061201F">
          <w:rPr>
            <w:noProof/>
            <w:webHidden/>
          </w:rPr>
          <w:fldChar w:fldCharType="begin"/>
        </w:r>
        <w:r w:rsidR="0061201F">
          <w:rPr>
            <w:noProof/>
            <w:webHidden/>
          </w:rPr>
          <w:instrText xml:space="preserve"> PAGEREF _Toc60999921 \h </w:instrText>
        </w:r>
        <w:r w:rsidR="0061201F">
          <w:rPr>
            <w:noProof/>
            <w:webHidden/>
          </w:rPr>
        </w:r>
        <w:r w:rsidR="0061201F">
          <w:rPr>
            <w:noProof/>
            <w:webHidden/>
          </w:rPr>
          <w:fldChar w:fldCharType="separate"/>
        </w:r>
        <w:r w:rsidR="00EB1774">
          <w:rPr>
            <w:noProof/>
            <w:webHidden/>
          </w:rPr>
          <w:t>28</w:t>
        </w:r>
        <w:r w:rsidR="0061201F">
          <w:rPr>
            <w:noProof/>
            <w:webHidden/>
          </w:rPr>
          <w:fldChar w:fldCharType="end"/>
        </w:r>
      </w:hyperlink>
    </w:p>
    <w:p w14:paraId="149B2E18" w14:textId="144DBC76" w:rsidR="0061201F" w:rsidRDefault="0017021F">
      <w:pPr>
        <w:pStyle w:val="TableofFigures"/>
        <w:rPr>
          <w:rFonts w:eastAsiaTheme="minorEastAsia" w:cstheme="minorBidi"/>
          <w:noProof/>
          <w:color w:val="auto"/>
          <w:szCs w:val="22"/>
          <w:lang w:val="en-AU" w:eastAsia="en-AU"/>
        </w:rPr>
      </w:pPr>
      <w:hyperlink w:anchor="_Toc60999922" w:history="1">
        <w:r w:rsidR="0061201F" w:rsidRPr="00E83ADE">
          <w:rPr>
            <w:rStyle w:val="Hyperlink"/>
          </w:rPr>
          <w:t>Table A</w:t>
        </w:r>
        <w:r w:rsidR="0061201F" w:rsidRPr="00E83ADE">
          <w:rPr>
            <w:rStyle w:val="Hyperlink"/>
          </w:rPr>
          <w:noBreakHyphen/>
          <w:t>11:</w:t>
        </w:r>
        <w:r w:rsidR="0061201F">
          <w:rPr>
            <w:rFonts w:eastAsiaTheme="minorEastAsia" w:cstheme="minorBidi"/>
            <w:noProof/>
            <w:color w:val="auto"/>
            <w:szCs w:val="22"/>
            <w:lang w:val="en-AU" w:eastAsia="en-AU"/>
          </w:rPr>
          <w:tab/>
        </w:r>
        <w:r w:rsidR="0061201F" w:rsidRPr="00E83ADE">
          <w:rPr>
            <w:rStyle w:val="Hyperlink"/>
          </w:rPr>
          <w:t>Key estimates limitations</w:t>
        </w:r>
        <w:r w:rsidR="0061201F">
          <w:rPr>
            <w:noProof/>
            <w:webHidden/>
          </w:rPr>
          <w:tab/>
        </w:r>
        <w:r w:rsidR="0061201F">
          <w:rPr>
            <w:noProof/>
            <w:webHidden/>
          </w:rPr>
          <w:fldChar w:fldCharType="begin"/>
        </w:r>
        <w:r w:rsidR="0061201F">
          <w:rPr>
            <w:noProof/>
            <w:webHidden/>
          </w:rPr>
          <w:instrText xml:space="preserve"> PAGEREF _Toc60999922 \h </w:instrText>
        </w:r>
        <w:r w:rsidR="0061201F">
          <w:rPr>
            <w:noProof/>
            <w:webHidden/>
          </w:rPr>
        </w:r>
        <w:r w:rsidR="0061201F">
          <w:rPr>
            <w:noProof/>
            <w:webHidden/>
          </w:rPr>
          <w:fldChar w:fldCharType="separate"/>
        </w:r>
        <w:r w:rsidR="00EB1774">
          <w:rPr>
            <w:noProof/>
            <w:webHidden/>
          </w:rPr>
          <w:t>28</w:t>
        </w:r>
        <w:r w:rsidR="0061201F">
          <w:rPr>
            <w:noProof/>
            <w:webHidden/>
          </w:rPr>
          <w:fldChar w:fldCharType="end"/>
        </w:r>
      </w:hyperlink>
    </w:p>
    <w:p w14:paraId="204406FE" w14:textId="10369B23" w:rsidR="0061201F" w:rsidRDefault="0017021F">
      <w:pPr>
        <w:pStyle w:val="TableofFigures"/>
        <w:rPr>
          <w:rFonts w:eastAsiaTheme="minorEastAsia" w:cstheme="minorBidi"/>
          <w:noProof/>
          <w:color w:val="auto"/>
          <w:szCs w:val="22"/>
          <w:lang w:val="en-AU" w:eastAsia="en-AU"/>
        </w:rPr>
      </w:pPr>
      <w:hyperlink w:anchor="_Toc60999923" w:history="1">
        <w:r w:rsidR="0061201F" w:rsidRPr="00E83ADE">
          <w:rPr>
            <w:rStyle w:val="Hyperlink"/>
          </w:rPr>
          <w:t>Table A</w:t>
        </w:r>
        <w:r w:rsidR="0061201F" w:rsidRPr="00E83ADE">
          <w:rPr>
            <w:rStyle w:val="Hyperlink"/>
          </w:rPr>
          <w:noBreakHyphen/>
          <w:t>12:</w:t>
        </w:r>
        <w:r w:rsidR="0061201F">
          <w:rPr>
            <w:rFonts w:eastAsiaTheme="minorEastAsia" w:cstheme="minorBidi"/>
            <w:noProof/>
            <w:color w:val="auto"/>
            <w:szCs w:val="22"/>
            <w:lang w:val="en-AU" w:eastAsia="en-AU"/>
          </w:rPr>
          <w:tab/>
        </w:r>
        <w:r w:rsidR="0061201F" w:rsidRPr="00E83ADE">
          <w:rPr>
            <w:rStyle w:val="Hyperlink"/>
          </w:rPr>
          <w:t>General assumptions</w:t>
        </w:r>
        <w:r w:rsidR="0061201F">
          <w:rPr>
            <w:noProof/>
            <w:webHidden/>
          </w:rPr>
          <w:tab/>
        </w:r>
        <w:r w:rsidR="0061201F">
          <w:rPr>
            <w:noProof/>
            <w:webHidden/>
          </w:rPr>
          <w:fldChar w:fldCharType="begin"/>
        </w:r>
        <w:r w:rsidR="0061201F">
          <w:rPr>
            <w:noProof/>
            <w:webHidden/>
          </w:rPr>
          <w:instrText xml:space="preserve"> PAGEREF _Toc60999923 \h </w:instrText>
        </w:r>
        <w:r w:rsidR="0061201F">
          <w:rPr>
            <w:noProof/>
            <w:webHidden/>
          </w:rPr>
        </w:r>
        <w:r w:rsidR="0061201F">
          <w:rPr>
            <w:noProof/>
            <w:webHidden/>
          </w:rPr>
          <w:fldChar w:fldCharType="separate"/>
        </w:r>
        <w:r w:rsidR="00EB1774">
          <w:rPr>
            <w:noProof/>
            <w:webHidden/>
          </w:rPr>
          <w:t>29</w:t>
        </w:r>
        <w:r w:rsidR="0061201F">
          <w:rPr>
            <w:noProof/>
            <w:webHidden/>
          </w:rPr>
          <w:fldChar w:fldCharType="end"/>
        </w:r>
      </w:hyperlink>
    </w:p>
    <w:p w14:paraId="6CCD018E" w14:textId="4A2FEDD8" w:rsidR="0061201F" w:rsidRDefault="0017021F">
      <w:pPr>
        <w:pStyle w:val="TableofFigures"/>
        <w:rPr>
          <w:rFonts w:eastAsiaTheme="minorEastAsia" w:cstheme="minorBidi"/>
          <w:noProof/>
          <w:color w:val="auto"/>
          <w:szCs w:val="22"/>
          <w:lang w:val="en-AU" w:eastAsia="en-AU"/>
        </w:rPr>
      </w:pPr>
      <w:hyperlink w:anchor="_Toc60999924" w:history="1">
        <w:r w:rsidR="0061201F" w:rsidRPr="00E83ADE">
          <w:rPr>
            <w:rStyle w:val="Hyperlink"/>
          </w:rPr>
          <w:t>Table A</w:t>
        </w:r>
        <w:r w:rsidR="0061201F" w:rsidRPr="00E83ADE">
          <w:rPr>
            <w:rStyle w:val="Hyperlink"/>
          </w:rPr>
          <w:noBreakHyphen/>
          <w:t>13:</w:t>
        </w:r>
        <w:r w:rsidR="0061201F">
          <w:rPr>
            <w:rFonts w:eastAsiaTheme="minorEastAsia" w:cstheme="minorBidi"/>
            <w:noProof/>
            <w:color w:val="auto"/>
            <w:szCs w:val="22"/>
            <w:lang w:val="en-AU" w:eastAsia="en-AU"/>
          </w:rPr>
          <w:tab/>
        </w:r>
        <w:r w:rsidR="0061201F" w:rsidRPr="00E83ADE">
          <w:rPr>
            <w:rStyle w:val="Hyperlink"/>
          </w:rPr>
          <w:t>Cost assumptions</w:t>
        </w:r>
        <w:r w:rsidR="0061201F">
          <w:rPr>
            <w:noProof/>
            <w:webHidden/>
          </w:rPr>
          <w:tab/>
        </w:r>
        <w:r w:rsidR="0061201F">
          <w:rPr>
            <w:noProof/>
            <w:webHidden/>
          </w:rPr>
          <w:fldChar w:fldCharType="begin"/>
        </w:r>
        <w:r w:rsidR="0061201F">
          <w:rPr>
            <w:noProof/>
            <w:webHidden/>
          </w:rPr>
          <w:instrText xml:space="preserve"> PAGEREF _Toc60999924 \h </w:instrText>
        </w:r>
        <w:r w:rsidR="0061201F">
          <w:rPr>
            <w:noProof/>
            <w:webHidden/>
          </w:rPr>
        </w:r>
        <w:r w:rsidR="0061201F">
          <w:rPr>
            <w:noProof/>
            <w:webHidden/>
          </w:rPr>
          <w:fldChar w:fldCharType="separate"/>
        </w:r>
        <w:r w:rsidR="00EB1774">
          <w:rPr>
            <w:noProof/>
            <w:webHidden/>
          </w:rPr>
          <w:t>29</w:t>
        </w:r>
        <w:r w:rsidR="0061201F">
          <w:rPr>
            <w:noProof/>
            <w:webHidden/>
          </w:rPr>
          <w:fldChar w:fldCharType="end"/>
        </w:r>
      </w:hyperlink>
    </w:p>
    <w:p w14:paraId="0FC1A923" w14:textId="2613EE00" w:rsidR="0061201F" w:rsidRDefault="0017021F">
      <w:pPr>
        <w:pStyle w:val="TableofFigures"/>
        <w:rPr>
          <w:rFonts w:eastAsiaTheme="minorEastAsia" w:cstheme="minorBidi"/>
          <w:noProof/>
          <w:color w:val="auto"/>
          <w:szCs w:val="22"/>
          <w:lang w:val="en-AU" w:eastAsia="en-AU"/>
        </w:rPr>
      </w:pPr>
      <w:hyperlink w:anchor="_Toc60999925" w:history="1">
        <w:r w:rsidR="0061201F" w:rsidRPr="00E83ADE">
          <w:rPr>
            <w:rStyle w:val="Hyperlink"/>
          </w:rPr>
          <w:t>Table A</w:t>
        </w:r>
        <w:r w:rsidR="0061201F" w:rsidRPr="00E83ADE">
          <w:rPr>
            <w:rStyle w:val="Hyperlink"/>
          </w:rPr>
          <w:noBreakHyphen/>
          <w:t>14:</w:t>
        </w:r>
        <w:r w:rsidR="0061201F">
          <w:rPr>
            <w:rFonts w:eastAsiaTheme="minorEastAsia" w:cstheme="minorBidi"/>
            <w:noProof/>
            <w:color w:val="auto"/>
            <w:szCs w:val="22"/>
            <w:lang w:val="en-AU" w:eastAsia="en-AU"/>
          </w:rPr>
          <w:tab/>
        </w:r>
        <w:r w:rsidR="0061201F" w:rsidRPr="00E83ADE">
          <w:rPr>
            <w:rStyle w:val="Hyperlink"/>
          </w:rPr>
          <w:t>Benefit assumptions</w:t>
        </w:r>
        <w:r w:rsidR="0061201F">
          <w:rPr>
            <w:noProof/>
            <w:webHidden/>
          </w:rPr>
          <w:tab/>
        </w:r>
        <w:r w:rsidR="0061201F">
          <w:rPr>
            <w:noProof/>
            <w:webHidden/>
          </w:rPr>
          <w:fldChar w:fldCharType="begin"/>
        </w:r>
        <w:r w:rsidR="0061201F">
          <w:rPr>
            <w:noProof/>
            <w:webHidden/>
          </w:rPr>
          <w:instrText xml:space="preserve"> PAGEREF _Toc60999925 \h </w:instrText>
        </w:r>
        <w:r w:rsidR="0061201F">
          <w:rPr>
            <w:noProof/>
            <w:webHidden/>
          </w:rPr>
        </w:r>
        <w:r w:rsidR="0061201F">
          <w:rPr>
            <w:noProof/>
            <w:webHidden/>
          </w:rPr>
          <w:fldChar w:fldCharType="separate"/>
        </w:r>
        <w:r w:rsidR="00EB1774">
          <w:rPr>
            <w:noProof/>
            <w:webHidden/>
          </w:rPr>
          <w:t>30</w:t>
        </w:r>
        <w:r w:rsidR="0061201F">
          <w:rPr>
            <w:noProof/>
            <w:webHidden/>
          </w:rPr>
          <w:fldChar w:fldCharType="end"/>
        </w:r>
      </w:hyperlink>
    </w:p>
    <w:p w14:paraId="138263A2" w14:textId="04A365B4" w:rsidR="0061201F" w:rsidRDefault="0017021F">
      <w:pPr>
        <w:pStyle w:val="TableofFigures"/>
        <w:rPr>
          <w:rFonts w:eastAsiaTheme="minorEastAsia" w:cstheme="minorBidi"/>
          <w:noProof/>
          <w:color w:val="auto"/>
          <w:szCs w:val="22"/>
          <w:lang w:val="en-AU" w:eastAsia="en-AU"/>
        </w:rPr>
      </w:pPr>
      <w:hyperlink w:anchor="_Toc60999926" w:history="1">
        <w:r w:rsidR="0061201F" w:rsidRPr="00E83ADE">
          <w:rPr>
            <w:rStyle w:val="Hyperlink"/>
          </w:rPr>
          <w:t>Table B</w:t>
        </w:r>
        <w:r w:rsidR="0061201F" w:rsidRPr="00E83ADE">
          <w:rPr>
            <w:rStyle w:val="Hyperlink"/>
          </w:rPr>
          <w:noBreakHyphen/>
          <w:t>1:</w:t>
        </w:r>
        <w:r w:rsidR="0061201F">
          <w:rPr>
            <w:rFonts w:eastAsiaTheme="minorEastAsia" w:cstheme="minorBidi"/>
            <w:noProof/>
            <w:color w:val="auto"/>
            <w:szCs w:val="22"/>
            <w:lang w:val="en-AU" w:eastAsia="en-AU"/>
          </w:rPr>
          <w:tab/>
        </w:r>
        <w:r w:rsidR="0061201F" w:rsidRPr="00E83ADE">
          <w:rPr>
            <w:rStyle w:val="Hyperlink"/>
          </w:rPr>
          <w:t>PICO search strategy 2010-2020</w:t>
        </w:r>
        <w:r w:rsidR="0061201F">
          <w:rPr>
            <w:noProof/>
            <w:webHidden/>
          </w:rPr>
          <w:tab/>
        </w:r>
        <w:r w:rsidR="0061201F">
          <w:rPr>
            <w:noProof/>
            <w:webHidden/>
          </w:rPr>
          <w:fldChar w:fldCharType="begin"/>
        </w:r>
        <w:r w:rsidR="0061201F">
          <w:rPr>
            <w:noProof/>
            <w:webHidden/>
          </w:rPr>
          <w:instrText xml:space="preserve"> PAGEREF _Toc60999926 \h </w:instrText>
        </w:r>
        <w:r w:rsidR="0061201F">
          <w:rPr>
            <w:noProof/>
            <w:webHidden/>
          </w:rPr>
        </w:r>
        <w:r w:rsidR="0061201F">
          <w:rPr>
            <w:noProof/>
            <w:webHidden/>
          </w:rPr>
          <w:fldChar w:fldCharType="separate"/>
        </w:r>
        <w:r w:rsidR="00EB1774">
          <w:rPr>
            <w:noProof/>
            <w:webHidden/>
          </w:rPr>
          <w:t>34</w:t>
        </w:r>
        <w:r w:rsidR="0061201F">
          <w:rPr>
            <w:noProof/>
            <w:webHidden/>
          </w:rPr>
          <w:fldChar w:fldCharType="end"/>
        </w:r>
      </w:hyperlink>
    </w:p>
    <w:p w14:paraId="0C34EF02" w14:textId="7F4824CE" w:rsidR="0061201F" w:rsidRDefault="0017021F">
      <w:pPr>
        <w:pStyle w:val="TableofFigures"/>
        <w:rPr>
          <w:rFonts w:eastAsiaTheme="minorEastAsia" w:cstheme="minorBidi"/>
          <w:noProof/>
          <w:color w:val="auto"/>
          <w:szCs w:val="22"/>
          <w:lang w:val="en-AU" w:eastAsia="en-AU"/>
        </w:rPr>
      </w:pPr>
      <w:hyperlink w:anchor="_Toc60999927" w:history="1">
        <w:r w:rsidR="0061201F" w:rsidRPr="00E83ADE">
          <w:rPr>
            <w:rStyle w:val="Hyperlink"/>
          </w:rPr>
          <w:t>Table B</w:t>
        </w:r>
        <w:r w:rsidR="0061201F" w:rsidRPr="00E83ADE">
          <w:rPr>
            <w:rStyle w:val="Hyperlink"/>
          </w:rPr>
          <w:noBreakHyphen/>
          <w:t>2:</w:t>
        </w:r>
        <w:r w:rsidR="0061201F">
          <w:rPr>
            <w:rFonts w:eastAsiaTheme="minorEastAsia" w:cstheme="minorBidi"/>
            <w:noProof/>
            <w:color w:val="auto"/>
            <w:szCs w:val="22"/>
            <w:lang w:val="en-AU" w:eastAsia="en-AU"/>
          </w:rPr>
          <w:tab/>
        </w:r>
        <w:r w:rsidR="0061201F" w:rsidRPr="00E83ADE">
          <w:rPr>
            <w:rStyle w:val="Hyperlink"/>
          </w:rPr>
          <w:t>Details of NACA search re-run</w:t>
        </w:r>
        <w:r w:rsidR="0061201F">
          <w:rPr>
            <w:noProof/>
            <w:webHidden/>
          </w:rPr>
          <w:tab/>
        </w:r>
        <w:r w:rsidR="0061201F">
          <w:rPr>
            <w:noProof/>
            <w:webHidden/>
          </w:rPr>
          <w:fldChar w:fldCharType="begin"/>
        </w:r>
        <w:r w:rsidR="0061201F">
          <w:rPr>
            <w:noProof/>
            <w:webHidden/>
          </w:rPr>
          <w:instrText xml:space="preserve"> PAGEREF _Toc60999927 \h </w:instrText>
        </w:r>
        <w:r w:rsidR="0061201F">
          <w:rPr>
            <w:noProof/>
            <w:webHidden/>
          </w:rPr>
        </w:r>
        <w:r w:rsidR="0061201F">
          <w:rPr>
            <w:noProof/>
            <w:webHidden/>
          </w:rPr>
          <w:fldChar w:fldCharType="separate"/>
        </w:r>
        <w:r w:rsidR="00EB1774">
          <w:rPr>
            <w:noProof/>
            <w:webHidden/>
          </w:rPr>
          <w:t>35</w:t>
        </w:r>
        <w:r w:rsidR="0061201F">
          <w:rPr>
            <w:noProof/>
            <w:webHidden/>
          </w:rPr>
          <w:fldChar w:fldCharType="end"/>
        </w:r>
      </w:hyperlink>
    </w:p>
    <w:p w14:paraId="65C1D932" w14:textId="0B1FBAA8" w:rsidR="0061201F" w:rsidRDefault="0017021F">
      <w:pPr>
        <w:pStyle w:val="TableofFigures"/>
        <w:rPr>
          <w:rFonts w:eastAsiaTheme="minorEastAsia" w:cstheme="minorBidi"/>
          <w:noProof/>
          <w:color w:val="auto"/>
          <w:szCs w:val="22"/>
          <w:lang w:val="en-AU" w:eastAsia="en-AU"/>
        </w:rPr>
      </w:pPr>
      <w:hyperlink w:anchor="_Toc60999928" w:history="1">
        <w:r w:rsidR="0061201F" w:rsidRPr="00E83ADE">
          <w:rPr>
            <w:rStyle w:val="Hyperlink"/>
          </w:rPr>
          <w:t>Table B</w:t>
        </w:r>
        <w:r w:rsidR="0061201F" w:rsidRPr="00E83ADE">
          <w:rPr>
            <w:rStyle w:val="Hyperlink"/>
          </w:rPr>
          <w:noBreakHyphen/>
          <w:t>3:</w:t>
        </w:r>
        <w:r w:rsidR="0061201F">
          <w:rPr>
            <w:rFonts w:eastAsiaTheme="minorEastAsia" w:cstheme="minorBidi"/>
            <w:noProof/>
            <w:color w:val="auto"/>
            <w:szCs w:val="22"/>
            <w:lang w:val="en-AU" w:eastAsia="en-AU"/>
          </w:rPr>
          <w:tab/>
        </w:r>
        <w:r w:rsidR="0061201F" w:rsidRPr="00E83ADE">
          <w:rPr>
            <w:rStyle w:val="Hyperlink"/>
          </w:rPr>
          <w:t>EBSCO search specifics</w:t>
        </w:r>
        <w:r w:rsidR="0061201F">
          <w:rPr>
            <w:noProof/>
            <w:webHidden/>
          </w:rPr>
          <w:tab/>
        </w:r>
        <w:r w:rsidR="0061201F">
          <w:rPr>
            <w:noProof/>
            <w:webHidden/>
          </w:rPr>
          <w:fldChar w:fldCharType="begin"/>
        </w:r>
        <w:r w:rsidR="0061201F">
          <w:rPr>
            <w:noProof/>
            <w:webHidden/>
          </w:rPr>
          <w:instrText xml:space="preserve"> PAGEREF _Toc60999928 \h </w:instrText>
        </w:r>
        <w:r w:rsidR="0061201F">
          <w:rPr>
            <w:noProof/>
            <w:webHidden/>
          </w:rPr>
        </w:r>
        <w:r w:rsidR="0061201F">
          <w:rPr>
            <w:noProof/>
            <w:webHidden/>
          </w:rPr>
          <w:fldChar w:fldCharType="separate"/>
        </w:r>
        <w:r w:rsidR="00EB1774">
          <w:rPr>
            <w:noProof/>
            <w:webHidden/>
          </w:rPr>
          <w:t>36</w:t>
        </w:r>
        <w:r w:rsidR="0061201F">
          <w:rPr>
            <w:noProof/>
            <w:webHidden/>
          </w:rPr>
          <w:fldChar w:fldCharType="end"/>
        </w:r>
      </w:hyperlink>
    </w:p>
    <w:p w14:paraId="58B63937" w14:textId="06634B22" w:rsidR="0061201F" w:rsidRDefault="0017021F">
      <w:pPr>
        <w:pStyle w:val="TableofFigures"/>
        <w:rPr>
          <w:rFonts w:eastAsiaTheme="minorEastAsia" w:cstheme="minorBidi"/>
          <w:noProof/>
          <w:color w:val="auto"/>
          <w:szCs w:val="22"/>
          <w:lang w:val="en-AU" w:eastAsia="en-AU"/>
        </w:rPr>
      </w:pPr>
      <w:hyperlink w:anchor="_Toc60999929" w:history="1">
        <w:r w:rsidR="0061201F" w:rsidRPr="00E83ADE">
          <w:rPr>
            <w:rStyle w:val="Hyperlink"/>
          </w:rPr>
          <w:t>Table B</w:t>
        </w:r>
        <w:r w:rsidR="0061201F" w:rsidRPr="00E83ADE">
          <w:rPr>
            <w:rStyle w:val="Hyperlink"/>
          </w:rPr>
          <w:noBreakHyphen/>
          <w:t>4:</w:t>
        </w:r>
        <w:r w:rsidR="0061201F">
          <w:rPr>
            <w:rFonts w:eastAsiaTheme="minorEastAsia" w:cstheme="minorBidi"/>
            <w:noProof/>
            <w:color w:val="auto"/>
            <w:szCs w:val="22"/>
            <w:lang w:val="en-AU" w:eastAsia="en-AU"/>
          </w:rPr>
          <w:tab/>
        </w:r>
        <w:r w:rsidR="0061201F" w:rsidRPr="00E83ADE">
          <w:rPr>
            <w:rStyle w:val="Hyperlink"/>
          </w:rPr>
          <w:t>Selected RER papers – Decisions</w:t>
        </w:r>
        <w:r w:rsidR="0061201F">
          <w:rPr>
            <w:noProof/>
            <w:webHidden/>
          </w:rPr>
          <w:tab/>
        </w:r>
        <w:r w:rsidR="0061201F">
          <w:rPr>
            <w:noProof/>
            <w:webHidden/>
          </w:rPr>
          <w:fldChar w:fldCharType="begin"/>
        </w:r>
        <w:r w:rsidR="0061201F">
          <w:rPr>
            <w:noProof/>
            <w:webHidden/>
          </w:rPr>
          <w:instrText xml:space="preserve"> PAGEREF _Toc60999929 \h </w:instrText>
        </w:r>
        <w:r w:rsidR="0061201F">
          <w:rPr>
            <w:noProof/>
            <w:webHidden/>
          </w:rPr>
        </w:r>
        <w:r w:rsidR="0061201F">
          <w:rPr>
            <w:noProof/>
            <w:webHidden/>
          </w:rPr>
          <w:fldChar w:fldCharType="separate"/>
        </w:r>
        <w:r w:rsidR="00EB1774">
          <w:rPr>
            <w:noProof/>
            <w:webHidden/>
          </w:rPr>
          <w:t>38</w:t>
        </w:r>
        <w:r w:rsidR="0061201F">
          <w:rPr>
            <w:noProof/>
            <w:webHidden/>
          </w:rPr>
          <w:fldChar w:fldCharType="end"/>
        </w:r>
      </w:hyperlink>
    </w:p>
    <w:p w14:paraId="61BDDBF4" w14:textId="5D538A97" w:rsidR="0061201F" w:rsidRDefault="0017021F">
      <w:pPr>
        <w:pStyle w:val="TableofFigures"/>
        <w:rPr>
          <w:rFonts w:eastAsiaTheme="minorEastAsia" w:cstheme="minorBidi"/>
          <w:noProof/>
          <w:color w:val="auto"/>
          <w:szCs w:val="22"/>
          <w:lang w:val="en-AU" w:eastAsia="en-AU"/>
        </w:rPr>
      </w:pPr>
      <w:hyperlink w:anchor="_Toc60999930" w:history="1">
        <w:r w:rsidR="0061201F" w:rsidRPr="00E83ADE">
          <w:rPr>
            <w:rStyle w:val="Hyperlink"/>
          </w:rPr>
          <w:t>Table B</w:t>
        </w:r>
        <w:r w:rsidR="0061201F" w:rsidRPr="00E83ADE">
          <w:rPr>
            <w:rStyle w:val="Hyperlink"/>
          </w:rPr>
          <w:noBreakHyphen/>
          <w:t>5:</w:t>
        </w:r>
        <w:r w:rsidR="0061201F">
          <w:rPr>
            <w:rFonts w:eastAsiaTheme="minorEastAsia" w:cstheme="minorBidi"/>
            <w:noProof/>
            <w:color w:val="auto"/>
            <w:szCs w:val="22"/>
            <w:lang w:val="en-AU" w:eastAsia="en-AU"/>
          </w:rPr>
          <w:tab/>
        </w:r>
        <w:r w:rsidR="0061201F" w:rsidRPr="00E83ADE">
          <w:rPr>
            <w:rStyle w:val="Hyperlink"/>
          </w:rPr>
          <w:t>Search strategy screening to inform economic modelling</w:t>
        </w:r>
        <w:r w:rsidR="0061201F">
          <w:rPr>
            <w:noProof/>
            <w:webHidden/>
          </w:rPr>
          <w:tab/>
        </w:r>
        <w:r w:rsidR="0061201F">
          <w:rPr>
            <w:noProof/>
            <w:webHidden/>
          </w:rPr>
          <w:fldChar w:fldCharType="begin"/>
        </w:r>
        <w:r w:rsidR="0061201F">
          <w:rPr>
            <w:noProof/>
            <w:webHidden/>
          </w:rPr>
          <w:instrText xml:space="preserve"> PAGEREF _Toc60999930 \h </w:instrText>
        </w:r>
        <w:r w:rsidR="0061201F">
          <w:rPr>
            <w:noProof/>
            <w:webHidden/>
          </w:rPr>
        </w:r>
        <w:r w:rsidR="0061201F">
          <w:rPr>
            <w:noProof/>
            <w:webHidden/>
          </w:rPr>
          <w:fldChar w:fldCharType="separate"/>
        </w:r>
        <w:r w:rsidR="00EB1774">
          <w:rPr>
            <w:noProof/>
            <w:webHidden/>
          </w:rPr>
          <w:t>39</w:t>
        </w:r>
        <w:r w:rsidR="0061201F">
          <w:rPr>
            <w:noProof/>
            <w:webHidden/>
          </w:rPr>
          <w:fldChar w:fldCharType="end"/>
        </w:r>
      </w:hyperlink>
    </w:p>
    <w:p w14:paraId="4BAC0BD6" w14:textId="263B37D8" w:rsidR="0061201F" w:rsidRDefault="0017021F">
      <w:pPr>
        <w:pStyle w:val="TableofFigures"/>
        <w:rPr>
          <w:rFonts w:eastAsiaTheme="minorEastAsia" w:cstheme="minorBidi"/>
          <w:noProof/>
          <w:color w:val="auto"/>
          <w:szCs w:val="22"/>
          <w:lang w:val="en-AU" w:eastAsia="en-AU"/>
        </w:rPr>
      </w:pPr>
      <w:hyperlink w:anchor="_Toc60999931" w:history="1">
        <w:r w:rsidR="0061201F" w:rsidRPr="00E83ADE">
          <w:rPr>
            <w:rStyle w:val="Hyperlink"/>
          </w:rPr>
          <w:t>Table B</w:t>
        </w:r>
        <w:r w:rsidR="0061201F" w:rsidRPr="00E83ADE">
          <w:rPr>
            <w:rStyle w:val="Hyperlink"/>
          </w:rPr>
          <w:noBreakHyphen/>
          <w:t>6:</w:t>
        </w:r>
        <w:r w:rsidR="0061201F">
          <w:rPr>
            <w:rFonts w:eastAsiaTheme="minorEastAsia" w:cstheme="minorBidi"/>
            <w:noProof/>
            <w:color w:val="auto"/>
            <w:szCs w:val="22"/>
            <w:lang w:val="en-AU" w:eastAsia="en-AU"/>
          </w:rPr>
          <w:tab/>
        </w:r>
        <w:r w:rsidR="0061201F" w:rsidRPr="00E83ADE">
          <w:rPr>
            <w:rStyle w:val="Hyperlink"/>
          </w:rPr>
          <w:t>Reasons for excluding full text papers</w:t>
        </w:r>
        <w:r w:rsidR="0061201F">
          <w:rPr>
            <w:noProof/>
            <w:webHidden/>
          </w:rPr>
          <w:tab/>
        </w:r>
        <w:r w:rsidR="0061201F">
          <w:rPr>
            <w:noProof/>
            <w:webHidden/>
          </w:rPr>
          <w:fldChar w:fldCharType="begin"/>
        </w:r>
        <w:r w:rsidR="0061201F">
          <w:rPr>
            <w:noProof/>
            <w:webHidden/>
          </w:rPr>
          <w:instrText xml:space="preserve"> PAGEREF _Toc60999931 \h </w:instrText>
        </w:r>
        <w:r w:rsidR="0061201F">
          <w:rPr>
            <w:noProof/>
            <w:webHidden/>
          </w:rPr>
        </w:r>
        <w:r w:rsidR="0061201F">
          <w:rPr>
            <w:noProof/>
            <w:webHidden/>
          </w:rPr>
          <w:fldChar w:fldCharType="separate"/>
        </w:r>
        <w:r w:rsidR="00EB1774">
          <w:rPr>
            <w:noProof/>
            <w:webHidden/>
          </w:rPr>
          <w:t>39</w:t>
        </w:r>
        <w:r w:rsidR="0061201F">
          <w:rPr>
            <w:noProof/>
            <w:webHidden/>
          </w:rPr>
          <w:fldChar w:fldCharType="end"/>
        </w:r>
      </w:hyperlink>
    </w:p>
    <w:p w14:paraId="224EF5AC" w14:textId="73CA2812" w:rsidR="0061201F" w:rsidRDefault="0017021F">
      <w:pPr>
        <w:pStyle w:val="TableofFigures"/>
        <w:rPr>
          <w:rFonts w:eastAsiaTheme="minorEastAsia" w:cstheme="minorBidi"/>
          <w:noProof/>
          <w:color w:val="auto"/>
          <w:szCs w:val="22"/>
          <w:lang w:val="en-AU" w:eastAsia="en-AU"/>
        </w:rPr>
      </w:pPr>
      <w:hyperlink w:anchor="_Toc60999932" w:history="1">
        <w:r w:rsidR="0061201F" w:rsidRPr="00E83ADE">
          <w:rPr>
            <w:rStyle w:val="Hyperlink"/>
          </w:rPr>
          <w:t>Table B</w:t>
        </w:r>
        <w:r w:rsidR="0061201F" w:rsidRPr="00E83ADE">
          <w:rPr>
            <w:rStyle w:val="Hyperlink"/>
          </w:rPr>
          <w:noBreakHyphen/>
          <w:t>7:</w:t>
        </w:r>
        <w:r w:rsidR="0061201F">
          <w:rPr>
            <w:rFonts w:eastAsiaTheme="minorEastAsia" w:cstheme="minorBidi"/>
            <w:noProof/>
            <w:color w:val="auto"/>
            <w:szCs w:val="22"/>
            <w:lang w:val="en-AU" w:eastAsia="en-AU"/>
          </w:rPr>
          <w:tab/>
        </w:r>
        <w:r w:rsidR="0061201F" w:rsidRPr="00E83ADE">
          <w:rPr>
            <w:rStyle w:val="Hyperlink"/>
            <w:lang w:eastAsia="en-GB"/>
          </w:rPr>
          <w:t xml:space="preserve">Details </w:t>
        </w:r>
        <w:r w:rsidR="0061201F" w:rsidRPr="00E83ADE">
          <w:rPr>
            <w:rStyle w:val="Hyperlink"/>
          </w:rPr>
          <w:t>of the hierarchical matrix for the RER inclusive of 20 studies</w:t>
        </w:r>
        <w:r w:rsidR="0061201F">
          <w:rPr>
            <w:noProof/>
            <w:webHidden/>
          </w:rPr>
          <w:tab/>
        </w:r>
        <w:r w:rsidR="0061201F">
          <w:rPr>
            <w:noProof/>
            <w:webHidden/>
          </w:rPr>
          <w:fldChar w:fldCharType="begin"/>
        </w:r>
        <w:r w:rsidR="0061201F">
          <w:rPr>
            <w:noProof/>
            <w:webHidden/>
          </w:rPr>
          <w:instrText xml:space="preserve"> PAGEREF _Toc60999932 \h </w:instrText>
        </w:r>
        <w:r w:rsidR="0061201F">
          <w:rPr>
            <w:noProof/>
            <w:webHidden/>
          </w:rPr>
        </w:r>
        <w:r w:rsidR="0061201F">
          <w:rPr>
            <w:noProof/>
            <w:webHidden/>
          </w:rPr>
          <w:fldChar w:fldCharType="separate"/>
        </w:r>
        <w:r w:rsidR="00EB1774">
          <w:rPr>
            <w:noProof/>
            <w:webHidden/>
          </w:rPr>
          <w:t>42</w:t>
        </w:r>
        <w:r w:rsidR="0061201F">
          <w:rPr>
            <w:noProof/>
            <w:webHidden/>
          </w:rPr>
          <w:fldChar w:fldCharType="end"/>
        </w:r>
      </w:hyperlink>
    </w:p>
    <w:p w14:paraId="4A3394A9" w14:textId="42B31D91" w:rsidR="0061201F" w:rsidRDefault="0017021F">
      <w:pPr>
        <w:pStyle w:val="TableofFigures"/>
        <w:rPr>
          <w:rFonts w:eastAsiaTheme="minorEastAsia" w:cstheme="minorBidi"/>
          <w:noProof/>
          <w:color w:val="auto"/>
          <w:szCs w:val="22"/>
          <w:lang w:val="en-AU" w:eastAsia="en-AU"/>
        </w:rPr>
      </w:pPr>
      <w:hyperlink w:anchor="_Toc60999933" w:history="1">
        <w:r w:rsidR="0061201F" w:rsidRPr="00E83ADE">
          <w:rPr>
            <w:rStyle w:val="Hyperlink"/>
          </w:rPr>
          <w:t>Table B</w:t>
        </w:r>
        <w:r w:rsidR="0061201F" w:rsidRPr="00E83ADE">
          <w:rPr>
            <w:rStyle w:val="Hyperlink"/>
          </w:rPr>
          <w:noBreakHyphen/>
          <w:t>8:</w:t>
        </w:r>
        <w:r w:rsidR="0061201F">
          <w:rPr>
            <w:rFonts w:eastAsiaTheme="minorEastAsia" w:cstheme="minorBidi"/>
            <w:noProof/>
            <w:color w:val="auto"/>
            <w:szCs w:val="22"/>
            <w:lang w:val="en-AU" w:eastAsia="en-AU"/>
          </w:rPr>
          <w:tab/>
        </w:r>
        <w:r w:rsidR="0061201F" w:rsidRPr="00E83ADE">
          <w:rPr>
            <w:rStyle w:val="Hyperlink"/>
          </w:rPr>
          <w:t>Schedule of Benefits of assistive technology (annual)</w:t>
        </w:r>
        <w:r w:rsidR="0061201F">
          <w:rPr>
            <w:noProof/>
            <w:webHidden/>
          </w:rPr>
          <w:tab/>
        </w:r>
        <w:r w:rsidR="0061201F">
          <w:rPr>
            <w:noProof/>
            <w:webHidden/>
          </w:rPr>
          <w:fldChar w:fldCharType="begin"/>
        </w:r>
        <w:r w:rsidR="0061201F">
          <w:rPr>
            <w:noProof/>
            <w:webHidden/>
          </w:rPr>
          <w:instrText xml:space="preserve"> PAGEREF _Toc60999933 \h </w:instrText>
        </w:r>
        <w:r w:rsidR="0061201F">
          <w:rPr>
            <w:noProof/>
            <w:webHidden/>
          </w:rPr>
        </w:r>
        <w:r w:rsidR="0061201F">
          <w:rPr>
            <w:noProof/>
            <w:webHidden/>
          </w:rPr>
          <w:fldChar w:fldCharType="separate"/>
        </w:r>
        <w:r w:rsidR="00EB1774">
          <w:rPr>
            <w:noProof/>
            <w:webHidden/>
          </w:rPr>
          <w:t>44</w:t>
        </w:r>
        <w:r w:rsidR="0061201F">
          <w:rPr>
            <w:noProof/>
            <w:webHidden/>
          </w:rPr>
          <w:fldChar w:fldCharType="end"/>
        </w:r>
      </w:hyperlink>
    </w:p>
    <w:p w14:paraId="37DAF4AE" w14:textId="53FE61CB" w:rsidR="0061201F" w:rsidRDefault="0017021F">
      <w:pPr>
        <w:pStyle w:val="TableofFigures"/>
        <w:rPr>
          <w:rFonts w:eastAsiaTheme="minorEastAsia" w:cstheme="minorBidi"/>
          <w:noProof/>
          <w:color w:val="auto"/>
          <w:szCs w:val="22"/>
          <w:lang w:val="en-AU" w:eastAsia="en-AU"/>
        </w:rPr>
      </w:pPr>
      <w:hyperlink w:anchor="_Toc60999934" w:history="1">
        <w:r w:rsidR="0061201F" w:rsidRPr="00E83ADE">
          <w:rPr>
            <w:rStyle w:val="Hyperlink"/>
          </w:rPr>
          <w:t>Table B</w:t>
        </w:r>
        <w:r w:rsidR="0061201F" w:rsidRPr="00E83ADE">
          <w:rPr>
            <w:rStyle w:val="Hyperlink"/>
          </w:rPr>
          <w:noBreakHyphen/>
          <w:t>9:</w:t>
        </w:r>
        <w:r w:rsidR="0061201F">
          <w:rPr>
            <w:rFonts w:eastAsiaTheme="minorEastAsia" w:cstheme="minorBidi"/>
            <w:noProof/>
            <w:color w:val="auto"/>
            <w:szCs w:val="22"/>
            <w:lang w:val="en-AU" w:eastAsia="en-AU"/>
          </w:rPr>
          <w:tab/>
        </w:r>
        <w:r w:rsidR="0061201F" w:rsidRPr="00E83ADE">
          <w:rPr>
            <w:rStyle w:val="Hyperlink"/>
          </w:rPr>
          <w:t>Schedule of Benefits of assistive technology (annual) – social and wellbeing benefits</w:t>
        </w:r>
        <w:r w:rsidR="0061201F">
          <w:rPr>
            <w:noProof/>
            <w:webHidden/>
          </w:rPr>
          <w:tab/>
        </w:r>
        <w:r w:rsidR="0061201F">
          <w:rPr>
            <w:noProof/>
            <w:webHidden/>
          </w:rPr>
          <w:fldChar w:fldCharType="begin"/>
        </w:r>
        <w:r w:rsidR="0061201F">
          <w:rPr>
            <w:noProof/>
            <w:webHidden/>
          </w:rPr>
          <w:instrText xml:space="preserve"> PAGEREF _Toc60999934 \h </w:instrText>
        </w:r>
        <w:r w:rsidR="0061201F">
          <w:rPr>
            <w:noProof/>
            <w:webHidden/>
          </w:rPr>
        </w:r>
        <w:r w:rsidR="0061201F">
          <w:rPr>
            <w:noProof/>
            <w:webHidden/>
          </w:rPr>
          <w:fldChar w:fldCharType="separate"/>
        </w:r>
        <w:r w:rsidR="00EB1774">
          <w:rPr>
            <w:noProof/>
            <w:webHidden/>
          </w:rPr>
          <w:t>45</w:t>
        </w:r>
        <w:r w:rsidR="0061201F">
          <w:rPr>
            <w:noProof/>
            <w:webHidden/>
          </w:rPr>
          <w:fldChar w:fldCharType="end"/>
        </w:r>
      </w:hyperlink>
    </w:p>
    <w:p w14:paraId="65E99685" w14:textId="04BE4E30" w:rsidR="0061201F" w:rsidRDefault="0017021F">
      <w:pPr>
        <w:pStyle w:val="TableofFigures"/>
        <w:rPr>
          <w:rFonts w:eastAsiaTheme="minorEastAsia" w:cstheme="minorBidi"/>
          <w:noProof/>
          <w:color w:val="auto"/>
          <w:szCs w:val="22"/>
          <w:lang w:val="en-AU" w:eastAsia="en-AU"/>
        </w:rPr>
      </w:pPr>
      <w:hyperlink w:anchor="_Toc60999935" w:history="1">
        <w:r w:rsidR="0061201F" w:rsidRPr="00E83ADE">
          <w:rPr>
            <w:rStyle w:val="Hyperlink"/>
          </w:rPr>
          <w:t>Table B</w:t>
        </w:r>
        <w:r w:rsidR="0061201F" w:rsidRPr="00E83ADE">
          <w:rPr>
            <w:rStyle w:val="Hyperlink"/>
          </w:rPr>
          <w:noBreakHyphen/>
          <w:t>10:</w:t>
        </w:r>
        <w:r w:rsidR="0061201F">
          <w:rPr>
            <w:rFonts w:eastAsiaTheme="minorEastAsia" w:cstheme="minorBidi"/>
            <w:noProof/>
            <w:color w:val="auto"/>
            <w:szCs w:val="22"/>
            <w:lang w:val="en-AU" w:eastAsia="en-AU"/>
          </w:rPr>
          <w:tab/>
        </w:r>
        <w:r w:rsidR="0061201F" w:rsidRPr="00E83ADE">
          <w:rPr>
            <w:rStyle w:val="Hyperlink"/>
          </w:rPr>
          <w:t>Rapid evidence review summaries</w:t>
        </w:r>
        <w:r w:rsidR="0061201F">
          <w:rPr>
            <w:noProof/>
            <w:webHidden/>
          </w:rPr>
          <w:tab/>
        </w:r>
        <w:r w:rsidR="0061201F">
          <w:rPr>
            <w:noProof/>
            <w:webHidden/>
          </w:rPr>
          <w:fldChar w:fldCharType="begin"/>
        </w:r>
        <w:r w:rsidR="0061201F">
          <w:rPr>
            <w:noProof/>
            <w:webHidden/>
          </w:rPr>
          <w:instrText xml:space="preserve"> PAGEREF _Toc60999935 \h </w:instrText>
        </w:r>
        <w:r w:rsidR="0061201F">
          <w:rPr>
            <w:noProof/>
            <w:webHidden/>
          </w:rPr>
        </w:r>
        <w:r w:rsidR="0061201F">
          <w:rPr>
            <w:noProof/>
            <w:webHidden/>
          </w:rPr>
          <w:fldChar w:fldCharType="separate"/>
        </w:r>
        <w:r w:rsidR="00EB1774">
          <w:rPr>
            <w:noProof/>
            <w:webHidden/>
          </w:rPr>
          <w:t>46</w:t>
        </w:r>
        <w:r w:rsidR="0061201F">
          <w:rPr>
            <w:noProof/>
            <w:webHidden/>
          </w:rPr>
          <w:fldChar w:fldCharType="end"/>
        </w:r>
      </w:hyperlink>
    </w:p>
    <w:p w14:paraId="4D4047F4" w14:textId="4E3D8BF5" w:rsidR="0061201F" w:rsidRDefault="0017021F">
      <w:pPr>
        <w:pStyle w:val="TableofFigures"/>
        <w:rPr>
          <w:rFonts w:eastAsiaTheme="minorEastAsia" w:cstheme="minorBidi"/>
          <w:noProof/>
          <w:color w:val="auto"/>
          <w:szCs w:val="22"/>
          <w:lang w:val="en-AU" w:eastAsia="en-AU"/>
        </w:rPr>
      </w:pPr>
      <w:hyperlink w:anchor="_Toc60999936" w:history="1">
        <w:r w:rsidR="0061201F" w:rsidRPr="00E83ADE">
          <w:rPr>
            <w:rStyle w:val="Hyperlink"/>
          </w:rPr>
          <w:t>Table B</w:t>
        </w:r>
        <w:r w:rsidR="0061201F" w:rsidRPr="00E83ADE">
          <w:rPr>
            <w:rStyle w:val="Hyperlink"/>
          </w:rPr>
          <w:noBreakHyphen/>
          <w:t>11:</w:t>
        </w:r>
        <w:r w:rsidR="0061201F">
          <w:rPr>
            <w:rFonts w:eastAsiaTheme="minorEastAsia" w:cstheme="minorBidi"/>
            <w:noProof/>
            <w:color w:val="auto"/>
            <w:szCs w:val="22"/>
            <w:lang w:val="en-AU" w:eastAsia="en-AU"/>
          </w:rPr>
          <w:tab/>
        </w:r>
        <w:r w:rsidR="0061201F" w:rsidRPr="00E83ADE">
          <w:rPr>
            <w:rStyle w:val="Hyperlink"/>
          </w:rPr>
          <w:t>Modelled cost data</w:t>
        </w:r>
        <w:r w:rsidR="0061201F">
          <w:rPr>
            <w:noProof/>
            <w:webHidden/>
          </w:rPr>
          <w:tab/>
        </w:r>
        <w:r w:rsidR="0061201F">
          <w:rPr>
            <w:noProof/>
            <w:webHidden/>
          </w:rPr>
          <w:fldChar w:fldCharType="begin"/>
        </w:r>
        <w:r w:rsidR="0061201F">
          <w:rPr>
            <w:noProof/>
            <w:webHidden/>
          </w:rPr>
          <w:instrText xml:space="preserve"> PAGEREF _Toc60999936 \h </w:instrText>
        </w:r>
        <w:r w:rsidR="0061201F">
          <w:rPr>
            <w:noProof/>
            <w:webHidden/>
          </w:rPr>
        </w:r>
        <w:r w:rsidR="0061201F">
          <w:rPr>
            <w:noProof/>
            <w:webHidden/>
          </w:rPr>
          <w:fldChar w:fldCharType="separate"/>
        </w:r>
        <w:r w:rsidR="00EB1774">
          <w:rPr>
            <w:noProof/>
            <w:webHidden/>
          </w:rPr>
          <w:t>57</w:t>
        </w:r>
        <w:r w:rsidR="0061201F">
          <w:rPr>
            <w:noProof/>
            <w:webHidden/>
          </w:rPr>
          <w:fldChar w:fldCharType="end"/>
        </w:r>
      </w:hyperlink>
    </w:p>
    <w:p w14:paraId="36153B1A" w14:textId="6C5CCDAC" w:rsidR="0061201F" w:rsidRDefault="0017021F">
      <w:pPr>
        <w:pStyle w:val="TableofFigures"/>
        <w:rPr>
          <w:rFonts w:eastAsiaTheme="minorEastAsia" w:cstheme="minorBidi"/>
          <w:noProof/>
          <w:color w:val="auto"/>
          <w:szCs w:val="22"/>
          <w:lang w:val="en-AU" w:eastAsia="en-AU"/>
        </w:rPr>
      </w:pPr>
      <w:hyperlink w:anchor="_Toc60999937" w:history="1">
        <w:r w:rsidR="0061201F" w:rsidRPr="00E83ADE">
          <w:rPr>
            <w:rStyle w:val="Hyperlink"/>
          </w:rPr>
          <w:t>Table B</w:t>
        </w:r>
        <w:r w:rsidR="0061201F" w:rsidRPr="00E83ADE">
          <w:rPr>
            <w:rStyle w:val="Hyperlink"/>
          </w:rPr>
          <w:noBreakHyphen/>
          <w:t>12:</w:t>
        </w:r>
        <w:r w:rsidR="0061201F">
          <w:rPr>
            <w:rFonts w:eastAsiaTheme="minorEastAsia" w:cstheme="minorBidi"/>
            <w:noProof/>
            <w:color w:val="auto"/>
            <w:szCs w:val="22"/>
            <w:lang w:val="en-AU" w:eastAsia="en-AU"/>
          </w:rPr>
          <w:tab/>
        </w:r>
        <w:r w:rsidR="0061201F" w:rsidRPr="00E83ADE">
          <w:rPr>
            <w:rStyle w:val="Hyperlink"/>
          </w:rPr>
          <w:t>Exchange rates</w:t>
        </w:r>
        <w:r w:rsidR="0061201F">
          <w:rPr>
            <w:noProof/>
            <w:webHidden/>
          </w:rPr>
          <w:tab/>
        </w:r>
        <w:r w:rsidR="0061201F">
          <w:rPr>
            <w:noProof/>
            <w:webHidden/>
          </w:rPr>
          <w:fldChar w:fldCharType="begin"/>
        </w:r>
        <w:r w:rsidR="0061201F">
          <w:rPr>
            <w:noProof/>
            <w:webHidden/>
          </w:rPr>
          <w:instrText xml:space="preserve"> PAGEREF _Toc60999937 \h </w:instrText>
        </w:r>
        <w:r w:rsidR="0061201F">
          <w:rPr>
            <w:noProof/>
            <w:webHidden/>
          </w:rPr>
        </w:r>
        <w:r w:rsidR="0061201F">
          <w:rPr>
            <w:noProof/>
            <w:webHidden/>
          </w:rPr>
          <w:fldChar w:fldCharType="separate"/>
        </w:r>
        <w:r w:rsidR="00EB1774">
          <w:rPr>
            <w:noProof/>
            <w:webHidden/>
          </w:rPr>
          <w:t>58</w:t>
        </w:r>
        <w:r w:rsidR="0061201F">
          <w:rPr>
            <w:noProof/>
            <w:webHidden/>
          </w:rPr>
          <w:fldChar w:fldCharType="end"/>
        </w:r>
      </w:hyperlink>
    </w:p>
    <w:p w14:paraId="678917A7" w14:textId="3FFD4C8E" w:rsidR="0061201F" w:rsidRDefault="0017021F">
      <w:pPr>
        <w:pStyle w:val="TableofFigures"/>
        <w:rPr>
          <w:rFonts w:eastAsiaTheme="minorEastAsia" w:cstheme="minorBidi"/>
          <w:noProof/>
          <w:color w:val="auto"/>
          <w:szCs w:val="22"/>
          <w:lang w:val="en-AU" w:eastAsia="en-AU"/>
        </w:rPr>
      </w:pPr>
      <w:hyperlink w:anchor="_Toc60999938" w:history="1">
        <w:r w:rsidR="0061201F" w:rsidRPr="00E83ADE">
          <w:rPr>
            <w:rStyle w:val="Hyperlink"/>
          </w:rPr>
          <w:t>Table B</w:t>
        </w:r>
        <w:r w:rsidR="0061201F" w:rsidRPr="00E83ADE">
          <w:rPr>
            <w:rStyle w:val="Hyperlink"/>
          </w:rPr>
          <w:noBreakHyphen/>
          <w:t>13:</w:t>
        </w:r>
        <w:r w:rsidR="0061201F">
          <w:rPr>
            <w:rFonts w:eastAsiaTheme="minorEastAsia" w:cstheme="minorBidi"/>
            <w:noProof/>
            <w:color w:val="auto"/>
            <w:szCs w:val="22"/>
            <w:lang w:val="en-AU" w:eastAsia="en-AU"/>
          </w:rPr>
          <w:tab/>
        </w:r>
        <w:r w:rsidR="0061201F" w:rsidRPr="00E83ADE">
          <w:rPr>
            <w:rStyle w:val="Hyperlink"/>
          </w:rPr>
          <w:t>Conversion rates</w:t>
        </w:r>
        <w:r w:rsidR="0061201F">
          <w:rPr>
            <w:noProof/>
            <w:webHidden/>
          </w:rPr>
          <w:tab/>
        </w:r>
        <w:r w:rsidR="0061201F">
          <w:rPr>
            <w:noProof/>
            <w:webHidden/>
          </w:rPr>
          <w:fldChar w:fldCharType="begin"/>
        </w:r>
        <w:r w:rsidR="0061201F">
          <w:rPr>
            <w:noProof/>
            <w:webHidden/>
          </w:rPr>
          <w:instrText xml:space="preserve"> PAGEREF _Toc60999938 \h </w:instrText>
        </w:r>
        <w:r w:rsidR="0061201F">
          <w:rPr>
            <w:noProof/>
            <w:webHidden/>
          </w:rPr>
        </w:r>
        <w:r w:rsidR="0061201F">
          <w:rPr>
            <w:noProof/>
            <w:webHidden/>
          </w:rPr>
          <w:fldChar w:fldCharType="separate"/>
        </w:r>
        <w:r w:rsidR="00EB1774">
          <w:rPr>
            <w:noProof/>
            <w:webHidden/>
          </w:rPr>
          <w:t>58</w:t>
        </w:r>
        <w:r w:rsidR="0061201F">
          <w:rPr>
            <w:noProof/>
            <w:webHidden/>
          </w:rPr>
          <w:fldChar w:fldCharType="end"/>
        </w:r>
      </w:hyperlink>
    </w:p>
    <w:p w14:paraId="115D5F40" w14:textId="77F60C55" w:rsidR="0061201F" w:rsidRDefault="0017021F">
      <w:pPr>
        <w:pStyle w:val="TableofFigures"/>
        <w:rPr>
          <w:rFonts w:eastAsiaTheme="minorEastAsia" w:cstheme="minorBidi"/>
          <w:noProof/>
          <w:color w:val="auto"/>
          <w:szCs w:val="22"/>
          <w:lang w:val="en-AU" w:eastAsia="en-AU"/>
        </w:rPr>
      </w:pPr>
      <w:hyperlink w:anchor="_Toc60999939" w:history="1">
        <w:r w:rsidR="0061201F" w:rsidRPr="00E83ADE">
          <w:rPr>
            <w:rStyle w:val="Hyperlink"/>
          </w:rPr>
          <w:t>Table C</w:t>
        </w:r>
        <w:r w:rsidR="0061201F" w:rsidRPr="00E83ADE">
          <w:rPr>
            <w:rStyle w:val="Hyperlink"/>
          </w:rPr>
          <w:noBreakHyphen/>
          <w:t>1:</w:t>
        </w:r>
        <w:r w:rsidR="0061201F">
          <w:rPr>
            <w:rFonts w:eastAsiaTheme="minorEastAsia" w:cstheme="minorBidi"/>
            <w:noProof/>
            <w:color w:val="auto"/>
            <w:szCs w:val="22"/>
            <w:lang w:val="en-AU" w:eastAsia="en-AU"/>
          </w:rPr>
          <w:tab/>
        </w:r>
        <w:r w:rsidR="0061201F" w:rsidRPr="00E83ADE">
          <w:rPr>
            <w:rStyle w:val="Hyperlink"/>
          </w:rPr>
          <w:t>The four Archetypes</w:t>
        </w:r>
        <w:r w:rsidR="0061201F">
          <w:rPr>
            <w:noProof/>
            <w:webHidden/>
          </w:rPr>
          <w:tab/>
        </w:r>
        <w:r w:rsidR="0061201F">
          <w:rPr>
            <w:noProof/>
            <w:webHidden/>
          </w:rPr>
          <w:fldChar w:fldCharType="begin"/>
        </w:r>
        <w:r w:rsidR="0061201F">
          <w:rPr>
            <w:noProof/>
            <w:webHidden/>
          </w:rPr>
          <w:instrText xml:space="preserve"> PAGEREF _Toc60999939 \h </w:instrText>
        </w:r>
        <w:r w:rsidR="0061201F">
          <w:rPr>
            <w:noProof/>
            <w:webHidden/>
          </w:rPr>
        </w:r>
        <w:r w:rsidR="0061201F">
          <w:rPr>
            <w:noProof/>
            <w:webHidden/>
          </w:rPr>
          <w:fldChar w:fldCharType="separate"/>
        </w:r>
        <w:r w:rsidR="00EB1774">
          <w:rPr>
            <w:noProof/>
            <w:webHidden/>
          </w:rPr>
          <w:t>64</w:t>
        </w:r>
        <w:r w:rsidR="0061201F">
          <w:rPr>
            <w:noProof/>
            <w:webHidden/>
          </w:rPr>
          <w:fldChar w:fldCharType="end"/>
        </w:r>
      </w:hyperlink>
    </w:p>
    <w:p w14:paraId="461BDE36" w14:textId="0C7DFAAE" w:rsidR="0061201F" w:rsidRDefault="0017021F">
      <w:pPr>
        <w:pStyle w:val="TableofFigures"/>
        <w:rPr>
          <w:rFonts w:eastAsiaTheme="minorEastAsia" w:cstheme="minorBidi"/>
          <w:noProof/>
          <w:color w:val="auto"/>
          <w:szCs w:val="22"/>
          <w:lang w:val="en-AU" w:eastAsia="en-AU"/>
        </w:rPr>
      </w:pPr>
      <w:hyperlink w:anchor="_Toc60999940" w:history="1">
        <w:r w:rsidR="0061201F" w:rsidRPr="00E83ADE">
          <w:rPr>
            <w:rStyle w:val="Hyperlink"/>
          </w:rPr>
          <w:t>Table C</w:t>
        </w:r>
        <w:r w:rsidR="0061201F" w:rsidRPr="00E83ADE">
          <w:rPr>
            <w:rStyle w:val="Hyperlink"/>
          </w:rPr>
          <w:noBreakHyphen/>
          <w:t>2:</w:t>
        </w:r>
        <w:r w:rsidR="0061201F">
          <w:rPr>
            <w:rFonts w:eastAsiaTheme="minorEastAsia" w:cstheme="minorBidi"/>
            <w:noProof/>
            <w:color w:val="auto"/>
            <w:szCs w:val="22"/>
            <w:lang w:val="en-AU" w:eastAsia="en-AU"/>
          </w:rPr>
          <w:tab/>
        </w:r>
        <w:r w:rsidR="0061201F" w:rsidRPr="00E83ADE">
          <w:rPr>
            <w:rStyle w:val="Hyperlink"/>
          </w:rPr>
          <w:t>Delphi expert panel</w:t>
        </w:r>
        <w:r w:rsidR="0061201F">
          <w:rPr>
            <w:noProof/>
            <w:webHidden/>
          </w:rPr>
          <w:tab/>
        </w:r>
        <w:r w:rsidR="0061201F">
          <w:rPr>
            <w:noProof/>
            <w:webHidden/>
          </w:rPr>
          <w:fldChar w:fldCharType="begin"/>
        </w:r>
        <w:r w:rsidR="0061201F">
          <w:rPr>
            <w:noProof/>
            <w:webHidden/>
          </w:rPr>
          <w:instrText xml:space="preserve"> PAGEREF _Toc60999940 \h </w:instrText>
        </w:r>
        <w:r w:rsidR="0061201F">
          <w:rPr>
            <w:noProof/>
            <w:webHidden/>
          </w:rPr>
        </w:r>
        <w:r w:rsidR="0061201F">
          <w:rPr>
            <w:noProof/>
            <w:webHidden/>
          </w:rPr>
          <w:fldChar w:fldCharType="separate"/>
        </w:r>
        <w:r w:rsidR="00EB1774">
          <w:rPr>
            <w:noProof/>
            <w:webHidden/>
          </w:rPr>
          <w:t>67</w:t>
        </w:r>
        <w:r w:rsidR="0061201F">
          <w:rPr>
            <w:noProof/>
            <w:webHidden/>
          </w:rPr>
          <w:fldChar w:fldCharType="end"/>
        </w:r>
      </w:hyperlink>
    </w:p>
    <w:p w14:paraId="36288DCB" w14:textId="0DF76250" w:rsidR="0061201F" w:rsidRDefault="0017021F">
      <w:pPr>
        <w:pStyle w:val="TableofFigures"/>
        <w:rPr>
          <w:rFonts w:eastAsiaTheme="minorEastAsia" w:cstheme="minorBidi"/>
          <w:noProof/>
          <w:color w:val="auto"/>
          <w:szCs w:val="22"/>
          <w:lang w:val="en-AU" w:eastAsia="en-AU"/>
        </w:rPr>
      </w:pPr>
      <w:hyperlink w:anchor="_Toc60999941" w:history="1">
        <w:r w:rsidR="0061201F" w:rsidRPr="00E83ADE">
          <w:rPr>
            <w:rStyle w:val="Hyperlink"/>
          </w:rPr>
          <w:t>Table C</w:t>
        </w:r>
        <w:r w:rsidR="0061201F" w:rsidRPr="00E83ADE">
          <w:rPr>
            <w:rStyle w:val="Hyperlink"/>
          </w:rPr>
          <w:noBreakHyphen/>
          <w:t>3:</w:t>
        </w:r>
        <w:r w:rsidR="0061201F">
          <w:rPr>
            <w:rFonts w:eastAsiaTheme="minorEastAsia" w:cstheme="minorBidi"/>
            <w:noProof/>
            <w:color w:val="auto"/>
            <w:szCs w:val="22"/>
            <w:lang w:val="en-AU" w:eastAsia="en-AU"/>
          </w:rPr>
          <w:tab/>
        </w:r>
        <w:r w:rsidR="0061201F" w:rsidRPr="00E83ADE">
          <w:rPr>
            <w:rStyle w:val="Hyperlink"/>
          </w:rPr>
          <w:t>Total costs, benefits and return on investment</w:t>
        </w:r>
        <w:r w:rsidR="0061201F">
          <w:rPr>
            <w:noProof/>
            <w:webHidden/>
          </w:rPr>
          <w:tab/>
        </w:r>
        <w:r w:rsidR="0061201F">
          <w:rPr>
            <w:noProof/>
            <w:webHidden/>
          </w:rPr>
          <w:fldChar w:fldCharType="begin"/>
        </w:r>
        <w:r w:rsidR="0061201F">
          <w:rPr>
            <w:noProof/>
            <w:webHidden/>
          </w:rPr>
          <w:instrText xml:space="preserve"> PAGEREF _Toc60999941 \h </w:instrText>
        </w:r>
        <w:r w:rsidR="0061201F">
          <w:rPr>
            <w:noProof/>
            <w:webHidden/>
          </w:rPr>
        </w:r>
        <w:r w:rsidR="0061201F">
          <w:rPr>
            <w:noProof/>
            <w:webHidden/>
          </w:rPr>
          <w:fldChar w:fldCharType="separate"/>
        </w:r>
        <w:r w:rsidR="00EB1774">
          <w:rPr>
            <w:noProof/>
            <w:webHidden/>
          </w:rPr>
          <w:t>80</w:t>
        </w:r>
        <w:r w:rsidR="0061201F">
          <w:rPr>
            <w:noProof/>
            <w:webHidden/>
          </w:rPr>
          <w:fldChar w:fldCharType="end"/>
        </w:r>
      </w:hyperlink>
    </w:p>
    <w:p w14:paraId="4CD465DC" w14:textId="58B7E04F" w:rsidR="0061201F" w:rsidRDefault="0017021F">
      <w:pPr>
        <w:pStyle w:val="TableofFigures"/>
        <w:rPr>
          <w:rFonts w:eastAsiaTheme="minorEastAsia" w:cstheme="minorBidi"/>
          <w:noProof/>
          <w:color w:val="auto"/>
          <w:szCs w:val="22"/>
          <w:lang w:val="en-AU" w:eastAsia="en-AU"/>
        </w:rPr>
      </w:pPr>
      <w:hyperlink w:anchor="_Toc60999942" w:history="1">
        <w:r w:rsidR="0061201F" w:rsidRPr="00E83ADE">
          <w:rPr>
            <w:rStyle w:val="Hyperlink"/>
          </w:rPr>
          <w:t>Table C</w:t>
        </w:r>
        <w:r w:rsidR="0061201F" w:rsidRPr="00E83ADE">
          <w:rPr>
            <w:rStyle w:val="Hyperlink"/>
          </w:rPr>
          <w:noBreakHyphen/>
          <w:t>4:</w:t>
        </w:r>
        <w:r w:rsidR="0061201F">
          <w:rPr>
            <w:rFonts w:eastAsiaTheme="minorEastAsia" w:cstheme="minorBidi"/>
            <w:noProof/>
            <w:color w:val="auto"/>
            <w:szCs w:val="22"/>
            <w:lang w:val="en-AU" w:eastAsia="en-AU"/>
          </w:rPr>
          <w:tab/>
        </w:r>
        <w:r w:rsidR="0061201F" w:rsidRPr="00E83ADE">
          <w:rPr>
            <w:rStyle w:val="Hyperlink"/>
          </w:rPr>
          <w:t>Quantified and costed benefits for the archetypes based on the post-survey</w:t>
        </w:r>
        <w:r w:rsidR="0061201F">
          <w:rPr>
            <w:noProof/>
            <w:webHidden/>
          </w:rPr>
          <w:tab/>
        </w:r>
        <w:r w:rsidR="0061201F">
          <w:rPr>
            <w:noProof/>
            <w:webHidden/>
          </w:rPr>
          <w:fldChar w:fldCharType="begin"/>
        </w:r>
        <w:r w:rsidR="0061201F">
          <w:rPr>
            <w:noProof/>
            <w:webHidden/>
          </w:rPr>
          <w:instrText xml:space="preserve"> PAGEREF _Toc60999942 \h </w:instrText>
        </w:r>
        <w:r w:rsidR="0061201F">
          <w:rPr>
            <w:noProof/>
            <w:webHidden/>
          </w:rPr>
        </w:r>
        <w:r w:rsidR="0061201F">
          <w:rPr>
            <w:noProof/>
            <w:webHidden/>
          </w:rPr>
          <w:fldChar w:fldCharType="separate"/>
        </w:r>
        <w:r w:rsidR="00EB1774">
          <w:rPr>
            <w:noProof/>
            <w:webHidden/>
          </w:rPr>
          <w:t>92</w:t>
        </w:r>
        <w:r w:rsidR="0061201F">
          <w:rPr>
            <w:noProof/>
            <w:webHidden/>
          </w:rPr>
          <w:fldChar w:fldCharType="end"/>
        </w:r>
      </w:hyperlink>
    </w:p>
    <w:p w14:paraId="0B547CD8" w14:textId="26ECA4D0" w:rsidR="0061201F" w:rsidRDefault="0017021F">
      <w:pPr>
        <w:pStyle w:val="TableofFigures"/>
        <w:rPr>
          <w:rFonts w:eastAsiaTheme="minorEastAsia" w:cstheme="minorBidi"/>
          <w:noProof/>
          <w:color w:val="auto"/>
          <w:szCs w:val="22"/>
          <w:lang w:val="en-AU" w:eastAsia="en-AU"/>
        </w:rPr>
      </w:pPr>
      <w:hyperlink w:anchor="_Toc60999943" w:history="1">
        <w:r w:rsidR="0061201F" w:rsidRPr="00E83ADE">
          <w:rPr>
            <w:rStyle w:val="Hyperlink"/>
          </w:rPr>
          <w:t>Table C</w:t>
        </w:r>
        <w:r w:rsidR="0061201F" w:rsidRPr="00E83ADE">
          <w:rPr>
            <w:rStyle w:val="Hyperlink"/>
          </w:rPr>
          <w:noBreakHyphen/>
          <w:t>5:</w:t>
        </w:r>
        <w:r w:rsidR="0061201F">
          <w:rPr>
            <w:rFonts w:eastAsiaTheme="minorEastAsia" w:cstheme="minorBidi"/>
            <w:noProof/>
            <w:color w:val="auto"/>
            <w:szCs w:val="22"/>
            <w:lang w:val="en-AU" w:eastAsia="en-AU"/>
          </w:rPr>
          <w:tab/>
        </w:r>
        <w:r w:rsidR="0061201F" w:rsidRPr="00E83ADE">
          <w:rPr>
            <w:rStyle w:val="Hyperlink"/>
          </w:rPr>
          <w:t>Modelled cost data</w:t>
        </w:r>
        <w:r w:rsidR="0061201F">
          <w:rPr>
            <w:noProof/>
            <w:webHidden/>
          </w:rPr>
          <w:tab/>
        </w:r>
        <w:r w:rsidR="0061201F">
          <w:rPr>
            <w:noProof/>
            <w:webHidden/>
          </w:rPr>
          <w:fldChar w:fldCharType="begin"/>
        </w:r>
        <w:r w:rsidR="0061201F">
          <w:rPr>
            <w:noProof/>
            <w:webHidden/>
          </w:rPr>
          <w:instrText xml:space="preserve"> PAGEREF _Toc60999943 \h </w:instrText>
        </w:r>
        <w:r w:rsidR="0061201F">
          <w:rPr>
            <w:noProof/>
            <w:webHidden/>
          </w:rPr>
        </w:r>
        <w:r w:rsidR="0061201F">
          <w:rPr>
            <w:noProof/>
            <w:webHidden/>
          </w:rPr>
          <w:fldChar w:fldCharType="separate"/>
        </w:r>
        <w:r w:rsidR="00EB1774">
          <w:rPr>
            <w:noProof/>
            <w:webHidden/>
          </w:rPr>
          <w:t>93</w:t>
        </w:r>
        <w:r w:rsidR="0061201F">
          <w:rPr>
            <w:noProof/>
            <w:webHidden/>
          </w:rPr>
          <w:fldChar w:fldCharType="end"/>
        </w:r>
      </w:hyperlink>
    </w:p>
    <w:p w14:paraId="351988B5" w14:textId="43462EBB" w:rsidR="00553F11" w:rsidRDefault="00155D4F" w:rsidP="00731FA4">
      <w:pPr>
        <w:pStyle w:val="Tiny"/>
      </w:pPr>
      <w:r w:rsidRPr="00636B05">
        <w:fldChar w:fldCharType="end"/>
      </w:r>
    </w:p>
    <w:p w14:paraId="218875CA" w14:textId="77777777" w:rsidR="00553F11" w:rsidRDefault="00553F11">
      <w:pPr>
        <w:rPr>
          <w:noProof/>
          <w:sz w:val="2"/>
          <w:szCs w:val="2"/>
        </w:rPr>
      </w:pPr>
      <w:r>
        <w:br w:type="page"/>
      </w:r>
    </w:p>
    <w:p w14:paraId="1B85D2A6" w14:textId="77777777" w:rsidR="00A04D72" w:rsidRDefault="00A04D72" w:rsidP="00731FA4">
      <w:pPr>
        <w:pStyle w:val="Tiny"/>
      </w:pPr>
    </w:p>
    <w:p w14:paraId="1F60BDCA" w14:textId="77777777" w:rsidR="0061201F" w:rsidRDefault="00155D4F" w:rsidP="004E2A0B">
      <w:pPr>
        <w:pStyle w:val="TOCHeading2"/>
        <w:rPr>
          <w:noProof/>
        </w:rPr>
      </w:pPr>
      <w:r w:rsidRPr="00636B05">
        <w:t>Figures</w:t>
      </w:r>
      <w:r w:rsidRPr="00731FA4">
        <w:rPr>
          <w:rStyle w:val="Hyperlink"/>
          <w:sz w:val="22"/>
          <w:szCs w:val="24"/>
          <w:lang w:eastAsia="en-US"/>
        </w:rPr>
        <w:fldChar w:fldCharType="begin"/>
      </w:r>
      <w:r w:rsidRPr="00731FA4">
        <w:rPr>
          <w:rStyle w:val="Hyperlink"/>
        </w:rPr>
        <w:instrText xml:space="preserve"> TOC \h \z \c "Figure_Apx" </w:instrText>
      </w:r>
      <w:r w:rsidRPr="00731FA4">
        <w:rPr>
          <w:rStyle w:val="Hyperlink"/>
          <w:sz w:val="22"/>
          <w:szCs w:val="24"/>
          <w:lang w:eastAsia="en-US"/>
        </w:rPr>
        <w:fldChar w:fldCharType="separate"/>
      </w:r>
    </w:p>
    <w:p w14:paraId="6EBAC833" w14:textId="22E6FF88" w:rsidR="0061201F" w:rsidRDefault="0017021F">
      <w:pPr>
        <w:pStyle w:val="TableofFigures"/>
        <w:rPr>
          <w:rFonts w:eastAsiaTheme="minorEastAsia" w:cstheme="minorBidi"/>
          <w:noProof/>
          <w:color w:val="auto"/>
          <w:szCs w:val="22"/>
          <w:lang w:val="en-AU" w:eastAsia="en-AU"/>
        </w:rPr>
      </w:pPr>
      <w:hyperlink w:anchor="_Toc60999873" w:history="1">
        <w:r w:rsidR="0061201F" w:rsidRPr="006B2437">
          <w:rPr>
            <w:rStyle w:val="Hyperlink"/>
          </w:rPr>
          <w:t>Figure A</w:t>
        </w:r>
        <w:r w:rsidR="0061201F" w:rsidRPr="006B2437">
          <w:rPr>
            <w:rStyle w:val="Hyperlink"/>
          </w:rPr>
          <w:noBreakHyphen/>
          <w:t>1:</w:t>
        </w:r>
        <w:r w:rsidR="0061201F">
          <w:rPr>
            <w:rFonts w:eastAsiaTheme="minorEastAsia" w:cstheme="minorBidi"/>
            <w:noProof/>
            <w:color w:val="auto"/>
            <w:szCs w:val="22"/>
            <w:lang w:val="en-AU" w:eastAsia="en-AU"/>
          </w:rPr>
          <w:tab/>
        </w:r>
        <w:r w:rsidR="0061201F" w:rsidRPr="006B2437">
          <w:rPr>
            <w:rStyle w:val="Hyperlink"/>
          </w:rPr>
          <w:t>AT Review methodology</w:t>
        </w:r>
        <w:r w:rsidR="0061201F">
          <w:rPr>
            <w:noProof/>
            <w:webHidden/>
          </w:rPr>
          <w:tab/>
        </w:r>
        <w:r w:rsidR="0061201F">
          <w:rPr>
            <w:noProof/>
            <w:webHidden/>
          </w:rPr>
          <w:fldChar w:fldCharType="begin"/>
        </w:r>
        <w:r w:rsidR="0061201F">
          <w:rPr>
            <w:noProof/>
            <w:webHidden/>
          </w:rPr>
          <w:instrText xml:space="preserve"> PAGEREF _Toc60999873 \h </w:instrText>
        </w:r>
        <w:r w:rsidR="0061201F">
          <w:rPr>
            <w:noProof/>
            <w:webHidden/>
          </w:rPr>
        </w:r>
        <w:r w:rsidR="0061201F">
          <w:rPr>
            <w:noProof/>
            <w:webHidden/>
          </w:rPr>
          <w:fldChar w:fldCharType="separate"/>
        </w:r>
        <w:r w:rsidR="00EB1774">
          <w:rPr>
            <w:noProof/>
            <w:webHidden/>
          </w:rPr>
          <w:t>6</w:t>
        </w:r>
        <w:r w:rsidR="0061201F">
          <w:rPr>
            <w:noProof/>
            <w:webHidden/>
          </w:rPr>
          <w:fldChar w:fldCharType="end"/>
        </w:r>
      </w:hyperlink>
    </w:p>
    <w:p w14:paraId="0E9F42EB" w14:textId="1691D3D0" w:rsidR="0061201F" w:rsidRDefault="0017021F">
      <w:pPr>
        <w:pStyle w:val="TableofFigures"/>
        <w:rPr>
          <w:rFonts w:eastAsiaTheme="minorEastAsia" w:cstheme="minorBidi"/>
          <w:noProof/>
          <w:color w:val="auto"/>
          <w:szCs w:val="22"/>
          <w:lang w:val="en-AU" w:eastAsia="en-AU"/>
        </w:rPr>
      </w:pPr>
      <w:hyperlink w:anchor="_Toc60999874" w:history="1">
        <w:r w:rsidR="0061201F" w:rsidRPr="006B2437">
          <w:rPr>
            <w:rStyle w:val="Hyperlink"/>
          </w:rPr>
          <w:t>Figure A</w:t>
        </w:r>
        <w:r w:rsidR="0061201F" w:rsidRPr="006B2437">
          <w:rPr>
            <w:rStyle w:val="Hyperlink"/>
          </w:rPr>
          <w:noBreakHyphen/>
          <w:t>2:</w:t>
        </w:r>
        <w:r w:rsidR="0061201F">
          <w:rPr>
            <w:rFonts w:eastAsiaTheme="minorEastAsia" w:cstheme="minorBidi"/>
            <w:noProof/>
            <w:color w:val="auto"/>
            <w:szCs w:val="22"/>
            <w:lang w:val="en-AU" w:eastAsia="en-AU"/>
          </w:rPr>
          <w:tab/>
        </w:r>
        <w:r w:rsidR="0061201F" w:rsidRPr="006B2437">
          <w:rPr>
            <w:rStyle w:val="Hyperlink"/>
          </w:rPr>
          <w:t>Key steps of the cost–benefit analysis</w:t>
        </w:r>
        <w:r w:rsidR="0061201F">
          <w:rPr>
            <w:noProof/>
            <w:webHidden/>
          </w:rPr>
          <w:tab/>
        </w:r>
        <w:r w:rsidR="0061201F">
          <w:rPr>
            <w:noProof/>
            <w:webHidden/>
          </w:rPr>
          <w:fldChar w:fldCharType="begin"/>
        </w:r>
        <w:r w:rsidR="0061201F">
          <w:rPr>
            <w:noProof/>
            <w:webHidden/>
          </w:rPr>
          <w:instrText xml:space="preserve"> PAGEREF _Toc60999874 \h </w:instrText>
        </w:r>
        <w:r w:rsidR="0061201F">
          <w:rPr>
            <w:noProof/>
            <w:webHidden/>
          </w:rPr>
        </w:r>
        <w:r w:rsidR="0061201F">
          <w:rPr>
            <w:noProof/>
            <w:webHidden/>
          </w:rPr>
          <w:fldChar w:fldCharType="separate"/>
        </w:r>
        <w:r w:rsidR="00EB1774">
          <w:rPr>
            <w:noProof/>
            <w:webHidden/>
          </w:rPr>
          <w:t>10</w:t>
        </w:r>
        <w:r w:rsidR="0061201F">
          <w:rPr>
            <w:noProof/>
            <w:webHidden/>
          </w:rPr>
          <w:fldChar w:fldCharType="end"/>
        </w:r>
      </w:hyperlink>
    </w:p>
    <w:p w14:paraId="0ED6E48D" w14:textId="4D498930" w:rsidR="0061201F" w:rsidRDefault="0017021F">
      <w:pPr>
        <w:pStyle w:val="TableofFigures"/>
        <w:rPr>
          <w:rFonts w:eastAsiaTheme="minorEastAsia" w:cstheme="minorBidi"/>
          <w:noProof/>
          <w:color w:val="auto"/>
          <w:szCs w:val="22"/>
          <w:lang w:val="en-AU" w:eastAsia="en-AU"/>
        </w:rPr>
      </w:pPr>
      <w:hyperlink w:anchor="_Toc60999875" w:history="1">
        <w:r w:rsidR="0061201F" w:rsidRPr="006B2437">
          <w:rPr>
            <w:rStyle w:val="Hyperlink"/>
          </w:rPr>
          <w:t>Figure A</w:t>
        </w:r>
        <w:r w:rsidR="0061201F" w:rsidRPr="006B2437">
          <w:rPr>
            <w:rStyle w:val="Hyperlink"/>
          </w:rPr>
          <w:noBreakHyphen/>
          <w:t>3:</w:t>
        </w:r>
        <w:r w:rsidR="0061201F">
          <w:rPr>
            <w:rFonts w:eastAsiaTheme="minorEastAsia" w:cstheme="minorBidi"/>
            <w:noProof/>
            <w:color w:val="auto"/>
            <w:szCs w:val="22"/>
            <w:lang w:val="en-AU" w:eastAsia="en-AU"/>
          </w:rPr>
          <w:tab/>
        </w:r>
        <w:r w:rsidR="0061201F" w:rsidRPr="006B2437">
          <w:rPr>
            <w:rStyle w:val="Hyperlink"/>
          </w:rPr>
          <w:t>Prevalence of core activity limitations among older Australians</w:t>
        </w:r>
        <w:r w:rsidR="0061201F">
          <w:rPr>
            <w:noProof/>
            <w:webHidden/>
          </w:rPr>
          <w:tab/>
        </w:r>
        <w:r w:rsidR="0061201F">
          <w:rPr>
            <w:noProof/>
            <w:webHidden/>
          </w:rPr>
          <w:fldChar w:fldCharType="begin"/>
        </w:r>
        <w:r w:rsidR="0061201F">
          <w:rPr>
            <w:noProof/>
            <w:webHidden/>
          </w:rPr>
          <w:instrText xml:space="preserve"> PAGEREF _Toc60999875 \h </w:instrText>
        </w:r>
        <w:r w:rsidR="0061201F">
          <w:rPr>
            <w:noProof/>
            <w:webHidden/>
          </w:rPr>
        </w:r>
        <w:r w:rsidR="0061201F">
          <w:rPr>
            <w:noProof/>
            <w:webHidden/>
          </w:rPr>
          <w:fldChar w:fldCharType="separate"/>
        </w:r>
        <w:r w:rsidR="00EB1774">
          <w:rPr>
            <w:noProof/>
            <w:webHidden/>
          </w:rPr>
          <w:t>12</w:t>
        </w:r>
        <w:r w:rsidR="0061201F">
          <w:rPr>
            <w:noProof/>
            <w:webHidden/>
          </w:rPr>
          <w:fldChar w:fldCharType="end"/>
        </w:r>
      </w:hyperlink>
    </w:p>
    <w:p w14:paraId="650AAB05" w14:textId="1E751C57" w:rsidR="0061201F" w:rsidRDefault="0017021F">
      <w:pPr>
        <w:pStyle w:val="TableofFigures"/>
        <w:rPr>
          <w:rFonts w:eastAsiaTheme="minorEastAsia" w:cstheme="minorBidi"/>
          <w:noProof/>
          <w:color w:val="auto"/>
          <w:szCs w:val="22"/>
          <w:lang w:val="en-AU" w:eastAsia="en-AU"/>
        </w:rPr>
      </w:pPr>
      <w:hyperlink w:anchor="_Toc60999876" w:history="1">
        <w:r w:rsidR="0061201F" w:rsidRPr="006B2437">
          <w:rPr>
            <w:rStyle w:val="Hyperlink"/>
          </w:rPr>
          <w:t>Figure A</w:t>
        </w:r>
        <w:r w:rsidR="0061201F" w:rsidRPr="006B2437">
          <w:rPr>
            <w:rStyle w:val="Hyperlink"/>
          </w:rPr>
          <w:noBreakHyphen/>
          <w:t>4:</w:t>
        </w:r>
        <w:r w:rsidR="0061201F">
          <w:rPr>
            <w:rFonts w:eastAsiaTheme="minorEastAsia" w:cstheme="minorBidi"/>
            <w:noProof/>
            <w:color w:val="auto"/>
            <w:szCs w:val="22"/>
            <w:lang w:val="en-AU" w:eastAsia="en-AU"/>
          </w:rPr>
          <w:tab/>
        </w:r>
        <w:r w:rsidR="0061201F" w:rsidRPr="006B2437">
          <w:rPr>
            <w:rStyle w:val="Hyperlink"/>
          </w:rPr>
          <w:t xml:space="preserve"> Seven steps to good clinical practice for the provision of AT</w:t>
        </w:r>
        <w:r w:rsidR="0061201F">
          <w:rPr>
            <w:noProof/>
            <w:webHidden/>
          </w:rPr>
          <w:tab/>
        </w:r>
        <w:r w:rsidR="0061201F">
          <w:rPr>
            <w:noProof/>
            <w:webHidden/>
          </w:rPr>
          <w:fldChar w:fldCharType="begin"/>
        </w:r>
        <w:r w:rsidR="0061201F">
          <w:rPr>
            <w:noProof/>
            <w:webHidden/>
          </w:rPr>
          <w:instrText xml:space="preserve"> PAGEREF _Toc60999876 \h </w:instrText>
        </w:r>
        <w:r w:rsidR="0061201F">
          <w:rPr>
            <w:noProof/>
            <w:webHidden/>
          </w:rPr>
        </w:r>
        <w:r w:rsidR="0061201F">
          <w:rPr>
            <w:noProof/>
            <w:webHidden/>
          </w:rPr>
          <w:fldChar w:fldCharType="separate"/>
        </w:r>
        <w:r w:rsidR="00EB1774">
          <w:rPr>
            <w:noProof/>
            <w:webHidden/>
          </w:rPr>
          <w:t>17</w:t>
        </w:r>
        <w:r w:rsidR="0061201F">
          <w:rPr>
            <w:noProof/>
            <w:webHidden/>
          </w:rPr>
          <w:fldChar w:fldCharType="end"/>
        </w:r>
      </w:hyperlink>
    </w:p>
    <w:p w14:paraId="654FC8B0" w14:textId="0DD96578" w:rsidR="0061201F" w:rsidRDefault="0017021F">
      <w:pPr>
        <w:pStyle w:val="TableofFigures"/>
        <w:rPr>
          <w:rFonts w:eastAsiaTheme="minorEastAsia" w:cstheme="minorBidi"/>
          <w:noProof/>
          <w:color w:val="auto"/>
          <w:szCs w:val="22"/>
          <w:lang w:val="en-AU" w:eastAsia="en-AU"/>
        </w:rPr>
      </w:pPr>
      <w:hyperlink w:anchor="_Toc60999877" w:history="1">
        <w:r w:rsidR="0061201F" w:rsidRPr="006B2437">
          <w:rPr>
            <w:rStyle w:val="Hyperlink"/>
          </w:rPr>
          <w:t>Figure B</w:t>
        </w:r>
        <w:r w:rsidR="0061201F" w:rsidRPr="006B2437">
          <w:rPr>
            <w:rStyle w:val="Hyperlink"/>
          </w:rPr>
          <w:noBreakHyphen/>
          <w:t>1:</w:t>
        </w:r>
        <w:r w:rsidR="0061201F">
          <w:rPr>
            <w:rFonts w:eastAsiaTheme="minorEastAsia" w:cstheme="minorBidi"/>
            <w:noProof/>
            <w:color w:val="auto"/>
            <w:szCs w:val="22"/>
            <w:lang w:val="en-AU" w:eastAsia="en-AU"/>
          </w:rPr>
          <w:tab/>
        </w:r>
        <w:r w:rsidR="0061201F" w:rsidRPr="006B2437">
          <w:rPr>
            <w:rStyle w:val="Hyperlink"/>
          </w:rPr>
          <w:t>Studies included in RER by level of evidence</w:t>
        </w:r>
        <w:r w:rsidR="0061201F">
          <w:rPr>
            <w:noProof/>
            <w:webHidden/>
          </w:rPr>
          <w:tab/>
        </w:r>
        <w:r w:rsidR="0061201F">
          <w:rPr>
            <w:noProof/>
            <w:webHidden/>
          </w:rPr>
          <w:fldChar w:fldCharType="begin"/>
        </w:r>
        <w:r w:rsidR="0061201F">
          <w:rPr>
            <w:noProof/>
            <w:webHidden/>
          </w:rPr>
          <w:instrText xml:space="preserve"> PAGEREF _Toc60999877 \h </w:instrText>
        </w:r>
        <w:r w:rsidR="0061201F">
          <w:rPr>
            <w:noProof/>
            <w:webHidden/>
          </w:rPr>
        </w:r>
        <w:r w:rsidR="0061201F">
          <w:rPr>
            <w:noProof/>
            <w:webHidden/>
          </w:rPr>
          <w:fldChar w:fldCharType="separate"/>
        </w:r>
        <w:r w:rsidR="00EB1774">
          <w:rPr>
            <w:noProof/>
            <w:webHidden/>
          </w:rPr>
          <w:t>40</w:t>
        </w:r>
        <w:r w:rsidR="0061201F">
          <w:rPr>
            <w:noProof/>
            <w:webHidden/>
          </w:rPr>
          <w:fldChar w:fldCharType="end"/>
        </w:r>
      </w:hyperlink>
    </w:p>
    <w:p w14:paraId="40D2FB07" w14:textId="3FFA06FC" w:rsidR="0061201F" w:rsidRDefault="0017021F">
      <w:pPr>
        <w:pStyle w:val="TableofFigures"/>
        <w:rPr>
          <w:rFonts w:eastAsiaTheme="minorEastAsia" w:cstheme="minorBidi"/>
          <w:noProof/>
          <w:color w:val="auto"/>
          <w:szCs w:val="22"/>
          <w:lang w:val="en-AU" w:eastAsia="en-AU"/>
        </w:rPr>
      </w:pPr>
      <w:hyperlink w:anchor="_Toc60999878" w:history="1">
        <w:r w:rsidR="0061201F" w:rsidRPr="006B2437">
          <w:rPr>
            <w:rStyle w:val="Hyperlink"/>
          </w:rPr>
          <w:t>Figure B</w:t>
        </w:r>
        <w:r w:rsidR="0061201F" w:rsidRPr="006B2437">
          <w:rPr>
            <w:rStyle w:val="Hyperlink"/>
          </w:rPr>
          <w:noBreakHyphen/>
          <w:t>2:</w:t>
        </w:r>
        <w:r w:rsidR="0061201F">
          <w:rPr>
            <w:rFonts w:eastAsiaTheme="minorEastAsia" w:cstheme="minorBidi"/>
            <w:noProof/>
            <w:color w:val="auto"/>
            <w:szCs w:val="22"/>
            <w:lang w:val="en-AU" w:eastAsia="en-AU"/>
          </w:rPr>
          <w:tab/>
        </w:r>
        <w:r w:rsidR="0061201F" w:rsidRPr="006B2437">
          <w:rPr>
            <w:rStyle w:val="Hyperlink"/>
          </w:rPr>
          <w:t>Word cloud to illustrate the various benefits of AT that were captured in the RER</w:t>
        </w:r>
        <w:r w:rsidR="0061201F">
          <w:rPr>
            <w:noProof/>
            <w:webHidden/>
          </w:rPr>
          <w:tab/>
        </w:r>
        <w:r w:rsidR="0061201F">
          <w:rPr>
            <w:noProof/>
            <w:webHidden/>
          </w:rPr>
          <w:fldChar w:fldCharType="begin"/>
        </w:r>
        <w:r w:rsidR="0061201F">
          <w:rPr>
            <w:noProof/>
            <w:webHidden/>
          </w:rPr>
          <w:instrText xml:space="preserve"> PAGEREF _Toc60999878 \h </w:instrText>
        </w:r>
        <w:r w:rsidR="0061201F">
          <w:rPr>
            <w:noProof/>
            <w:webHidden/>
          </w:rPr>
        </w:r>
        <w:r w:rsidR="0061201F">
          <w:rPr>
            <w:noProof/>
            <w:webHidden/>
          </w:rPr>
          <w:fldChar w:fldCharType="separate"/>
        </w:r>
        <w:r w:rsidR="00EB1774">
          <w:rPr>
            <w:noProof/>
            <w:webHidden/>
          </w:rPr>
          <w:t>41</w:t>
        </w:r>
        <w:r w:rsidR="0061201F">
          <w:rPr>
            <w:noProof/>
            <w:webHidden/>
          </w:rPr>
          <w:fldChar w:fldCharType="end"/>
        </w:r>
      </w:hyperlink>
    </w:p>
    <w:p w14:paraId="78F51561" w14:textId="49DFF9C7" w:rsidR="0061201F" w:rsidRDefault="0017021F">
      <w:pPr>
        <w:pStyle w:val="TableofFigures"/>
        <w:rPr>
          <w:rFonts w:eastAsiaTheme="minorEastAsia" w:cstheme="minorBidi"/>
          <w:noProof/>
          <w:color w:val="auto"/>
          <w:szCs w:val="22"/>
          <w:lang w:val="en-AU" w:eastAsia="en-AU"/>
        </w:rPr>
      </w:pPr>
      <w:hyperlink w:anchor="_Toc60999879" w:history="1">
        <w:r w:rsidR="0061201F" w:rsidRPr="006B2437">
          <w:rPr>
            <w:rStyle w:val="Hyperlink"/>
          </w:rPr>
          <w:t>Figure C</w:t>
        </w:r>
        <w:r w:rsidR="0061201F" w:rsidRPr="006B2437">
          <w:rPr>
            <w:rStyle w:val="Hyperlink"/>
          </w:rPr>
          <w:noBreakHyphen/>
          <w:t>1:</w:t>
        </w:r>
        <w:r w:rsidR="0061201F">
          <w:rPr>
            <w:rFonts w:eastAsiaTheme="minorEastAsia" w:cstheme="minorBidi"/>
            <w:noProof/>
            <w:color w:val="auto"/>
            <w:szCs w:val="22"/>
            <w:lang w:val="en-AU" w:eastAsia="en-AU"/>
          </w:rPr>
          <w:tab/>
        </w:r>
        <w:r w:rsidR="0061201F" w:rsidRPr="006B2437">
          <w:rPr>
            <w:rStyle w:val="Hyperlink"/>
          </w:rPr>
          <w:t>Delphi technique for the AT study demonstrating the three-stage iterative process</w:t>
        </w:r>
        <w:r w:rsidR="0061201F">
          <w:rPr>
            <w:noProof/>
            <w:webHidden/>
          </w:rPr>
          <w:tab/>
        </w:r>
        <w:r w:rsidR="0061201F">
          <w:rPr>
            <w:noProof/>
            <w:webHidden/>
          </w:rPr>
          <w:fldChar w:fldCharType="begin"/>
        </w:r>
        <w:r w:rsidR="0061201F">
          <w:rPr>
            <w:noProof/>
            <w:webHidden/>
          </w:rPr>
          <w:instrText xml:space="preserve"> PAGEREF _Toc60999879 \h </w:instrText>
        </w:r>
        <w:r w:rsidR="0061201F">
          <w:rPr>
            <w:noProof/>
            <w:webHidden/>
          </w:rPr>
        </w:r>
        <w:r w:rsidR="0061201F">
          <w:rPr>
            <w:noProof/>
            <w:webHidden/>
          </w:rPr>
          <w:fldChar w:fldCharType="separate"/>
        </w:r>
        <w:r w:rsidR="00EB1774">
          <w:rPr>
            <w:noProof/>
            <w:webHidden/>
          </w:rPr>
          <w:t>61</w:t>
        </w:r>
        <w:r w:rsidR="0061201F">
          <w:rPr>
            <w:noProof/>
            <w:webHidden/>
          </w:rPr>
          <w:fldChar w:fldCharType="end"/>
        </w:r>
      </w:hyperlink>
    </w:p>
    <w:p w14:paraId="6D422245" w14:textId="7128EE43" w:rsidR="0061201F" w:rsidRDefault="0017021F">
      <w:pPr>
        <w:pStyle w:val="TableofFigures"/>
        <w:rPr>
          <w:rFonts w:eastAsiaTheme="minorEastAsia" w:cstheme="minorBidi"/>
          <w:noProof/>
          <w:color w:val="auto"/>
          <w:szCs w:val="22"/>
          <w:lang w:val="en-AU" w:eastAsia="en-AU"/>
        </w:rPr>
      </w:pPr>
      <w:hyperlink w:anchor="_Toc60999880" w:history="1">
        <w:r w:rsidR="0061201F" w:rsidRPr="006B2437">
          <w:rPr>
            <w:rStyle w:val="Hyperlink"/>
          </w:rPr>
          <w:t>Figure C</w:t>
        </w:r>
        <w:r w:rsidR="0061201F" w:rsidRPr="006B2437">
          <w:rPr>
            <w:rStyle w:val="Hyperlink"/>
          </w:rPr>
          <w:noBreakHyphen/>
          <w:t>2:</w:t>
        </w:r>
        <w:r w:rsidR="0061201F">
          <w:rPr>
            <w:rFonts w:eastAsiaTheme="minorEastAsia" w:cstheme="minorBidi"/>
            <w:noProof/>
            <w:color w:val="auto"/>
            <w:szCs w:val="22"/>
            <w:lang w:val="en-AU" w:eastAsia="en-AU"/>
          </w:rPr>
          <w:tab/>
        </w:r>
        <w:r w:rsidR="0061201F" w:rsidRPr="006B2437">
          <w:rPr>
            <w:rStyle w:val="Hyperlink"/>
          </w:rPr>
          <w:t>Presentation to the focus group of the RER results and the pre-survey results</w:t>
        </w:r>
        <w:r w:rsidR="0061201F">
          <w:rPr>
            <w:noProof/>
            <w:webHidden/>
          </w:rPr>
          <w:tab/>
        </w:r>
        <w:r w:rsidR="0061201F">
          <w:rPr>
            <w:noProof/>
            <w:webHidden/>
          </w:rPr>
          <w:fldChar w:fldCharType="begin"/>
        </w:r>
        <w:r w:rsidR="0061201F">
          <w:rPr>
            <w:noProof/>
            <w:webHidden/>
          </w:rPr>
          <w:instrText xml:space="preserve"> PAGEREF _Toc60999880 \h </w:instrText>
        </w:r>
        <w:r w:rsidR="0061201F">
          <w:rPr>
            <w:noProof/>
            <w:webHidden/>
          </w:rPr>
        </w:r>
        <w:r w:rsidR="0061201F">
          <w:rPr>
            <w:noProof/>
            <w:webHidden/>
          </w:rPr>
          <w:fldChar w:fldCharType="separate"/>
        </w:r>
        <w:r w:rsidR="00EB1774">
          <w:rPr>
            <w:noProof/>
            <w:webHidden/>
          </w:rPr>
          <w:t>68</w:t>
        </w:r>
        <w:r w:rsidR="0061201F">
          <w:rPr>
            <w:noProof/>
            <w:webHidden/>
          </w:rPr>
          <w:fldChar w:fldCharType="end"/>
        </w:r>
      </w:hyperlink>
    </w:p>
    <w:p w14:paraId="1D29B0F9" w14:textId="00DAE5FD" w:rsidR="0061201F" w:rsidRDefault="0017021F">
      <w:pPr>
        <w:pStyle w:val="TableofFigures"/>
        <w:rPr>
          <w:rFonts w:eastAsiaTheme="minorEastAsia" w:cstheme="minorBidi"/>
          <w:noProof/>
          <w:color w:val="auto"/>
          <w:szCs w:val="22"/>
          <w:lang w:val="en-AU" w:eastAsia="en-AU"/>
        </w:rPr>
      </w:pPr>
      <w:hyperlink w:anchor="_Toc60999881" w:history="1">
        <w:r w:rsidR="0061201F" w:rsidRPr="006B2437">
          <w:rPr>
            <w:rStyle w:val="Hyperlink"/>
          </w:rPr>
          <w:t>Figure C</w:t>
        </w:r>
        <w:r w:rsidR="0061201F" w:rsidRPr="006B2437">
          <w:rPr>
            <w:rStyle w:val="Hyperlink"/>
          </w:rPr>
          <w:noBreakHyphen/>
          <w:t>3:</w:t>
        </w:r>
        <w:r w:rsidR="0061201F">
          <w:rPr>
            <w:rFonts w:eastAsiaTheme="minorEastAsia" w:cstheme="minorBidi"/>
            <w:noProof/>
            <w:color w:val="auto"/>
            <w:szCs w:val="22"/>
            <w:lang w:val="en-AU" w:eastAsia="en-AU"/>
          </w:rPr>
          <w:tab/>
        </w:r>
        <w:r w:rsidR="0061201F" w:rsidRPr="006B2437">
          <w:rPr>
            <w:rStyle w:val="Hyperlink"/>
          </w:rPr>
          <w:t>Presentation of the focus group results at the start of the post-survey</w:t>
        </w:r>
        <w:r w:rsidR="0061201F">
          <w:rPr>
            <w:noProof/>
            <w:webHidden/>
          </w:rPr>
          <w:tab/>
        </w:r>
        <w:r w:rsidR="0061201F">
          <w:rPr>
            <w:noProof/>
            <w:webHidden/>
          </w:rPr>
          <w:fldChar w:fldCharType="begin"/>
        </w:r>
        <w:r w:rsidR="0061201F">
          <w:rPr>
            <w:noProof/>
            <w:webHidden/>
          </w:rPr>
          <w:instrText xml:space="preserve"> PAGEREF _Toc60999881 \h </w:instrText>
        </w:r>
        <w:r w:rsidR="0061201F">
          <w:rPr>
            <w:noProof/>
            <w:webHidden/>
          </w:rPr>
        </w:r>
        <w:r w:rsidR="0061201F">
          <w:rPr>
            <w:noProof/>
            <w:webHidden/>
          </w:rPr>
          <w:fldChar w:fldCharType="separate"/>
        </w:r>
        <w:r w:rsidR="00EB1774">
          <w:rPr>
            <w:noProof/>
            <w:webHidden/>
          </w:rPr>
          <w:t>69</w:t>
        </w:r>
        <w:r w:rsidR="0061201F">
          <w:rPr>
            <w:noProof/>
            <w:webHidden/>
          </w:rPr>
          <w:fldChar w:fldCharType="end"/>
        </w:r>
      </w:hyperlink>
    </w:p>
    <w:p w14:paraId="6376F654" w14:textId="2179609D" w:rsidR="0061201F" w:rsidRDefault="0017021F">
      <w:pPr>
        <w:pStyle w:val="TableofFigures"/>
        <w:rPr>
          <w:rFonts w:eastAsiaTheme="minorEastAsia" w:cstheme="minorBidi"/>
          <w:noProof/>
          <w:color w:val="auto"/>
          <w:szCs w:val="22"/>
          <w:lang w:val="en-AU" w:eastAsia="en-AU"/>
        </w:rPr>
      </w:pPr>
      <w:hyperlink w:anchor="_Toc60999882" w:history="1">
        <w:r w:rsidR="0061201F" w:rsidRPr="006B2437">
          <w:rPr>
            <w:rStyle w:val="Hyperlink"/>
          </w:rPr>
          <w:t>Figure C</w:t>
        </w:r>
        <w:r w:rsidR="0061201F" w:rsidRPr="006B2437">
          <w:rPr>
            <w:rStyle w:val="Hyperlink"/>
          </w:rPr>
          <w:noBreakHyphen/>
          <w:t>4:</w:t>
        </w:r>
        <w:r w:rsidR="0061201F">
          <w:rPr>
            <w:rFonts w:eastAsiaTheme="minorEastAsia" w:cstheme="minorBidi"/>
            <w:noProof/>
            <w:color w:val="auto"/>
            <w:szCs w:val="22"/>
            <w:lang w:val="en-AU" w:eastAsia="en-AU"/>
          </w:rPr>
          <w:tab/>
        </w:r>
        <w:r w:rsidR="0061201F" w:rsidRPr="006B2437">
          <w:rPr>
            <w:rStyle w:val="Hyperlink"/>
          </w:rPr>
          <w:t>Panellist reported images of AT</w:t>
        </w:r>
        <w:r w:rsidR="0061201F">
          <w:rPr>
            <w:noProof/>
            <w:webHidden/>
          </w:rPr>
          <w:tab/>
        </w:r>
        <w:r w:rsidR="0061201F">
          <w:rPr>
            <w:noProof/>
            <w:webHidden/>
          </w:rPr>
          <w:fldChar w:fldCharType="begin"/>
        </w:r>
        <w:r w:rsidR="0061201F">
          <w:rPr>
            <w:noProof/>
            <w:webHidden/>
          </w:rPr>
          <w:instrText xml:space="preserve"> PAGEREF _Toc60999882 \h </w:instrText>
        </w:r>
        <w:r w:rsidR="0061201F">
          <w:rPr>
            <w:noProof/>
            <w:webHidden/>
          </w:rPr>
        </w:r>
        <w:r w:rsidR="0061201F">
          <w:rPr>
            <w:noProof/>
            <w:webHidden/>
          </w:rPr>
          <w:fldChar w:fldCharType="separate"/>
        </w:r>
        <w:r w:rsidR="00EB1774">
          <w:rPr>
            <w:noProof/>
            <w:webHidden/>
          </w:rPr>
          <w:t>70</w:t>
        </w:r>
        <w:r w:rsidR="0061201F">
          <w:rPr>
            <w:noProof/>
            <w:webHidden/>
          </w:rPr>
          <w:fldChar w:fldCharType="end"/>
        </w:r>
      </w:hyperlink>
    </w:p>
    <w:p w14:paraId="65D4E55B" w14:textId="606D3315" w:rsidR="0061201F" w:rsidRDefault="0017021F">
      <w:pPr>
        <w:pStyle w:val="TableofFigures"/>
        <w:rPr>
          <w:rFonts w:eastAsiaTheme="minorEastAsia" w:cstheme="minorBidi"/>
          <w:noProof/>
          <w:color w:val="auto"/>
          <w:szCs w:val="22"/>
          <w:lang w:val="en-AU" w:eastAsia="en-AU"/>
        </w:rPr>
      </w:pPr>
      <w:hyperlink w:anchor="_Toc60999883" w:history="1">
        <w:r w:rsidR="0061201F" w:rsidRPr="006B2437">
          <w:rPr>
            <w:rStyle w:val="Hyperlink"/>
          </w:rPr>
          <w:t>Figure C</w:t>
        </w:r>
        <w:r w:rsidR="0061201F" w:rsidRPr="006B2437">
          <w:rPr>
            <w:rStyle w:val="Hyperlink"/>
          </w:rPr>
          <w:noBreakHyphen/>
          <w:t>5:</w:t>
        </w:r>
        <w:r w:rsidR="0061201F">
          <w:rPr>
            <w:rFonts w:eastAsiaTheme="minorEastAsia" w:cstheme="minorBidi"/>
            <w:noProof/>
            <w:color w:val="auto"/>
            <w:szCs w:val="22"/>
            <w:lang w:val="en-AU" w:eastAsia="en-AU"/>
          </w:rPr>
          <w:tab/>
        </w:r>
        <w:r w:rsidR="0061201F" w:rsidRPr="006B2437">
          <w:rPr>
            <w:rStyle w:val="Hyperlink"/>
          </w:rPr>
          <w:t>Panellist reported benefits of AT</w:t>
        </w:r>
        <w:r w:rsidR="0061201F">
          <w:rPr>
            <w:noProof/>
            <w:webHidden/>
          </w:rPr>
          <w:tab/>
        </w:r>
        <w:r w:rsidR="0061201F">
          <w:rPr>
            <w:noProof/>
            <w:webHidden/>
          </w:rPr>
          <w:fldChar w:fldCharType="begin"/>
        </w:r>
        <w:r w:rsidR="0061201F">
          <w:rPr>
            <w:noProof/>
            <w:webHidden/>
          </w:rPr>
          <w:instrText xml:space="preserve"> PAGEREF _Toc60999883 \h </w:instrText>
        </w:r>
        <w:r w:rsidR="0061201F">
          <w:rPr>
            <w:noProof/>
            <w:webHidden/>
          </w:rPr>
        </w:r>
        <w:r w:rsidR="0061201F">
          <w:rPr>
            <w:noProof/>
            <w:webHidden/>
          </w:rPr>
          <w:fldChar w:fldCharType="separate"/>
        </w:r>
        <w:r w:rsidR="00EB1774">
          <w:rPr>
            <w:noProof/>
            <w:webHidden/>
          </w:rPr>
          <w:t>71</w:t>
        </w:r>
        <w:r w:rsidR="0061201F">
          <w:rPr>
            <w:noProof/>
            <w:webHidden/>
          </w:rPr>
          <w:fldChar w:fldCharType="end"/>
        </w:r>
      </w:hyperlink>
    </w:p>
    <w:p w14:paraId="336FC307" w14:textId="32F2A6D5" w:rsidR="0061201F" w:rsidRDefault="0017021F">
      <w:pPr>
        <w:pStyle w:val="TableofFigures"/>
        <w:rPr>
          <w:rFonts w:eastAsiaTheme="minorEastAsia" w:cstheme="minorBidi"/>
          <w:noProof/>
          <w:color w:val="auto"/>
          <w:szCs w:val="22"/>
          <w:lang w:val="en-AU" w:eastAsia="en-AU"/>
        </w:rPr>
      </w:pPr>
      <w:hyperlink w:anchor="_Toc60999884" w:history="1">
        <w:r w:rsidR="0061201F" w:rsidRPr="006B2437">
          <w:rPr>
            <w:rStyle w:val="Hyperlink"/>
          </w:rPr>
          <w:t>Figure C</w:t>
        </w:r>
        <w:r w:rsidR="0061201F" w:rsidRPr="006B2437">
          <w:rPr>
            <w:rStyle w:val="Hyperlink"/>
          </w:rPr>
          <w:noBreakHyphen/>
          <w:t>6:</w:t>
        </w:r>
        <w:r w:rsidR="0061201F">
          <w:rPr>
            <w:rFonts w:eastAsiaTheme="minorEastAsia" w:cstheme="minorBidi"/>
            <w:noProof/>
            <w:color w:val="auto"/>
            <w:szCs w:val="22"/>
            <w:lang w:val="en-AU" w:eastAsia="en-AU"/>
          </w:rPr>
          <w:tab/>
        </w:r>
        <w:r w:rsidR="0061201F" w:rsidRPr="006B2437">
          <w:rPr>
            <w:rStyle w:val="Hyperlink"/>
          </w:rPr>
          <w:t>Panellist quotes to reflect the main themes from the focus group</w:t>
        </w:r>
        <w:r w:rsidR="0061201F">
          <w:rPr>
            <w:noProof/>
            <w:webHidden/>
          </w:rPr>
          <w:tab/>
        </w:r>
        <w:r w:rsidR="0061201F">
          <w:rPr>
            <w:noProof/>
            <w:webHidden/>
          </w:rPr>
          <w:fldChar w:fldCharType="begin"/>
        </w:r>
        <w:r w:rsidR="0061201F">
          <w:rPr>
            <w:noProof/>
            <w:webHidden/>
          </w:rPr>
          <w:instrText xml:space="preserve"> PAGEREF _Toc60999884 \h </w:instrText>
        </w:r>
        <w:r w:rsidR="0061201F">
          <w:rPr>
            <w:noProof/>
            <w:webHidden/>
          </w:rPr>
        </w:r>
        <w:r w:rsidR="0061201F">
          <w:rPr>
            <w:noProof/>
            <w:webHidden/>
          </w:rPr>
          <w:fldChar w:fldCharType="separate"/>
        </w:r>
        <w:r w:rsidR="00EB1774">
          <w:rPr>
            <w:noProof/>
            <w:webHidden/>
          </w:rPr>
          <w:t>72</w:t>
        </w:r>
        <w:r w:rsidR="0061201F">
          <w:rPr>
            <w:noProof/>
            <w:webHidden/>
          </w:rPr>
          <w:fldChar w:fldCharType="end"/>
        </w:r>
      </w:hyperlink>
    </w:p>
    <w:p w14:paraId="6199BDC1" w14:textId="1EC01BFC" w:rsidR="0061201F" w:rsidRDefault="0017021F">
      <w:pPr>
        <w:pStyle w:val="TableofFigures"/>
        <w:rPr>
          <w:rFonts w:eastAsiaTheme="minorEastAsia" w:cstheme="minorBidi"/>
          <w:noProof/>
          <w:color w:val="auto"/>
          <w:szCs w:val="22"/>
          <w:lang w:val="en-AU" w:eastAsia="en-AU"/>
        </w:rPr>
      </w:pPr>
      <w:hyperlink w:anchor="_Toc60999885" w:history="1">
        <w:r w:rsidR="0061201F" w:rsidRPr="006B2437">
          <w:rPr>
            <w:rStyle w:val="Hyperlink"/>
          </w:rPr>
          <w:t>Figure C</w:t>
        </w:r>
        <w:r w:rsidR="0061201F" w:rsidRPr="006B2437">
          <w:rPr>
            <w:rStyle w:val="Hyperlink"/>
          </w:rPr>
          <w:noBreakHyphen/>
          <w:t>7:</w:t>
        </w:r>
        <w:r w:rsidR="0061201F">
          <w:rPr>
            <w:rFonts w:eastAsiaTheme="minorEastAsia" w:cstheme="minorBidi"/>
            <w:noProof/>
            <w:color w:val="auto"/>
            <w:szCs w:val="22"/>
            <w:lang w:val="en-AU" w:eastAsia="en-AU"/>
          </w:rPr>
          <w:tab/>
        </w:r>
        <w:r w:rsidR="0061201F" w:rsidRPr="006B2437">
          <w:rPr>
            <w:rStyle w:val="Hyperlink"/>
          </w:rPr>
          <w:t>Benefits of using AT in the home and community</w:t>
        </w:r>
        <w:r w:rsidR="0061201F">
          <w:rPr>
            <w:noProof/>
            <w:webHidden/>
          </w:rPr>
          <w:tab/>
        </w:r>
        <w:r w:rsidR="0061201F">
          <w:rPr>
            <w:noProof/>
            <w:webHidden/>
          </w:rPr>
          <w:fldChar w:fldCharType="begin"/>
        </w:r>
        <w:r w:rsidR="0061201F">
          <w:rPr>
            <w:noProof/>
            <w:webHidden/>
          </w:rPr>
          <w:instrText xml:space="preserve"> PAGEREF _Toc60999885 \h </w:instrText>
        </w:r>
        <w:r w:rsidR="0061201F">
          <w:rPr>
            <w:noProof/>
            <w:webHidden/>
          </w:rPr>
        </w:r>
        <w:r w:rsidR="0061201F">
          <w:rPr>
            <w:noProof/>
            <w:webHidden/>
          </w:rPr>
          <w:fldChar w:fldCharType="separate"/>
        </w:r>
        <w:r w:rsidR="00EB1774">
          <w:rPr>
            <w:noProof/>
            <w:webHidden/>
          </w:rPr>
          <w:t>74</w:t>
        </w:r>
        <w:r w:rsidR="0061201F">
          <w:rPr>
            <w:noProof/>
            <w:webHidden/>
          </w:rPr>
          <w:fldChar w:fldCharType="end"/>
        </w:r>
      </w:hyperlink>
    </w:p>
    <w:p w14:paraId="621189A0" w14:textId="188EDD52" w:rsidR="0061201F" w:rsidRDefault="0017021F">
      <w:pPr>
        <w:pStyle w:val="TableofFigures"/>
        <w:rPr>
          <w:rFonts w:eastAsiaTheme="minorEastAsia" w:cstheme="minorBidi"/>
          <w:noProof/>
          <w:color w:val="auto"/>
          <w:szCs w:val="22"/>
          <w:lang w:val="en-AU" w:eastAsia="en-AU"/>
        </w:rPr>
      </w:pPr>
      <w:hyperlink w:anchor="_Toc60999886" w:history="1">
        <w:r w:rsidR="0061201F" w:rsidRPr="006B2437">
          <w:rPr>
            <w:rStyle w:val="Hyperlink"/>
          </w:rPr>
          <w:t>Figure C</w:t>
        </w:r>
        <w:r w:rsidR="0061201F" w:rsidRPr="006B2437">
          <w:rPr>
            <w:rStyle w:val="Hyperlink"/>
          </w:rPr>
          <w:noBreakHyphen/>
          <w:t>8:</w:t>
        </w:r>
        <w:r w:rsidR="0061201F">
          <w:rPr>
            <w:rFonts w:eastAsiaTheme="minorEastAsia" w:cstheme="minorBidi"/>
            <w:noProof/>
            <w:color w:val="auto"/>
            <w:szCs w:val="22"/>
            <w:lang w:val="en-AU" w:eastAsia="en-AU"/>
          </w:rPr>
          <w:tab/>
        </w:r>
        <w:r w:rsidR="0061201F" w:rsidRPr="006B2437">
          <w:rPr>
            <w:rStyle w:val="Hyperlink"/>
          </w:rPr>
          <w:t>Benefits of using AT for families and carers</w:t>
        </w:r>
        <w:r w:rsidR="0061201F">
          <w:rPr>
            <w:noProof/>
            <w:webHidden/>
          </w:rPr>
          <w:tab/>
        </w:r>
        <w:r w:rsidR="0061201F">
          <w:rPr>
            <w:noProof/>
            <w:webHidden/>
          </w:rPr>
          <w:fldChar w:fldCharType="begin"/>
        </w:r>
        <w:r w:rsidR="0061201F">
          <w:rPr>
            <w:noProof/>
            <w:webHidden/>
          </w:rPr>
          <w:instrText xml:space="preserve"> PAGEREF _Toc60999886 \h </w:instrText>
        </w:r>
        <w:r w:rsidR="0061201F">
          <w:rPr>
            <w:noProof/>
            <w:webHidden/>
          </w:rPr>
        </w:r>
        <w:r w:rsidR="0061201F">
          <w:rPr>
            <w:noProof/>
            <w:webHidden/>
          </w:rPr>
          <w:fldChar w:fldCharType="separate"/>
        </w:r>
        <w:r w:rsidR="00EB1774">
          <w:rPr>
            <w:noProof/>
            <w:webHidden/>
          </w:rPr>
          <w:t>75</w:t>
        </w:r>
        <w:r w:rsidR="0061201F">
          <w:rPr>
            <w:noProof/>
            <w:webHidden/>
          </w:rPr>
          <w:fldChar w:fldCharType="end"/>
        </w:r>
      </w:hyperlink>
    </w:p>
    <w:p w14:paraId="55D9AA45" w14:textId="4C77F719" w:rsidR="0061201F" w:rsidRDefault="0017021F">
      <w:pPr>
        <w:pStyle w:val="TableofFigures"/>
        <w:rPr>
          <w:rFonts w:eastAsiaTheme="minorEastAsia" w:cstheme="minorBidi"/>
          <w:noProof/>
          <w:color w:val="auto"/>
          <w:szCs w:val="22"/>
          <w:lang w:val="en-AU" w:eastAsia="en-AU"/>
        </w:rPr>
      </w:pPr>
      <w:hyperlink w:anchor="_Toc60999887" w:history="1">
        <w:r w:rsidR="0061201F" w:rsidRPr="006B2437">
          <w:rPr>
            <w:rStyle w:val="Hyperlink"/>
          </w:rPr>
          <w:t>Figure C</w:t>
        </w:r>
        <w:r w:rsidR="0061201F" w:rsidRPr="006B2437">
          <w:rPr>
            <w:rStyle w:val="Hyperlink"/>
          </w:rPr>
          <w:noBreakHyphen/>
          <w:t>9:</w:t>
        </w:r>
        <w:r w:rsidR="0061201F">
          <w:rPr>
            <w:rFonts w:eastAsiaTheme="minorEastAsia" w:cstheme="minorBidi"/>
            <w:noProof/>
            <w:color w:val="auto"/>
            <w:szCs w:val="22"/>
            <w:lang w:val="en-AU" w:eastAsia="en-AU"/>
          </w:rPr>
          <w:tab/>
        </w:r>
        <w:r w:rsidR="0061201F" w:rsidRPr="006B2437">
          <w:rPr>
            <w:rStyle w:val="Hyperlink"/>
          </w:rPr>
          <w:t>Benefits of using AT for the health and aged care systems</w:t>
        </w:r>
        <w:r w:rsidR="0061201F">
          <w:rPr>
            <w:noProof/>
            <w:webHidden/>
          </w:rPr>
          <w:tab/>
        </w:r>
        <w:r w:rsidR="0061201F">
          <w:rPr>
            <w:noProof/>
            <w:webHidden/>
          </w:rPr>
          <w:fldChar w:fldCharType="begin"/>
        </w:r>
        <w:r w:rsidR="0061201F">
          <w:rPr>
            <w:noProof/>
            <w:webHidden/>
          </w:rPr>
          <w:instrText xml:space="preserve"> PAGEREF _Toc60999887 \h </w:instrText>
        </w:r>
        <w:r w:rsidR="0061201F">
          <w:rPr>
            <w:noProof/>
            <w:webHidden/>
          </w:rPr>
        </w:r>
        <w:r w:rsidR="0061201F">
          <w:rPr>
            <w:noProof/>
            <w:webHidden/>
          </w:rPr>
          <w:fldChar w:fldCharType="separate"/>
        </w:r>
        <w:r w:rsidR="00EB1774">
          <w:rPr>
            <w:noProof/>
            <w:webHidden/>
          </w:rPr>
          <w:t>76</w:t>
        </w:r>
        <w:r w:rsidR="0061201F">
          <w:rPr>
            <w:noProof/>
            <w:webHidden/>
          </w:rPr>
          <w:fldChar w:fldCharType="end"/>
        </w:r>
      </w:hyperlink>
    </w:p>
    <w:p w14:paraId="1A660F88" w14:textId="4EA07062" w:rsidR="0061201F" w:rsidRDefault="0017021F">
      <w:pPr>
        <w:pStyle w:val="TableofFigures"/>
        <w:rPr>
          <w:rFonts w:eastAsiaTheme="minorEastAsia" w:cstheme="minorBidi"/>
          <w:noProof/>
          <w:color w:val="auto"/>
          <w:szCs w:val="22"/>
          <w:lang w:val="en-AU" w:eastAsia="en-AU"/>
        </w:rPr>
      </w:pPr>
      <w:hyperlink w:anchor="_Toc60999888" w:history="1">
        <w:r w:rsidR="0061201F" w:rsidRPr="006B2437">
          <w:rPr>
            <w:rStyle w:val="Hyperlink"/>
          </w:rPr>
          <w:t>Figure C</w:t>
        </w:r>
        <w:r w:rsidR="0061201F" w:rsidRPr="006B2437">
          <w:rPr>
            <w:rStyle w:val="Hyperlink"/>
          </w:rPr>
          <w:noBreakHyphen/>
          <w:t>10:</w:t>
        </w:r>
        <w:r w:rsidR="0061201F">
          <w:rPr>
            <w:rFonts w:eastAsiaTheme="minorEastAsia" w:cstheme="minorBidi"/>
            <w:noProof/>
            <w:color w:val="auto"/>
            <w:szCs w:val="22"/>
            <w:lang w:val="en-AU" w:eastAsia="en-AU"/>
          </w:rPr>
          <w:tab/>
        </w:r>
        <w:r w:rsidR="0061201F" w:rsidRPr="006B2437">
          <w:rPr>
            <w:rStyle w:val="Hyperlink"/>
            <w:lang w:val="en-AU"/>
          </w:rPr>
          <w:t>Quantitative summary of the benefits of access to AT – pre-survey</w:t>
        </w:r>
        <w:r w:rsidR="0061201F">
          <w:rPr>
            <w:noProof/>
            <w:webHidden/>
          </w:rPr>
          <w:tab/>
        </w:r>
        <w:r w:rsidR="0061201F">
          <w:rPr>
            <w:noProof/>
            <w:webHidden/>
          </w:rPr>
          <w:fldChar w:fldCharType="begin"/>
        </w:r>
        <w:r w:rsidR="0061201F">
          <w:rPr>
            <w:noProof/>
            <w:webHidden/>
          </w:rPr>
          <w:instrText xml:space="preserve"> PAGEREF _Toc60999888 \h </w:instrText>
        </w:r>
        <w:r w:rsidR="0061201F">
          <w:rPr>
            <w:noProof/>
            <w:webHidden/>
          </w:rPr>
        </w:r>
        <w:r w:rsidR="0061201F">
          <w:rPr>
            <w:noProof/>
            <w:webHidden/>
          </w:rPr>
          <w:fldChar w:fldCharType="separate"/>
        </w:r>
        <w:r w:rsidR="00EB1774">
          <w:rPr>
            <w:noProof/>
            <w:webHidden/>
          </w:rPr>
          <w:t>81</w:t>
        </w:r>
        <w:r w:rsidR="0061201F">
          <w:rPr>
            <w:noProof/>
            <w:webHidden/>
          </w:rPr>
          <w:fldChar w:fldCharType="end"/>
        </w:r>
      </w:hyperlink>
    </w:p>
    <w:p w14:paraId="586E8E8D" w14:textId="4B725AD3" w:rsidR="0061201F" w:rsidRDefault="0017021F">
      <w:pPr>
        <w:pStyle w:val="TableofFigures"/>
        <w:rPr>
          <w:rFonts w:eastAsiaTheme="minorEastAsia" w:cstheme="minorBidi"/>
          <w:noProof/>
          <w:color w:val="auto"/>
          <w:szCs w:val="22"/>
          <w:lang w:val="en-AU" w:eastAsia="en-AU"/>
        </w:rPr>
      </w:pPr>
      <w:hyperlink w:anchor="_Toc60999889" w:history="1">
        <w:r w:rsidR="0061201F" w:rsidRPr="006B2437">
          <w:rPr>
            <w:rStyle w:val="Hyperlink"/>
          </w:rPr>
          <w:t>Figure C</w:t>
        </w:r>
        <w:r w:rsidR="0061201F" w:rsidRPr="006B2437">
          <w:rPr>
            <w:rStyle w:val="Hyperlink"/>
          </w:rPr>
          <w:noBreakHyphen/>
          <w:t>11:</w:t>
        </w:r>
        <w:r w:rsidR="0061201F">
          <w:rPr>
            <w:rFonts w:eastAsiaTheme="minorEastAsia" w:cstheme="minorBidi"/>
            <w:noProof/>
            <w:color w:val="auto"/>
            <w:szCs w:val="22"/>
            <w:lang w:val="en-AU" w:eastAsia="en-AU"/>
          </w:rPr>
          <w:tab/>
        </w:r>
        <w:r w:rsidR="0061201F" w:rsidRPr="006B2437">
          <w:rPr>
            <w:rStyle w:val="Hyperlink"/>
            <w:lang w:val="en-AU"/>
          </w:rPr>
          <w:t>Qualitative summary of the benefits of access to AT – focus group</w:t>
        </w:r>
        <w:r w:rsidR="0061201F">
          <w:rPr>
            <w:noProof/>
            <w:webHidden/>
          </w:rPr>
          <w:tab/>
        </w:r>
        <w:r w:rsidR="0061201F">
          <w:rPr>
            <w:noProof/>
            <w:webHidden/>
          </w:rPr>
          <w:fldChar w:fldCharType="begin"/>
        </w:r>
        <w:r w:rsidR="0061201F">
          <w:rPr>
            <w:noProof/>
            <w:webHidden/>
          </w:rPr>
          <w:instrText xml:space="preserve"> PAGEREF _Toc60999889 \h </w:instrText>
        </w:r>
        <w:r w:rsidR="0061201F">
          <w:rPr>
            <w:noProof/>
            <w:webHidden/>
          </w:rPr>
        </w:r>
        <w:r w:rsidR="0061201F">
          <w:rPr>
            <w:noProof/>
            <w:webHidden/>
          </w:rPr>
          <w:fldChar w:fldCharType="separate"/>
        </w:r>
        <w:r w:rsidR="00EB1774">
          <w:rPr>
            <w:noProof/>
            <w:webHidden/>
          </w:rPr>
          <w:t>82</w:t>
        </w:r>
        <w:r w:rsidR="0061201F">
          <w:rPr>
            <w:noProof/>
            <w:webHidden/>
          </w:rPr>
          <w:fldChar w:fldCharType="end"/>
        </w:r>
      </w:hyperlink>
    </w:p>
    <w:p w14:paraId="245F8F44" w14:textId="614C8CB9" w:rsidR="0061201F" w:rsidRDefault="0017021F">
      <w:pPr>
        <w:pStyle w:val="TableofFigures"/>
        <w:rPr>
          <w:rFonts w:eastAsiaTheme="minorEastAsia" w:cstheme="minorBidi"/>
          <w:noProof/>
          <w:color w:val="auto"/>
          <w:szCs w:val="22"/>
          <w:lang w:val="en-AU" w:eastAsia="en-AU"/>
        </w:rPr>
      </w:pPr>
      <w:hyperlink w:anchor="_Toc60999890" w:history="1">
        <w:r w:rsidR="0061201F" w:rsidRPr="006B2437">
          <w:rPr>
            <w:rStyle w:val="Hyperlink"/>
          </w:rPr>
          <w:t>Figure C</w:t>
        </w:r>
        <w:r w:rsidR="0061201F" w:rsidRPr="006B2437">
          <w:rPr>
            <w:rStyle w:val="Hyperlink"/>
          </w:rPr>
          <w:noBreakHyphen/>
          <w:t>12:</w:t>
        </w:r>
        <w:r w:rsidR="0061201F">
          <w:rPr>
            <w:rFonts w:eastAsiaTheme="minorEastAsia" w:cstheme="minorBidi"/>
            <w:noProof/>
            <w:color w:val="auto"/>
            <w:szCs w:val="22"/>
            <w:lang w:val="en-AU" w:eastAsia="en-AU"/>
          </w:rPr>
          <w:tab/>
        </w:r>
        <w:r w:rsidR="0061201F" w:rsidRPr="006B2437">
          <w:rPr>
            <w:rStyle w:val="Hyperlink"/>
            <w:lang w:val="en-AU"/>
          </w:rPr>
          <w:t>Quantitative summary of the benefits of access to AT – post-survey</w:t>
        </w:r>
        <w:r w:rsidR="0061201F">
          <w:rPr>
            <w:noProof/>
            <w:webHidden/>
          </w:rPr>
          <w:tab/>
        </w:r>
        <w:r w:rsidR="0061201F">
          <w:rPr>
            <w:noProof/>
            <w:webHidden/>
          </w:rPr>
          <w:fldChar w:fldCharType="begin"/>
        </w:r>
        <w:r w:rsidR="0061201F">
          <w:rPr>
            <w:noProof/>
            <w:webHidden/>
          </w:rPr>
          <w:instrText xml:space="preserve"> PAGEREF _Toc60999890 \h </w:instrText>
        </w:r>
        <w:r w:rsidR="0061201F">
          <w:rPr>
            <w:noProof/>
            <w:webHidden/>
          </w:rPr>
        </w:r>
        <w:r w:rsidR="0061201F">
          <w:rPr>
            <w:noProof/>
            <w:webHidden/>
          </w:rPr>
          <w:fldChar w:fldCharType="separate"/>
        </w:r>
        <w:r w:rsidR="00EB1774">
          <w:rPr>
            <w:noProof/>
            <w:webHidden/>
          </w:rPr>
          <w:t>83</w:t>
        </w:r>
        <w:r w:rsidR="0061201F">
          <w:rPr>
            <w:noProof/>
            <w:webHidden/>
          </w:rPr>
          <w:fldChar w:fldCharType="end"/>
        </w:r>
      </w:hyperlink>
    </w:p>
    <w:p w14:paraId="0107E798" w14:textId="5CF6DB4E" w:rsidR="0061201F" w:rsidRDefault="0017021F">
      <w:pPr>
        <w:pStyle w:val="TableofFigures"/>
        <w:rPr>
          <w:rFonts w:eastAsiaTheme="minorEastAsia" w:cstheme="minorBidi"/>
          <w:noProof/>
          <w:color w:val="auto"/>
          <w:szCs w:val="22"/>
          <w:lang w:val="en-AU" w:eastAsia="en-AU"/>
        </w:rPr>
      </w:pPr>
      <w:hyperlink w:anchor="_Toc60999891" w:history="1">
        <w:r w:rsidR="0061201F" w:rsidRPr="006B2437">
          <w:rPr>
            <w:rStyle w:val="Hyperlink"/>
          </w:rPr>
          <w:t>Figure C</w:t>
        </w:r>
        <w:r w:rsidR="0061201F" w:rsidRPr="006B2437">
          <w:rPr>
            <w:rStyle w:val="Hyperlink"/>
          </w:rPr>
          <w:noBreakHyphen/>
          <w:t>13:</w:t>
        </w:r>
        <w:r w:rsidR="0061201F">
          <w:rPr>
            <w:rFonts w:eastAsiaTheme="minorEastAsia" w:cstheme="minorBidi"/>
            <w:noProof/>
            <w:color w:val="auto"/>
            <w:szCs w:val="22"/>
            <w:lang w:val="en-AU" w:eastAsia="en-AU"/>
          </w:rPr>
          <w:tab/>
        </w:r>
        <w:r w:rsidR="0061201F" w:rsidRPr="006B2437">
          <w:rPr>
            <w:rStyle w:val="Hyperlink"/>
          </w:rPr>
          <w:t>Benefits of using AT for the health and aged care systems – Person 1: Mrs A</w:t>
        </w:r>
        <w:r w:rsidR="0061201F">
          <w:rPr>
            <w:noProof/>
            <w:webHidden/>
          </w:rPr>
          <w:tab/>
        </w:r>
        <w:r w:rsidR="0061201F">
          <w:rPr>
            <w:noProof/>
            <w:webHidden/>
          </w:rPr>
          <w:fldChar w:fldCharType="begin"/>
        </w:r>
        <w:r w:rsidR="0061201F">
          <w:rPr>
            <w:noProof/>
            <w:webHidden/>
          </w:rPr>
          <w:instrText xml:space="preserve"> PAGEREF _Toc60999891 \h </w:instrText>
        </w:r>
        <w:r w:rsidR="0061201F">
          <w:rPr>
            <w:noProof/>
            <w:webHidden/>
          </w:rPr>
        </w:r>
        <w:r w:rsidR="0061201F">
          <w:rPr>
            <w:noProof/>
            <w:webHidden/>
          </w:rPr>
          <w:fldChar w:fldCharType="separate"/>
        </w:r>
        <w:r w:rsidR="00EB1774">
          <w:rPr>
            <w:noProof/>
            <w:webHidden/>
          </w:rPr>
          <w:t>84</w:t>
        </w:r>
        <w:r w:rsidR="0061201F">
          <w:rPr>
            <w:noProof/>
            <w:webHidden/>
          </w:rPr>
          <w:fldChar w:fldCharType="end"/>
        </w:r>
      </w:hyperlink>
    </w:p>
    <w:p w14:paraId="274C5510" w14:textId="39A468E6" w:rsidR="0061201F" w:rsidRDefault="0017021F">
      <w:pPr>
        <w:pStyle w:val="TableofFigures"/>
        <w:rPr>
          <w:rFonts w:eastAsiaTheme="minorEastAsia" w:cstheme="minorBidi"/>
          <w:noProof/>
          <w:color w:val="auto"/>
          <w:szCs w:val="22"/>
          <w:lang w:val="en-AU" w:eastAsia="en-AU"/>
        </w:rPr>
      </w:pPr>
      <w:hyperlink w:anchor="_Toc60999892" w:history="1">
        <w:r w:rsidR="0061201F" w:rsidRPr="006B2437">
          <w:rPr>
            <w:rStyle w:val="Hyperlink"/>
          </w:rPr>
          <w:t>Figure C</w:t>
        </w:r>
        <w:r w:rsidR="0061201F" w:rsidRPr="006B2437">
          <w:rPr>
            <w:rStyle w:val="Hyperlink"/>
          </w:rPr>
          <w:noBreakHyphen/>
          <w:t>14:</w:t>
        </w:r>
        <w:r w:rsidR="0061201F">
          <w:rPr>
            <w:rFonts w:eastAsiaTheme="minorEastAsia" w:cstheme="minorBidi"/>
            <w:noProof/>
            <w:color w:val="auto"/>
            <w:szCs w:val="22"/>
            <w:lang w:val="en-AU" w:eastAsia="en-AU"/>
          </w:rPr>
          <w:tab/>
        </w:r>
        <w:r w:rsidR="0061201F" w:rsidRPr="006B2437">
          <w:rPr>
            <w:rStyle w:val="Hyperlink"/>
          </w:rPr>
          <w:t>Benefits of using AT for the health and aged care systems – Person 2: Mr B</w:t>
        </w:r>
        <w:r w:rsidR="0061201F">
          <w:rPr>
            <w:noProof/>
            <w:webHidden/>
          </w:rPr>
          <w:tab/>
        </w:r>
        <w:r w:rsidR="0061201F">
          <w:rPr>
            <w:noProof/>
            <w:webHidden/>
          </w:rPr>
          <w:fldChar w:fldCharType="begin"/>
        </w:r>
        <w:r w:rsidR="0061201F">
          <w:rPr>
            <w:noProof/>
            <w:webHidden/>
          </w:rPr>
          <w:instrText xml:space="preserve"> PAGEREF _Toc60999892 \h </w:instrText>
        </w:r>
        <w:r w:rsidR="0061201F">
          <w:rPr>
            <w:noProof/>
            <w:webHidden/>
          </w:rPr>
        </w:r>
        <w:r w:rsidR="0061201F">
          <w:rPr>
            <w:noProof/>
            <w:webHidden/>
          </w:rPr>
          <w:fldChar w:fldCharType="separate"/>
        </w:r>
        <w:r w:rsidR="00EB1774">
          <w:rPr>
            <w:noProof/>
            <w:webHidden/>
          </w:rPr>
          <w:t>86</w:t>
        </w:r>
        <w:r w:rsidR="0061201F">
          <w:rPr>
            <w:noProof/>
            <w:webHidden/>
          </w:rPr>
          <w:fldChar w:fldCharType="end"/>
        </w:r>
      </w:hyperlink>
    </w:p>
    <w:p w14:paraId="36680C0C" w14:textId="3D667B66" w:rsidR="0061201F" w:rsidRDefault="0017021F">
      <w:pPr>
        <w:pStyle w:val="TableofFigures"/>
        <w:rPr>
          <w:rFonts w:eastAsiaTheme="minorEastAsia" w:cstheme="minorBidi"/>
          <w:noProof/>
          <w:color w:val="auto"/>
          <w:szCs w:val="22"/>
          <w:lang w:val="en-AU" w:eastAsia="en-AU"/>
        </w:rPr>
      </w:pPr>
      <w:hyperlink w:anchor="_Toc60999893" w:history="1">
        <w:r w:rsidR="0061201F" w:rsidRPr="006B2437">
          <w:rPr>
            <w:rStyle w:val="Hyperlink"/>
          </w:rPr>
          <w:t>Figure C</w:t>
        </w:r>
        <w:r w:rsidR="0061201F" w:rsidRPr="006B2437">
          <w:rPr>
            <w:rStyle w:val="Hyperlink"/>
          </w:rPr>
          <w:noBreakHyphen/>
          <w:t>15:</w:t>
        </w:r>
        <w:r w:rsidR="0061201F">
          <w:rPr>
            <w:rFonts w:eastAsiaTheme="minorEastAsia" w:cstheme="minorBidi"/>
            <w:noProof/>
            <w:color w:val="auto"/>
            <w:szCs w:val="22"/>
            <w:lang w:val="en-AU" w:eastAsia="en-AU"/>
          </w:rPr>
          <w:tab/>
        </w:r>
        <w:r w:rsidR="0061201F" w:rsidRPr="006B2437">
          <w:rPr>
            <w:rStyle w:val="Hyperlink"/>
          </w:rPr>
          <w:t>Benefits of using AT for the health and aged care systems – Person 3: Ms C</w:t>
        </w:r>
        <w:r w:rsidR="0061201F">
          <w:rPr>
            <w:noProof/>
            <w:webHidden/>
          </w:rPr>
          <w:tab/>
        </w:r>
        <w:r w:rsidR="0061201F">
          <w:rPr>
            <w:noProof/>
            <w:webHidden/>
          </w:rPr>
          <w:fldChar w:fldCharType="begin"/>
        </w:r>
        <w:r w:rsidR="0061201F">
          <w:rPr>
            <w:noProof/>
            <w:webHidden/>
          </w:rPr>
          <w:instrText xml:space="preserve"> PAGEREF _Toc60999893 \h </w:instrText>
        </w:r>
        <w:r w:rsidR="0061201F">
          <w:rPr>
            <w:noProof/>
            <w:webHidden/>
          </w:rPr>
        </w:r>
        <w:r w:rsidR="0061201F">
          <w:rPr>
            <w:noProof/>
            <w:webHidden/>
          </w:rPr>
          <w:fldChar w:fldCharType="separate"/>
        </w:r>
        <w:r w:rsidR="00EB1774">
          <w:rPr>
            <w:noProof/>
            <w:webHidden/>
          </w:rPr>
          <w:t>88</w:t>
        </w:r>
        <w:r w:rsidR="0061201F">
          <w:rPr>
            <w:noProof/>
            <w:webHidden/>
          </w:rPr>
          <w:fldChar w:fldCharType="end"/>
        </w:r>
      </w:hyperlink>
    </w:p>
    <w:p w14:paraId="50A30768" w14:textId="41383837" w:rsidR="0061201F" w:rsidRDefault="0017021F">
      <w:pPr>
        <w:pStyle w:val="TableofFigures"/>
        <w:rPr>
          <w:rFonts w:eastAsiaTheme="minorEastAsia" w:cstheme="minorBidi"/>
          <w:noProof/>
          <w:color w:val="auto"/>
          <w:szCs w:val="22"/>
          <w:lang w:val="en-AU" w:eastAsia="en-AU"/>
        </w:rPr>
      </w:pPr>
      <w:hyperlink w:anchor="_Toc60999894" w:history="1">
        <w:r w:rsidR="0061201F" w:rsidRPr="006B2437">
          <w:rPr>
            <w:rStyle w:val="Hyperlink"/>
          </w:rPr>
          <w:t>Figure C</w:t>
        </w:r>
        <w:r w:rsidR="0061201F" w:rsidRPr="006B2437">
          <w:rPr>
            <w:rStyle w:val="Hyperlink"/>
          </w:rPr>
          <w:noBreakHyphen/>
          <w:t>16:</w:t>
        </w:r>
        <w:r w:rsidR="0061201F">
          <w:rPr>
            <w:rFonts w:eastAsiaTheme="minorEastAsia" w:cstheme="minorBidi"/>
            <w:noProof/>
            <w:color w:val="auto"/>
            <w:szCs w:val="22"/>
            <w:lang w:val="en-AU" w:eastAsia="en-AU"/>
          </w:rPr>
          <w:tab/>
        </w:r>
        <w:r w:rsidR="0061201F" w:rsidRPr="006B2437">
          <w:rPr>
            <w:rStyle w:val="Hyperlink"/>
          </w:rPr>
          <w:t>Benefits of using AT for the health and aged care systems – Person 4: Mr D</w:t>
        </w:r>
        <w:r w:rsidR="0061201F">
          <w:rPr>
            <w:noProof/>
            <w:webHidden/>
          </w:rPr>
          <w:tab/>
        </w:r>
        <w:r w:rsidR="0061201F">
          <w:rPr>
            <w:noProof/>
            <w:webHidden/>
          </w:rPr>
          <w:fldChar w:fldCharType="begin"/>
        </w:r>
        <w:r w:rsidR="0061201F">
          <w:rPr>
            <w:noProof/>
            <w:webHidden/>
          </w:rPr>
          <w:instrText xml:space="preserve"> PAGEREF _Toc60999894 \h </w:instrText>
        </w:r>
        <w:r w:rsidR="0061201F">
          <w:rPr>
            <w:noProof/>
            <w:webHidden/>
          </w:rPr>
        </w:r>
        <w:r w:rsidR="0061201F">
          <w:rPr>
            <w:noProof/>
            <w:webHidden/>
          </w:rPr>
          <w:fldChar w:fldCharType="separate"/>
        </w:r>
        <w:r w:rsidR="00EB1774">
          <w:rPr>
            <w:noProof/>
            <w:webHidden/>
          </w:rPr>
          <w:t>90</w:t>
        </w:r>
        <w:r w:rsidR="0061201F">
          <w:rPr>
            <w:noProof/>
            <w:webHidden/>
          </w:rPr>
          <w:fldChar w:fldCharType="end"/>
        </w:r>
      </w:hyperlink>
    </w:p>
    <w:p w14:paraId="195FF740" w14:textId="0EE17DD0" w:rsidR="0061201F" w:rsidRDefault="0017021F">
      <w:pPr>
        <w:pStyle w:val="TableofFigures"/>
        <w:rPr>
          <w:rFonts w:eastAsiaTheme="minorEastAsia" w:cstheme="minorBidi"/>
          <w:noProof/>
          <w:color w:val="auto"/>
          <w:szCs w:val="22"/>
          <w:lang w:val="en-AU" w:eastAsia="en-AU"/>
        </w:rPr>
      </w:pPr>
      <w:hyperlink w:anchor="_Toc60999895" w:history="1">
        <w:r w:rsidR="0061201F" w:rsidRPr="006B2437">
          <w:rPr>
            <w:rStyle w:val="Hyperlink"/>
          </w:rPr>
          <w:t>Figure C</w:t>
        </w:r>
        <w:r w:rsidR="0061201F" w:rsidRPr="006B2437">
          <w:rPr>
            <w:rStyle w:val="Hyperlink"/>
          </w:rPr>
          <w:noBreakHyphen/>
          <w:t>17:</w:t>
        </w:r>
        <w:r w:rsidR="0061201F">
          <w:rPr>
            <w:rFonts w:eastAsiaTheme="minorEastAsia" w:cstheme="minorBidi"/>
            <w:noProof/>
            <w:color w:val="auto"/>
            <w:szCs w:val="22"/>
            <w:lang w:val="en-AU" w:eastAsia="en-AU"/>
          </w:rPr>
          <w:tab/>
        </w:r>
        <w:r w:rsidR="0061201F" w:rsidRPr="006B2437">
          <w:rPr>
            <w:rStyle w:val="Hyperlink"/>
          </w:rPr>
          <w:t>AT ‘best buys’</w:t>
        </w:r>
        <w:r w:rsidR="0061201F">
          <w:rPr>
            <w:noProof/>
            <w:webHidden/>
          </w:rPr>
          <w:tab/>
        </w:r>
        <w:r w:rsidR="0061201F">
          <w:rPr>
            <w:noProof/>
            <w:webHidden/>
          </w:rPr>
          <w:fldChar w:fldCharType="begin"/>
        </w:r>
        <w:r w:rsidR="0061201F">
          <w:rPr>
            <w:noProof/>
            <w:webHidden/>
          </w:rPr>
          <w:instrText xml:space="preserve"> PAGEREF _Toc60999895 \h </w:instrText>
        </w:r>
        <w:r w:rsidR="0061201F">
          <w:rPr>
            <w:noProof/>
            <w:webHidden/>
          </w:rPr>
        </w:r>
        <w:r w:rsidR="0061201F">
          <w:rPr>
            <w:noProof/>
            <w:webHidden/>
          </w:rPr>
          <w:fldChar w:fldCharType="separate"/>
        </w:r>
        <w:r w:rsidR="00EB1774">
          <w:rPr>
            <w:noProof/>
            <w:webHidden/>
          </w:rPr>
          <w:t>95</w:t>
        </w:r>
        <w:r w:rsidR="0061201F">
          <w:rPr>
            <w:noProof/>
            <w:webHidden/>
          </w:rPr>
          <w:fldChar w:fldCharType="end"/>
        </w:r>
      </w:hyperlink>
    </w:p>
    <w:p w14:paraId="5AAC5F9E" w14:textId="0FDCECD5" w:rsidR="00B52D27" w:rsidRPr="00636B05" w:rsidRDefault="00155D4F" w:rsidP="004511B3">
      <w:r w:rsidRPr="00731FA4">
        <w:rPr>
          <w:rStyle w:val="Hyperlink"/>
        </w:rPr>
        <w:fldChar w:fldCharType="end"/>
      </w:r>
    </w:p>
    <w:p w14:paraId="55C9A839" w14:textId="10BBA1CE" w:rsidR="0056697A" w:rsidRPr="00636B05" w:rsidRDefault="0056697A" w:rsidP="00A57E12">
      <w:pPr>
        <w:sectPr w:rsidR="0056697A" w:rsidRPr="00636B05" w:rsidSect="004511B3">
          <w:headerReference w:type="default" r:id="rId13"/>
          <w:footerReference w:type="default" r:id="rId14"/>
          <w:footerReference w:type="first" r:id="rId15"/>
          <w:pgSz w:w="11907" w:h="16840" w:code="9"/>
          <w:pgMar w:top="1134" w:right="1134" w:bottom="1418" w:left="1134" w:header="567" w:footer="851" w:gutter="0"/>
          <w:pgNumType w:fmt="lowerRoman" w:start="1"/>
          <w:cols w:space="680"/>
          <w:titlePg/>
          <w:docGrid w:linePitch="360"/>
        </w:sectPr>
      </w:pPr>
    </w:p>
    <w:p w14:paraId="149717FA" w14:textId="35323B6A" w:rsidR="0021069C" w:rsidRPr="00636B05" w:rsidRDefault="0021069C" w:rsidP="004E2A0B">
      <w:pPr>
        <w:pStyle w:val="TOCHeading"/>
      </w:pPr>
      <w:r w:rsidRPr="00636B05">
        <w:lastRenderedPageBreak/>
        <w:t>Abbreviations</w:t>
      </w:r>
    </w:p>
    <w:tbl>
      <w:tblPr>
        <w:tblStyle w:val="AHALight"/>
        <w:tblW w:w="5000" w:type="pct"/>
        <w:tblLayout w:type="fixed"/>
        <w:tblLook w:val="04A0" w:firstRow="1" w:lastRow="0" w:firstColumn="1" w:lastColumn="0" w:noHBand="0" w:noVBand="1"/>
        <w:tblCaption w:val="Abbreviations"/>
        <w:tblDescription w:val="Alphabetical list of abbreviations and their definitions."/>
      </w:tblPr>
      <w:tblGrid>
        <w:gridCol w:w="1986"/>
        <w:gridCol w:w="7653"/>
      </w:tblGrid>
      <w:tr w:rsidR="0021069C" w:rsidRPr="00636B05" w14:paraId="41BDCE10" w14:textId="77777777" w:rsidTr="00747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037F8394" w14:textId="77777777" w:rsidR="0021069C" w:rsidRPr="00636B05" w:rsidRDefault="0021069C" w:rsidP="00155D4F">
            <w:r w:rsidRPr="00636B05">
              <w:t>Abbreviation</w:t>
            </w:r>
          </w:p>
        </w:tc>
        <w:tc>
          <w:tcPr>
            <w:tcW w:w="3970" w:type="pct"/>
          </w:tcPr>
          <w:p w14:paraId="4DE76941" w14:textId="34D1EC01" w:rsidR="0021069C" w:rsidRPr="00636B05" w:rsidRDefault="0021069C" w:rsidP="00155D4F">
            <w:pPr>
              <w:cnfStyle w:val="100000000000" w:firstRow="1" w:lastRow="0" w:firstColumn="0" w:lastColumn="0" w:oddVBand="0" w:evenVBand="0" w:oddHBand="0" w:evenHBand="0" w:firstRowFirstColumn="0" w:firstRowLastColumn="0" w:lastRowFirstColumn="0" w:lastRowLastColumn="0"/>
            </w:pPr>
            <w:r w:rsidRPr="00636B05">
              <w:t>Definition</w:t>
            </w:r>
          </w:p>
        </w:tc>
      </w:tr>
      <w:tr w:rsidR="0021069C" w:rsidRPr="00636B05" w14:paraId="24C62985"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997016C" w14:textId="77777777" w:rsidR="0021069C" w:rsidRPr="00636B05" w:rsidRDefault="0021069C" w:rsidP="00155D4F">
            <w:r w:rsidRPr="00636B05">
              <w:t>ABS</w:t>
            </w:r>
          </w:p>
        </w:tc>
        <w:tc>
          <w:tcPr>
            <w:tcW w:w="3970" w:type="pct"/>
          </w:tcPr>
          <w:p w14:paraId="211E5C43" w14:textId="7457B84E"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Australian Bureau of Statistics</w:t>
            </w:r>
          </w:p>
        </w:tc>
      </w:tr>
      <w:tr w:rsidR="0021069C" w:rsidRPr="00636B05" w14:paraId="14C913E0"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133891D" w14:textId="77777777" w:rsidR="0021069C" w:rsidRPr="00636B05" w:rsidRDefault="0021069C" w:rsidP="00155D4F">
            <w:r w:rsidRPr="00636B05">
              <w:t>ABS SDAC</w:t>
            </w:r>
          </w:p>
        </w:tc>
        <w:tc>
          <w:tcPr>
            <w:tcW w:w="3970" w:type="pct"/>
          </w:tcPr>
          <w:p w14:paraId="11200769"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 xml:space="preserve">Australian Bureau of Statistics Survey of Disability, Ageing and Carers </w:t>
            </w:r>
          </w:p>
        </w:tc>
      </w:tr>
      <w:tr w:rsidR="0021069C" w:rsidRPr="00636B05" w14:paraId="1E68ED0B"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010C2BDB" w14:textId="77777777" w:rsidR="0021069C" w:rsidRPr="00636B05" w:rsidRDefault="0021069C" w:rsidP="00155D4F">
            <w:r w:rsidRPr="00636B05">
              <w:t>ACAS</w:t>
            </w:r>
          </w:p>
        </w:tc>
        <w:tc>
          <w:tcPr>
            <w:tcW w:w="3970" w:type="pct"/>
          </w:tcPr>
          <w:p w14:paraId="4AFB1BDE"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Aged Care Assessment Services</w:t>
            </w:r>
          </w:p>
        </w:tc>
      </w:tr>
      <w:tr w:rsidR="0021069C" w:rsidRPr="00636B05" w14:paraId="5615EF18"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3A5A7253" w14:textId="77777777" w:rsidR="0021069C" w:rsidRPr="00636B05" w:rsidRDefault="0021069C" w:rsidP="00155D4F">
            <w:r w:rsidRPr="00636B05">
              <w:t>ACAT</w:t>
            </w:r>
          </w:p>
        </w:tc>
        <w:tc>
          <w:tcPr>
            <w:tcW w:w="3970" w:type="pct"/>
          </w:tcPr>
          <w:p w14:paraId="3AE09DE3"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Aged Care Assessment Team</w:t>
            </w:r>
          </w:p>
        </w:tc>
      </w:tr>
      <w:tr w:rsidR="0021069C" w:rsidRPr="00636B05" w14:paraId="459A4536"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2825F8F" w14:textId="77777777" w:rsidR="0021069C" w:rsidRPr="00636B05" w:rsidRDefault="0021069C" w:rsidP="00155D4F">
            <w:r w:rsidRPr="00636B05">
              <w:t>ACFI</w:t>
            </w:r>
          </w:p>
        </w:tc>
        <w:tc>
          <w:tcPr>
            <w:tcW w:w="3970" w:type="pct"/>
          </w:tcPr>
          <w:p w14:paraId="7E98C3BE"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Aged Care Funding Instrument</w:t>
            </w:r>
          </w:p>
        </w:tc>
      </w:tr>
      <w:tr w:rsidR="0021069C" w:rsidRPr="00636B05" w14:paraId="33DA0EED"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4A5E05C1" w14:textId="77777777" w:rsidR="0021069C" w:rsidRPr="00636B05" w:rsidRDefault="0021069C" w:rsidP="00155D4F">
            <w:r w:rsidRPr="00636B05">
              <w:t>AHA</w:t>
            </w:r>
          </w:p>
        </w:tc>
        <w:tc>
          <w:tcPr>
            <w:tcW w:w="3970" w:type="pct"/>
          </w:tcPr>
          <w:p w14:paraId="140F8E7D"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Australian Healthcare Associates</w:t>
            </w:r>
          </w:p>
        </w:tc>
      </w:tr>
      <w:tr w:rsidR="0021069C" w:rsidRPr="00636B05" w14:paraId="124BA735"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4F7B78CE" w14:textId="77777777" w:rsidR="0021069C" w:rsidRPr="00636B05" w:rsidRDefault="0021069C" w:rsidP="00155D4F">
            <w:r w:rsidRPr="00636B05">
              <w:t>AHPRA</w:t>
            </w:r>
          </w:p>
        </w:tc>
        <w:tc>
          <w:tcPr>
            <w:tcW w:w="3970" w:type="pct"/>
          </w:tcPr>
          <w:p w14:paraId="4ED66774"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Australian Health Practitioner Regulation Agency</w:t>
            </w:r>
          </w:p>
        </w:tc>
      </w:tr>
      <w:tr w:rsidR="0021069C" w:rsidRPr="00636B05" w14:paraId="3AE1871D"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7B5A5C77" w14:textId="77777777" w:rsidR="0021069C" w:rsidRPr="00636B05" w:rsidRDefault="0021069C" w:rsidP="00155D4F">
            <w:r w:rsidRPr="00636B05">
              <w:t>AIHW</w:t>
            </w:r>
          </w:p>
        </w:tc>
        <w:tc>
          <w:tcPr>
            <w:tcW w:w="3970" w:type="pct"/>
          </w:tcPr>
          <w:p w14:paraId="549A349E"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Australian Institute of Health and Welfare</w:t>
            </w:r>
          </w:p>
        </w:tc>
      </w:tr>
      <w:tr w:rsidR="000A596A" w:rsidRPr="00636B05" w14:paraId="58E9CD18"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7DA84BB8" w14:textId="3FD25CC3" w:rsidR="000A596A" w:rsidRPr="00636B05" w:rsidRDefault="000A596A" w:rsidP="00155D4F">
            <w:r w:rsidRPr="00636B05">
              <w:t>AF</w:t>
            </w:r>
          </w:p>
        </w:tc>
        <w:tc>
          <w:tcPr>
            <w:tcW w:w="3970" w:type="pct"/>
          </w:tcPr>
          <w:p w14:paraId="3C6DBC9E" w14:textId="149A6073" w:rsidR="000A596A" w:rsidRPr="00636B05" w:rsidRDefault="000A596A" w:rsidP="00155D4F">
            <w:pPr>
              <w:cnfStyle w:val="000000100000" w:firstRow="0" w:lastRow="0" w:firstColumn="0" w:lastColumn="0" w:oddVBand="0" w:evenVBand="0" w:oddHBand="1" w:evenHBand="0" w:firstRowFirstColumn="0" w:firstRowLastColumn="0" w:lastRowFirstColumn="0" w:lastRowLastColumn="0"/>
            </w:pPr>
            <w:r w:rsidRPr="00636B05">
              <w:t>Atrial fibrillation</w:t>
            </w:r>
          </w:p>
        </w:tc>
      </w:tr>
      <w:tr w:rsidR="0021069C" w:rsidRPr="00636B05" w14:paraId="2287874C"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790924B8" w14:textId="77777777" w:rsidR="0021069C" w:rsidRPr="00636B05" w:rsidRDefault="0021069C" w:rsidP="00155D4F">
            <w:r w:rsidRPr="00636B05">
              <w:t>AT</w:t>
            </w:r>
          </w:p>
        </w:tc>
        <w:tc>
          <w:tcPr>
            <w:tcW w:w="3970" w:type="pct"/>
          </w:tcPr>
          <w:p w14:paraId="6ED2A818" w14:textId="4DD2B0A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 xml:space="preserve">Assistive </w:t>
            </w:r>
            <w:r w:rsidR="00F65FC5">
              <w:t>t</w:t>
            </w:r>
            <w:r w:rsidRPr="00636B05">
              <w:t>echnology</w:t>
            </w:r>
          </w:p>
        </w:tc>
      </w:tr>
      <w:tr w:rsidR="0021069C" w:rsidRPr="00636B05" w14:paraId="316304C1"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445E3BB6" w14:textId="1665200D" w:rsidR="0021069C" w:rsidRPr="00636B05" w:rsidRDefault="0021069C" w:rsidP="00155D4F">
            <w:r w:rsidRPr="00636B05">
              <w:t>AT</w:t>
            </w:r>
            <w:r w:rsidR="0066549C" w:rsidRPr="00636B05">
              <w:t>-</w:t>
            </w:r>
            <w:r w:rsidRPr="00636B05">
              <w:t>HM</w:t>
            </w:r>
          </w:p>
        </w:tc>
        <w:tc>
          <w:tcPr>
            <w:tcW w:w="3970" w:type="pct"/>
          </w:tcPr>
          <w:p w14:paraId="6E258B6F"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Assistive Technology and Home Modifications</w:t>
            </w:r>
          </w:p>
        </w:tc>
      </w:tr>
      <w:tr w:rsidR="00F65FC5" w:rsidRPr="00636B05" w14:paraId="524588D1"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5E5ADD82" w14:textId="509ABB48" w:rsidR="00F65FC5" w:rsidRPr="00636B05" w:rsidRDefault="00F65FC5" w:rsidP="00155D4F">
            <w:r>
              <w:t>CBA</w:t>
            </w:r>
          </w:p>
        </w:tc>
        <w:tc>
          <w:tcPr>
            <w:tcW w:w="3970" w:type="pct"/>
          </w:tcPr>
          <w:p w14:paraId="5EF0ADB9" w14:textId="532D7EBE" w:rsidR="00F65FC5" w:rsidRPr="00636B05" w:rsidRDefault="00F65FC5" w:rsidP="00155D4F">
            <w:pPr>
              <w:cnfStyle w:val="000000000000" w:firstRow="0" w:lastRow="0" w:firstColumn="0" w:lastColumn="0" w:oddVBand="0" w:evenVBand="0" w:oddHBand="0" w:evenHBand="0" w:firstRowFirstColumn="0" w:firstRowLastColumn="0" w:lastRowFirstColumn="0" w:lastRowLastColumn="0"/>
            </w:pPr>
            <w:r>
              <w:t>Cost-benefit analysis</w:t>
            </w:r>
          </w:p>
        </w:tc>
      </w:tr>
      <w:tr w:rsidR="0021069C" w:rsidRPr="00636B05" w14:paraId="59960744"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447C0B2A" w14:textId="77777777" w:rsidR="0021069C" w:rsidRPr="00636B05" w:rsidRDefault="0021069C" w:rsidP="00155D4F">
            <w:r w:rsidRPr="00636B05">
              <w:t>CDC</w:t>
            </w:r>
          </w:p>
        </w:tc>
        <w:tc>
          <w:tcPr>
            <w:tcW w:w="3970" w:type="pct"/>
          </w:tcPr>
          <w:p w14:paraId="65C5352E" w14:textId="6D340B6B"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 xml:space="preserve">Consumer </w:t>
            </w:r>
            <w:r w:rsidR="00F65FC5">
              <w:t>d</w:t>
            </w:r>
            <w:r w:rsidRPr="00636B05">
              <w:t xml:space="preserve">irected </w:t>
            </w:r>
            <w:r w:rsidR="00F65FC5">
              <w:t>c</w:t>
            </w:r>
            <w:r w:rsidRPr="00636B05">
              <w:t>are</w:t>
            </w:r>
          </w:p>
        </w:tc>
      </w:tr>
      <w:tr w:rsidR="0021069C" w:rsidRPr="00636B05" w14:paraId="56ACA63D"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BA1A892" w14:textId="77777777" w:rsidR="0021069C" w:rsidRPr="00636B05" w:rsidRDefault="0021069C" w:rsidP="00155D4F">
            <w:r w:rsidRPr="00636B05">
              <w:t>CHSP</w:t>
            </w:r>
          </w:p>
        </w:tc>
        <w:tc>
          <w:tcPr>
            <w:tcW w:w="3970" w:type="pct"/>
          </w:tcPr>
          <w:p w14:paraId="33CCE652"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Commonwealth Home Support Program</w:t>
            </w:r>
          </w:p>
        </w:tc>
      </w:tr>
      <w:tr w:rsidR="00AD17C7" w:rsidRPr="00636B05" w14:paraId="009D2579"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7398A268" w14:textId="645297B0" w:rsidR="00AD17C7" w:rsidRPr="00636B05" w:rsidRDefault="00AD17C7" w:rsidP="00155D4F">
            <w:r w:rsidRPr="00636B05">
              <w:t>COPD</w:t>
            </w:r>
          </w:p>
        </w:tc>
        <w:tc>
          <w:tcPr>
            <w:tcW w:w="3970" w:type="pct"/>
          </w:tcPr>
          <w:p w14:paraId="419B5F20" w14:textId="6EF2137C" w:rsidR="00AD17C7" w:rsidRPr="00636B05" w:rsidRDefault="00AD17C7" w:rsidP="00155D4F">
            <w:pPr>
              <w:cnfStyle w:val="000000100000" w:firstRow="0" w:lastRow="0" w:firstColumn="0" w:lastColumn="0" w:oddVBand="0" w:evenVBand="0" w:oddHBand="1" w:evenHBand="0" w:firstRowFirstColumn="0" w:firstRowLastColumn="0" w:lastRowFirstColumn="0" w:lastRowLastColumn="0"/>
            </w:pPr>
            <w:r w:rsidRPr="00636B05">
              <w:t>Chronic obstructive pulmonary disease</w:t>
            </w:r>
          </w:p>
        </w:tc>
      </w:tr>
      <w:tr w:rsidR="0021069C" w:rsidRPr="00636B05" w14:paraId="0F4A2AD5"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79B5F743" w14:textId="455FF83D" w:rsidR="0021069C" w:rsidRPr="00636B05" w:rsidRDefault="00277C5D" w:rsidP="00155D4F">
            <w:r>
              <w:t xml:space="preserve">the </w:t>
            </w:r>
            <w:r w:rsidR="0021069C" w:rsidRPr="00636B05">
              <w:t>Department</w:t>
            </w:r>
          </w:p>
        </w:tc>
        <w:tc>
          <w:tcPr>
            <w:tcW w:w="3970" w:type="pct"/>
          </w:tcPr>
          <w:p w14:paraId="54DBCCBC"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Australian Government Department of Health</w:t>
            </w:r>
          </w:p>
        </w:tc>
      </w:tr>
      <w:tr w:rsidR="0021069C" w:rsidRPr="00636B05" w14:paraId="52B895CE"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B59DB63" w14:textId="77777777" w:rsidR="0021069C" w:rsidRPr="00636B05" w:rsidRDefault="0021069C" w:rsidP="00155D4F">
            <w:r w:rsidRPr="00636B05">
              <w:t>DHS</w:t>
            </w:r>
          </w:p>
        </w:tc>
        <w:tc>
          <w:tcPr>
            <w:tcW w:w="3970" w:type="pct"/>
          </w:tcPr>
          <w:p w14:paraId="31422CAC"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Australian Government Department of Human Services</w:t>
            </w:r>
          </w:p>
        </w:tc>
      </w:tr>
      <w:tr w:rsidR="0021069C" w:rsidRPr="00636B05" w14:paraId="45EF6EEA"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2B28225C" w14:textId="77777777" w:rsidR="0021069C" w:rsidRPr="00636B05" w:rsidRDefault="0021069C" w:rsidP="00155D4F">
            <w:r w:rsidRPr="00636B05">
              <w:t>DIY</w:t>
            </w:r>
          </w:p>
        </w:tc>
        <w:tc>
          <w:tcPr>
            <w:tcW w:w="3970" w:type="pct"/>
          </w:tcPr>
          <w:p w14:paraId="3DBAE4FC"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Do-it-yourself</w:t>
            </w:r>
          </w:p>
        </w:tc>
      </w:tr>
      <w:tr w:rsidR="0021069C" w:rsidRPr="00636B05" w14:paraId="703273D7"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0D7ED8E8" w14:textId="77777777" w:rsidR="0021069C" w:rsidRPr="00636B05" w:rsidRDefault="0021069C" w:rsidP="00155D4F">
            <w:r w:rsidRPr="00636B05">
              <w:t>DVA</w:t>
            </w:r>
          </w:p>
        </w:tc>
        <w:tc>
          <w:tcPr>
            <w:tcW w:w="3970" w:type="pct"/>
          </w:tcPr>
          <w:p w14:paraId="56540436"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Department of Veterans’ Affairs</w:t>
            </w:r>
          </w:p>
        </w:tc>
      </w:tr>
      <w:tr w:rsidR="0021069C" w:rsidRPr="00636B05" w14:paraId="7B1D858E"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5A92F258" w14:textId="77777777" w:rsidR="0021069C" w:rsidRPr="00636B05" w:rsidRDefault="0021069C" w:rsidP="00155D4F">
            <w:r w:rsidRPr="00636B05">
              <w:t>ECEI</w:t>
            </w:r>
          </w:p>
        </w:tc>
        <w:tc>
          <w:tcPr>
            <w:tcW w:w="3970" w:type="pct"/>
          </w:tcPr>
          <w:p w14:paraId="526801E5"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Early Childhood Early Intervention</w:t>
            </w:r>
          </w:p>
        </w:tc>
      </w:tr>
      <w:tr w:rsidR="00AD17C7" w:rsidRPr="00636B05" w14:paraId="46B12369"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2481F4A" w14:textId="1E58F530" w:rsidR="00AD17C7" w:rsidRPr="00636B05" w:rsidRDefault="00AD17C7" w:rsidP="00155D4F">
            <w:r w:rsidRPr="00636B05">
              <w:t>GORD</w:t>
            </w:r>
          </w:p>
        </w:tc>
        <w:tc>
          <w:tcPr>
            <w:tcW w:w="3970" w:type="pct"/>
          </w:tcPr>
          <w:p w14:paraId="43E51706" w14:textId="3E0F8628" w:rsidR="00AD17C7" w:rsidRPr="00636B05" w:rsidRDefault="00AD17C7" w:rsidP="00155D4F">
            <w:pPr>
              <w:cnfStyle w:val="000000100000" w:firstRow="0" w:lastRow="0" w:firstColumn="0" w:lastColumn="0" w:oddVBand="0" w:evenVBand="0" w:oddHBand="1" w:evenHBand="0" w:firstRowFirstColumn="0" w:firstRowLastColumn="0" w:lastRowFirstColumn="0" w:lastRowLastColumn="0"/>
            </w:pPr>
            <w:r w:rsidRPr="00636B05">
              <w:t>Gastro-oesophageal reflux disease</w:t>
            </w:r>
          </w:p>
        </w:tc>
      </w:tr>
      <w:tr w:rsidR="0021069C" w:rsidRPr="00636B05" w14:paraId="61CBACEF"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369990D9" w14:textId="77777777" w:rsidR="0021069C" w:rsidRPr="00636B05" w:rsidRDefault="0021069C" w:rsidP="00155D4F">
            <w:r w:rsidRPr="00636B05">
              <w:t>HACC</w:t>
            </w:r>
          </w:p>
        </w:tc>
        <w:tc>
          <w:tcPr>
            <w:tcW w:w="3970" w:type="pct"/>
          </w:tcPr>
          <w:p w14:paraId="3C569CD7"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Home and Community Care</w:t>
            </w:r>
          </w:p>
        </w:tc>
      </w:tr>
      <w:tr w:rsidR="0021069C" w:rsidRPr="00636B05" w14:paraId="6557E34C"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5DB63BF1" w14:textId="236FE9FD" w:rsidR="0021069C" w:rsidRPr="00636B05" w:rsidRDefault="0021069C" w:rsidP="00155D4F">
            <w:r w:rsidRPr="00636B05">
              <w:t>HCP</w:t>
            </w:r>
          </w:p>
        </w:tc>
        <w:tc>
          <w:tcPr>
            <w:tcW w:w="3970" w:type="pct"/>
          </w:tcPr>
          <w:p w14:paraId="332674B4" w14:textId="325B3D9E"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Home Care Package</w:t>
            </w:r>
            <w:r w:rsidR="008B7875">
              <w:t>s</w:t>
            </w:r>
          </w:p>
        </w:tc>
      </w:tr>
      <w:tr w:rsidR="00ED524D" w:rsidRPr="00636B05" w14:paraId="1606F4EB"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3F92E6D" w14:textId="5E2705CE" w:rsidR="00ED524D" w:rsidRPr="00636B05" w:rsidRDefault="00ED524D" w:rsidP="00155D4F">
            <w:r>
              <w:t>HQOL</w:t>
            </w:r>
          </w:p>
        </w:tc>
        <w:tc>
          <w:tcPr>
            <w:tcW w:w="3970" w:type="pct"/>
          </w:tcPr>
          <w:p w14:paraId="697704FB" w14:textId="773BB4A3" w:rsidR="00ED524D" w:rsidRPr="00636B05" w:rsidRDefault="00ED524D" w:rsidP="00155D4F">
            <w:pPr>
              <w:cnfStyle w:val="000000000000" w:firstRow="0" w:lastRow="0" w:firstColumn="0" w:lastColumn="0" w:oddVBand="0" w:evenVBand="0" w:oddHBand="0" w:evenHBand="0" w:firstRowFirstColumn="0" w:firstRowLastColumn="0" w:lastRowFirstColumn="0" w:lastRowLastColumn="0"/>
            </w:pPr>
            <w:r>
              <w:t>Health-related quality of life</w:t>
            </w:r>
          </w:p>
        </w:tc>
      </w:tr>
      <w:tr w:rsidR="0021069C" w:rsidRPr="00636B05" w14:paraId="2660D1E5"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77B7C681" w14:textId="77777777" w:rsidR="0021069C" w:rsidRPr="00636B05" w:rsidRDefault="0021069C" w:rsidP="00155D4F">
            <w:r w:rsidRPr="00636B05">
              <w:t>ICF</w:t>
            </w:r>
          </w:p>
        </w:tc>
        <w:tc>
          <w:tcPr>
            <w:tcW w:w="3970" w:type="pct"/>
          </w:tcPr>
          <w:p w14:paraId="60473248" w14:textId="76D83642" w:rsidR="000A6B51" w:rsidRPr="00636B05" w:rsidRDefault="009E03A2" w:rsidP="000A6B51">
            <w:pPr>
              <w:cnfStyle w:val="000000100000" w:firstRow="0" w:lastRow="0" w:firstColumn="0" w:lastColumn="0" w:oddVBand="0" w:evenVBand="0" w:oddHBand="1" w:evenHBand="0" w:firstRowFirstColumn="0" w:firstRowLastColumn="0" w:lastRowFirstColumn="0" w:lastRowLastColumn="0"/>
            </w:pPr>
            <w:r>
              <w:t>World Health Organization International Classification of Functioning, Disability</w:t>
            </w:r>
            <w:r w:rsidR="00277C5D">
              <w:t> </w:t>
            </w:r>
            <w:r>
              <w:t>and Health</w:t>
            </w:r>
          </w:p>
        </w:tc>
      </w:tr>
      <w:tr w:rsidR="0021069C" w:rsidRPr="00636B05" w14:paraId="1FADC434"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B60FA95" w14:textId="77777777" w:rsidR="0021069C" w:rsidRPr="00636B05" w:rsidRDefault="0021069C" w:rsidP="00155D4F">
            <w:r w:rsidRPr="00636B05">
              <w:t>ILC</w:t>
            </w:r>
          </w:p>
        </w:tc>
        <w:tc>
          <w:tcPr>
            <w:tcW w:w="3970" w:type="pct"/>
          </w:tcPr>
          <w:p w14:paraId="027A0F68" w14:textId="3D22F2FF"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Independent Living Centre</w:t>
            </w:r>
          </w:p>
        </w:tc>
      </w:tr>
      <w:tr w:rsidR="0021069C" w:rsidRPr="00636B05" w14:paraId="531726AE"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684CB3F1" w14:textId="77777777" w:rsidR="0021069C" w:rsidRPr="00636B05" w:rsidRDefault="0021069C" w:rsidP="00155D4F">
            <w:r w:rsidRPr="00636B05">
              <w:t>MBS</w:t>
            </w:r>
          </w:p>
        </w:tc>
        <w:tc>
          <w:tcPr>
            <w:tcW w:w="3970" w:type="pct"/>
          </w:tcPr>
          <w:p w14:paraId="61A0061B"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Medicare Benefits Schedule</w:t>
            </w:r>
          </w:p>
        </w:tc>
      </w:tr>
      <w:tr w:rsidR="00AD17C7" w:rsidRPr="00636B05" w14:paraId="2021CB6F"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75FCD55B" w14:textId="762A6C7B" w:rsidR="00AD17C7" w:rsidRPr="00636B05" w:rsidRDefault="00AD17C7" w:rsidP="00155D4F">
            <w:r w:rsidRPr="00636B05">
              <w:t>MCA</w:t>
            </w:r>
          </w:p>
        </w:tc>
        <w:tc>
          <w:tcPr>
            <w:tcW w:w="3970" w:type="pct"/>
          </w:tcPr>
          <w:p w14:paraId="7F9206F4" w14:textId="7FBC6C56" w:rsidR="00AD17C7" w:rsidRPr="00636B05" w:rsidRDefault="00AD17C7" w:rsidP="00155D4F">
            <w:pPr>
              <w:cnfStyle w:val="000000000000" w:firstRow="0" w:lastRow="0" w:firstColumn="0" w:lastColumn="0" w:oddVBand="0" w:evenVBand="0" w:oddHBand="0" w:evenHBand="0" w:firstRowFirstColumn="0" w:firstRowLastColumn="0" w:lastRowFirstColumn="0" w:lastRowLastColumn="0"/>
            </w:pPr>
            <w:r w:rsidRPr="00636B05">
              <w:t>Middle cerebral artery</w:t>
            </w:r>
          </w:p>
        </w:tc>
      </w:tr>
      <w:tr w:rsidR="0021069C" w:rsidRPr="00636B05" w14:paraId="3C83E158"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3A33B821" w14:textId="77777777" w:rsidR="0021069C" w:rsidRPr="00636B05" w:rsidRDefault="0021069C" w:rsidP="00155D4F">
            <w:r w:rsidRPr="00636B05">
              <w:t>MDS</w:t>
            </w:r>
          </w:p>
        </w:tc>
        <w:tc>
          <w:tcPr>
            <w:tcW w:w="3970" w:type="pct"/>
          </w:tcPr>
          <w:p w14:paraId="6D2B9870"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Minimum data set</w:t>
            </w:r>
          </w:p>
        </w:tc>
      </w:tr>
      <w:tr w:rsidR="0021069C" w:rsidRPr="00636B05" w14:paraId="016C4E79"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2A68D319" w14:textId="77777777" w:rsidR="0021069C" w:rsidRPr="00636B05" w:rsidRDefault="0021069C" w:rsidP="00155D4F">
            <w:r w:rsidRPr="00636B05">
              <w:t>MDT</w:t>
            </w:r>
          </w:p>
        </w:tc>
        <w:tc>
          <w:tcPr>
            <w:tcW w:w="3970" w:type="pct"/>
          </w:tcPr>
          <w:p w14:paraId="12772FAA"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Multidisciplinary Team</w:t>
            </w:r>
          </w:p>
        </w:tc>
      </w:tr>
      <w:tr w:rsidR="00AD17C7" w:rsidRPr="00636B05" w14:paraId="3D3D15BC"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33278B1" w14:textId="6EF75569" w:rsidR="00AD17C7" w:rsidRPr="00636B05" w:rsidRDefault="00AD17C7" w:rsidP="00155D4F">
            <w:r w:rsidRPr="00636B05">
              <w:t>MOW</w:t>
            </w:r>
          </w:p>
        </w:tc>
        <w:tc>
          <w:tcPr>
            <w:tcW w:w="3970" w:type="pct"/>
          </w:tcPr>
          <w:p w14:paraId="624CF418" w14:textId="1DED0AE0" w:rsidR="00AD17C7" w:rsidRPr="00636B05" w:rsidRDefault="00AD17C7" w:rsidP="00155D4F">
            <w:pPr>
              <w:cnfStyle w:val="000000100000" w:firstRow="0" w:lastRow="0" w:firstColumn="0" w:lastColumn="0" w:oddVBand="0" w:evenVBand="0" w:oddHBand="1" w:evenHBand="0" w:firstRowFirstColumn="0" w:firstRowLastColumn="0" w:lastRowFirstColumn="0" w:lastRowLastColumn="0"/>
            </w:pPr>
            <w:r w:rsidRPr="00636B05">
              <w:t>Meals on Wheels</w:t>
            </w:r>
          </w:p>
        </w:tc>
      </w:tr>
      <w:tr w:rsidR="0021069C" w:rsidRPr="00636B05" w14:paraId="2390EECD"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330B36E6" w14:textId="77777777" w:rsidR="0021069C" w:rsidRPr="00636B05" w:rsidRDefault="0021069C" w:rsidP="00155D4F">
            <w:r w:rsidRPr="00636B05">
              <w:t>NACA</w:t>
            </w:r>
          </w:p>
        </w:tc>
        <w:tc>
          <w:tcPr>
            <w:tcW w:w="3970" w:type="pct"/>
          </w:tcPr>
          <w:p w14:paraId="5045DF36"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National Aged Care Alliance</w:t>
            </w:r>
          </w:p>
        </w:tc>
      </w:tr>
      <w:tr w:rsidR="0021069C" w:rsidRPr="00636B05" w14:paraId="4F478DA1"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0A25F7E8" w14:textId="77777777" w:rsidR="0021069C" w:rsidRPr="00636B05" w:rsidRDefault="0021069C" w:rsidP="00155D4F">
            <w:r w:rsidRPr="00636B05">
              <w:lastRenderedPageBreak/>
              <w:t>NDIS</w:t>
            </w:r>
          </w:p>
        </w:tc>
        <w:tc>
          <w:tcPr>
            <w:tcW w:w="3970" w:type="pct"/>
          </w:tcPr>
          <w:p w14:paraId="6DA4330E"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National Disability Insurance Scheme</w:t>
            </w:r>
          </w:p>
        </w:tc>
      </w:tr>
      <w:tr w:rsidR="0021069C" w:rsidRPr="00636B05" w14:paraId="141DFE57"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071148E9" w14:textId="77777777" w:rsidR="0021069C" w:rsidRPr="00636B05" w:rsidRDefault="0021069C" w:rsidP="00155D4F">
            <w:r w:rsidRPr="00636B05">
              <w:t>NED</w:t>
            </w:r>
          </w:p>
        </w:tc>
        <w:tc>
          <w:tcPr>
            <w:tcW w:w="3970" w:type="pct"/>
          </w:tcPr>
          <w:p w14:paraId="3D26C9F1"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National Equipment Database</w:t>
            </w:r>
          </w:p>
        </w:tc>
      </w:tr>
      <w:tr w:rsidR="0021069C" w:rsidRPr="00636B05" w14:paraId="341D6ED4"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5DB316A3" w14:textId="77777777" w:rsidR="0021069C" w:rsidRPr="00636B05" w:rsidRDefault="0021069C" w:rsidP="00155D4F">
            <w:r w:rsidRPr="00636B05">
              <w:t>NIIS</w:t>
            </w:r>
          </w:p>
        </w:tc>
        <w:tc>
          <w:tcPr>
            <w:tcW w:w="3970" w:type="pct"/>
          </w:tcPr>
          <w:p w14:paraId="3A784C8C"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National Injury Insurance Scheme</w:t>
            </w:r>
          </w:p>
        </w:tc>
      </w:tr>
      <w:tr w:rsidR="0021069C" w:rsidRPr="00636B05" w14:paraId="4FE17207"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83177EE" w14:textId="77777777" w:rsidR="0021069C" w:rsidRPr="00636B05" w:rsidRDefault="0021069C" w:rsidP="00155D4F">
            <w:r w:rsidRPr="00636B05">
              <w:t>NIISQ</w:t>
            </w:r>
          </w:p>
        </w:tc>
        <w:tc>
          <w:tcPr>
            <w:tcW w:w="3970" w:type="pct"/>
          </w:tcPr>
          <w:p w14:paraId="4CD2D926"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National Injury Insurance Agency, Queensland</w:t>
            </w:r>
          </w:p>
        </w:tc>
      </w:tr>
      <w:tr w:rsidR="0021069C" w:rsidRPr="00636B05" w14:paraId="5A3CB5DD"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16E04D9D" w14:textId="77777777" w:rsidR="0021069C" w:rsidRPr="00636B05" w:rsidRDefault="0021069C" w:rsidP="00155D4F">
            <w:r w:rsidRPr="00636B05">
              <w:t>OH&amp;S</w:t>
            </w:r>
          </w:p>
        </w:tc>
        <w:tc>
          <w:tcPr>
            <w:tcW w:w="3970" w:type="pct"/>
          </w:tcPr>
          <w:p w14:paraId="360E360F"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Occupational Health &amp; Safety</w:t>
            </w:r>
          </w:p>
        </w:tc>
      </w:tr>
      <w:tr w:rsidR="0021069C" w:rsidRPr="00636B05" w14:paraId="53E2AC31"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619C603" w14:textId="77777777" w:rsidR="0021069C" w:rsidRPr="00636B05" w:rsidRDefault="0021069C" w:rsidP="00155D4F">
            <w:r w:rsidRPr="00636B05">
              <w:t>OT</w:t>
            </w:r>
          </w:p>
        </w:tc>
        <w:tc>
          <w:tcPr>
            <w:tcW w:w="3970" w:type="pct"/>
          </w:tcPr>
          <w:p w14:paraId="05CE3C0F" w14:textId="6BE409A5"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 xml:space="preserve">Occupational </w:t>
            </w:r>
            <w:r w:rsidR="00277C5D">
              <w:t>t</w:t>
            </w:r>
            <w:r w:rsidRPr="00636B05">
              <w:t>herapist</w:t>
            </w:r>
          </w:p>
        </w:tc>
      </w:tr>
      <w:tr w:rsidR="0021069C" w:rsidRPr="00636B05" w14:paraId="5F94CB89"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39F4BC1A" w14:textId="77777777" w:rsidR="0021069C" w:rsidRPr="00636B05" w:rsidRDefault="0021069C" w:rsidP="00155D4F">
            <w:r w:rsidRPr="00636B05">
              <w:t>P&amp;O</w:t>
            </w:r>
          </w:p>
        </w:tc>
        <w:tc>
          <w:tcPr>
            <w:tcW w:w="3970" w:type="pct"/>
          </w:tcPr>
          <w:p w14:paraId="7CE10549" w14:textId="6DE06D3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 xml:space="preserve">Prosthetics and </w:t>
            </w:r>
            <w:r w:rsidR="00277C5D">
              <w:t>o</w:t>
            </w:r>
            <w:r w:rsidRPr="00636B05">
              <w:t>rthotics</w:t>
            </w:r>
          </w:p>
        </w:tc>
      </w:tr>
      <w:tr w:rsidR="0021069C" w:rsidRPr="00636B05" w14:paraId="4F826A8E"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6A513716" w14:textId="77777777" w:rsidR="0021069C" w:rsidRPr="00636B05" w:rsidRDefault="0021069C" w:rsidP="00155D4F">
            <w:r w:rsidRPr="00636B05">
              <w:t>PDW</w:t>
            </w:r>
          </w:p>
        </w:tc>
        <w:tc>
          <w:tcPr>
            <w:tcW w:w="3970" w:type="pct"/>
          </w:tcPr>
          <w:p w14:paraId="48BB2B8C"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Power drive wheelchairs</w:t>
            </w:r>
          </w:p>
        </w:tc>
      </w:tr>
      <w:tr w:rsidR="0021069C" w:rsidRPr="00636B05" w14:paraId="7C481D5B"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593EBB7A" w14:textId="77777777" w:rsidR="0021069C" w:rsidRPr="00636B05" w:rsidRDefault="0021069C" w:rsidP="00155D4F">
            <w:r w:rsidRPr="00636B05">
              <w:t>PIL</w:t>
            </w:r>
          </w:p>
        </w:tc>
        <w:tc>
          <w:tcPr>
            <w:tcW w:w="3970" w:type="pct"/>
          </w:tcPr>
          <w:p w14:paraId="56AB14C1"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Promoting Independent Living</w:t>
            </w:r>
          </w:p>
        </w:tc>
      </w:tr>
      <w:tr w:rsidR="0021069C" w:rsidRPr="00636B05" w14:paraId="05B011D5"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759B25D0" w14:textId="77777777" w:rsidR="0021069C" w:rsidRPr="00636B05" w:rsidRDefault="0021069C" w:rsidP="00155D4F">
            <w:r w:rsidRPr="00636B05">
              <w:t>RAS</w:t>
            </w:r>
          </w:p>
        </w:tc>
        <w:tc>
          <w:tcPr>
            <w:tcW w:w="3970" w:type="pct"/>
          </w:tcPr>
          <w:p w14:paraId="5C06A335"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Regional Assessment Service</w:t>
            </w:r>
          </w:p>
        </w:tc>
      </w:tr>
      <w:tr w:rsidR="0021069C" w:rsidRPr="00636B05" w14:paraId="02A1D0A7"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4EA8C93B" w14:textId="77777777" w:rsidR="0021069C" w:rsidRPr="00636B05" w:rsidRDefault="0021069C" w:rsidP="00155D4F">
            <w:r w:rsidRPr="00636B05">
              <w:t>RER</w:t>
            </w:r>
          </w:p>
        </w:tc>
        <w:tc>
          <w:tcPr>
            <w:tcW w:w="3970" w:type="pct"/>
          </w:tcPr>
          <w:p w14:paraId="3C3CC6C2"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Rapid evidence review</w:t>
            </w:r>
          </w:p>
        </w:tc>
      </w:tr>
      <w:tr w:rsidR="0021069C" w:rsidRPr="00636B05" w14:paraId="69347407"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14CE57C9" w14:textId="77777777" w:rsidR="0021069C" w:rsidRPr="00636B05" w:rsidRDefault="0021069C" w:rsidP="00155D4F">
            <w:r w:rsidRPr="00636B05">
              <w:t>RFQ</w:t>
            </w:r>
          </w:p>
        </w:tc>
        <w:tc>
          <w:tcPr>
            <w:tcW w:w="3970" w:type="pct"/>
          </w:tcPr>
          <w:p w14:paraId="4B0A6794"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Request for quote</w:t>
            </w:r>
          </w:p>
        </w:tc>
      </w:tr>
      <w:tr w:rsidR="0021069C" w:rsidRPr="00636B05" w14:paraId="3DFF7F65"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5D453EA8" w14:textId="77777777" w:rsidR="0021069C" w:rsidRPr="00636B05" w:rsidRDefault="0021069C" w:rsidP="00155D4F">
            <w:r w:rsidRPr="00636B05">
              <w:t>STRC</w:t>
            </w:r>
          </w:p>
        </w:tc>
        <w:tc>
          <w:tcPr>
            <w:tcW w:w="3970" w:type="pct"/>
          </w:tcPr>
          <w:p w14:paraId="4481AE10" w14:textId="13B453F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Short</w:t>
            </w:r>
            <w:r w:rsidR="0066549C" w:rsidRPr="00636B05">
              <w:t>-</w:t>
            </w:r>
            <w:r w:rsidRPr="00636B05">
              <w:t>Term Restorative Care Program</w:t>
            </w:r>
          </w:p>
        </w:tc>
      </w:tr>
      <w:tr w:rsidR="0021069C" w:rsidRPr="00636B05" w14:paraId="197ABA39"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0DC70888" w14:textId="77777777" w:rsidR="0021069C" w:rsidRPr="00636B05" w:rsidRDefault="0021069C" w:rsidP="00155D4F">
            <w:r w:rsidRPr="00636B05">
              <w:t>TCP</w:t>
            </w:r>
          </w:p>
        </w:tc>
        <w:tc>
          <w:tcPr>
            <w:tcW w:w="3970" w:type="pct"/>
          </w:tcPr>
          <w:p w14:paraId="279EFDC8"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Transition Care Program</w:t>
            </w:r>
          </w:p>
        </w:tc>
      </w:tr>
      <w:tr w:rsidR="0021069C" w:rsidRPr="00636B05" w14:paraId="7DA9C9A1" w14:textId="77777777" w:rsidTr="00747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1446EB03" w14:textId="77777777" w:rsidR="0021069C" w:rsidRPr="00636B05" w:rsidRDefault="0021069C" w:rsidP="00155D4F">
            <w:r w:rsidRPr="00636B05">
              <w:t>TGA</w:t>
            </w:r>
          </w:p>
        </w:tc>
        <w:tc>
          <w:tcPr>
            <w:tcW w:w="3970" w:type="pct"/>
          </w:tcPr>
          <w:p w14:paraId="7FB27E72" w14:textId="77777777" w:rsidR="0021069C" w:rsidRPr="00636B05" w:rsidRDefault="0021069C" w:rsidP="00155D4F">
            <w:pPr>
              <w:cnfStyle w:val="000000100000" w:firstRow="0" w:lastRow="0" w:firstColumn="0" w:lastColumn="0" w:oddVBand="0" w:evenVBand="0" w:oddHBand="1" w:evenHBand="0" w:firstRowFirstColumn="0" w:firstRowLastColumn="0" w:lastRowFirstColumn="0" w:lastRowLastColumn="0"/>
            </w:pPr>
            <w:r w:rsidRPr="00636B05">
              <w:t>Therapeutic Goods Administration</w:t>
            </w:r>
          </w:p>
        </w:tc>
      </w:tr>
      <w:tr w:rsidR="0021069C" w:rsidRPr="00636B05" w14:paraId="400A0EDC" w14:textId="77777777" w:rsidTr="0074719A">
        <w:tc>
          <w:tcPr>
            <w:cnfStyle w:val="001000000000" w:firstRow="0" w:lastRow="0" w:firstColumn="1" w:lastColumn="0" w:oddVBand="0" w:evenVBand="0" w:oddHBand="0" w:evenHBand="0" w:firstRowFirstColumn="0" w:firstRowLastColumn="0" w:lastRowFirstColumn="0" w:lastRowLastColumn="0"/>
            <w:tcW w:w="1030" w:type="pct"/>
          </w:tcPr>
          <w:p w14:paraId="75A92D2E" w14:textId="77777777" w:rsidR="0021069C" w:rsidRPr="00636B05" w:rsidRDefault="0021069C" w:rsidP="00155D4F">
            <w:r w:rsidRPr="00636B05">
              <w:t>WHO</w:t>
            </w:r>
          </w:p>
        </w:tc>
        <w:tc>
          <w:tcPr>
            <w:tcW w:w="3970" w:type="pct"/>
          </w:tcPr>
          <w:p w14:paraId="76373C1D" w14:textId="77777777" w:rsidR="0021069C" w:rsidRPr="00636B05" w:rsidRDefault="0021069C" w:rsidP="00155D4F">
            <w:pPr>
              <w:cnfStyle w:val="000000000000" w:firstRow="0" w:lastRow="0" w:firstColumn="0" w:lastColumn="0" w:oddVBand="0" w:evenVBand="0" w:oddHBand="0" w:evenHBand="0" w:firstRowFirstColumn="0" w:firstRowLastColumn="0" w:lastRowFirstColumn="0" w:lastRowLastColumn="0"/>
            </w:pPr>
            <w:r w:rsidRPr="00636B05">
              <w:t>World Health Organization</w:t>
            </w:r>
          </w:p>
        </w:tc>
      </w:tr>
    </w:tbl>
    <w:p w14:paraId="2C423BA7" w14:textId="77777777" w:rsidR="00277C5D" w:rsidRDefault="00277C5D" w:rsidP="00024B22">
      <w:pPr>
        <w:rPr>
          <w:lang w:eastAsia="en-AU"/>
        </w:rPr>
      </w:pPr>
    </w:p>
    <w:p w14:paraId="3A029DB9" w14:textId="05125B39" w:rsidR="00277C5D" w:rsidRDefault="00277C5D" w:rsidP="00024B22">
      <w:pPr>
        <w:rPr>
          <w:lang w:eastAsia="en-AU"/>
        </w:rPr>
        <w:sectPr w:rsidR="00277C5D" w:rsidSect="00902000">
          <w:pgSz w:w="11907" w:h="16840" w:code="9"/>
          <w:pgMar w:top="1134" w:right="1134" w:bottom="1134" w:left="1134" w:header="567" w:footer="851" w:gutter="0"/>
          <w:pgNumType w:fmt="lowerRoman"/>
          <w:cols w:space="680"/>
          <w:titlePg/>
          <w:docGrid w:linePitch="360"/>
        </w:sectPr>
      </w:pPr>
    </w:p>
    <w:p w14:paraId="4B9CAE14" w14:textId="2B8635E1" w:rsidR="00B27FD5" w:rsidRDefault="00FB2388" w:rsidP="004E2A0B">
      <w:pPr>
        <w:pStyle w:val="TOCHeading"/>
      </w:pPr>
      <w:r>
        <w:lastRenderedPageBreak/>
        <w:t>Glossary</w:t>
      </w:r>
    </w:p>
    <w:tbl>
      <w:tblPr>
        <w:tblStyle w:val="AHALight"/>
        <w:tblW w:w="5000" w:type="pct"/>
        <w:tblLayout w:type="fixed"/>
        <w:tblLook w:val="04A0" w:firstRow="1" w:lastRow="0" w:firstColumn="1" w:lastColumn="0" w:noHBand="0" w:noVBand="1"/>
        <w:tblCaption w:val="Glossary"/>
        <w:tblDescription w:val="Alphabetical list of terms and their definitions."/>
      </w:tblPr>
      <w:tblGrid>
        <w:gridCol w:w="1986"/>
        <w:gridCol w:w="7653"/>
      </w:tblGrid>
      <w:tr w:rsidR="00277C5D" w:rsidRPr="00636B05" w14:paraId="37F5635B" w14:textId="77777777" w:rsidTr="00277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D0333FB" w14:textId="77777777" w:rsidR="00277C5D" w:rsidRPr="00636B05" w:rsidRDefault="00277C5D" w:rsidP="00277C5D">
            <w:r w:rsidRPr="00636B05">
              <w:t>Abbreviation</w:t>
            </w:r>
          </w:p>
        </w:tc>
        <w:tc>
          <w:tcPr>
            <w:tcW w:w="3970" w:type="pct"/>
          </w:tcPr>
          <w:p w14:paraId="6EEDE84A" w14:textId="77777777" w:rsidR="00277C5D" w:rsidRPr="00636B05" w:rsidRDefault="00277C5D" w:rsidP="00277C5D">
            <w:pPr>
              <w:cnfStyle w:val="100000000000" w:firstRow="1" w:lastRow="0" w:firstColumn="0" w:lastColumn="0" w:oddVBand="0" w:evenVBand="0" w:oddHBand="0" w:evenHBand="0" w:firstRowFirstColumn="0" w:firstRowLastColumn="0" w:lastRowFirstColumn="0" w:lastRowLastColumn="0"/>
            </w:pPr>
            <w:r w:rsidRPr="00636B05">
              <w:t>Definition</w:t>
            </w:r>
          </w:p>
        </w:tc>
      </w:tr>
      <w:tr w:rsidR="00277C5D" w:rsidRPr="00636B05" w14:paraId="1D2EE1B7" w14:textId="77777777" w:rsidTr="002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1993DBFC" w14:textId="77777777" w:rsidR="00277C5D" w:rsidRPr="00636B05" w:rsidRDefault="00277C5D" w:rsidP="00277C5D">
            <w:r>
              <w:t>AT Products and services</w:t>
            </w:r>
          </w:p>
        </w:tc>
        <w:tc>
          <w:tcPr>
            <w:tcW w:w="3970" w:type="pct"/>
          </w:tcPr>
          <w:p w14:paraId="586B086B" w14:textId="77777777" w:rsidR="00277C5D" w:rsidRPr="00636B05" w:rsidRDefault="00277C5D" w:rsidP="00277C5D">
            <w:pPr>
              <w:cnfStyle w:val="000000100000" w:firstRow="0" w:lastRow="0" w:firstColumn="0" w:lastColumn="0" w:oddVBand="0" w:evenVBand="0" w:oddHBand="1" w:evenHBand="0" w:firstRowFirstColumn="0" w:firstRowLastColumn="0" w:lastRowFirstColumn="0" w:lastRowLastColumn="0"/>
            </w:pPr>
            <w:r>
              <w:t>AT Products and AT Services make up an AT Products and services</w:t>
            </w:r>
          </w:p>
        </w:tc>
      </w:tr>
      <w:tr w:rsidR="00277C5D" w:rsidRPr="00636B05" w14:paraId="06FB8F68" w14:textId="77777777" w:rsidTr="00277C5D">
        <w:tc>
          <w:tcPr>
            <w:cnfStyle w:val="001000000000" w:firstRow="0" w:lastRow="0" w:firstColumn="1" w:lastColumn="0" w:oddVBand="0" w:evenVBand="0" w:oddHBand="0" w:evenHBand="0" w:firstRowFirstColumn="0" w:firstRowLastColumn="0" w:lastRowFirstColumn="0" w:lastRowLastColumn="0"/>
            <w:tcW w:w="1030" w:type="pct"/>
          </w:tcPr>
          <w:p w14:paraId="2A95F216" w14:textId="77777777" w:rsidR="00277C5D" w:rsidRPr="00636B05" w:rsidRDefault="00277C5D" w:rsidP="00277C5D">
            <w:r w:rsidRPr="00636B05">
              <w:t>AT Products</w:t>
            </w:r>
          </w:p>
        </w:tc>
        <w:tc>
          <w:tcPr>
            <w:tcW w:w="3970" w:type="pct"/>
          </w:tcPr>
          <w:p w14:paraId="55751034" w14:textId="338A07C8" w:rsidR="00277C5D" w:rsidRPr="00636B05" w:rsidRDefault="00F909FF" w:rsidP="00277C5D">
            <w:pPr>
              <w:cnfStyle w:val="000000000000" w:firstRow="0" w:lastRow="0" w:firstColumn="0" w:lastColumn="0" w:oddVBand="0" w:evenVBand="0" w:oddHBand="0" w:evenHBand="0" w:firstRowFirstColumn="0" w:firstRowLastColumn="0" w:lastRowFirstColumn="0" w:lastRowLastColumn="0"/>
            </w:pPr>
            <w:r>
              <w:t xml:space="preserve">Items </w:t>
            </w:r>
            <w:r w:rsidR="00277C5D" w:rsidRPr="00636B05">
              <w:t>of assistive technology</w:t>
            </w:r>
          </w:p>
        </w:tc>
      </w:tr>
      <w:tr w:rsidR="00277C5D" w:rsidRPr="00636B05" w14:paraId="7C892382" w14:textId="77777777" w:rsidTr="002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7BB94D90" w14:textId="55DB3619" w:rsidR="00277C5D" w:rsidRPr="00636B05" w:rsidRDefault="00277C5D" w:rsidP="00277C5D">
            <w:r w:rsidRPr="00636B05">
              <w:t>AT Services</w:t>
            </w:r>
          </w:p>
        </w:tc>
        <w:tc>
          <w:tcPr>
            <w:tcW w:w="3970" w:type="pct"/>
          </w:tcPr>
          <w:p w14:paraId="0EE183C7" w14:textId="77777777" w:rsidR="00277C5D" w:rsidRPr="00636B05" w:rsidRDefault="00277C5D" w:rsidP="00277C5D">
            <w:pPr>
              <w:cnfStyle w:val="000000100000" w:firstRow="0" w:lastRow="0" w:firstColumn="0" w:lastColumn="0" w:oddVBand="0" w:evenVBand="0" w:oddHBand="1" w:evenHBand="0" w:firstRowFirstColumn="0" w:firstRowLastColumn="0" w:lastRowFirstColumn="0" w:lastRowLastColumn="0"/>
            </w:pPr>
            <w:r w:rsidRPr="00636B05">
              <w:t xml:space="preserve">Services or ‘soft technology’ used </w:t>
            </w:r>
          </w:p>
        </w:tc>
      </w:tr>
      <w:tr w:rsidR="00277C5D" w:rsidRPr="00636B05" w14:paraId="7CB730D0" w14:textId="77777777" w:rsidTr="00277C5D">
        <w:tc>
          <w:tcPr>
            <w:cnfStyle w:val="001000000000" w:firstRow="0" w:lastRow="0" w:firstColumn="1" w:lastColumn="0" w:oddVBand="0" w:evenVBand="0" w:oddHBand="0" w:evenHBand="0" w:firstRowFirstColumn="0" w:firstRowLastColumn="0" w:lastRowFirstColumn="0" w:lastRowLastColumn="0"/>
            <w:tcW w:w="1030" w:type="pct"/>
          </w:tcPr>
          <w:p w14:paraId="263117F2" w14:textId="77777777" w:rsidR="00277C5D" w:rsidRPr="00636B05" w:rsidRDefault="00277C5D" w:rsidP="00277C5D">
            <w:r w:rsidRPr="00636B05">
              <w:t xml:space="preserve">Core Activity Limitation </w:t>
            </w:r>
          </w:p>
        </w:tc>
        <w:tc>
          <w:tcPr>
            <w:tcW w:w="3970" w:type="pct"/>
          </w:tcPr>
          <w:p w14:paraId="447066C5" w14:textId="77777777"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The Australian Bureau of Statistics Survey of Disability, Ageing and Carers (ABS SDAC) provides information on core activity limitations.</w:t>
            </w:r>
            <w:r>
              <w:t xml:space="preserve"> </w:t>
            </w:r>
            <w:r w:rsidRPr="00636B05">
              <w:t>Core activities are communication, mobility and self-care.</w:t>
            </w:r>
            <w:r>
              <w:t xml:space="preserve"> </w:t>
            </w:r>
            <w:r w:rsidRPr="00636B05">
              <w:t>Four levels of severity are provided:</w:t>
            </w:r>
          </w:p>
          <w:p w14:paraId="272374D3" w14:textId="75824096"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Mild limitation</w:t>
            </w:r>
            <w:r w:rsidR="00861912">
              <w:t xml:space="preserve"> – </w:t>
            </w:r>
            <w:r w:rsidRPr="00636B05">
              <w:t>People who need no help and have no difficulty, but use aids or equipment for core tasks or have one or more of the following limitations:</w:t>
            </w:r>
          </w:p>
          <w:p w14:paraId="164593A7" w14:textId="77777777" w:rsidR="00277C5D" w:rsidRPr="00636B05" w:rsidRDefault="00277C5D" w:rsidP="00277C5D">
            <w:pPr>
              <w:pStyle w:val="TableBullet1"/>
              <w:ind w:left="594"/>
              <w:cnfStyle w:val="000000000000" w:firstRow="0" w:lastRow="0" w:firstColumn="0" w:lastColumn="0" w:oddVBand="0" w:evenVBand="0" w:oddHBand="0" w:evenHBand="0" w:firstRowFirstColumn="0" w:firstRowLastColumn="0" w:lastRowFirstColumn="0" w:lastRowLastColumn="0"/>
            </w:pPr>
            <w:r w:rsidRPr="00636B05">
              <w:t>Cannot easily walk 200 metres</w:t>
            </w:r>
          </w:p>
          <w:p w14:paraId="063E2EB6" w14:textId="77777777" w:rsidR="00277C5D" w:rsidRPr="00636B05" w:rsidRDefault="00277C5D" w:rsidP="00277C5D">
            <w:pPr>
              <w:pStyle w:val="TableBullet1"/>
              <w:ind w:left="594"/>
              <w:cnfStyle w:val="000000000000" w:firstRow="0" w:lastRow="0" w:firstColumn="0" w:lastColumn="0" w:oddVBand="0" w:evenVBand="0" w:oddHBand="0" w:evenHBand="0" w:firstRowFirstColumn="0" w:firstRowLastColumn="0" w:lastRowFirstColumn="0" w:lastRowLastColumn="0"/>
            </w:pPr>
            <w:r w:rsidRPr="00636B05">
              <w:t>Cannot walk up and down stairs without a handrail</w:t>
            </w:r>
          </w:p>
          <w:p w14:paraId="1A92A2B5" w14:textId="77777777" w:rsidR="00277C5D" w:rsidRPr="00636B05" w:rsidRDefault="00277C5D" w:rsidP="00277C5D">
            <w:pPr>
              <w:pStyle w:val="TableBullet1"/>
              <w:ind w:left="594"/>
              <w:cnfStyle w:val="000000000000" w:firstRow="0" w:lastRow="0" w:firstColumn="0" w:lastColumn="0" w:oddVBand="0" w:evenVBand="0" w:oddHBand="0" w:evenHBand="0" w:firstRowFirstColumn="0" w:firstRowLastColumn="0" w:lastRowFirstColumn="0" w:lastRowLastColumn="0"/>
            </w:pPr>
            <w:r w:rsidRPr="00636B05">
              <w:t>Cannot easily bend to pick up an object from the floor</w:t>
            </w:r>
          </w:p>
          <w:p w14:paraId="0678C223" w14:textId="77777777" w:rsidR="00277C5D" w:rsidRPr="00636B05" w:rsidRDefault="00277C5D" w:rsidP="00277C5D">
            <w:pPr>
              <w:pStyle w:val="TableBullet1"/>
              <w:ind w:left="594"/>
              <w:cnfStyle w:val="000000000000" w:firstRow="0" w:lastRow="0" w:firstColumn="0" w:lastColumn="0" w:oddVBand="0" w:evenVBand="0" w:oddHBand="0" w:evenHBand="0" w:firstRowFirstColumn="0" w:firstRowLastColumn="0" w:lastRowFirstColumn="0" w:lastRowLastColumn="0"/>
            </w:pPr>
            <w:r w:rsidRPr="00636B05">
              <w:t>Has difficulty or cannot use public transport</w:t>
            </w:r>
          </w:p>
          <w:p w14:paraId="61BC7E06" w14:textId="68BF03FE"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Moderate limitation</w:t>
            </w:r>
            <w:r w:rsidR="00861912">
              <w:t xml:space="preserve"> – </w:t>
            </w:r>
            <w:r w:rsidRPr="00636B05">
              <w:t>people who need no help but have difficulty</w:t>
            </w:r>
          </w:p>
          <w:p w14:paraId="173B86B2" w14:textId="106A6E70"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Severe limitation</w:t>
            </w:r>
            <w:r w:rsidR="00861912">
              <w:t xml:space="preserve"> – </w:t>
            </w:r>
            <w:r w:rsidRPr="00636B05">
              <w:t>people who sometimes need help and/or have difficulty</w:t>
            </w:r>
          </w:p>
          <w:p w14:paraId="61AB1E53" w14:textId="5CFD892F"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Profound limitation</w:t>
            </w:r>
            <w:r w:rsidR="00861912">
              <w:t xml:space="preserve"> – </w:t>
            </w:r>
            <w:r w:rsidRPr="00636B05">
              <w:t>people with the greatest need for help or who are unable to do an activity</w:t>
            </w:r>
          </w:p>
        </w:tc>
      </w:tr>
      <w:tr w:rsidR="00277C5D" w:rsidRPr="00636B05" w14:paraId="4D5D700C" w14:textId="77777777" w:rsidTr="002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107B4D5C" w14:textId="77777777" w:rsidR="00277C5D" w:rsidRPr="00636B05" w:rsidRDefault="00277C5D" w:rsidP="00277C5D">
            <w:r w:rsidRPr="00636B05">
              <w:t xml:space="preserve">Disability </w:t>
            </w:r>
          </w:p>
        </w:tc>
        <w:tc>
          <w:tcPr>
            <w:tcW w:w="3970" w:type="pct"/>
          </w:tcPr>
          <w:p w14:paraId="65537286" w14:textId="3F49074F" w:rsidR="00277C5D" w:rsidRPr="00636B05" w:rsidRDefault="00277C5D" w:rsidP="00277C5D">
            <w:pPr>
              <w:cnfStyle w:val="000000100000" w:firstRow="0" w:lastRow="0" w:firstColumn="0" w:lastColumn="0" w:oddVBand="0" w:evenVBand="0" w:oddHBand="1" w:evenHBand="0" w:firstRowFirstColumn="0" w:firstRowLastColumn="0" w:lastRowFirstColumn="0" w:lastRowLastColumn="0"/>
            </w:pPr>
            <w:r w:rsidRPr="00636B05">
              <w:t>In the ABS SDAC, a person is considered to have disability if they have at least one of a list of limitations, restrictions or impairments, which has lasted, or is likely to last, for at least 6 months and restricts everyday activities.</w:t>
            </w:r>
            <w:r>
              <w:t xml:space="preserve"> </w:t>
            </w:r>
            <w:r w:rsidRPr="00636B05">
              <w:t>The severity of disability is further defined according to the degree of assistance or supervision required in core activities</w:t>
            </w:r>
            <w:r w:rsidR="00861912">
              <w:t xml:space="preserve"> – </w:t>
            </w:r>
            <w:r w:rsidRPr="00636B05">
              <w:t>self-care, mobility, and communication</w:t>
            </w:r>
            <w:r w:rsidR="00861912">
              <w:t xml:space="preserve"> – </w:t>
            </w:r>
            <w:r w:rsidRPr="00636B05">
              <w:t xml:space="preserve">and grouped for </w:t>
            </w:r>
            <w:r>
              <w:t>m</w:t>
            </w:r>
            <w:r w:rsidRPr="00636B05">
              <w:t xml:space="preserve">ild, </w:t>
            </w:r>
            <w:r>
              <w:t>m</w:t>
            </w:r>
            <w:r w:rsidRPr="00636B05">
              <w:t xml:space="preserve">oderate, </w:t>
            </w:r>
            <w:r>
              <w:t>s</w:t>
            </w:r>
            <w:r w:rsidRPr="00636B05">
              <w:t xml:space="preserve">evere, and </w:t>
            </w:r>
            <w:r>
              <w:t>p</w:t>
            </w:r>
            <w:r w:rsidRPr="00636B05">
              <w:t>rofound limitation.</w:t>
            </w:r>
          </w:p>
        </w:tc>
      </w:tr>
      <w:tr w:rsidR="00277C5D" w:rsidRPr="00636B05" w14:paraId="06B0D1BC" w14:textId="77777777" w:rsidTr="00277C5D">
        <w:tc>
          <w:tcPr>
            <w:cnfStyle w:val="001000000000" w:firstRow="0" w:lastRow="0" w:firstColumn="1" w:lastColumn="0" w:oddVBand="0" w:evenVBand="0" w:oddHBand="0" w:evenHBand="0" w:firstRowFirstColumn="0" w:firstRowLastColumn="0" w:lastRowFirstColumn="0" w:lastRowLastColumn="0"/>
            <w:tcW w:w="1030" w:type="pct"/>
          </w:tcPr>
          <w:p w14:paraId="13C62523" w14:textId="77777777" w:rsidR="00277C5D" w:rsidRPr="00636B05" w:rsidRDefault="00277C5D" w:rsidP="00277C5D">
            <w:r w:rsidRPr="00636B05">
              <w:t>ISO 9999</w:t>
            </w:r>
          </w:p>
        </w:tc>
        <w:tc>
          <w:tcPr>
            <w:tcW w:w="3970" w:type="pct"/>
          </w:tcPr>
          <w:p w14:paraId="338B6BBC" w14:textId="77777777"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The International Organization for Standardization (ISO) is an independent, non-governmental organisation with a membership of 164 national standards bodies, whose remit is to develop and publish international standards.</w:t>
            </w:r>
            <w:r>
              <w:t xml:space="preserve"> </w:t>
            </w:r>
            <w:r w:rsidRPr="00636B05">
              <w:t>ISO 9999 establishes a classification of assistive products that have been produced for persons with disability.</w:t>
            </w:r>
            <w:r>
              <w:t xml:space="preserve"> </w:t>
            </w:r>
            <w:r w:rsidRPr="00636B05">
              <w:t>All assistive products in ISO 9999 are primarily intended for use outside of health care settings.</w:t>
            </w:r>
            <w:r>
              <w:t xml:space="preserve"> </w:t>
            </w:r>
            <w:r w:rsidRPr="00636B05">
              <w:t>Assistive products are classified according to their function.</w:t>
            </w:r>
            <w:r>
              <w:t xml:space="preserve"> </w:t>
            </w:r>
            <w:r w:rsidRPr="00636B05">
              <w:t>The classification consists of three hierarchical levels, with classes, subclasses and divisions.</w:t>
            </w:r>
            <w:r>
              <w:t xml:space="preserve"> </w:t>
            </w:r>
            <w:r w:rsidRPr="00636B05">
              <w:t>For the purposes of this review, 12 ISO 9999 classes are used.</w:t>
            </w:r>
            <w:r>
              <w:t xml:space="preserve"> </w:t>
            </w:r>
            <w:r w:rsidRPr="00636B05">
              <w:t>The ISO 9999 is currently being revised.</w:t>
            </w:r>
          </w:p>
        </w:tc>
      </w:tr>
      <w:tr w:rsidR="00277C5D" w:rsidRPr="00636B05" w14:paraId="5FB6CA8E" w14:textId="77777777" w:rsidTr="002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21F6092E" w14:textId="77777777" w:rsidR="00277C5D" w:rsidRPr="00636B05" w:rsidRDefault="00277C5D" w:rsidP="00277C5D">
            <w:r w:rsidRPr="00636B05">
              <w:t xml:space="preserve">Soft technology </w:t>
            </w:r>
          </w:p>
        </w:tc>
        <w:tc>
          <w:tcPr>
            <w:tcW w:w="3970" w:type="pct"/>
          </w:tcPr>
          <w:p w14:paraId="76CADE15" w14:textId="77777777" w:rsidR="00277C5D" w:rsidRPr="00636B05" w:rsidRDefault="00277C5D" w:rsidP="00277C5D">
            <w:pPr>
              <w:cnfStyle w:val="000000100000" w:firstRow="0" w:lastRow="0" w:firstColumn="0" w:lastColumn="0" w:oddVBand="0" w:evenVBand="0" w:oddHBand="1" w:evenHBand="0" w:firstRowFirstColumn="0" w:firstRowLastColumn="0" w:lastRowFirstColumn="0" w:lastRowLastColumn="0"/>
            </w:pPr>
            <w:r>
              <w:t>AT services associated with providing AT products</w:t>
            </w:r>
          </w:p>
        </w:tc>
      </w:tr>
      <w:tr w:rsidR="00277C5D" w:rsidRPr="00636B05" w14:paraId="25081F19" w14:textId="77777777" w:rsidTr="00277C5D">
        <w:tc>
          <w:tcPr>
            <w:cnfStyle w:val="001000000000" w:firstRow="0" w:lastRow="0" w:firstColumn="1" w:lastColumn="0" w:oddVBand="0" w:evenVBand="0" w:oddHBand="0" w:evenHBand="0" w:firstRowFirstColumn="0" w:firstRowLastColumn="0" w:lastRowFirstColumn="0" w:lastRowLastColumn="0"/>
            <w:tcW w:w="1030" w:type="pct"/>
          </w:tcPr>
          <w:p w14:paraId="02859E67" w14:textId="77777777" w:rsidR="00277C5D" w:rsidRPr="00636B05" w:rsidRDefault="00277C5D" w:rsidP="00277C5D">
            <w:r w:rsidRPr="00636B05">
              <w:t>States</w:t>
            </w:r>
          </w:p>
        </w:tc>
        <w:tc>
          <w:tcPr>
            <w:tcW w:w="3970" w:type="pct"/>
          </w:tcPr>
          <w:p w14:paraId="5B1A8FB6" w14:textId="77777777" w:rsidR="00277C5D" w:rsidRPr="00636B05" w:rsidRDefault="00277C5D" w:rsidP="00277C5D">
            <w:pPr>
              <w:cnfStyle w:val="000000000000" w:firstRow="0" w:lastRow="0" w:firstColumn="0" w:lastColumn="0" w:oddVBand="0" w:evenVBand="0" w:oddHBand="0" w:evenHBand="0" w:firstRowFirstColumn="0" w:firstRowLastColumn="0" w:lastRowFirstColumn="0" w:lastRowLastColumn="0"/>
            </w:pPr>
            <w:r w:rsidRPr="00636B05">
              <w:t>Australian state and territory jurisdictions</w:t>
            </w:r>
          </w:p>
        </w:tc>
      </w:tr>
    </w:tbl>
    <w:p w14:paraId="622F0029" w14:textId="77777777" w:rsidR="00277C5D" w:rsidRPr="00636B05" w:rsidRDefault="00277C5D" w:rsidP="00024B22">
      <w:pPr>
        <w:rPr>
          <w:lang w:eastAsia="en-AU"/>
        </w:rPr>
      </w:pPr>
    </w:p>
    <w:p w14:paraId="0A00FB99" w14:textId="77777777" w:rsidR="003F5DA5" w:rsidRPr="00636B05" w:rsidRDefault="003F5DA5" w:rsidP="00E363CB">
      <w:pPr>
        <w:sectPr w:rsidR="003F5DA5" w:rsidRPr="00636B05" w:rsidSect="00277C5D">
          <w:pgSz w:w="11907" w:h="16840" w:code="9"/>
          <w:pgMar w:top="1134" w:right="1134" w:bottom="1134" w:left="1134" w:header="567" w:footer="851" w:gutter="0"/>
          <w:pgNumType w:fmt="lowerRoman"/>
          <w:cols w:space="680"/>
          <w:titlePg/>
          <w:docGrid w:linePitch="360"/>
        </w:sectPr>
      </w:pPr>
    </w:p>
    <w:p w14:paraId="62C0DFF1" w14:textId="1C594A6E" w:rsidR="00D522C1" w:rsidRPr="00636B05" w:rsidRDefault="00900077" w:rsidP="00B4797D">
      <w:pPr>
        <w:pStyle w:val="Heading1"/>
      </w:pPr>
      <w:bookmarkStart w:id="1" w:name="_Toc60999844"/>
      <w:r>
        <w:lastRenderedPageBreak/>
        <w:t>Introduction</w:t>
      </w:r>
      <w:bookmarkEnd w:id="1"/>
    </w:p>
    <w:p w14:paraId="6B760586" w14:textId="1C8E9EBC" w:rsidR="00C9436B" w:rsidRDefault="00E50DFE" w:rsidP="00E50153">
      <w:bookmarkStart w:id="2" w:name="_Toc31630710"/>
      <w:r>
        <w:t xml:space="preserve">This </w:t>
      </w:r>
      <w:r w:rsidR="00C608DA">
        <w:t>Supplementary Technical Report is provided as a comp</w:t>
      </w:r>
      <w:r w:rsidR="00DD306A">
        <w:t xml:space="preserve">anion </w:t>
      </w:r>
      <w:r w:rsidR="00C608DA">
        <w:t xml:space="preserve">report to the </w:t>
      </w:r>
      <w:r w:rsidR="00DD306A">
        <w:t xml:space="preserve">Assistive Technology Review Final Report. </w:t>
      </w:r>
    </w:p>
    <w:p w14:paraId="2C748CCF" w14:textId="15CD28A5" w:rsidR="00DD306A" w:rsidRDefault="00DD306A" w:rsidP="00900077">
      <w:pPr>
        <w:pStyle w:val="Paragraph"/>
      </w:pPr>
      <w:r>
        <w:t xml:space="preserve">This report </w:t>
      </w:r>
      <w:r w:rsidR="00A52079">
        <w:t>details</w:t>
      </w:r>
      <w:r w:rsidR="00866F3D">
        <w:t>:</w:t>
      </w:r>
    </w:p>
    <w:p w14:paraId="32DDB3A0" w14:textId="4CD13312" w:rsidR="00A52079" w:rsidRPr="0030402A" w:rsidRDefault="00EC373C" w:rsidP="00277C5D">
      <w:pPr>
        <w:pStyle w:val="Bullet1Keep"/>
      </w:pPr>
      <w:r w:rsidRPr="00BB7EDE">
        <w:rPr>
          <w:b/>
          <w:bCs/>
        </w:rPr>
        <w:t>Review method</w:t>
      </w:r>
      <w:r w:rsidR="00BB7EDE" w:rsidRPr="00BB7EDE">
        <w:rPr>
          <w:b/>
          <w:bCs/>
        </w:rPr>
        <w:t>s</w:t>
      </w:r>
      <w:r w:rsidRPr="0030402A">
        <w:t xml:space="preserve"> and results </w:t>
      </w:r>
      <w:r w:rsidR="0046593F" w:rsidRPr="0030402A">
        <w:t>as follows</w:t>
      </w:r>
      <w:r w:rsidRPr="0030402A">
        <w:t>:</w:t>
      </w:r>
    </w:p>
    <w:p w14:paraId="6F1C04B2" w14:textId="72F86791" w:rsidR="00866F3D" w:rsidRDefault="00866F3D" w:rsidP="0030402A">
      <w:pPr>
        <w:pStyle w:val="Bullet2"/>
      </w:pPr>
      <w:r>
        <w:t>Review methodology</w:t>
      </w:r>
      <w:r w:rsidR="00EC373C">
        <w:t xml:space="preserve"> </w:t>
      </w:r>
      <w:r w:rsidR="00EE4854">
        <w:t xml:space="preserve">overview </w:t>
      </w:r>
      <w:r w:rsidR="00EC373C">
        <w:t>(</w:t>
      </w:r>
      <w:r w:rsidR="00E422CF">
        <w:fldChar w:fldCharType="begin"/>
      </w:r>
      <w:r w:rsidR="00E422CF">
        <w:instrText xml:space="preserve"> REF _Ref41842407 \r \h </w:instrText>
      </w:r>
      <w:r w:rsidR="0030402A">
        <w:instrText xml:space="preserve"> \* MERGEFORMAT </w:instrText>
      </w:r>
      <w:r w:rsidR="00E422CF">
        <w:fldChar w:fldCharType="separate"/>
      </w:r>
      <w:r w:rsidR="00EB1774">
        <w:t>Appendix A</w:t>
      </w:r>
      <w:r w:rsidR="00E422CF">
        <w:fldChar w:fldCharType="end"/>
      </w:r>
      <w:r w:rsidR="00E422CF">
        <w:t>)</w:t>
      </w:r>
    </w:p>
    <w:p w14:paraId="37BD81C6" w14:textId="1D31C074" w:rsidR="007764CC" w:rsidRDefault="007764CC" w:rsidP="0030402A">
      <w:pPr>
        <w:pStyle w:val="Bullet2"/>
      </w:pPr>
      <w:r>
        <w:t xml:space="preserve">Rapid Evidence Review </w:t>
      </w:r>
      <w:r w:rsidR="00E422CF">
        <w:t>(</w:t>
      </w:r>
      <w:r w:rsidR="00881F62">
        <w:fldChar w:fldCharType="begin"/>
      </w:r>
      <w:r w:rsidR="00881F62">
        <w:instrText xml:space="preserve"> REF _Ref40894194 \r \h </w:instrText>
      </w:r>
      <w:r w:rsidR="0030402A">
        <w:instrText xml:space="preserve"> \* MERGEFORMAT </w:instrText>
      </w:r>
      <w:r w:rsidR="00881F62">
        <w:fldChar w:fldCharType="separate"/>
      </w:r>
      <w:r w:rsidR="00EB1774">
        <w:t>Appendix B</w:t>
      </w:r>
      <w:r w:rsidR="00881F62">
        <w:fldChar w:fldCharType="end"/>
      </w:r>
      <w:r w:rsidR="0046593F">
        <w:t>)</w:t>
      </w:r>
    </w:p>
    <w:p w14:paraId="0C4CEA2A" w14:textId="57BFC95D" w:rsidR="007764CC" w:rsidRDefault="007764CC" w:rsidP="0030402A">
      <w:pPr>
        <w:pStyle w:val="Bullet2"/>
      </w:pPr>
      <w:r>
        <w:t>Delphi technique</w:t>
      </w:r>
      <w:r w:rsidR="0046593F">
        <w:t xml:space="preserve"> (</w:t>
      </w:r>
      <w:r w:rsidR="00881F62">
        <w:fldChar w:fldCharType="begin"/>
      </w:r>
      <w:r w:rsidR="00881F62">
        <w:instrText xml:space="preserve"> REF _Ref40894270 \r \h </w:instrText>
      </w:r>
      <w:r w:rsidR="0030402A">
        <w:instrText xml:space="preserve"> \* MERGEFORMAT </w:instrText>
      </w:r>
      <w:r w:rsidR="00881F62">
        <w:fldChar w:fldCharType="separate"/>
      </w:r>
      <w:r w:rsidR="00EB1774">
        <w:t>Appendix C</w:t>
      </w:r>
      <w:r w:rsidR="00881F62">
        <w:fldChar w:fldCharType="end"/>
      </w:r>
      <w:r w:rsidR="0046593F">
        <w:t>)</w:t>
      </w:r>
    </w:p>
    <w:p w14:paraId="07749691" w14:textId="64D75D74" w:rsidR="00881F62" w:rsidRDefault="00881F62" w:rsidP="0030402A">
      <w:pPr>
        <w:pStyle w:val="Bullet2"/>
      </w:pPr>
      <w:r>
        <w:t>Archetypes</w:t>
      </w:r>
      <w:r w:rsidR="0046593F">
        <w:t xml:space="preserve"> (</w:t>
      </w:r>
      <w:r>
        <w:fldChar w:fldCharType="begin"/>
      </w:r>
      <w:r>
        <w:instrText xml:space="preserve"> REF _Ref34736272 \r \h </w:instrText>
      </w:r>
      <w:r w:rsidR="0030402A">
        <w:instrText xml:space="preserve"> \* MERGEFORMAT </w:instrText>
      </w:r>
      <w:r>
        <w:fldChar w:fldCharType="separate"/>
      </w:r>
      <w:r w:rsidR="00EB1774">
        <w:t>Appendix D</w:t>
      </w:r>
      <w:r>
        <w:fldChar w:fldCharType="end"/>
      </w:r>
      <w:r w:rsidR="0046593F">
        <w:t>)</w:t>
      </w:r>
    </w:p>
    <w:p w14:paraId="75BB8C39" w14:textId="26B07BD3" w:rsidR="00881F62" w:rsidRPr="00277C5D" w:rsidRDefault="00665C8D" w:rsidP="00277C5D">
      <w:pPr>
        <w:pStyle w:val="Bullet1Keep"/>
        <w:rPr>
          <w:rStyle w:val="Bold"/>
        </w:rPr>
      </w:pPr>
      <w:r w:rsidRPr="00277C5D">
        <w:rPr>
          <w:rStyle w:val="Bold"/>
        </w:rPr>
        <w:t xml:space="preserve">Existing AT </w:t>
      </w:r>
      <w:r w:rsidR="002C16CD">
        <w:rPr>
          <w:rStyle w:val="Bold"/>
        </w:rPr>
        <w:t xml:space="preserve">programs </w:t>
      </w:r>
    </w:p>
    <w:p w14:paraId="5788F6F9" w14:textId="06512D94" w:rsidR="000E41FF" w:rsidRDefault="00665C8D" w:rsidP="00BB7EDE">
      <w:pPr>
        <w:pStyle w:val="Bullet2"/>
      </w:pPr>
      <w:r>
        <w:t xml:space="preserve">Existing AT </w:t>
      </w:r>
      <w:r w:rsidR="002C16CD">
        <w:t xml:space="preserve">programs </w:t>
      </w:r>
      <w:r>
        <w:t>(</w:t>
      </w:r>
      <w:r>
        <w:fldChar w:fldCharType="begin"/>
      </w:r>
      <w:r>
        <w:instrText xml:space="preserve"> REF _Ref42015067 \r \h </w:instrText>
      </w:r>
      <w:r w:rsidR="00BB7EDE">
        <w:instrText xml:space="preserve"> \* MERGEFORMAT </w:instrText>
      </w:r>
      <w:r>
        <w:fldChar w:fldCharType="separate"/>
      </w:r>
      <w:r w:rsidR="00EB1774">
        <w:t>Appendix E</w:t>
      </w:r>
      <w:r>
        <w:fldChar w:fldCharType="end"/>
      </w:r>
      <w:r w:rsidR="000E41FF">
        <w:t>)</w:t>
      </w:r>
    </w:p>
    <w:p w14:paraId="19DF1F58" w14:textId="1990800B" w:rsidR="007764CC" w:rsidRDefault="007E0351" w:rsidP="00BB7EDE">
      <w:pPr>
        <w:pStyle w:val="Bullet2"/>
      </w:pPr>
      <w:r>
        <w:t xml:space="preserve">AT </w:t>
      </w:r>
      <w:r w:rsidR="00277C5D">
        <w:t>i</w:t>
      </w:r>
      <w:r>
        <w:t>nformation and advice resources (</w:t>
      </w:r>
      <w:r>
        <w:fldChar w:fldCharType="begin"/>
      </w:r>
      <w:r>
        <w:instrText xml:space="preserve"> REF _Ref42678270 \r \h </w:instrText>
      </w:r>
      <w:r w:rsidR="00BB7EDE">
        <w:instrText xml:space="preserve"> \* MERGEFORMAT </w:instrText>
      </w:r>
      <w:r>
        <w:fldChar w:fldCharType="separate"/>
      </w:r>
      <w:r w:rsidR="00EB1774">
        <w:t>Appendix F</w:t>
      </w:r>
      <w:r>
        <w:fldChar w:fldCharType="end"/>
      </w:r>
      <w:r w:rsidR="00EE4854">
        <w:t>)</w:t>
      </w:r>
    </w:p>
    <w:p w14:paraId="6123F13B" w14:textId="562B92D4" w:rsidR="00EE4854" w:rsidRPr="00BB7EDE" w:rsidRDefault="00EE4854" w:rsidP="00BB7EDE">
      <w:pPr>
        <w:pStyle w:val="Bullet1"/>
      </w:pPr>
      <w:r w:rsidRPr="00BB7EDE">
        <w:rPr>
          <w:b/>
          <w:bCs/>
        </w:rPr>
        <w:t xml:space="preserve">References </w:t>
      </w:r>
      <w:r w:rsidRPr="00BB7EDE">
        <w:t>(</w:t>
      </w:r>
      <w:r w:rsidRPr="00BB7EDE">
        <w:fldChar w:fldCharType="begin"/>
      </w:r>
      <w:r w:rsidRPr="00BB7EDE">
        <w:instrText xml:space="preserve"> REF _Ref42678324 \r \h </w:instrText>
      </w:r>
      <w:r w:rsidR="0046593F" w:rsidRPr="00BB7EDE">
        <w:instrText xml:space="preserve"> \* MERGEFORMAT </w:instrText>
      </w:r>
      <w:r w:rsidRPr="00BB7EDE">
        <w:fldChar w:fldCharType="separate"/>
      </w:r>
      <w:r w:rsidR="00EB1774">
        <w:t>Appendix H</w:t>
      </w:r>
      <w:r w:rsidRPr="00BB7EDE">
        <w:fldChar w:fldCharType="end"/>
      </w:r>
      <w:r w:rsidR="002B1F81" w:rsidRPr="00BB7EDE">
        <w:t>)</w:t>
      </w:r>
    </w:p>
    <w:p w14:paraId="03574C8D" w14:textId="77777777" w:rsidR="004511B3" w:rsidRDefault="004511B3" w:rsidP="00277C5D">
      <w:bookmarkStart w:id="3" w:name="_Ref515894820"/>
      <w:bookmarkStart w:id="4" w:name="_Ref515894828"/>
      <w:bookmarkStart w:id="5" w:name="_Toc41943068"/>
      <w:bookmarkEnd w:id="2"/>
    </w:p>
    <w:p w14:paraId="473A7C0A" w14:textId="78233FBA" w:rsidR="008E5051" w:rsidRPr="008E5051" w:rsidRDefault="008E5051" w:rsidP="00277C5D">
      <w:pPr>
        <w:sectPr w:rsidR="008E5051" w:rsidRPr="008E5051" w:rsidSect="004511B3">
          <w:headerReference w:type="default" r:id="rId16"/>
          <w:headerReference w:type="first" r:id="rId17"/>
          <w:footerReference w:type="first" r:id="rId18"/>
          <w:pgSz w:w="11907" w:h="16840" w:code="9"/>
          <w:pgMar w:top="1134" w:right="1134" w:bottom="1134" w:left="1134" w:header="567" w:footer="851" w:gutter="0"/>
          <w:pgNumType w:start="1"/>
          <w:cols w:space="680"/>
          <w:docGrid w:linePitch="299"/>
        </w:sectPr>
      </w:pPr>
    </w:p>
    <w:p w14:paraId="2B16DCB9" w14:textId="28263B2B" w:rsidR="00945510" w:rsidRPr="00E50153" w:rsidRDefault="00B4797D" w:rsidP="00B4797D">
      <w:pPr>
        <w:rPr>
          <w:sz w:val="56"/>
          <w:szCs w:val="56"/>
        </w:rPr>
      </w:pPr>
      <w:bookmarkStart w:id="6" w:name="_Toc41933189"/>
      <w:bookmarkStart w:id="7" w:name="_Ref41842407"/>
      <w:bookmarkStart w:id="8" w:name="_Toc60999845"/>
      <w:bookmarkEnd w:id="3"/>
      <w:bookmarkEnd w:id="4"/>
      <w:bookmarkEnd w:id="5"/>
      <w:bookmarkEnd w:id="6"/>
      <w:r w:rsidRPr="00E50153">
        <w:rPr>
          <w:sz w:val="56"/>
          <w:szCs w:val="56"/>
        </w:rPr>
        <w:lastRenderedPageBreak/>
        <w:t xml:space="preserve">Appendix A: </w:t>
      </w:r>
      <w:r w:rsidR="00E422CF" w:rsidRPr="00E50153">
        <w:rPr>
          <w:sz w:val="56"/>
          <w:szCs w:val="56"/>
        </w:rPr>
        <w:t>R</w:t>
      </w:r>
      <w:r w:rsidR="00945510" w:rsidRPr="00E50153">
        <w:rPr>
          <w:sz w:val="56"/>
          <w:szCs w:val="56"/>
        </w:rPr>
        <w:t>eview methodology</w:t>
      </w:r>
      <w:bookmarkEnd w:id="7"/>
      <w:r w:rsidR="00B35AA4" w:rsidRPr="00E50153">
        <w:rPr>
          <w:sz w:val="56"/>
          <w:szCs w:val="56"/>
        </w:rPr>
        <w:t xml:space="preserve"> overview</w:t>
      </w:r>
      <w:bookmarkEnd w:id="8"/>
    </w:p>
    <w:p w14:paraId="271E6E7D" w14:textId="606242BB" w:rsidR="00277C5D" w:rsidRDefault="00277C5D"/>
    <w:p w14:paraId="2B7F041D" w14:textId="6BFE5458" w:rsidR="00B35AA4" w:rsidRPr="00B4797D" w:rsidRDefault="00D84EC1" w:rsidP="00B4797D">
      <w:pPr>
        <w:pStyle w:val="Heading1"/>
      </w:pPr>
      <w:bookmarkStart w:id="9" w:name="_Toc60999846"/>
      <w:r w:rsidRPr="00B4797D">
        <w:t>Introduction</w:t>
      </w:r>
      <w:bookmarkEnd w:id="9"/>
    </w:p>
    <w:p w14:paraId="77EF0579" w14:textId="77777777" w:rsidR="00EB1774" w:rsidRDefault="002A2384" w:rsidP="00EB1774">
      <w:pPr>
        <w:pStyle w:val="Paragraph"/>
      </w:pPr>
      <w:r>
        <w:rPr>
          <w:lang w:eastAsia="en-AU"/>
        </w:rPr>
        <w:t>Th</w:t>
      </w:r>
      <w:r w:rsidR="009E6FF5">
        <w:rPr>
          <w:lang w:eastAsia="en-AU"/>
        </w:rPr>
        <w:t>e</w:t>
      </w:r>
      <w:r>
        <w:rPr>
          <w:lang w:eastAsia="en-AU"/>
        </w:rPr>
        <w:t xml:space="preserve"> review was conducted between </w:t>
      </w:r>
      <w:r w:rsidR="00D75A61">
        <w:rPr>
          <w:lang w:eastAsia="en-AU"/>
        </w:rPr>
        <w:t>November</w:t>
      </w:r>
      <w:r>
        <w:rPr>
          <w:lang w:eastAsia="en-AU"/>
        </w:rPr>
        <w:t xml:space="preserve"> 2019 and June 2020 and involved mapping the current AT programs, conducting a Rapid Evidence Review (RER)</w:t>
      </w:r>
      <w:r w:rsidR="00EC4492">
        <w:rPr>
          <w:lang w:eastAsia="en-AU"/>
        </w:rPr>
        <w:t xml:space="preserve">, </w:t>
      </w:r>
      <w:r w:rsidR="00581B4C">
        <w:rPr>
          <w:lang w:eastAsia="en-AU"/>
        </w:rPr>
        <w:t xml:space="preserve">undertaking a </w:t>
      </w:r>
      <w:r>
        <w:rPr>
          <w:lang w:eastAsia="en-AU"/>
        </w:rPr>
        <w:t xml:space="preserve">cost-benefit analysis and proposing future options for a national AT program for older Australians. AHA’s mixed-methods approach is outlined in </w:t>
      </w:r>
      <w:r w:rsidR="0070404B" w:rsidRPr="0070404B">
        <w:rPr>
          <w:rStyle w:val="Italic"/>
          <w:highlight w:val="yellow"/>
        </w:rPr>
        <w:fldChar w:fldCharType="begin"/>
      </w:r>
      <w:r w:rsidR="0070404B" w:rsidRPr="0070404B">
        <w:rPr>
          <w:rStyle w:val="Italic"/>
          <w:highlight w:val="yellow"/>
        </w:rPr>
        <w:instrText xml:space="preserve"> REF _Ref41943257 \h </w:instrText>
      </w:r>
      <w:r w:rsidR="0070404B">
        <w:rPr>
          <w:rStyle w:val="Italic"/>
          <w:highlight w:val="yellow"/>
        </w:rPr>
        <w:instrText xml:space="preserve"> \* MERGEFORMAT </w:instrText>
      </w:r>
      <w:r w:rsidR="0070404B" w:rsidRPr="0070404B">
        <w:rPr>
          <w:rStyle w:val="Italic"/>
          <w:highlight w:val="yellow"/>
        </w:rPr>
      </w:r>
      <w:r w:rsidR="0070404B" w:rsidRPr="0070404B">
        <w:rPr>
          <w:rStyle w:val="Italic"/>
          <w:highlight w:val="yellow"/>
        </w:rPr>
        <w:fldChar w:fldCharType="separate"/>
      </w:r>
      <w:r w:rsidR="00EB1774" w:rsidRPr="00EB1774">
        <w:rPr>
          <w:rStyle w:val="Italic"/>
        </w:rPr>
        <w:t>Planning</w:t>
      </w:r>
      <w:r w:rsidR="00EB1774">
        <w:t xml:space="preserve"> phase</w:t>
      </w:r>
    </w:p>
    <w:p w14:paraId="27B1FBA1" w14:textId="77777777" w:rsidR="00EB1774" w:rsidRDefault="00EB1774" w:rsidP="00FD216B">
      <w:pPr>
        <w:pStyle w:val="Paragraph"/>
        <w:rPr>
          <w:lang w:eastAsia="en-GB"/>
        </w:rPr>
      </w:pPr>
      <w:r>
        <w:rPr>
          <w:lang w:eastAsia="en-GB"/>
        </w:rPr>
        <w:t>The planning phase of the review was undertaken during November and December 2019. AHA met with the Department of Health in Canberra in November 2019 for a face-to-face project initiation meeting, to confirm the scope and objectives of the review. The project plan</w:t>
      </w:r>
      <w:r w:rsidRPr="009E6FF5">
        <w:rPr>
          <w:lang w:eastAsia="en-GB"/>
        </w:rPr>
        <w:t xml:space="preserve"> </w:t>
      </w:r>
      <w:r>
        <w:rPr>
          <w:lang w:eastAsia="en-GB"/>
        </w:rPr>
        <w:t>was delivered in December 2019, detailing AHA’s approach to undertaking the review, key project personnel and a risk management plan.</w:t>
      </w:r>
    </w:p>
    <w:p w14:paraId="720F0EF3" w14:textId="77777777" w:rsidR="00EB1774" w:rsidRDefault="00EB1774" w:rsidP="00EB1774">
      <w:pPr>
        <w:pStyle w:val="Paragraph"/>
      </w:pPr>
      <w:r>
        <w:rPr>
          <w:lang w:eastAsia="en-GB"/>
        </w:rPr>
        <w:t xml:space="preserve">Mapping existing </w:t>
      </w:r>
      <w:r>
        <w:t>AT programs</w:t>
      </w:r>
    </w:p>
    <w:p w14:paraId="46BD7AB6" w14:textId="77777777" w:rsidR="00EB1774" w:rsidRDefault="00EB1774" w:rsidP="00B4797D">
      <w:pPr>
        <w:pStyle w:val="Heading1"/>
      </w:pPr>
      <w:r>
        <w:t>AHA undertook a mapping exercise of existing AT programs in Australia to:</w:t>
      </w:r>
    </w:p>
    <w:p w14:paraId="6E196A76" w14:textId="77777777" w:rsidR="00EB1774" w:rsidRPr="00776E35" w:rsidRDefault="00EB1774" w:rsidP="00EB1774">
      <w:pPr>
        <w:pStyle w:val="ParaKeep"/>
      </w:pPr>
      <w:r w:rsidRPr="00EB1774">
        <w:rPr>
          <w:lang w:eastAsia="en-GB"/>
        </w:rPr>
        <w:t xml:space="preserve">Identify </w:t>
      </w:r>
      <w:r w:rsidRPr="00776E35">
        <w:rPr>
          <w:lang w:eastAsia="en-GB"/>
        </w:rPr>
        <w:t>current AT arrangements across Australian jurisdictions including access points, eligibility criteria,</w:t>
      </w:r>
      <w:r w:rsidRPr="00776E35">
        <w:t xml:space="preserve"> scope of services, and intersections with health and disability sectors </w:t>
      </w:r>
    </w:p>
    <w:p w14:paraId="6016229B" w14:textId="77777777" w:rsidR="00EB1774" w:rsidRPr="00EB1774" w:rsidRDefault="00EB1774" w:rsidP="00FD216B">
      <w:pPr>
        <w:pStyle w:val="Bullet1"/>
      </w:pPr>
      <w:r w:rsidRPr="00EB1774">
        <w:rPr>
          <w:lang w:val="en-AU"/>
        </w:rPr>
        <w:t xml:space="preserve">Summarise </w:t>
      </w:r>
      <w:r w:rsidRPr="00776E35">
        <w:t>gaps</w:t>
      </w:r>
      <w:r w:rsidRPr="00EB1774">
        <w:t>, duplication, supply and access barriers and areas of strain in the provision of AT.</w:t>
      </w:r>
    </w:p>
    <w:p w14:paraId="4C3A8A52" w14:textId="77777777" w:rsidR="00EB1774" w:rsidRPr="00277C5D" w:rsidRDefault="00EB1774" w:rsidP="00EB1774">
      <w:pPr>
        <w:pStyle w:val="Bullet1"/>
      </w:pPr>
      <w:r w:rsidRPr="00277C5D">
        <w:t xml:space="preserve">The mapping phase was undertaken over December 2019 and January 2020. </w:t>
      </w:r>
    </w:p>
    <w:p w14:paraId="7CD948D9" w14:textId="77777777" w:rsidR="00EB1774" w:rsidRPr="00EB1774" w:rsidRDefault="00EB1774" w:rsidP="00EB1774">
      <w:pPr>
        <w:pStyle w:val="Bullet1"/>
        <w:rPr>
          <w:lang w:val="en-AU"/>
        </w:rPr>
      </w:pPr>
      <w:r>
        <w:t>The mapping</w:t>
      </w:r>
      <w:r w:rsidRPr="00EB1774">
        <w:rPr>
          <w:lang w:val="en-AU"/>
        </w:rPr>
        <w:t xml:space="preserve"> exercise involved conducting: </w:t>
      </w:r>
    </w:p>
    <w:p w14:paraId="36CC9D9A" w14:textId="77777777" w:rsidR="00EB1774" w:rsidRPr="00EB1774" w:rsidRDefault="00EB1774" w:rsidP="00FD216B">
      <w:pPr>
        <w:pStyle w:val="Bullet1"/>
        <w:rPr>
          <w:lang w:val="en-AU"/>
        </w:rPr>
      </w:pPr>
      <w:r w:rsidRPr="00EB1774">
        <w:rPr>
          <w:lang w:val="en-AU"/>
        </w:rPr>
        <w:t xml:space="preserve">A desktop review </w:t>
      </w:r>
    </w:p>
    <w:p w14:paraId="62C6DEA8" w14:textId="77777777" w:rsidR="00EB1774" w:rsidRPr="00EB1774" w:rsidRDefault="00EB1774" w:rsidP="00FD216B">
      <w:pPr>
        <w:pStyle w:val="Bullet1"/>
        <w:rPr>
          <w:lang w:val="en-AU"/>
        </w:rPr>
      </w:pPr>
      <w:r w:rsidRPr="00EB1774">
        <w:rPr>
          <w:lang w:val="en-AU"/>
        </w:rPr>
        <w:t>A Rapid Evidence Review (RER)</w:t>
      </w:r>
    </w:p>
    <w:p w14:paraId="0258B857" w14:textId="77777777" w:rsidR="00EB1774" w:rsidRDefault="00EB1774" w:rsidP="00FD216B">
      <w:pPr>
        <w:pStyle w:val="Bullet1"/>
      </w:pPr>
      <w:r w:rsidRPr="00EB1774">
        <w:rPr>
          <w:lang w:val="en-AU"/>
        </w:rPr>
        <w:t>Stakeholder consultations.</w:t>
      </w:r>
    </w:p>
    <w:p w14:paraId="20A484E6" w14:textId="77777777" w:rsidR="00EB1774" w:rsidRDefault="00EB1774" w:rsidP="00EB1774">
      <w:r>
        <w:t xml:space="preserve">The results of the mapping phase were presented in an Initial Report to the Department in January 2020. </w:t>
      </w:r>
      <w:r>
        <w:rPr>
          <w:rStyle w:val="Italic"/>
        </w:rPr>
        <w:t>Appendix E</w:t>
      </w:r>
      <w:r>
        <w:t xml:space="preserve"> provides details of existing AT programs.</w:t>
      </w:r>
    </w:p>
    <w:p w14:paraId="628B343C" w14:textId="77777777" w:rsidR="00EB1774" w:rsidRDefault="00EB1774" w:rsidP="00EB1774">
      <w:pPr>
        <w:pStyle w:val="ParaKeep"/>
        <w:rPr>
          <w:lang w:eastAsia="en-GB"/>
        </w:rPr>
      </w:pPr>
      <w:r>
        <w:rPr>
          <w:lang w:eastAsia="en-GB"/>
        </w:rPr>
        <w:t xml:space="preserve">Desktop review </w:t>
      </w:r>
    </w:p>
    <w:p w14:paraId="115FD9FC" w14:textId="77777777" w:rsidR="00EB1774" w:rsidRDefault="00EB1774" w:rsidP="00FD216B">
      <w:pPr>
        <w:pStyle w:val="ParaKeep"/>
        <w:rPr>
          <w:lang w:eastAsia="en-GB"/>
        </w:rPr>
      </w:pPr>
      <w:r>
        <w:rPr>
          <w:lang w:eastAsia="en-GB"/>
        </w:rPr>
        <w:t>A desktop review of AT programs and information was conducted. This included:</w:t>
      </w:r>
    </w:p>
    <w:p w14:paraId="253A5983" w14:textId="77777777" w:rsidR="00EB1774" w:rsidRPr="00CE0BC4" w:rsidRDefault="00EB1774" w:rsidP="00FD216B">
      <w:pPr>
        <w:pStyle w:val="Bullet1"/>
      </w:pPr>
      <w:r>
        <w:t xml:space="preserve">Reviewing program information and data provided by the Department of Health including </w:t>
      </w:r>
      <w:r w:rsidRPr="00CE0BC4">
        <w:t>CHSP and HCP program and data</w:t>
      </w:r>
    </w:p>
    <w:p w14:paraId="4A88BC93" w14:textId="77777777" w:rsidR="00EB1774" w:rsidRDefault="00EB1774" w:rsidP="00FD216B">
      <w:pPr>
        <w:pStyle w:val="Bullet1"/>
      </w:pPr>
      <w:r>
        <w:t>Searching relevant program information for all state and territory AT programs, their key eligibility and exclusion criteria, funding amounts, AT assessment and provision arrangements</w:t>
      </w:r>
    </w:p>
    <w:p w14:paraId="7AB71FE7" w14:textId="77777777" w:rsidR="00EB1774" w:rsidRDefault="00EB1774" w:rsidP="00FD216B">
      <w:pPr>
        <w:pStyle w:val="Bullet1"/>
      </w:pPr>
      <w:r>
        <w:t xml:space="preserve">Reviewing AT databases including the NED database </w:t>
      </w:r>
    </w:p>
    <w:p w14:paraId="5E4FCC37" w14:textId="77777777" w:rsidR="00EB1774" w:rsidRDefault="00EB1774" w:rsidP="00EB1774">
      <w:pPr>
        <w:pStyle w:val="Bullet1"/>
        <w:numPr>
          <w:ilvl w:val="0"/>
          <w:numId w:val="0"/>
        </w:numPr>
      </w:pPr>
      <w:r>
        <w:lastRenderedPageBreak/>
        <w:t>Searching for retail AT product information and prices to be used in the cost-benefit analysis.</w:t>
      </w:r>
    </w:p>
    <w:p w14:paraId="365A3804" w14:textId="77777777" w:rsidR="00EB1774" w:rsidRDefault="00EB1774" w:rsidP="00EB1774">
      <w:pPr>
        <w:pStyle w:val="Bullet1"/>
        <w:numPr>
          <w:ilvl w:val="0"/>
          <w:numId w:val="0"/>
        </w:numPr>
        <w:sectPr w:rsidR="00EB1774" w:rsidSect="00FD140E">
          <w:headerReference w:type="default" r:id="rId19"/>
          <w:pgSz w:w="11906" w:h="16838"/>
          <w:pgMar w:top="1134" w:right="1134" w:bottom="1134" w:left="1134" w:header="709" w:footer="709" w:gutter="0"/>
          <w:cols w:space="708"/>
          <w:docGrid w:linePitch="360"/>
        </w:sectPr>
      </w:pPr>
    </w:p>
    <w:p w14:paraId="6842171A" w14:textId="514137CE" w:rsidR="003C1CE4" w:rsidRDefault="00EB1774" w:rsidP="003C1CE4">
      <w:pPr>
        <w:pStyle w:val="Paragraph"/>
      </w:pPr>
      <w:r w:rsidRPr="008E680E">
        <w:lastRenderedPageBreak/>
        <w:t>Figure </w:t>
      </w:r>
      <w:r>
        <w:t>A</w:t>
      </w:r>
      <w:r w:rsidRPr="008E680E">
        <w:noBreakHyphen/>
      </w:r>
      <w:r>
        <w:t>1</w:t>
      </w:r>
      <w:r w:rsidR="0070404B" w:rsidRPr="0070404B">
        <w:rPr>
          <w:rStyle w:val="Italic"/>
          <w:highlight w:val="yellow"/>
        </w:rPr>
        <w:fldChar w:fldCharType="end"/>
      </w:r>
      <w:r w:rsidR="001B1BC9">
        <w:rPr>
          <w:lang w:eastAsia="en-AU"/>
        </w:rPr>
        <w:t xml:space="preserve">. </w:t>
      </w:r>
      <w:r w:rsidR="002411A0">
        <w:t xml:space="preserve">The </w:t>
      </w:r>
      <w:r w:rsidR="009E6FF5">
        <w:t>subsequent</w:t>
      </w:r>
      <w:r w:rsidR="002411A0">
        <w:t xml:space="preserve"> sections provide details around each phase of the </w:t>
      </w:r>
      <w:r w:rsidR="009E6FF5">
        <w:t>r</w:t>
      </w:r>
      <w:r w:rsidR="002411A0">
        <w:t>eview methodology.</w:t>
      </w:r>
    </w:p>
    <w:p w14:paraId="41D028B9" w14:textId="77777777" w:rsidR="00FD216B" w:rsidRDefault="00FD216B" w:rsidP="00B4797D">
      <w:pPr>
        <w:pStyle w:val="Heading1"/>
      </w:pPr>
      <w:bookmarkStart w:id="10" w:name="_Toc60999847"/>
      <w:bookmarkStart w:id="11" w:name="_Ref41943257"/>
      <w:bookmarkStart w:id="12" w:name="_Ref41943256"/>
      <w:r>
        <w:t>Planning phase</w:t>
      </w:r>
      <w:bookmarkEnd w:id="10"/>
    </w:p>
    <w:p w14:paraId="69B70889" w14:textId="6F52C534" w:rsidR="00FD216B" w:rsidRDefault="00FD216B" w:rsidP="00FD216B">
      <w:pPr>
        <w:pStyle w:val="Paragraph"/>
        <w:rPr>
          <w:lang w:eastAsia="en-GB"/>
        </w:rPr>
      </w:pPr>
      <w:r>
        <w:rPr>
          <w:lang w:eastAsia="en-GB"/>
        </w:rPr>
        <w:t xml:space="preserve">The planning phase of the review was undertaken during November and December 2019. AHA met with the Department of Health in Canberra in November 2019 for a </w:t>
      </w:r>
      <w:r w:rsidR="007D67B7">
        <w:rPr>
          <w:lang w:eastAsia="en-GB"/>
        </w:rPr>
        <w:t>face-to-face</w:t>
      </w:r>
      <w:r>
        <w:rPr>
          <w:lang w:eastAsia="en-GB"/>
        </w:rPr>
        <w:t xml:space="preserve"> project initiation meeting, to confirm the scope and objectives of the review. The project plan</w:t>
      </w:r>
      <w:r w:rsidRPr="009E6FF5">
        <w:rPr>
          <w:lang w:eastAsia="en-GB"/>
        </w:rPr>
        <w:t xml:space="preserve"> </w:t>
      </w:r>
      <w:r>
        <w:rPr>
          <w:lang w:eastAsia="en-GB"/>
        </w:rPr>
        <w:t>was delivered in December 2019, detailing AHA’s approach to undertaking the review, key project personnel and a risk management plan.</w:t>
      </w:r>
    </w:p>
    <w:p w14:paraId="2DCF6CFA" w14:textId="77777777" w:rsidR="00FD216B" w:rsidRDefault="00FD216B" w:rsidP="00B4797D">
      <w:pPr>
        <w:pStyle w:val="Heading1"/>
      </w:pPr>
      <w:bookmarkStart w:id="13" w:name="_Toc60999848"/>
      <w:r>
        <w:t>Mapping existing AT programs</w:t>
      </w:r>
      <w:bookmarkEnd w:id="13"/>
    </w:p>
    <w:p w14:paraId="09947A4E" w14:textId="4943CA18" w:rsidR="00FD216B" w:rsidRDefault="00FD216B" w:rsidP="00FD216B">
      <w:pPr>
        <w:pStyle w:val="ParaKeep"/>
        <w:rPr>
          <w:lang w:eastAsia="en-GB"/>
        </w:rPr>
      </w:pPr>
      <w:r>
        <w:rPr>
          <w:lang w:eastAsia="en-GB"/>
        </w:rPr>
        <w:t xml:space="preserve">AHA undertook a mapping exercise of existing AT </w:t>
      </w:r>
      <w:r w:rsidR="002C16CD">
        <w:rPr>
          <w:lang w:eastAsia="en-GB"/>
        </w:rPr>
        <w:t xml:space="preserve">programs </w:t>
      </w:r>
      <w:r>
        <w:rPr>
          <w:lang w:eastAsia="en-GB"/>
        </w:rPr>
        <w:t>in Australia to:</w:t>
      </w:r>
    </w:p>
    <w:p w14:paraId="2024C0C1" w14:textId="77777777" w:rsidR="00FD216B" w:rsidRPr="00776E35" w:rsidRDefault="00FD216B" w:rsidP="00FD216B">
      <w:pPr>
        <w:pStyle w:val="Bullet1"/>
      </w:pPr>
      <w:r>
        <w:rPr>
          <w:lang w:val="en-AU"/>
        </w:rPr>
        <w:t xml:space="preserve">Identify </w:t>
      </w:r>
      <w:r w:rsidRPr="00776E35">
        <w:t xml:space="preserve">current AT arrangements across Australian jurisdictions including access points, eligibility criteria, scope of services, and intersections with health and disability sectors </w:t>
      </w:r>
    </w:p>
    <w:p w14:paraId="3D036B5A" w14:textId="77777777" w:rsidR="00FD216B" w:rsidRDefault="00FD216B" w:rsidP="00FD216B">
      <w:pPr>
        <w:pStyle w:val="Bullet1"/>
        <w:rPr>
          <w:lang w:val="en-AU"/>
        </w:rPr>
      </w:pPr>
      <w:r w:rsidRPr="00776E35">
        <w:t>Summarise gaps</w:t>
      </w:r>
      <w:r>
        <w:rPr>
          <w:lang w:val="en-AU"/>
        </w:rPr>
        <w:t>, duplication, supply and access barriers and areas of strain in the provision of AT.</w:t>
      </w:r>
    </w:p>
    <w:p w14:paraId="473A4139" w14:textId="77777777" w:rsidR="00FD216B" w:rsidRPr="00277C5D" w:rsidRDefault="00FD216B" w:rsidP="00277C5D">
      <w:r w:rsidRPr="00277C5D">
        <w:t xml:space="preserve">The mapping phase was undertaken over December 2019 and January 2020. </w:t>
      </w:r>
    </w:p>
    <w:p w14:paraId="20E50645" w14:textId="77777777" w:rsidR="00FD216B" w:rsidRDefault="00FD216B" w:rsidP="00B4797D">
      <w:pPr>
        <w:pStyle w:val="Heading1"/>
      </w:pPr>
      <w:r>
        <w:t xml:space="preserve">The mapping exercise involved conducting: </w:t>
      </w:r>
    </w:p>
    <w:p w14:paraId="0D2E4163" w14:textId="77777777" w:rsidR="00FD216B" w:rsidRDefault="00FD216B" w:rsidP="00FD216B">
      <w:pPr>
        <w:pStyle w:val="Bullet1"/>
      </w:pPr>
      <w:r>
        <w:t xml:space="preserve">A desktop review </w:t>
      </w:r>
    </w:p>
    <w:p w14:paraId="428F2EE8" w14:textId="77777777" w:rsidR="00FD216B" w:rsidRDefault="00FD216B" w:rsidP="00FD216B">
      <w:pPr>
        <w:pStyle w:val="Bullet1"/>
      </w:pPr>
      <w:r>
        <w:t>A Rapid Evidence Review (RER)</w:t>
      </w:r>
    </w:p>
    <w:p w14:paraId="0A07601D" w14:textId="77777777" w:rsidR="00FD216B" w:rsidRDefault="00FD216B" w:rsidP="00FD216B">
      <w:pPr>
        <w:pStyle w:val="Bullet1"/>
      </w:pPr>
      <w:r>
        <w:t>Stakeholder consultations.</w:t>
      </w:r>
    </w:p>
    <w:p w14:paraId="57FEE63E" w14:textId="16935B58" w:rsidR="00FD216B" w:rsidRDefault="00FD216B" w:rsidP="00FD216B">
      <w:pPr>
        <w:pStyle w:val="Bullet1"/>
        <w:numPr>
          <w:ilvl w:val="0"/>
          <w:numId w:val="0"/>
        </w:numPr>
      </w:pPr>
      <w:r>
        <w:t xml:space="preserve">The results of the mapping phase were presented in an Initial Report to the Department in January 2020. </w:t>
      </w:r>
      <w:r w:rsidRPr="0074719A">
        <w:rPr>
          <w:rStyle w:val="Italic"/>
        </w:rPr>
        <w:fldChar w:fldCharType="begin"/>
      </w:r>
      <w:r w:rsidRPr="0074719A">
        <w:rPr>
          <w:rStyle w:val="Italic"/>
        </w:rPr>
        <w:instrText xml:space="preserve"> REF _Ref42015067 \n \h </w:instrText>
      </w:r>
      <w:r>
        <w:rPr>
          <w:rStyle w:val="Italic"/>
        </w:rPr>
        <w:instrText xml:space="preserve"> \* MERGEFORMAT </w:instrText>
      </w:r>
      <w:r w:rsidRPr="0074719A">
        <w:rPr>
          <w:rStyle w:val="Italic"/>
        </w:rPr>
      </w:r>
      <w:r w:rsidRPr="0074719A">
        <w:rPr>
          <w:rStyle w:val="Italic"/>
        </w:rPr>
        <w:fldChar w:fldCharType="separate"/>
      </w:r>
      <w:r w:rsidR="00EB1774">
        <w:rPr>
          <w:rStyle w:val="Italic"/>
        </w:rPr>
        <w:t>Appendix E</w:t>
      </w:r>
      <w:r w:rsidRPr="0074719A">
        <w:rPr>
          <w:rStyle w:val="Italic"/>
        </w:rPr>
        <w:fldChar w:fldCharType="end"/>
      </w:r>
      <w:r>
        <w:t xml:space="preserve"> provides details of existing AT programs.</w:t>
      </w:r>
    </w:p>
    <w:p w14:paraId="68D3AAB8" w14:textId="77777777" w:rsidR="00FD216B" w:rsidRPr="004E2A0B" w:rsidRDefault="00FD216B" w:rsidP="004E2A0B">
      <w:pPr>
        <w:pStyle w:val="Heading2"/>
      </w:pPr>
      <w:r w:rsidRPr="004E2A0B">
        <w:t xml:space="preserve">Desktop review </w:t>
      </w:r>
    </w:p>
    <w:p w14:paraId="1B4938A7" w14:textId="29BDCF96" w:rsidR="00FD216B" w:rsidRDefault="00FD216B" w:rsidP="00FD216B">
      <w:pPr>
        <w:pStyle w:val="ParaKeep"/>
        <w:rPr>
          <w:lang w:eastAsia="en-GB"/>
        </w:rPr>
      </w:pPr>
      <w:r>
        <w:rPr>
          <w:lang w:eastAsia="en-GB"/>
        </w:rPr>
        <w:t xml:space="preserve">A desktop review of AT </w:t>
      </w:r>
      <w:r w:rsidR="002C16CD">
        <w:rPr>
          <w:lang w:eastAsia="en-GB"/>
        </w:rPr>
        <w:t xml:space="preserve">programs </w:t>
      </w:r>
      <w:r>
        <w:rPr>
          <w:lang w:eastAsia="en-GB"/>
        </w:rPr>
        <w:t>and information was conducted. This included:</w:t>
      </w:r>
    </w:p>
    <w:p w14:paraId="630F100B" w14:textId="77777777" w:rsidR="00FD216B" w:rsidRPr="00CE0BC4" w:rsidRDefault="00FD216B" w:rsidP="00FD216B">
      <w:pPr>
        <w:pStyle w:val="Bullet1"/>
      </w:pPr>
      <w:r>
        <w:t xml:space="preserve">Reviewing program information and data provided by the Department of Health including </w:t>
      </w:r>
      <w:r w:rsidRPr="00CE0BC4">
        <w:t>CHSP and HCP program and data</w:t>
      </w:r>
    </w:p>
    <w:p w14:paraId="53E76ABC" w14:textId="77777777" w:rsidR="00FD216B" w:rsidRDefault="00FD216B" w:rsidP="00FD216B">
      <w:pPr>
        <w:pStyle w:val="Bullet1"/>
      </w:pPr>
      <w:r>
        <w:t>Searching relevant program information for all state and territory AT programs, their key eligibility and exclusion criteria, funding amounts, AT assessment and provision arrangements</w:t>
      </w:r>
    </w:p>
    <w:p w14:paraId="6FF687FC" w14:textId="77777777" w:rsidR="00FD216B" w:rsidRDefault="00FD216B" w:rsidP="00FD216B">
      <w:pPr>
        <w:pStyle w:val="Bullet1"/>
      </w:pPr>
      <w:r>
        <w:t xml:space="preserve">Reviewing AT databases including the NED database </w:t>
      </w:r>
    </w:p>
    <w:p w14:paraId="5FCBB8A5" w14:textId="4592C75A" w:rsidR="00FD216B" w:rsidRDefault="00FD216B" w:rsidP="00FD216B">
      <w:pPr>
        <w:pStyle w:val="Bullet1"/>
      </w:pPr>
      <w:r>
        <w:t>Searching for retail AT product information and prices to be used in the cost-benefit analysis.</w:t>
      </w:r>
    </w:p>
    <w:p w14:paraId="53E0C19F" w14:textId="77777777" w:rsidR="00FD216B" w:rsidRDefault="00FD216B" w:rsidP="00FD216B">
      <w:pPr>
        <w:pStyle w:val="Bullet1"/>
        <w:sectPr w:rsidR="00FD216B" w:rsidSect="00FD140E">
          <w:headerReference w:type="default" r:id="rId20"/>
          <w:pgSz w:w="11906" w:h="16838"/>
          <w:pgMar w:top="1134" w:right="1134" w:bottom="1134" w:left="1134" w:header="709" w:footer="709" w:gutter="0"/>
          <w:cols w:space="708"/>
          <w:docGrid w:linePitch="360"/>
        </w:sectPr>
      </w:pPr>
    </w:p>
    <w:p w14:paraId="236A7B8B" w14:textId="68EB640A" w:rsidR="00313927" w:rsidRPr="004E2A0B" w:rsidRDefault="00313927" w:rsidP="004E2A0B">
      <w:pPr>
        <w:rPr>
          <w:rFonts w:ascii="Calibri Light" w:hAnsi="Calibri Light" w:cs="Calibri Light"/>
        </w:rPr>
      </w:pPr>
      <w:bookmarkStart w:id="14" w:name="_Ref59363407"/>
      <w:bookmarkStart w:id="15" w:name="_Toc60999873"/>
      <w:r w:rsidRPr="004E2A0B">
        <w:rPr>
          <w:rFonts w:ascii="Calibri Light" w:hAnsi="Calibri Light" w:cs="Calibri Light"/>
        </w:rPr>
        <w:lastRenderedPageBreak/>
        <w:t>Figure </w:t>
      </w:r>
      <w:r w:rsidRPr="004E2A0B">
        <w:rPr>
          <w:rFonts w:ascii="Calibri Light" w:hAnsi="Calibri Light" w:cs="Calibri Light"/>
        </w:rPr>
        <w:fldChar w:fldCharType="begin"/>
      </w:r>
      <w:r w:rsidRPr="004E2A0B">
        <w:rPr>
          <w:rFonts w:ascii="Calibri Light" w:hAnsi="Calibri Light" w:cs="Calibri Light"/>
        </w:rPr>
        <w:instrText xml:space="preserve"> STYLEREF 5 \s </w:instrText>
      </w:r>
      <w:r w:rsidRPr="004E2A0B">
        <w:rPr>
          <w:rFonts w:ascii="Calibri Light" w:hAnsi="Calibri Light" w:cs="Calibri Light"/>
        </w:rPr>
        <w:fldChar w:fldCharType="separate"/>
      </w:r>
      <w:r w:rsidR="00EB1774" w:rsidRPr="004E2A0B">
        <w:rPr>
          <w:rFonts w:ascii="Calibri Light" w:hAnsi="Calibri Light" w:cs="Calibri Light"/>
          <w:noProof/>
        </w:rPr>
        <w:t>A</w:t>
      </w:r>
      <w:r w:rsidRPr="004E2A0B">
        <w:rPr>
          <w:rFonts w:ascii="Calibri Light" w:hAnsi="Calibri Light" w:cs="Calibri Light"/>
        </w:rPr>
        <w:fldChar w:fldCharType="end"/>
      </w:r>
      <w:r w:rsidRPr="004E2A0B">
        <w:rPr>
          <w:rFonts w:ascii="Calibri Light" w:hAnsi="Calibri Light" w:cs="Calibri Light"/>
        </w:rPr>
        <w:noBreakHyphen/>
      </w:r>
      <w:r w:rsidRPr="004E2A0B">
        <w:rPr>
          <w:rFonts w:ascii="Calibri Light" w:hAnsi="Calibri Light" w:cs="Calibri Light"/>
        </w:rPr>
        <w:fldChar w:fldCharType="begin"/>
      </w:r>
      <w:r w:rsidRPr="004E2A0B">
        <w:rPr>
          <w:rFonts w:ascii="Calibri Light" w:hAnsi="Calibri Light" w:cs="Calibri Light"/>
        </w:rPr>
        <w:instrText xml:space="preserve"> SEQ Figure_Apx \* ARABIC \s 5 </w:instrText>
      </w:r>
      <w:r w:rsidRPr="004E2A0B">
        <w:rPr>
          <w:rFonts w:ascii="Calibri Light" w:hAnsi="Calibri Light" w:cs="Calibri Light"/>
        </w:rPr>
        <w:fldChar w:fldCharType="separate"/>
      </w:r>
      <w:r w:rsidR="00EB1774" w:rsidRPr="004E2A0B">
        <w:rPr>
          <w:rFonts w:ascii="Calibri Light" w:hAnsi="Calibri Light" w:cs="Calibri Light"/>
          <w:noProof/>
        </w:rPr>
        <w:t>1</w:t>
      </w:r>
      <w:r w:rsidRPr="004E2A0B">
        <w:rPr>
          <w:rFonts w:ascii="Calibri Light" w:hAnsi="Calibri Light" w:cs="Calibri Light"/>
        </w:rPr>
        <w:fldChar w:fldCharType="end"/>
      </w:r>
      <w:bookmarkEnd w:id="11"/>
      <w:r w:rsidR="004E2A0B">
        <w:rPr>
          <w:rFonts w:ascii="Calibri Light" w:hAnsi="Calibri Light" w:cs="Calibri Light"/>
        </w:rPr>
        <w:t xml:space="preserve">: </w:t>
      </w:r>
      <w:r w:rsidRPr="004E2A0B">
        <w:rPr>
          <w:rFonts w:ascii="Calibri Light" w:hAnsi="Calibri Light" w:cs="Calibri Light"/>
        </w:rPr>
        <w:t>AT Review methodology</w:t>
      </w:r>
      <w:bookmarkEnd w:id="12"/>
      <w:bookmarkEnd w:id="14"/>
      <w:bookmarkEnd w:id="15"/>
      <w:r w:rsidRPr="004E2A0B">
        <w:rPr>
          <w:rFonts w:ascii="Calibri Light" w:hAnsi="Calibri Light" w:cs="Calibri Light"/>
        </w:rPr>
        <w:t xml:space="preserve"> </w:t>
      </w:r>
    </w:p>
    <w:p w14:paraId="25A6CF02" w14:textId="0CF4ADE6" w:rsidR="00FD216B" w:rsidRDefault="000056D4" w:rsidP="0074719A">
      <w:r w:rsidRPr="0074719A">
        <w:rPr>
          <w:noProof/>
          <w:lang w:val="en-AU" w:eastAsia="en-AU"/>
        </w:rPr>
        <w:drawing>
          <wp:inline distT="0" distB="0" distL="0" distR="0" wp14:anchorId="05D2222D" wp14:editId="39C23628">
            <wp:extent cx="9234615" cy="5773119"/>
            <wp:effectExtent l="0" t="0" r="5080" b="0"/>
            <wp:docPr id="49" name="Picture 49" descr="Gannt chart overview of the project activities in 4 phases: planning, mapping, modelling and reporting. A long description is provided in Appendix 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annt chart overview of the project activities in 4 phases: planning, mapping, modelling and reporting. A long description is provided in Appendix G.">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9263969" cy="5791470"/>
                    </a:xfrm>
                    <a:prstGeom prst="rect">
                      <a:avLst/>
                    </a:prstGeom>
                    <a:noFill/>
                    <a:ln>
                      <a:noFill/>
                    </a:ln>
                    <a:extLst>
                      <a:ext uri="{53640926-AAD7-44D8-BBD7-CCE9431645EC}">
                        <a14:shadowObscured xmlns:a14="http://schemas.microsoft.com/office/drawing/2010/main"/>
                      </a:ext>
                    </a:extLst>
                  </pic:spPr>
                </pic:pic>
              </a:graphicData>
            </a:graphic>
          </wp:inline>
        </w:drawing>
      </w:r>
    </w:p>
    <w:p w14:paraId="72D36C4B" w14:textId="0828F0B4" w:rsidR="00FD216B" w:rsidRDefault="00FD216B" w:rsidP="0074719A">
      <w:pPr>
        <w:sectPr w:rsidR="00FD216B" w:rsidSect="00FD216B">
          <w:pgSz w:w="16838" w:h="11906" w:orient="landscape"/>
          <w:pgMar w:top="1134" w:right="1134" w:bottom="1134" w:left="1134" w:header="709" w:footer="709" w:gutter="0"/>
          <w:cols w:space="708"/>
          <w:docGrid w:linePitch="360"/>
        </w:sectPr>
      </w:pPr>
    </w:p>
    <w:p w14:paraId="0FC66903" w14:textId="284D05C7" w:rsidR="00D96841" w:rsidRDefault="004E2BFE" w:rsidP="004E2A0B">
      <w:pPr>
        <w:pStyle w:val="Heading2"/>
      </w:pPr>
      <w:r>
        <w:lastRenderedPageBreak/>
        <w:t xml:space="preserve">Rapid Evidence Review </w:t>
      </w:r>
    </w:p>
    <w:p w14:paraId="58B8A4C0" w14:textId="51E8614F" w:rsidR="006C4E3A" w:rsidRPr="008E680E" w:rsidRDefault="006C4E3A" w:rsidP="0074719A">
      <w:pPr>
        <w:pStyle w:val="ParaKeep"/>
      </w:pPr>
      <w:r w:rsidRPr="008E680E">
        <w:t xml:space="preserve">AHA undertook a </w:t>
      </w:r>
      <w:r w:rsidRPr="0085000F">
        <w:t>Rapid Evidence Review (RER) to examine the available evidence on whether AT effectively improves independence, autonomy, safety and participation for the target population</w:t>
      </w:r>
      <w:r w:rsidR="001E2152">
        <w:t>. More specifically,</w:t>
      </w:r>
      <w:r w:rsidRPr="0085000F">
        <w:t xml:space="preserve"> literature highlighting </w:t>
      </w:r>
      <w:r>
        <w:t xml:space="preserve">the </w:t>
      </w:r>
      <w:r w:rsidRPr="0085000F">
        <w:t>economic outcomes of AT</w:t>
      </w:r>
      <w:r w:rsidR="000575E5">
        <w:t xml:space="preserve"> was identified</w:t>
      </w:r>
      <w:r w:rsidRPr="0085000F">
        <w:t>.</w:t>
      </w:r>
      <w:r w:rsidR="004511B3">
        <w:t xml:space="preserve"> </w:t>
      </w:r>
    </w:p>
    <w:p w14:paraId="79F0337A" w14:textId="5F69085C" w:rsidR="00BD19C4" w:rsidRPr="004E2A0B" w:rsidRDefault="007D2B59" w:rsidP="004E2A0B">
      <w:pPr>
        <w:pStyle w:val="Heading3"/>
      </w:pPr>
      <w:r w:rsidRPr="004E2A0B">
        <w:t xml:space="preserve">Review </w:t>
      </w:r>
      <w:r w:rsidR="00BD19C4" w:rsidRPr="004E2A0B">
        <w:t>search strategy</w:t>
      </w:r>
    </w:p>
    <w:p w14:paraId="29A48979" w14:textId="1A100A09" w:rsidR="00BD19C4" w:rsidRPr="00E570F3" w:rsidRDefault="00A411C0" w:rsidP="00BD19C4">
      <w:pPr>
        <w:pStyle w:val="ParaKeep"/>
      </w:pPr>
      <w:r>
        <w:t xml:space="preserve">The </w:t>
      </w:r>
      <w:r w:rsidR="00BD19C4" w:rsidRPr="00E570F3">
        <w:t xml:space="preserve">RER was undertaken in </w:t>
      </w:r>
      <w:r w:rsidR="000447D2">
        <w:t>three</w:t>
      </w:r>
      <w:r w:rsidR="00BD19C4" w:rsidRPr="00E570F3">
        <w:t xml:space="preserve"> key parts:</w:t>
      </w:r>
    </w:p>
    <w:p w14:paraId="283AAAA8" w14:textId="5CEF79FA" w:rsidR="00BD19C4" w:rsidRPr="00E570F3" w:rsidRDefault="002D31E3" w:rsidP="002B177E">
      <w:pPr>
        <w:pStyle w:val="List1"/>
        <w:numPr>
          <w:ilvl w:val="0"/>
          <w:numId w:val="40"/>
        </w:numPr>
      </w:pPr>
      <w:r w:rsidRPr="00E570F3">
        <w:rPr>
          <w:b/>
        </w:rPr>
        <w:t xml:space="preserve">Initial document search based on the </w:t>
      </w:r>
      <w:r w:rsidR="00BD19C4" w:rsidRPr="00E570F3">
        <w:rPr>
          <w:b/>
        </w:rPr>
        <w:t>National Aged Care Alliance (NACA) Assistive Technology position paper</w:t>
      </w:r>
      <w:r w:rsidR="00277C5D">
        <w:rPr>
          <w:b/>
        </w:rPr>
        <w:t xml:space="preserve">. </w:t>
      </w:r>
      <w:r w:rsidR="00152C35">
        <w:t>Using the NACA paper</w:t>
      </w:r>
      <w:r w:rsidR="00BD19C4" w:rsidRPr="00E570F3">
        <w:t xml:space="preserve"> as starting point</w:t>
      </w:r>
      <w:r w:rsidR="00861912">
        <w:t xml:space="preserve"> – </w:t>
      </w:r>
      <w:r w:rsidR="00BD19C4" w:rsidRPr="00E570F3">
        <w:t>i.e. as a summary of evidence for economic and other benefits of AT to September 2018</w:t>
      </w:r>
      <w:r w:rsidR="00861912">
        <w:t xml:space="preserve"> – </w:t>
      </w:r>
      <w:r w:rsidR="00BD19C4" w:rsidRPr="00E570F3">
        <w:t>a similar search strategy was repeated for articles published between October 2018 and November 2019 to source articles published more recently. This first part allowed the inclusion of studies prior to 2010 which had already been identified in the NACA paper, as long as they met all other inclusion criteria.</w:t>
      </w:r>
    </w:p>
    <w:p w14:paraId="6DB1B9FF" w14:textId="77777777" w:rsidR="00BD19C4" w:rsidRPr="00E570F3" w:rsidRDefault="00BD19C4" w:rsidP="00BD19C4">
      <w:pPr>
        <w:pStyle w:val="List1"/>
      </w:pPr>
      <w:r w:rsidRPr="00E570F3">
        <w:rPr>
          <w:b/>
        </w:rPr>
        <w:t>Three additional related searches</w:t>
      </w:r>
      <w:r w:rsidRPr="00E570F3">
        <w:t xml:space="preserve"> were also performed to find:</w:t>
      </w:r>
    </w:p>
    <w:p w14:paraId="56394E5B" w14:textId="1AAACFF4" w:rsidR="00BD19C4" w:rsidRPr="00E570F3" w:rsidRDefault="00BD19C4" w:rsidP="002B177E">
      <w:pPr>
        <w:pStyle w:val="List2"/>
        <w:numPr>
          <w:ilvl w:val="0"/>
          <w:numId w:val="52"/>
        </w:numPr>
        <w:ind w:left="851"/>
      </w:pPr>
      <w:r w:rsidRPr="00E570F3">
        <w:t>Academic literature (using EBSCOhost database) describing evidence for economic outcomes related to AT published between January 2009 and November 2019</w:t>
      </w:r>
    </w:p>
    <w:p w14:paraId="6F7FCBB4" w14:textId="25F8923E" w:rsidR="00BD19C4" w:rsidRPr="00E570F3" w:rsidRDefault="00BD19C4" w:rsidP="002B177E">
      <w:pPr>
        <w:pStyle w:val="List2"/>
        <w:numPr>
          <w:ilvl w:val="0"/>
          <w:numId w:val="52"/>
        </w:numPr>
        <w:ind w:left="851"/>
      </w:pPr>
      <w:r w:rsidRPr="00E570F3">
        <w:t>Grey literature (using Google) describing evidence for economic outcomes related to AT</w:t>
      </w:r>
    </w:p>
    <w:p w14:paraId="14B69FA5" w14:textId="520464F4" w:rsidR="00BD19C4" w:rsidRDefault="00BD19C4" w:rsidP="002B177E">
      <w:pPr>
        <w:pStyle w:val="List2"/>
        <w:numPr>
          <w:ilvl w:val="0"/>
          <w:numId w:val="52"/>
        </w:numPr>
        <w:ind w:left="851"/>
      </w:pPr>
      <w:r w:rsidRPr="00E570F3">
        <w:t xml:space="preserve">Reference checking of the included studies for relevant papers. This allowed the inclusion of studies prior to 2010, as long as they met all other inclusion criteria. </w:t>
      </w:r>
    </w:p>
    <w:p w14:paraId="0DA1CCA5" w14:textId="01EFBBD1" w:rsidR="000447D2" w:rsidRPr="00E570F3" w:rsidRDefault="00152C35" w:rsidP="00E570F3">
      <w:pPr>
        <w:pStyle w:val="List1"/>
      </w:pPr>
      <w:r w:rsidRPr="00E570F3">
        <w:rPr>
          <w:b/>
        </w:rPr>
        <w:t>Cost-benefit review and matrix</w:t>
      </w:r>
      <w:r w:rsidR="00861912">
        <w:t xml:space="preserve"> – </w:t>
      </w:r>
      <w:r w:rsidR="00EF34E5">
        <w:t xml:space="preserve">Relevant papers were also reviewed and a matrix prepared to identify </w:t>
      </w:r>
      <w:r w:rsidR="000E5F6E">
        <w:t>and quantify the costs and benefits for use in the cost</w:t>
      </w:r>
      <w:r w:rsidR="009E6FF5">
        <w:t>-</w:t>
      </w:r>
      <w:r w:rsidR="000E5F6E">
        <w:t>benefit analysis.</w:t>
      </w:r>
    </w:p>
    <w:p w14:paraId="67897F49" w14:textId="6091DE2E" w:rsidR="00065DAC" w:rsidRPr="00065DAC" w:rsidRDefault="00E706B1" w:rsidP="00065DAC">
      <w:pPr>
        <w:pStyle w:val="Paragraph"/>
        <w:rPr>
          <w:lang w:eastAsia="en-GB"/>
        </w:rPr>
      </w:pPr>
      <w:r>
        <w:t xml:space="preserve">The full methods and results of the RER are detailed in </w:t>
      </w:r>
      <w:r w:rsidR="00E80901" w:rsidRPr="00E570F3">
        <w:rPr>
          <w:i/>
        </w:rPr>
        <w:fldChar w:fldCharType="begin"/>
      </w:r>
      <w:r w:rsidR="00E80901" w:rsidRPr="00E570F3">
        <w:rPr>
          <w:i/>
        </w:rPr>
        <w:instrText xml:space="preserve"> REF _Ref40894194 \r \h </w:instrText>
      </w:r>
      <w:r w:rsidR="00E80901" w:rsidRPr="00E80901">
        <w:rPr>
          <w:i/>
          <w:iCs/>
        </w:rPr>
        <w:instrText xml:space="preserve"> \* MERGEFORMAT </w:instrText>
      </w:r>
      <w:r w:rsidR="00E80901" w:rsidRPr="00E570F3">
        <w:rPr>
          <w:i/>
        </w:rPr>
      </w:r>
      <w:r w:rsidR="00E80901" w:rsidRPr="00E570F3">
        <w:rPr>
          <w:i/>
        </w:rPr>
        <w:fldChar w:fldCharType="separate"/>
      </w:r>
      <w:r w:rsidR="00EB1774">
        <w:rPr>
          <w:i/>
        </w:rPr>
        <w:t>Appendix B</w:t>
      </w:r>
      <w:r w:rsidR="00E80901" w:rsidRPr="00E570F3">
        <w:rPr>
          <w:i/>
        </w:rPr>
        <w:fldChar w:fldCharType="end"/>
      </w:r>
      <w:r w:rsidR="008B0660" w:rsidRPr="00E80901">
        <w:rPr>
          <w:lang w:eastAsia="en-GB"/>
        </w:rPr>
        <w:t>.</w:t>
      </w:r>
    </w:p>
    <w:p w14:paraId="4F847E9B" w14:textId="1DDBEBCD" w:rsidR="00065DAC" w:rsidRDefault="00E80901" w:rsidP="004E2A0B">
      <w:pPr>
        <w:pStyle w:val="Heading2"/>
      </w:pPr>
      <w:r>
        <w:t xml:space="preserve">Stakeholder </w:t>
      </w:r>
      <w:r w:rsidR="00065DAC">
        <w:t>consultations</w:t>
      </w:r>
    </w:p>
    <w:p w14:paraId="77DE2456" w14:textId="57468A7B" w:rsidR="0048263D" w:rsidRDefault="00065DAC" w:rsidP="00E20ACE">
      <w:pPr>
        <w:pStyle w:val="ParaKeep"/>
      </w:pPr>
      <w:r>
        <w:t xml:space="preserve">AHA undertook </w:t>
      </w:r>
      <w:r w:rsidR="0048263D">
        <w:t xml:space="preserve">two </w:t>
      </w:r>
      <w:r>
        <w:t>round</w:t>
      </w:r>
      <w:r w:rsidR="0048263D">
        <w:t>s</w:t>
      </w:r>
      <w:r>
        <w:t xml:space="preserve"> of consultations</w:t>
      </w:r>
      <w:r w:rsidR="0048263D">
        <w:t>:</w:t>
      </w:r>
    </w:p>
    <w:p w14:paraId="68AA58AE" w14:textId="70BA6896" w:rsidR="00E35DE8" w:rsidRPr="00E570F3" w:rsidRDefault="0048263D" w:rsidP="0048263D">
      <w:pPr>
        <w:pStyle w:val="Bullet1"/>
        <w:rPr>
          <w:lang w:val="en-AU"/>
        </w:rPr>
      </w:pPr>
      <w:r>
        <w:t xml:space="preserve">Initial stakeholder consultations </w:t>
      </w:r>
      <w:r w:rsidR="00DA5B42">
        <w:t xml:space="preserve">were </w:t>
      </w:r>
      <w:r w:rsidR="000F7E42">
        <w:t>conducted</w:t>
      </w:r>
      <w:r w:rsidR="00DA5B42">
        <w:t xml:space="preserve"> in </w:t>
      </w:r>
      <w:r w:rsidR="00CD0850">
        <w:t xml:space="preserve">December 2019 </w:t>
      </w:r>
      <w:r w:rsidR="00DA5B42">
        <w:t>and</w:t>
      </w:r>
      <w:r w:rsidR="00E35DE8">
        <w:t xml:space="preserve"> January</w:t>
      </w:r>
      <w:r w:rsidR="00CD0850">
        <w:t xml:space="preserve"> 2020</w:t>
      </w:r>
      <w:r w:rsidR="00E35DE8">
        <w:t xml:space="preserve"> as part of the mapping phase</w:t>
      </w:r>
    </w:p>
    <w:p w14:paraId="72389FB7" w14:textId="3A4B2BEB" w:rsidR="00781003" w:rsidRPr="00E570F3" w:rsidRDefault="00781003" w:rsidP="0048263D">
      <w:pPr>
        <w:pStyle w:val="Bullet1"/>
        <w:rPr>
          <w:lang w:val="en-AU"/>
        </w:rPr>
      </w:pPr>
      <w:r>
        <w:t>Targeted</w:t>
      </w:r>
      <w:r w:rsidR="00E35DE8">
        <w:t xml:space="preserve"> consultations with key stakeholders </w:t>
      </w:r>
      <w:r w:rsidR="00DA5B42">
        <w:t xml:space="preserve">were </w:t>
      </w:r>
      <w:r w:rsidR="000F7E42">
        <w:t xml:space="preserve">conducted </w:t>
      </w:r>
      <w:r w:rsidR="00DA5B42">
        <w:t>between March and June 2020.</w:t>
      </w:r>
      <w:r w:rsidR="00E35DE8">
        <w:t>to follow</w:t>
      </w:r>
      <w:r w:rsidR="00CB302B">
        <w:t xml:space="preserve"> </w:t>
      </w:r>
      <w:r w:rsidR="00E35DE8">
        <w:t>up and confirm data and information</w:t>
      </w:r>
      <w:r w:rsidR="000F7E42">
        <w:t>.</w:t>
      </w:r>
      <w:r w:rsidR="00E35DE8">
        <w:t xml:space="preserve"> </w:t>
      </w:r>
    </w:p>
    <w:p w14:paraId="0479AE14" w14:textId="3F501D6C" w:rsidR="009460AB" w:rsidRDefault="00405521" w:rsidP="00E570F3">
      <w:pPr>
        <w:pStyle w:val="Bullet1"/>
        <w:numPr>
          <w:ilvl w:val="0"/>
          <w:numId w:val="0"/>
        </w:numPr>
        <w:rPr>
          <w:lang w:val="en-AU"/>
        </w:rPr>
      </w:pPr>
      <w:bookmarkStart w:id="16" w:name="_Hlk22756190"/>
      <w:r>
        <w:t>Consultations were undertaken via a mix of teleconferences</w:t>
      </w:r>
      <w:r w:rsidR="00DA31CE">
        <w:t xml:space="preserve"> and face to face meetings</w:t>
      </w:r>
      <w:r>
        <w:t xml:space="preserve">, including site visits to each capital city. </w:t>
      </w:r>
      <w:r w:rsidR="00483877">
        <w:rPr>
          <w:lang w:val="en-AU"/>
        </w:rPr>
        <w:t>AHA engaged a broad range of stakeholders including</w:t>
      </w:r>
      <w:r w:rsidR="009E53F7">
        <w:rPr>
          <w:lang w:val="en-AU"/>
        </w:rPr>
        <w:t xml:space="preserve"> </w:t>
      </w:r>
      <w:r w:rsidR="0046712F">
        <w:rPr>
          <w:lang w:val="en-AU"/>
        </w:rPr>
        <w:t>Australian Government</w:t>
      </w:r>
      <w:r w:rsidR="00483877">
        <w:rPr>
          <w:lang w:val="en-AU"/>
        </w:rPr>
        <w:t xml:space="preserve"> agencies</w:t>
      </w:r>
      <w:r w:rsidR="009E53F7">
        <w:rPr>
          <w:lang w:val="en-AU"/>
        </w:rPr>
        <w:t>, s</w:t>
      </w:r>
      <w:r w:rsidR="0046712F">
        <w:rPr>
          <w:lang w:val="en-AU"/>
        </w:rPr>
        <w:t>tate and territory government representatives</w:t>
      </w:r>
      <w:r w:rsidR="009E53F7">
        <w:rPr>
          <w:lang w:val="en-AU"/>
        </w:rPr>
        <w:t>, p</w:t>
      </w:r>
      <w:r w:rsidR="00483877">
        <w:rPr>
          <w:lang w:val="en-AU"/>
        </w:rPr>
        <w:t>eak organisations</w:t>
      </w:r>
      <w:r w:rsidR="009E53F7">
        <w:rPr>
          <w:lang w:val="en-AU"/>
        </w:rPr>
        <w:t>, AT provide</w:t>
      </w:r>
      <w:r w:rsidR="006046A6">
        <w:rPr>
          <w:lang w:val="en-AU"/>
        </w:rPr>
        <w:t>r</w:t>
      </w:r>
      <w:r w:rsidR="009E53F7">
        <w:rPr>
          <w:lang w:val="en-AU"/>
        </w:rPr>
        <w:t xml:space="preserve">s and </w:t>
      </w:r>
      <w:r w:rsidR="00331BAE">
        <w:rPr>
          <w:lang w:val="en-AU"/>
        </w:rPr>
        <w:t>national</w:t>
      </w:r>
      <w:r w:rsidR="009E53F7">
        <w:rPr>
          <w:lang w:val="en-AU"/>
        </w:rPr>
        <w:t xml:space="preserve"> international AT experts. </w:t>
      </w:r>
    </w:p>
    <w:p w14:paraId="792BB383" w14:textId="5A59E3A9" w:rsidR="00A512C5" w:rsidRDefault="00A512C5" w:rsidP="00E20ACE">
      <w:pPr>
        <w:pStyle w:val="ParaKeep"/>
        <w:rPr>
          <w:lang w:val="en-AU"/>
        </w:rPr>
      </w:pPr>
      <w:r>
        <w:rPr>
          <w:lang w:eastAsia="en-GB"/>
        </w:rPr>
        <w:t xml:space="preserve">The </w:t>
      </w:r>
      <w:r w:rsidR="00483877">
        <w:rPr>
          <w:lang w:eastAsia="en-GB"/>
        </w:rPr>
        <w:t>purpose of the consultations</w:t>
      </w:r>
      <w:r>
        <w:rPr>
          <w:lang w:val="en-AU"/>
        </w:rPr>
        <w:t xml:space="preserve"> </w:t>
      </w:r>
      <w:r w:rsidR="006046A6">
        <w:rPr>
          <w:lang w:val="en-AU"/>
        </w:rPr>
        <w:t>was to</w:t>
      </w:r>
      <w:r>
        <w:rPr>
          <w:lang w:val="en-AU"/>
        </w:rPr>
        <w:t xml:space="preserve"> gather qualitative and quantitative data to:</w:t>
      </w:r>
    </w:p>
    <w:p w14:paraId="1C92A7BF" w14:textId="0C812DBB" w:rsidR="00A512C5" w:rsidRDefault="00A512C5" w:rsidP="00A512C5">
      <w:pPr>
        <w:pStyle w:val="Bullet1"/>
        <w:rPr>
          <w:lang w:val="en-AU"/>
        </w:rPr>
      </w:pPr>
      <w:r>
        <w:rPr>
          <w:lang w:val="en-AU"/>
        </w:rPr>
        <w:t xml:space="preserve">Map existing AT </w:t>
      </w:r>
      <w:r w:rsidR="002C16CD">
        <w:rPr>
          <w:lang w:val="en-AU"/>
        </w:rPr>
        <w:t xml:space="preserve">programs </w:t>
      </w:r>
    </w:p>
    <w:p w14:paraId="413A074E" w14:textId="4593285F" w:rsidR="00A512C5" w:rsidRDefault="00A512C5" w:rsidP="00A512C5">
      <w:pPr>
        <w:pStyle w:val="Bullet1"/>
        <w:rPr>
          <w:lang w:val="en-AU"/>
        </w:rPr>
      </w:pPr>
      <w:r>
        <w:rPr>
          <w:lang w:val="en-AU"/>
        </w:rPr>
        <w:t xml:space="preserve">Refine information on current gaps, duplication, supply and access barriers and areas of strain in relation to AT </w:t>
      </w:r>
      <w:r w:rsidR="002C16CD">
        <w:rPr>
          <w:lang w:val="en-AU"/>
        </w:rPr>
        <w:t xml:space="preserve">programs </w:t>
      </w:r>
    </w:p>
    <w:p w14:paraId="6A3708A9" w14:textId="7C6F60D0" w:rsidR="00A512C5" w:rsidRDefault="00A512C5" w:rsidP="00A512C5">
      <w:pPr>
        <w:pStyle w:val="Bullet1"/>
        <w:rPr>
          <w:lang w:val="en-AU"/>
        </w:rPr>
      </w:pPr>
      <w:r>
        <w:rPr>
          <w:lang w:val="en-AU"/>
        </w:rPr>
        <w:lastRenderedPageBreak/>
        <w:t xml:space="preserve">Identify emerging benefits (costs, social </w:t>
      </w:r>
      <w:r w:rsidR="00BD01AA">
        <w:rPr>
          <w:lang w:val="en-AU"/>
        </w:rPr>
        <w:t xml:space="preserve">benefits </w:t>
      </w:r>
      <w:r>
        <w:rPr>
          <w:lang w:val="en-AU"/>
        </w:rPr>
        <w:t>etc) associated with entry level, in-home provision of AT</w:t>
      </w:r>
    </w:p>
    <w:p w14:paraId="235A5278" w14:textId="77777777" w:rsidR="00A512C5" w:rsidRDefault="00A512C5" w:rsidP="00A512C5">
      <w:pPr>
        <w:pStyle w:val="Bullet1"/>
        <w:rPr>
          <w:lang w:val="en-AU"/>
        </w:rPr>
      </w:pPr>
      <w:r>
        <w:rPr>
          <w:lang w:val="en-AU"/>
        </w:rPr>
        <w:t>Capture stakeholders’ perspectives on ways forward to improve access to AT for the target population in Australia.</w:t>
      </w:r>
    </w:p>
    <w:bookmarkEnd w:id="16"/>
    <w:p w14:paraId="023F61D1" w14:textId="1CE98D0F" w:rsidR="00781003" w:rsidRDefault="00781003" w:rsidP="00E570F3">
      <w:pPr>
        <w:pStyle w:val="Paragraph"/>
        <w:rPr>
          <w:lang w:val="en-AU"/>
        </w:rPr>
      </w:pPr>
      <w:r>
        <w:t xml:space="preserve">A full list of stakeholders who </w:t>
      </w:r>
      <w:r w:rsidR="009E6FF5">
        <w:t>were</w:t>
      </w:r>
      <w:r>
        <w:t xml:space="preserve"> consulted or invited to a consultation as part of the review is provided in </w:t>
      </w:r>
      <w:r w:rsidR="001A1D18" w:rsidRPr="001A1D18">
        <w:rPr>
          <w:rStyle w:val="Italic"/>
        </w:rPr>
        <w:fldChar w:fldCharType="begin"/>
      </w:r>
      <w:r w:rsidR="001A1D18" w:rsidRPr="001A1D18">
        <w:rPr>
          <w:rStyle w:val="Italic"/>
        </w:rPr>
        <w:instrText xml:space="preserve"> REF _Ref41926264 \h </w:instrText>
      </w:r>
      <w:r w:rsidR="001A1D18">
        <w:rPr>
          <w:rStyle w:val="Italic"/>
        </w:rPr>
        <w:instrText xml:space="preserve"> \* MERGEFORMAT </w:instrText>
      </w:r>
      <w:r w:rsidR="001A1D18" w:rsidRPr="001A1D18">
        <w:rPr>
          <w:rStyle w:val="Italic"/>
        </w:rPr>
      </w:r>
      <w:r w:rsidR="001A1D18" w:rsidRPr="001A1D18">
        <w:rPr>
          <w:rStyle w:val="Italic"/>
        </w:rPr>
        <w:fldChar w:fldCharType="separate"/>
      </w:r>
      <w:r w:rsidR="00EB1774" w:rsidRPr="00EB1774">
        <w:rPr>
          <w:rStyle w:val="Italic"/>
        </w:rPr>
        <w:t>Table A</w:t>
      </w:r>
      <w:r w:rsidR="00EB1774" w:rsidRPr="00EB1774">
        <w:rPr>
          <w:rStyle w:val="Italic"/>
        </w:rPr>
        <w:noBreakHyphen/>
        <w:t>1</w:t>
      </w:r>
      <w:r w:rsidR="001A1D18" w:rsidRPr="001A1D18">
        <w:rPr>
          <w:rStyle w:val="Italic"/>
        </w:rPr>
        <w:fldChar w:fldCharType="end"/>
      </w:r>
      <w:r>
        <w:t xml:space="preserve">. </w:t>
      </w:r>
    </w:p>
    <w:p w14:paraId="608467B0" w14:textId="50BB64CB" w:rsidR="00A512C5" w:rsidRPr="004E2A0B" w:rsidRDefault="007A06F9" w:rsidP="004E2A0B">
      <w:pPr>
        <w:rPr>
          <w:rFonts w:ascii="Calibri Light" w:hAnsi="Calibri Light" w:cs="Calibri Light"/>
        </w:rPr>
      </w:pPr>
      <w:bookmarkStart w:id="17" w:name="_Ref41926264"/>
      <w:bookmarkStart w:id="18" w:name="_Toc60999912"/>
      <w:r w:rsidRPr="004E2A0B">
        <w:rPr>
          <w:rFonts w:ascii="Calibri Light" w:hAnsi="Calibri Light" w:cs="Calibri Light"/>
        </w:rPr>
        <w:t>Table </w:t>
      </w:r>
      <w:r w:rsidR="00FD5E41" w:rsidRPr="004E2A0B">
        <w:rPr>
          <w:rFonts w:ascii="Calibri Light" w:hAnsi="Calibri Light" w:cs="Calibri Light"/>
        </w:rPr>
        <w:fldChar w:fldCharType="begin"/>
      </w:r>
      <w:r w:rsidR="00FD5E41" w:rsidRPr="004E2A0B">
        <w:rPr>
          <w:rFonts w:ascii="Calibri Light" w:hAnsi="Calibri Light" w:cs="Calibri Light"/>
        </w:rPr>
        <w:instrText xml:space="preserve"> STYLEREF 5 \s </w:instrText>
      </w:r>
      <w:r w:rsidR="00FD5E41" w:rsidRPr="004E2A0B">
        <w:rPr>
          <w:rFonts w:ascii="Calibri Light" w:hAnsi="Calibri Light" w:cs="Calibri Light"/>
        </w:rPr>
        <w:fldChar w:fldCharType="separate"/>
      </w:r>
      <w:r w:rsidR="00EB1774" w:rsidRPr="004E2A0B">
        <w:rPr>
          <w:rFonts w:ascii="Calibri Light" w:hAnsi="Calibri Light" w:cs="Calibri Light"/>
          <w:noProof/>
        </w:rPr>
        <w:t>A</w:t>
      </w:r>
      <w:r w:rsidR="00FD5E41" w:rsidRPr="004E2A0B">
        <w:rPr>
          <w:rFonts w:ascii="Calibri Light" w:hAnsi="Calibri Light" w:cs="Calibri Light"/>
        </w:rPr>
        <w:fldChar w:fldCharType="end"/>
      </w:r>
      <w:r w:rsidR="00FD5E41" w:rsidRPr="004E2A0B">
        <w:rPr>
          <w:rFonts w:ascii="Calibri Light" w:hAnsi="Calibri Light" w:cs="Calibri Light"/>
        </w:rPr>
        <w:noBreakHyphen/>
      </w:r>
      <w:r w:rsidR="00FD5E41" w:rsidRPr="004E2A0B">
        <w:rPr>
          <w:rFonts w:ascii="Calibri Light" w:hAnsi="Calibri Light" w:cs="Calibri Light"/>
        </w:rPr>
        <w:fldChar w:fldCharType="begin"/>
      </w:r>
      <w:r w:rsidR="00FD5E41" w:rsidRPr="004E2A0B">
        <w:rPr>
          <w:rFonts w:ascii="Calibri Light" w:hAnsi="Calibri Light" w:cs="Calibri Light"/>
        </w:rPr>
        <w:instrText xml:space="preserve"> SEQ Table_Apx \* ARABIC \s 5 </w:instrText>
      </w:r>
      <w:r w:rsidR="00FD5E41" w:rsidRPr="004E2A0B">
        <w:rPr>
          <w:rFonts w:ascii="Calibri Light" w:hAnsi="Calibri Light" w:cs="Calibri Light"/>
        </w:rPr>
        <w:fldChar w:fldCharType="separate"/>
      </w:r>
      <w:r w:rsidR="00EB1774" w:rsidRPr="004E2A0B">
        <w:rPr>
          <w:rFonts w:ascii="Calibri Light" w:hAnsi="Calibri Light" w:cs="Calibri Light"/>
          <w:noProof/>
        </w:rPr>
        <w:t>1</w:t>
      </w:r>
      <w:r w:rsidR="00FD5E41" w:rsidRPr="004E2A0B">
        <w:rPr>
          <w:rFonts w:ascii="Calibri Light" w:hAnsi="Calibri Light" w:cs="Calibri Light"/>
        </w:rPr>
        <w:fldChar w:fldCharType="end"/>
      </w:r>
      <w:bookmarkEnd w:id="17"/>
      <w:r w:rsidRPr="004E2A0B">
        <w:rPr>
          <w:rFonts w:ascii="Calibri Light" w:hAnsi="Calibri Light" w:cs="Calibri Light"/>
        </w:rPr>
        <w:t>:</w:t>
      </w:r>
      <w:r w:rsidR="004E2A0B">
        <w:rPr>
          <w:rFonts w:ascii="Calibri Light" w:hAnsi="Calibri Light" w:cs="Calibri Light"/>
        </w:rPr>
        <w:t xml:space="preserve"> </w:t>
      </w:r>
      <w:r w:rsidRPr="004E2A0B">
        <w:rPr>
          <w:rFonts w:ascii="Calibri Light" w:hAnsi="Calibri Light" w:cs="Calibri Light"/>
        </w:rPr>
        <w:t>Stakeholders consulted for the Review</w:t>
      </w:r>
      <w:bookmarkEnd w:id="18"/>
    </w:p>
    <w:tbl>
      <w:tblPr>
        <w:tblStyle w:val="AHALight"/>
        <w:tblW w:w="5000" w:type="pct"/>
        <w:tblLook w:val="06A0" w:firstRow="1" w:lastRow="0" w:firstColumn="1" w:lastColumn="0" w:noHBand="1" w:noVBand="1"/>
        <w:tblCaption w:val="Stakeholders"/>
        <w:tblDescription w:val="List of stakeholders and the date and mode of consultation."/>
      </w:tblPr>
      <w:tblGrid>
        <w:gridCol w:w="3686"/>
        <w:gridCol w:w="2410"/>
        <w:gridCol w:w="1943"/>
        <w:gridCol w:w="1599"/>
      </w:tblGrid>
      <w:tr w:rsidR="001245C0" w14:paraId="5E1025BF" w14:textId="77777777" w:rsidTr="00571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06152534" w14:textId="77777777" w:rsidR="005145F4" w:rsidRPr="00566867" w:rsidRDefault="005145F4" w:rsidP="00F260B9">
            <w:pPr>
              <w:rPr>
                <w:szCs w:val="20"/>
              </w:rPr>
            </w:pPr>
            <w:r w:rsidRPr="00566867">
              <w:rPr>
                <w:szCs w:val="20"/>
              </w:rPr>
              <w:t>Organisation</w:t>
            </w:r>
          </w:p>
        </w:tc>
        <w:tc>
          <w:tcPr>
            <w:tcW w:w="2410" w:type="dxa"/>
            <w:hideMark/>
          </w:tcPr>
          <w:p w14:paraId="7440EE64" w14:textId="77777777" w:rsidR="005145F4" w:rsidRPr="00566867" w:rsidRDefault="005145F4" w:rsidP="0026393E">
            <w:pPr>
              <w:pStyle w:val="TableHeading1"/>
              <w:jc w:val="center"/>
              <w:cnfStyle w:val="100000000000" w:firstRow="1" w:lastRow="0" w:firstColumn="0" w:lastColumn="0" w:oddVBand="0" w:evenVBand="0" w:oddHBand="0" w:evenHBand="0" w:firstRowFirstColumn="0" w:firstRowLastColumn="0" w:lastRowFirstColumn="0" w:lastRowLastColumn="0"/>
              <w:rPr>
                <w:b w:val="0"/>
              </w:rPr>
            </w:pPr>
            <w:r w:rsidRPr="00566867">
              <w:t>Stakeholder type</w:t>
            </w:r>
          </w:p>
        </w:tc>
        <w:tc>
          <w:tcPr>
            <w:tcW w:w="1943" w:type="dxa"/>
            <w:hideMark/>
          </w:tcPr>
          <w:p w14:paraId="7A065C80" w14:textId="77777777" w:rsidR="005145F4" w:rsidRPr="00566867" w:rsidRDefault="005145F4" w:rsidP="007305B2">
            <w:pPr>
              <w:pStyle w:val="TableHeading1"/>
              <w:jc w:val="center"/>
              <w:cnfStyle w:val="100000000000" w:firstRow="1" w:lastRow="0" w:firstColumn="0" w:lastColumn="0" w:oddVBand="0" w:evenVBand="0" w:oddHBand="0" w:evenHBand="0" w:firstRowFirstColumn="0" w:firstRowLastColumn="0" w:lastRowFirstColumn="0" w:lastRowLastColumn="0"/>
              <w:rPr>
                <w:b w:val="0"/>
              </w:rPr>
            </w:pPr>
            <w:r w:rsidRPr="00566867">
              <w:t>Date of consultation</w:t>
            </w:r>
            <w:r>
              <w:t>s</w:t>
            </w:r>
          </w:p>
        </w:tc>
        <w:tc>
          <w:tcPr>
            <w:tcW w:w="1599" w:type="dxa"/>
            <w:hideMark/>
          </w:tcPr>
          <w:p w14:paraId="6117832C" w14:textId="77777777" w:rsidR="005145F4" w:rsidRPr="00566867" w:rsidRDefault="005145F4" w:rsidP="007305B2">
            <w:pPr>
              <w:pStyle w:val="TableHeading1"/>
              <w:jc w:val="center"/>
              <w:cnfStyle w:val="100000000000" w:firstRow="1" w:lastRow="0" w:firstColumn="0" w:lastColumn="0" w:oddVBand="0" w:evenVBand="0" w:oddHBand="0" w:evenHBand="0" w:firstRowFirstColumn="0" w:firstRowLastColumn="0" w:lastRowFirstColumn="0" w:lastRowLastColumn="0"/>
              <w:rPr>
                <w:b w:val="0"/>
              </w:rPr>
            </w:pPr>
            <w:r w:rsidRPr="00566867">
              <w:t>Mode of consultation</w:t>
            </w:r>
          </w:p>
        </w:tc>
      </w:tr>
      <w:tr w:rsidR="005145F4" w14:paraId="754A01B1"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2C84E668" w14:textId="77777777" w:rsidR="005145F4" w:rsidRDefault="005145F4" w:rsidP="00F260B9">
            <w:pPr>
              <w:pStyle w:val="TableHeading2Row"/>
            </w:pPr>
            <w:r>
              <w:t>ACT Department of Health</w:t>
            </w:r>
          </w:p>
        </w:tc>
        <w:tc>
          <w:tcPr>
            <w:tcW w:w="2410" w:type="dxa"/>
            <w:shd w:val="clear" w:color="auto" w:fill="F2F2F2" w:themeFill="background1" w:themeFillShade="F2"/>
            <w:hideMark/>
          </w:tcPr>
          <w:p w14:paraId="0187EB58" w14:textId="77777777" w:rsidR="005145F4" w:rsidRDefault="005145F4"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t>State government</w:t>
            </w:r>
          </w:p>
        </w:tc>
        <w:tc>
          <w:tcPr>
            <w:tcW w:w="1943" w:type="dxa"/>
            <w:shd w:val="clear" w:color="auto" w:fill="F2F2F2" w:themeFill="background1" w:themeFillShade="F2"/>
            <w:hideMark/>
          </w:tcPr>
          <w:p w14:paraId="565C2DFD" w14:textId="00652ED1" w:rsidR="005145F4"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rPr>
              <w:t>Wed</w:t>
            </w:r>
            <w:r w:rsidR="005145F4">
              <w:rPr>
                <w:szCs w:val="20"/>
              </w:rPr>
              <w:t xml:space="preserve"> 18 </w:t>
            </w:r>
            <w:r>
              <w:rPr>
                <w:szCs w:val="20"/>
              </w:rPr>
              <w:t>Dec</w:t>
            </w:r>
            <w:r w:rsidR="005145F4">
              <w:rPr>
                <w:szCs w:val="20"/>
              </w:rPr>
              <w:t> 2019</w:t>
            </w:r>
          </w:p>
        </w:tc>
        <w:tc>
          <w:tcPr>
            <w:tcW w:w="1599" w:type="dxa"/>
            <w:shd w:val="clear" w:color="auto" w:fill="F2F2F2" w:themeFill="background1" w:themeFillShade="F2"/>
            <w:hideMark/>
          </w:tcPr>
          <w:p w14:paraId="295D2465" w14:textId="77777777" w:rsidR="005145F4" w:rsidRDefault="005145F4"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5145F4" w14:paraId="1C696383" w14:textId="77777777" w:rsidTr="00571AEA">
        <w:tc>
          <w:tcPr>
            <w:cnfStyle w:val="001000000000" w:firstRow="0" w:lastRow="0" w:firstColumn="1" w:lastColumn="0" w:oddVBand="0" w:evenVBand="0" w:oddHBand="0" w:evenHBand="0" w:firstRowFirstColumn="0" w:firstRowLastColumn="0" w:lastRowFirstColumn="0" w:lastRowLastColumn="0"/>
            <w:tcW w:w="3686" w:type="dxa"/>
          </w:tcPr>
          <w:p w14:paraId="332FDCB0" w14:textId="77777777" w:rsidR="005145F4" w:rsidRDefault="005145F4" w:rsidP="00F260B9">
            <w:pPr>
              <w:pStyle w:val="TableHeading2Row"/>
            </w:pPr>
            <w:r>
              <w:t>ADL SmartCare (UK)</w:t>
            </w:r>
          </w:p>
        </w:tc>
        <w:tc>
          <w:tcPr>
            <w:tcW w:w="2410" w:type="dxa"/>
          </w:tcPr>
          <w:p w14:paraId="4E32094E" w14:textId="77777777" w:rsidR="005145F4" w:rsidRDefault="005145F4" w:rsidP="0026393E">
            <w:pPr>
              <w:pStyle w:val="TableText"/>
              <w:jc w:val="center"/>
              <w:cnfStyle w:val="000000000000" w:firstRow="0" w:lastRow="0" w:firstColumn="0" w:lastColumn="0" w:oddVBand="0" w:evenVBand="0" w:oddHBand="0" w:evenHBand="0" w:firstRowFirstColumn="0" w:firstRowLastColumn="0" w:lastRowFirstColumn="0" w:lastRowLastColumn="0"/>
            </w:pPr>
            <w:r>
              <w:t>AT service provider</w:t>
            </w:r>
          </w:p>
        </w:tc>
        <w:tc>
          <w:tcPr>
            <w:tcW w:w="1943" w:type="dxa"/>
          </w:tcPr>
          <w:p w14:paraId="709BC61B" w14:textId="1B51D185" w:rsidR="005145F4"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szCs w:val="20"/>
              </w:rPr>
            </w:pPr>
            <w:r>
              <w:rPr>
                <w:szCs w:val="20"/>
              </w:rPr>
              <w:t>Mon</w:t>
            </w:r>
            <w:r w:rsidR="005145F4">
              <w:rPr>
                <w:szCs w:val="20"/>
              </w:rPr>
              <w:t xml:space="preserve"> 20 April 2020</w:t>
            </w:r>
          </w:p>
        </w:tc>
        <w:tc>
          <w:tcPr>
            <w:tcW w:w="1599" w:type="dxa"/>
          </w:tcPr>
          <w:p w14:paraId="230BF2AC" w14:textId="1E1C3DFE" w:rsidR="005145F4" w:rsidRDefault="00331BAE"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rPr>
            </w:pPr>
            <w:r>
              <w:rPr>
                <w:szCs w:val="20"/>
              </w:rPr>
              <w:t>Teleconference</w:t>
            </w:r>
          </w:p>
        </w:tc>
      </w:tr>
      <w:tr w:rsidR="005145F4" w14:paraId="17BB4370"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E2F4FF" w:themeColor="accent1" w:themeTint="33"/>
            </w:tcBorders>
            <w:shd w:val="clear" w:color="auto" w:fill="F2F2F2" w:themeFill="background1" w:themeFillShade="F2"/>
            <w:hideMark/>
          </w:tcPr>
          <w:p w14:paraId="2EBCC001" w14:textId="77777777" w:rsidR="005145F4" w:rsidRDefault="005145F4" w:rsidP="00F260B9">
            <w:pPr>
              <w:pStyle w:val="TableHeading2Row"/>
            </w:pPr>
            <w:r>
              <w:t>Australian Rehabilitation &amp; Assistive Technology Association (ARATA)</w:t>
            </w:r>
          </w:p>
        </w:tc>
        <w:tc>
          <w:tcPr>
            <w:tcW w:w="2410" w:type="dxa"/>
            <w:tcBorders>
              <w:bottom w:val="single" w:sz="4" w:space="0" w:color="E2F4FF" w:themeColor="accent1" w:themeTint="33"/>
            </w:tcBorders>
            <w:shd w:val="clear" w:color="auto" w:fill="F2F2F2" w:themeFill="background1" w:themeFillShade="F2"/>
            <w:hideMark/>
          </w:tcPr>
          <w:p w14:paraId="1A1EAB13" w14:textId="77777777" w:rsidR="005145F4" w:rsidRDefault="005145F4"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2595C109" w14:textId="57EE9F32" w:rsidR="005145F4"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Fri</w:t>
            </w:r>
            <w:r w:rsidR="005145F4">
              <w:t xml:space="preserve"> 20 </w:t>
            </w:r>
            <w:r>
              <w:t>Dec</w:t>
            </w:r>
            <w:r w:rsidR="005145F4">
              <w:t> 2019</w:t>
            </w:r>
          </w:p>
        </w:tc>
        <w:tc>
          <w:tcPr>
            <w:tcW w:w="1599" w:type="dxa"/>
            <w:shd w:val="clear" w:color="auto" w:fill="F2F2F2" w:themeFill="background1" w:themeFillShade="F2"/>
            <w:hideMark/>
          </w:tcPr>
          <w:p w14:paraId="7D1B3488" w14:textId="77777777" w:rsidR="005145F4" w:rsidRDefault="005145F4"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cs="Calibri"/>
                <w:szCs w:val="20"/>
              </w:rPr>
              <w:t>Teleconference</w:t>
            </w:r>
          </w:p>
        </w:tc>
      </w:tr>
      <w:tr w:rsidR="005145F4" w14:paraId="11E9CD9F"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E2F4FF" w:themeColor="accent1" w:themeTint="33"/>
              <w:bottom w:val="nil"/>
            </w:tcBorders>
            <w:hideMark/>
          </w:tcPr>
          <w:p w14:paraId="3F2A55D0" w14:textId="77777777" w:rsidR="005145F4" w:rsidRDefault="005145F4" w:rsidP="00F260B9">
            <w:pPr>
              <w:pStyle w:val="TableHeading2Row"/>
            </w:pPr>
            <w:r>
              <w:t xml:space="preserve">Assistive Technology Australia </w:t>
            </w:r>
            <w:r w:rsidRPr="00571AEA">
              <w:rPr>
                <w:rStyle w:val="Invisible"/>
              </w:rPr>
              <w:t>(formerly ILCNSW)</w:t>
            </w:r>
          </w:p>
        </w:tc>
        <w:tc>
          <w:tcPr>
            <w:tcW w:w="2410" w:type="dxa"/>
            <w:tcBorders>
              <w:top w:val="single" w:sz="4" w:space="0" w:color="E2F4FF" w:themeColor="accent1" w:themeTint="33"/>
              <w:bottom w:val="nil"/>
            </w:tcBorders>
            <w:hideMark/>
          </w:tcPr>
          <w:p w14:paraId="562AF0BE" w14:textId="77777777" w:rsidR="005145F4" w:rsidRDefault="005145F4"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tcPr>
          <w:p w14:paraId="0B0C6F99" w14:textId="5662E4A1" w:rsidR="005145F4"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Tue</w:t>
            </w:r>
            <w:r w:rsidR="005145F4">
              <w:t xml:space="preserve"> 17 </w:t>
            </w:r>
            <w:r>
              <w:t>Dec</w:t>
            </w:r>
            <w:r w:rsidR="005145F4">
              <w:t> 2019</w:t>
            </w:r>
          </w:p>
        </w:tc>
        <w:tc>
          <w:tcPr>
            <w:tcW w:w="1599" w:type="dxa"/>
            <w:hideMark/>
          </w:tcPr>
          <w:p w14:paraId="6C68F772" w14:textId="3D73AD9E" w:rsidR="005145F4" w:rsidRDefault="005145F4"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66B02F8C"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E2F4FF" w:themeColor="accent1" w:themeTint="33"/>
            </w:tcBorders>
          </w:tcPr>
          <w:p w14:paraId="77BACA64" w14:textId="6386146F" w:rsidR="007305B2" w:rsidRPr="00571AEA" w:rsidRDefault="007305B2" w:rsidP="00571AEA">
            <w:pPr>
              <w:pStyle w:val="TableText"/>
              <w:rPr>
                <w:rStyle w:val="Invisible"/>
                <w:b/>
                <w:color w:val="000000" w:themeColor="text1"/>
                <w:sz w:val="22"/>
              </w:rPr>
            </w:pPr>
            <w:r w:rsidRPr="00571AEA">
              <w:rPr>
                <w:rStyle w:val="Invisible"/>
              </w:rPr>
              <w:t xml:space="preserve">Assistive Technology Australia </w:t>
            </w:r>
            <w:r w:rsidR="00571AEA" w:rsidRPr="00571AEA">
              <w:rPr>
                <w:rStyle w:val="Invisible"/>
              </w:rPr>
              <w:br/>
            </w:r>
            <w:r w:rsidRPr="00571AEA">
              <w:rPr>
                <w:rStyle w:val="Invisible"/>
                <w:b/>
                <w:color w:val="000000" w:themeColor="text1"/>
                <w:sz w:val="22"/>
              </w:rPr>
              <w:t>(formerly ILCNSW)</w:t>
            </w:r>
          </w:p>
        </w:tc>
        <w:tc>
          <w:tcPr>
            <w:tcW w:w="2410" w:type="dxa"/>
            <w:tcBorders>
              <w:top w:val="nil"/>
              <w:bottom w:val="single" w:sz="4" w:space="0" w:color="E2F4FF" w:themeColor="accent1" w:themeTint="33"/>
            </w:tcBorders>
          </w:tcPr>
          <w:p w14:paraId="53F35922" w14:textId="5F02ACF2" w:rsidR="007305B2" w:rsidRPr="00571AEA"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Style w:val="Invisible"/>
              </w:rPr>
            </w:pPr>
            <w:r w:rsidRPr="00571AEA">
              <w:rPr>
                <w:rStyle w:val="Invisible"/>
              </w:rPr>
              <w:t>Peak organisation</w:t>
            </w:r>
          </w:p>
        </w:tc>
        <w:tc>
          <w:tcPr>
            <w:tcW w:w="1943" w:type="dxa"/>
          </w:tcPr>
          <w:p w14:paraId="39AF6277" w14:textId="40267B79"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Thu 16 April 2020</w:t>
            </w:r>
          </w:p>
        </w:tc>
        <w:tc>
          <w:tcPr>
            <w:tcW w:w="1599" w:type="dxa"/>
          </w:tcPr>
          <w:p w14:paraId="18614567" w14:textId="1A8C8260"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rPr>
            </w:pPr>
            <w:r>
              <w:rPr>
                <w:rFonts w:cs="Calibri"/>
                <w:szCs w:val="20"/>
              </w:rPr>
              <w:t>Teleconference</w:t>
            </w:r>
          </w:p>
        </w:tc>
      </w:tr>
      <w:tr w:rsidR="007305B2" w14:paraId="48108264"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E2F4FF" w:themeColor="accent1" w:themeTint="33"/>
            </w:tcBorders>
            <w:shd w:val="clear" w:color="auto" w:fill="F2F2F2" w:themeFill="background1" w:themeFillShade="F2"/>
            <w:hideMark/>
          </w:tcPr>
          <w:p w14:paraId="51821451" w14:textId="77777777" w:rsidR="007305B2" w:rsidRDefault="007305B2" w:rsidP="007305B2">
            <w:pPr>
              <w:pStyle w:val="TableHeading2Row"/>
            </w:pPr>
            <w:r>
              <w:t>Assistive Technology Suppliers Australia</w:t>
            </w:r>
          </w:p>
        </w:tc>
        <w:tc>
          <w:tcPr>
            <w:tcW w:w="2410" w:type="dxa"/>
            <w:tcBorders>
              <w:top w:val="single" w:sz="4" w:space="0" w:color="E2F4FF" w:themeColor="accent1" w:themeTint="33"/>
            </w:tcBorders>
            <w:shd w:val="clear" w:color="auto" w:fill="F2F2F2" w:themeFill="background1" w:themeFillShade="F2"/>
            <w:hideMark/>
          </w:tcPr>
          <w:p w14:paraId="0652532D"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1F4DA078" w14:textId="6AEFEC65"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Tue 17 Dec 2019</w:t>
            </w:r>
          </w:p>
        </w:tc>
        <w:tc>
          <w:tcPr>
            <w:tcW w:w="1599" w:type="dxa"/>
            <w:shd w:val="clear" w:color="auto" w:fill="F2F2F2" w:themeFill="background1" w:themeFillShade="F2"/>
            <w:hideMark/>
          </w:tcPr>
          <w:p w14:paraId="0011DB23"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72FDBAC6"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2FD5EFED" w14:textId="77777777" w:rsidR="007305B2" w:rsidRDefault="007305B2" w:rsidP="007305B2">
            <w:pPr>
              <w:pStyle w:val="TableHeading2Row"/>
            </w:pPr>
            <w:r>
              <w:t>Australian Orthotic Prosthetic Association (AOPA)</w:t>
            </w:r>
          </w:p>
        </w:tc>
        <w:tc>
          <w:tcPr>
            <w:tcW w:w="2410" w:type="dxa"/>
            <w:hideMark/>
          </w:tcPr>
          <w:p w14:paraId="3D622313" w14:textId="04D5100D"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hideMark/>
          </w:tcPr>
          <w:p w14:paraId="78E870C8" w14:textId="2AFBC90E"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Mon 13 Jan 2020</w:t>
            </w:r>
          </w:p>
        </w:tc>
        <w:tc>
          <w:tcPr>
            <w:tcW w:w="1599" w:type="dxa"/>
            <w:hideMark/>
          </w:tcPr>
          <w:p w14:paraId="083BA38B"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60FC9B2B"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0AF32F60" w14:textId="77777777" w:rsidR="007305B2" w:rsidRDefault="007305B2" w:rsidP="007305B2">
            <w:pPr>
              <w:pStyle w:val="TableHeading2Row"/>
            </w:pPr>
            <w:r>
              <w:t>Bolton Clarke</w:t>
            </w:r>
          </w:p>
        </w:tc>
        <w:tc>
          <w:tcPr>
            <w:tcW w:w="2410" w:type="dxa"/>
            <w:shd w:val="clear" w:color="auto" w:fill="F2F2F2" w:themeFill="background1" w:themeFillShade="F2"/>
            <w:hideMark/>
          </w:tcPr>
          <w:p w14:paraId="2E6D29A7"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2CE3B2DA" w14:textId="499E9B7B"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Thu 21 Nov 2019</w:t>
            </w:r>
          </w:p>
        </w:tc>
        <w:tc>
          <w:tcPr>
            <w:tcW w:w="1599" w:type="dxa"/>
            <w:shd w:val="clear" w:color="auto" w:fill="F2F2F2" w:themeFill="background1" w:themeFillShade="F2"/>
            <w:hideMark/>
          </w:tcPr>
          <w:p w14:paraId="36511E1A"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1B6B70F4"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0DC62787" w14:textId="77777777" w:rsidR="007305B2" w:rsidRDefault="007305B2" w:rsidP="007305B2">
            <w:pPr>
              <w:pStyle w:val="TableHeading2Row"/>
            </w:pPr>
            <w:r>
              <w:t>Community Care Smart Assistive Technology Collaborative (CCSATC)</w:t>
            </w:r>
          </w:p>
        </w:tc>
        <w:tc>
          <w:tcPr>
            <w:tcW w:w="2410" w:type="dxa"/>
            <w:hideMark/>
          </w:tcPr>
          <w:p w14:paraId="05E712C7" w14:textId="7CD57020"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hideMark/>
          </w:tcPr>
          <w:p w14:paraId="0CC820A2" w14:textId="40F39888"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Thu 9 Jan 2020</w:t>
            </w:r>
          </w:p>
        </w:tc>
        <w:tc>
          <w:tcPr>
            <w:tcW w:w="1599" w:type="dxa"/>
            <w:hideMark/>
          </w:tcPr>
          <w:p w14:paraId="74988D23"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18BFEE01"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03D8F039" w14:textId="77777777" w:rsidR="007305B2" w:rsidRDefault="007305B2" w:rsidP="007305B2">
            <w:pPr>
              <w:pStyle w:val="TableHeading2Row"/>
            </w:pPr>
            <w:r>
              <w:t>Continence Foundation of Australia</w:t>
            </w:r>
          </w:p>
        </w:tc>
        <w:tc>
          <w:tcPr>
            <w:tcW w:w="2410" w:type="dxa"/>
            <w:shd w:val="clear" w:color="auto" w:fill="F2F2F2" w:themeFill="background1" w:themeFillShade="F2"/>
            <w:hideMark/>
          </w:tcPr>
          <w:p w14:paraId="34847B4C" w14:textId="233B7EAD"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597ADC1D" w14:textId="4DE582BB"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Mon 16 Dec </w:t>
            </w:r>
            <w:r>
              <w:rPr>
                <w:szCs w:val="20"/>
                <w:lang w:eastAsia="en-AU"/>
              </w:rPr>
              <w:t>2019</w:t>
            </w:r>
          </w:p>
        </w:tc>
        <w:tc>
          <w:tcPr>
            <w:tcW w:w="1599" w:type="dxa"/>
            <w:shd w:val="clear" w:color="auto" w:fill="F2F2F2" w:themeFill="background1" w:themeFillShade="F2"/>
            <w:hideMark/>
          </w:tcPr>
          <w:p w14:paraId="595B25A4"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5923CE9A"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161A65A5" w14:textId="77777777" w:rsidR="007305B2" w:rsidRDefault="007305B2" w:rsidP="007305B2">
            <w:pPr>
              <w:pStyle w:val="TableHeading2Row"/>
            </w:pPr>
            <w:r>
              <w:t>Council on the Ageing (COTA)</w:t>
            </w:r>
          </w:p>
        </w:tc>
        <w:tc>
          <w:tcPr>
            <w:tcW w:w="2410" w:type="dxa"/>
            <w:hideMark/>
          </w:tcPr>
          <w:p w14:paraId="0DBA3726" w14:textId="3C7780D9"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hideMark/>
          </w:tcPr>
          <w:p w14:paraId="3BE255DE" w14:textId="23D18104"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Mon 16 Dec </w:t>
            </w:r>
            <w:r>
              <w:rPr>
                <w:szCs w:val="20"/>
                <w:lang w:eastAsia="en-AU"/>
              </w:rPr>
              <w:t>2019</w:t>
            </w:r>
          </w:p>
        </w:tc>
        <w:tc>
          <w:tcPr>
            <w:tcW w:w="1599" w:type="dxa"/>
            <w:hideMark/>
          </w:tcPr>
          <w:p w14:paraId="7504EDCD"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16F9F59D"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4DB9D0F9" w14:textId="77777777" w:rsidR="007305B2" w:rsidRDefault="007305B2" w:rsidP="007305B2">
            <w:pPr>
              <w:pStyle w:val="TableHeading2Row"/>
            </w:pPr>
            <w:r>
              <w:t>Dementia Australia</w:t>
            </w:r>
          </w:p>
        </w:tc>
        <w:tc>
          <w:tcPr>
            <w:tcW w:w="2410" w:type="dxa"/>
            <w:shd w:val="clear" w:color="auto" w:fill="F2F2F2" w:themeFill="background1" w:themeFillShade="F2"/>
            <w:hideMark/>
          </w:tcPr>
          <w:p w14:paraId="6C92B0ED"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529A7772" w14:textId="753BC7C8"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Thu 19 Dec 2019</w:t>
            </w:r>
          </w:p>
        </w:tc>
        <w:tc>
          <w:tcPr>
            <w:tcW w:w="1599" w:type="dxa"/>
            <w:shd w:val="clear" w:color="auto" w:fill="F2F2F2" w:themeFill="background1" w:themeFillShade="F2"/>
            <w:hideMark/>
          </w:tcPr>
          <w:p w14:paraId="0AE53A4B"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11A699A6"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0E503B84" w14:textId="77777777" w:rsidR="007305B2" w:rsidRDefault="007305B2" w:rsidP="007305B2">
            <w:pPr>
              <w:pStyle w:val="TableHeading2Row"/>
            </w:pPr>
            <w:r>
              <w:t>Dietitians Association of Australia</w:t>
            </w:r>
          </w:p>
        </w:tc>
        <w:tc>
          <w:tcPr>
            <w:tcW w:w="2410" w:type="dxa"/>
            <w:hideMark/>
          </w:tcPr>
          <w:p w14:paraId="3707E243" w14:textId="4F96E20B"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hideMark/>
          </w:tcPr>
          <w:p w14:paraId="447FFDBB" w14:textId="01126512"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Wed 18 Dec 2019</w:t>
            </w:r>
          </w:p>
        </w:tc>
        <w:tc>
          <w:tcPr>
            <w:tcW w:w="1599" w:type="dxa"/>
            <w:hideMark/>
          </w:tcPr>
          <w:p w14:paraId="7D35BD28"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31230303"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3F61415B" w14:textId="77777777" w:rsidR="007305B2" w:rsidRDefault="007305B2" w:rsidP="007305B2">
            <w:pPr>
              <w:pStyle w:val="TableHeading2Row"/>
            </w:pPr>
            <w:r>
              <w:t>DVA</w:t>
            </w:r>
          </w:p>
        </w:tc>
        <w:tc>
          <w:tcPr>
            <w:tcW w:w="2410" w:type="dxa"/>
            <w:shd w:val="clear" w:color="auto" w:fill="F2F2F2" w:themeFill="background1" w:themeFillShade="F2"/>
            <w:hideMark/>
          </w:tcPr>
          <w:p w14:paraId="111527EA"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Australian Government</w:t>
            </w:r>
          </w:p>
        </w:tc>
        <w:tc>
          <w:tcPr>
            <w:tcW w:w="1943" w:type="dxa"/>
            <w:shd w:val="clear" w:color="auto" w:fill="F2F2F2" w:themeFill="background1" w:themeFillShade="F2"/>
            <w:hideMark/>
          </w:tcPr>
          <w:p w14:paraId="73A8E60A" w14:textId="1ED0A8A8"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cs="Calibri"/>
                <w:szCs w:val="20"/>
              </w:rPr>
              <w:t>Mon 17 Feb 2020</w:t>
            </w:r>
          </w:p>
        </w:tc>
        <w:tc>
          <w:tcPr>
            <w:tcW w:w="1599" w:type="dxa"/>
            <w:shd w:val="clear" w:color="auto" w:fill="F2F2F2" w:themeFill="background1" w:themeFillShade="F2"/>
            <w:hideMark/>
          </w:tcPr>
          <w:p w14:paraId="318E0A04"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cs="Calibri"/>
                <w:szCs w:val="20"/>
              </w:rPr>
              <w:t>Teleconference</w:t>
            </w:r>
          </w:p>
        </w:tc>
      </w:tr>
      <w:tr w:rsidR="007305B2" w14:paraId="5FFDC63A" w14:textId="77777777" w:rsidTr="00571AEA">
        <w:tc>
          <w:tcPr>
            <w:cnfStyle w:val="001000000000" w:firstRow="0" w:lastRow="0" w:firstColumn="1" w:lastColumn="0" w:oddVBand="0" w:evenVBand="0" w:oddHBand="0" w:evenHBand="0" w:firstRowFirstColumn="0" w:firstRowLastColumn="0" w:lastRowFirstColumn="0" w:lastRowLastColumn="0"/>
            <w:tcW w:w="3686" w:type="dxa"/>
          </w:tcPr>
          <w:p w14:paraId="2FC446C7" w14:textId="77777777" w:rsidR="007305B2" w:rsidRDefault="007305B2" w:rsidP="007305B2">
            <w:pPr>
              <w:pStyle w:val="TableHeading2Row"/>
            </w:pPr>
            <w:r>
              <w:t>Hampshire County Council (UK)</w:t>
            </w:r>
          </w:p>
        </w:tc>
        <w:tc>
          <w:tcPr>
            <w:tcW w:w="2410" w:type="dxa"/>
          </w:tcPr>
          <w:p w14:paraId="17DC1723" w14:textId="6A6A9856"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AT service provider</w:t>
            </w:r>
          </w:p>
        </w:tc>
        <w:tc>
          <w:tcPr>
            <w:tcW w:w="1943" w:type="dxa"/>
          </w:tcPr>
          <w:p w14:paraId="71706132" w14:textId="427FBD0B"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szCs w:val="20"/>
              </w:rPr>
            </w:pPr>
            <w:r>
              <w:rPr>
                <w:szCs w:val="20"/>
              </w:rPr>
              <w:t>Wed 22 April 2020</w:t>
            </w:r>
          </w:p>
        </w:tc>
        <w:tc>
          <w:tcPr>
            <w:tcW w:w="1599" w:type="dxa"/>
          </w:tcPr>
          <w:p w14:paraId="7F4D9FF0" w14:textId="4A4A18E0"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lang w:eastAsia="en-AU"/>
              </w:rPr>
            </w:pPr>
            <w:r>
              <w:rPr>
                <w:rFonts w:cs="Calibri"/>
                <w:szCs w:val="20"/>
              </w:rPr>
              <w:t>Teleconference</w:t>
            </w:r>
          </w:p>
        </w:tc>
      </w:tr>
      <w:tr w:rsidR="007305B2" w14:paraId="59D9162B"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E2F4FF" w:themeColor="accent1" w:themeTint="33"/>
            </w:tcBorders>
            <w:shd w:val="clear" w:color="auto" w:fill="F2F2F2" w:themeFill="background1" w:themeFillShade="F2"/>
            <w:hideMark/>
          </w:tcPr>
          <w:p w14:paraId="25AA8BA5" w14:textId="77777777" w:rsidR="007305B2" w:rsidRDefault="007305B2" w:rsidP="007305B2">
            <w:pPr>
              <w:pStyle w:val="TableHeading2Row"/>
            </w:pPr>
            <w:r>
              <w:t>Home Modification Information Clearinghouse</w:t>
            </w:r>
          </w:p>
        </w:tc>
        <w:tc>
          <w:tcPr>
            <w:tcW w:w="2410" w:type="dxa"/>
            <w:tcBorders>
              <w:bottom w:val="single" w:sz="4" w:space="0" w:color="E2F4FF" w:themeColor="accent1" w:themeTint="33"/>
            </w:tcBorders>
            <w:shd w:val="clear" w:color="auto" w:fill="F2F2F2" w:themeFill="background1" w:themeFillShade="F2"/>
            <w:hideMark/>
          </w:tcPr>
          <w:p w14:paraId="1ABBF3FD"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Peak organisation</w:t>
            </w:r>
          </w:p>
        </w:tc>
        <w:tc>
          <w:tcPr>
            <w:tcW w:w="1943" w:type="dxa"/>
            <w:shd w:val="clear" w:color="auto" w:fill="F2F2F2" w:themeFill="background1" w:themeFillShade="F2"/>
            <w:hideMark/>
          </w:tcPr>
          <w:p w14:paraId="378BE97B" w14:textId="20236F11"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szCs w:val="20"/>
              </w:rPr>
            </w:pPr>
            <w:r>
              <w:rPr>
                <w:szCs w:val="20"/>
                <w:lang w:eastAsia="en-AU"/>
              </w:rPr>
              <w:t>Wed 15 Jan 2020</w:t>
            </w:r>
          </w:p>
        </w:tc>
        <w:tc>
          <w:tcPr>
            <w:tcW w:w="1599" w:type="dxa"/>
            <w:shd w:val="clear" w:color="auto" w:fill="F2F2F2" w:themeFill="background1" w:themeFillShade="F2"/>
            <w:hideMark/>
          </w:tcPr>
          <w:p w14:paraId="0D88F2D9" w14:textId="02729122"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rPr>
            </w:pPr>
            <w:r>
              <w:rPr>
                <w:szCs w:val="20"/>
                <w:lang w:eastAsia="en-AU"/>
              </w:rPr>
              <w:t>Face to face</w:t>
            </w:r>
          </w:p>
        </w:tc>
      </w:tr>
      <w:tr w:rsidR="007305B2" w14:paraId="279237E0"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E2F4FF" w:themeColor="accent1" w:themeTint="33"/>
              <w:bottom w:val="nil"/>
            </w:tcBorders>
            <w:hideMark/>
          </w:tcPr>
          <w:p w14:paraId="451D4937" w14:textId="77777777" w:rsidR="007305B2" w:rsidRDefault="007305B2" w:rsidP="007305B2">
            <w:pPr>
              <w:pStyle w:val="TableHeading2Row"/>
            </w:pPr>
            <w:r>
              <w:t>Indigo (formerly ILCWA)</w:t>
            </w:r>
          </w:p>
        </w:tc>
        <w:tc>
          <w:tcPr>
            <w:tcW w:w="2410" w:type="dxa"/>
            <w:tcBorders>
              <w:top w:val="single" w:sz="4" w:space="0" w:color="E2F4FF" w:themeColor="accent1" w:themeTint="33"/>
              <w:bottom w:val="nil"/>
            </w:tcBorders>
            <w:hideMark/>
          </w:tcPr>
          <w:p w14:paraId="0F8EA8A9"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hideMark/>
          </w:tcPr>
          <w:p w14:paraId="30A9DBD1" w14:textId="699DD907" w:rsidR="007305B2" w:rsidRPr="004E51C1"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Thu 23 Jan 2020</w:t>
            </w:r>
          </w:p>
        </w:tc>
        <w:tc>
          <w:tcPr>
            <w:tcW w:w="1599" w:type="dxa"/>
            <w:hideMark/>
          </w:tcPr>
          <w:p w14:paraId="5D191D9F" w14:textId="54DB7EB6" w:rsidR="007305B2" w:rsidRPr="005D6C60"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cs="Calibri"/>
                <w:szCs w:val="20"/>
              </w:rPr>
            </w:pPr>
            <w:r>
              <w:rPr>
                <w:szCs w:val="20"/>
                <w:lang w:eastAsia="en-AU"/>
              </w:rPr>
              <w:t>Face to face</w:t>
            </w:r>
          </w:p>
        </w:tc>
      </w:tr>
      <w:tr w:rsidR="007305B2" w14:paraId="09521F28"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nil"/>
              <w:bottom w:val="nil"/>
            </w:tcBorders>
          </w:tcPr>
          <w:p w14:paraId="7E312A0E" w14:textId="7D0AD566" w:rsidR="007305B2" w:rsidRPr="00A60254" w:rsidRDefault="007305B2" w:rsidP="007305B2">
            <w:pPr>
              <w:pStyle w:val="TableHeading2Row"/>
              <w:rPr>
                <w:rStyle w:val="Invisible"/>
              </w:rPr>
            </w:pPr>
            <w:r w:rsidRPr="00A60254">
              <w:rPr>
                <w:rStyle w:val="Invisible"/>
              </w:rPr>
              <w:t>Indigo (formerly ILCWA)</w:t>
            </w:r>
          </w:p>
        </w:tc>
        <w:tc>
          <w:tcPr>
            <w:tcW w:w="2410" w:type="dxa"/>
            <w:tcBorders>
              <w:top w:val="nil"/>
              <w:bottom w:val="nil"/>
            </w:tcBorders>
          </w:tcPr>
          <w:p w14:paraId="3F275BBD" w14:textId="23A9A850" w:rsidR="007305B2" w:rsidRPr="00571AEA"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Style w:val="Invisible"/>
              </w:rPr>
            </w:pPr>
            <w:r w:rsidRPr="00571AEA">
              <w:rPr>
                <w:rStyle w:val="Invisible"/>
              </w:rPr>
              <w:t>Peak organisation</w:t>
            </w:r>
          </w:p>
        </w:tc>
        <w:tc>
          <w:tcPr>
            <w:tcW w:w="1943" w:type="dxa"/>
          </w:tcPr>
          <w:p w14:paraId="63F736DA" w14:textId="282CB480"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Wed 15 April 2020</w:t>
            </w:r>
          </w:p>
        </w:tc>
        <w:tc>
          <w:tcPr>
            <w:tcW w:w="1599" w:type="dxa"/>
          </w:tcPr>
          <w:p w14:paraId="1E003731" w14:textId="64159664"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lang w:eastAsia="en-AU"/>
              </w:rPr>
            </w:pPr>
            <w:r>
              <w:rPr>
                <w:rFonts w:cs="Calibri"/>
                <w:szCs w:val="20"/>
              </w:rPr>
              <w:t>Teleconference</w:t>
            </w:r>
          </w:p>
        </w:tc>
      </w:tr>
      <w:tr w:rsidR="007305B2" w14:paraId="40F6836F"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4" w:space="0" w:color="E2F4FF" w:themeColor="accent1" w:themeTint="33"/>
            </w:tcBorders>
          </w:tcPr>
          <w:p w14:paraId="47772CDD" w14:textId="3EAABB16" w:rsidR="007305B2" w:rsidRPr="00A60254" w:rsidRDefault="007305B2" w:rsidP="007305B2">
            <w:pPr>
              <w:pStyle w:val="TableHeading2Row"/>
              <w:rPr>
                <w:rStyle w:val="Invisible"/>
              </w:rPr>
            </w:pPr>
            <w:r w:rsidRPr="00A60254">
              <w:rPr>
                <w:rStyle w:val="Invisible"/>
              </w:rPr>
              <w:t>Indigo (formerly ILCWA)</w:t>
            </w:r>
          </w:p>
        </w:tc>
        <w:tc>
          <w:tcPr>
            <w:tcW w:w="2410" w:type="dxa"/>
            <w:tcBorders>
              <w:top w:val="nil"/>
              <w:bottom w:val="single" w:sz="4" w:space="0" w:color="E2F4FF" w:themeColor="accent1" w:themeTint="33"/>
            </w:tcBorders>
          </w:tcPr>
          <w:p w14:paraId="4200E97C" w14:textId="36D81369" w:rsidR="007305B2" w:rsidRPr="00571AEA"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Style w:val="Invisible"/>
              </w:rPr>
            </w:pPr>
            <w:r w:rsidRPr="00571AEA">
              <w:rPr>
                <w:rStyle w:val="Invisible"/>
              </w:rPr>
              <w:t>Peak organisation</w:t>
            </w:r>
          </w:p>
        </w:tc>
        <w:tc>
          <w:tcPr>
            <w:tcW w:w="1943" w:type="dxa"/>
          </w:tcPr>
          <w:p w14:paraId="380A13A9" w14:textId="0CA57168"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Wed 22 April 2020</w:t>
            </w:r>
          </w:p>
        </w:tc>
        <w:tc>
          <w:tcPr>
            <w:tcW w:w="1599" w:type="dxa"/>
          </w:tcPr>
          <w:p w14:paraId="75A11D86" w14:textId="52348E4C"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lang w:eastAsia="en-AU"/>
              </w:rPr>
            </w:pPr>
            <w:r>
              <w:rPr>
                <w:rFonts w:cs="Calibri"/>
                <w:szCs w:val="20"/>
              </w:rPr>
              <w:t>Teleconference</w:t>
            </w:r>
          </w:p>
        </w:tc>
      </w:tr>
      <w:tr w:rsidR="007305B2" w14:paraId="654AEADA" w14:textId="77777777" w:rsidTr="00571AEA">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E2F4FF" w:themeColor="accent1" w:themeTint="33"/>
            </w:tcBorders>
            <w:shd w:val="clear" w:color="auto" w:fill="F2F2F2" w:themeFill="background1" w:themeFillShade="F2"/>
            <w:hideMark/>
          </w:tcPr>
          <w:p w14:paraId="2F76616C" w14:textId="77777777" w:rsidR="007305B2" w:rsidRDefault="007305B2" w:rsidP="007305B2">
            <w:pPr>
              <w:pStyle w:val="TableHeading2Row"/>
            </w:pPr>
            <w:r>
              <w:t>Leading Age Services Australia</w:t>
            </w:r>
          </w:p>
        </w:tc>
        <w:tc>
          <w:tcPr>
            <w:tcW w:w="2410" w:type="dxa"/>
            <w:tcBorders>
              <w:top w:val="single" w:sz="4" w:space="0" w:color="E2F4FF" w:themeColor="accent1" w:themeTint="33"/>
            </w:tcBorders>
            <w:shd w:val="clear" w:color="auto" w:fill="F2F2F2" w:themeFill="background1" w:themeFillShade="F2"/>
            <w:hideMark/>
          </w:tcPr>
          <w:p w14:paraId="6B8425ED"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47AFF00E" w14:textId="7EC631E4"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Wed 18 Dec 2019</w:t>
            </w:r>
          </w:p>
        </w:tc>
        <w:tc>
          <w:tcPr>
            <w:tcW w:w="1599" w:type="dxa"/>
            <w:shd w:val="clear" w:color="auto" w:fill="F2F2F2" w:themeFill="background1" w:themeFillShade="F2"/>
            <w:hideMark/>
          </w:tcPr>
          <w:p w14:paraId="439925C6"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164BD912"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371AD8ED" w14:textId="77777777" w:rsidR="007305B2" w:rsidRDefault="007305B2" w:rsidP="007305B2">
            <w:pPr>
              <w:pStyle w:val="TableHeading2Row"/>
            </w:pPr>
            <w:r>
              <w:t>Meg Henderson</w:t>
            </w:r>
          </w:p>
        </w:tc>
        <w:tc>
          <w:tcPr>
            <w:tcW w:w="2410" w:type="dxa"/>
            <w:hideMark/>
          </w:tcPr>
          <w:p w14:paraId="1C00CFF2"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Expert</w:t>
            </w:r>
          </w:p>
        </w:tc>
        <w:tc>
          <w:tcPr>
            <w:tcW w:w="1943" w:type="dxa"/>
            <w:hideMark/>
          </w:tcPr>
          <w:p w14:paraId="66363434" w14:textId="25839D16"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lang w:eastAsia="en-AU"/>
              </w:rPr>
              <w:t>Wed 20 Nov 2019</w:t>
            </w:r>
          </w:p>
        </w:tc>
        <w:tc>
          <w:tcPr>
            <w:tcW w:w="1599" w:type="dxa"/>
            <w:hideMark/>
          </w:tcPr>
          <w:p w14:paraId="487D9F0F" w14:textId="77777777" w:rsidR="007305B2" w:rsidRPr="005D6C60"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cs="Calibri"/>
                <w:szCs w:val="20"/>
              </w:rPr>
            </w:pPr>
            <w:r>
              <w:rPr>
                <w:rFonts w:cs="Calibri"/>
                <w:szCs w:val="20"/>
              </w:rPr>
              <w:t>Teleconference</w:t>
            </w:r>
          </w:p>
        </w:tc>
      </w:tr>
      <w:tr w:rsidR="007305B2" w14:paraId="364A49D9"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40C6053C" w14:textId="77777777" w:rsidR="007305B2" w:rsidRDefault="007305B2" w:rsidP="007305B2">
            <w:pPr>
              <w:pStyle w:val="TableHeading2Row"/>
            </w:pPr>
            <w:r>
              <w:lastRenderedPageBreak/>
              <w:t>National Assistive Technologies Alliance</w:t>
            </w:r>
          </w:p>
        </w:tc>
        <w:tc>
          <w:tcPr>
            <w:tcW w:w="2410" w:type="dxa"/>
            <w:shd w:val="clear" w:color="auto" w:fill="F2F2F2" w:themeFill="background1" w:themeFillShade="F2"/>
            <w:hideMark/>
          </w:tcPr>
          <w:p w14:paraId="07C3B886"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Peak organisation</w:t>
            </w:r>
          </w:p>
        </w:tc>
        <w:tc>
          <w:tcPr>
            <w:tcW w:w="1943" w:type="dxa"/>
            <w:shd w:val="clear" w:color="auto" w:fill="F2F2F2" w:themeFill="background1" w:themeFillShade="F2"/>
            <w:hideMark/>
          </w:tcPr>
          <w:p w14:paraId="7A8AAB77" w14:textId="149437E9"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lang w:eastAsia="en-AU"/>
              </w:rPr>
              <w:t>Fri 22 Nov 2019</w:t>
            </w:r>
          </w:p>
        </w:tc>
        <w:tc>
          <w:tcPr>
            <w:tcW w:w="1599" w:type="dxa"/>
            <w:shd w:val="clear" w:color="auto" w:fill="F2F2F2" w:themeFill="background1" w:themeFillShade="F2"/>
            <w:hideMark/>
          </w:tcPr>
          <w:p w14:paraId="34E0FCAD" w14:textId="77777777" w:rsidR="007305B2" w:rsidRPr="005D6C60"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cs="Calibri"/>
                <w:szCs w:val="20"/>
              </w:rPr>
            </w:pPr>
            <w:r>
              <w:rPr>
                <w:rFonts w:cs="Calibri"/>
                <w:szCs w:val="20"/>
              </w:rPr>
              <w:t>Teleconference</w:t>
            </w:r>
          </w:p>
        </w:tc>
      </w:tr>
      <w:tr w:rsidR="007305B2" w14:paraId="04713E4E"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56238935" w14:textId="77777777" w:rsidR="007305B2" w:rsidRDefault="007305B2" w:rsidP="007305B2">
            <w:pPr>
              <w:pStyle w:val="TableHeading2Row"/>
            </w:pPr>
            <w:r w:rsidRPr="00423CCE">
              <w:t xml:space="preserve">National Disability Insurance Agency </w:t>
            </w:r>
            <w:r>
              <w:t>(NDIA)</w:t>
            </w:r>
          </w:p>
        </w:tc>
        <w:tc>
          <w:tcPr>
            <w:tcW w:w="2410" w:type="dxa"/>
            <w:hideMark/>
          </w:tcPr>
          <w:p w14:paraId="2C5390EB"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t>Australian Government</w:t>
            </w:r>
          </w:p>
        </w:tc>
        <w:tc>
          <w:tcPr>
            <w:tcW w:w="1943" w:type="dxa"/>
            <w:hideMark/>
          </w:tcPr>
          <w:p w14:paraId="1CEB58F8" w14:textId="5DE61F76"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Wed 8 Jan 2020</w:t>
            </w:r>
          </w:p>
        </w:tc>
        <w:tc>
          <w:tcPr>
            <w:tcW w:w="1599" w:type="dxa"/>
            <w:hideMark/>
          </w:tcPr>
          <w:p w14:paraId="0BC0F485"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5C82834B"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076FDB5B" w14:textId="77777777" w:rsidR="007305B2" w:rsidRDefault="007305B2" w:rsidP="007305B2">
            <w:pPr>
              <w:pStyle w:val="TableHeading2Row"/>
            </w:pPr>
            <w:r>
              <w:t>NSW Ministry of Health</w:t>
            </w:r>
          </w:p>
        </w:tc>
        <w:tc>
          <w:tcPr>
            <w:tcW w:w="2410" w:type="dxa"/>
            <w:shd w:val="clear" w:color="auto" w:fill="F2F2F2" w:themeFill="background1" w:themeFillShade="F2"/>
            <w:hideMark/>
          </w:tcPr>
          <w:p w14:paraId="693EDB31"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State government</w:t>
            </w:r>
          </w:p>
        </w:tc>
        <w:tc>
          <w:tcPr>
            <w:tcW w:w="1943" w:type="dxa"/>
            <w:shd w:val="clear" w:color="auto" w:fill="F2F2F2" w:themeFill="background1" w:themeFillShade="F2"/>
            <w:hideMark/>
          </w:tcPr>
          <w:p w14:paraId="2B6BDC4A" w14:textId="3D232EE0"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Wed 15 Jan 2020</w:t>
            </w:r>
          </w:p>
        </w:tc>
        <w:tc>
          <w:tcPr>
            <w:tcW w:w="1599" w:type="dxa"/>
            <w:shd w:val="clear" w:color="auto" w:fill="F2F2F2" w:themeFill="background1" w:themeFillShade="F2"/>
            <w:hideMark/>
          </w:tcPr>
          <w:p w14:paraId="63EED587"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71D1D77B"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15F3B9A1" w14:textId="77777777" w:rsidR="007305B2" w:rsidRDefault="007305B2" w:rsidP="007305B2">
            <w:pPr>
              <w:pStyle w:val="TableHeading2Row"/>
            </w:pPr>
            <w:r>
              <w:t>NT Department of Health</w:t>
            </w:r>
          </w:p>
        </w:tc>
        <w:tc>
          <w:tcPr>
            <w:tcW w:w="2410" w:type="dxa"/>
            <w:hideMark/>
          </w:tcPr>
          <w:p w14:paraId="4224FFBF"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State government</w:t>
            </w:r>
          </w:p>
        </w:tc>
        <w:tc>
          <w:tcPr>
            <w:tcW w:w="1943" w:type="dxa"/>
            <w:hideMark/>
          </w:tcPr>
          <w:p w14:paraId="20742D50" w14:textId="28AE6092"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lang w:eastAsia="en-AU"/>
              </w:rPr>
              <w:t>Fri 24 Jan 2020</w:t>
            </w:r>
          </w:p>
        </w:tc>
        <w:tc>
          <w:tcPr>
            <w:tcW w:w="1599" w:type="dxa"/>
            <w:hideMark/>
          </w:tcPr>
          <w:p w14:paraId="23FB1142"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lang w:eastAsia="en-AU"/>
              </w:rPr>
              <w:t>Face to face</w:t>
            </w:r>
          </w:p>
        </w:tc>
      </w:tr>
      <w:tr w:rsidR="007305B2" w14:paraId="192266A2"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1A4486F7" w14:textId="77777777" w:rsidR="007305B2" w:rsidRDefault="007305B2" w:rsidP="007305B2">
            <w:pPr>
              <w:pStyle w:val="TableHeading2Row"/>
            </w:pPr>
            <w:r>
              <w:t>Older Person Advocacy Network (OPAN)</w:t>
            </w:r>
          </w:p>
        </w:tc>
        <w:tc>
          <w:tcPr>
            <w:tcW w:w="2410" w:type="dxa"/>
            <w:shd w:val="clear" w:color="auto" w:fill="F2F2F2" w:themeFill="background1" w:themeFillShade="F2"/>
            <w:hideMark/>
          </w:tcPr>
          <w:p w14:paraId="51FA802E"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Peak organisation</w:t>
            </w:r>
          </w:p>
        </w:tc>
        <w:tc>
          <w:tcPr>
            <w:tcW w:w="1943" w:type="dxa"/>
            <w:shd w:val="clear" w:color="auto" w:fill="F2F2F2" w:themeFill="background1" w:themeFillShade="F2"/>
            <w:hideMark/>
          </w:tcPr>
          <w:p w14:paraId="1214455F" w14:textId="697F9A72"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pPr>
            <w:r>
              <w:t>Fri 10 Jan 2020</w:t>
            </w:r>
          </w:p>
        </w:tc>
        <w:tc>
          <w:tcPr>
            <w:tcW w:w="1599" w:type="dxa"/>
            <w:shd w:val="clear" w:color="auto" w:fill="F2F2F2" w:themeFill="background1" w:themeFillShade="F2"/>
            <w:hideMark/>
          </w:tcPr>
          <w:p w14:paraId="2EB60D21"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lang w:eastAsia="en-AU"/>
              </w:rPr>
            </w:pPr>
            <w:r>
              <w:rPr>
                <w:szCs w:val="20"/>
              </w:rPr>
              <w:t>Face to face</w:t>
            </w:r>
          </w:p>
        </w:tc>
      </w:tr>
      <w:tr w:rsidR="007305B2" w14:paraId="1EF949FA"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57C81ECE" w14:textId="77777777" w:rsidR="007305B2" w:rsidRDefault="007305B2" w:rsidP="007305B2">
            <w:pPr>
              <w:pStyle w:val="TableHeading2Row"/>
            </w:pPr>
            <w:r>
              <w:t>Qld Department of Health</w:t>
            </w:r>
          </w:p>
        </w:tc>
        <w:tc>
          <w:tcPr>
            <w:tcW w:w="2410" w:type="dxa"/>
            <w:hideMark/>
          </w:tcPr>
          <w:p w14:paraId="3352A964"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State government</w:t>
            </w:r>
          </w:p>
        </w:tc>
        <w:tc>
          <w:tcPr>
            <w:tcW w:w="1943" w:type="dxa"/>
            <w:hideMark/>
          </w:tcPr>
          <w:p w14:paraId="05393208" w14:textId="5ABED954"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rPr>
              <w:t>Thu 16 Jan 2020</w:t>
            </w:r>
          </w:p>
        </w:tc>
        <w:tc>
          <w:tcPr>
            <w:tcW w:w="1599" w:type="dxa"/>
            <w:hideMark/>
          </w:tcPr>
          <w:p w14:paraId="7E410211"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rPr>
              <w:t>Face to face</w:t>
            </w:r>
          </w:p>
        </w:tc>
      </w:tr>
      <w:tr w:rsidR="007305B2" w14:paraId="2A8CBBAF"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5C97C2C7" w14:textId="77777777" w:rsidR="007305B2" w:rsidRDefault="007305B2" w:rsidP="007305B2">
            <w:pPr>
              <w:pStyle w:val="TableHeading2Row"/>
            </w:pPr>
            <w:r>
              <w:t>SA Department of Health</w:t>
            </w:r>
          </w:p>
        </w:tc>
        <w:tc>
          <w:tcPr>
            <w:tcW w:w="2410" w:type="dxa"/>
            <w:shd w:val="clear" w:color="auto" w:fill="F2F2F2" w:themeFill="background1" w:themeFillShade="F2"/>
            <w:hideMark/>
          </w:tcPr>
          <w:p w14:paraId="451826A8"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State government</w:t>
            </w:r>
          </w:p>
        </w:tc>
        <w:tc>
          <w:tcPr>
            <w:tcW w:w="1943" w:type="dxa"/>
            <w:shd w:val="clear" w:color="auto" w:fill="F2F2F2" w:themeFill="background1" w:themeFillShade="F2"/>
            <w:hideMark/>
          </w:tcPr>
          <w:p w14:paraId="4A8FD71E" w14:textId="4AD6D9C2"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Thu 9 Jan 2020</w:t>
            </w:r>
          </w:p>
        </w:tc>
        <w:tc>
          <w:tcPr>
            <w:tcW w:w="1599" w:type="dxa"/>
            <w:shd w:val="clear" w:color="auto" w:fill="F2F2F2" w:themeFill="background1" w:themeFillShade="F2"/>
            <w:hideMark/>
          </w:tcPr>
          <w:p w14:paraId="0B3C7CCF"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Face to face</w:t>
            </w:r>
          </w:p>
        </w:tc>
      </w:tr>
      <w:tr w:rsidR="007305B2" w14:paraId="3B0A2248"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74090209" w14:textId="77777777" w:rsidR="007305B2" w:rsidRDefault="007305B2" w:rsidP="007305B2">
            <w:pPr>
              <w:pStyle w:val="TableHeading2Row"/>
            </w:pPr>
            <w:r>
              <w:t>Tas Department of Health</w:t>
            </w:r>
          </w:p>
        </w:tc>
        <w:tc>
          <w:tcPr>
            <w:tcW w:w="2410" w:type="dxa"/>
            <w:hideMark/>
          </w:tcPr>
          <w:p w14:paraId="18A00ED4"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State government</w:t>
            </w:r>
          </w:p>
        </w:tc>
        <w:tc>
          <w:tcPr>
            <w:tcW w:w="1943" w:type="dxa"/>
            <w:hideMark/>
          </w:tcPr>
          <w:p w14:paraId="4F65A2B9" w14:textId="7CED3351"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cs="Calibri"/>
                <w:szCs w:val="20"/>
              </w:rPr>
              <w:t>Thu 23 Jan 2020</w:t>
            </w:r>
          </w:p>
        </w:tc>
        <w:tc>
          <w:tcPr>
            <w:tcW w:w="1599" w:type="dxa"/>
            <w:hideMark/>
          </w:tcPr>
          <w:p w14:paraId="09206688"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cs="Calibri"/>
                <w:szCs w:val="20"/>
              </w:rPr>
              <w:t>Teleconference</w:t>
            </w:r>
          </w:p>
        </w:tc>
      </w:tr>
      <w:tr w:rsidR="007305B2" w14:paraId="4BC620FB"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0ED20AD0" w14:textId="3A0EC26E" w:rsidR="007305B2" w:rsidRDefault="00571AEA" w:rsidP="007305B2">
            <w:pPr>
              <w:pStyle w:val="TableHeading2Row"/>
            </w:pPr>
            <w:r>
              <w:t>Aus</w:t>
            </w:r>
            <w:r w:rsidR="007305B2">
              <w:t xml:space="preserve"> Department of Health</w:t>
            </w:r>
          </w:p>
        </w:tc>
        <w:tc>
          <w:tcPr>
            <w:tcW w:w="2410" w:type="dxa"/>
            <w:shd w:val="clear" w:color="auto" w:fill="F2F2F2" w:themeFill="background1" w:themeFillShade="F2"/>
            <w:hideMark/>
          </w:tcPr>
          <w:p w14:paraId="2AF57B32"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Australian Government</w:t>
            </w:r>
          </w:p>
        </w:tc>
        <w:tc>
          <w:tcPr>
            <w:tcW w:w="1943" w:type="dxa"/>
            <w:shd w:val="clear" w:color="auto" w:fill="F2F2F2" w:themeFill="background1" w:themeFillShade="F2"/>
            <w:hideMark/>
          </w:tcPr>
          <w:p w14:paraId="2683F865" w14:textId="4AF08175"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lang w:eastAsia="en-AU"/>
              </w:rPr>
              <w:t>Tue 21 Jan 2020</w:t>
            </w:r>
          </w:p>
        </w:tc>
        <w:tc>
          <w:tcPr>
            <w:tcW w:w="1599" w:type="dxa"/>
            <w:shd w:val="clear" w:color="auto" w:fill="F2F2F2" w:themeFill="background1" w:themeFillShade="F2"/>
            <w:hideMark/>
          </w:tcPr>
          <w:p w14:paraId="2FDCFC41"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cs="Calibri"/>
                <w:szCs w:val="20"/>
              </w:rPr>
              <w:t>Teleconference</w:t>
            </w:r>
          </w:p>
        </w:tc>
      </w:tr>
      <w:tr w:rsidR="007305B2" w14:paraId="0C91F97B"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0AEC0F15" w14:textId="77777777" w:rsidR="007305B2" w:rsidRDefault="007305B2" w:rsidP="007305B2">
            <w:pPr>
              <w:pStyle w:val="TableHeading2Row"/>
            </w:pPr>
            <w:r>
              <w:t>Vic Department of Health and Human Services</w:t>
            </w:r>
          </w:p>
        </w:tc>
        <w:tc>
          <w:tcPr>
            <w:tcW w:w="2410" w:type="dxa"/>
            <w:hideMark/>
          </w:tcPr>
          <w:p w14:paraId="1D0B6090"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State government</w:t>
            </w:r>
          </w:p>
        </w:tc>
        <w:tc>
          <w:tcPr>
            <w:tcW w:w="1943" w:type="dxa"/>
            <w:hideMark/>
          </w:tcPr>
          <w:p w14:paraId="631F2939" w14:textId="66B81883"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rPr>
              <w:t>Fri 6 Dec 2019</w:t>
            </w:r>
          </w:p>
        </w:tc>
        <w:tc>
          <w:tcPr>
            <w:tcW w:w="1599" w:type="dxa"/>
            <w:hideMark/>
          </w:tcPr>
          <w:p w14:paraId="3D7D577C"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lang w:eastAsia="en-AU"/>
              </w:rPr>
            </w:pPr>
            <w:r>
              <w:rPr>
                <w:szCs w:val="20"/>
              </w:rPr>
              <w:t>Face to face</w:t>
            </w:r>
          </w:p>
        </w:tc>
      </w:tr>
      <w:tr w:rsidR="007305B2" w14:paraId="3893777B" w14:textId="77777777" w:rsidTr="00571AEA">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hideMark/>
          </w:tcPr>
          <w:p w14:paraId="571C9775" w14:textId="77777777" w:rsidR="007305B2" w:rsidRDefault="007305B2" w:rsidP="007305B2">
            <w:pPr>
              <w:pStyle w:val="TableHeading2Row"/>
            </w:pPr>
            <w:r>
              <w:t>Vision Australia</w:t>
            </w:r>
          </w:p>
        </w:tc>
        <w:tc>
          <w:tcPr>
            <w:tcW w:w="2410" w:type="dxa"/>
            <w:shd w:val="clear" w:color="auto" w:fill="F2F2F2" w:themeFill="background1" w:themeFillShade="F2"/>
            <w:hideMark/>
          </w:tcPr>
          <w:p w14:paraId="7EEB510C"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pPr>
            <w:r>
              <w:t>Peak organisation</w:t>
            </w:r>
          </w:p>
        </w:tc>
        <w:tc>
          <w:tcPr>
            <w:tcW w:w="1943" w:type="dxa"/>
            <w:shd w:val="clear" w:color="auto" w:fill="F2F2F2" w:themeFill="background1" w:themeFillShade="F2"/>
            <w:hideMark/>
          </w:tcPr>
          <w:p w14:paraId="6FD07849" w14:textId="44A4C423"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rPr>
              <w:t>Wed 11 Dec </w:t>
            </w:r>
            <w:r>
              <w:rPr>
                <w:szCs w:val="20"/>
                <w:lang w:eastAsia="en-AU"/>
              </w:rPr>
              <w:t>2019</w:t>
            </w:r>
          </w:p>
        </w:tc>
        <w:tc>
          <w:tcPr>
            <w:tcW w:w="1599" w:type="dxa"/>
            <w:shd w:val="clear" w:color="auto" w:fill="F2F2F2" w:themeFill="background1" w:themeFillShade="F2"/>
            <w:hideMark/>
          </w:tcPr>
          <w:p w14:paraId="2BA37385"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szCs w:val="20"/>
              </w:rPr>
            </w:pPr>
            <w:r>
              <w:rPr>
                <w:szCs w:val="20"/>
              </w:rPr>
              <w:t>Face to face</w:t>
            </w:r>
          </w:p>
        </w:tc>
      </w:tr>
      <w:tr w:rsidR="007305B2" w14:paraId="320E469A" w14:textId="77777777" w:rsidTr="00571AEA">
        <w:tc>
          <w:tcPr>
            <w:cnfStyle w:val="001000000000" w:firstRow="0" w:lastRow="0" w:firstColumn="1" w:lastColumn="0" w:oddVBand="0" w:evenVBand="0" w:oddHBand="0" w:evenHBand="0" w:firstRowFirstColumn="0" w:firstRowLastColumn="0" w:lastRowFirstColumn="0" w:lastRowLastColumn="0"/>
            <w:tcW w:w="3686" w:type="dxa"/>
            <w:hideMark/>
          </w:tcPr>
          <w:p w14:paraId="0C5B6C13" w14:textId="77777777" w:rsidR="007305B2" w:rsidRDefault="007305B2" w:rsidP="007305B2">
            <w:pPr>
              <w:pStyle w:val="TableHeading2Row"/>
            </w:pPr>
            <w:r>
              <w:t>WA Department of Health</w:t>
            </w:r>
          </w:p>
        </w:tc>
        <w:tc>
          <w:tcPr>
            <w:tcW w:w="2410" w:type="dxa"/>
            <w:hideMark/>
          </w:tcPr>
          <w:p w14:paraId="2A4DC5D5" w14:textId="77777777" w:rsidR="007305B2" w:rsidRDefault="007305B2" w:rsidP="0026393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State government</w:t>
            </w:r>
          </w:p>
        </w:tc>
        <w:tc>
          <w:tcPr>
            <w:tcW w:w="1943" w:type="dxa"/>
            <w:hideMark/>
          </w:tcPr>
          <w:p w14:paraId="04AB4750" w14:textId="566906C4" w:rsidR="007305B2" w:rsidRDefault="007305B2" w:rsidP="007305B2">
            <w:pPr>
              <w:pStyle w:val="TableText"/>
              <w:jc w:val="righ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lang w:eastAsia="en-AU"/>
              </w:rPr>
              <w:t>Thu 23 Jan 2020</w:t>
            </w:r>
          </w:p>
        </w:tc>
        <w:tc>
          <w:tcPr>
            <w:tcW w:w="1599" w:type="dxa"/>
            <w:hideMark/>
          </w:tcPr>
          <w:p w14:paraId="39DB6DC1" w14:textId="77777777" w:rsidR="007305B2" w:rsidRDefault="007305B2" w:rsidP="007305B2">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szCs w:val="20"/>
                <w:lang w:eastAsia="en-AU"/>
              </w:rPr>
              <w:t>Face to face</w:t>
            </w:r>
          </w:p>
        </w:tc>
      </w:tr>
    </w:tbl>
    <w:p w14:paraId="0351F10C" w14:textId="68D25ACE" w:rsidR="007F399B" w:rsidRDefault="007F399B" w:rsidP="004E2A0B">
      <w:pPr>
        <w:pStyle w:val="Heading1"/>
      </w:pPr>
      <w:bookmarkStart w:id="19" w:name="_Toc60999849"/>
      <w:r>
        <w:t>Modelling phase</w:t>
      </w:r>
      <w:bookmarkEnd w:id="19"/>
    </w:p>
    <w:p w14:paraId="3A42E4E1" w14:textId="5868BECA" w:rsidR="00273AB4" w:rsidRDefault="00760880" w:rsidP="002222C4">
      <w:pPr>
        <w:pStyle w:val="ParaKeep"/>
      </w:pPr>
      <w:r>
        <w:t>The modelling phase of the review was undertaken from February to May 2020</w:t>
      </w:r>
      <w:r w:rsidR="00100CEC">
        <w:t>, and comprised</w:t>
      </w:r>
      <w:r w:rsidR="00273AB4">
        <w:t xml:space="preserve">: </w:t>
      </w:r>
    </w:p>
    <w:p w14:paraId="2CAAA4CE" w14:textId="4C1B8FB9" w:rsidR="00273AB4" w:rsidRDefault="00273AB4" w:rsidP="00273AB4">
      <w:pPr>
        <w:pStyle w:val="Bullet1"/>
      </w:pPr>
      <w:r>
        <w:t>C</w:t>
      </w:r>
      <w:r w:rsidR="00100CEC">
        <w:t>ost</w:t>
      </w:r>
      <w:r w:rsidR="009E6FF5">
        <w:t>-</w:t>
      </w:r>
      <w:r w:rsidR="00100CEC">
        <w:t>benefit analysis</w:t>
      </w:r>
    </w:p>
    <w:p w14:paraId="770177BC" w14:textId="61FC4072" w:rsidR="00D110FD" w:rsidRPr="00B23787" w:rsidRDefault="00D110FD" w:rsidP="00D110FD">
      <w:pPr>
        <w:pStyle w:val="Bullet1"/>
      </w:pPr>
      <w:r>
        <w:t xml:space="preserve">Delphi focus group to supplement the RER </w:t>
      </w:r>
    </w:p>
    <w:p w14:paraId="580B2793" w14:textId="71976BCE" w:rsidR="00273AB4" w:rsidRDefault="00273AB4" w:rsidP="00273AB4">
      <w:pPr>
        <w:pStyle w:val="Bullet1"/>
      </w:pPr>
      <w:r>
        <w:t xml:space="preserve">Program options development </w:t>
      </w:r>
      <w:r w:rsidR="000659F1">
        <w:t xml:space="preserve">and </w:t>
      </w:r>
      <w:r w:rsidR="00100CEC">
        <w:t>refinement</w:t>
      </w:r>
      <w:r w:rsidR="000659F1">
        <w:t>.</w:t>
      </w:r>
    </w:p>
    <w:p w14:paraId="4256C71A" w14:textId="7B59B022" w:rsidR="0048476C" w:rsidRDefault="00877446" w:rsidP="004E2A0B">
      <w:pPr>
        <w:pStyle w:val="Heading2"/>
      </w:pPr>
      <w:r>
        <w:t>Introduction</w:t>
      </w:r>
    </w:p>
    <w:p w14:paraId="56D5733F" w14:textId="58657B7B" w:rsidR="001A7C33" w:rsidRPr="00636B05" w:rsidRDefault="001A7C33" w:rsidP="001A7C33">
      <w:pPr>
        <w:pStyle w:val="ParaKeep"/>
      </w:pPr>
      <w:r w:rsidRPr="00636B05">
        <w:t>A cost</w:t>
      </w:r>
      <w:r w:rsidR="009E6FF5">
        <w:t>-</w:t>
      </w:r>
      <w:r w:rsidRPr="00636B05">
        <w:t xml:space="preserve">benefit analysis (CBA) is a type of economic evaluation which involves estimating the costs and benefits of an intervention over a period of time. </w:t>
      </w:r>
      <w:r w:rsidR="001205D9">
        <w:t xml:space="preserve">This can also be expressed as a return on investment, </w:t>
      </w:r>
      <w:r w:rsidRPr="00636B05">
        <w:t xml:space="preserve">In </w:t>
      </w:r>
      <w:r>
        <w:t>this analysis</w:t>
      </w:r>
      <w:r w:rsidRPr="00636B05">
        <w:t>:</w:t>
      </w:r>
    </w:p>
    <w:p w14:paraId="55B3220F" w14:textId="3ABD2D3F" w:rsidR="001A7C33" w:rsidRPr="00636B05" w:rsidRDefault="001A7C33" w:rsidP="001A7C33">
      <w:pPr>
        <w:pStyle w:val="Bullet1"/>
      </w:pPr>
      <w:r w:rsidRPr="00636B05">
        <w:t xml:space="preserve">Costs relate to AT </w:t>
      </w:r>
      <w:r>
        <w:t>P</w:t>
      </w:r>
      <w:r w:rsidRPr="00636B05">
        <w:t>roducts</w:t>
      </w:r>
      <w:r w:rsidR="00657110">
        <w:t xml:space="preserve"> </w:t>
      </w:r>
    </w:p>
    <w:p w14:paraId="542E820C" w14:textId="78031DAD" w:rsidR="001A7C33" w:rsidRDefault="001A7C33" w:rsidP="001A7C33">
      <w:pPr>
        <w:pStyle w:val="Bullet1"/>
      </w:pPr>
      <w:r w:rsidRPr="00636B05">
        <w:t xml:space="preserve">Benefits relate to reduced formal and informal care, avoided </w:t>
      </w:r>
      <w:r w:rsidR="001205D9">
        <w:t xml:space="preserve">falls, </w:t>
      </w:r>
      <w:r w:rsidRPr="00636B05">
        <w:t xml:space="preserve">hospital and residential aged care admissions, and improved wellbeing. </w:t>
      </w:r>
    </w:p>
    <w:p w14:paraId="173FF615" w14:textId="1BBE0D3F" w:rsidR="001A7C33" w:rsidRDefault="001A7C33" w:rsidP="001A7C33">
      <w:pPr>
        <w:pStyle w:val="Paragraph"/>
      </w:pPr>
      <w:r>
        <w:t xml:space="preserve">The </w:t>
      </w:r>
      <w:r w:rsidR="00BB2A08">
        <w:t>CBA</w:t>
      </w:r>
      <w:r w:rsidRPr="00636B05">
        <w:t xml:space="preserve"> </w:t>
      </w:r>
      <w:r w:rsidR="009E6FF5">
        <w:t>was</w:t>
      </w:r>
      <w:r w:rsidRPr="00636B05">
        <w:t xml:space="preserve"> prepared with reference to the Consolidated Health Economic Evaluation Reporting Standards (CHEERS) checklist for the economic evaluation of health interventions (Husereau et al., 2013). </w:t>
      </w:r>
      <w:r>
        <w:t xml:space="preserve">It </w:t>
      </w:r>
      <w:r w:rsidR="009E6FF5">
        <w:t>was</w:t>
      </w:r>
      <w:r>
        <w:t xml:space="preserve"> </w:t>
      </w:r>
      <w:r>
        <w:lastRenderedPageBreak/>
        <w:t>conducted</w:t>
      </w:r>
      <w:r w:rsidRPr="00636B05">
        <w:t xml:space="preserve"> from a limited societal perspective, over a one– and five-year time horizon</w:t>
      </w:r>
      <w:r>
        <w:t>,</w:t>
      </w:r>
      <w:r w:rsidRPr="00636B05">
        <w:t xml:space="preserve"> with costs presented in $AUD 2019</w:t>
      </w:r>
      <w:r w:rsidRPr="00636B05">
        <w:noBreakHyphen/>
        <w:t>20.</w:t>
      </w:r>
      <w:r w:rsidR="004511B3">
        <w:t xml:space="preserve"> </w:t>
      </w:r>
    </w:p>
    <w:p w14:paraId="6BEB46B1" w14:textId="57507F12" w:rsidR="001A7C33" w:rsidRDefault="001A7C33" w:rsidP="004E2A0B">
      <w:pPr>
        <w:pStyle w:val="Heading2"/>
      </w:pPr>
      <w:r>
        <w:t>Seven steps of the cost</w:t>
      </w:r>
      <w:r w:rsidR="00A560B7" w:rsidRPr="00636B05">
        <w:t>–</w:t>
      </w:r>
      <w:r>
        <w:t>benefit analysis</w:t>
      </w:r>
    </w:p>
    <w:p w14:paraId="608699E1" w14:textId="77777777" w:rsidR="00120921" w:rsidRPr="00120921" w:rsidRDefault="00120921" w:rsidP="00120921">
      <w:pPr>
        <w:rPr>
          <w:rFonts w:ascii="Calibri Light" w:hAnsi="Calibri Light" w:cs="Calibri Light"/>
          <w:lang w:eastAsia="en-AU"/>
        </w:rPr>
      </w:pPr>
      <w:r w:rsidRPr="00120921">
        <w:rPr>
          <w:rFonts w:ascii="Calibri Light" w:hAnsi="Calibri Light" w:cs="Calibri Light"/>
          <w:lang w:eastAsia="en-AU"/>
        </w:rPr>
        <w:t>The seven key steps of this cost–benefit analysis are summarised in</w:t>
      </w:r>
      <w:r w:rsidRPr="00120921">
        <w:rPr>
          <w:rFonts w:ascii="Calibri Light" w:hAnsi="Calibri Light" w:cs="Calibri Light"/>
          <w:i/>
          <w:lang w:eastAsia="en-AU"/>
        </w:rPr>
        <w:t xml:space="preserve"> </w:t>
      </w:r>
      <w:r w:rsidRPr="00120921">
        <w:rPr>
          <w:rStyle w:val="Italic"/>
          <w:rFonts w:ascii="Calibri Light" w:hAnsi="Calibri Light" w:cs="Calibri Light"/>
        </w:rPr>
        <w:fldChar w:fldCharType="begin"/>
      </w:r>
      <w:r w:rsidRPr="00120921">
        <w:rPr>
          <w:rStyle w:val="Italic"/>
          <w:rFonts w:ascii="Calibri Light" w:hAnsi="Calibri Light" w:cs="Calibri Light"/>
        </w:rPr>
        <w:instrText xml:space="preserve"> REF _Ref41944697 \h  \* MERGEFORMAT </w:instrText>
      </w:r>
      <w:r w:rsidRPr="00120921">
        <w:rPr>
          <w:rStyle w:val="Italic"/>
          <w:rFonts w:ascii="Calibri Light" w:hAnsi="Calibri Light" w:cs="Calibri Light"/>
        </w:rPr>
      </w:r>
      <w:r w:rsidRPr="00120921">
        <w:rPr>
          <w:rStyle w:val="Italic"/>
          <w:rFonts w:ascii="Calibri Light" w:hAnsi="Calibri Light" w:cs="Calibri Light"/>
        </w:rPr>
        <w:fldChar w:fldCharType="separate"/>
      </w:r>
      <w:r w:rsidRPr="00120921">
        <w:rPr>
          <w:rStyle w:val="Italic"/>
          <w:rFonts w:ascii="Calibri Light" w:hAnsi="Calibri Light" w:cs="Calibri Light"/>
        </w:rPr>
        <w:t>Figure A</w:t>
      </w:r>
      <w:r w:rsidRPr="00120921">
        <w:rPr>
          <w:rStyle w:val="Italic"/>
          <w:rFonts w:ascii="Calibri Light" w:hAnsi="Calibri Light" w:cs="Calibri Light"/>
        </w:rPr>
        <w:noBreakHyphen/>
        <w:t>2</w:t>
      </w:r>
      <w:r w:rsidRPr="00120921">
        <w:rPr>
          <w:rStyle w:val="Italic"/>
          <w:rFonts w:ascii="Calibri Light" w:hAnsi="Calibri Light" w:cs="Calibri Light"/>
        </w:rPr>
        <w:fldChar w:fldCharType="end"/>
      </w:r>
      <w:r w:rsidRPr="00120921">
        <w:rPr>
          <w:rFonts w:ascii="Calibri Light" w:hAnsi="Calibri Light" w:cs="Calibri Light"/>
          <w:lang w:eastAsia="en-AU"/>
        </w:rPr>
        <w:t>.</w:t>
      </w:r>
    </w:p>
    <w:p w14:paraId="49967681" w14:textId="77777777" w:rsidR="00120921" w:rsidRDefault="00120921" w:rsidP="004E2A0B">
      <w:pPr>
        <w:rPr>
          <w:rFonts w:ascii="Calibri Light" w:hAnsi="Calibri Light" w:cs="Calibri Light"/>
        </w:rPr>
      </w:pPr>
      <w:bookmarkStart w:id="20" w:name="_Ref41944697"/>
      <w:bookmarkStart w:id="21" w:name="_Toc60999874"/>
    </w:p>
    <w:p w14:paraId="7B91AF98" w14:textId="7132EC0C" w:rsidR="001A7C33" w:rsidRPr="004E2A0B" w:rsidRDefault="001A7C33" w:rsidP="004E2A0B">
      <w:pPr>
        <w:rPr>
          <w:rFonts w:ascii="Calibri Light" w:hAnsi="Calibri Light" w:cs="Calibri Light"/>
        </w:rPr>
      </w:pPr>
      <w:r w:rsidRPr="004E2A0B">
        <w:rPr>
          <w:rFonts w:ascii="Calibri Light" w:hAnsi="Calibri Light" w:cs="Calibri Light"/>
        </w:rPr>
        <w:t>Figure </w:t>
      </w:r>
      <w:r w:rsidR="003A4D33" w:rsidRPr="004E2A0B">
        <w:rPr>
          <w:rFonts w:ascii="Calibri Light" w:hAnsi="Calibri Light" w:cs="Calibri Light"/>
        </w:rPr>
        <w:fldChar w:fldCharType="begin"/>
      </w:r>
      <w:r w:rsidR="003A4D33" w:rsidRPr="004E2A0B">
        <w:rPr>
          <w:rFonts w:ascii="Calibri Light" w:hAnsi="Calibri Light" w:cs="Calibri Light"/>
        </w:rPr>
        <w:instrText xml:space="preserve"> STYLEREF 5 \s </w:instrText>
      </w:r>
      <w:r w:rsidR="003A4D33" w:rsidRPr="004E2A0B">
        <w:rPr>
          <w:rFonts w:ascii="Calibri Light" w:hAnsi="Calibri Light" w:cs="Calibri Light"/>
        </w:rPr>
        <w:fldChar w:fldCharType="separate"/>
      </w:r>
      <w:r w:rsidR="00EB1774" w:rsidRPr="004E2A0B">
        <w:rPr>
          <w:rFonts w:ascii="Calibri Light" w:hAnsi="Calibri Light" w:cs="Calibri Light"/>
          <w:noProof/>
        </w:rPr>
        <w:t>A</w:t>
      </w:r>
      <w:r w:rsidR="003A4D33" w:rsidRPr="004E2A0B">
        <w:rPr>
          <w:rFonts w:ascii="Calibri Light" w:hAnsi="Calibri Light" w:cs="Calibri Light"/>
        </w:rPr>
        <w:fldChar w:fldCharType="end"/>
      </w:r>
      <w:r w:rsidR="002F65BC" w:rsidRPr="004E2A0B">
        <w:rPr>
          <w:rFonts w:ascii="Calibri Light" w:hAnsi="Calibri Light" w:cs="Calibri Light"/>
        </w:rPr>
        <w:t>-2</w:t>
      </w:r>
      <w:bookmarkEnd w:id="20"/>
      <w:r w:rsidRPr="004E2A0B">
        <w:rPr>
          <w:rFonts w:ascii="Calibri Light" w:hAnsi="Calibri Light" w:cs="Calibri Light"/>
        </w:rPr>
        <w:t>:</w:t>
      </w:r>
      <w:r w:rsidRPr="004E2A0B">
        <w:rPr>
          <w:rFonts w:ascii="Calibri Light" w:hAnsi="Calibri Light" w:cs="Calibri Light"/>
        </w:rPr>
        <w:tab/>
        <w:t>Key steps of the cost–benefit analysis</w:t>
      </w:r>
      <w:bookmarkEnd w:id="21"/>
    </w:p>
    <w:p w14:paraId="771F1BAA" w14:textId="70F32E35" w:rsidR="00454AAD" w:rsidRDefault="00454AAD" w:rsidP="00D77059">
      <w:r w:rsidRPr="00436C03">
        <w:rPr>
          <w:noProof/>
          <w:shd w:val="clear" w:color="auto" w:fill="F2F2F2" w:themeFill="background1" w:themeFillShade="F2"/>
          <w:lang w:val="en-AU" w:eastAsia="en-AU"/>
        </w:rPr>
        <w:drawing>
          <wp:inline distT="0" distB="0" distL="0" distR="0" wp14:anchorId="3C4089C9" wp14:editId="6AA4673C">
            <wp:extent cx="5486400" cy="5150427"/>
            <wp:effectExtent l="38100" t="38100" r="38100" b="31750"/>
            <wp:docPr id="32" name="Diagram 32" descr="1: Establish and distribute the prevalence of older Australians living and home and experiencing functional decline.&#10;2: Cost AT products for each of the 4 impairment categories over a 1-year and 5-year time horizon.&#10;3: Use 'real life' archetypes to cost and benchmark AT products.&#10;4: Cost AT for total population.&#10;5: Cost AT products for current home care program client populations.&#10;6: Cost AT products and services for future program options.&#10;7: Establish the benefits of AT for future program op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A9D9A04" w14:textId="650EF377" w:rsidR="001A7C33" w:rsidRDefault="001A7C33" w:rsidP="00D77059">
      <w:pPr>
        <w:pStyle w:val="Paragraph"/>
      </w:pPr>
      <w:r>
        <w:t xml:space="preserve">The methods and results for each step are outlined in the following sections. The </w:t>
      </w:r>
      <w:r w:rsidRPr="00E570F3">
        <w:rPr>
          <w:rStyle w:val="Italic"/>
        </w:rPr>
        <w:t xml:space="preserve">Supplementary Modelling </w:t>
      </w:r>
      <w:r>
        <w:rPr>
          <w:rStyle w:val="Italic"/>
        </w:rPr>
        <w:t>R</w:t>
      </w:r>
      <w:r w:rsidRPr="00E570F3">
        <w:rPr>
          <w:rStyle w:val="Italic"/>
        </w:rPr>
        <w:t>eport</w:t>
      </w:r>
      <w:r>
        <w:t xml:space="preserve"> provides the cost</w:t>
      </w:r>
      <w:r w:rsidR="009E6FF5">
        <w:t>-</w:t>
      </w:r>
      <w:r>
        <w:t xml:space="preserve">benefit Excel model. </w:t>
      </w:r>
    </w:p>
    <w:p w14:paraId="3B2A87AF" w14:textId="37929988" w:rsidR="00454AAD" w:rsidRDefault="001A7C33" w:rsidP="001A7C33">
      <w:pPr>
        <w:pStyle w:val="Paragraph"/>
        <w:rPr>
          <w:lang w:eastAsia="en-AU"/>
        </w:rPr>
      </w:pPr>
      <w:r w:rsidRPr="00636B05">
        <w:t xml:space="preserve">This </w:t>
      </w:r>
      <w:r>
        <w:t>review</w:t>
      </w:r>
      <w:r w:rsidRPr="00636B05">
        <w:t xml:space="preserve"> is underpinned by a number of assumptions, which are detailed in </w:t>
      </w:r>
      <w:r w:rsidR="00D77059" w:rsidRPr="00D77059">
        <w:rPr>
          <w:rStyle w:val="Italic"/>
        </w:rPr>
        <w:t>Section</w:t>
      </w:r>
      <w:r w:rsidR="00D77059">
        <w:t> </w:t>
      </w:r>
      <w:r w:rsidR="00D77059" w:rsidRPr="00D77059">
        <w:rPr>
          <w:rStyle w:val="Italic"/>
          <w:highlight w:val="yellow"/>
        </w:rPr>
        <w:fldChar w:fldCharType="begin"/>
      </w:r>
      <w:r w:rsidR="00D77059" w:rsidRPr="00D77059">
        <w:rPr>
          <w:rStyle w:val="Italic"/>
        </w:rPr>
        <w:instrText xml:space="preserve"> REF _Ref42517229 \n \h </w:instrText>
      </w:r>
      <w:r w:rsidR="00D77059">
        <w:rPr>
          <w:rStyle w:val="Italic"/>
          <w:highlight w:val="yellow"/>
        </w:rPr>
        <w:instrText xml:space="preserve"> \* MERGEFORMAT </w:instrText>
      </w:r>
      <w:r w:rsidR="00D77059" w:rsidRPr="00D77059">
        <w:rPr>
          <w:rStyle w:val="Italic"/>
          <w:highlight w:val="yellow"/>
        </w:rPr>
      </w:r>
      <w:r w:rsidR="00D77059" w:rsidRPr="00D77059">
        <w:rPr>
          <w:rStyle w:val="Italic"/>
          <w:highlight w:val="yellow"/>
        </w:rPr>
        <w:fldChar w:fldCharType="separate"/>
      </w:r>
      <w:r w:rsidR="00EB1774">
        <w:rPr>
          <w:rStyle w:val="Italic"/>
        </w:rPr>
        <w:t>0</w:t>
      </w:r>
      <w:r w:rsidR="00D77059" w:rsidRPr="00D77059">
        <w:rPr>
          <w:rStyle w:val="Italic"/>
          <w:highlight w:val="yellow"/>
        </w:rPr>
        <w:fldChar w:fldCharType="end"/>
      </w:r>
      <w:r>
        <w:rPr>
          <w:lang w:eastAsia="en-AU"/>
        </w:rPr>
        <w:t>.</w:t>
      </w:r>
    </w:p>
    <w:p w14:paraId="3372219B" w14:textId="77777777" w:rsidR="00454AAD" w:rsidRPr="00454AAD" w:rsidRDefault="00454AAD" w:rsidP="00454AAD">
      <w:r w:rsidRPr="00454AAD">
        <w:br w:type="page"/>
      </w:r>
    </w:p>
    <w:p w14:paraId="75C11DE2" w14:textId="6A1CA1AF" w:rsidR="001A7C33" w:rsidRPr="00120921" w:rsidRDefault="001A7C33" w:rsidP="00120921">
      <w:pPr>
        <w:rPr>
          <w:b/>
          <w:sz w:val="28"/>
          <w:szCs w:val="28"/>
        </w:rPr>
      </w:pPr>
      <w:r w:rsidRPr="00120921">
        <w:rPr>
          <w:b/>
          <w:sz w:val="28"/>
          <w:szCs w:val="28"/>
        </w:rPr>
        <w:lastRenderedPageBreak/>
        <w:t>Step 1: Determine prevalence and distribution</w:t>
      </w:r>
    </w:p>
    <w:p w14:paraId="68402A1D" w14:textId="0A384E95" w:rsidR="00A81397" w:rsidRDefault="00A81397" w:rsidP="00A60254">
      <w:pPr>
        <w:pStyle w:val="Paragraph"/>
      </w:pPr>
      <w:r>
        <w:t xml:space="preserve">A core component of this CBA is the concept of impairment and functional decline. Evidence suggests that as impairment progresses, there is increasing need for support, including AT, to </w:t>
      </w:r>
      <w:r w:rsidRPr="00A60254">
        <w:t>supplement</w:t>
      </w:r>
      <w:r>
        <w:t xml:space="preserve"> the capacity of an individual </w:t>
      </w:r>
      <w:r w:rsidR="00BA0E0E">
        <w:fldChar w:fldCharType="begin" w:fldLock="1"/>
      </w:r>
      <w:r w:rsidR="00BA0E0E">
        <w:instrText>ADDIN CSL_CITATION {"citationItems":[{"id":"ITEM-1","itemData":{"DOI":"10.1093/ageing/afy145","abstract":"Population ageing, which has come about through the combination of increases in life expectancy, larger postwar cohorts reaching older age and reductions in fertility, is challenging societies and particularly health and care providers, worldwide. In Europe, the USA and Japan, there have been increases in years spent with disability and dependency. The majority of such research, as well as professional health and social care practice, measures loss of functional capability or need for social care, by aggregate disability scores, based around activities of daily living and instrumental activities of daily living. Although useful for defining whether an individual has passed a threshold, aggregate scores obscure how functional decline unfolds, and therefore where early intervention might improve intrinsic capacity and reverse or slow down decline, or maintain function. We propose a framework, the compression of functional decline (CFD), based on the latest understanding of the hierarchy of age-related functional decline, which has the potential to (i) help people understand how to live better for longer, (ii) allow the various stakeholders to be able to measure, at a population level, whether that is happening and (iii) identify which interventions are most effective at which stages. CFD is coherent with the World Health Organisation's Healthy Ageing model and is more easily understood by stakeholders and older people themselves, than current indicators such as frailty. CFD thus provides a realistic view of age-related functional decline in the context of modifiable behaviour to counter widespread public misconceptions about ageing and inform improvements.","author":[{"dropping-particle":"","family":"Gore","given":"Peter G","non-dropping-particle":"","parse-names":false,"suffix":""},{"dropping-particle":"","family":"Kingston","given":"Andrew","non-dropping-particle":"","parse-names":false,"suffix":""},{"dropping-particle":"","family":"Johnson","given":"Garth R","non-dropping-particle":"","parse-names":false,"suffix":""},{"dropping-particle":"","family":"Kirkwood","given":"Thomas B L","non-dropping-particle":"","parse-names":false,"suffix":""},{"dropping-particle":"","family":"Jagger","given":"Carol","non-dropping-particle":"","parse-names":false,"suffix":""}],"container-title":"Age and Ageing","id":"ITEM-1","issued":{"date-parts":[["2018"]]},"page":"764-768","title":"New horizons in the compression of functional decline","type":"article-journal","volume":"47"},"uris":["http://www.mendeley.com/documents/?uuid=eb3152b8-23bb-39b1-8d40-052f15ed97a8"]}],"mendeley":{"formattedCitation":"(Gore et al. 2018)","plainTextFormattedCitation":"(Gore et al. 2018)","previouslyFormattedCitation":"(Gore et al. 2018)"},"properties":{"noteIndex":0},"schema":"https://github.com/citation-style-language/schema/raw/master/csl-citation.json"}</w:instrText>
      </w:r>
      <w:r w:rsidR="00BA0E0E">
        <w:fldChar w:fldCharType="separate"/>
      </w:r>
      <w:r w:rsidR="00BA0E0E" w:rsidRPr="00BA0E0E">
        <w:rPr>
          <w:noProof/>
        </w:rPr>
        <w:t>(Gore et al. 2018)</w:t>
      </w:r>
      <w:r w:rsidR="00BA0E0E">
        <w:fldChar w:fldCharType="end"/>
      </w:r>
      <w:r>
        <w:t xml:space="preserve">. </w:t>
      </w:r>
    </w:p>
    <w:p w14:paraId="0DA2131E" w14:textId="0144DE98" w:rsidR="00A81397" w:rsidRDefault="00A81397" w:rsidP="00A60254">
      <w:pPr>
        <w:pStyle w:val="Paragraph"/>
      </w:pPr>
      <w:r>
        <w:t xml:space="preserve">The </w:t>
      </w:r>
      <w:r w:rsidR="000344AF" w:rsidRPr="00636B05">
        <w:rPr>
          <w:rStyle w:val="CrossReference"/>
        </w:rPr>
        <w:t>ABS Survey of Disability, Ageing and Carers</w:t>
      </w:r>
      <w:r w:rsidR="000344AF" w:rsidRPr="00636B05">
        <w:t xml:space="preserve"> (ABS SDAC) </w:t>
      </w:r>
      <w:r w:rsidRPr="00636B05">
        <w:t>classif</w:t>
      </w:r>
      <w:r w:rsidR="000344AF">
        <w:t>ies</w:t>
      </w:r>
      <w:r w:rsidRPr="00636B05">
        <w:t xml:space="preserve"> functional decline</w:t>
      </w:r>
      <w:r>
        <w:t xml:space="preserve"> as mild, moderate, severe or profound </w:t>
      </w:r>
      <w:r w:rsidRPr="00636B05">
        <w:t xml:space="preserve">based on whether a person needs help, has difficulty, or uses aids or equipment with any of the core mobility, self-care and communication activities of daily </w:t>
      </w:r>
      <w:r>
        <w:t>living</w:t>
      </w:r>
      <w:r w:rsidRPr="00636B05">
        <w:t>.</w:t>
      </w:r>
      <w:r w:rsidRPr="00136179">
        <w:t xml:space="preserve"> </w:t>
      </w:r>
      <w:r w:rsidRPr="004F3798">
        <w:rPr>
          <w:rStyle w:val="Italic"/>
        </w:rPr>
        <w:fldChar w:fldCharType="begin"/>
      </w:r>
      <w:r w:rsidRPr="004F3798">
        <w:rPr>
          <w:rStyle w:val="Italic"/>
        </w:rPr>
        <w:instrText xml:space="preserve"> REF _Ref42011546 \h </w:instrText>
      </w:r>
      <w:r>
        <w:rPr>
          <w:rStyle w:val="Italic"/>
        </w:rPr>
        <w:instrText xml:space="preserve"> \* MERGEFORMAT </w:instrText>
      </w:r>
      <w:r w:rsidRPr="004F3798">
        <w:rPr>
          <w:rStyle w:val="Italic"/>
        </w:rPr>
      </w:r>
      <w:r w:rsidRPr="004F3798">
        <w:rPr>
          <w:rStyle w:val="Italic"/>
        </w:rPr>
        <w:fldChar w:fldCharType="separate"/>
      </w:r>
      <w:r w:rsidR="00EB1774" w:rsidRPr="00EB1774">
        <w:rPr>
          <w:rStyle w:val="Italic"/>
        </w:rPr>
        <w:t>Table A</w:t>
      </w:r>
      <w:r w:rsidR="00EB1774" w:rsidRPr="00EB1774">
        <w:rPr>
          <w:rStyle w:val="Italic"/>
        </w:rPr>
        <w:noBreakHyphen/>
        <w:t>2</w:t>
      </w:r>
      <w:r w:rsidRPr="004F3798">
        <w:rPr>
          <w:rStyle w:val="Italic"/>
        </w:rPr>
        <w:fldChar w:fldCharType="end"/>
      </w:r>
      <w:r>
        <w:rPr>
          <w:rStyle w:val="Italic"/>
        </w:rPr>
        <w:t xml:space="preserve"> </w:t>
      </w:r>
      <w:r>
        <w:t>defines these categories and</w:t>
      </w:r>
      <w:r w:rsidRPr="00E570F3">
        <w:t xml:space="preserve"> maps</w:t>
      </w:r>
      <w:r>
        <w:t xml:space="preserve"> these categories to aged care programs.</w:t>
      </w:r>
    </w:p>
    <w:p w14:paraId="1DC42BA9" w14:textId="00515F23" w:rsidR="00A81397" w:rsidRPr="00636B05" w:rsidRDefault="00A81397" w:rsidP="00222AE0">
      <w:bookmarkStart w:id="22" w:name="_Ref42011546"/>
      <w:bookmarkStart w:id="23" w:name="_Toc60999913"/>
      <w:r w:rsidRPr="0098673E">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2F65BC">
        <w:t>-2</w:t>
      </w:r>
      <w:bookmarkEnd w:id="22"/>
      <w:r w:rsidRPr="00BB7721">
        <w:t>:</w:t>
      </w:r>
      <w:r w:rsidRPr="00BB7721">
        <w:tab/>
        <w:t xml:space="preserve">ABS </w:t>
      </w:r>
      <w:r w:rsidRPr="00636B05">
        <w:t xml:space="preserve">SDAC </w:t>
      </w:r>
      <w:r>
        <w:t xml:space="preserve">limitation </w:t>
      </w:r>
      <w:r w:rsidRPr="00636B05">
        <w:t>category definitions</w:t>
      </w:r>
      <w:r>
        <w:t xml:space="preserve"> and relevance </w:t>
      </w:r>
      <w:bookmarkEnd w:id="23"/>
    </w:p>
    <w:tbl>
      <w:tblPr>
        <w:tblStyle w:val="AHALight"/>
        <w:tblW w:w="5001" w:type="pct"/>
        <w:tblLayout w:type="fixed"/>
        <w:tblLook w:val="04A0" w:firstRow="1" w:lastRow="0" w:firstColumn="1" w:lastColumn="0" w:noHBand="0" w:noVBand="1"/>
        <w:tblCaption w:val="SDAC limitation categories"/>
        <w:tblDescription w:val="List of SDAC limitation categories, their definitions, and the relevant aged care programs"/>
      </w:tblPr>
      <w:tblGrid>
        <w:gridCol w:w="1276"/>
        <w:gridCol w:w="6237"/>
        <w:gridCol w:w="2127"/>
      </w:tblGrid>
      <w:tr w:rsidR="001245C0" w:rsidRPr="00636B05" w14:paraId="3B320332" w14:textId="77777777" w:rsidTr="00A60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09CBB57F" w14:textId="5380BF73" w:rsidR="00A81397" w:rsidRPr="00636B05" w:rsidRDefault="00277C5D" w:rsidP="0095217E">
            <w:pPr>
              <w:pStyle w:val="TableHeading1"/>
            </w:pPr>
            <w:r>
              <w:t>C</w:t>
            </w:r>
            <w:r w:rsidR="00A81397" w:rsidRPr="00636B05">
              <w:t>ategory</w:t>
            </w:r>
          </w:p>
        </w:tc>
        <w:tc>
          <w:tcPr>
            <w:tcW w:w="6237" w:type="dxa"/>
            <w:hideMark/>
          </w:tcPr>
          <w:p w14:paraId="66FE82B8" w14:textId="77777777" w:rsidR="00A81397" w:rsidRPr="00636B05" w:rsidRDefault="00A81397" w:rsidP="0095217E">
            <w:pPr>
              <w:pStyle w:val="TableHeading1"/>
              <w:cnfStyle w:val="100000000000" w:firstRow="1" w:lastRow="0" w:firstColumn="0" w:lastColumn="0" w:oddVBand="0" w:evenVBand="0" w:oddHBand="0" w:evenHBand="0" w:firstRowFirstColumn="0" w:firstRowLastColumn="0" w:lastRowFirstColumn="0" w:lastRowLastColumn="0"/>
            </w:pPr>
            <w:r>
              <w:t>Definition</w:t>
            </w:r>
          </w:p>
        </w:tc>
        <w:tc>
          <w:tcPr>
            <w:tcW w:w="2127" w:type="dxa"/>
          </w:tcPr>
          <w:p w14:paraId="4CE9AA2B" w14:textId="4AB449FB" w:rsidR="00A81397" w:rsidRDefault="00277C5D" w:rsidP="0095217E">
            <w:pPr>
              <w:pStyle w:val="TableHeading1"/>
              <w:cnfStyle w:val="100000000000" w:firstRow="1" w:lastRow="0" w:firstColumn="0" w:lastColumn="0" w:oddVBand="0" w:evenVBand="0" w:oddHBand="0" w:evenHBand="0" w:firstRowFirstColumn="0" w:firstRowLastColumn="0" w:lastRowFirstColumn="0" w:lastRowLastColumn="0"/>
            </w:pPr>
            <w:r>
              <w:t>Pr</w:t>
            </w:r>
            <w:r w:rsidR="00A81397">
              <w:t>ogram</w:t>
            </w:r>
          </w:p>
        </w:tc>
      </w:tr>
      <w:tr w:rsidR="00A81397" w:rsidRPr="00636B05" w14:paraId="58C871BD" w14:textId="77777777" w:rsidTr="00A6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8B16B43" w14:textId="77777777" w:rsidR="00A81397" w:rsidRPr="00636B05" w:rsidRDefault="00A81397" w:rsidP="0095217E">
            <w:pPr>
              <w:pStyle w:val="TableTextKeep"/>
            </w:pPr>
            <w:r w:rsidRPr="00636B05">
              <w:t>Mild</w:t>
            </w:r>
          </w:p>
        </w:tc>
        <w:tc>
          <w:tcPr>
            <w:tcW w:w="6237" w:type="dxa"/>
          </w:tcPr>
          <w:p w14:paraId="196C9181" w14:textId="77777777" w:rsidR="00A81397" w:rsidRPr="00636B05" w:rsidRDefault="00A81397" w:rsidP="0095217E">
            <w:pPr>
              <w:cnfStyle w:val="000000100000" w:firstRow="0" w:lastRow="0" w:firstColumn="0" w:lastColumn="0" w:oddVBand="0" w:evenVBand="0" w:oddHBand="1" w:evenHBand="0" w:firstRowFirstColumn="0" w:firstRowLastColumn="0" w:lastRowFirstColumn="0" w:lastRowLastColumn="0"/>
            </w:pPr>
            <w:r w:rsidRPr="00636B05">
              <w:t>People who need no help and have no difficulty, but use aids or equipment for core tasks or have one or more of the following limitations:</w:t>
            </w:r>
          </w:p>
          <w:p w14:paraId="7516C31F" w14:textId="77777777" w:rsidR="00A81397" w:rsidRPr="00636B05" w:rsidRDefault="00A81397" w:rsidP="0095217E">
            <w:pPr>
              <w:pStyle w:val="TableBullet1"/>
              <w:cnfStyle w:val="000000100000" w:firstRow="0" w:lastRow="0" w:firstColumn="0" w:lastColumn="0" w:oddVBand="0" w:evenVBand="0" w:oddHBand="1" w:evenHBand="0" w:firstRowFirstColumn="0" w:firstRowLastColumn="0" w:lastRowFirstColumn="0" w:lastRowLastColumn="0"/>
            </w:pPr>
            <w:r w:rsidRPr="00636B05">
              <w:t>Cannot easily walk 200 metres</w:t>
            </w:r>
          </w:p>
          <w:p w14:paraId="0548847C" w14:textId="77777777" w:rsidR="00A81397" w:rsidRPr="00636B05" w:rsidRDefault="00A81397" w:rsidP="0095217E">
            <w:pPr>
              <w:pStyle w:val="TableBullet1"/>
              <w:cnfStyle w:val="000000100000" w:firstRow="0" w:lastRow="0" w:firstColumn="0" w:lastColumn="0" w:oddVBand="0" w:evenVBand="0" w:oddHBand="1" w:evenHBand="0" w:firstRowFirstColumn="0" w:firstRowLastColumn="0" w:lastRowFirstColumn="0" w:lastRowLastColumn="0"/>
            </w:pPr>
            <w:r w:rsidRPr="00636B05">
              <w:t>Cannot walk up and down stairs without a handrail</w:t>
            </w:r>
          </w:p>
          <w:p w14:paraId="4A0F4537" w14:textId="77777777" w:rsidR="00A81397" w:rsidRPr="00636B05" w:rsidRDefault="00A81397" w:rsidP="0095217E">
            <w:pPr>
              <w:pStyle w:val="TableBullet1"/>
              <w:cnfStyle w:val="000000100000" w:firstRow="0" w:lastRow="0" w:firstColumn="0" w:lastColumn="0" w:oddVBand="0" w:evenVBand="0" w:oddHBand="1" w:evenHBand="0" w:firstRowFirstColumn="0" w:firstRowLastColumn="0" w:lastRowFirstColumn="0" w:lastRowLastColumn="0"/>
            </w:pPr>
            <w:r w:rsidRPr="00636B05">
              <w:t>Cannot easily bend to pick up an object from the floor</w:t>
            </w:r>
          </w:p>
          <w:p w14:paraId="46DF235A" w14:textId="77777777" w:rsidR="00A81397" w:rsidRPr="00636B05" w:rsidRDefault="00A81397" w:rsidP="0095217E">
            <w:pPr>
              <w:pStyle w:val="TableBullet1"/>
              <w:cnfStyle w:val="000000100000" w:firstRow="0" w:lastRow="0" w:firstColumn="0" w:lastColumn="0" w:oddVBand="0" w:evenVBand="0" w:oddHBand="1" w:evenHBand="0" w:firstRowFirstColumn="0" w:firstRowLastColumn="0" w:lastRowFirstColumn="0" w:lastRowLastColumn="0"/>
            </w:pPr>
            <w:r w:rsidRPr="00636B05">
              <w:t>Has difficulty or cannot use public transport</w:t>
            </w:r>
          </w:p>
        </w:tc>
        <w:tc>
          <w:tcPr>
            <w:tcW w:w="2127" w:type="dxa"/>
          </w:tcPr>
          <w:p w14:paraId="795BFB66" w14:textId="0B4A6390" w:rsidR="00A81397" w:rsidRPr="00636B05" w:rsidRDefault="00A81397" w:rsidP="0095217E">
            <w:pPr>
              <w:cnfStyle w:val="000000100000" w:firstRow="0" w:lastRow="0" w:firstColumn="0" w:lastColumn="0" w:oddVBand="0" w:evenVBand="0" w:oddHBand="1" w:evenHBand="0" w:firstRowFirstColumn="0" w:firstRowLastColumn="0" w:lastRowFirstColumn="0" w:lastRowLastColumn="0"/>
            </w:pPr>
            <w:r>
              <w:t xml:space="preserve">Not in aged care </w:t>
            </w:r>
          </w:p>
        </w:tc>
      </w:tr>
      <w:tr w:rsidR="00A81397" w:rsidRPr="00636B05" w14:paraId="5CF7D97A" w14:textId="77777777" w:rsidTr="00A60254">
        <w:tc>
          <w:tcPr>
            <w:cnfStyle w:val="001000000000" w:firstRow="0" w:lastRow="0" w:firstColumn="1" w:lastColumn="0" w:oddVBand="0" w:evenVBand="0" w:oddHBand="0" w:evenHBand="0" w:firstRowFirstColumn="0" w:firstRowLastColumn="0" w:lastRowFirstColumn="0" w:lastRowLastColumn="0"/>
            <w:tcW w:w="1276" w:type="dxa"/>
          </w:tcPr>
          <w:p w14:paraId="1CC038E7" w14:textId="77777777" w:rsidR="00A81397" w:rsidRPr="00636B05" w:rsidRDefault="00A81397" w:rsidP="0095217E">
            <w:pPr>
              <w:pStyle w:val="TableTextKeep"/>
            </w:pPr>
            <w:r w:rsidRPr="00636B05">
              <w:t>Moderate</w:t>
            </w:r>
          </w:p>
        </w:tc>
        <w:tc>
          <w:tcPr>
            <w:tcW w:w="6237" w:type="dxa"/>
          </w:tcPr>
          <w:p w14:paraId="1553B636" w14:textId="77777777" w:rsidR="00A81397" w:rsidRPr="00636B05" w:rsidRDefault="00A81397" w:rsidP="0095217E">
            <w:pPr>
              <w:cnfStyle w:val="000000000000" w:firstRow="0" w:lastRow="0" w:firstColumn="0" w:lastColumn="0" w:oddVBand="0" w:evenVBand="0" w:oddHBand="0" w:evenHBand="0" w:firstRowFirstColumn="0" w:firstRowLastColumn="0" w:lastRowFirstColumn="0" w:lastRowLastColumn="0"/>
            </w:pPr>
            <w:r>
              <w:t>P</w:t>
            </w:r>
            <w:r w:rsidRPr="00636B05">
              <w:t>eople who need no help but have difficulty</w:t>
            </w:r>
          </w:p>
        </w:tc>
        <w:tc>
          <w:tcPr>
            <w:tcW w:w="2127" w:type="dxa"/>
          </w:tcPr>
          <w:p w14:paraId="4781E340" w14:textId="77777777" w:rsidR="00A81397" w:rsidRPr="00636B05" w:rsidRDefault="00A81397" w:rsidP="0095217E">
            <w:pPr>
              <w:cnfStyle w:val="000000000000" w:firstRow="0" w:lastRow="0" w:firstColumn="0" w:lastColumn="0" w:oddVBand="0" w:evenVBand="0" w:oddHBand="0" w:evenHBand="0" w:firstRowFirstColumn="0" w:firstRowLastColumn="0" w:lastRowFirstColumn="0" w:lastRowLastColumn="0"/>
            </w:pPr>
            <w:r>
              <w:t>CHSP and HCP</w:t>
            </w:r>
          </w:p>
        </w:tc>
      </w:tr>
      <w:tr w:rsidR="00A81397" w:rsidRPr="00636B05" w14:paraId="6E0E9F69" w14:textId="77777777" w:rsidTr="00A6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2B5F053F" w14:textId="77777777" w:rsidR="00A81397" w:rsidRPr="00636B05" w:rsidRDefault="00A81397" w:rsidP="0095217E">
            <w:pPr>
              <w:pStyle w:val="TableTextKeep"/>
            </w:pPr>
            <w:r w:rsidRPr="00636B05">
              <w:t>Severe</w:t>
            </w:r>
          </w:p>
        </w:tc>
        <w:tc>
          <w:tcPr>
            <w:tcW w:w="6237" w:type="dxa"/>
          </w:tcPr>
          <w:p w14:paraId="77591940" w14:textId="77777777" w:rsidR="00A81397" w:rsidRPr="00636B05" w:rsidRDefault="00A81397" w:rsidP="0095217E">
            <w:pPr>
              <w:cnfStyle w:val="000000100000" w:firstRow="0" w:lastRow="0" w:firstColumn="0" w:lastColumn="0" w:oddVBand="0" w:evenVBand="0" w:oddHBand="1" w:evenHBand="0" w:firstRowFirstColumn="0" w:firstRowLastColumn="0" w:lastRowFirstColumn="0" w:lastRowLastColumn="0"/>
            </w:pPr>
            <w:r>
              <w:t>P</w:t>
            </w:r>
            <w:r w:rsidRPr="00636B05">
              <w:t>eople who sometimes need help and/or have difficulty</w:t>
            </w:r>
          </w:p>
        </w:tc>
        <w:tc>
          <w:tcPr>
            <w:tcW w:w="2127" w:type="dxa"/>
          </w:tcPr>
          <w:p w14:paraId="302AA483" w14:textId="77777777" w:rsidR="00A81397" w:rsidRDefault="00A81397" w:rsidP="0095217E">
            <w:pPr>
              <w:cnfStyle w:val="000000100000" w:firstRow="0" w:lastRow="0" w:firstColumn="0" w:lastColumn="0" w:oddVBand="0" w:evenVBand="0" w:oddHBand="1" w:evenHBand="0" w:firstRowFirstColumn="0" w:firstRowLastColumn="0" w:lastRowFirstColumn="0" w:lastRowLastColumn="0"/>
            </w:pPr>
            <w:r>
              <w:t>HCP</w:t>
            </w:r>
          </w:p>
          <w:p w14:paraId="6EF5FD98" w14:textId="1ABFA86B" w:rsidR="00A81397" w:rsidRPr="00636B05" w:rsidRDefault="00A81397" w:rsidP="0095217E">
            <w:pPr>
              <w:cnfStyle w:val="000000100000" w:firstRow="0" w:lastRow="0" w:firstColumn="0" w:lastColumn="0" w:oddVBand="0" w:evenVBand="0" w:oddHBand="1" w:evenHBand="0" w:firstRowFirstColumn="0" w:firstRowLastColumn="0" w:lastRowFirstColumn="0" w:lastRowLastColumn="0"/>
            </w:pPr>
            <w:r>
              <w:t>TCP and STRC</w:t>
            </w:r>
          </w:p>
        </w:tc>
      </w:tr>
      <w:tr w:rsidR="00A81397" w:rsidRPr="00636B05" w14:paraId="308B956F" w14:textId="77777777" w:rsidTr="00A60254">
        <w:tc>
          <w:tcPr>
            <w:cnfStyle w:val="001000000000" w:firstRow="0" w:lastRow="0" w:firstColumn="1" w:lastColumn="0" w:oddVBand="0" w:evenVBand="0" w:oddHBand="0" w:evenHBand="0" w:firstRowFirstColumn="0" w:firstRowLastColumn="0" w:lastRowFirstColumn="0" w:lastRowLastColumn="0"/>
            <w:tcW w:w="1276" w:type="dxa"/>
            <w:hideMark/>
          </w:tcPr>
          <w:p w14:paraId="42066E43" w14:textId="77777777" w:rsidR="00A81397" w:rsidRPr="00636B05" w:rsidRDefault="00A81397" w:rsidP="0095217E">
            <w:r w:rsidRPr="00636B05">
              <w:t>Profound</w:t>
            </w:r>
          </w:p>
        </w:tc>
        <w:tc>
          <w:tcPr>
            <w:tcW w:w="6237" w:type="dxa"/>
          </w:tcPr>
          <w:p w14:paraId="0BC0E892" w14:textId="77777777" w:rsidR="00A81397" w:rsidRPr="00976874" w:rsidRDefault="00A81397" w:rsidP="0095217E">
            <w:pPr>
              <w:cnfStyle w:val="000000000000" w:firstRow="0" w:lastRow="0" w:firstColumn="0" w:lastColumn="0" w:oddVBand="0" w:evenVBand="0" w:oddHBand="0" w:evenHBand="0" w:firstRowFirstColumn="0" w:firstRowLastColumn="0" w:lastRowFirstColumn="0" w:lastRowLastColumn="0"/>
            </w:pPr>
            <w:r>
              <w:rPr>
                <w:bCs/>
              </w:rPr>
              <w:t>P</w:t>
            </w:r>
            <w:r w:rsidRPr="0098673E">
              <w:rPr>
                <w:bCs/>
              </w:rPr>
              <w:t>eople with the greatest need for help or who are unable to do an activity</w:t>
            </w:r>
          </w:p>
        </w:tc>
        <w:tc>
          <w:tcPr>
            <w:tcW w:w="2127" w:type="dxa"/>
          </w:tcPr>
          <w:p w14:paraId="02A6CF8E" w14:textId="77777777" w:rsidR="00A81397" w:rsidRPr="00976874" w:rsidRDefault="00A81397" w:rsidP="0095217E">
            <w:pPr>
              <w:cnfStyle w:val="000000000000" w:firstRow="0" w:lastRow="0" w:firstColumn="0" w:lastColumn="0" w:oddVBand="0" w:evenVBand="0" w:oddHBand="0" w:evenHBand="0" w:firstRowFirstColumn="0" w:firstRowLastColumn="0" w:lastRowFirstColumn="0" w:lastRowLastColumn="0"/>
            </w:pPr>
            <w:r w:rsidRPr="00734A50">
              <w:rPr>
                <w:bCs/>
              </w:rPr>
              <w:t>HCP</w:t>
            </w:r>
          </w:p>
          <w:p w14:paraId="54753BFF" w14:textId="77777777" w:rsidR="00A81397" w:rsidRPr="00976874" w:rsidRDefault="00A81397" w:rsidP="0095217E">
            <w:pPr>
              <w:cnfStyle w:val="000000000000" w:firstRow="0" w:lastRow="0" w:firstColumn="0" w:lastColumn="0" w:oddVBand="0" w:evenVBand="0" w:oddHBand="0" w:evenHBand="0" w:firstRowFirstColumn="0" w:firstRowLastColumn="0" w:lastRowFirstColumn="0" w:lastRowLastColumn="0"/>
            </w:pPr>
            <w:r w:rsidRPr="0098673E">
              <w:rPr>
                <w:bCs/>
              </w:rPr>
              <w:t>Residential aged care</w:t>
            </w:r>
          </w:p>
        </w:tc>
      </w:tr>
    </w:tbl>
    <w:p w14:paraId="2629403E" w14:textId="77777777" w:rsidR="00222AE0" w:rsidRDefault="00222AE0" w:rsidP="00222AE0"/>
    <w:p w14:paraId="30B8394F" w14:textId="287EDE77" w:rsidR="0044339A" w:rsidRPr="00222AE0" w:rsidRDefault="0044339A" w:rsidP="00222AE0">
      <w:pPr>
        <w:rPr>
          <w:b/>
          <w:sz w:val="28"/>
          <w:szCs w:val="28"/>
        </w:rPr>
      </w:pPr>
      <w:r w:rsidRPr="00222AE0">
        <w:rPr>
          <w:b/>
          <w:sz w:val="28"/>
          <w:szCs w:val="28"/>
        </w:rPr>
        <w:t>Methods</w:t>
      </w:r>
    </w:p>
    <w:p w14:paraId="327C0479" w14:textId="0F86CE5F" w:rsidR="0044339A" w:rsidRDefault="0044339A" w:rsidP="00A60254">
      <w:pPr>
        <w:pStyle w:val="Paragraph"/>
        <w:spacing w:before="120" w:after="120"/>
      </w:pPr>
      <w:r>
        <w:t xml:space="preserve">Aged care program data on </w:t>
      </w:r>
      <w:r w:rsidR="00C929C8">
        <w:t>consumer</w:t>
      </w:r>
      <w:r>
        <w:t xml:space="preserve"> impairment or functional decline were not available for this review. Instead, </w:t>
      </w:r>
      <w:r w:rsidRPr="00636B05">
        <w:rPr>
          <w:rStyle w:val="CrossReference"/>
        </w:rPr>
        <w:t>ABS Survey of Disability, Ageing and Carers</w:t>
      </w:r>
      <w:r w:rsidRPr="00636B05">
        <w:t xml:space="preserve"> (ABS SDAC) </w:t>
      </w:r>
      <w:r>
        <w:t>measures of impairment were used to reflect population impairment levels as indicators of AT need.</w:t>
      </w:r>
    </w:p>
    <w:p w14:paraId="061E5352" w14:textId="77777777" w:rsidR="00B51944" w:rsidRDefault="00B51944" w:rsidP="00A60254">
      <w:pPr>
        <w:pStyle w:val="ParaKeep"/>
        <w:spacing w:before="120"/>
      </w:pPr>
      <w:r>
        <w:t xml:space="preserve">Prevalence was estimated based on two different data sources: </w:t>
      </w:r>
    </w:p>
    <w:p w14:paraId="546F19A0" w14:textId="65470D34" w:rsidR="00B51944" w:rsidRPr="00636B05" w:rsidRDefault="00B51944" w:rsidP="00B51944">
      <w:pPr>
        <w:pStyle w:val="Bullet1Keep"/>
      </w:pPr>
      <w:r w:rsidRPr="00636B05">
        <w:rPr>
          <w:rStyle w:val="Bold"/>
        </w:rPr>
        <w:t>Non-Indigenous Australian population</w:t>
      </w:r>
      <w:r w:rsidRPr="00636B05">
        <w:t xml:space="preserve">: We used data from the </w:t>
      </w:r>
      <w:r w:rsidRPr="00636B05">
        <w:rPr>
          <w:rStyle w:val="CrossReference"/>
        </w:rPr>
        <w:t>ABS</w:t>
      </w:r>
      <w:r w:rsidRPr="00636B05">
        <w:t xml:space="preserve"> </w:t>
      </w:r>
      <w:r w:rsidRPr="00636B05">
        <w:rPr>
          <w:rStyle w:val="CrossReference"/>
        </w:rPr>
        <w:t>Disability, Ageing and Carers Australia: Summary of Findings 2018 Survey</w:t>
      </w:r>
      <w:r>
        <w:rPr>
          <w:rStyle w:val="CrossReference"/>
        </w:rPr>
        <w:t xml:space="preserve"> </w:t>
      </w:r>
      <w:r>
        <w:rPr>
          <w:rStyle w:val="CrossReference"/>
        </w:rPr>
        <w:fldChar w:fldCharType="begin" w:fldLock="1"/>
      </w:r>
      <w:r w:rsidR="00184FBE">
        <w:rPr>
          <w:rStyle w:val="CrossReference"/>
        </w:rPr>
        <w:instrText>ADDIN CSL_CITATION {"citationItems":[{"id":"ITEM-1","itemData":{"URL":"https://www.abs.gov.au/ausstats/abs@.nsf/mf/4430.0","accessed":{"date-parts":[["2020","1","14"]]},"author":[{"dropping-particle":"","family":"Australian Bureau of Statistics","given":"","non-dropping-particle":"","parse-names":false,"suffix":""}],"id":"ITEM-1","issued":{"date-parts":[["2019"]]},"title":"Disability, ageing and carers, Australia: Summary of findings 2018","type":"webpage"},"uris":["http://www.mendeley.com/documents/?uuid=ed5eee49-3e0b-49d5-9941-bc14bed27973"]}],"mendeley":{"formattedCitation":"(Australian Bureau of Statistics 2019a)","plainTextFormattedCitation":"(Australian Bureau of Statistics 2019a)","previouslyFormattedCitation":"(Australian Bureau of Statistics 2019a)"},"properties":{"noteIndex":0},"schema":"https://github.com/citation-style-language/schema/raw/master/csl-citation.json"}</w:instrText>
      </w:r>
      <w:r>
        <w:rPr>
          <w:rStyle w:val="CrossReference"/>
        </w:rPr>
        <w:fldChar w:fldCharType="separate"/>
      </w:r>
      <w:r w:rsidRPr="007E1949">
        <w:rPr>
          <w:rStyle w:val="CrossReference"/>
          <w:i w:val="0"/>
          <w:noProof/>
        </w:rPr>
        <w:t>(Australian Bureau of Statistics 2019a)</w:t>
      </w:r>
      <w:r>
        <w:rPr>
          <w:rStyle w:val="CrossReference"/>
        </w:rPr>
        <w:fldChar w:fldCharType="end"/>
      </w:r>
      <w:r>
        <w:rPr>
          <w:rStyle w:val="CrossReference"/>
        </w:rPr>
        <w:t xml:space="preserve"> </w:t>
      </w:r>
      <w:r w:rsidRPr="00636B05">
        <w:t>to determine the prevalence of the non-Indigenous Australian population aged 65 or older who are living at home and experiencing functional decline.</w:t>
      </w:r>
    </w:p>
    <w:p w14:paraId="4536E8BD" w14:textId="77777777" w:rsidR="00B51944" w:rsidRPr="00636B05" w:rsidRDefault="00B51944" w:rsidP="00B51944">
      <w:pPr>
        <w:pStyle w:val="Bullet1"/>
        <w:numPr>
          <w:ilvl w:val="0"/>
          <w:numId w:val="0"/>
        </w:numPr>
        <w:ind w:left="720"/>
      </w:pPr>
      <w:r w:rsidRPr="00636B05">
        <w:t>ABS SDAC limitation categories were used to distribute this population.</w:t>
      </w:r>
    </w:p>
    <w:p w14:paraId="668B7DCA" w14:textId="2DF02ABC" w:rsidR="00B51944" w:rsidRPr="00636B05" w:rsidRDefault="00B51944" w:rsidP="00B51944">
      <w:pPr>
        <w:pStyle w:val="Bullet1Keep"/>
      </w:pPr>
      <w:r w:rsidRPr="00636B05">
        <w:rPr>
          <w:rStyle w:val="Bold"/>
        </w:rPr>
        <w:t>Aboriginal and Torres Strait Islander population:</w:t>
      </w:r>
      <w:r w:rsidRPr="00636B05">
        <w:t xml:space="preserve"> We used data from the </w:t>
      </w:r>
      <w:r w:rsidRPr="00636B05">
        <w:rPr>
          <w:rStyle w:val="CrossReference"/>
        </w:rPr>
        <w:t>ABS National Aboriginal and Torres Strait Islander Health Survey 2018-19</w:t>
      </w:r>
      <w:r>
        <w:rPr>
          <w:rStyle w:val="CrossReference"/>
        </w:rPr>
        <w:t xml:space="preserve"> </w:t>
      </w:r>
      <w:r>
        <w:rPr>
          <w:rStyle w:val="CrossReference"/>
        </w:rPr>
        <w:fldChar w:fldCharType="begin" w:fldLock="1"/>
      </w:r>
      <w:r w:rsidR="00184FBE">
        <w:rPr>
          <w:rStyle w:val="CrossReference"/>
        </w:rPr>
        <w:instrText>ADDIN CSL_CITATION {"citationItems":[{"id":"ITEM-1","itemData":{"author":[{"dropping-particle":"","family":"Australian Bureau of Statistics","given":"","non-dropping-particle":"","parse-names":false,"suffix":""}],"id":"ITEM-1","issued":{"date-parts":[["2019"]]},"title":"National Aboriginal and Torres Strait Islander Health Survey 2018-19","type":"article-journal"},"uris":["http://www.mendeley.com/documents/?uuid=22f7dab6-59e5-4b60-a670-ae7743f8d7ad"]}],"mendeley":{"formattedCitation":"(Australian Bureau of Statistics 2019b)","plainTextFormattedCitation":"(Australian Bureau of Statistics 2019b)","previouslyFormattedCitation":"(Australian Bureau of Statistics 2019b)"},"properties":{"noteIndex":0},"schema":"https://github.com/citation-style-language/schema/raw/master/csl-citation.json"}</w:instrText>
      </w:r>
      <w:r>
        <w:rPr>
          <w:rStyle w:val="CrossReference"/>
        </w:rPr>
        <w:fldChar w:fldCharType="separate"/>
      </w:r>
      <w:r w:rsidRPr="007E1949">
        <w:rPr>
          <w:rStyle w:val="CrossReference"/>
          <w:i w:val="0"/>
          <w:noProof/>
        </w:rPr>
        <w:t>(Australian Bureau of Statistics 2019b)</w:t>
      </w:r>
      <w:r>
        <w:rPr>
          <w:rStyle w:val="CrossReference"/>
        </w:rPr>
        <w:fldChar w:fldCharType="end"/>
      </w:r>
      <w:r w:rsidRPr="00636B05">
        <w:t xml:space="preserve"> and published demographic data on disability for Aboriginal and Torres Strait Islander people to determine the prevalence of the Aboriginal and Torres Strait Islander population aged 50 or older who are living at home and experiencing functional decline. </w:t>
      </w:r>
    </w:p>
    <w:p w14:paraId="79243388" w14:textId="313F2323" w:rsidR="00B51944" w:rsidRPr="00BF1624" w:rsidRDefault="00B51944" w:rsidP="00BF1624">
      <w:pPr>
        <w:pStyle w:val="Bullet1"/>
        <w:numPr>
          <w:ilvl w:val="0"/>
          <w:numId w:val="0"/>
        </w:numPr>
        <w:ind w:left="720"/>
        <w:rPr>
          <w:rStyle w:val="Italic"/>
          <w:i w:val="0"/>
        </w:rPr>
      </w:pPr>
      <w:r w:rsidRPr="00636B05">
        <w:t xml:space="preserve">ABS SDAC data distributes the Aboriginal and Torres Strait Islander population into two combined limitation categories: </w:t>
      </w:r>
      <w:r>
        <w:t>m</w:t>
      </w:r>
      <w:r w:rsidRPr="00636B05">
        <w:t xml:space="preserve">ild and </w:t>
      </w:r>
      <w:r>
        <w:t>m</w:t>
      </w:r>
      <w:r w:rsidRPr="00636B05">
        <w:t xml:space="preserve">oderate combined and </w:t>
      </w:r>
      <w:r>
        <w:t>s</w:t>
      </w:r>
      <w:r w:rsidRPr="00636B05">
        <w:t xml:space="preserve">evere and </w:t>
      </w:r>
      <w:r>
        <w:t>p</w:t>
      </w:r>
      <w:r w:rsidRPr="00636B05">
        <w:t>rofound combined</w:t>
      </w:r>
      <w:r w:rsidRPr="00636B05">
        <w:fldChar w:fldCharType="begin"/>
      </w:r>
      <w:r w:rsidRPr="00636B05">
        <w:instrText xml:space="preserve">  EN.CITE &lt;EndNote&gt;&lt;Cite&gt;&lt;Author&gt;Coleman&lt;/Author&gt;&lt;Year&gt;2018&lt;/Year&gt;&lt;RecNum&gt;52&lt;/RecNum&gt;&lt;DisplayText&gt;(Coleman et al., 2018)&lt;/DisplayText&gt;&lt;record&gt;&lt;rec-number&gt;52&lt;/rec-number&gt;&lt;foreign-keys&gt;&lt;key app="EN" db-id="z0f5xrvehzt9xzexr2k5apf1psvsftpfvp52" timestamp="1583109197"&gt;52&lt;/key&gt;&lt;/foreign-keys&gt;&lt;ref-type name="Journal Article"&gt;17&lt;/ref-type&gt;&lt;contributors&gt;&lt;authors&gt;&lt;author&gt;Coleman, Clare&lt;/author&gt;&lt;author&gt;Man, Nicola Wing Young&lt;/author&gt;&lt;author&gt;Gilroy, John&lt;/author&gt;&lt;author&gt;Madden, Richard&lt;/author&gt;&lt;/authors&gt;&lt;/contributors&gt;&lt;titles&gt;&lt;title&gt;Aboriginal and Torres Strait Islander disability prevalence: making sense of multiple estimates and definitions&lt;/title&gt;&lt;secondary-title&gt;Australian and New Zealand journal of public health&lt;/secondary-title&gt;&lt;/titles&gt;&lt;periodical&gt;&lt;full-title&gt;Australian and New Zealand journal of public health&lt;/full-title&gt;&lt;/periodical&gt;&lt;pages&gt;562-566&lt;/pages&gt;&lt;volume&gt;42&lt;/volume&gt;&lt;number&gt;6&lt;/number&gt;&lt;dates&gt;&lt;year&gt;2018&lt;/year&gt;&lt;/dates&gt;&lt;isbn&gt;1326-0200&lt;/isbn&gt;&lt;urls&gt;&lt;/urls&gt;&lt;/record&gt;&lt;/Cite&gt;&lt;/EndNote&gt;</w:instrText>
      </w:r>
      <w:r w:rsidRPr="00636B05">
        <w:fldChar w:fldCharType="separate"/>
      </w:r>
      <w:r w:rsidRPr="00636B05">
        <w:t>(Coleman et al., 2018)</w:t>
      </w:r>
      <w:r w:rsidRPr="00636B05">
        <w:fldChar w:fldCharType="end"/>
      </w:r>
      <w:r w:rsidRPr="00636B05">
        <w:t>.</w:t>
      </w:r>
    </w:p>
    <w:p w14:paraId="75F08E1A" w14:textId="6A1001D8" w:rsidR="00A81397" w:rsidRDefault="00A81397" w:rsidP="00A81397">
      <w:pPr>
        <w:pStyle w:val="ParaKeep"/>
      </w:pPr>
      <w:r w:rsidRPr="00E20ACE">
        <w:rPr>
          <w:rStyle w:val="Italic"/>
        </w:rPr>
        <w:lastRenderedPageBreak/>
        <w:fldChar w:fldCharType="begin"/>
      </w:r>
      <w:r w:rsidRPr="00E20ACE">
        <w:rPr>
          <w:rStyle w:val="Italic"/>
        </w:rPr>
        <w:instrText xml:space="preserve"> REF _Ref41944654 \h </w:instrText>
      </w:r>
      <w:r>
        <w:rPr>
          <w:rStyle w:val="Italic"/>
        </w:rPr>
        <w:instrText xml:space="preserve"> \* MERGEFORMAT </w:instrText>
      </w:r>
      <w:r w:rsidRPr="00E20ACE">
        <w:rPr>
          <w:rStyle w:val="Italic"/>
        </w:rPr>
      </w:r>
      <w:r w:rsidRPr="00E20ACE">
        <w:rPr>
          <w:rStyle w:val="Italic"/>
        </w:rPr>
        <w:fldChar w:fldCharType="separate"/>
      </w:r>
      <w:r w:rsidR="00EB1774" w:rsidRPr="00EB1774">
        <w:rPr>
          <w:rStyle w:val="Italic"/>
        </w:rPr>
        <w:t>Figure A</w:t>
      </w:r>
      <w:r w:rsidR="00EB1774" w:rsidRPr="00EB1774">
        <w:rPr>
          <w:rStyle w:val="Italic"/>
        </w:rPr>
        <w:noBreakHyphen/>
        <w:t>3</w:t>
      </w:r>
      <w:r w:rsidRPr="00E20ACE">
        <w:rPr>
          <w:rStyle w:val="Italic"/>
        </w:rPr>
        <w:fldChar w:fldCharType="end"/>
      </w:r>
      <w:r>
        <w:t xml:space="preserve"> summarises the ABS SDAC results modelled for older Australians (aged 65 years and older).</w:t>
      </w:r>
    </w:p>
    <w:p w14:paraId="28885FED" w14:textId="2805F875" w:rsidR="00A81397" w:rsidRDefault="00A81397" w:rsidP="00222AE0">
      <w:bookmarkStart w:id="24" w:name="_Ref41944654"/>
      <w:bookmarkStart w:id="25" w:name="_Toc60999875"/>
      <w:r>
        <w:t>Figure </w:t>
      </w:r>
      <w:r>
        <w:fldChar w:fldCharType="begin"/>
      </w:r>
      <w:r>
        <w:instrText xml:space="preserve"> STYLEREF 5 \s </w:instrText>
      </w:r>
      <w:r>
        <w:fldChar w:fldCharType="separate"/>
      </w:r>
      <w:r w:rsidR="00EB1774">
        <w:rPr>
          <w:noProof/>
        </w:rPr>
        <w:t>A</w:t>
      </w:r>
      <w:r>
        <w:fldChar w:fldCharType="end"/>
      </w:r>
      <w:bookmarkEnd w:id="24"/>
      <w:r w:rsidR="002F65BC">
        <w:t>-3</w:t>
      </w:r>
      <w:r w:rsidRPr="00BB7721">
        <w:t>:</w:t>
      </w:r>
      <w:r w:rsidRPr="00BB7721">
        <w:tab/>
        <w:t>Prevale</w:t>
      </w:r>
      <w:r>
        <w:t>nce of core activity limitations among older Australians</w:t>
      </w:r>
      <w:bookmarkEnd w:id="25"/>
      <w:r>
        <w:t xml:space="preserve"> </w:t>
      </w:r>
    </w:p>
    <w:p w14:paraId="12D4D0E8" w14:textId="5AA9F432" w:rsidR="00A81397" w:rsidRPr="00E570F3" w:rsidRDefault="00454AAD" w:rsidP="00A81397">
      <w:r w:rsidRPr="00AE2A5A">
        <w:rPr>
          <w:rFonts w:eastAsia="Arial Unicode MS"/>
          <w:noProof/>
          <w:lang w:val="en-AU" w:eastAsia="en-AU"/>
        </w:rPr>
        <w:drawing>
          <wp:inline distT="0" distB="0" distL="0" distR="0" wp14:anchorId="450A0C56" wp14:editId="4019464F">
            <wp:extent cx="6119495" cy="4310316"/>
            <wp:effectExtent l="0" t="0" r="0" b="0"/>
            <wp:docPr id="33" name="Chart 33" descr="Bar of pie chart showing the proportion of older Australians with each SDAC level of impairment.&#10;&#10;The total number of older Australians is 4,126,300 (100%). This total is divided into two groups:&#10;1. No core activity impairment = 2,466,064  or 60%&#10;2. With core activity impairment =  1,660,236 or 40%.&#10;&#10;Those with core activity impairment are broken down by the 4 SDAC levels of impairment:&#10;Mild = 777,600 or 47%&#10;Moderate = 339,396 or 20%&#10;Severe = 223,700 or 13%&#10;Profound = 319,540 or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AD242F" w14:textId="77777777" w:rsidR="006E6648" w:rsidRPr="00FD216B" w:rsidRDefault="006E6648" w:rsidP="00FD216B">
      <w:pPr>
        <w:rPr>
          <w:rFonts w:eastAsia="Arial Unicode MS"/>
        </w:rPr>
      </w:pPr>
      <w:r w:rsidRPr="00FD216B">
        <w:br w:type="page"/>
      </w:r>
    </w:p>
    <w:p w14:paraId="0432F9E4" w14:textId="0E883D87" w:rsidR="001A7C33" w:rsidRPr="00E570F3" w:rsidRDefault="001A7C33" w:rsidP="00222AE0">
      <w:pPr>
        <w:pStyle w:val="Heading3"/>
      </w:pPr>
      <w:r>
        <w:lastRenderedPageBreak/>
        <w:t>Step 2: Cost AT products and services</w:t>
      </w:r>
    </w:p>
    <w:p w14:paraId="192551A6" w14:textId="77777777" w:rsidR="00120921" w:rsidRDefault="00120921" w:rsidP="00222AE0">
      <w:pPr>
        <w:rPr>
          <w:b/>
        </w:rPr>
      </w:pPr>
    </w:p>
    <w:p w14:paraId="32A9467E" w14:textId="2ED4148E" w:rsidR="001A7C33" w:rsidRPr="00222AE0" w:rsidRDefault="001A7C33" w:rsidP="00222AE0">
      <w:pPr>
        <w:rPr>
          <w:b/>
        </w:rPr>
      </w:pPr>
      <w:r w:rsidRPr="00222AE0">
        <w:rPr>
          <w:b/>
        </w:rPr>
        <w:t>Costing AT Products</w:t>
      </w:r>
    </w:p>
    <w:p w14:paraId="23021F20" w14:textId="0BCD9FD3" w:rsidR="001A7C33" w:rsidRPr="00636B05" w:rsidRDefault="001A7C33" w:rsidP="001A7C33">
      <w:pPr>
        <w:pStyle w:val="Paragraph"/>
      </w:pPr>
      <w:r w:rsidRPr="00636B05">
        <w:t xml:space="preserve">Using AT Products identified in the </w:t>
      </w:r>
      <w:r w:rsidRPr="00E570F3">
        <w:rPr>
          <w:rStyle w:val="Italic"/>
        </w:rPr>
        <w:t>National Aged Care Alliance Position paper: Assistive technology for older Australians study</w:t>
      </w:r>
      <w:r w:rsidRPr="00636B05">
        <w:t xml:space="preserve"> </w:t>
      </w:r>
      <w:r>
        <w:fldChar w:fldCharType="begin" w:fldLock="1"/>
      </w:r>
      <w:r w:rsidR="00184FBE">
        <w:instrText>ADDIN CSL_CITATION {"citationItems":[{"id":"ITEM-1","itemData":{"ISBN":"9789240694811","abstract":"The National Aged Care Alliance (the Alliance) comprises 50 peak national organisations in aged care, representing consumer groups, providers, unions and health professionals, working together to determine a more positive future for aged care in Australia. As a leading voice for improvements to aged care for the past decade, the Alliance strives to implement its vision for ageing in Australia, that: Every older Australian is able to live well, with dignity and independence, as part of their community and in a place of their choosing, with a choice of appropriate and affordable support and care services when they need them. 1 Further information about the Alliance is available at http://www.naca.asn.au/.","author":[{"dropping-particle":"","family":"National Aged Care Alliance","given":"","non-dropping-particle":"","parse-names":false,"suffix":""}],"id":"ITEM-1","issue":"June","issued":{"date-parts":[["2018"]]},"title":"Position paper: Assistive technology for older Australians","type":"book"},"uris":["http://www.mendeley.com/documents/?uuid=95ce157c-871b-42a5-b039-6a23c5ec0ca8"]}],"mendeley":{"formattedCitation":"(National Aged Care Alliance 2018)","plainTextFormattedCitation":"(National Aged Care Alliance 2018)","previouslyFormattedCitation":"(National Aged Care Alliance 2018)"},"properties":{"noteIndex":0},"schema":"https://github.com/citation-style-language/schema/raw/master/csl-citation.json"}</w:instrText>
      </w:r>
      <w:r>
        <w:fldChar w:fldCharType="separate"/>
      </w:r>
      <w:r w:rsidRPr="007E1949">
        <w:rPr>
          <w:noProof/>
        </w:rPr>
        <w:t>(National Aged Care Alliance 2018)</w:t>
      </w:r>
      <w:r>
        <w:fldChar w:fldCharType="end"/>
      </w:r>
      <w:r>
        <w:t xml:space="preserve"> </w:t>
      </w:r>
      <w:r w:rsidRPr="00636B05">
        <w:t>as a starting point, AT Products were reviewed and updated to reflect AT requirements for the Australian population aged 65 or older (or 50 or older for Aboriginal and Torres Strait Islander peoples), who are living at home with functional decline.</w:t>
      </w:r>
    </w:p>
    <w:p w14:paraId="2370CFD1" w14:textId="33513588" w:rsidR="001A7C33" w:rsidRPr="00636B05" w:rsidRDefault="001A7C33" w:rsidP="001A7C33">
      <w:pPr>
        <w:pStyle w:val="Paragraph"/>
      </w:pPr>
      <w:r w:rsidRPr="00636B05">
        <w:t>Each AT Product was defined and costed using a current data source to establish the net present value for the current market rate.</w:t>
      </w:r>
      <w:r w:rsidR="004511B3">
        <w:t xml:space="preserve"> </w:t>
      </w:r>
      <w:r>
        <w:t>Product costs range in price.</w:t>
      </w:r>
      <w:r w:rsidR="004511B3">
        <w:t xml:space="preserve"> </w:t>
      </w:r>
      <w:r>
        <w:t>Products with mid-range prices were selected and all products were costed at a GST-exclusive rate.</w:t>
      </w:r>
    </w:p>
    <w:p w14:paraId="39E13974" w14:textId="77777777" w:rsidR="001A7C33" w:rsidRDefault="001A7C33" w:rsidP="001A7C33">
      <w:pPr>
        <w:pStyle w:val="ParaKeep"/>
      </w:pPr>
      <w:r w:rsidRPr="00636B05">
        <w:t>For each of the AT Products, evidence from the RER and from additional published literature, combined with expert opinion, was used to</w:t>
      </w:r>
      <w:r>
        <w:t>:</w:t>
      </w:r>
    </w:p>
    <w:p w14:paraId="1065D748" w14:textId="2BD1B0F6" w:rsidR="001A7C33" w:rsidRDefault="001A7C33" w:rsidP="001A7C33">
      <w:pPr>
        <w:pStyle w:val="Bullet1"/>
      </w:pPr>
      <w:r>
        <w:t>D</w:t>
      </w:r>
      <w:r w:rsidRPr="00636B05">
        <w:t>etermine the likelihood of using each particular AT Product across the four limitation categories.</w:t>
      </w:r>
      <w:r w:rsidR="004511B3">
        <w:t xml:space="preserve"> </w:t>
      </w:r>
      <w:r w:rsidRPr="00636B05">
        <w:t xml:space="preserve">The likelihood ranged from 0% (nil or negligible requirement for this AT Product) to 100% (all people or almost all people would require this AT Product). </w:t>
      </w:r>
    </w:p>
    <w:p w14:paraId="2E00AB37" w14:textId="7330BA36" w:rsidR="001A7C33" w:rsidRDefault="001A7C33" w:rsidP="001A7C33">
      <w:pPr>
        <w:pStyle w:val="Bullet1"/>
      </w:pPr>
      <w:r>
        <w:t xml:space="preserve">Calculate a time horizon for each product had a </w:t>
      </w:r>
      <w:r w:rsidRPr="00636B05">
        <w:t>time horizon</w:t>
      </w:r>
      <w:r>
        <w:t>.</w:t>
      </w:r>
      <w:r w:rsidR="004511B3">
        <w:t xml:space="preserve"> </w:t>
      </w:r>
      <w:r>
        <w:t>The time horizon represented how long the product would last before needing replacement.</w:t>
      </w:r>
      <w:r w:rsidR="004511B3">
        <w:t xml:space="preserve"> </w:t>
      </w:r>
      <w:r>
        <w:t xml:space="preserve">Where the information was available, warranty durations were used to calculate the time horizon. </w:t>
      </w:r>
    </w:p>
    <w:p w14:paraId="441092F4" w14:textId="44F3221A" w:rsidR="001A7C33" w:rsidRPr="00636B05" w:rsidRDefault="001A7C33" w:rsidP="001A7C33">
      <w:pPr>
        <w:pStyle w:val="Bullet1"/>
      </w:pPr>
      <w:r>
        <w:t>Calculate an</w:t>
      </w:r>
      <w:r w:rsidRPr="00636B05">
        <w:t xml:space="preserve"> average AT Product cost for </w:t>
      </w:r>
      <w:r>
        <w:t>every</w:t>
      </w:r>
      <w:r w:rsidRPr="00636B05">
        <w:t xml:space="preserve"> person </w:t>
      </w:r>
      <w:r>
        <w:t>in</w:t>
      </w:r>
      <w:r w:rsidRPr="00636B05">
        <w:t xml:space="preserve"> each of the four limitation categories.</w:t>
      </w:r>
      <w:r w:rsidR="004511B3">
        <w:t xml:space="preserve"> </w:t>
      </w:r>
      <w:r w:rsidRPr="00636B05">
        <w:t xml:space="preserve">The </w:t>
      </w:r>
      <w:r>
        <w:t xml:space="preserve">cost was based on a </w:t>
      </w:r>
      <w:r w:rsidRPr="00636B05">
        <w:t xml:space="preserve">time horizon </w:t>
      </w:r>
      <w:r>
        <w:t>of</w:t>
      </w:r>
      <w:r w:rsidRPr="00636B05">
        <w:t xml:space="preserve"> 1 year</w:t>
      </w:r>
      <w:r>
        <w:t>;</w:t>
      </w:r>
      <w:r w:rsidRPr="00636B05">
        <w:t xml:space="preserve"> for example</w:t>
      </w:r>
      <w:r>
        <w:t>,</w:t>
      </w:r>
      <w:r w:rsidRPr="00636B05">
        <w:t xml:space="preserve"> if an AT Product had a known time horizon of 2 years, the cost was halved to represent the cost per 1 year.</w:t>
      </w:r>
    </w:p>
    <w:p w14:paraId="4AE2790D" w14:textId="7AA44E7E" w:rsidR="001A7C33" w:rsidRDefault="001A7C33" w:rsidP="001A7C33">
      <w:pPr>
        <w:pStyle w:val="Bullet1"/>
      </w:pPr>
      <w:r>
        <w:t>Map</w:t>
      </w:r>
      <w:r w:rsidR="000F09BD">
        <w:t xml:space="preserve"> </w:t>
      </w:r>
      <w:r>
        <w:t>e</w:t>
      </w:r>
      <w:r w:rsidRPr="00636B05">
        <w:t>ach AT Product unit to the ISO 9999 (2016) 12 classes of AT.</w:t>
      </w:r>
      <w:r w:rsidR="004511B3">
        <w:t xml:space="preserve"> </w:t>
      </w:r>
      <w:r w:rsidRPr="00636B05">
        <w:t>This mapping exercise allow</w:t>
      </w:r>
      <w:r>
        <w:t>ed</w:t>
      </w:r>
      <w:r w:rsidRPr="00636B05">
        <w:t xml:space="preserve"> comparison with other data sources </w:t>
      </w:r>
      <w:r>
        <w:t>that also</w:t>
      </w:r>
      <w:r w:rsidRPr="00636B05">
        <w:t xml:space="preserve"> used the ISO 9999 (2018) 12 classes </w:t>
      </w:r>
      <w:r>
        <w:t>of AT.</w:t>
      </w:r>
    </w:p>
    <w:p w14:paraId="4629B685" w14:textId="2F6B419D" w:rsidR="001A7C33" w:rsidRDefault="001A7C33" w:rsidP="001A7C33">
      <w:pPr>
        <w:pStyle w:val="ParaKeep"/>
      </w:pPr>
      <w:r>
        <w:t xml:space="preserve">In addition, expert advice was used to categorise each product as to whether the product required prescription by an allied health professional. Three categories were developed: </w:t>
      </w:r>
    </w:p>
    <w:p w14:paraId="494BF55E" w14:textId="261D34FE" w:rsidR="001A7C33" w:rsidRDefault="001A7C33" w:rsidP="001A7C33">
      <w:pPr>
        <w:pStyle w:val="Bullet1"/>
      </w:pPr>
      <w:r>
        <w:t>Unprescribed products: low-risk products that are generally available and do not require a prescription</w:t>
      </w:r>
    </w:p>
    <w:p w14:paraId="0210E3F4" w14:textId="0BB90677" w:rsidR="001A7C33" w:rsidRDefault="001A7C33" w:rsidP="001A7C33">
      <w:pPr>
        <w:pStyle w:val="Bullet1"/>
      </w:pPr>
      <w:r>
        <w:t>Under advice products: low-risk products that are generally available but would benefit from written or professional advice to ensure that the product is used or installed correctly</w:t>
      </w:r>
    </w:p>
    <w:p w14:paraId="5D05C215" w14:textId="69812D62" w:rsidR="00F909FF" w:rsidRDefault="001A7C33" w:rsidP="001A7C33">
      <w:pPr>
        <w:pStyle w:val="Bullet1"/>
      </w:pPr>
      <w:r>
        <w:t>Prescribed products: products that require an assessment by an allied health professional to prescribe and adjust the product if necessary.</w:t>
      </w:r>
    </w:p>
    <w:p w14:paraId="4A68F2E2" w14:textId="77777777" w:rsidR="00222AE0" w:rsidRDefault="00222AE0" w:rsidP="00222AE0">
      <w:pPr>
        <w:rPr>
          <w:b/>
        </w:rPr>
      </w:pPr>
    </w:p>
    <w:p w14:paraId="15E3BB33" w14:textId="7BF3935B" w:rsidR="001A7C33" w:rsidRPr="00222AE0" w:rsidRDefault="001A7C33" w:rsidP="00222AE0">
      <w:pPr>
        <w:rPr>
          <w:b/>
        </w:rPr>
      </w:pPr>
      <w:r w:rsidRPr="00222AE0">
        <w:rPr>
          <w:b/>
        </w:rPr>
        <w:t>Costing AT kits</w:t>
      </w:r>
    </w:p>
    <w:p w14:paraId="5C914714" w14:textId="284319D7" w:rsidR="001A7C33" w:rsidRPr="00636B05" w:rsidRDefault="001A7C33" w:rsidP="001A7C33">
      <w:pPr>
        <w:pStyle w:val="Paragraph"/>
      </w:pPr>
      <w:r>
        <w:t>Seventeen</w:t>
      </w:r>
      <w:r w:rsidRPr="00636B05">
        <w:t xml:space="preserve"> AT kits were developed </w:t>
      </w:r>
      <w:r>
        <w:t>that group</w:t>
      </w:r>
      <w:r w:rsidRPr="00636B05">
        <w:t xml:space="preserve"> together common AT Products (</w:t>
      </w:r>
      <w:r w:rsidR="00FF0BDF" w:rsidRPr="00FF0BDF">
        <w:rPr>
          <w:rStyle w:val="Italic"/>
        </w:rPr>
        <w:fldChar w:fldCharType="begin"/>
      </w:r>
      <w:r w:rsidR="00FF0BDF" w:rsidRPr="00FF0BDF">
        <w:rPr>
          <w:rStyle w:val="Italic"/>
        </w:rPr>
        <w:instrText xml:space="preserve"> REF _Ref42517683 \h </w:instrText>
      </w:r>
      <w:r w:rsidR="00FF0BDF">
        <w:rPr>
          <w:rStyle w:val="Italic"/>
        </w:rPr>
        <w:instrText xml:space="preserve"> \* MERGEFORMAT </w:instrText>
      </w:r>
      <w:r w:rsidR="00FF0BDF" w:rsidRPr="00FF0BDF">
        <w:rPr>
          <w:rStyle w:val="Italic"/>
        </w:rPr>
      </w:r>
      <w:r w:rsidR="00FF0BDF" w:rsidRPr="00FF0BDF">
        <w:rPr>
          <w:rStyle w:val="Italic"/>
        </w:rPr>
        <w:fldChar w:fldCharType="separate"/>
      </w:r>
      <w:r w:rsidR="00EB1774" w:rsidRPr="00EB1774">
        <w:rPr>
          <w:rStyle w:val="Italic"/>
        </w:rPr>
        <w:t>Table A</w:t>
      </w:r>
      <w:r w:rsidR="00EB1774" w:rsidRPr="00EB1774">
        <w:rPr>
          <w:rStyle w:val="Italic"/>
        </w:rPr>
        <w:noBreakHyphen/>
        <w:t>3</w:t>
      </w:r>
      <w:r w:rsidR="00FF0BDF" w:rsidRPr="00FF0BDF">
        <w:rPr>
          <w:rStyle w:val="Italic"/>
        </w:rPr>
        <w:fldChar w:fldCharType="end"/>
      </w:r>
      <w:r w:rsidRPr="00636B05">
        <w:t xml:space="preserve">). The kits were developed in consultation with four expert allied health professionals who prescribe AT in their day-to-day practice and were therefore able to advise on common </w:t>
      </w:r>
      <w:r w:rsidR="00F909FF">
        <w:t xml:space="preserve">items </w:t>
      </w:r>
      <w:r w:rsidRPr="00636B05">
        <w:t>prescribed for older Australians.</w:t>
      </w:r>
      <w:r w:rsidR="004511B3">
        <w:t xml:space="preserve"> </w:t>
      </w:r>
    </w:p>
    <w:p w14:paraId="4C60A2E8" w14:textId="20AF3FEE" w:rsidR="001A7C33" w:rsidRDefault="001A7C33" w:rsidP="001A7C33">
      <w:pPr>
        <w:pStyle w:val="Paragraph"/>
      </w:pPr>
      <w:r w:rsidRPr="00636B05">
        <w:t xml:space="preserve">The kits contain one of each of the useful </w:t>
      </w:r>
      <w:r w:rsidR="00F909FF">
        <w:t xml:space="preserve">items </w:t>
      </w:r>
      <w:r w:rsidRPr="00636B05">
        <w:t xml:space="preserve">for a given activity area, but not every product in that category. These kits </w:t>
      </w:r>
      <w:r>
        <w:t>were</w:t>
      </w:r>
      <w:r w:rsidRPr="00636B05">
        <w:t xml:space="preserve"> used to estimate costs for common groups of </w:t>
      </w:r>
      <w:r w:rsidR="00F909FF">
        <w:t xml:space="preserve">items </w:t>
      </w:r>
      <w:r w:rsidRPr="00636B05">
        <w:t>used to address an activity of daily living. Each kit was costed based on the sum of individual product costs.</w:t>
      </w:r>
      <w:r>
        <w:t xml:space="preserve"> Costing is based on product costs only; AT services are not included.</w:t>
      </w:r>
    </w:p>
    <w:p w14:paraId="3256738D" w14:textId="3707D936" w:rsidR="001A7C33" w:rsidRPr="00636B05" w:rsidRDefault="00F909FF" w:rsidP="001A7C33">
      <w:pPr>
        <w:pStyle w:val="Paragraph"/>
      </w:pPr>
      <w:r>
        <w:lastRenderedPageBreak/>
        <w:t xml:space="preserve">Items </w:t>
      </w:r>
      <w:r w:rsidR="001A7C33">
        <w:t>that are currently subsidised by other national programs, such as continence products, were not included in the kits.</w:t>
      </w:r>
    </w:p>
    <w:p w14:paraId="25C184E3" w14:textId="5890DEDD" w:rsidR="001A7C33" w:rsidRPr="00636B05" w:rsidRDefault="00EA3322" w:rsidP="00222AE0">
      <w:bookmarkStart w:id="26" w:name="_Ref42517683"/>
      <w:bookmarkStart w:id="27" w:name="_Toc60999914"/>
      <w:r w:rsidRPr="0098673E">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FD5E41" w:rsidRPr="00BB7721">
        <w:noBreakHyphen/>
      </w:r>
      <w:r w:rsidR="00FD5E41" w:rsidRPr="00BB7721">
        <w:fldChar w:fldCharType="begin"/>
      </w:r>
      <w:r w:rsidR="00FD5E41" w:rsidRPr="00BB7721">
        <w:instrText xml:space="preserve"> SEQ Table_Apx \* ARABIC \s 5 </w:instrText>
      </w:r>
      <w:r w:rsidR="00FD5E41" w:rsidRPr="00BB7721">
        <w:fldChar w:fldCharType="separate"/>
      </w:r>
      <w:r w:rsidR="00EB1774">
        <w:rPr>
          <w:noProof/>
        </w:rPr>
        <w:t>3</w:t>
      </w:r>
      <w:r w:rsidR="00FD5E41" w:rsidRPr="00BB7721">
        <w:fldChar w:fldCharType="end"/>
      </w:r>
      <w:bookmarkEnd w:id="26"/>
      <w:r w:rsidRPr="00BB7721">
        <w:t>:</w:t>
      </w:r>
      <w:r w:rsidRPr="00BB7721">
        <w:tab/>
      </w:r>
      <w:r w:rsidR="001A7C33" w:rsidRPr="00BB7721">
        <w:t>AT</w:t>
      </w:r>
      <w:r w:rsidR="001A7C33" w:rsidRPr="00636B05">
        <w:t xml:space="preserve"> kits</w:t>
      </w:r>
      <w:r w:rsidR="00F17878">
        <w:t xml:space="preserve"> description</w:t>
      </w:r>
      <w:bookmarkEnd w:id="27"/>
    </w:p>
    <w:tbl>
      <w:tblPr>
        <w:tblStyle w:val="AHALight"/>
        <w:tblW w:w="5000" w:type="pct"/>
        <w:tblLook w:val="04A0" w:firstRow="1" w:lastRow="0" w:firstColumn="1" w:lastColumn="0" w:noHBand="0" w:noVBand="1"/>
        <w:tblCaption w:val="AT kits"/>
        <w:tblDescription w:val="List of AT kit types, their purpose, and the products included in each kit."/>
      </w:tblPr>
      <w:tblGrid>
        <w:gridCol w:w="1845"/>
        <w:gridCol w:w="2550"/>
        <w:gridCol w:w="5243"/>
      </w:tblGrid>
      <w:tr w:rsidR="001245C0" w:rsidRPr="00636B05" w14:paraId="200729DA" w14:textId="77777777" w:rsidTr="00263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0C13AFD7" w14:textId="77777777" w:rsidR="001A7C33" w:rsidRPr="00636B05" w:rsidRDefault="001A7C33" w:rsidP="004C3036">
            <w:pPr>
              <w:pStyle w:val="TableHeading1"/>
            </w:pPr>
            <w:r w:rsidRPr="00636B05">
              <w:t>AT kit</w:t>
            </w:r>
          </w:p>
        </w:tc>
        <w:tc>
          <w:tcPr>
            <w:tcW w:w="1323" w:type="pct"/>
          </w:tcPr>
          <w:p w14:paraId="6A4D877F" w14:textId="77777777" w:rsidR="001A7C33" w:rsidRPr="00636B05" w:rsidRDefault="001A7C33" w:rsidP="004C3036">
            <w:pPr>
              <w:pStyle w:val="TableHeading1"/>
              <w:cnfStyle w:val="100000000000" w:firstRow="1" w:lastRow="0" w:firstColumn="0" w:lastColumn="0" w:oddVBand="0" w:evenVBand="0" w:oddHBand="0" w:evenHBand="0" w:firstRowFirstColumn="0" w:firstRowLastColumn="0" w:lastRowFirstColumn="0" w:lastRowLastColumn="0"/>
            </w:pPr>
            <w:r w:rsidRPr="00636B05">
              <w:t>Purpose</w:t>
            </w:r>
          </w:p>
        </w:tc>
        <w:tc>
          <w:tcPr>
            <w:tcW w:w="2720" w:type="pct"/>
          </w:tcPr>
          <w:p w14:paraId="3B53FC69" w14:textId="23211F50" w:rsidR="001A7C33" w:rsidRPr="00636B05" w:rsidRDefault="001A7C33" w:rsidP="004C3036">
            <w:pPr>
              <w:pStyle w:val="TableHeading1"/>
              <w:cnfStyle w:val="100000000000" w:firstRow="1" w:lastRow="0" w:firstColumn="0" w:lastColumn="0" w:oddVBand="0" w:evenVBand="0" w:oddHBand="0" w:evenHBand="0" w:firstRowFirstColumn="0" w:firstRowLastColumn="0" w:lastRowFirstColumn="0" w:lastRowLastColumn="0"/>
            </w:pPr>
            <w:r w:rsidRPr="00636B05">
              <w:t xml:space="preserve">AT </w:t>
            </w:r>
            <w:r>
              <w:t>Products</w:t>
            </w:r>
          </w:p>
        </w:tc>
      </w:tr>
      <w:tr w:rsidR="001A7C33" w:rsidRPr="00636B05" w14:paraId="0B90EA14"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4DDD64A4" w14:textId="77777777" w:rsidR="001A7C33" w:rsidRPr="00636B05" w:rsidRDefault="001A7C33" w:rsidP="004C3036">
            <w:pPr>
              <w:pStyle w:val="TableText"/>
            </w:pPr>
            <w:r w:rsidRPr="00636B05">
              <w:t>Bathing</w:t>
            </w:r>
          </w:p>
        </w:tc>
        <w:tc>
          <w:tcPr>
            <w:tcW w:w="1323" w:type="pct"/>
          </w:tcPr>
          <w:p w14:paraId="416AB641"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Bathing</w:t>
            </w:r>
          </w:p>
        </w:tc>
        <w:tc>
          <w:tcPr>
            <w:tcW w:w="2720" w:type="pct"/>
          </w:tcPr>
          <w:p w14:paraId="35DEAAD0" w14:textId="7E1CF909"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Toe wash</w:t>
            </w:r>
            <w:r w:rsidR="00302480">
              <w:t>er</w:t>
            </w:r>
          </w:p>
          <w:p w14:paraId="3A4BC72D" w14:textId="77020EAD"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Toe dr</w:t>
            </w:r>
            <w:r w:rsidR="00AA716E">
              <w:t>yer</w:t>
            </w:r>
          </w:p>
          <w:p w14:paraId="0824EC7B"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Long-handled sponge</w:t>
            </w:r>
          </w:p>
        </w:tc>
      </w:tr>
      <w:tr w:rsidR="00815CA5" w:rsidRPr="00636B05" w14:paraId="448CCE10"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5170A801" w14:textId="77777777" w:rsidR="001A7C33" w:rsidRPr="00636B05" w:rsidRDefault="001A7C33" w:rsidP="004C3036">
            <w:pPr>
              <w:pStyle w:val="TableText"/>
            </w:pPr>
            <w:r w:rsidRPr="00636B05">
              <w:t>Bathroom</w:t>
            </w:r>
          </w:p>
        </w:tc>
        <w:tc>
          <w:tcPr>
            <w:tcW w:w="1323" w:type="pct"/>
          </w:tcPr>
          <w:p w14:paraId="69EA04AE"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Access to bathing and showering</w:t>
            </w:r>
          </w:p>
        </w:tc>
        <w:tc>
          <w:tcPr>
            <w:tcW w:w="2720" w:type="pct"/>
          </w:tcPr>
          <w:p w14:paraId="51C26AA4"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Handheld shower hose</w:t>
            </w:r>
          </w:p>
          <w:p w14:paraId="2A81F0D8"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Switchcock or adjustable hand shower on rail</w:t>
            </w:r>
          </w:p>
          <w:p w14:paraId="56014B16"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Non-slip bathmat</w:t>
            </w:r>
          </w:p>
          <w:p w14:paraId="0AAA62D0"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Two handrails</w:t>
            </w:r>
          </w:p>
          <w:p w14:paraId="459D748B"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Thermostatic mixer or tempering valve</w:t>
            </w:r>
          </w:p>
        </w:tc>
      </w:tr>
      <w:tr w:rsidR="001A7C33" w:rsidRPr="00636B05" w14:paraId="6BE0F0F4"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68CA2649" w14:textId="77777777" w:rsidR="001A7C33" w:rsidRPr="00636B05" w:rsidRDefault="001A7C33" w:rsidP="004C3036">
            <w:pPr>
              <w:pStyle w:val="TableText"/>
            </w:pPr>
            <w:r w:rsidRPr="00636B05">
              <w:t>Bed</w:t>
            </w:r>
          </w:p>
        </w:tc>
        <w:tc>
          <w:tcPr>
            <w:tcW w:w="1323" w:type="pct"/>
          </w:tcPr>
          <w:p w14:paraId="2E2B9CA2"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Getting in and out of bed</w:t>
            </w:r>
          </w:p>
        </w:tc>
        <w:tc>
          <w:tcPr>
            <w:tcW w:w="2720" w:type="pct"/>
          </w:tcPr>
          <w:p w14:paraId="5A24ABB9"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Bed ladder</w:t>
            </w:r>
          </w:p>
          <w:p w14:paraId="4BDCACE0"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Bed support</w:t>
            </w:r>
          </w:p>
        </w:tc>
      </w:tr>
      <w:tr w:rsidR="001A7C33" w:rsidRPr="00636B05" w14:paraId="48AE60D6" w14:textId="77777777" w:rsidTr="0026393E">
        <w:trPr>
          <w:trHeight w:val="356"/>
        </w:trPr>
        <w:tc>
          <w:tcPr>
            <w:cnfStyle w:val="001000000000" w:firstRow="0" w:lastRow="0" w:firstColumn="1" w:lastColumn="0" w:oddVBand="0" w:evenVBand="0" w:oddHBand="0" w:evenHBand="0" w:firstRowFirstColumn="0" w:firstRowLastColumn="0" w:lastRowFirstColumn="0" w:lastRowLastColumn="0"/>
            <w:tcW w:w="957" w:type="pct"/>
          </w:tcPr>
          <w:p w14:paraId="2F88A9D7" w14:textId="77777777" w:rsidR="001A7C33" w:rsidRPr="00636B05" w:rsidRDefault="001A7C33" w:rsidP="004C3036">
            <w:pPr>
              <w:pStyle w:val="TableText"/>
            </w:pPr>
            <w:r w:rsidRPr="00636B05">
              <w:t>Car driving</w:t>
            </w:r>
          </w:p>
        </w:tc>
        <w:tc>
          <w:tcPr>
            <w:tcW w:w="1323" w:type="pct"/>
          </w:tcPr>
          <w:p w14:paraId="28E877D8"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Driving a car</w:t>
            </w:r>
          </w:p>
        </w:tc>
        <w:tc>
          <w:tcPr>
            <w:tcW w:w="2720" w:type="pct"/>
          </w:tcPr>
          <w:p w14:paraId="794A7208"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Hand controls</w:t>
            </w:r>
          </w:p>
          <w:p w14:paraId="38059192"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Wheelchair trailer</w:t>
            </w:r>
          </w:p>
        </w:tc>
      </w:tr>
      <w:tr w:rsidR="001A7C33" w:rsidRPr="00636B05" w14:paraId="0B8B4E93" w14:textId="77777777" w:rsidTr="0026393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57" w:type="pct"/>
          </w:tcPr>
          <w:p w14:paraId="64C5C091" w14:textId="77777777" w:rsidR="001A7C33" w:rsidRPr="00636B05" w:rsidRDefault="001A7C33" w:rsidP="004C3036">
            <w:pPr>
              <w:pStyle w:val="TableText"/>
            </w:pPr>
            <w:r w:rsidRPr="00636B05">
              <w:t>Car transfer</w:t>
            </w:r>
          </w:p>
        </w:tc>
        <w:tc>
          <w:tcPr>
            <w:tcW w:w="1323" w:type="pct"/>
          </w:tcPr>
          <w:p w14:paraId="117957D1"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Getting into and out of a car</w:t>
            </w:r>
          </w:p>
        </w:tc>
        <w:tc>
          <w:tcPr>
            <w:tcW w:w="2720" w:type="pct"/>
          </w:tcPr>
          <w:p w14:paraId="772A97EE"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Swivel mat</w:t>
            </w:r>
          </w:p>
          <w:p w14:paraId="38138FB4"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Transfer handle</w:t>
            </w:r>
          </w:p>
          <w:p w14:paraId="617CCB2C"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Boot winch for manual wheelchair storage</w:t>
            </w:r>
          </w:p>
        </w:tc>
      </w:tr>
      <w:tr w:rsidR="00815CA5" w:rsidRPr="00636B05" w14:paraId="697D24EC"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7A520CFB" w14:textId="77777777" w:rsidR="001A7C33" w:rsidRPr="00636B05" w:rsidRDefault="001A7C33" w:rsidP="004C3036">
            <w:pPr>
              <w:pStyle w:val="TableText"/>
            </w:pPr>
            <w:r w:rsidRPr="00636B05">
              <w:t>Cleaning</w:t>
            </w:r>
          </w:p>
        </w:tc>
        <w:tc>
          <w:tcPr>
            <w:tcW w:w="1323" w:type="pct"/>
          </w:tcPr>
          <w:p w14:paraId="38C8E023"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Cleaning the house</w:t>
            </w:r>
          </w:p>
        </w:tc>
        <w:tc>
          <w:tcPr>
            <w:tcW w:w="2720" w:type="pct"/>
          </w:tcPr>
          <w:p w14:paraId="0D4B685F"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Long-handled dustpan</w:t>
            </w:r>
          </w:p>
          <w:p w14:paraId="20EFCD32"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Long-handled duster</w:t>
            </w:r>
          </w:p>
          <w:p w14:paraId="2A9FB1FC"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Lightweight power sweeper</w:t>
            </w:r>
          </w:p>
          <w:p w14:paraId="4B7BDA93"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Ergonomic mop</w:t>
            </w:r>
          </w:p>
        </w:tc>
      </w:tr>
      <w:tr w:rsidR="001A7C33" w:rsidRPr="00636B05" w14:paraId="5F18B706"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00FE64AE" w14:textId="77777777" w:rsidR="001A7C33" w:rsidRPr="00636B05" w:rsidRDefault="001A7C33" w:rsidP="004C3036">
            <w:pPr>
              <w:pStyle w:val="TableText"/>
            </w:pPr>
            <w:r w:rsidRPr="00636B05">
              <w:t>Communication and information</w:t>
            </w:r>
          </w:p>
        </w:tc>
        <w:tc>
          <w:tcPr>
            <w:tcW w:w="1323" w:type="pct"/>
          </w:tcPr>
          <w:p w14:paraId="3A690CC0"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Communicating; accessing information</w:t>
            </w:r>
          </w:p>
        </w:tc>
        <w:tc>
          <w:tcPr>
            <w:tcW w:w="2720" w:type="pct"/>
          </w:tcPr>
          <w:p w14:paraId="6B1AFBAA"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Large-button and GPS-enabled mobile phone (monitoring and safety)</w:t>
            </w:r>
          </w:p>
          <w:p w14:paraId="05358CDE"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Magnification for newsprint</w:t>
            </w:r>
          </w:p>
          <w:p w14:paraId="7269C789"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Smart AT from mainstream stores (e.g. Google Play)</w:t>
            </w:r>
          </w:p>
        </w:tc>
      </w:tr>
      <w:tr w:rsidR="001A7C33" w:rsidRPr="00636B05" w14:paraId="39F66261"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49332F07" w14:textId="77777777" w:rsidR="001A7C33" w:rsidRPr="00636B05" w:rsidRDefault="001A7C33" w:rsidP="004C3036">
            <w:pPr>
              <w:pStyle w:val="TableText"/>
            </w:pPr>
            <w:r w:rsidRPr="00636B05">
              <w:t>Dressing</w:t>
            </w:r>
          </w:p>
        </w:tc>
        <w:tc>
          <w:tcPr>
            <w:tcW w:w="1323" w:type="pct"/>
          </w:tcPr>
          <w:p w14:paraId="4B9FE9A6"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Dressing and undressing</w:t>
            </w:r>
          </w:p>
        </w:tc>
        <w:tc>
          <w:tcPr>
            <w:tcW w:w="2720" w:type="pct"/>
          </w:tcPr>
          <w:p w14:paraId="50D3516E"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Sock donner</w:t>
            </w:r>
          </w:p>
          <w:p w14:paraId="55E7D7C7"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Button hook</w:t>
            </w:r>
          </w:p>
          <w:p w14:paraId="3A4DDFEF"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Dressing stick</w:t>
            </w:r>
          </w:p>
          <w:p w14:paraId="5894AA37"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Long-handled shoehorn</w:t>
            </w:r>
          </w:p>
          <w:p w14:paraId="5A52EA61"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Long-handled reacher</w:t>
            </w:r>
          </w:p>
        </w:tc>
      </w:tr>
      <w:tr w:rsidR="00815CA5" w:rsidRPr="00636B05" w14:paraId="11E8CFE4"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3C290698" w14:textId="77777777" w:rsidR="001A7C33" w:rsidRPr="00636B05" w:rsidRDefault="001A7C33" w:rsidP="004C3036">
            <w:pPr>
              <w:pStyle w:val="TableText"/>
            </w:pPr>
            <w:r w:rsidRPr="00636B05">
              <w:t>Eating and drinking</w:t>
            </w:r>
          </w:p>
        </w:tc>
        <w:tc>
          <w:tcPr>
            <w:tcW w:w="1323" w:type="pct"/>
          </w:tcPr>
          <w:p w14:paraId="0CEEC984"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Eating and drinking</w:t>
            </w:r>
          </w:p>
        </w:tc>
        <w:tc>
          <w:tcPr>
            <w:tcW w:w="2720" w:type="pct"/>
          </w:tcPr>
          <w:p w14:paraId="3FB58DB1"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Two-handled and/or insulated shatterproof cups</w:t>
            </w:r>
          </w:p>
          <w:p w14:paraId="330996BE"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Built-up handle cutlery</w:t>
            </w:r>
          </w:p>
        </w:tc>
      </w:tr>
      <w:tr w:rsidR="001A7C33" w:rsidRPr="00636B05" w14:paraId="2245A14B"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2B7C21A4" w14:textId="77777777" w:rsidR="001A7C33" w:rsidRPr="00636B05" w:rsidRDefault="001A7C33" w:rsidP="004C3036">
            <w:pPr>
              <w:pStyle w:val="TableText"/>
            </w:pPr>
            <w:r w:rsidRPr="00636B05">
              <w:lastRenderedPageBreak/>
              <w:t>Home access</w:t>
            </w:r>
          </w:p>
        </w:tc>
        <w:tc>
          <w:tcPr>
            <w:tcW w:w="1323" w:type="pct"/>
          </w:tcPr>
          <w:p w14:paraId="542352D0"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Entering and exiting the home; access throughout the home</w:t>
            </w:r>
          </w:p>
        </w:tc>
        <w:tc>
          <w:tcPr>
            <w:tcW w:w="2720" w:type="pct"/>
          </w:tcPr>
          <w:p w14:paraId="6A2CE547"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Handrails at entrances/​exits</w:t>
            </w:r>
          </w:p>
          <w:p w14:paraId="5764CE53"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Partial room adaptations</w:t>
            </w:r>
          </w:p>
          <w:p w14:paraId="514C37D1"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Doorway adjustment</w:t>
            </w:r>
          </w:p>
          <w:p w14:paraId="74063BD1"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Ramp</w:t>
            </w:r>
          </w:p>
          <w:p w14:paraId="2E31BA89"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Accessible doorbell</w:t>
            </w:r>
          </w:p>
          <w:p w14:paraId="44CDEC1E"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Adapted key</w:t>
            </w:r>
          </w:p>
          <w:p w14:paraId="2AE80647"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Step platform</w:t>
            </w:r>
          </w:p>
        </w:tc>
      </w:tr>
      <w:tr w:rsidR="001A7C33" w:rsidRPr="00636B05" w14:paraId="17CFDBB1"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6449895E" w14:textId="77777777" w:rsidR="001A7C33" w:rsidRPr="00636B05" w:rsidRDefault="001A7C33" w:rsidP="004C3036">
            <w:pPr>
              <w:pStyle w:val="TableText"/>
            </w:pPr>
            <w:r w:rsidRPr="00636B05">
              <w:t>Home safety</w:t>
            </w:r>
          </w:p>
        </w:tc>
        <w:tc>
          <w:tcPr>
            <w:tcW w:w="1323" w:type="pct"/>
          </w:tcPr>
          <w:p w14:paraId="7427D428"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Maintaining a home free from risk and harm</w:t>
            </w:r>
          </w:p>
        </w:tc>
        <w:tc>
          <w:tcPr>
            <w:tcW w:w="2720" w:type="pct"/>
          </w:tcPr>
          <w:p w14:paraId="3702E9C9"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Audible smoke alarms</w:t>
            </w:r>
          </w:p>
          <w:p w14:paraId="05CF8330"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Rug fasteners</w:t>
            </w:r>
          </w:p>
          <w:p w14:paraId="04E880A3"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Lighting</w:t>
            </w:r>
          </w:p>
          <w:p w14:paraId="669BA988"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Wall bumpers</w:t>
            </w:r>
          </w:p>
          <w:p w14:paraId="7CC3A8B5"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Doorway lip ramps</w:t>
            </w:r>
          </w:p>
          <w:p w14:paraId="792C33F1" w14:textId="09C9D403"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Mix of other falls prevention measures (e.g. </w:t>
            </w:r>
            <w:r>
              <w:t>s</w:t>
            </w:r>
            <w:r w:rsidRPr="00636B05">
              <w:t>afety treads, colour contrast strips)</w:t>
            </w:r>
          </w:p>
          <w:p w14:paraId="2FD19F0F"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Double-hinged toilet door</w:t>
            </w:r>
          </w:p>
        </w:tc>
      </w:tr>
      <w:tr w:rsidR="001A7C33" w:rsidRPr="00636B05" w14:paraId="67541B23"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1C2BD597" w14:textId="77777777" w:rsidR="001A7C33" w:rsidRPr="00636B05" w:rsidRDefault="001A7C33" w:rsidP="004C3036">
            <w:pPr>
              <w:pStyle w:val="TableText"/>
            </w:pPr>
            <w:r w:rsidRPr="00636B05">
              <w:t>Food preparation</w:t>
            </w:r>
          </w:p>
        </w:tc>
        <w:tc>
          <w:tcPr>
            <w:tcW w:w="1323" w:type="pct"/>
          </w:tcPr>
          <w:p w14:paraId="58ADD5D9"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Food preparation in the kitchen</w:t>
            </w:r>
          </w:p>
        </w:tc>
        <w:tc>
          <w:tcPr>
            <w:tcW w:w="2720" w:type="pct"/>
          </w:tcPr>
          <w:p w14:paraId="1FF1D76D"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Powered can opener</w:t>
            </w:r>
          </w:p>
          <w:p w14:paraId="1BE2322A"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Large-grip peeler</w:t>
            </w:r>
          </w:p>
          <w:p w14:paraId="4FAB2643"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Buttering board</w:t>
            </w:r>
          </w:p>
          <w:p w14:paraId="73E7AA3C"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Jar opener</w:t>
            </w:r>
          </w:p>
          <w:p w14:paraId="197AAE18"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Kettle tipper</w:t>
            </w:r>
          </w:p>
          <w:p w14:paraId="12759095"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Tap turner</w:t>
            </w:r>
          </w:p>
          <w:p w14:paraId="43387101"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Kitchen trolley</w:t>
            </w:r>
          </w:p>
        </w:tc>
      </w:tr>
      <w:tr w:rsidR="00815CA5" w:rsidRPr="00636B05" w14:paraId="4891FB44"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20A1FD83" w14:textId="77777777" w:rsidR="001A7C33" w:rsidRPr="00636B05" w:rsidRDefault="001A7C33" w:rsidP="004C3036">
            <w:pPr>
              <w:pStyle w:val="TableText"/>
            </w:pPr>
            <w:r w:rsidRPr="00636B05">
              <w:t>Kitchen modification</w:t>
            </w:r>
          </w:p>
        </w:tc>
        <w:tc>
          <w:tcPr>
            <w:tcW w:w="1323" w:type="pct"/>
          </w:tcPr>
          <w:p w14:paraId="01873E5F"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 xml:space="preserve">Modifying the kitchen environment for kitchen access </w:t>
            </w:r>
          </w:p>
        </w:tc>
        <w:tc>
          <w:tcPr>
            <w:tcW w:w="2720" w:type="pct"/>
          </w:tcPr>
          <w:p w14:paraId="3C706355" w14:textId="66203269"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Microwave and ove</w:t>
            </w:r>
            <w:r w:rsidR="006B0DBA">
              <w:t>n</w:t>
            </w:r>
            <w:r w:rsidRPr="00636B05">
              <w:t xml:space="preserve"> stealth shelf</w:t>
            </w:r>
          </w:p>
          <w:p w14:paraId="3E9F7CC9"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Under-sink clearance</w:t>
            </w:r>
          </w:p>
          <w:p w14:paraId="07830636"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Accessible cupboards</w:t>
            </w:r>
          </w:p>
        </w:tc>
      </w:tr>
      <w:tr w:rsidR="001A7C33" w:rsidRPr="00636B05" w14:paraId="3E8E9B25"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23613BA4" w14:textId="77777777" w:rsidR="001A7C33" w:rsidRPr="00636B05" w:rsidRDefault="001A7C33" w:rsidP="004C3036">
            <w:pPr>
              <w:pStyle w:val="TableText"/>
            </w:pPr>
            <w:r w:rsidRPr="00636B05">
              <w:t>Laundry</w:t>
            </w:r>
          </w:p>
        </w:tc>
        <w:tc>
          <w:tcPr>
            <w:tcW w:w="1323" w:type="pct"/>
          </w:tcPr>
          <w:p w14:paraId="6439D78C"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Modifying the laundry environment for laundry access; completing laundry tasks</w:t>
            </w:r>
          </w:p>
        </w:tc>
        <w:tc>
          <w:tcPr>
            <w:tcW w:w="2720" w:type="pct"/>
          </w:tcPr>
          <w:p w14:paraId="1A0EEEF4"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Drying rack</w:t>
            </w:r>
          </w:p>
          <w:p w14:paraId="49F1B8FE"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Laundry trolley</w:t>
            </w:r>
          </w:p>
          <w:p w14:paraId="5952C482"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Easy grip pegs</w:t>
            </w:r>
          </w:p>
          <w:p w14:paraId="5749A011"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Side opening appliances or stealth shelf</w:t>
            </w:r>
          </w:p>
        </w:tc>
      </w:tr>
      <w:tr w:rsidR="00815CA5" w:rsidRPr="00636B05" w14:paraId="27263CBA"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7FE2B4A7" w14:textId="77777777" w:rsidR="001A7C33" w:rsidRPr="00636B05" w:rsidRDefault="001A7C33" w:rsidP="004C3036">
            <w:pPr>
              <w:pStyle w:val="TableText"/>
            </w:pPr>
            <w:r>
              <w:t xml:space="preserve">Outdoor </w:t>
            </w:r>
          </w:p>
        </w:tc>
        <w:tc>
          <w:tcPr>
            <w:tcW w:w="1323" w:type="pct"/>
          </w:tcPr>
          <w:p w14:paraId="37395F2F"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t>Gardening and lawn care</w:t>
            </w:r>
          </w:p>
        </w:tc>
        <w:tc>
          <w:tcPr>
            <w:tcW w:w="2720" w:type="pct"/>
          </w:tcPr>
          <w:p w14:paraId="2F0552EF"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Lightweight mower</w:t>
            </w:r>
          </w:p>
          <w:p w14:paraId="7A4B71E3"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Long handled pruner</w:t>
            </w:r>
          </w:p>
          <w:p w14:paraId="3B5D1437"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Wheelie bin trolley</w:t>
            </w:r>
          </w:p>
          <w:p w14:paraId="7CDD5A78"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Level access paving</w:t>
            </w:r>
          </w:p>
          <w:p w14:paraId="52E49B4A"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Heavy duty reacher</w:t>
            </w:r>
          </w:p>
        </w:tc>
      </w:tr>
      <w:tr w:rsidR="001A7C33" w:rsidRPr="00636B05" w14:paraId="4649D468" w14:textId="77777777" w:rsidTr="0026393E">
        <w:tc>
          <w:tcPr>
            <w:cnfStyle w:val="001000000000" w:firstRow="0" w:lastRow="0" w:firstColumn="1" w:lastColumn="0" w:oddVBand="0" w:evenVBand="0" w:oddHBand="0" w:evenHBand="0" w:firstRowFirstColumn="0" w:firstRowLastColumn="0" w:lastRowFirstColumn="0" w:lastRowLastColumn="0"/>
            <w:tcW w:w="957" w:type="pct"/>
          </w:tcPr>
          <w:p w14:paraId="00F4730E" w14:textId="77777777" w:rsidR="001A7C33" w:rsidRDefault="001A7C33" w:rsidP="004C3036">
            <w:pPr>
              <w:pStyle w:val="TableText"/>
            </w:pPr>
            <w:r>
              <w:t>Memory support</w:t>
            </w:r>
          </w:p>
        </w:tc>
        <w:tc>
          <w:tcPr>
            <w:tcW w:w="1323" w:type="pct"/>
          </w:tcPr>
          <w:p w14:paraId="3CEE9E80" w14:textId="77777777" w:rsidR="001A7C33" w:rsidRDefault="001A7C33" w:rsidP="004C3036">
            <w:pPr>
              <w:pStyle w:val="TableText"/>
              <w:cnfStyle w:val="000000000000" w:firstRow="0" w:lastRow="0" w:firstColumn="0" w:lastColumn="0" w:oddVBand="0" w:evenVBand="0" w:oddHBand="0" w:evenHBand="0" w:firstRowFirstColumn="0" w:firstRowLastColumn="0" w:lastRowFirstColumn="0" w:lastRowLastColumn="0"/>
            </w:pPr>
            <w:r>
              <w:t xml:space="preserve">Products </w:t>
            </w:r>
            <w:r w:rsidRPr="00E82B61">
              <w:t>for alarming, indicating, reminding and signalling</w:t>
            </w:r>
          </w:p>
        </w:tc>
        <w:tc>
          <w:tcPr>
            <w:tcW w:w="2720" w:type="pct"/>
          </w:tcPr>
          <w:p w14:paraId="29437A1B" w14:textId="77777777" w:rsidR="001A7C33"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7513EC">
              <w:t>Automated reminder watch</w:t>
            </w:r>
          </w:p>
          <w:p w14:paraId="1CB02871" w14:textId="77777777" w:rsidR="001A7C33"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7513EC">
              <w:t>GPS tracker</w:t>
            </w:r>
          </w:p>
          <w:p w14:paraId="2D0C273B" w14:textId="77777777" w:rsidR="001A7C33"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t>L</w:t>
            </w:r>
            <w:r w:rsidRPr="007513EC">
              <w:t>arge print calendar</w:t>
            </w:r>
          </w:p>
        </w:tc>
      </w:tr>
      <w:tr w:rsidR="00815CA5" w:rsidRPr="00636B05" w14:paraId="0C8B53A6" w14:textId="77777777" w:rsidTr="00263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pct"/>
          </w:tcPr>
          <w:p w14:paraId="196668AF" w14:textId="77777777" w:rsidR="001A7C33" w:rsidRDefault="001A7C33" w:rsidP="004C3036">
            <w:pPr>
              <w:pStyle w:val="TableText"/>
            </w:pPr>
            <w:r>
              <w:lastRenderedPageBreak/>
              <w:t xml:space="preserve">Sensory </w:t>
            </w:r>
          </w:p>
        </w:tc>
        <w:tc>
          <w:tcPr>
            <w:tcW w:w="1323" w:type="pct"/>
          </w:tcPr>
          <w:p w14:paraId="08CABF52" w14:textId="77777777" w:rsidR="001A7C33" w:rsidRDefault="001A7C33" w:rsidP="004C3036">
            <w:pPr>
              <w:pStyle w:val="TableText"/>
              <w:cnfStyle w:val="000000100000" w:firstRow="0" w:lastRow="0" w:firstColumn="0" w:lastColumn="0" w:oddVBand="0" w:evenVBand="0" w:oddHBand="1" w:evenHBand="0" w:firstRowFirstColumn="0" w:firstRowLastColumn="0" w:lastRowFirstColumn="0" w:lastRowLastColumn="0"/>
            </w:pPr>
            <w:r>
              <w:t>P</w:t>
            </w:r>
            <w:r w:rsidRPr="00384DD1">
              <w:t>roducts that record, play and display audio and visual information</w:t>
            </w:r>
          </w:p>
        </w:tc>
        <w:tc>
          <w:tcPr>
            <w:tcW w:w="2720" w:type="pct"/>
          </w:tcPr>
          <w:p w14:paraId="651A53AD" w14:textId="5B963A7C"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BD6289">
              <w:t>TV/FM receivers</w:t>
            </w:r>
          </w:p>
          <w:p w14:paraId="3E08F81A"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L</w:t>
            </w:r>
            <w:r w:rsidRPr="00BD6289">
              <w:t>ighting</w:t>
            </w:r>
          </w:p>
          <w:p w14:paraId="7922D8A1"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C</w:t>
            </w:r>
            <w:r w:rsidRPr="00BD6289">
              <w:t>omputer software</w:t>
            </w:r>
          </w:p>
          <w:p w14:paraId="48DD9ADD"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BD6289">
              <w:t>CCTV</w:t>
            </w:r>
          </w:p>
          <w:p w14:paraId="788AEC38"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t>L</w:t>
            </w:r>
            <w:r w:rsidRPr="00BD6289">
              <w:t>arge print</w:t>
            </w:r>
          </w:p>
          <w:p w14:paraId="04951BAE"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BD6289">
              <w:t>ORCA</w:t>
            </w:r>
            <w:r>
              <w:t>M</w:t>
            </w:r>
          </w:p>
          <w:p w14:paraId="67539516" w14:textId="1688DE83"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BD6289">
              <w:t xml:space="preserve">Vibrating or light </w:t>
            </w:r>
            <w:r w:rsidR="0026393E">
              <w:t xml:space="preserve">alarms </w:t>
            </w:r>
            <w:r w:rsidRPr="00BD6289">
              <w:t>for doorbell, phone, smoke detectors; hearing product</w:t>
            </w:r>
            <w:r>
              <w:t>s</w:t>
            </w:r>
          </w:p>
        </w:tc>
      </w:tr>
    </w:tbl>
    <w:p w14:paraId="25C0B955" w14:textId="77777777" w:rsidR="00222AE0" w:rsidRDefault="00222AE0" w:rsidP="00222AE0">
      <w:pPr>
        <w:rPr>
          <w:b/>
        </w:rPr>
      </w:pPr>
    </w:p>
    <w:p w14:paraId="5814B4EF" w14:textId="605B3302" w:rsidR="001A7C33" w:rsidRPr="00222AE0" w:rsidRDefault="001A7C33" w:rsidP="00222AE0">
      <w:pPr>
        <w:rPr>
          <w:b/>
        </w:rPr>
      </w:pPr>
      <w:r w:rsidRPr="00222AE0">
        <w:rPr>
          <w:b/>
        </w:rPr>
        <w:t xml:space="preserve">Costing ADL Kits </w:t>
      </w:r>
    </w:p>
    <w:p w14:paraId="2D6E266B" w14:textId="702D4710" w:rsidR="001A7C33" w:rsidRDefault="001A7C33" w:rsidP="001A7C33">
      <w:pPr>
        <w:pStyle w:val="ParaKeep"/>
      </w:pPr>
      <w:r>
        <w:t>Six AT Kits were selected and modified to represent low-cost AT to support common activities of daily living (ADL) that could be provided to any consumer (</w:t>
      </w:r>
      <w:r w:rsidR="00FF0BDF" w:rsidRPr="00FF0BDF">
        <w:rPr>
          <w:rStyle w:val="Italic"/>
        </w:rPr>
        <w:fldChar w:fldCharType="begin"/>
      </w:r>
      <w:r w:rsidR="00FF0BDF" w:rsidRPr="00FF0BDF">
        <w:rPr>
          <w:rStyle w:val="Italic"/>
        </w:rPr>
        <w:instrText xml:space="preserve"> REF _Ref42517709 \h </w:instrText>
      </w:r>
      <w:r w:rsidR="00FF0BDF">
        <w:rPr>
          <w:rStyle w:val="Italic"/>
        </w:rPr>
        <w:instrText xml:space="preserve"> \* MERGEFORMAT </w:instrText>
      </w:r>
      <w:r w:rsidR="00FF0BDF" w:rsidRPr="00FF0BDF">
        <w:rPr>
          <w:rStyle w:val="Italic"/>
        </w:rPr>
      </w:r>
      <w:r w:rsidR="00FF0BDF" w:rsidRPr="00FF0BDF">
        <w:rPr>
          <w:rStyle w:val="Italic"/>
        </w:rPr>
        <w:fldChar w:fldCharType="separate"/>
      </w:r>
      <w:r w:rsidR="00EB1774" w:rsidRPr="00EB1774">
        <w:rPr>
          <w:rStyle w:val="Italic"/>
        </w:rPr>
        <w:t>Table A</w:t>
      </w:r>
      <w:r w:rsidR="00EB1774" w:rsidRPr="00EB1774">
        <w:rPr>
          <w:rStyle w:val="Italic"/>
        </w:rPr>
        <w:noBreakHyphen/>
        <w:t>4</w:t>
      </w:r>
      <w:r w:rsidR="00FF0BDF" w:rsidRPr="00FF0BDF">
        <w:rPr>
          <w:rStyle w:val="Italic"/>
        </w:rPr>
        <w:fldChar w:fldCharType="end"/>
      </w:r>
      <w:r>
        <w:t>).</w:t>
      </w:r>
      <w:r w:rsidR="004511B3">
        <w:t xml:space="preserve"> </w:t>
      </w:r>
      <w:r>
        <w:t>These ADL Kits correspond to the most common services provided under the CHSP.</w:t>
      </w:r>
    </w:p>
    <w:p w14:paraId="1218B1B2" w14:textId="60D91D59" w:rsidR="001A7C33" w:rsidRPr="00636B05" w:rsidRDefault="00EA3322" w:rsidP="00222AE0">
      <w:bookmarkStart w:id="28" w:name="_Ref42517709"/>
      <w:bookmarkStart w:id="29" w:name="_Toc60999915"/>
      <w:r w:rsidRPr="0098673E">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FD5E41">
        <w:noBreakHyphen/>
      </w:r>
      <w:r w:rsidR="00FD5E41" w:rsidRPr="00BB7721">
        <w:fldChar w:fldCharType="begin"/>
      </w:r>
      <w:r w:rsidR="00FD5E41" w:rsidRPr="00BB7721">
        <w:instrText xml:space="preserve"> SEQ Table_Apx \* ARABIC \s 5 </w:instrText>
      </w:r>
      <w:r w:rsidR="00FD5E41" w:rsidRPr="00BB7721">
        <w:fldChar w:fldCharType="separate"/>
      </w:r>
      <w:r w:rsidR="00EB1774">
        <w:rPr>
          <w:noProof/>
        </w:rPr>
        <w:t>4</w:t>
      </w:r>
      <w:r w:rsidR="00FD5E41" w:rsidRPr="00BB7721">
        <w:fldChar w:fldCharType="end"/>
      </w:r>
      <w:bookmarkEnd w:id="28"/>
      <w:r w:rsidRPr="00BB7721">
        <w:t>:</w:t>
      </w:r>
      <w:r w:rsidRPr="00BB7721">
        <w:tab/>
      </w:r>
      <w:r w:rsidR="001A7C33" w:rsidRPr="00BB7721">
        <w:t>ADL kits</w:t>
      </w:r>
      <w:r w:rsidR="00F17878">
        <w:t xml:space="preserve"> description</w:t>
      </w:r>
      <w:bookmarkEnd w:id="29"/>
    </w:p>
    <w:tbl>
      <w:tblPr>
        <w:tblStyle w:val="AHALight"/>
        <w:tblW w:w="5001" w:type="pct"/>
        <w:tblLook w:val="04A0" w:firstRow="1" w:lastRow="0" w:firstColumn="1" w:lastColumn="0" w:noHBand="0" w:noVBand="1"/>
        <w:tblCaption w:val="Activities of daily living (ADL) kits (extracted from the previous table)"/>
        <w:tblDescription w:val="List of six low-cost AT kits to support common activities of daily living, their purpose, and the AT items in each kit."/>
      </w:tblPr>
      <w:tblGrid>
        <w:gridCol w:w="1698"/>
        <w:gridCol w:w="2555"/>
        <w:gridCol w:w="5387"/>
      </w:tblGrid>
      <w:tr w:rsidR="001245C0" w:rsidRPr="00636B05" w14:paraId="0D192838" w14:textId="77777777" w:rsidTr="00127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865A559" w14:textId="77777777" w:rsidR="001A7C33" w:rsidRPr="00636B05" w:rsidRDefault="001A7C33" w:rsidP="004C3036">
            <w:pPr>
              <w:pStyle w:val="TableHeading1"/>
            </w:pPr>
            <w:r w:rsidRPr="00636B05">
              <w:t>AT kit</w:t>
            </w:r>
          </w:p>
        </w:tc>
        <w:tc>
          <w:tcPr>
            <w:tcW w:w="1325" w:type="pct"/>
          </w:tcPr>
          <w:p w14:paraId="4E851D33" w14:textId="77777777" w:rsidR="001A7C33" w:rsidRPr="00636B05" w:rsidRDefault="001A7C33" w:rsidP="004C3036">
            <w:pPr>
              <w:pStyle w:val="TableHeading1"/>
              <w:cnfStyle w:val="100000000000" w:firstRow="1" w:lastRow="0" w:firstColumn="0" w:lastColumn="0" w:oddVBand="0" w:evenVBand="0" w:oddHBand="0" w:evenHBand="0" w:firstRowFirstColumn="0" w:firstRowLastColumn="0" w:lastRowFirstColumn="0" w:lastRowLastColumn="0"/>
            </w:pPr>
            <w:r w:rsidRPr="00636B05">
              <w:t>Purpose</w:t>
            </w:r>
          </w:p>
        </w:tc>
        <w:tc>
          <w:tcPr>
            <w:tcW w:w="2794" w:type="pct"/>
          </w:tcPr>
          <w:p w14:paraId="63BE0D82" w14:textId="77777777" w:rsidR="001A7C33" w:rsidRPr="00636B05" w:rsidRDefault="001A7C33" w:rsidP="004C3036">
            <w:pPr>
              <w:pStyle w:val="TableHeading1"/>
              <w:cnfStyle w:val="100000000000" w:firstRow="1" w:lastRow="0" w:firstColumn="0" w:lastColumn="0" w:oddVBand="0" w:evenVBand="0" w:oddHBand="0" w:evenHBand="0" w:firstRowFirstColumn="0" w:firstRowLastColumn="0" w:lastRowFirstColumn="0" w:lastRowLastColumn="0"/>
            </w:pPr>
            <w:r w:rsidRPr="00636B05">
              <w:t>AT items</w:t>
            </w:r>
          </w:p>
        </w:tc>
      </w:tr>
      <w:tr w:rsidR="001A7C33" w:rsidRPr="00636B05" w14:paraId="3E34521D"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928A6B7" w14:textId="77777777" w:rsidR="001A7C33" w:rsidRPr="00636B05" w:rsidRDefault="001A7C33" w:rsidP="004C3036">
            <w:pPr>
              <w:pStyle w:val="TableText"/>
            </w:pPr>
            <w:r w:rsidRPr="00636B05">
              <w:t>Bathing</w:t>
            </w:r>
          </w:p>
        </w:tc>
        <w:tc>
          <w:tcPr>
            <w:tcW w:w="1325" w:type="pct"/>
          </w:tcPr>
          <w:p w14:paraId="47908110"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Bathing</w:t>
            </w:r>
          </w:p>
        </w:tc>
        <w:tc>
          <w:tcPr>
            <w:tcW w:w="2794" w:type="pct"/>
          </w:tcPr>
          <w:p w14:paraId="0DB420B3"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Toe washing</w:t>
            </w:r>
          </w:p>
          <w:p w14:paraId="52573D5B"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Toe drying</w:t>
            </w:r>
          </w:p>
          <w:p w14:paraId="77D9AD16" w14:textId="77777777" w:rsidR="001A7C33"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Long-handled sponge</w:t>
            </w:r>
          </w:p>
          <w:p w14:paraId="74D22DCF" w14:textId="78C58CCC" w:rsidR="001A7C33" w:rsidRPr="00636B05" w:rsidRDefault="001A7C33" w:rsidP="006C7032">
            <w:pPr>
              <w:pStyle w:val="TableBullet1"/>
              <w:numPr>
                <w:ilvl w:val="0"/>
                <w:numId w:val="0"/>
              </w:numPr>
              <w:cnfStyle w:val="000000100000" w:firstRow="0" w:lastRow="0" w:firstColumn="0" w:lastColumn="0" w:oddVBand="0" w:evenVBand="0" w:oddHBand="1" w:evenHBand="0" w:firstRowFirstColumn="0" w:firstRowLastColumn="0" w:lastRowFirstColumn="0" w:lastRowLastColumn="0"/>
            </w:pPr>
          </w:p>
        </w:tc>
      </w:tr>
      <w:tr w:rsidR="00815CA5" w:rsidRPr="00636B05" w14:paraId="6D8BDB71" w14:textId="77777777" w:rsidTr="00127ABB">
        <w:tc>
          <w:tcPr>
            <w:cnfStyle w:val="001000000000" w:firstRow="0" w:lastRow="0" w:firstColumn="1" w:lastColumn="0" w:oddVBand="0" w:evenVBand="0" w:oddHBand="0" w:evenHBand="0" w:firstRowFirstColumn="0" w:firstRowLastColumn="0" w:lastRowFirstColumn="0" w:lastRowLastColumn="0"/>
            <w:tcW w:w="881" w:type="pct"/>
          </w:tcPr>
          <w:p w14:paraId="5CA0C40E" w14:textId="77777777" w:rsidR="001A7C33" w:rsidRPr="00636B05" w:rsidRDefault="001A7C33" w:rsidP="004C3036">
            <w:pPr>
              <w:pStyle w:val="TableText"/>
            </w:pPr>
            <w:r w:rsidRPr="00636B05">
              <w:t>Cleaning</w:t>
            </w:r>
          </w:p>
        </w:tc>
        <w:tc>
          <w:tcPr>
            <w:tcW w:w="1325" w:type="pct"/>
          </w:tcPr>
          <w:p w14:paraId="1E8E32EA"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Cleaning the house</w:t>
            </w:r>
          </w:p>
        </w:tc>
        <w:tc>
          <w:tcPr>
            <w:tcW w:w="2794" w:type="pct"/>
          </w:tcPr>
          <w:p w14:paraId="50440F14"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Long-handled dustpan</w:t>
            </w:r>
          </w:p>
          <w:p w14:paraId="5E034476"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Long-handled duster</w:t>
            </w:r>
          </w:p>
          <w:p w14:paraId="3E6646AC"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Lightweight power sweeper</w:t>
            </w:r>
          </w:p>
          <w:p w14:paraId="74B20C39"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Ergonomic mop</w:t>
            </w:r>
          </w:p>
        </w:tc>
      </w:tr>
      <w:tr w:rsidR="001A7C33" w:rsidRPr="00636B05" w14:paraId="786C6B3E"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217D246" w14:textId="77777777" w:rsidR="001A7C33" w:rsidRPr="00636B05" w:rsidRDefault="001A7C33" w:rsidP="004C3036">
            <w:pPr>
              <w:pStyle w:val="TableText"/>
            </w:pPr>
            <w:r w:rsidRPr="00636B05">
              <w:t>Dressing</w:t>
            </w:r>
          </w:p>
        </w:tc>
        <w:tc>
          <w:tcPr>
            <w:tcW w:w="1325" w:type="pct"/>
          </w:tcPr>
          <w:p w14:paraId="36EA7C1B"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Dressing and undressing</w:t>
            </w:r>
          </w:p>
        </w:tc>
        <w:tc>
          <w:tcPr>
            <w:tcW w:w="2794" w:type="pct"/>
          </w:tcPr>
          <w:p w14:paraId="5CA7E5E2"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Sock donner</w:t>
            </w:r>
          </w:p>
          <w:p w14:paraId="302AF348"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Button hook</w:t>
            </w:r>
          </w:p>
          <w:p w14:paraId="7AC3E55F"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Dressing stick</w:t>
            </w:r>
          </w:p>
          <w:p w14:paraId="48437402"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Long-handled shoehorn</w:t>
            </w:r>
          </w:p>
          <w:p w14:paraId="5EC64C5D"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Long-handled reacher</w:t>
            </w:r>
          </w:p>
        </w:tc>
      </w:tr>
      <w:tr w:rsidR="00815CA5" w:rsidRPr="00636B05" w14:paraId="4E9FDE35" w14:textId="77777777" w:rsidTr="00127ABB">
        <w:tc>
          <w:tcPr>
            <w:cnfStyle w:val="001000000000" w:firstRow="0" w:lastRow="0" w:firstColumn="1" w:lastColumn="0" w:oddVBand="0" w:evenVBand="0" w:oddHBand="0" w:evenHBand="0" w:firstRowFirstColumn="0" w:firstRowLastColumn="0" w:lastRowFirstColumn="0" w:lastRowLastColumn="0"/>
            <w:tcW w:w="881" w:type="pct"/>
          </w:tcPr>
          <w:p w14:paraId="725B1318" w14:textId="77777777" w:rsidR="001A7C33" w:rsidRPr="00636B05" w:rsidRDefault="001A7C33" w:rsidP="004C3036">
            <w:pPr>
              <w:pStyle w:val="TableText"/>
            </w:pPr>
            <w:r w:rsidRPr="00636B05">
              <w:t>Eating and drinking</w:t>
            </w:r>
          </w:p>
        </w:tc>
        <w:tc>
          <w:tcPr>
            <w:tcW w:w="1325" w:type="pct"/>
          </w:tcPr>
          <w:p w14:paraId="2AF87D60"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Eating and drinking</w:t>
            </w:r>
          </w:p>
        </w:tc>
        <w:tc>
          <w:tcPr>
            <w:tcW w:w="2794" w:type="pct"/>
          </w:tcPr>
          <w:p w14:paraId="19EE96E2"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Two-handled and/or insulated shatterproof cups</w:t>
            </w:r>
          </w:p>
          <w:p w14:paraId="711F08C2"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Built-up handle cutlery</w:t>
            </w:r>
          </w:p>
        </w:tc>
      </w:tr>
      <w:tr w:rsidR="001A7C33" w:rsidRPr="00636B05" w14:paraId="657A543B"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AF13DD3" w14:textId="77777777" w:rsidR="001A7C33" w:rsidRPr="00636B05" w:rsidRDefault="001A7C33" w:rsidP="004C3036">
            <w:pPr>
              <w:pStyle w:val="TableText"/>
            </w:pPr>
            <w:r w:rsidRPr="00636B05">
              <w:t>Food preparation</w:t>
            </w:r>
          </w:p>
        </w:tc>
        <w:tc>
          <w:tcPr>
            <w:tcW w:w="1325" w:type="pct"/>
          </w:tcPr>
          <w:p w14:paraId="63DD6C24" w14:textId="77777777" w:rsidR="001A7C33" w:rsidRPr="00636B05" w:rsidRDefault="001A7C33" w:rsidP="004C3036">
            <w:pPr>
              <w:pStyle w:val="TableText"/>
              <w:cnfStyle w:val="000000100000" w:firstRow="0" w:lastRow="0" w:firstColumn="0" w:lastColumn="0" w:oddVBand="0" w:evenVBand="0" w:oddHBand="1" w:evenHBand="0" w:firstRowFirstColumn="0" w:firstRowLastColumn="0" w:lastRowFirstColumn="0" w:lastRowLastColumn="0"/>
            </w:pPr>
            <w:r w:rsidRPr="00636B05">
              <w:t>Food preparation in the kitchen</w:t>
            </w:r>
          </w:p>
        </w:tc>
        <w:tc>
          <w:tcPr>
            <w:tcW w:w="2794" w:type="pct"/>
          </w:tcPr>
          <w:p w14:paraId="408A9807"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Powered can opener</w:t>
            </w:r>
          </w:p>
          <w:p w14:paraId="1FF718C4"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Large-grip peeler</w:t>
            </w:r>
          </w:p>
          <w:p w14:paraId="657DD0F9"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Buttering board</w:t>
            </w:r>
          </w:p>
          <w:p w14:paraId="26C6BC05"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Jar opener</w:t>
            </w:r>
          </w:p>
          <w:p w14:paraId="3127E44F" w14:textId="77777777"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Kettle tipper</w:t>
            </w:r>
          </w:p>
          <w:p w14:paraId="421973C0" w14:textId="55F113C1" w:rsidR="001A7C33" w:rsidRPr="00636B05" w:rsidRDefault="001A7C33" w:rsidP="004C3036">
            <w:pPr>
              <w:pStyle w:val="TableBullet1"/>
              <w:cnfStyle w:val="000000100000" w:firstRow="0" w:lastRow="0" w:firstColumn="0" w:lastColumn="0" w:oddVBand="0" w:evenVBand="0" w:oddHBand="1" w:evenHBand="0" w:firstRowFirstColumn="0" w:firstRowLastColumn="0" w:lastRowFirstColumn="0" w:lastRowLastColumn="0"/>
            </w:pPr>
            <w:r w:rsidRPr="00636B05">
              <w:t>Tap turner</w:t>
            </w:r>
          </w:p>
        </w:tc>
      </w:tr>
      <w:tr w:rsidR="001A7C33" w:rsidRPr="00636B05" w14:paraId="22FE457F" w14:textId="77777777" w:rsidTr="00127ABB">
        <w:tc>
          <w:tcPr>
            <w:cnfStyle w:val="001000000000" w:firstRow="0" w:lastRow="0" w:firstColumn="1" w:lastColumn="0" w:oddVBand="0" w:evenVBand="0" w:oddHBand="0" w:evenHBand="0" w:firstRowFirstColumn="0" w:firstRowLastColumn="0" w:lastRowFirstColumn="0" w:lastRowLastColumn="0"/>
            <w:tcW w:w="881" w:type="pct"/>
          </w:tcPr>
          <w:p w14:paraId="73AF8690" w14:textId="77777777" w:rsidR="001A7C33" w:rsidRPr="00636B05" w:rsidRDefault="001A7C33" w:rsidP="004C3036">
            <w:pPr>
              <w:pStyle w:val="TableText"/>
            </w:pPr>
            <w:r w:rsidRPr="00636B05">
              <w:t>Laundry</w:t>
            </w:r>
          </w:p>
        </w:tc>
        <w:tc>
          <w:tcPr>
            <w:tcW w:w="1325" w:type="pct"/>
          </w:tcPr>
          <w:p w14:paraId="2FCA2512" w14:textId="77777777" w:rsidR="001A7C33" w:rsidRPr="00636B05" w:rsidRDefault="001A7C33" w:rsidP="004C3036">
            <w:pPr>
              <w:pStyle w:val="TableText"/>
              <w:cnfStyle w:val="000000000000" w:firstRow="0" w:lastRow="0" w:firstColumn="0" w:lastColumn="0" w:oddVBand="0" w:evenVBand="0" w:oddHBand="0" w:evenHBand="0" w:firstRowFirstColumn="0" w:firstRowLastColumn="0" w:lastRowFirstColumn="0" w:lastRowLastColumn="0"/>
            </w:pPr>
            <w:r w:rsidRPr="00636B05">
              <w:t>Modifying the laundry environment for laundry access; completing laundry tasks</w:t>
            </w:r>
          </w:p>
        </w:tc>
        <w:tc>
          <w:tcPr>
            <w:tcW w:w="2794" w:type="pct"/>
          </w:tcPr>
          <w:p w14:paraId="78FCE699"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Drying rack</w:t>
            </w:r>
          </w:p>
          <w:p w14:paraId="19276B3A"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Laundry trolley</w:t>
            </w:r>
          </w:p>
          <w:p w14:paraId="18495C6D"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Easy grip pegs</w:t>
            </w:r>
          </w:p>
          <w:p w14:paraId="516B7898" w14:textId="77777777" w:rsidR="001A7C33" w:rsidRPr="00636B05" w:rsidRDefault="001A7C33" w:rsidP="004C3036">
            <w:pPr>
              <w:pStyle w:val="TableBullet1"/>
              <w:cnfStyle w:val="000000000000" w:firstRow="0" w:lastRow="0" w:firstColumn="0" w:lastColumn="0" w:oddVBand="0" w:evenVBand="0" w:oddHBand="0" w:evenHBand="0" w:firstRowFirstColumn="0" w:firstRowLastColumn="0" w:lastRowFirstColumn="0" w:lastRowLastColumn="0"/>
            </w:pPr>
            <w:r w:rsidRPr="00636B05">
              <w:t>Side opening appliances or stealth shelf</w:t>
            </w:r>
          </w:p>
        </w:tc>
      </w:tr>
    </w:tbl>
    <w:p w14:paraId="5A64081F" w14:textId="77777777" w:rsidR="00222AE0" w:rsidRDefault="00222AE0" w:rsidP="00222AE0">
      <w:pPr>
        <w:rPr>
          <w:b/>
        </w:rPr>
      </w:pPr>
    </w:p>
    <w:p w14:paraId="4DBB81B9" w14:textId="1369BC28" w:rsidR="00D15E95" w:rsidRPr="00222AE0" w:rsidRDefault="00D15E95" w:rsidP="00222AE0">
      <w:pPr>
        <w:rPr>
          <w:b/>
        </w:rPr>
      </w:pPr>
      <w:r w:rsidRPr="00222AE0">
        <w:rPr>
          <w:b/>
        </w:rPr>
        <w:lastRenderedPageBreak/>
        <w:t>Costing AT Services</w:t>
      </w:r>
    </w:p>
    <w:p w14:paraId="0267437C" w14:textId="6415C4EE" w:rsidR="000D4900" w:rsidRDefault="00E048A7" w:rsidP="00F17878">
      <w:pPr>
        <w:pStyle w:val="ParaKeep"/>
        <w:rPr>
          <w:noProof/>
        </w:rPr>
      </w:pPr>
      <w:r>
        <w:t>The</w:t>
      </w:r>
      <w:r w:rsidRPr="00636B05">
        <w:t xml:space="preserve"> seven steps to good clinical practice</w:t>
      </w:r>
      <w:r>
        <w:t xml:space="preserve"> </w:t>
      </w:r>
      <w:r w:rsidR="00F17878">
        <w:t>(</w:t>
      </w:r>
      <w:r w:rsidR="00F17878" w:rsidRPr="0005623E">
        <w:rPr>
          <w:i/>
          <w:iCs/>
        </w:rPr>
        <w:t>Figure A-4</w:t>
      </w:r>
      <w:r w:rsidR="00F17878">
        <w:t>)</w:t>
      </w:r>
      <w:r>
        <w:t xml:space="preserve"> </w:t>
      </w:r>
      <w:r w:rsidR="000D4900">
        <w:t>is used by the Australian Rehabilitation and Assistive Technology Association in its Statement of Good Practice and is also referred to by the NDIS as a cornerstone of AT services delivery</w:t>
      </w:r>
      <w:r w:rsidR="000D4900" w:rsidRPr="000D4900">
        <w:t xml:space="preserve"> </w:t>
      </w:r>
      <w:r w:rsidR="000D4900" w:rsidRPr="00636B05">
        <w:t>for the provision of AT</w:t>
      </w:r>
      <w:r w:rsidR="00EE2F39">
        <w:t xml:space="preserve"> </w:t>
      </w:r>
      <w:r w:rsidR="00A4214C">
        <w:t>(ARATA</w:t>
      </w:r>
      <w:r w:rsidR="000D4900" w:rsidRPr="00636B05">
        <w:fldChar w:fldCharType="begin"/>
      </w:r>
      <w:r w:rsidR="000D4900" w:rsidRPr="00636B05">
        <w:instrText xml:space="preserve">  EN.CITE &lt;EndNote&gt;&lt;Cite&gt;&lt;Author&gt;AAATE&lt;/Author&gt;&lt;Year&gt;2018&lt;/Year&gt;&lt;RecNum&gt;54&lt;/RecNum&gt;&lt;DisplayText&gt;(AAATE, 2018)&lt;/DisplayText&gt;&lt;record&gt;&lt;rec-number&gt;54&lt;/rec-number&gt;&lt;foreign-keys&gt;&lt;key app="EN" db-id="z0f5xrvehzt9xzexr2k5apf1psvsftpfvp52" timestamp="1583555836"&gt;54&lt;/key&gt;&lt;/foreign-keys&gt;&lt;ref-type name="Journal Article"&gt;17&lt;/ref-type&gt;&lt;contributors&gt;&lt;authors&gt;&lt;author&gt;AAATE&lt;/author&gt;&lt;/authors&gt;&lt;/contributors&gt;&lt;titles&gt;&lt;title&gt;AAATE WORKSHOP 2018 Excellence in the Process of AT Provision. &lt;/title&gt;&lt;secondary-title&gt;Retrieved from Linz, Austria: http://aaate.net/workshop-2018/&lt;/secondary-title&gt;&lt;/titles&gt;&lt;periodical&gt;&lt;full-title&gt;Retrieved from Linz, Austria: http://aaate.net/workshop-2018/&lt;/full-title&gt;&lt;/periodical&gt;&lt;dates&gt;&lt;year&gt;2018&lt;/year&gt;&lt;/dates&gt;&lt;urls&gt;&lt;/urls&gt;&lt;/record&gt;&lt;/Cite&gt;&lt;/EndNote&gt;</w:instrText>
      </w:r>
      <w:r w:rsidR="000D4900" w:rsidRPr="00636B05">
        <w:fldChar w:fldCharType="separate"/>
      </w:r>
      <w:r w:rsidR="000D4900" w:rsidRPr="00636B05">
        <w:t>(AAATE, 2018)</w:t>
      </w:r>
      <w:r w:rsidR="000D4900" w:rsidRPr="00636B05">
        <w:fldChar w:fldCharType="end"/>
      </w:r>
      <w:r w:rsidR="00A4214C">
        <w:t>, 2016)</w:t>
      </w:r>
      <w:r w:rsidR="00EE2F39">
        <w:t>.</w:t>
      </w:r>
    </w:p>
    <w:p w14:paraId="46D07ABE" w14:textId="60025FEC" w:rsidR="000D4900" w:rsidRDefault="000D4900" w:rsidP="000D4900">
      <w:pPr>
        <w:pStyle w:val="Paragraph"/>
      </w:pPr>
      <w:r>
        <w:t xml:space="preserve">In this review, consistent with the seven steps to good clinical practice (where relevant to their activities), new program options are proposed for consumers outside of the aged care system. Services that relate to these new program options include information, advice and a new Standard AT Screen. These services are designed to support the appropriate provision of AT and aid in minimising AT abandonment. </w:t>
      </w:r>
    </w:p>
    <w:p w14:paraId="25E7FB7C" w14:textId="77777777" w:rsidR="000D4900" w:rsidRDefault="000D4900" w:rsidP="000D4900">
      <w:pPr>
        <w:pStyle w:val="Paragraph"/>
      </w:pPr>
      <w:r>
        <w:t xml:space="preserve">The program options proposed in </w:t>
      </w:r>
      <w:r w:rsidRPr="000938B5">
        <w:rPr>
          <w:rStyle w:val="Italic"/>
        </w:rPr>
        <w:t>Final Report, Chapter 4</w:t>
      </w:r>
      <w:r>
        <w:rPr>
          <w:i/>
          <w:iCs/>
        </w:rPr>
        <w:t xml:space="preserve"> </w:t>
      </w:r>
      <w:r>
        <w:t>will boost the availability of AT. Additional CHSP allied health assessments needed to provide AT assessments have been costed in the model and use the average costs of a CHSP allied health assessment</w:t>
      </w:r>
      <w:r w:rsidRPr="009D064D">
        <w:t xml:space="preserve"> </w:t>
      </w:r>
      <w:r>
        <w:t>based on 2018-19 CHSP program data. A total cost of $133.38 per assessment has been used for a 90-minute assessment and 30 minutes of travel time.</w:t>
      </w:r>
    </w:p>
    <w:p w14:paraId="218E5366" w14:textId="4677A3FE" w:rsidR="008C4923" w:rsidRDefault="008C4923" w:rsidP="00222AE0">
      <w:bookmarkStart w:id="30" w:name="_Toc60999876"/>
      <w:bookmarkStart w:id="31" w:name="_Ref34748135"/>
      <w:bookmarkStart w:id="32" w:name="_Toc35011719"/>
      <w:bookmarkStart w:id="33" w:name="_Toc42086377"/>
      <w:r>
        <w:t>Figure </w:t>
      </w:r>
      <w:r>
        <w:fldChar w:fldCharType="begin"/>
      </w:r>
      <w:r>
        <w:instrText xml:space="preserve"> STYLEREF 5 \s </w:instrText>
      </w:r>
      <w:r>
        <w:fldChar w:fldCharType="separate"/>
      </w:r>
      <w:r w:rsidR="00EB1774">
        <w:rPr>
          <w:noProof/>
        </w:rPr>
        <w:t>A</w:t>
      </w:r>
      <w:r>
        <w:fldChar w:fldCharType="end"/>
      </w:r>
      <w:r w:rsidR="006562A7">
        <w:t>-4</w:t>
      </w:r>
      <w:r>
        <w:t>:</w:t>
      </w:r>
      <w:r>
        <w:tab/>
        <w:t xml:space="preserve"> </w:t>
      </w:r>
      <w:r w:rsidRPr="00636B05">
        <w:t>Seven steps to good clinical practice for AT</w:t>
      </w:r>
      <w:bookmarkEnd w:id="30"/>
    </w:p>
    <w:p w14:paraId="010F498B" w14:textId="2E036906" w:rsidR="00FD216B" w:rsidRDefault="00454AAD">
      <w:r>
        <w:rPr>
          <w:noProof/>
          <w:lang w:val="en-AU" w:eastAsia="en-AU"/>
        </w:rPr>
        <w:drawing>
          <wp:inline distT="0" distB="0" distL="0" distR="0" wp14:anchorId="01F9836A" wp14:editId="24AB128D">
            <wp:extent cx="6120000" cy="4657090"/>
            <wp:effectExtent l="38100" t="0" r="14605" b="48260"/>
            <wp:docPr id="35" name="Diagram 35" descr="1. Initiate: First contact with the service delivery system&#10;2. Assessment: Evaluation of needs&#10;3. Selection of assistive solution(s): Defining the individual AT programme&#10;4. Selection of the equipment: Choosing the specific equipment within the AT programme&#10;5. Authorisation: Obtaining funding&#10;6. Implementation: Delivering the equipment to the user, fitting and training&#10;7. Management and follow-up: Maintenance and periodic verification&#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End w:id="31"/>
      <w:bookmarkEnd w:id="32"/>
      <w:bookmarkEnd w:id="33"/>
    </w:p>
    <w:p w14:paraId="2C1C76DF" w14:textId="21328155" w:rsidR="001A7C33" w:rsidRPr="00222AE0" w:rsidRDefault="00B51AA9" w:rsidP="00222AE0">
      <w:pPr>
        <w:pStyle w:val="Heading3"/>
      </w:pPr>
      <w:r w:rsidRPr="00222AE0">
        <w:lastRenderedPageBreak/>
        <w:t>Step 3: Benchmarking against ‘real life’ archetypes</w:t>
      </w:r>
    </w:p>
    <w:p w14:paraId="1BDBBD19" w14:textId="1DE20CF2" w:rsidR="00D15E95" w:rsidRPr="00636B05" w:rsidRDefault="00D15E95" w:rsidP="00D15E95">
      <w:pPr>
        <w:pStyle w:val="ParaKeep"/>
      </w:pPr>
      <w:r w:rsidRPr="00636B05">
        <w:t xml:space="preserve">Through an interactive and iterative process, we </w:t>
      </w:r>
      <w:r>
        <w:t xml:space="preserve">initially </w:t>
      </w:r>
      <w:r w:rsidRPr="00636B05">
        <w:t>developed a 15 Archetypes based on de</w:t>
      </w:r>
      <w:r w:rsidRPr="00636B05">
        <w:noBreakHyphen/>
        <w:t xml:space="preserve">identified past </w:t>
      </w:r>
      <w:r>
        <w:t>CHSP</w:t>
      </w:r>
      <w:r w:rsidRPr="00636B05">
        <w:t xml:space="preserve"> </w:t>
      </w:r>
      <w:r>
        <w:t>consumers</w:t>
      </w:r>
      <w:r w:rsidRPr="00636B05">
        <w:t>.</w:t>
      </w:r>
      <w:r w:rsidR="004511B3">
        <w:t xml:space="preserve"> </w:t>
      </w:r>
      <w:r>
        <w:t>This was undertaken to test how the AT Products costed in Step 4 (primary analysis) would compare to the likely cost AT required by ‘real life’ aged care consumers.</w:t>
      </w:r>
      <w:r w:rsidR="004511B3">
        <w:t xml:space="preserve"> </w:t>
      </w:r>
      <w:r w:rsidRPr="00636B05">
        <w:t>As part of this process, we</w:t>
      </w:r>
      <w:r>
        <w:t>:</w:t>
      </w:r>
    </w:p>
    <w:p w14:paraId="57F23901" w14:textId="77777777" w:rsidR="00D15E95" w:rsidRPr="00636B05" w:rsidRDefault="00D15E95" w:rsidP="00D15E95">
      <w:pPr>
        <w:pStyle w:val="Bullet1"/>
      </w:pPr>
      <w:r w:rsidRPr="00993226">
        <w:rPr>
          <w:b/>
          <w:bCs/>
        </w:rPr>
        <w:t>R</w:t>
      </w:r>
      <w:r>
        <w:rPr>
          <w:b/>
          <w:bCs/>
        </w:rPr>
        <w:t>eviewed r</w:t>
      </w:r>
      <w:r w:rsidRPr="00993226">
        <w:rPr>
          <w:b/>
          <w:bCs/>
        </w:rPr>
        <w:t xml:space="preserve">ecommendations from </w:t>
      </w:r>
      <w:r>
        <w:rPr>
          <w:b/>
          <w:bCs/>
        </w:rPr>
        <w:t>88 audit file</w:t>
      </w:r>
      <w:r w:rsidRPr="00993226">
        <w:rPr>
          <w:b/>
          <w:bCs/>
        </w:rPr>
        <w:t xml:space="preserve"> support plans </w:t>
      </w:r>
      <w:r>
        <w:t>where consumers</w:t>
      </w:r>
      <w:r w:rsidRPr="00636B05">
        <w:t xml:space="preserve"> received either CHSP Goods and Equipment or Home Modification</w:t>
      </w:r>
      <w:r>
        <w:t xml:space="preserve"> (HM)</w:t>
      </w:r>
      <w:r w:rsidRPr="00636B05">
        <w:t xml:space="preserve"> services</w:t>
      </w:r>
      <w:r>
        <w:t xml:space="preserve"> </w:t>
      </w:r>
    </w:p>
    <w:p w14:paraId="0281BBCD" w14:textId="103CDA1A" w:rsidR="00D15E95" w:rsidRPr="00636B05" w:rsidRDefault="00D15E95" w:rsidP="00D15E95">
      <w:pPr>
        <w:pStyle w:val="Bullet1Keep"/>
      </w:pPr>
      <w:r>
        <w:rPr>
          <w:b/>
          <w:bCs/>
        </w:rPr>
        <w:t>Mapped recommendations in support</w:t>
      </w:r>
      <w:r w:rsidRPr="00993226">
        <w:rPr>
          <w:b/>
          <w:bCs/>
        </w:rPr>
        <w:t xml:space="preserve"> plans to existing Australian Government-funded aged care programs</w:t>
      </w:r>
      <w:r w:rsidRPr="00636B05">
        <w:t>.</w:t>
      </w:r>
      <w:r w:rsidR="004511B3">
        <w:t xml:space="preserve"> </w:t>
      </w:r>
      <w:r w:rsidRPr="00636B05">
        <w:t>These included recommendations for:</w:t>
      </w:r>
    </w:p>
    <w:p w14:paraId="460E522F" w14:textId="77777777" w:rsidR="00D15E95" w:rsidRPr="00636B05" w:rsidRDefault="00D15E95" w:rsidP="00D15E95">
      <w:pPr>
        <w:pStyle w:val="Bullet2"/>
      </w:pPr>
      <w:r w:rsidRPr="00636B05">
        <w:t>Provision of AT only or HM only within CHSP</w:t>
      </w:r>
    </w:p>
    <w:p w14:paraId="2E739D16" w14:textId="3E4DCBFC" w:rsidR="00D15E95" w:rsidRPr="00636B05" w:rsidRDefault="00D15E95" w:rsidP="00D15E95">
      <w:pPr>
        <w:pStyle w:val="Bullet2"/>
      </w:pPr>
      <w:r w:rsidRPr="00636B05">
        <w:t xml:space="preserve">Provision of </w:t>
      </w:r>
      <w:r w:rsidR="004E2F56">
        <w:t>AT</w:t>
      </w:r>
      <w:r w:rsidR="004E2F56" w:rsidRPr="00636B05">
        <w:t xml:space="preserve"> and</w:t>
      </w:r>
      <w:r w:rsidRPr="00636B05">
        <w:t xml:space="preserve"> other services</w:t>
      </w:r>
      <w:r>
        <w:t xml:space="preserve"> (e.g. domestic assistance, personal care)</w:t>
      </w:r>
      <w:r w:rsidRPr="00636B05">
        <w:t xml:space="preserve"> within CHSP</w:t>
      </w:r>
    </w:p>
    <w:p w14:paraId="245E0E77" w14:textId="77777777" w:rsidR="00D15E95" w:rsidRPr="00636B05" w:rsidRDefault="00D15E95" w:rsidP="00D15E95">
      <w:pPr>
        <w:pStyle w:val="Bullet2"/>
      </w:pPr>
      <w:r w:rsidRPr="00636B05">
        <w:t>Reablement within CHSP</w:t>
      </w:r>
    </w:p>
    <w:p w14:paraId="475DAAEB" w14:textId="77777777" w:rsidR="00D15E95" w:rsidRPr="00636B05" w:rsidRDefault="00D15E95" w:rsidP="00D15E95">
      <w:pPr>
        <w:pStyle w:val="Bullet2"/>
      </w:pPr>
      <w:r w:rsidRPr="00636B05">
        <w:t>HCP Levels 1–4</w:t>
      </w:r>
    </w:p>
    <w:p w14:paraId="6F72E258" w14:textId="77777777" w:rsidR="00D15E95" w:rsidRPr="00636B05" w:rsidRDefault="00D15E95" w:rsidP="00D15E95">
      <w:pPr>
        <w:pStyle w:val="Bullet2"/>
      </w:pPr>
      <w:r w:rsidRPr="00636B05">
        <w:t>Residential Aged Care</w:t>
      </w:r>
    </w:p>
    <w:p w14:paraId="2562362B" w14:textId="77777777" w:rsidR="00D15E95" w:rsidRPr="00636B05" w:rsidRDefault="00D15E95" w:rsidP="00D15E95">
      <w:pPr>
        <w:pStyle w:val="Bullet2"/>
      </w:pPr>
      <w:r w:rsidRPr="00636B05">
        <w:t>Transition Care or Short-Term Restorative Care</w:t>
      </w:r>
    </w:p>
    <w:p w14:paraId="43C4CE30" w14:textId="77777777" w:rsidR="00D15E95" w:rsidRDefault="00D15E95" w:rsidP="00D15E95">
      <w:pPr>
        <w:pStyle w:val="Bullet1"/>
      </w:pPr>
      <w:r w:rsidRPr="00B36F1F">
        <w:rPr>
          <w:b/>
          <w:bCs/>
        </w:rPr>
        <w:t xml:space="preserve">Selected </w:t>
      </w:r>
      <w:r w:rsidRPr="00B36F1F">
        <w:rPr>
          <w:b/>
        </w:rPr>
        <w:t>15 archetypes</w:t>
      </w:r>
      <w:r w:rsidRPr="00636B05">
        <w:t xml:space="preserve"> to represent all the Australian Government aged care programs, the four ABS SDAC limitation categories, and the major ISO 9999 AT categories.</w:t>
      </w:r>
    </w:p>
    <w:p w14:paraId="7026D49C" w14:textId="77777777" w:rsidR="00D15E95" w:rsidRPr="00636B05" w:rsidRDefault="00D15E95" w:rsidP="00D15E95">
      <w:pPr>
        <w:pStyle w:val="Bullet1"/>
      </w:pPr>
      <w:r>
        <w:rPr>
          <w:b/>
          <w:bCs/>
        </w:rPr>
        <w:t>Identified c</w:t>
      </w:r>
      <w:r w:rsidRPr="000922FB">
        <w:rPr>
          <w:b/>
          <w:bCs/>
        </w:rPr>
        <w:t>linically</w:t>
      </w:r>
      <w:r>
        <w:rPr>
          <w:b/>
          <w:bCs/>
        </w:rPr>
        <w:t>-</w:t>
      </w:r>
      <w:r w:rsidRPr="000922FB">
        <w:rPr>
          <w:b/>
          <w:bCs/>
        </w:rPr>
        <w:t xml:space="preserve">appropriate AT Products </w:t>
      </w:r>
      <w:r>
        <w:t>using the AT products and service list for each Archetype.</w:t>
      </w:r>
    </w:p>
    <w:p w14:paraId="1CB76853" w14:textId="2D3FF520" w:rsidR="00D15E95" w:rsidRDefault="00D15E95" w:rsidP="00D15E95">
      <w:pPr>
        <w:pStyle w:val="Bullet1"/>
      </w:pPr>
      <w:r>
        <w:rPr>
          <w:b/>
          <w:bCs/>
        </w:rPr>
        <w:t>Allocated c</w:t>
      </w:r>
      <w:r w:rsidRPr="000922FB">
        <w:rPr>
          <w:b/>
          <w:bCs/>
        </w:rPr>
        <w:t xml:space="preserve">osts for AT Products </w:t>
      </w:r>
      <w:r w:rsidRPr="00636B05">
        <w:t>for each Archetype.</w:t>
      </w:r>
      <w:r w:rsidR="004511B3">
        <w:t xml:space="preserve"> </w:t>
      </w:r>
      <w:r w:rsidRPr="00636B05">
        <w:t>All costs are presented in $AUD 2019</w:t>
      </w:r>
      <w:r w:rsidRPr="00636B05">
        <w:noBreakHyphen/>
        <w:t>20 to represent the net present value (NPV).</w:t>
      </w:r>
      <w:r w:rsidR="004511B3">
        <w:t xml:space="preserve"> </w:t>
      </w:r>
      <w:r w:rsidRPr="00636B05">
        <w:t>Costs prior to 2019</w:t>
      </w:r>
      <w:r w:rsidRPr="00636B05">
        <w:noBreakHyphen/>
        <w:t>20 were inflated by CPI to achieve a 2019</w:t>
      </w:r>
      <w:r w:rsidRPr="00636B05">
        <w:noBreakHyphen/>
        <w:t xml:space="preserve">20 NPV </w:t>
      </w:r>
      <w:sdt>
        <w:sdtPr>
          <w:tag w:val="MENDELEY_CITATION_173c8c1f-1d28-4ee6-b68a-6d749085df9e"/>
          <w:id w:val="1557353253"/>
          <w:placeholder>
            <w:docPart w:val="0C551C9AA14F404595B93B01D78A6DF4"/>
          </w:placeholder>
        </w:sdtPr>
        <w:sdtEndPr/>
        <w:sdtContent>
          <w:r w:rsidRPr="00636B05">
            <w:t>(Australian Bureau of Statistics, 2020)</w:t>
          </w:r>
        </w:sdtContent>
      </w:sdt>
      <w:r w:rsidRPr="00636B05">
        <w:t>.</w:t>
      </w:r>
    </w:p>
    <w:p w14:paraId="4329F12C" w14:textId="395D2087" w:rsidR="00D15E95" w:rsidRDefault="00D15E95" w:rsidP="00D15E95">
      <w:pPr>
        <w:pStyle w:val="Bullet1"/>
        <w:numPr>
          <w:ilvl w:val="0"/>
          <w:numId w:val="0"/>
        </w:numPr>
      </w:pPr>
      <w:r>
        <w:t xml:space="preserve">From these, four Archetypes were selected to represent each impairment category and these were used in the benefits analysis detailed in </w:t>
      </w:r>
      <w:r w:rsidRPr="00FF0BDF">
        <w:rPr>
          <w:i/>
          <w:iCs/>
        </w:rPr>
        <w:t>Section</w:t>
      </w:r>
      <w:r w:rsidR="00FF0BDF" w:rsidRPr="00FF0BDF">
        <w:rPr>
          <w:i/>
          <w:iCs/>
        </w:rPr>
        <w:t> </w:t>
      </w:r>
      <w:r w:rsidR="00FF0BDF" w:rsidRPr="00FF0BDF">
        <w:rPr>
          <w:i/>
          <w:iCs/>
        </w:rPr>
        <w:fldChar w:fldCharType="begin"/>
      </w:r>
      <w:r w:rsidR="00FF0BDF" w:rsidRPr="00FF0BDF">
        <w:rPr>
          <w:i/>
          <w:iCs/>
        </w:rPr>
        <w:instrText xml:space="preserve"> REF _Ref42517873 \n \h </w:instrText>
      </w:r>
      <w:r w:rsidR="00FF0BDF">
        <w:rPr>
          <w:i/>
          <w:iCs/>
        </w:rPr>
        <w:instrText xml:space="preserve"> \* MERGEFORMAT </w:instrText>
      </w:r>
      <w:r w:rsidR="00FF0BDF" w:rsidRPr="00FF0BDF">
        <w:rPr>
          <w:i/>
          <w:iCs/>
        </w:rPr>
      </w:r>
      <w:r w:rsidR="00FF0BDF" w:rsidRPr="00FF0BDF">
        <w:rPr>
          <w:i/>
          <w:iCs/>
        </w:rPr>
        <w:fldChar w:fldCharType="separate"/>
      </w:r>
      <w:r w:rsidR="00EB1774">
        <w:rPr>
          <w:i/>
          <w:iCs/>
        </w:rPr>
        <w:t>A.5.3</w:t>
      </w:r>
      <w:r w:rsidR="00FF0BDF" w:rsidRPr="00FF0BDF">
        <w:rPr>
          <w:i/>
          <w:iCs/>
        </w:rPr>
        <w:fldChar w:fldCharType="end"/>
      </w:r>
      <w:r>
        <w:rPr>
          <w:i/>
          <w:iCs/>
        </w:rPr>
        <w:t>.</w:t>
      </w:r>
    </w:p>
    <w:p w14:paraId="3B160797" w14:textId="77777777" w:rsidR="00D15E95" w:rsidRPr="00222AE0" w:rsidRDefault="00D15E95" w:rsidP="00222AE0">
      <w:pPr>
        <w:rPr>
          <w:b/>
          <w:sz w:val="28"/>
          <w:szCs w:val="28"/>
        </w:rPr>
      </w:pPr>
      <w:r w:rsidRPr="00222AE0">
        <w:rPr>
          <w:b/>
          <w:sz w:val="28"/>
          <w:szCs w:val="28"/>
        </w:rPr>
        <w:t>Results</w:t>
      </w:r>
    </w:p>
    <w:p w14:paraId="572E0731" w14:textId="7C5B9F4F" w:rsidR="00FD216B" w:rsidRDefault="00C34855" w:rsidP="00D15E95">
      <w:pPr>
        <w:pStyle w:val="Bullet1"/>
        <w:numPr>
          <w:ilvl w:val="0"/>
          <w:numId w:val="0"/>
        </w:numPr>
      </w:pPr>
      <w:r>
        <w:t xml:space="preserve">Four archetypes were used in the Delphi technique analysis. </w:t>
      </w:r>
      <w:r w:rsidR="00D15E95">
        <w:t xml:space="preserve">The </w:t>
      </w:r>
      <w:r w:rsidR="00223762">
        <w:t xml:space="preserve">full set of </w:t>
      </w:r>
      <w:r w:rsidR="00394B97">
        <w:t>Archetypes</w:t>
      </w:r>
      <w:r w:rsidR="00223762">
        <w:t xml:space="preserve"> are detailed in</w:t>
      </w:r>
      <w:r w:rsidR="00223762" w:rsidRPr="0084327D">
        <w:rPr>
          <w:i/>
          <w:iCs/>
        </w:rPr>
        <w:t xml:space="preserve"> </w:t>
      </w:r>
      <w:r w:rsidR="0084327D" w:rsidRPr="0084327D">
        <w:rPr>
          <w:i/>
          <w:iCs/>
        </w:rPr>
        <w:fldChar w:fldCharType="begin"/>
      </w:r>
      <w:r w:rsidR="0084327D" w:rsidRPr="0084327D">
        <w:rPr>
          <w:i/>
          <w:iCs/>
        </w:rPr>
        <w:instrText xml:space="preserve"> REF _Ref34736272 \r \h </w:instrText>
      </w:r>
      <w:r w:rsidR="0084327D">
        <w:rPr>
          <w:i/>
          <w:iCs/>
        </w:rPr>
        <w:instrText xml:space="preserve"> \* MERGEFORMAT </w:instrText>
      </w:r>
      <w:r w:rsidR="0084327D" w:rsidRPr="0084327D">
        <w:rPr>
          <w:i/>
          <w:iCs/>
        </w:rPr>
      </w:r>
      <w:r w:rsidR="0084327D" w:rsidRPr="0084327D">
        <w:rPr>
          <w:i/>
          <w:iCs/>
        </w:rPr>
        <w:fldChar w:fldCharType="separate"/>
      </w:r>
      <w:r w:rsidR="00EB1774">
        <w:rPr>
          <w:i/>
          <w:iCs/>
        </w:rPr>
        <w:t>Appendix D</w:t>
      </w:r>
      <w:r w:rsidR="0084327D" w:rsidRPr="0084327D">
        <w:rPr>
          <w:i/>
          <w:iCs/>
        </w:rPr>
        <w:fldChar w:fldCharType="end"/>
      </w:r>
      <w:r w:rsidR="0084327D">
        <w:t>. The</w:t>
      </w:r>
      <w:r w:rsidR="00394B97">
        <w:t xml:space="preserve"> </w:t>
      </w:r>
      <w:r>
        <w:t>results</w:t>
      </w:r>
      <w:r w:rsidR="00394B97">
        <w:t xml:space="preserve"> the De</w:t>
      </w:r>
      <w:r>
        <w:t>l</w:t>
      </w:r>
      <w:r w:rsidR="00394B97">
        <w:t xml:space="preserve">phi technique </w:t>
      </w:r>
      <w:r w:rsidR="0084327D">
        <w:t xml:space="preserve">are </w:t>
      </w:r>
      <w:r>
        <w:t xml:space="preserve">detailed </w:t>
      </w:r>
      <w:r w:rsidR="0084327D">
        <w:t>in</w:t>
      </w:r>
      <w:r w:rsidR="00394B97">
        <w:t xml:space="preserve"> </w:t>
      </w:r>
      <w:r w:rsidR="00394B97" w:rsidRPr="00394B97">
        <w:rPr>
          <w:i/>
          <w:iCs/>
        </w:rPr>
        <w:t>Appendix</w:t>
      </w:r>
      <w:r w:rsidR="0084327D" w:rsidRPr="00394B97">
        <w:rPr>
          <w:i/>
          <w:iCs/>
        </w:rPr>
        <w:t xml:space="preserve"> </w:t>
      </w:r>
      <w:r w:rsidR="00394B97" w:rsidRPr="00394B97">
        <w:rPr>
          <w:i/>
          <w:iCs/>
        </w:rPr>
        <w:fldChar w:fldCharType="begin"/>
      </w:r>
      <w:r w:rsidR="00394B97" w:rsidRPr="00394B97">
        <w:rPr>
          <w:i/>
          <w:iCs/>
        </w:rPr>
        <w:instrText xml:space="preserve"> REF _Ref42681023 \r \h </w:instrText>
      </w:r>
      <w:r w:rsidR="00394B97">
        <w:rPr>
          <w:i/>
          <w:iCs/>
        </w:rPr>
        <w:instrText xml:space="preserve"> \* MERGEFORMAT </w:instrText>
      </w:r>
      <w:r w:rsidR="00394B97" w:rsidRPr="00394B97">
        <w:rPr>
          <w:i/>
          <w:iCs/>
        </w:rPr>
      </w:r>
      <w:r w:rsidR="00394B97" w:rsidRPr="00394B97">
        <w:rPr>
          <w:i/>
          <w:iCs/>
        </w:rPr>
        <w:fldChar w:fldCharType="separate"/>
      </w:r>
      <w:r w:rsidR="00EB1774">
        <w:rPr>
          <w:i/>
          <w:iCs/>
        </w:rPr>
        <w:t>C.3.3</w:t>
      </w:r>
      <w:r w:rsidR="00394B97" w:rsidRPr="00394B97">
        <w:rPr>
          <w:i/>
          <w:iCs/>
        </w:rPr>
        <w:fldChar w:fldCharType="end"/>
      </w:r>
      <w:r w:rsidR="00D15E95">
        <w:rPr>
          <w:i/>
          <w:iCs/>
        </w:rPr>
        <w:t>.</w:t>
      </w:r>
    </w:p>
    <w:p w14:paraId="27BA42C9" w14:textId="77777777" w:rsidR="00FD216B" w:rsidRDefault="00FD216B">
      <w:pPr>
        <w:rPr>
          <w:lang w:eastAsia="en-AU"/>
        </w:rPr>
      </w:pPr>
      <w:r>
        <w:br w:type="page"/>
      </w:r>
    </w:p>
    <w:p w14:paraId="5F29909C" w14:textId="0EC829D0" w:rsidR="001A7C33" w:rsidRDefault="001A7C33" w:rsidP="00222AE0">
      <w:pPr>
        <w:pStyle w:val="Heading3"/>
      </w:pPr>
      <w:r>
        <w:lastRenderedPageBreak/>
        <w:t xml:space="preserve">Step 4: Cost AT Products for total population </w:t>
      </w:r>
    </w:p>
    <w:p w14:paraId="2A7D2989" w14:textId="77777777" w:rsidR="00222AE0" w:rsidRDefault="00222AE0" w:rsidP="00222AE0">
      <w:pPr>
        <w:rPr>
          <w:b/>
          <w:sz w:val="28"/>
          <w:szCs w:val="28"/>
        </w:rPr>
      </w:pPr>
    </w:p>
    <w:p w14:paraId="589D9539" w14:textId="31126A1A" w:rsidR="001A7C33" w:rsidRPr="00222AE0" w:rsidRDefault="001A7C33" w:rsidP="00222AE0">
      <w:pPr>
        <w:rPr>
          <w:b/>
          <w:sz w:val="28"/>
          <w:szCs w:val="28"/>
        </w:rPr>
      </w:pPr>
      <w:r w:rsidRPr="00222AE0">
        <w:rPr>
          <w:b/>
          <w:sz w:val="28"/>
          <w:szCs w:val="28"/>
        </w:rPr>
        <w:t>Methods</w:t>
      </w:r>
    </w:p>
    <w:p w14:paraId="38DB2B18" w14:textId="154EAD9F" w:rsidR="001A7C33" w:rsidRDefault="001A7C33" w:rsidP="001A7C33">
      <w:pPr>
        <w:pStyle w:val="Paragraph"/>
      </w:pPr>
      <w:r>
        <w:t xml:space="preserve">Total costs </w:t>
      </w:r>
      <w:r w:rsidRPr="00636B05">
        <w:t>across the four limitation categories</w:t>
      </w:r>
      <w:r>
        <w:t xml:space="preserve"> were</w:t>
      </w:r>
      <w:r w:rsidRPr="00636B05">
        <w:t xml:space="preserve"> calculated per person, per year, and multiplied to find the cost per five years</w:t>
      </w:r>
      <w:r>
        <w:t>, which is the time horizon for the analysis</w:t>
      </w:r>
      <w:r w:rsidRPr="00636B05">
        <w:t xml:space="preserve">. Where equipment alternatives were </w:t>
      </w:r>
      <w:r>
        <w:t>available</w:t>
      </w:r>
      <w:r w:rsidRPr="00636B05">
        <w:t>, only one option was selected.</w:t>
      </w:r>
      <w:r w:rsidR="004511B3">
        <w:t xml:space="preserve"> </w:t>
      </w:r>
      <w:r>
        <w:t xml:space="preserve">Costs were identified </w:t>
      </w:r>
      <w:r w:rsidR="00C34855">
        <w:t xml:space="preserve">for </w:t>
      </w:r>
      <w:r>
        <w:t xml:space="preserve">1 year and </w:t>
      </w:r>
      <w:r w:rsidR="00DD6357">
        <w:t xml:space="preserve">over </w:t>
      </w:r>
      <w:r>
        <w:t xml:space="preserve">5 years. </w:t>
      </w:r>
    </w:p>
    <w:p w14:paraId="4B111527" w14:textId="56180EB8" w:rsidR="001A7C33" w:rsidRPr="00636B05" w:rsidRDefault="00DD6357" w:rsidP="001A7C33">
      <w:pPr>
        <w:pStyle w:val="Paragraph"/>
      </w:pPr>
      <w:r>
        <w:t xml:space="preserve">While the NDIS applied a </w:t>
      </w:r>
      <w:r w:rsidR="001A7C33">
        <w:t xml:space="preserve">40% </w:t>
      </w:r>
      <w:r w:rsidR="001A7C33" w:rsidRPr="00636B05">
        <w:t>loading for remote and very remote areas</w:t>
      </w:r>
      <w:r>
        <w:t>,</w:t>
      </w:r>
      <w:r w:rsidR="001A7C33" w:rsidRPr="00636B05">
        <w:t xml:space="preserve"> based on the </w:t>
      </w:r>
      <w:r w:rsidR="001A7C33" w:rsidRPr="004C4533">
        <w:rPr>
          <w:rStyle w:val="Italic"/>
        </w:rPr>
        <w:t>NDIS 2019</w:t>
      </w:r>
      <w:r w:rsidR="001A7C33" w:rsidRPr="004C4533">
        <w:rPr>
          <w:rStyle w:val="Italic"/>
        </w:rPr>
        <w:noBreakHyphen/>
        <w:t>20 Price Guide</w:t>
      </w:r>
      <w:r w:rsidR="001A7C33" w:rsidRPr="00636B05">
        <w:t xml:space="preserve"> </w:t>
      </w:r>
      <w:r w:rsidR="001A7C33">
        <w:fldChar w:fldCharType="begin" w:fldLock="1"/>
      </w:r>
      <w:r w:rsidR="00184FBE">
        <w:instrText>ADDIN CSL_CITATION {"citationItems":[{"id":"ITEM-1","itemData":{"author":[{"dropping-particle":"","family":"National Disability Insurance Agency","given":"","non-dropping-particle":"","parse-names":false,"suffix":""}],"id":"ITEM-1","issue":"February","issued":{"date-parts":[["2020"]]},"page":"1-50","title":"NDIS Price Guide 2019-20","type":"article-journal","volume":"2.1"},"uris":["http://www.mendeley.com/documents/?uuid=b717996f-bd3b-4cb1-a273-d989685df03d"]}],"mendeley":{"formattedCitation":"(National Disability Insurance Agency 2020)","plainTextFormattedCitation":"(National Disability Insurance Agency 2020)","previouslyFormattedCitation":"(National Disability Insurance Agency 2020)"},"properties":{"noteIndex":0},"schema":"https://github.com/citation-style-language/schema/raw/master/csl-citation.json"}</w:instrText>
      </w:r>
      <w:r w:rsidR="001A7C33">
        <w:fldChar w:fldCharType="separate"/>
      </w:r>
      <w:r w:rsidR="001A7C33" w:rsidRPr="007E1949">
        <w:rPr>
          <w:noProof/>
        </w:rPr>
        <w:t>(National Disability Insurance Agency 2020)</w:t>
      </w:r>
      <w:r w:rsidR="001A7C33">
        <w:fldChar w:fldCharType="end"/>
      </w:r>
      <w:r>
        <w:t>, this was not applied to the current AT review</w:t>
      </w:r>
      <w:r w:rsidR="001A7C33">
        <w:t>.</w:t>
      </w:r>
      <w:r w:rsidR="001A7C33" w:rsidRPr="00636B05">
        <w:t xml:space="preserve"> </w:t>
      </w:r>
      <w:r w:rsidR="001A7C33" w:rsidRPr="00ED4EE6">
        <w:rPr>
          <w:highlight w:val="yellow"/>
        </w:rPr>
        <w:fldChar w:fldCharType="begin"/>
      </w:r>
      <w:r w:rsidR="001A7C33" w:rsidRPr="00ED4EE6">
        <w:rPr>
          <w:highlight w:val="yellow"/>
        </w:rPr>
        <w:instrText xml:space="preserve">  EN.CITE &lt;EndNote&gt;&lt;Cite&gt;&lt;Author&gt;Ong&lt;/Author&gt;&lt;Year&gt;2009&lt;/Year&gt;&lt;RecNum&gt;51&lt;/RecNum&gt;&lt;DisplayText&gt;(Ong et al., 2009)&lt;/DisplayText&gt;&lt;record&gt;&lt;rec-number&gt;51&lt;/rec-number&gt;&lt;foreign-keys&gt;&lt;key app="EN" db-id="z0f5xrvehzt9xzexr2k5apf1psvsftpfvp52" timestamp="1583036248"&gt;51&lt;/key&gt;&lt;/foreign-keys&gt;&lt;ref-type name="Journal Article"&gt;17&lt;/ref-type&gt;&lt;contributors&gt;&lt;authors&gt;&lt;author&gt;Ong, Katherine S&lt;/author&gt;&lt;author&gt;Kelaher, Margaret&lt;/author&gt;&lt;author&gt;Anderson, Ian&lt;/author&gt;&lt;author&gt;Carter, Rob&lt;/author&gt;&lt;/authors&gt;&lt;/contributors&gt;&lt;titles&gt;&lt;title&gt;A cost-based equity weight for use in the economic evaluation of primary health care interventions: case study of the Australian Indigenous population&lt;/title&gt;&lt;secondary-title&gt;International journal for equity in health&lt;/secondary-title&gt;&lt;/titles&gt;&lt;periodical&gt;&lt;full-title&gt;International journal for equity in health&lt;/full-title&gt;&lt;/periodical&gt;&lt;pages&gt;34&lt;/pages&gt;&lt;volume&gt;8&lt;/volume&gt;&lt;number&gt;1&lt;/number&gt;&lt;dates&gt;&lt;year&gt;2009&lt;/year&gt;&lt;/dates&gt;&lt;isbn&gt;1475-9276&lt;/isbn&gt;&lt;urls&gt;&lt;/urls&gt;&lt;/record&gt;&lt;/Cite&gt;&lt;/EndNote&gt;</w:instrText>
      </w:r>
      <w:r w:rsidR="001A7C33" w:rsidRPr="00ED4EE6">
        <w:rPr>
          <w:highlight w:val="yellow"/>
        </w:rPr>
        <w:fldChar w:fldCharType="separate"/>
      </w:r>
      <w:r w:rsidR="001A7C33" w:rsidRPr="00ED4EE6">
        <w:rPr>
          <w:highlight w:val="yellow"/>
        </w:rPr>
        <w:t>(Ong et al., 2009)</w:t>
      </w:r>
      <w:r w:rsidR="001A7C33" w:rsidRPr="00ED4EE6">
        <w:rPr>
          <w:highlight w:val="yellow"/>
        </w:rPr>
        <w:fldChar w:fldCharType="end"/>
      </w:r>
    </w:p>
    <w:p w14:paraId="6E665520" w14:textId="77777777" w:rsidR="001A7C33" w:rsidRPr="00636B05" w:rsidRDefault="001A7C33" w:rsidP="00222AE0">
      <w:r w:rsidRPr="00222AE0">
        <w:rPr>
          <w:b/>
          <w:sz w:val="28"/>
          <w:szCs w:val="28"/>
        </w:rPr>
        <w:t>Results</w:t>
      </w:r>
    </w:p>
    <w:p w14:paraId="3790A3A1" w14:textId="411F463D" w:rsidR="00DC1782" w:rsidRPr="00636B05" w:rsidRDefault="0022118C" w:rsidP="00DC1782">
      <w:pPr>
        <w:pStyle w:val="ParaKeep"/>
      </w:pPr>
      <w:r w:rsidRPr="0022118C">
        <w:rPr>
          <w:rStyle w:val="Italic"/>
        </w:rPr>
        <w:fldChar w:fldCharType="begin"/>
      </w:r>
      <w:r w:rsidRPr="0022118C">
        <w:rPr>
          <w:rStyle w:val="Italic"/>
        </w:rPr>
        <w:instrText xml:space="preserve"> REF _Ref42513433 \h </w:instrText>
      </w:r>
      <w:r>
        <w:rPr>
          <w:rStyle w:val="Italic"/>
        </w:rPr>
        <w:instrText xml:space="preserve"> \* MERGEFORMAT </w:instrText>
      </w:r>
      <w:r w:rsidRPr="0022118C">
        <w:rPr>
          <w:rStyle w:val="Italic"/>
        </w:rPr>
      </w:r>
      <w:r w:rsidRPr="0022118C">
        <w:rPr>
          <w:rStyle w:val="Italic"/>
        </w:rPr>
        <w:fldChar w:fldCharType="separate"/>
      </w:r>
      <w:r w:rsidR="00EB1774" w:rsidRPr="00EB1774">
        <w:rPr>
          <w:rStyle w:val="Italic"/>
        </w:rPr>
        <w:t>Table A</w:t>
      </w:r>
      <w:r w:rsidR="00EB1774" w:rsidRPr="00EB1774">
        <w:rPr>
          <w:rStyle w:val="Italic"/>
        </w:rPr>
        <w:noBreakHyphen/>
        <w:t>5</w:t>
      </w:r>
      <w:r w:rsidRPr="0022118C">
        <w:rPr>
          <w:rStyle w:val="Italic"/>
        </w:rPr>
        <w:fldChar w:fldCharType="end"/>
      </w:r>
      <w:r>
        <w:t xml:space="preserve"> </w:t>
      </w:r>
      <w:r w:rsidR="00DC1782">
        <w:t>extrapolates the cost of AT costs for the total population of older Australians with an impairment based on the total of AT product costs.</w:t>
      </w:r>
      <w:r w:rsidR="004511B3">
        <w:t xml:space="preserve"> </w:t>
      </w:r>
      <w:r w:rsidR="00DC1782" w:rsidRPr="00636B05">
        <w:t xml:space="preserve">The total cost for providing </w:t>
      </w:r>
      <w:r w:rsidR="00DC1782">
        <w:t xml:space="preserve">AT </w:t>
      </w:r>
      <w:r w:rsidR="00DC1782" w:rsidRPr="00636B05">
        <w:t xml:space="preserve">to the identified population of </w:t>
      </w:r>
      <w:r w:rsidR="00DC1782">
        <w:t>1.66 </w:t>
      </w:r>
      <w:r w:rsidR="00DC1782" w:rsidRPr="00636B05">
        <w:t xml:space="preserve">million </w:t>
      </w:r>
      <w:r w:rsidR="00DC1782">
        <w:t>older Australians</w:t>
      </w:r>
      <w:r w:rsidR="00DC1782" w:rsidRPr="00636B05">
        <w:t xml:space="preserve"> was $</w:t>
      </w:r>
      <w:r w:rsidR="00DC1782">
        <w:t>971.1</w:t>
      </w:r>
      <w:r w:rsidR="00BA5AEE">
        <w:t>3</w:t>
      </w:r>
      <w:r w:rsidR="004511B3">
        <w:t xml:space="preserve"> </w:t>
      </w:r>
      <w:r w:rsidR="00DC1782">
        <w:t>million</w:t>
      </w:r>
      <w:r w:rsidR="00DC1782" w:rsidRPr="00636B05">
        <w:t xml:space="preserve"> per year.</w:t>
      </w:r>
      <w:r w:rsidR="004511B3">
        <w:t xml:space="preserve"> </w:t>
      </w:r>
      <w:r w:rsidR="00DC1782" w:rsidRPr="00636B05">
        <w:t>This is broken down annually into:</w:t>
      </w:r>
    </w:p>
    <w:p w14:paraId="42E237B2" w14:textId="0B918885" w:rsidR="00DC1782" w:rsidRPr="00636B05" w:rsidRDefault="00DC1782" w:rsidP="00DC1782">
      <w:pPr>
        <w:pStyle w:val="Bullet1"/>
      </w:pPr>
      <w:r w:rsidRPr="00636B05">
        <w:t>$</w:t>
      </w:r>
      <w:r>
        <w:t>66 </w:t>
      </w:r>
      <w:r w:rsidRPr="00636B05">
        <w:t xml:space="preserve">million </w:t>
      </w:r>
      <w:r>
        <w:t xml:space="preserve">per year </w:t>
      </w:r>
      <w:r w:rsidRPr="00636B05">
        <w:t xml:space="preserve">for the </w:t>
      </w:r>
      <w:r>
        <w:rPr>
          <w:rStyle w:val="Bold"/>
        </w:rPr>
        <w:t>m</w:t>
      </w:r>
      <w:r w:rsidRPr="00706140">
        <w:rPr>
          <w:rStyle w:val="Bold"/>
        </w:rPr>
        <w:t>ild</w:t>
      </w:r>
      <w:r w:rsidRPr="00636B05">
        <w:t xml:space="preserve"> category</w:t>
      </w:r>
    </w:p>
    <w:p w14:paraId="7B7F8A31" w14:textId="77777777" w:rsidR="00DC1782" w:rsidRPr="00636B05" w:rsidRDefault="00DC1782" w:rsidP="00DC1782">
      <w:pPr>
        <w:pStyle w:val="Bullet1"/>
      </w:pPr>
      <w:r w:rsidRPr="00636B05">
        <w:t>$</w:t>
      </w:r>
      <w:r>
        <w:t>127 </w:t>
      </w:r>
      <w:r w:rsidRPr="00636B05">
        <w:t xml:space="preserve">million </w:t>
      </w:r>
      <w:r>
        <w:t xml:space="preserve">per year </w:t>
      </w:r>
      <w:r w:rsidRPr="00636B05">
        <w:t xml:space="preserve">for the </w:t>
      </w:r>
      <w:r>
        <w:rPr>
          <w:rStyle w:val="Bold"/>
        </w:rPr>
        <w:t>m</w:t>
      </w:r>
      <w:r w:rsidRPr="00706140">
        <w:rPr>
          <w:rStyle w:val="Bold"/>
        </w:rPr>
        <w:t>oderate</w:t>
      </w:r>
      <w:r w:rsidRPr="00636B05">
        <w:t xml:space="preserve"> category</w:t>
      </w:r>
    </w:p>
    <w:p w14:paraId="66E57488" w14:textId="74716A63" w:rsidR="00DC1782" w:rsidRPr="00636B05" w:rsidRDefault="00DC1782" w:rsidP="00DC1782">
      <w:pPr>
        <w:pStyle w:val="Bullet1"/>
      </w:pPr>
      <w:r w:rsidRPr="00636B05">
        <w:t>$</w:t>
      </w:r>
      <w:r>
        <w:t>303</w:t>
      </w:r>
      <w:r w:rsidR="004511B3">
        <w:t xml:space="preserve"> </w:t>
      </w:r>
      <w:r>
        <w:t>m</w:t>
      </w:r>
      <w:r w:rsidRPr="00636B05">
        <w:t xml:space="preserve">illion </w:t>
      </w:r>
      <w:r>
        <w:t xml:space="preserve">per year </w:t>
      </w:r>
      <w:r w:rsidRPr="00636B05">
        <w:t xml:space="preserve">for the </w:t>
      </w:r>
      <w:r>
        <w:rPr>
          <w:rStyle w:val="Bold"/>
        </w:rPr>
        <w:t>s</w:t>
      </w:r>
      <w:r w:rsidRPr="00706140">
        <w:rPr>
          <w:rStyle w:val="Bold"/>
        </w:rPr>
        <w:t>evere</w:t>
      </w:r>
      <w:r w:rsidRPr="00636B05">
        <w:t xml:space="preserve"> category</w:t>
      </w:r>
    </w:p>
    <w:p w14:paraId="0BB473A1" w14:textId="509085FE" w:rsidR="00DC1782" w:rsidRPr="00636B05" w:rsidRDefault="00DC1782" w:rsidP="00DC1782">
      <w:pPr>
        <w:pStyle w:val="Bullet1"/>
      </w:pPr>
      <w:r w:rsidRPr="00636B05">
        <w:t>$</w:t>
      </w:r>
      <w:r>
        <w:t>475</w:t>
      </w:r>
      <w:r w:rsidR="004511B3">
        <w:t xml:space="preserve"> </w:t>
      </w:r>
      <w:r>
        <w:t>m</w:t>
      </w:r>
      <w:r w:rsidRPr="00636B05">
        <w:t xml:space="preserve">illion </w:t>
      </w:r>
      <w:r>
        <w:t xml:space="preserve">per year </w:t>
      </w:r>
      <w:r w:rsidRPr="00636B05">
        <w:t xml:space="preserve">for the </w:t>
      </w:r>
      <w:r>
        <w:rPr>
          <w:rStyle w:val="Bold"/>
        </w:rPr>
        <w:t>p</w:t>
      </w:r>
      <w:r w:rsidRPr="00706140">
        <w:rPr>
          <w:rStyle w:val="Bold"/>
        </w:rPr>
        <w:t>rofound</w:t>
      </w:r>
      <w:r w:rsidRPr="00636B05">
        <w:t xml:space="preserve"> category.</w:t>
      </w:r>
    </w:p>
    <w:p w14:paraId="22B6BDCE" w14:textId="77777777" w:rsidR="00222AE0" w:rsidRDefault="00222AE0" w:rsidP="00222AE0">
      <w:bookmarkStart w:id="34" w:name="_Ref42513433"/>
      <w:bookmarkStart w:id="35" w:name="_Toc35011693"/>
      <w:bookmarkStart w:id="36" w:name="_Toc60999916"/>
      <w:bookmarkStart w:id="37" w:name="_Toc42243727"/>
    </w:p>
    <w:p w14:paraId="24C4A262" w14:textId="44D10B99" w:rsidR="00DC1782" w:rsidRPr="001379D3" w:rsidRDefault="0022118C" w:rsidP="00222AE0">
      <w:pPr>
        <w:rPr>
          <w:szCs w:val="16"/>
        </w:rPr>
      </w:pPr>
      <w:r w:rsidRPr="00EC48FA">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5</w:t>
      </w:r>
      <w:r w:rsidR="00FD5E41">
        <w:fldChar w:fldCharType="end"/>
      </w:r>
      <w:bookmarkEnd w:id="34"/>
      <w:r w:rsidRPr="00EC48FA">
        <w:t>:</w:t>
      </w:r>
      <w:r w:rsidRPr="00EC48FA">
        <w:tab/>
      </w:r>
      <w:r w:rsidR="00DC1782" w:rsidRPr="001379D3">
        <w:rPr>
          <w:szCs w:val="16"/>
        </w:rPr>
        <w:t xml:space="preserve">National total cost of </w:t>
      </w:r>
      <w:r w:rsidR="00DC1782">
        <w:rPr>
          <w:szCs w:val="16"/>
        </w:rPr>
        <w:t xml:space="preserve">AT </w:t>
      </w:r>
      <w:bookmarkEnd w:id="35"/>
      <w:r w:rsidR="00DC1782">
        <w:rPr>
          <w:szCs w:val="16"/>
        </w:rPr>
        <w:t>Products</w:t>
      </w:r>
      <w:bookmarkEnd w:id="36"/>
      <w:r w:rsidR="00DC1782">
        <w:rPr>
          <w:szCs w:val="16"/>
        </w:rPr>
        <w:t xml:space="preserve"> </w:t>
      </w:r>
      <w:bookmarkEnd w:id="37"/>
    </w:p>
    <w:tbl>
      <w:tblPr>
        <w:tblStyle w:val="AHALight"/>
        <w:tblW w:w="9638" w:type="dxa"/>
        <w:tblBorders>
          <w:top w:val="single" w:sz="4" w:space="0" w:color="D9D9D9" w:themeColor="background1" w:themeShade="D9"/>
          <w:left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E0" w:firstRow="1" w:lastRow="1" w:firstColumn="1" w:lastColumn="0" w:noHBand="0" w:noVBand="1"/>
        <w:tblCaption w:val="table A-5"/>
        <w:tblDescription w:val="National total cost of AT products"/>
      </w:tblPr>
      <w:tblGrid>
        <w:gridCol w:w="1134"/>
        <w:gridCol w:w="1276"/>
        <w:gridCol w:w="1418"/>
        <w:gridCol w:w="1134"/>
        <w:gridCol w:w="1417"/>
        <w:gridCol w:w="1418"/>
        <w:gridCol w:w="1841"/>
      </w:tblGrid>
      <w:tr w:rsidR="0022118C" w:rsidRPr="00636B05" w14:paraId="1EBF4C43" w14:textId="08D3BE64" w:rsidTr="00057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6965A9A" w14:textId="77777777" w:rsidR="00DD6357" w:rsidRPr="00636B05" w:rsidRDefault="00DD6357" w:rsidP="00127ABB">
            <w:pPr>
              <w:pStyle w:val="th1small"/>
            </w:pPr>
            <w:r w:rsidRPr="00636B05">
              <w:t>ABS SDAC category</w:t>
            </w:r>
          </w:p>
        </w:tc>
        <w:tc>
          <w:tcPr>
            <w:tcW w:w="1276" w:type="dxa"/>
          </w:tcPr>
          <w:p w14:paraId="711E86FB" w14:textId="77777777" w:rsidR="00DD6357" w:rsidRPr="00636B05" w:rsidRDefault="00DD6357" w:rsidP="00127ABB">
            <w:pPr>
              <w:pStyle w:val="th1small"/>
              <w:jc w:val="right"/>
              <w:cnfStyle w:val="100000000000" w:firstRow="1" w:lastRow="0" w:firstColumn="0" w:lastColumn="0" w:oddVBand="0" w:evenVBand="0" w:oddHBand="0" w:evenHBand="0" w:firstRowFirstColumn="0" w:firstRowLastColumn="0" w:lastRowFirstColumn="0" w:lastRowLastColumn="0"/>
            </w:pPr>
            <w:r w:rsidRPr="00636B05">
              <w:t>Non-Indigenous prevalence</w:t>
            </w:r>
          </w:p>
        </w:tc>
        <w:tc>
          <w:tcPr>
            <w:tcW w:w="1418" w:type="dxa"/>
          </w:tcPr>
          <w:p w14:paraId="3B2D3E80" w14:textId="77777777" w:rsidR="00DD6357" w:rsidRPr="00636B05" w:rsidRDefault="00DD6357" w:rsidP="00127ABB">
            <w:pPr>
              <w:pStyle w:val="th1small"/>
              <w:jc w:val="right"/>
              <w:cnfStyle w:val="100000000000" w:firstRow="1" w:lastRow="0" w:firstColumn="0" w:lastColumn="0" w:oddVBand="0" w:evenVBand="0" w:oddHBand="0" w:evenHBand="0" w:firstRowFirstColumn="0" w:firstRowLastColumn="0" w:lastRowFirstColumn="0" w:lastRowLastColumn="0"/>
            </w:pPr>
            <w:r w:rsidRPr="00636B05">
              <w:t>Aboriginal and Torres Strait Islander prevalence</w:t>
            </w:r>
          </w:p>
        </w:tc>
        <w:tc>
          <w:tcPr>
            <w:tcW w:w="1134" w:type="dxa"/>
          </w:tcPr>
          <w:p w14:paraId="51C37CF4" w14:textId="77777777" w:rsidR="00DD6357" w:rsidRPr="00636B05" w:rsidRDefault="00DD6357" w:rsidP="00127ABB">
            <w:pPr>
              <w:pStyle w:val="th1small"/>
              <w:jc w:val="right"/>
              <w:cnfStyle w:val="100000000000" w:firstRow="1" w:lastRow="0" w:firstColumn="0" w:lastColumn="0" w:oddVBand="0" w:evenVBand="0" w:oddHBand="0" w:evenHBand="0" w:firstRowFirstColumn="0" w:firstRowLastColumn="0" w:lastRowFirstColumn="0" w:lastRowLastColumn="0"/>
            </w:pPr>
            <w:r w:rsidRPr="00636B05">
              <w:t>Total prevalence</w:t>
            </w:r>
          </w:p>
        </w:tc>
        <w:tc>
          <w:tcPr>
            <w:tcW w:w="1417" w:type="dxa"/>
            <w:noWrap/>
            <w:hideMark/>
          </w:tcPr>
          <w:p w14:paraId="539D8F48" w14:textId="6D6A71D4" w:rsidR="00DD6357" w:rsidRPr="00636B05" w:rsidRDefault="00DD6357" w:rsidP="00127ABB">
            <w:pPr>
              <w:pStyle w:val="th1small"/>
              <w:jc w:val="right"/>
              <w:cnfStyle w:val="100000000000" w:firstRow="1" w:lastRow="0" w:firstColumn="0" w:lastColumn="0" w:oddVBand="0" w:evenVBand="0" w:oddHBand="0" w:evenHBand="0" w:firstRowFirstColumn="0" w:firstRowLastColumn="0" w:lastRowFirstColumn="0" w:lastRowLastColumn="0"/>
            </w:pPr>
            <w:r>
              <w:t xml:space="preserve">AT Product </w:t>
            </w:r>
            <w:r w:rsidRPr="00636B05">
              <w:t>cost per year</w:t>
            </w:r>
          </w:p>
        </w:tc>
        <w:tc>
          <w:tcPr>
            <w:tcW w:w="1418" w:type="dxa"/>
            <w:noWrap/>
            <w:hideMark/>
          </w:tcPr>
          <w:p w14:paraId="5E8E938C" w14:textId="3E258363" w:rsidR="00DD6357" w:rsidRPr="00636B05" w:rsidRDefault="00DD6357" w:rsidP="00127ABB">
            <w:pPr>
              <w:pStyle w:val="th1small"/>
              <w:jc w:val="right"/>
              <w:cnfStyle w:val="100000000000" w:firstRow="1" w:lastRow="0" w:firstColumn="0" w:lastColumn="0" w:oddVBand="0" w:evenVBand="0" w:oddHBand="0" w:evenHBand="0" w:firstRowFirstColumn="0" w:firstRowLastColumn="0" w:lastRowFirstColumn="0" w:lastRowLastColumn="0"/>
            </w:pPr>
            <w:r w:rsidRPr="00636B05">
              <w:t>Total cost</w:t>
            </w:r>
            <w:r w:rsidR="00084D8C">
              <w:t> </w:t>
            </w:r>
            <w:r w:rsidRPr="00636B05">
              <w:t>per</w:t>
            </w:r>
            <w:r w:rsidR="00084D8C">
              <w:t> </w:t>
            </w:r>
            <w:r w:rsidRPr="00636B05">
              <w:t>year</w:t>
            </w:r>
          </w:p>
        </w:tc>
        <w:tc>
          <w:tcPr>
            <w:tcW w:w="1841" w:type="dxa"/>
          </w:tcPr>
          <w:p w14:paraId="3E3BC756" w14:textId="5CF03EDD" w:rsidR="00DD6357" w:rsidRPr="00084D8C" w:rsidRDefault="00F17878" w:rsidP="00127ABB">
            <w:pPr>
              <w:pStyle w:val="th1small"/>
              <w:jc w:val="right"/>
              <w:cnfStyle w:val="100000000000" w:firstRow="1" w:lastRow="0" w:firstColumn="0" w:lastColumn="0" w:oddVBand="0" w:evenVBand="0" w:oddHBand="0" w:evenHBand="0" w:firstRowFirstColumn="0" w:firstRowLastColumn="0" w:lastRowFirstColumn="0" w:lastRowLastColumn="0"/>
              <w:rPr>
                <w:rStyle w:val="Bold"/>
                <w:b/>
                <w:color w:val="auto"/>
              </w:rPr>
            </w:pPr>
            <w:r>
              <w:t>Total cost per 5 years</w:t>
            </w:r>
            <w:r w:rsidRPr="00057B0A">
              <w:rPr>
                <w:vertAlign w:val="superscript"/>
              </w:rPr>
              <w:t xml:space="preserve"> 1</w:t>
            </w:r>
          </w:p>
        </w:tc>
      </w:tr>
      <w:tr w:rsidR="0022118C" w:rsidRPr="00636B05" w14:paraId="341777F8" w14:textId="165B1340" w:rsidTr="00057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79C1" w:themeColor="text2"/>
            </w:tcBorders>
            <w:noWrap/>
            <w:hideMark/>
          </w:tcPr>
          <w:p w14:paraId="2BDD571F" w14:textId="77777777" w:rsidR="00DD6357" w:rsidRPr="00636B05" w:rsidRDefault="00DD6357" w:rsidP="00127ABB">
            <w:pPr>
              <w:pStyle w:val="Tabletextsmall"/>
            </w:pPr>
            <w:r w:rsidRPr="00636B05">
              <w:t>Mild</w:t>
            </w:r>
          </w:p>
        </w:tc>
        <w:tc>
          <w:tcPr>
            <w:tcW w:w="1276" w:type="dxa"/>
            <w:tcBorders>
              <w:top w:val="single" w:sz="4" w:space="0" w:color="0079C1" w:themeColor="text2"/>
            </w:tcBorders>
          </w:tcPr>
          <w:p w14:paraId="6563FD40" w14:textId="77777777"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t>777,600</w:t>
            </w:r>
          </w:p>
        </w:tc>
        <w:tc>
          <w:tcPr>
            <w:tcW w:w="1418" w:type="dxa"/>
            <w:tcBorders>
              <w:top w:val="single" w:sz="4" w:space="0" w:color="0079C1" w:themeColor="text2"/>
            </w:tcBorders>
          </w:tcPr>
          <w:p w14:paraId="47F77AE8" w14:textId="77777777"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sidRPr="00636B05">
              <w:t>N/A</w:t>
            </w:r>
          </w:p>
        </w:tc>
        <w:tc>
          <w:tcPr>
            <w:tcW w:w="1134" w:type="dxa"/>
            <w:tcBorders>
              <w:top w:val="single" w:sz="4" w:space="0" w:color="0079C1" w:themeColor="text2"/>
            </w:tcBorders>
          </w:tcPr>
          <w:p w14:paraId="7C32FD61" w14:textId="77777777" w:rsidR="00DD6357" w:rsidRPr="00084D8C"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rPr>
                <w:rStyle w:val="Bold"/>
              </w:rPr>
            </w:pPr>
            <w:r w:rsidRPr="00084D8C">
              <w:rPr>
                <w:rStyle w:val="Bold"/>
              </w:rPr>
              <w:t>777,600</w:t>
            </w:r>
          </w:p>
        </w:tc>
        <w:tc>
          <w:tcPr>
            <w:tcW w:w="1417" w:type="dxa"/>
            <w:tcBorders>
              <w:top w:val="single" w:sz="4" w:space="0" w:color="0079C1" w:themeColor="text2"/>
            </w:tcBorders>
            <w:noWrap/>
            <w:hideMark/>
          </w:tcPr>
          <w:p w14:paraId="4B2F700B" w14:textId="77777777"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sidRPr="00636B05">
              <w:t>$</w:t>
            </w:r>
            <w:r>
              <w:t>85</w:t>
            </w:r>
          </w:p>
        </w:tc>
        <w:tc>
          <w:tcPr>
            <w:tcW w:w="1418" w:type="dxa"/>
            <w:tcBorders>
              <w:top w:val="single" w:sz="4" w:space="0" w:color="0079C1" w:themeColor="text2"/>
            </w:tcBorders>
            <w:noWrap/>
            <w:hideMark/>
          </w:tcPr>
          <w:p w14:paraId="75EA2EEF" w14:textId="44794327"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Pr>
                <w:rFonts w:cstheme="minorHAnsi"/>
                <w:szCs w:val="20"/>
              </w:rPr>
              <w:t>$</w:t>
            </w:r>
            <w:r w:rsidRPr="00BD6E81">
              <w:rPr>
                <w:rFonts w:cstheme="minorHAnsi"/>
                <w:szCs w:val="20"/>
              </w:rPr>
              <w:t>66</w:t>
            </w:r>
            <w:r>
              <w:rPr>
                <w:rFonts w:cstheme="minorHAnsi"/>
                <w:szCs w:val="20"/>
              </w:rPr>
              <w:t>,</w:t>
            </w:r>
            <w:r w:rsidRPr="00BD6E81">
              <w:rPr>
                <w:rFonts w:cstheme="minorHAnsi"/>
                <w:szCs w:val="20"/>
              </w:rPr>
              <w:t>60</w:t>
            </w:r>
            <w:r w:rsidR="00BA5AEE">
              <w:rPr>
                <w:rFonts w:cstheme="minorHAnsi"/>
                <w:szCs w:val="20"/>
              </w:rPr>
              <w:t>3</w:t>
            </w:r>
            <w:r>
              <w:rPr>
                <w:rFonts w:cstheme="minorHAnsi"/>
                <w:szCs w:val="20"/>
              </w:rPr>
              <w:t>,</w:t>
            </w:r>
            <w:r w:rsidR="00BA5AEE">
              <w:rPr>
                <w:rFonts w:cstheme="minorHAnsi"/>
                <w:szCs w:val="20"/>
              </w:rPr>
              <w:t>5</w:t>
            </w:r>
            <w:r w:rsidRPr="00BD6E81">
              <w:rPr>
                <w:rFonts w:cstheme="minorHAnsi"/>
                <w:szCs w:val="20"/>
              </w:rPr>
              <w:t>27</w:t>
            </w:r>
          </w:p>
        </w:tc>
        <w:tc>
          <w:tcPr>
            <w:tcW w:w="1841" w:type="dxa"/>
            <w:tcBorders>
              <w:top w:val="single" w:sz="4" w:space="0" w:color="0079C1" w:themeColor="text2"/>
            </w:tcBorders>
          </w:tcPr>
          <w:p w14:paraId="3EFE2C08" w14:textId="71CA8F00" w:rsidR="00DD6357" w:rsidRPr="007851F9"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Cs w:val="20"/>
                <w:lang w:val="en-AU"/>
              </w:rPr>
            </w:pPr>
            <w:r>
              <w:rPr>
                <w:rFonts w:ascii="Calibri" w:hAnsi="Calibri" w:cs="Calibri"/>
                <w:bCs/>
                <w:szCs w:val="20"/>
              </w:rPr>
              <w:t>$357,5</w:t>
            </w:r>
            <w:r w:rsidR="00BA5AEE">
              <w:rPr>
                <w:rFonts w:ascii="Calibri" w:hAnsi="Calibri" w:cs="Calibri"/>
                <w:bCs/>
                <w:szCs w:val="20"/>
              </w:rPr>
              <w:t>46</w:t>
            </w:r>
            <w:r>
              <w:rPr>
                <w:rFonts w:ascii="Calibri" w:hAnsi="Calibri" w:cs="Calibri"/>
                <w:bCs/>
                <w:szCs w:val="20"/>
              </w:rPr>
              <w:t>,</w:t>
            </w:r>
            <w:r w:rsidR="00BA5AEE">
              <w:rPr>
                <w:rFonts w:ascii="Calibri" w:hAnsi="Calibri" w:cs="Calibri"/>
                <w:bCs/>
                <w:szCs w:val="20"/>
              </w:rPr>
              <w:t>433</w:t>
            </w:r>
          </w:p>
        </w:tc>
      </w:tr>
      <w:tr w:rsidR="0022118C" w:rsidRPr="00636B05" w14:paraId="0BE7049F" w14:textId="37EC0812" w:rsidTr="00057B0A">
        <w:tc>
          <w:tcPr>
            <w:cnfStyle w:val="001000000000" w:firstRow="0" w:lastRow="0" w:firstColumn="1" w:lastColumn="0" w:oddVBand="0" w:evenVBand="0" w:oddHBand="0" w:evenHBand="0" w:firstRowFirstColumn="0" w:firstRowLastColumn="0" w:lastRowFirstColumn="0" w:lastRowLastColumn="0"/>
            <w:tcW w:w="1134" w:type="dxa"/>
            <w:noWrap/>
            <w:hideMark/>
          </w:tcPr>
          <w:p w14:paraId="0362235D" w14:textId="77777777" w:rsidR="00DD6357" w:rsidRPr="00636B05" w:rsidRDefault="00DD6357" w:rsidP="00127ABB">
            <w:pPr>
              <w:pStyle w:val="Tabletextsmall"/>
            </w:pPr>
            <w:r w:rsidRPr="00636B05">
              <w:t>Moderate</w:t>
            </w:r>
          </w:p>
        </w:tc>
        <w:tc>
          <w:tcPr>
            <w:tcW w:w="1276" w:type="dxa"/>
          </w:tcPr>
          <w:p w14:paraId="66F35816" w14:textId="77777777"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Pr>
                <w:rFonts w:cstheme="minorHAnsi"/>
                <w:szCs w:val="20"/>
              </w:rPr>
              <w:t>290,300</w:t>
            </w:r>
          </w:p>
        </w:tc>
        <w:tc>
          <w:tcPr>
            <w:tcW w:w="1418" w:type="dxa"/>
          </w:tcPr>
          <w:p w14:paraId="208731C4" w14:textId="77777777"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49,096</w:t>
            </w:r>
          </w:p>
        </w:tc>
        <w:tc>
          <w:tcPr>
            <w:tcW w:w="1134" w:type="dxa"/>
          </w:tcPr>
          <w:p w14:paraId="7D8CE3A6" w14:textId="77777777" w:rsidR="00DD6357" w:rsidRPr="00084D8C"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rPr>
                <w:rStyle w:val="Bold"/>
              </w:rPr>
            </w:pPr>
            <w:r w:rsidRPr="00084D8C">
              <w:rPr>
                <w:rStyle w:val="Bold"/>
              </w:rPr>
              <w:t>339,396</w:t>
            </w:r>
          </w:p>
        </w:tc>
        <w:tc>
          <w:tcPr>
            <w:tcW w:w="1417" w:type="dxa"/>
            <w:noWrap/>
            <w:hideMark/>
          </w:tcPr>
          <w:p w14:paraId="21064108" w14:textId="77777777"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w:t>
            </w:r>
            <w:r>
              <w:rPr>
                <w:rFonts w:cstheme="minorHAnsi"/>
                <w:szCs w:val="20"/>
              </w:rPr>
              <w:t>374</w:t>
            </w:r>
          </w:p>
        </w:tc>
        <w:tc>
          <w:tcPr>
            <w:tcW w:w="1418" w:type="dxa"/>
            <w:noWrap/>
            <w:hideMark/>
          </w:tcPr>
          <w:p w14:paraId="07F98EC6" w14:textId="24833873"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w:t>
            </w:r>
            <w:r>
              <w:rPr>
                <w:rFonts w:cstheme="minorHAnsi"/>
                <w:szCs w:val="20"/>
              </w:rPr>
              <w:t>127,03</w:t>
            </w:r>
            <w:r w:rsidR="00BA5AEE">
              <w:rPr>
                <w:rFonts w:cstheme="minorHAnsi"/>
                <w:szCs w:val="20"/>
              </w:rPr>
              <w:t>1</w:t>
            </w:r>
            <w:r>
              <w:rPr>
                <w:rFonts w:cstheme="minorHAnsi"/>
                <w:szCs w:val="20"/>
              </w:rPr>
              <w:t>,</w:t>
            </w:r>
            <w:r w:rsidR="00BA5AEE">
              <w:rPr>
                <w:rFonts w:cstheme="minorHAnsi"/>
                <w:szCs w:val="20"/>
              </w:rPr>
              <w:t>728</w:t>
            </w:r>
          </w:p>
        </w:tc>
        <w:tc>
          <w:tcPr>
            <w:tcW w:w="1841" w:type="dxa"/>
          </w:tcPr>
          <w:p w14:paraId="74FE7A38" w14:textId="129ED619" w:rsidR="00DD6357" w:rsidRPr="007851F9"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Cs w:val="20"/>
                <w:lang w:val="en-AU"/>
              </w:rPr>
            </w:pPr>
            <w:r>
              <w:rPr>
                <w:rFonts w:ascii="Calibri" w:hAnsi="Calibri" w:cs="Calibri"/>
                <w:bCs/>
                <w:szCs w:val="20"/>
              </w:rPr>
              <w:t>$687,5</w:t>
            </w:r>
            <w:r w:rsidR="00BA5AEE">
              <w:rPr>
                <w:rFonts w:ascii="Calibri" w:hAnsi="Calibri" w:cs="Calibri"/>
                <w:bCs/>
                <w:szCs w:val="20"/>
              </w:rPr>
              <w:t>16</w:t>
            </w:r>
            <w:r>
              <w:rPr>
                <w:rFonts w:ascii="Calibri" w:hAnsi="Calibri" w:cs="Calibri"/>
                <w:bCs/>
                <w:szCs w:val="20"/>
              </w:rPr>
              <w:t>,</w:t>
            </w:r>
            <w:r w:rsidR="00BA5AEE">
              <w:rPr>
                <w:rFonts w:ascii="Calibri" w:hAnsi="Calibri" w:cs="Calibri"/>
                <w:bCs/>
                <w:szCs w:val="20"/>
              </w:rPr>
              <w:t>141</w:t>
            </w:r>
          </w:p>
        </w:tc>
      </w:tr>
      <w:tr w:rsidR="0022118C" w:rsidRPr="00636B05" w14:paraId="7B0B8653" w14:textId="61A3B4D2" w:rsidTr="00057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tcPr>
          <w:p w14:paraId="38A8EE33" w14:textId="77777777" w:rsidR="00DD6357" w:rsidRPr="00636B05" w:rsidRDefault="00DD6357" w:rsidP="00127ABB">
            <w:pPr>
              <w:pStyle w:val="Tabletextsmall"/>
            </w:pPr>
            <w:r w:rsidRPr="00636B05">
              <w:t>Severe</w:t>
            </w:r>
          </w:p>
        </w:tc>
        <w:tc>
          <w:tcPr>
            <w:tcW w:w="1276" w:type="dxa"/>
          </w:tcPr>
          <w:p w14:paraId="43C6FB56" w14:textId="77777777"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Pr>
                <w:rFonts w:cstheme="minorHAnsi"/>
                <w:szCs w:val="20"/>
              </w:rPr>
              <w:t>223,700</w:t>
            </w:r>
          </w:p>
        </w:tc>
        <w:tc>
          <w:tcPr>
            <w:tcW w:w="1418" w:type="dxa"/>
          </w:tcPr>
          <w:p w14:paraId="43A4DFCB" w14:textId="77777777"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sidRPr="00636B05">
              <w:t>N/A</w:t>
            </w:r>
          </w:p>
        </w:tc>
        <w:tc>
          <w:tcPr>
            <w:tcW w:w="1134" w:type="dxa"/>
          </w:tcPr>
          <w:p w14:paraId="272A4883" w14:textId="77777777" w:rsidR="00DD6357" w:rsidRPr="00084D8C"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rPr>
                <w:rStyle w:val="Bold"/>
              </w:rPr>
            </w:pPr>
            <w:r w:rsidRPr="00084D8C">
              <w:rPr>
                <w:rStyle w:val="Bold"/>
              </w:rPr>
              <w:t>223,700</w:t>
            </w:r>
          </w:p>
        </w:tc>
        <w:tc>
          <w:tcPr>
            <w:tcW w:w="1417" w:type="dxa"/>
            <w:noWrap/>
          </w:tcPr>
          <w:p w14:paraId="1C2C944C" w14:textId="4503A438"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sidRPr="00636B05">
              <w:rPr>
                <w:rFonts w:cstheme="minorHAnsi"/>
                <w:szCs w:val="20"/>
              </w:rPr>
              <w:t>$</w:t>
            </w:r>
            <w:r>
              <w:rPr>
                <w:rFonts w:cstheme="minorHAnsi"/>
                <w:szCs w:val="20"/>
              </w:rPr>
              <w:t>1</w:t>
            </w:r>
            <w:r w:rsidR="00084D8C">
              <w:rPr>
                <w:rFonts w:cstheme="minorHAnsi"/>
                <w:szCs w:val="20"/>
              </w:rPr>
              <w:t>,</w:t>
            </w:r>
            <w:r>
              <w:rPr>
                <w:rFonts w:cstheme="minorHAnsi"/>
                <w:szCs w:val="20"/>
              </w:rPr>
              <w:t>356</w:t>
            </w:r>
          </w:p>
        </w:tc>
        <w:tc>
          <w:tcPr>
            <w:tcW w:w="1418" w:type="dxa"/>
            <w:noWrap/>
          </w:tcPr>
          <w:p w14:paraId="7541DEC1" w14:textId="64827223" w:rsidR="00DD6357" w:rsidRPr="00636B05"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pPr>
            <w:r w:rsidRPr="00636B05">
              <w:rPr>
                <w:rFonts w:cstheme="minorHAnsi"/>
                <w:szCs w:val="20"/>
              </w:rPr>
              <w:t>$</w:t>
            </w:r>
            <w:r>
              <w:rPr>
                <w:rFonts w:cstheme="minorHAnsi"/>
                <w:szCs w:val="20"/>
              </w:rPr>
              <w:t>303,2</w:t>
            </w:r>
            <w:r w:rsidR="00BA5AEE">
              <w:rPr>
                <w:rFonts w:cstheme="minorHAnsi"/>
                <w:szCs w:val="20"/>
              </w:rPr>
              <w:t>94,626</w:t>
            </w:r>
          </w:p>
        </w:tc>
        <w:tc>
          <w:tcPr>
            <w:tcW w:w="1841" w:type="dxa"/>
          </w:tcPr>
          <w:p w14:paraId="605CCD81" w14:textId="7623C77D" w:rsidR="00DD6357" w:rsidRPr="007851F9" w:rsidRDefault="00DD6357" w:rsidP="00127ABB">
            <w:pPr>
              <w:pStyle w:val="Tabletextsmall"/>
              <w:jc w:val="right"/>
              <w:cnfStyle w:val="000000100000" w:firstRow="0" w:lastRow="0" w:firstColumn="0" w:lastColumn="0" w:oddVBand="0" w:evenVBand="0" w:oddHBand="1" w:evenHBand="0" w:firstRowFirstColumn="0" w:firstRowLastColumn="0" w:lastRowFirstColumn="0" w:lastRowLastColumn="0"/>
              <w:rPr>
                <w:rFonts w:ascii="Calibri" w:hAnsi="Calibri" w:cs="Calibri"/>
                <w:bCs/>
                <w:szCs w:val="20"/>
                <w:lang w:val="en-AU"/>
              </w:rPr>
            </w:pPr>
            <w:r>
              <w:rPr>
                <w:rFonts w:ascii="Calibri" w:hAnsi="Calibri" w:cs="Calibri"/>
                <w:bCs/>
                <w:szCs w:val="20"/>
              </w:rPr>
              <w:t>$1,641,</w:t>
            </w:r>
            <w:r w:rsidR="00BA5AEE">
              <w:rPr>
                <w:rFonts w:ascii="Calibri" w:hAnsi="Calibri" w:cs="Calibri"/>
                <w:bCs/>
                <w:szCs w:val="20"/>
              </w:rPr>
              <w:t>479,287</w:t>
            </w:r>
          </w:p>
        </w:tc>
      </w:tr>
      <w:tr w:rsidR="0022118C" w:rsidRPr="00636B05" w14:paraId="7F391C69" w14:textId="6344B94F" w:rsidTr="00057B0A">
        <w:tc>
          <w:tcPr>
            <w:cnfStyle w:val="001000000000" w:firstRow="0" w:lastRow="0" w:firstColumn="1" w:lastColumn="0" w:oddVBand="0" w:evenVBand="0" w:oddHBand="0" w:evenHBand="0" w:firstRowFirstColumn="0" w:firstRowLastColumn="0" w:lastRowFirstColumn="0" w:lastRowLastColumn="0"/>
            <w:tcW w:w="1134" w:type="dxa"/>
            <w:noWrap/>
          </w:tcPr>
          <w:p w14:paraId="042D13DE" w14:textId="77777777" w:rsidR="00DD6357" w:rsidRPr="00636B05" w:rsidRDefault="00DD6357" w:rsidP="00127ABB">
            <w:pPr>
              <w:pStyle w:val="Tabletextsmall"/>
            </w:pPr>
            <w:r w:rsidRPr="00636B05">
              <w:t>Profound</w:t>
            </w:r>
          </w:p>
        </w:tc>
        <w:tc>
          <w:tcPr>
            <w:tcW w:w="1276" w:type="dxa"/>
          </w:tcPr>
          <w:p w14:paraId="505FECE9" w14:textId="77777777"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291,800</w:t>
            </w:r>
          </w:p>
        </w:tc>
        <w:tc>
          <w:tcPr>
            <w:tcW w:w="1418" w:type="dxa"/>
          </w:tcPr>
          <w:p w14:paraId="0B108881" w14:textId="77777777"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27,740</w:t>
            </w:r>
          </w:p>
        </w:tc>
        <w:tc>
          <w:tcPr>
            <w:tcW w:w="1134" w:type="dxa"/>
          </w:tcPr>
          <w:p w14:paraId="145178E2" w14:textId="77777777" w:rsidR="00DD6357" w:rsidRPr="00084D8C"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rPr>
                <w:rStyle w:val="Bold"/>
              </w:rPr>
            </w:pPr>
            <w:r w:rsidRPr="00084D8C">
              <w:rPr>
                <w:rStyle w:val="Bold"/>
              </w:rPr>
              <w:t>319,540</w:t>
            </w:r>
          </w:p>
        </w:tc>
        <w:tc>
          <w:tcPr>
            <w:tcW w:w="1417" w:type="dxa"/>
            <w:noWrap/>
          </w:tcPr>
          <w:p w14:paraId="14973C8A" w14:textId="7318348D"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w:t>
            </w:r>
            <w:r>
              <w:rPr>
                <w:rFonts w:cstheme="minorHAnsi"/>
                <w:szCs w:val="20"/>
              </w:rPr>
              <w:t>1</w:t>
            </w:r>
            <w:r w:rsidR="00084D8C">
              <w:rPr>
                <w:rFonts w:cstheme="minorHAnsi"/>
                <w:szCs w:val="20"/>
              </w:rPr>
              <w:t>,</w:t>
            </w:r>
            <w:r>
              <w:rPr>
                <w:rFonts w:cstheme="minorHAnsi"/>
                <w:szCs w:val="20"/>
              </w:rPr>
              <w:t>486</w:t>
            </w:r>
          </w:p>
        </w:tc>
        <w:tc>
          <w:tcPr>
            <w:tcW w:w="1418" w:type="dxa"/>
            <w:noWrap/>
          </w:tcPr>
          <w:p w14:paraId="08FA23B9" w14:textId="5B21A90F" w:rsidR="00DD6357" w:rsidRPr="00636B05"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pPr>
            <w:r w:rsidRPr="00636B05">
              <w:rPr>
                <w:rFonts w:cstheme="minorHAnsi"/>
                <w:szCs w:val="20"/>
              </w:rPr>
              <w:t>$</w:t>
            </w:r>
            <w:r>
              <w:rPr>
                <w:rFonts w:cstheme="minorHAnsi"/>
                <w:szCs w:val="20"/>
              </w:rPr>
              <w:t>474,74</w:t>
            </w:r>
            <w:r w:rsidR="00BA5AEE">
              <w:rPr>
                <w:rFonts w:cstheme="minorHAnsi"/>
                <w:szCs w:val="20"/>
              </w:rPr>
              <w:t>2,533</w:t>
            </w:r>
          </w:p>
        </w:tc>
        <w:tc>
          <w:tcPr>
            <w:tcW w:w="1841" w:type="dxa"/>
          </w:tcPr>
          <w:p w14:paraId="5E85F7AB" w14:textId="39C72DA5" w:rsidR="00DD6357" w:rsidRPr="007851F9" w:rsidRDefault="00DD6357" w:rsidP="00127ABB">
            <w:pPr>
              <w:pStyle w:val="Tabletextsmall"/>
              <w:jc w:val="right"/>
              <w:cnfStyle w:val="000000000000" w:firstRow="0" w:lastRow="0" w:firstColumn="0" w:lastColumn="0" w:oddVBand="0" w:evenVBand="0" w:oddHBand="0" w:evenHBand="0" w:firstRowFirstColumn="0" w:firstRowLastColumn="0" w:lastRowFirstColumn="0" w:lastRowLastColumn="0"/>
              <w:rPr>
                <w:rFonts w:ascii="Calibri" w:hAnsi="Calibri" w:cs="Calibri"/>
                <w:bCs/>
                <w:szCs w:val="20"/>
                <w:lang w:val="en-AU"/>
              </w:rPr>
            </w:pPr>
            <w:r>
              <w:rPr>
                <w:rFonts w:ascii="Calibri" w:hAnsi="Calibri" w:cs="Calibri"/>
                <w:bCs/>
                <w:szCs w:val="20"/>
              </w:rPr>
              <w:t>$2,569,</w:t>
            </w:r>
            <w:r w:rsidR="00BA5AEE">
              <w:rPr>
                <w:rFonts w:ascii="Calibri" w:hAnsi="Calibri" w:cs="Calibri"/>
                <w:bCs/>
                <w:szCs w:val="20"/>
              </w:rPr>
              <w:t>382,925</w:t>
            </w:r>
          </w:p>
        </w:tc>
      </w:tr>
      <w:tr w:rsidR="0022118C" w:rsidRPr="00636B05" w14:paraId="2198D921" w14:textId="547B5182" w:rsidTr="00057B0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tcPr>
          <w:p w14:paraId="4D03EECA" w14:textId="77777777" w:rsidR="00DD6357" w:rsidRPr="00636B05" w:rsidRDefault="00DD6357" w:rsidP="00127ABB">
            <w:pPr>
              <w:pStyle w:val="Tabletextsmall"/>
            </w:pPr>
            <w:r w:rsidRPr="00636B05">
              <w:t>Total</w:t>
            </w:r>
          </w:p>
        </w:tc>
        <w:tc>
          <w:tcPr>
            <w:tcW w:w="1276" w:type="dxa"/>
          </w:tcPr>
          <w:p w14:paraId="2AECA4F5" w14:textId="77777777" w:rsidR="00DD6357" w:rsidRPr="00636B05" w:rsidRDefault="00DD6357" w:rsidP="00127ABB">
            <w:pPr>
              <w:pStyle w:val="Tabletextsmall"/>
              <w:jc w:val="right"/>
              <w:cnfStyle w:val="010000000000" w:firstRow="0" w:lastRow="1" w:firstColumn="0" w:lastColumn="0" w:oddVBand="0" w:evenVBand="0" w:oddHBand="0" w:evenHBand="0" w:firstRowFirstColumn="0" w:firstRowLastColumn="0" w:lastRowFirstColumn="0" w:lastRowLastColumn="0"/>
            </w:pPr>
          </w:p>
        </w:tc>
        <w:tc>
          <w:tcPr>
            <w:tcW w:w="1418" w:type="dxa"/>
          </w:tcPr>
          <w:p w14:paraId="53812238" w14:textId="77777777" w:rsidR="00DD6357" w:rsidRPr="00636B05" w:rsidRDefault="00DD6357" w:rsidP="00127ABB">
            <w:pPr>
              <w:pStyle w:val="Tabletextsmall"/>
              <w:jc w:val="right"/>
              <w:cnfStyle w:val="010000000000" w:firstRow="0" w:lastRow="1" w:firstColumn="0" w:lastColumn="0" w:oddVBand="0" w:evenVBand="0" w:oddHBand="0" w:evenHBand="0" w:firstRowFirstColumn="0" w:firstRowLastColumn="0" w:lastRowFirstColumn="0" w:lastRowLastColumn="0"/>
            </w:pPr>
          </w:p>
        </w:tc>
        <w:tc>
          <w:tcPr>
            <w:tcW w:w="1134" w:type="dxa"/>
          </w:tcPr>
          <w:p w14:paraId="1C0AA8AB" w14:textId="77777777" w:rsidR="00DD6357" w:rsidRPr="00636B05" w:rsidRDefault="00DD6357" w:rsidP="00127ABB">
            <w:pPr>
              <w:pStyle w:val="Tabletextsmall"/>
              <w:jc w:val="right"/>
              <w:cnfStyle w:val="010000000000" w:firstRow="0" w:lastRow="1" w:firstColumn="0" w:lastColumn="0" w:oddVBand="0" w:evenVBand="0" w:oddHBand="0" w:evenHBand="0" w:firstRowFirstColumn="0" w:firstRowLastColumn="0" w:lastRowFirstColumn="0" w:lastRowLastColumn="0"/>
            </w:pPr>
            <w:r w:rsidRPr="00636B05">
              <w:rPr>
                <w:rFonts w:cstheme="minorHAnsi"/>
                <w:szCs w:val="20"/>
              </w:rPr>
              <w:t>1,</w:t>
            </w:r>
            <w:r>
              <w:rPr>
                <w:rFonts w:cstheme="minorHAnsi"/>
                <w:szCs w:val="20"/>
              </w:rPr>
              <w:t>660,236</w:t>
            </w:r>
          </w:p>
        </w:tc>
        <w:tc>
          <w:tcPr>
            <w:tcW w:w="1417" w:type="dxa"/>
            <w:noWrap/>
          </w:tcPr>
          <w:p w14:paraId="5FF5784B" w14:textId="77777777" w:rsidR="00DD6357" w:rsidRPr="00636B05" w:rsidRDefault="00DD6357" w:rsidP="00127ABB">
            <w:pPr>
              <w:pStyle w:val="Tabletextsmall"/>
              <w:jc w:val="right"/>
              <w:cnfStyle w:val="010000000000" w:firstRow="0" w:lastRow="1" w:firstColumn="0" w:lastColumn="0" w:oddVBand="0" w:evenVBand="0" w:oddHBand="0" w:evenHBand="0" w:firstRowFirstColumn="0" w:firstRowLastColumn="0" w:lastRowFirstColumn="0" w:lastRowLastColumn="0"/>
            </w:pPr>
          </w:p>
        </w:tc>
        <w:tc>
          <w:tcPr>
            <w:tcW w:w="1418" w:type="dxa"/>
            <w:noWrap/>
          </w:tcPr>
          <w:p w14:paraId="6714BCB8" w14:textId="4633B2F1" w:rsidR="00DD6357" w:rsidRPr="00636B05" w:rsidRDefault="00DD6357" w:rsidP="00127ABB">
            <w:pPr>
              <w:pStyle w:val="Tabletextsmall"/>
              <w:jc w:val="right"/>
              <w:cnfStyle w:val="010000000000" w:firstRow="0" w:lastRow="1" w:firstColumn="0" w:lastColumn="0" w:oddVBand="0" w:evenVBand="0" w:oddHBand="0" w:evenHBand="0" w:firstRowFirstColumn="0" w:firstRowLastColumn="0" w:lastRowFirstColumn="0" w:lastRowLastColumn="0"/>
            </w:pPr>
            <w:r w:rsidRPr="00636B05">
              <w:rPr>
                <w:rFonts w:cstheme="minorHAnsi"/>
                <w:szCs w:val="20"/>
              </w:rPr>
              <w:t>$</w:t>
            </w:r>
            <w:r>
              <w:rPr>
                <w:rFonts w:cstheme="minorHAnsi"/>
                <w:szCs w:val="20"/>
              </w:rPr>
              <w:t>971,1</w:t>
            </w:r>
            <w:r w:rsidR="00BA5AEE">
              <w:rPr>
                <w:rFonts w:cstheme="minorHAnsi"/>
                <w:szCs w:val="20"/>
              </w:rPr>
              <w:t>32,415</w:t>
            </w:r>
          </w:p>
        </w:tc>
        <w:tc>
          <w:tcPr>
            <w:tcW w:w="1841" w:type="dxa"/>
          </w:tcPr>
          <w:p w14:paraId="19F2C1C5" w14:textId="604E4F4D" w:rsidR="00DD6357" w:rsidRPr="00084D8C" w:rsidRDefault="00DD6357" w:rsidP="00127ABB">
            <w:pPr>
              <w:pStyle w:val="Tabletextsmall"/>
              <w:jc w:val="right"/>
              <w:cnfStyle w:val="010000000000" w:firstRow="0" w:lastRow="1" w:firstColumn="0" w:lastColumn="0" w:oddVBand="0" w:evenVBand="0" w:oddHBand="0" w:evenHBand="0" w:firstRowFirstColumn="0" w:firstRowLastColumn="0" w:lastRowFirstColumn="0" w:lastRowLastColumn="0"/>
            </w:pPr>
            <w:r w:rsidRPr="00084D8C">
              <w:t>$5,25</w:t>
            </w:r>
            <w:r w:rsidR="00BA5AEE">
              <w:t>5,942,786</w:t>
            </w:r>
          </w:p>
        </w:tc>
      </w:tr>
    </w:tbl>
    <w:p w14:paraId="3FE236D8" w14:textId="350B8FD0" w:rsidR="00057B0A" w:rsidRPr="0047634D" w:rsidRDefault="0047634D" w:rsidP="00FD216B">
      <w:pPr>
        <w:pStyle w:val="Note"/>
        <w:rPr>
          <w:rStyle w:val="Bold"/>
          <w:b w:val="0"/>
          <w:bCs/>
          <w:sz w:val="20"/>
        </w:rPr>
      </w:pPr>
      <w:r w:rsidRPr="0047634D">
        <w:rPr>
          <w:rStyle w:val="Bold"/>
          <w:b w:val="0"/>
          <w:bCs/>
          <w:sz w:val="20"/>
        </w:rPr>
        <w:t xml:space="preserve">Includes </w:t>
      </w:r>
      <w:r w:rsidR="00057B0A" w:rsidRPr="0047634D">
        <w:rPr>
          <w:rStyle w:val="Bold"/>
          <w:b w:val="0"/>
          <w:bCs/>
          <w:sz w:val="20"/>
        </w:rPr>
        <w:t>2% CPI applied for inflation in years 2, 3, 4 and 5</w:t>
      </w:r>
    </w:p>
    <w:p w14:paraId="7FCE8B3F" w14:textId="5C7FD88C" w:rsidR="00DC1782" w:rsidRDefault="00DC1782" w:rsidP="00057B0A">
      <w:pPr>
        <w:pStyle w:val="Paragraph"/>
      </w:pPr>
      <w:r w:rsidRPr="00636B05">
        <w:t>Detailed working for the AT Products are presented in the Supplementary Excel file</w:t>
      </w:r>
      <w:r w:rsidR="00F17878">
        <w:t xml:space="preserve"> provided to the Department</w:t>
      </w:r>
      <w:r w:rsidRPr="00636B05">
        <w:t xml:space="preserve"> (</w:t>
      </w:r>
      <w:r w:rsidR="009D1408">
        <w:t>worksheet</w:t>
      </w:r>
      <w:r w:rsidR="009D1408" w:rsidRPr="00636B05">
        <w:t xml:space="preserve"> </w:t>
      </w:r>
      <w:r w:rsidRPr="00636B05">
        <w:t xml:space="preserve">labelled </w:t>
      </w:r>
      <w:r w:rsidRPr="004E4287">
        <w:rPr>
          <w:i/>
          <w:iCs/>
        </w:rPr>
        <w:t xml:space="preserve">Step 3 </w:t>
      </w:r>
      <w:r w:rsidR="00DD6357" w:rsidRPr="004E4287">
        <w:rPr>
          <w:i/>
          <w:iCs/>
        </w:rPr>
        <w:t>Costs</w:t>
      </w:r>
      <w:r w:rsidRPr="00636B05">
        <w:t xml:space="preserve">). </w:t>
      </w:r>
    </w:p>
    <w:p w14:paraId="1C297E76" w14:textId="65D8192A" w:rsidR="001A7C33" w:rsidRDefault="001A7C33" w:rsidP="00222AE0">
      <w:pPr>
        <w:pStyle w:val="Heading3"/>
      </w:pPr>
      <w:r>
        <w:t>Step 5</w:t>
      </w:r>
      <w:r w:rsidR="002003BB">
        <w:t>:</w:t>
      </w:r>
      <w:r>
        <w:t xml:space="preserve"> Cost AT products and </w:t>
      </w:r>
      <w:r w:rsidRPr="00F42B3F">
        <w:t>services</w:t>
      </w:r>
      <w:r>
        <w:t xml:space="preserve"> for </w:t>
      </w:r>
      <w:r w:rsidR="009B3143">
        <w:t xml:space="preserve">aged care </w:t>
      </w:r>
      <w:r>
        <w:t>program populations</w:t>
      </w:r>
    </w:p>
    <w:p w14:paraId="01CE14FB" w14:textId="77777777" w:rsidR="00222AE0" w:rsidRPr="00222AE0" w:rsidRDefault="009B3143" w:rsidP="00222AE0">
      <w:pPr>
        <w:rPr>
          <w:b/>
          <w:sz w:val="24"/>
        </w:rPr>
      </w:pPr>
      <w:r w:rsidRPr="00222AE0">
        <w:rPr>
          <w:b/>
          <w:sz w:val="24"/>
        </w:rPr>
        <w:t>Methods</w:t>
      </w:r>
    </w:p>
    <w:p w14:paraId="110C78D9" w14:textId="4B2FBF63" w:rsidR="009B3143" w:rsidRPr="00222AE0" w:rsidRDefault="009B3143" w:rsidP="00222AE0">
      <w:pPr>
        <w:rPr>
          <w:b/>
          <w:sz w:val="28"/>
          <w:szCs w:val="28"/>
        </w:rPr>
      </w:pPr>
      <w:r>
        <w:t>Given the high total cost of funding AT (Step 4) and limited program funding resources, the review focused on modelling options that would open up access to people not in aged care and to particularly support the preventative and early intervention aspects of AT for consumers , especially to support those who may need assistance with activities of daily living.</w:t>
      </w:r>
    </w:p>
    <w:p w14:paraId="2684E8E3" w14:textId="38324D83" w:rsidR="009B3143" w:rsidRDefault="009B3143" w:rsidP="009B3143">
      <w:pPr>
        <w:pStyle w:val="ParaKeep"/>
      </w:pPr>
      <w:r w:rsidRPr="00636B05">
        <w:t xml:space="preserve">AT costs were mapped for </w:t>
      </w:r>
      <w:r>
        <w:t>the following consumer groups.</w:t>
      </w:r>
      <w:r w:rsidR="004511B3">
        <w:t xml:space="preserve"> </w:t>
      </w:r>
    </w:p>
    <w:p w14:paraId="53E70DF4" w14:textId="77777777" w:rsidR="009B3143" w:rsidRDefault="009B3143" w:rsidP="009B3143">
      <w:pPr>
        <w:pStyle w:val="Bullet1"/>
      </w:pPr>
      <w:r>
        <w:t xml:space="preserve">Consumers not in aged care </w:t>
      </w:r>
    </w:p>
    <w:p w14:paraId="620F1A09" w14:textId="77777777" w:rsidR="009B3143" w:rsidRDefault="009B3143" w:rsidP="009B3143">
      <w:pPr>
        <w:pStyle w:val="Bullet1"/>
      </w:pPr>
      <w:r>
        <w:lastRenderedPageBreak/>
        <w:t xml:space="preserve">CHSP consumers </w:t>
      </w:r>
    </w:p>
    <w:p w14:paraId="7866C7A6" w14:textId="10374242" w:rsidR="009B3143" w:rsidRDefault="009B3143" w:rsidP="009B3143">
      <w:pPr>
        <w:pStyle w:val="Bullet1"/>
      </w:pPr>
      <w:r>
        <w:t>HCP consumers.</w:t>
      </w:r>
    </w:p>
    <w:p w14:paraId="32F5A024" w14:textId="03912DF9" w:rsidR="00DD6357" w:rsidRDefault="00DD6357" w:rsidP="009B3143">
      <w:pPr>
        <w:pStyle w:val="Bullet1"/>
      </w:pPr>
      <w:r>
        <w:t>TCP and STCR consumers</w:t>
      </w:r>
    </w:p>
    <w:p w14:paraId="77028B87" w14:textId="77777777" w:rsidR="009B3143" w:rsidRPr="00636B05" w:rsidRDefault="009B3143" w:rsidP="00222AE0">
      <w:r w:rsidRPr="00222AE0">
        <w:rPr>
          <w:b/>
          <w:sz w:val="24"/>
        </w:rPr>
        <w:t>Results</w:t>
      </w:r>
    </w:p>
    <w:p w14:paraId="37AFA27E" w14:textId="3CB1C855" w:rsidR="009B3143" w:rsidRDefault="0022118C" w:rsidP="0022118C">
      <w:pPr>
        <w:pStyle w:val="ParaKeep"/>
      </w:pPr>
      <w:r w:rsidRPr="0022118C">
        <w:rPr>
          <w:rStyle w:val="Italic"/>
        </w:rPr>
        <w:fldChar w:fldCharType="begin"/>
      </w:r>
      <w:r w:rsidRPr="0022118C">
        <w:rPr>
          <w:rStyle w:val="Italic"/>
        </w:rPr>
        <w:instrText xml:space="preserve"> REF _Ref42513600 \h </w:instrText>
      </w:r>
      <w:r>
        <w:rPr>
          <w:rStyle w:val="Italic"/>
        </w:rPr>
        <w:instrText xml:space="preserve"> \* MERGEFORMAT </w:instrText>
      </w:r>
      <w:r w:rsidRPr="0022118C">
        <w:rPr>
          <w:rStyle w:val="Italic"/>
        </w:rPr>
      </w:r>
      <w:r w:rsidRPr="0022118C">
        <w:rPr>
          <w:rStyle w:val="Italic"/>
        </w:rPr>
        <w:fldChar w:fldCharType="separate"/>
      </w:r>
      <w:r w:rsidR="00EB1774" w:rsidRPr="00EB1774">
        <w:rPr>
          <w:rStyle w:val="Italic"/>
        </w:rPr>
        <w:t>Table A</w:t>
      </w:r>
      <w:r w:rsidR="00EB1774" w:rsidRPr="00EB1774">
        <w:rPr>
          <w:rStyle w:val="Italic"/>
        </w:rPr>
        <w:noBreakHyphen/>
        <w:t>6</w:t>
      </w:r>
      <w:r w:rsidRPr="0022118C">
        <w:rPr>
          <w:rStyle w:val="Italic"/>
        </w:rPr>
        <w:fldChar w:fldCharType="end"/>
      </w:r>
      <w:r w:rsidR="009B3143">
        <w:t xml:space="preserve"> details the number of people participating in aged care </w:t>
      </w:r>
      <w:r w:rsidR="002C16CD">
        <w:t xml:space="preserve">programs </w:t>
      </w:r>
      <w:r w:rsidR="009B3143">
        <w:t>across the four impairment categories.</w:t>
      </w:r>
      <w:r w:rsidR="004511B3">
        <w:t xml:space="preserve"> </w:t>
      </w:r>
      <w:r w:rsidR="009B3143">
        <w:t>The model was based on:</w:t>
      </w:r>
    </w:p>
    <w:p w14:paraId="67F99DB4" w14:textId="77777777" w:rsidR="009B3143" w:rsidRPr="00877774" w:rsidRDefault="009B3143" w:rsidP="009B3143">
      <w:pPr>
        <w:pStyle w:val="Bullet1"/>
      </w:pPr>
      <w:r>
        <w:rPr>
          <w:rFonts w:ascii="Calibri" w:hAnsi="Calibri" w:cs="Calibri"/>
          <w:szCs w:val="20"/>
        </w:rPr>
        <w:t xml:space="preserve">688,394 consumers outside the aged care system </w:t>
      </w:r>
    </w:p>
    <w:p w14:paraId="6E23EBBD" w14:textId="2D7EFBAA" w:rsidR="009B3143" w:rsidRDefault="00DD6357" w:rsidP="009B3143">
      <w:pPr>
        <w:pStyle w:val="Bullet1"/>
      </w:pPr>
      <w:r>
        <w:t>971,842</w:t>
      </w:r>
      <w:r w:rsidR="009B3143">
        <w:t xml:space="preserve"> consumers in</w:t>
      </w:r>
      <w:r>
        <w:t xml:space="preserve"> </w:t>
      </w:r>
      <w:r w:rsidR="009B3143">
        <w:t>the aged care system.</w:t>
      </w:r>
    </w:p>
    <w:p w14:paraId="73179A55" w14:textId="24D6CF99" w:rsidR="009B3143" w:rsidRPr="001379D3" w:rsidRDefault="0022118C" w:rsidP="00222AE0">
      <w:bookmarkStart w:id="38" w:name="_Ref42513600"/>
      <w:bookmarkStart w:id="39" w:name="_Toc42243728"/>
      <w:bookmarkStart w:id="40" w:name="_Toc60999917"/>
      <w:r w:rsidRPr="00EC48FA">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6562A7">
        <w:t>-6</w:t>
      </w:r>
      <w:bookmarkEnd w:id="38"/>
      <w:r w:rsidRPr="00EC48FA">
        <w:t>:</w:t>
      </w:r>
      <w:r w:rsidRPr="00EC48FA">
        <w:tab/>
      </w:r>
      <w:r w:rsidR="009B3143">
        <w:t>Consumers outside</w:t>
      </w:r>
      <w:r w:rsidR="009B3143" w:rsidRPr="001379D3">
        <w:t xml:space="preserve"> </w:t>
      </w:r>
      <w:r w:rsidR="006562A7">
        <w:t xml:space="preserve">and in </w:t>
      </w:r>
      <w:r w:rsidR="009B3143">
        <w:t>aged care programs</w:t>
      </w:r>
      <w:bookmarkEnd w:id="39"/>
      <w:bookmarkEnd w:id="40"/>
    </w:p>
    <w:tbl>
      <w:tblPr>
        <w:tblStyle w:val="AHALight"/>
        <w:tblW w:w="4817" w:type="pct"/>
        <w:tblInd w:w="-30" w:type="dxa"/>
        <w:tblBorders>
          <w:top w:val="single" w:sz="4" w:space="0" w:color="D9D9D9" w:themeColor="background1" w:themeShade="D9"/>
          <w:left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5E0" w:firstRow="1" w:lastRow="1" w:firstColumn="1" w:lastColumn="1" w:noHBand="0" w:noVBand="1"/>
        <w:tblCaption w:val="Table A-6"/>
        <w:tblDescription w:val="number of consumers in and outide of aged care programs by complexity of need"/>
      </w:tblPr>
      <w:tblGrid>
        <w:gridCol w:w="2461"/>
        <w:gridCol w:w="1367"/>
        <w:gridCol w:w="1362"/>
        <w:gridCol w:w="1362"/>
        <w:gridCol w:w="1362"/>
        <w:gridCol w:w="1362"/>
      </w:tblGrid>
      <w:tr w:rsidR="00395BFE" w:rsidRPr="006E1F78" w14:paraId="779216DD" w14:textId="77777777" w:rsidTr="00395B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noWrap/>
          </w:tcPr>
          <w:p w14:paraId="3A4E84AE" w14:textId="3C631B9B" w:rsidR="00395BFE" w:rsidRPr="006E1F78" w:rsidRDefault="00395BFE" w:rsidP="00395BFE">
            <w:pPr>
              <w:pStyle w:val="TableHeading1"/>
            </w:pPr>
            <w:r w:rsidRPr="006E1F78">
              <w:t>Program</w:t>
            </w:r>
          </w:p>
        </w:tc>
        <w:tc>
          <w:tcPr>
            <w:tcW w:w="1367" w:type="dxa"/>
            <w:vAlign w:val="top"/>
          </w:tcPr>
          <w:p w14:paraId="7144E611" w14:textId="4126E88B" w:rsidR="00395BFE" w:rsidRPr="006E1F78" w:rsidRDefault="00395BFE" w:rsidP="00395BFE">
            <w:pPr>
              <w:pStyle w:val="TableHeading1"/>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1F78">
              <w:t>Mild</w:t>
            </w:r>
          </w:p>
        </w:tc>
        <w:tc>
          <w:tcPr>
            <w:tcW w:w="1362" w:type="dxa"/>
            <w:noWrap/>
            <w:vAlign w:val="top"/>
          </w:tcPr>
          <w:p w14:paraId="7B3B18BA" w14:textId="0CB3F12B" w:rsidR="00395BFE" w:rsidRPr="006E1F78" w:rsidRDefault="00395BFE" w:rsidP="00395BFE">
            <w:pPr>
              <w:pStyle w:val="TableHeading1"/>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1F78">
              <w:t>Moderate</w:t>
            </w:r>
          </w:p>
        </w:tc>
        <w:tc>
          <w:tcPr>
            <w:tcW w:w="1362" w:type="dxa"/>
            <w:noWrap/>
            <w:vAlign w:val="top"/>
          </w:tcPr>
          <w:p w14:paraId="25308FD5" w14:textId="6E37BBD6" w:rsidR="00395BFE" w:rsidRPr="006E1F78" w:rsidRDefault="00395BFE" w:rsidP="00395BFE">
            <w:pPr>
              <w:pStyle w:val="TableHeading1"/>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1F78">
              <w:t>Severe</w:t>
            </w:r>
          </w:p>
        </w:tc>
        <w:tc>
          <w:tcPr>
            <w:tcW w:w="1362" w:type="dxa"/>
            <w:vAlign w:val="top"/>
          </w:tcPr>
          <w:p w14:paraId="530AA662" w14:textId="6B2DE9F0" w:rsidR="00395BFE" w:rsidRPr="006E1F78" w:rsidRDefault="00395BFE" w:rsidP="00395BFE">
            <w:pPr>
              <w:pStyle w:val="TableHeading1"/>
              <w:jc w:val="right"/>
              <w:cnfStyle w:val="100000000000" w:firstRow="1" w:lastRow="0" w:firstColumn="0" w:lastColumn="0" w:oddVBand="0" w:evenVBand="0" w:oddHBand="0" w:evenHBand="0" w:firstRowFirstColumn="0" w:firstRowLastColumn="0" w:lastRowFirstColumn="0" w:lastRowLastColumn="0"/>
            </w:pPr>
            <w:r w:rsidRPr="006E1F78">
              <w:t>Profound</w:t>
            </w:r>
          </w:p>
        </w:tc>
        <w:tc>
          <w:tcPr>
            <w:cnfStyle w:val="000100000000" w:firstRow="0" w:lastRow="0" w:firstColumn="0" w:lastColumn="1" w:oddVBand="0" w:evenVBand="0" w:oddHBand="0" w:evenHBand="0" w:firstRowFirstColumn="0" w:firstRowLastColumn="0" w:lastRowFirstColumn="0" w:lastRowLastColumn="0"/>
            <w:tcW w:w="1362" w:type="dxa"/>
            <w:vAlign w:val="top"/>
          </w:tcPr>
          <w:p w14:paraId="5A9DECCB" w14:textId="5B749D4A" w:rsidR="00395BFE" w:rsidRPr="006E1F78" w:rsidRDefault="00395BFE" w:rsidP="00395BFE">
            <w:pPr>
              <w:pStyle w:val="TableHeading1"/>
              <w:jc w:val="right"/>
              <w:rPr>
                <w:rFonts w:ascii="Calibri" w:hAnsi="Calibri" w:cs="Calibri"/>
              </w:rPr>
            </w:pPr>
            <w:r w:rsidRPr="006E1F78">
              <w:t>Total</w:t>
            </w:r>
          </w:p>
        </w:tc>
      </w:tr>
      <w:tr w:rsidR="00395BFE" w:rsidRPr="006E1F78" w14:paraId="366A7265" w14:textId="77777777" w:rsidTr="00395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noWrap/>
          </w:tcPr>
          <w:p w14:paraId="1D5F1387" w14:textId="77777777" w:rsidR="00395BFE" w:rsidRPr="006E1F78" w:rsidRDefault="00395BFE" w:rsidP="00395BFE">
            <w:pPr>
              <w:pStyle w:val="TableText"/>
            </w:pPr>
            <w:r w:rsidRPr="006E1F78">
              <w:t>Consumers outside of the aged care system</w:t>
            </w:r>
          </w:p>
        </w:tc>
        <w:tc>
          <w:tcPr>
            <w:tcW w:w="1367" w:type="dxa"/>
            <w:vAlign w:val="center"/>
          </w:tcPr>
          <w:p w14:paraId="637CE554" w14:textId="77777777"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506,616</w:t>
            </w:r>
          </w:p>
        </w:tc>
        <w:tc>
          <w:tcPr>
            <w:tcW w:w="1362" w:type="dxa"/>
            <w:noWrap/>
            <w:vAlign w:val="center"/>
          </w:tcPr>
          <w:p w14:paraId="4976A5B3" w14:textId="77777777"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137,060</w:t>
            </w:r>
          </w:p>
        </w:tc>
        <w:tc>
          <w:tcPr>
            <w:tcW w:w="1362" w:type="dxa"/>
            <w:noWrap/>
            <w:vAlign w:val="center"/>
          </w:tcPr>
          <w:p w14:paraId="67BFAA3A" w14:textId="7B896C6A"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41,355</w:t>
            </w:r>
          </w:p>
        </w:tc>
        <w:tc>
          <w:tcPr>
            <w:tcW w:w="1362" w:type="dxa"/>
            <w:vAlign w:val="center"/>
          </w:tcPr>
          <w:p w14:paraId="3EF269FB" w14:textId="62111F88"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t>3,364</w:t>
            </w:r>
          </w:p>
        </w:tc>
        <w:tc>
          <w:tcPr>
            <w:cnfStyle w:val="000100000000" w:firstRow="0" w:lastRow="0" w:firstColumn="0" w:lastColumn="1" w:oddVBand="0" w:evenVBand="0" w:oddHBand="0" w:evenHBand="0" w:firstRowFirstColumn="0" w:firstRowLastColumn="0" w:lastRowFirstColumn="0" w:lastRowLastColumn="0"/>
            <w:tcW w:w="1362" w:type="dxa"/>
            <w:vAlign w:val="center"/>
          </w:tcPr>
          <w:p w14:paraId="74D8A623" w14:textId="2DC85450" w:rsidR="00395BFE" w:rsidRPr="006E1F78" w:rsidRDefault="00395BFE" w:rsidP="00395BFE">
            <w:pPr>
              <w:pStyle w:val="TableText"/>
              <w:jc w:val="right"/>
            </w:pPr>
            <w:r w:rsidRPr="006E1F78">
              <w:rPr>
                <w:rFonts w:ascii="Calibri" w:hAnsi="Calibri" w:cs="Calibri"/>
              </w:rPr>
              <w:t>688,394</w:t>
            </w:r>
          </w:p>
        </w:tc>
      </w:tr>
      <w:tr w:rsidR="00395BFE" w:rsidRPr="006E1F78" w14:paraId="7D5E3342" w14:textId="77777777" w:rsidTr="00395BFE">
        <w:tc>
          <w:tcPr>
            <w:cnfStyle w:val="001000000000" w:firstRow="0" w:lastRow="0" w:firstColumn="1" w:lastColumn="0" w:oddVBand="0" w:evenVBand="0" w:oddHBand="0" w:evenHBand="0" w:firstRowFirstColumn="0" w:firstRowLastColumn="0" w:lastRowFirstColumn="0" w:lastRowLastColumn="0"/>
            <w:tcW w:w="2461" w:type="dxa"/>
            <w:noWrap/>
          </w:tcPr>
          <w:p w14:paraId="2CB352E7" w14:textId="77777777" w:rsidR="00395BFE" w:rsidRPr="006E1F78" w:rsidRDefault="00395BFE" w:rsidP="00395BFE">
            <w:pPr>
              <w:pStyle w:val="TableText"/>
            </w:pPr>
            <w:r w:rsidRPr="006E1F78">
              <w:t>CHSP target cohort</w:t>
            </w:r>
          </w:p>
        </w:tc>
        <w:tc>
          <w:tcPr>
            <w:tcW w:w="1367" w:type="dxa"/>
            <w:vAlign w:val="center"/>
          </w:tcPr>
          <w:p w14:paraId="768022F5" w14:textId="77777777"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color w:val="000000"/>
              </w:rPr>
              <w:t>270,984</w:t>
            </w:r>
          </w:p>
        </w:tc>
        <w:tc>
          <w:tcPr>
            <w:tcW w:w="1362" w:type="dxa"/>
            <w:noWrap/>
            <w:vAlign w:val="center"/>
          </w:tcPr>
          <w:p w14:paraId="2CCA164E" w14:textId="77777777"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color w:val="000000"/>
              </w:rPr>
              <w:t>200,000</w:t>
            </w:r>
          </w:p>
        </w:tc>
        <w:tc>
          <w:tcPr>
            <w:tcW w:w="1362" w:type="dxa"/>
            <w:noWrap/>
            <w:vAlign w:val="center"/>
          </w:tcPr>
          <w:p w14:paraId="5FC66734" w14:textId="79574B2A"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color w:val="000000"/>
              </w:rPr>
              <w:t>90,444</w:t>
            </w:r>
          </w:p>
        </w:tc>
        <w:tc>
          <w:tcPr>
            <w:tcW w:w="1362" w:type="dxa"/>
            <w:vAlign w:val="center"/>
          </w:tcPr>
          <w:p w14:paraId="597230EC" w14:textId="24EB7CC0"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color w:val="000000"/>
              </w:rPr>
              <w:t>250,000</w:t>
            </w:r>
          </w:p>
        </w:tc>
        <w:tc>
          <w:tcPr>
            <w:cnfStyle w:val="000100000000" w:firstRow="0" w:lastRow="0" w:firstColumn="0" w:lastColumn="1" w:oddVBand="0" w:evenVBand="0" w:oddHBand="0" w:evenHBand="0" w:firstRowFirstColumn="0" w:firstRowLastColumn="0" w:lastRowFirstColumn="0" w:lastRowLastColumn="0"/>
            <w:tcW w:w="1362" w:type="dxa"/>
            <w:vAlign w:val="center"/>
          </w:tcPr>
          <w:p w14:paraId="0CCBB151" w14:textId="791D9A34" w:rsidR="00395BFE" w:rsidRPr="006E1F78" w:rsidRDefault="00395BFE" w:rsidP="00395BFE">
            <w:pPr>
              <w:pStyle w:val="TableText"/>
              <w:jc w:val="right"/>
            </w:pPr>
            <w:r w:rsidRPr="006E1F78">
              <w:rPr>
                <w:rFonts w:ascii="Calibri" w:hAnsi="Calibri" w:cs="Calibri"/>
                <w:color w:val="000000"/>
              </w:rPr>
              <w:t>811,428</w:t>
            </w:r>
          </w:p>
        </w:tc>
      </w:tr>
      <w:tr w:rsidR="00395BFE" w:rsidRPr="006E1F78" w14:paraId="06312480" w14:textId="77777777" w:rsidTr="00395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noWrap/>
          </w:tcPr>
          <w:p w14:paraId="21E16C15" w14:textId="77777777" w:rsidR="00395BFE" w:rsidRPr="006E1F78" w:rsidRDefault="00395BFE" w:rsidP="00395BFE">
            <w:pPr>
              <w:pStyle w:val="TableText"/>
            </w:pPr>
            <w:r w:rsidRPr="006E1F78">
              <w:t>HCP 1 &amp; 2 target cohort</w:t>
            </w:r>
          </w:p>
        </w:tc>
        <w:tc>
          <w:tcPr>
            <w:tcW w:w="1367" w:type="dxa"/>
            <w:vAlign w:val="center"/>
          </w:tcPr>
          <w:p w14:paraId="5FFC13E7" w14:textId="527F2426"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N/​A</w:t>
            </w:r>
          </w:p>
        </w:tc>
        <w:tc>
          <w:tcPr>
            <w:tcW w:w="1362" w:type="dxa"/>
            <w:noWrap/>
            <w:vAlign w:val="center"/>
          </w:tcPr>
          <w:p w14:paraId="6494808C" w14:textId="77777777"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2,336</w:t>
            </w:r>
          </w:p>
        </w:tc>
        <w:tc>
          <w:tcPr>
            <w:tcW w:w="1362" w:type="dxa"/>
            <w:noWrap/>
            <w:vAlign w:val="center"/>
          </w:tcPr>
          <w:p w14:paraId="30146FD3" w14:textId="7FB1AF87"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52,003</w:t>
            </w:r>
          </w:p>
        </w:tc>
        <w:tc>
          <w:tcPr>
            <w:tcW w:w="1362" w:type="dxa"/>
            <w:vAlign w:val="center"/>
          </w:tcPr>
          <w:p w14:paraId="1B12B9E3" w14:textId="633B26AB"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N/​A</w:t>
            </w:r>
          </w:p>
        </w:tc>
        <w:tc>
          <w:tcPr>
            <w:cnfStyle w:val="000100000000" w:firstRow="0" w:lastRow="0" w:firstColumn="0" w:lastColumn="1" w:oddVBand="0" w:evenVBand="0" w:oddHBand="0" w:evenHBand="0" w:firstRowFirstColumn="0" w:firstRowLastColumn="0" w:lastRowFirstColumn="0" w:lastRowLastColumn="0"/>
            <w:tcW w:w="1362" w:type="dxa"/>
            <w:vAlign w:val="center"/>
          </w:tcPr>
          <w:p w14:paraId="3871F0D6" w14:textId="66219E52" w:rsidR="00395BFE" w:rsidRPr="006E1F78" w:rsidRDefault="00395BFE" w:rsidP="00395BFE">
            <w:pPr>
              <w:pStyle w:val="TableText"/>
              <w:jc w:val="right"/>
            </w:pPr>
            <w:r w:rsidRPr="006E1F78">
              <w:rPr>
                <w:rFonts w:ascii="Calibri" w:hAnsi="Calibri" w:cs="Calibri"/>
              </w:rPr>
              <w:t>54,339</w:t>
            </w:r>
          </w:p>
        </w:tc>
      </w:tr>
      <w:tr w:rsidR="00395BFE" w:rsidRPr="006E1F78" w14:paraId="0F43CD7B" w14:textId="77777777" w:rsidTr="00395BFE">
        <w:tc>
          <w:tcPr>
            <w:cnfStyle w:val="001000000000" w:firstRow="0" w:lastRow="0" w:firstColumn="1" w:lastColumn="0" w:oddVBand="0" w:evenVBand="0" w:oddHBand="0" w:evenHBand="0" w:firstRowFirstColumn="0" w:firstRowLastColumn="0" w:lastRowFirstColumn="0" w:lastRowLastColumn="0"/>
            <w:tcW w:w="2461" w:type="dxa"/>
            <w:noWrap/>
          </w:tcPr>
          <w:p w14:paraId="2652056A" w14:textId="77777777" w:rsidR="00395BFE" w:rsidRPr="006E1F78" w:rsidRDefault="00395BFE" w:rsidP="00395BFE">
            <w:pPr>
              <w:pStyle w:val="TableText"/>
            </w:pPr>
            <w:r w:rsidRPr="006E1F78">
              <w:t>HCP 3 &amp; 4 target cohort</w:t>
            </w:r>
          </w:p>
        </w:tc>
        <w:tc>
          <w:tcPr>
            <w:tcW w:w="1367" w:type="dxa"/>
            <w:vAlign w:val="center"/>
          </w:tcPr>
          <w:p w14:paraId="33A66EDA" w14:textId="65E90C4E"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rPr>
              <w:t>N/​A</w:t>
            </w:r>
          </w:p>
        </w:tc>
        <w:tc>
          <w:tcPr>
            <w:tcW w:w="1362" w:type="dxa"/>
            <w:noWrap/>
            <w:vAlign w:val="center"/>
          </w:tcPr>
          <w:p w14:paraId="12F775A4" w14:textId="02BEC15C"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rPr>
              <w:t>N/​A</w:t>
            </w:r>
          </w:p>
        </w:tc>
        <w:tc>
          <w:tcPr>
            <w:tcW w:w="1362" w:type="dxa"/>
            <w:noWrap/>
            <w:vAlign w:val="center"/>
          </w:tcPr>
          <w:p w14:paraId="3A68E341" w14:textId="32C3AC05"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color w:val="000000"/>
              </w:rPr>
              <w:t>26,411</w:t>
            </w:r>
          </w:p>
        </w:tc>
        <w:tc>
          <w:tcPr>
            <w:tcW w:w="1362" w:type="dxa"/>
            <w:vAlign w:val="center"/>
          </w:tcPr>
          <w:p w14:paraId="64E303D0" w14:textId="17AB1BCD" w:rsidR="00395BFE" w:rsidRPr="006E1F78" w:rsidRDefault="00395BFE" w:rsidP="00395BFE">
            <w:pPr>
              <w:pStyle w:val="TableText"/>
              <w:jc w:val="right"/>
              <w:cnfStyle w:val="000000000000" w:firstRow="0" w:lastRow="0" w:firstColumn="0" w:lastColumn="0" w:oddVBand="0" w:evenVBand="0" w:oddHBand="0" w:evenHBand="0" w:firstRowFirstColumn="0" w:firstRowLastColumn="0" w:lastRowFirstColumn="0" w:lastRowLastColumn="0"/>
            </w:pPr>
            <w:r w:rsidRPr="006E1F78">
              <w:rPr>
                <w:rFonts w:ascii="Calibri" w:hAnsi="Calibri" w:cs="Calibri"/>
                <w:color w:val="000000"/>
              </w:rPr>
              <w:t>52,689</w:t>
            </w:r>
          </w:p>
        </w:tc>
        <w:tc>
          <w:tcPr>
            <w:cnfStyle w:val="000100000000" w:firstRow="0" w:lastRow="0" w:firstColumn="0" w:lastColumn="1" w:oddVBand="0" w:evenVBand="0" w:oddHBand="0" w:evenHBand="0" w:firstRowFirstColumn="0" w:firstRowLastColumn="0" w:lastRowFirstColumn="0" w:lastRowLastColumn="0"/>
            <w:tcW w:w="1362" w:type="dxa"/>
            <w:vAlign w:val="center"/>
          </w:tcPr>
          <w:p w14:paraId="74161C2D" w14:textId="1A56551A" w:rsidR="00395BFE" w:rsidRPr="006E1F78" w:rsidRDefault="00395BFE" w:rsidP="00395BFE">
            <w:pPr>
              <w:pStyle w:val="TableText"/>
              <w:jc w:val="right"/>
            </w:pPr>
            <w:r w:rsidRPr="006E1F78">
              <w:rPr>
                <w:rFonts w:ascii="Calibri" w:hAnsi="Calibri" w:cs="Calibri"/>
                <w:color w:val="000000"/>
              </w:rPr>
              <w:t>79100 </w:t>
            </w:r>
          </w:p>
        </w:tc>
      </w:tr>
      <w:tr w:rsidR="00395BFE" w:rsidRPr="006E1F78" w14:paraId="22B697F7" w14:textId="77777777" w:rsidTr="00395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noWrap/>
          </w:tcPr>
          <w:p w14:paraId="372EA726" w14:textId="77777777" w:rsidR="00395BFE" w:rsidRPr="006E1F78" w:rsidRDefault="00395BFE" w:rsidP="00395BFE">
            <w:pPr>
              <w:pStyle w:val="TableText"/>
            </w:pPr>
            <w:r w:rsidRPr="006E1F78">
              <w:t>Transition Care Program and STRC</w:t>
            </w:r>
          </w:p>
        </w:tc>
        <w:tc>
          <w:tcPr>
            <w:tcW w:w="1367" w:type="dxa"/>
            <w:vAlign w:val="center"/>
          </w:tcPr>
          <w:p w14:paraId="13CF30E1" w14:textId="21AE4BB7"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N/​A</w:t>
            </w:r>
          </w:p>
        </w:tc>
        <w:tc>
          <w:tcPr>
            <w:tcW w:w="1362" w:type="dxa"/>
            <w:noWrap/>
            <w:vAlign w:val="center"/>
          </w:tcPr>
          <w:p w14:paraId="0E92D393" w14:textId="5D08C345"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N/​A</w:t>
            </w:r>
          </w:p>
        </w:tc>
        <w:tc>
          <w:tcPr>
            <w:tcW w:w="1362" w:type="dxa"/>
            <w:noWrap/>
            <w:vAlign w:val="center"/>
          </w:tcPr>
          <w:p w14:paraId="31CB6BD8" w14:textId="7D0B80D0"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13,488</w:t>
            </w:r>
          </w:p>
        </w:tc>
        <w:tc>
          <w:tcPr>
            <w:tcW w:w="1362" w:type="dxa"/>
            <w:vAlign w:val="center"/>
          </w:tcPr>
          <w:p w14:paraId="63F51535" w14:textId="3D599882" w:rsidR="00395BFE" w:rsidRPr="006E1F78" w:rsidRDefault="00395BFE" w:rsidP="00395BFE">
            <w:pPr>
              <w:pStyle w:val="TableText"/>
              <w:jc w:val="right"/>
              <w:cnfStyle w:val="000000100000" w:firstRow="0" w:lastRow="0" w:firstColumn="0" w:lastColumn="0" w:oddVBand="0" w:evenVBand="0" w:oddHBand="1" w:evenHBand="0" w:firstRowFirstColumn="0" w:firstRowLastColumn="0" w:lastRowFirstColumn="0" w:lastRowLastColumn="0"/>
            </w:pPr>
            <w:r w:rsidRPr="006E1F78">
              <w:rPr>
                <w:rFonts w:ascii="Calibri" w:hAnsi="Calibri" w:cs="Calibri"/>
              </w:rPr>
              <w:t>13,488</w:t>
            </w:r>
          </w:p>
        </w:tc>
        <w:tc>
          <w:tcPr>
            <w:cnfStyle w:val="000100000000" w:firstRow="0" w:lastRow="0" w:firstColumn="0" w:lastColumn="1" w:oddVBand="0" w:evenVBand="0" w:oddHBand="0" w:evenHBand="0" w:firstRowFirstColumn="0" w:firstRowLastColumn="0" w:lastRowFirstColumn="0" w:lastRowLastColumn="0"/>
            <w:tcW w:w="1362" w:type="dxa"/>
            <w:vAlign w:val="center"/>
          </w:tcPr>
          <w:p w14:paraId="4C3B86FE" w14:textId="313C9143" w:rsidR="00395BFE" w:rsidRPr="006E1F78" w:rsidRDefault="00395BFE" w:rsidP="00395BFE">
            <w:pPr>
              <w:pStyle w:val="TableText"/>
              <w:jc w:val="right"/>
            </w:pPr>
            <w:r w:rsidRPr="006E1F78">
              <w:rPr>
                <w:rFonts w:ascii="Calibri" w:hAnsi="Calibri" w:cs="Calibri"/>
              </w:rPr>
              <w:t>26,975</w:t>
            </w:r>
          </w:p>
        </w:tc>
      </w:tr>
      <w:tr w:rsidR="00395BFE" w:rsidRPr="006E1F78" w14:paraId="293C40F1" w14:textId="77777777" w:rsidTr="00395B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noWrap/>
          </w:tcPr>
          <w:p w14:paraId="51F0A277" w14:textId="77777777" w:rsidR="00395BFE" w:rsidRPr="006E1F78" w:rsidRDefault="00395BFE" w:rsidP="00395BFE">
            <w:pPr>
              <w:pStyle w:val="TableText"/>
            </w:pPr>
            <w:r w:rsidRPr="006E1F78">
              <w:t>Total</w:t>
            </w:r>
          </w:p>
        </w:tc>
        <w:tc>
          <w:tcPr>
            <w:tcW w:w="1367" w:type="dxa"/>
            <w:vAlign w:val="center"/>
          </w:tcPr>
          <w:p w14:paraId="179590DD" w14:textId="77777777" w:rsidR="00395BFE" w:rsidRPr="006E1F78" w:rsidRDefault="00395BFE" w:rsidP="00395BFE">
            <w:pPr>
              <w:pStyle w:val="TableText"/>
              <w:jc w:val="right"/>
              <w:cnfStyle w:val="010000000000" w:firstRow="0" w:lastRow="1" w:firstColumn="0" w:lastColumn="0" w:oddVBand="0" w:evenVBand="0" w:oddHBand="0" w:evenHBand="0" w:firstRowFirstColumn="0" w:firstRowLastColumn="0" w:lastRowFirstColumn="0" w:lastRowLastColumn="0"/>
            </w:pPr>
            <w:r w:rsidRPr="006E1F78">
              <w:t>777,600</w:t>
            </w:r>
          </w:p>
        </w:tc>
        <w:tc>
          <w:tcPr>
            <w:tcW w:w="1362" w:type="dxa"/>
            <w:noWrap/>
            <w:vAlign w:val="center"/>
          </w:tcPr>
          <w:p w14:paraId="5FE33BC2" w14:textId="77777777" w:rsidR="00395BFE" w:rsidRPr="006E1F78" w:rsidRDefault="00395BFE" w:rsidP="00395BFE">
            <w:pPr>
              <w:pStyle w:val="TableText"/>
              <w:jc w:val="right"/>
              <w:cnfStyle w:val="010000000000" w:firstRow="0" w:lastRow="1" w:firstColumn="0" w:lastColumn="0" w:oddVBand="0" w:evenVBand="0" w:oddHBand="0" w:evenHBand="0" w:firstRowFirstColumn="0" w:firstRowLastColumn="0" w:lastRowFirstColumn="0" w:lastRowLastColumn="0"/>
            </w:pPr>
            <w:r w:rsidRPr="006E1F78">
              <w:t>339,396</w:t>
            </w:r>
          </w:p>
        </w:tc>
        <w:tc>
          <w:tcPr>
            <w:tcW w:w="1362" w:type="dxa"/>
            <w:noWrap/>
            <w:vAlign w:val="center"/>
          </w:tcPr>
          <w:p w14:paraId="2B787AA3" w14:textId="792F24C9" w:rsidR="00395BFE" w:rsidRPr="006E1F78" w:rsidRDefault="00395BFE" w:rsidP="00395BFE">
            <w:pPr>
              <w:pStyle w:val="TableText"/>
              <w:jc w:val="right"/>
              <w:cnfStyle w:val="010000000000" w:firstRow="0" w:lastRow="1" w:firstColumn="0" w:lastColumn="0" w:oddVBand="0" w:evenVBand="0" w:oddHBand="0" w:evenHBand="0" w:firstRowFirstColumn="0" w:firstRowLastColumn="0" w:lastRowFirstColumn="0" w:lastRowLastColumn="0"/>
            </w:pPr>
            <w:r w:rsidRPr="006E1F78">
              <w:t>223,700</w:t>
            </w:r>
          </w:p>
        </w:tc>
        <w:tc>
          <w:tcPr>
            <w:tcW w:w="1362" w:type="dxa"/>
            <w:vAlign w:val="center"/>
          </w:tcPr>
          <w:p w14:paraId="48058E0A" w14:textId="669B0619" w:rsidR="00395BFE" w:rsidRPr="006E1F78" w:rsidRDefault="00395BFE" w:rsidP="00395BFE">
            <w:pPr>
              <w:pStyle w:val="TableText"/>
              <w:jc w:val="right"/>
              <w:cnfStyle w:val="010000000000" w:firstRow="0" w:lastRow="1" w:firstColumn="0" w:lastColumn="0" w:oddVBand="0" w:evenVBand="0" w:oddHBand="0" w:evenHBand="0" w:firstRowFirstColumn="0" w:firstRowLastColumn="0" w:lastRowFirstColumn="0" w:lastRowLastColumn="0"/>
            </w:pPr>
            <w:r w:rsidRPr="006E1F78">
              <w:t>319,540</w:t>
            </w:r>
          </w:p>
        </w:tc>
        <w:tc>
          <w:tcPr>
            <w:cnfStyle w:val="000100000000" w:firstRow="0" w:lastRow="0" w:firstColumn="0" w:lastColumn="1" w:oddVBand="0" w:evenVBand="0" w:oddHBand="0" w:evenHBand="0" w:firstRowFirstColumn="0" w:firstRowLastColumn="0" w:lastRowFirstColumn="0" w:lastRowLastColumn="0"/>
            <w:tcW w:w="1362" w:type="dxa"/>
            <w:vAlign w:val="center"/>
          </w:tcPr>
          <w:p w14:paraId="1826F2C5" w14:textId="6445D05C" w:rsidR="00395BFE" w:rsidRPr="006E1F78" w:rsidRDefault="00395BFE" w:rsidP="00395BFE">
            <w:pPr>
              <w:pStyle w:val="TableText"/>
              <w:jc w:val="right"/>
            </w:pPr>
            <w:r w:rsidRPr="006E1F78">
              <w:t>1,660,236</w:t>
            </w:r>
          </w:p>
        </w:tc>
      </w:tr>
    </w:tbl>
    <w:p w14:paraId="2EF81831" w14:textId="77777777" w:rsidR="00EF5412" w:rsidRDefault="00EF5412">
      <w:r>
        <w:br w:type="page"/>
      </w:r>
    </w:p>
    <w:p w14:paraId="30CDFA20" w14:textId="77777777" w:rsidR="009B3143" w:rsidRPr="00DF526E" w:rsidRDefault="009B3143" w:rsidP="00222AE0">
      <w:pPr>
        <w:pStyle w:val="Heading2"/>
      </w:pPr>
      <w:bookmarkStart w:id="41" w:name="_Ref42517873"/>
      <w:r w:rsidRPr="00DF526E">
        <w:lastRenderedPageBreak/>
        <w:t>Benefits of AT</w:t>
      </w:r>
      <w:bookmarkEnd w:id="41"/>
    </w:p>
    <w:p w14:paraId="1876E33C" w14:textId="256DB44F" w:rsidR="00AD4A2E" w:rsidRPr="00DF526E" w:rsidRDefault="00AD4A2E" w:rsidP="004C1D68">
      <w:r w:rsidRPr="00DF526E">
        <w:t xml:space="preserve">The benefits of AT for people with disability and older people are widely acknowledged and are increasingly supported by </w:t>
      </w:r>
      <w:r>
        <w:t xml:space="preserve">the literature as well as consistently reported in consultations. </w:t>
      </w:r>
      <w:r w:rsidRPr="00DF526E">
        <w:t>AT has four distinct beneficiaries: consumers, carers, service providers (aged care, disability and health care) and governments.</w:t>
      </w:r>
      <w:r>
        <w:t xml:space="preserve"> The benefits of AT for different beneficiaries can be summarised as follows:</w:t>
      </w:r>
    </w:p>
    <w:p w14:paraId="23F83C81" w14:textId="3F04D1AB" w:rsidR="00AD4A2E" w:rsidRPr="00DF526E" w:rsidRDefault="00AD4A2E" w:rsidP="00AD4A2E">
      <w:pPr>
        <w:pStyle w:val="ParaKeep"/>
        <w:rPr>
          <w:lang w:eastAsia="en-AU"/>
        </w:rPr>
      </w:pPr>
      <w:r w:rsidRPr="00DF526E">
        <w:rPr>
          <w:rStyle w:val="Bold"/>
        </w:rPr>
        <w:t>Consumer</w:t>
      </w:r>
      <w:r w:rsidRPr="00DF526E">
        <w:rPr>
          <w:lang w:eastAsia="en-AU"/>
        </w:rPr>
        <w:t xml:space="preserve"> benefits include:</w:t>
      </w:r>
    </w:p>
    <w:p w14:paraId="0535F430" w14:textId="77777777" w:rsidR="00AD4A2E" w:rsidRPr="00DF526E" w:rsidRDefault="00AD4A2E" w:rsidP="00AD4A2E">
      <w:pPr>
        <w:pStyle w:val="Bullet1"/>
      </w:pPr>
      <w:r w:rsidRPr="00DF526E">
        <w:t>Increased independence and autonomy</w:t>
      </w:r>
    </w:p>
    <w:p w14:paraId="01E58851" w14:textId="77777777" w:rsidR="00AD4A2E" w:rsidRPr="00DF526E" w:rsidRDefault="00AD4A2E" w:rsidP="00AD4A2E">
      <w:pPr>
        <w:pStyle w:val="Bullet1"/>
      </w:pPr>
      <w:r w:rsidRPr="00DF526E">
        <w:t>Maintenance of personal care</w:t>
      </w:r>
    </w:p>
    <w:p w14:paraId="5DAB4BB6" w14:textId="77777777" w:rsidR="00AD4A2E" w:rsidRPr="00DF526E" w:rsidRDefault="00AD4A2E" w:rsidP="00AD4A2E">
      <w:pPr>
        <w:pStyle w:val="Bullet1"/>
      </w:pPr>
      <w:r w:rsidRPr="00DF526E">
        <w:t>Reduced personal pain or injury</w:t>
      </w:r>
    </w:p>
    <w:p w14:paraId="0F847F7B" w14:textId="77777777" w:rsidR="00AD4A2E" w:rsidRPr="00DF526E" w:rsidRDefault="00AD4A2E" w:rsidP="00AD4A2E">
      <w:pPr>
        <w:pStyle w:val="Bullet1"/>
      </w:pPr>
      <w:r w:rsidRPr="00DF526E">
        <w:t>Slower functional decline</w:t>
      </w:r>
    </w:p>
    <w:p w14:paraId="691B4D8D" w14:textId="77777777" w:rsidR="00AD4A2E" w:rsidRPr="00DF526E" w:rsidRDefault="00AD4A2E" w:rsidP="00AD4A2E">
      <w:pPr>
        <w:pStyle w:val="Bullet1"/>
      </w:pPr>
      <w:r w:rsidRPr="00DF526E">
        <w:t>Reduced risk and improved safety (e.g.</w:t>
      </w:r>
      <w:r>
        <w:t> </w:t>
      </w:r>
      <w:r w:rsidRPr="00DF526E">
        <w:t>falls prevention)</w:t>
      </w:r>
    </w:p>
    <w:p w14:paraId="577AF915" w14:textId="77777777" w:rsidR="00AD4A2E" w:rsidRPr="00DF526E" w:rsidRDefault="00AD4A2E" w:rsidP="00AD4A2E">
      <w:pPr>
        <w:pStyle w:val="Bullet1"/>
      </w:pPr>
      <w:r>
        <w:t>Increased productivity</w:t>
      </w:r>
    </w:p>
    <w:p w14:paraId="23B272D2" w14:textId="72E82697" w:rsidR="00AD4A2E" w:rsidRPr="00DF526E" w:rsidRDefault="00AD4A2E" w:rsidP="00AD4A2E">
      <w:pPr>
        <w:pStyle w:val="Bullet1"/>
      </w:pPr>
      <w:r w:rsidRPr="00DF526E">
        <w:t xml:space="preserve">Improvements in aspects of wellbeing including confidence, satisfaction, quality of life, social inclusion, community participation and a sense of security </w:t>
      </w:r>
      <w:r w:rsidRPr="00DF526E">
        <w:fldChar w:fldCharType="begin" w:fldLock="1"/>
      </w:r>
      <w:r w:rsidR="00184FBE">
        <w:instrText>ADDIN CSL_CITATION {"citationItems":[{"id":"ITEM-1","itemData":{"DOI":"10.1080/17483107.2016.1272140","ISSN":"17483115","abstract":"Purpose: To explore the acceptability and value of three wearable GPS devices for older persons and individuals with a disability and safety concerns when accessing the community. Methods: This pilot study explored six wearers’ and their support persons’ experience of using three different wearable GPS devices (a pendant, watch, and mini GPS phone), each for a two-week period. Results: Participants identified safety as the main value of using a wearable GPS device. The acceptability and value of these devices was strongly influenced by device features, ease of use, cost, appearance, the reliability of the GPS coordinates, the wearer’s health condition and the users familiarity with technology. Overall, participants indicated that they preferred the pendant. Conclusions: Wearable GPS devices are potentially useful in providing individuals who have safety concerns with reassurance and access to assistance as required. To ensure successful utilization, future device design and device selection should consider the user’s familiarity with technology and their health condition. This study also revealed that not all wearable GPS devices provide continuous location tracking. It is therefore critical to ensure that the device’s location tracking functions address the wearer’s requirements and reason for using the device.Implications for Rehabilitation The acceptability and usability of wearable GPS devices is strongly influenced by the device features, ease of use, cost, appearance, the reliability of the device to provide accurate and timely GPS coordinates, as well as the health condition of the wearer and their familiarity with technology. Wearable GPS devices need to be simple to use and support and training is essential to ensure they are successfully utilized. Not all wearable GPS devices provide continuous location tracking and accuracy of location is impacted by line of sight to satellites. Therefore, care needs to be taken when choosing a suitable device, to ensure that the device’s location tracking features are based on the wearer’s requirements and value behind using the device.","author":[{"dropping-particle":"","family":"Williamson","given":"Brittany","non-dropping-particle":"","parse-names":false,"suffix":""},{"dropping-particle":"","family":"Aplin","given":"Tammy","non-dropping-particle":"","parse-names":false,"suffix":""},{"dropping-particle":"","family":"Jonge","given":"Desleigh","non-dropping-particle":"de","parse-names":false,"suffix":""},{"dropping-particle":"","family":"Goyne","given":"Matthew","non-dropping-particle":"","parse-names":false,"suffix":""}],"container-title":"Disability and Rehabilitation: Assistive Technology","id":"ITEM-1","issue":"8","issued":{"date-parts":[["2017"]]},"page":"822-831","title":"Tracking down a solution: Exploring the acceptability and value of wearable GPS devices for older persons, individuals with a disability and their support persons","type":"article-journal","volume":"12"},"uris":["http://www.mendeley.com/documents/?uuid=72aa824b-ebb2-479a-bbf4-549a11461a86","http://www.mendeley.com/documents/?uuid=a50fcf52-28d4-489e-b2f4-5481e81bdc7c"]},{"id":"ITEM-2","itemData":{"ISBN":"9789240694811","abstract":"The National Aged Care Alliance (the Alliance) comprises 50 peak national organisations in aged care, representing consumer groups, providers, unions and health professionals, working together to determine a more positive future for aged care in Australia. As a leading voice for improvements to aged care for the past decade, the Alliance strives to implement its vision for ageing in Australia, that: Every older Australian is able to live well, with dignity and independence, as part of their community and in a place of their choosing, with a choice of appropriate and affordable support and care services when they need them. 1 Further information about the Alliance is available at http://www.naca.asn.au/.","author":[{"dropping-particle":"","family":"Layton","given":"N.","non-dropping-particle":"","parse-names":false,"suffix":""},{"dropping-particle":"","family":"Irlam","given":"C.","non-dropping-particle":"","parse-names":false,"suffix":""}],"id":"ITEM-2","issued":{"date-parts":[["2018"]]},"publisher":"National Aged Care Alliance","publisher-place":"Canberra","title":"Assistive technology for older Australians: Rapid evidence review and economic pathway analysis","type":"book"},"uris":["http://www.mendeley.com/documents/?uuid=5171371d-65fc-4041-86d9-dc40df9c6925","http://www.mendeley.com/documents/?uuid=2d4562c6-3dd4-4350-b7c8-3643cf0ac585"]},{"id":"ITEM-3","itemData":{"author":[{"dropping-particle":"","family":"McDonald","given":"Rachael","non-dropping-particle":"","parse-names":false,"suffix":""},{"dropping-particle":"","family":"Thomacos","given":"Nikos","non-dropping-particle":"","parse-names":false,"suffix":""},{"dropping-particle":"","family":"Inglis","given":"Katherine","non-dropping-particle":"","parse-names":false,"suffix":""}],"id":"ITEM-3","issued":{"date-parts":[["2013"]]},"publisher":"Research report # 0413-022-026-RR1, Institute for Safety, Compensation and Recovery Research","title":"Review of current and emerging assistive technologies for the reduction of care attendant hours: cost effectiveness , decision making tools and emerging practices","type":"book"},"uris":["http://www.mendeley.com/documents/?uuid=6ca6be6d-6c2e-48a7-9e38-af031218eb4c","http://www.mendeley.com/documents/?uuid=32568a5a-e841-4249-9421-01b8d2e63360","http://www.mendeley.com/documents/?uuid=23375bb9-b9cc-474c-8c66-87e67ef87d83"]},{"id":"ITEM-4","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rnett","given":"K","non-dropping-particle":"","parse-names":false,"suffix":""},{"dropping-particle":"","family":"Livingstone","given":"A","non-dropping-particle":"","parse-names":false,"suffix":""},{"dropping-particle":"","family":"Margelis","given":"G","non-dropping-particle":"","parse-names":false,"suffix":""},{"dropping-particle":"","family":"Tomlins","given":"G","non-dropping-particle":"","parse-names":false,"suffix":""},{"dropping-particle":"","family":"Young","given":"R","non-dropping-particle":"","parse-names":false,"suffix":""}],"id":"ITEM-4","issued":{"date-parts":[["2019"]]},"publisher":"Aged Care Industry Information Technology Council","title":"Aged and community sector technology and innovative practice: Discussion paper 2019","type":"book"},"uris":["http://www.mendeley.com/documents/?uuid=7ed830c5-6bf2-49b7-a1bf-9c7c1b6955cf","http://www.mendeley.com/documents/?uuid=20004443-caf5-4fee-af98-a84408df59f4","http://www.mendeley.com/documents/?uuid=c85bf37f-5eaf-46ad-9510-bed65935f705"]}],"mendeley":{"formattedCitation":"(Williamson et al. 2017, Layton &amp; Irlam 2018, McDonald et al. 2013, Barnett et al. 2019)","manualFormatting":"(Williamson et al. 2017, Layton &amp; Irlam 2018, McDonald et al. 2013, Barnett et al. 2019)","plainTextFormattedCitation":"(Williamson et al. 2017, Layton &amp; Irlam 2018, McDonald et al. 2013, Barnett et al. 2019)","previouslyFormattedCitation":"(Williamson et al. 2017, Layton &amp; Irlam 2018, McDonald et al. 2013, Barnett et al. 2019)"},"properties":{"noteIndex":0},"schema":"https://github.com/citation-style-language/schema/raw/master/csl-citation.json"}</w:instrText>
      </w:r>
      <w:r w:rsidRPr="00DF526E">
        <w:fldChar w:fldCharType="separate"/>
      </w:r>
      <w:r w:rsidRPr="00DF526E">
        <w:rPr>
          <w:noProof/>
        </w:rPr>
        <w:t>(Williamson et al. 2017, Layton &amp; Irlam 2018, McDonald et al. 2013, Barnett et al. 2019)</w:t>
      </w:r>
      <w:r w:rsidRPr="00DF526E">
        <w:fldChar w:fldCharType="end"/>
      </w:r>
      <w:r w:rsidRPr="00DF526E">
        <w:t>.</w:t>
      </w:r>
    </w:p>
    <w:p w14:paraId="0FEBB41D" w14:textId="77777777" w:rsidR="00AD4A2E" w:rsidRPr="00DF526E" w:rsidRDefault="00AD4A2E" w:rsidP="00AD4A2E">
      <w:pPr>
        <w:pStyle w:val="ParaKeep"/>
      </w:pPr>
      <w:r w:rsidRPr="00DF526E">
        <w:t xml:space="preserve">Consumers may also benefit from AT in a residential aged care setting </w:t>
      </w:r>
      <w:r w:rsidRPr="00DF526E">
        <w:fldChar w:fldCharType="begin" w:fldLock="1"/>
      </w:r>
      <w:r w:rsidRPr="00DF526E">
        <w:instrText>ADDIN CSL_CITATION {"citationItems":[{"id":"ITEM-1","itemData":{"DOI":"10.1016/j.ijmedinf.2015.05.014","ISSN":"1386-5056","abstract":"BACKGROUND: Recently, a number of Information and Communication Technologies have emerged with the aim to provide innovative and efficient ways to help seniors in their daily life and to reduce the cost of healthcare. Studies have been conducted to introduce an assistive technology to support seniors and to investigate the acceptance of these assistive technologies; however, research illustrating the effectiveness of assistive technologies is scant. METHOD: This study undertakes a systematic literature review of ScienceDirect, PubMed, ProQuest and IEEE Explore databases to investigate current empirical studies on the assistive technologies applied in aged care. Our systematic review of an initial set of 2035 studies published from 2000 to 2014 examines the role of assistive technologies in seniors' daily lives, from enhancements in their mobility to improvements in the social connectedness and decreases in readmission to hospitals. RESULTS: This study found eight key issues in aged care that have been targeted by researchers from different disciplines (e.g., ICT, health and social science), namely, dependent living, fall risk, chronic disease, dementia, social isolation, depression, poor well-being, and poor medication management. This paper also identified the assistive technologies that have been proposed to overcome those problems, and we categorised these assistive technologies into six clusters, namely, general ICT, robotics, telemedicine, sensor technology, medication management applications, and video games. In addition, we analyzed the effectiveness of the identified technologies and noted that some technologies can change and enhance seniors' daily lives and relieve their problems. Our analysis showed a significant growth in the number of publications in this area in the past few years. It also showed that most of the studies in this area have been conducted in North America. CONCLUSION: Assistive technologies are a reality and can be applied to improve quality of life, especially among older age groups. This study identified various assistive technologies proposed by ICT researchers to assist the elderly. We also identified the effectiveness of the proposed technologies. This review shows that, although assistive technologies have been positively evaluated, more studies are needed regarding the outcome and effectiveness of these technologies.","author":[{"dropping-particle":"","family":"Khosravi","given":"P","non-dropping-particle":"","parse-names":false,"suffix":""},{"dropping-particle":"","family":"Ghapanchi","given":"A H","non-dropping-particle":"","parse-names":false,"suffix":""}],"container-title":"Int J Med Inform","edition":"2015/07/29","id":"ITEM-1","issue":"1","issued":{"date-parts":[["2016"]]},"language":"eng","note":"1872-8243\nKhosravi, Pouria\nGhapanchi, Amir Hossein\nJournal Article\nReview\nIreland\nInt J Med Inform. 2016 Jan;85(1):17-26. doi: 10.1016/j.ijmedinf.2015.05.014. Epub 2015 Jun 11.","page":"17-26","publisher-place":"School of Information and Communication Technology, Griffith University, Gold Coast, Queensland 4222, Australia. Electronic address: pouria.khosravi@griffithuni.edu.au. School of Information and Communication Technology, Griffith University, Gold Coast, Q","title":"Investigating the effectiveness of technologies applied to assist seniors: A systematic literature review","type":"article-journal","volume":"85"},"uris":["http://www.mendeley.com/documents/?uuid=52d3dee5-55fb-4264-ba54-1b29a1c051c8","http://www.mendeley.com/documents/?uuid=1fb5648d-7750-43d9-9cba-1a02ca486d5d"]}],"mendeley":{"formattedCitation":"(Khosravi &amp; Ghapanchi 2016)","plainTextFormattedCitation":"(Khosravi &amp; Ghapanchi 2016)","previouslyFormattedCitation":"(Khosravi &amp; Ghapanchi 2016)"},"properties":{"noteIndex":0},"schema":"https://github.com/citation-style-language/schema/raw/master/csl-citation.json"}</w:instrText>
      </w:r>
      <w:r w:rsidRPr="00DF526E">
        <w:fldChar w:fldCharType="separate"/>
      </w:r>
      <w:r w:rsidRPr="00DF526E">
        <w:rPr>
          <w:noProof/>
        </w:rPr>
        <w:t>(Khosravi &amp; Ghapanchi 2016)</w:t>
      </w:r>
      <w:r w:rsidRPr="00DF526E">
        <w:fldChar w:fldCharType="end"/>
      </w:r>
      <w:r w:rsidRPr="00DF526E">
        <w:t>, including managing:</w:t>
      </w:r>
    </w:p>
    <w:p w14:paraId="60697D7F" w14:textId="77777777" w:rsidR="00AD4A2E" w:rsidRPr="00DF526E" w:rsidRDefault="00AD4A2E" w:rsidP="00AD4A2E">
      <w:pPr>
        <w:pStyle w:val="Bullet1"/>
      </w:pPr>
      <w:r w:rsidRPr="00DF526E">
        <w:t>Chronic disease</w:t>
      </w:r>
    </w:p>
    <w:p w14:paraId="4A005D7C" w14:textId="77777777" w:rsidR="00AD4A2E" w:rsidRPr="00DF526E" w:rsidRDefault="00AD4A2E" w:rsidP="00AD4A2E">
      <w:pPr>
        <w:pStyle w:val="Bullet1"/>
      </w:pPr>
      <w:r w:rsidRPr="00DF526E">
        <w:t>Dementia</w:t>
      </w:r>
    </w:p>
    <w:p w14:paraId="0B0F2A8D" w14:textId="77777777" w:rsidR="00AD4A2E" w:rsidRPr="00DF526E" w:rsidRDefault="00AD4A2E" w:rsidP="00AD4A2E">
      <w:pPr>
        <w:pStyle w:val="Bullet1"/>
      </w:pPr>
      <w:r w:rsidRPr="00DF526E">
        <w:t>Mental health issues</w:t>
      </w:r>
    </w:p>
    <w:p w14:paraId="5FE02828" w14:textId="77777777" w:rsidR="00AD4A2E" w:rsidRPr="00DF526E" w:rsidRDefault="00AD4A2E" w:rsidP="00AD4A2E">
      <w:pPr>
        <w:pStyle w:val="Bullet1"/>
      </w:pPr>
      <w:r w:rsidRPr="00DF526E">
        <w:t>Medication.</w:t>
      </w:r>
    </w:p>
    <w:p w14:paraId="35716491" w14:textId="66C41536" w:rsidR="00AD4A2E" w:rsidRPr="00DF526E" w:rsidRDefault="00AD4A2E" w:rsidP="00AD4A2E">
      <w:pPr>
        <w:pStyle w:val="ParaKeep"/>
      </w:pPr>
      <w:r w:rsidRPr="00DF526E">
        <w:rPr>
          <w:rStyle w:val="Bold"/>
        </w:rPr>
        <w:t>Carer</w:t>
      </w:r>
      <w:r w:rsidRPr="00DF526E">
        <w:t xml:space="preserve"> benefits include:</w:t>
      </w:r>
    </w:p>
    <w:p w14:paraId="5A2BE6F1" w14:textId="77777777" w:rsidR="00AD4A2E" w:rsidRDefault="00AD4A2E" w:rsidP="00AD4A2E">
      <w:pPr>
        <w:pStyle w:val="Bullet1Keep"/>
        <w:spacing w:after="60"/>
      </w:pPr>
      <w:r w:rsidRPr="00DF526E">
        <w:t>Improved relationships</w:t>
      </w:r>
    </w:p>
    <w:p w14:paraId="61478457" w14:textId="77777777" w:rsidR="00AD4A2E" w:rsidRPr="00E570F3" w:rsidRDefault="00AD4A2E" w:rsidP="00AD4A2E">
      <w:pPr>
        <w:pStyle w:val="Bullet1"/>
      </w:pPr>
      <w:r w:rsidRPr="00E570F3">
        <w:t>Burden relief.</w:t>
      </w:r>
    </w:p>
    <w:p w14:paraId="0FACE0D0" w14:textId="77777777" w:rsidR="00AD4A2E" w:rsidRPr="00F42B3F" w:rsidRDefault="00AD4A2E" w:rsidP="00AD4A2E">
      <w:pPr>
        <w:pStyle w:val="ParaKeep"/>
      </w:pPr>
      <w:r w:rsidRPr="00642F5C">
        <w:rPr>
          <w:rStyle w:val="Bold"/>
        </w:rPr>
        <w:t>Service provider</w:t>
      </w:r>
      <w:r w:rsidRPr="00E570F3">
        <w:rPr>
          <w:rStyle w:val="Bold"/>
          <w:b w:val="0"/>
        </w:rPr>
        <w:t xml:space="preserve"> </w:t>
      </w:r>
      <w:r w:rsidRPr="00642F5C">
        <w:t>benefits include:</w:t>
      </w:r>
    </w:p>
    <w:p w14:paraId="763951EB" w14:textId="77777777" w:rsidR="00AD4A2E" w:rsidRPr="00DF526E" w:rsidRDefault="00AD4A2E" w:rsidP="00AD4A2E">
      <w:pPr>
        <w:pStyle w:val="Bullet1"/>
      </w:pPr>
      <w:r w:rsidRPr="00DF526E">
        <w:t>Supporting care-planning, care management, and medication management</w:t>
      </w:r>
    </w:p>
    <w:p w14:paraId="100893B8" w14:textId="77777777" w:rsidR="00AD4A2E" w:rsidRPr="00DF526E" w:rsidRDefault="00AD4A2E" w:rsidP="00AD4A2E">
      <w:pPr>
        <w:pStyle w:val="Bullet1"/>
      </w:pPr>
      <w:r w:rsidRPr="00DF526E">
        <w:t>Alleviating consumer frustration</w:t>
      </w:r>
    </w:p>
    <w:p w14:paraId="3417AA53" w14:textId="77777777" w:rsidR="00AD4A2E" w:rsidRPr="00DF526E" w:rsidRDefault="00AD4A2E" w:rsidP="00AD4A2E">
      <w:pPr>
        <w:pStyle w:val="Bullet1"/>
      </w:pPr>
      <w:r w:rsidRPr="00DF526E">
        <w:t>Providing more choice</w:t>
      </w:r>
    </w:p>
    <w:p w14:paraId="0AEDF9A3" w14:textId="77777777" w:rsidR="00AD4A2E" w:rsidRPr="00DF526E" w:rsidRDefault="00AD4A2E" w:rsidP="00AD4A2E">
      <w:pPr>
        <w:pStyle w:val="Bullet1"/>
      </w:pPr>
      <w:r w:rsidRPr="00DF526E">
        <w:t>Conserving consumer energy</w:t>
      </w:r>
    </w:p>
    <w:p w14:paraId="668EA0A1" w14:textId="77777777" w:rsidR="00AD4A2E" w:rsidRPr="00DF526E" w:rsidRDefault="00AD4A2E" w:rsidP="00AD4A2E">
      <w:pPr>
        <w:pStyle w:val="Bullet1"/>
      </w:pPr>
      <w:r w:rsidRPr="00DF526E">
        <w:t>Enabling more function and activity</w:t>
      </w:r>
    </w:p>
    <w:p w14:paraId="08B52618" w14:textId="77777777" w:rsidR="00AD4A2E" w:rsidRDefault="00AD4A2E" w:rsidP="00AD4A2E">
      <w:pPr>
        <w:pStyle w:val="Bullet1"/>
      </w:pPr>
      <w:r>
        <w:t>Increasing</w:t>
      </w:r>
      <w:r w:rsidRPr="00DF526E">
        <w:t xml:space="preserve"> safety in the home for support workers.</w:t>
      </w:r>
    </w:p>
    <w:p w14:paraId="4CDF653A" w14:textId="464BF6BE" w:rsidR="00120921" w:rsidRDefault="00120921">
      <w:pPr>
        <w:rPr>
          <w:b/>
          <w:sz w:val="28"/>
          <w:szCs w:val="28"/>
        </w:rPr>
      </w:pPr>
      <w:r>
        <w:rPr>
          <w:b/>
          <w:sz w:val="28"/>
          <w:szCs w:val="28"/>
        </w:rPr>
        <w:br w:type="page"/>
      </w:r>
    </w:p>
    <w:p w14:paraId="288325E3" w14:textId="689C5F2B" w:rsidR="00AD4A2E" w:rsidRPr="00222AE0" w:rsidRDefault="00AD4A2E" w:rsidP="00222AE0">
      <w:pPr>
        <w:rPr>
          <w:b/>
          <w:sz w:val="28"/>
          <w:szCs w:val="28"/>
        </w:rPr>
      </w:pPr>
      <w:r w:rsidRPr="00222AE0">
        <w:rPr>
          <w:b/>
          <w:sz w:val="28"/>
          <w:szCs w:val="28"/>
        </w:rPr>
        <w:lastRenderedPageBreak/>
        <w:t>Costing benefits</w:t>
      </w:r>
    </w:p>
    <w:p w14:paraId="4A512DA9" w14:textId="3B5D045F" w:rsidR="00AD4A2E" w:rsidRDefault="00AD4A2E" w:rsidP="00AD4A2E">
      <w:pPr>
        <w:pStyle w:val="ParaKeep"/>
      </w:pPr>
      <w:r w:rsidRPr="0085000F">
        <w:t xml:space="preserve">The benefits of access to, and use of, </w:t>
      </w:r>
      <w:r>
        <w:t>AT</w:t>
      </w:r>
      <w:r w:rsidRPr="0085000F">
        <w:t xml:space="preserve"> </w:t>
      </w:r>
      <w:r>
        <w:t>are</w:t>
      </w:r>
      <w:r w:rsidRPr="0085000F">
        <w:t xml:space="preserve"> well documented</w:t>
      </w:r>
      <w:r w:rsidR="00BA0E0E">
        <w:t xml:space="preserve"> </w:t>
      </w:r>
      <w:r w:rsidR="00BA0E0E">
        <w:fldChar w:fldCharType="begin" w:fldLock="1"/>
      </w:r>
      <w:r w:rsidR="00BA0E0E">
        <w:instrText>ADDIN CSL_CITATION {"citationItems":[{"id":"ITEM-1","itemData":{"author":[{"dropping-particle":"","family":"Alshabeb","given":"A","non-dropping-particle":"","parse-names":false,"suffix":""},{"dropping-particle":"","family":"Abdulrahman","given":"O","non-dropping-particle":"","parse-names":false,"suffix":""}],"id":"ITEM-1","issue":"8","issued":{"date-parts":[["2019"]]},"page":"210-215","title":"Critical analysis of the benefits and drawbacks of assistive technology with special needs","type":"article-journal","volume":"6"},"uris":["http://www.mendeley.com/documents/?uuid=6e1b8546-0fde-45b9-af38-53574042d806"]}],"mendeley":{"formattedCitation":"(Alshabeb &amp; Abdulrahman 2019)","plainTextFormattedCitation":"(Alshabeb &amp; Abdulrahman 2019)","previouslyFormattedCitation":"(Alshabeb &amp; Abdulrahman 2019)"},"properties":{"noteIndex":0},"schema":"https://github.com/citation-style-language/schema/raw/master/csl-citation.json"}</w:instrText>
      </w:r>
      <w:r w:rsidR="00BA0E0E">
        <w:fldChar w:fldCharType="separate"/>
      </w:r>
      <w:r w:rsidR="00BA0E0E" w:rsidRPr="00BA0E0E">
        <w:rPr>
          <w:noProof/>
        </w:rPr>
        <w:t>(Alshabeb &amp; Abdulrahman 2019)</w:t>
      </w:r>
      <w:r w:rsidR="00BA0E0E">
        <w:fldChar w:fldCharType="end"/>
      </w:r>
      <w:r w:rsidR="00BA0E0E">
        <w:t xml:space="preserve"> </w:t>
      </w:r>
      <w:r w:rsidR="00BA0E0E">
        <w:fldChar w:fldCharType="begin" w:fldLock="1"/>
      </w:r>
      <w:r w:rsidR="00BA0E0E">
        <w:instrText>ADDIN CSL_CITATION {"citationItems":[{"id":"ITEM-1","itemData":{"author":[{"dropping-particle":"","family":"Clay","given":"S.L","non-dropping-particle":"","parse-names":false,"suffix":""},{"dropping-particle":"","family":"Alston","given":"R.J","non-dropping-particle":"","parse-names":false,"suffix":""}],"container-title":"Technology and Disability","id":"ITEM-1","issued":{"date-parts":[["2016"]]},"page":"111-121","title":"The benefits of assistive technology use by persons with physical conditions: An examination of difficulty levels in areas of functioning","type":"article-journal","volume":"28"},"uris":["http://www.mendeley.com/documents/?uuid=36b82321-73a5-4c40-bfbd-fdbb982cf019"]}],"mendeley":{"formattedCitation":"(Clay &amp; Alston 2016)","plainTextFormattedCitation":"(Clay &amp; Alston 2016)","previouslyFormattedCitation":"(Clay &amp; Alston 2016)"},"properties":{"noteIndex":0},"schema":"https://github.com/citation-style-language/schema/raw/master/csl-citation.json"}</w:instrText>
      </w:r>
      <w:r w:rsidR="00BA0E0E">
        <w:fldChar w:fldCharType="separate"/>
      </w:r>
      <w:r w:rsidR="00BA0E0E" w:rsidRPr="00BA0E0E">
        <w:rPr>
          <w:noProof/>
        </w:rPr>
        <w:t>(Clay &amp; Alston 2016)</w:t>
      </w:r>
      <w:r w:rsidR="00BA0E0E">
        <w:fldChar w:fldCharType="end"/>
      </w:r>
      <w:r w:rsidR="00BA0E0E">
        <w:t>;</w:t>
      </w:r>
      <w:r>
        <w:t xml:space="preserve"> h</w:t>
      </w:r>
      <w:r w:rsidRPr="0085000F">
        <w:t>owever, the</w:t>
      </w:r>
      <w:r>
        <w:t>y</w:t>
      </w:r>
      <w:r w:rsidRPr="0085000F">
        <w:t xml:space="preserve"> are rarely costed through a robust economic evaluation. </w:t>
      </w:r>
      <w:r w:rsidRPr="00BC2BD6">
        <w:t>Given</w:t>
      </w:r>
      <w:r>
        <w:t xml:space="preserve"> that the available literature is limited in both quality and quantity, the analysis used a two-pronged approach:</w:t>
      </w:r>
    </w:p>
    <w:p w14:paraId="27518F14" w14:textId="1DACE1F4" w:rsidR="00AD4A2E" w:rsidRDefault="00AD4A2E" w:rsidP="00AD4A2E">
      <w:pPr>
        <w:pStyle w:val="Bullet1"/>
      </w:pPr>
      <w:r>
        <w:t xml:space="preserve">Rapid Evidence Review </w:t>
      </w:r>
      <w:r w:rsidR="002A399F">
        <w:t xml:space="preserve">(see </w:t>
      </w:r>
      <w:r w:rsidR="002A399F" w:rsidRPr="002A399F">
        <w:rPr>
          <w:i/>
          <w:iCs/>
        </w:rPr>
        <w:fldChar w:fldCharType="begin"/>
      </w:r>
      <w:r w:rsidR="002A399F" w:rsidRPr="002A399F">
        <w:rPr>
          <w:i/>
          <w:iCs/>
        </w:rPr>
        <w:instrText xml:space="preserve"> REF _Ref40894194 \r \h </w:instrText>
      </w:r>
      <w:r w:rsidR="002A399F">
        <w:rPr>
          <w:i/>
          <w:iCs/>
        </w:rPr>
        <w:instrText xml:space="preserve"> \* MERGEFORMAT </w:instrText>
      </w:r>
      <w:r w:rsidR="002A399F" w:rsidRPr="002A399F">
        <w:rPr>
          <w:i/>
          <w:iCs/>
        </w:rPr>
      </w:r>
      <w:r w:rsidR="002A399F" w:rsidRPr="002A399F">
        <w:rPr>
          <w:i/>
          <w:iCs/>
        </w:rPr>
        <w:fldChar w:fldCharType="separate"/>
      </w:r>
      <w:r w:rsidR="00EB1774">
        <w:rPr>
          <w:i/>
          <w:iCs/>
        </w:rPr>
        <w:t>Appendix B</w:t>
      </w:r>
      <w:r w:rsidR="002A399F" w:rsidRPr="002A399F">
        <w:rPr>
          <w:i/>
          <w:iCs/>
        </w:rPr>
        <w:fldChar w:fldCharType="end"/>
      </w:r>
      <w:r w:rsidR="00C112A9">
        <w:rPr>
          <w:i/>
          <w:iCs/>
        </w:rPr>
        <w:t xml:space="preserve"> </w:t>
      </w:r>
      <w:r w:rsidR="00C112A9" w:rsidRPr="0005623E">
        <w:t xml:space="preserve">for </w:t>
      </w:r>
      <w:r w:rsidR="007472A7">
        <w:t>further</w:t>
      </w:r>
      <w:r w:rsidR="007472A7" w:rsidRPr="0005623E">
        <w:t xml:space="preserve"> </w:t>
      </w:r>
      <w:r w:rsidR="00C112A9" w:rsidRPr="0005623E">
        <w:t>details</w:t>
      </w:r>
      <w:r w:rsidR="002A399F">
        <w:t>)</w:t>
      </w:r>
    </w:p>
    <w:p w14:paraId="7EEAAE34" w14:textId="1EAE569C" w:rsidR="00AD4A2E" w:rsidRDefault="00AD4A2E" w:rsidP="00AD4A2E">
      <w:pPr>
        <w:pStyle w:val="Bullet1"/>
      </w:pPr>
      <w:r>
        <w:t>Delphi Focus Group</w:t>
      </w:r>
      <w:r w:rsidR="002A399F">
        <w:t xml:space="preserve"> (see </w:t>
      </w:r>
      <w:r w:rsidR="002A399F" w:rsidRPr="002A399F">
        <w:rPr>
          <w:i/>
          <w:iCs/>
        </w:rPr>
        <w:fldChar w:fldCharType="begin"/>
      </w:r>
      <w:r w:rsidR="002A399F" w:rsidRPr="002A399F">
        <w:rPr>
          <w:i/>
          <w:iCs/>
        </w:rPr>
        <w:instrText xml:space="preserve"> REF _Ref40894270 \r \h </w:instrText>
      </w:r>
      <w:r w:rsidR="002A399F">
        <w:rPr>
          <w:i/>
          <w:iCs/>
        </w:rPr>
        <w:instrText xml:space="preserve"> \* MERGEFORMAT </w:instrText>
      </w:r>
      <w:r w:rsidR="002A399F" w:rsidRPr="002A399F">
        <w:rPr>
          <w:i/>
          <w:iCs/>
        </w:rPr>
      </w:r>
      <w:r w:rsidR="002A399F" w:rsidRPr="002A399F">
        <w:rPr>
          <w:i/>
          <w:iCs/>
        </w:rPr>
        <w:fldChar w:fldCharType="separate"/>
      </w:r>
      <w:r w:rsidR="00EB1774">
        <w:rPr>
          <w:i/>
          <w:iCs/>
        </w:rPr>
        <w:t>Appendix C</w:t>
      </w:r>
      <w:r w:rsidR="002A399F" w:rsidRPr="002A399F">
        <w:rPr>
          <w:i/>
          <w:iCs/>
        </w:rPr>
        <w:fldChar w:fldCharType="end"/>
      </w:r>
      <w:r w:rsidR="00C112A9">
        <w:rPr>
          <w:i/>
          <w:iCs/>
        </w:rPr>
        <w:t xml:space="preserve"> </w:t>
      </w:r>
      <w:r w:rsidR="00C112A9" w:rsidRPr="0005623E">
        <w:t xml:space="preserve">for </w:t>
      </w:r>
      <w:r w:rsidR="007472A7">
        <w:t>further</w:t>
      </w:r>
      <w:r w:rsidR="007472A7" w:rsidRPr="0005623E">
        <w:t xml:space="preserve"> </w:t>
      </w:r>
      <w:r w:rsidR="00C112A9" w:rsidRPr="0005623E">
        <w:t>details</w:t>
      </w:r>
      <w:r w:rsidR="002A399F">
        <w:t>)</w:t>
      </w:r>
      <w:r>
        <w:t xml:space="preserve">. </w:t>
      </w:r>
    </w:p>
    <w:p w14:paraId="0C2A0D16" w14:textId="77777777" w:rsidR="00AD4A2E" w:rsidRPr="00A4214C" w:rsidRDefault="00AD4A2E" w:rsidP="00222AE0">
      <w:pPr>
        <w:pStyle w:val="Heading3"/>
      </w:pPr>
      <w:r w:rsidRPr="00A4214C">
        <w:t>Rapid Evidence Review</w:t>
      </w:r>
    </w:p>
    <w:p w14:paraId="306622CB" w14:textId="63860591" w:rsidR="004F2FB7" w:rsidRPr="003561FC" w:rsidRDefault="004F2FB7" w:rsidP="004F2FB7">
      <w:pPr>
        <w:pStyle w:val="Paragraph"/>
      </w:pPr>
      <w:r>
        <w:t>A</w:t>
      </w:r>
      <w:r w:rsidRPr="0085000F">
        <w:t xml:space="preserve"> Rapid Evidence Review (RER) examine</w:t>
      </w:r>
      <w:r>
        <w:t>d</w:t>
      </w:r>
      <w:r w:rsidRPr="0085000F">
        <w:t xml:space="preserve"> the available evidence on whether AT effectively improves independence, autonomy, safety and participation for </w:t>
      </w:r>
      <w:r>
        <w:t>older Australians and identified</w:t>
      </w:r>
      <w:r w:rsidRPr="0085000F">
        <w:t xml:space="preserve"> literature </w:t>
      </w:r>
      <w:r>
        <w:t xml:space="preserve">that </w:t>
      </w:r>
      <w:r w:rsidRPr="0085000F">
        <w:t>highlight</w:t>
      </w:r>
      <w:r>
        <w:t>s</w:t>
      </w:r>
      <w:r w:rsidRPr="0085000F">
        <w:t xml:space="preserve"> </w:t>
      </w:r>
      <w:r>
        <w:t xml:space="preserve">the </w:t>
      </w:r>
      <w:r w:rsidRPr="0085000F">
        <w:t xml:space="preserve">economic outcomes of AT. </w:t>
      </w:r>
    </w:p>
    <w:p w14:paraId="4444B2C6" w14:textId="77777777" w:rsidR="00AD4A2E" w:rsidRPr="003561FC" w:rsidRDefault="00AD4A2E" w:rsidP="00222AE0">
      <w:r w:rsidRPr="00222AE0">
        <w:rPr>
          <w:b/>
          <w:sz w:val="28"/>
          <w:szCs w:val="28"/>
        </w:rPr>
        <w:t>Methods</w:t>
      </w:r>
    </w:p>
    <w:p w14:paraId="63A6FF35" w14:textId="2C25C57C" w:rsidR="00AD4A2E" w:rsidRDefault="00AD4A2E" w:rsidP="00AD4A2E">
      <w:pPr>
        <w:pStyle w:val="Paragraph"/>
      </w:pPr>
      <w:r>
        <w:t xml:space="preserve">Due to the generally low quality of the included </w:t>
      </w:r>
      <w:r w:rsidRPr="000A4D09">
        <w:t>studies</w:t>
      </w:r>
      <w:r w:rsidRPr="000D198E">
        <w:t xml:space="preserve">, we </w:t>
      </w:r>
      <w:r>
        <w:t>decided to</w:t>
      </w:r>
      <w:r w:rsidRPr="000D198E">
        <w:t xml:space="preserve"> report the </w:t>
      </w:r>
      <w:r>
        <w:t>‘</w:t>
      </w:r>
      <w:r w:rsidRPr="000D198E">
        <w:t>direction</w:t>
      </w:r>
      <w:r>
        <w:t>’</w:t>
      </w:r>
      <w:r w:rsidRPr="000D198E">
        <w:t xml:space="preserve"> of the studies in addition to the quantified benefits of </w:t>
      </w:r>
      <w:r>
        <w:t xml:space="preserve">AT. </w:t>
      </w:r>
      <w:r w:rsidRPr="000D198E">
        <w:t xml:space="preserve">Effectiveness </w:t>
      </w:r>
      <w:r>
        <w:t>was</w:t>
      </w:r>
      <w:r w:rsidRPr="000D198E">
        <w:t xml:space="preserve"> rated as Better/</w:t>
      </w:r>
      <w:r w:rsidRPr="00C634AD">
        <w:t>​</w:t>
      </w:r>
      <w:r w:rsidRPr="000D198E">
        <w:t>Same/</w:t>
      </w:r>
      <w:r w:rsidRPr="00C634AD">
        <w:t>​</w:t>
      </w:r>
      <w:r w:rsidRPr="000D198E">
        <w:t xml:space="preserve">Poorer than the control intervention. Cost </w:t>
      </w:r>
      <w:r>
        <w:t>was</w:t>
      </w:r>
      <w:r w:rsidRPr="000D198E">
        <w:t xml:space="preserve"> rated as Higher/</w:t>
      </w:r>
      <w:r w:rsidRPr="00C634AD">
        <w:t>​</w:t>
      </w:r>
      <w:r w:rsidRPr="000D198E">
        <w:t>Same (or insufficient reporting)/</w:t>
      </w:r>
      <w:r w:rsidRPr="00C634AD">
        <w:t>​</w:t>
      </w:r>
      <w:r w:rsidRPr="000D198E">
        <w:t>Lower than the control intervention. The</w:t>
      </w:r>
      <w:r>
        <w:t xml:space="preserve"> f</w:t>
      </w:r>
      <w:r w:rsidRPr="000D198E">
        <w:t xml:space="preserve">indings </w:t>
      </w:r>
      <w:r>
        <w:t xml:space="preserve">were summarised to </w:t>
      </w:r>
      <w:r w:rsidRPr="000D198E">
        <w:t>determine if the included studies supported rejecting or accepting the AT interventions.</w:t>
      </w:r>
    </w:p>
    <w:p w14:paraId="1899803A" w14:textId="326215E2" w:rsidR="00AD4A2E" w:rsidRPr="000D198E" w:rsidRDefault="00AD4A2E" w:rsidP="00222AE0">
      <w:r w:rsidRPr="00222AE0">
        <w:rPr>
          <w:b/>
          <w:sz w:val="28"/>
          <w:szCs w:val="28"/>
        </w:rPr>
        <w:t>Results</w:t>
      </w:r>
    </w:p>
    <w:p w14:paraId="27B75870" w14:textId="6A29485E" w:rsidR="00826334" w:rsidRDefault="00EC062D" w:rsidP="00EC062D">
      <w:pPr>
        <w:pStyle w:val="Paragraph"/>
      </w:pPr>
      <w:r w:rsidRPr="00EC062D">
        <w:rPr>
          <w:i/>
          <w:iCs/>
        </w:rPr>
        <w:fldChar w:fldCharType="begin"/>
      </w:r>
      <w:r w:rsidRPr="00EC062D">
        <w:rPr>
          <w:i/>
          <w:iCs/>
        </w:rPr>
        <w:instrText xml:space="preserve"> REF _Ref42698208 \h </w:instrText>
      </w:r>
      <w:r>
        <w:rPr>
          <w:i/>
          <w:iCs/>
        </w:rPr>
        <w:instrText xml:space="preserve"> \* MERGEFORMAT </w:instrText>
      </w:r>
      <w:r w:rsidRPr="00EC062D">
        <w:rPr>
          <w:i/>
          <w:iCs/>
        </w:rPr>
      </w:r>
      <w:r w:rsidRPr="00EC062D">
        <w:rPr>
          <w:i/>
          <w:iCs/>
        </w:rPr>
        <w:fldChar w:fldCharType="separate"/>
      </w:r>
      <w:r w:rsidR="00EB1774" w:rsidRPr="00EB1774">
        <w:rPr>
          <w:i/>
          <w:iCs/>
        </w:rPr>
        <w:t>Figure A</w:t>
      </w:r>
      <w:r w:rsidR="00EB1774" w:rsidRPr="00EB1774">
        <w:rPr>
          <w:i/>
          <w:iCs/>
        </w:rPr>
        <w:noBreakHyphen/>
      </w:r>
      <w:r w:rsidRPr="00EC062D">
        <w:rPr>
          <w:i/>
          <w:iCs/>
        </w:rPr>
        <w:fldChar w:fldCharType="end"/>
      </w:r>
      <w:r w:rsidR="00AF5319">
        <w:t xml:space="preserve"> </w:t>
      </w:r>
      <w:r w:rsidR="00826334">
        <w:t xml:space="preserve">summarises the results of the RER search. This indicates that: </w:t>
      </w:r>
    </w:p>
    <w:p w14:paraId="3FC894E8" w14:textId="77777777" w:rsidR="00826334" w:rsidRDefault="00826334" w:rsidP="00826334">
      <w:pPr>
        <w:pStyle w:val="Bullet1"/>
      </w:pPr>
      <w:r>
        <w:t xml:space="preserve">Of the initial </w:t>
      </w:r>
      <w:r w:rsidRPr="000D198E">
        <w:t>2,923 </w:t>
      </w:r>
      <w:r>
        <w:t xml:space="preserve">unique papers identified, </w:t>
      </w:r>
      <w:r w:rsidRPr="000D198E">
        <w:t xml:space="preserve">162 papers </w:t>
      </w:r>
      <w:r>
        <w:t>had a</w:t>
      </w:r>
      <w:r w:rsidRPr="000D198E">
        <w:t xml:space="preserve"> full text review.</w:t>
      </w:r>
    </w:p>
    <w:p w14:paraId="0D05686B" w14:textId="0DDD365A" w:rsidR="00826334" w:rsidRDefault="00826334" w:rsidP="00826334">
      <w:pPr>
        <w:pStyle w:val="Bullet1"/>
      </w:pPr>
      <w:r>
        <w:t>39</w:t>
      </w:r>
      <w:r w:rsidRPr="000D198E">
        <w:t xml:space="preserve"> of these papers were identified </w:t>
      </w:r>
      <w:r>
        <w:t xml:space="preserve">and reviewed, with </w:t>
      </w:r>
      <w:r w:rsidRPr="000D198E">
        <w:t>25</w:t>
      </w:r>
      <w:r>
        <w:t xml:space="preserve"> papers </w:t>
      </w:r>
      <w:r w:rsidRPr="000D198E">
        <w:t>excluded</w:t>
      </w:r>
      <w:r>
        <w:t xml:space="preserve">. </w:t>
      </w:r>
      <w:r w:rsidRPr="000D198E">
        <w:t>Papers were excluded for multiple reasons (</w:t>
      </w:r>
      <w:r>
        <w:t xml:space="preserve">see </w:t>
      </w:r>
      <w:r w:rsidRPr="000D198E">
        <w:rPr>
          <w:i/>
        </w:rPr>
        <w:fldChar w:fldCharType="begin"/>
      </w:r>
      <w:r w:rsidRPr="000D198E">
        <w:rPr>
          <w:i/>
        </w:rPr>
        <w:instrText xml:space="preserve"> REF _Ref34488826 \h  \* MERGEFORMAT </w:instrText>
      </w:r>
      <w:r w:rsidRPr="000D198E">
        <w:rPr>
          <w:i/>
        </w:rPr>
      </w:r>
      <w:r w:rsidRPr="000D198E">
        <w:rPr>
          <w:i/>
        </w:rPr>
        <w:fldChar w:fldCharType="separate"/>
      </w:r>
      <w:r w:rsidR="00EB1774" w:rsidRPr="00EB1774">
        <w:rPr>
          <w:i/>
        </w:rPr>
        <w:t>Table B</w:t>
      </w:r>
      <w:r w:rsidR="00EB1774" w:rsidRPr="00EB1774">
        <w:rPr>
          <w:i/>
        </w:rPr>
        <w:noBreakHyphen/>
        <w:t>6</w:t>
      </w:r>
      <w:r w:rsidRPr="000D198E">
        <w:rPr>
          <w:i/>
        </w:rPr>
        <w:fldChar w:fldCharType="end"/>
      </w:r>
      <w:r w:rsidRPr="000D198E">
        <w:t>)</w:t>
      </w:r>
      <w:r>
        <w:t>:</w:t>
      </w:r>
      <w:r w:rsidRPr="000D198E">
        <w:t xml:space="preserve"> </w:t>
      </w:r>
      <w:r>
        <w:t xml:space="preserve">but </w:t>
      </w:r>
      <w:r w:rsidRPr="000D198E">
        <w:t>most commonly because the paper was not specific to AT or the paper reported the prevalence of AT but not the cost</w:t>
      </w:r>
      <w:r>
        <w:t>.</w:t>
      </w:r>
      <w:r w:rsidRPr="000D198E">
        <w:t xml:space="preserve"> </w:t>
      </w:r>
    </w:p>
    <w:p w14:paraId="23838612" w14:textId="516AD839" w:rsidR="00826334" w:rsidRDefault="00826334" w:rsidP="00826334">
      <w:pPr>
        <w:pStyle w:val="Bullet1"/>
      </w:pPr>
      <w:r w:rsidRPr="000D198E">
        <w:t xml:space="preserve">An additional six papers were identified through the </w:t>
      </w:r>
      <w:r w:rsidRPr="00E570F3">
        <w:rPr>
          <w:rStyle w:val="Italic"/>
        </w:rPr>
        <w:t>National Aged Care Alliance Position paper: Assistive technology for older Australians study</w:t>
      </w:r>
      <w:r w:rsidRPr="00636B05">
        <w:t xml:space="preserve"> </w:t>
      </w:r>
      <w:r>
        <w:fldChar w:fldCharType="begin" w:fldLock="1"/>
      </w:r>
      <w:r w:rsidR="00184FBE">
        <w:instrText>ADDIN CSL_CITATION {"citationItems":[{"id":"ITEM-1","itemData":{"ISBN":"9789240694811","abstract":"The National Aged Care Alliance (the Alliance) comprises 50 peak national organisations in aged care, representing consumer groups, providers, unions and health professionals, working together to determine a more positive future for aged care in Australia. As a leading voice for improvements to aged care for the past decade, the Alliance strives to implement its vision for ageing in Australia, that: Every older Australian is able to live well, with dignity and independence, as part of their community and in a place of their choosing, with a choice of appropriate and affordable support and care services when they need them. 1 Further information about the Alliance is available at http://www.naca.asn.au/.","author":[{"dropping-particle":"","family":"National Aged Care Alliance","given":"","non-dropping-particle":"","parse-names":false,"suffix":""}],"id":"ITEM-1","issue":"June","issued":{"date-parts":[["2018"]]},"title":"Position paper: Assistive technology for older Australians","type":"book"},"uris":["http://www.mendeley.com/documents/?uuid=95ce157c-871b-42a5-b039-6a23c5ec0ca8"]}],"mendeley":{"formattedCitation":"(National Aged Care Alliance 2018)","plainTextFormattedCitation":"(National Aged Care Alliance 2018)","previouslyFormattedCitation":"(National Aged Care Alliance 2018)"},"properties":{"noteIndex":0},"schema":"https://github.com/citation-style-language/schema/raw/master/csl-citation.json"}</w:instrText>
      </w:r>
      <w:r>
        <w:fldChar w:fldCharType="separate"/>
      </w:r>
      <w:r w:rsidRPr="007E1949">
        <w:rPr>
          <w:noProof/>
        </w:rPr>
        <w:t>(National Aged Care Alliance 2018)</w:t>
      </w:r>
      <w:r>
        <w:fldChar w:fldCharType="end"/>
      </w:r>
      <w:r>
        <w:t xml:space="preserve"> RER </w:t>
      </w:r>
      <w:r w:rsidRPr="000D198E">
        <w:t>and reference lists and were subsequently included</w:t>
      </w:r>
    </w:p>
    <w:p w14:paraId="07BB3908" w14:textId="3985D42F" w:rsidR="00826334" w:rsidRDefault="00826334" w:rsidP="00826334">
      <w:pPr>
        <w:pStyle w:val="Bullet1"/>
      </w:pPr>
      <w:r w:rsidRPr="000D198E">
        <w:t>This resulted in a final yield of 20 papers.</w:t>
      </w:r>
    </w:p>
    <w:p w14:paraId="55C02417" w14:textId="77777777" w:rsidR="00F909FF" w:rsidRDefault="00F909FF" w:rsidP="00F909FF">
      <w:pPr>
        <w:pStyle w:val="Paragraph"/>
      </w:pPr>
      <w:r w:rsidRPr="000D198E">
        <w:t xml:space="preserve">The </w:t>
      </w:r>
      <w:r>
        <w:t>RER</w:t>
      </w:r>
      <w:r w:rsidRPr="000D198E">
        <w:t xml:space="preserve"> resulted in a final yield of 20 papers. Overall, </w:t>
      </w:r>
      <w:r>
        <w:t xml:space="preserve">there was </w:t>
      </w:r>
      <w:r w:rsidRPr="000D198E">
        <w:t xml:space="preserve">significant variation in quality among the </w:t>
      </w:r>
      <w:r>
        <w:t>included</w:t>
      </w:r>
      <w:r w:rsidRPr="000D198E">
        <w:t xml:space="preserve"> studies. </w:t>
      </w:r>
      <w:r>
        <w:t>Notably,</w:t>
      </w:r>
      <w:r w:rsidRPr="000D198E">
        <w:t xml:space="preserve"> the level of evidence and the quality of the included studies </w:t>
      </w:r>
      <w:r>
        <w:t>wa</w:t>
      </w:r>
      <w:r w:rsidRPr="000D198E">
        <w:t>s generally low, and the risk of bias for the included studies was generally high. This compromises the robustness and generalisability of the findings from the rapid evidence review.</w:t>
      </w:r>
    </w:p>
    <w:p w14:paraId="47356643" w14:textId="77777777" w:rsidR="00F909FF" w:rsidRDefault="00F909FF" w:rsidP="00F909FF">
      <w:pPr>
        <w:pStyle w:val="ParaKeep"/>
      </w:pPr>
      <w:r w:rsidRPr="009F61CC">
        <w:t>Each of the 20 papers was reviewed to quantify the benefits of AT</w:t>
      </w:r>
      <w:r>
        <w:t xml:space="preserve">, yielding </w:t>
      </w:r>
      <w:r w:rsidRPr="009F61CC">
        <w:t>the following annual cost savings</w:t>
      </w:r>
      <w:r>
        <w:t xml:space="preserve"> of $36,950:</w:t>
      </w:r>
    </w:p>
    <w:p w14:paraId="66A1055C" w14:textId="77777777" w:rsidR="00F909FF" w:rsidRPr="009F61CC" w:rsidRDefault="00F909FF" w:rsidP="00F909FF">
      <w:pPr>
        <w:pStyle w:val="Bullet1"/>
      </w:pPr>
      <w:r w:rsidRPr="007851F9">
        <w:rPr>
          <w:b/>
          <w:bCs/>
        </w:rPr>
        <w:t>Cost savings for community services</w:t>
      </w:r>
      <w:r w:rsidRPr="004743D5">
        <w:rPr>
          <w:rStyle w:val="Bold"/>
        </w:rPr>
        <w:t>: $6,997.41.</w:t>
      </w:r>
      <w:r>
        <w:t xml:space="preserve"> This included formal paid care and informal unpaid care.</w:t>
      </w:r>
    </w:p>
    <w:p w14:paraId="4A577F46" w14:textId="77777777" w:rsidR="00F909FF" w:rsidRPr="009F61CC" w:rsidRDefault="00F909FF" w:rsidP="00F909FF">
      <w:pPr>
        <w:pStyle w:val="Bullet1Keep"/>
      </w:pPr>
      <w:r w:rsidRPr="007851F9">
        <w:rPr>
          <w:b/>
          <w:bCs/>
        </w:rPr>
        <w:lastRenderedPageBreak/>
        <w:t>Cost savings for health and aged care</w:t>
      </w:r>
      <w:r w:rsidRPr="004743D5">
        <w:rPr>
          <w:rStyle w:val="Bold"/>
        </w:rPr>
        <w:t>: $29,952.59.</w:t>
      </w:r>
      <w:r>
        <w:t xml:space="preserve"> This included acute and subacute hospital admissions, as well as residential aged care admissions.</w:t>
      </w:r>
    </w:p>
    <w:p w14:paraId="19BA8D01" w14:textId="77777777" w:rsidR="00F909FF" w:rsidRPr="009F61CC" w:rsidRDefault="00F909FF" w:rsidP="00F909FF">
      <w:pPr>
        <w:pStyle w:val="Bullet1Keep"/>
      </w:pPr>
      <w:r w:rsidRPr="004743D5">
        <w:rPr>
          <w:rStyle w:val="Bold"/>
        </w:rPr>
        <w:t>Social and wellbeing benefits: Undefined cost benefit.</w:t>
      </w:r>
      <w:r>
        <w:t xml:space="preserve"> This included improved wellbeing for the consumer and for their carer, greater participation in activities and reduced risks including falls.</w:t>
      </w:r>
    </w:p>
    <w:p w14:paraId="24C01A69" w14:textId="77777777" w:rsidR="00F909FF" w:rsidRDefault="00F909FF" w:rsidP="00F909FF">
      <w:pPr>
        <w:pStyle w:val="Paragraph"/>
      </w:pPr>
      <w:r>
        <w:t xml:space="preserve">The studies </w:t>
      </w:r>
      <w:r w:rsidRPr="000A4D09">
        <w:t xml:space="preserve">were </w:t>
      </w:r>
      <w:r>
        <w:t xml:space="preserve">then categorised </w:t>
      </w:r>
      <w:r w:rsidRPr="000A4D09">
        <w:t>for effectiveness and cost for each of the key outcomes reported</w:t>
      </w:r>
      <w:r>
        <w:t>, using the matrix described above</w:t>
      </w:r>
      <w:r w:rsidRPr="000A4D09">
        <w:t xml:space="preserve">. </w:t>
      </w:r>
      <w:r>
        <w:t xml:space="preserve">This showed that the studies consistently supported </w:t>
      </w:r>
      <w:r w:rsidRPr="000A4D09">
        <w:t>accept</w:t>
      </w:r>
      <w:r>
        <w:t xml:space="preserve">ing AT. </w:t>
      </w:r>
    </w:p>
    <w:p w14:paraId="5E29D9ED" w14:textId="6E983322" w:rsidR="00F909FF" w:rsidRDefault="00F909FF" w:rsidP="00F909FF">
      <w:pPr>
        <w:pStyle w:val="Paragraph"/>
      </w:pPr>
      <w:r>
        <w:t>Overall, 80% (n=16) of the selected studies demonstrated that AT was more effective than the comparison group who did not receive AT: 35% demonstrated a cost savings with 60% reporting either no cost difference or providing insufficient cost data. While it was determined that these were insufficient to represent robust cost savings to calculate benefits, these studies did indicate support for the positive direction for AT cost and effectiveness outcomes.</w:t>
      </w:r>
    </w:p>
    <w:p w14:paraId="6FD30326" w14:textId="302D2838" w:rsidR="004D557D" w:rsidRDefault="004D557D" w:rsidP="00222AE0">
      <w:bookmarkStart w:id="42" w:name="_Ref42698208"/>
      <w:r>
        <w:t>Figure </w:t>
      </w:r>
      <w:r>
        <w:fldChar w:fldCharType="begin"/>
      </w:r>
      <w:r>
        <w:instrText xml:space="preserve"> STYLEREF 5 \s </w:instrText>
      </w:r>
      <w:r>
        <w:fldChar w:fldCharType="separate"/>
      </w:r>
      <w:r w:rsidR="00EB1774">
        <w:rPr>
          <w:noProof/>
        </w:rPr>
        <w:t>A</w:t>
      </w:r>
      <w:r>
        <w:rPr>
          <w:noProof/>
        </w:rPr>
        <w:fldChar w:fldCharType="end"/>
      </w:r>
      <w:r>
        <w:noBreakHyphen/>
      </w:r>
      <w:bookmarkEnd w:id="42"/>
      <w:r w:rsidR="000D4900">
        <w:t>5</w:t>
      </w:r>
      <w:r>
        <w:t>:</w:t>
      </w:r>
      <w:r>
        <w:tab/>
        <w:t xml:space="preserve">RER search results </w:t>
      </w:r>
    </w:p>
    <w:p w14:paraId="4F6CBACB" w14:textId="77777777" w:rsidR="00222AE0" w:rsidRDefault="00222AE0" w:rsidP="00222AE0"/>
    <w:p w14:paraId="296DCC8E" w14:textId="2BA86078" w:rsidR="00F909FF" w:rsidRDefault="00172C9A" w:rsidP="00172C9A">
      <w:pPr>
        <w:rPr>
          <w:lang w:eastAsia="en-US"/>
        </w:rPr>
      </w:pPr>
      <w:r w:rsidRPr="00436C03">
        <w:rPr>
          <w:noProof/>
          <w:shd w:val="clear" w:color="auto" w:fill="F2F2F2" w:themeFill="background1" w:themeFillShade="F2"/>
          <w:lang w:val="en-AU" w:eastAsia="en-AU"/>
        </w:rPr>
        <w:drawing>
          <wp:inline distT="0" distB="0" distL="0" distR="0" wp14:anchorId="027C00D5" wp14:editId="51F37A7F">
            <wp:extent cx="5486400" cy="5150427"/>
            <wp:effectExtent l="38100" t="38100" r="38100" b="31750"/>
            <wp:docPr id="24" name="Diagram 24" descr="1: Establish and distribute the prevalence of older Australians living and home and experiencing functional decline.&#10;2: Cost AT products for each of the 4 impairment categories over a 1-year and 5-year time horizon.&#10;3: Use 'real life' archetypes to cost and benchmark AT products.&#10;4: Cost AT for total population.&#10;5: Cost AT products for current home care program client populations.&#10;6: Cost AT products and services for future program options.&#10;7: Establish the benefits of AT for future program op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5899F67" w14:textId="77777777" w:rsidR="00F909FF" w:rsidRDefault="00F909FF">
      <w:pPr>
        <w:rPr>
          <w:lang w:eastAsia="en-US"/>
        </w:rPr>
      </w:pPr>
      <w:r>
        <w:rPr>
          <w:lang w:eastAsia="en-US"/>
        </w:rPr>
        <w:br w:type="page"/>
      </w:r>
    </w:p>
    <w:p w14:paraId="053534C5" w14:textId="77777777" w:rsidR="00AD4A2E" w:rsidRPr="00A4214C" w:rsidRDefault="00AD4A2E" w:rsidP="00222AE0">
      <w:pPr>
        <w:pStyle w:val="Heading3"/>
      </w:pPr>
      <w:r w:rsidRPr="00A4214C">
        <w:lastRenderedPageBreak/>
        <w:t>Delphi technique</w:t>
      </w:r>
    </w:p>
    <w:p w14:paraId="68E5209C" w14:textId="77777777" w:rsidR="00222AE0" w:rsidRPr="00120921" w:rsidRDefault="00222AE0" w:rsidP="00222AE0">
      <w:pPr>
        <w:rPr>
          <w:sz w:val="28"/>
          <w:szCs w:val="28"/>
        </w:rPr>
      </w:pPr>
    </w:p>
    <w:p w14:paraId="653612C6" w14:textId="1B034E72" w:rsidR="00AD4A2E" w:rsidRPr="00222AE0" w:rsidRDefault="00AD4A2E" w:rsidP="00222AE0">
      <w:pPr>
        <w:rPr>
          <w:b/>
          <w:sz w:val="28"/>
          <w:szCs w:val="28"/>
        </w:rPr>
      </w:pPr>
      <w:r w:rsidRPr="00222AE0">
        <w:rPr>
          <w:b/>
          <w:sz w:val="28"/>
          <w:szCs w:val="28"/>
        </w:rPr>
        <w:t>Methods</w:t>
      </w:r>
    </w:p>
    <w:p w14:paraId="667B3262" w14:textId="01996CD6" w:rsidR="00AD4A2E" w:rsidRDefault="00AD4A2E" w:rsidP="009132E3">
      <w:pPr>
        <w:pStyle w:val="Paragraph"/>
      </w:pPr>
      <w:r>
        <w:t xml:space="preserve">The second approach to costing benefits </w:t>
      </w:r>
      <w:r w:rsidRPr="0085000F">
        <w:t xml:space="preserve">used the Delphi technique to develop a consensus statement on the economic benefits of assistive technology. </w:t>
      </w:r>
      <w:r>
        <w:t>The</w:t>
      </w:r>
      <w:r w:rsidRPr="0085000F">
        <w:t xml:space="preserve"> Delphi technique is used to examine complex proble</w:t>
      </w:r>
      <w:r w:rsidR="00F33447">
        <w:t>Ms </w:t>
      </w:r>
      <w:r w:rsidRPr="0085000F">
        <w:t>through an iterative process guided by expert opinions</w:t>
      </w:r>
      <w:r>
        <w:t xml:space="preserve"> </w:t>
      </w:r>
      <w:r w:rsidR="00BA0E0E">
        <w:fldChar w:fldCharType="begin" w:fldLock="1"/>
      </w:r>
      <w:r w:rsidR="00BA0E0E">
        <w:instrText>ADDIN CSL_CITATION {"citationItems":[{"id":"ITEM-1","itemData":{"ISSN":"14777029","abstract":"Delphi is a frequently used research method in the information systems (IS) field. The last fifteen years have seen many variants of the Delphi Method proposed and used in IS research. However, these variants do not seem to be properly derived; while all variants share certain characteristics, their reasoning for differentiation inconsistently varies. It seems that researchers tend to create \"new\" Delphi Method variants, although the underlying modification of the Delphi Method is, in fact, minor. This leads to a heterogeneity of Delphi Method variants and undermines scientific rigor when using Delphi. The study addresses this deficit and (1) identifies different variants of Delphi and determines their characteristics, (2) critically reflects to what extent a clear distinction between these variants exists, (3) shows the clearly distinguishable Delphi Method variants and their characteristics, (4) develops a proposed taxonomy of Delphi Method variants, and (5) evaluates and applies this taxonomy. The proposed taxonomy helps clearly differentiate Delphi Method variants and enhances methodological rigor when using the Delphi Method.","author":[{"dropping-particle":"","family":"Strasser","given":"Artur","non-dropping-particle":"","parse-names":false,"suffix":""}],"container-title":"Electronic Journal of Business Research Methods","id":"ITEM-1","issue":"2","issued":{"date-parts":[["2017"]]},"page":"120-133","title":"Delphi method variants in information systems research: Taxonomy development and application","type":"article-journal","volume":"15"},"uris":["http://www.mendeley.com/documents/?uuid=e8b3f5d0-16ad-40d5-a099-cd3d4061052f"]}],"mendeley":{"formattedCitation":"(Strasser 2017)","plainTextFormattedCitation":"(Strasser 2017)","previouslyFormattedCitation":"(Strasser 2017)"},"properties":{"noteIndex":0},"schema":"https://github.com/citation-style-language/schema/raw/master/csl-citation.json"}</w:instrText>
      </w:r>
      <w:r w:rsidR="00BA0E0E">
        <w:fldChar w:fldCharType="separate"/>
      </w:r>
      <w:r w:rsidR="00BA0E0E" w:rsidRPr="00BA0E0E">
        <w:rPr>
          <w:noProof/>
        </w:rPr>
        <w:t>(Strasser 2017)</w:t>
      </w:r>
      <w:r w:rsidR="00BA0E0E">
        <w:fldChar w:fldCharType="end"/>
      </w:r>
      <w:r>
        <w:t xml:space="preserve">. This section presents a summary of the Delphi technique methods and results. </w:t>
      </w:r>
    </w:p>
    <w:p w14:paraId="47267909" w14:textId="51794D8E" w:rsidR="00AD4A2E" w:rsidRDefault="00AD4A2E" w:rsidP="00AD4A2E">
      <w:pPr>
        <w:pStyle w:val="ParaKeep"/>
      </w:pPr>
      <w:r w:rsidRPr="008E680E">
        <w:t>The Delphi technique</w:t>
      </w:r>
      <w:r>
        <w:t xml:space="preserve"> used</w:t>
      </w:r>
      <w:r w:rsidRPr="008E680E">
        <w:t xml:space="preserve"> in this </w:t>
      </w:r>
      <w:r>
        <w:t>review</w:t>
      </w:r>
      <w:r w:rsidRPr="008E680E">
        <w:t xml:space="preserve"> included a three-stage iterative process which was conducted over three consecutive days</w:t>
      </w:r>
      <w:r>
        <w:t xml:space="preserve"> (</w:t>
      </w:r>
      <w:r w:rsidRPr="007D44EF">
        <w:t>5</w:t>
      </w:r>
      <w:r>
        <w:t> </w:t>
      </w:r>
      <w:r w:rsidR="007472A7" w:rsidDel="007472A7">
        <w:t xml:space="preserve"> </w:t>
      </w:r>
      <w:r w:rsidRPr="008E680E">
        <w:t xml:space="preserve">to </w:t>
      </w:r>
      <w:r>
        <w:t>7 May </w:t>
      </w:r>
      <w:r w:rsidRPr="008E680E">
        <w:t>2020)</w:t>
      </w:r>
      <w:r>
        <w:t>:</w:t>
      </w:r>
    </w:p>
    <w:p w14:paraId="29FE3021" w14:textId="77777777" w:rsidR="00AD4A2E" w:rsidRDefault="00AD4A2E" w:rsidP="00AD4A2E">
      <w:pPr>
        <w:pStyle w:val="Bullet1Keep"/>
      </w:pPr>
      <w:r w:rsidRPr="008E680E">
        <w:t>Iteration 1</w:t>
      </w:r>
      <w:r>
        <w:t xml:space="preserve"> began </w:t>
      </w:r>
      <w:r w:rsidRPr="008E680E">
        <w:t>with a</w:t>
      </w:r>
      <w:r>
        <w:t>n anonymous</w:t>
      </w:r>
      <w:r w:rsidRPr="008E680E">
        <w:t xml:space="preserve"> </w:t>
      </w:r>
      <w:r w:rsidRPr="00071752">
        <w:rPr>
          <w:rStyle w:val="Bold"/>
        </w:rPr>
        <w:t>pre-survey</w:t>
      </w:r>
      <w:r w:rsidRPr="008E680E">
        <w:t xml:space="preserve"> to </w:t>
      </w:r>
      <w:r>
        <w:t>gather</w:t>
      </w:r>
      <w:r w:rsidRPr="008E680E">
        <w:t xml:space="preserve"> individual opinion</w:t>
      </w:r>
      <w:r>
        <w:t>s</w:t>
      </w:r>
      <w:r w:rsidRPr="008E680E">
        <w:t xml:space="preserve"> without any influences</w:t>
      </w:r>
    </w:p>
    <w:p w14:paraId="17891E02" w14:textId="77777777" w:rsidR="00AD4A2E" w:rsidRDefault="00AD4A2E" w:rsidP="00AD4A2E">
      <w:pPr>
        <w:pStyle w:val="Bullet1Keep"/>
      </w:pPr>
      <w:r w:rsidRPr="008E680E">
        <w:t>Iteration 2</w:t>
      </w:r>
      <w:r>
        <w:t xml:space="preserve"> involved</w:t>
      </w:r>
      <w:r w:rsidRPr="008E680E">
        <w:t xml:space="preserve"> a </w:t>
      </w:r>
      <w:r>
        <w:t>two</w:t>
      </w:r>
      <w:r w:rsidRPr="008E680E">
        <w:t xml:space="preserve">-hour </w:t>
      </w:r>
      <w:r>
        <w:t>online</w:t>
      </w:r>
      <w:r w:rsidRPr="008E680E">
        <w:t xml:space="preserve"> </w:t>
      </w:r>
      <w:r w:rsidRPr="00071752">
        <w:rPr>
          <w:rStyle w:val="Bold"/>
        </w:rPr>
        <w:t>focus group</w:t>
      </w:r>
      <w:r>
        <w:rPr>
          <w:rStyle w:val="FootnoteReference"/>
          <w:b/>
        </w:rPr>
        <w:footnoteReference w:id="2"/>
      </w:r>
      <w:r w:rsidRPr="008E680E">
        <w:t>, which began with a presentation of the RER and pre-survey results, followed by a group discussion to elicit individual and group opinions and gain consensus</w:t>
      </w:r>
      <w:r w:rsidRPr="008E680E" w:rsidDel="009C7CDB">
        <w:t>.</w:t>
      </w:r>
    </w:p>
    <w:p w14:paraId="0250F92A" w14:textId="77777777" w:rsidR="00AD4A2E" w:rsidRPr="008E680E" w:rsidRDefault="00AD4A2E" w:rsidP="00AD4A2E">
      <w:pPr>
        <w:pStyle w:val="Bullet1"/>
      </w:pPr>
      <w:r w:rsidRPr="008E680E">
        <w:t>Iteration 3</w:t>
      </w:r>
      <w:r>
        <w:t xml:space="preserve"> consisted of</w:t>
      </w:r>
      <w:r w:rsidRPr="008E680E">
        <w:t xml:space="preserve"> a </w:t>
      </w:r>
      <w:r w:rsidRPr="00071752">
        <w:rPr>
          <w:rStyle w:val="Bold"/>
        </w:rPr>
        <w:t>post-survey</w:t>
      </w:r>
      <w:r w:rsidRPr="008E680E">
        <w:t xml:space="preserve">, which began with a presentation of the focus group results, to </w:t>
      </w:r>
      <w:r>
        <w:t>gather</w:t>
      </w:r>
      <w:r w:rsidRPr="008E680E">
        <w:t xml:space="preserve"> individual opinion</w:t>
      </w:r>
      <w:r>
        <w:t>s</w:t>
      </w:r>
      <w:r w:rsidRPr="008E680E">
        <w:t xml:space="preserve"> which may now have been influenced by the previous two iterations.</w:t>
      </w:r>
    </w:p>
    <w:p w14:paraId="22188D0A" w14:textId="77777777" w:rsidR="004304DF" w:rsidRDefault="00AD4A2E" w:rsidP="004304DF">
      <w:pPr>
        <w:pStyle w:val="Paragraph"/>
      </w:pPr>
      <w:r w:rsidRPr="007D3E7B">
        <w:t xml:space="preserve">The </w:t>
      </w:r>
      <w:r>
        <w:t xml:space="preserve">survey </w:t>
      </w:r>
      <w:r w:rsidRPr="007D3E7B">
        <w:t xml:space="preserve">questions were designed to draw out the qualitative and quantitative benefits of AT for older Australians. This was in recognition that not all benefits could be quantified by a dollar value. </w:t>
      </w:r>
      <w:r w:rsidR="004304DF">
        <w:t>In the surveys:</w:t>
      </w:r>
    </w:p>
    <w:p w14:paraId="408C9156" w14:textId="689AD27C" w:rsidR="00AD4A2E" w:rsidRDefault="00AD4A2E" w:rsidP="00AD4A2E">
      <w:pPr>
        <w:pStyle w:val="Bullet1"/>
      </w:pPr>
      <w:r>
        <w:t>Section 1 included demographic information about the participants.</w:t>
      </w:r>
      <w:r w:rsidR="004511B3">
        <w:t xml:space="preserve"> </w:t>
      </w:r>
      <w:r>
        <w:t>Participants were also asked “W</w:t>
      </w:r>
      <w:r w:rsidRPr="007D3E7B">
        <w:t xml:space="preserve">hen you think of AT, what images come to mind? What benefits come to mind?”. </w:t>
      </w:r>
    </w:p>
    <w:p w14:paraId="4BAF7FE6" w14:textId="7112BB0F" w:rsidR="00AD4A2E" w:rsidRDefault="00AD4A2E" w:rsidP="009132E3">
      <w:pPr>
        <w:pStyle w:val="Bullet1"/>
      </w:pPr>
      <w:r>
        <w:t xml:space="preserve">In </w:t>
      </w:r>
      <w:r w:rsidR="0082102B">
        <w:t xml:space="preserve">Section </w:t>
      </w:r>
      <w:r>
        <w:t xml:space="preserve">2, </w:t>
      </w:r>
      <w:r w:rsidRPr="007D3E7B">
        <w:t xml:space="preserve">panellists </w:t>
      </w:r>
      <w:r>
        <w:t>were asked to rate</w:t>
      </w:r>
      <w:r w:rsidRPr="007D3E7B">
        <w:t xml:space="preserve"> the potential benefits of using AT in the home and in the community </w:t>
      </w:r>
      <w:r>
        <w:t>using</w:t>
      </w:r>
      <w:r w:rsidRPr="007D3E7B">
        <w:t xml:space="preserve"> a 7-point Likert scale</w:t>
      </w:r>
      <w:r>
        <w:t>.</w:t>
      </w:r>
      <w:r w:rsidR="004511B3">
        <w:t xml:space="preserve"> </w:t>
      </w:r>
    </w:p>
    <w:p w14:paraId="3DB784FF" w14:textId="52785459" w:rsidR="006E6ED8" w:rsidRDefault="00AD4A2E" w:rsidP="009132E3">
      <w:pPr>
        <w:pStyle w:val="Bullet1"/>
      </w:pPr>
      <w:r w:rsidRPr="007D3E7B">
        <w:t xml:space="preserve">Section 3 </w:t>
      </w:r>
      <w:r>
        <w:t>presented</w:t>
      </w:r>
      <w:r w:rsidRPr="007D3E7B">
        <w:t xml:space="preserve"> four </w:t>
      </w:r>
      <w:r>
        <w:t>a</w:t>
      </w:r>
      <w:r w:rsidRPr="007D3E7B">
        <w:t>rchetypes</w:t>
      </w:r>
      <w:r w:rsidRPr="007D3E7B" w:rsidDel="00432123">
        <w:t xml:space="preserve"> </w:t>
      </w:r>
      <w:r w:rsidRPr="007D3E7B">
        <w:t>selected to represent a person with mild, moderate, severe and profound activity limitations, respectively</w:t>
      </w:r>
      <w:r>
        <w:t xml:space="preserve"> </w:t>
      </w:r>
      <w:r w:rsidRPr="007D3E7B">
        <w:t>(</w:t>
      </w:r>
      <w:r>
        <w:t xml:space="preserve">see </w:t>
      </w:r>
      <w:r w:rsidRPr="00071752">
        <w:rPr>
          <w:rStyle w:val="Italic"/>
        </w:rPr>
        <w:fldChar w:fldCharType="begin"/>
      </w:r>
      <w:r w:rsidRPr="00071752">
        <w:rPr>
          <w:rStyle w:val="Italic"/>
        </w:rPr>
        <w:instrText xml:space="preserve"> REF _Ref34736272 \n \h </w:instrText>
      </w:r>
      <w:r>
        <w:rPr>
          <w:rStyle w:val="Italic"/>
        </w:rPr>
        <w:instrText xml:space="preserve"> \* MERGEFORMAT </w:instrText>
      </w:r>
      <w:r w:rsidRPr="00071752">
        <w:rPr>
          <w:rStyle w:val="Italic"/>
        </w:rPr>
      </w:r>
      <w:r w:rsidRPr="00071752">
        <w:rPr>
          <w:rStyle w:val="Italic"/>
        </w:rPr>
        <w:fldChar w:fldCharType="separate"/>
      </w:r>
      <w:r w:rsidR="00EB1774">
        <w:rPr>
          <w:rStyle w:val="Italic"/>
        </w:rPr>
        <w:t>Appendix D</w:t>
      </w:r>
      <w:r w:rsidRPr="00071752">
        <w:rPr>
          <w:rStyle w:val="Italic"/>
        </w:rPr>
        <w:fldChar w:fldCharType="end"/>
      </w:r>
      <w:r w:rsidR="004304DF" w:rsidRPr="007D3E7B">
        <w:t xml:space="preserve">). Each </w:t>
      </w:r>
      <w:r w:rsidR="004304DF">
        <w:t>a</w:t>
      </w:r>
      <w:r w:rsidR="004304DF" w:rsidRPr="007D3E7B">
        <w:t>rchetype</w:t>
      </w:r>
      <w:r w:rsidR="004304DF" w:rsidRPr="007D3E7B" w:rsidDel="00A261E4">
        <w:t xml:space="preserve"> </w:t>
      </w:r>
      <w:r w:rsidR="004304DF">
        <w:t>included</w:t>
      </w:r>
      <w:r w:rsidR="004304DF" w:rsidRPr="007D3E7B">
        <w:t xml:space="preserve"> a summary of the person</w:t>
      </w:r>
      <w:r w:rsidR="004304DF">
        <w:t>’</w:t>
      </w:r>
      <w:r w:rsidR="004304DF" w:rsidRPr="007D3E7B">
        <w:t>s social, medical and functional history</w:t>
      </w:r>
      <w:r w:rsidR="004304DF">
        <w:t xml:space="preserve"> and</w:t>
      </w:r>
      <w:r w:rsidR="004304DF" w:rsidRPr="007D3E7B">
        <w:t xml:space="preserve"> the AT products and services recommended</w:t>
      </w:r>
      <w:r w:rsidR="004304DF">
        <w:t xml:space="preserve">. </w:t>
      </w:r>
    </w:p>
    <w:p w14:paraId="580AE28B" w14:textId="7D519469" w:rsidR="00AD4A2E" w:rsidRPr="006B7BDA" w:rsidRDefault="00AD4A2E" w:rsidP="00222AE0">
      <w:r w:rsidRPr="00222AE0">
        <w:rPr>
          <w:b/>
          <w:sz w:val="28"/>
          <w:szCs w:val="28"/>
        </w:rPr>
        <w:t>Results</w:t>
      </w:r>
    </w:p>
    <w:p w14:paraId="27B020E5" w14:textId="77777777" w:rsidR="00E24529" w:rsidRDefault="00E24529" w:rsidP="00E24529">
      <w:pPr>
        <w:rPr>
          <w:rStyle w:val="Bolditalic"/>
        </w:rPr>
      </w:pPr>
    </w:p>
    <w:p w14:paraId="34A1DE24" w14:textId="0C9E159F" w:rsidR="00AD4A2E" w:rsidRPr="00E24529" w:rsidRDefault="00AD4A2E" w:rsidP="00E24529">
      <w:pPr>
        <w:rPr>
          <w:rStyle w:val="Bolditalic"/>
        </w:rPr>
      </w:pPr>
      <w:r w:rsidRPr="00E24529">
        <w:rPr>
          <w:rStyle w:val="Bolditalic"/>
        </w:rPr>
        <w:t xml:space="preserve">Section 1: Initial </w:t>
      </w:r>
      <w:r w:rsidR="001C4F61" w:rsidRPr="00E24529">
        <w:rPr>
          <w:rStyle w:val="Bolditalic"/>
        </w:rPr>
        <w:t>perceptions</w:t>
      </w:r>
    </w:p>
    <w:p w14:paraId="7E984748" w14:textId="29B0DA0B" w:rsidR="00AD4A2E" w:rsidRPr="006516B9" w:rsidRDefault="00AD4A2E" w:rsidP="0092216D">
      <w:pPr>
        <w:pStyle w:val="ParaKeep"/>
      </w:pPr>
      <w:r>
        <w:t>P</w:t>
      </w:r>
      <w:r w:rsidRPr="008E680E">
        <w:t>anellists</w:t>
      </w:r>
      <w:r>
        <w:t>’ perceptions of the b</w:t>
      </w:r>
      <w:r w:rsidRPr="008E680E">
        <w:t xml:space="preserve">enefits </w:t>
      </w:r>
      <w:r>
        <w:t xml:space="preserve">of AT </w:t>
      </w:r>
      <w:r w:rsidRPr="008E680E">
        <w:t>focussed on independence, quality of life, autonomy, staying at home, confidence</w:t>
      </w:r>
      <w:r>
        <w:t>,</w:t>
      </w:r>
      <w:r w:rsidRPr="008E680E">
        <w:t xml:space="preserve"> and reducing hospital admissions and formal support.</w:t>
      </w:r>
      <w:r>
        <w:t xml:space="preserve"> </w:t>
      </w:r>
    </w:p>
    <w:p w14:paraId="52263C97" w14:textId="3E520334" w:rsidR="0063021D" w:rsidRPr="00E24529" w:rsidRDefault="0063021D" w:rsidP="00E24529">
      <w:pPr>
        <w:rPr>
          <w:rStyle w:val="Bolditalic"/>
        </w:rPr>
      </w:pPr>
      <w:r w:rsidRPr="00E24529">
        <w:rPr>
          <w:rStyle w:val="Bolditalic"/>
        </w:rPr>
        <w:t>Section 2: General benefits of AT</w:t>
      </w:r>
    </w:p>
    <w:p w14:paraId="6B51BE0D" w14:textId="7EA32AA0" w:rsidR="001B6C5B" w:rsidRPr="006516B9" w:rsidRDefault="001B6C5B" w:rsidP="001B6C5B">
      <w:pPr>
        <w:pStyle w:val="Paragraph"/>
      </w:pPr>
      <w:r w:rsidRPr="001B6C5B">
        <w:t xml:space="preserve">Of the 72 combinations for the pre-survey, a significant correlation (p&lt;0.05) was reported for 10 combinations; of these, six combinations showed a moderate consensus and four showed a strong consensus. Of the 72 potential combinations for the post-survey, a significant correlation (p&lt;0.05) was reported for 28 combinations; of these, 20 combinations showed a moderate consensus and eight showed a strong consensus. </w:t>
      </w:r>
      <w:r w:rsidRPr="001B6C5B">
        <w:rPr>
          <w:i/>
          <w:iCs/>
        </w:rPr>
        <w:t>Table A 8</w:t>
      </w:r>
      <w:r w:rsidRPr="001B6C5B">
        <w:t xml:space="preserve"> indicates the change in consensus from the pre-survey to the post survey. </w:t>
      </w:r>
      <w:r w:rsidRPr="001B6C5B">
        <w:lastRenderedPageBreak/>
        <w:t>These results demonstrate an almost three-fold increase in the number of moderate consensus and a two-fold increase in the number of strong consensus reported. This finding provides strength in cost estimate of the AT benefits.</w:t>
      </w:r>
    </w:p>
    <w:p w14:paraId="47A9E5AA" w14:textId="1B3BBD8A" w:rsidR="00AD4A2E" w:rsidRDefault="00AD4A2E" w:rsidP="00E24529">
      <w:bookmarkStart w:id="43" w:name="_Toc60999918"/>
      <w:r>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7</w:t>
      </w:r>
      <w:r w:rsidR="00FD5E41">
        <w:fldChar w:fldCharType="end"/>
      </w:r>
      <w:r>
        <w:t>:</w:t>
      </w:r>
      <w:r>
        <w:tab/>
      </w:r>
      <w:r w:rsidR="00B539F0">
        <w:t xml:space="preserve">Delphi </w:t>
      </w:r>
      <w:r w:rsidR="00E553B1">
        <w:t>consensus</w:t>
      </w:r>
      <w:bookmarkEnd w:id="43"/>
    </w:p>
    <w:tbl>
      <w:tblPr>
        <w:tblStyle w:val="AHALight"/>
        <w:tblW w:w="0" w:type="auto"/>
        <w:tblLook w:val="06E0" w:firstRow="1" w:lastRow="1" w:firstColumn="1" w:lastColumn="0" w:noHBand="1" w:noVBand="1"/>
        <w:tblCaption w:val="Table A-7"/>
        <w:tblDescription w:val="pre and post survey results of understanding of general benefits of AT "/>
      </w:tblPr>
      <w:tblGrid>
        <w:gridCol w:w="1289"/>
        <w:gridCol w:w="2045"/>
        <w:gridCol w:w="1759"/>
      </w:tblGrid>
      <w:tr w:rsidR="00AD4A2E" w:rsidRPr="001C3F3E" w14:paraId="07371C45" w14:textId="77777777" w:rsidTr="00747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5BDC96F4" w14:textId="77777777" w:rsidR="00AD4A2E" w:rsidRPr="001C3F3E" w:rsidRDefault="00AD4A2E" w:rsidP="0051186B">
            <w:pPr>
              <w:pStyle w:val="TableHeading1"/>
            </w:pPr>
            <w:r>
              <w:t>Survey</w:t>
            </w:r>
          </w:p>
        </w:tc>
        <w:tc>
          <w:tcPr>
            <w:tcW w:w="2045" w:type="dxa"/>
          </w:tcPr>
          <w:p w14:paraId="3897F392" w14:textId="77777777" w:rsidR="00AD4A2E" w:rsidRPr="001C3F3E" w:rsidRDefault="00AD4A2E" w:rsidP="0051186B">
            <w:pPr>
              <w:pStyle w:val="TableHeading1"/>
              <w:jc w:val="right"/>
              <w:cnfStyle w:val="100000000000" w:firstRow="1" w:lastRow="0" w:firstColumn="0" w:lastColumn="0" w:oddVBand="0" w:evenVBand="0" w:oddHBand="0" w:evenHBand="0" w:firstRowFirstColumn="0" w:firstRowLastColumn="0" w:lastRowFirstColumn="0" w:lastRowLastColumn="0"/>
            </w:pPr>
            <w:r>
              <w:t>Moderate consensus</w:t>
            </w:r>
          </w:p>
        </w:tc>
        <w:tc>
          <w:tcPr>
            <w:tcW w:w="1759" w:type="dxa"/>
          </w:tcPr>
          <w:p w14:paraId="3867F537" w14:textId="77777777" w:rsidR="00AD4A2E" w:rsidRPr="001C3F3E" w:rsidRDefault="00AD4A2E" w:rsidP="0051186B">
            <w:pPr>
              <w:pStyle w:val="TableHeading1"/>
              <w:jc w:val="right"/>
              <w:cnfStyle w:val="100000000000" w:firstRow="1" w:lastRow="0" w:firstColumn="0" w:lastColumn="0" w:oddVBand="0" w:evenVBand="0" w:oddHBand="0" w:evenHBand="0" w:firstRowFirstColumn="0" w:firstRowLastColumn="0" w:lastRowFirstColumn="0" w:lastRowLastColumn="0"/>
            </w:pPr>
            <w:r>
              <w:t>Strong consensus</w:t>
            </w:r>
          </w:p>
        </w:tc>
      </w:tr>
      <w:tr w:rsidR="00AD4A2E" w:rsidRPr="001C3F3E" w14:paraId="1372C31F" w14:textId="77777777" w:rsidTr="0074719A">
        <w:tc>
          <w:tcPr>
            <w:cnfStyle w:val="001000000000" w:firstRow="0" w:lastRow="0" w:firstColumn="1" w:lastColumn="0" w:oddVBand="0" w:evenVBand="0" w:oddHBand="0" w:evenHBand="0" w:firstRowFirstColumn="0" w:firstRowLastColumn="0" w:lastRowFirstColumn="0" w:lastRowLastColumn="0"/>
            <w:tcW w:w="1289" w:type="dxa"/>
          </w:tcPr>
          <w:p w14:paraId="68443C03" w14:textId="77777777" w:rsidR="00AD4A2E" w:rsidRPr="001C3F3E" w:rsidRDefault="00AD4A2E" w:rsidP="0051186B">
            <w:pPr>
              <w:pStyle w:val="TableTextKeep"/>
            </w:pPr>
            <w:r>
              <w:t>Pre-survey</w:t>
            </w:r>
          </w:p>
        </w:tc>
        <w:tc>
          <w:tcPr>
            <w:tcW w:w="2045" w:type="dxa"/>
          </w:tcPr>
          <w:p w14:paraId="1CBF1ABB" w14:textId="77777777" w:rsidR="00AD4A2E" w:rsidRPr="001C3F3E" w:rsidRDefault="00AD4A2E" w:rsidP="0051186B">
            <w:pPr>
              <w:pStyle w:val="TableTextKeep"/>
              <w:jc w:val="right"/>
              <w:cnfStyle w:val="000000000000" w:firstRow="0" w:lastRow="0" w:firstColumn="0" w:lastColumn="0" w:oddVBand="0" w:evenVBand="0" w:oddHBand="0" w:evenHBand="0" w:firstRowFirstColumn="0" w:firstRowLastColumn="0" w:lastRowFirstColumn="0" w:lastRowLastColumn="0"/>
            </w:pPr>
            <w:r>
              <w:t>6</w:t>
            </w:r>
          </w:p>
        </w:tc>
        <w:tc>
          <w:tcPr>
            <w:tcW w:w="1759" w:type="dxa"/>
          </w:tcPr>
          <w:p w14:paraId="6A713107" w14:textId="77777777" w:rsidR="00AD4A2E" w:rsidRPr="001C3F3E" w:rsidRDefault="00AD4A2E" w:rsidP="0051186B">
            <w:pPr>
              <w:pStyle w:val="TableTextKeep"/>
              <w:jc w:val="right"/>
              <w:cnfStyle w:val="000000000000" w:firstRow="0" w:lastRow="0" w:firstColumn="0" w:lastColumn="0" w:oddVBand="0" w:evenVBand="0" w:oddHBand="0" w:evenHBand="0" w:firstRowFirstColumn="0" w:firstRowLastColumn="0" w:lastRowFirstColumn="0" w:lastRowLastColumn="0"/>
            </w:pPr>
            <w:r>
              <w:t>4</w:t>
            </w:r>
          </w:p>
        </w:tc>
      </w:tr>
      <w:tr w:rsidR="00AD4A2E" w:rsidRPr="001C3F3E" w14:paraId="6455DB58" w14:textId="77777777" w:rsidTr="0074719A">
        <w:tc>
          <w:tcPr>
            <w:cnfStyle w:val="001000000000" w:firstRow="0" w:lastRow="0" w:firstColumn="1" w:lastColumn="0" w:oddVBand="0" w:evenVBand="0" w:oddHBand="0" w:evenHBand="0" w:firstRowFirstColumn="0" w:firstRowLastColumn="0" w:lastRowFirstColumn="0" w:lastRowLastColumn="0"/>
            <w:tcW w:w="1289" w:type="dxa"/>
          </w:tcPr>
          <w:p w14:paraId="34B42D1E" w14:textId="77777777" w:rsidR="00AD4A2E" w:rsidRPr="001C3F3E" w:rsidRDefault="00AD4A2E" w:rsidP="0051186B">
            <w:pPr>
              <w:pStyle w:val="TableTextKeep"/>
            </w:pPr>
            <w:r>
              <w:t>Post-survey</w:t>
            </w:r>
          </w:p>
        </w:tc>
        <w:tc>
          <w:tcPr>
            <w:tcW w:w="2045" w:type="dxa"/>
          </w:tcPr>
          <w:p w14:paraId="7F339BDB" w14:textId="77777777" w:rsidR="00AD4A2E" w:rsidRPr="001C3F3E" w:rsidRDefault="00AD4A2E" w:rsidP="0051186B">
            <w:pPr>
              <w:pStyle w:val="TableTextKeep"/>
              <w:jc w:val="right"/>
              <w:cnfStyle w:val="000000000000" w:firstRow="0" w:lastRow="0" w:firstColumn="0" w:lastColumn="0" w:oddVBand="0" w:evenVBand="0" w:oddHBand="0" w:evenHBand="0" w:firstRowFirstColumn="0" w:firstRowLastColumn="0" w:lastRowFirstColumn="0" w:lastRowLastColumn="0"/>
            </w:pPr>
            <w:r>
              <w:t>20</w:t>
            </w:r>
          </w:p>
        </w:tc>
        <w:tc>
          <w:tcPr>
            <w:tcW w:w="1759" w:type="dxa"/>
          </w:tcPr>
          <w:p w14:paraId="79EF1718" w14:textId="77777777" w:rsidR="00AD4A2E" w:rsidRPr="001C3F3E" w:rsidRDefault="00AD4A2E" w:rsidP="0051186B">
            <w:pPr>
              <w:pStyle w:val="TableTextKeep"/>
              <w:jc w:val="right"/>
              <w:cnfStyle w:val="000000000000" w:firstRow="0" w:lastRow="0" w:firstColumn="0" w:lastColumn="0" w:oddVBand="0" w:evenVBand="0" w:oddHBand="0" w:evenHBand="0" w:firstRowFirstColumn="0" w:firstRowLastColumn="0" w:lastRowFirstColumn="0" w:lastRowLastColumn="0"/>
            </w:pPr>
            <w:r>
              <w:t>8</w:t>
            </w:r>
          </w:p>
        </w:tc>
      </w:tr>
      <w:tr w:rsidR="00AD4A2E" w:rsidRPr="001C3F3E" w14:paraId="385CC58B" w14:textId="77777777" w:rsidTr="0074719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4CCCA0E6" w14:textId="77777777" w:rsidR="00AD4A2E" w:rsidRPr="001C3F3E" w:rsidRDefault="00AD4A2E" w:rsidP="0051186B">
            <w:pPr>
              <w:pStyle w:val="TableText"/>
            </w:pPr>
            <w:r>
              <w:t>Difference</w:t>
            </w:r>
          </w:p>
        </w:tc>
        <w:tc>
          <w:tcPr>
            <w:tcW w:w="2045" w:type="dxa"/>
          </w:tcPr>
          <w:p w14:paraId="614580E7" w14:textId="77777777" w:rsidR="00AD4A2E" w:rsidRPr="001C3F3E" w:rsidRDefault="00AD4A2E" w:rsidP="0051186B">
            <w:pPr>
              <w:pStyle w:val="TableText"/>
              <w:jc w:val="right"/>
              <w:cnfStyle w:val="010000000000" w:firstRow="0" w:lastRow="1" w:firstColumn="0" w:lastColumn="0" w:oddVBand="0" w:evenVBand="0" w:oddHBand="0" w:evenHBand="0" w:firstRowFirstColumn="0" w:firstRowLastColumn="0" w:lastRowFirstColumn="0" w:lastRowLastColumn="0"/>
            </w:pPr>
            <w:r>
              <w:t>+12</w:t>
            </w:r>
          </w:p>
        </w:tc>
        <w:tc>
          <w:tcPr>
            <w:tcW w:w="1759" w:type="dxa"/>
          </w:tcPr>
          <w:p w14:paraId="426F0698" w14:textId="77777777" w:rsidR="00AD4A2E" w:rsidRPr="001C3F3E" w:rsidRDefault="00AD4A2E" w:rsidP="0051186B">
            <w:pPr>
              <w:pStyle w:val="TableText"/>
              <w:jc w:val="right"/>
              <w:cnfStyle w:val="010000000000" w:firstRow="0" w:lastRow="1" w:firstColumn="0" w:lastColumn="0" w:oddVBand="0" w:evenVBand="0" w:oddHBand="0" w:evenHBand="0" w:firstRowFirstColumn="0" w:firstRowLastColumn="0" w:lastRowFirstColumn="0" w:lastRowLastColumn="0"/>
            </w:pPr>
            <w:r>
              <w:t>+4</w:t>
            </w:r>
          </w:p>
        </w:tc>
      </w:tr>
    </w:tbl>
    <w:p w14:paraId="3A639AC6" w14:textId="77777777" w:rsidR="00E24529" w:rsidRDefault="00E24529" w:rsidP="00E24529">
      <w:pPr>
        <w:rPr>
          <w:b/>
          <w:i/>
        </w:rPr>
      </w:pPr>
    </w:p>
    <w:p w14:paraId="5A13348B" w14:textId="0969C97E" w:rsidR="00AD4A2E" w:rsidRPr="00E24529" w:rsidRDefault="00AD4A2E" w:rsidP="00E24529">
      <w:pPr>
        <w:rPr>
          <w:b/>
          <w:i/>
        </w:rPr>
      </w:pPr>
      <w:r w:rsidRPr="00E24529">
        <w:rPr>
          <w:b/>
          <w:i/>
        </w:rPr>
        <w:t>Section 3: Benefits of AT for the archetypes</w:t>
      </w:r>
    </w:p>
    <w:p w14:paraId="2DD3AA8A" w14:textId="77777777" w:rsidR="00AD4A2E" w:rsidRPr="00AC2DB1" w:rsidRDefault="00AD4A2E" w:rsidP="00AD4A2E">
      <w:pPr>
        <w:pStyle w:val="Paragraph"/>
      </w:pPr>
      <w:r w:rsidRPr="00AC2DB1">
        <w:t>Of the 72 potential combinations for the pre-survey, a significant correlation (p&lt;0.05) was reported for 28</w:t>
      </w:r>
      <w:r>
        <w:t> </w:t>
      </w:r>
      <w:r w:rsidRPr="00AC2DB1">
        <w:t>combinations</w:t>
      </w:r>
      <w:r>
        <w:t>; of these,</w:t>
      </w:r>
      <w:r w:rsidRPr="00AC2DB1">
        <w:t xml:space="preserve"> 26 </w:t>
      </w:r>
      <w:r>
        <w:t>showed</w:t>
      </w:r>
      <w:r w:rsidRPr="00AC2DB1">
        <w:t xml:space="preserve"> a moderate consensus and </w:t>
      </w:r>
      <w:r>
        <w:t>two showed</w:t>
      </w:r>
      <w:r w:rsidRPr="00AC2DB1">
        <w:t xml:space="preserve"> a strong consensus. Of the 72 potential combinations for the post-survey, a significant correlation (p&lt;0.05) was reported for 34</w:t>
      </w:r>
      <w:r>
        <w:t> </w:t>
      </w:r>
      <w:r w:rsidRPr="00AC2DB1">
        <w:t>combinations</w:t>
      </w:r>
      <w:r>
        <w:t>,</w:t>
      </w:r>
      <w:r w:rsidRPr="00AC2DB1">
        <w:t xml:space="preserve"> with all 34 </w:t>
      </w:r>
      <w:r>
        <w:t>showing</w:t>
      </w:r>
      <w:r w:rsidRPr="00AC2DB1">
        <w:t xml:space="preserve"> a moderate consensus. These results demonstrate a small increase in the quantity of significant </w:t>
      </w:r>
      <w:r>
        <w:t>correlations</w:t>
      </w:r>
      <w:r w:rsidRPr="00AC2DB1">
        <w:t>.</w:t>
      </w:r>
    </w:p>
    <w:p w14:paraId="2C423525" w14:textId="77777777" w:rsidR="00AD4A2E" w:rsidRDefault="00AD4A2E" w:rsidP="00AD4A2E">
      <w:pPr>
        <w:pStyle w:val="Paragraph"/>
        <w:rPr>
          <w:lang w:val="en-AU"/>
        </w:rPr>
      </w:pPr>
      <w:r w:rsidRPr="00847629">
        <w:rPr>
          <w:lang w:val="en-AU"/>
        </w:rPr>
        <w:t xml:space="preserve">Analysis of the quantified </w:t>
      </w:r>
      <w:r>
        <w:rPr>
          <w:lang w:val="en-AU"/>
        </w:rPr>
        <w:t>economic</w:t>
      </w:r>
      <w:r w:rsidRPr="00847629">
        <w:rPr>
          <w:lang w:val="en-AU"/>
        </w:rPr>
        <w:t xml:space="preserve"> benefits for the archetypes was based on the post-survey</w:t>
      </w:r>
      <w:r>
        <w:rPr>
          <w:lang w:val="en-AU"/>
        </w:rPr>
        <w:t xml:space="preserve"> results,</w:t>
      </w:r>
      <w:r w:rsidRPr="00847629">
        <w:rPr>
          <w:lang w:val="en-AU"/>
        </w:rPr>
        <w:t xml:space="preserve"> </w:t>
      </w:r>
      <w:r>
        <w:rPr>
          <w:lang w:val="en-AU"/>
        </w:rPr>
        <w:t>which</w:t>
      </w:r>
      <w:r w:rsidRPr="00847629">
        <w:rPr>
          <w:lang w:val="en-AU"/>
        </w:rPr>
        <w:t xml:space="preserve"> represent the point of greatest consensus between the panellists. </w:t>
      </w:r>
    </w:p>
    <w:p w14:paraId="32B8E5D5" w14:textId="6A33504C" w:rsidR="009B3143" w:rsidRDefault="009132E3" w:rsidP="009132E3">
      <w:pPr>
        <w:pStyle w:val="ParaKeep"/>
      </w:pPr>
      <w:r w:rsidRPr="009132E3">
        <w:rPr>
          <w:rStyle w:val="Italic"/>
        </w:rPr>
        <w:fldChar w:fldCharType="begin"/>
      </w:r>
      <w:r w:rsidRPr="009132E3">
        <w:rPr>
          <w:rStyle w:val="Italic"/>
        </w:rPr>
        <w:instrText xml:space="preserve"> REF _Ref42513374 \h </w:instrText>
      </w:r>
      <w:r>
        <w:rPr>
          <w:rStyle w:val="Italic"/>
        </w:rPr>
        <w:instrText xml:space="preserve"> \* MERGEFORMAT </w:instrText>
      </w:r>
      <w:r w:rsidRPr="009132E3">
        <w:rPr>
          <w:rStyle w:val="Italic"/>
        </w:rPr>
      </w:r>
      <w:r w:rsidRPr="009132E3">
        <w:rPr>
          <w:rStyle w:val="Italic"/>
        </w:rPr>
        <w:fldChar w:fldCharType="separate"/>
      </w:r>
      <w:r w:rsidR="00EB1774" w:rsidRPr="00EB1774">
        <w:rPr>
          <w:rStyle w:val="Italic"/>
        </w:rPr>
        <w:t>Table A</w:t>
      </w:r>
      <w:r w:rsidR="00EB1774" w:rsidRPr="00EB1774">
        <w:rPr>
          <w:rStyle w:val="Italic"/>
        </w:rPr>
        <w:noBreakHyphen/>
        <w:t>8</w:t>
      </w:r>
      <w:r w:rsidRPr="009132E3">
        <w:rPr>
          <w:rStyle w:val="Italic"/>
        </w:rPr>
        <w:fldChar w:fldCharType="end"/>
      </w:r>
      <w:r w:rsidR="009B3143">
        <w:rPr>
          <w:i/>
          <w:iCs/>
        </w:rPr>
        <w:t xml:space="preserve"> </w:t>
      </w:r>
      <w:r w:rsidR="009B3143">
        <w:t>summarises the results from the Delphi process for each archetype representing an impairment category.</w:t>
      </w:r>
      <w:r w:rsidR="004511B3">
        <w:t xml:space="preserve"> </w:t>
      </w:r>
      <w:r w:rsidR="009B3143">
        <w:t xml:space="preserve">This indicated that there was a combined benefit of: </w:t>
      </w:r>
    </w:p>
    <w:p w14:paraId="7A55EAC0" w14:textId="77777777" w:rsidR="009B3143" w:rsidRPr="0074719A" w:rsidRDefault="009B3143" w:rsidP="0074719A">
      <w:pPr>
        <w:pStyle w:val="Bullet1Keep"/>
        <w:rPr>
          <w:rStyle w:val="Bold"/>
        </w:rPr>
      </w:pPr>
      <w:r w:rsidRPr="0074719A">
        <w:rPr>
          <w:rStyle w:val="Bold"/>
        </w:rPr>
        <w:t>$17 for mild impairment</w:t>
      </w:r>
    </w:p>
    <w:p w14:paraId="4D1BC7CD" w14:textId="77777777" w:rsidR="009B3143" w:rsidRDefault="009B3143" w:rsidP="009B3143">
      <w:pPr>
        <w:pStyle w:val="Indent1"/>
      </w:pPr>
      <w:r>
        <w:t>Benefits for a mild impairment were attributed to reduced GP visits (100%). Future cost offsets were noted by panellists but these were not costed due to the significant degree of variation in panellists’ views on the following:</w:t>
      </w:r>
    </w:p>
    <w:p w14:paraId="3DCCEDA6" w14:textId="77777777" w:rsidR="009B3143" w:rsidRDefault="009B3143" w:rsidP="009B3143">
      <w:pPr>
        <w:pStyle w:val="Bullet2"/>
      </w:pPr>
      <w:r>
        <w:t xml:space="preserve">Delays in the need </w:t>
      </w:r>
      <w:r w:rsidRPr="00847629">
        <w:t>to increase unpaid formal care, paid carer support and paid formal care</w:t>
      </w:r>
      <w:r>
        <w:t xml:space="preserve">, estimated between 2 and 12 years. </w:t>
      </w:r>
    </w:p>
    <w:p w14:paraId="79C5BB8A" w14:textId="77777777" w:rsidR="009B3143" w:rsidRDefault="009B3143" w:rsidP="009B3143">
      <w:pPr>
        <w:pStyle w:val="Bullet2"/>
      </w:pPr>
      <w:r>
        <w:t xml:space="preserve">Delays in the need </w:t>
      </w:r>
      <w:r w:rsidRPr="00847629">
        <w:t xml:space="preserve">for residential aged care admission </w:t>
      </w:r>
      <w:r>
        <w:t>(not in the foreseeable future)</w:t>
      </w:r>
      <w:r w:rsidRPr="00847629">
        <w:t>.</w:t>
      </w:r>
    </w:p>
    <w:p w14:paraId="31B88CDA" w14:textId="77777777" w:rsidR="009B3143" w:rsidRPr="0074719A" w:rsidRDefault="009B3143" w:rsidP="0074719A">
      <w:pPr>
        <w:pStyle w:val="Bullet1Keep"/>
        <w:rPr>
          <w:rStyle w:val="Bold"/>
        </w:rPr>
      </w:pPr>
      <w:r w:rsidRPr="0074719A">
        <w:rPr>
          <w:rStyle w:val="Bold"/>
        </w:rPr>
        <w:t>$2,835 for moderate impairment</w:t>
      </w:r>
    </w:p>
    <w:p w14:paraId="10005A72" w14:textId="77777777" w:rsidR="009B3143" w:rsidRDefault="009B3143" w:rsidP="009B3143">
      <w:pPr>
        <w:pStyle w:val="Indent1"/>
      </w:pPr>
      <w:r>
        <w:t>Benefits for a moderate impairment were attributed to reduced hospitalisation (98.9%), reduced falls (20.3%), and reduced GP visits (0.7%), however there was an increase in paid formal care despite the provision of AT (20.0%).</w:t>
      </w:r>
      <w:r w:rsidRPr="00BA1D03">
        <w:t xml:space="preserve"> </w:t>
      </w:r>
      <w:r>
        <w:t>Future cost offsets were noted by panellists but these were not costed due to the significant degree of variation in panellists’ views on the following:</w:t>
      </w:r>
    </w:p>
    <w:p w14:paraId="789A7352" w14:textId="0B2C3912" w:rsidR="009B3143" w:rsidRDefault="009B3143" w:rsidP="009B3143">
      <w:pPr>
        <w:pStyle w:val="Bullet2"/>
      </w:pPr>
      <w:r>
        <w:t xml:space="preserve">Delays in the need </w:t>
      </w:r>
      <w:r w:rsidRPr="00847629">
        <w:t>to increase unpaid formal care, paid carer support and paid formal care</w:t>
      </w:r>
      <w:r w:rsidR="00861912">
        <w:t xml:space="preserve"> – </w:t>
      </w:r>
      <w:r>
        <w:t xml:space="preserve">estimated between </w:t>
      </w:r>
      <w:r w:rsidRPr="00820056">
        <w:rPr>
          <w:b/>
          <w:bCs/>
        </w:rPr>
        <w:t>1 and 10 years</w:t>
      </w:r>
      <w:r>
        <w:rPr>
          <w:b/>
          <w:bCs/>
        </w:rPr>
        <w:t xml:space="preserve">. </w:t>
      </w:r>
    </w:p>
    <w:p w14:paraId="5846FB90" w14:textId="294714C5" w:rsidR="009B3143" w:rsidRDefault="009B3143" w:rsidP="0074719A">
      <w:pPr>
        <w:pStyle w:val="Bullet2"/>
      </w:pPr>
      <w:r>
        <w:t>Delays in the need</w:t>
      </w:r>
      <w:r w:rsidRPr="00847629">
        <w:t xml:space="preserve"> for residential aged care admission</w:t>
      </w:r>
      <w:r w:rsidR="00861912">
        <w:t xml:space="preserve"> – </w:t>
      </w:r>
      <w:r>
        <w:t xml:space="preserve">estimated between </w:t>
      </w:r>
      <w:r w:rsidRPr="00820056">
        <w:rPr>
          <w:b/>
          <w:bCs/>
        </w:rPr>
        <w:t>6 months and 10 years</w:t>
      </w:r>
    </w:p>
    <w:p w14:paraId="362D9702" w14:textId="77777777" w:rsidR="009B3143" w:rsidRPr="0074719A" w:rsidRDefault="009B3143" w:rsidP="0074719A">
      <w:pPr>
        <w:pStyle w:val="Bullet1Keep"/>
        <w:rPr>
          <w:rStyle w:val="Bold"/>
        </w:rPr>
      </w:pPr>
      <w:r w:rsidRPr="0074719A">
        <w:rPr>
          <w:rStyle w:val="Bold"/>
        </w:rPr>
        <w:t>$3,345 for severe impairment</w:t>
      </w:r>
    </w:p>
    <w:p w14:paraId="0E06FD73" w14:textId="0D1A58E9" w:rsidR="009B3143" w:rsidRDefault="009B3143" w:rsidP="009B3143">
      <w:pPr>
        <w:pStyle w:val="Indent1"/>
      </w:pPr>
      <w:r>
        <w:t>B</w:t>
      </w:r>
      <w:r w:rsidRPr="00BA1D03">
        <w:t>enefits</w:t>
      </w:r>
      <w:r>
        <w:t xml:space="preserve"> for a severe impairment were attributed to reduced hospitalisations (100.6%), reduced unpaid informal care (6.7%), and reduced GP visits (1.1%), however there was an increase in paid formal care despite the provision of AT (8.5%). Delays in the need </w:t>
      </w:r>
      <w:r w:rsidRPr="00847629">
        <w:t>to increase unpaid formal care, paid carer support and paid formal care</w:t>
      </w:r>
      <w:r w:rsidR="00861912">
        <w:t xml:space="preserve"> – </w:t>
      </w:r>
      <w:r>
        <w:t xml:space="preserve">estimated between </w:t>
      </w:r>
      <w:r w:rsidRPr="00BA1D03">
        <w:t xml:space="preserve">1 and 10 years. </w:t>
      </w:r>
    </w:p>
    <w:p w14:paraId="3D35D076" w14:textId="77777777" w:rsidR="009B3143" w:rsidRPr="0074719A" w:rsidRDefault="009B3143" w:rsidP="0074719A">
      <w:pPr>
        <w:pStyle w:val="Bullet1Keep"/>
        <w:rPr>
          <w:rStyle w:val="Bold"/>
        </w:rPr>
      </w:pPr>
      <w:r w:rsidRPr="0074719A">
        <w:rPr>
          <w:rStyle w:val="Bold"/>
        </w:rPr>
        <w:lastRenderedPageBreak/>
        <w:t>$13,555 for profound impairments</w:t>
      </w:r>
    </w:p>
    <w:p w14:paraId="548B14BC" w14:textId="77777777" w:rsidR="009B3143" w:rsidRPr="00D8346C" w:rsidRDefault="009B3143" w:rsidP="009B3143">
      <w:pPr>
        <w:pStyle w:val="Paragraph"/>
        <w:ind w:left="720"/>
      </w:pPr>
      <w:r>
        <w:t>Benefits for a profound impairment were attributed to reduced hospitalisations (70.3%), reduced unpaid informal care (13.3%), reduced GP visits (1.6%), reduced paid carer support (10.8%), reduced paid formal care (2.1%) and reduced days in a Residential aged care (0.3%).</w:t>
      </w:r>
    </w:p>
    <w:p w14:paraId="76A75047" w14:textId="06C0EC46" w:rsidR="009B3143" w:rsidRDefault="009B3143" w:rsidP="009B3143">
      <w:pPr>
        <w:pStyle w:val="Paragraph"/>
      </w:pPr>
      <w:r>
        <w:t>For every dollar spent on AT products and kits, as well as AT services, the quantified benefits were almost 6-fold (</w:t>
      </w:r>
      <w:r w:rsidR="009132E3" w:rsidRPr="009132E3">
        <w:rPr>
          <w:rStyle w:val="Italic"/>
        </w:rPr>
        <w:fldChar w:fldCharType="begin"/>
      </w:r>
      <w:r w:rsidR="009132E3" w:rsidRPr="009132E3">
        <w:rPr>
          <w:rStyle w:val="Italic"/>
        </w:rPr>
        <w:instrText xml:space="preserve"> REF _Ref42513374 \h </w:instrText>
      </w:r>
      <w:r w:rsidR="009132E3">
        <w:rPr>
          <w:rStyle w:val="Italic"/>
        </w:rPr>
        <w:instrText xml:space="preserve"> \* MERGEFORMAT </w:instrText>
      </w:r>
      <w:r w:rsidR="009132E3" w:rsidRPr="009132E3">
        <w:rPr>
          <w:rStyle w:val="Italic"/>
        </w:rPr>
      </w:r>
      <w:r w:rsidR="009132E3" w:rsidRPr="009132E3">
        <w:rPr>
          <w:rStyle w:val="Italic"/>
        </w:rPr>
        <w:fldChar w:fldCharType="separate"/>
      </w:r>
      <w:r w:rsidR="00EB1774" w:rsidRPr="00EB1774">
        <w:rPr>
          <w:rStyle w:val="Italic"/>
        </w:rPr>
        <w:t>Table A</w:t>
      </w:r>
      <w:r w:rsidR="00EB1774" w:rsidRPr="00EB1774">
        <w:rPr>
          <w:rStyle w:val="Italic"/>
        </w:rPr>
        <w:noBreakHyphen/>
        <w:t>8</w:t>
      </w:r>
      <w:r w:rsidR="009132E3" w:rsidRPr="009132E3">
        <w:rPr>
          <w:rStyle w:val="Italic"/>
        </w:rPr>
        <w:fldChar w:fldCharType="end"/>
      </w:r>
      <w:r>
        <w:t>), although these do vary according to the level of impairment, with the most benefits procured for the archetype with moderate impairment.</w:t>
      </w:r>
    </w:p>
    <w:p w14:paraId="0BBFA7C9" w14:textId="450F895C" w:rsidR="009B3143" w:rsidRDefault="009B3143" w:rsidP="009B3143">
      <w:pPr>
        <w:pStyle w:val="Paragraph"/>
      </w:pPr>
      <w:r>
        <w:t>Quantifying the cost-benefit is difficult due to reliance on an RER with a low yield and generally low-quality included papers, as well as the subjective nature of the Delphi technique.</w:t>
      </w:r>
      <w:r w:rsidR="004511B3">
        <w:t xml:space="preserve"> </w:t>
      </w:r>
      <w:r>
        <w:t>However, due to the high level of consistency between the two diverse processes, we are confident that the provision of AT results in a strong cost-benefit to our society.</w:t>
      </w:r>
      <w:r w:rsidR="00DF6158">
        <w:t xml:space="preserve"> A return on investment for every $1 spent on combined AT products, kits and services is detailed in </w:t>
      </w:r>
      <w:r w:rsidR="0022118C" w:rsidRPr="0022118C">
        <w:rPr>
          <w:rStyle w:val="Italic"/>
        </w:rPr>
        <w:fldChar w:fldCharType="begin"/>
      </w:r>
      <w:r w:rsidR="0022118C" w:rsidRPr="0022118C">
        <w:rPr>
          <w:rStyle w:val="Italic"/>
        </w:rPr>
        <w:instrText xml:space="preserve"> REF _Ref42513374 \h </w:instrText>
      </w:r>
      <w:r w:rsidR="0022118C">
        <w:rPr>
          <w:rStyle w:val="Italic"/>
        </w:rPr>
        <w:instrText xml:space="preserve"> \* MERGEFORMAT </w:instrText>
      </w:r>
      <w:r w:rsidR="0022118C" w:rsidRPr="0022118C">
        <w:rPr>
          <w:rStyle w:val="Italic"/>
        </w:rPr>
      </w:r>
      <w:r w:rsidR="0022118C" w:rsidRPr="0022118C">
        <w:rPr>
          <w:rStyle w:val="Italic"/>
        </w:rPr>
        <w:fldChar w:fldCharType="separate"/>
      </w:r>
      <w:r w:rsidR="00EB1774" w:rsidRPr="00EB1774">
        <w:rPr>
          <w:rStyle w:val="Italic"/>
        </w:rPr>
        <w:t>Table A</w:t>
      </w:r>
      <w:r w:rsidR="00EB1774" w:rsidRPr="00EB1774">
        <w:rPr>
          <w:rStyle w:val="Italic"/>
        </w:rPr>
        <w:noBreakHyphen/>
        <w:t>8</w:t>
      </w:r>
      <w:r w:rsidR="0022118C" w:rsidRPr="0022118C">
        <w:rPr>
          <w:rStyle w:val="Italic"/>
        </w:rPr>
        <w:fldChar w:fldCharType="end"/>
      </w:r>
      <w:r w:rsidR="00DF6158">
        <w:t>.</w:t>
      </w:r>
    </w:p>
    <w:p w14:paraId="52948463" w14:textId="64433ED7" w:rsidR="009B3143" w:rsidRDefault="0022118C" w:rsidP="00E24529">
      <w:bookmarkStart w:id="44" w:name="_Ref42513374"/>
      <w:bookmarkStart w:id="45" w:name="_Toc60999919"/>
      <w:r w:rsidRPr="00EC48FA">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6562A7">
        <w:t>-8</w:t>
      </w:r>
      <w:bookmarkEnd w:id="44"/>
      <w:r w:rsidRPr="00EC48FA">
        <w:t>:</w:t>
      </w:r>
      <w:r w:rsidR="009B3143">
        <w:tab/>
        <w:t xml:space="preserve">Cost-benefit </w:t>
      </w:r>
      <w:r w:rsidR="006562A7">
        <w:t xml:space="preserve">of </w:t>
      </w:r>
      <w:r w:rsidR="004E4D15">
        <w:t xml:space="preserve">combined </w:t>
      </w:r>
      <w:r w:rsidR="009B3143">
        <w:t>cost of AT products</w:t>
      </w:r>
      <w:r w:rsidR="00131E23">
        <w:t>, kits and</w:t>
      </w:r>
      <w:r w:rsidR="004511B3">
        <w:t xml:space="preserve"> </w:t>
      </w:r>
      <w:r w:rsidR="009B3143">
        <w:t>AT services</w:t>
      </w:r>
      <w:bookmarkEnd w:id="45"/>
    </w:p>
    <w:tbl>
      <w:tblPr>
        <w:tblStyle w:val="AHALight"/>
        <w:tblW w:w="5000" w:type="pct"/>
        <w:tblLayout w:type="fixed"/>
        <w:tblLook w:val="07E0" w:firstRow="1" w:lastRow="1" w:firstColumn="1" w:lastColumn="1" w:noHBand="1" w:noVBand="1"/>
        <w:tblCaption w:val="Table A-8"/>
        <w:tblDescription w:val="total cost benefit for complexity of need for AT products, kits and AT services "/>
      </w:tblPr>
      <w:tblGrid>
        <w:gridCol w:w="2371"/>
        <w:gridCol w:w="1814"/>
        <w:gridCol w:w="1396"/>
        <w:gridCol w:w="1151"/>
        <w:gridCol w:w="1453"/>
        <w:gridCol w:w="1453"/>
      </w:tblGrid>
      <w:tr w:rsidR="009B3143" w:rsidRPr="00B2461E" w14:paraId="02FAE5C2" w14:textId="77777777" w:rsidTr="00F909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6A7B6EA" w14:textId="77777777" w:rsidR="009B3143" w:rsidRPr="00B2461E" w:rsidRDefault="009B3143" w:rsidP="006814D8">
            <w:pPr>
              <w:pStyle w:val="TableHeading1"/>
              <w:rPr>
                <w:szCs w:val="20"/>
                <w:lang w:val="en-AU"/>
              </w:rPr>
            </w:pPr>
            <w:r>
              <w:rPr>
                <w:szCs w:val="20"/>
                <w:lang w:val="en-AU"/>
              </w:rPr>
              <w:t>Archetype</w:t>
            </w:r>
          </w:p>
        </w:tc>
        <w:tc>
          <w:tcPr>
            <w:tcW w:w="1843" w:type="dxa"/>
            <w:noWrap/>
            <w:hideMark/>
          </w:tcPr>
          <w:p w14:paraId="0B20E689" w14:textId="77777777" w:rsidR="009B3143" w:rsidRPr="00B2461E" w:rsidRDefault="009B3143" w:rsidP="006814D8">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rPr>
              <w:t xml:space="preserve">Cost of AT </w:t>
            </w:r>
            <w:r>
              <w:rPr>
                <w:bCs/>
                <w:szCs w:val="20"/>
              </w:rPr>
              <w:t>P</w:t>
            </w:r>
            <w:r w:rsidRPr="00B2461E">
              <w:rPr>
                <w:bCs/>
                <w:szCs w:val="20"/>
              </w:rPr>
              <w:t xml:space="preserve">roducts and </w:t>
            </w:r>
            <w:r>
              <w:rPr>
                <w:bCs/>
                <w:szCs w:val="20"/>
              </w:rPr>
              <w:t>ADL</w:t>
            </w:r>
            <w:r w:rsidRPr="00B2461E">
              <w:rPr>
                <w:bCs/>
                <w:szCs w:val="20"/>
              </w:rPr>
              <w:t xml:space="preserve"> </w:t>
            </w:r>
            <w:r>
              <w:rPr>
                <w:bCs/>
                <w:szCs w:val="20"/>
              </w:rPr>
              <w:t>K</w:t>
            </w:r>
            <w:r w:rsidRPr="00B2461E">
              <w:rPr>
                <w:bCs/>
                <w:szCs w:val="20"/>
              </w:rPr>
              <w:t>its</w:t>
            </w:r>
          </w:p>
        </w:tc>
        <w:tc>
          <w:tcPr>
            <w:tcW w:w="1417" w:type="dxa"/>
            <w:tcBorders>
              <w:right w:val="single" w:sz="4" w:space="0" w:color="D9D9D9" w:themeColor="background1" w:themeShade="D9"/>
            </w:tcBorders>
            <w:noWrap/>
            <w:hideMark/>
          </w:tcPr>
          <w:p w14:paraId="0838B9BD" w14:textId="77777777" w:rsidR="009B3143" w:rsidRPr="00B2461E" w:rsidRDefault="009B3143" w:rsidP="006814D8">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lang w:val="en-AU"/>
              </w:rPr>
              <w:t>Cost of AT</w:t>
            </w:r>
            <w:r>
              <w:rPr>
                <w:bCs/>
                <w:szCs w:val="20"/>
                <w:lang w:val="en-AU"/>
              </w:rPr>
              <w:t> </w:t>
            </w:r>
            <w:r w:rsidRPr="00B2461E">
              <w:rPr>
                <w:bCs/>
                <w:szCs w:val="20"/>
                <w:lang w:val="en-AU"/>
              </w:rPr>
              <w:t>Services</w:t>
            </w:r>
          </w:p>
        </w:tc>
        <w:tc>
          <w:tcPr>
            <w:tcW w:w="1168" w:type="dxa"/>
            <w:tcBorders>
              <w:left w:val="single" w:sz="4" w:space="0" w:color="D9D9D9" w:themeColor="background1" w:themeShade="D9"/>
              <w:right w:val="single" w:sz="4" w:space="0" w:color="D9D9D9" w:themeColor="background1" w:themeShade="D9"/>
            </w:tcBorders>
            <w:noWrap/>
            <w:hideMark/>
          </w:tcPr>
          <w:p w14:paraId="033A4255" w14:textId="77777777" w:rsidR="009B3143" w:rsidRPr="00B2461E" w:rsidRDefault="009B3143" w:rsidP="006814D8">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lang w:val="en-AU"/>
              </w:rPr>
              <w:t>Combined AT costs</w:t>
            </w:r>
          </w:p>
        </w:tc>
        <w:tc>
          <w:tcPr>
            <w:tcW w:w="1476" w:type="dxa"/>
            <w:tcBorders>
              <w:left w:val="single" w:sz="4" w:space="0" w:color="D9D9D9" w:themeColor="background1" w:themeShade="D9"/>
            </w:tcBorders>
            <w:noWrap/>
            <w:hideMark/>
          </w:tcPr>
          <w:p w14:paraId="6D0F72F8" w14:textId="77777777" w:rsidR="009B3143" w:rsidRPr="00B2461E" w:rsidRDefault="009B3143" w:rsidP="006814D8">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rPr>
              <w:t>Benefit of</w:t>
            </w:r>
            <w:r>
              <w:rPr>
                <w:bCs/>
                <w:szCs w:val="20"/>
              </w:rPr>
              <w:t> </w:t>
            </w:r>
            <w:r w:rsidRPr="00B2461E">
              <w:rPr>
                <w:bCs/>
                <w:szCs w:val="20"/>
              </w:rPr>
              <w:t>AT</w:t>
            </w:r>
          </w:p>
        </w:tc>
        <w:tc>
          <w:tcPr>
            <w:cnfStyle w:val="000100000000" w:firstRow="0" w:lastRow="0" w:firstColumn="0" w:lastColumn="1" w:oddVBand="0" w:evenVBand="0" w:oddHBand="0" w:evenHBand="0" w:firstRowFirstColumn="0" w:firstRowLastColumn="0" w:lastRowFirstColumn="0" w:lastRowLastColumn="0"/>
            <w:tcW w:w="1476" w:type="dxa"/>
            <w:noWrap/>
            <w:hideMark/>
          </w:tcPr>
          <w:p w14:paraId="04BA87DD" w14:textId="2F51BA12" w:rsidR="009B3143" w:rsidRPr="00B2461E" w:rsidRDefault="00DF6158" w:rsidP="006814D8">
            <w:pPr>
              <w:pStyle w:val="TableHeading1"/>
              <w:jc w:val="right"/>
              <w:rPr>
                <w:b w:val="0"/>
                <w:bCs/>
                <w:szCs w:val="20"/>
                <w:lang w:val="en-AU"/>
              </w:rPr>
            </w:pPr>
            <w:r>
              <w:rPr>
                <w:bCs/>
                <w:szCs w:val="20"/>
              </w:rPr>
              <w:t>Return on investment</w:t>
            </w:r>
          </w:p>
        </w:tc>
      </w:tr>
      <w:tr w:rsidR="009B3143" w:rsidRPr="007D3E7B" w14:paraId="415FCB75"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E4CE6FD" w14:textId="77777777" w:rsidR="009B3143" w:rsidRPr="007D3E7B" w:rsidRDefault="009B3143" w:rsidP="006814D8">
            <w:pPr>
              <w:pStyle w:val="TableTextKeep"/>
              <w:rPr>
                <w:lang w:val="en-AU"/>
              </w:rPr>
            </w:pPr>
            <w:r>
              <w:t>Mild impairment</w:t>
            </w:r>
          </w:p>
        </w:tc>
        <w:tc>
          <w:tcPr>
            <w:tcW w:w="1843" w:type="dxa"/>
            <w:noWrap/>
            <w:hideMark/>
          </w:tcPr>
          <w:p w14:paraId="17467BDD"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$287</w:t>
            </w:r>
          </w:p>
        </w:tc>
        <w:tc>
          <w:tcPr>
            <w:tcW w:w="1417" w:type="dxa"/>
            <w:tcBorders>
              <w:right w:val="single" w:sz="4" w:space="0" w:color="D9D9D9" w:themeColor="background1" w:themeShade="D9"/>
            </w:tcBorders>
            <w:noWrap/>
            <w:hideMark/>
          </w:tcPr>
          <w:p w14:paraId="060A92BF"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$144</w:t>
            </w:r>
          </w:p>
        </w:tc>
        <w:tc>
          <w:tcPr>
            <w:tcW w:w="1168" w:type="dxa"/>
            <w:tcBorders>
              <w:left w:val="single" w:sz="4" w:space="0" w:color="D9D9D9" w:themeColor="background1" w:themeShade="D9"/>
              <w:right w:val="single" w:sz="4" w:space="0" w:color="D9D9D9" w:themeColor="background1" w:themeShade="D9"/>
            </w:tcBorders>
            <w:noWrap/>
            <w:hideMark/>
          </w:tcPr>
          <w:p w14:paraId="5EAC6B79" w14:textId="77777777" w:rsidR="009B3143" w:rsidRPr="004C4533"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$431</w:t>
            </w:r>
          </w:p>
        </w:tc>
        <w:tc>
          <w:tcPr>
            <w:tcW w:w="1476" w:type="dxa"/>
            <w:tcBorders>
              <w:left w:val="single" w:sz="4" w:space="0" w:color="D9D9D9" w:themeColor="background1" w:themeShade="D9"/>
            </w:tcBorders>
            <w:noWrap/>
            <w:hideMark/>
          </w:tcPr>
          <w:p w14:paraId="17A3E2BE"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$17</w:t>
            </w:r>
          </w:p>
        </w:tc>
        <w:tc>
          <w:tcPr>
            <w:cnfStyle w:val="000100000000" w:firstRow="0" w:lastRow="0" w:firstColumn="0" w:lastColumn="1" w:oddVBand="0" w:evenVBand="0" w:oddHBand="0" w:evenHBand="0" w:firstRowFirstColumn="0" w:firstRowLastColumn="0" w:lastRowFirstColumn="0" w:lastRowLastColumn="0"/>
            <w:tcW w:w="1476" w:type="dxa"/>
            <w:noWrap/>
            <w:hideMark/>
          </w:tcPr>
          <w:p w14:paraId="053E4814" w14:textId="41B9DA41" w:rsidR="009B3143" w:rsidRPr="001B5BEA" w:rsidRDefault="00DF6158" w:rsidP="006814D8">
            <w:pPr>
              <w:pStyle w:val="TableTextKeep"/>
              <w:jc w:val="right"/>
              <w:rPr>
                <w:b w:val="0"/>
                <w:lang w:val="en-AU"/>
              </w:rPr>
            </w:pPr>
            <w:r>
              <w:t>$</w:t>
            </w:r>
            <w:r w:rsidR="009B3143" w:rsidRPr="007D3E7B">
              <w:t>0.04</w:t>
            </w:r>
          </w:p>
        </w:tc>
      </w:tr>
      <w:tr w:rsidR="009B3143" w:rsidRPr="007D3E7B" w14:paraId="47CFF4AE"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30D1715" w14:textId="77777777" w:rsidR="009B3143" w:rsidRPr="007D3E7B" w:rsidRDefault="009B3143" w:rsidP="006814D8">
            <w:pPr>
              <w:pStyle w:val="TableTextKeep"/>
              <w:rPr>
                <w:lang w:val="en-AU"/>
              </w:rPr>
            </w:pPr>
            <w:r>
              <w:t>M</w:t>
            </w:r>
            <w:r w:rsidRPr="007D3E7B">
              <w:t>oderate impairment</w:t>
            </w:r>
          </w:p>
        </w:tc>
        <w:tc>
          <w:tcPr>
            <w:tcW w:w="1843" w:type="dxa"/>
            <w:noWrap/>
            <w:hideMark/>
          </w:tcPr>
          <w:p w14:paraId="783B305B"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$40</w:t>
            </w:r>
          </w:p>
        </w:tc>
        <w:tc>
          <w:tcPr>
            <w:tcW w:w="1417" w:type="dxa"/>
            <w:tcBorders>
              <w:right w:val="single" w:sz="4" w:space="0" w:color="D9D9D9" w:themeColor="background1" w:themeShade="D9"/>
            </w:tcBorders>
            <w:noWrap/>
            <w:hideMark/>
          </w:tcPr>
          <w:p w14:paraId="11BB07F3"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$20</w:t>
            </w:r>
          </w:p>
        </w:tc>
        <w:tc>
          <w:tcPr>
            <w:tcW w:w="1168" w:type="dxa"/>
            <w:tcBorders>
              <w:left w:val="single" w:sz="4" w:space="0" w:color="D9D9D9" w:themeColor="background1" w:themeShade="D9"/>
              <w:right w:val="single" w:sz="4" w:space="0" w:color="D9D9D9" w:themeColor="background1" w:themeShade="D9"/>
            </w:tcBorders>
            <w:noWrap/>
            <w:hideMark/>
          </w:tcPr>
          <w:p w14:paraId="4F2CB68A" w14:textId="77777777" w:rsidR="009B3143" w:rsidRPr="004C4533"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$60</w:t>
            </w:r>
          </w:p>
        </w:tc>
        <w:tc>
          <w:tcPr>
            <w:tcW w:w="1476" w:type="dxa"/>
            <w:tcBorders>
              <w:left w:val="single" w:sz="4" w:space="0" w:color="D9D9D9" w:themeColor="background1" w:themeShade="D9"/>
            </w:tcBorders>
            <w:noWrap/>
            <w:hideMark/>
          </w:tcPr>
          <w:p w14:paraId="0163ADFE"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$2,835</w:t>
            </w:r>
          </w:p>
        </w:tc>
        <w:tc>
          <w:tcPr>
            <w:cnfStyle w:val="000100000000" w:firstRow="0" w:lastRow="0" w:firstColumn="0" w:lastColumn="1" w:oddVBand="0" w:evenVBand="0" w:oddHBand="0" w:evenHBand="0" w:firstRowFirstColumn="0" w:firstRowLastColumn="0" w:lastRowFirstColumn="0" w:lastRowLastColumn="0"/>
            <w:tcW w:w="1476" w:type="dxa"/>
            <w:noWrap/>
            <w:hideMark/>
          </w:tcPr>
          <w:p w14:paraId="6816A54A" w14:textId="4D09F33E" w:rsidR="009B3143" w:rsidRPr="001B5BEA" w:rsidRDefault="00DF6158" w:rsidP="006814D8">
            <w:pPr>
              <w:pStyle w:val="TableTextKeep"/>
              <w:jc w:val="right"/>
              <w:rPr>
                <w:b w:val="0"/>
                <w:lang w:val="en-AU"/>
              </w:rPr>
            </w:pPr>
            <w:r>
              <w:t>$</w:t>
            </w:r>
            <w:r w:rsidR="009B3143" w:rsidRPr="007D3E7B">
              <w:t>47.25</w:t>
            </w:r>
          </w:p>
        </w:tc>
      </w:tr>
      <w:tr w:rsidR="009B3143" w:rsidRPr="007D3E7B" w14:paraId="200A85C3"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FEA92A0" w14:textId="77777777" w:rsidR="009B3143" w:rsidRPr="007D3E7B" w:rsidRDefault="009B3143" w:rsidP="006814D8">
            <w:pPr>
              <w:pStyle w:val="TableTextKeep"/>
              <w:rPr>
                <w:lang w:val="en-AU"/>
              </w:rPr>
            </w:pPr>
            <w:r>
              <w:t>S</w:t>
            </w:r>
            <w:r w:rsidRPr="007D3E7B">
              <w:t>evere impairment</w:t>
            </w:r>
          </w:p>
        </w:tc>
        <w:tc>
          <w:tcPr>
            <w:tcW w:w="1843" w:type="dxa"/>
            <w:noWrap/>
            <w:hideMark/>
          </w:tcPr>
          <w:p w14:paraId="3507CEAE"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$773</w:t>
            </w:r>
          </w:p>
        </w:tc>
        <w:tc>
          <w:tcPr>
            <w:tcW w:w="1417" w:type="dxa"/>
            <w:tcBorders>
              <w:right w:val="single" w:sz="4" w:space="0" w:color="D9D9D9" w:themeColor="background1" w:themeShade="D9"/>
            </w:tcBorders>
            <w:noWrap/>
            <w:hideMark/>
          </w:tcPr>
          <w:p w14:paraId="0790B8CA"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$387</w:t>
            </w:r>
          </w:p>
        </w:tc>
        <w:tc>
          <w:tcPr>
            <w:tcW w:w="1168" w:type="dxa"/>
            <w:tcBorders>
              <w:left w:val="single" w:sz="4" w:space="0" w:color="D9D9D9" w:themeColor="background1" w:themeShade="D9"/>
              <w:right w:val="single" w:sz="4" w:space="0" w:color="D9D9D9" w:themeColor="background1" w:themeShade="D9"/>
            </w:tcBorders>
            <w:noWrap/>
            <w:hideMark/>
          </w:tcPr>
          <w:p w14:paraId="560DCD1C" w14:textId="77777777" w:rsidR="009B3143" w:rsidRPr="004C4533"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$1,160</w:t>
            </w:r>
          </w:p>
        </w:tc>
        <w:tc>
          <w:tcPr>
            <w:tcW w:w="1476" w:type="dxa"/>
            <w:tcBorders>
              <w:left w:val="single" w:sz="4" w:space="0" w:color="D9D9D9" w:themeColor="background1" w:themeShade="D9"/>
            </w:tcBorders>
            <w:noWrap/>
            <w:hideMark/>
          </w:tcPr>
          <w:p w14:paraId="6A82A00F"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$3,345</w:t>
            </w:r>
          </w:p>
        </w:tc>
        <w:tc>
          <w:tcPr>
            <w:cnfStyle w:val="000100000000" w:firstRow="0" w:lastRow="0" w:firstColumn="0" w:lastColumn="1" w:oddVBand="0" w:evenVBand="0" w:oddHBand="0" w:evenHBand="0" w:firstRowFirstColumn="0" w:firstRowLastColumn="0" w:lastRowFirstColumn="0" w:lastRowLastColumn="0"/>
            <w:tcW w:w="1476" w:type="dxa"/>
            <w:noWrap/>
            <w:hideMark/>
          </w:tcPr>
          <w:p w14:paraId="30434714" w14:textId="501C0C84" w:rsidR="009B3143" w:rsidRPr="001B5BEA" w:rsidRDefault="00DF6158" w:rsidP="006814D8">
            <w:pPr>
              <w:pStyle w:val="TableTextKeep"/>
              <w:jc w:val="right"/>
              <w:rPr>
                <w:b w:val="0"/>
                <w:lang w:val="en-AU"/>
              </w:rPr>
            </w:pPr>
            <w:r>
              <w:t>$</w:t>
            </w:r>
            <w:r w:rsidR="009B3143" w:rsidRPr="007D3E7B">
              <w:t>2.88</w:t>
            </w:r>
          </w:p>
        </w:tc>
      </w:tr>
      <w:tr w:rsidR="009B3143" w:rsidRPr="007D3E7B" w14:paraId="642766C3"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EBA45DB" w14:textId="77777777" w:rsidR="009B3143" w:rsidRPr="007D3E7B" w:rsidRDefault="009B3143" w:rsidP="006814D8">
            <w:pPr>
              <w:pStyle w:val="TableTextKeep"/>
              <w:rPr>
                <w:lang w:val="en-AU"/>
              </w:rPr>
            </w:pPr>
            <w:r>
              <w:t>P</w:t>
            </w:r>
            <w:r w:rsidRPr="007D3E7B">
              <w:t>rofound impairment</w:t>
            </w:r>
          </w:p>
        </w:tc>
        <w:tc>
          <w:tcPr>
            <w:tcW w:w="1843" w:type="dxa"/>
            <w:noWrap/>
            <w:hideMark/>
          </w:tcPr>
          <w:p w14:paraId="5B16CF5A"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$1,174</w:t>
            </w:r>
          </w:p>
        </w:tc>
        <w:tc>
          <w:tcPr>
            <w:tcW w:w="1417" w:type="dxa"/>
            <w:tcBorders>
              <w:right w:val="single" w:sz="4" w:space="0" w:color="D9D9D9" w:themeColor="background1" w:themeShade="D9"/>
            </w:tcBorders>
            <w:noWrap/>
            <w:hideMark/>
          </w:tcPr>
          <w:p w14:paraId="151DA603" w14:textId="77777777"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$587</w:t>
            </w:r>
          </w:p>
        </w:tc>
        <w:tc>
          <w:tcPr>
            <w:tcW w:w="1168" w:type="dxa"/>
            <w:tcBorders>
              <w:left w:val="single" w:sz="4" w:space="0" w:color="D9D9D9" w:themeColor="background1" w:themeShade="D9"/>
              <w:right w:val="single" w:sz="4" w:space="0" w:color="D9D9D9" w:themeColor="background1" w:themeShade="D9"/>
            </w:tcBorders>
            <w:noWrap/>
            <w:hideMark/>
          </w:tcPr>
          <w:p w14:paraId="2D766D4D" w14:textId="77777777" w:rsidR="009B3143" w:rsidRPr="004C4533"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$1,761</w:t>
            </w:r>
          </w:p>
        </w:tc>
        <w:tc>
          <w:tcPr>
            <w:tcW w:w="1476" w:type="dxa"/>
            <w:tcBorders>
              <w:left w:val="single" w:sz="4" w:space="0" w:color="D9D9D9" w:themeColor="background1" w:themeShade="D9"/>
            </w:tcBorders>
            <w:noWrap/>
            <w:hideMark/>
          </w:tcPr>
          <w:p w14:paraId="334BDCE5" w14:textId="6D5C14C9" w:rsidR="009B3143" w:rsidRPr="007D3E7B" w:rsidRDefault="009B3143" w:rsidP="006814D8">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$13,</w:t>
            </w:r>
            <w:r w:rsidR="00550D0B">
              <w:t>555</w:t>
            </w:r>
          </w:p>
        </w:tc>
        <w:tc>
          <w:tcPr>
            <w:cnfStyle w:val="000100000000" w:firstRow="0" w:lastRow="0" w:firstColumn="0" w:lastColumn="1" w:oddVBand="0" w:evenVBand="0" w:oddHBand="0" w:evenHBand="0" w:firstRowFirstColumn="0" w:firstRowLastColumn="0" w:lastRowFirstColumn="0" w:lastRowLastColumn="0"/>
            <w:tcW w:w="1476" w:type="dxa"/>
            <w:noWrap/>
            <w:hideMark/>
          </w:tcPr>
          <w:p w14:paraId="00660055" w14:textId="00965178" w:rsidR="009B3143" w:rsidRPr="001B5BEA" w:rsidRDefault="00DF6158" w:rsidP="006814D8">
            <w:pPr>
              <w:pStyle w:val="TableTextKeep"/>
              <w:jc w:val="right"/>
              <w:rPr>
                <w:b w:val="0"/>
                <w:lang w:val="en-AU"/>
              </w:rPr>
            </w:pPr>
            <w:r>
              <w:t>$</w:t>
            </w:r>
            <w:r w:rsidR="009B3143" w:rsidRPr="007D3E7B">
              <w:t>7.</w:t>
            </w:r>
            <w:r w:rsidR="00550D0B">
              <w:t>70</w:t>
            </w:r>
          </w:p>
        </w:tc>
      </w:tr>
      <w:tr w:rsidR="009B3143" w:rsidRPr="006206E7" w14:paraId="423431C0" w14:textId="77777777" w:rsidTr="00F909F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69E3549" w14:textId="77777777" w:rsidR="009B3143" w:rsidRPr="006206E7" w:rsidRDefault="009B3143" w:rsidP="006814D8">
            <w:r>
              <w:t>TOTAL</w:t>
            </w:r>
          </w:p>
        </w:tc>
        <w:tc>
          <w:tcPr>
            <w:tcW w:w="1843" w:type="dxa"/>
            <w:noWrap/>
            <w:hideMark/>
          </w:tcPr>
          <w:p w14:paraId="0E6F0FB5" w14:textId="77777777" w:rsidR="009B3143" w:rsidRPr="006206E7" w:rsidRDefault="009B3143" w:rsidP="006814D8">
            <w:pPr>
              <w:jc w:val="right"/>
              <w:cnfStyle w:val="010000000000" w:firstRow="0" w:lastRow="1" w:firstColumn="0" w:lastColumn="0" w:oddVBand="0" w:evenVBand="0" w:oddHBand="0" w:evenHBand="0" w:firstRowFirstColumn="0" w:firstRowLastColumn="0" w:lastRowFirstColumn="0" w:lastRowLastColumn="0"/>
            </w:pPr>
            <w:r w:rsidRPr="006206E7">
              <w:t>$2,274</w:t>
            </w:r>
          </w:p>
        </w:tc>
        <w:tc>
          <w:tcPr>
            <w:tcW w:w="1417" w:type="dxa"/>
            <w:tcBorders>
              <w:right w:val="single" w:sz="4" w:space="0" w:color="D9D9D9" w:themeColor="background1" w:themeShade="D9"/>
            </w:tcBorders>
            <w:noWrap/>
            <w:hideMark/>
          </w:tcPr>
          <w:p w14:paraId="55BA5298" w14:textId="77777777" w:rsidR="009B3143" w:rsidRPr="006206E7" w:rsidRDefault="009B3143" w:rsidP="006814D8">
            <w:pPr>
              <w:jc w:val="right"/>
              <w:cnfStyle w:val="010000000000" w:firstRow="0" w:lastRow="1" w:firstColumn="0" w:lastColumn="0" w:oddVBand="0" w:evenVBand="0" w:oddHBand="0" w:evenHBand="0" w:firstRowFirstColumn="0" w:firstRowLastColumn="0" w:lastRowFirstColumn="0" w:lastRowLastColumn="0"/>
            </w:pPr>
            <w:r w:rsidRPr="006206E7">
              <w:t>$1,137</w:t>
            </w:r>
          </w:p>
        </w:tc>
        <w:tc>
          <w:tcPr>
            <w:tcW w:w="1168" w:type="dxa"/>
            <w:tcBorders>
              <w:left w:val="single" w:sz="4" w:space="0" w:color="D9D9D9" w:themeColor="background1" w:themeShade="D9"/>
              <w:right w:val="single" w:sz="4" w:space="0" w:color="D9D9D9" w:themeColor="background1" w:themeShade="D9"/>
            </w:tcBorders>
            <w:noWrap/>
            <w:hideMark/>
          </w:tcPr>
          <w:p w14:paraId="67FF61C4" w14:textId="77777777" w:rsidR="009B3143" w:rsidRPr="006206E7" w:rsidRDefault="009B3143" w:rsidP="006814D8">
            <w:pPr>
              <w:jc w:val="right"/>
              <w:cnfStyle w:val="010000000000" w:firstRow="0" w:lastRow="1" w:firstColumn="0" w:lastColumn="0" w:oddVBand="0" w:evenVBand="0" w:oddHBand="0" w:evenHBand="0" w:firstRowFirstColumn="0" w:firstRowLastColumn="0" w:lastRowFirstColumn="0" w:lastRowLastColumn="0"/>
            </w:pPr>
            <w:r w:rsidRPr="006206E7">
              <w:t>$3,411</w:t>
            </w:r>
          </w:p>
        </w:tc>
        <w:tc>
          <w:tcPr>
            <w:tcW w:w="1476" w:type="dxa"/>
            <w:tcBorders>
              <w:left w:val="single" w:sz="4" w:space="0" w:color="D9D9D9" w:themeColor="background1" w:themeShade="D9"/>
            </w:tcBorders>
            <w:noWrap/>
            <w:hideMark/>
          </w:tcPr>
          <w:p w14:paraId="4B568028" w14:textId="21C0122E" w:rsidR="009B3143" w:rsidRPr="006206E7" w:rsidRDefault="009B3143" w:rsidP="006814D8">
            <w:pPr>
              <w:jc w:val="right"/>
              <w:cnfStyle w:val="010000000000" w:firstRow="0" w:lastRow="1" w:firstColumn="0" w:lastColumn="0" w:oddVBand="0" w:evenVBand="0" w:oddHBand="0" w:evenHBand="0" w:firstRowFirstColumn="0" w:firstRowLastColumn="0" w:lastRowFirstColumn="0" w:lastRowLastColumn="0"/>
            </w:pPr>
            <w:r w:rsidRPr="006206E7">
              <w:t>$19,</w:t>
            </w:r>
            <w:r w:rsidR="00550D0B">
              <w:t>725</w:t>
            </w:r>
          </w:p>
        </w:tc>
        <w:tc>
          <w:tcPr>
            <w:cnfStyle w:val="000100000000" w:firstRow="0" w:lastRow="0" w:firstColumn="0" w:lastColumn="1" w:oddVBand="0" w:evenVBand="0" w:oddHBand="0" w:evenHBand="0" w:firstRowFirstColumn="0" w:firstRowLastColumn="0" w:lastRowFirstColumn="0" w:lastRowLastColumn="0"/>
            <w:tcW w:w="1476" w:type="dxa"/>
            <w:noWrap/>
            <w:hideMark/>
          </w:tcPr>
          <w:p w14:paraId="507F6435" w14:textId="60864148" w:rsidR="009B3143" w:rsidRPr="006206E7" w:rsidRDefault="00DF6158" w:rsidP="006814D8">
            <w:pPr>
              <w:jc w:val="right"/>
            </w:pPr>
            <w:r>
              <w:t>$</w:t>
            </w:r>
            <w:r w:rsidR="009B3143" w:rsidRPr="006206E7">
              <w:t>5.7</w:t>
            </w:r>
            <w:r w:rsidR="00550D0B">
              <w:t>9</w:t>
            </w:r>
          </w:p>
        </w:tc>
      </w:tr>
    </w:tbl>
    <w:p w14:paraId="22532D69" w14:textId="77777777" w:rsidR="00E24529" w:rsidRDefault="00E24529" w:rsidP="00E24529">
      <w:pPr>
        <w:rPr>
          <w:b/>
          <w:sz w:val="28"/>
          <w:szCs w:val="28"/>
        </w:rPr>
      </w:pPr>
    </w:p>
    <w:p w14:paraId="44AE94E5" w14:textId="381F42D1" w:rsidR="00AD4A2E" w:rsidRPr="00E24529" w:rsidRDefault="00AD4A2E" w:rsidP="00E24529">
      <w:pPr>
        <w:rPr>
          <w:b/>
          <w:sz w:val="28"/>
          <w:szCs w:val="28"/>
        </w:rPr>
      </w:pPr>
      <w:r w:rsidRPr="00E24529">
        <w:rPr>
          <w:b/>
          <w:sz w:val="28"/>
          <w:szCs w:val="28"/>
        </w:rPr>
        <w:t>Conclusion</w:t>
      </w:r>
    </w:p>
    <w:p w14:paraId="7A43BD4E" w14:textId="2C43EB82" w:rsidR="001A7C33" w:rsidRDefault="001A7C33" w:rsidP="001A7C33">
      <w:pPr>
        <w:pStyle w:val="Paragraph"/>
      </w:pPr>
      <w:r>
        <w:t>Both the RER and the Delphi technique were consistent with the depth and breadth of economic benefits identified, as well as the direction of the benefits. Specifically, both reported that in the context of the AT costs, the AT benefits indicated that we should accept AT as an intervention for older Australians.</w:t>
      </w:r>
    </w:p>
    <w:p w14:paraId="13C25C3D" w14:textId="4AE00FFB" w:rsidR="001A7C33" w:rsidRDefault="001A7C33" w:rsidP="001A7C33">
      <w:pPr>
        <w:pStyle w:val="Paragraph"/>
      </w:pPr>
      <w:r>
        <w:t xml:space="preserve">The Delphi technique produced more conservative cost estimates of the benefits than the RER, and has therefore been used as the benchmark for this explorative cost–benefit analysis. We have assumed that the four Archetypes are moderately representative of the mild, moderate, severe and profound limitation categories. We recognise that a </w:t>
      </w:r>
      <w:r w:rsidRPr="00AC2DB1">
        <w:t>delay</w:t>
      </w:r>
      <w:r>
        <w:t xml:space="preserve"> in the need</w:t>
      </w:r>
      <w:r w:rsidRPr="00AC2DB1">
        <w:t xml:space="preserve"> to increase unpaid formal care, paid carer support and paid formal care and </w:t>
      </w:r>
      <w:r>
        <w:t>a</w:t>
      </w:r>
      <w:r w:rsidRPr="00AC2DB1">
        <w:t xml:space="preserve"> delay</w:t>
      </w:r>
      <w:r>
        <w:t xml:space="preserve"> in the need</w:t>
      </w:r>
      <w:r w:rsidRPr="00AC2DB1">
        <w:t xml:space="preserve"> for residential aged care admission represent real cost savings</w:t>
      </w:r>
      <w:r>
        <w:t>;</w:t>
      </w:r>
      <w:r w:rsidRPr="00AC2DB1">
        <w:t xml:space="preserve"> however these were out-of-scope for this analysis</w:t>
      </w:r>
      <w:r w:rsidR="00461EBB">
        <w:t xml:space="preserve"> due to the high variability in the panellists data</w:t>
      </w:r>
      <w:r w:rsidRPr="00AC2DB1">
        <w:t>. This indicates that the following analysis is most likely to be an underrepresentation of the true cost</w:t>
      </w:r>
      <w:r>
        <w:t>–</w:t>
      </w:r>
      <w:r w:rsidRPr="00AC2DB1">
        <w:t>benefit</w:t>
      </w:r>
      <w:r>
        <w:t xml:space="preserve"> of AT</w:t>
      </w:r>
      <w:r w:rsidRPr="00AC2DB1">
        <w:t>.</w:t>
      </w:r>
    </w:p>
    <w:p w14:paraId="2259503A" w14:textId="0312492C" w:rsidR="001A7C33" w:rsidRDefault="001A7C33" w:rsidP="001A7C33">
      <w:pPr>
        <w:pStyle w:val="Paragraph"/>
      </w:pPr>
      <w:r>
        <w:t>Quantifying the cost-benefit is difficult due to reliance on an RER with a low yield and generally low-quality included papers, as well as the subjective nature of the Delphi technique. However, due to the high level of consistency between the two diverse processes, we are confiden</w:t>
      </w:r>
      <w:r w:rsidR="00F56DE7">
        <w:t>t</w:t>
      </w:r>
      <w:r>
        <w:t xml:space="preserve"> that the provision of AT results in a strong cost-benefit to our society. </w:t>
      </w:r>
    </w:p>
    <w:p w14:paraId="4423BEF9" w14:textId="1D410E45" w:rsidR="00C2378D" w:rsidRDefault="00C2378D" w:rsidP="00E24529">
      <w:pPr>
        <w:pStyle w:val="Heading2"/>
      </w:pPr>
      <w:r>
        <w:lastRenderedPageBreak/>
        <w:t>Future program options</w:t>
      </w:r>
    </w:p>
    <w:p w14:paraId="63CD22CA" w14:textId="054D8073" w:rsidR="001B6C5B" w:rsidRPr="001B6C5B" w:rsidRDefault="001B6C5B" w:rsidP="001B6C5B">
      <w:pPr>
        <w:pStyle w:val="Paragraph"/>
        <w:keepNext/>
        <w:rPr>
          <w:lang w:eastAsia="en-GB"/>
        </w:rPr>
      </w:pPr>
      <w:r w:rsidRPr="001B6C5B">
        <w:rPr>
          <w:lang w:eastAsia="en-GB"/>
        </w:rPr>
        <w:t xml:space="preserve">The Delphi technique was used in determining the costs and benefits of future program options.  </w:t>
      </w:r>
      <w:r>
        <w:rPr>
          <w:lang w:eastAsia="en-GB"/>
        </w:rPr>
        <w:br/>
      </w:r>
      <w:r w:rsidRPr="0005623E">
        <w:rPr>
          <w:i/>
          <w:iCs/>
          <w:lang w:eastAsia="en-GB"/>
        </w:rPr>
        <w:t>Table A-10</w:t>
      </w:r>
      <w:r w:rsidRPr="001B6C5B">
        <w:rPr>
          <w:i/>
          <w:iCs/>
          <w:lang w:eastAsia="en-GB"/>
        </w:rPr>
        <w:t xml:space="preserve"> </w:t>
      </w:r>
      <w:r w:rsidRPr="001B6C5B">
        <w:rPr>
          <w:lang w:eastAsia="en-GB"/>
        </w:rPr>
        <w:t>details the Product options used in the AT Review Final Report (Section 4).</w:t>
      </w:r>
    </w:p>
    <w:p w14:paraId="4D1AD2A1" w14:textId="471C2EB6" w:rsidR="00142CD2" w:rsidRDefault="00142CD2" w:rsidP="00E24529">
      <w:bookmarkStart w:id="46" w:name="_Toc60999920"/>
      <w:r w:rsidRPr="00EC48FA">
        <w:t>Table </w:t>
      </w:r>
      <w:r>
        <w:fldChar w:fldCharType="begin"/>
      </w:r>
      <w:r>
        <w:instrText xml:space="preserve"> STYLEREF 5 \s </w:instrText>
      </w:r>
      <w:r>
        <w:fldChar w:fldCharType="separate"/>
      </w:r>
      <w:r w:rsidR="00EB1774">
        <w:rPr>
          <w:noProof/>
        </w:rPr>
        <w:t>A</w:t>
      </w:r>
      <w:r>
        <w:fldChar w:fldCharType="end"/>
      </w:r>
      <w:r w:rsidR="006562A7">
        <w:t>-9</w:t>
      </w:r>
      <w:r w:rsidRPr="00EC48FA">
        <w:t>:</w:t>
      </w:r>
      <w:r w:rsidRPr="00EC48FA">
        <w:tab/>
      </w:r>
      <w:r>
        <w:t>Product options</w:t>
      </w:r>
      <w:r w:rsidR="00861912">
        <w:t xml:space="preserve"> – </w:t>
      </w:r>
      <w:r>
        <w:t>consumer numbers and annual cost</w:t>
      </w:r>
      <w:bookmarkEnd w:id="46"/>
    </w:p>
    <w:tbl>
      <w:tblPr>
        <w:tblStyle w:val="AHALight"/>
        <w:tblW w:w="5000" w:type="pct"/>
        <w:tblBorders>
          <w:top w:val="single" w:sz="4" w:space="0" w:color="D9D9D9" w:themeColor="background1" w:themeShade="D9"/>
          <w:left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5A0" w:firstRow="1" w:lastRow="0" w:firstColumn="1" w:lastColumn="1" w:noHBand="0" w:noVBand="1"/>
        <w:tblCaption w:val="Table A-9"/>
        <w:tblDescription w:val="annual cost to consumer and number of consumers that may benefit from AT product options"/>
      </w:tblPr>
      <w:tblGrid>
        <w:gridCol w:w="992"/>
        <w:gridCol w:w="5665"/>
        <w:gridCol w:w="1415"/>
        <w:gridCol w:w="1556"/>
      </w:tblGrid>
      <w:tr w:rsidR="00142CD2" w:rsidRPr="00B2461E" w14:paraId="30992918" w14:textId="77777777" w:rsidTr="00F909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5" w:type="pct"/>
          </w:tcPr>
          <w:p w14:paraId="190F4B39" w14:textId="77777777" w:rsidR="00142CD2" w:rsidRDefault="00142CD2" w:rsidP="00883EF1">
            <w:pPr>
              <w:pStyle w:val="TableHeading1"/>
              <w:rPr>
                <w:szCs w:val="20"/>
                <w:lang w:val="en-AU"/>
              </w:rPr>
            </w:pPr>
            <w:r>
              <w:rPr>
                <w:szCs w:val="20"/>
                <w:lang w:val="en-AU"/>
              </w:rPr>
              <w:t>Option</w:t>
            </w:r>
          </w:p>
        </w:tc>
        <w:tc>
          <w:tcPr>
            <w:tcW w:w="2941" w:type="pct"/>
            <w:noWrap/>
            <w:hideMark/>
          </w:tcPr>
          <w:p w14:paraId="7AC59049" w14:textId="77777777" w:rsidR="00142CD2" w:rsidRPr="00B2461E" w:rsidRDefault="00142CD2" w:rsidP="00883EF1">
            <w:pPr>
              <w:pStyle w:val="TableHeading1"/>
              <w:cnfStyle w:val="100000000000" w:firstRow="1" w:lastRow="0" w:firstColumn="0" w:lastColumn="0" w:oddVBand="0" w:evenVBand="0" w:oddHBand="0" w:evenHBand="0" w:firstRowFirstColumn="0" w:firstRowLastColumn="0" w:lastRowFirstColumn="0" w:lastRowLastColumn="0"/>
              <w:rPr>
                <w:szCs w:val="20"/>
                <w:lang w:val="en-AU"/>
              </w:rPr>
            </w:pPr>
            <w:r>
              <w:rPr>
                <w:szCs w:val="20"/>
                <w:lang w:val="en-AU"/>
              </w:rPr>
              <w:t xml:space="preserve">Option description </w:t>
            </w:r>
          </w:p>
        </w:tc>
        <w:tc>
          <w:tcPr>
            <w:tcW w:w="735" w:type="pct"/>
            <w:noWrap/>
            <w:hideMark/>
          </w:tcPr>
          <w:p w14:paraId="083D44C6" w14:textId="77777777" w:rsidR="00142CD2" w:rsidRPr="0022118C" w:rsidRDefault="00142CD2" w:rsidP="00883EF1">
            <w:pPr>
              <w:pStyle w:val="TableHeading1"/>
              <w:jc w:val="right"/>
              <w:cnfStyle w:val="100000000000" w:firstRow="1" w:lastRow="0" w:firstColumn="0" w:lastColumn="0" w:oddVBand="0" w:evenVBand="0" w:oddHBand="0" w:evenHBand="0" w:firstRowFirstColumn="0" w:firstRowLastColumn="0" w:lastRowFirstColumn="0" w:lastRowLastColumn="0"/>
            </w:pPr>
            <w:r>
              <w:t>No.</w:t>
            </w:r>
            <w:r w:rsidRPr="0022118C">
              <w:t xml:space="preserve"> of consumers</w:t>
            </w:r>
          </w:p>
        </w:tc>
        <w:tc>
          <w:tcPr>
            <w:cnfStyle w:val="000100000000" w:firstRow="0" w:lastRow="0" w:firstColumn="0" w:lastColumn="1" w:oddVBand="0" w:evenVBand="0" w:oddHBand="0" w:evenHBand="0" w:firstRowFirstColumn="0" w:firstRowLastColumn="0" w:lastRowFirstColumn="0" w:lastRowLastColumn="0"/>
            <w:tcW w:w="808" w:type="pct"/>
            <w:noWrap/>
            <w:hideMark/>
          </w:tcPr>
          <w:p w14:paraId="318403F9" w14:textId="77777777" w:rsidR="00142CD2" w:rsidRPr="00B2461E" w:rsidRDefault="00142CD2" w:rsidP="00883EF1">
            <w:pPr>
              <w:pStyle w:val="TableHeading1"/>
              <w:jc w:val="right"/>
              <w:rPr>
                <w:b w:val="0"/>
                <w:bCs/>
                <w:szCs w:val="20"/>
                <w:lang w:val="en-AU"/>
              </w:rPr>
            </w:pPr>
            <w:r>
              <w:rPr>
                <w:bCs/>
                <w:szCs w:val="20"/>
                <w:lang w:val="en-AU"/>
              </w:rPr>
              <w:t>Annual cost</w:t>
            </w:r>
          </w:p>
        </w:tc>
      </w:tr>
      <w:tr w:rsidR="00142CD2" w:rsidRPr="0022118C" w14:paraId="27BE572F" w14:textId="77777777" w:rsidTr="00F909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5" w:type="pct"/>
          </w:tcPr>
          <w:p w14:paraId="7ECA5C0D" w14:textId="77777777" w:rsidR="00142CD2" w:rsidRPr="0022118C" w:rsidRDefault="00142CD2" w:rsidP="00883EF1">
            <w:pPr>
              <w:pStyle w:val="TableTextKeep"/>
              <w:jc w:val="center"/>
            </w:pPr>
            <w:r w:rsidRPr="0022118C">
              <w:t>1</w:t>
            </w:r>
          </w:p>
        </w:tc>
        <w:tc>
          <w:tcPr>
            <w:tcW w:w="2941" w:type="pct"/>
            <w:noWrap/>
          </w:tcPr>
          <w:p w14:paraId="343A52DD" w14:textId="77777777" w:rsidR="00142CD2" w:rsidRPr="0022118C" w:rsidRDefault="00142CD2" w:rsidP="00883EF1">
            <w:pPr>
              <w:pStyle w:val="TableTextKeep"/>
              <w:cnfStyle w:val="000000100000" w:firstRow="0" w:lastRow="0" w:firstColumn="0" w:lastColumn="0" w:oddVBand="0" w:evenVBand="0" w:oddHBand="1" w:evenHBand="0" w:firstRowFirstColumn="0" w:firstRowLastColumn="0" w:lastRowFirstColumn="0" w:lastRowLastColumn="0"/>
            </w:pPr>
            <w:r w:rsidRPr="0022118C">
              <w:t>Consumers outside of aged care</w:t>
            </w:r>
          </w:p>
          <w:p w14:paraId="3C89B0BE" w14:textId="77777777" w:rsidR="00142CD2" w:rsidRPr="0022118C" w:rsidRDefault="00142CD2" w:rsidP="00883EF1">
            <w:pPr>
              <w:pStyle w:val="TableTextKeep"/>
              <w:cnfStyle w:val="000000100000" w:firstRow="0" w:lastRow="0" w:firstColumn="0" w:lastColumn="0" w:oddVBand="0" w:evenVBand="0" w:oddHBand="1" w:evenHBand="0" w:firstRowFirstColumn="0" w:firstRowLastColumn="0" w:lastRowFirstColumn="0" w:lastRowLastColumn="0"/>
            </w:pPr>
            <w:r w:rsidRPr="0022118C">
              <w:t>3% of all consumers outside aged care will use the Hotline. Of these 3% of consumers using the Hotline, it is expected that 80% will be eligible for an ADL AT kit following a screening assessment. This includes 1 of 6 kits which could be provided at an average cost of $121.47 per kit</w:t>
            </w:r>
          </w:p>
        </w:tc>
        <w:tc>
          <w:tcPr>
            <w:tcW w:w="735" w:type="pct"/>
            <w:noWrap/>
          </w:tcPr>
          <w:p w14:paraId="094E354E" w14:textId="77777777" w:rsidR="00142CD2" w:rsidRPr="0022118C" w:rsidRDefault="00142CD2" w:rsidP="00883EF1">
            <w:pPr>
              <w:pStyle w:val="TableTextKeep"/>
              <w:jc w:val="right"/>
              <w:cnfStyle w:val="000000100000" w:firstRow="0" w:lastRow="0" w:firstColumn="0" w:lastColumn="0" w:oddVBand="0" w:evenVBand="0" w:oddHBand="1" w:evenHBand="0" w:firstRowFirstColumn="0" w:firstRowLastColumn="0" w:lastRowFirstColumn="0" w:lastRowLastColumn="0"/>
            </w:pPr>
            <w:r w:rsidRPr="0022118C">
              <w:t>16,521</w:t>
            </w:r>
          </w:p>
        </w:tc>
        <w:tc>
          <w:tcPr>
            <w:cnfStyle w:val="000100000000" w:firstRow="0" w:lastRow="0" w:firstColumn="0" w:lastColumn="1" w:oddVBand="0" w:evenVBand="0" w:oddHBand="0" w:evenHBand="0" w:firstRowFirstColumn="0" w:firstRowLastColumn="0" w:lastRowFirstColumn="0" w:lastRowLastColumn="0"/>
            <w:tcW w:w="808" w:type="pct"/>
            <w:noWrap/>
          </w:tcPr>
          <w:p w14:paraId="185FA15E" w14:textId="77777777" w:rsidR="00142CD2" w:rsidRPr="0022118C" w:rsidRDefault="00142CD2" w:rsidP="00883EF1">
            <w:pPr>
              <w:pStyle w:val="TableTextKeep"/>
              <w:jc w:val="right"/>
            </w:pPr>
            <w:r w:rsidRPr="0022118C">
              <w:t>$2,006,779</w:t>
            </w:r>
          </w:p>
        </w:tc>
      </w:tr>
      <w:tr w:rsidR="00142CD2" w:rsidRPr="0022118C" w14:paraId="05689975"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515" w:type="pct"/>
          </w:tcPr>
          <w:p w14:paraId="4C237D37" w14:textId="77777777" w:rsidR="00142CD2" w:rsidRPr="0022118C" w:rsidRDefault="00142CD2" w:rsidP="00883EF1">
            <w:pPr>
              <w:pStyle w:val="TableTextKeep"/>
              <w:jc w:val="center"/>
            </w:pPr>
            <w:r w:rsidRPr="0022118C">
              <w:t>2</w:t>
            </w:r>
          </w:p>
        </w:tc>
        <w:tc>
          <w:tcPr>
            <w:tcW w:w="2941" w:type="pct"/>
            <w:noWrap/>
          </w:tcPr>
          <w:p w14:paraId="08878A57" w14:textId="77777777" w:rsidR="00142CD2" w:rsidRPr="0022118C" w:rsidRDefault="00142CD2" w:rsidP="00883EF1">
            <w:pPr>
              <w:pStyle w:val="TableTextKeep"/>
              <w:cnfStyle w:val="000000000000" w:firstRow="0" w:lastRow="0" w:firstColumn="0" w:lastColumn="0" w:oddVBand="0" w:evenVBand="0" w:oddHBand="0" w:evenHBand="0" w:firstRowFirstColumn="0" w:firstRowLastColumn="0" w:lastRowFirstColumn="0" w:lastRowLastColumn="0"/>
            </w:pPr>
            <w:r w:rsidRPr="0022118C">
              <w:t>One ADL kit per person for all new CHSP reablement consumers (20% of new CHSP consumers)</w:t>
            </w:r>
          </w:p>
        </w:tc>
        <w:tc>
          <w:tcPr>
            <w:tcW w:w="735" w:type="pct"/>
            <w:noWrap/>
          </w:tcPr>
          <w:p w14:paraId="52D2D989" w14:textId="77777777" w:rsidR="00142CD2" w:rsidRPr="0022118C" w:rsidRDefault="00142CD2" w:rsidP="00883EF1">
            <w:pPr>
              <w:pStyle w:val="TableTextKeep"/>
              <w:jc w:val="right"/>
              <w:cnfStyle w:val="000000000000" w:firstRow="0" w:lastRow="0" w:firstColumn="0" w:lastColumn="0" w:oddVBand="0" w:evenVBand="0" w:oddHBand="0" w:evenHBand="0" w:firstRowFirstColumn="0" w:firstRowLastColumn="0" w:lastRowFirstColumn="0" w:lastRowLastColumn="0"/>
            </w:pPr>
            <w:r w:rsidRPr="0022118C">
              <w:t>32,457</w:t>
            </w:r>
          </w:p>
        </w:tc>
        <w:tc>
          <w:tcPr>
            <w:cnfStyle w:val="000100000000" w:firstRow="0" w:lastRow="0" w:firstColumn="0" w:lastColumn="1" w:oddVBand="0" w:evenVBand="0" w:oddHBand="0" w:evenHBand="0" w:firstRowFirstColumn="0" w:firstRowLastColumn="0" w:lastRowFirstColumn="0" w:lastRowLastColumn="0"/>
            <w:tcW w:w="808" w:type="pct"/>
            <w:noWrap/>
          </w:tcPr>
          <w:p w14:paraId="7DF043DE" w14:textId="77777777" w:rsidR="00142CD2" w:rsidRPr="0022118C" w:rsidRDefault="00142CD2" w:rsidP="00883EF1">
            <w:pPr>
              <w:pStyle w:val="TableTextKeep"/>
              <w:jc w:val="right"/>
            </w:pPr>
            <w:r w:rsidRPr="0022118C">
              <w:t>$3,942,418</w:t>
            </w:r>
          </w:p>
        </w:tc>
      </w:tr>
      <w:tr w:rsidR="00142CD2" w:rsidRPr="0022118C" w14:paraId="73ACD02F" w14:textId="77777777" w:rsidTr="00F909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5" w:type="pct"/>
          </w:tcPr>
          <w:p w14:paraId="18D3D015" w14:textId="77777777" w:rsidR="00142CD2" w:rsidRPr="0022118C" w:rsidRDefault="00142CD2" w:rsidP="00883EF1">
            <w:pPr>
              <w:pStyle w:val="TableTextKeep"/>
              <w:jc w:val="center"/>
            </w:pPr>
            <w:r w:rsidRPr="0022118C">
              <w:t>3</w:t>
            </w:r>
          </w:p>
        </w:tc>
        <w:tc>
          <w:tcPr>
            <w:tcW w:w="2941" w:type="pct"/>
            <w:noWrap/>
          </w:tcPr>
          <w:p w14:paraId="10E28069" w14:textId="77777777" w:rsidR="00142CD2" w:rsidRPr="0022118C" w:rsidRDefault="00142CD2" w:rsidP="00883EF1">
            <w:pPr>
              <w:pStyle w:val="TableTextKeep"/>
              <w:cnfStyle w:val="000000100000" w:firstRow="0" w:lastRow="0" w:firstColumn="0" w:lastColumn="0" w:oddVBand="0" w:evenVBand="0" w:oddHBand="1" w:evenHBand="0" w:firstRowFirstColumn="0" w:firstRowLastColumn="0" w:lastRowFirstColumn="0" w:lastRowLastColumn="0"/>
            </w:pPr>
            <w:r w:rsidRPr="0022118C">
              <w:t>One ADL kit per person for all new CHSP reablement consumers (20% of CHSP consumers) plus 5% of existing consumers who undergo a reassessment who could be reabled</w:t>
            </w:r>
          </w:p>
        </w:tc>
        <w:tc>
          <w:tcPr>
            <w:tcW w:w="735" w:type="pct"/>
            <w:noWrap/>
          </w:tcPr>
          <w:p w14:paraId="5C64FA42" w14:textId="77777777" w:rsidR="00142CD2" w:rsidRPr="0022118C" w:rsidRDefault="00142CD2" w:rsidP="00883EF1">
            <w:pPr>
              <w:pStyle w:val="TableTextKeep"/>
              <w:jc w:val="right"/>
              <w:cnfStyle w:val="000000100000" w:firstRow="0" w:lastRow="0" w:firstColumn="0" w:lastColumn="0" w:oddVBand="0" w:evenVBand="0" w:oddHBand="1" w:evenHBand="0" w:firstRowFirstColumn="0" w:firstRowLastColumn="0" w:lastRowFirstColumn="0" w:lastRowLastColumn="0"/>
            </w:pPr>
            <w:r w:rsidRPr="0022118C">
              <w:t>64,914</w:t>
            </w:r>
          </w:p>
        </w:tc>
        <w:tc>
          <w:tcPr>
            <w:cnfStyle w:val="000100000000" w:firstRow="0" w:lastRow="0" w:firstColumn="0" w:lastColumn="1" w:oddVBand="0" w:evenVBand="0" w:oddHBand="0" w:evenHBand="0" w:firstRowFirstColumn="0" w:firstRowLastColumn="0" w:lastRowFirstColumn="0" w:lastRowLastColumn="0"/>
            <w:tcW w:w="808" w:type="pct"/>
            <w:noWrap/>
          </w:tcPr>
          <w:p w14:paraId="28E1A612" w14:textId="77777777" w:rsidR="00142CD2" w:rsidRPr="0022118C" w:rsidRDefault="00142CD2" w:rsidP="00883EF1">
            <w:pPr>
              <w:pStyle w:val="TableTextKeep"/>
              <w:jc w:val="right"/>
            </w:pPr>
            <w:r w:rsidRPr="0022118C">
              <w:t>$7,884,819</w:t>
            </w:r>
          </w:p>
        </w:tc>
      </w:tr>
      <w:tr w:rsidR="00142CD2" w:rsidRPr="0022118C" w14:paraId="03F47204"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515" w:type="pct"/>
          </w:tcPr>
          <w:p w14:paraId="47BB9E80" w14:textId="77777777" w:rsidR="00142CD2" w:rsidRPr="0022118C" w:rsidRDefault="00142CD2" w:rsidP="00883EF1">
            <w:pPr>
              <w:pStyle w:val="TableTextKeep"/>
              <w:jc w:val="center"/>
            </w:pPr>
            <w:r w:rsidRPr="0022118C">
              <w:t>4</w:t>
            </w:r>
          </w:p>
        </w:tc>
        <w:tc>
          <w:tcPr>
            <w:tcW w:w="2941" w:type="pct"/>
            <w:noWrap/>
          </w:tcPr>
          <w:p w14:paraId="03BC5F0F" w14:textId="77777777" w:rsidR="00142CD2" w:rsidRPr="0022118C" w:rsidRDefault="00142CD2" w:rsidP="00883EF1">
            <w:pPr>
              <w:pStyle w:val="TableTextKeep"/>
              <w:cnfStyle w:val="000000000000" w:firstRow="0" w:lastRow="0" w:firstColumn="0" w:lastColumn="0" w:oddVBand="0" w:evenVBand="0" w:oddHBand="0" w:evenHBand="0" w:firstRowFirstColumn="0" w:firstRowLastColumn="0" w:lastRowFirstColumn="0" w:lastRowLastColumn="0"/>
            </w:pPr>
            <w:r w:rsidRPr="0022118C">
              <w:t>One ADL kit per person for all new CHSP consumers plus all reassessed consumers</w:t>
            </w:r>
          </w:p>
        </w:tc>
        <w:tc>
          <w:tcPr>
            <w:tcW w:w="735" w:type="pct"/>
            <w:noWrap/>
          </w:tcPr>
          <w:p w14:paraId="6C976BA8" w14:textId="77777777" w:rsidR="00142CD2" w:rsidRPr="0022118C" w:rsidRDefault="00142CD2" w:rsidP="00883EF1">
            <w:pPr>
              <w:pStyle w:val="TableTextKeep"/>
              <w:jc w:val="right"/>
              <w:cnfStyle w:val="000000000000" w:firstRow="0" w:lastRow="0" w:firstColumn="0" w:lastColumn="0" w:oddVBand="0" w:evenVBand="0" w:oddHBand="0" w:evenHBand="0" w:firstRowFirstColumn="0" w:firstRowLastColumn="0" w:lastRowFirstColumn="0" w:lastRowLastColumn="0"/>
            </w:pPr>
            <w:r w:rsidRPr="0022118C">
              <w:t>194,780</w:t>
            </w:r>
          </w:p>
        </w:tc>
        <w:tc>
          <w:tcPr>
            <w:cnfStyle w:val="000100000000" w:firstRow="0" w:lastRow="0" w:firstColumn="0" w:lastColumn="1" w:oddVBand="0" w:evenVBand="0" w:oddHBand="0" w:evenHBand="0" w:firstRowFirstColumn="0" w:firstRowLastColumn="0" w:lastRowFirstColumn="0" w:lastRowLastColumn="0"/>
            <w:tcW w:w="808" w:type="pct"/>
            <w:noWrap/>
          </w:tcPr>
          <w:p w14:paraId="080A087E" w14:textId="77777777" w:rsidR="00142CD2" w:rsidRPr="0022118C" w:rsidRDefault="00142CD2" w:rsidP="00883EF1">
            <w:pPr>
              <w:pStyle w:val="TableTextKeep"/>
              <w:jc w:val="right"/>
            </w:pPr>
            <w:r w:rsidRPr="0022118C">
              <w:t>$23,658,964</w:t>
            </w:r>
          </w:p>
        </w:tc>
      </w:tr>
      <w:tr w:rsidR="00142CD2" w:rsidRPr="0022118C" w14:paraId="0843B54B" w14:textId="77777777" w:rsidTr="00F909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5" w:type="pct"/>
          </w:tcPr>
          <w:p w14:paraId="53C6A552" w14:textId="77777777" w:rsidR="00142CD2" w:rsidRPr="0022118C" w:rsidRDefault="00142CD2" w:rsidP="00883EF1">
            <w:pPr>
              <w:pStyle w:val="TableTextKeep"/>
              <w:jc w:val="center"/>
            </w:pPr>
            <w:r w:rsidRPr="0022118C">
              <w:t>5</w:t>
            </w:r>
          </w:p>
        </w:tc>
        <w:tc>
          <w:tcPr>
            <w:tcW w:w="2941" w:type="pct"/>
            <w:noWrap/>
          </w:tcPr>
          <w:p w14:paraId="06C11887" w14:textId="77777777" w:rsidR="00142CD2" w:rsidRPr="0022118C" w:rsidRDefault="00142CD2" w:rsidP="00883EF1">
            <w:pPr>
              <w:pStyle w:val="TableTextKeep"/>
              <w:cnfStyle w:val="000000100000" w:firstRow="0" w:lastRow="0" w:firstColumn="0" w:lastColumn="0" w:oddVBand="0" w:evenVBand="0" w:oddHBand="1" w:evenHBand="0" w:firstRowFirstColumn="0" w:firstRowLastColumn="0" w:lastRowFirstColumn="0" w:lastRowLastColumn="0"/>
            </w:pPr>
            <w:r w:rsidRPr="0022118C">
              <w:t>One ADL kit for all new HCP Level 1 and 2 consumers</w:t>
            </w:r>
          </w:p>
        </w:tc>
        <w:tc>
          <w:tcPr>
            <w:tcW w:w="735" w:type="pct"/>
            <w:noWrap/>
          </w:tcPr>
          <w:p w14:paraId="38D6AF70" w14:textId="77777777" w:rsidR="00142CD2" w:rsidRPr="0022118C" w:rsidRDefault="00142CD2" w:rsidP="00883EF1">
            <w:pPr>
              <w:pStyle w:val="TableTextKeep"/>
              <w:jc w:val="right"/>
              <w:cnfStyle w:val="000000100000" w:firstRow="0" w:lastRow="0" w:firstColumn="0" w:lastColumn="0" w:oddVBand="0" w:evenVBand="0" w:oddHBand="1" w:evenHBand="0" w:firstRowFirstColumn="0" w:firstRowLastColumn="0" w:lastRowFirstColumn="0" w:lastRowLastColumn="0"/>
            </w:pPr>
            <w:r w:rsidRPr="0022118C">
              <w:t>43,852</w:t>
            </w:r>
          </w:p>
        </w:tc>
        <w:tc>
          <w:tcPr>
            <w:cnfStyle w:val="000100000000" w:firstRow="0" w:lastRow="0" w:firstColumn="0" w:lastColumn="1" w:oddVBand="0" w:evenVBand="0" w:oddHBand="0" w:evenHBand="0" w:firstRowFirstColumn="0" w:firstRowLastColumn="0" w:lastRowFirstColumn="0" w:lastRowLastColumn="0"/>
            <w:tcW w:w="808" w:type="pct"/>
            <w:noWrap/>
          </w:tcPr>
          <w:p w14:paraId="1F151E9A" w14:textId="77777777" w:rsidR="00142CD2" w:rsidRPr="0022118C" w:rsidRDefault="00142CD2" w:rsidP="00883EF1">
            <w:pPr>
              <w:pStyle w:val="TableTextKeep"/>
              <w:jc w:val="right"/>
            </w:pPr>
            <w:r w:rsidRPr="0022118C">
              <w:t>$5,326,431</w:t>
            </w:r>
          </w:p>
        </w:tc>
      </w:tr>
      <w:tr w:rsidR="00142CD2" w:rsidRPr="0022118C" w14:paraId="34B8432B" w14:textId="77777777" w:rsidTr="00F909FF">
        <w:trPr>
          <w:trHeight w:val="288"/>
        </w:trPr>
        <w:tc>
          <w:tcPr>
            <w:cnfStyle w:val="001000000000" w:firstRow="0" w:lastRow="0" w:firstColumn="1" w:lastColumn="0" w:oddVBand="0" w:evenVBand="0" w:oddHBand="0" w:evenHBand="0" w:firstRowFirstColumn="0" w:firstRowLastColumn="0" w:lastRowFirstColumn="0" w:lastRowLastColumn="0"/>
            <w:tcW w:w="515" w:type="pct"/>
          </w:tcPr>
          <w:p w14:paraId="288EAC54" w14:textId="77777777" w:rsidR="00142CD2" w:rsidRPr="0022118C" w:rsidRDefault="00142CD2" w:rsidP="00883EF1">
            <w:pPr>
              <w:pStyle w:val="TableTextKeep"/>
              <w:jc w:val="center"/>
            </w:pPr>
            <w:r w:rsidRPr="0022118C">
              <w:t>6</w:t>
            </w:r>
          </w:p>
        </w:tc>
        <w:tc>
          <w:tcPr>
            <w:tcW w:w="2941" w:type="pct"/>
            <w:noWrap/>
          </w:tcPr>
          <w:p w14:paraId="0475E132" w14:textId="77777777" w:rsidR="00142CD2" w:rsidRPr="0022118C" w:rsidRDefault="00142CD2" w:rsidP="00883EF1">
            <w:pPr>
              <w:pStyle w:val="TableTextKeep"/>
              <w:cnfStyle w:val="000000000000" w:firstRow="0" w:lastRow="0" w:firstColumn="0" w:lastColumn="0" w:oddVBand="0" w:evenVBand="0" w:oddHBand="0" w:evenHBand="0" w:firstRowFirstColumn="0" w:firstRowLastColumn="0" w:lastRowFirstColumn="0" w:lastRowLastColumn="0"/>
            </w:pPr>
            <w:r w:rsidRPr="0022118C">
              <w:t xml:space="preserve">CHSP </w:t>
            </w:r>
            <w:r>
              <w:t>equity</w:t>
            </w:r>
            <w:r w:rsidRPr="0022118C">
              <w:t xml:space="preserve"> for AT spend in state and territory funding based on current average national spend of $341 per person per year with a nominal $500 cap indicating 68% of cap is spent on average (See Step 7 AT costing details)</w:t>
            </w:r>
          </w:p>
        </w:tc>
        <w:tc>
          <w:tcPr>
            <w:tcW w:w="735" w:type="pct"/>
            <w:noWrap/>
          </w:tcPr>
          <w:p w14:paraId="394CE400" w14:textId="77777777" w:rsidR="00142CD2" w:rsidRPr="0022118C" w:rsidRDefault="00142CD2" w:rsidP="00883EF1">
            <w:pPr>
              <w:pStyle w:val="TableTextKeep"/>
              <w:jc w:val="right"/>
              <w:cnfStyle w:val="000000000000" w:firstRow="0" w:lastRow="0" w:firstColumn="0" w:lastColumn="0" w:oddVBand="0" w:evenVBand="0" w:oddHBand="0" w:evenHBand="0" w:firstRowFirstColumn="0" w:firstRowLastColumn="0" w:lastRowFirstColumn="0" w:lastRowLastColumn="0"/>
            </w:pPr>
            <w:r w:rsidRPr="0022118C">
              <w:t>60,301</w:t>
            </w:r>
          </w:p>
        </w:tc>
        <w:tc>
          <w:tcPr>
            <w:cnfStyle w:val="000100000000" w:firstRow="0" w:lastRow="0" w:firstColumn="0" w:lastColumn="1" w:oddVBand="0" w:evenVBand="0" w:oddHBand="0" w:evenHBand="0" w:firstRowFirstColumn="0" w:firstRowLastColumn="0" w:lastRowFirstColumn="0" w:lastRowLastColumn="0"/>
            <w:tcW w:w="808" w:type="pct"/>
            <w:noWrap/>
          </w:tcPr>
          <w:p w14:paraId="55D3AD9D" w14:textId="77777777" w:rsidR="00142CD2" w:rsidRPr="0022118C" w:rsidRDefault="00142CD2" w:rsidP="00883EF1">
            <w:pPr>
              <w:pStyle w:val="TableTextKeep"/>
              <w:jc w:val="right"/>
            </w:pPr>
            <w:r w:rsidRPr="0022118C">
              <w:t>$20,562,641</w:t>
            </w:r>
          </w:p>
        </w:tc>
      </w:tr>
      <w:tr w:rsidR="00142CD2" w:rsidRPr="0022118C" w14:paraId="3E3271C7" w14:textId="77777777" w:rsidTr="00F909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5" w:type="pct"/>
            <w:tcBorders>
              <w:bottom w:val="single" w:sz="4" w:space="0" w:color="D9D9D9" w:themeColor="background1" w:themeShade="D9"/>
            </w:tcBorders>
          </w:tcPr>
          <w:p w14:paraId="1BF58803" w14:textId="77777777" w:rsidR="00142CD2" w:rsidRPr="0022118C" w:rsidRDefault="00142CD2" w:rsidP="00883EF1">
            <w:pPr>
              <w:pStyle w:val="TableTextKeep"/>
              <w:jc w:val="center"/>
            </w:pPr>
            <w:r w:rsidRPr="0022118C">
              <w:t>7</w:t>
            </w:r>
          </w:p>
        </w:tc>
        <w:tc>
          <w:tcPr>
            <w:tcW w:w="2941" w:type="pct"/>
            <w:tcBorders>
              <w:bottom w:val="single" w:sz="4" w:space="0" w:color="D9D9D9" w:themeColor="background1" w:themeShade="D9"/>
            </w:tcBorders>
            <w:noWrap/>
          </w:tcPr>
          <w:p w14:paraId="356FA831" w14:textId="77777777" w:rsidR="00142CD2" w:rsidRPr="0022118C" w:rsidRDefault="00142CD2" w:rsidP="00883EF1">
            <w:pPr>
              <w:pStyle w:val="TableTextKeep"/>
              <w:cnfStyle w:val="000000100000" w:firstRow="0" w:lastRow="0" w:firstColumn="0" w:lastColumn="0" w:oddVBand="0" w:evenVBand="0" w:oddHBand="1" w:evenHBand="0" w:firstRowFirstColumn="0" w:firstRowLastColumn="0" w:lastRowFirstColumn="0" w:lastRowLastColumn="0"/>
            </w:pPr>
            <w:r w:rsidRPr="0022118C">
              <w:t xml:space="preserve">CHSP </w:t>
            </w:r>
            <w:r>
              <w:t>equity</w:t>
            </w:r>
            <w:r w:rsidRPr="0022118C">
              <w:t xml:space="preserve"> for HM spend in state and territory funding based on current average national spend of $726 per person per year (See Step 7 AT costing details)</w:t>
            </w:r>
          </w:p>
        </w:tc>
        <w:tc>
          <w:tcPr>
            <w:tcW w:w="735" w:type="pct"/>
            <w:tcBorders>
              <w:bottom w:val="single" w:sz="4" w:space="0" w:color="D9D9D9" w:themeColor="background1" w:themeShade="D9"/>
            </w:tcBorders>
            <w:noWrap/>
          </w:tcPr>
          <w:p w14:paraId="1794361F" w14:textId="77777777" w:rsidR="00142CD2" w:rsidRPr="0022118C" w:rsidRDefault="00142CD2" w:rsidP="00883EF1">
            <w:pPr>
              <w:pStyle w:val="TableTextKeep"/>
              <w:jc w:val="right"/>
              <w:cnfStyle w:val="000000100000" w:firstRow="0" w:lastRow="0" w:firstColumn="0" w:lastColumn="0" w:oddVBand="0" w:evenVBand="0" w:oddHBand="1" w:evenHBand="0" w:firstRowFirstColumn="0" w:firstRowLastColumn="0" w:lastRowFirstColumn="0" w:lastRowLastColumn="0"/>
            </w:pPr>
            <w:r w:rsidRPr="0022118C">
              <w:t>64,354</w:t>
            </w:r>
          </w:p>
        </w:tc>
        <w:tc>
          <w:tcPr>
            <w:cnfStyle w:val="000100000000" w:firstRow="0" w:lastRow="0" w:firstColumn="0" w:lastColumn="1" w:oddVBand="0" w:evenVBand="0" w:oddHBand="0" w:evenHBand="0" w:firstRowFirstColumn="0" w:firstRowLastColumn="0" w:lastRowFirstColumn="0" w:lastRowLastColumn="0"/>
            <w:tcW w:w="808" w:type="pct"/>
            <w:tcBorders>
              <w:bottom w:val="single" w:sz="4" w:space="0" w:color="D9D9D9" w:themeColor="background1" w:themeShade="D9"/>
            </w:tcBorders>
            <w:noWrap/>
          </w:tcPr>
          <w:p w14:paraId="2BED0054" w14:textId="77777777" w:rsidR="00142CD2" w:rsidRPr="0022118C" w:rsidRDefault="00142CD2" w:rsidP="00883EF1">
            <w:pPr>
              <w:pStyle w:val="TableTextKeep"/>
              <w:jc w:val="right"/>
            </w:pPr>
            <w:r w:rsidRPr="0022118C">
              <w:t>$46,721,004</w:t>
            </w:r>
          </w:p>
        </w:tc>
      </w:tr>
      <w:tr w:rsidR="00EA1008" w:rsidRPr="0022118C" w14:paraId="00A8A849" w14:textId="77777777" w:rsidTr="00F909FF">
        <w:tblPrEx>
          <w:tblBorders>
            <w:top w:val="single" w:sz="4" w:space="0" w:color="0079C1" w:themeColor="text2"/>
            <w:left w:val="none" w:sz="0" w:space="0" w:color="auto"/>
            <w:right w:val="none" w:sz="0" w:space="0" w:color="auto"/>
            <w:insideH w:val="single" w:sz="4" w:space="0" w:color="E2F4FF" w:themeColor="accent1" w:themeTint="33"/>
            <w:insideV w:val="none" w:sz="0" w:space="0" w:color="auto"/>
          </w:tblBorders>
        </w:tblPrEx>
        <w:trPr>
          <w:trHeight w:val="288"/>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2ADBE0B" w14:textId="7EE7A7B4" w:rsidR="00EA1008" w:rsidRPr="0022118C" w:rsidRDefault="00EA1008" w:rsidP="00883EF1">
            <w:pPr>
              <w:pStyle w:val="TableTextKeep"/>
              <w:jc w:val="center"/>
            </w:pPr>
            <w:r>
              <w:t>8</w:t>
            </w:r>
          </w:p>
        </w:tc>
        <w:tc>
          <w:tcPr>
            <w:tcW w:w="294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Pr>
          <w:p w14:paraId="4E606817" w14:textId="77777777" w:rsidR="00EA1008" w:rsidRPr="0022118C" w:rsidRDefault="00EA1008" w:rsidP="00883EF1">
            <w:pPr>
              <w:pStyle w:val="TableTextKeep"/>
              <w:cnfStyle w:val="000000000000" w:firstRow="0" w:lastRow="0" w:firstColumn="0" w:lastColumn="0" w:oddVBand="0" w:evenVBand="0" w:oddHBand="0" w:evenHBand="0" w:firstRowFirstColumn="0" w:firstRowLastColumn="0" w:lastRowFirstColumn="0" w:lastRowLastColumn="0"/>
            </w:pPr>
            <w:r w:rsidRPr="0022118C">
              <w:t xml:space="preserve">CHSP </w:t>
            </w:r>
            <w:r>
              <w:t>equity</w:t>
            </w:r>
            <w:r w:rsidRPr="0022118C">
              <w:t xml:space="preserve"> for AT spend in state and territory funding based on projected national spend of $1,020 per person per year to indicate 68% average spend of a $1,500 cap (See Step 7 AT costing details). This expands the current AT product list to include all AT noted in this report </w:t>
            </w:r>
          </w:p>
        </w:tc>
        <w:tc>
          <w:tcPr>
            <w:tcW w:w="73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Pr>
          <w:p w14:paraId="638607C1" w14:textId="77777777" w:rsidR="00EA1008" w:rsidRPr="0022118C" w:rsidRDefault="00EA1008" w:rsidP="00883EF1">
            <w:pPr>
              <w:pStyle w:val="TableTextKeep"/>
              <w:jc w:val="right"/>
              <w:cnfStyle w:val="000000000000" w:firstRow="0" w:lastRow="0" w:firstColumn="0" w:lastColumn="0" w:oddVBand="0" w:evenVBand="0" w:oddHBand="0" w:evenHBand="0" w:firstRowFirstColumn="0" w:firstRowLastColumn="0" w:lastRowFirstColumn="0" w:lastRowLastColumn="0"/>
            </w:pPr>
            <w:r w:rsidRPr="0022118C">
              <w:t>60,301</w:t>
            </w:r>
          </w:p>
        </w:tc>
        <w:tc>
          <w:tcPr>
            <w:cnfStyle w:val="000100000000" w:firstRow="0" w:lastRow="0" w:firstColumn="0" w:lastColumn="1" w:oddVBand="0" w:evenVBand="0" w:oddHBand="0" w:evenHBand="0" w:firstRowFirstColumn="0" w:firstRowLastColumn="0" w:lastRowFirstColumn="0" w:lastRowLastColumn="0"/>
            <w:tcW w:w="8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tcPr>
          <w:p w14:paraId="27E4694E" w14:textId="77777777" w:rsidR="00EA1008" w:rsidRPr="001B6C5B" w:rsidRDefault="00EA1008" w:rsidP="00883EF1">
            <w:pPr>
              <w:pStyle w:val="TableTextKeep"/>
              <w:jc w:val="right"/>
              <w:rPr>
                <w:b w:val="0"/>
                <w:bCs/>
              </w:rPr>
            </w:pPr>
            <w:r w:rsidRPr="001B6C5B">
              <w:rPr>
                <w:bCs/>
              </w:rPr>
              <w:t>$61,507,020</w:t>
            </w:r>
          </w:p>
        </w:tc>
      </w:tr>
      <w:tr w:rsidR="00142CD2" w:rsidRPr="0022118C" w14:paraId="5501C479" w14:textId="77777777" w:rsidTr="00F909FF">
        <w:tblPrEx>
          <w:tblBorders>
            <w:top w:val="single" w:sz="4" w:space="0" w:color="0079C1" w:themeColor="text2"/>
            <w:left w:val="none" w:sz="0" w:space="0" w:color="auto"/>
            <w:right w:val="none" w:sz="0" w:space="0" w:color="auto"/>
            <w:insideH w:val="single" w:sz="4" w:space="0" w:color="E2F4FF" w:themeColor="accent1" w:themeTint="33"/>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D9D9D9" w:themeColor="background1" w:themeShade="D9"/>
              <w:left w:val="single" w:sz="4" w:space="0" w:color="D9D9D9" w:themeColor="background1" w:themeShade="D9"/>
              <w:bottom w:val="single" w:sz="4" w:space="0" w:color="0079C1" w:themeColor="text2"/>
              <w:right w:val="single" w:sz="4" w:space="0" w:color="D9D9D9" w:themeColor="background1" w:themeShade="D9"/>
            </w:tcBorders>
            <w:shd w:val="clear" w:color="auto" w:fill="auto"/>
          </w:tcPr>
          <w:p w14:paraId="3043C246" w14:textId="51EAB45F" w:rsidR="00142CD2" w:rsidRPr="0022118C" w:rsidRDefault="00EA1008" w:rsidP="00883EF1">
            <w:pPr>
              <w:jc w:val="center"/>
            </w:pPr>
            <w:r>
              <w:t>9</w:t>
            </w:r>
          </w:p>
        </w:tc>
        <w:tc>
          <w:tcPr>
            <w:tcW w:w="2941" w:type="pct"/>
            <w:tcBorders>
              <w:top w:val="single" w:sz="4" w:space="0" w:color="D9D9D9" w:themeColor="background1" w:themeShade="D9"/>
              <w:left w:val="single" w:sz="4" w:space="0" w:color="D9D9D9" w:themeColor="background1" w:themeShade="D9"/>
              <w:bottom w:val="single" w:sz="4" w:space="0" w:color="0079C1" w:themeColor="text2"/>
              <w:right w:val="single" w:sz="4" w:space="0" w:color="D9D9D9" w:themeColor="background1" w:themeShade="D9"/>
            </w:tcBorders>
            <w:shd w:val="clear" w:color="auto" w:fill="auto"/>
            <w:noWrap/>
          </w:tcPr>
          <w:p w14:paraId="3280CF3F" w14:textId="77777777" w:rsidR="00142CD2" w:rsidRPr="0022118C" w:rsidRDefault="00142CD2" w:rsidP="00883EF1">
            <w:pPr>
              <w:cnfStyle w:val="000000100000" w:firstRow="0" w:lastRow="0" w:firstColumn="0" w:lastColumn="0" w:oddVBand="0" w:evenVBand="0" w:oddHBand="1" w:evenHBand="0" w:firstRowFirstColumn="0" w:firstRowLastColumn="0" w:lastRowFirstColumn="0" w:lastRowLastColumn="0"/>
            </w:pPr>
            <w:r w:rsidRPr="0022118C">
              <w:t>Broader CHSP AT list made available to all new consumers based on projected AT product prevalence</w:t>
            </w:r>
          </w:p>
        </w:tc>
        <w:tc>
          <w:tcPr>
            <w:tcW w:w="735" w:type="pct"/>
            <w:tcBorders>
              <w:top w:val="single" w:sz="4" w:space="0" w:color="D9D9D9" w:themeColor="background1" w:themeShade="D9"/>
              <w:left w:val="single" w:sz="4" w:space="0" w:color="D9D9D9" w:themeColor="background1" w:themeShade="D9"/>
              <w:bottom w:val="single" w:sz="4" w:space="0" w:color="0079C1" w:themeColor="text2"/>
              <w:right w:val="single" w:sz="4" w:space="0" w:color="D9D9D9" w:themeColor="background1" w:themeShade="D9"/>
            </w:tcBorders>
            <w:shd w:val="clear" w:color="auto" w:fill="auto"/>
            <w:noWrap/>
          </w:tcPr>
          <w:p w14:paraId="129B793C" w14:textId="77777777" w:rsidR="00142CD2" w:rsidRPr="0022118C" w:rsidRDefault="00142CD2" w:rsidP="00883EF1">
            <w:pPr>
              <w:jc w:val="right"/>
              <w:cnfStyle w:val="000000100000" w:firstRow="0" w:lastRow="0" w:firstColumn="0" w:lastColumn="0" w:oddVBand="0" w:evenVBand="0" w:oddHBand="1" w:evenHBand="0" w:firstRowFirstColumn="0" w:firstRowLastColumn="0" w:lastRowFirstColumn="0" w:lastRowLastColumn="0"/>
            </w:pPr>
            <w:r w:rsidRPr="0022118C">
              <w:t>162,286</w:t>
            </w:r>
          </w:p>
        </w:tc>
        <w:tc>
          <w:tcPr>
            <w:cnfStyle w:val="000100000000" w:firstRow="0" w:lastRow="0" w:firstColumn="0" w:lastColumn="1" w:oddVBand="0" w:evenVBand="0" w:oddHBand="0" w:evenHBand="0" w:firstRowFirstColumn="0" w:firstRowLastColumn="0" w:lastRowFirstColumn="0" w:lastRowLastColumn="0"/>
            <w:tcW w:w="808" w:type="pct"/>
            <w:tcBorders>
              <w:top w:val="single" w:sz="4" w:space="0" w:color="D9D9D9" w:themeColor="background1" w:themeShade="D9"/>
              <w:left w:val="single" w:sz="4" w:space="0" w:color="D9D9D9" w:themeColor="background1" w:themeShade="D9"/>
              <w:bottom w:val="single" w:sz="4" w:space="0" w:color="0079C1" w:themeColor="text2"/>
              <w:right w:val="single" w:sz="4" w:space="0" w:color="D9D9D9" w:themeColor="background1" w:themeShade="D9"/>
            </w:tcBorders>
            <w:shd w:val="clear" w:color="auto" w:fill="auto"/>
            <w:noWrap/>
          </w:tcPr>
          <w:p w14:paraId="7186A200" w14:textId="77777777" w:rsidR="00142CD2" w:rsidRPr="001B6C5B" w:rsidRDefault="00142CD2" w:rsidP="00883EF1">
            <w:pPr>
              <w:jc w:val="right"/>
              <w:rPr>
                <w:b w:val="0"/>
                <w:bCs/>
              </w:rPr>
            </w:pPr>
            <w:r w:rsidRPr="001B6C5B">
              <w:rPr>
                <w:bCs/>
              </w:rPr>
              <w:t>$54,533,714</w:t>
            </w:r>
          </w:p>
        </w:tc>
      </w:tr>
    </w:tbl>
    <w:p w14:paraId="22B6A732" w14:textId="77777777" w:rsidR="00FD216B" w:rsidRDefault="00FD216B">
      <w:bookmarkStart w:id="47" w:name="_Ref42517229"/>
      <w:r>
        <w:br w:type="page"/>
      </w:r>
    </w:p>
    <w:p w14:paraId="50DF9943" w14:textId="73E40F6A" w:rsidR="00D55078" w:rsidRPr="00636B05" w:rsidRDefault="00D55078" w:rsidP="00E24529">
      <w:pPr>
        <w:pStyle w:val="Heading2"/>
      </w:pPr>
      <w:r w:rsidRPr="00636B05">
        <w:lastRenderedPageBreak/>
        <w:t>Assumptions and limitations</w:t>
      </w:r>
      <w:bookmarkEnd w:id="47"/>
    </w:p>
    <w:p w14:paraId="2D0783AC" w14:textId="75828346" w:rsidR="00D55078" w:rsidRPr="00636B05" w:rsidRDefault="00D55078" w:rsidP="00D55078">
      <w:pPr>
        <w:pStyle w:val="ParaKeep"/>
      </w:pPr>
      <w:r w:rsidRPr="00636B05">
        <w:t>As there are several assumptions and limitations that underpin this economic evaluation, care needs to be taken with the interpretation and generalisability of the results.</w:t>
      </w:r>
      <w:r w:rsidR="00F909FF">
        <w:t xml:space="preserve"> </w:t>
      </w:r>
    </w:p>
    <w:p w14:paraId="0C094E9D" w14:textId="38DB1D45" w:rsidR="00FE553F" w:rsidRPr="00636B05" w:rsidRDefault="009132E3" w:rsidP="00D55078">
      <w:pPr>
        <w:pStyle w:val="Paragraph"/>
      </w:pPr>
      <w:r w:rsidRPr="009132E3">
        <w:rPr>
          <w:rStyle w:val="Italic"/>
        </w:rPr>
        <w:fldChar w:fldCharType="begin"/>
      </w:r>
      <w:r w:rsidRPr="009132E3">
        <w:rPr>
          <w:rStyle w:val="Italic"/>
        </w:rPr>
        <w:instrText xml:space="preserve"> REF _Ref42518505 \h </w:instrText>
      </w:r>
      <w:r>
        <w:rPr>
          <w:rStyle w:val="Italic"/>
        </w:rPr>
        <w:instrText xml:space="preserve"> \* MERGEFORMAT </w:instrText>
      </w:r>
      <w:r w:rsidRPr="009132E3">
        <w:rPr>
          <w:rStyle w:val="Italic"/>
        </w:rPr>
      </w:r>
      <w:r w:rsidRPr="009132E3">
        <w:rPr>
          <w:rStyle w:val="Italic"/>
        </w:rPr>
        <w:fldChar w:fldCharType="separate"/>
      </w:r>
      <w:r w:rsidR="00EB1774" w:rsidRPr="00EB1774">
        <w:rPr>
          <w:rStyle w:val="Italic"/>
        </w:rPr>
        <w:t>Table A</w:t>
      </w:r>
      <w:r w:rsidR="00EB1774" w:rsidRPr="00EB1774">
        <w:rPr>
          <w:rStyle w:val="Italic"/>
        </w:rPr>
        <w:noBreakHyphen/>
        <w:t>10</w:t>
      </w:r>
      <w:r w:rsidRPr="009132E3">
        <w:rPr>
          <w:rStyle w:val="Italic"/>
        </w:rPr>
        <w:fldChar w:fldCharType="end"/>
      </w:r>
      <w:r w:rsidR="00D55078" w:rsidRPr="00636B05">
        <w:t xml:space="preserve"> details the key estimates</w:t>
      </w:r>
      <w:r w:rsidR="00FE553F">
        <w:t xml:space="preserve"> – assumptions and limitations</w:t>
      </w:r>
      <w:r w:rsidR="00D55078" w:rsidRPr="00636B05">
        <w:t>.</w:t>
      </w:r>
      <w:r w:rsidR="00FD216B">
        <w:t xml:space="preserve"> </w:t>
      </w:r>
      <w:r w:rsidR="00FE553F" w:rsidRPr="007D67B7">
        <w:rPr>
          <w:rStyle w:val="Italic"/>
        </w:rPr>
        <w:fldChar w:fldCharType="begin"/>
      </w:r>
      <w:r w:rsidR="00FE553F" w:rsidRPr="007D67B7">
        <w:rPr>
          <w:rStyle w:val="Italic"/>
        </w:rPr>
        <w:instrText xml:space="preserve"> REF _Ref42518505 \h  \* MERGEFORMAT </w:instrText>
      </w:r>
      <w:r w:rsidR="00FE553F" w:rsidRPr="007D67B7">
        <w:rPr>
          <w:rStyle w:val="Italic"/>
        </w:rPr>
      </w:r>
      <w:r w:rsidR="00FE553F" w:rsidRPr="007D67B7">
        <w:rPr>
          <w:rStyle w:val="Italic"/>
        </w:rPr>
        <w:fldChar w:fldCharType="separate"/>
      </w:r>
      <w:r w:rsidR="00EB1774" w:rsidRPr="00EB1774">
        <w:rPr>
          <w:rStyle w:val="Italic"/>
        </w:rPr>
        <w:t>Table A</w:t>
      </w:r>
      <w:r w:rsidR="00EB1774" w:rsidRPr="00EB1774">
        <w:rPr>
          <w:rStyle w:val="Italic"/>
        </w:rPr>
        <w:noBreakHyphen/>
        <w:t>10</w:t>
      </w:r>
      <w:r w:rsidR="00FE553F" w:rsidRPr="007D67B7">
        <w:rPr>
          <w:rStyle w:val="Italic"/>
        </w:rPr>
        <w:fldChar w:fldCharType="end"/>
      </w:r>
      <w:r w:rsidR="00FE553F" w:rsidRPr="00636B05">
        <w:t xml:space="preserve"> details the </w:t>
      </w:r>
      <w:r w:rsidR="00C2378D">
        <w:t>general assumptions.</w:t>
      </w:r>
    </w:p>
    <w:p w14:paraId="1042535D" w14:textId="7AE362E6" w:rsidR="00D55078" w:rsidRPr="00636B05" w:rsidRDefault="00D55078" w:rsidP="00E24529">
      <w:bookmarkStart w:id="48" w:name="_Ref42518505"/>
      <w:bookmarkStart w:id="49" w:name="_Toc60999921"/>
      <w:r>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10</w:t>
      </w:r>
      <w:r w:rsidR="00FD5E41">
        <w:fldChar w:fldCharType="end"/>
      </w:r>
      <w:bookmarkEnd w:id="48"/>
      <w:r>
        <w:t>:</w:t>
      </w:r>
      <w:r>
        <w:tab/>
      </w:r>
      <w:r w:rsidRPr="00636B05">
        <w:t>Key estimates</w:t>
      </w:r>
      <w:r w:rsidR="00FD216B">
        <w:t xml:space="preserve"> </w:t>
      </w:r>
      <w:r w:rsidR="00FE553F">
        <w:t>assumptions</w:t>
      </w:r>
      <w:bookmarkEnd w:id="49"/>
    </w:p>
    <w:tbl>
      <w:tblPr>
        <w:tblStyle w:val="AHALight"/>
        <w:tblW w:w="9639" w:type="dxa"/>
        <w:tblLook w:val="0420" w:firstRow="1" w:lastRow="0" w:firstColumn="0" w:lastColumn="0" w:noHBand="0" w:noVBand="1"/>
        <w:tblCaption w:val="table A-10"/>
        <w:tblDescription w:val="list of assumptions that underpin the evaluation"/>
      </w:tblPr>
      <w:tblGrid>
        <w:gridCol w:w="6946"/>
        <w:gridCol w:w="2693"/>
      </w:tblGrid>
      <w:tr w:rsidR="00D55078" w:rsidRPr="00636B05" w14:paraId="0C65A2B3" w14:textId="77777777" w:rsidTr="00127ABB">
        <w:trPr>
          <w:cnfStyle w:val="100000000000" w:firstRow="1" w:lastRow="0" w:firstColumn="0" w:lastColumn="0" w:oddVBand="0" w:evenVBand="0" w:oddHBand="0" w:evenHBand="0" w:firstRowFirstColumn="0" w:firstRowLastColumn="0" w:lastRowFirstColumn="0" w:lastRowLastColumn="0"/>
        </w:trPr>
        <w:tc>
          <w:tcPr>
            <w:tcW w:w="6946" w:type="dxa"/>
          </w:tcPr>
          <w:p w14:paraId="5B84E16A" w14:textId="77777777" w:rsidR="00D55078" w:rsidRPr="00636B05" w:rsidRDefault="00D55078" w:rsidP="00FD216B">
            <w:pPr>
              <w:pStyle w:val="TableHeading1"/>
            </w:pPr>
            <w:r w:rsidRPr="00636B05">
              <w:t>Assumption</w:t>
            </w:r>
          </w:p>
        </w:tc>
        <w:tc>
          <w:tcPr>
            <w:tcW w:w="2693" w:type="dxa"/>
          </w:tcPr>
          <w:p w14:paraId="13C8760E" w14:textId="77777777" w:rsidR="00D55078" w:rsidRPr="00636B05" w:rsidRDefault="00D55078" w:rsidP="00FD216B">
            <w:pPr>
              <w:pStyle w:val="TableHeading1"/>
            </w:pPr>
            <w:r w:rsidRPr="00636B05">
              <w:t>Step(s) impacted</w:t>
            </w:r>
          </w:p>
        </w:tc>
      </w:tr>
      <w:tr w:rsidR="00D55078" w:rsidRPr="00636B05" w14:paraId="08FC2898" w14:textId="77777777" w:rsidTr="00127ABB">
        <w:trPr>
          <w:cnfStyle w:val="000000100000" w:firstRow="0" w:lastRow="0" w:firstColumn="0" w:lastColumn="0" w:oddVBand="0" w:evenVBand="0" w:oddHBand="1" w:evenHBand="0" w:firstRowFirstColumn="0" w:firstRowLastColumn="0" w:lastRowFirstColumn="0" w:lastRowLastColumn="0"/>
        </w:trPr>
        <w:tc>
          <w:tcPr>
            <w:tcW w:w="6946" w:type="dxa"/>
          </w:tcPr>
          <w:p w14:paraId="321F5591" w14:textId="77777777" w:rsidR="00D55078" w:rsidRPr="00636B05" w:rsidRDefault="00D55078" w:rsidP="00FD216B">
            <w:pPr>
              <w:pStyle w:val="TableText"/>
            </w:pPr>
            <w:r w:rsidRPr="00636B05">
              <w:t xml:space="preserve">The </w:t>
            </w:r>
            <w:r w:rsidRPr="00636B05">
              <w:rPr>
                <w:i/>
                <w:iCs/>
              </w:rPr>
              <w:t>ABS</w:t>
            </w:r>
            <w:r w:rsidRPr="00636B05">
              <w:t xml:space="preserve"> </w:t>
            </w:r>
            <w:r w:rsidRPr="00636B05">
              <w:rPr>
                <w:rStyle w:val="CrossReference"/>
              </w:rPr>
              <w:t xml:space="preserve">Disability, Ageing and Carers (ABS SDAC), Australia: Summary of Findings 2018 Survey </w:t>
            </w:r>
            <w:r w:rsidRPr="00636B05">
              <w:t>has been used as the benchmark for the classification of functional impairment (Mild, Moderate, Severe or Profound).</w:t>
            </w:r>
          </w:p>
        </w:tc>
        <w:tc>
          <w:tcPr>
            <w:tcW w:w="2693" w:type="dxa"/>
          </w:tcPr>
          <w:p w14:paraId="7BCD2B1E" w14:textId="36C6916C" w:rsidR="00D55078" w:rsidRPr="00636B05" w:rsidRDefault="00D55078" w:rsidP="00FD216B">
            <w:pPr>
              <w:pStyle w:val="TableText"/>
            </w:pPr>
            <w:r w:rsidRPr="00636B05">
              <w:t>Step 1: Prevalence</w:t>
            </w:r>
            <w:r w:rsidR="00AE1648">
              <w:t xml:space="preserve"> and </w:t>
            </w:r>
            <w:r w:rsidRPr="00636B05">
              <w:t>Distribution</w:t>
            </w:r>
          </w:p>
        </w:tc>
      </w:tr>
      <w:tr w:rsidR="00D55078" w:rsidRPr="00636B05" w14:paraId="49C76FC9" w14:textId="77777777" w:rsidTr="00127ABB">
        <w:tc>
          <w:tcPr>
            <w:tcW w:w="6946" w:type="dxa"/>
          </w:tcPr>
          <w:p w14:paraId="4CAE0B16" w14:textId="77777777" w:rsidR="00D55078" w:rsidRPr="00636B05" w:rsidRDefault="00D55078" w:rsidP="00FD216B">
            <w:pPr>
              <w:pStyle w:val="TableText"/>
            </w:pPr>
            <w:r w:rsidRPr="00636B05">
              <w:t xml:space="preserve">Where Aboriginal and Torres Strait Islander population data that met our inclusion criteria was not readily available or had missing values, we used modelling based on established techniques for calculating prevalence for Aboriginal and Torres Strait Islander peoples </w:t>
            </w:r>
            <w:r w:rsidRPr="00636B05">
              <w:fldChar w:fldCharType="begin"/>
            </w:r>
            <w:r w:rsidRPr="00636B05">
              <w:instrText xml:space="preserve">  EN.CITE &lt;EndNote&gt;&lt;Cite&gt;&lt;Author&gt;Coleman&lt;/Author&gt;&lt;Year&gt;2018&lt;/Year&gt;&lt;RecNum&gt;52&lt;/RecNum&gt;&lt;DisplayText&gt;(Coleman et al., 2018)&lt;/DisplayText&gt;&lt;record&gt;&lt;rec-number&gt;52&lt;/rec-number&gt;&lt;foreign-keys&gt;&lt;key app="EN" db-id="z0f5xrvehzt9xzexr2k5apf1psvsftpfvp52" timestamp="1583109197"&gt;52&lt;/key&gt;&lt;/foreign-keys&gt;&lt;ref-type name="Journal Article"&gt;17&lt;/ref-type&gt;&lt;contributors&gt;&lt;authors&gt;&lt;author&gt;Coleman, Clare&lt;/author&gt;&lt;author&gt;Man, Nicola Wing Young&lt;/author&gt;&lt;author&gt;Gilroy, John&lt;/author&gt;&lt;author&gt;Madden, Richard&lt;/author&gt;&lt;/authors&gt;&lt;/contributors&gt;&lt;titles&gt;&lt;title&gt;Aboriginal and Torres Strait Islander disability prevalence: making sense of multiple estimates and definitions&lt;/title&gt;&lt;secondary-title&gt;Australian and New Zealand journal of public health&lt;/secondary-title&gt;&lt;/titles&gt;&lt;periodical&gt;&lt;full-title&gt;Australian and New Zealand journal of public health&lt;/full-title&gt;&lt;/periodical&gt;&lt;pages&gt;562-566&lt;/pages&gt;&lt;volume&gt;42&lt;/volume&gt;&lt;number&gt;6&lt;/number&gt;&lt;dates&gt;&lt;year&gt;2018&lt;/year&gt;&lt;/dates&gt;&lt;isbn&gt;1326-0200&lt;/isbn&gt;&lt;urls&gt;&lt;/urls&gt;&lt;/record&gt;&lt;/Cite&gt;&lt;/EndNote&gt;</w:instrText>
            </w:r>
            <w:r w:rsidRPr="00636B05">
              <w:fldChar w:fldCharType="separate"/>
            </w:r>
            <w:r w:rsidRPr="00636B05">
              <w:t>(Coleman et al., 2018)</w:t>
            </w:r>
            <w:r w:rsidRPr="00636B05">
              <w:fldChar w:fldCharType="end"/>
            </w:r>
            <w:r w:rsidRPr="00636B05">
              <w:t>.</w:t>
            </w:r>
          </w:p>
        </w:tc>
        <w:tc>
          <w:tcPr>
            <w:tcW w:w="2693" w:type="dxa"/>
          </w:tcPr>
          <w:p w14:paraId="3E0E6863" w14:textId="30C41A2A" w:rsidR="00D55078" w:rsidRPr="00636B05" w:rsidRDefault="00AE1648" w:rsidP="00FD216B">
            <w:pPr>
              <w:pStyle w:val="TableText"/>
            </w:pPr>
            <w:r w:rsidRPr="00636B05">
              <w:t>Step 1: Prevalence</w:t>
            </w:r>
            <w:r>
              <w:t xml:space="preserve"> and </w:t>
            </w:r>
            <w:r w:rsidRPr="00636B05">
              <w:t>Distribution</w:t>
            </w:r>
          </w:p>
        </w:tc>
      </w:tr>
      <w:tr w:rsidR="00AE1648" w:rsidRPr="00636B05" w14:paraId="2096B221" w14:textId="77777777" w:rsidTr="00127ABB">
        <w:trPr>
          <w:cnfStyle w:val="000000100000" w:firstRow="0" w:lastRow="0" w:firstColumn="0" w:lastColumn="0" w:oddVBand="0" w:evenVBand="0" w:oddHBand="1" w:evenHBand="0" w:firstRowFirstColumn="0" w:firstRowLastColumn="0" w:lastRowFirstColumn="0" w:lastRowLastColumn="0"/>
        </w:trPr>
        <w:tc>
          <w:tcPr>
            <w:tcW w:w="6946" w:type="dxa"/>
          </w:tcPr>
          <w:p w14:paraId="44B55EAA" w14:textId="3CAA42CA" w:rsidR="00AE1648" w:rsidRPr="00636B05" w:rsidRDefault="00AE1648" w:rsidP="00FD216B">
            <w:pPr>
              <w:pStyle w:val="TableText"/>
            </w:pPr>
            <w:r w:rsidRPr="00C30DD2">
              <w:t>ABS data for Aboriginal and Torres Strait Islander people combined Mild/Moderate and Severe/Profound,</w:t>
            </w:r>
            <w:r w:rsidR="00541A48">
              <w:t xml:space="preserve"> </w:t>
            </w:r>
            <w:r w:rsidRPr="00C30DD2">
              <w:t>and used the term “core activity limitation” which could be interpreted as “severity”. Data for the Mild/Moderate groups were placed into the Moderate group, and data for the Severe/Profound groups were placed into the Profound group. This represents the highest possible AT Products and services requirements for the Aboriginal and Torres Strait Islander population aged 50+ years</w:t>
            </w:r>
          </w:p>
        </w:tc>
        <w:tc>
          <w:tcPr>
            <w:tcW w:w="2693" w:type="dxa"/>
          </w:tcPr>
          <w:p w14:paraId="7CFD6849" w14:textId="15BCCB59" w:rsidR="00AE1648" w:rsidRPr="00636B05" w:rsidRDefault="00AE1648" w:rsidP="00FD216B">
            <w:pPr>
              <w:pStyle w:val="TableText"/>
            </w:pPr>
            <w:r w:rsidRPr="00636B05">
              <w:t>Step 1: Prevalence</w:t>
            </w:r>
            <w:r>
              <w:t xml:space="preserve"> and </w:t>
            </w:r>
            <w:r w:rsidRPr="00636B05">
              <w:t>Distribution</w:t>
            </w:r>
          </w:p>
        </w:tc>
      </w:tr>
      <w:tr w:rsidR="00D55078" w:rsidRPr="00636B05" w14:paraId="246FC745" w14:textId="77777777" w:rsidTr="00127ABB">
        <w:tc>
          <w:tcPr>
            <w:tcW w:w="6946" w:type="dxa"/>
          </w:tcPr>
          <w:p w14:paraId="08E71267" w14:textId="77777777" w:rsidR="00D55078" w:rsidRPr="00636B05" w:rsidRDefault="00D55078" w:rsidP="00FD216B">
            <w:pPr>
              <w:pStyle w:val="TableText"/>
            </w:pPr>
            <w:r w:rsidRPr="00636B05">
              <w:t>ISO 9999 categories of AT guided development of the list of AT Products.</w:t>
            </w:r>
          </w:p>
        </w:tc>
        <w:tc>
          <w:tcPr>
            <w:tcW w:w="2693" w:type="dxa"/>
          </w:tcPr>
          <w:p w14:paraId="23B9A807" w14:textId="29964D5F" w:rsidR="00D55078" w:rsidRPr="00636B05" w:rsidRDefault="00D55078" w:rsidP="00FD216B">
            <w:pPr>
              <w:pStyle w:val="TableText"/>
            </w:pPr>
            <w:r w:rsidRPr="00636B05">
              <w:t xml:space="preserve">Step </w:t>
            </w:r>
            <w:r w:rsidR="0095393C">
              <w:t>2</w:t>
            </w:r>
            <w:r w:rsidRPr="00636B05">
              <w:t>: AT Products</w:t>
            </w:r>
          </w:p>
        </w:tc>
      </w:tr>
      <w:tr w:rsidR="00D55078" w:rsidRPr="00636B05" w14:paraId="57C3E9BE" w14:textId="77777777" w:rsidTr="00127ABB">
        <w:trPr>
          <w:cnfStyle w:val="000000100000" w:firstRow="0" w:lastRow="0" w:firstColumn="0" w:lastColumn="0" w:oddVBand="0" w:evenVBand="0" w:oddHBand="1" w:evenHBand="0" w:firstRowFirstColumn="0" w:firstRowLastColumn="0" w:lastRowFirstColumn="0" w:lastRowLastColumn="0"/>
        </w:trPr>
        <w:tc>
          <w:tcPr>
            <w:tcW w:w="6946" w:type="dxa"/>
          </w:tcPr>
          <w:p w14:paraId="6F3C7AC7" w14:textId="77777777" w:rsidR="00D55078" w:rsidRPr="00636B05" w:rsidRDefault="00D55078" w:rsidP="00FD216B">
            <w:pPr>
              <w:pStyle w:val="TableText"/>
            </w:pPr>
            <w:r w:rsidRPr="00636B05">
              <w:t>AT Kits are a group of products commonly used in combination to address functional limitations in an activity of daily living.</w:t>
            </w:r>
          </w:p>
        </w:tc>
        <w:tc>
          <w:tcPr>
            <w:tcW w:w="2693" w:type="dxa"/>
          </w:tcPr>
          <w:p w14:paraId="7E3F26E4" w14:textId="2F3EBCDA" w:rsidR="00D55078" w:rsidRPr="00636B05" w:rsidRDefault="00D55078" w:rsidP="00FD216B">
            <w:pPr>
              <w:pStyle w:val="TableText"/>
            </w:pPr>
            <w:r w:rsidRPr="00636B05">
              <w:t xml:space="preserve">Step </w:t>
            </w:r>
            <w:r w:rsidR="0095393C">
              <w:t>2</w:t>
            </w:r>
            <w:r w:rsidRPr="00636B05">
              <w:t>: AT Products</w:t>
            </w:r>
          </w:p>
        </w:tc>
      </w:tr>
      <w:tr w:rsidR="00D55078" w:rsidRPr="00636B05" w14:paraId="169DD949" w14:textId="77777777" w:rsidTr="00127ABB">
        <w:tc>
          <w:tcPr>
            <w:tcW w:w="6946" w:type="dxa"/>
          </w:tcPr>
          <w:p w14:paraId="11EB140A" w14:textId="6F7AD1E0" w:rsidR="00D55078" w:rsidRPr="00636B05" w:rsidRDefault="00D55078" w:rsidP="00FD216B">
            <w:pPr>
              <w:pStyle w:val="TableText"/>
            </w:pPr>
            <w:r w:rsidRPr="00636B05">
              <w:t>AT Services are an essential component due to the attrition rate for products implemented without wrap-around services.</w:t>
            </w:r>
            <w:r w:rsidR="00FE51FE">
              <w:t xml:space="preserve"> For services inside the aged care system it is assumed that consumers will continue to receive current service</w:t>
            </w:r>
            <w:r w:rsidR="0015548E">
              <w:t>s</w:t>
            </w:r>
            <w:r w:rsidR="007C02B8">
              <w:t xml:space="preserve"> and that there would be no change in duration or cost of assessment services.</w:t>
            </w:r>
          </w:p>
        </w:tc>
        <w:tc>
          <w:tcPr>
            <w:tcW w:w="2693" w:type="dxa"/>
          </w:tcPr>
          <w:p w14:paraId="026C7A56" w14:textId="32A43094" w:rsidR="00D55078" w:rsidRPr="00636B05" w:rsidRDefault="00FE51FE" w:rsidP="00FD216B">
            <w:pPr>
              <w:pStyle w:val="TableText"/>
            </w:pPr>
            <w:r w:rsidRPr="00636B05">
              <w:t xml:space="preserve">Step </w:t>
            </w:r>
            <w:r w:rsidR="007C02B8">
              <w:t>4</w:t>
            </w:r>
            <w:r w:rsidRPr="00636B05">
              <w:t xml:space="preserve">: AT </w:t>
            </w:r>
            <w:r w:rsidR="007C02B8">
              <w:t>Services</w:t>
            </w:r>
          </w:p>
        </w:tc>
      </w:tr>
      <w:tr w:rsidR="00D55078" w:rsidRPr="00636B05" w14:paraId="70C475B8" w14:textId="77777777" w:rsidTr="00127ABB">
        <w:trPr>
          <w:cnfStyle w:val="000000100000" w:firstRow="0" w:lastRow="0" w:firstColumn="0" w:lastColumn="0" w:oddVBand="0" w:evenVBand="0" w:oddHBand="1" w:evenHBand="0" w:firstRowFirstColumn="0" w:firstRowLastColumn="0" w:lastRowFirstColumn="0" w:lastRowLastColumn="0"/>
        </w:trPr>
        <w:tc>
          <w:tcPr>
            <w:tcW w:w="6946" w:type="dxa"/>
          </w:tcPr>
          <w:p w14:paraId="40A58729" w14:textId="5D0697CA" w:rsidR="00D55078" w:rsidRPr="00636B05" w:rsidRDefault="00D55078" w:rsidP="00FD216B">
            <w:pPr>
              <w:pStyle w:val="TableText"/>
            </w:pPr>
            <w:r w:rsidRPr="00636B05">
              <w:t>All costs are presented in $AUD 2019</w:t>
            </w:r>
            <w:r w:rsidRPr="00636B05">
              <w:noBreakHyphen/>
              <w:t>20 to represent the net present value (NPV).</w:t>
            </w:r>
            <w:r w:rsidR="004511B3">
              <w:t xml:space="preserve"> </w:t>
            </w:r>
            <w:r w:rsidRPr="00636B05">
              <w:t>Costs prior to 2019</w:t>
            </w:r>
            <w:r w:rsidRPr="00636B05">
              <w:noBreakHyphen/>
              <w:t>20 were inflated by CPI to achieve a 2019</w:t>
            </w:r>
            <w:r w:rsidRPr="00636B05">
              <w:noBreakHyphen/>
              <w:t xml:space="preserve">20 NPV </w:t>
            </w:r>
            <w:sdt>
              <w:sdtPr>
                <w:tag w:val="MENDELEY_CITATION_173c8c1f-1d28-4ee6-b68a-6d749085df9e"/>
                <w:id w:val="1389612880"/>
                <w:placeholder>
                  <w:docPart w:val="289A08DB04FB460F8B5F484CFE83E8AD"/>
                </w:placeholder>
              </w:sdtPr>
              <w:sdtEndPr/>
              <w:sdtContent>
                <w:r w:rsidRPr="00636B05">
                  <w:t>(Australian Bureau of Statistics, 2020)</w:t>
                </w:r>
              </w:sdtContent>
            </w:sdt>
            <w:r w:rsidRPr="00636B05">
              <w:t>.</w:t>
            </w:r>
          </w:p>
        </w:tc>
        <w:tc>
          <w:tcPr>
            <w:tcW w:w="2693" w:type="dxa"/>
          </w:tcPr>
          <w:p w14:paraId="293EFEDF" w14:textId="77777777" w:rsidR="00D55078" w:rsidRPr="00636B05" w:rsidRDefault="00D55078" w:rsidP="00FD216B">
            <w:pPr>
              <w:pStyle w:val="TableText"/>
            </w:pPr>
            <w:r w:rsidRPr="00636B05">
              <w:t>All steps</w:t>
            </w:r>
          </w:p>
        </w:tc>
      </w:tr>
    </w:tbl>
    <w:p w14:paraId="753416D8" w14:textId="77777777" w:rsidR="00E24529" w:rsidRDefault="00E24529" w:rsidP="00E24529">
      <w:bookmarkStart w:id="50" w:name="_Toc60999922"/>
    </w:p>
    <w:p w14:paraId="23022A2D" w14:textId="5E260FAC" w:rsidR="00FD216B" w:rsidRPr="00636B05" w:rsidRDefault="00FD216B" w:rsidP="00E24529">
      <w:r>
        <w:t>Table </w:t>
      </w:r>
      <w:r>
        <w:fldChar w:fldCharType="begin"/>
      </w:r>
      <w:r>
        <w:instrText xml:space="preserve"> STYLEREF 5 \s </w:instrText>
      </w:r>
      <w:r>
        <w:fldChar w:fldCharType="separate"/>
      </w:r>
      <w:r w:rsidR="00EB1774">
        <w:rPr>
          <w:noProof/>
        </w:rPr>
        <w:t>A</w:t>
      </w:r>
      <w:r>
        <w:fldChar w:fldCharType="end"/>
      </w:r>
      <w:r>
        <w:noBreakHyphen/>
      </w:r>
      <w:r>
        <w:fldChar w:fldCharType="begin"/>
      </w:r>
      <w:r>
        <w:instrText xml:space="preserve"> SEQ Table_Apx \* ARABIC \s 5 </w:instrText>
      </w:r>
      <w:r>
        <w:fldChar w:fldCharType="separate"/>
      </w:r>
      <w:r w:rsidR="00EB1774">
        <w:rPr>
          <w:noProof/>
        </w:rPr>
        <w:t>11</w:t>
      </w:r>
      <w:r>
        <w:fldChar w:fldCharType="end"/>
      </w:r>
      <w:r>
        <w:t>:</w:t>
      </w:r>
      <w:r>
        <w:tab/>
      </w:r>
      <w:r w:rsidRPr="00636B05">
        <w:t>Key estimates</w:t>
      </w:r>
      <w:r>
        <w:t xml:space="preserve"> limitations</w:t>
      </w:r>
      <w:bookmarkEnd w:id="50"/>
    </w:p>
    <w:tbl>
      <w:tblPr>
        <w:tblStyle w:val="AHALight"/>
        <w:tblW w:w="9639" w:type="dxa"/>
        <w:tblLook w:val="0420" w:firstRow="1" w:lastRow="0" w:firstColumn="0" w:lastColumn="0" w:noHBand="0" w:noVBand="1"/>
        <w:tblCaption w:val="table A-11"/>
        <w:tblDescription w:val="list of limitations that underpin the evaluation"/>
      </w:tblPr>
      <w:tblGrid>
        <w:gridCol w:w="6946"/>
        <w:gridCol w:w="2693"/>
      </w:tblGrid>
      <w:tr w:rsidR="006D2DE8" w:rsidRPr="00636B05" w14:paraId="2217DB70" w14:textId="77777777" w:rsidTr="00F909FF">
        <w:trPr>
          <w:cnfStyle w:val="100000000000" w:firstRow="1" w:lastRow="0" w:firstColumn="0" w:lastColumn="0" w:oddVBand="0" w:evenVBand="0" w:oddHBand="0" w:evenHBand="0" w:firstRowFirstColumn="0" w:firstRowLastColumn="0" w:lastRowFirstColumn="0" w:lastRowLastColumn="0"/>
        </w:trPr>
        <w:tc>
          <w:tcPr>
            <w:tcW w:w="6946" w:type="dxa"/>
          </w:tcPr>
          <w:p w14:paraId="2B414A82" w14:textId="758FAF9C" w:rsidR="006D2DE8" w:rsidRPr="00636B05" w:rsidRDefault="006D2DE8" w:rsidP="00FD216B">
            <w:pPr>
              <w:pStyle w:val="TableHeading1"/>
            </w:pPr>
            <w:r>
              <w:t>Limitations</w:t>
            </w:r>
          </w:p>
        </w:tc>
        <w:tc>
          <w:tcPr>
            <w:tcW w:w="2693" w:type="dxa"/>
          </w:tcPr>
          <w:p w14:paraId="02D43592" w14:textId="77777777" w:rsidR="006D2DE8" w:rsidRPr="00636B05" w:rsidRDefault="006D2DE8" w:rsidP="00FD216B">
            <w:pPr>
              <w:pStyle w:val="TableHeading1"/>
            </w:pPr>
            <w:r w:rsidRPr="00636B05">
              <w:t>Step(s) impacted</w:t>
            </w:r>
          </w:p>
        </w:tc>
      </w:tr>
      <w:tr w:rsidR="00541A48" w:rsidRPr="00636B05" w14:paraId="29452E0D" w14:textId="77777777" w:rsidTr="00F909FF">
        <w:trPr>
          <w:cnfStyle w:val="000000100000" w:firstRow="0" w:lastRow="0" w:firstColumn="0" w:lastColumn="0" w:oddVBand="0" w:evenVBand="0" w:oddHBand="1" w:evenHBand="0" w:firstRowFirstColumn="0" w:firstRowLastColumn="0" w:lastRowFirstColumn="0" w:lastRowLastColumn="0"/>
        </w:trPr>
        <w:tc>
          <w:tcPr>
            <w:tcW w:w="6946" w:type="dxa"/>
          </w:tcPr>
          <w:p w14:paraId="084A106A" w14:textId="1A924109" w:rsidR="00541A48" w:rsidRPr="00FE553F" w:rsidRDefault="00541A48" w:rsidP="00FD216B">
            <w:pPr>
              <w:pStyle w:val="TableText"/>
              <w:rPr>
                <w:bCs/>
              </w:rPr>
            </w:pPr>
            <w:r w:rsidRPr="00FE553F">
              <w:rPr>
                <w:bCs/>
              </w:rPr>
              <w:t>When defining rurality, ABS data for the general population of people over 65 is exclusive of very remote or migratory people. While rurality was documented, it was not given a loading in this review.</w:t>
            </w:r>
          </w:p>
        </w:tc>
        <w:tc>
          <w:tcPr>
            <w:tcW w:w="2693" w:type="dxa"/>
          </w:tcPr>
          <w:p w14:paraId="533EBF7E" w14:textId="31F87436" w:rsidR="00541A48" w:rsidRPr="00636B05" w:rsidRDefault="00541A48" w:rsidP="00FD216B">
            <w:pPr>
              <w:pStyle w:val="TableText"/>
            </w:pPr>
            <w:r w:rsidRPr="00B41A06">
              <w:t>Step 1: Prevalence and Distribution</w:t>
            </w:r>
          </w:p>
        </w:tc>
      </w:tr>
      <w:tr w:rsidR="00541A48" w:rsidRPr="00636B05" w14:paraId="50A0C5E3" w14:textId="77777777" w:rsidTr="00F909FF">
        <w:tc>
          <w:tcPr>
            <w:tcW w:w="6946" w:type="dxa"/>
          </w:tcPr>
          <w:p w14:paraId="5E046410" w14:textId="734BEDCF" w:rsidR="00541A48" w:rsidRPr="00FD216B" w:rsidRDefault="00541A48" w:rsidP="00FD216B">
            <w:r w:rsidRPr="00FD216B">
              <w:t>Data for Aboriginal and Torres Strait Islander people aged 50+ required multiple data sources to create a single figure for each of the Mild, Moderate, Severe and Profound categories</w:t>
            </w:r>
          </w:p>
        </w:tc>
        <w:tc>
          <w:tcPr>
            <w:tcW w:w="2693" w:type="dxa"/>
          </w:tcPr>
          <w:p w14:paraId="6341066F" w14:textId="43C6B4B6" w:rsidR="00541A48" w:rsidRPr="00636B05" w:rsidRDefault="00541A48" w:rsidP="00FD216B">
            <w:pPr>
              <w:pStyle w:val="TableText"/>
            </w:pPr>
            <w:r w:rsidRPr="00B41A06">
              <w:t>Step 1: Prevalence and Distribution</w:t>
            </w:r>
          </w:p>
        </w:tc>
      </w:tr>
    </w:tbl>
    <w:p w14:paraId="63A35A72" w14:textId="77777777" w:rsidR="00633A59" w:rsidRDefault="00633A59" w:rsidP="00633A59">
      <w:bookmarkStart w:id="51" w:name="_Toc60999923"/>
    </w:p>
    <w:p w14:paraId="5CD242A3" w14:textId="77777777" w:rsidR="00633A59" w:rsidRDefault="00633A59" w:rsidP="00633A59"/>
    <w:p w14:paraId="0E3165CF" w14:textId="77777777" w:rsidR="00633A59" w:rsidRDefault="00633A59" w:rsidP="00633A59"/>
    <w:p w14:paraId="3BE50356" w14:textId="6FD9B63E" w:rsidR="00D55078" w:rsidRPr="00636B05" w:rsidRDefault="00D55078" w:rsidP="00633A59">
      <w:r>
        <w:lastRenderedPageBreak/>
        <w:t>Table </w:t>
      </w:r>
      <w:r w:rsidR="00FD5E41">
        <w:fldChar w:fldCharType="begin"/>
      </w:r>
      <w:r w:rsidR="00FD5E41">
        <w:instrText xml:space="preserve"> STYLEREF 5 \s </w:instrText>
      </w:r>
      <w:r w:rsidR="00FD5E41">
        <w:fldChar w:fldCharType="separate"/>
      </w:r>
      <w:r w:rsidR="00EB1774">
        <w:rPr>
          <w:noProof/>
        </w:rPr>
        <w:t>A</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12</w:t>
      </w:r>
      <w:r w:rsidR="00FD5E41">
        <w:fldChar w:fldCharType="end"/>
      </w:r>
      <w:r>
        <w:t>:</w:t>
      </w:r>
      <w:r>
        <w:tab/>
      </w:r>
      <w:r w:rsidR="00C2378D">
        <w:t>General a</w:t>
      </w:r>
      <w:r w:rsidR="00EA59D0">
        <w:t>ssumptions</w:t>
      </w:r>
      <w:bookmarkEnd w:id="51"/>
    </w:p>
    <w:tbl>
      <w:tblPr>
        <w:tblStyle w:val="AHALight"/>
        <w:tblW w:w="5000" w:type="pct"/>
        <w:tblLayout w:type="fixed"/>
        <w:tblLook w:val="06A0" w:firstRow="1" w:lastRow="0" w:firstColumn="1" w:lastColumn="0" w:noHBand="1" w:noVBand="1"/>
        <w:tblCaption w:val="table A-12"/>
        <w:tblDescription w:val="list of general assumptions by assumptiion type "/>
      </w:tblPr>
      <w:tblGrid>
        <w:gridCol w:w="3261"/>
        <w:gridCol w:w="6377"/>
      </w:tblGrid>
      <w:tr w:rsidR="00D55078" w:rsidRPr="00636B05" w14:paraId="2FBA229E" w14:textId="77777777" w:rsidTr="00F90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BBDDEDF" w14:textId="77777777" w:rsidR="00D55078" w:rsidRPr="00636B05" w:rsidRDefault="00D55078" w:rsidP="00DA46B7">
            <w:pPr>
              <w:pStyle w:val="TableHeading1"/>
            </w:pPr>
            <w:r w:rsidRPr="00636B05">
              <w:t>Assumption type</w:t>
            </w:r>
          </w:p>
        </w:tc>
        <w:tc>
          <w:tcPr>
            <w:tcW w:w="6377" w:type="dxa"/>
          </w:tcPr>
          <w:p w14:paraId="1E1BE8AE" w14:textId="77777777" w:rsidR="00D55078" w:rsidRPr="00636B05" w:rsidRDefault="00D55078" w:rsidP="00DA46B7">
            <w:pPr>
              <w:pStyle w:val="TableHeading1"/>
              <w:cnfStyle w:val="100000000000" w:firstRow="1" w:lastRow="0" w:firstColumn="0" w:lastColumn="0" w:oddVBand="0" w:evenVBand="0" w:oddHBand="0" w:evenHBand="0" w:firstRowFirstColumn="0" w:firstRowLastColumn="0" w:lastRowFirstColumn="0" w:lastRowLastColumn="0"/>
            </w:pPr>
            <w:r w:rsidRPr="00636B05">
              <w:t xml:space="preserve">Assumption </w:t>
            </w:r>
          </w:p>
        </w:tc>
      </w:tr>
      <w:tr w:rsidR="00D55078" w:rsidRPr="00636B05" w14:paraId="45ED2085"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0442E48B" w14:textId="77777777" w:rsidR="00D55078" w:rsidRPr="00636B05" w:rsidRDefault="00D55078" w:rsidP="00F909FF">
            <w:pPr>
              <w:pStyle w:val="TableText"/>
            </w:pPr>
            <w:r w:rsidRPr="00636B05">
              <w:t>Base year of appraisal</w:t>
            </w:r>
          </w:p>
        </w:tc>
        <w:tc>
          <w:tcPr>
            <w:tcW w:w="6377" w:type="dxa"/>
          </w:tcPr>
          <w:p w14:paraId="1546530F"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2019</w:t>
            </w:r>
            <w:r w:rsidRPr="00636B05">
              <w:noBreakHyphen/>
              <w:t>20</w:t>
            </w:r>
          </w:p>
        </w:tc>
      </w:tr>
      <w:tr w:rsidR="00D55078" w:rsidRPr="00636B05" w14:paraId="0CA27713"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35055F64" w14:textId="77777777" w:rsidR="00D55078" w:rsidRPr="00636B05" w:rsidRDefault="00D55078" w:rsidP="00F909FF">
            <w:pPr>
              <w:pStyle w:val="TableText"/>
            </w:pPr>
            <w:r w:rsidRPr="00636B05">
              <w:t>Evaluation period</w:t>
            </w:r>
          </w:p>
        </w:tc>
        <w:tc>
          <w:tcPr>
            <w:tcW w:w="6377" w:type="dxa"/>
          </w:tcPr>
          <w:p w14:paraId="2A294756"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Annualised costs within a projected five-year time horizon</w:t>
            </w:r>
          </w:p>
        </w:tc>
      </w:tr>
      <w:tr w:rsidR="00D55078" w:rsidRPr="00636B05" w14:paraId="484E2DFB"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4FBEDCA8" w14:textId="77777777" w:rsidR="00D55078" w:rsidRPr="00636B05" w:rsidRDefault="00D55078" w:rsidP="00F909FF">
            <w:pPr>
              <w:pStyle w:val="TableText"/>
            </w:pPr>
            <w:r w:rsidRPr="00636B05">
              <w:t>Currency</w:t>
            </w:r>
          </w:p>
        </w:tc>
        <w:tc>
          <w:tcPr>
            <w:tcW w:w="6377" w:type="dxa"/>
          </w:tcPr>
          <w:p w14:paraId="6824012E"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All costs to be valued at $AUD 2019</w:t>
            </w:r>
            <w:r w:rsidRPr="00636B05">
              <w:noBreakHyphen/>
              <w:t>20</w:t>
            </w:r>
          </w:p>
        </w:tc>
      </w:tr>
      <w:tr w:rsidR="00D55078" w:rsidRPr="00636B05" w14:paraId="41C5FF4F"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7A46E214" w14:textId="6560C094" w:rsidR="00D55078" w:rsidRPr="00636B05" w:rsidRDefault="00D55078" w:rsidP="00F909FF">
            <w:pPr>
              <w:pStyle w:val="TableText"/>
            </w:pPr>
            <w:r w:rsidRPr="00636B05">
              <w:t>Discount/</w:t>
            </w:r>
            <w:r w:rsidR="00F909FF">
              <w:t>‌</w:t>
            </w:r>
            <w:r w:rsidRPr="00636B05">
              <w:t>inflation rate</w:t>
            </w:r>
          </w:p>
        </w:tc>
        <w:tc>
          <w:tcPr>
            <w:tcW w:w="6377" w:type="dxa"/>
          </w:tcPr>
          <w:p w14:paraId="0C5C08B0" w14:textId="11E802D7" w:rsidR="00D55078" w:rsidRPr="007D67B7" w:rsidRDefault="00D55078" w:rsidP="002F65BC">
            <w:pPr>
              <w:pStyle w:val="TableText"/>
              <w:cnfStyle w:val="000000000000" w:firstRow="0" w:lastRow="0" w:firstColumn="0" w:lastColumn="0" w:oddVBand="0" w:evenVBand="0" w:oddHBand="0" w:evenHBand="0" w:firstRowFirstColumn="0" w:firstRowLastColumn="0" w:lastRowFirstColumn="0" w:lastRowLastColumn="0"/>
            </w:pPr>
            <w:r w:rsidRPr="007D67B7">
              <w:t xml:space="preserve">Inflation rate (CPI) as per the </w:t>
            </w:r>
            <w:hyperlink r:id="rId39" w:history="1">
              <w:r w:rsidRPr="002F65BC">
                <w:rPr>
                  <w:rStyle w:val="Hyperlink"/>
                  <w:noProof w:val="0"/>
                </w:rPr>
                <w:t>ABS website</w:t>
              </w:r>
            </w:hyperlink>
            <w:r w:rsidR="002F65BC">
              <w:t xml:space="preserve"> (accessed 28 February 2020</w:t>
            </w:r>
            <w:r w:rsidRPr="007D67B7">
              <w:t>, based on the June to June CPI rate from the base year).</w:t>
            </w:r>
            <w:r w:rsidR="004511B3" w:rsidRPr="007D67B7">
              <w:t xml:space="preserve"> </w:t>
            </w:r>
            <w:r w:rsidRPr="007D67B7">
              <w:t xml:space="preserve">In addition, for non-Australian currencies, XE website was used to define the conversion (accessed 28 February 2020: </w:t>
            </w:r>
            <w:r w:rsidR="00184FBE" w:rsidRPr="007D67B7">
              <w:fldChar w:fldCharType="begin" w:fldLock="1"/>
            </w:r>
            <w:r w:rsidR="00AF5319" w:rsidRPr="007D67B7">
              <w:instrText>ADDIN CSL_CITATION {"citationItems":[{"id":"ITEM-1","itemData":{"URL":"https://www.xe.com/","accessed":{"date-parts":[["2020","6","9"]]},"author":[{"dropping-particle":"","family":"XE","given":"","non-dropping-particle":"","parse-names":false,"suffix":""}],"id":"ITEM-1","issued":{"date-parts":[["2020"]]},"title":"XE - The World's Trusted Currency Authority","type":"webpage"},"uris":["http://www.mendeley.com/documents/?uuid=d2ccd359-d06c-3b48-84f4-c5024e787b53"]}],"mendeley":{"formattedCitation":"(XE 2020)","plainTextFormattedCitation":"(XE 2020)","previouslyFormattedCitation":"(XE 2020)"},"properties":{"noteIndex":0},"schema":"https://github.com/citation-style-language/schema/raw/master/csl-citation.json"}</w:instrText>
            </w:r>
            <w:r w:rsidR="00184FBE" w:rsidRPr="007D67B7">
              <w:fldChar w:fldCharType="separate"/>
            </w:r>
            <w:r w:rsidR="00184FBE" w:rsidRPr="007D67B7">
              <w:rPr>
                <w:noProof/>
              </w:rPr>
              <w:t>(XE 2020)</w:t>
            </w:r>
            <w:r w:rsidR="00184FBE" w:rsidRPr="007D67B7">
              <w:fldChar w:fldCharType="end"/>
            </w:r>
          </w:p>
        </w:tc>
      </w:tr>
    </w:tbl>
    <w:p w14:paraId="60BE9BAE" w14:textId="0E6E59D3" w:rsidR="00FD216B" w:rsidRPr="00636B05" w:rsidRDefault="00FD216B" w:rsidP="00633A59">
      <w:bookmarkStart w:id="52" w:name="_Toc60999924"/>
      <w:r>
        <w:t>Table </w:t>
      </w:r>
      <w:r>
        <w:fldChar w:fldCharType="begin"/>
      </w:r>
      <w:r>
        <w:instrText xml:space="preserve"> STYLEREF 5 \s </w:instrText>
      </w:r>
      <w:r>
        <w:fldChar w:fldCharType="separate"/>
      </w:r>
      <w:r w:rsidR="00EB1774">
        <w:rPr>
          <w:noProof/>
        </w:rPr>
        <w:t>A</w:t>
      </w:r>
      <w:r>
        <w:fldChar w:fldCharType="end"/>
      </w:r>
      <w:r>
        <w:noBreakHyphen/>
      </w:r>
      <w:r>
        <w:fldChar w:fldCharType="begin"/>
      </w:r>
      <w:r>
        <w:instrText xml:space="preserve"> SEQ Table_Apx \* ARABIC \s 5 </w:instrText>
      </w:r>
      <w:r>
        <w:fldChar w:fldCharType="separate"/>
      </w:r>
      <w:r w:rsidR="00EB1774">
        <w:rPr>
          <w:noProof/>
        </w:rPr>
        <w:t>13</w:t>
      </w:r>
      <w:r>
        <w:fldChar w:fldCharType="end"/>
      </w:r>
      <w:r>
        <w:t>:</w:t>
      </w:r>
      <w:r>
        <w:tab/>
        <w:t>Cost assumptions</w:t>
      </w:r>
      <w:bookmarkEnd w:id="52"/>
    </w:p>
    <w:tbl>
      <w:tblPr>
        <w:tblStyle w:val="AHALight"/>
        <w:tblW w:w="5001" w:type="pct"/>
        <w:tblLayout w:type="fixed"/>
        <w:tblLook w:val="06A0" w:firstRow="1" w:lastRow="0" w:firstColumn="1" w:lastColumn="0" w:noHBand="1" w:noVBand="1"/>
        <w:tblCaption w:val="table A-13"/>
        <w:tblDescription w:val="list of cost assumptions by type of assumption"/>
      </w:tblPr>
      <w:tblGrid>
        <w:gridCol w:w="3261"/>
        <w:gridCol w:w="6379"/>
      </w:tblGrid>
      <w:tr w:rsidR="00FD216B" w:rsidRPr="00636B05" w14:paraId="4BA79E31" w14:textId="77777777" w:rsidTr="00F90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300C1CF" w14:textId="77777777" w:rsidR="00FD216B" w:rsidRPr="00636B05" w:rsidRDefault="00FD216B" w:rsidP="00FD216B">
            <w:pPr>
              <w:pStyle w:val="TableHeading1"/>
            </w:pPr>
            <w:r w:rsidRPr="00636B05">
              <w:t>Assumption type</w:t>
            </w:r>
          </w:p>
        </w:tc>
        <w:tc>
          <w:tcPr>
            <w:tcW w:w="6379" w:type="dxa"/>
          </w:tcPr>
          <w:p w14:paraId="2F18209B" w14:textId="77777777" w:rsidR="00FD216B" w:rsidRPr="00636B05" w:rsidRDefault="00FD216B" w:rsidP="00FD216B">
            <w:pPr>
              <w:pStyle w:val="TableHeading1"/>
              <w:cnfStyle w:val="100000000000" w:firstRow="1" w:lastRow="0" w:firstColumn="0" w:lastColumn="0" w:oddVBand="0" w:evenVBand="0" w:oddHBand="0" w:evenHBand="0" w:firstRowFirstColumn="0" w:firstRowLastColumn="0" w:lastRowFirstColumn="0" w:lastRowLastColumn="0"/>
            </w:pPr>
            <w:r w:rsidRPr="00636B05">
              <w:t xml:space="preserve">Assumption </w:t>
            </w:r>
          </w:p>
        </w:tc>
      </w:tr>
      <w:tr w:rsidR="00D55078" w:rsidRPr="00636B05" w14:paraId="4CD4110D"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47DB1BA2" w14:textId="77777777" w:rsidR="00D55078" w:rsidRPr="00636B05" w:rsidRDefault="00D55078" w:rsidP="00F909FF">
            <w:pPr>
              <w:pStyle w:val="TableText"/>
            </w:pPr>
            <w:r w:rsidRPr="00636B05">
              <w:t xml:space="preserve">AT Product costs </w:t>
            </w:r>
          </w:p>
        </w:tc>
        <w:tc>
          <w:tcPr>
            <w:tcW w:w="6379" w:type="dxa"/>
          </w:tcPr>
          <w:p w14:paraId="3BBFEC2B" w14:textId="2A173F91"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Per unit per year: Cost per year presented is based on the time horizon for each AT Product.</w:t>
            </w:r>
            <w:r w:rsidR="004511B3">
              <w:t xml:space="preserve"> </w:t>
            </w:r>
            <w:r w:rsidRPr="00636B05">
              <w:t xml:space="preserve">Retail costs (NDIA/suppliers) with data sources for the AT costs are presented </w:t>
            </w:r>
          </w:p>
        </w:tc>
      </w:tr>
      <w:tr w:rsidR="00D55078" w:rsidRPr="00636B05" w14:paraId="508FAAEF"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7E9EFAFB" w14:textId="77777777" w:rsidR="00D55078" w:rsidRPr="00636B05" w:rsidRDefault="00D55078" w:rsidP="00F909FF">
            <w:pPr>
              <w:pStyle w:val="TableText"/>
            </w:pPr>
            <w:r w:rsidRPr="00636B05">
              <w:t>Archetype costs</w:t>
            </w:r>
          </w:p>
        </w:tc>
        <w:tc>
          <w:tcPr>
            <w:tcW w:w="6379" w:type="dxa"/>
          </w:tcPr>
          <w:p w14:paraId="340F7887"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Per unit (modelled from published peer-reviewed literature and retail costs)</w:t>
            </w:r>
          </w:p>
        </w:tc>
      </w:tr>
      <w:tr w:rsidR="00D55078" w:rsidRPr="00636B05" w14:paraId="689206BD"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329D6F23" w14:textId="77777777" w:rsidR="00D55078" w:rsidRPr="00636B05" w:rsidRDefault="00D55078" w:rsidP="00F909FF">
            <w:pPr>
              <w:pStyle w:val="TableText"/>
            </w:pPr>
            <w:r w:rsidRPr="00636B05">
              <w:t>Assessment costs</w:t>
            </w:r>
          </w:p>
        </w:tc>
        <w:tc>
          <w:tcPr>
            <w:tcW w:w="6379" w:type="dxa"/>
          </w:tcPr>
          <w:p w14:paraId="5CBD6329" w14:textId="4A588F14"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Cost per year.</w:t>
            </w:r>
            <w:r w:rsidR="004511B3">
              <w:t xml:space="preserve"> </w:t>
            </w:r>
            <w:r w:rsidRPr="00636B05">
              <w:t xml:space="preserve">This </w:t>
            </w:r>
            <w:r>
              <w:t>has been</w:t>
            </w:r>
            <w:r w:rsidRPr="00636B05">
              <w:t xml:space="preserve"> detailed as cost per hour, the annual number of hours and an annualised cost </w:t>
            </w:r>
          </w:p>
        </w:tc>
      </w:tr>
      <w:tr w:rsidR="00D55078" w:rsidRPr="00636B05" w14:paraId="2FA1064D"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4519819D" w14:textId="77777777" w:rsidR="00D55078" w:rsidRPr="00636B05" w:rsidRDefault="00D55078" w:rsidP="00F909FF">
            <w:pPr>
              <w:pStyle w:val="TableText"/>
            </w:pPr>
            <w:r w:rsidRPr="00636B05">
              <w:t xml:space="preserve">AT Service costs </w:t>
            </w:r>
          </w:p>
        </w:tc>
        <w:tc>
          <w:tcPr>
            <w:tcW w:w="6379" w:type="dxa"/>
          </w:tcPr>
          <w:p w14:paraId="7E8E2EA9" w14:textId="3F43158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Cost per year.</w:t>
            </w:r>
            <w:r w:rsidR="004511B3">
              <w:t xml:space="preserve"> </w:t>
            </w:r>
            <w:r w:rsidRPr="00636B05">
              <w:t xml:space="preserve">This will be detailed as cost per hour, the annual number of hours and an annualised cost </w:t>
            </w:r>
          </w:p>
        </w:tc>
      </w:tr>
      <w:tr w:rsidR="00D55078" w:rsidRPr="00636B05" w14:paraId="06159490"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4F7B8A05" w14:textId="77777777" w:rsidR="00D55078" w:rsidRPr="00636B05" w:rsidRDefault="00D55078" w:rsidP="00F909FF">
            <w:pPr>
              <w:pStyle w:val="TableText"/>
            </w:pPr>
            <w:r w:rsidRPr="00636B05">
              <w:t xml:space="preserve">AT abandonment </w:t>
            </w:r>
          </w:p>
        </w:tc>
        <w:tc>
          <w:tcPr>
            <w:tcW w:w="6379" w:type="dxa"/>
          </w:tcPr>
          <w:p w14:paraId="516AB7AF"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 xml:space="preserve">While there is a known degree of AT abandonment reported in the literature it Is assumed that with the wrap-around AT Services this will be minimised </w:t>
            </w:r>
          </w:p>
        </w:tc>
      </w:tr>
      <w:tr w:rsidR="00D55078" w:rsidRPr="00636B05" w14:paraId="33AB844C"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04F0FF94" w14:textId="77777777" w:rsidR="00D55078" w:rsidRPr="00636B05" w:rsidRDefault="00D55078" w:rsidP="00F909FF">
            <w:pPr>
              <w:pStyle w:val="TableText"/>
            </w:pPr>
            <w:r w:rsidRPr="00636B05">
              <w:t>Program design and implementation costs?</w:t>
            </w:r>
          </w:p>
        </w:tc>
        <w:tc>
          <w:tcPr>
            <w:tcW w:w="6379" w:type="dxa"/>
          </w:tcPr>
          <w:p w14:paraId="2C898B23" w14:textId="3D0F687F"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Project and implementation costs are out of scope for this project.</w:t>
            </w:r>
            <w:r w:rsidR="004511B3">
              <w:t xml:space="preserve"> </w:t>
            </w:r>
            <w:r w:rsidRPr="00636B05">
              <w:t>It is assumed that the costs within this project reflect business as usual</w:t>
            </w:r>
          </w:p>
        </w:tc>
      </w:tr>
      <w:tr w:rsidR="00D55078" w:rsidRPr="00636B05" w14:paraId="295B9D44"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55FF357E" w14:textId="77777777" w:rsidR="00D55078" w:rsidRPr="00636B05" w:rsidRDefault="00D55078" w:rsidP="00F909FF">
            <w:pPr>
              <w:pStyle w:val="TableText"/>
            </w:pPr>
            <w:r w:rsidRPr="00636B05">
              <w:t>Program operation costs?</w:t>
            </w:r>
          </w:p>
        </w:tc>
        <w:tc>
          <w:tcPr>
            <w:tcW w:w="6379" w:type="dxa"/>
          </w:tcPr>
          <w:p w14:paraId="3AB41377"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Program operation costs are out of scope for this project</w:t>
            </w:r>
          </w:p>
        </w:tc>
      </w:tr>
      <w:tr w:rsidR="00D55078" w:rsidRPr="00636B05" w14:paraId="77A94D6A"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3AACF5CC" w14:textId="77777777" w:rsidR="00D55078" w:rsidRPr="00636B05" w:rsidRDefault="00D55078" w:rsidP="00F909FF">
            <w:pPr>
              <w:pStyle w:val="TableText"/>
            </w:pPr>
            <w:r w:rsidRPr="00636B05">
              <w:t>Program compliance?</w:t>
            </w:r>
          </w:p>
        </w:tc>
        <w:tc>
          <w:tcPr>
            <w:tcW w:w="6379" w:type="dxa"/>
          </w:tcPr>
          <w:p w14:paraId="185E6083"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 xml:space="preserve">Akin to AT abandonment: that is, while there is a known degree of AT abandonment reported in the literature it Is assumed that with the wrap-around AT Services this will be minimised </w:t>
            </w:r>
          </w:p>
        </w:tc>
      </w:tr>
      <w:tr w:rsidR="00D55078" w:rsidRPr="00636B05" w14:paraId="00EA4D65"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350BD4D1" w14:textId="042D0F56" w:rsidR="00D55078" w:rsidRPr="00636B05" w:rsidRDefault="00D55078" w:rsidP="00F909FF">
            <w:pPr>
              <w:pStyle w:val="TableText"/>
            </w:pPr>
            <w:bookmarkStart w:id="53" w:name="_Hlk42453127"/>
            <w:r w:rsidRPr="00636B05">
              <w:t xml:space="preserve">Cost </w:t>
            </w:r>
            <w:r w:rsidR="00442BB9">
              <w:t>savings for community services</w:t>
            </w:r>
          </w:p>
          <w:p w14:paraId="21F032C4" w14:textId="77777777" w:rsidR="00D55078" w:rsidRPr="00F909FF" w:rsidRDefault="00D55078" w:rsidP="00F909FF">
            <w:pPr>
              <w:pStyle w:val="TableText"/>
              <w:rPr>
                <w:rStyle w:val="Bold"/>
              </w:rPr>
            </w:pPr>
            <w:r w:rsidRPr="00F909FF">
              <w:rPr>
                <w:rStyle w:val="Bold"/>
              </w:rPr>
              <w:t>(Formal care, informal care)</w:t>
            </w:r>
          </w:p>
        </w:tc>
        <w:tc>
          <w:tcPr>
            <w:tcW w:w="6379" w:type="dxa"/>
          </w:tcPr>
          <w:p w14:paraId="16D83EB4" w14:textId="16BD5FD5"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Cost savings per year</w:t>
            </w:r>
            <w:r w:rsidR="00442BB9">
              <w:t xml:space="preserve"> for community services</w:t>
            </w:r>
          </w:p>
        </w:tc>
      </w:tr>
      <w:tr w:rsidR="00D55078" w:rsidRPr="00636B05" w14:paraId="60E0C4C7"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37A7D28A" w14:textId="4FB1F7E2" w:rsidR="00D55078" w:rsidRPr="00636B05" w:rsidRDefault="00442BB9" w:rsidP="00F909FF">
            <w:pPr>
              <w:pStyle w:val="TableText"/>
            </w:pPr>
            <w:r>
              <w:t>Cost savings for health and aged care</w:t>
            </w:r>
          </w:p>
          <w:p w14:paraId="3C44D07A" w14:textId="77777777" w:rsidR="00D55078" w:rsidRPr="00F909FF" w:rsidRDefault="00D55078" w:rsidP="00F909FF">
            <w:pPr>
              <w:pStyle w:val="TableText"/>
              <w:rPr>
                <w:rStyle w:val="Bold"/>
              </w:rPr>
            </w:pPr>
            <w:r w:rsidRPr="00F909FF">
              <w:rPr>
                <w:rStyle w:val="Bold"/>
              </w:rPr>
              <w:t>(GP visits, acute and sub-acute hospital admissions, residential aged care facility admissions)</w:t>
            </w:r>
          </w:p>
        </w:tc>
        <w:tc>
          <w:tcPr>
            <w:tcW w:w="6379" w:type="dxa"/>
          </w:tcPr>
          <w:p w14:paraId="36FE9D2E" w14:textId="1A82D33B"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Cost savings per year</w:t>
            </w:r>
            <w:r w:rsidR="00442BB9">
              <w:t xml:space="preserve"> for health and aged care</w:t>
            </w:r>
          </w:p>
        </w:tc>
      </w:tr>
      <w:bookmarkEnd w:id="53"/>
      <w:tr w:rsidR="00D55078" w:rsidRPr="00636B05" w14:paraId="2301D329" w14:textId="77777777" w:rsidTr="00F909FF">
        <w:tc>
          <w:tcPr>
            <w:cnfStyle w:val="001000000000" w:firstRow="0" w:lastRow="0" w:firstColumn="1" w:lastColumn="0" w:oddVBand="0" w:evenVBand="0" w:oddHBand="0" w:evenHBand="0" w:firstRowFirstColumn="0" w:firstRowLastColumn="0" w:lastRowFirstColumn="0" w:lastRowLastColumn="0"/>
            <w:tcW w:w="3261" w:type="dxa"/>
          </w:tcPr>
          <w:p w14:paraId="29E9E2AE" w14:textId="77777777" w:rsidR="00D55078" w:rsidRPr="00636B05" w:rsidRDefault="00D55078" w:rsidP="00F909FF">
            <w:pPr>
              <w:pStyle w:val="TableText"/>
            </w:pPr>
            <w:r w:rsidRPr="00636B05">
              <w:t>Social and wellbeing</w:t>
            </w:r>
          </w:p>
          <w:p w14:paraId="0CAA05A1" w14:textId="77777777" w:rsidR="00D55078" w:rsidRPr="00F909FF" w:rsidRDefault="00D55078" w:rsidP="00F909FF">
            <w:pPr>
              <w:pStyle w:val="TableText"/>
              <w:rPr>
                <w:rStyle w:val="Bold"/>
              </w:rPr>
            </w:pPr>
            <w:r w:rsidRPr="00F909FF">
              <w:rPr>
                <w:rStyle w:val="Bold"/>
              </w:rPr>
              <w:t>(Wellbeing; participation; carer health; and OH&amp;S, including falls)</w:t>
            </w:r>
          </w:p>
        </w:tc>
        <w:tc>
          <w:tcPr>
            <w:tcW w:w="6379" w:type="dxa"/>
          </w:tcPr>
          <w:p w14:paraId="71A6B1D9"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Cost savings per year</w:t>
            </w:r>
          </w:p>
        </w:tc>
      </w:tr>
    </w:tbl>
    <w:p w14:paraId="2D44C084" w14:textId="77777777" w:rsidR="00120921" w:rsidRDefault="00120921" w:rsidP="00633A59">
      <w:bookmarkStart w:id="54" w:name="_Toc60999925"/>
    </w:p>
    <w:p w14:paraId="51E46A0B" w14:textId="77777777" w:rsidR="00120921" w:rsidRDefault="00120921">
      <w:r>
        <w:br w:type="page"/>
      </w:r>
    </w:p>
    <w:p w14:paraId="67FB6989" w14:textId="24A10FB5" w:rsidR="00FD216B" w:rsidRPr="00636B05" w:rsidRDefault="00FD216B" w:rsidP="00633A59">
      <w:r>
        <w:lastRenderedPageBreak/>
        <w:t>Table </w:t>
      </w:r>
      <w:r>
        <w:fldChar w:fldCharType="begin"/>
      </w:r>
      <w:r>
        <w:instrText xml:space="preserve"> STYLEREF 5 \s </w:instrText>
      </w:r>
      <w:r>
        <w:fldChar w:fldCharType="separate"/>
      </w:r>
      <w:r w:rsidR="00EB1774">
        <w:rPr>
          <w:noProof/>
        </w:rPr>
        <w:t>A</w:t>
      </w:r>
      <w:r>
        <w:fldChar w:fldCharType="end"/>
      </w:r>
      <w:r>
        <w:noBreakHyphen/>
      </w:r>
      <w:r>
        <w:fldChar w:fldCharType="begin"/>
      </w:r>
      <w:r>
        <w:instrText xml:space="preserve"> SEQ Table_Apx \* ARABIC \s 5 </w:instrText>
      </w:r>
      <w:r>
        <w:fldChar w:fldCharType="separate"/>
      </w:r>
      <w:r w:rsidR="00EB1774">
        <w:rPr>
          <w:noProof/>
        </w:rPr>
        <w:t>14</w:t>
      </w:r>
      <w:r>
        <w:fldChar w:fldCharType="end"/>
      </w:r>
      <w:r>
        <w:t>:</w:t>
      </w:r>
      <w:r>
        <w:tab/>
        <w:t>Benefit assumptions</w:t>
      </w:r>
      <w:bookmarkEnd w:id="54"/>
    </w:p>
    <w:tbl>
      <w:tblPr>
        <w:tblStyle w:val="AHALight"/>
        <w:tblW w:w="5001" w:type="pct"/>
        <w:tblLayout w:type="fixed"/>
        <w:tblLook w:val="04A0" w:firstRow="1" w:lastRow="0" w:firstColumn="1" w:lastColumn="0" w:noHBand="0" w:noVBand="1"/>
        <w:tblCaption w:val="table A-14"/>
        <w:tblDescription w:val="list of benefits by assumption type"/>
      </w:tblPr>
      <w:tblGrid>
        <w:gridCol w:w="3261"/>
        <w:gridCol w:w="6379"/>
      </w:tblGrid>
      <w:tr w:rsidR="00D57D95" w:rsidRPr="00636B05" w14:paraId="3E3DBEF4" w14:textId="77777777" w:rsidTr="00D57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0A31EB4" w14:textId="77777777" w:rsidR="00D57D95" w:rsidRPr="00636B05" w:rsidRDefault="00D57D95" w:rsidP="00FD216B">
            <w:pPr>
              <w:pStyle w:val="TableHeading1"/>
            </w:pPr>
            <w:r w:rsidRPr="00636B05">
              <w:t>Assumption type</w:t>
            </w:r>
          </w:p>
        </w:tc>
        <w:tc>
          <w:tcPr>
            <w:tcW w:w="6378" w:type="dxa"/>
          </w:tcPr>
          <w:p w14:paraId="5CDDA632" w14:textId="3EA1DA76" w:rsidR="00D57D95" w:rsidRPr="00636B05" w:rsidRDefault="00D57D95" w:rsidP="00FD216B">
            <w:pPr>
              <w:pStyle w:val="TableHeading1"/>
              <w:cnfStyle w:val="100000000000" w:firstRow="1" w:lastRow="0" w:firstColumn="0" w:lastColumn="0" w:oddVBand="0" w:evenVBand="0" w:oddHBand="0" w:evenHBand="0" w:firstRowFirstColumn="0" w:firstRowLastColumn="0" w:lastRowFirstColumn="0" w:lastRowLastColumn="0"/>
            </w:pPr>
            <w:r w:rsidRPr="00636B05">
              <w:t>Assumption</w:t>
            </w:r>
          </w:p>
        </w:tc>
      </w:tr>
      <w:tr w:rsidR="00D55078" w:rsidRPr="00636B05" w14:paraId="5AA23AC8" w14:textId="77777777" w:rsidTr="00D57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7F7A5FC" w14:textId="77777777" w:rsidR="00D55078" w:rsidRPr="00636B05" w:rsidRDefault="00D55078" w:rsidP="00F909FF">
            <w:pPr>
              <w:pStyle w:val="TableText"/>
            </w:pPr>
            <w:r w:rsidRPr="00636B05">
              <w:t>Remain independent at home</w:t>
            </w:r>
          </w:p>
        </w:tc>
        <w:tc>
          <w:tcPr>
            <w:tcW w:w="6377" w:type="dxa"/>
          </w:tcPr>
          <w:p w14:paraId="72A7B4AA"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Improved quality of life</w:t>
            </w:r>
          </w:p>
          <w:p w14:paraId="26CABFB1"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Improved wellbeing</w:t>
            </w:r>
          </w:p>
          <w:p w14:paraId="4B28AC5C"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Improved independence, mobility and physical function</w:t>
            </w:r>
          </w:p>
          <w:p w14:paraId="72693510"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Increased opportunities to continue to live at home</w:t>
            </w:r>
          </w:p>
          <w:p w14:paraId="49259961"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Improve safety or sense of safety</w:t>
            </w:r>
          </w:p>
          <w:p w14:paraId="4279EDBD"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Reduced falls</w:t>
            </w:r>
          </w:p>
        </w:tc>
      </w:tr>
      <w:tr w:rsidR="00D55078" w:rsidRPr="00636B05" w14:paraId="390C7BA9" w14:textId="77777777" w:rsidTr="00D57D95">
        <w:tc>
          <w:tcPr>
            <w:cnfStyle w:val="001000000000" w:firstRow="0" w:lastRow="0" w:firstColumn="1" w:lastColumn="0" w:oddVBand="0" w:evenVBand="0" w:oddHBand="0" w:evenHBand="0" w:firstRowFirstColumn="0" w:firstRowLastColumn="0" w:lastRowFirstColumn="0" w:lastRowLastColumn="0"/>
            <w:tcW w:w="3261" w:type="dxa"/>
          </w:tcPr>
          <w:p w14:paraId="1CB603AB" w14:textId="77777777" w:rsidR="00D55078" w:rsidRPr="00636B05" w:rsidRDefault="00D55078" w:rsidP="00F909FF">
            <w:pPr>
              <w:pStyle w:val="TableText"/>
            </w:pPr>
            <w:r w:rsidRPr="00636B05">
              <w:t>Delay or avoid high</w:t>
            </w:r>
            <w:r w:rsidRPr="00636B05">
              <w:noBreakHyphen/>
              <w:t>level care</w:t>
            </w:r>
          </w:p>
        </w:tc>
        <w:tc>
          <w:tcPr>
            <w:tcW w:w="6377" w:type="dxa"/>
          </w:tcPr>
          <w:p w14:paraId="0DB77803"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Avoided CHSP costs</w:t>
            </w:r>
          </w:p>
          <w:p w14:paraId="5283CA1B"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Avoided Home Care Package costs</w:t>
            </w:r>
          </w:p>
          <w:p w14:paraId="24ED3E6F"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Avoided residential aged care costs</w:t>
            </w:r>
          </w:p>
          <w:p w14:paraId="3C80ECE2"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Avoided hospital admissions</w:t>
            </w:r>
          </w:p>
        </w:tc>
      </w:tr>
      <w:tr w:rsidR="00D55078" w:rsidRPr="00636B05" w14:paraId="5D570C31" w14:textId="77777777" w:rsidTr="00D57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EF0C8E7" w14:textId="77777777" w:rsidR="00D55078" w:rsidRPr="00636B05" w:rsidRDefault="00D55078" w:rsidP="00F909FF">
            <w:pPr>
              <w:pStyle w:val="TableText"/>
            </w:pPr>
            <w:r w:rsidRPr="00636B05">
              <w:t>Reduced carer burden</w:t>
            </w:r>
          </w:p>
        </w:tc>
        <w:tc>
          <w:tcPr>
            <w:tcW w:w="6377" w:type="dxa"/>
          </w:tcPr>
          <w:p w14:paraId="66581CD5"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 xml:space="preserve">Avoided carer burden </w:t>
            </w:r>
          </w:p>
        </w:tc>
      </w:tr>
      <w:tr w:rsidR="00D55078" w:rsidRPr="00636B05" w14:paraId="0A25C5EF" w14:textId="77777777" w:rsidTr="00D57D95">
        <w:tc>
          <w:tcPr>
            <w:cnfStyle w:val="001000000000" w:firstRow="0" w:lastRow="0" w:firstColumn="1" w:lastColumn="0" w:oddVBand="0" w:evenVBand="0" w:oddHBand="0" w:evenHBand="0" w:firstRowFirstColumn="0" w:firstRowLastColumn="0" w:lastRowFirstColumn="0" w:lastRowLastColumn="0"/>
            <w:tcW w:w="3261" w:type="dxa"/>
          </w:tcPr>
          <w:p w14:paraId="6F7B9475" w14:textId="77777777" w:rsidR="00D55078" w:rsidRPr="00636B05" w:rsidRDefault="00D55078" w:rsidP="00F909FF">
            <w:pPr>
              <w:pStyle w:val="TableText"/>
            </w:pPr>
            <w:r w:rsidRPr="00636B05">
              <w:t>Reduction in costs</w:t>
            </w:r>
          </w:p>
        </w:tc>
        <w:tc>
          <w:tcPr>
            <w:tcW w:w="6377" w:type="dxa"/>
          </w:tcPr>
          <w:p w14:paraId="72FB327B"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Reduction in aggregated homecare costs (CHSP, HCP, R</w:t>
            </w:r>
            <w:r>
              <w:t xml:space="preserve">esidential </w:t>
            </w:r>
            <w:r w:rsidRPr="00636B05">
              <w:t>A</w:t>
            </w:r>
            <w:r>
              <w:t xml:space="preserve">ged </w:t>
            </w:r>
            <w:r w:rsidRPr="00636B05">
              <w:t>C</w:t>
            </w:r>
            <w:r>
              <w:t>are</w:t>
            </w:r>
            <w:r w:rsidRPr="00636B05">
              <w:t>)</w:t>
            </w:r>
          </w:p>
          <w:p w14:paraId="29CC7AC4"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Reduction in health care costs</w:t>
            </w:r>
          </w:p>
          <w:p w14:paraId="248E8234" w14:textId="77777777" w:rsidR="00D55078" w:rsidRPr="00636B05" w:rsidRDefault="00D55078" w:rsidP="00DA46B7">
            <w:pPr>
              <w:pStyle w:val="TableText"/>
              <w:cnfStyle w:val="000000000000" w:firstRow="0" w:lastRow="0" w:firstColumn="0" w:lastColumn="0" w:oddVBand="0" w:evenVBand="0" w:oddHBand="0" w:evenHBand="0" w:firstRowFirstColumn="0" w:firstRowLastColumn="0" w:lastRowFirstColumn="0" w:lastRowLastColumn="0"/>
            </w:pPr>
            <w:r w:rsidRPr="00636B05">
              <w:t>Savings through prevention of waste</w:t>
            </w:r>
          </w:p>
        </w:tc>
      </w:tr>
      <w:tr w:rsidR="00D55078" w:rsidRPr="00636B05" w14:paraId="53DE1119" w14:textId="77777777" w:rsidTr="00D57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6270869" w14:textId="77777777" w:rsidR="00D55078" w:rsidRPr="00636B05" w:rsidRDefault="00D55078" w:rsidP="00F909FF">
            <w:pPr>
              <w:pStyle w:val="TableText"/>
            </w:pPr>
            <w:r w:rsidRPr="00636B05">
              <w:t>Stay socially active and connected with community</w:t>
            </w:r>
          </w:p>
        </w:tc>
        <w:tc>
          <w:tcPr>
            <w:tcW w:w="6377" w:type="dxa"/>
          </w:tcPr>
          <w:p w14:paraId="027A92E5"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Increased active and healthy lifestyle</w:t>
            </w:r>
          </w:p>
          <w:p w14:paraId="3361FA23"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Social outcomes</w:t>
            </w:r>
          </w:p>
          <w:p w14:paraId="50C5EB3B" w14:textId="77777777" w:rsidR="00D55078" w:rsidRPr="00636B05" w:rsidRDefault="00D55078" w:rsidP="00DA46B7">
            <w:pPr>
              <w:pStyle w:val="TableText"/>
              <w:cnfStyle w:val="000000100000" w:firstRow="0" w:lastRow="0" w:firstColumn="0" w:lastColumn="0" w:oddVBand="0" w:evenVBand="0" w:oddHBand="1" w:evenHBand="0" w:firstRowFirstColumn="0" w:firstRowLastColumn="0" w:lastRowFirstColumn="0" w:lastRowLastColumn="0"/>
            </w:pPr>
            <w:r w:rsidRPr="00636B05">
              <w:t>Overall health and community life outcomes</w:t>
            </w:r>
          </w:p>
        </w:tc>
      </w:tr>
    </w:tbl>
    <w:p w14:paraId="5B462C15" w14:textId="10E64B99" w:rsidR="007F399B" w:rsidRPr="00945510" w:rsidRDefault="007F399B" w:rsidP="00633A59">
      <w:pPr>
        <w:pStyle w:val="Heading1"/>
      </w:pPr>
      <w:bookmarkStart w:id="55" w:name="_Toc60999850"/>
      <w:r>
        <w:t>Reporting phase</w:t>
      </w:r>
      <w:bookmarkEnd w:id="55"/>
    </w:p>
    <w:p w14:paraId="00D6CBF6" w14:textId="0B2FBA65" w:rsidR="001B1BC9" w:rsidRDefault="00FA3941" w:rsidP="003C1CE4">
      <w:pPr>
        <w:pStyle w:val="Paragraph"/>
        <w:rPr>
          <w:lang w:eastAsia="en-GB"/>
        </w:rPr>
      </w:pPr>
      <w:r>
        <w:rPr>
          <w:lang w:eastAsia="en-GB"/>
        </w:rPr>
        <w:t xml:space="preserve">AHA met weekly or fortnightly </w:t>
      </w:r>
      <w:r w:rsidR="00BD19C4">
        <w:rPr>
          <w:lang w:eastAsia="en-GB"/>
        </w:rPr>
        <w:t xml:space="preserve">(as required) </w:t>
      </w:r>
      <w:r>
        <w:rPr>
          <w:lang w:eastAsia="en-GB"/>
        </w:rPr>
        <w:t xml:space="preserve">with the Department via teleconference over the duration of the </w:t>
      </w:r>
      <w:r w:rsidR="006F0429">
        <w:rPr>
          <w:lang w:eastAsia="en-GB"/>
        </w:rPr>
        <w:t>r</w:t>
      </w:r>
      <w:r>
        <w:rPr>
          <w:lang w:eastAsia="en-GB"/>
        </w:rPr>
        <w:t>eview, to provide updates on emerging findings</w:t>
      </w:r>
      <w:r w:rsidR="00BD19C4">
        <w:rPr>
          <w:lang w:eastAsia="en-GB"/>
        </w:rPr>
        <w:t>, to seek clarification</w:t>
      </w:r>
      <w:r>
        <w:rPr>
          <w:lang w:eastAsia="en-GB"/>
        </w:rPr>
        <w:t xml:space="preserve">, </w:t>
      </w:r>
      <w:r w:rsidR="008C5823">
        <w:rPr>
          <w:lang w:eastAsia="en-GB"/>
        </w:rPr>
        <w:t>to test options, and to refine the review methodology.</w:t>
      </w:r>
      <w:r w:rsidR="004716F9">
        <w:rPr>
          <w:lang w:eastAsia="en-GB"/>
        </w:rPr>
        <w:t xml:space="preserve"> </w:t>
      </w:r>
      <w:r w:rsidR="006B36E0">
        <w:rPr>
          <w:lang w:eastAsia="en-GB"/>
        </w:rPr>
        <w:t xml:space="preserve">The reporting phase comprised a number of milestones and deliverables, including the Initial Report, Interim Report and subsequent workshop with the Department, </w:t>
      </w:r>
      <w:r w:rsidR="00215234">
        <w:rPr>
          <w:lang w:eastAsia="en-GB"/>
        </w:rPr>
        <w:t>an AT program model options workshop and this Final Report.</w:t>
      </w:r>
    </w:p>
    <w:p w14:paraId="02DA5009" w14:textId="77777777" w:rsidR="00215234" w:rsidRDefault="00215234" w:rsidP="00633A59">
      <w:pPr>
        <w:pStyle w:val="Heading2"/>
      </w:pPr>
      <w:r>
        <w:t>Initial Report</w:t>
      </w:r>
    </w:p>
    <w:p w14:paraId="6425F442" w14:textId="77777777" w:rsidR="00CC7319" w:rsidRDefault="009A72D9" w:rsidP="005A5694">
      <w:pPr>
        <w:pStyle w:val="ParaKeep"/>
      </w:pPr>
      <w:r>
        <w:t xml:space="preserve">AHA presented the Initial Report to the Department in </w:t>
      </w:r>
      <w:r w:rsidR="003345E0">
        <w:t>January 2020. The Initial Report</w:t>
      </w:r>
      <w:r w:rsidR="00CC7319">
        <w:t xml:space="preserve"> detailed:</w:t>
      </w:r>
    </w:p>
    <w:p w14:paraId="2271517D" w14:textId="41D651AB" w:rsidR="00D55357" w:rsidRDefault="00CC7319" w:rsidP="00E570F3">
      <w:pPr>
        <w:pStyle w:val="Bullet1"/>
      </w:pPr>
      <w:r>
        <w:t xml:space="preserve">AT Program mapping </w:t>
      </w:r>
      <w:r w:rsidR="00970105" w:rsidRPr="00970105">
        <w:t>including national and state programs</w:t>
      </w:r>
    </w:p>
    <w:p w14:paraId="704FDD9B" w14:textId="39F97AA6" w:rsidR="00D55357" w:rsidRDefault="00D55357" w:rsidP="005A7343">
      <w:pPr>
        <w:pStyle w:val="Bullet1Keep"/>
      </w:pPr>
      <w:r>
        <w:t>Access to assistive technology</w:t>
      </w:r>
      <w:r w:rsidR="00861912">
        <w:t xml:space="preserve"> – </w:t>
      </w:r>
      <w:r>
        <w:t>including:</w:t>
      </w:r>
    </w:p>
    <w:p w14:paraId="42F5822A" w14:textId="38041AAE" w:rsidR="00D55357" w:rsidRDefault="00D55357" w:rsidP="00E570F3">
      <w:pPr>
        <w:pStyle w:val="Bullet2"/>
      </w:pPr>
      <w:r>
        <w:t>Information and advice</w:t>
      </w:r>
    </w:p>
    <w:p w14:paraId="5F8F4CAA" w14:textId="7CF26957" w:rsidR="00D55357" w:rsidRDefault="00D55357" w:rsidP="00E570F3">
      <w:pPr>
        <w:pStyle w:val="Bullet2"/>
      </w:pPr>
      <w:r>
        <w:t>Referral and assessment</w:t>
      </w:r>
    </w:p>
    <w:p w14:paraId="177CF392" w14:textId="44697432" w:rsidR="00D55357" w:rsidRDefault="00D55357" w:rsidP="00E570F3">
      <w:pPr>
        <w:pStyle w:val="Bullet2"/>
      </w:pPr>
      <w:r>
        <w:t>AT provision</w:t>
      </w:r>
    </w:p>
    <w:p w14:paraId="2F98EB67" w14:textId="13519D46" w:rsidR="00D55357" w:rsidRDefault="00D55357" w:rsidP="00E570F3">
      <w:pPr>
        <w:pStyle w:val="Bullet2"/>
      </w:pPr>
      <w:r>
        <w:t xml:space="preserve">Supply and demand </w:t>
      </w:r>
    </w:p>
    <w:p w14:paraId="188B8D36" w14:textId="338F3620" w:rsidR="00D55357" w:rsidRDefault="00CC7319" w:rsidP="00E570F3">
      <w:pPr>
        <w:pStyle w:val="Bullet1"/>
      </w:pPr>
      <w:r>
        <w:t>Preliminary work around f</w:t>
      </w:r>
      <w:r w:rsidR="00D55357">
        <w:t>uture models</w:t>
      </w:r>
      <w:r w:rsidR="00970105">
        <w:t>.</w:t>
      </w:r>
    </w:p>
    <w:p w14:paraId="43F26252" w14:textId="77777777" w:rsidR="00215234" w:rsidRDefault="00215234" w:rsidP="00633A59">
      <w:pPr>
        <w:pStyle w:val="Heading2"/>
      </w:pPr>
      <w:r>
        <w:lastRenderedPageBreak/>
        <w:t>Interim Report</w:t>
      </w:r>
    </w:p>
    <w:p w14:paraId="64F424C0" w14:textId="4FD42B51" w:rsidR="00215234" w:rsidRDefault="00CE0EEA" w:rsidP="005A7343">
      <w:pPr>
        <w:pStyle w:val="ParaKeep"/>
      </w:pPr>
      <w:r>
        <w:t xml:space="preserve">The Interim Report was </w:t>
      </w:r>
      <w:r w:rsidR="00540D7C">
        <w:t>presented</w:t>
      </w:r>
      <w:r>
        <w:t xml:space="preserve"> to the Department in March 2020, and </w:t>
      </w:r>
      <w:r w:rsidR="00540D7C">
        <w:t>provided:</w:t>
      </w:r>
    </w:p>
    <w:p w14:paraId="0F8BF188" w14:textId="77777777" w:rsidR="00540D7C" w:rsidRDefault="00540D7C" w:rsidP="00E570F3">
      <w:pPr>
        <w:pStyle w:val="Bullet1"/>
      </w:pPr>
      <w:r>
        <w:t>Cost-benefit analysis methods and results</w:t>
      </w:r>
    </w:p>
    <w:p w14:paraId="06BD9E5D" w14:textId="3C33D1CF" w:rsidR="00540D7C" w:rsidRDefault="00540D7C" w:rsidP="00E570F3">
      <w:pPr>
        <w:pStyle w:val="Bullet1"/>
      </w:pPr>
      <w:r>
        <w:t>Future program options and next steps</w:t>
      </w:r>
    </w:p>
    <w:p w14:paraId="13ED1076" w14:textId="77777777" w:rsidR="00540D7C" w:rsidRDefault="00540D7C" w:rsidP="00E570F3">
      <w:pPr>
        <w:pStyle w:val="Bullet1"/>
      </w:pPr>
      <w:r>
        <w:t>Rapid Evidence Review results</w:t>
      </w:r>
    </w:p>
    <w:p w14:paraId="089D3B7D" w14:textId="0875D73C" w:rsidR="00540D7C" w:rsidRDefault="00EC4492" w:rsidP="00E570F3">
      <w:pPr>
        <w:pStyle w:val="Bullet1"/>
      </w:pPr>
      <w:r>
        <w:t>Review a</w:t>
      </w:r>
      <w:r w:rsidR="00540D7C">
        <w:t>ssumptions and limitations</w:t>
      </w:r>
    </w:p>
    <w:p w14:paraId="12FFDBDE" w14:textId="77777777" w:rsidR="00540D7C" w:rsidRDefault="00540D7C" w:rsidP="00E570F3">
      <w:pPr>
        <w:pStyle w:val="Bullet1"/>
      </w:pPr>
      <w:r>
        <w:t>Real life Archetype descriptions</w:t>
      </w:r>
    </w:p>
    <w:p w14:paraId="7CA282A0" w14:textId="285907E9" w:rsidR="00540D7C" w:rsidRDefault="00540D7C" w:rsidP="00E570F3">
      <w:pPr>
        <w:pStyle w:val="Bullet1"/>
      </w:pPr>
      <w:r>
        <w:t>Key evaluation questions and outputs</w:t>
      </w:r>
      <w:r w:rsidR="009D1408">
        <w:t>.</w:t>
      </w:r>
    </w:p>
    <w:p w14:paraId="074AEC67" w14:textId="410E762E" w:rsidR="00CD7526" w:rsidRDefault="00681737" w:rsidP="00681737">
      <w:pPr>
        <w:pStyle w:val="Paragraph"/>
        <w:rPr>
          <w:lang w:eastAsia="en-GB"/>
        </w:rPr>
      </w:pPr>
      <w:r>
        <w:rPr>
          <w:lang w:eastAsia="en-GB"/>
        </w:rPr>
        <w:t xml:space="preserve">Accompanying the Interim Report was the </w:t>
      </w:r>
      <w:r w:rsidRPr="00B23787">
        <w:rPr>
          <w:lang w:eastAsia="en-GB"/>
        </w:rPr>
        <w:t>Supplementary Cost</w:t>
      </w:r>
      <w:r w:rsidR="002F0DE2">
        <w:rPr>
          <w:lang w:eastAsia="en-GB"/>
        </w:rPr>
        <w:t>-</w:t>
      </w:r>
      <w:r w:rsidRPr="00B23787">
        <w:rPr>
          <w:lang w:eastAsia="en-GB"/>
        </w:rPr>
        <w:t xml:space="preserve">Benefit Model </w:t>
      </w:r>
      <w:r>
        <w:rPr>
          <w:lang w:eastAsia="en-GB"/>
        </w:rPr>
        <w:t>R</w:t>
      </w:r>
      <w:r w:rsidRPr="00B23787">
        <w:rPr>
          <w:lang w:eastAsia="en-GB"/>
        </w:rPr>
        <w:t>eport</w:t>
      </w:r>
      <w:r>
        <w:rPr>
          <w:lang w:eastAsia="en-GB"/>
        </w:rPr>
        <w:t>,</w:t>
      </w:r>
      <w:r w:rsidRPr="00B23787">
        <w:rPr>
          <w:lang w:eastAsia="en-GB"/>
        </w:rPr>
        <w:t xml:space="preserve"> </w:t>
      </w:r>
      <w:r>
        <w:rPr>
          <w:lang w:eastAsia="en-GB"/>
        </w:rPr>
        <w:t xml:space="preserve">provided </w:t>
      </w:r>
      <w:r w:rsidR="007472A7">
        <w:rPr>
          <w:lang w:eastAsia="en-GB"/>
        </w:rPr>
        <w:t xml:space="preserve">to the Department </w:t>
      </w:r>
      <w:r>
        <w:rPr>
          <w:lang w:eastAsia="en-GB"/>
        </w:rPr>
        <w:t>as an Excel document.</w:t>
      </w:r>
    </w:p>
    <w:p w14:paraId="4C6E472C" w14:textId="77777777" w:rsidR="00CD7526" w:rsidRDefault="00CD7526" w:rsidP="00633A59">
      <w:pPr>
        <w:pStyle w:val="Heading3"/>
      </w:pPr>
      <w:r>
        <w:t xml:space="preserve">Interim Report Workshop </w:t>
      </w:r>
    </w:p>
    <w:p w14:paraId="1D0AEC0F" w14:textId="416DBFBA" w:rsidR="00681737" w:rsidRDefault="00CD7526" w:rsidP="00681737">
      <w:pPr>
        <w:pStyle w:val="Paragraph"/>
        <w:rPr>
          <w:lang w:eastAsia="en-GB"/>
        </w:rPr>
      </w:pPr>
      <w:r>
        <w:rPr>
          <w:lang w:eastAsia="en-GB"/>
        </w:rPr>
        <w:t xml:space="preserve">AHA </w:t>
      </w:r>
      <w:r w:rsidR="008D2E5E" w:rsidRPr="00CD7526">
        <w:rPr>
          <w:lang w:eastAsia="en-GB"/>
        </w:rPr>
        <w:t xml:space="preserve">presented </w:t>
      </w:r>
      <w:r w:rsidR="008D2E5E">
        <w:rPr>
          <w:lang w:eastAsia="en-GB"/>
        </w:rPr>
        <w:t>the I</w:t>
      </w:r>
      <w:r w:rsidR="008D2E5E" w:rsidRPr="00CD7526">
        <w:rPr>
          <w:lang w:eastAsia="en-GB"/>
        </w:rPr>
        <w:t xml:space="preserve">nterim </w:t>
      </w:r>
      <w:r w:rsidR="008D2E5E">
        <w:rPr>
          <w:lang w:eastAsia="en-GB"/>
        </w:rPr>
        <w:t>R</w:t>
      </w:r>
      <w:r w:rsidR="008D2E5E" w:rsidRPr="00CD7526">
        <w:rPr>
          <w:lang w:eastAsia="en-GB"/>
        </w:rPr>
        <w:t xml:space="preserve">eport cost benefit analysis findings and initial program options </w:t>
      </w:r>
      <w:r w:rsidR="008D2E5E">
        <w:rPr>
          <w:lang w:eastAsia="en-GB"/>
        </w:rPr>
        <w:t>to the Department at a workshop,</w:t>
      </w:r>
      <w:r w:rsidR="009D1408">
        <w:rPr>
          <w:lang w:eastAsia="en-GB"/>
        </w:rPr>
        <w:t xml:space="preserve"> </w:t>
      </w:r>
      <w:r w:rsidR="008D2E5E">
        <w:rPr>
          <w:lang w:eastAsia="en-GB"/>
        </w:rPr>
        <w:t xml:space="preserve">which provided an opportunity to discuss the </w:t>
      </w:r>
      <w:r w:rsidR="00697B8C">
        <w:rPr>
          <w:lang w:eastAsia="en-GB"/>
        </w:rPr>
        <w:t>key</w:t>
      </w:r>
      <w:r w:rsidR="008D2E5E">
        <w:rPr>
          <w:lang w:eastAsia="en-GB"/>
        </w:rPr>
        <w:t xml:space="preserve"> findings</w:t>
      </w:r>
      <w:r w:rsidR="00697B8C">
        <w:rPr>
          <w:lang w:eastAsia="en-GB"/>
        </w:rPr>
        <w:t xml:space="preserve"> and next steps.</w:t>
      </w:r>
    </w:p>
    <w:p w14:paraId="7D240887" w14:textId="5889FB84" w:rsidR="00215234" w:rsidRDefault="00215234" w:rsidP="00633A59">
      <w:pPr>
        <w:pStyle w:val="Heading2"/>
      </w:pPr>
      <w:r>
        <w:t xml:space="preserve">AT program model options workshop </w:t>
      </w:r>
    </w:p>
    <w:p w14:paraId="3E4BAA74" w14:textId="676649C8" w:rsidR="00215234" w:rsidRPr="00215234" w:rsidRDefault="006D50E2" w:rsidP="00215234">
      <w:pPr>
        <w:pStyle w:val="Paragraph"/>
        <w:rPr>
          <w:lang w:eastAsia="en-GB"/>
        </w:rPr>
      </w:pPr>
      <w:r>
        <w:rPr>
          <w:lang w:eastAsia="en-GB"/>
        </w:rPr>
        <w:t>T</w:t>
      </w:r>
      <w:r w:rsidRPr="006D50E2">
        <w:rPr>
          <w:lang w:eastAsia="en-GB"/>
        </w:rPr>
        <w:t xml:space="preserve">he </w:t>
      </w:r>
      <w:r>
        <w:rPr>
          <w:lang w:eastAsia="en-GB"/>
        </w:rPr>
        <w:t xml:space="preserve">program model </w:t>
      </w:r>
      <w:r w:rsidRPr="006D50E2">
        <w:rPr>
          <w:lang w:eastAsia="en-GB"/>
        </w:rPr>
        <w:t xml:space="preserve">options workshop </w:t>
      </w:r>
      <w:r>
        <w:rPr>
          <w:lang w:eastAsia="en-GB"/>
        </w:rPr>
        <w:t>was an opportunity for AHA and the Department to discuss and refine</w:t>
      </w:r>
      <w:r w:rsidRPr="006D50E2">
        <w:rPr>
          <w:lang w:eastAsia="en-GB"/>
        </w:rPr>
        <w:t xml:space="preserve"> program options following further modelling.</w:t>
      </w:r>
    </w:p>
    <w:p w14:paraId="37A9C30D" w14:textId="15A6F2ED" w:rsidR="001B1BC9" w:rsidRDefault="00215234" w:rsidP="00633A59">
      <w:pPr>
        <w:pStyle w:val="Heading2"/>
      </w:pPr>
      <w:r>
        <w:t>Final Report</w:t>
      </w:r>
    </w:p>
    <w:p w14:paraId="1776D418" w14:textId="73A2A82F" w:rsidR="008E5A52" w:rsidRPr="00B23787" w:rsidRDefault="002A5945" w:rsidP="00E570F3">
      <w:pPr>
        <w:pStyle w:val="Paragraph"/>
      </w:pPr>
      <w:r>
        <w:rPr>
          <w:lang w:eastAsia="en-GB"/>
        </w:rPr>
        <w:t xml:space="preserve">This document </w:t>
      </w:r>
      <w:r w:rsidR="002F0DE2">
        <w:rPr>
          <w:lang w:eastAsia="en-GB"/>
        </w:rPr>
        <w:t xml:space="preserve">(Final Report and Supplementary Technical Report) </w:t>
      </w:r>
      <w:r>
        <w:rPr>
          <w:lang w:eastAsia="en-GB"/>
        </w:rPr>
        <w:t xml:space="preserve">is the third and Final Report </w:t>
      </w:r>
      <w:r w:rsidR="006C53B0">
        <w:rPr>
          <w:lang w:eastAsia="en-GB"/>
        </w:rPr>
        <w:t xml:space="preserve">prepared by AHA </w:t>
      </w:r>
      <w:r w:rsidR="00AD04FB">
        <w:rPr>
          <w:lang w:eastAsia="en-GB"/>
        </w:rPr>
        <w:t xml:space="preserve">for the Review of AT </w:t>
      </w:r>
      <w:r w:rsidR="002C16CD">
        <w:rPr>
          <w:lang w:eastAsia="en-GB"/>
        </w:rPr>
        <w:t xml:space="preserve">Programs </w:t>
      </w:r>
      <w:r w:rsidR="00AD04FB">
        <w:rPr>
          <w:lang w:eastAsia="en-GB"/>
        </w:rPr>
        <w:t xml:space="preserve">in Australia. </w:t>
      </w:r>
    </w:p>
    <w:p w14:paraId="1389DD72" w14:textId="33CDC45A" w:rsidR="00945510" w:rsidRDefault="00945510">
      <w:r>
        <w:br w:type="page"/>
      </w:r>
    </w:p>
    <w:p w14:paraId="5FDD2F65" w14:textId="77777777" w:rsidR="0031014A" w:rsidRPr="00636B05" w:rsidRDefault="0031014A" w:rsidP="0031014A"/>
    <w:p w14:paraId="2B01144A" w14:textId="02F2E7ED" w:rsidR="0031014A" w:rsidRPr="00B759F8" w:rsidRDefault="0031014A" w:rsidP="00633A59">
      <w:pPr>
        <w:pStyle w:val="Heading1"/>
      </w:pPr>
      <w:bookmarkStart w:id="56" w:name="_Ref34735389"/>
      <w:bookmarkStart w:id="57" w:name="_Ref34736354"/>
      <w:bookmarkStart w:id="58" w:name="_Ref40894194"/>
      <w:bookmarkStart w:id="59" w:name="_Ref41309480"/>
      <w:bookmarkStart w:id="60" w:name="_Toc60999851"/>
      <w:bookmarkStart w:id="61" w:name="_Toc21457180"/>
      <w:r w:rsidRPr="00B759F8">
        <w:t xml:space="preserve">Rapid Evidence </w:t>
      </w:r>
      <w:bookmarkEnd w:id="56"/>
      <w:bookmarkEnd w:id="57"/>
      <w:r w:rsidRPr="00B759F8">
        <w:t>Review</w:t>
      </w:r>
      <w:bookmarkEnd w:id="58"/>
      <w:bookmarkEnd w:id="59"/>
      <w:bookmarkEnd w:id="60"/>
    </w:p>
    <w:p w14:paraId="6374255C" w14:textId="77777777" w:rsidR="0031014A" w:rsidRPr="008E680E" w:rsidRDefault="0031014A" w:rsidP="0031014A">
      <w:pPr>
        <w:pStyle w:val="Paragraph"/>
        <w:rPr>
          <w:lang w:eastAsia="en-GB"/>
        </w:rPr>
      </w:pPr>
      <w:r w:rsidRPr="008E680E">
        <w:rPr>
          <w:lang w:eastAsia="en-GB"/>
        </w:rPr>
        <w:br w:type="page"/>
      </w:r>
    </w:p>
    <w:p w14:paraId="79CA2963" w14:textId="77777777" w:rsidR="0031014A" w:rsidRPr="008E680E" w:rsidRDefault="0031014A" w:rsidP="00633A59">
      <w:pPr>
        <w:pStyle w:val="Heading1"/>
      </w:pPr>
      <w:bookmarkStart w:id="62" w:name="_Toc60999852"/>
      <w:bookmarkEnd w:id="61"/>
      <w:r w:rsidRPr="008E680E">
        <w:lastRenderedPageBreak/>
        <w:t>Introduction</w:t>
      </w:r>
      <w:bookmarkEnd w:id="62"/>
      <w:r w:rsidRPr="008E680E">
        <w:t xml:space="preserve"> </w:t>
      </w:r>
    </w:p>
    <w:p w14:paraId="539373DD" w14:textId="1AB465FE" w:rsidR="00F81E67" w:rsidRPr="008E680E" w:rsidRDefault="00F81E67" w:rsidP="00F81E67">
      <w:pPr>
        <w:pStyle w:val="Paragraph"/>
      </w:pPr>
      <w:r w:rsidRPr="008E680E">
        <w:t xml:space="preserve">AHA undertook a </w:t>
      </w:r>
      <w:r w:rsidRPr="0085000F">
        <w:rPr>
          <w:lang w:eastAsia="en-AU"/>
        </w:rPr>
        <w:t xml:space="preserve">Rapid Evidence Review (RER) to examine the available evidence on whether AT effectively improves independence, autonomy, safety and participation for the target population </w:t>
      </w:r>
      <w:r>
        <w:rPr>
          <w:lang w:eastAsia="en-AU"/>
        </w:rPr>
        <w:t>through the identification of</w:t>
      </w:r>
      <w:r w:rsidRPr="0085000F">
        <w:rPr>
          <w:lang w:eastAsia="en-AU"/>
        </w:rPr>
        <w:t xml:space="preserve"> literature highlighting </w:t>
      </w:r>
      <w:r>
        <w:rPr>
          <w:lang w:eastAsia="en-AU"/>
        </w:rPr>
        <w:t xml:space="preserve">the </w:t>
      </w:r>
      <w:r w:rsidRPr="0085000F">
        <w:rPr>
          <w:lang w:eastAsia="en-AU"/>
        </w:rPr>
        <w:t>economic outcomes of AT.</w:t>
      </w:r>
      <w:r w:rsidR="004511B3">
        <w:rPr>
          <w:lang w:eastAsia="en-AU"/>
        </w:rPr>
        <w:t xml:space="preserve"> </w:t>
      </w:r>
    </w:p>
    <w:p w14:paraId="5AD0CEC8" w14:textId="4F90C89B" w:rsidR="00F81E67" w:rsidRPr="008E680E" w:rsidRDefault="00F81E67" w:rsidP="00741C98">
      <w:pPr>
        <w:pStyle w:val="ParaKeep"/>
      </w:pPr>
      <w:r w:rsidRPr="008E680E">
        <w:t xml:space="preserve">The RER is summarised as follows: </w:t>
      </w:r>
    </w:p>
    <w:p w14:paraId="1799C545" w14:textId="52BBCC5F" w:rsidR="00F81E67" w:rsidRPr="008E680E" w:rsidRDefault="00F81E67" w:rsidP="00741C98">
      <w:pPr>
        <w:pStyle w:val="Bullet1Keep"/>
      </w:pPr>
      <w:r w:rsidRPr="008E680E">
        <w:t>Methods (</w:t>
      </w:r>
      <w:r w:rsidRPr="00741C98">
        <w:rPr>
          <w:rStyle w:val="Italic"/>
        </w:rPr>
        <w:t>Section</w:t>
      </w:r>
      <w:r w:rsidR="00CB1D4C">
        <w:rPr>
          <w:rStyle w:val="Italic"/>
        </w:rPr>
        <w:t xml:space="preserve"> </w:t>
      </w:r>
      <w:r w:rsidR="00CA3530">
        <w:rPr>
          <w:rStyle w:val="Italic"/>
        </w:rPr>
        <w:fldChar w:fldCharType="begin"/>
      </w:r>
      <w:r w:rsidR="00CA3530">
        <w:rPr>
          <w:rStyle w:val="Italic"/>
        </w:rPr>
        <w:instrText xml:space="preserve"> REF _Ref42248467 \r \h </w:instrText>
      </w:r>
      <w:r w:rsidR="00CA3530">
        <w:rPr>
          <w:rStyle w:val="Italic"/>
        </w:rPr>
      </w:r>
      <w:r w:rsidR="00CA3530">
        <w:rPr>
          <w:rStyle w:val="Italic"/>
        </w:rPr>
        <w:fldChar w:fldCharType="separate"/>
      </w:r>
      <w:r w:rsidR="00EB1774">
        <w:rPr>
          <w:rStyle w:val="Italic"/>
        </w:rPr>
        <w:t>B.2</w:t>
      </w:r>
      <w:r w:rsidR="00CA3530">
        <w:rPr>
          <w:rStyle w:val="Italic"/>
        </w:rPr>
        <w:fldChar w:fldCharType="end"/>
      </w:r>
      <w:r w:rsidRPr="008E680E">
        <w:t>) comprising:</w:t>
      </w:r>
    </w:p>
    <w:p w14:paraId="0131B027" w14:textId="77777777" w:rsidR="00F81E67" w:rsidRPr="008E680E" w:rsidRDefault="00F81E67" w:rsidP="002B177E">
      <w:pPr>
        <w:pStyle w:val="Bullet2"/>
        <w:numPr>
          <w:ilvl w:val="1"/>
          <w:numId w:val="25"/>
        </w:numPr>
      </w:pPr>
      <w:r w:rsidRPr="008E680E">
        <w:t>PICO search strategy</w:t>
      </w:r>
    </w:p>
    <w:p w14:paraId="6A3F719A" w14:textId="77777777" w:rsidR="00F81E67" w:rsidRPr="008E680E" w:rsidRDefault="00F81E67" w:rsidP="002B177E">
      <w:pPr>
        <w:pStyle w:val="Bullet2"/>
        <w:numPr>
          <w:ilvl w:val="1"/>
          <w:numId w:val="25"/>
        </w:numPr>
      </w:pPr>
      <w:r w:rsidRPr="008E680E">
        <w:t>Document search</w:t>
      </w:r>
    </w:p>
    <w:p w14:paraId="1EF60BF2" w14:textId="10149FB6" w:rsidR="00F81E67" w:rsidRDefault="00F81E67" w:rsidP="002B177E">
      <w:pPr>
        <w:pStyle w:val="Bullet2"/>
        <w:numPr>
          <w:ilvl w:val="1"/>
          <w:numId w:val="25"/>
        </w:numPr>
      </w:pPr>
      <w:r w:rsidRPr="008E680E">
        <w:t xml:space="preserve">Quality and risk assessment </w:t>
      </w:r>
    </w:p>
    <w:p w14:paraId="023FBDF2" w14:textId="04087F72" w:rsidR="0005623E" w:rsidRPr="008E680E" w:rsidRDefault="0005623E" w:rsidP="002B177E">
      <w:pPr>
        <w:pStyle w:val="Bullet2"/>
        <w:numPr>
          <w:ilvl w:val="1"/>
          <w:numId w:val="25"/>
        </w:numPr>
      </w:pPr>
      <w:r>
        <w:t>RER matrix</w:t>
      </w:r>
    </w:p>
    <w:p w14:paraId="17EC313C" w14:textId="4AD3DAE1" w:rsidR="00F81E67" w:rsidRPr="008E680E" w:rsidRDefault="00F81E67" w:rsidP="00741C98">
      <w:pPr>
        <w:pStyle w:val="Bullet1Keep"/>
      </w:pPr>
      <w:r w:rsidRPr="008E680E">
        <w:t>Results (</w:t>
      </w:r>
      <w:r w:rsidRPr="008E680E">
        <w:rPr>
          <w:i/>
          <w:iCs/>
        </w:rPr>
        <w:t xml:space="preserve">Section </w:t>
      </w:r>
      <w:r w:rsidR="00CB1D4C">
        <w:rPr>
          <w:i/>
          <w:iCs/>
        </w:rPr>
        <w:fldChar w:fldCharType="begin"/>
      </w:r>
      <w:r w:rsidR="00CB1D4C">
        <w:rPr>
          <w:i/>
          <w:iCs/>
        </w:rPr>
        <w:instrText xml:space="preserve"> REF _Ref42248526 \r \h </w:instrText>
      </w:r>
      <w:r w:rsidR="00CB1D4C">
        <w:rPr>
          <w:i/>
          <w:iCs/>
        </w:rPr>
      </w:r>
      <w:r w:rsidR="00CB1D4C">
        <w:rPr>
          <w:i/>
          <w:iCs/>
        </w:rPr>
        <w:fldChar w:fldCharType="separate"/>
      </w:r>
      <w:r w:rsidR="00EB1774">
        <w:rPr>
          <w:i/>
          <w:iCs/>
        </w:rPr>
        <w:t>0</w:t>
      </w:r>
      <w:r w:rsidR="00CB1D4C">
        <w:rPr>
          <w:i/>
          <w:iCs/>
        </w:rPr>
        <w:fldChar w:fldCharType="end"/>
      </w:r>
      <w:r w:rsidRPr="008E680E">
        <w:t>) comprising:</w:t>
      </w:r>
    </w:p>
    <w:p w14:paraId="5B298278" w14:textId="156A2805" w:rsidR="00F81E67" w:rsidRPr="008E680E" w:rsidRDefault="00F81E67" w:rsidP="002B177E">
      <w:pPr>
        <w:pStyle w:val="Bullet2"/>
        <w:numPr>
          <w:ilvl w:val="0"/>
          <w:numId w:val="26"/>
        </w:numPr>
      </w:pPr>
      <w:r w:rsidRPr="008E680E">
        <w:t xml:space="preserve">Identifying </w:t>
      </w:r>
      <w:r w:rsidR="00794EF4">
        <w:t xml:space="preserve">relevant </w:t>
      </w:r>
      <w:r w:rsidRPr="008E680E">
        <w:t>papers</w:t>
      </w:r>
    </w:p>
    <w:p w14:paraId="627F0DDC" w14:textId="77777777" w:rsidR="00F81E67" w:rsidRPr="008E680E" w:rsidRDefault="00F81E67" w:rsidP="002B177E">
      <w:pPr>
        <w:pStyle w:val="Bullet2"/>
        <w:numPr>
          <w:ilvl w:val="0"/>
          <w:numId w:val="26"/>
        </w:numPr>
      </w:pPr>
      <w:r w:rsidRPr="008E680E">
        <w:t>Quality and risk assessment results</w:t>
      </w:r>
    </w:p>
    <w:p w14:paraId="3F4389B6" w14:textId="77777777" w:rsidR="00F81E67" w:rsidRPr="008E680E" w:rsidRDefault="00F81E67" w:rsidP="002B177E">
      <w:pPr>
        <w:pStyle w:val="Bullet2"/>
        <w:numPr>
          <w:ilvl w:val="0"/>
          <w:numId w:val="26"/>
        </w:numPr>
      </w:pPr>
      <w:r w:rsidRPr="008E680E">
        <w:t>Permutated and hierarchical matrix of the included RER studies</w:t>
      </w:r>
    </w:p>
    <w:p w14:paraId="1D06EE53" w14:textId="77777777" w:rsidR="00F81E67" w:rsidRPr="008E680E" w:rsidRDefault="00F81E67" w:rsidP="002B177E">
      <w:pPr>
        <w:pStyle w:val="Bullet2"/>
        <w:numPr>
          <w:ilvl w:val="0"/>
          <w:numId w:val="26"/>
        </w:numPr>
      </w:pPr>
      <w:r w:rsidRPr="008E680E">
        <w:t>Quantified benefits for the rapid evidence review</w:t>
      </w:r>
    </w:p>
    <w:p w14:paraId="2DF1AC83" w14:textId="0B1CDD83" w:rsidR="00F81E67" w:rsidRDefault="00F81E67" w:rsidP="002B177E">
      <w:pPr>
        <w:pStyle w:val="Bullet2"/>
        <w:numPr>
          <w:ilvl w:val="0"/>
          <w:numId w:val="26"/>
        </w:numPr>
      </w:pPr>
      <w:r w:rsidRPr="008E680E">
        <w:t>RER summaries</w:t>
      </w:r>
      <w:r w:rsidR="00922C14">
        <w:t>.</w:t>
      </w:r>
      <w:r w:rsidRPr="008E680E">
        <w:t xml:space="preserve"> </w:t>
      </w:r>
    </w:p>
    <w:p w14:paraId="6D6A8F4D" w14:textId="7C0F4773" w:rsidR="00EE3CDE" w:rsidRDefault="00EE3CDE">
      <w:r>
        <w:br w:type="page"/>
      </w:r>
    </w:p>
    <w:p w14:paraId="2B73E692" w14:textId="0AFA2BE3" w:rsidR="00F81E67" w:rsidRPr="008E680E" w:rsidRDefault="00F81E67" w:rsidP="00633A59">
      <w:pPr>
        <w:pStyle w:val="Heading1"/>
      </w:pPr>
      <w:bookmarkStart w:id="63" w:name="_Ref42248467"/>
      <w:bookmarkStart w:id="64" w:name="_Toc60999853"/>
      <w:r w:rsidRPr="008E680E">
        <w:lastRenderedPageBreak/>
        <w:t>Methods</w:t>
      </w:r>
      <w:bookmarkEnd w:id="63"/>
      <w:bookmarkEnd w:id="64"/>
    </w:p>
    <w:p w14:paraId="186145BC" w14:textId="77777777" w:rsidR="00F81E67" w:rsidRPr="005E2750" w:rsidRDefault="00F81E67" w:rsidP="00633A59">
      <w:pPr>
        <w:pStyle w:val="Heading2"/>
      </w:pPr>
      <w:r w:rsidRPr="005E2750">
        <w:t>PICO search strategy</w:t>
      </w:r>
    </w:p>
    <w:p w14:paraId="66BCF6D7" w14:textId="529C81DA" w:rsidR="00F81E67" w:rsidRDefault="00F81E67" w:rsidP="00937E8B">
      <w:pPr>
        <w:pStyle w:val="TableText"/>
      </w:pPr>
      <w:r w:rsidRPr="005E2750">
        <w:t>A Population Intervention Comparison Outcome (PICO) approach was used to determine the inclusion and exclusion criteria (</w:t>
      </w:r>
      <w:r w:rsidRPr="005E2750">
        <w:rPr>
          <w:i/>
          <w:iCs/>
        </w:rPr>
        <w:fldChar w:fldCharType="begin"/>
      </w:r>
      <w:r w:rsidRPr="005E2750">
        <w:rPr>
          <w:i/>
          <w:iCs/>
        </w:rPr>
        <w:instrText xml:space="preserve"> REF _Ref35009181 \h  \* MERGEFORMAT </w:instrText>
      </w:r>
      <w:r w:rsidRPr="005E2750">
        <w:rPr>
          <w:i/>
          <w:iCs/>
        </w:rPr>
      </w:r>
      <w:r w:rsidRPr="005E2750">
        <w:rPr>
          <w:i/>
          <w:iCs/>
        </w:rPr>
        <w:fldChar w:fldCharType="separate"/>
      </w:r>
      <w:r w:rsidR="00EB1774" w:rsidRPr="00EB1774">
        <w:rPr>
          <w:i/>
          <w:iCs/>
        </w:rPr>
        <w:t>Table B</w:t>
      </w:r>
      <w:r w:rsidR="00EB1774" w:rsidRPr="00EB1774">
        <w:rPr>
          <w:i/>
          <w:iCs/>
        </w:rPr>
        <w:noBreakHyphen/>
        <w:t>1</w:t>
      </w:r>
      <w:r w:rsidRPr="005E2750">
        <w:rPr>
          <w:i/>
          <w:iCs/>
        </w:rPr>
        <w:fldChar w:fldCharType="end"/>
      </w:r>
      <w:r w:rsidRPr="005E2750">
        <w:t>)</w:t>
      </w:r>
      <w:r w:rsidR="0082102B">
        <w:t>.</w:t>
      </w:r>
      <w:r w:rsidR="00937E8B">
        <w:t xml:space="preserve"> </w:t>
      </w:r>
      <w:r w:rsidR="00937E8B" w:rsidRPr="005E2750">
        <w:t xml:space="preserve">All </w:t>
      </w:r>
      <w:r w:rsidR="00937E8B">
        <w:t xml:space="preserve">cost </w:t>
      </w:r>
      <w:r w:rsidR="00937E8B" w:rsidRPr="005E2750">
        <w:t>outcomes were annualised</w:t>
      </w:r>
      <w:r w:rsidR="00937E8B">
        <w:t xml:space="preserve"> and </w:t>
      </w:r>
      <w:r w:rsidR="00937E8B" w:rsidRPr="005E2750">
        <w:t>reported in $AUD 2019</w:t>
      </w:r>
      <w:r w:rsidR="00937E8B" w:rsidRPr="005E2750">
        <w:noBreakHyphen/>
        <w:t>20</w:t>
      </w:r>
      <w:r w:rsidR="00937E8B">
        <w:t>.</w:t>
      </w:r>
    </w:p>
    <w:p w14:paraId="08CE25C3" w14:textId="77777777" w:rsidR="00633A59" w:rsidRDefault="00633A59" w:rsidP="00633A59">
      <w:bookmarkStart w:id="65" w:name="_Ref35009181"/>
      <w:bookmarkStart w:id="66" w:name="_Toc40622130"/>
      <w:bookmarkStart w:id="67" w:name="_Toc60999926"/>
    </w:p>
    <w:p w14:paraId="7A56831F" w14:textId="2FFFF105" w:rsidR="00F81E67" w:rsidRPr="005E2750" w:rsidRDefault="00F81E67" w:rsidP="00633A59">
      <w:r w:rsidRPr="005E2750">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w:t>
      </w:r>
      <w:r w:rsidR="00FD5E41">
        <w:fldChar w:fldCharType="end"/>
      </w:r>
      <w:bookmarkEnd w:id="65"/>
      <w:r w:rsidRPr="005E2750">
        <w:t>:</w:t>
      </w:r>
      <w:r w:rsidR="00A657A0">
        <w:tab/>
      </w:r>
      <w:r w:rsidRPr="005E2750">
        <w:t>PICO search strategy 2010-2020</w:t>
      </w:r>
      <w:bookmarkEnd w:id="66"/>
      <w:bookmarkEnd w:id="67"/>
    </w:p>
    <w:tbl>
      <w:tblPr>
        <w:tblStyle w:val="AHALight"/>
        <w:tblW w:w="5000" w:type="pct"/>
        <w:tblLook w:val="06A0" w:firstRow="1" w:lastRow="0" w:firstColumn="1" w:lastColumn="0" w:noHBand="1" w:noVBand="1"/>
        <w:tblCaption w:val="table B-1"/>
        <w:tblDescription w:val="inclusion and exclusion criteria using population intervention comparison  outcome approach for period 2010 to 2020"/>
      </w:tblPr>
      <w:tblGrid>
        <w:gridCol w:w="1415"/>
        <w:gridCol w:w="3495"/>
        <w:gridCol w:w="2693"/>
        <w:gridCol w:w="2035"/>
      </w:tblGrid>
      <w:tr w:rsidR="006700BE" w:rsidRPr="005E2750" w14:paraId="2A1E6EFA" w14:textId="638EB49F" w:rsidTr="00EE3CDE">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63F1477A" w14:textId="77777777" w:rsidR="00EE3CDE" w:rsidRPr="005E2750" w:rsidRDefault="00EE3CDE" w:rsidP="00FE64D9">
            <w:pPr>
              <w:pStyle w:val="TableHeading1"/>
            </w:pPr>
            <w:r w:rsidRPr="005E2750">
              <w:t>Criteria</w:t>
            </w:r>
          </w:p>
        </w:tc>
        <w:tc>
          <w:tcPr>
            <w:tcW w:w="0" w:type="auto"/>
          </w:tcPr>
          <w:p w14:paraId="52B765DE" w14:textId="542232FD" w:rsidR="00EE3CDE" w:rsidRPr="005E2750" w:rsidRDefault="00EE3CDE" w:rsidP="00FE64D9">
            <w:pPr>
              <w:pStyle w:val="TableHeading1"/>
              <w:cnfStyle w:val="100000000000" w:firstRow="1" w:lastRow="0" w:firstColumn="0" w:lastColumn="0" w:oddVBand="0" w:evenVBand="0" w:oddHBand="0" w:evenHBand="0" w:firstRowFirstColumn="0" w:firstRowLastColumn="0" w:lastRowFirstColumn="0" w:lastRowLastColumn="0"/>
            </w:pPr>
            <w:r>
              <w:t>Inclusion criteria</w:t>
            </w:r>
          </w:p>
        </w:tc>
        <w:tc>
          <w:tcPr>
            <w:tcW w:w="0" w:type="auto"/>
          </w:tcPr>
          <w:p w14:paraId="704D384F" w14:textId="11A121D4" w:rsidR="00EE3CDE" w:rsidRDefault="00EE3CDE" w:rsidP="00EE3CDE">
            <w:pPr>
              <w:pStyle w:val="TableHeading1"/>
              <w:cnfStyle w:val="100000000000" w:firstRow="1" w:lastRow="0" w:firstColumn="0" w:lastColumn="0" w:oddVBand="0" w:evenVBand="0" w:oddHBand="0" w:evenHBand="0" w:firstRowFirstColumn="0" w:firstRowLastColumn="0" w:lastRowFirstColumn="0" w:lastRowLastColumn="0"/>
            </w:pPr>
            <w:r>
              <w:t>Terms</w:t>
            </w:r>
          </w:p>
        </w:tc>
        <w:tc>
          <w:tcPr>
            <w:tcW w:w="0" w:type="auto"/>
          </w:tcPr>
          <w:p w14:paraId="3D7247F5" w14:textId="31A70A91" w:rsidR="00EE3CDE" w:rsidRPr="005E2750" w:rsidRDefault="00EE3CDE" w:rsidP="00FE64D9">
            <w:pPr>
              <w:pStyle w:val="TableHeading1"/>
              <w:cnfStyle w:val="100000000000" w:firstRow="1" w:lastRow="0" w:firstColumn="0" w:lastColumn="0" w:oddVBand="0" w:evenVBand="0" w:oddHBand="0" w:evenHBand="0" w:firstRowFirstColumn="0" w:firstRowLastColumn="0" w:lastRowFirstColumn="0" w:lastRowLastColumn="0"/>
            </w:pPr>
            <w:r>
              <w:t>Exclusion criteria</w:t>
            </w:r>
          </w:p>
        </w:tc>
      </w:tr>
      <w:tr w:rsidR="006700BE" w:rsidRPr="005E2750" w14:paraId="55A24135" w14:textId="03C90278" w:rsidTr="00EE3CDE">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6B0C7C62" w14:textId="69BE12C9" w:rsidR="00EE3CDE" w:rsidRPr="005E2750" w:rsidRDefault="00EE3CDE" w:rsidP="00FE64D9">
            <w:pPr>
              <w:pStyle w:val="TableText"/>
            </w:pPr>
            <w:r w:rsidRPr="005E2750">
              <w:rPr>
                <w:color w:val="auto"/>
                <w:u w:val="single"/>
              </w:rPr>
              <w:t>P</w:t>
            </w:r>
            <w:r w:rsidRPr="005E2750">
              <w:t>opulation</w:t>
            </w:r>
          </w:p>
        </w:tc>
        <w:tc>
          <w:tcPr>
            <w:tcW w:w="0" w:type="auto"/>
          </w:tcPr>
          <w:p w14:paraId="370F1E76" w14:textId="49BB090F" w:rsidR="00EE3CDE" w:rsidRPr="005E2750" w:rsidRDefault="00EE3CDE" w:rsidP="00187BC0">
            <w:pPr>
              <w:pStyle w:val="TableText"/>
              <w:cnfStyle w:val="000000000000" w:firstRow="0" w:lastRow="0" w:firstColumn="0" w:lastColumn="0" w:oddVBand="0" w:evenVBand="0" w:oddHBand="0" w:evenHBand="0" w:firstRowFirstColumn="0" w:firstRowLastColumn="0" w:lastRowFirstColumn="0" w:lastRowLastColumn="0"/>
            </w:pPr>
            <w:r w:rsidRPr="005E2750">
              <w:t>People aged 65 and older (50 and older for Aboriginal and Torres Strait Islander peoples) and who are living at home with disability</w:t>
            </w:r>
          </w:p>
        </w:tc>
        <w:tc>
          <w:tcPr>
            <w:tcW w:w="0" w:type="auto"/>
          </w:tcPr>
          <w:p w14:paraId="1AC9BC0B" w14:textId="0D782E69" w:rsidR="00EE3CDE" w:rsidRPr="005E2750" w:rsidRDefault="00EE3CDE" w:rsidP="00187BC0">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auto"/>
          </w:tcPr>
          <w:p w14:paraId="7AB6C53B" w14:textId="19BD61E3" w:rsidR="00EE3CDE" w:rsidRPr="005E2750" w:rsidRDefault="00EE3CDE" w:rsidP="00187BC0">
            <w:pPr>
              <w:pStyle w:val="TableText"/>
              <w:cnfStyle w:val="000000000000" w:firstRow="0" w:lastRow="0" w:firstColumn="0" w:lastColumn="0" w:oddVBand="0" w:evenVBand="0" w:oddHBand="0" w:evenHBand="0" w:firstRowFirstColumn="0" w:firstRowLastColumn="0" w:lastRowFirstColumn="0" w:lastRowLastColumn="0"/>
            </w:pPr>
            <w:r w:rsidRPr="005E2750">
              <w:t>A study population that cannot be applied to older people (e.g. pregnan</w:t>
            </w:r>
            <w:r>
              <w:t xml:space="preserve">t </w:t>
            </w:r>
            <w:r w:rsidR="00484C51">
              <w:t>women</w:t>
            </w:r>
            <w:r>
              <w:t>,</w:t>
            </w:r>
            <w:r w:rsidRPr="005E2750">
              <w:t xml:space="preserve"> children).</w:t>
            </w:r>
          </w:p>
        </w:tc>
      </w:tr>
      <w:tr w:rsidR="006700BE" w:rsidRPr="005E2750" w14:paraId="17C71A94" w14:textId="3FC5F840" w:rsidTr="00EE3CDE">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651D645B" w14:textId="2F58472F" w:rsidR="00EE3CDE" w:rsidRPr="006A412D" w:rsidRDefault="00EE3CDE" w:rsidP="006A412D">
            <w:pPr>
              <w:pStyle w:val="TableText"/>
              <w:rPr>
                <w:b w:val="0"/>
              </w:rPr>
            </w:pPr>
            <w:r w:rsidRPr="00034F4E">
              <w:rPr>
                <w:color w:val="auto"/>
                <w:u w:val="single"/>
              </w:rPr>
              <w:t>I</w:t>
            </w:r>
            <w:r w:rsidRPr="005E2750">
              <w:t>ntervention</w:t>
            </w:r>
          </w:p>
        </w:tc>
        <w:tc>
          <w:tcPr>
            <w:tcW w:w="0" w:type="auto"/>
          </w:tcPr>
          <w:p w14:paraId="3246C734" w14:textId="0DFDE41E" w:rsidR="00EE3CDE" w:rsidRPr="005E2750" w:rsidRDefault="00EE3CDE" w:rsidP="00EE3CDE">
            <w:pPr>
              <w:pStyle w:val="TableText"/>
              <w:cnfStyle w:val="000000000000" w:firstRow="0" w:lastRow="0" w:firstColumn="0" w:lastColumn="0" w:oddVBand="0" w:evenVBand="0" w:oddHBand="0" w:evenHBand="0" w:firstRowFirstColumn="0" w:firstRowLastColumn="0" w:lastRowFirstColumn="0" w:lastRowLastColumn="0"/>
            </w:pPr>
            <w:r w:rsidRPr="005E2750">
              <w:t xml:space="preserve">Any type of </w:t>
            </w:r>
            <w:r>
              <w:t>AT</w:t>
            </w:r>
            <w:r w:rsidRPr="005E2750">
              <w:t xml:space="preserve"> +/- soft technology to support</w:t>
            </w:r>
            <w:r w:rsidR="00484C51">
              <w:t xml:space="preserve"> it</w:t>
            </w:r>
            <w:r w:rsidRPr="005E2750">
              <w:t>.</w:t>
            </w:r>
          </w:p>
        </w:tc>
        <w:tc>
          <w:tcPr>
            <w:tcW w:w="0" w:type="auto"/>
          </w:tcPr>
          <w:p w14:paraId="684C2E40"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Equipment</w:t>
            </w:r>
          </w:p>
          <w:p w14:paraId="4D97364D"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Device</w:t>
            </w:r>
          </w:p>
          <w:p w14:paraId="3D0AF4C6" w14:textId="77777777" w:rsidR="00EE3CDE" w:rsidRPr="005E2750" w:rsidRDefault="00EE3CDE" w:rsidP="00E759B2">
            <w:pPr>
              <w:pStyle w:val="TableBullet1"/>
              <w:cnfStyle w:val="000000000000" w:firstRow="0" w:lastRow="0" w:firstColumn="0" w:lastColumn="0" w:oddVBand="0" w:evenVBand="0" w:oddHBand="0" w:evenHBand="0" w:firstRowFirstColumn="0" w:firstRowLastColumn="0" w:lastRowFirstColumn="0" w:lastRowLastColumn="0"/>
            </w:pPr>
            <w:r w:rsidRPr="005E2750">
              <w:t>Technology</w:t>
            </w:r>
          </w:p>
          <w:p w14:paraId="685D30BC" w14:textId="77777777" w:rsidR="00EE3CDE" w:rsidRDefault="00EE3CDE" w:rsidP="00E759B2">
            <w:pPr>
              <w:pStyle w:val="TableBullet1"/>
              <w:cnfStyle w:val="000000000000" w:firstRow="0" w:lastRow="0" w:firstColumn="0" w:lastColumn="0" w:oddVBand="0" w:evenVBand="0" w:oddHBand="0" w:evenHBand="0" w:firstRowFirstColumn="0" w:firstRowLastColumn="0" w:lastRowFirstColumn="0" w:lastRowLastColumn="0"/>
            </w:pPr>
            <w:r w:rsidRPr="005E2750">
              <w:t>Assistive technology</w:t>
            </w:r>
          </w:p>
          <w:p w14:paraId="4E6DF11A" w14:textId="5A239036" w:rsidR="00EE3CDE" w:rsidRDefault="00EE3CDE" w:rsidP="00E759B2">
            <w:pPr>
              <w:pStyle w:val="TableBullet1"/>
              <w:cnfStyle w:val="000000000000" w:firstRow="0" w:lastRow="0" w:firstColumn="0" w:lastColumn="0" w:oddVBand="0" w:evenVBand="0" w:oddHBand="0" w:evenHBand="0" w:firstRowFirstColumn="0" w:firstRowLastColumn="0" w:lastRowFirstColumn="0" w:lastRowLastColumn="0"/>
            </w:pPr>
            <w:r w:rsidRPr="005E2750">
              <w:t>Assistive device</w:t>
            </w:r>
          </w:p>
        </w:tc>
        <w:tc>
          <w:tcPr>
            <w:tcW w:w="0" w:type="auto"/>
          </w:tcPr>
          <w:p w14:paraId="503DF8C5" w14:textId="5D8B1FD5" w:rsidR="00EE3CDE" w:rsidRPr="005E2750" w:rsidRDefault="00EE3CDE" w:rsidP="006700BE">
            <w:pPr>
              <w:pStyle w:val="TableText"/>
              <w:cnfStyle w:val="000000000000" w:firstRow="0" w:lastRow="0" w:firstColumn="0" w:lastColumn="0" w:oddVBand="0" w:evenVBand="0" w:oddHBand="0" w:evenHBand="0" w:firstRowFirstColumn="0" w:firstRowLastColumn="0" w:lastRowFirstColumn="0" w:lastRowLastColumn="0"/>
            </w:pPr>
            <w:r>
              <w:t>AT</w:t>
            </w:r>
            <w:r w:rsidRPr="005E2750">
              <w:t xml:space="preserve"> that cannot be applied to older people (e.g. </w:t>
            </w:r>
            <w:r>
              <w:t>AT during</w:t>
            </w:r>
            <w:r w:rsidRPr="005E2750">
              <w:t xml:space="preserve"> pregnancy</w:t>
            </w:r>
            <w:r>
              <w:t xml:space="preserve"> or</w:t>
            </w:r>
            <w:r w:rsidRPr="005E2750">
              <w:t xml:space="preserve"> </w:t>
            </w:r>
            <w:r>
              <w:t xml:space="preserve">specific to </w:t>
            </w:r>
            <w:r w:rsidRPr="005E2750">
              <w:t>children)</w:t>
            </w:r>
            <w:r w:rsidR="006700BE" w:rsidRPr="005E2750" w:rsidDel="006700BE">
              <w:t xml:space="preserve"> </w:t>
            </w:r>
          </w:p>
        </w:tc>
      </w:tr>
      <w:tr w:rsidR="006700BE" w:rsidRPr="005E2750" w14:paraId="3FC480F1" w14:textId="77777777" w:rsidTr="00EE3CDE">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5C217A06" w14:textId="7CBC6ECF" w:rsidR="006700BE" w:rsidRDefault="006700BE" w:rsidP="006A412D">
            <w:pPr>
              <w:pStyle w:val="TableText"/>
              <w:rPr>
                <w:rStyle w:val="Invisible"/>
                <w:b/>
                <w:color w:val="000000" w:themeColor="text1"/>
                <w:sz w:val="22"/>
              </w:rPr>
            </w:pPr>
            <w:r w:rsidRPr="00034F4E">
              <w:rPr>
                <w:rStyle w:val="Invisible"/>
                <w:color w:val="000000" w:themeColor="text1"/>
                <w:sz w:val="22"/>
                <w:u w:val="single"/>
              </w:rPr>
              <w:t>C</w:t>
            </w:r>
            <w:r>
              <w:rPr>
                <w:rStyle w:val="Invisible"/>
                <w:b/>
                <w:color w:val="000000" w:themeColor="text1"/>
                <w:sz w:val="22"/>
              </w:rPr>
              <w:t>omparator</w:t>
            </w:r>
          </w:p>
        </w:tc>
        <w:tc>
          <w:tcPr>
            <w:tcW w:w="0" w:type="auto"/>
          </w:tcPr>
          <w:p w14:paraId="0B531339" w14:textId="18EA98CA" w:rsidR="006700BE" w:rsidRPr="005E2750" w:rsidRDefault="006700BE" w:rsidP="006A412D">
            <w:pPr>
              <w:pStyle w:val="TableText"/>
              <w:keepNext/>
              <w:cnfStyle w:val="000000000000" w:firstRow="0" w:lastRow="0" w:firstColumn="0" w:lastColumn="0" w:oddVBand="0" w:evenVBand="0" w:oddHBand="0" w:evenHBand="0" w:firstRowFirstColumn="0" w:firstRowLastColumn="0" w:lastRowFirstColumn="0" w:lastRowLastColumn="0"/>
            </w:pPr>
            <w:r>
              <w:t>Unlimited (or there may be no comparator).</w:t>
            </w:r>
          </w:p>
        </w:tc>
        <w:tc>
          <w:tcPr>
            <w:tcW w:w="0" w:type="auto"/>
          </w:tcPr>
          <w:p w14:paraId="0D15196C" w14:textId="77777777" w:rsidR="006700BE" w:rsidRPr="005E2750" w:rsidRDefault="006700BE" w:rsidP="00034F4E">
            <w:pPr>
              <w:pStyle w:val="TableBullet1"/>
              <w:numPr>
                <w:ilvl w:val="0"/>
                <w:numId w:val="0"/>
              </w:numPr>
              <w:ind w:left="113"/>
              <w:cnfStyle w:val="000000000000" w:firstRow="0" w:lastRow="0" w:firstColumn="0" w:lastColumn="0" w:oddVBand="0" w:evenVBand="0" w:oddHBand="0" w:evenHBand="0" w:firstRowFirstColumn="0" w:firstRowLastColumn="0" w:lastRowFirstColumn="0" w:lastRowLastColumn="0"/>
            </w:pPr>
          </w:p>
        </w:tc>
        <w:tc>
          <w:tcPr>
            <w:tcW w:w="0" w:type="auto"/>
          </w:tcPr>
          <w:p w14:paraId="7D7D020C" w14:textId="77777777" w:rsidR="006700BE" w:rsidRPr="005E2750" w:rsidRDefault="006700BE" w:rsidP="006A412D">
            <w:pPr>
              <w:pStyle w:val="TableText"/>
              <w:keepNext/>
              <w:cnfStyle w:val="000000000000" w:firstRow="0" w:lastRow="0" w:firstColumn="0" w:lastColumn="0" w:oddVBand="0" w:evenVBand="0" w:oddHBand="0" w:evenHBand="0" w:firstRowFirstColumn="0" w:firstRowLastColumn="0" w:lastRowFirstColumn="0" w:lastRowLastColumn="0"/>
            </w:pPr>
          </w:p>
        </w:tc>
      </w:tr>
      <w:tr w:rsidR="006700BE" w:rsidRPr="005E2750" w14:paraId="75F6C4D8" w14:textId="765E4F81" w:rsidTr="00EE3CDE">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3F2BACC6" w14:textId="4EE2290C" w:rsidR="00EE3CDE" w:rsidRPr="001843CE" w:rsidRDefault="006700BE" w:rsidP="006A412D">
            <w:pPr>
              <w:pStyle w:val="TableText"/>
              <w:rPr>
                <w:rStyle w:val="Invisible"/>
              </w:rPr>
            </w:pPr>
            <w:r w:rsidRPr="00034F4E">
              <w:rPr>
                <w:rStyle w:val="Invisible"/>
                <w:color w:val="000000" w:themeColor="text1"/>
                <w:sz w:val="22"/>
                <w:u w:val="single"/>
              </w:rPr>
              <w:t>O</w:t>
            </w:r>
            <w:r>
              <w:rPr>
                <w:rStyle w:val="Invisible"/>
                <w:b/>
                <w:color w:val="000000" w:themeColor="text1"/>
                <w:sz w:val="22"/>
              </w:rPr>
              <w:t>utcome measures</w:t>
            </w:r>
            <w:r w:rsidRPr="005E2750">
              <w:t xml:space="preserve"> </w:t>
            </w:r>
            <w:r w:rsidR="00EE3CDE" w:rsidRPr="001843CE">
              <w:rPr>
                <w:rStyle w:val="Invisible"/>
              </w:rPr>
              <w:t>on</w:t>
            </w:r>
          </w:p>
        </w:tc>
        <w:tc>
          <w:tcPr>
            <w:tcW w:w="0" w:type="auto"/>
          </w:tcPr>
          <w:p w14:paraId="6E640775" w14:textId="1DAD59F4" w:rsidR="00EE3CDE" w:rsidRPr="005E2750" w:rsidRDefault="00EE3CDE" w:rsidP="006A412D">
            <w:pPr>
              <w:pStyle w:val="TableText"/>
              <w:keepNext/>
              <w:cnfStyle w:val="000000000000" w:firstRow="0" w:lastRow="0" w:firstColumn="0" w:lastColumn="0" w:oddVBand="0" w:evenVBand="0" w:oddHBand="0" w:evenHBand="0" w:firstRowFirstColumn="0" w:firstRowLastColumn="0" w:lastRowFirstColumn="0" w:lastRowLastColumn="0"/>
            </w:pPr>
            <w:r w:rsidRPr="005E2750">
              <w:t>All outcomes with an attributed economic value, with the exception of outcomes relating to ‘wellbeing’ were included.</w:t>
            </w:r>
            <w:r>
              <w:t xml:space="preserve"> </w:t>
            </w:r>
            <w:r w:rsidRPr="005E2750">
              <w:t xml:space="preserve">This was based </w:t>
            </w:r>
            <w:r w:rsidR="005B4C4F">
              <w:t xml:space="preserve">on </w:t>
            </w:r>
            <w:r w:rsidRPr="005E2750">
              <w:t>the assumption that there would be a limited number of studies in this area that reported direct costs.</w:t>
            </w:r>
          </w:p>
          <w:p w14:paraId="0E7F167B" w14:textId="77777777" w:rsidR="00EE3CDE" w:rsidRPr="005E2750" w:rsidRDefault="00EE3CDE" w:rsidP="006A412D">
            <w:pPr>
              <w:pStyle w:val="TableText"/>
              <w:keepNext/>
              <w:cnfStyle w:val="000000000000" w:firstRow="0" w:lastRow="0" w:firstColumn="0" w:lastColumn="0" w:oddVBand="0" w:evenVBand="0" w:oddHBand="0" w:evenHBand="0" w:firstRowFirstColumn="0" w:firstRowLastColumn="0" w:lastRowFirstColumn="0" w:lastRowLastColumn="0"/>
            </w:pPr>
            <w:r w:rsidRPr="005E2750">
              <w:t>Outcomes with a broader perspective were also included, for example:</w:t>
            </w:r>
          </w:p>
          <w:p w14:paraId="3C8E33A4" w14:textId="77777777" w:rsidR="00EE3CDE" w:rsidRPr="005E2750" w:rsidRDefault="00EE3CDE" w:rsidP="006A412D">
            <w:pPr>
              <w:pStyle w:val="TableBullet1"/>
              <w:cnfStyle w:val="000000000000" w:firstRow="0" w:lastRow="0" w:firstColumn="0" w:lastColumn="0" w:oddVBand="0" w:evenVBand="0" w:oddHBand="0" w:evenHBand="0" w:firstRowFirstColumn="0" w:firstRowLastColumn="0" w:lastRowFirstColumn="0" w:lastRowLastColumn="0"/>
            </w:pPr>
            <w:r w:rsidRPr="005E2750">
              <w:t>Direct cost offsets (formal and informal care)</w:t>
            </w:r>
          </w:p>
          <w:p w14:paraId="4EE93DBA" w14:textId="77777777" w:rsidR="00EE3CDE" w:rsidRDefault="00EE3CDE" w:rsidP="00E921B3">
            <w:pPr>
              <w:pStyle w:val="TableBullet1"/>
              <w:keepNext/>
              <w:cnfStyle w:val="000000000000" w:firstRow="0" w:lastRow="0" w:firstColumn="0" w:lastColumn="0" w:oddVBand="0" w:evenVBand="0" w:oddHBand="0" w:evenHBand="0" w:firstRowFirstColumn="0" w:firstRowLastColumn="0" w:lastRowFirstColumn="0" w:lastRowLastColumn="0"/>
            </w:pPr>
            <w:r w:rsidRPr="005E2750">
              <w:t>Downstream costs (GP visits, acute and sub-acute hospital admissions, residential aged care facility admissions)</w:t>
            </w:r>
          </w:p>
          <w:p w14:paraId="5C2961EE" w14:textId="0B88F782" w:rsidR="00EE3CDE" w:rsidRPr="005E2750" w:rsidRDefault="00EE3CDE" w:rsidP="00E759B2">
            <w:pPr>
              <w:pStyle w:val="TableBullet1"/>
              <w:keepNext/>
              <w:cnfStyle w:val="000000000000" w:firstRow="0" w:lastRow="0" w:firstColumn="0" w:lastColumn="0" w:oddVBand="0" w:evenVBand="0" w:oddHBand="0" w:evenHBand="0" w:firstRowFirstColumn="0" w:firstRowLastColumn="0" w:lastRowFirstColumn="0" w:lastRowLastColumn="0"/>
            </w:pPr>
            <w:r w:rsidRPr="005E2750">
              <w:t>Social costs (wellbeing, participation, carer health and OH&amp;S including falls).</w:t>
            </w:r>
          </w:p>
        </w:tc>
        <w:tc>
          <w:tcPr>
            <w:tcW w:w="0" w:type="auto"/>
          </w:tcPr>
          <w:p w14:paraId="43649297"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w:t>
            </w:r>
          </w:p>
          <w:p w14:paraId="04587D35"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Economic</w:t>
            </w:r>
          </w:p>
          <w:p w14:paraId="51C7FF45"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Economy</w:t>
            </w:r>
          </w:p>
          <w:p w14:paraId="0098C992"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Financial</w:t>
            </w:r>
          </w:p>
          <w:p w14:paraId="00798ECE"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Cost-analysis</w:t>
            </w:r>
          </w:p>
          <w:p w14:paraId="5268211E"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Cost-saving</w:t>
            </w:r>
          </w:p>
          <w:p w14:paraId="7FCB6EA5"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Cost-minimization/</w:t>
            </w:r>
            <w:r>
              <w:t>‌</w:t>
            </w:r>
            <w:r w:rsidRPr="005E2750">
              <w:t>cost-minimisation</w:t>
            </w:r>
          </w:p>
          <w:p w14:paraId="3A60B35E"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Cost-effectiveness</w:t>
            </w:r>
          </w:p>
          <w:p w14:paraId="2ACDE7B4"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Cost-utility</w:t>
            </w:r>
          </w:p>
          <w:p w14:paraId="383EB3F7"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Modelling/modelling</w:t>
            </w:r>
          </w:p>
          <w:p w14:paraId="588AE0D2"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Cost–benefit</w:t>
            </w:r>
          </w:p>
          <w:p w14:paraId="62DFCD2D"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Policy</w:t>
            </w:r>
          </w:p>
          <w:p w14:paraId="3ECF1EF9"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Resource</w:t>
            </w:r>
          </w:p>
          <w:p w14:paraId="2AE41851" w14:textId="77777777" w:rsidR="00EE3CDE" w:rsidRPr="005E2750"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Utilisation/utilization</w:t>
            </w:r>
          </w:p>
          <w:p w14:paraId="0B859772" w14:textId="77777777" w:rsidR="00EE3CDE" w:rsidRDefault="00EE3CDE" w:rsidP="00EE3CDE">
            <w:pPr>
              <w:pStyle w:val="TableBullet1"/>
              <w:cnfStyle w:val="000000000000" w:firstRow="0" w:lastRow="0" w:firstColumn="0" w:lastColumn="0" w:oddVBand="0" w:evenVBand="0" w:oddHBand="0" w:evenHBand="0" w:firstRowFirstColumn="0" w:firstRowLastColumn="0" w:lastRowFirstColumn="0" w:lastRowLastColumn="0"/>
            </w:pPr>
            <w:r w:rsidRPr="005E2750">
              <w:t>Allocation</w:t>
            </w:r>
          </w:p>
          <w:p w14:paraId="79704D94" w14:textId="6BA7408B" w:rsidR="00EE3CDE" w:rsidRPr="005E2750" w:rsidRDefault="00EE3CDE" w:rsidP="00E759B2">
            <w:pPr>
              <w:pStyle w:val="TableBullet1"/>
              <w:cnfStyle w:val="000000000000" w:firstRow="0" w:lastRow="0" w:firstColumn="0" w:lastColumn="0" w:oddVBand="0" w:evenVBand="0" w:oddHBand="0" w:evenHBand="0" w:firstRowFirstColumn="0" w:firstRowLastColumn="0" w:lastRowFirstColumn="0" w:lastRowLastColumn="0"/>
            </w:pPr>
            <w:r w:rsidRPr="005E2750">
              <w:t>Dollar cost</w:t>
            </w:r>
          </w:p>
        </w:tc>
        <w:tc>
          <w:tcPr>
            <w:tcW w:w="0" w:type="auto"/>
          </w:tcPr>
          <w:p w14:paraId="1F6B19C0" w14:textId="6AC7435E" w:rsidR="00EE3CDE" w:rsidRPr="005E2750" w:rsidRDefault="00EE3CDE" w:rsidP="006A412D">
            <w:pPr>
              <w:pStyle w:val="TableText"/>
              <w:keepNext/>
              <w:cnfStyle w:val="000000000000" w:firstRow="0" w:lastRow="0" w:firstColumn="0" w:lastColumn="0" w:oddVBand="0" w:evenVBand="0" w:oddHBand="0" w:evenHBand="0" w:firstRowFirstColumn="0" w:firstRowLastColumn="0" w:lastRowFirstColumn="0" w:lastRowLastColumn="0"/>
            </w:pPr>
            <w:r w:rsidRPr="005E2750">
              <w:t>Not relating to cost, resource utilisation/​allocation or value</w:t>
            </w:r>
          </w:p>
        </w:tc>
      </w:tr>
      <w:tr w:rsidR="006700BE" w:rsidRPr="005E2750" w14:paraId="3D5FB590" w14:textId="7AACAA5C" w:rsidTr="00EE3CDE">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72C4D7E0" w14:textId="56CE337C" w:rsidR="00EE3CDE" w:rsidRPr="005E2750" w:rsidRDefault="00EE3CDE" w:rsidP="006A412D">
            <w:pPr>
              <w:pStyle w:val="TableText"/>
            </w:pPr>
            <w:r w:rsidRPr="005E2750">
              <w:t>Publication</w:t>
            </w:r>
          </w:p>
        </w:tc>
        <w:tc>
          <w:tcPr>
            <w:tcW w:w="0" w:type="auto"/>
          </w:tcPr>
          <w:p w14:paraId="28E60CC1" w14:textId="77DE0AD6" w:rsidR="00EE3CDE" w:rsidRPr="005E2750" w:rsidRDefault="00EE3CDE" w:rsidP="006A412D">
            <w:pPr>
              <w:pStyle w:val="TableText"/>
              <w:cnfStyle w:val="000000000000" w:firstRow="0" w:lastRow="0" w:firstColumn="0" w:lastColumn="0" w:oddVBand="0" w:evenVBand="0" w:oddHBand="0" w:evenHBand="0" w:firstRowFirstColumn="0" w:firstRowLastColumn="0" w:lastRowFirstColumn="0" w:lastRowLastColumn="0"/>
            </w:pPr>
            <w:r w:rsidRPr="005E2750">
              <w:t xml:space="preserve">Journal publications as well as grey literature, such as </w:t>
            </w:r>
            <w:r w:rsidR="005B4C4F">
              <w:t>u</w:t>
            </w:r>
            <w:r w:rsidRPr="005E2750">
              <w:t>npublished dissertations, theses, books, or conference proceedings</w:t>
            </w:r>
          </w:p>
        </w:tc>
        <w:tc>
          <w:tcPr>
            <w:tcW w:w="0" w:type="auto"/>
          </w:tcPr>
          <w:p w14:paraId="635F58D7" w14:textId="4EBD0D71" w:rsidR="00EE3CDE" w:rsidRPr="005E2750" w:rsidRDefault="00EE3CDE" w:rsidP="006A412D">
            <w:pPr>
              <w:pStyle w:val="TableText"/>
              <w:cnfStyle w:val="000000000000" w:firstRow="0" w:lastRow="0" w:firstColumn="0" w:lastColumn="0" w:oddVBand="0" w:evenVBand="0" w:oddHBand="0" w:evenHBand="0" w:firstRowFirstColumn="0" w:firstRowLastColumn="0" w:lastRowFirstColumn="0" w:lastRowLastColumn="0"/>
            </w:pPr>
            <w:r>
              <w:t>N/​A</w:t>
            </w:r>
          </w:p>
        </w:tc>
        <w:tc>
          <w:tcPr>
            <w:tcW w:w="0" w:type="auto"/>
          </w:tcPr>
          <w:p w14:paraId="790B6C6E" w14:textId="645D1E46" w:rsidR="00EE3CDE" w:rsidRPr="005E2750" w:rsidRDefault="00EE3CDE" w:rsidP="006A412D">
            <w:pPr>
              <w:pStyle w:val="TableText"/>
              <w:cnfStyle w:val="000000000000" w:firstRow="0" w:lastRow="0" w:firstColumn="0" w:lastColumn="0" w:oddVBand="0" w:evenVBand="0" w:oddHBand="0" w:evenHBand="0" w:firstRowFirstColumn="0" w:firstRowLastColumn="0" w:lastRowFirstColumn="0" w:lastRowLastColumn="0"/>
            </w:pPr>
            <w:r w:rsidRPr="005E2750">
              <w:t>Non-English publications.</w:t>
            </w:r>
            <w:r>
              <w:t xml:space="preserve"> </w:t>
            </w:r>
            <w:r w:rsidRPr="005E2750">
              <w:t>Clinical trial protocols.</w:t>
            </w:r>
          </w:p>
        </w:tc>
      </w:tr>
    </w:tbl>
    <w:p w14:paraId="1F282B95" w14:textId="77777777" w:rsidR="00034F4E" w:rsidRDefault="00034F4E" w:rsidP="006700BE">
      <w:pPr>
        <w:pStyle w:val="TableText"/>
      </w:pPr>
    </w:p>
    <w:p w14:paraId="70F906CE" w14:textId="1A67E77B" w:rsidR="006700BE" w:rsidRPr="005E2750" w:rsidRDefault="006700BE" w:rsidP="006700BE">
      <w:pPr>
        <w:pStyle w:val="TableText"/>
      </w:pPr>
      <w:r w:rsidRPr="005E2750">
        <w:lastRenderedPageBreak/>
        <w:t>The RER included interventions based primarily on:</w:t>
      </w:r>
    </w:p>
    <w:p w14:paraId="1C86F151" w14:textId="77777777" w:rsidR="006700BE" w:rsidRPr="005E2750" w:rsidRDefault="006700BE" w:rsidP="006700BE">
      <w:pPr>
        <w:pStyle w:val="TableBullet1"/>
        <w:keepNext/>
        <w:keepLines/>
      </w:pPr>
      <w:r w:rsidRPr="005E2750">
        <w:t>Modelled economic data</w:t>
      </w:r>
    </w:p>
    <w:p w14:paraId="7FE47A3A" w14:textId="749F739A" w:rsidR="006700BE" w:rsidRDefault="006700BE" w:rsidP="006700BE">
      <w:pPr>
        <w:pStyle w:val="TableBullet1"/>
        <w:keepNext/>
        <w:keepLines/>
      </w:pPr>
      <w:r w:rsidRPr="005E2750">
        <w:t>Hypothetical Archetypes (also known as notational patients/​consumers).</w:t>
      </w:r>
    </w:p>
    <w:p w14:paraId="2422C5A5" w14:textId="0B82D7EA" w:rsidR="006700BE" w:rsidRPr="005E2750" w:rsidRDefault="006700BE" w:rsidP="006700BE">
      <w:pPr>
        <w:pStyle w:val="Paragraph"/>
      </w:pPr>
      <w:r w:rsidRPr="006700BE">
        <w:t>However, the cost outcomes did not contribute to the Schedule of Benefits due to the risk of inappropriate interpretation and extrapolation when attributing specific data which were not designed for this particular cohort.</w:t>
      </w:r>
    </w:p>
    <w:p w14:paraId="2895CB59" w14:textId="3496EB6E" w:rsidR="00F81E67" w:rsidRPr="005E2750" w:rsidRDefault="00F81E67" w:rsidP="00633A59">
      <w:pPr>
        <w:pStyle w:val="Heading2"/>
      </w:pPr>
      <w:r w:rsidRPr="005E2750">
        <w:t>Document search</w:t>
      </w:r>
    </w:p>
    <w:p w14:paraId="15A6E030" w14:textId="77777777" w:rsidR="00F81E67" w:rsidRPr="005E2750" w:rsidRDefault="00F81E67" w:rsidP="00972470">
      <w:pPr>
        <w:pStyle w:val="ParaKeep"/>
      </w:pPr>
      <w:r w:rsidRPr="005E2750">
        <w:t>RER was undertaken in two key parts:</w:t>
      </w:r>
    </w:p>
    <w:p w14:paraId="3DF35686" w14:textId="669BAEF0" w:rsidR="00F81E67" w:rsidRPr="005E2750" w:rsidRDefault="00F81E67" w:rsidP="005A7343">
      <w:pPr>
        <w:pStyle w:val="List1"/>
        <w:numPr>
          <w:ilvl w:val="0"/>
          <w:numId w:val="67"/>
        </w:numPr>
      </w:pPr>
      <w:r w:rsidRPr="005E2750">
        <w:t>Using the National Aged Care Alliance (NACA) Assistive Technology position paper as starting point</w:t>
      </w:r>
      <w:r w:rsidR="00861912">
        <w:t xml:space="preserve"> – </w:t>
      </w:r>
      <w:r w:rsidRPr="005E2750">
        <w:t>i.e.</w:t>
      </w:r>
      <w:r w:rsidR="00127ABB">
        <w:t>, </w:t>
      </w:r>
      <w:r w:rsidRPr="005E2750">
        <w:t>as a summary of evidence for economic and other benefits of AT to September 2018</w:t>
      </w:r>
      <w:r w:rsidR="00861912">
        <w:t xml:space="preserve"> – </w:t>
      </w:r>
      <w:r w:rsidRPr="005E2750">
        <w:t>a similar search strategy was repeated for articles published between October 2018 and November 2019 to source articles published more recently. This first part allowed the inclusion of studies prior to 2010 which had already been identified in the NACA paper, as long as they met all other inclusion criteria.</w:t>
      </w:r>
    </w:p>
    <w:p w14:paraId="3B4B184A" w14:textId="77777777" w:rsidR="00F81E67" w:rsidRPr="005E2750" w:rsidRDefault="00F81E67" w:rsidP="00F81E67">
      <w:pPr>
        <w:pStyle w:val="List1"/>
      </w:pPr>
      <w:r w:rsidRPr="005E2750">
        <w:t>Three additional related searches were also performed to find:</w:t>
      </w:r>
    </w:p>
    <w:p w14:paraId="4AEF9EE8" w14:textId="77777777" w:rsidR="00F81E67" w:rsidRPr="005E2750" w:rsidRDefault="00F81E67" w:rsidP="005A7343">
      <w:pPr>
        <w:pStyle w:val="List2"/>
        <w:numPr>
          <w:ilvl w:val="0"/>
          <w:numId w:val="68"/>
        </w:numPr>
        <w:ind w:left="851"/>
      </w:pPr>
      <w:r w:rsidRPr="005E2750">
        <w:t>Academic literature (using EBSCOhost database) describing evidence for economic outcomes related to AT published between January 2009 and November 2019.</w:t>
      </w:r>
    </w:p>
    <w:p w14:paraId="65B003D2" w14:textId="77777777" w:rsidR="00F81E67" w:rsidRPr="005E2750" w:rsidRDefault="00F81E67" w:rsidP="005A7343">
      <w:pPr>
        <w:pStyle w:val="List2"/>
        <w:numPr>
          <w:ilvl w:val="0"/>
          <w:numId w:val="68"/>
        </w:numPr>
        <w:ind w:left="851"/>
      </w:pPr>
      <w:r w:rsidRPr="005E2750">
        <w:t>Grey literature (using Google) describing evidence for economic outcomes related to AT.</w:t>
      </w:r>
    </w:p>
    <w:p w14:paraId="2C8F6B74" w14:textId="77777777" w:rsidR="00F81E67" w:rsidRPr="005E2750" w:rsidRDefault="00F81E67" w:rsidP="005A7343">
      <w:pPr>
        <w:pStyle w:val="List2"/>
        <w:numPr>
          <w:ilvl w:val="0"/>
          <w:numId w:val="68"/>
        </w:numPr>
        <w:ind w:left="851"/>
      </w:pPr>
      <w:r w:rsidRPr="005E2750">
        <w:t xml:space="preserve">Reference checking of the included studies for relevant papers. This allowed the inclusion of studies prior to 2010, as long as they met all other inclusion criteria. </w:t>
      </w:r>
    </w:p>
    <w:p w14:paraId="151A04A7" w14:textId="5FFC9E64" w:rsidR="00F81E67" w:rsidRPr="005E2750" w:rsidRDefault="00F81E67" w:rsidP="00127ABB">
      <w:pPr>
        <w:pStyle w:val="ParaKeep"/>
      </w:pPr>
      <w:r w:rsidRPr="005E2750">
        <w:t xml:space="preserve">The details of Search 1 are provided in </w:t>
      </w:r>
      <w:r w:rsidRPr="005E2750">
        <w:rPr>
          <w:i/>
          <w:iCs/>
        </w:rPr>
        <w:fldChar w:fldCharType="begin"/>
      </w:r>
      <w:r w:rsidRPr="005E2750">
        <w:rPr>
          <w:i/>
          <w:iCs/>
        </w:rPr>
        <w:instrText xml:space="preserve"> REF _Ref35009236 \h  \* MERGEFORMAT </w:instrText>
      </w:r>
      <w:r w:rsidRPr="005E2750">
        <w:rPr>
          <w:i/>
          <w:iCs/>
        </w:rPr>
      </w:r>
      <w:r w:rsidRPr="005E2750">
        <w:rPr>
          <w:i/>
          <w:iCs/>
        </w:rPr>
        <w:fldChar w:fldCharType="separate"/>
      </w:r>
      <w:r w:rsidR="00EB1774" w:rsidRPr="00EB1774">
        <w:rPr>
          <w:i/>
          <w:iCs/>
        </w:rPr>
        <w:t>Table B</w:t>
      </w:r>
      <w:r w:rsidR="00EB1774" w:rsidRPr="00EB1774">
        <w:rPr>
          <w:i/>
          <w:iCs/>
        </w:rPr>
        <w:noBreakHyphen/>
        <w:t>2</w:t>
      </w:r>
      <w:r w:rsidRPr="005E2750">
        <w:rPr>
          <w:i/>
          <w:iCs/>
        </w:rPr>
        <w:fldChar w:fldCharType="end"/>
      </w:r>
      <w:r w:rsidRPr="005E2750">
        <w:t>.</w:t>
      </w:r>
      <w:r w:rsidR="004511B3">
        <w:t xml:space="preserve"> </w:t>
      </w:r>
      <w:r w:rsidRPr="005E2750">
        <w:t xml:space="preserve">The results of the search were summarised and are available on request. </w:t>
      </w:r>
    </w:p>
    <w:p w14:paraId="22314766" w14:textId="36BFA47C" w:rsidR="00F81E67" w:rsidRPr="005E2750" w:rsidRDefault="00F81E67" w:rsidP="00633A59">
      <w:bookmarkStart w:id="68" w:name="_Ref35009236"/>
      <w:bookmarkStart w:id="69" w:name="_Toc40622131"/>
      <w:bookmarkStart w:id="70" w:name="_Toc60999927"/>
      <w:r w:rsidRPr="005E2750">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2</w:t>
      </w:r>
      <w:r w:rsidR="00FD5E41">
        <w:fldChar w:fldCharType="end"/>
      </w:r>
      <w:bookmarkEnd w:id="68"/>
      <w:r w:rsidRPr="005E2750">
        <w:t>:</w:t>
      </w:r>
      <w:r w:rsidR="00A657A0">
        <w:tab/>
      </w:r>
      <w:r w:rsidRPr="005E2750">
        <w:t>Details of NACA search re-run</w:t>
      </w:r>
      <w:bookmarkEnd w:id="69"/>
      <w:bookmarkEnd w:id="70"/>
    </w:p>
    <w:tbl>
      <w:tblPr>
        <w:tblStyle w:val="AHALight"/>
        <w:tblW w:w="0" w:type="auto"/>
        <w:tblLook w:val="04A0" w:firstRow="1" w:lastRow="0" w:firstColumn="1" w:lastColumn="0" w:noHBand="0" w:noVBand="1"/>
        <w:tblCaption w:val="table B-2"/>
        <w:tblDescription w:val="summary of results of literature searches "/>
      </w:tblPr>
      <w:tblGrid>
        <w:gridCol w:w="2549"/>
        <w:gridCol w:w="6806"/>
      </w:tblGrid>
      <w:tr w:rsidR="00F81E67" w:rsidRPr="005E2750" w14:paraId="09249EA9" w14:textId="77777777" w:rsidTr="005A7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78CC788" w14:textId="2BCC537A" w:rsidR="00F81E67" w:rsidRPr="005E2750" w:rsidRDefault="002F3966" w:rsidP="001F345C">
            <w:r>
              <w:t>Detail</w:t>
            </w:r>
          </w:p>
        </w:tc>
        <w:tc>
          <w:tcPr>
            <w:tcW w:w="0" w:type="dxa"/>
          </w:tcPr>
          <w:p w14:paraId="4ECF7E14" w14:textId="29FC80BE" w:rsidR="00F81E67" w:rsidRPr="005E2750" w:rsidRDefault="001F345C" w:rsidP="001F345C">
            <w:pPr>
              <w:cnfStyle w:val="100000000000" w:firstRow="1" w:lastRow="0" w:firstColumn="0" w:lastColumn="0" w:oddVBand="0" w:evenVBand="0" w:oddHBand="0" w:evenHBand="0" w:firstRowFirstColumn="0" w:firstRowLastColumn="0" w:lastRowFirstColumn="0" w:lastRowLastColumn="0"/>
            </w:pPr>
            <w:r w:rsidRPr="005E2750">
              <w:t>Search</w:t>
            </w:r>
          </w:p>
        </w:tc>
      </w:tr>
      <w:tr w:rsidR="00F81E67" w:rsidRPr="005E2750" w14:paraId="73A88DE8" w14:textId="77777777" w:rsidTr="005A7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5CE76141" w14:textId="77777777" w:rsidR="00F81E67" w:rsidRPr="005E2750" w:rsidRDefault="00F81E67" w:rsidP="001F345C">
            <w:r w:rsidRPr="005E2750">
              <w:t>Search terms</w:t>
            </w:r>
          </w:p>
        </w:tc>
        <w:tc>
          <w:tcPr>
            <w:tcW w:w="6806" w:type="dxa"/>
          </w:tcPr>
          <w:p w14:paraId="338AECBB" w14:textId="77777777" w:rsidR="00F81E67" w:rsidRPr="005E2750" w:rsidRDefault="00F81E67" w:rsidP="001F345C">
            <w:pPr>
              <w:cnfStyle w:val="000000100000" w:firstRow="0" w:lastRow="0" w:firstColumn="0" w:lastColumn="0" w:oddVBand="0" w:evenVBand="0" w:oddHBand="1" w:evenHBand="0" w:firstRowFirstColumn="0" w:firstRowLastColumn="0" w:lastRowFirstColumn="0" w:lastRowLastColumn="0"/>
            </w:pPr>
            <w:r w:rsidRPr="005E2750">
              <w:t>(equipment OR technology) AND (age OR disability) AND (economic OR cost)</w:t>
            </w:r>
          </w:p>
        </w:tc>
      </w:tr>
      <w:tr w:rsidR="00F81E67" w:rsidRPr="005E2750" w14:paraId="1C39E0D4" w14:textId="77777777" w:rsidTr="005A7343">
        <w:tc>
          <w:tcPr>
            <w:cnfStyle w:val="001000000000" w:firstRow="0" w:lastRow="0" w:firstColumn="1" w:lastColumn="0" w:oddVBand="0" w:evenVBand="0" w:oddHBand="0" w:evenHBand="0" w:firstRowFirstColumn="0" w:firstRowLastColumn="0" w:lastRowFirstColumn="0" w:lastRowLastColumn="0"/>
            <w:tcW w:w="2549" w:type="dxa"/>
          </w:tcPr>
          <w:p w14:paraId="24590487" w14:textId="77777777" w:rsidR="00F81E67" w:rsidRPr="005E2750" w:rsidRDefault="00F81E67" w:rsidP="001F345C">
            <w:r w:rsidRPr="005E2750">
              <w:t>EBSCOhost databases</w:t>
            </w:r>
          </w:p>
        </w:tc>
        <w:tc>
          <w:tcPr>
            <w:tcW w:w="6806" w:type="dxa"/>
          </w:tcPr>
          <w:p w14:paraId="060F83A4" w14:textId="77777777" w:rsidR="00F81E67" w:rsidRPr="005E2750" w:rsidRDefault="00F81E67" w:rsidP="001F345C">
            <w:pPr>
              <w:cnfStyle w:val="000000000000" w:firstRow="0" w:lastRow="0" w:firstColumn="0" w:lastColumn="0" w:oddVBand="0" w:evenVBand="0" w:oddHBand="0" w:evenHBand="0" w:firstRowFirstColumn="0" w:firstRowLastColumn="0" w:lastRowFirstColumn="0" w:lastRowLastColumn="0"/>
            </w:pPr>
            <w:r w:rsidRPr="005E2750">
              <w:t>CINAHL, Abstracts in Social Gerontology, Healthsource, Psychology and Behavioural Sciences Collection, SocIndex, EconLit</w:t>
            </w:r>
          </w:p>
        </w:tc>
      </w:tr>
      <w:tr w:rsidR="00F81E67" w:rsidRPr="005E2750" w14:paraId="405B1987" w14:textId="77777777" w:rsidTr="005A7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7372EBF8" w14:textId="77777777" w:rsidR="00F81E67" w:rsidRPr="005E2750" w:rsidRDefault="00F81E67" w:rsidP="001F345C">
            <w:r w:rsidRPr="005E2750">
              <w:t>Limit results</w:t>
            </w:r>
          </w:p>
        </w:tc>
        <w:tc>
          <w:tcPr>
            <w:tcW w:w="6806" w:type="dxa"/>
          </w:tcPr>
          <w:p w14:paraId="1AD389D3" w14:textId="77777777" w:rsidR="00F81E67" w:rsidRPr="005E2750" w:rsidRDefault="00F81E67" w:rsidP="001F345C">
            <w:pPr>
              <w:cnfStyle w:val="000000100000" w:firstRow="0" w:lastRow="0" w:firstColumn="0" w:lastColumn="0" w:oddVBand="0" w:evenVBand="0" w:oddHBand="1" w:evenHBand="0" w:firstRowFirstColumn="0" w:firstRowLastColumn="0" w:lastRowFirstColumn="0" w:lastRowLastColumn="0"/>
            </w:pPr>
            <w:r w:rsidRPr="005E2750">
              <w:t>Publication dates October 2018 to November 2019</w:t>
            </w:r>
          </w:p>
        </w:tc>
      </w:tr>
    </w:tbl>
    <w:p w14:paraId="01EF1A87" w14:textId="6D0C1928" w:rsidR="00F81E67" w:rsidRPr="005E2750" w:rsidRDefault="00F81E67" w:rsidP="00127ABB">
      <w:pPr>
        <w:pStyle w:val="ParaKeep"/>
      </w:pPr>
      <w:r w:rsidRPr="005E2750">
        <w:t xml:space="preserve">The search </w:t>
      </w:r>
      <w:r w:rsidR="00FE64D9">
        <w:t xml:space="preserve">terms </w:t>
      </w:r>
      <w:r w:rsidRPr="005E2750">
        <w:t xml:space="preserve">and other settings used to identify relevant academic literature through the EBSCOhost database (Search 2a) are shown in </w:t>
      </w:r>
      <w:r w:rsidRPr="005E2750">
        <w:rPr>
          <w:i/>
          <w:iCs/>
        </w:rPr>
        <w:fldChar w:fldCharType="begin"/>
      </w:r>
      <w:r w:rsidRPr="005E2750">
        <w:rPr>
          <w:i/>
          <w:iCs/>
        </w:rPr>
        <w:instrText xml:space="preserve"> REF _Ref35009338 \h  \* MERGEFORMAT </w:instrText>
      </w:r>
      <w:r w:rsidRPr="005E2750">
        <w:rPr>
          <w:i/>
          <w:iCs/>
        </w:rPr>
      </w:r>
      <w:r w:rsidRPr="005E2750">
        <w:rPr>
          <w:i/>
          <w:iCs/>
        </w:rPr>
        <w:fldChar w:fldCharType="separate"/>
      </w:r>
      <w:r w:rsidR="00EB1774" w:rsidRPr="00EB1774">
        <w:rPr>
          <w:i/>
          <w:iCs/>
        </w:rPr>
        <w:t>Table B</w:t>
      </w:r>
      <w:r w:rsidR="00EB1774" w:rsidRPr="00EB1774">
        <w:rPr>
          <w:i/>
          <w:iCs/>
        </w:rPr>
        <w:noBreakHyphen/>
        <w:t>3</w:t>
      </w:r>
      <w:r w:rsidRPr="005E2750">
        <w:rPr>
          <w:i/>
          <w:iCs/>
        </w:rPr>
        <w:fldChar w:fldCharType="end"/>
      </w:r>
      <w:r w:rsidRPr="005E2750">
        <w:t xml:space="preserve">. </w:t>
      </w:r>
    </w:p>
    <w:p w14:paraId="32CFB7D9" w14:textId="1C24D7CF" w:rsidR="00120921" w:rsidRDefault="00120921">
      <w:bookmarkStart w:id="71" w:name="_Ref35009338"/>
      <w:bookmarkStart w:id="72" w:name="_Toc27469217"/>
      <w:bookmarkStart w:id="73" w:name="_Toc40622132"/>
      <w:bookmarkStart w:id="74" w:name="_Toc60999928"/>
      <w:r>
        <w:br w:type="page"/>
      </w:r>
    </w:p>
    <w:p w14:paraId="4C77D52C" w14:textId="77777777" w:rsidR="00633A59" w:rsidRDefault="00633A59" w:rsidP="00633A59"/>
    <w:p w14:paraId="47C37DBC" w14:textId="2EE56E93" w:rsidR="00F81E67" w:rsidRPr="005E2750" w:rsidRDefault="00F81E67" w:rsidP="00633A59">
      <w:r w:rsidRPr="005E2750">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3</w:t>
      </w:r>
      <w:r w:rsidR="00FD5E41">
        <w:fldChar w:fldCharType="end"/>
      </w:r>
      <w:bookmarkEnd w:id="71"/>
      <w:r w:rsidRPr="005E2750">
        <w:t>:</w:t>
      </w:r>
      <w:r w:rsidR="00A657A0">
        <w:tab/>
      </w:r>
      <w:r w:rsidRPr="005E2750">
        <w:t>EBSCO search specifics</w:t>
      </w:r>
      <w:bookmarkEnd w:id="72"/>
      <w:bookmarkEnd w:id="73"/>
      <w:bookmarkEnd w:id="74"/>
    </w:p>
    <w:tbl>
      <w:tblPr>
        <w:tblStyle w:val="AHALight"/>
        <w:tblW w:w="0" w:type="auto"/>
        <w:tblLook w:val="04A0" w:firstRow="1" w:lastRow="0" w:firstColumn="1" w:lastColumn="0" w:noHBand="0" w:noVBand="1"/>
        <w:tblCaption w:val="table B-3"/>
        <w:tblDescription w:val="list of search terms used to identify  relevant academic literature"/>
      </w:tblPr>
      <w:tblGrid>
        <w:gridCol w:w="1985"/>
        <w:gridCol w:w="7041"/>
      </w:tblGrid>
      <w:tr w:rsidR="00F81E67" w:rsidRPr="00B209F5" w14:paraId="68B11BD8" w14:textId="77777777" w:rsidTr="00127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B7A74" w14:textId="4169C310" w:rsidR="00F81E67" w:rsidRPr="0004132D" w:rsidRDefault="00127ABB" w:rsidP="001F345C">
            <w:r>
              <w:t>Criteria</w:t>
            </w:r>
          </w:p>
        </w:tc>
        <w:tc>
          <w:tcPr>
            <w:tcW w:w="7041" w:type="dxa"/>
          </w:tcPr>
          <w:p w14:paraId="00556FDD" w14:textId="547DDA6C" w:rsidR="00F81E67" w:rsidRPr="0004132D" w:rsidRDefault="001F345C" w:rsidP="001F345C">
            <w:pPr>
              <w:cnfStyle w:val="100000000000" w:firstRow="1" w:lastRow="0" w:firstColumn="0" w:lastColumn="0" w:oddVBand="0" w:evenVBand="0" w:oddHBand="0" w:evenHBand="0" w:firstRowFirstColumn="0" w:firstRowLastColumn="0" w:lastRowFirstColumn="0" w:lastRowLastColumn="0"/>
            </w:pPr>
            <w:r w:rsidRPr="0004132D">
              <w:t>Search</w:t>
            </w:r>
          </w:p>
        </w:tc>
      </w:tr>
      <w:tr w:rsidR="00F81E67" w:rsidRPr="00B209F5" w14:paraId="2CFAD954"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860DE7" w14:textId="77777777" w:rsidR="00F81E67" w:rsidRPr="00B209F5" w:rsidRDefault="00F81E67" w:rsidP="00972470">
            <w:pPr>
              <w:pStyle w:val="TableTextKeep"/>
              <w:rPr>
                <w:b w:val="0"/>
              </w:rPr>
            </w:pPr>
            <w:r w:rsidRPr="00B209F5">
              <w:t>Search terms</w:t>
            </w:r>
          </w:p>
        </w:tc>
        <w:tc>
          <w:tcPr>
            <w:tcW w:w="7041" w:type="dxa"/>
          </w:tcPr>
          <w:p w14:paraId="4AD03660" w14:textId="77777777" w:rsidR="00F81E67" w:rsidRPr="005E2750" w:rsidRDefault="00F81E67" w:rsidP="00972470">
            <w:pPr>
              <w:pStyle w:val="TableTextKeep"/>
              <w:cnfStyle w:val="000000100000" w:firstRow="0" w:lastRow="0" w:firstColumn="0" w:lastColumn="0" w:oddVBand="0" w:evenVBand="0" w:oddHBand="1" w:evenHBand="0" w:firstRowFirstColumn="0" w:firstRowLastColumn="0" w:lastRowFirstColumn="0" w:lastRowLastColumn="0"/>
            </w:pPr>
            <w:r w:rsidRPr="00B209F5">
              <w:t>AT search terms</w:t>
            </w:r>
            <w:r w:rsidRPr="005E2750">
              <w:rPr>
                <w:rStyle w:val="FootnoteReference"/>
                <w:szCs w:val="20"/>
              </w:rPr>
              <w:footnoteReference w:id="3"/>
            </w:r>
          </w:p>
          <w:p w14:paraId="40AED4BC" w14:textId="069BF529" w:rsidR="00F81E67" w:rsidRPr="005E2750" w:rsidRDefault="00F81E67" w:rsidP="00972470">
            <w:pPr>
              <w:pStyle w:val="TableTextKeep"/>
              <w:cnfStyle w:val="000000100000" w:firstRow="0" w:lastRow="0" w:firstColumn="0" w:lastColumn="0" w:oddVBand="0" w:evenVBand="0" w:oddHBand="1" w:evenHBand="0" w:firstRowFirstColumn="0" w:firstRowLastColumn="0" w:lastRowFirstColumn="0" w:lastRowLastColumn="0"/>
            </w:pPr>
            <w:r w:rsidRPr="0004132D">
              <w:t>AND</w:t>
            </w:r>
            <w:r w:rsidR="00EE3CDE">
              <w:t xml:space="preserve"> </w:t>
            </w:r>
            <w:r w:rsidRPr="0004132D">
              <w:t>Age/disability search terms</w:t>
            </w:r>
            <w:r w:rsidRPr="005E2750">
              <w:rPr>
                <w:rStyle w:val="FootnoteReference"/>
                <w:szCs w:val="20"/>
              </w:rPr>
              <w:footnoteReference w:id="4"/>
            </w:r>
          </w:p>
          <w:p w14:paraId="18E1E42A" w14:textId="5EE199A7" w:rsidR="00F81E67" w:rsidRPr="005E2750" w:rsidRDefault="00F81E67" w:rsidP="00EE3CDE">
            <w:pPr>
              <w:pStyle w:val="TableTextKeep"/>
              <w:cnfStyle w:val="000000100000" w:firstRow="0" w:lastRow="0" w:firstColumn="0" w:lastColumn="0" w:oddVBand="0" w:evenVBand="0" w:oddHBand="1" w:evenHBand="0" w:firstRowFirstColumn="0" w:firstRowLastColumn="0" w:lastRowFirstColumn="0" w:lastRowLastColumn="0"/>
            </w:pPr>
            <w:r w:rsidRPr="0004132D">
              <w:t>AND</w:t>
            </w:r>
            <w:r w:rsidR="00EE3CDE">
              <w:t xml:space="preserve"> </w:t>
            </w:r>
            <w:r w:rsidRPr="0004132D">
              <w:t>Economic outcomes search terms</w:t>
            </w:r>
            <w:r w:rsidRPr="005E2750">
              <w:rPr>
                <w:rStyle w:val="FootnoteReference"/>
                <w:szCs w:val="20"/>
              </w:rPr>
              <w:footnoteReference w:id="5"/>
            </w:r>
          </w:p>
        </w:tc>
      </w:tr>
      <w:tr w:rsidR="00F81E67" w:rsidRPr="00B209F5" w14:paraId="4EE5CB1D" w14:textId="77777777" w:rsidTr="00127ABB">
        <w:tc>
          <w:tcPr>
            <w:cnfStyle w:val="001000000000" w:firstRow="0" w:lastRow="0" w:firstColumn="1" w:lastColumn="0" w:oddVBand="0" w:evenVBand="0" w:oddHBand="0" w:evenHBand="0" w:firstRowFirstColumn="0" w:firstRowLastColumn="0" w:lastRowFirstColumn="0" w:lastRowLastColumn="0"/>
            <w:tcW w:w="1985" w:type="dxa"/>
          </w:tcPr>
          <w:p w14:paraId="2E703C97" w14:textId="77777777" w:rsidR="00F81E67" w:rsidRPr="00B209F5" w:rsidRDefault="00F81E67" w:rsidP="00972470">
            <w:pPr>
              <w:pStyle w:val="TableTextKeep"/>
              <w:rPr>
                <w:b w:val="0"/>
              </w:rPr>
            </w:pPr>
            <w:r w:rsidRPr="00B209F5">
              <w:t>Databases</w:t>
            </w:r>
          </w:p>
        </w:tc>
        <w:tc>
          <w:tcPr>
            <w:tcW w:w="7041" w:type="dxa"/>
          </w:tcPr>
          <w:p w14:paraId="22D134DD" w14:textId="77777777" w:rsidR="00F81E67" w:rsidRPr="00B209F5" w:rsidRDefault="00F81E67" w:rsidP="00972470">
            <w:pPr>
              <w:pStyle w:val="TableTextKeep"/>
              <w:cnfStyle w:val="000000000000" w:firstRow="0" w:lastRow="0" w:firstColumn="0" w:lastColumn="0" w:oddVBand="0" w:evenVBand="0" w:oddHBand="0" w:evenHBand="0" w:firstRowFirstColumn="0" w:firstRowLastColumn="0" w:lastRowFirstColumn="0" w:lastRowLastColumn="0"/>
            </w:pPr>
            <w:r w:rsidRPr="00B209F5">
              <w:t>CINAHL Plus, Abstracts in Social Gerontology, Healthsource, Psychology and Behavioural Sciences Collection, SocIndex, ECONLit</w:t>
            </w:r>
          </w:p>
        </w:tc>
      </w:tr>
      <w:tr w:rsidR="00F81E67" w:rsidRPr="00B209F5" w14:paraId="76586A32"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AE06A7" w14:textId="77777777" w:rsidR="00F81E67" w:rsidRPr="00B209F5" w:rsidRDefault="00F81E67" w:rsidP="00741C98">
            <w:pPr>
              <w:pStyle w:val="TableTextKeep"/>
              <w:rPr>
                <w:b w:val="0"/>
              </w:rPr>
            </w:pPr>
            <w:r w:rsidRPr="00B209F5">
              <w:t>In</w:t>
            </w:r>
          </w:p>
        </w:tc>
        <w:tc>
          <w:tcPr>
            <w:tcW w:w="7041" w:type="dxa"/>
          </w:tcPr>
          <w:p w14:paraId="0F421CD2" w14:textId="77777777" w:rsidR="00F81E67" w:rsidRPr="00B209F5" w:rsidRDefault="00F81E67" w:rsidP="00741C98">
            <w:pPr>
              <w:pStyle w:val="TableTextKeep"/>
              <w:cnfStyle w:val="000000100000" w:firstRow="0" w:lastRow="0" w:firstColumn="0" w:lastColumn="0" w:oddVBand="0" w:evenVBand="0" w:oddHBand="1" w:evenHBand="0" w:firstRowFirstColumn="0" w:firstRowLastColumn="0" w:lastRowFirstColumn="0" w:lastRowLastColumn="0"/>
            </w:pPr>
            <w:r w:rsidRPr="00B209F5">
              <w:t>Abstracts</w:t>
            </w:r>
          </w:p>
        </w:tc>
      </w:tr>
      <w:tr w:rsidR="00F81E67" w:rsidRPr="00B209F5" w14:paraId="62D2C67C" w14:textId="77777777" w:rsidTr="00127ABB">
        <w:tc>
          <w:tcPr>
            <w:cnfStyle w:val="001000000000" w:firstRow="0" w:lastRow="0" w:firstColumn="1" w:lastColumn="0" w:oddVBand="0" w:evenVBand="0" w:oddHBand="0" w:evenHBand="0" w:firstRowFirstColumn="0" w:firstRowLastColumn="0" w:lastRowFirstColumn="0" w:lastRowLastColumn="0"/>
            <w:tcW w:w="1985" w:type="dxa"/>
          </w:tcPr>
          <w:p w14:paraId="38EEEC10" w14:textId="77777777" w:rsidR="00F81E67" w:rsidRPr="00B209F5" w:rsidRDefault="00F81E67" w:rsidP="00741C98">
            <w:pPr>
              <w:pStyle w:val="TableTextKeep"/>
              <w:rPr>
                <w:b w:val="0"/>
              </w:rPr>
            </w:pPr>
            <w:r w:rsidRPr="00B209F5">
              <w:t>Search options</w:t>
            </w:r>
          </w:p>
        </w:tc>
        <w:tc>
          <w:tcPr>
            <w:tcW w:w="7041" w:type="dxa"/>
          </w:tcPr>
          <w:p w14:paraId="40E2EADE" w14:textId="77777777" w:rsidR="00F81E67" w:rsidRPr="00B209F5" w:rsidRDefault="00F81E67" w:rsidP="00741C98">
            <w:pPr>
              <w:pStyle w:val="TableTextKeep"/>
              <w:cnfStyle w:val="000000000000" w:firstRow="0" w:lastRow="0" w:firstColumn="0" w:lastColumn="0" w:oddVBand="0" w:evenVBand="0" w:oddHBand="0" w:evenHBand="0" w:firstRowFirstColumn="0" w:firstRowLastColumn="0" w:lastRowFirstColumn="0" w:lastRowLastColumn="0"/>
            </w:pPr>
            <w:r w:rsidRPr="00B209F5">
              <w:t>Boolean/Phrase</w:t>
            </w:r>
          </w:p>
          <w:p w14:paraId="5C59244F" w14:textId="77777777" w:rsidR="00F81E67" w:rsidRPr="00B209F5" w:rsidRDefault="00F81E67" w:rsidP="00741C98">
            <w:pPr>
              <w:pStyle w:val="TableTextKeep"/>
              <w:cnfStyle w:val="000000000000" w:firstRow="0" w:lastRow="0" w:firstColumn="0" w:lastColumn="0" w:oddVBand="0" w:evenVBand="0" w:oddHBand="0" w:evenHBand="0" w:firstRowFirstColumn="0" w:firstRowLastColumn="0" w:lastRowFirstColumn="0" w:lastRowLastColumn="0"/>
            </w:pPr>
            <w:r w:rsidRPr="00B209F5">
              <w:t>Apply equivalent subjects expander</w:t>
            </w:r>
          </w:p>
        </w:tc>
      </w:tr>
      <w:tr w:rsidR="00F81E67" w:rsidRPr="00B209F5" w14:paraId="39550791"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157071" w14:textId="77777777" w:rsidR="00F81E67" w:rsidRPr="00B209F5" w:rsidRDefault="00F81E67" w:rsidP="00741C98">
            <w:pPr>
              <w:pStyle w:val="TableTextKeep"/>
              <w:rPr>
                <w:b w:val="0"/>
              </w:rPr>
            </w:pPr>
            <w:r w:rsidRPr="00B209F5">
              <w:t>Limit results</w:t>
            </w:r>
          </w:p>
        </w:tc>
        <w:tc>
          <w:tcPr>
            <w:tcW w:w="7041" w:type="dxa"/>
          </w:tcPr>
          <w:p w14:paraId="10878063" w14:textId="77777777" w:rsidR="00F81E67" w:rsidRPr="00B209F5" w:rsidRDefault="00F81E67" w:rsidP="00741C98">
            <w:pPr>
              <w:pStyle w:val="TableTextKeep"/>
              <w:cnfStyle w:val="000000100000" w:firstRow="0" w:lastRow="0" w:firstColumn="0" w:lastColumn="0" w:oddVBand="0" w:evenVBand="0" w:oddHBand="1" w:evenHBand="0" w:firstRowFirstColumn="0" w:firstRowLastColumn="0" w:lastRowFirstColumn="0" w:lastRowLastColumn="0"/>
            </w:pPr>
            <w:r w:rsidRPr="00B209F5">
              <w:t>Publication dates January 2009 to November 2019</w:t>
            </w:r>
          </w:p>
        </w:tc>
      </w:tr>
      <w:tr w:rsidR="00F81E67" w:rsidRPr="00B209F5" w14:paraId="4B7B007E" w14:textId="77777777" w:rsidTr="00127ABB">
        <w:tc>
          <w:tcPr>
            <w:cnfStyle w:val="001000000000" w:firstRow="0" w:lastRow="0" w:firstColumn="1" w:lastColumn="0" w:oddVBand="0" w:evenVBand="0" w:oddHBand="0" w:evenHBand="0" w:firstRowFirstColumn="0" w:firstRowLastColumn="0" w:lastRowFirstColumn="0" w:lastRowLastColumn="0"/>
            <w:tcW w:w="1985" w:type="dxa"/>
          </w:tcPr>
          <w:p w14:paraId="0E1028F6" w14:textId="77777777" w:rsidR="00F81E67" w:rsidRPr="00B209F5" w:rsidRDefault="00F81E67" w:rsidP="00741C98">
            <w:pPr>
              <w:pStyle w:val="TableTextKeep"/>
              <w:rPr>
                <w:b w:val="0"/>
              </w:rPr>
            </w:pPr>
            <w:r w:rsidRPr="00B209F5">
              <w:t xml:space="preserve">Special limiters for CINAHL Plus </w:t>
            </w:r>
          </w:p>
        </w:tc>
        <w:tc>
          <w:tcPr>
            <w:tcW w:w="7041" w:type="dxa"/>
          </w:tcPr>
          <w:p w14:paraId="1D000C55" w14:textId="77777777" w:rsidR="00F81E67" w:rsidRPr="00B209F5" w:rsidRDefault="00F81E67" w:rsidP="00741C98">
            <w:pPr>
              <w:pStyle w:val="TableTextKeep"/>
              <w:cnfStyle w:val="000000000000" w:firstRow="0" w:lastRow="0" w:firstColumn="0" w:lastColumn="0" w:oddVBand="0" w:evenVBand="0" w:oddHBand="0" w:evenHBand="0" w:firstRowFirstColumn="0" w:firstRowLastColumn="0" w:lastRowFirstColumn="0" w:lastRowLastColumn="0"/>
            </w:pPr>
            <w:r w:rsidRPr="00B209F5">
              <w:t>Abstract available</w:t>
            </w:r>
          </w:p>
          <w:p w14:paraId="25E5DDBD" w14:textId="77777777" w:rsidR="00F81E67" w:rsidRPr="00B209F5" w:rsidRDefault="00F81E67" w:rsidP="00741C98">
            <w:pPr>
              <w:pStyle w:val="TableTextKeep"/>
              <w:cnfStyle w:val="000000000000" w:firstRow="0" w:lastRow="0" w:firstColumn="0" w:lastColumn="0" w:oddVBand="0" w:evenVBand="0" w:oddHBand="0" w:evenHBand="0" w:firstRowFirstColumn="0" w:firstRowLastColumn="0" w:lastRowFirstColumn="0" w:lastRowLastColumn="0"/>
            </w:pPr>
            <w:r w:rsidRPr="00B209F5">
              <w:t>English Language</w:t>
            </w:r>
          </w:p>
          <w:p w14:paraId="7E7872B9" w14:textId="77777777" w:rsidR="00F81E67" w:rsidRPr="00B209F5" w:rsidRDefault="00F81E67" w:rsidP="00741C98">
            <w:pPr>
              <w:pStyle w:val="TableTextKeep"/>
              <w:cnfStyle w:val="000000000000" w:firstRow="0" w:lastRow="0" w:firstColumn="0" w:lastColumn="0" w:oddVBand="0" w:evenVBand="0" w:oddHBand="0" w:evenHBand="0" w:firstRowFirstColumn="0" w:firstRowLastColumn="0" w:lastRowFirstColumn="0" w:lastRowLastColumn="0"/>
            </w:pPr>
            <w:r w:rsidRPr="00B209F5">
              <w:t>Human</w:t>
            </w:r>
          </w:p>
          <w:p w14:paraId="6DD625F4" w14:textId="77777777" w:rsidR="00F81E67" w:rsidRPr="00B209F5" w:rsidRDefault="00F81E67" w:rsidP="00741C98">
            <w:pPr>
              <w:pStyle w:val="TableTextKeep"/>
              <w:cnfStyle w:val="000000000000" w:firstRow="0" w:lastRow="0" w:firstColumn="0" w:lastColumn="0" w:oddVBand="0" w:evenVBand="0" w:oddHBand="0" w:evenHBand="0" w:firstRowFirstColumn="0" w:firstRowLastColumn="0" w:lastRowFirstColumn="0" w:lastRowLastColumn="0"/>
            </w:pPr>
            <w:r w:rsidRPr="00B209F5">
              <w:t>All adult age group</w:t>
            </w:r>
          </w:p>
        </w:tc>
      </w:tr>
      <w:tr w:rsidR="00F81E67" w:rsidRPr="00B209F5" w14:paraId="40F5CB0F" w14:textId="77777777" w:rsidTr="00127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CECF8B" w14:textId="77777777" w:rsidR="00F81E67" w:rsidRPr="00B209F5" w:rsidRDefault="00F81E67" w:rsidP="00741C98">
            <w:pPr>
              <w:pStyle w:val="TableTextKeep"/>
            </w:pPr>
            <w:r w:rsidRPr="00B209F5">
              <w:t xml:space="preserve">Special limiters for SocINDEX </w:t>
            </w:r>
          </w:p>
        </w:tc>
        <w:tc>
          <w:tcPr>
            <w:tcW w:w="7041" w:type="dxa"/>
          </w:tcPr>
          <w:p w14:paraId="40FCE54E" w14:textId="77777777" w:rsidR="00F81E67" w:rsidRPr="00B209F5" w:rsidRDefault="00F81E67" w:rsidP="00741C98">
            <w:pPr>
              <w:pStyle w:val="TableTextKeep"/>
              <w:cnfStyle w:val="000000100000" w:firstRow="0" w:lastRow="0" w:firstColumn="0" w:lastColumn="0" w:oddVBand="0" w:evenVBand="0" w:oddHBand="1" w:evenHBand="0" w:firstRowFirstColumn="0" w:firstRowLastColumn="0" w:lastRowFirstColumn="0" w:lastRowLastColumn="0"/>
            </w:pPr>
            <w:r w:rsidRPr="00B209F5">
              <w:t>English</w:t>
            </w:r>
          </w:p>
        </w:tc>
      </w:tr>
      <w:tr w:rsidR="00F81E67" w:rsidRPr="00B209F5" w14:paraId="327E7677" w14:textId="77777777" w:rsidTr="00127ABB">
        <w:tc>
          <w:tcPr>
            <w:cnfStyle w:val="001000000000" w:firstRow="0" w:lastRow="0" w:firstColumn="1" w:lastColumn="0" w:oddVBand="0" w:evenVBand="0" w:oddHBand="0" w:evenHBand="0" w:firstRowFirstColumn="0" w:firstRowLastColumn="0" w:lastRowFirstColumn="0" w:lastRowLastColumn="0"/>
            <w:tcW w:w="1985" w:type="dxa"/>
          </w:tcPr>
          <w:p w14:paraId="307BE39B" w14:textId="77777777" w:rsidR="00F81E67" w:rsidRPr="00B209F5" w:rsidRDefault="00F81E67" w:rsidP="001F345C">
            <w:pPr>
              <w:pStyle w:val="TableText"/>
              <w:rPr>
                <w:b w:val="0"/>
                <w:szCs w:val="20"/>
              </w:rPr>
            </w:pPr>
            <w:r w:rsidRPr="00B209F5">
              <w:rPr>
                <w:szCs w:val="20"/>
              </w:rPr>
              <w:t>Exclusion criteria (manual)</w:t>
            </w:r>
          </w:p>
        </w:tc>
        <w:tc>
          <w:tcPr>
            <w:tcW w:w="7041" w:type="dxa"/>
          </w:tcPr>
          <w:p w14:paraId="1BD76D07" w14:textId="77777777" w:rsidR="00F81E67" w:rsidRPr="00B209F5" w:rsidRDefault="00F81E67" w:rsidP="00741C98">
            <w:pPr>
              <w:pStyle w:val="TableText"/>
              <w:cnfStyle w:val="000000000000" w:firstRow="0" w:lastRow="0" w:firstColumn="0" w:lastColumn="0" w:oddVBand="0" w:evenVBand="0" w:oddHBand="0" w:evenHBand="0" w:firstRowFirstColumn="0" w:firstRowLastColumn="0" w:lastRowFirstColumn="0" w:lastRowLastColumn="0"/>
            </w:pPr>
            <w:r w:rsidRPr="00B209F5">
              <w:t>Non-English language, AT not relevant to older people (i.e. pregnancy, paediatrics), health management devices (e.g. diabetes products), trial protocols, implants, opinion piece, narrative review (although could be screened for primary data sources)</w:t>
            </w:r>
          </w:p>
        </w:tc>
      </w:tr>
    </w:tbl>
    <w:p w14:paraId="389393AA" w14:textId="2687947A" w:rsidR="00F81E67" w:rsidRPr="00B209F5" w:rsidRDefault="00F81E67" w:rsidP="00F81E67">
      <w:pPr>
        <w:pStyle w:val="Paragraph"/>
      </w:pPr>
      <w:r w:rsidRPr="00B209F5">
        <w:t>Titles and abstracts were reviewed to ascertain eligibility</w:t>
      </w:r>
      <w:r w:rsidR="00FE64D9">
        <w:t xml:space="preserve"> and </w:t>
      </w:r>
      <w:r w:rsidRPr="00B209F5">
        <w:t>potential relevance.</w:t>
      </w:r>
      <w:r w:rsidR="004511B3">
        <w:t xml:space="preserve"> </w:t>
      </w:r>
      <w:r w:rsidRPr="00B209F5">
        <w:t>Full text articles of included citations were sourced, reviewed and summarised by AHA.</w:t>
      </w:r>
    </w:p>
    <w:p w14:paraId="1094B1D5" w14:textId="69FBA5C7" w:rsidR="00F81E67" w:rsidRPr="00B209F5" w:rsidRDefault="00F81E67" w:rsidP="00972470">
      <w:pPr>
        <w:pStyle w:val="ParaKeep"/>
      </w:pPr>
      <w:r w:rsidRPr="00B209F5">
        <w:t xml:space="preserve">The </w:t>
      </w:r>
      <w:r w:rsidRPr="00B209F5">
        <w:rPr>
          <w:b/>
          <w:bCs/>
        </w:rPr>
        <w:t>Google Search</w:t>
      </w:r>
      <w:r w:rsidRPr="00B209F5">
        <w:t xml:space="preserve"> for grey literature (Search 2b) used </w:t>
      </w:r>
      <w:r w:rsidR="00FE64D9">
        <w:t xml:space="preserve">terms </w:t>
      </w:r>
      <w:r w:rsidRPr="00B209F5">
        <w:t>similar to those used in the EBSCOhost searches:</w:t>
      </w:r>
    </w:p>
    <w:p w14:paraId="33770063" w14:textId="113C47DA" w:rsidR="00F81E67" w:rsidRPr="00B209F5" w:rsidRDefault="00F81E67" w:rsidP="00F81E67">
      <w:pPr>
        <w:pStyle w:val="Quote"/>
      </w:pPr>
      <w:r w:rsidRPr="00B209F5">
        <w:t xml:space="preserve">equipment OR device OR technology OR </w:t>
      </w:r>
      <w:r w:rsidR="00127ABB">
        <w:t>“</w:t>
      </w:r>
      <w:r w:rsidRPr="00B209F5">
        <w:t>assistive technology</w:t>
      </w:r>
      <w:r w:rsidR="00127ABB">
        <w:t>”</w:t>
      </w:r>
      <w:r w:rsidRPr="00B209F5">
        <w:t xml:space="preserve"> OR </w:t>
      </w:r>
      <w:r w:rsidR="00127ABB">
        <w:t>“</w:t>
      </w:r>
      <w:r w:rsidRPr="00B209F5">
        <w:t>assistive device</w:t>
      </w:r>
      <w:r w:rsidR="00127ABB">
        <w:t>”</w:t>
      </w:r>
      <w:r w:rsidRPr="00B209F5">
        <w:t xml:space="preserve"> OR “assistive product” OR </w:t>
      </w:r>
      <w:r w:rsidR="00127ABB">
        <w:t>“</w:t>
      </w:r>
      <w:r w:rsidRPr="00B209F5">
        <w:t>aids and equipment</w:t>
      </w:r>
      <w:r w:rsidR="00127ABB">
        <w:t>”</w:t>
      </w:r>
      <w:r w:rsidRPr="00B209F5">
        <w:t xml:space="preserve"> OR </w:t>
      </w:r>
      <w:r w:rsidR="00127ABB">
        <w:t>“</w:t>
      </w:r>
      <w:r w:rsidRPr="00B209F5">
        <w:t>independent living products</w:t>
      </w:r>
      <w:r w:rsidR="00127ABB">
        <w:t>”</w:t>
      </w:r>
      <w:r w:rsidRPr="00B209F5">
        <w:t xml:space="preserve"> AND aged OR older OR disability AND benefits OR outcomes OR cost OR economic OR policy OR financial OR modelling OR resource OR utilisation OR utilization.</w:t>
      </w:r>
    </w:p>
    <w:p w14:paraId="5116C0DD" w14:textId="0EBA9B71" w:rsidR="00F81E67" w:rsidRPr="00B209F5" w:rsidRDefault="00F81E67" w:rsidP="00F81E67">
      <w:pPr>
        <w:pStyle w:val="Paragraph"/>
      </w:pPr>
      <w:r w:rsidRPr="00B209F5">
        <w:t>Results from the first 25 pages of Google search results were reviewed for potential relevance.</w:t>
      </w:r>
      <w:r w:rsidR="00EE3CDE">
        <w:t xml:space="preserve"> </w:t>
      </w:r>
      <w:r w:rsidRPr="00B209F5">
        <w:t>Additional references provided or recommended by stakeholders were also analysed with articles sourced through Search 2.</w:t>
      </w:r>
    </w:p>
    <w:p w14:paraId="70F1C682" w14:textId="77777777" w:rsidR="00F81E67" w:rsidRPr="00B209F5" w:rsidRDefault="00F81E67" w:rsidP="00633A59">
      <w:pPr>
        <w:pStyle w:val="Heading2"/>
      </w:pPr>
      <w:r w:rsidRPr="00B209F5">
        <w:lastRenderedPageBreak/>
        <w:t xml:space="preserve">Quality and risk assessment </w:t>
      </w:r>
    </w:p>
    <w:p w14:paraId="06595C78" w14:textId="3F290416" w:rsidR="00F81E67" w:rsidRPr="00B209F5" w:rsidRDefault="00F81E67" w:rsidP="00F81E67">
      <w:pPr>
        <w:pStyle w:val="Paragraph"/>
      </w:pPr>
      <w:r w:rsidRPr="00B209F5">
        <w:t>Each of the included papers was assessed for risk of bias and quality of reporting using the CHEERS Checklist.</w:t>
      </w:r>
      <w:r w:rsidR="004511B3">
        <w:t xml:space="preserve"> </w:t>
      </w:r>
      <w:r w:rsidRPr="00B209F5">
        <w:t>This provided information on the strength of the evidence and informed how this evidence was weighted in the economic modelling.</w:t>
      </w:r>
      <w:r w:rsidR="004511B3">
        <w:t xml:space="preserve"> </w:t>
      </w:r>
      <w:r w:rsidRPr="00B209F5">
        <w:t>Risk of bias and quality of reporting were assessed separately.</w:t>
      </w:r>
    </w:p>
    <w:p w14:paraId="2D3D2928" w14:textId="77777777" w:rsidR="00F81E67" w:rsidRPr="00633A59" w:rsidRDefault="00F81E67" w:rsidP="00633A59">
      <w:pPr>
        <w:rPr>
          <w:b/>
          <w:sz w:val="28"/>
          <w:szCs w:val="28"/>
        </w:rPr>
      </w:pPr>
      <w:r w:rsidRPr="00633A59">
        <w:rPr>
          <w:b/>
          <w:sz w:val="28"/>
          <w:szCs w:val="28"/>
        </w:rPr>
        <w:t>Risk of bias (ROB)</w:t>
      </w:r>
    </w:p>
    <w:p w14:paraId="1E60BAE6" w14:textId="6EC0DEF0" w:rsidR="00F81E67" w:rsidRPr="004900F0" w:rsidRDefault="00F81E67" w:rsidP="00F81E67">
      <w:pPr>
        <w:pStyle w:val="Paragraph"/>
      </w:pPr>
      <w:r w:rsidRPr="00B209F5">
        <w:t>We used the Cochrane Collaboration’s tool to assess the risk of bias</w:t>
      </w:r>
      <w:r w:rsidRPr="00E570F3">
        <w:fldChar w:fldCharType="begin"/>
      </w:r>
      <w:r w:rsidRPr="00B209F5">
        <w:instrText xml:space="preserve">  EN.CITE &lt;EndNote&gt;&lt;Cite&gt;&lt;Author&gt;Higgins&lt;/Author&gt;&lt;Year&gt;2011&lt;/Year&gt;&lt;RecNum&gt;45&lt;/RecNum&gt;&lt;DisplayText&gt;(Higgins, 2011)&lt;/DisplayText&gt;&lt;record&gt;&lt;rec-number&gt;45&lt;/rec-number&gt;&lt;foreign-keys&gt;&lt;key app="EN" db-id="z0f5xrvehzt9xzexr2k5apf1psvsftpfvp52" timestamp="1583009359"&gt;45&lt;/key&gt;&lt;/foreign-keys&gt;&lt;ref-type name="Journal Article"&gt;17&lt;/ref-type&gt;&lt;contributors&gt;&lt;authors&gt;&lt;author&gt;Higgins, JP&lt;/author&gt;&lt;/authors&gt;&lt;/contributors&gt;&lt;titles&gt;&lt;title&gt;Cochrane handbook for systematic reviews of interventions. Version 5.1. 0 [updated March 2011]. The Cochrane Collaboration&lt;/title&gt;&lt;secondary-title&gt;www. cochrane-handbook. org&lt;/secondary-title&gt;&lt;/titles&gt;&lt;periodical&gt;&lt;full-title&gt;www. cochrane-handbook. org&lt;/full-title&gt;&lt;/periodical&gt;&lt;dates&gt;&lt;year&gt;2011&lt;/year&gt;&lt;/dates&gt;&lt;urls&gt;&lt;/urls&gt;&lt;/record&gt;&lt;/Cite&gt;&lt;/EndNote&gt;</w:instrText>
      </w:r>
      <w:r w:rsidRPr="00E570F3">
        <w:fldChar w:fldCharType="separate"/>
      </w:r>
      <w:r w:rsidRPr="00B209F5">
        <w:t>(Higgins, 2011)</w:t>
      </w:r>
      <w:r w:rsidRPr="00E570F3">
        <w:fldChar w:fldCharType="end"/>
      </w:r>
      <w:r w:rsidRPr="005E2750">
        <w:t>.</w:t>
      </w:r>
      <w:r w:rsidR="004511B3">
        <w:t xml:space="preserve"> </w:t>
      </w:r>
      <w:r w:rsidRPr="005E2750">
        <w:t xml:space="preserve">Individual studies were assessed against the six </w:t>
      </w:r>
      <w:r w:rsidR="00F909FF">
        <w:t xml:space="preserve">items </w:t>
      </w:r>
      <w:r w:rsidRPr="005E2750">
        <w:t>of the checklist and given a score</w:t>
      </w:r>
      <w:r w:rsidRPr="0004132D">
        <w:t xml:space="preserve"> of low risk (1/1), high risk (0/1), or not relevant to this type of study (not scored).</w:t>
      </w:r>
      <w:r w:rsidR="004511B3">
        <w:t xml:space="preserve"> </w:t>
      </w:r>
      <w:r w:rsidRPr="0004132D">
        <w:t xml:space="preserve">The risk of bias for each study was calculated by dividing the total score by the total number of </w:t>
      </w:r>
      <w:r w:rsidR="00F909FF">
        <w:t xml:space="preserve">items </w:t>
      </w:r>
      <w:r w:rsidRPr="0004132D">
        <w:t>that were scored, with higher scores indicating lower risk.</w:t>
      </w:r>
      <w:r w:rsidR="004511B3">
        <w:t xml:space="preserve"> </w:t>
      </w:r>
      <w:r w:rsidRPr="0004132D">
        <w:t>Results did not influence inclusion in the final group of studies but did influence the use of evidence associated with each study.</w:t>
      </w:r>
    </w:p>
    <w:p w14:paraId="7FEEDB73" w14:textId="77777777" w:rsidR="00F81E67" w:rsidRPr="00633A59" w:rsidRDefault="00F81E67" w:rsidP="00633A59">
      <w:pPr>
        <w:rPr>
          <w:b/>
          <w:sz w:val="28"/>
          <w:szCs w:val="28"/>
        </w:rPr>
      </w:pPr>
      <w:r w:rsidRPr="00633A59">
        <w:rPr>
          <w:b/>
          <w:sz w:val="28"/>
          <w:szCs w:val="28"/>
        </w:rPr>
        <w:t>Quality of reporting</w:t>
      </w:r>
    </w:p>
    <w:p w14:paraId="0965B913" w14:textId="413BBEBB" w:rsidR="00F81E67" w:rsidRPr="0004132D" w:rsidRDefault="00F81E67" w:rsidP="00F81E67">
      <w:pPr>
        <w:pStyle w:val="Paragraph"/>
      </w:pPr>
      <w:r w:rsidRPr="00B209F5">
        <w:t xml:space="preserve">We used the Consolidated Health Economic Evaluation Reporting Standards (CHEERS) checklist to determine the quality of reporting from an economic perspective </w:t>
      </w:r>
      <w:r w:rsidRPr="00E570F3">
        <w:fldChar w:fldCharType="begin"/>
      </w:r>
      <w:r w:rsidRPr="00B209F5">
        <w:instrText xml:space="preserve">  EN.CITE &lt;EndNote&gt;&lt;Cite&gt;&lt;Author&gt;Husereau&lt;/Author&gt;&lt;Year&gt;2013&lt;/Year&gt;&lt;RecNum&gt;46&lt;/RecNum&gt;&lt;DisplayText&gt;(Husereau et al., 2013)&lt;/DisplayText&gt;&lt;record&gt;&lt;rec-number&gt;46&lt;/rec-number&gt;&lt;foreign-keys&gt;&lt;key app="EN" db-id="z0f5xrvehzt9xzexr2k5apf1psvsftpfvp52" timestamp="1583009420"&gt;46&lt;/key&gt;&lt;/foreign-keys&gt;&lt;ref-type name="Journal Article"&gt;17&lt;/ref-type&gt;&lt;contributors&gt;&lt;authors&gt;&lt;author&gt;Husereau, Don&lt;/author&gt;&lt;author&gt;Drummond, Michael&lt;/author&gt;&lt;author&gt;Petrou, Stavros&lt;/author&gt;&lt;author&gt;Carswell, Chris&lt;/author&gt;&lt;author&gt;Moher, David&lt;/author&gt;&lt;author&gt;Greenberg, Dan&lt;/author&gt;&lt;author&gt;Augustovski, Federico&lt;/author&gt;&lt;author&gt;Briggs, Andrew H&lt;/author&gt;&lt;author&gt;Mauskopf, Josephine&lt;/author&gt;&lt;author&gt;Loder, Elizabeth&lt;/author&gt;&lt;/authors&gt;&lt;/contributors&gt;&lt;titles&gt;&lt;title&gt;Consolidated health economic evaluation reporting standards (CHEERS)—explanation and elaboration: a report of the ISPOR health economic evaluation publication guidelines good reporting practices task force&lt;/title&gt;&lt;secondary-title&gt;Value in Health&lt;/secondary-title&gt;&lt;/titles&gt;&lt;periodical&gt;&lt;full-title&gt;Value in Health&lt;/full-title&gt;&lt;/periodical&gt;&lt;pages&gt;231-250&lt;/pages&gt;&lt;volume&gt;16&lt;/volume&gt;&lt;number&gt;2&lt;/number&gt;&lt;dates&gt;&lt;year&gt;2013&lt;/year&gt;&lt;/dates&gt;&lt;isbn&gt;1098-3015&lt;/isbn&gt;&lt;urls&gt;&lt;/urls&gt;&lt;/record&gt;&lt;/Cite&gt;&lt;/EndNote&gt;</w:instrText>
      </w:r>
      <w:r w:rsidRPr="00E570F3">
        <w:fldChar w:fldCharType="separate"/>
      </w:r>
      <w:r w:rsidRPr="00B209F5">
        <w:t>(Husereau et al., 2013)</w:t>
      </w:r>
      <w:r w:rsidRPr="00E570F3">
        <w:fldChar w:fldCharType="end"/>
      </w:r>
      <w:r w:rsidRPr="005E2750">
        <w:t>.</w:t>
      </w:r>
      <w:r w:rsidR="004511B3">
        <w:t xml:space="preserve"> </w:t>
      </w:r>
      <w:r w:rsidRPr="005E2750">
        <w:t xml:space="preserve">Individual studies were assessed against the 24 </w:t>
      </w:r>
      <w:r w:rsidR="00F909FF">
        <w:t xml:space="preserve">items </w:t>
      </w:r>
      <w:r w:rsidRPr="005E2750">
        <w:t>of the checklist with a judgement of present (1/1), not present (0/1), or not relevant to this type of study (not scored).</w:t>
      </w:r>
      <w:r w:rsidR="004511B3">
        <w:t xml:space="preserve"> </w:t>
      </w:r>
      <w:r w:rsidRPr="005E2750">
        <w:t xml:space="preserve">The risk of bias for each study was calculated by dividing </w:t>
      </w:r>
      <w:r w:rsidRPr="0004132D">
        <w:t xml:space="preserve">the total score by the total number of </w:t>
      </w:r>
      <w:r w:rsidR="00F909FF">
        <w:t xml:space="preserve">items </w:t>
      </w:r>
      <w:r w:rsidRPr="0004132D">
        <w:t xml:space="preserve">that were scored, with higher scores indicating lower risk. </w:t>
      </w:r>
    </w:p>
    <w:p w14:paraId="1E79CFC4" w14:textId="77777777" w:rsidR="00F81E67" w:rsidRPr="00633A59" w:rsidRDefault="00F81E67" w:rsidP="00633A59">
      <w:pPr>
        <w:rPr>
          <w:b/>
          <w:sz w:val="28"/>
          <w:szCs w:val="28"/>
        </w:rPr>
      </w:pPr>
      <w:r w:rsidRPr="00633A59">
        <w:rPr>
          <w:b/>
          <w:sz w:val="28"/>
          <w:szCs w:val="28"/>
        </w:rPr>
        <w:t xml:space="preserve">General assumptions </w:t>
      </w:r>
    </w:p>
    <w:p w14:paraId="42245F14" w14:textId="757A0FA7" w:rsidR="00F81E67" w:rsidRPr="00B209F5" w:rsidRDefault="00F81E67" w:rsidP="00972470">
      <w:pPr>
        <w:pStyle w:val="ParaKeep"/>
      </w:pPr>
      <w:r w:rsidRPr="00B209F5">
        <w:rPr>
          <w:noProof/>
        </w:rPr>
        <w:t>The National Aged Care Alliance RER findings including the following assumptions</w:t>
      </w:r>
      <w:r w:rsidR="00794EF4">
        <w:rPr>
          <w:noProof/>
        </w:rPr>
        <w:t>,</w:t>
      </w:r>
      <w:r w:rsidRPr="00B209F5">
        <w:rPr>
          <w:noProof/>
        </w:rPr>
        <w:t xml:space="preserve"> which have also been assumed for this rapid evidence review</w:t>
      </w:r>
      <w:r w:rsidRPr="00B209F5">
        <w:t>:</w:t>
      </w:r>
    </w:p>
    <w:p w14:paraId="08606A0C" w14:textId="77777777" w:rsidR="00F81E67" w:rsidRPr="00B209F5" w:rsidRDefault="00F81E67" w:rsidP="00F81E67">
      <w:pPr>
        <w:pStyle w:val="Bullet1"/>
        <w:rPr>
          <w:b/>
          <w:bCs/>
        </w:rPr>
      </w:pPr>
      <w:r w:rsidRPr="00B209F5">
        <w:t>AT can help achieve significant outcomes in participation and improved life satisfaction; however, these are difficult to measure and value</w:t>
      </w:r>
    </w:p>
    <w:p w14:paraId="75D0F16C" w14:textId="77777777" w:rsidR="00F81E67" w:rsidRPr="00B209F5" w:rsidRDefault="00F81E67" w:rsidP="00F81E67">
      <w:pPr>
        <w:pStyle w:val="Bullet1"/>
        <w:rPr>
          <w:b/>
          <w:bCs/>
        </w:rPr>
      </w:pPr>
      <w:r w:rsidRPr="00B209F5">
        <w:t>Timely use of soft technology is critical to achieving outcomes</w:t>
      </w:r>
    </w:p>
    <w:p w14:paraId="6BCABCBC" w14:textId="77777777" w:rsidR="00F81E67" w:rsidRPr="00B209F5" w:rsidRDefault="00F81E67" w:rsidP="00F81E67">
      <w:pPr>
        <w:pStyle w:val="Bullet1"/>
      </w:pPr>
      <w:r w:rsidRPr="00B209F5">
        <w:t>Funding must cover the cost of the AT Services as well as the AT Products.</w:t>
      </w:r>
    </w:p>
    <w:p w14:paraId="3D94C6CF" w14:textId="77777777" w:rsidR="00127ABB" w:rsidRPr="00127ABB" w:rsidRDefault="00127ABB" w:rsidP="00127ABB">
      <w:pPr>
        <w:rPr>
          <w:rFonts w:eastAsia="Arial Unicode MS"/>
        </w:rPr>
      </w:pPr>
      <w:bookmarkStart w:id="75" w:name="_Ref35010415"/>
      <w:r w:rsidRPr="00127ABB">
        <w:br w:type="page"/>
      </w:r>
    </w:p>
    <w:p w14:paraId="25CDB852" w14:textId="7B065917" w:rsidR="00F81E67" w:rsidRPr="00B209F5" w:rsidRDefault="00F81E67" w:rsidP="00633A59">
      <w:pPr>
        <w:pStyle w:val="Heading2"/>
      </w:pPr>
      <w:r w:rsidRPr="00B209F5">
        <w:lastRenderedPageBreak/>
        <w:t xml:space="preserve">RER </w:t>
      </w:r>
      <w:r w:rsidR="00FE5FEA">
        <w:t>matrix</w:t>
      </w:r>
    </w:p>
    <w:p w14:paraId="08C2B9AE" w14:textId="77777777" w:rsidR="00036503" w:rsidRDefault="00F81E67" w:rsidP="00F81E67">
      <w:pPr>
        <w:pStyle w:val="Paragraph"/>
      </w:pPr>
      <w:r w:rsidRPr="00B209F5">
        <w:t xml:space="preserve">Due to prior knowledge of the quality and quantity of included papers in the NACA paper, it was decided that in addition to reporting the quantified benefits of the rapid evidence review, we should also report the </w:t>
      </w:r>
      <w:r w:rsidR="00733633">
        <w:t>‘</w:t>
      </w:r>
      <w:r w:rsidRPr="00B209F5">
        <w:t>direction</w:t>
      </w:r>
      <w:r w:rsidR="00733633">
        <w:t>’</w:t>
      </w:r>
      <w:r w:rsidRPr="00B209F5">
        <w:t xml:space="preserve"> of the studies included in the </w:t>
      </w:r>
      <w:r w:rsidR="00733633">
        <w:t>RER</w:t>
      </w:r>
      <w:r w:rsidRPr="00B209F5">
        <w:t xml:space="preserve"> through a permutated and hierarchical matrix. The process for developing a matrix of the included studies is to examine each study for effectiveness and cost. </w:t>
      </w:r>
    </w:p>
    <w:p w14:paraId="6024F45C" w14:textId="0F8471A2" w:rsidR="00F81E67" w:rsidRPr="00B209F5" w:rsidRDefault="00F81E67" w:rsidP="00F81E67">
      <w:pPr>
        <w:pStyle w:val="Paragraph"/>
      </w:pPr>
      <w:r w:rsidRPr="00B209F5">
        <w:t>Effectiveness for AT intervention is rated as Better/</w:t>
      </w:r>
      <w:r w:rsidR="00D03978" w:rsidRPr="00D03978">
        <w:rPr>
          <w:rFonts w:ascii="Arial" w:hAnsi="Arial" w:cs="Arial"/>
          <w:lang w:eastAsia="zh-CN"/>
        </w:rPr>
        <w:t>​</w:t>
      </w:r>
      <w:r w:rsidRPr="00B209F5">
        <w:t>Same/</w:t>
      </w:r>
      <w:r w:rsidR="00D03978" w:rsidRPr="00D03978">
        <w:rPr>
          <w:rFonts w:ascii="Arial" w:hAnsi="Arial" w:cs="Arial"/>
          <w:lang w:eastAsia="zh-CN"/>
        </w:rPr>
        <w:t>​</w:t>
      </w:r>
      <w:r w:rsidRPr="00B209F5">
        <w:t>Poorer than the control intervention. Cost for the AT intervention is rated as Higher/</w:t>
      </w:r>
      <w:r w:rsidR="00D03978" w:rsidRPr="00D03978">
        <w:rPr>
          <w:rFonts w:ascii="Arial" w:hAnsi="Arial" w:cs="Arial"/>
          <w:lang w:eastAsia="zh-CN"/>
        </w:rPr>
        <w:t>​</w:t>
      </w:r>
      <w:r w:rsidRPr="00B209F5">
        <w:t>Same (or insufficient reporting)/</w:t>
      </w:r>
      <w:r w:rsidR="00D03978" w:rsidRPr="00D03978">
        <w:rPr>
          <w:rFonts w:ascii="Arial" w:hAnsi="Arial" w:cs="Arial"/>
          <w:lang w:eastAsia="zh-CN"/>
        </w:rPr>
        <w:t>​</w:t>
      </w:r>
      <w:r w:rsidRPr="00B209F5">
        <w:t xml:space="preserve">Lower than the control intervention. These ratings were entered into a permutation matrix </w:t>
      </w:r>
      <w:r w:rsidR="00036503">
        <w:t>.</w:t>
      </w:r>
    </w:p>
    <w:p w14:paraId="320F9113" w14:textId="43B0774E" w:rsidR="002A7F32" w:rsidRDefault="002A7F32" w:rsidP="00EC062D">
      <w:pPr>
        <w:pStyle w:val="Paragraph"/>
      </w:pPr>
      <w:r>
        <w:t>Almost all of the selected studies (</w:t>
      </w:r>
      <w:r w:rsidR="00442BB9">
        <w:t>8</w:t>
      </w:r>
      <w:r>
        <w:t>0%) show that AT was more effective than the comparison group who did not receive AT, while also being cost-effective or cost neutral</w:t>
      </w:r>
      <w:r w:rsidR="00EC062D">
        <w:t xml:space="preserve"> </w:t>
      </w:r>
      <w:r w:rsidR="00EC062D" w:rsidRPr="00EC062D">
        <w:rPr>
          <w:i/>
          <w:iCs/>
        </w:rPr>
        <w:fldChar w:fldCharType="begin"/>
      </w:r>
      <w:r w:rsidR="00EC062D" w:rsidRPr="00EC062D">
        <w:rPr>
          <w:i/>
          <w:iCs/>
        </w:rPr>
        <w:instrText xml:space="preserve"> REF _Ref42518757 \h </w:instrText>
      </w:r>
      <w:r w:rsidR="00EC062D">
        <w:rPr>
          <w:i/>
          <w:iCs/>
        </w:rPr>
        <w:instrText xml:space="preserve"> \* MERGEFORMAT </w:instrText>
      </w:r>
      <w:r w:rsidR="00EC062D" w:rsidRPr="00EC062D">
        <w:rPr>
          <w:i/>
          <w:iCs/>
        </w:rPr>
      </w:r>
      <w:r w:rsidR="00EC062D" w:rsidRPr="00EC062D">
        <w:rPr>
          <w:i/>
          <w:iCs/>
        </w:rPr>
        <w:fldChar w:fldCharType="separate"/>
      </w:r>
      <w:r w:rsidR="00EB1774" w:rsidRPr="00EB1774">
        <w:rPr>
          <w:i/>
          <w:iCs/>
        </w:rPr>
        <w:t>Table B</w:t>
      </w:r>
      <w:r w:rsidR="00EB1774" w:rsidRPr="00EB1774">
        <w:rPr>
          <w:i/>
          <w:iCs/>
        </w:rPr>
        <w:noBreakHyphen/>
        <w:t>4</w:t>
      </w:r>
      <w:r w:rsidR="00EC062D" w:rsidRPr="00EC062D">
        <w:rPr>
          <w:i/>
          <w:iCs/>
        </w:rPr>
        <w:fldChar w:fldCharType="end"/>
      </w:r>
      <w:r w:rsidR="00036503" w:rsidRPr="00EC062D">
        <w:rPr>
          <w:i/>
          <w:iCs/>
        </w:rPr>
        <w:t>.</w:t>
      </w:r>
      <w:r w:rsidR="00184FBE">
        <w:t xml:space="preserve"> </w:t>
      </w:r>
    </w:p>
    <w:p w14:paraId="1A3D50AF" w14:textId="3FD361F2" w:rsidR="002A7F32" w:rsidRPr="004B6474" w:rsidRDefault="004B6474" w:rsidP="00633A59">
      <w:bookmarkStart w:id="76" w:name="_Ref42518757"/>
      <w:bookmarkStart w:id="77" w:name="_Toc42243729"/>
      <w:bookmarkStart w:id="78" w:name="_Toc60999929"/>
      <w:r w:rsidRPr="004B6474">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4</w:t>
      </w:r>
      <w:r w:rsidR="00FD5E41">
        <w:fldChar w:fldCharType="end"/>
      </w:r>
      <w:bookmarkEnd w:id="76"/>
      <w:r w:rsidRPr="004B6474">
        <w:t>:</w:t>
      </w:r>
      <w:r w:rsidR="002A7F32" w:rsidRPr="004B6474">
        <w:tab/>
        <w:t>Selected RER papers</w:t>
      </w:r>
      <w:r w:rsidR="00861912">
        <w:t xml:space="preserve"> – </w:t>
      </w:r>
      <w:r w:rsidR="002A7F32" w:rsidRPr="004B6474">
        <w:t>Decisions</w:t>
      </w:r>
      <w:bookmarkEnd w:id="77"/>
      <w:bookmarkEnd w:id="78"/>
    </w:p>
    <w:tbl>
      <w:tblPr>
        <w:tblStyle w:val="AHALight"/>
        <w:tblW w:w="5000" w:type="pct"/>
        <w:tblLook w:val="06A0" w:firstRow="1" w:lastRow="0" w:firstColumn="1" w:lastColumn="0" w:noHBand="1" w:noVBand="1"/>
        <w:tblCaption w:val="table B 4"/>
        <w:tblDescription w:val="decision of studies for effectiveness and cost during rapid evidence review  "/>
      </w:tblPr>
      <w:tblGrid>
        <w:gridCol w:w="2225"/>
        <w:gridCol w:w="2077"/>
        <w:gridCol w:w="2644"/>
        <w:gridCol w:w="2692"/>
      </w:tblGrid>
      <w:tr w:rsidR="002A7F32" w:rsidRPr="00127ABB" w14:paraId="335697B6" w14:textId="77777777" w:rsidTr="00FA0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hideMark/>
          </w:tcPr>
          <w:p w14:paraId="3D4D07B1" w14:textId="77777777" w:rsidR="002A7F32" w:rsidRPr="00127ABB" w:rsidRDefault="002A7F32" w:rsidP="00FA0F1A">
            <w:pPr>
              <w:pStyle w:val="TableHeading1"/>
            </w:pPr>
            <w:r w:rsidRPr="00127ABB">
              <w:t>AT cost compared to comparison group</w:t>
            </w:r>
          </w:p>
        </w:tc>
        <w:tc>
          <w:tcPr>
            <w:tcW w:w="2077" w:type="dxa"/>
            <w:hideMark/>
          </w:tcPr>
          <w:p w14:paraId="4F2CDB08" w14:textId="3800B481" w:rsidR="002A7F32" w:rsidRPr="00127ABB" w:rsidRDefault="002A7F32" w:rsidP="00FA0F1A">
            <w:pPr>
              <w:pStyle w:val="TableHeading1"/>
              <w:jc w:val="center"/>
              <w:cnfStyle w:val="100000000000" w:firstRow="1" w:lastRow="0" w:firstColumn="0" w:lastColumn="0" w:oddVBand="0" w:evenVBand="0" w:oddHBand="0" w:evenHBand="0" w:firstRowFirstColumn="0" w:firstRowLastColumn="0" w:lastRowFirstColumn="0" w:lastRowLastColumn="0"/>
            </w:pPr>
            <w:r w:rsidRPr="00127ABB">
              <w:t>Number of trials/</w:t>
            </w:r>
            <w:r w:rsidR="0074719A" w:rsidRPr="00127ABB">
              <w:rPr>
                <w:rFonts w:ascii="Arial" w:hAnsi="Arial" w:cs="Arial"/>
                <w:lang w:eastAsia="zh-CN"/>
              </w:rPr>
              <w:t>​</w:t>
            </w:r>
            <w:r w:rsidR="00127ABB" w:rsidRPr="00127ABB">
              <w:rPr>
                <w:rFonts w:ascii="Arial" w:hAnsi="Arial" w:cs="Arial"/>
                <w:lang w:eastAsia="zh-CN"/>
              </w:rPr>
              <w:br/>
            </w:r>
            <w:r w:rsidRPr="00127ABB">
              <w:t>points of evidence</w:t>
            </w:r>
          </w:p>
        </w:tc>
        <w:tc>
          <w:tcPr>
            <w:tcW w:w="2644" w:type="dxa"/>
            <w:hideMark/>
          </w:tcPr>
          <w:p w14:paraId="06DB918F" w14:textId="77777777" w:rsidR="002A7F32" w:rsidRPr="00127ABB" w:rsidRDefault="002A7F32" w:rsidP="00FA0F1A">
            <w:pPr>
              <w:pStyle w:val="TableHeading1"/>
              <w:jc w:val="center"/>
              <w:cnfStyle w:val="100000000000" w:firstRow="1" w:lastRow="0" w:firstColumn="0" w:lastColumn="0" w:oddVBand="0" w:evenVBand="0" w:oddHBand="0" w:evenHBand="0" w:firstRowFirstColumn="0" w:firstRowLastColumn="0" w:lastRowFirstColumn="0" w:lastRowLastColumn="0"/>
            </w:pPr>
            <w:r w:rsidRPr="00127ABB">
              <w:t>Effectiveness compared to the comparison group</w:t>
            </w:r>
          </w:p>
        </w:tc>
        <w:tc>
          <w:tcPr>
            <w:tcW w:w="2692" w:type="dxa"/>
            <w:hideMark/>
          </w:tcPr>
          <w:p w14:paraId="306BD1A6" w14:textId="77777777" w:rsidR="002A7F32" w:rsidRPr="00127ABB" w:rsidRDefault="002A7F32" w:rsidP="00FA0F1A">
            <w:pPr>
              <w:pStyle w:val="TableHeading1"/>
              <w:cnfStyle w:val="100000000000" w:firstRow="1" w:lastRow="0" w:firstColumn="0" w:lastColumn="0" w:oddVBand="0" w:evenVBand="0" w:oddHBand="0" w:evenHBand="0" w:firstRowFirstColumn="0" w:firstRowLastColumn="0" w:lastRowFirstColumn="0" w:lastRowLastColumn="0"/>
            </w:pPr>
            <w:r w:rsidRPr="00127ABB">
              <w:t>Decision</w:t>
            </w:r>
          </w:p>
        </w:tc>
      </w:tr>
      <w:tr w:rsidR="00FA0F1A" w:rsidRPr="00127ABB" w14:paraId="45300788"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1C06E2C2" w14:textId="6D97294F" w:rsidR="00FA0F1A" w:rsidRPr="00127ABB" w:rsidRDefault="00FA0F1A" w:rsidP="00127ABB">
            <w:pPr>
              <w:pStyle w:val="TableTextKeep"/>
            </w:pPr>
            <w:r w:rsidRPr="00127ABB">
              <w:t>Higher</w:t>
            </w:r>
          </w:p>
        </w:tc>
        <w:tc>
          <w:tcPr>
            <w:tcW w:w="2077" w:type="dxa"/>
            <w:vAlign w:val="center"/>
          </w:tcPr>
          <w:p w14:paraId="4F35E473" w14:textId="5DB7505C" w:rsidR="00FA0F1A" w:rsidRPr="00127ABB" w:rsidRDefault="00FA0F1A"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0</w:t>
            </w:r>
          </w:p>
        </w:tc>
        <w:tc>
          <w:tcPr>
            <w:tcW w:w="2644" w:type="dxa"/>
            <w:vAlign w:val="center"/>
            <w:hideMark/>
          </w:tcPr>
          <w:p w14:paraId="6189DD8D" w14:textId="77777777" w:rsidR="00FA0F1A" w:rsidRPr="00127ABB" w:rsidRDefault="00FA0F1A"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Poorer</w:t>
            </w:r>
          </w:p>
        </w:tc>
        <w:tc>
          <w:tcPr>
            <w:tcW w:w="2692" w:type="dxa"/>
            <w:vAlign w:val="center"/>
            <w:hideMark/>
          </w:tcPr>
          <w:p w14:paraId="010558E5" w14:textId="77777777" w:rsidR="00FA0F1A" w:rsidRPr="00127ABB" w:rsidRDefault="00FA0F1A" w:rsidP="00127ABB">
            <w:pPr>
              <w:pStyle w:val="TableTextKeep"/>
              <w:cnfStyle w:val="000000000000" w:firstRow="0" w:lastRow="0" w:firstColumn="0" w:lastColumn="0" w:oddVBand="0" w:evenVBand="0" w:oddHBand="0" w:evenHBand="0" w:firstRowFirstColumn="0" w:firstRowLastColumn="0" w:lastRowFirstColumn="0" w:lastRowLastColumn="0"/>
            </w:pPr>
            <w:r w:rsidRPr="00127ABB">
              <w:t>Rejected the Assistive Technology intervention</w:t>
            </w:r>
          </w:p>
        </w:tc>
      </w:tr>
      <w:tr w:rsidR="00FA0F1A" w:rsidRPr="00127ABB" w14:paraId="4A1847C5"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5E9DCB0A" w14:textId="5B189FA7" w:rsidR="00FA0F1A" w:rsidRPr="00127ABB" w:rsidRDefault="00FA0F1A" w:rsidP="00127ABB">
            <w:pPr>
              <w:pStyle w:val="TableTextKeep"/>
            </w:pPr>
            <w:r w:rsidRPr="00127ABB">
              <w:t>Same (or insufficient detail provided)</w:t>
            </w:r>
          </w:p>
        </w:tc>
        <w:tc>
          <w:tcPr>
            <w:tcW w:w="2077" w:type="dxa"/>
            <w:vAlign w:val="center"/>
          </w:tcPr>
          <w:p w14:paraId="668333BE" w14:textId="351156B6" w:rsidR="00FA0F1A" w:rsidRPr="00127ABB" w:rsidRDefault="00FA0F1A"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0</w:t>
            </w:r>
          </w:p>
        </w:tc>
        <w:tc>
          <w:tcPr>
            <w:tcW w:w="2644" w:type="dxa"/>
            <w:vAlign w:val="center"/>
            <w:hideMark/>
          </w:tcPr>
          <w:p w14:paraId="5264FC8E" w14:textId="77777777" w:rsidR="00FA0F1A" w:rsidRPr="00127ABB" w:rsidRDefault="00FA0F1A"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Poorer</w:t>
            </w:r>
          </w:p>
        </w:tc>
        <w:tc>
          <w:tcPr>
            <w:tcW w:w="2692" w:type="dxa"/>
            <w:vAlign w:val="center"/>
            <w:hideMark/>
          </w:tcPr>
          <w:p w14:paraId="0739A915" w14:textId="0220713B" w:rsidR="00FA0F1A" w:rsidRPr="00127ABB" w:rsidRDefault="00FA0F1A" w:rsidP="00127ABB">
            <w:pPr>
              <w:pStyle w:val="TableTextKeep"/>
              <w:cnfStyle w:val="000000000000" w:firstRow="0" w:lastRow="0" w:firstColumn="0" w:lastColumn="0" w:oddVBand="0" w:evenVBand="0" w:oddHBand="0" w:evenHBand="0" w:firstRowFirstColumn="0" w:firstRowLastColumn="0" w:lastRowFirstColumn="0" w:lastRowLastColumn="0"/>
            </w:pPr>
            <w:r w:rsidRPr="00127ABB">
              <w:t>Rejected the Assistive Technology intervention</w:t>
            </w:r>
          </w:p>
        </w:tc>
      </w:tr>
      <w:tr w:rsidR="00FA0F1A" w:rsidRPr="00127ABB" w14:paraId="504AFEEE"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208632CD" w14:textId="77777777" w:rsidR="00FA0F1A" w:rsidRPr="00127ABB" w:rsidRDefault="00FA0F1A" w:rsidP="00127ABB">
            <w:pPr>
              <w:pStyle w:val="TableTextKeep"/>
            </w:pPr>
            <w:r w:rsidRPr="00127ABB">
              <w:t>Higher</w:t>
            </w:r>
          </w:p>
        </w:tc>
        <w:tc>
          <w:tcPr>
            <w:tcW w:w="2077" w:type="dxa"/>
            <w:vAlign w:val="center"/>
          </w:tcPr>
          <w:p w14:paraId="57579AF8" w14:textId="46B2E2D8" w:rsidR="00FA0F1A" w:rsidRPr="00127ABB" w:rsidRDefault="00FA0F1A"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0</w:t>
            </w:r>
          </w:p>
        </w:tc>
        <w:tc>
          <w:tcPr>
            <w:tcW w:w="2644" w:type="dxa"/>
            <w:vAlign w:val="center"/>
            <w:hideMark/>
          </w:tcPr>
          <w:p w14:paraId="56E0F449" w14:textId="77777777" w:rsidR="00FA0F1A" w:rsidRPr="00127ABB" w:rsidRDefault="00FA0F1A"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Same</w:t>
            </w:r>
          </w:p>
        </w:tc>
        <w:tc>
          <w:tcPr>
            <w:tcW w:w="2692" w:type="dxa"/>
            <w:vAlign w:val="center"/>
            <w:hideMark/>
          </w:tcPr>
          <w:p w14:paraId="0F086658" w14:textId="13CBD202" w:rsidR="00FA0F1A" w:rsidRPr="00127ABB" w:rsidRDefault="00FA0F1A" w:rsidP="00127ABB">
            <w:pPr>
              <w:pStyle w:val="TableTextKeep"/>
              <w:cnfStyle w:val="000000000000" w:firstRow="0" w:lastRow="0" w:firstColumn="0" w:lastColumn="0" w:oddVBand="0" w:evenVBand="0" w:oddHBand="0" w:evenHBand="0" w:firstRowFirstColumn="0" w:firstRowLastColumn="0" w:lastRowFirstColumn="0" w:lastRowLastColumn="0"/>
            </w:pPr>
            <w:r w:rsidRPr="00127ABB">
              <w:t>Rejected the Assistive Technology intervention</w:t>
            </w:r>
          </w:p>
        </w:tc>
      </w:tr>
      <w:tr w:rsidR="002A7F32" w:rsidRPr="00127ABB" w14:paraId="31703EB4" w14:textId="77777777" w:rsidTr="00FA0F1A">
        <w:tc>
          <w:tcPr>
            <w:cnfStyle w:val="001000000000" w:firstRow="0" w:lastRow="0" w:firstColumn="1" w:lastColumn="0" w:oddVBand="0" w:evenVBand="0" w:oddHBand="0" w:evenHBand="0" w:firstRowFirstColumn="0" w:firstRowLastColumn="0" w:lastRowFirstColumn="0" w:lastRowLastColumn="0"/>
            <w:tcW w:w="2225" w:type="dxa"/>
            <w:shd w:val="clear" w:color="auto" w:fill="F2F2F2" w:themeFill="background1" w:themeFillShade="F2"/>
            <w:vAlign w:val="center"/>
            <w:hideMark/>
          </w:tcPr>
          <w:p w14:paraId="6822DCCE" w14:textId="77777777" w:rsidR="002A7F32" w:rsidRPr="00127ABB" w:rsidRDefault="002A7F32" w:rsidP="00127ABB">
            <w:pPr>
              <w:pStyle w:val="TableTextKeep"/>
            </w:pPr>
            <w:r w:rsidRPr="00127ABB">
              <w:t>Lower</w:t>
            </w:r>
          </w:p>
        </w:tc>
        <w:tc>
          <w:tcPr>
            <w:tcW w:w="2077" w:type="dxa"/>
            <w:shd w:val="clear" w:color="auto" w:fill="F2F2F2" w:themeFill="background1" w:themeFillShade="F2"/>
            <w:vAlign w:val="center"/>
          </w:tcPr>
          <w:p w14:paraId="1C7DBDB4" w14:textId="0D944E4A" w:rsidR="002A7F32" w:rsidRPr="00127ABB" w:rsidRDefault="00127ABB"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0</w:t>
            </w:r>
          </w:p>
        </w:tc>
        <w:tc>
          <w:tcPr>
            <w:tcW w:w="2644" w:type="dxa"/>
            <w:shd w:val="clear" w:color="auto" w:fill="F2F2F2" w:themeFill="background1" w:themeFillShade="F2"/>
            <w:vAlign w:val="center"/>
            <w:hideMark/>
          </w:tcPr>
          <w:p w14:paraId="1EE36754" w14:textId="77777777" w:rsidR="002A7F32" w:rsidRPr="00127ABB" w:rsidRDefault="002A7F32"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Poorer</w:t>
            </w:r>
          </w:p>
        </w:tc>
        <w:tc>
          <w:tcPr>
            <w:tcW w:w="2692" w:type="dxa"/>
            <w:shd w:val="clear" w:color="auto" w:fill="F2F2F2" w:themeFill="background1" w:themeFillShade="F2"/>
            <w:vAlign w:val="center"/>
            <w:hideMark/>
          </w:tcPr>
          <w:p w14:paraId="14FFB931" w14:textId="00FB4AA2" w:rsidR="002A7F32" w:rsidRPr="00127ABB" w:rsidRDefault="002A7F32" w:rsidP="00127ABB">
            <w:pPr>
              <w:pStyle w:val="TableTextKeep"/>
              <w:cnfStyle w:val="000000000000" w:firstRow="0" w:lastRow="0" w:firstColumn="0" w:lastColumn="0" w:oddVBand="0" w:evenVBand="0" w:oddHBand="0" w:evenHBand="0" w:firstRowFirstColumn="0" w:firstRowLastColumn="0" w:lastRowFirstColumn="0" w:lastRowLastColumn="0"/>
            </w:pPr>
            <w:r w:rsidRPr="00127ABB">
              <w:t>Incremental analysis required</w:t>
            </w:r>
            <w:r w:rsidR="001843CE">
              <w:t xml:space="preserve"> </w:t>
            </w:r>
          </w:p>
        </w:tc>
      </w:tr>
      <w:tr w:rsidR="002A7F32" w:rsidRPr="00127ABB" w14:paraId="14323C03"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3A22582E" w14:textId="77777777" w:rsidR="002A7F32" w:rsidRPr="00127ABB" w:rsidRDefault="002A7F32" w:rsidP="00127ABB">
            <w:pPr>
              <w:pStyle w:val="TableTextKeep"/>
            </w:pPr>
            <w:r w:rsidRPr="00127ABB">
              <w:t>Same (or insufficient detail provided)</w:t>
            </w:r>
          </w:p>
        </w:tc>
        <w:tc>
          <w:tcPr>
            <w:tcW w:w="2077" w:type="dxa"/>
            <w:vAlign w:val="center"/>
            <w:hideMark/>
          </w:tcPr>
          <w:p w14:paraId="529DBFEA" w14:textId="14CBF60E" w:rsidR="002A7F32" w:rsidRPr="00127ABB" w:rsidRDefault="00127ABB"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1</w:t>
            </w:r>
          </w:p>
        </w:tc>
        <w:tc>
          <w:tcPr>
            <w:tcW w:w="2644" w:type="dxa"/>
            <w:vAlign w:val="center"/>
            <w:hideMark/>
          </w:tcPr>
          <w:p w14:paraId="08D860BC" w14:textId="77777777" w:rsidR="002A7F32" w:rsidRPr="00127ABB" w:rsidRDefault="002A7F32"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Same</w:t>
            </w:r>
          </w:p>
        </w:tc>
        <w:tc>
          <w:tcPr>
            <w:tcW w:w="2692" w:type="dxa"/>
            <w:vAlign w:val="center"/>
            <w:hideMark/>
          </w:tcPr>
          <w:p w14:paraId="7003AEE9" w14:textId="77777777" w:rsidR="002A7F32" w:rsidRPr="00127ABB" w:rsidRDefault="002A7F32" w:rsidP="00127ABB">
            <w:pPr>
              <w:pStyle w:val="TableTextKeep"/>
              <w:cnfStyle w:val="000000000000" w:firstRow="0" w:lastRow="0" w:firstColumn="0" w:lastColumn="0" w:oddVBand="0" w:evenVBand="0" w:oddHBand="0" w:evenHBand="0" w:firstRowFirstColumn="0" w:firstRowLastColumn="0" w:lastRowFirstColumn="0" w:lastRowLastColumn="0"/>
            </w:pPr>
            <w:r w:rsidRPr="00127ABB">
              <w:t>Neutral</w:t>
            </w:r>
          </w:p>
          <w:p w14:paraId="585A1DB3" w14:textId="71D53026" w:rsidR="002A7F32" w:rsidRPr="00127ABB" w:rsidRDefault="002A7F32" w:rsidP="00127ABB">
            <w:pPr>
              <w:pStyle w:val="TableTextKeep"/>
              <w:cnfStyle w:val="000000000000" w:firstRow="0" w:lastRow="0" w:firstColumn="0" w:lastColumn="0" w:oddVBand="0" w:evenVBand="0" w:oddHBand="0" w:evenHBand="0" w:firstRowFirstColumn="0" w:firstRowLastColumn="0" w:lastRowFirstColumn="0" w:lastRowLastColumn="0"/>
            </w:pPr>
            <w:r w:rsidRPr="00127ABB">
              <w:t xml:space="preserve">Study neither accepted </w:t>
            </w:r>
            <w:r w:rsidR="004E2F56" w:rsidRPr="00127ABB">
              <w:t>nor</w:t>
            </w:r>
            <w:r w:rsidRPr="00127ABB">
              <w:t xml:space="preserve"> rejected the AT intervention</w:t>
            </w:r>
          </w:p>
        </w:tc>
      </w:tr>
      <w:tr w:rsidR="002A7F32" w:rsidRPr="00127ABB" w14:paraId="1B0C49DC" w14:textId="77777777" w:rsidTr="00FA0F1A">
        <w:tc>
          <w:tcPr>
            <w:cnfStyle w:val="001000000000" w:firstRow="0" w:lastRow="0" w:firstColumn="1" w:lastColumn="0" w:oddVBand="0" w:evenVBand="0" w:oddHBand="0" w:evenHBand="0" w:firstRowFirstColumn="0" w:firstRowLastColumn="0" w:lastRowFirstColumn="0" w:lastRowLastColumn="0"/>
            <w:tcW w:w="2225" w:type="dxa"/>
            <w:shd w:val="clear" w:color="auto" w:fill="F2F2F2" w:themeFill="background1" w:themeFillShade="F2"/>
            <w:vAlign w:val="center"/>
            <w:hideMark/>
          </w:tcPr>
          <w:p w14:paraId="66350CB7" w14:textId="77777777" w:rsidR="002A7F32" w:rsidRPr="00127ABB" w:rsidRDefault="002A7F32" w:rsidP="00127ABB">
            <w:pPr>
              <w:pStyle w:val="TableTextKeep"/>
            </w:pPr>
            <w:r w:rsidRPr="00127ABB">
              <w:t>Higher</w:t>
            </w:r>
          </w:p>
        </w:tc>
        <w:tc>
          <w:tcPr>
            <w:tcW w:w="2077" w:type="dxa"/>
            <w:shd w:val="clear" w:color="auto" w:fill="F2F2F2" w:themeFill="background1" w:themeFillShade="F2"/>
            <w:vAlign w:val="center"/>
            <w:hideMark/>
          </w:tcPr>
          <w:p w14:paraId="1C35A937" w14:textId="5AB29FB4" w:rsidR="002A7F32" w:rsidRPr="00127ABB" w:rsidRDefault="00127ABB"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1</w:t>
            </w:r>
          </w:p>
        </w:tc>
        <w:tc>
          <w:tcPr>
            <w:tcW w:w="2644" w:type="dxa"/>
            <w:shd w:val="clear" w:color="auto" w:fill="F2F2F2" w:themeFill="background1" w:themeFillShade="F2"/>
            <w:vAlign w:val="center"/>
            <w:hideMark/>
          </w:tcPr>
          <w:p w14:paraId="51A96990" w14:textId="77777777" w:rsidR="002A7F32" w:rsidRPr="00127ABB" w:rsidRDefault="002A7F32"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Better</w:t>
            </w:r>
          </w:p>
        </w:tc>
        <w:tc>
          <w:tcPr>
            <w:tcW w:w="2692" w:type="dxa"/>
            <w:shd w:val="clear" w:color="auto" w:fill="F2F2F2" w:themeFill="background1" w:themeFillShade="F2"/>
            <w:vAlign w:val="center"/>
            <w:hideMark/>
          </w:tcPr>
          <w:p w14:paraId="6B439732" w14:textId="1F0DEB1C" w:rsidR="002A7F32" w:rsidRPr="00127ABB" w:rsidRDefault="002A7F32" w:rsidP="00127ABB">
            <w:pPr>
              <w:pStyle w:val="TableTextKeep"/>
              <w:cnfStyle w:val="000000000000" w:firstRow="0" w:lastRow="0" w:firstColumn="0" w:lastColumn="0" w:oddVBand="0" w:evenVBand="0" w:oddHBand="0" w:evenHBand="0" w:firstRowFirstColumn="0" w:firstRowLastColumn="0" w:lastRowFirstColumn="0" w:lastRowLastColumn="0"/>
            </w:pPr>
            <w:r w:rsidRPr="00127ABB">
              <w:t>Incremental analysis required</w:t>
            </w:r>
            <w:r w:rsidR="001843CE">
              <w:t xml:space="preserve"> </w:t>
            </w:r>
            <w:r w:rsidRPr="00127ABB">
              <w:rPr>
                <w:rStyle w:val="FootnoteReference"/>
                <w:szCs w:val="22"/>
              </w:rPr>
              <w:t>1</w:t>
            </w:r>
          </w:p>
        </w:tc>
      </w:tr>
      <w:tr w:rsidR="002A7F32" w:rsidRPr="00127ABB" w14:paraId="0A9F9F66"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417A3797" w14:textId="77777777" w:rsidR="002A7F32" w:rsidRPr="00127ABB" w:rsidRDefault="002A7F32" w:rsidP="00127ABB">
            <w:pPr>
              <w:pStyle w:val="TableTextKeep"/>
            </w:pPr>
            <w:r w:rsidRPr="00127ABB">
              <w:t>Lower</w:t>
            </w:r>
          </w:p>
        </w:tc>
        <w:tc>
          <w:tcPr>
            <w:tcW w:w="2077" w:type="dxa"/>
            <w:vAlign w:val="center"/>
            <w:hideMark/>
          </w:tcPr>
          <w:p w14:paraId="08B37E51" w14:textId="4220669E" w:rsidR="002A7F32" w:rsidRPr="00127ABB" w:rsidRDefault="00127ABB"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3</w:t>
            </w:r>
          </w:p>
        </w:tc>
        <w:tc>
          <w:tcPr>
            <w:tcW w:w="2644" w:type="dxa"/>
            <w:vAlign w:val="center"/>
            <w:hideMark/>
          </w:tcPr>
          <w:p w14:paraId="69019076" w14:textId="77777777" w:rsidR="002A7F32" w:rsidRPr="00127ABB" w:rsidRDefault="002A7F32"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Same</w:t>
            </w:r>
          </w:p>
        </w:tc>
        <w:tc>
          <w:tcPr>
            <w:tcW w:w="2692" w:type="dxa"/>
            <w:vAlign w:val="center"/>
            <w:hideMark/>
          </w:tcPr>
          <w:p w14:paraId="7C0FF10E" w14:textId="77777777" w:rsidR="002A7F32" w:rsidRPr="00127ABB" w:rsidRDefault="002A7F32" w:rsidP="00127ABB">
            <w:pPr>
              <w:pStyle w:val="TableTextKeep"/>
              <w:cnfStyle w:val="000000000000" w:firstRow="0" w:lastRow="0" w:firstColumn="0" w:lastColumn="0" w:oddVBand="0" w:evenVBand="0" w:oddHBand="0" w:evenHBand="0" w:firstRowFirstColumn="0" w:firstRowLastColumn="0" w:lastRowFirstColumn="0" w:lastRowLastColumn="0"/>
            </w:pPr>
            <w:r w:rsidRPr="00127ABB">
              <w:t>Supported accept Assistive Technology intervention</w:t>
            </w:r>
          </w:p>
        </w:tc>
      </w:tr>
      <w:tr w:rsidR="002A7F32" w:rsidRPr="00127ABB" w14:paraId="4376EB5C"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28B2C288" w14:textId="77777777" w:rsidR="002A7F32" w:rsidRPr="00127ABB" w:rsidRDefault="002A7F32" w:rsidP="00127ABB">
            <w:pPr>
              <w:pStyle w:val="TableTextKeep"/>
            </w:pPr>
            <w:r w:rsidRPr="00127ABB">
              <w:t>Same (or insufficient detail provided)</w:t>
            </w:r>
          </w:p>
        </w:tc>
        <w:tc>
          <w:tcPr>
            <w:tcW w:w="2077" w:type="dxa"/>
            <w:vAlign w:val="center"/>
            <w:hideMark/>
          </w:tcPr>
          <w:p w14:paraId="6CDD90E7" w14:textId="7FED5F68" w:rsidR="002A7F32" w:rsidRPr="00127ABB" w:rsidRDefault="00127ABB"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11</w:t>
            </w:r>
          </w:p>
        </w:tc>
        <w:tc>
          <w:tcPr>
            <w:tcW w:w="2644" w:type="dxa"/>
            <w:vAlign w:val="center"/>
            <w:hideMark/>
          </w:tcPr>
          <w:p w14:paraId="0B0CE249" w14:textId="77777777" w:rsidR="002A7F32" w:rsidRPr="00127ABB" w:rsidRDefault="002A7F32" w:rsidP="00FA0F1A">
            <w:pPr>
              <w:pStyle w:val="TableTextKeep"/>
              <w:jc w:val="center"/>
              <w:cnfStyle w:val="000000000000" w:firstRow="0" w:lastRow="0" w:firstColumn="0" w:lastColumn="0" w:oddVBand="0" w:evenVBand="0" w:oddHBand="0" w:evenHBand="0" w:firstRowFirstColumn="0" w:firstRowLastColumn="0" w:lastRowFirstColumn="0" w:lastRowLastColumn="0"/>
            </w:pPr>
            <w:r w:rsidRPr="00127ABB">
              <w:t>Better</w:t>
            </w:r>
          </w:p>
        </w:tc>
        <w:tc>
          <w:tcPr>
            <w:tcW w:w="2692" w:type="dxa"/>
            <w:vAlign w:val="center"/>
            <w:hideMark/>
          </w:tcPr>
          <w:p w14:paraId="0851C172" w14:textId="1488ED13" w:rsidR="002A7F32" w:rsidRPr="00127ABB" w:rsidRDefault="00FA0F1A" w:rsidP="00127ABB">
            <w:pPr>
              <w:pStyle w:val="TableTextKeep"/>
              <w:cnfStyle w:val="000000000000" w:firstRow="0" w:lastRow="0" w:firstColumn="0" w:lastColumn="0" w:oddVBand="0" w:evenVBand="0" w:oddHBand="0" w:evenHBand="0" w:firstRowFirstColumn="0" w:firstRowLastColumn="0" w:lastRowFirstColumn="0" w:lastRowLastColumn="0"/>
              <w:rPr>
                <w:bCs/>
              </w:rPr>
            </w:pPr>
            <w:r w:rsidRPr="00127ABB">
              <w:t>Supported accept Assistive Technology intervention</w:t>
            </w:r>
          </w:p>
        </w:tc>
      </w:tr>
      <w:tr w:rsidR="002A7F32" w:rsidRPr="00127ABB" w14:paraId="6D6358C1" w14:textId="77777777" w:rsidTr="00FA0F1A">
        <w:tc>
          <w:tcPr>
            <w:cnfStyle w:val="001000000000" w:firstRow="0" w:lastRow="0" w:firstColumn="1" w:lastColumn="0" w:oddVBand="0" w:evenVBand="0" w:oddHBand="0" w:evenHBand="0" w:firstRowFirstColumn="0" w:firstRowLastColumn="0" w:lastRowFirstColumn="0" w:lastRowLastColumn="0"/>
            <w:tcW w:w="2225" w:type="dxa"/>
            <w:vAlign w:val="center"/>
            <w:hideMark/>
          </w:tcPr>
          <w:p w14:paraId="4430040F" w14:textId="77777777" w:rsidR="002A7F32" w:rsidRPr="00127ABB" w:rsidRDefault="002A7F32" w:rsidP="00127ABB">
            <w:pPr>
              <w:pStyle w:val="TableText"/>
            </w:pPr>
            <w:r w:rsidRPr="00127ABB">
              <w:t>Lower</w:t>
            </w:r>
          </w:p>
        </w:tc>
        <w:tc>
          <w:tcPr>
            <w:tcW w:w="2077" w:type="dxa"/>
            <w:vAlign w:val="center"/>
            <w:hideMark/>
          </w:tcPr>
          <w:p w14:paraId="011892E9" w14:textId="0D48A8D6" w:rsidR="002A7F32" w:rsidRPr="00127ABB" w:rsidRDefault="00127ABB" w:rsidP="00FA0F1A">
            <w:pPr>
              <w:pStyle w:val="TableText"/>
              <w:jc w:val="center"/>
              <w:cnfStyle w:val="000000000000" w:firstRow="0" w:lastRow="0" w:firstColumn="0" w:lastColumn="0" w:oddVBand="0" w:evenVBand="0" w:oddHBand="0" w:evenHBand="0" w:firstRowFirstColumn="0" w:firstRowLastColumn="0" w:lastRowFirstColumn="0" w:lastRowLastColumn="0"/>
            </w:pPr>
            <w:r w:rsidRPr="00127ABB">
              <w:t>4</w:t>
            </w:r>
          </w:p>
        </w:tc>
        <w:tc>
          <w:tcPr>
            <w:tcW w:w="2644" w:type="dxa"/>
            <w:vAlign w:val="center"/>
            <w:hideMark/>
          </w:tcPr>
          <w:p w14:paraId="26C8B7DB" w14:textId="77777777" w:rsidR="002A7F32" w:rsidRPr="00127ABB" w:rsidRDefault="002A7F32" w:rsidP="00FA0F1A">
            <w:pPr>
              <w:pStyle w:val="TableText"/>
              <w:jc w:val="center"/>
              <w:cnfStyle w:val="000000000000" w:firstRow="0" w:lastRow="0" w:firstColumn="0" w:lastColumn="0" w:oddVBand="0" w:evenVBand="0" w:oddHBand="0" w:evenHBand="0" w:firstRowFirstColumn="0" w:firstRowLastColumn="0" w:lastRowFirstColumn="0" w:lastRowLastColumn="0"/>
            </w:pPr>
            <w:r w:rsidRPr="00127ABB">
              <w:t>Better</w:t>
            </w:r>
          </w:p>
        </w:tc>
        <w:tc>
          <w:tcPr>
            <w:tcW w:w="2692" w:type="dxa"/>
            <w:vAlign w:val="center"/>
            <w:hideMark/>
          </w:tcPr>
          <w:p w14:paraId="7D4223C6" w14:textId="2E8D94DD" w:rsidR="002A7F32" w:rsidRPr="00127ABB" w:rsidRDefault="00FA0F1A" w:rsidP="00127ABB">
            <w:pPr>
              <w:pStyle w:val="TableText"/>
              <w:cnfStyle w:val="000000000000" w:firstRow="0" w:lastRow="0" w:firstColumn="0" w:lastColumn="0" w:oddVBand="0" w:evenVBand="0" w:oddHBand="0" w:evenHBand="0" w:firstRowFirstColumn="0" w:firstRowLastColumn="0" w:lastRowFirstColumn="0" w:lastRowLastColumn="0"/>
              <w:rPr>
                <w:bCs/>
              </w:rPr>
            </w:pPr>
            <w:r w:rsidRPr="00127ABB">
              <w:t>Supported accept Assistive Technology intervention</w:t>
            </w:r>
          </w:p>
        </w:tc>
      </w:tr>
    </w:tbl>
    <w:p w14:paraId="4C116BE3" w14:textId="77777777" w:rsidR="00127ABB" w:rsidRPr="00127ABB" w:rsidRDefault="00127ABB" w:rsidP="00127ABB">
      <w:pPr>
        <w:rPr>
          <w:rFonts w:eastAsia="Arial Unicode MS"/>
        </w:rPr>
      </w:pPr>
      <w:bookmarkStart w:id="79" w:name="_Ref42248526"/>
      <w:r w:rsidRPr="00127ABB">
        <w:br w:type="page"/>
      </w:r>
    </w:p>
    <w:p w14:paraId="1012A31F" w14:textId="57073F3A" w:rsidR="00F81E67" w:rsidRPr="008E680E" w:rsidRDefault="00F81E67" w:rsidP="00633A59">
      <w:pPr>
        <w:pStyle w:val="Heading1"/>
      </w:pPr>
      <w:bookmarkStart w:id="80" w:name="_Toc60999854"/>
      <w:r w:rsidRPr="008E680E">
        <w:lastRenderedPageBreak/>
        <w:t>Results</w:t>
      </w:r>
      <w:bookmarkEnd w:id="75"/>
      <w:bookmarkEnd w:id="79"/>
      <w:bookmarkEnd w:id="80"/>
    </w:p>
    <w:p w14:paraId="36088FD0" w14:textId="77777777" w:rsidR="00F81E67" w:rsidRPr="008E680E" w:rsidRDefault="00F81E67" w:rsidP="00633A59">
      <w:pPr>
        <w:pStyle w:val="Heading2"/>
      </w:pPr>
      <w:r w:rsidRPr="008E680E">
        <w:t>Identifying relevant papers</w:t>
      </w:r>
    </w:p>
    <w:p w14:paraId="0181F735" w14:textId="0413BA53" w:rsidR="00F81E67" w:rsidRPr="008E680E" w:rsidRDefault="00F81E67" w:rsidP="005A7343">
      <w:pPr>
        <w:pStyle w:val="ParaKeep"/>
      </w:pPr>
      <w:r w:rsidRPr="008E680E">
        <w:t>The initial EBSCOhost search identified 3,233 papers.</w:t>
      </w:r>
      <w:r w:rsidR="004511B3">
        <w:t xml:space="preserve"> </w:t>
      </w:r>
      <w:r w:rsidRPr="008E680E">
        <w:t>Once duplicates were removed, details of 2,923 papers were exported into an Excel database.</w:t>
      </w:r>
      <w:r w:rsidR="004511B3">
        <w:t xml:space="preserve"> </w:t>
      </w:r>
      <w:r w:rsidRPr="008E680E">
        <w:t>These papers were screened via title and abstract for the inclusion and exclusion criteria, which narrowed the yield to 162 papers for a full text review.</w:t>
      </w:r>
      <w:r w:rsidR="004511B3">
        <w:t xml:space="preserve"> </w:t>
      </w:r>
      <w:r w:rsidRPr="008E680E">
        <w:t>Thirty-nine of these papers were identified as possibly relevant and included in the initial full text yield (</w:t>
      </w:r>
      <w:r w:rsidRPr="008E680E">
        <w:rPr>
          <w:i/>
          <w:iCs/>
        </w:rPr>
        <w:fldChar w:fldCharType="begin"/>
      </w:r>
      <w:r w:rsidRPr="008E680E">
        <w:rPr>
          <w:i/>
          <w:iCs/>
        </w:rPr>
        <w:instrText xml:space="preserve"> REF _Ref35009413 \h  \* MERGEFORMAT </w:instrText>
      </w:r>
      <w:r w:rsidRPr="008E680E">
        <w:rPr>
          <w:i/>
          <w:iCs/>
        </w:rPr>
      </w:r>
      <w:r w:rsidRPr="008E680E">
        <w:rPr>
          <w:i/>
          <w:iCs/>
        </w:rPr>
        <w:fldChar w:fldCharType="separate"/>
      </w:r>
      <w:r w:rsidR="00EB1774" w:rsidRPr="00EB1774">
        <w:rPr>
          <w:i/>
          <w:iCs/>
        </w:rPr>
        <w:t>Table B</w:t>
      </w:r>
      <w:r w:rsidR="00EB1774" w:rsidRPr="00EB1774">
        <w:rPr>
          <w:i/>
          <w:iCs/>
        </w:rPr>
        <w:noBreakHyphen/>
        <w:t>5</w:t>
      </w:r>
      <w:r w:rsidRPr="008E680E">
        <w:rPr>
          <w:i/>
          <w:iCs/>
        </w:rPr>
        <w:fldChar w:fldCharType="end"/>
      </w:r>
      <w:r w:rsidRPr="008E680E">
        <w:t xml:space="preserve">). </w:t>
      </w:r>
    </w:p>
    <w:p w14:paraId="6CB7027E" w14:textId="4C782595" w:rsidR="00F81E67" w:rsidRPr="008E680E" w:rsidRDefault="00F81E67" w:rsidP="00633A59">
      <w:bookmarkStart w:id="81" w:name="_Ref35009413"/>
      <w:bookmarkStart w:id="82" w:name="_Toc34988348"/>
      <w:bookmarkStart w:id="83" w:name="_Toc40622133"/>
      <w:bookmarkStart w:id="84" w:name="_Toc60999930"/>
      <w:r w:rsidRPr="008E680E">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6562A7">
        <w:t>-5</w:t>
      </w:r>
      <w:bookmarkEnd w:id="81"/>
      <w:r w:rsidRPr="008E680E">
        <w:t>:</w:t>
      </w:r>
      <w:r w:rsidR="00972470">
        <w:tab/>
      </w:r>
      <w:r w:rsidRPr="008E680E">
        <w:t>Search strategy screening to inform economic modelling</w:t>
      </w:r>
      <w:bookmarkEnd w:id="82"/>
      <w:bookmarkEnd w:id="83"/>
      <w:bookmarkEnd w:id="84"/>
    </w:p>
    <w:tbl>
      <w:tblPr>
        <w:tblStyle w:val="AHALight"/>
        <w:tblW w:w="4927" w:type="pct"/>
        <w:tblLook w:val="0460" w:firstRow="1" w:lastRow="1" w:firstColumn="0" w:lastColumn="0" w:noHBand="0" w:noVBand="1"/>
        <w:tblCaption w:val="table b 5"/>
        <w:tblDescription w:val="search strategy screening used to inform economic modelling"/>
      </w:tblPr>
      <w:tblGrid>
        <w:gridCol w:w="4821"/>
        <w:gridCol w:w="2834"/>
        <w:gridCol w:w="1842"/>
      </w:tblGrid>
      <w:tr w:rsidR="001245C0" w:rsidRPr="008E680E" w14:paraId="4909F127" w14:textId="77777777" w:rsidTr="00FA0F1A">
        <w:trPr>
          <w:cnfStyle w:val="100000000000" w:firstRow="1" w:lastRow="0" w:firstColumn="0" w:lastColumn="0" w:oddVBand="0" w:evenVBand="0" w:oddHBand="0" w:evenHBand="0" w:firstRowFirstColumn="0" w:firstRowLastColumn="0" w:lastRowFirstColumn="0" w:lastRowLastColumn="0"/>
        </w:trPr>
        <w:tc>
          <w:tcPr>
            <w:tcW w:w="2538" w:type="pct"/>
          </w:tcPr>
          <w:p w14:paraId="43E795FB" w14:textId="77777777" w:rsidR="00F81E67" w:rsidRPr="008E680E" w:rsidRDefault="00F81E67" w:rsidP="00187BC0">
            <w:r w:rsidRPr="008E680E">
              <w:t>Search strategy</w:t>
            </w:r>
          </w:p>
        </w:tc>
        <w:tc>
          <w:tcPr>
            <w:tcW w:w="1492" w:type="pct"/>
          </w:tcPr>
          <w:p w14:paraId="2671A1EA" w14:textId="77777777" w:rsidR="00F81E67" w:rsidRPr="008E680E" w:rsidRDefault="00F81E67" w:rsidP="00187BC0">
            <w:pPr>
              <w:jc w:val="right"/>
            </w:pPr>
            <w:r w:rsidRPr="008E680E">
              <w:t>Citations screened</w:t>
            </w:r>
          </w:p>
        </w:tc>
        <w:tc>
          <w:tcPr>
            <w:tcW w:w="970" w:type="pct"/>
          </w:tcPr>
          <w:p w14:paraId="705D5EC7" w14:textId="77777777" w:rsidR="00F81E67" w:rsidRPr="008E680E" w:rsidRDefault="00F81E67" w:rsidP="00187BC0">
            <w:pPr>
              <w:jc w:val="right"/>
            </w:pPr>
            <w:r w:rsidRPr="008E680E">
              <w:t>Possibly relevant</w:t>
            </w:r>
          </w:p>
        </w:tc>
      </w:tr>
      <w:tr w:rsidR="00F81E67" w:rsidRPr="008E680E" w14:paraId="758D256B" w14:textId="77777777" w:rsidTr="00FA0F1A">
        <w:trPr>
          <w:cnfStyle w:val="000000100000" w:firstRow="0" w:lastRow="0" w:firstColumn="0" w:lastColumn="0" w:oddVBand="0" w:evenVBand="0" w:oddHBand="1" w:evenHBand="0" w:firstRowFirstColumn="0" w:firstRowLastColumn="0" w:lastRowFirstColumn="0" w:lastRowLastColumn="0"/>
        </w:trPr>
        <w:tc>
          <w:tcPr>
            <w:tcW w:w="2538" w:type="pct"/>
            <w:hideMark/>
          </w:tcPr>
          <w:p w14:paraId="1D753E8F" w14:textId="77777777" w:rsidR="00F81E67" w:rsidRPr="008E680E" w:rsidRDefault="00F81E67" w:rsidP="00187BC0">
            <w:pPr>
              <w:keepNext/>
            </w:pPr>
            <w:r w:rsidRPr="008E680E">
              <w:t>NACA re-run</w:t>
            </w:r>
          </w:p>
        </w:tc>
        <w:tc>
          <w:tcPr>
            <w:tcW w:w="1492" w:type="pct"/>
          </w:tcPr>
          <w:p w14:paraId="35EDC22D" w14:textId="77777777" w:rsidR="00F81E67" w:rsidRPr="008E680E" w:rsidRDefault="00F81E67" w:rsidP="00187BC0">
            <w:pPr>
              <w:keepNext/>
              <w:jc w:val="right"/>
            </w:pPr>
            <w:r w:rsidRPr="008E680E">
              <w:t>14</w:t>
            </w:r>
          </w:p>
        </w:tc>
        <w:tc>
          <w:tcPr>
            <w:tcW w:w="970" w:type="pct"/>
          </w:tcPr>
          <w:p w14:paraId="7D3F0419" w14:textId="77777777" w:rsidR="00F81E67" w:rsidRPr="008E680E" w:rsidRDefault="00F81E67" w:rsidP="00187BC0">
            <w:pPr>
              <w:keepNext/>
              <w:jc w:val="right"/>
            </w:pPr>
            <w:r w:rsidRPr="008E680E">
              <w:t>0</w:t>
            </w:r>
          </w:p>
        </w:tc>
      </w:tr>
      <w:tr w:rsidR="00F81E67" w:rsidRPr="008E680E" w14:paraId="7880F353" w14:textId="77777777" w:rsidTr="00FA0F1A">
        <w:tc>
          <w:tcPr>
            <w:tcW w:w="2538" w:type="pct"/>
            <w:hideMark/>
          </w:tcPr>
          <w:p w14:paraId="42E18144" w14:textId="77777777" w:rsidR="00F81E67" w:rsidRPr="008E680E" w:rsidRDefault="00F81E67" w:rsidP="00187BC0">
            <w:pPr>
              <w:keepNext/>
            </w:pPr>
            <w:r w:rsidRPr="008E680E">
              <w:t>EBSCO yield papers</w:t>
            </w:r>
          </w:p>
        </w:tc>
        <w:tc>
          <w:tcPr>
            <w:tcW w:w="1492" w:type="pct"/>
            <w:hideMark/>
          </w:tcPr>
          <w:p w14:paraId="6028F03B" w14:textId="77777777" w:rsidR="00F81E67" w:rsidRPr="008E680E" w:rsidRDefault="00F81E67" w:rsidP="00187BC0">
            <w:pPr>
              <w:keepNext/>
              <w:jc w:val="right"/>
            </w:pPr>
            <w:r w:rsidRPr="008E680E">
              <w:t>118</w:t>
            </w:r>
            <w:r w:rsidRPr="008E680E">
              <w:br/>
              <w:t>(of 680 originally identified)</w:t>
            </w:r>
          </w:p>
        </w:tc>
        <w:tc>
          <w:tcPr>
            <w:tcW w:w="970" w:type="pct"/>
          </w:tcPr>
          <w:p w14:paraId="1D95022B" w14:textId="77777777" w:rsidR="00F81E67" w:rsidRPr="008E680E" w:rsidRDefault="00F81E67" w:rsidP="00187BC0">
            <w:pPr>
              <w:keepNext/>
              <w:jc w:val="right"/>
            </w:pPr>
            <w:r w:rsidRPr="008E680E">
              <w:t>27</w:t>
            </w:r>
          </w:p>
        </w:tc>
      </w:tr>
      <w:tr w:rsidR="00F81E67" w:rsidRPr="008E680E" w14:paraId="2090A6BD" w14:textId="77777777" w:rsidTr="00FA0F1A">
        <w:trPr>
          <w:cnfStyle w:val="000000100000" w:firstRow="0" w:lastRow="0" w:firstColumn="0" w:lastColumn="0" w:oddVBand="0" w:evenVBand="0" w:oddHBand="1" w:evenHBand="0" w:firstRowFirstColumn="0" w:firstRowLastColumn="0" w:lastRowFirstColumn="0" w:lastRowLastColumn="0"/>
        </w:trPr>
        <w:tc>
          <w:tcPr>
            <w:tcW w:w="2538" w:type="pct"/>
          </w:tcPr>
          <w:p w14:paraId="0603B0D7" w14:textId="77777777" w:rsidR="00F81E67" w:rsidRPr="008E680E" w:rsidRDefault="00F81E67" w:rsidP="00187BC0">
            <w:pPr>
              <w:keepNext/>
            </w:pPr>
            <w:r w:rsidRPr="008E680E">
              <w:t>Google search</w:t>
            </w:r>
          </w:p>
        </w:tc>
        <w:tc>
          <w:tcPr>
            <w:tcW w:w="1492" w:type="pct"/>
          </w:tcPr>
          <w:p w14:paraId="56A3DAFB" w14:textId="77777777" w:rsidR="00F81E67" w:rsidRPr="008E680E" w:rsidRDefault="00F81E67" w:rsidP="00187BC0">
            <w:pPr>
              <w:keepNext/>
              <w:jc w:val="right"/>
            </w:pPr>
            <w:r w:rsidRPr="008E680E">
              <w:t>7</w:t>
            </w:r>
          </w:p>
        </w:tc>
        <w:tc>
          <w:tcPr>
            <w:tcW w:w="970" w:type="pct"/>
          </w:tcPr>
          <w:p w14:paraId="6714B5D5" w14:textId="77777777" w:rsidR="00F81E67" w:rsidRPr="008E680E" w:rsidRDefault="00F81E67" w:rsidP="00187BC0">
            <w:pPr>
              <w:keepNext/>
              <w:jc w:val="right"/>
            </w:pPr>
            <w:r w:rsidRPr="008E680E">
              <w:t>0</w:t>
            </w:r>
          </w:p>
        </w:tc>
      </w:tr>
      <w:tr w:rsidR="00F81E67" w:rsidRPr="008E680E" w14:paraId="3BFF8890" w14:textId="77777777" w:rsidTr="00FA0F1A">
        <w:tc>
          <w:tcPr>
            <w:tcW w:w="2538" w:type="pct"/>
          </w:tcPr>
          <w:p w14:paraId="68596BE3" w14:textId="77777777" w:rsidR="00F81E67" w:rsidRPr="008E680E" w:rsidRDefault="00F81E67" w:rsidP="00187BC0">
            <w:pPr>
              <w:keepNext/>
            </w:pPr>
            <w:r w:rsidRPr="008E680E">
              <w:t>Other academic articles received by stakeholders</w:t>
            </w:r>
          </w:p>
        </w:tc>
        <w:tc>
          <w:tcPr>
            <w:tcW w:w="1492" w:type="pct"/>
          </w:tcPr>
          <w:p w14:paraId="498CCB64" w14:textId="77777777" w:rsidR="00F81E67" w:rsidRPr="008E680E" w:rsidRDefault="00F81E67" w:rsidP="00187BC0">
            <w:pPr>
              <w:keepNext/>
              <w:jc w:val="right"/>
            </w:pPr>
            <w:r w:rsidRPr="008E680E">
              <w:t>23</w:t>
            </w:r>
          </w:p>
        </w:tc>
        <w:tc>
          <w:tcPr>
            <w:tcW w:w="970" w:type="pct"/>
          </w:tcPr>
          <w:p w14:paraId="396392B2" w14:textId="77777777" w:rsidR="00F81E67" w:rsidRPr="008E680E" w:rsidRDefault="00F81E67" w:rsidP="00187BC0">
            <w:pPr>
              <w:keepNext/>
              <w:jc w:val="right"/>
            </w:pPr>
            <w:r w:rsidRPr="008E680E">
              <w:t>12</w:t>
            </w:r>
          </w:p>
        </w:tc>
      </w:tr>
      <w:tr w:rsidR="00F81E67" w:rsidRPr="008E680E" w14:paraId="192401E7" w14:textId="77777777" w:rsidTr="00FA0F1A">
        <w:trPr>
          <w:cnfStyle w:val="010000000000" w:firstRow="0" w:lastRow="1" w:firstColumn="0" w:lastColumn="0" w:oddVBand="0" w:evenVBand="0" w:oddHBand="0" w:evenHBand="0" w:firstRowFirstColumn="0" w:firstRowLastColumn="0" w:lastRowFirstColumn="0" w:lastRowLastColumn="0"/>
        </w:trPr>
        <w:tc>
          <w:tcPr>
            <w:tcW w:w="2538" w:type="pct"/>
          </w:tcPr>
          <w:p w14:paraId="5526C43E" w14:textId="77777777" w:rsidR="00F81E67" w:rsidRPr="008E680E" w:rsidRDefault="00F81E67" w:rsidP="00187BC0">
            <w:r w:rsidRPr="008E680E">
              <w:t>Total</w:t>
            </w:r>
          </w:p>
        </w:tc>
        <w:tc>
          <w:tcPr>
            <w:tcW w:w="1492" w:type="pct"/>
          </w:tcPr>
          <w:p w14:paraId="4B4366C0" w14:textId="77777777" w:rsidR="00F81E67" w:rsidRPr="008E680E" w:rsidRDefault="00F81E67" w:rsidP="00187BC0">
            <w:pPr>
              <w:jc w:val="right"/>
            </w:pPr>
            <w:r w:rsidRPr="008E680E">
              <w:t>162</w:t>
            </w:r>
          </w:p>
        </w:tc>
        <w:tc>
          <w:tcPr>
            <w:tcW w:w="970" w:type="pct"/>
          </w:tcPr>
          <w:p w14:paraId="73C9A0A0" w14:textId="77777777" w:rsidR="00F81E67" w:rsidRPr="008E680E" w:rsidRDefault="00F81E67" w:rsidP="00187BC0">
            <w:pPr>
              <w:jc w:val="right"/>
            </w:pPr>
            <w:r w:rsidRPr="008E680E">
              <w:t>39</w:t>
            </w:r>
          </w:p>
        </w:tc>
      </w:tr>
    </w:tbl>
    <w:p w14:paraId="15A14458" w14:textId="4F63F03A" w:rsidR="00F81E67" w:rsidRPr="008E680E" w:rsidRDefault="00F81E67" w:rsidP="00F81E67">
      <w:pPr>
        <w:pStyle w:val="Paragraph"/>
      </w:pPr>
      <w:r w:rsidRPr="008E680E">
        <w:t>The initial full text yield was reviewed.</w:t>
      </w:r>
      <w:r w:rsidR="004511B3">
        <w:t xml:space="preserve"> </w:t>
      </w:r>
      <w:r w:rsidRPr="008E680E">
        <w:t>Of the 39 full-text papers, 25 were excluded.</w:t>
      </w:r>
      <w:r w:rsidR="004511B3">
        <w:t xml:space="preserve"> </w:t>
      </w:r>
      <w:r w:rsidRPr="008E680E">
        <w:t>Papers were excluded for multiple reasons (</w:t>
      </w:r>
      <w:r w:rsidRPr="008E680E">
        <w:rPr>
          <w:rStyle w:val="CrossReference"/>
        </w:rPr>
        <w:fldChar w:fldCharType="begin"/>
      </w:r>
      <w:r w:rsidRPr="008E680E">
        <w:rPr>
          <w:rStyle w:val="CrossReference"/>
        </w:rPr>
        <w:instrText xml:space="preserve"> REF _Ref34488826 \h  \* MERGEFORMAT </w:instrText>
      </w:r>
      <w:r w:rsidRPr="008E680E">
        <w:rPr>
          <w:rStyle w:val="CrossReference"/>
        </w:rPr>
      </w:r>
      <w:r w:rsidRPr="008E680E">
        <w:rPr>
          <w:rStyle w:val="CrossReference"/>
        </w:rPr>
        <w:fldChar w:fldCharType="separate"/>
      </w:r>
      <w:r w:rsidR="00EB1774" w:rsidRPr="00EB1774">
        <w:rPr>
          <w:rStyle w:val="CrossReference"/>
        </w:rPr>
        <w:t>Table B</w:t>
      </w:r>
      <w:r w:rsidR="00EB1774" w:rsidRPr="00EB1774">
        <w:rPr>
          <w:rStyle w:val="CrossReference"/>
        </w:rPr>
        <w:noBreakHyphen/>
        <w:t>6</w:t>
      </w:r>
      <w:r w:rsidRPr="008E680E">
        <w:rPr>
          <w:rStyle w:val="CrossReference"/>
        </w:rPr>
        <w:fldChar w:fldCharType="end"/>
      </w:r>
      <w:r w:rsidRPr="008E680E">
        <w:t>); most commonly because the paper that was not specific to AT (n=7) or the paper reported the prevalence of AT but not the cost (n=5).</w:t>
      </w:r>
      <w:r w:rsidR="004511B3">
        <w:t xml:space="preserve"> </w:t>
      </w:r>
      <w:r w:rsidRPr="008E680E">
        <w:t xml:space="preserve">An additional six papers were identified through the NACA RER and reference </w:t>
      </w:r>
      <w:r w:rsidR="004E2F56" w:rsidRPr="008E680E">
        <w:t>lists and</w:t>
      </w:r>
      <w:r w:rsidRPr="008E680E">
        <w:t xml:space="preserve"> were subsequently included.</w:t>
      </w:r>
      <w:r w:rsidR="004511B3">
        <w:t xml:space="preserve"> </w:t>
      </w:r>
      <w:r w:rsidRPr="008E680E">
        <w:t>This resulted in a final yield of 20 papers.</w:t>
      </w:r>
    </w:p>
    <w:p w14:paraId="66C7A707" w14:textId="252CD371" w:rsidR="00F81E67" w:rsidRPr="008E680E" w:rsidRDefault="00F81E67" w:rsidP="00633A59">
      <w:bookmarkStart w:id="85" w:name="_Ref34488826"/>
      <w:bookmarkStart w:id="86" w:name="_Toc34988349"/>
      <w:bookmarkStart w:id="87" w:name="_Toc40622134"/>
      <w:bookmarkStart w:id="88" w:name="_Toc60999931"/>
      <w:r w:rsidRPr="008E680E">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6562A7">
        <w:t>-6</w:t>
      </w:r>
      <w:bookmarkEnd w:id="85"/>
      <w:r w:rsidRPr="008E680E">
        <w:t>:</w:t>
      </w:r>
      <w:r w:rsidR="00297F94">
        <w:tab/>
      </w:r>
      <w:r w:rsidRPr="008E680E">
        <w:t>Reasons for excluding full text papers</w:t>
      </w:r>
      <w:bookmarkEnd w:id="86"/>
      <w:bookmarkEnd w:id="87"/>
      <w:bookmarkEnd w:id="88"/>
    </w:p>
    <w:tbl>
      <w:tblPr>
        <w:tblStyle w:val="AHALight"/>
        <w:tblW w:w="3997" w:type="dxa"/>
        <w:tblLook w:val="0460" w:firstRow="1" w:lastRow="1" w:firstColumn="0" w:lastColumn="0" w:noHBand="0" w:noVBand="1"/>
        <w:tblCaption w:val="table B 6"/>
        <w:tblDescription w:val="reasons for excluding full text papers during rapid review"/>
      </w:tblPr>
      <w:tblGrid>
        <w:gridCol w:w="2552"/>
        <w:gridCol w:w="1445"/>
      </w:tblGrid>
      <w:tr w:rsidR="00F81E67" w:rsidRPr="008E680E" w14:paraId="1F5B6B01" w14:textId="77777777" w:rsidTr="00FA0F1A">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145FA730" w14:textId="77777777" w:rsidR="00F81E67" w:rsidRPr="008E680E" w:rsidRDefault="00F81E67" w:rsidP="00187BC0">
            <w:r w:rsidRPr="008E680E">
              <w:t>Reason for exclusion</w:t>
            </w:r>
          </w:p>
        </w:tc>
        <w:tc>
          <w:tcPr>
            <w:tcW w:w="0" w:type="dxa"/>
            <w:noWrap/>
            <w:hideMark/>
          </w:tcPr>
          <w:p w14:paraId="349DA8A4" w14:textId="77777777" w:rsidR="00F81E67" w:rsidRPr="008E680E" w:rsidRDefault="00F81E67" w:rsidP="00187BC0">
            <w:pPr>
              <w:jc w:val="right"/>
            </w:pPr>
            <w:r w:rsidRPr="008E680E">
              <w:t>Number</w:t>
            </w:r>
          </w:p>
        </w:tc>
      </w:tr>
      <w:tr w:rsidR="00F81E67" w:rsidRPr="008E680E" w14:paraId="67739281" w14:textId="77777777" w:rsidTr="00FA0F1A">
        <w:trPr>
          <w:cnfStyle w:val="000000100000" w:firstRow="0" w:lastRow="0" w:firstColumn="0" w:lastColumn="0" w:oddVBand="0" w:evenVBand="0" w:oddHBand="1" w:evenHBand="0" w:firstRowFirstColumn="0" w:firstRowLastColumn="0" w:lastRowFirstColumn="0" w:lastRowLastColumn="0"/>
          <w:trHeight w:val="288"/>
        </w:trPr>
        <w:tc>
          <w:tcPr>
            <w:tcW w:w="2552" w:type="dxa"/>
            <w:noWrap/>
            <w:hideMark/>
          </w:tcPr>
          <w:p w14:paraId="1124CD86" w14:textId="77777777" w:rsidR="00F81E67" w:rsidRPr="008E680E" w:rsidRDefault="00F81E67" w:rsidP="00187BC0">
            <w:pPr>
              <w:keepNext/>
            </w:pPr>
            <w:r w:rsidRPr="008E680E">
              <w:t>Not specific to AT</w:t>
            </w:r>
          </w:p>
        </w:tc>
        <w:tc>
          <w:tcPr>
            <w:tcW w:w="1445" w:type="dxa"/>
            <w:noWrap/>
            <w:hideMark/>
          </w:tcPr>
          <w:p w14:paraId="4BED3E15" w14:textId="77777777" w:rsidR="00F81E67" w:rsidRPr="008E680E" w:rsidRDefault="00F81E67" w:rsidP="00187BC0">
            <w:pPr>
              <w:keepNext/>
              <w:jc w:val="right"/>
            </w:pPr>
            <w:r w:rsidRPr="008E680E">
              <w:t>8</w:t>
            </w:r>
          </w:p>
        </w:tc>
      </w:tr>
      <w:tr w:rsidR="00F81E67" w:rsidRPr="008E680E" w14:paraId="7B7B1A39" w14:textId="77777777" w:rsidTr="00FA0F1A">
        <w:trPr>
          <w:trHeight w:val="288"/>
        </w:trPr>
        <w:tc>
          <w:tcPr>
            <w:tcW w:w="2552" w:type="dxa"/>
            <w:noWrap/>
            <w:hideMark/>
          </w:tcPr>
          <w:p w14:paraId="57C847C3" w14:textId="77777777" w:rsidR="00F81E67" w:rsidRPr="008E680E" w:rsidRDefault="00F81E67" w:rsidP="00187BC0">
            <w:pPr>
              <w:keepNext/>
            </w:pPr>
            <w:r w:rsidRPr="008E680E">
              <w:t>Prevalence</w:t>
            </w:r>
          </w:p>
        </w:tc>
        <w:tc>
          <w:tcPr>
            <w:tcW w:w="1445" w:type="dxa"/>
            <w:noWrap/>
            <w:hideMark/>
          </w:tcPr>
          <w:p w14:paraId="3975E912" w14:textId="77777777" w:rsidR="00F81E67" w:rsidRPr="008E680E" w:rsidRDefault="00F81E67" w:rsidP="00187BC0">
            <w:pPr>
              <w:keepNext/>
              <w:jc w:val="right"/>
            </w:pPr>
            <w:r w:rsidRPr="008E680E">
              <w:t>6</w:t>
            </w:r>
          </w:p>
        </w:tc>
      </w:tr>
      <w:tr w:rsidR="00F81E67" w:rsidRPr="008E680E" w14:paraId="42020BB6" w14:textId="77777777" w:rsidTr="00FA0F1A">
        <w:trPr>
          <w:cnfStyle w:val="000000100000" w:firstRow="0" w:lastRow="0" w:firstColumn="0" w:lastColumn="0" w:oddVBand="0" w:evenVBand="0" w:oddHBand="1" w:evenHBand="0" w:firstRowFirstColumn="0" w:firstRowLastColumn="0" w:lastRowFirstColumn="0" w:lastRowLastColumn="0"/>
          <w:trHeight w:val="288"/>
        </w:trPr>
        <w:tc>
          <w:tcPr>
            <w:tcW w:w="2552" w:type="dxa"/>
            <w:noWrap/>
            <w:hideMark/>
          </w:tcPr>
          <w:p w14:paraId="3CA9EFDF" w14:textId="77777777" w:rsidR="00F81E67" w:rsidRPr="008E680E" w:rsidRDefault="00F81E67" w:rsidP="00187BC0">
            <w:pPr>
              <w:keepNext/>
            </w:pPr>
            <w:r w:rsidRPr="008E680E">
              <w:t>Descriptive</w:t>
            </w:r>
          </w:p>
        </w:tc>
        <w:tc>
          <w:tcPr>
            <w:tcW w:w="1445" w:type="dxa"/>
            <w:noWrap/>
            <w:hideMark/>
          </w:tcPr>
          <w:p w14:paraId="5E641EE4" w14:textId="77777777" w:rsidR="00F81E67" w:rsidRPr="008E680E" w:rsidRDefault="00F81E67" w:rsidP="00187BC0">
            <w:pPr>
              <w:keepNext/>
              <w:jc w:val="right"/>
            </w:pPr>
            <w:r w:rsidRPr="008E680E">
              <w:t>4</w:t>
            </w:r>
          </w:p>
        </w:tc>
      </w:tr>
      <w:tr w:rsidR="00F81E67" w:rsidRPr="008E680E" w14:paraId="3CF3925C" w14:textId="77777777" w:rsidTr="00FA0F1A">
        <w:trPr>
          <w:trHeight w:val="288"/>
        </w:trPr>
        <w:tc>
          <w:tcPr>
            <w:tcW w:w="2552" w:type="dxa"/>
            <w:noWrap/>
            <w:hideMark/>
          </w:tcPr>
          <w:p w14:paraId="63881AC2" w14:textId="77777777" w:rsidR="00F81E67" w:rsidRPr="008E680E" w:rsidRDefault="00F81E67" w:rsidP="00187BC0">
            <w:pPr>
              <w:keepNext/>
            </w:pPr>
            <w:r w:rsidRPr="008E680E">
              <w:t>Cost of AT Products only</w:t>
            </w:r>
          </w:p>
        </w:tc>
        <w:tc>
          <w:tcPr>
            <w:tcW w:w="1445" w:type="dxa"/>
            <w:noWrap/>
            <w:hideMark/>
          </w:tcPr>
          <w:p w14:paraId="777775EA" w14:textId="77777777" w:rsidR="00F81E67" w:rsidRPr="008E680E" w:rsidRDefault="00F81E67" w:rsidP="00187BC0">
            <w:pPr>
              <w:keepNext/>
              <w:jc w:val="right"/>
            </w:pPr>
            <w:r w:rsidRPr="008E680E">
              <w:t>3</w:t>
            </w:r>
          </w:p>
        </w:tc>
      </w:tr>
      <w:tr w:rsidR="00F81E67" w:rsidRPr="008E680E" w14:paraId="508A50F3" w14:textId="77777777" w:rsidTr="00FA0F1A">
        <w:trPr>
          <w:cnfStyle w:val="000000100000" w:firstRow="0" w:lastRow="0" w:firstColumn="0" w:lastColumn="0" w:oddVBand="0" w:evenVBand="0" w:oddHBand="1" w:evenHBand="0" w:firstRowFirstColumn="0" w:firstRowLastColumn="0" w:lastRowFirstColumn="0" w:lastRowLastColumn="0"/>
          <w:trHeight w:val="288"/>
        </w:trPr>
        <w:tc>
          <w:tcPr>
            <w:tcW w:w="2552" w:type="dxa"/>
            <w:noWrap/>
            <w:hideMark/>
          </w:tcPr>
          <w:p w14:paraId="6742B31A" w14:textId="77777777" w:rsidR="00F81E67" w:rsidRPr="008E680E" w:rsidRDefault="00F81E67" w:rsidP="00187BC0">
            <w:pPr>
              <w:keepNext/>
            </w:pPr>
            <w:r w:rsidRPr="008E680E">
              <w:t>No outcomes of interest</w:t>
            </w:r>
          </w:p>
        </w:tc>
        <w:tc>
          <w:tcPr>
            <w:tcW w:w="1445" w:type="dxa"/>
            <w:noWrap/>
            <w:hideMark/>
          </w:tcPr>
          <w:p w14:paraId="04DDEAEE" w14:textId="77777777" w:rsidR="00F81E67" w:rsidRPr="008E680E" w:rsidRDefault="00F81E67" w:rsidP="00187BC0">
            <w:pPr>
              <w:keepNext/>
              <w:jc w:val="right"/>
            </w:pPr>
            <w:r w:rsidRPr="008E680E">
              <w:t>3</w:t>
            </w:r>
          </w:p>
        </w:tc>
      </w:tr>
      <w:tr w:rsidR="00F81E67" w:rsidRPr="008E680E" w14:paraId="4305F2BC" w14:textId="77777777" w:rsidTr="00FA0F1A">
        <w:trPr>
          <w:trHeight w:val="288"/>
        </w:trPr>
        <w:tc>
          <w:tcPr>
            <w:tcW w:w="2552" w:type="dxa"/>
            <w:noWrap/>
            <w:hideMark/>
          </w:tcPr>
          <w:p w14:paraId="655065B9" w14:textId="77777777" w:rsidR="00F81E67" w:rsidRPr="008E680E" w:rsidRDefault="00F81E67" w:rsidP="00187BC0">
            <w:pPr>
              <w:keepNext/>
            </w:pPr>
            <w:r w:rsidRPr="008E680E">
              <w:t>Policy paper</w:t>
            </w:r>
          </w:p>
        </w:tc>
        <w:tc>
          <w:tcPr>
            <w:tcW w:w="1445" w:type="dxa"/>
            <w:noWrap/>
            <w:hideMark/>
          </w:tcPr>
          <w:p w14:paraId="585B562D" w14:textId="77777777" w:rsidR="00F81E67" w:rsidRPr="008E680E" w:rsidRDefault="00F81E67" w:rsidP="00187BC0">
            <w:pPr>
              <w:keepNext/>
              <w:jc w:val="right"/>
            </w:pPr>
            <w:r w:rsidRPr="008E680E">
              <w:t>1</w:t>
            </w:r>
          </w:p>
        </w:tc>
      </w:tr>
      <w:tr w:rsidR="00F81E67" w:rsidRPr="008E680E" w14:paraId="66C347CA" w14:textId="77777777" w:rsidTr="00FA0F1A">
        <w:trPr>
          <w:cnfStyle w:val="000000100000" w:firstRow="0" w:lastRow="0" w:firstColumn="0" w:lastColumn="0" w:oddVBand="0" w:evenVBand="0" w:oddHBand="1" w:evenHBand="0" w:firstRowFirstColumn="0" w:firstRowLastColumn="0" w:lastRowFirstColumn="0" w:lastRowLastColumn="0"/>
          <w:trHeight w:val="288"/>
        </w:trPr>
        <w:tc>
          <w:tcPr>
            <w:tcW w:w="2552" w:type="dxa"/>
            <w:noWrap/>
            <w:hideMark/>
          </w:tcPr>
          <w:p w14:paraId="563DEFD6" w14:textId="77777777" w:rsidR="00F81E67" w:rsidRPr="008E680E" w:rsidRDefault="00F81E67" w:rsidP="00187BC0">
            <w:pPr>
              <w:keepNext/>
            </w:pPr>
            <w:r w:rsidRPr="008E680E">
              <w:t>Protocol</w:t>
            </w:r>
          </w:p>
        </w:tc>
        <w:tc>
          <w:tcPr>
            <w:tcW w:w="1445" w:type="dxa"/>
            <w:noWrap/>
            <w:hideMark/>
          </w:tcPr>
          <w:p w14:paraId="2126C0E8" w14:textId="77777777" w:rsidR="00F81E67" w:rsidRPr="008E680E" w:rsidRDefault="00F81E67" w:rsidP="00187BC0">
            <w:pPr>
              <w:keepNext/>
              <w:jc w:val="right"/>
            </w:pPr>
            <w:r w:rsidRPr="008E680E">
              <w:t>1</w:t>
            </w:r>
          </w:p>
        </w:tc>
      </w:tr>
      <w:tr w:rsidR="00F81E67" w:rsidRPr="008E680E" w14:paraId="2A3DEDDC" w14:textId="77777777" w:rsidTr="00FA0F1A">
        <w:trPr>
          <w:cnfStyle w:val="010000000000" w:firstRow="0" w:lastRow="1" w:firstColumn="0" w:lastColumn="0" w:oddVBand="0" w:evenVBand="0" w:oddHBand="0" w:evenHBand="0" w:firstRowFirstColumn="0" w:firstRowLastColumn="0" w:lastRowFirstColumn="0" w:lastRowLastColumn="0"/>
          <w:trHeight w:val="288"/>
        </w:trPr>
        <w:tc>
          <w:tcPr>
            <w:tcW w:w="2552" w:type="dxa"/>
            <w:noWrap/>
            <w:hideMark/>
          </w:tcPr>
          <w:p w14:paraId="6CA60378" w14:textId="77777777" w:rsidR="00F81E67" w:rsidRPr="008E680E" w:rsidRDefault="00F81E67" w:rsidP="00187BC0">
            <w:r w:rsidRPr="008E680E">
              <w:t>Total</w:t>
            </w:r>
          </w:p>
        </w:tc>
        <w:tc>
          <w:tcPr>
            <w:tcW w:w="1445" w:type="dxa"/>
            <w:noWrap/>
            <w:hideMark/>
          </w:tcPr>
          <w:p w14:paraId="37E012CC" w14:textId="77777777" w:rsidR="00F81E67" w:rsidRPr="008E680E" w:rsidRDefault="00F81E67" w:rsidP="00187BC0">
            <w:pPr>
              <w:jc w:val="right"/>
            </w:pPr>
            <w:r w:rsidRPr="008E680E">
              <w:t>25</w:t>
            </w:r>
          </w:p>
        </w:tc>
      </w:tr>
    </w:tbl>
    <w:p w14:paraId="24DACAEB" w14:textId="77777777" w:rsidR="00F81E67" w:rsidRPr="008E680E" w:rsidRDefault="00F81E67" w:rsidP="00633A59">
      <w:pPr>
        <w:pStyle w:val="Heading2"/>
      </w:pPr>
      <w:bookmarkStart w:id="89" w:name="_Ref34985069"/>
      <w:r w:rsidRPr="008E680E">
        <w:t>Quality and risk assessment results</w:t>
      </w:r>
      <w:r w:rsidRPr="008E680E" w:rsidDel="002875D2">
        <w:t xml:space="preserve"> </w:t>
      </w:r>
      <w:bookmarkEnd w:id="89"/>
    </w:p>
    <w:p w14:paraId="78A76379" w14:textId="289B040C" w:rsidR="00F81E67" w:rsidRPr="008E680E" w:rsidRDefault="00F81E67" w:rsidP="00F81E67">
      <w:pPr>
        <w:pStyle w:val="ParaKeep"/>
      </w:pPr>
      <w:r w:rsidRPr="008E680E">
        <w:t>The 20 included papers were examined to determine a ROB and CHEERS score for each.</w:t>
      </w:r>
      <w:r w:rsidR="004511B3">
        <w:t xml:space="preserve"> </w:t>
      </w:r>
      <w:r w:rsidRPr="008E680E">
        <w:t xml:space="preserve">Further details of these assessments for each of the included studies can be provided upon request. </w:t>
      </w:r>
    </w:p>
    <w:p w14:paraId="4CD82A1A" w14:textId="65C52138" w:rsidR="00120921" w:rsidRDefault="00120921">
      <w:pPr>
        <w:rPr>
          <w:b/>
          <w:sz w:val="28"/>
          <w:szCs w:val="28"/>
        </w:rPr>
      </w:pPr>
      <w:r>
        <w:rPr>
          <w:b/>
          <w:sz w:val="28"/>
          <w:szCs w:val="28"/>
        </w:rPr>
        <w:br w:type="page"/>
      </w:r>
    </w:p>
    <w:p w14:paraId="56983DF4" w14:textId="77777777" w:rsidR="00633A59" w:rsidRDefault="00633A59" w:rsidP="00633A59">
      <w:pPr>
        <w:rPr>
          <w:b/>
          <w:sz w:val="28"/>
          <w:szCs w:val="28"/>
        </w:rPr>
      </w:pPr>
    </w:p>
    <w:p w14:paraId="48A00B72" w14:textId="3A3CE2DE" w:rsidR="00F81E67" w:rsidRPr="00633A59" w:rsidRDefault="00F81E67" w:rsidP="00633A59">
      <w:pPr>
        <w:rPr>
          <w:b/>
          <w:sz w:val="28"/>
          <w:szCs w:val="28"/>
        </w:rPr>
      </w:pPr>
      <w:r w:rsidRPr="00633A59">
        <w:rPr>
          <w:b/>
          <w:sz w:val="28"/>
          <w:szCs w:val="28"/>
        </w:rPr>
        <w:t>Levels of evidence for the included studies</w:t>
      </w:r>
    </w:p>
    <w:p w14:paraId="3EE4033C" w14:textId="7F415A66" w:rsidR="00F81E67" w:rsidRPr="008E680E" w:rsidRDefault="00F81E67" w:rsidP="00F81E67">
      <w:pPr>
        <w:pStyle w:val="Paragraph"/>
      </w:pPr>
      <w:r w:rsidRPr="008E680E">
        <w:t>The 20 included papers represented a number of different study types and therefore different levels of evidence, from systematic reviews (level 1) though to case studies (level 4).</w:t>
      </w:r>
      <w:r w:rsidR="004511B3">
        <w:t xml:space="preserve"> </w:t>
      </w:r>
      <w:r w:rsidRPr="008E680E">
        <w:t>Lower-quality evidence (levels</w:t>
      </w:r>
      <w:r w:rsidR="00BB321F">
        <w:t> </w:t>
      </w:r>
      <w:r w:rsidRPr="008E680E">
        <w:t>3 and 4) dominated the yield (</w:t>
      </w:r>
      <w:r w:rsidRPr="008E680E">
        <w:rPr>
          <w:i/>
          <w:iCs/>
        </w:rPr>
        <w:fldChar w:fldCharType="begin"/>
      </w:r>
      <w:r w:rsidRPr="008E680E">
        <w:rPr>
          <w:i/>
          <w:iCs/>
        </w:rPr>
        <w:instrText xml:space="preserve"> REF _Ref34490467 \h  \* MERGEFORMAT </w:instrText>
      </w:r>
      <w:r w:rsidRPr="008E680E">
        <w:rPr>
          <w:i/>
          <w:iCs/>
        </w:rPr>
      </w:r>
      <w:r w:rsidRPr="008E680E">
        <w:rPr>
          <w:i/>
          <w:iCs/>
        </w:rPr>
        <w:fldChar w:fldCharType="separate"/>
      </w:r>
      <w:r w:rsidR="00EB1774" w:rsidRPr="00EB1774">
        <w:rPr>
          <w:i/>
          <w:iCs/>
        </w:rPr>
        <w:t>Figure B</w:t>
      </w:r>
      <w:r w:rsidR="00EB1774" w:rsidRPr="00EB1774">
        <w:rPr>
          <w:i/>
          <w:iCs/>
        </w:rPr>
        <w:noBreakHyphen/>
        <w:t>1</w:t>
      </w:r>
      <w:r w:rsidRPr="008E680E">
        <w:rPr>
          <w:i/>
          <w:iCs/>
        </w:rPr>
        <w:fldChar w:fldCharType="end"/>
      </w:r>
      <w:r w:rsidRPr="008E680E">
        <w:t xml:space="preserve">). </w:t>
      </w:r>
    </w:p>
    <w:p w14:paraId="4C5CE113" w14:textId="2E0DF806" w:rsidR="00F81E67" w:rsidRPr="008E680E" w:rsidRDefault="00F81E67" w:rsidP="00633A59">
      <w:bookmarkStart w:id="90" w:name="_Ref34490467"/>
      <w:bookmarkStart w:id="91" w:name="_Toc34988367"/>
      <w:bookmarkStart w:id="92" w:name="_Toc40622147"/>
      <w:bookmarkStart w:id="93" w:name="_Toc60999877"/>
      <w:r w:rsidRPr="008E680E">
        <w:t>Figure </w:t>
      </w:r>
      <w:r w:rsidR="00E9207E">
        <w:fldChar w:fldCharType="begin"/>
      </w:r>
      <w:r w:rsidR="00E9207E">
        <w:instrText xml:space="preserve"> STYLEREF 5 \s </w:instrText>
      </w:r>
      <w:r w:rsidR="00E9207E">
        <w:fldChar w:fldCharType="separate"/>
      </w:r>
      <w:r w:rsidR="00EB1774">
        <w:rPr>
          <w:noProof/>
        </w:rPr>
        <w:t>B</w:t>
      </w:r>
      <w:r w:rsidR="00E9207E">
        <w:rPr>
          <w:noProof/>
        </w:rPr>
        <w:fldChar w:fldCharType="end"/>
      </w:r>
      <w:r w:rsidR="006562A7">
        <w:rPr>
          <w:noProof/>
        </w:rPr>
        <w:t>-1</w:t>
      </w:r>
      <w:bookmarkEnd w:id="90"/>
      <w:r w:rsidRPr="008E680E">
        <w:t>:</w:t>
      </w:r>
      <w:r w:rsidRPr="008E680E">
        <w:tab/>
        <w:t>Studies included in RER by level of evidence</w:t>
      </w:r>
      <w:bookmarkEnd w:id="91"/>
      <w:bookmarkEnd w:id="92"/>
      <w:bookmarkEnd w:id="93"/>
    </w:p>
    <w:p w14:paraId="14BA19A2" w14:textId="132628CD" w:rsidR="00BB321F" w:rsidRPr="008E680E" w:rsidRDefault="00C26305" w:rsidP="00F81E67">
      <w:r w:rsidRPr="00C26305">
        <w:rPr>
          <w:noProof/>
          <w:shd w:val="clear" w:color="auto" w:fill="E5E5E6" w:themeFill="background2" w:themeFillTint="33"/>
          <w:lang w:val="en-AU" w:eastAsia="en-AU"/>
        </w:rPr>
        <w:drawing>
          <wp:inline distT="0" distB="0" distL="0" distR="0" wp14:anchorId="39F80BA0" wp14:editId="04AF3AB9">
            <wp:extent cx="3580109" cy="3200400"/>
            <wp:effectExtent l="0" t="0" r="1905" b="0"/>
            <wp:docPr id="42" name="Chart 42" descr="Pie chart showing the number and proportion of papers by level of evidence.&#10;Level 1 = 4 papers or 20%&#10;Level 2 = 4 papers or 20%&#10;Level 3 = 7 papers or 35%&#10;Level 4 = 5 papers or 25%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CE63A5" w14:textId="77777777" w:rsidR="00F81E67" w:rsidRPr="00633A59" w:rsidRDefault="00F81E67" w:rsidP="00633A59">
      <w:pPr>
        <w:rPr>
          <w:b/>
          <w:sz w:val="28"/>
          <w:szCs w:val="28"/>
        </w:rPr>
      </w:pPr>
      <w:r w:rsidRPr="00633A59">
        <w:rPr>
          <w:b/>
          <w:sz w:val="28"/>
          <w:szCs w:val="28"/>
        </w:rPr>
        <w:t>Risk of bias for the included studies</w:t>
      </w:r>
    </w:p>
    <w:p w14:paraId="6DD18815" w14:textId="77777777" w:rsidR="00F81E67" w:rsidRPr="008E680E" w:rsidRDefault="00F81E67" w:rsidP="00F81E67">
      <w:pPr>
        <w:pStyle w:val="Paragraph"/>
      </w:pPr>
      <w:r w:rsidRPr="008E680E">
        <w:t xml:space="preserve">Risk of bias assessments yielded results ranging from only one of five relevant criteria being judged as low risk of bias through to six of six. </w:t>
      </w:r>
    </w:p>
    <w:p w14:paraId="1A5E70FD" w14:textId="77777777" w:rsidR="00F81E67" w:rsidRPr="00633A59" w:rsidRDefault="00F81E67" w:rsidP="00633A59">
      <w:pPr>
        <w:rPr>
          <w:b/>
          <w:sz w:val="28"/>
          <w:szCs w:val="28"/>
        </w:rPr>
      </w:pPr>
      <w:r w:rsidRPr="00633A59">
        <w:rPr>
          <w:b/>
          <w:sz w:val="28"/>
          <w:szCs w:val="28"/>
        </w:rPr>
        <w:t>CHEERS checklist for quality for the included studies</w:t>
      </w:r>
    </w:p>
    <w:p w14:paraId="342147FE" w14:textId="1D0708BA" w:rsidR="00F81E67" w:rsidRPr="008E680E" w:rsidRDefault="00F81E67" w:rsidP="00F81E67">
      <w:pPr>
        <w:pStyle w:val="Paragraph"/>
      </w:pPr>
      <w:r w:rsidRPr="008E680E">
        <w:t>Assessment against the CHEERS checklist yielded results from 9</w:t>
      </w:r>
      <w:r w:rsidR="00A274F1">
        <w:t xml:space="preserve"> out of </w:t>
      </w:r>
      <w:r w:rsidRPr="008E680E">
        <w:t>23 to 23</w:t>
      </w:r>
      <w:r w:rsidR="00A274F1">
        <w:t xml:space="preserve"> out of </w:t>
      </w:r>
      <w:r w:rsidRPr="008E680E">
        <w:t xml:space="preserve">24 </w:t>
      </w:r>
      <w:r w:rsidR="00F909FF">
        <w:t xml:space="preserve">items </w:t>
      </w:r>
      <w:r w:rsidRPr="008E680E">
        <w:t xml:space="preserve">present. </w:t>
      </w:r>
    </w:p>
    <w:p w14:paraId="7BD3A9F2" w14:textId="77777777" w:rsidR="00F81E67" w:rsidRPr="00633A59" w:rsidRDefault="00F81E67" w:rsidP="00633A59">
      <w:pPr>
        <w:rPr>
          <w:b/>
          <w:sz w:val="28"/>
          <w:szCs w:val="28"/>
        </w:rPr>
      </w:pPr>
      <w:r w:rsidRPr="00633A59">
        <w:rPr>
          <w:b/>
          <w:sz w:val="28"/>
          <w:szCs w:val="28"/>
        </w:rPr>
        <w:t>Limitations</w:t>
      </w:r>
    </w:p>
    <w:p w14:paraId="022B9E7B" w14:textId="1ED8EF25" w:rsidR="00F81E67" w:rsidRPr="008E680E" w:rsidRDefault="00F81E67" w:rsidP="00F81E67">
      <w:pPr>
        <w:pStyle w:val="Bullet1"/>
        <w:numPr>
          <w:ilvl w:val="0"/>
          <w:numId w:val="0"/>
        </w:numPr>
      </w:pPr>
      <w:r w:rsidRPr="008E680E">
        <w:t>Caution must be taken when interpreting the Schedule of Benefits of AT (</w:t>
      </w:r>
      <w:r w:rsidRPr="008E680E">
        <w:rPr>
          <w:i/>
          <w:iCs/>
        </w:rPr>
        <w:fldChar w:fldCharType="begin"/>
      </w:r>
      <w:r w:rsidRPr="008E680E">
        <w:rPr>
          <w:i/>
          <w:iCs/>
        </w:rPr>
        <w:instrText xml:space="preserve"> REF _Ref35009605 \h  \* MERGEFORMAT </w:instrText>
      </w:r>
      <w:r w:rsidRPr="008E680E">
        <w:rPr>
          <w:i/>
          <w:iCs/>
        </w:rPr>
      </w:r>
      <w:r w:rsidRPr="008E680E">
        <w:rPr>
          <w:i/>
          <w:iCs/>
        </w:rPr>
        <w:fldChar w:fldCharType="separate"/>
      </w:r>
      <w:r w:rsidR="00EB1774" w:rsidRPr="00EB1774">
        <w:rPr>
          <w:i/>
          <w:iCs/>
        </w:rPr>
        <w:t>Table B</w:t>
      </w:r>
      <w:r w:rsidR="00EB1774" w:rsidRPr="00EB1774">
        <w:rPr>
          <w:i/>
          <w:iCs/>
        </w:rPr>
        <w:noBreakHyphen/>
        <w:t>8</w:t>
      </w:r>
      <w:r w:rsidRPr="008E680E">
        <w:rPr>
          <w:i/>
          <w:iCs/>
        </w:rPr>
        <w:fldChar w:fldCharType="end"/>
      </w:r>
      <w:r w:rsidRPr="008E680E">
        <w:t>).</w:t>
      </w:r>
      <w:r w:rsidR="004511B3">
        <w:t xml:space="preserve"> </w:t>
      </w:r>
      <w:r w:rsidRPr="008E680E">
        <w:t>We took a conservative approach to determining what was included in the schedule, only including studies where we were reasonably confident that the results are generalisable to Australian people aged 65 and older (50 and older for Aboriginal and Torres Strait Islander peoples) who are living at home with limitations or disability (ranging from Mild to Profound).</w:t>
      </w:r>
      <w:r w:rsidR="004511B3">
        <w:t xml:space="preserve"> </w:t>
      </w:r>
      <w:r w:rsidRPr="008E680E">
        <w:t>However, studies were inconsistent in reporting (or did not report) the level of limitation or disability faced by the included population, and may therefore not be generalisable to this cohort.</w:t>
      </w:r>
    </w:p>
    <w:p w14:paraId="5E6B8802" w14:textId="71E6B6C5" w:rsidR="00F81E67" w:rsidRPr="008E680E" w:rsidRDefault="00F81E67" w:rsidP="00F81E67">
      <w:pPr>
        <w:pStyle w:val="Paragraph"/>
        <w:rPr>
          <w:lang w:val="en-CA" w:eastAsia="en-AU"/>
        </w:rPr>
      </w:pPr>
      <w:r w:rsidRPr="008E680E">
        <w:t>Overall, these findings highlight the significant variation in data and reporting quality among the identified studies.</w:t>
      </w:r>
      <w:r w:rsidR="004511B3">
        <w:t xml:space="preserve"> </w:t>
      </w:r>
      <w:r w:rsidRPr="008E680E">
        <w:t xml:space="preserve">Summary scores for each assessment are included in </w:t>
      </w:r>
      <w:r w:rsidRPr="008E680E">
        <w:rPr>
          <w:i/>
          <w:iCs/>
        </w:rPr>
        <w:t>Table A-8.</w:t>
      </w:r>
      <w:r w:rsidRPr="008E680E">
        <w:t xml:space="preserve"> It is noted that the levels of evidence and the quality of the included studies </w:t>
      </w:r>
      <w:r>
        <w:t>wa</w:t>
      </w:r>
      <w:r w:rsidRPr="008E680E">
        <w:t>s generally low, and the risk of bias for the included studies was generally high. This compromises the robustness and generalisability of the findings from the rapid evidence review.</w:t>
      </w:r>
      <w:bookmarkStart w:id="94" w:name="_Ref35005004"/>
    </w:p>
    <w:p w14:paraId="5E4D9ED3" w14:textId="69B9B3E1" w:rsidR="00F81E67" w:rsidRPr="008E680E" w:rsidRDefault="00F81E67" w:rsidP="00633A59">
      <w:pPr>
        <w:pStyle w:val="Heading2"/>
      </w:pPr>
      <w:r w:rsidRPr="008E680E">
        <w:lastRenderedPageBreak/>
        <w:t xml:space="preserve">Permutated and hierarchical matrix of the included RER </w:t>
      </w:r>
      <w:r w:rsidR="00794EF4">
        <w:t>studies</w:t>
      </w:r>
    </w:p>
    <w:p w14:paraId="62D2FD49" w14:textId="46AFED6B" w:rsidR="00F81E67" w:rsidRPr="008E680E" w:rsidRDefault="00F81E67" w:rsidP="00F81E67">
      <w:pPr>
        <w:pStyle w:val="Paragraph"/>
        <w:rPr>
          <w:lang w:eastAsia="en-GB"/>
        </w:rPr>
      </w:pPr>
      <w:r w:rsidRPr="008E680E">
        <w:rPr>
          <w:lang w:eastAsia="en-GB"/>
        </w:rPr>
        <w:t xml:space="preserve">The included studies were </w:t>
      </w:r>
      <w:r w:rsidRPr="008E680E">
        <w:t>examined for effectiveness and cost, for each of the key outcomes reported. As some studies reported more than one key outcome, there are more than 20 results presented in the hierarchical matrix. In summary, there was a consistent finding to accept AT due to the benefits, and that that is either cost effective or cost neutral (</w:t>
      </w:r>
      <w:r w:rsidR="00FC5D21" w:rsidRPr="00FC5D21">
        <w:rPr>
          <w:rStyle w:val="Italic"/>
        </w:rPr>
        <w:fldChar w:fldCharType="begin"/>
      </w:r>
      <w:r w:rsidR="00FC5D21" w:rsidRPr="00FC5D21">
        <w:rPr>
          <w:rStyle w:val="Italic"/>
        </w:rPr>
        <w:instrText xml:space="preserve"> REF _Ref42519174 \h </w:instrText>
      </w:r>
      <w:r w:rsidR="00FC5D21">
        <w:rPr>
          <w:rStyle w:val="Italic"/>
        </w:rPr>
        <w:instrText xml:space="preserve"> \* MERGEFORMAT </w:instrText>
      </w:r>
      <w:r w:rsidR="00FC5D21" w:rsidRPr="00FC5D21">
        <w:rPr>
          <w:rStyle w:val="Italic"/>
        </w:rPr>
      </w:r>
      <w:r w:rsidR="00FC5D21" w:rsidRPr="00FC5D21">
        <w:rPr>
          <w:rStyle w:val="Italic"/>
        </w:rPr>
        <w:fldChar w:fldCharType="separate"/>
      </w:r>
      <w:r w:rsidR="00EB1774" w:rsidRPr="00EB1774">
        <w:rPr>
          <w:rStyle w:val="Italic"/>
        </w:rPr>
        <w:t>Table B</w:t>
      </w:r>
      <w:r w:rsidR="00EB1774" w:rsidRPr="00EB1774">
        <w:rPr>
          <w:rStyle w:val="Italic"/>
        </w:rPr>
        <w:noBreakHyphen/>
        <w:t>7</w:t>
      </w:r>
      <w:r w:rsidR="00FC5D21" w:rsidRPr="00FC5D21">
        <w:rPr>
          <w:rStyle w:val="Italic"/>
        </w:rPr>
        <w:fldChar w:fldCharType="end"/>
      </w:r>
      <w:r w:rsidRPr="008E680E">
        <w:t xml:space="preserve">). Following the </w:t>
      </w:r>
      <w:r w:rsidRPr="008E680E">
        <w:rPr>
          <w:lang w:eastAsia="en-GB"/>
        </w:rPr>
        <w:t xml:space="preserve">completion of the permutated and hierarchical matrix, a </w:t>
      </w:r>
      <w:r w:rsidRPr="00433E00">
        <w:rPr>
          <w:lang w:eastAsia="en-GB"/>
        </w:rPr>
        <w:t>word cloud</w:t>
      </w:r>
      <w:r w:rsidRPr="008E680E">
        <w:rPr>
          <w:lang w:eastAsia="en-GB"/>
        </w:rPr>
        <w:t xml:space="preserve"> was produced for the </w:t>
      </w:r>
      <w:r w:rsidRPr="008E680E">
        <w:t xml:space="preserve">various benefits of AT that were captured in the RER </w:t>
      </w:r>
      <w:r w:rsidRPr="008E680E">
        <w:rPr>
          <w:lang w:eastAsia="en-GB"/>
        </w:rPr>
        <w:t>to provide an image of the depth and breadth of benefits</w:t>
      </w:r>
      <w:r w:rsidRPr="008E680E">
        <w:t xml:space="preserve"> identified (</w:t>
      </w:r>
      <w:r w:rsidR="00FC5D21" w:rsidRPr="00FC5D21">
        <w:rPr>
          <w:rStyle w:val="Italic"/>
        </w:rPr>
        <w:fldChar w:fldCharType="begin"/>
      </w:r>
      <w:r w:rsidR="00FC5D21" w:rsidRPr="00FC5D21">
        <w:rPr>
          <w:rStyle w:val="Italic"/>
        </w:rPr>
        <w:instrText xml:space="preserve"> REF _Ref42519208 \h </w:instrText>
      </w:r>
      <w:r w:rsidR="00FC5D21">
        <w:rPr>
          <w:rStyle w:val="Italic"/>
        </w:rPr>
        <w:instrText xml:space="preserve"> \* MERGEFORMAT </w:instrText>
      </w:r>
      <w:r w:rsidR="00FC5D21" w:rsidRPr="00FC5D21">
        <w:rPr>
          <w:rStyle w:val="Italic"/>
        </w:rPr>
      </w:r>
      <w:r w:rsidR="00FC5D21" w:rsidRPr="00FC5D21">
        <w:rPr>
          <w:rStyle w:val="Italic"/>
        </w:rPr>
        <w:fldChar w:fldCharType="separate"/>
      </w:r>
      <w:r w:rsidR="00EB1774" w:rsidRPr="00EB1774">
        <w:rPr>
          <w:rStyle w:val="Italic"/>
        </w:rPr>
        <w:t>Figure B</w:t>
      </w:r>
      <w:r w:rsidR="00EB1774" w:rsidRPr="00EB1774">
        <w:rPr>
          <w:rStyle w:val="Italic"/>
        </w:rPr>
        <w:noBreakHyphen/>
        <w:t>2</w:t>
      </w:r>
      <w:r w:rsidR="00FC5D21" w:rsidRPr="00FC5D21">
        <w:rPr>
          <w:rStyle w:val="Italic"/>
        </w:rPr>
        <w:fldChar w:fldCharType="end"/>
      </w:r>
      <w:r w:rsidR="00FC5D21" w:rsidRPr="00FC5D21">
        <w:t>)</w:t>
      </w:r>
      <w:r w:rsidRPr="008E680E">
        <w:rPr>
          <w:lang w:eastAsia="en-GB"/>
        </w:rPr>
        <w:t>.</w:t>
      </w:r>
    </w:p>
    <w:p w14:paraId="6069D85D" w14:textId="223056DA" w:rsidR="00F81E67" w:rsidRPr="008E680E" w:rsidRDefault="00902628" w:rsidP="00633A59">
      <w:bookmarkStart w:id="95" w:name="_Ref42519208"/>
      <w:bookmarkStart w:id="96" w:name="_Ref42519203"/>
      <w:bookmarkStart w:id="97" w:name="_Toc60999878"/>
      <w:r w:rsidRPr="008E680E">
        <w:t>Figure </w:t>
      </w:r>
      <w:r>
        <w:fldChar w:fldCharType="begin"/>
      </w:r>
      <w:r>
        <w:instrText xml:space="preserve"> STYLEREF 5 \s </w:instrText>
      </w:r>
      <w:r>
        <w:fldChar w:fldCharType="separate"/>
      </w:r>
      <w:r w:rsidR="00EB1774">
        <w:rPr>
          <w:noProof/>
        </w:rPr>
        <w:t>B</w:t>
      </w:r>
      <w:r>
        <w:rPr>
          <w:noProof/>
        </w:rPr>
        <w:fldChar w:fldCharType="end"/>
      </w:r>
      <w:r w:rsidR="006562A7">
        <w:rPr>
          <w:noProof/>
        </w:rPr>
        <w:t>-2</w:t>
      </w:r>
      <w:bookmarkEnd w:id="95"/>
      <w:r w:rsidRPr="008E680E">
        <w:t>:</w:t>
      </w:r>
      <w:r w:rsidRPr="008E680E">
        <w:tab/>
      </w:r>
      <w:r w:rsidR="00F81E67" w:rsidRPr="008E680E">
        <w:t xml:space="preserve"> various benefits of AT that were captured in the RER</w:t>
      </w:r>
      <w:bookmarkEnd w:id="96"/>
      <w:bookmarkEnd w:id="97"/>
    </w:p>
    <w:p w14:paraId="09611098" w14:textId="6D4941C1" w:rsidR="0056526D" w:rsidRDefault="00F81E67" w:rsidP="00DD0229">
      <w:r w:rsidRPr="00433E00">
        <w:rPr>
          <w:noProof/>
          <w:lang w:val="en-AU" w:eastAsia="en-AU"/>
        </w:rPr>
        <w:drawing>
          <wp:inline distT="0" distB="0" distL="0" distR="0" wp14:anchorId="5AFAB37D" wp14:editId="516C83DA">
            <wp:extent cx="6120000" cy="3485877"/>
            <wp:effectExtent l="19050" t="19050" r="14605" b="19685"/>
            <wp:docPr id="17" name="Picture 17" descr="Words in order of size/prevalence: formal care, wellbeing, quality of life, falls, function, hospitalisation, informal care, mortality, residential aged care, family contact, soc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rds in order of size/prevalence: formal care, wellbeing, quality of life, falls, function, hospitalisation, informal care, mortality, residential aged care, family contact, socialisatio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120000" cy="3485877"/>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5E3F6CFB" w14:textId="77777777" w:rsidR="00B55B86" w:rsidRDefault="00B55B86">
      <w:pPr>
        <w:sectPr w:rsidR="00B55B86" w:rsidSect="006A412D">
          <w:pgSz w:w="11906" w:h="16838"/>
          <w:pgMar w:top="1134" w:right="1134" w:bottom="1134" w:left="1134" w:header="709" w:footer="709" w:gutter="0"/>
          <w:cols w:space="708"/>
          <w:docGrid w:linePitch="360"/>
        </w:sectPr>
      </w:pPr>
    </w:p>
    <w:p w14:paraId="30FF0866" w14:textId="3E78FEE9" w:rsidR="00F81E67" w:rsidRDefault="00902628" w:rsidP="00633A59">
      <w:bookmarkStart w:id="98" w:name="_Ref42519174"/>
      <w:bookmarkStart w:id="99" w:name="_Toc60999932"/>
      <w:r w:rsidRPr="008E680E">
        <w:lastRenderedPageBreak/>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6562A7">
        <w:t>-7</w:t>
      </w:r>
      <w:bookmarkEnd w:id="98"/>
      <w:r w:rsidRPr="008E680E">
        <w:t>:</w:t>
      </w:r>
      <w:r>
        <w:tab/>
      </w:r>
      <w:r w:rsidR="00F81E67" w:rsidRPr="008E680E">
        <w:t xml:space="preserve">Details </w:t>
      </w:r>
      <w:r w:rsidR="00F81E67" w:rsidRPr="00433E00">
        <w:t>of the hierarchical matrix for the RER inclusive of 20 studies</w:t>
      </w:r>
      <w:bookmarkEnd w:id="99"/>
    </w:p>
    <w:tbl>
      <w:tblPr>
        <w:tblStyle w:val="AHALight"/>
        <w:tblW w:w="5000" w:type="pct"/>
        <w:tblLook w:val="04A0" w:firstRow="1" w:lastRow="0" w:firstColumn="1" w:lastColumn="0" w:noHBand="0" w:noVBand="1"/>
        <w:tblCaption w:val="table B 7"/>
        <w:tblDescription w:val="details of hierarchical matrix for 20 studies identified in rapid evidence review"/>
      </w:tblPr>
      <w:tblGrid>
        <w:gridCol w:w="1158"/>
        <w:gridCol w:w="7206"/>
        <w:gridCol w:w="5103"/>
        <w:gridCol w:w="1103"/>
      </w:tblGrid>
      <w:tr w:rsidR="006B0BD2" w:rsidRPr="00A274F1" w14:paraId="2175B33B" w14:textId="77777777" w:rsidTr="00034F4E">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158" w:type="dxa"/>
          </w:tcPr>
          <w:p w14:paraId="3D56EC2E" w14:textId="5D14A8E7" w:rsidR="006B0BD2" w:rsidRPr="00A274F1" w:rsidRDefault="006B0BD2" w:rsidP="006B0BD2">
            <w:pPr>
              <w:pStyle w:val="TableHeading1"/>
            </w:pPr>
            <w:r w:rsidRPr="00A274F1">
              <w:t>Increment</w:t>
            </w:r>
          </w:p>
        </w:tc>
        <w:tc>
          <w:tcPr>
            <w:tcW w:w="7206" w:type="dxa"/>
          </w:tcPr>
          <w:p w14:paraId="4AAF66EB" w14:textId="77777777" w:rsidR="006B0BD2" w:rsidRPr="00A274F1" w:rsidRDefault="006B0BD2" w:rsidP="006B0BD2">
            <w:pPr>
              <w:pStyle w:val="TableHeading1"/>
              <w:cnfStyle w:val="100000000000" w:firstRow="1" w:lastRow="0" w:firstColumn="0" w:lastColumn="0" w:oddVBand="0" w:evenVBand="0" w:oddHBand="0" w:evenHBand="0" w:firstRowFirstColumn="0" w:firstRowLastColumn="0" w:lastRowFirstColumn="0" w:lastRowLastColumn="0"/>
            </w:pPr>
            <w:r w:rsidRPr="00A274F1">
              <w:t>More effective</w:t>
            </w:r>
          </w:p>
        </w:tc>
        <w:tc>
          <w:tcPr>
            <w:tcW w:w="5103" w:type="dxa"/>
          </w:tcPr>
          <w:p w14:paraId="460C26C7" w14:textId="77777777" w:rsidR="006B0BD2" w:rsidRPr="00A274F1" w:rsidRDefault="006B0BD2" w:rsidP="006B0BD2">
            <w:pPr>
              <w:pStyle w:val="TableHeading1"/>
              <w:cnfStyle w:val="100000000000" w:firstRow="1" w:lastRow="0" w:firstColumn="0" w:lastColumn="0" w:oddVBand="0" w:evenVBand="0" w:oddHBand="0" w:evenHBand="0" w:firstRowFirstColumn="0" w:firstRowLastColumn="0" w:lastRowFirstColumn="0" w:lastRowLastColumn="0"/>
            </w:pPr>
            <w:r w:rsidRPr="00A274F1">
              <w:t>Neutral</w:t>
            </w:r>
            <w:r>
              <w:t xml:space="preserve"> effectiveness</w:t>
            </w:r>
          </w:p>
        </w:tc>
        <w:tc>
          <w:tcPr>
            <w:tcW w:w="1103" w:type="dxa"/>
          </w:tcPr>
          <w:p w14:paraId="5B387F3A" w14:textId="77777777" w:rsidR="006B0BD2" w:rsidRPr="00A274F1" w:rsidRDefault="006B0BD2" w:rsidP="006B0BD2">
            <w:pPr>
              <w:pStyle w:val="TableHeading1"/>
              <w:jc w:val="center"/>
              <w:cnfStyle w:val="100000000000" w:firstRow="1" w:lastRow="0" w:firstColumn="0" w:lastColumn="0" w:oddVBand="0" w:evenVBand="0" w:oddHBand="0" w:evenHBand="0" w:firstRowFirstColumn="0" w:firstRowLastColumn="0" w:lastRowFirstColumn="0" w:lastRowLastColumn="0"/>
            </w:pPr>
            <w:r w:rsidRPr="00A274F1">
              <w:t>Less effective</w:t>
            </w:r>
          </w:p>
        </w:tc>
      </w:tr>
      <w:tr w:rsidR="006B0BD2" w:rsidRPr="00A274F1" w14:paraId="34BFA012" w14:textId="77777777" w:rsidTr="00034F4E">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3B69AC23" w14:textId="77777777" w:rsidR="006B0BD2" w:rsidRPr="00A274F1" w:rsidRDefault="006B0BD2" w:rsidP="006B0BD2">
            <w:pPr>
              <w:pStyle w:val="TableHeading1Rows"/>
            </w:pPr>
            <w:r w:rsidRPr="00A274F1">
              <w:t>More expensive</w:t>
            </w:r>
          </w:p>
        </w:tc>
        <w:tc>
          <w:tcPr>
            <w:tcW w:w="7206" w:type="dxa"/>
          </w:tcPr>
          <w:p w14:paraId="5FFD7C0D" w14:textId="205DD24A" w:rsidR="006B0BD2" w:rsidRPr="00A274F1" w:rsidRDefault="006B0BD2" w:rsidP="006B0BD2">
            <w:pPr>
              <w:pStyle w:val="TableList1"/>
              <w:numPr>
                <w:ilvl w:val="0"/>
                <w:numId w:val="80"/>
              </w:numPr>
              <w:cnfStyle w:val="000000100000" w:firstRow="0" w:lastRow="0" w:firstColumn="0" w:lastColumn="0" w:oddVBand="0" w:evenVBand="0" w:oddHBand="1" w:evenHBand="0" w:firstRowFirstColumn="0" w:firstRowLastColumn="0" w:lastRowFirstColumn="0" w:lastRowLastColumn="0"/>
            </w:pPr>
            <w:r w:rsidRPr="006B0BD2">
              <w:fldChar w:fldCharType="begin" w:fldLock="1"/>
            </w:r>
            <w:r w:rsidRPr="006B0BD2">
              <w:instrText>ADDIN CSL_CITATION {"citationItems":[{"id":"ITEM-1","itemData":{"DOI":"10.1155/2012/680265","ISSN":"2090-2212 (Electronic)","PMID":"21876812","abstract":"Evaluating cost effectiveness of interventions for aging in place is essential for adoption in service settings. We present the cost effectiveness of Advancing Better Living for Elders (ABLE), previously shown in a randomized trial to reduce functional difficulties and mortality in 319 community-dwelling elders. ABLE involved occupational and physical therapy sessions and home modifications to address client-identified functional difficulties, performance goals, and home safety. Incremental cost-effectiveness ratio (ICER), expressed as additional cost to bring about one additional year of life, was calculated. Two models were then developed to account for potential cost differences in implementing ABLE. Probabilistic sensitivity analyses were conducted to account for variations in model parameters. By two years, there were 30 deaths (9: ABLE; 21: control). Additional costs for 1 additional year of life was $13,179 for Model 1 and $14,800 for Model 2. Investment in ABLE may be worthwhile depending on society's willingness to pay.","author":[{"dropping-particle":"","family":"Jutkowitz","given":"Eric","non-dropping-particle":"","parse-names":false,"suffix":""},{"dropping-particle":"","family":"Gitlin","given":"Laura N","non-dropping-particle":"","parse-names":false,"suffix":""},{"dropping-particle":"","family":"Pizzi","given":"Laura T","non-dropping-particle":"","parse-names":false,"suffix":""},{"dropping-particle":"","family":"Lee","given":"Edward","non-dropping-particle":"","parse-names":false,"suffix":""},{"dropping-particle":"","family":"Dennis","given":"Marie P","non-dropping-particle":"","parse-names":false,"suffix":""}],"container-title":"Journal of aging research","id":"ITEM-1","issued":{"date-parts":[["2012"]]},"language":"eng","title":"Cost effectiveness of a home-based intervention that helps functionally vulnerable older adults age in place at home.","type":"article-journal","volume":"2012"},"uris":["http://www.mendeley.com/documents/?uuid=8c380d95-2e8d-4d6a-8265-fec66124c055"]}],"mendeley":{"formattedCitation":"(Jutkowitz et al. 2012)","plainTextFormattedCitation":"(Jutkowitz et al. 2012)","previouslyFormattedCitation":"(Jutkowitz et al. 2012)"},"properties":{"noteIndex":0},"schema":"https://github.com/citation-style-language/schema/raw/master/csl-citation.json"}</w:instrText>
            </w:r>
            <w:r w:rsidRPr="006B0BD2">
              <w:fldChar w:fldCharType="separate"/>
            </w:r>
            <w:r w:rsidRPr="006B0BD2">
              <w:rPr>
                <w:noProof/>
              </w:rPr>
              <w:t>(Jutkowitz et al. 2012)</w:t>
            </w:r>
            <w:r w:rsidRPr="006B0BD2">
              <w:fldChar w:fldCharType="end"/>
            </w:r>
            <w:r>
              <w:t xml:space="preserve"> found</w:t>
            </w:r>
            <w:r w:rsidRPr="006B0BD2">
              <w:t xml:space="preserve"> </w:t>
            </w:r>
            <w:r w:rsidRPr="00A274F1">
              <w:t>home modifications</w:t>
            </w:r>
            <w:r>
              <w:t xml:space="preserve"> reduced </w:t>
            </w:r>
            <w:r w:rsidRPr="00A274F1">
              <w:t>mortality</w:t>
            </w:r>
          </w:p>
        </w:tc>
        <w:tc>
          <w:tcPr>
            <w:tcW w:w="5103" w:type="dxa"/>
          </w:tcPr>
          <w:p w14:paraId="1A8CE78D" w14:textId="77777777" w:rsidR="006B0BD2" w:rsidRPr="00A274F1" w:rsidRDefault="006B0BD2" w:rsidP="006B0BD2">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None</w:t>
            </w:r>
          </w:p>
        </w:tc>
        <w:tc>
          <w:tcPr>
            <w:tcW w:w="1103" w:type="dxa"/>
          </w:tcPr>
          <w:p w14:paraId="2A9BC41F" w14:textId="77777777" w:rsidR="006B0BD2" w:rsidRPr="00A274F1" w:rsidRDefault="006B0BD2" w:rsidP="006B0BD2">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None</w:t>
            </w:r>
          </w:p>
        </w:tc>
      </w:tr>
      <w:tr w:rsidR="006B0BD2" w:rsidRPr="00A274F1" w14:paraId="4D9F60CE" w14:textId="77777777" w:rsidTr="00034F4E">
        <w:trPr>
          <w:cantSplit w:val="0"/>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366C9EF8" w14:textId="77777777" w:rsidR="006B0BD2" w:rsidRPr="00A274F1" w:rsidRDefault="006B0BD2" w:rsidP="006B0BD2">
            <w:pPr>
              <w:pStyle w:val="TableHeading1Rows"/>
            </w:pPr>
            <w:r w:rsidRPr="00A274F1">
              <w:t>Cost-neutral</w:t>
            </w:r>
          </w:p>
        </w:tc>
        <w:tc>
          <w:tcPr>
            <w:tcW w:w="7206" w:type="dxa"/>
          </w:tcPr>
          <w:p w14:paraId="001B4E10" w14:textId="76BB4AD9" w:rsidR="006B0BD2" w:rsidRPr="00A274F1" w:rsidRDefault="006B0BD2" w:rsidP="006B0BD2">
            <w:pPr>
              <w:pStyle w:val="TableList1"/>
              <w:cnfStyle w:val="000000000000" w:firstRow="0" w:lastRow="0" w:firstColumn="0" w:lastColumn="0" w:oddVBand="0" w:evenVBand="0" w:oddHBand="0" w:evenHBand="0" w:firstRowFirstColumn="0" w:firstRowLastColumn="0" w:lastRowFirstColumn="0" w:lastRowLastColumn="0"/>
            </w:pPr>
            <w:r w:rsidRPr="00A274F1">
              <w:fldChar w:fldCharType="begin" w:fldLock="1"/>
            </w:r>
            <w:r w:rsidRPr="00A274F1">
              <w:instrText>ADDIN CSL_CITATION {"citationItems":[{"id":"ITEM-1","itemData":{"DOI":"10.3390/ijerph16111951","ISSN":"16604601","abstract":"The extent to which housing design can minimise levels of community caregiving has remained largely unmeasured. This paper reports the potential for home modifications to reduce caregiving in the peoples’ homes, particularly older people and people with a disability. It contributes to new knowledge in understanding how housing can play a role in community caregiving and acknowledges the role of the built environment in managing care levels in ageing societies. This paper analyses self-reported care data from 157 Australian community care recipients (average age: 72 years) who had received home modifications within the past 6 months. A before/after comparison of care provided revealed that home modifications reduced hours of care provided by 42% per week. More detailed analysis revealed that the positive association of home modifications with care reduction is stronger with informal care (46% reduction) followed by formal care (16% reduction). These results suggest the role that home modifications, and housing design in general, play in reducing care needs in a community setting.","author":[{"dropping-particle":"","family":"Carnemolla","given":"Phillippa","non-dropping-particle":"","parse-names":false,"suffix":""},{"dropping-particle":"","family":"Bridge","given":"Catherine","non-dropping-particle":"","parse-names":false,"suffix":""}],"container-title":"International Journal of Environmental Research and Public Health","id":"ITEM-1","issue":"11","issued":{"date-parts":[["2019"]]},"title":"Housing design and community care: How home modifications reduce care needs of older people and people with disability","type":"article-journal","volume":"16"},"uris":["http://www.mendeley.com/documents/?uuid=586110c3-96ab-4001-a5ca-b526285929e9"]}],"mendeley":{"formattedCitation":"(Carnemolla &amp; Bridge 2019)","plainTextFormattedCitation":"(Carnemolla &amp; Bridge 2019)","previouslyFormattedCitation":"(Carnemolla &amp; Bridge 2019)"},"properties":{"noteIndex":0},"schema":"https://github.com/citation-style-language/schema/raw/master/csl-citation.json"}</w:instrText>
            </w:r>
            <w:r w:rsidRPr="00A274F1">
              <w:fldChar w:fldCharType="separate"/>
            </w:r>
            <w:r w:rsidRPr="00A274F1">
              <w:rPr>
                <w:noProof/>
              </w:rPr>
              <w:t>(Carnemolla &amp; Bridge 2019)</w:t>
            </w:r>
            <w:r w:rsidRPr="00A274F1">
              <w:fldChar w:fldCharType="end"/>
            </w:r>
            <w:r>
              <w:t xml:space="preserve"> found </w:t>
            </w:r>
            <w:r w:rsidRPr="00A274F1">
              <w:t>home modification</w:t>
            </w:r>
            <w:r>
              <w:t xml:space="preserve"> reduced </w:t>
            </w:r>
            <w:r w:rsidRPr="00A274F1">
              <w:t xml:space="preserve">formal </w:t>
            </w:r>
            <w:r>
              <w:t>and</w:t>
            </w:r>
            <w:r w:rsidRPr="00A274F1">
              <w:t xml:space="preserve"> informal care</w:t>
            </w:r>
          </w:p>
          <w:p w14:paraId="3C23E5B9" w14:textId="2DB0C1EB"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6B0BD2">
              <w:fldChar w:fldCharType="separate"/>
            </w:r>
            <w:r w:rsidRPr="006B0BD2">
              <w:rPr>
                <w:noProof/>
              </w:rPr>
              <w:t>(Carnemolla &amp; Bridge 2018)</w:t>
            </w:r>
            <w:r w:rsidRPr="006B0BD2">
              <w:fldChar w:fldCharType="end"/>
            </w:r>
            <w:r w:rsidRPr="006B0BD2">
              <w:t xml:space="preserve"> </w:t>
            </w:r>
            <w:r>
              <w:t xml:space="preserve">found </w:t>
            </w:r>
            <w:r w:rsidRPr="00A274F1">
              <w:t>home modification</w:t>
            </w:r>
            <w:r>
              <w:t xml:space="preserve"> increased </w:t>
            </w:r>
            <w:r w:rsidRPr="00A274F1">
              <w:t>function</w:t>
            </w:r>
            <w:r>
              <w:t xml:space="preserve">, </w:t>
            </w:r>
            <w:r w:rsidRPr="00A274F1">
              <w:t>wellbeing</w:t>
            </w:r>
            <w:r>
              <w:t xml:space="preserve">, </w:t>
            </w:r>
            <w:r w:rsidRPr="006B0BD2">
              <w:rPr>
                <w:rFonts w:cstheme="minorHAnsi"/>
                <w:szCs w:val="22"/>
              </w:rPr>
              <w:t>ageing</w:t>
            </w:r>
            <w:r>
              <w:rPr>
                <w:rFonts w:cstheme="minorHAnsi"/>
                <w:szCs w:val="22"/>
              </w:rPr>
              <w:t xml:space="preserve">, and </w:t>
            </w:r>
            <w:r w:rsidRPr="006B0BD2">
              <w:rPr>
                <w:rFonts w:cstheme="minorHAnsi"/>
                <w:szCs w:val="22"/>
              </w:rPr>
              <w:t>socialisation</w:t>
            </w:r>
            <w:r>
              <w:rPr>
                <w:rFonts w:cstheme="minorHAnsi"/>
                <w:szCs w:val="22"/>
              </w:rPr>
              <w:t xml:space="preserve"> and decreased </w:t>
            </w:r>
            <w:r w:rsidRPr="006B0BD2">
              <w:rPr>
                <w:rFonts w:cstheme="minorHAnsi"/>
                <w:szCs w:val="22"/>
              </w:rPr>
              <w:t>falls/</w:t>
            </w:r>
            <w:r>
              <w:rPr>
                <w:rFonts w:cstheme="minorHAnsi"/>
                <w:szCs w:val="22"/>
              </w:rPr>
              <w:t>‌</w:t>
            </w:r>
            <w:r w:rsidRPr="006B0BD2">
              <w:rPr>
                <w:rFonts w:cstheme="minorHAnsi"/>
                <w:szCs w:val="22"/>
              </w:rPr>
              <w:t>harm of falls</w:t>
            </w:r>
          </w:p>
          <w:p w14:paraId="6481485A" w14:textId="7F96AFDB"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{"citationItems":[{"id":"ITEM-1","itemData":{"DOI":"10.26687/archnet-ijar.v10i2.977","ISSN":"19387806","abstract":"The multi-dimensional relationship between housing and population health is now well recognised internationally, across both developing and developed nations. This paper examines a dimension within the housing and health relationship - accessibility - that to date has been considered difficult to measure. This paper reports on the mixed method results of larger mixed-method, exploratory study designed to measure the impact of home modifications on Health-Related Quality of Life, supported by qualitative data of recipients' experiences of home modifications. Data was gathered from 157 Australian HACC clients, who had received home modifications. Measurements were taken for both before and after home modifications and reveal that home modifications were associated with an average 40% increase in Health-Related Quality of Life levels. The qualitative results revealed that participants positively associated home modifications across six effect themes: increased safety and confidence, improved mobility at home, increased independence, supported caregiving role, increased social participation, and ability to return home from hospital. This exploratory research gives an insight into the potential for accessible architecture to impact improvements in community health and wellbeing.","author":[{"dropping-particle":"","family":"Carnemolla","given":"Phillippa","non-dropping-particle":"","parse-names":false,"suffix":""},{"dropping-particle":"","family":"Bridge","given":"Catherine","non-dropping-particle":"","parse-names":false,"suffix":""}],"container-title":"Archnet-IJAR","id":"ITEM-1","issue":"2","issued":{"date-parts":[["2016"]]},"page":"38-51","title":"Accessible housing and health-related quality of life: Measurements of wellbeing outcomes following home modifications","type":"article-journal","volume":"10"},"uris":["http://www.mendeley.com/documents/?uuid=95486d40-78ef-4327-9b3d-4576fd07ed01"]}],"mendeley":{"formattedCitation":"(Carnemolla &amp; Bridge 2016)","plainTextFormattedCitation":"(Carnemolla &amp; Bridge 2016)","previouslyFormattedCitation":"(Carnemolla &amp; Bridge 2016)"},"properties":{"noteIndex":0},"schema":"https://github.com/citation-style-language/schema/raw/master/csl-citation.json"}</w:instrText>
            </w:r>
            <w:r w:rsidRPr="006B0BD2">
              <w:fldChar w:fldCharType="separate"/>
            </w:r>
            <w:r w:rsidRPr="006B0BD2">
              <w:rPr>
                <w:noProof/>
              </w:rPr>
              <w:t>(Carnemolla &amp; Bridge 2016)</w:t>
            </w:r>
            <w:r w:rsidRPr="006B0BD2">
              <w:fldChar w:fldCharType="end"/>
            </w:r>
            <w:r w:rsidRPr="006B0BD2">
              <w:t xml:space="preserve"> </w:t>
            </w:r>
            <w:r>
              <w:t xml:space="preserve">found </w:t>
            </w:r>
            <w:r w:rsidRPr="006B0BD2">
              <w:rPr>
                <w:rFonts w:cstheme="minorHAnsi"/>
                <w:szCs w:val="22"/>
              </w:rPr>
              <w:t xml:space="preserve">home modification </w:t>
            </w:r>
            <w:r>
              <w:rPr>
                <w:rFonts w:cstheme="minorHAnsi"/>
                <w:szCs w:val="22"/>
              </w:rPr>
              <w:t xml:space="preserve">increased </w:t>
            </w:r>
            <w:r w:rsidRPr="006B0BD2">
              <w:rPr>
                <w:rFonts w:cstheme="minorHAnsi"/>
                <w:szCs w:val="22"/>
              </w:rPr>
              <w:t>quality of life</w:t>
            </w:r>
          </w:p>
          <w:p w14:paraId="49E238B9" w14:textId="2661956C"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10.1080/13607863.2017.1358354","ISSN":"1360-7863","author":[{"dropping-particle":"","family":"Fang","given":"Yang","non-dropping-particle":"","parse-names":false,"suffix":""},{"dropping-particle":"","family":"Chau","given":"Anson K. C.","non-dropping-particle":"","parse-names":false,"suffix":""},{"dropping-particle":"","family":"Wong","given":"Anna","non-dropping-particle":"","parse-names":false,"suffix":""},{"dropping-particle":"","family":"Fung","given":"Helene H.","non-dropping-particle":"","parse-names":false,"suffix":""},{"dropping-particle":"","family":"Woo","given":"Jean","non-dropping-particle":"","parse-names":false,"suffix":""}],"container-title":"Aging &amp; Mental Health","id":"ITEM-1","issue":"11","issued":{"date-parts":[["2018","11","2"]]},"page":"1516-1524","title":"Information and communicative technology use enhances psychological well-being of older adults: the roles of age, social connectedness, and frailty status","type":"article-journal","volume":"22"},"uris":["http://www.mendeley.com/documents/?uuid=be6ed3f3-b6a9-3ec7-b73f-9d7464350f71"]}],"mendeley":{"formattedCitation":"(Fang et al. 2018)","plainTextFormattedCitation":"(Fang et al. 2018)","previouslyFormattedCitation":"(Fang et al. 2018)"},"properties":{"noteIndex":0},"schema":"https://github.com/citation-style-language/schema/raw/master/csl-citation.json"}</w:instrText>
            </w:r>
            <w:r w:rsidRPr="006B0BD2">
              <w:fldChar w:fldCharType="separate"/>
            </w:r>
            <w:r w:rsidRPr="006B0BD2">
              <w:rPr>
                <w:noProof/>
              </w:rPr>
              <w:t>(Fang et al. 2018)</w:t>
            </w:r>
            <w:r w:rsidRPr="006B0BD2">
              <w:fldChar w:fldCharType="end"/>
            </w:r>
            <w:r w:rsidRPr="006B0BD2">
              <w:t xml:space="preserve"> </w:t>
            </w:r>
            <w:r>
              <w:t xml:space="preserve">found </w:t>
            </w:r>
            <w:r w:rsidRPr="006B0BD2">
              <w:rPr>
                <w:rFonts w:cstheme="minorHAnsi"/>
                <w:szCs w:val="22"/>
              </w:rPr>
              <w:t>info</w:t>
            </w:r>
            <w:r>
              <w:rPr>
                <w:rFonts w:cstheme="minorHAnsi"/>
                <w:szCs w:val="22"/>
              </w:rPr>
              <w:t>rmation</w:t>
            </w:r>
            <w:r w:rsidRPr="006B0BD2">
              <w:rPr>
                <w:rFonts w:cstheme="minorHAnsi"/>
                <w:szCs w:val="22"/>
              </w:rPr>
              <w:t>/comm</w:t>
            </w:r>
            <w:r>
              <w:rPr>
                <w:rFonts w:cstheme="minorHAnsi"/>
                <w:szCs w:val="22"/>
              </w:rPr>
              <w:t>unication</w:t>
            </w:r>
            <w:r w:rsidRPr="006B0BD2">
              <w:rPr>
                <w:rFonts w:cstheme="minorHAnsi"/>
                <w:szCs w:val="22"/>
              </w:rPr>
              <w:t xml:space="preserve"> technology </w:t>
            </w:r>
            <w:r>
              <w:rPr>
                <w:rFonts w:cstheme="minorHAnsi"/>
                <w:szCs w:val="22"/>
              </w:rPr>
              <w:t xml:space="preserve">increased </w:t>
            </w:r>
            <w:r w:rsidRPr="006B0BD2">
              <w:rPr>
                <w:rFonts w:cstheme="minorHAnsi"/>
                <w:szCs w:val="22"/>
              </w:rPr>
              <w:t>family contact</w:t>
            </w:r>
          </w:p>
          <w:p w14:paraId="31766E5A" w14:textId="0A9A1A25"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{"citationItems":[{"id":"ITEM-1","itemData":{"DOI":"10.1002/14651858.CD013258","ISSN":"1469493X","abstract":"This is a protocol for a Cochrane Review (Intervention). The objectives are as follows: To assess the effects (benefits and harms) of environmental interventions (such as assistive devices, and reduction of fall hazards in home, outdoors, and public places) for preventing falls in older people living in the community.","author":[{"dropping-particle":"","family":"Gillespie","given":"L. D","non-dropping-particle":"","parse-names":false,"suffix":""},{"dropping-particle":"","family":"Robertson","given":"M. C","non-dropping-particle":"","parse-names":false,"suffix":""},{"dropping-particle":"","family":"Gillespie","given":"W. J","non-dropping-particle":"","parse-names":false,"suffix":""},{"dropping-particle":"","family":"Sherrington","given":"C","non-dropping-particle":"","parse-names":false,"suffix":""},{"dropping-particle":"","family":"Gates","given":"S","non-dropping-particle":"","parse-names":false,"suffix":""},{"dropping-particle":"","family":"Clemson","given":"L. M","non-dropping-particle":"","parse-names":false,"suffix":""},{"dropping-particle":"","family":"Lamb","given":"S. E.","non-dropping-particle":"","parse-names":false,"suffix":""}],"container-title":"Cochrane Database of Systematic Reviews","id":"ITEM-1","issue":"9","issued":{"date-parts":[["2012"]]},"title":"Environmental interventions for preventing falls in older people living in the community","type":"article-journal"},"uris":["http://www.mendeley.com/documents/?uuid=916c9023-9626-4ada-84c2-93afbe111278"]}],"mendeley":{"formattedCitation":"(Gillespie et al. 2012)","plainTextFormattedCitation":"(Gillespie et al. 2012)","previouslyFormattedCitation":"(Gillespie et al. 2012)"},"properties":{"noteIndex":0},"schema":"https://github.com/citation-style-language/schema/raw/master/csl-citation.json"}</w:instrText>
            </w:r>
            <w:r w:rsidRPr="006B0BD2">
              <w:fldChar w:fldCharType="separate"/>
            </w:r>
            <w:r w:rsidRPr="006B0BD2">
              <w:rPr>
                <w:noProof/>
              </w:rPr>
              <w:t>(Gillespie et al. 2012)</w:t>
            </w:r>
            <w:r w:rsidRPr="006B0BD2">
              <w:fldChar w:fldCharType="end"/>
            </w:r>
            <w:r w:rsidRPr="006B0BD2">
              <w:t xml:space="preserve"> </w:t>
            </w:r>
            <w:r>
              <w:t>found OT</w:t>
            </w:r>
            <w:r w:rsidRPr="006B0BD2">
              <w:rPr>
                <w:rFonts w:cstheme="minorHAnsi"/>
                <w:szCs w:val="22"/>
              </w:rPr>
              <w:t xml:space="preserve"> </w:t>
            </w:r>
            <w:r w:rsidR="00B55B86">
              <w:rPr>
                <w:rFonts w:cstheme="minorHAnsi"/>
                <w:szCs w:val="22"/>
              </w:rPr>
              <w:t>(</w:t>
            </w:r>
            <w:r w:rsidRPr="006B0BD2">
              <w:rPr>
                <w:rFonts w:cstheme="minorHAnsi"/>
                <w:szCs w:val="22"/>
              </w:rPr>
              <w:t>versus non-</w:t>
            </w:r>
            <w:r>
              <w:rPr>
                <w:rFonts w:cstheme="minorHAnsi"/>
                <w:szCs w:val="22"/>
              </w:rPr>
              <w:t>OT</w:t>
            </w:r>
            <w:r w:rsidR="00B55B86">
              <w:rPr>
                <w:rFonts w:cstheme="minorHAnsi"/>
                <w:szCs w:val="22"/>
              </w:rPr>
              <w:t>)</w:t>
            </w:r>
            <w:r w:rsidRPr="006B0BD2">
              <w:rPr>
                <w:rFonts w:cstheme="minorHAnsi"/>
                <w:szCs w:val="22"/>
              </w:rPr>
              <w:t xml:space="preserve"> for </w:t>
            </w:r>
            <w:r>
              <w:rPr>
                <w:rFonts w:cstheme="minorHAnsi"/>
                <w:szCs w:val="22"/>
              </w:rPr>
              <w:t>AT</w:t>
            </w:r>
            <w:r w:rsidRPr="006B0BD2">
              <w:rPr>
                <w:rFonts w:cstheme="minorHAnsi"/>
                <w:szCs w:val="22"/>
              </w:rPr>
              <w:t xml:space="preserve"> </w:t>
            </w:r>
            <w:r>
              <w:rPr>
                <w:rFonts w:cstheme="minorHAnsi"/>
                <w:szCs w:val="22"/>
              </w:rPr>
              <w:t xml:space="preserve">reduced </w:t>
            </w:r>
            <w:r w:rsidRPr="006B0BD2">
              <w:rPr>
                <w:rFonts w:cstheme="minorHAnsi"/>
                <w:szCs w:val="22"/>
              </w:rPr>
              <w:t>rate of falls</w:t>
            </w:r>
          </w:p>
          <w:p w14:paraId="4A5799B5" w14:textId="26AF055B"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{"citationItems":[{"id":"ITEM-1","itemData":{"DOI":"10.3109/17483107.2014.1002540","ISSN":"1748-3107","abstract":"AbstractPurpose: The aim of this study was to analyse the cost-effectiveness of prescribing powered mobility devices (PMDs) to elderly users. Methods: Forty-five persons participated in the pre- and post-intervention study with a follow-up at four months. All participants were prescribed a scooter model and were offered individual support to get started using the PMD. In the analysis, the use of the PMD was compared to the situation prior to its use. The cost-utility analysis takes a societal perspective and considers costs, savings and quality of life (QoL) using answers to the EQ-5D questionnaire. Results: Costs for the first year with the PMD were 1395 USD and then 592 USD per subsequent year. There was a significant decrease in transportation costs and in relatives' time use, but the increase in QoL of 0.041 was not significant. Costs per gained quality adjusted life year (QALY) were 12?400?14?700 USD/QALY if the value of time saved not was considered and 600?2900 USD/QALY when an hour was valued at 3.6 USD. Conclusion: Prescription of PMDs to elderly users might be cost-effective. However, there are shortcomings in measuring QALY gains from the use of a PMD, and it is unclear how time savings among relatives should be valued.Implications for RehabilitationPrescription of powered mobility devices for the elderly with disability seems to be cost effective and should be a standard intervention.In economic evaluations of powered mobility devices and other assistive devices, the commonly used analyses methods are not always appropriate and therefore need to be adjusted.","author":[{"dropping-particle":"","family":"Hagberg","given":"Lars","non-dropping-particle":"","parse-names":false,"suffix":""},{"dropping-particle":"","family":"Hermansson","given":"Liselotte","non-dropping-particle":"","parse-names":false,"suffix":""},{"dropping-particle":"","family":"Fredriksson","given":"Carin","non-dropping-particle":"","parse-names":false,"suffix":""},{"dropping-particle":"","family":"Pettersson","given":"Ingvor","non-dropping-particle":"","parse-names":false,"suffix":""}],"container-title":"Disability and Rehabilitation: Assistive Technology","id":"ITEM-1","issue":"2","issued":{"date-parts":[["2017"]]},"page":"115-120","title":"Cost-effectiveness of powered mobility devices for elderly people with disability","type":"article-journal","volume":"12"},"uris":["http://www.mendeley.com/documents/?uuid=262ad9c4-c601-4c35-9461-8b4ac5d8c0c5"]}],"mendeley":{"formattedCitation":"(Hagberg et al. 2017)","plainTextFormattedCitation":"(Hagberg et al. 2017)","previouslyFormattedCitation":"(Hagberg et al. 2017)"},"properties":{"noteIndex":0},"schema":"https://github.com/citation-style-language/schema/raw/master/csl-citation.json"}</w:instrText>
            </w:r>
            <w:r w:rsidRPr="006B0BD2">
              <w:fldChar w:fldCharType="separate"/>
            </w:r>
            <w:r w:rsidRPr="006B0BD2">
              <w:rPr>
                <w:noProof/>
              </w:rPr>
              <w:t>(Hagberg et al. 2017)</w:t>
            </w:r>
            <w:r w:rsidRPr="006B0BD2">
              <w:fldChar w:fldCharType="end"/>
            </w:r>
            <w:r w:rsidR="00B55B86">
              <w:t xml:space="preserve"> found</w:t>
            </w:r>
            <w:r w:rsidRPr="006B0BD2">
              <w:t xml:space="preserve"> </w:t>
            </w:r>
            <w:r w:rsidRPr="006B0BD2">
              <w:rPr>
                <w:rFonts w:cstheme="minorHAnsi"/>
                <w:szCs w:val="22"/>
              </w:rPr>
              <w:t xml:space="preserve">power wheelchair </w:t>
            </w:r>
            <w:r w:rsidR="00B55B86">
              <w:rPr>
                <w:rFonts w:cstheme="minorHAnsi"/>
                <w:szCs w:val="22"/>
              </w:rPr>
              <w:t xml:space="preserve">increased </w:t>
            </w:r>
            <w:r w:rsidRPr="006B0BD2">
              <w:rPr>
                <w:rFonts w:cstheme="minorHAnsi"/>
                <w:szCs w:val="22"/>
              </w:rPr>
              <w:t>quality of life</w:t>
            </w:r>
          </w:p>
          <w:p w14:paraId="45E6AE83" w14:textId="7C755C48"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{"citationItems":[{"id":"ITEM-1","itemData":{"DOI":"10.1080/17483107.2018.1523953","ISSN":"17483115","abstract":"Purpose: Approximately 1.5% of the world’s population (</w:instrText>
            </w:r>
            <w:r w:rsidRPr="006B0BD2">
              <w:rPr>
                <w:rFonts w:ascii="Cambria Math" w:hAnsi="Cambria Math" w:cs="Cambria Math"/>
              </w:rPr>
              <w:instrText>∼</w:instrText>
            </w:r>
            <w:r w:rsidRPr="006B0BD2">
              <w:instrText>100 million people) need a prosthesis/orthosis. The objective of the study was to establish an overview of the literature that has examined prosthetic and orthotic interventions with a view to inform policy development. Methods: Fourteen databases were searched from 1995–2015. Studies reporting primary research on the effectiveness or cost-effectiveness of prosthetic and orthotic interventions were examined. Metadata and information on study characteristics were extracted from the included studies. Results: The searches resulted in a total of 28,958 articles, a focus on studies with the words “randomized” OR “randomized” OR “cost” OR “economic” in their citation reduced this total to 2644. Research has predominantly been conducted in Australia, Canada, Germany, Netherlands, UK and USA. A total of 346 randomized controlled trials were identified, with only four randomized controlled trials examining prosthetic interventions. The majority of research examined lower limb orthoses in the adult population and used a wide range of outcome measures. Conclusions: While various international organizations have highlighted the value of providing prosthetic and orthotic services, both to the user and society as a whole, the availability of scientific research to inform policy is limited. Future structured evaluation of prosthetic and orthotic interventions/services is warranted to inform future policy developments.Implications for rehabilitation Research into prosthetic and orthotic interventions has grown substantially in the last 20 years, with most of this research conducted in a small number of countries and focusing on the use of lower limb orthotics in adult populations. Research to date has utilized an extensive range of outcome measures, the development of agreed standardized sets of outcomes would allow comparison and combination of results in future research. This study highlights the need for further research in this area, especially studies which examine the cost-effectiveness of prosthetic and orthotic provision.","author":[{"dropping-particle":"","family":"Healy","given":"Aoife","non-dropping-particle":"","parse-names":false,"suffix":""},{"dropping-particle":"","family":"Farmer","given":"Sybil","non-dropping-particle":"","parse-names":false,"suffix":""},{"dropping-particle":"","family":"Eddison","given":"Nicola","non-dropping-particle":"","parse-names":false,"suffix":""},{"dropping-particle":"","family":"Allcock","given":"Jonathan","non-dropping-particle":"","parse-names":false,"suffix":""},{"dropping-particle":"","family":"Perry","given":"Thomas","non-dropping-particle":"","parse-names":false,"suffix":""},{"dropping-particle":"","family":"Pandyan","given":"Anand","non-dropping-particle":"","parse-names":false,"suffix":""},{"dropping-particle":"","family":"Chockalingam","given":"Nachiappan","non-dropping-particle":"","parse-names":false,"suffix":""}],"container-title":"Disability and Rehabilitation: Assistive Technology","id":"ITEM-1","issue":"1","issued":{"date-parts":[["2020"]]},"page":"60-66","publisher":"Taylor &amp; Francis","title":"A scoping literature review of studies assessing effectiveness and cost-effectiveness of prosthetic and orthotic interventions","type":"article-journal","volume":"15"},"uris":["http://www.mendeley.com/documents/?uuid=5b1913ea-f04d-42ef-8a67-54e1b1d4736d"]}],"mendeley":{"formattedCitation":"(Healy et al. 2020)","plainTextFormattedCitation":"(Healy et al. 2020)","previouslyFormattedCitation":"(Healy et al. 2020)"},"properties":{"noteIndex":0},"schema":"https://github.com/citation-style-language/schema/raw/master/csl-citation.json"}</w:instrText>
            </w:r>
            <w:r w:rsidRPr="006B0BD2">
              <w:fldChar w:fldCharType="separate"/>
            </w:r>
            <w:r w:rsidRPr="006B0BD2">
              <w:rPr>
                <w:noProof/>
              </w:rPr>
              <w:t>(Healy et al. 2020)</w:t>
            </w:r>
            <w:r w:rsidRPr="006B0BD2">
              <w:fldChar w:fldCharType="end"/>
            </w:r>
            <w:r w:rsidRPr="006B0BD2">
              <w:t xml:space="preserve"> </w:t>
            </w:r>
            <w:r w:rsidRPr="006B0BD2">
              <w:rPr>
                <w:rFonts w:cstheme="minorHAnsi"/>
                <w:szCs w:val="22"/>
              </w:rPr>
              <w:t>P&amp;</w:t>
            </w:r>
            <w:r w:rsidR="00B55B86">
              <w:rPr>
                <w:rFonts w:cstheme="minorHAnsi"/>
                <w:szCs w:val="22"/>
              </w:rPr>
              <w:t>O</w:t>
            </w:r>
            <w:r w:rsidRPr="006B0BD2">
              <w:rPr>
                <w:rFonts w:cstheme="minorHAnsi"/>
                <w:szCs w:val="22"/>
              </w:rPr>
              <w:t xml:space="preserve"> post</w:t>
            </w:r>
            <w:r w:rsidR="00B55B86">
              <w:rPr>
                <w:rFonts w:cstheme="minorHAnsi"/>
                <w:szCs w:val="22"/>
              </w:rPr>
              <w:t>-</w:t>
            </w:r>
            <w:r w:rsidRPr="006B0BD2">
              <w:rPr>
                <w:rFonts w:cstheme="minorHAnsi"/>
                <w:szCs w:val="22"/>
              </w:rPr>
              <w:t xml:space="preserve">amputation </w:t>
            </w:r>
            <w:r w:rsidR="00B55B86">
              <w:rPr>
                <w:rFonts w:cstheme="minorHAnsi"/>
                <w:szCs w:val="22"/>
              </w:rPr>
              <w:t xml:space="preserve">increased </w:t>
            </w:r>
            <w:r w:rsidRPr="006B0BD2">
              <w:rPr>
                <w:rFonts w:cstheme="minorHAnsi"/>
                <w:szCs w:val="22"/>
              </w:rPr>
              <w:t>function</w:t>
            </w:r>
          </w:p>
          <w:p w14:paraId="09AF6298" w14:textId="3B942E40"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{"citationItems":[{"id":"ITEM-1","itemData":{"DOI":"10.2105/ajph.93.2.330","ISSN":"0090-0036","abstract":"OBJECTIVES: This study examined whether use of equipment (technological assistance) to cope with disability was associated with use of fewer hours of help from another person (personal assistance). METHODS: In a cross-sectional study of 2368 community dwellers older than 65 years with 1 or more limitations in basic activities of daily living (ADLs) from the 1994 National Long Term Care Survey, the relation between technological assistance and personal assistance was examined. RESULTS: Among people with ADL limitations, multivariate models showed a strong and consistent relation between technological assistance and personal assistance, whereby use of equipment was associated with fewer hours of help. CONCLUSIONS: Among people with disability, use of assistive technology was associated with use of fewer hours of personal assistance.","author":[{"dropping-particle":"","family":"Hoenig","given":"Helen","non-dropping-particle":"","parse-names":false,"suffix":""},{"dropping-particle":"","family":"Taylor  Jr","given":"Donald H","non-dropping-particle":"","parse-names":false,"suffix":""},{"dropping-particle":"","family":"Sloan","given":"Frank A","non-dropping-particle":"","parse-names":false,"suffix":""}],"container-title":"American journal of public health","id":"ITEM-1","issue":"2","issued":{"date-parts":[["2003","2"]]},"language":"eng","page":"330-337","publisher":"© American Journal of Public Health 2003","title":"Does assistive technology substitute for personal assistance among the disabled elderly?","type":"article-journal","volume":"93"},"uris":["http://www.mendeley.com/documents/?uuid=2dc8a240-d8a3-4217-9dc1-ce2d060dfdf6"]}],"mendeley":{"formattedCitation":"(Hoenig et al. 2003)","plainTextFormattedCitation":"(Hoenig et al. 2003)","previouslyFormattedCitation":"(Hoenig et al. 2003)"},"properties":{"noteIndex":0},"schema":"https://github.com/citation-style-language/schema/raw/master/csl-citation.json"}</w:instrText>
            </w:r>
            <w:r w:rsidRPr="006B0BD2">
              <w:fldChar w:fldCharType="separate"/>
            </w:r>
            <w:r w:rsidRPr="006B0BD2">
              <w:rPr>
                <w:noProof/>
              </w:rPr>
              <w:t>(Hoenig et al. 2003)</w:t>
            </w:r>
            <w:r w:rsidRPr="006B0BD2">
              <w:fldChar w:fldCharType="end"/>
            </w:r>
            <w:r w:rsidRPr="006B0BD2">
              <w:t xml:space="preserve"> </w:t>
            </w:r>
            <w:r w:rsidR="00B55B86">
              <w:t xml:space="preserve">found </w:t>
            </w:r>
            <w:r w:rsidRPr="006B0BD2">
              <w:rPr>
                <w:rFonts w:cstheme="minorHAnsi"/>
                <w:szCs w:val="22"/>
              </w:rPr>
              <w:t xml:space="preserve">use of </w:t>
            </w:r>
            <w:r w:rsidR="00B55B86">
              <w:rPr>
                <w:rFonts w:cstheme="minorHAnsi"/>
                <w:szCs w:val="22"/>
              </w:rPr>
              <w:t>AT</w:t>
            </w:r>
            <w:r w:rsidRPr="006B0BD2">
              <w:rPr>
                <w:rFonts w:cstheme="minorHAnsi"/>
                <w:szCs w:val="22"/>
              </w:rPr>
              <w:t xml:space="preserve"> </w:t>
            </w:r>
            <w:r w:rsidR="00B55B86">
              <w:rPr>
                <w:rFonts w:cstheme="minorHAnsi"/>
                <w:szCs w:val="22"/>
              </w:rPr>
              <w:t xml:space="preserve">decreased </w:t>
            </w:r>
            <w:r w:rsidRPr="006B0BD2">
              <w:rPr>
                <w:rFonts w:cstheme="minorHAnsi"/>
                <w:szCs w:val="22"/>
              </w:rPr>
              <w:t>formal care</w:t>
            </w:r>
          </w:p>
          <w:p w14:paraId="0B83D6D8" w14:textId="7E55E5DB"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{"citationItems":[{"id":"ITEM-1","itemData":{"DOI":"10.1016/j.ijmedinf.2015.05.014","ISSN":"1386-5056","abstract":"BACKGROUND: Recently, a number of Information and Communication Technologies have emerged with the aim to provide innovative and efficient ways to help seniors in their daily life and to reduce the cost of healthcare. Studies have been conducted to introduce an assistive technology to support seniors and to investigate the acceptance of these assistive technologies; however, research illustrating the effectiveness of assistive technologies is scant. METHOD: This study undertakes a systematic literature review of ScienceDirect, PubMed, ProQuest and IEEE Explore databases to investigate current empirical studies on the assistive technologies applied in aged care. Our systematic review of an initial set of 2035 studies published from 2000 to 2014 examines the role of assistive technologies in seniors' daily lives, from enhancements in their mobility to improvements in the social connectedness and decreases in readmission to hospitals. RESULTS: This study found eight key issues in aged care that have been targeted by researchers from different disciplines (e.g., ICT, health and social science), namely, dependent living, fall risk, chronic disease, dementia, social isolation, depression, poor well-being, and poor medication management. This paper also identified the assistive technologies that have been proposed to overcome those problems, and we categorised these assistive technologies into six clusters, namely, general ICT, robotics, telemedicine, sensor technology, medication management applications, and video games. In addition, we analyzed the effectiveness of the identified technologies and noted that some technologies can change and enhance seniors' daily lives and relieve their problems. Our analysis showed a significant growth in the number of publications in this area in the past few years. It also showed that most of the studies in this area have been conducted in North America. CONCLUSION: Assistive technologies are a reality and can be applied to improve quality of life, especially among older age groups. This study identified various assistive technologies proposed by ICT researchers to assist the elderly. We also identified the effectiveness of the proposed technologies. This review shows that, although assistive technologies have been positively evaluated, more studies are needed regarding the outcome and effectiveness of these technologies.","author":[{"dropping-particle":"","family":"Khosravi","given":"P","non-dropping-particle":"","parse-names":false,"suffix":""},{"dropping-particle":"","family":"Ghapanchi","given":"A H","non-dropping-particle":"","parse-names":false,"suffix":""}],"container-title":"Int J Med Inform","edition":"2015/07/29","id":"ITEM-1","issue":"1","issued":{"date-parts":[["2016"]]},"language":"eng","note":"1872-8243\nKhosravi, Pouria\nGhapanchi, Amir Hossein\nJournal Article\nReview\nIreland\nInt J Med Inform. 2016 Jan;85(1):17-26. doi: 10.1016/j.ijmedinf.2015.05.014. Epub 2015 Jun 11.","page":"17-26","publisher-place":"School of Information and Communication Technology, Griffith University, Gold Coast, Queensland 4222, Australia. Electronic address: pouria.khosravi@griffithuni.edu.au. School of Information and Communication Technology, Griffith University, Gold Coast, Q","title":"Investigating the effectiveness of technologies applied to assist seniors: A systematic literature review","type":"article-journal","volume":"85"},"uris":["http://www.mendeley.com/documents/?uuid=52d3dee5-55fb-4264-ba54-1b29a1c051c8"]}],"mendeley":{"formattedCitation":"(Khosravi &amp; Ghapanchi 2016)","plainTextFormattedCitation":"(Khosravi &amp; Ghapanchi 2016)","previouslyFormattedCitation":"(Khosravi &amp; Ghapanchi 2016)"},"properties":{"noteIndex":0},"schema":"https://github.com/citation-style-language/schema/raw/master/csl-citation.json"}</w:instrText>
            </w:r>
            <w:r w:rsidRPr="006B0BD2">
              <w:fldChar w:fldCharType="separate"/>
            </w:r>
            <w:r w:rsidRPr="006B0BD2">
              <w:rPr>
                <w:noProof/>
              </w:rPr>
              <w:t>(Khosravi &amp; Ghapanchi 2016)</w:t>
            </w:r>
            <w:r w:rsidRPr="006B0BD2">
              <w:fldChar w:fldCharType="end"/>
            </w:r>
            <w:r w:rsidRPr="006B0BD2">
              <w:t xml:space="preserve"> </w:t>
            </w:r>
            <w:r w:rsidR="00B55B86">
              <w:rPr>
                <w:rFonts w:cstheme="minorHAnsi"/>
                <w:szCs w:val="22"/>
              </w:rPr>
              <w:t xml:space="preserve">found AT increased </w:t>
            </w:r>
            <w:r w:rsidRPr="006B0BD2">
              <w:rPr>
                <w:rFonts w:cstheme="minorHAnsi"/>
                <w:szCs w:val="22"/>
              </w:rPr>
              <w:t xml:space="preserve">quality of life </w:t>
            </w:r>
            <w:r w:rsidR="00B55B86">
              <w:rPr>
                <w:rFonts w:cstheme="minorHAnsi"/>
                <w:szCs w:val="22"/>
              </w:rPr>
              <w:t xml:space="preserve">and </w:t>
            </w:r>
            <w:r w:rsidRPr="006B0BD2">
              <w:rPr>
                <w:rFonts w:cstheme="minorHAnsi"/>
                <w:szCs w:val="22"/>
              </w:rPr>
              <w:t>wellbeing</w:t>
            </w:r>
          </w:p>
          <w:p w14:paraId="48A61904" w14:textId="2355F03C" w:rsidR="006B0BD2" w:rsidRPr="006B0BD2"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{"citationItems":[{"id":"ITEM-1","itemData":{"DOI":"10.1080/03601270902917745","ISSN":"03601277","abstract":"Research indicates that significant groups of older people are using Internet/e-mail technology. Using data from a 2007 random sample of 1,680 New Zealanders aged 65-84, predictors of Internet/e-mail usage and the impact of usage on well-being were investigated. Gender, age, education, household composition, income, and work were significant predictors of Internet/e-mail usage. Significant positive relationships were also found between Internet/e-mail usage, self-rated health, leisure/recreation participation and leadership, and well-being. These research findings suggest that public policies should encourage older people to adopt Internet/e-mail technology to ensure continued participation, learning, and well-being throughout later years. © Taylor &amp; Francis Group, LLC.","author":[{"dropping-particle":"","family":"Koopman-Boyden","given":"Peggy G.","non-dropping-particle":"","parse-names":false,"suffix":""},{"dropping-particle":"","family":"Reid","given":"Sarah L.","non-dropping-particle":"","parse-names":false,"suffix":""}],"container-title":"Educational Gerontology","id":"ITEM-1","issue":"11","issued":{"date-parts":[["2009"]]},"page":"990-1007","title":"Internet/e-mail usage and well-being among 65-84 year olds in new zealand: Policy implications","type":"article-journal","volume":"35"},"uris":["http://www.mendeley.com/documents/?uuid=04116f33-adbb-4c74-af66-f8cd27b43ee0"]}],"mendeley":{"formattedCitation":"(Koopman-Boyden &amp; Reid 2009)","plainTextFormattedCitation":"(Koopman-Boyden &amp; Reid 2009)","previouslyFormattedCitation":"(Koopman-Boyden &amp; Reid 2009)"},"properties":{"noteIndex":0},"schema":"https://github.com/citation-style-language/schema/raw/master/csl-citation.json"}</w:instrText>
            </w:r>
            <w:r w:rsidRPr="006B0BD2">
              <w:fldChar w:fldCharType="separate"/>
            </w:r>
            <w:r w:rsidRPr="006B0BD2">
              <w:rPr>
                <w:noProof/>
              </w:rPr>
              <w:t>(Koopman-Boyden &amp; Reid 2009)</w:t>
            </w:r>
            <w:r w:rsidRPr="006B0BD2">
              <w:fldChar w:fldCharType="end"/>
            </w:r>
            <w:r w:rsidRPr="006B0BD2">
              <w:t xml:space="preserve"> </w:t>
            </w:r>
            <w:r w:rsidR="00B55B86">
              <w:t xml:space="preserve">found </w:t>
            </w:r>
            <w:r w:rsidRPr="006B0BD2">
              <w:rPr>
                <w:rFonts w:cstheme="minorHAnsi"/>
                <w:szCs w:val="22"/>
              </w:rPr>
              <w:t xml:space="preserve">internet use </w:t>
            </w:r>
            <w:r w:rsidR="00B55B86">
              <w:rPr>
                <w:rFonts w:cstheme="minorHAnsi"/>
                <w:szCs w:val="22"/>
              </w:rPr>
              <w:t xml:space="preserve">increased </w:t>
            </w:r>
            <w:r w:rsidRPr="006B0BD2">
              <w:rPr>
                <w:rFonts w:cstheme="minorHAnsi"/>
                <w:szCs w:val="22"/>
              </w:rPr>
              <w:t>wellbeing</w:t>
            </w:r>
          </w:p>
          <w:p w14:paraId="3197736B" w14:textId="6D0A752E" w:rsidR="006B0BD2" w:rsidRPr="00A274F1"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{"citationItems":[{"id":"ITEM-1","itemData":{"DOI":"10.1093/geront/gns145","ISSN":"00169013","abstract":"Purpose: The United States faces a growing population of older adults and accompanying functional disabilities, coupled with constrained public resources and diminishing informal supports. A variety of interventions that aim to improve client outcomes have been studied, but to date, there is limited translational research that examines the efficacy of moving such interventions from clinical trials to agency settings. Methods: A randomized controlled trial was conducted to evaluate a restorative occupational therapy intervention relative to \"usual care\" among community-dwelling older adults. The intervention included a detailed assessment from a person- environment perspective and provision of adaptive equipment and home modifications where appropriate. The intervention (n = 31) and control groups (n = 29) were evaluated at 3 months and assessed for changes in functional status, home safety, falls, health-related quality of life (HRQoL; EQ5D), depression, social support, and fear of falling; a 4 subgroup analysis also examined outcomes by waiting list status. An informal economic evaluation compared the intervention to usual care. Results: Findings indicated improvements in home safety (p &lt; .0005, b = -15.87), HRQoL (p = .03, b = 0.08), and fear of falling (p &lt; .05, b = 2.22). Findings did not show improvement in functional status or reduction in actual falls. The intervention resulted in a 39% reduction in recommended hours of personal care, which if implemented, could result in significant cost savings. Implications: The study adds to the growing literature of occupational therapy interventions for older adults, and the findings support the concept that restorative approaches can be successfully implemented in public agencies. © The Author 2013. All rights reserved.","author":[{"dropping-particle":"","family":"Sheffield","given":"Chava","non-dropping-particle":"","parse-names":false,"suffix":""},{"dropping-particle":"","family":"Smith","given":"Charles A.","non-dropping-particle":"","parse-names":false,"suffix":""},{"dropping-particle":"","family":"Becker","given":"Mary","non-dropping-particle":"","parse-names":false,"suffix":""}],"container-title":"Gerontologist","id":"ITEM-1","issue":"6","issued":{"date-parts":[["2013"]]},"page":"907-918","title":"Evaluation of an agency-based occupational therapy intervention to facilitate aging in place","type":"article-journal","volume":"53"},"uris":["http://www.mendeley.com/documents/?uuid=b8791a44-7a55-4247-ae79-bcf715e4fcdf"]}],"mendeley":{"formattedCitation":"(Sheffield et al. 2013)","plainTextFormattedCitation":"(Sheffield et al. 2013)","previouslyFormattedCitation":"(Sheffield et al. 2013)"},"properties":{"noteIndex":0},"schema":"https://github.com/citation-style-language/schema/raw/master/csl-citation.json"}</w:instrText>
            </w:r>
            <w:r w:rsidRPr="006B0BD2">
              <w:fldChar w:fldCharType="separate"/>
            </w:r>
            <w:r w:rsidRPr="006B0BD2">
              <w:rPr>
                <w:noProof/>
              </w:rPr>
              <w:t>(Sheffield et al. 2013)</w:t>
            </w:r>
            <w:r w:rsidRPr="006B0BD2">
              <w:fldChar w:fldCharType="end"/>
            </w:r>
            <w:r w:rsidRPr="006B0BD2">
              <w:t xml:space="preserve"> </w:t>
            </w:r>
            <w:r w:rsidR="00B55B86">
              <w:t xml:space="preserve">found </w:t>
            </w:r>
            <w:r w:rsidR="00B55B86">
              <w:rPr>
                <w:rFonts w:cstheme="minorHAnsi"/>
                <w:szCs w:val="22"/>
              </w:rPr>
              <w:t>AT</w:t>
            </w:r>
            <w:r w:rsidRPr="006B0BD2">
              <w:rPr>
                <w:rFonts w:cstheme="minorHAnsi"/>
                <w:szCs w:val="22"/>
              </w:rPr>
              <w:t xml:space="preserve"> &amp; ageing in place</w:t>
            </w:r>
            <w:r>
              <w:rPr>
                <w:rFonts w:cstheme="minorHAnsi"/>
                <w:szCs w:val="22"/>
              </w:rPr>
              <w:t xml:space="preserve"> </w:t>
            </w:r>
            <w:r w:rsidR="00B55B86">
              <w:rPr>
                <w:rFonts w:cstheme="minorHAnsi"/>
                <w:szCs w:val="22"/>
              </w:rPr>
              <w:t xml:space="preserve">decreased </w:t>
            </w:r>
            <w:r w:rsidRPr="00A274F1">
              <w:rPr>
                <w:rFonts w:cstheme="minorHAnsi"/>
                <w:szCs w:val="22"/>
              </w:rPr>
              <w:t>formal care</w:t>
            </w:r>
          </w:p>
        </w:tc>
        <w:tc>
          <w:tcPr>
            <w:tcW w:w="5103" w:type="dxa"/>
          </w:tcPr>
          <w:p w14:paraId="3CA1C6A5" w14:textId="1D0E977B" w:rsidR="006B0BD2" w:rsidRPr="00A274F1" w:rsidRDefault="006B0BD2" w:rsidP="006B0BD2">
            <w:pPr>
              <w:pStyle w:val="TableList1"/>
              <w:cnfStyle w:val="000000000000" w:firstRow="0" w:lastRow="0" w:firstColumn="0" w:lastColumn="0" w:oddVBand="0" w:evenVBand="0" w:oddHBand="0"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{"citationItems":[{"id":"ITEM-1","itemData":{"DOI":"10.1111/jgs.14892","ISSN":"0002-8614","abstract":"Objectives To conduct a cost analysis of ambient assisted living technology, which is promising for improving the ability of individuals and care providers to monitor daily activities and gain better awareness through proactive management of health and safety. Design Three-arm cohort study. Setting Homes of enrollees of a state-based healthcare plan for older adults. Participants Enrollees dually eligible for Medicare and Medicaid (N = 268). Intervention Health and safety passive remote patient monitoring ( PRPM) systems were installed in enrollees' homes (the intervention group) with monitoring and proactive intervention of a case manager when deviation from baseline subject behavior was detected. Measurements Claims data were collected over 12 months to assess healthcare use and costs in the intervention group and to compare use and costs with those of two control groups: a concurrent group of enrollees who declined the technology and a historical cohort matched on age to the participation group. Results Although the small sample size precluded cost differences that were statistically significant, the participant group used substantially less custodial care, emergency department ( ED) services, inpatient stays, and ED costs than the two control groups. Conclusion In this pilot study, the PRPM system was associated with apparent healthcare cost savings. Although more cost analyses are warranted, ambient assisted living technologies are a potentially valuable investment for older adult care.","author":[{"dropping-particle":"","family":"Finch","given":"Michael","non-dropping-particle":"","parse-names":false,"suffix":""},{"dropping-particle":"","family":"Griffin","given":"Kristen","non-dropping-particle":"","parse-names":false,"suffix":""},{"dropping-particle":"","family":"Pacala","given":"James T","non-dropping-particle":"","parse-names":false,"suffix":""}],"container-title":"Journal of the American Geriatrics Society","id":"ITEM-1","issue":"6","issued":{"date-parts":[["2017"]]},"note":"Peer Reviewed; USA. NLM UID: 7503062.","page":"1301-1305","publisher-place":"Medical Industry Leadership Institute, Carlson School of Management, University of Minnesota Penny George Institute for Health and Healing, Allina Health Care Department of Family Medicine and Community Health, Medical School, University of Minnesota","title":"Reduced Healthcare Use and Apparent Savings with Passive Home Monitoring Technology: A Pilot Study","type":"article-journal","volume":"65"},"uris":["http://www.mendeley.com/documents/?uuid=e6de1575-40fa-4ebe-937a-5eb4669b7f05"]}],"mendeley":{"formattedCitation":"(Finch, Griffin, &amp; James T Pacala 2017)","plainTextFormattedCitation":"(Finch, Griffin, &amp; James T Pacala 2017)","previouslyFormattedCitation":"(Finch, Griffin, &amp; James T Pacala 2017)"},"properties":{"noteIndex":0},"schema":"https://github.com/citation-style-language/schema/raw/master/csl-citation.json"}</w:instrText>
            </w:r>
            <w:r w:rsidRPr="006B0BD2">
              <w:fldChar w:fldCharType="separate"/>
            </w:r>
            <w:r w:rsidRPr="006B0BD2">
              <w:rPr>
                <w:noProof/>
              </w:rPr>
              <w:t>(Finch, Griffin, &amp; James T Pacala 2017)</w:t>
            </w:r>
            <w:r w:rsidRPr="006B0BD2">
              <w:fldChar w:fldCharType="end"/>
            </w:r>
            <w:r w:rsidRPr="006B0BD2">
              <w:t xml:space="preserve"> </w:t>
            </w:r>
            <w:r w:rsidR="00B55B86">
              <w:t xml:space="preserve">found </w:t>
            </w:r>
            <w:r w:rsidRPr="006B0BD2">
              <w:rPr>
                <w:rFonts w:cstheme="minorHAnsi"/>
                <w:szCs w:val="22"/>
              </w:rPr>
              <w:t xml:space="preserve">remote monitoring </w:t>
            </w:r>
            <w:r w:rsidR="00B55B86">
              <w:rPr>
                <w:rFonts w:cstheme="minorHAnsi"/>
                <w:szCs w:val="22"/>
              </w:rPr>
              <w:t xml:space="preserve">reduced </w:t>
            </w:r>
            <w:r w:rsidRPr="006B0BD2">
              <w:rPr>
                <w:rFonts w:cstheme="minorHAnsi"/>
                <w:szCs w:val="22"/>
              </w:rPr>
              <w:t xml:space="preserve">hospital </w:t>
            </w:r>
            <w:r w:rsidR="00B55B86">
              <w:rPr>
                <w:rFonts w:cstheme="minorHAnsi"/>
                <w:szCs w:val="22"/>
              </w:rPr>
              <w:t>and</w:t>
            </w:r>
            <w:r w:rsidRPr="00A274F1">
              <w:rPr>
                <w:rFonts w:cstheme="minorHAnsi"/>
                <w:szCs w:val="22"/>
              </w:rPr>
              <w:t xml:space="preserve"> residential aged care</w:t>
            </w:r>
            <w:r w:rsidR="00B55B86">
              <w:rPr>
                <w:rFonts w:cstheme="minorHAnsi"/>
                <w:szCs w:val="22"/>
              </w:rPr>
              <w:t xml:space="preserve"> </w:t>
            </w:r>
            <w:r w:rsidR="00B55B86" w:rsidRPr="006B0BD2">
              <w:rPr>
                <w:rFonts w:cstheme="minorHAnsi"/>
                <w:szCs w:val="22"/>
              </w:rPr>
              <w:t>admissions</w:t>
            </w:r>
            <w:r w:rsidR="00B55B86">
              <w:rPr>
                <w:rFonts w:cstheme="minorHAnsi"/>
                <w:szCs w:val="22"/>
              </w:rPr>
              <w:t>, but the results were not significant</w:t>
            </w:r>
          </w:p>
        </w:tc>
        <w:tc>
          <w:tcPr>
            <w:tcW w:w="1103" w:type="dxa"/>
          </w:tcPr>
          <w:p w14:paraId="254E7306" w14:textId="77777777" w:rsidR="006B0BD2" w:rsidRPr="00A274F1" w:rsidRDefault="006B0BD2" w:rsidP="006B0BD2">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None</w:t>
            </w:r>
          </w:p>
        </w:tc>
      </w:tr>
      <w:tr w:rsidR="006B0BD2" w:rsidRPr="00A274F1" w14:paraId="5E54E515" w14:textId="77777777" w:rsidTr="00034F4E">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76519E71" w14:textId="77777777" w:rsidR="006B0BD2" w:rsidRPr="00A274F1" w:rsidRDefault="006B0BD2" w:rsidP="006B0BD2">
            <w:pPr>
              <w:pStyle w:val="TableHeading1Rows"/>
            </w:pPr>
            <w:r w:rsidRPr="00A274F1">
              <w:t>Less expensive</w:t>
            </w:r>
          </w:p>
        </w:tc>
        <w:tc>
          <w:tcPr>
            <w:tcW w:w="7206" w:type="dxa"/>
          </w:tcPr>
          <w:p w14:paraId="1E26C064" w14:textId="21098CE9" w:rsidR="006B0BD2" w:rsidRPr="006B0BD2"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{"citationItems":[{"id":"ITEM-1","itemData":{"author":[{"dropping-particle":"","family":"Coughlin","given":"S","non-dropping-particle":"","parse-names":false,"suffix":""},{"dropping-particle":"","family":"Peyerl","given":"F. W","non-dropping-particle":"","parse-names":false,"suffix":""},{"dropping-particle":"","family":"Munson","given":"S. H","non-dropping-particle":"","parse-names":false,"suffix":""},{"dropping-particle":"","family":"Ravindranath","given":"A. J","non-dropping-particle":"","parse-names":false,"suffix":""},{"dropping-particle":"","family":"Lee-Chiong","given":"T. L","non-dropping-particle":"","parse-names":false,"suffix":""}],"container-title":"Value in Health","id":"ITEM-1","issued":{"date-parts":[["2017"]]},"page":"379-387","title":"Cost savings from reduced hospitalizations with use of home noninvasive ventilation for COPD","type":"article-journal","volume":"20"},"uris":["http://www.mendeley.com/documents/?uuid=cf62b54a-db03-4dcc-9160-9888e8150742"]}],"mendeley":{"formattedCitation":"(Coughlin et al. 2017)","plainTextFormattedCitation":"(Coughlin et al. 2017)","previouslyFormattedCitation":"(Coughlin et al. 2017)"},"properties":{"noteIndex":0},"schema":"https://github.com/citation-style-language/schema/raw/master/csl-citation.json"}</w:instrText>
            </w:r>
            <w:r w:rsidRPr="006B0BD2">
              <w:fldChar w:fldCharType="separate"/>
            </w:r>
            <w:r w:rsidRPr="006B0BD2">
              <w:rPr>
                <w:noProof/>
              </w:rPr>
              <w:t>(Coughlin et al. 2017)</w:t>
            </w:r>
            <w:r w:rsidRPr="006B0BD2">
              <w:fldChar w:fldCharType="end"/>
            </w:r>
            <w:r w:rsidRPr="006B0BD2">
              <w:t xml:space="preserve"> </w:t>
            </w:r>
            <w:r w:rsidR="00B55B86">
              <w:t xml:space="preserve">found </w:t>
            </w:r>
            <w:r w:rsidRPr="006B0BD2">
              <w:rPr>
                <w:rFonts w:cstheme="minorHAnsi"/>
                <w:szCs w:val="22"/>
              </w:rPr>
              <w:t xml:space="preserve">COPD N-I ventilation </w:t>
            </w:r>
            <w:r w:rsidR="00B55B86">
              <w:rPr>
                <w:rFonts w:cstheme="minorHAnsi"/>
                <w:szCs w:val="22"/>
              </w:rPr>
              <w:t xml:space="preserve">decreased </w:t>
            </w:r>
            <w:r w:rsidRPr="006B0BD2">
              <w:rPr>
                <w:rFonts w:cstheme="minorHAnsi"/>
                <w:szCs w:val="22"/>
              </w:rPr>
              <w:t xml:space="preserve">hospital admissions </w:t>
            </w:r>
            <w:r w:rsidR="00B55B86">
              <w:rPr>
                <w:rFonts w:cstheme="minorHAnsi"/>
                <w:szCs w:val="22"/>
              </w:rPr>
              <w:t xml:space="preserve">and increased </w:t>
            </w:r>
            <w:r w:rsidRPr="006B0BD2">
              <w:rPr>
                <w:rFonts w:cstheme="minorHAnsi"/>
                <w:szCs w:val="22"/>
              </w:rPr>
              <w:t>wellbeing</w:t>
            </w:r>
          </w:p>
          <w:p w14:paraId="2AF4FCFD" w14:textId="2FC0A164" w:rsidR="006B0BD2" w:rsidRPr="006B0BD2"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{"citationItems":[{"id":"ITEM-1","itemData":{"DOI":"10.1136/injuryprev-2015-041947","ISSN":"14755785","abstract":"Background Injuries due to falls in the home impose a huge social and economic cost on society. We have previously found important safety benefits of home modifications such as handrails for steps and stairs, grab rails for bathrooms, outside lighting, edging for outside steps and slip-resistant surfacing for outside areas such as decks. Here we assess the economic benefits of these modifications. Methods Using a single-blinded cluster randomised controlled trial, we analysed insurance payments for medically treated home fall injuries as recorded by the national injury insurer. The benefits in terms of the value of disability adjusted life years (DALYs) averted and social costs of injuries saved were extrapolated to a national level and compared with the costs of the intervention. Results An intention-to-treat analysis was carried out. Injury costs per time exposed to the modified homes compared with the unmodified homes showed a reduction in the costs of home fall injuries of 33% (95% CI 5% to 49%). The social benefits of injuries prevented were estimated to be at least six times the costs of the intervention. The benefit–cost ratio can be at least doubled for older people and increased by 60% for those with a prior history of fall injuries. Conclusions This is the first randomised controlled trial to examine the benefits of home modification for reducing fall injury costs in the general population. The results show a convincing economic justification for undertaking relatively low-cost home repairs and installing safety features to prevent falls.","author":[{"dropping-particle":"","family":"Keall","given":"Michael D.","non-dropping-particle":"","parse-names":false,"suffix":""},{"dropping-particle":"","family":"Pierse","given":"Nevil","non-dropping-particle":"","parse-names":false,"suffix":""},{"dropping-particle":"","family":"Howden-Chapman","given":"Philippa","non-dropping-particle":"","parse-names":false,"suffix":""},{"dropping-particle":"","family":"Guria","given":"Jagadish","non-dropping-particle":"","parse-names":false,"suffix":""},{"dropping-particle":"","family":"Cunningham","given":"Chris W.","non-dropping-particle":"","parse-names":false,"suffix":""},{"dropping-particle":"","family":"Baker","given":"Michael G.","non-dropping-particle":"","parse-names":false,"suffix":""}],"container-title":"Injury Prevention","id":"ITEM-1","issue":"1","issued":{"date-parts":[["2017"]]},"page":"22-26","title":"Cost–benefit analysis of fall injuries prevented by a programme of home modifications: A cluster randomised controlled trial","type":"article-journal","volume":"23"},"uris":["http://www.mendeley.com/documents/?uuid=4bd660a5-8771-4849-8fa6-78faa76c69e6"]}],"mendeley":{"formattedCitation":"(Keall et al. 2017)","plainTextFormattedCitation":"(Keall et al. 2017)","previouslyFormattedCitation":"(Keall et al. 2017)"},"properties":{"noteIndex":0},"schema":"https://github.com/citation-style-language/schema/raw/master/csl-citation.json"}</w:instrText>
            </w:r>
            <w:r w:rsidRPr="006B0BD2">
              <w:fldChar w:fldCharType="separate"/>
            </w:r>
            <w:r w:rsidRPr="006B0BD2">
              <w:rPr>
                <w:noProof/>
              </w:rPr>
              <w:t>(Keall et al. 2017)</w:t>
            </w:r>
            <w:r w:rsidRPr="006B0BD2">
              <w:fldChar w:fldCharType="end"/>
            </w:r>
            <w:r w:rsidRPr="006B0BD2">
              <w:t xml:space="preserve"> </w:t>
            </w:r>
            <w:r w:rsidR="00B55B86">
              <w:t xml:space="preserve">found </w:t>
            </w:r>
            <w:r w:rsidRPr="006B0BD2">
              <w:rPr>
                <w:rFonts w:cstheme="minorHAnsi"/>
                <w:szCs w:val="22"/>
              </w:rPr>
              <w:t xml:space="preserve">AT &amp; home modifications </w:t>
            </w:r>
            <w:r w:rsidR="00B55B86">
              <w:rPr>
                <w:rFonts w:cstheme="minorHAnsi"/>
                <w:szCs w:val="22"/>
              </w:rPr>
              <w:t xml:space="preserve">reduced </w:t>
            </w:r>
            <w:r w:rsidRPr="006B0BD2">
              <w:rPr>
                <w:rFonts w:cstheme="minorHAnsi"/>
                <w:szCs w:val="22"/>
              </w:rPr>
              <w:t>falls</w:t>
            </w:r>
          </w:p>
          <w:p w14:paraId="02B74C61" w14:textId="0D7CC045" w:rsidR="006B0BD2" w:rsidRPr="006B0BD2"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{"citationItems":[{"id":"ITEM-1","itemData":{"DOI":"10.1093/ageing/afh190","ISSN":"00020729","abstract":"Background: Adaptations and assistive technology (AT) have an important role in enabling older people to remain in their own homes. Objective: To measure the feasibility and cost of adaptations and AT, and the scope for these to substitute and supplement formal care. Design: Detailed design studies to benchmark the adaptability of 82 properties against the needs of seven notional users. Setting: Social rented housing sector. Main outcome measures: Measures of the adaptability of properties, costs of care, adaptations and AT, and relationships between these costs. Results: The adaptability of properties varies according to many design factors and the needs of occupiers. The most adaptable properties were ground floor flats and bungalows; the least were houses, maisonettes and flats in converted houses. Purpose-built sheltered properties were generally more adaptable than corresponding mainstream properties but the opposite was the case for bungalows. Adaptations and AT can substitute for and supplement formal care, and in most cases the initial investment in adaptations and AT is recouped through subsequently lower care costs within the average life expectancy of a user. Conclusion: Appropriately selected adaptations and AT can make a significant contribution to the provision of living environments which facilitate independence. They can both substitute for traditional formal care services and supplement these services in a cost-effective way. © British Geriatrics Society 2004; all rights reserved.","author":[{"dropping-particle":"","family":"Lansley","given":"Peter R.","non-dropping-particle":"","parse-names":false,"suffix":""},{"dropping-particle":"","family":"McCreadie","given":"Claudine","non-dropping-particle":"","parse-names":false,"suffix":""},{"dropping-particle":"","family":"Tinker","given":"Anthea","non-dropping-particle":"","parse-names":false,"suffix":""}],"container-title":"Age and Ageing","id":"ITEM-1","issue":"6","issued":{"date-parts":[["2004"]]},"page":"571-576","title":"Can adapting the homes of older people and providing assistive technology pay its way?","type":"article-journal","volume":"33"},"uris":["http://www.mendeley.com/documents/?uuid=2aa91fd6-36f3-49a8-89ae-00107497a6e3"]}],"mendeley":{"formattedCitation":"(Lansley et al. 2004)","plainTextFormattedCitation":"(Lansley et al. 2004)","previouslyFormattedCitation":"(Lansley et al. 2004)"},"properties":{"noteIndex":0},"schema":"https://github.com/citation-style-language/schema/raw/master/csl-citation.json"}</w:instrText>
            </w:r>
            <w:r w:rsidRPr="006B0BD2">
              <w:fldChar w:fldCharType="separate"/>
            </w:r>
            <w:r w:rsidRPr="006B0BD2">
              <w:rPr>
                <w:noProof/>
              </w:rPr>
              <w:t>(Lansley et al. 2004)</w:t>
            </w:r>
            <w:r w:rsidRPr="006B0BD2">
              <w:fldChar w:fldCharType="end"/>
            </w:r>
            <w:r w:rsidRPr="006B0BD2">
              <w:t xml:space="preserve"> </w:t>
            </w:r>
            <w:r w:rsidR="00B55B86">
              <w:t xml:space="preserve">found </w:t>
            </w:r>
            <w:r w:rsidRPr="006B0BD2">
              <w:rPr>
                <w:rFonts w:cstheme="minorHAnsi"/>
                <w:szCs w:val="22"/>
              </w:rPr>
              <w:t xml:space="preserve">AT &amp; home modifications </w:t>
            </w:r>
            <w:r w:rsidR="00B55B86">
              <w:rPr>
                <w:rFonts w:cstheme="minorHAnsi"/>
                <w:szCs w:val="22"/>
              </w:rPr>
              <w:t xml:space="preserve">reduced </w:t>
            </w:r>
            <w:r w:rsidRPr="006B0BD2">
              <w:rPr>
                <w:rFonts w:cstheme="minorHAnsi"/>
                <w:szCs w:val="22"/>
              </w:rPr>
              <w:t>formal</w:t>
            </w:r>
            <w:r w:rsidR="00B55B86">
              <w:rPr>
                <w:rFonts w:cstheme="minorHAnsi"/>
                <w:szCs w:val="22"/>
              </w:rPr>
              <w:t xml:space="preserve"> and </w:t>
            </w:r>
            <w:r w:rsidRPr="006B0BD2">
              <w:rPr>
                <w:rFonts w:cstheme="minorHAnsi"/>
                <w:szCs w:val="22"/>
              </w:rPr>
              <w:t>informal care</w:t>
            </w:r>
          </w:p>
          <w:p w14:paraId="379747D2" w14:textId="4A6C77CE" w:rsidR="006B0BD2" w:rsidRPr="00A274F1"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{"citationItems":[{"id":"ITEM-1","itemData":{"DOI":"10.1001/archfami.8.3.210","ISSN":"10633987","PMID":"10333815","abstract":"Context: Home environmental interventions (Els) and assistive technology (AT) devices have the potential to increase independence for community-based frail elderly persons, but their effectiveness has not been demonstrated. Objective: To evaluate a system of AT-EI service provision designed to promote independence and reduce health care costs for physically frail elderly persons. Design: Randomized controlled trial. Setting and Participants: A total of 104 home-based frail elderly persons living in western New York were assigned to 1 of 2 groups (52 treatment, 52 control). Intervention: All participants underwent a comprehensive functional assessment and evaluation of their home environment. Participants in the treatment group received AT and EIs based on the results of the evaluation. The control group received \"usual care services.\" Main Outcome Measures: Functional status as measured by the Functional Independence Measure (FIM) and the Craig Handicap Assessment and Reporting Tech-nique; pain as measured by the Functional Status Instrument; and health care costs including the costs. Results: After the 18-month intervention period, the treatment groups showed significant decline for FIM total score and FIM motor score, but there was significantly more decline for the control group. Functional Status Instrument pain scores increased significantly more for the control group. In a comparison of health care costs, the treatment group expended more than the control group for AT and EIs. The control group required significantly more expenditures for institutional care. There was no significant difference in total in-home personnel costs, although there was a large effect size. The control group had significantly greater expenditures for nurse visits and case manager visits. Conclusion: The frail elderly persons in this trial experienced functional decline over time. Results indicate rate of decline can be slowed, and institutional and certain in-home personnel costs reduced through a systematic approach to providing AT and EIs.","author":[{"dropping-particle":"","family":"Mann","given":"W","non-dropping-particle":"","parse-names":false,"suffix":""},{"dropping-particle":"","family":"Ottenbacher","given":"K","non-dropping-particle":"","parse-names":false,"suffix":""},{"dropping-particle":"","family":"Frass","given":"L","non-dropping-particle":"","parse-names":false,"suffix":""},{"dropping-particle":"","family":"Tomita","given":"M","non-dropping-particle":"","parse-names":false,"suffix":""},{"dropping-particle":"","family":"Granger","given":"C","non-dropping-particle":"","parse-names":false,"suffix":""}],"container-title":"Archives of Family Medicine","id":"ITEM-1","issue":"3","issued":{"date-parts":[["1999"]]},"page":"210-217","title":"Effectiveness of assistive technology and environmental interventions in maintaining independence and reducing home care costs for the frail elderly: A randomized controlled trial","type":"article-journal","volume":"8"},"uris":["http://www.mendeley.com/documents/?uuid=4512e62c-17a1-3ab1-a6cc-632661c489fb"]}],"mendeley":{"formattedCitation":"(Mann et al. 1999)","plainTextFormattedCitation":"(Mann et al. 1999)","previouslyFormattedCitation":"(Mann et al. 1999)"},"properties":{"noteIndex":0},"schema":"https://github.com/citation-style-language/schema/raw/master/csl-citation.json"}</w:instrText>
            </w:r>
            <w:r w:rsidRPr="006B0BD2">
              <w:fldChar w:fldCharType="separate"/>
            </w:r>
            <w:r w:rsidRPr="006B0BD2">
              <w:rPr>
                <w:noProof/>
              </w:rPr>
              <w:t>(Mann et al. 1999)</w:t>
            </w:r>
            <w:r w:rsidRPr="006B0BD2">
              <w:fldChar w:fldCharType="end"/>
            </w:r>
            <w:r w:rsidRPr="006B0BD2">
              <w:t xml:space="preserve"> </w:t>
            </w:r>
            <w:r w:rsidR="00B55B86">
              <w:t xml:space="preserve">found </w:t>
            </w:r>
            <w:r w:rsidRPr="006B0BD2">
              <w:rPr>
                <w:rFonts w:cstheme="minorHAnsi"/>
                <w:szCs w:val="22"/>
              </w:rPr>
              <w:t xml:space="preserve">AT </w:t>
            </w:r>
            <w:r w:rsidR="00B55B86">
              <w:rPr>
                <w:rFonts w:cstheme="minorHAnsi"/>
                <w:szCs w:val="22"/>
              </w:rPr>
              <w:t xml:space="preserve">reduced </w:t>
            </w:r>
            <w:r w:rsidRPr="006B0BD2">
              <w:rPr>
                <w:rFonts w:cstheme="minorHAnsi"/>
                <w:szCs w:val="22"/>
              </w:rPr>
              <w:t>hospital</w:t>
            </w:r>
            <w:r>
              <w:rPr>
                <w:rFonts w:cstheme="minorHAnsi"/>
                <w:szCs w:val="22"/>
              </w:rPr>
              <w:t xml:space="preserve"> </w:t>
            </w:r>
            <w:r w:rsidR="00B55B86">
              <w:rPr>
                <w:rFonts w:cstheme="minorHAnsi"/>
                <w:szCs w:val="22"/>
              </w:rPr>
              <w:t xml:space="preserve">and </w:t>
            </w:r>
            <w:r w:rsidRPr="00A274F1">
              <w:rPr>
                <w:rFonts w:cstheme="minorHAnsi"/>
                <w:szCs w:val="22"/>
              </w:rPr>
              <w:t>residential aged care</w:t>
            </w:r>
            <w:r w:rsidR="00B55B86">
              <w:rPr>
                <w:rFonts w:cstheme="minorHAnsi"/>
                <w:szCs w:val="22"/>
              </w:rPr>
              <w:t xml:space="preserve"> admission</w:t>
            </w:r>
          </w:p>
        </w:tc>
        <w:tc>
          <w:tcPr>
            <w:tcW w:w="5103" w:type="dxa"/>
          </w:tcPr>
          <w:p w14:paraId="1236C41B" w14:textId="30F99C79" w:rsidR="006B0BD2" w:rsidRPr="006B0BD2"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author":[{"dropping-particle":"","family":"Goodacre","given":"JKate","non-dropping-particle":"","parse-names":false,"suffix":""},{"dropping-particle":"","family":"McCreadie","given":"Claudine","non-dropping-particle":"","parse-names":false,"suffix":""},{"dropping-particle":"","family":"Flanagan","given":"Syusan","non-dropping-particle":"","parse-names":false,"suffix":""},{"dropping-particle":"","family":"Lansley","given":"Peter","non-dropping-particle":"","parse-names":false,"suffix":""}],"container-title":"British Journal of Occupational Therapy","id":"ITEM-1","issue":"4","issued":{"date-parts":[["2008"]]},"note":"Goodacre et al (2007) discussed the unique understanding that occupational therapists bring to the functional needs of older people, the practicalities of adapting housing and the availability and appropriateness of AT (130)\n\nThe issue of the substitution of care by AT is an area in which there is increasing interest (Audit Commission 2000). Can human and non-human input be substituted for one another and, if so, to what extent? There has been little systematic research in the United Kingdom on this subject; what literature there is comes mostly from the United States (Mann et al 1999, Agree and Freedman 2001). The assumption that one entire system of care can be traded off for another (for example, swapping AT for informal, unpaid home care or for formal, paid home care) is a simplistic and unhelpful approach to substitution.(131)\n\nRather, substitution by AT can be defined as a reduction in the number of caregivers, a reduction in the hours of care provided or a displacement of efforts to other tasks (Mann et al 1999, Agree and Freedman 2001). (131)\n\nThe study has shown that some AT and adaptations are cost-effective, enabling savings in the cost of formal care as well as improving the quality of life. However, the fact that savings accrue to health and social services while the costs of adaptations are met by the housing providers is of great significance. As noted by Goodacre et al (2007),housing authorities have little motivation to increase their expenditure on adaptations when health and social services will be the beneficiaries of any savings.(139)\n\nBasic AT package: Full formal care is accompanied by only those adaptations and AT necessary to allow an individual to remain in his or her own home. Thus, for users dependent on a wheelchair, the ‘basic’ adaptations and AT would include the wheelchair and accessible entrances and circulation space. \n</w:instrText>
            </w:r>
            <w:r w:rsidRPr="006B0BD2">
              <w:rPr>
                <w:rFonts w:ascii="Arial" w:hAnsi="Arial"/>
              </w:rPr>
              <w:instrText>■</w:instrText>
            </w:r>
            <w:r w:rsidRPr="006B0BD2">
              <w:instrText xml:space="preserve"> Augmented AT package: Full formal care is reduced with the provision of ‘care-reducing’ adaptations and AT, which enable the individual to accomplish some tasks that otherwise would be undertaken by another person. An example would be the provision of a level access shower, enabling individuals to bathe themselves rather than requiring a carer to assist them. Another would be an adapted kitchen for a wheelchair user, enabling him or her to prepare meals and undertake other routine kitchen tasks rather than relying on domestic help and meals on wheels.\n</w:instrText>
            </w:r>
            <w:r w:rsidRPr="006B0BD2">
              <w:rPr>
                <w:rFonts w:ascii="Arial" w:hAnsi="Arial"/>
              </w:rPr>
              <w:instrText>■</w:instrText>
            </w:r>
            <w:r w:rsidRPr="006B0BD2">
              <w:instrText xml:space="preserve"> Maximum AT package: This extends the previous package by the addition of further ‘enhanced’ adaptations and AT,in order to enhance quality of life by supplementing the reduced formal care that is provided at the same level. An example would be the provision of a videoentry phone. Although a user could leave the entrance door unlocked to callers or use a keysafe for a small number of regular visitors, a video entry phone would increase safety and independence. (135)","page":"130-140","title":"Enabling older people to stay at home: the costs of substituting and supplementing care with assistive technology","type":"article-journal","volume":"71"},"uris":["http://www.mendeley.com/documents/?uuid=520f0204-af96-4519-9bd1-a62bcdd1e37d"]}],"mendeley":{"formattedCitation":"(JKate Goodacre et al. 2008)","plainTextFormattedCitation":"(JKate Goodacre et al. 2008)","previouslyFormattedCitation":"(JKate Goodacre et al. 2008)"},"properties":{"noteIndex":0},"schema":"https://github.com/citation-style-language/schema/raw/master/csl-citation.json"}</w:instrText>
            </w:r>
            <w:r w:rsidRPr="006B0BD2">
              <w:fldChar w:fldCharType="separate"/>
            </w:r>
            <w:r w:rsidRPr="006B0BD2">
              <w:rPr>
                <w:noProof/>
              </w:rPr>
              <w:t>(J</w:t>
            </w:r>
            <w:r w:rsidR="00B55B86">
              <w:rPr>
                <w:noProof/>
              </w:rPr>
              <w:t xml:space="preserve"> </w:t>
            </w:r>
            <w:r w:rsidRPr="006B0BD2">
              <w:rPr>
                <w:noProof/>
              </w:rPr>
              <w:t>Kate Goodacre et al. 2008)</w:t>
            </w:r>
            <w:r w:rsidRPr="006B0BD2">
              <w:fldChar w:fldCharType="end"/>
            </w:r>
            <w:r w:rsidRPr="006B0BD2">
              <w:t xml:space="preserve"> </w:t>
            </w:r>
            <w:r w:rsidR="00B55B86">
              <w:t xml:space="preserve">found </w:t>
            </w:r>
            <w:r w:rsidR="00034F4E">
              <w:t>s</w:t>
            </w:r>
            <w:r w:rsidR="00034F4E" w:rsidRPr="00034F4E">
              <w:rPr>
                <w:rFonts w:cstheme="minorHAnsi"/>
                <w:szCs w:val="22"/>
              </w:rPr>
              <w:t>avings result from the substitution of some AT for some formal care, but vary with the level of disability, type of housing and length of time AT is used</w:t>
            </w:r>
          </w:p>
          <w:p w14:paraId="4DEE79B4" w14:textId="3297C3FF" w:rsidR="006B0BD2" w:rsidRPr="006B0BD2"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{"citationItems":[{"id":"ITEM-1","itemData":{"DOI":"10.1111/1440-1630.12648","ISSN":"14401630","abstract":"Introduction: Returning to driving is often a goal for people with acquired disabilities. Vehicle modifications make it possible for people with both acquired and lifelong disabilities to drive yet can be costly. There has been no financial evaluation of vehicle modifications in Australia or internationally. Methods: A social return on investment analysis of vehicle modifications was undertaken. Primary data were collected via qualitative interviews with consumers and other stakeholders (e.g. driver-trained occupational therapists, rehabilitation physicians, driving instructors, vehicle modifiers) (n = 23). Secondary data were collected from literature searches and used to identify suitable financial proxies and make estimations of the proportion of drivers with vehicle modifications experiencing each outcome. A co-investment model was adopted to estimate social return on investment and payback period for funder and consumer. Five scenarios were developed to illustrate social return for low-cost modifications (Scenario 1) through to high-cost modifications (Scenario 5). Results: Social return on investment ratios was positive for funder and consumer investment in all five scenarios. Social return on investment calculations based on co-investment ranged from $17.32 for every $1 invested (Scenario 1) to $2.78 for every $1 invested (Scenario 5). Consumers' payback periods were between 5.4 and 7.1 months, and funders between 3.5 weeks and 2 years 8.4 months. Conclusion: Vehicle modifications represent sound investments for both funders and consumers. Given the short payback periods, funders should reconsider age restrictions on vehicles considered suitable for modifications, especially for low- to medium-cost modifications.","author":[{"dropping-particle":"","family":"Hutchinson","given":"Claire","non-dropping-particle":"","parse-names":false,"suffix":""},{"dropping-particle":"","family":"Berndt","given":"Angela","non-dropping-particle":"","parse-names":false,"suffix":""},{"dropping-particle":"","family":"Cleland","given":"Jenny","non-dropping-particle":"","parse-names":false,"suffix":""},{"dropping-particle":"","family":"Gilbert-Hunt","given":"Susan","non-dropping-particle":"","parse-names":false,"suffix":""},{"dropping-particle":"","family":"George","given":"Stacey","non-dropping-particle":"","parse-names":false,"suffix":""},{"dropping-particle":"","family":"Ratcliffe","given":"Julie","non-dropping-particle":"","parse-names":false,"suffix":""}],"container-title":"Australian Occupational Therapy Journal","id":"ITEM-1","issue":"January","issued":{"date-parts":[["2020"]]},"page":"1-10","title":"Using social return on investment analysis to calculate the social impact of modified vehicles for people with disability","type":"article-journal"},"uris":["http://www.mendeley.com/documents/?uuid=f0cb5438-1d70-4a48-9208-ee3b884d8e33"]}],"mendeley":{"formattedCitation":"(Hutchinson et al. 2020)","plainTextFormattedCitation":"(Hutchinson et al. 2020)","previouslyFormattedCitation":"(Hutchinson et al. 2020)"},"properties":{"noteIndex":0},"schema":"https://github.com/citation-style-language/schema/raw/master/csl-citation.json"}</w:instrText>
            </w:r>
            <w:r w:rsidRPr="006B0BD2">
              <w:fldChar w:fldCharType="separate"/>
            </w:r>
            <w:r w:rsidRPr="006B0BD2">
              <w:rPr>
                <w:noProof/>
              </w:rPr>
              <w:t>(Hutchinson et al. 2020)</w:t>
            </w:r>
            <w:r w:rsidRPr="006B0BD2">
              <w:fldChar w:fldCharType="end"/>
            </w:r>
            <w:r w:rsidRPr="006B0BD2">
              <w:t xml:space="preserve"> </w:t>
            </w:r>
            <w:r w:rsidR="00B55B86">
              <w:t xml:space="preserve">found </w:t>
            </w:r>
            <w:r w:rsidRPr="006B0BD2">
              <w:rPr>
                <w:rFonts w:cstheme="minorHAnsi"/>
                <w:szCs w:val="22"/>
              </w:rPr>
              <w:t xml:space="preserve">vehicle modification </w:t>
            </w:r>
            <w:r w:rsidR="00B55B86">
              <w:rPr>
                <w:rFonts w:cstheme="minorHAnsi"/>
                <w:szCs w:val="22"/>
              </w:rPr>
              <w:t xml:space="preserve">had a </w:t>
            </w:r>
            <w:r w:rsidRPr="006B0BD2">
              <w:rPr>
                <w:rFonts w:cstheme="minorHAnsi"/>
                <w:szCs w:val="22"/>
              </w:rPr>
              <w:t>positive return on investment</w:t>
            </w:r>
          </w:p>
          <w:p w14:paraId="44CD0EBA" w14:textId="5F07A26A" w:rsidR="006B0BD2" w:rsidRPr="00A274F1" w:rsidRDefault="006B0BD2" w:rsidP="006B0BD2">
            <w:pPr>
              <w:pStyle w:val="TableList1"/>
              <w:cnfStyle w:val="000000100000" w:firstRow="0" w:lastRow="0" w:firstColumn="0" w:lastColumn="0" w:oddVBand="0" w:evenVBand="0" w:oddHBand="1" w:evenHBand="0" w:firstRowFirstColumn="0" w:firstRowLastColumn="0" w:lastRowFirstColumn="0" w:lastRowLastColumn="0"/>
              <w:rPr>
                <w:rFonts w:cstheme="minorHAnsi"/>
                <w:szCs w:val="22"/>
              </w:rPr>
            </w:pPr>
            <w:r w:rsidRPr="006B0BD2">
              <w:fldChar w:fldCharType="begin" w:fldLock="1"/>
            </w:r>
            <w:r w:rsidRPr="006B0BD2">
              <w:instrText>ADDIN CSL_CITATION {"citationItems":[{"id":"ITEM-1","itemData":{"DOI":"10.1007/s40520-019-01323-2","ISBN":"0123456789","ISSN":"17208319","abstract":"Background: Advances such as passive monitoring technology (PMT), which provides holistic supervision of chronically ill and elderly patients, enable and support improved monitoring and observation, thus empowering the growing population of older adults to live more independently while lowering health care expenses. Aims: This study develops a conceptual model to estimate the potential savings associated with PMT. Methods: We first develop a conceptual model to identify the main cost variables associated with independent living, focusing on three pathways: (1) PMT, (2) independent living supported by the current standard of care, and (3) facility-based care. We examined the impact on three outcomes [i.e., health care costs, institutional costs, and health-related quality of life (HRQoL)] along each of the three care pathways (i.e., PMT, independent living supported by the standard of care, and facility-based care) and developed a cost-benefit model to calculate the net costs and benefits associated with each care pathway. Results: The cost–benefit model showed savings between approximately $425 per-member per-month (PMPM) for those using PMT compared to those on the standard of care pathway. Sensitivity analysis demonstrated that a 5% increase in nursing home utilization generates cost savings of more than 30% PMPM. Discussion: The total projected cost savings for individuals on the PMT arm are projected to be more than $425 PMPM, with annual savings of $5069 per-person per-year, and over $5.1 million for a target population of 1000 individuals. Conclusions: The cost calculations in our cost–benefit simulation model clearly demonstrate the value of PMT and show the potential value to payers and integrated delivery systems in offering PMT to individuals who are likely to benefit the most from the services.","author":[{"dropping-particle":"","family":"Schneider","given":"John E.","non-dropping-particle":"","parse-names":false,"suffix":""},{"dropping-particle":"","family":"Cooper","given":"Jacie","non-dropping-particle":"","parse-names":false,"suffix":""},{"dropping-particle":"","family":"Scheibling","given":"Cara","non-dropping-particle":"","parse-names":false,"suffix":""},{"dropping-particle":"","family":"Parikh","given":"Anjani","non-dropping-particle":"","parse-names":false,"suffix":""}],"container-title":"Aging Clinical and Experimental Research","id":"ITEM-1","issue":"0123456789","issued":{"date-parts":[["2019"]]},"publisher":"Springer International Publishing","title":"Economic evaluation of passive monitoring technology for seniors","type":"article-journal"},"uris":["http://www.mendeley.com/documents/?uuid=6aa287ec-01e5-4150-9d7a-7ddf8dc7003a"]}],"mendeley":{"formattedCitation":"(Schneider et al. 2019)","plainTextFormattedCitation":"(Schneider et al. 2019)","previouslyFormattedCitation":"(Schneider et al. 2019)"},"properties":{"noteIndex":0},"schema":"https://github.com/citation-style-language/schema/raw/master/csl-citation.json"}</w:instrText>
            </w:r>
            <w:r w:rsidRPr="006B0BD2">
              <w:fldChar w:fldCharType="separate"/>
            </w:r>
            <w:r w:rsidRPr="006B0BD2">
              <w:rPr>
                <w:noProof/>
              </w:rPr>
              <w:t>(Schneider et al. 2019)</w:t>
            </w:r>
            <w:r w:rsidRPr="006B0BD2">
              <w:fldChar w:fldCharType="end"/>
            </w:r>
            <w:r w:rsidRPr="006B0BD2">
              <w:t xml:space="preserve"> </w:t>
            </w:r>
            <w:r w:rsidR="00B55B86">
              <w:t xml:space="preserve">found </w:t>
            </w:r>
            <w:r w:rsidRPr="006B0BD2">
              <w:rPr>
                <w:rFonts w:cstheme="minorHAnsi"/>
                <w:szCs w:val="22"/>
              </w:rPr>
              <w:t>remote monitoring</w:t>
            </w:r>
            <w:r>
              <w:rPr>
                <w:rFonts w:cstheme="minorHAnsi"/>
                <w:szCs w:val="22"/>
              </w:rPr>
              <w:t xml:space="preserve"> </w:t>
            </w:r>
            <w:r w:rsidRPr="00A274F1">
              <w:rPr>
                <w:rFonts w:cstheme="minorHAnsi"/>
                <w:szCs w:val="22"/>
              </w:rPr>
              <w:t>compared to standard care pathway</w:t>
            </w:r>
          </w:p>
        </w:tc>
        <w:tc>
          <w:tcPr>
            <w:tcW w:w="1103" w:type="dxa"/>
          </w:tcPr>
          <w:p w14:paraId="09BACCF1" w14:textId="77777777" w:rsidR="006B0BD2" w:rsidRPr="00A274F1" w:rsidRDefault="006B0BD2" w:rsidP="006B0BD2">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None</w:t>
            </w:r>
          </w:p>
        </w:tc>
      </w:tr>
    </w:tbl>
    <w:p w14:paraId="1ABA29C3" w14:textId="77777777" w:rsidR="006B0BD2" w:rsidRDefault="006B0BD2" w:rsidP="00184FBE">
      <w:pPr>
        <w:rPr>
          <w:lang w:eastAsia="en-US"/>
        </w:rPr>
        <w:sectPr w:rsidR="006B0BD2" w:rsidSect="00B55B86">
          <w:pgSz w:w="16838" w:h="11906" w:orient="landscape" w:code="9"/>
          <w:pgMar w:top="851" w:right="1134" w:bottom="851" w:left="1134" w:header="567" w:footer="567" w:gutter="0"/>
          <w:cols w:space="708"/>
          <w:docGrid w:linePitch="360"/>
        </w:sectPr>
      </w:pPr>
    </w:p>
    <w:p w14:paraId="1C167E5F" w14:textId="2398E317" w:rsidR="00F81E67" w:rsidRPr="008E680E" w:rsidRDefault="00F81E67" w:rsidP="00633A59">
      <w:pPr>
        <w:pStyle w:val="Heading2"/>
      </w:pPr>
      <w:r w:rsidRPr="008E680E">
        <w:lastRenderedPageBreak/>
        <w:t>Quantified benefits for the rapid evidence review</w:t>
      </w:r>
    </w:p>
    <w:bookmarkEnd w:id="94"/>
    <w:p w14:paraId="25FABE15" w14:textId="56228B35" w:rsidR="00F81E67" w:rsidRPr="008E680E" w:rsidRDefault="00F81E67" w:rsidP="00F81E67">
      <w:pPr>
        <w:pStyle w:val="Paragraph"/>
      </w:pPr>
      <w:r w:rsidRPr="008E680E">
        <w:t>Each of the 20 papers was reviewed to quantify the benefits of AT.</w:t>
      </w:r>
      <w:r w:rsidR="004511B3">
        <w:t xml:space="preserve"> </w:t>
      </w:r>
      <w:r w:rsidRPr="008E680E">
        <w:t xml:space="preserve">This data is summarised in </w:t>
      </w:r>
      <w:r w:rsidRPr="008E680E">
        <w:rPr>
          <w:i/>
          <w:iCs/>
        </w:rPr>
        <w:t>Table</w:t>
      </w:r>
      <w:r w:rsidRPr="008E680E">
        <w:t> A</w:t>
      </w:r>
      <w:r w:rsidRPr="008E680E">
        <w:rPr>
          <w:i/>
          <w:iCs/>
        </w:rPr>
        <w:t>-8</w:t>
      </w:r>
      <w:r w:rsidRPr="008E680E">
        <w:t xml:space="preserve"> and more detail can be provided upon request.</w:t>
      </w:r>
    </w:p>
    <w:p w14:paraId="1F5AEE9E" w14:textId="13679B97" w:rsidR="00F81E67" w:rsidRPr="008E680E" w:rsidRDefault="00F81E67" w:rsidP="005B3CFF">
      <w:pPr>
        <w:pStyle w:val="Paragraph"/>
      </w:pPr>
      <w:r w:rsidRPr="008E680E">
        <w:t>In the RER summaries (</w:t>
      </w:r>
      <w:r w:rsidR="005B3CFF" w:rsidRPr="005B3CFF">
        <w:rPr>
          <w:rStyle w:val="Italic"/>
          <w:highlight w:val="yellow"/>
        </w:rPr>
        <w:fldChar w:fldCharType="begin"/>
      </w:r>
      <w:r w:rsidR="005B3CFF" w:rsidRPr="005B3CFF">
        <w:rPr>
          <w:rStyle w:val="Italic"/>
        </w:rPr>
        <w:instrText xml:space="preserve"> REF _Ref40969950 \h </w:instrText>
      </w:r>
      <w:r w:rsidR="005B3CFF">
        <w:rPr>
          <w:rStyle w:val="Italic"/>
          <w:highlight w:val="yellow"/>
        </w:rPr>
        <w:instrText xml:space="preserve"> \* MERGEFORMAT </w:instrText>
      </w:r>
      <w:r w:rsidR="005B3CFF" w:rsidRPr="005B3CFF">
        <w:rPr>
          <w:rStyle w:val="Italic"/>
          <w:highlight w:val="yellow"/>
        </w:rPr>
      </w:r>
      <w:r w:rsidR="005B3CFF" w:rsidRPr="005B3CFF">
        <w:rPr>
          <w:rStyle w:val="Italic"/>
          <w:highlight w:val="yellow"/>
        </w:rPr>
        <w:fldChar w:fldCharType="separate"/>
      </w:r>
      <w:r w:rsidR="00EB1774" w:rsidRPr="00EB1774">
        <w:rPr>
          <w:rStyle w:val="Italic"/>
        </w:rPr>
        <w:t>Table B</w:t>
      </w:r>
      <w:r w:rsidR="00EB1774" w:rsidRPr="00EB1774">
        <w:rPr>
          <w:rStyle w:val="Italic"/>
        </w:rPr>
        <w:noBreakHyphen/>
        <w:t>10</w:t>
      </w:r>
      <w:r w:rsidR="005B3CFF" w:rsidRPr="005B3CFF">
        <w:rPr>
          <w:rStyle w:val="Italic"/>
          <w:highlight w:val="yellow"/>
        </w:rPr>
        <w:fldChar w:fldCharType="end"/>
      </w:r>
      <w:r w:rsidRPr="008E680E">
        <w:t>), the benefits have been reported in their original format, that is in the original financial year (known as base year) and currency.</w:t>
      </w:r>
      <w:r w:rsidR="004511B3">
        <w:t xml:space="preserve"> </w:t>
      </w:r>
      <w:r w:rsidRPr="008E680E">
        <w:t>These costs have then been converted into $AUD 2019</w:t>
      </w:r>
      <w:r w:rsidR="005B3CFF">
        <w:noBreakHyphen/>
      </w:r>
      <w:r w:rsidRPr="008E680E">
        <w:t xml:space="preserve">20 using the conversion rates and exchange rates presented in </w:t>
      </w:r>
      <w:r w:rsidR="005B3CFF" w:rsidRPr="005B3CFF">
        <w:rPr>
          <w:rStyle w:val="Italic"/>
        </w:rPr>
        <w:fldChar w:fldCharType="begin"/>
      </w:r>
      <w:r w:rsidR="005B3CFF" w:rsidRPr="005B3CFF">
        <w:rPr>
          <w:rStyle w:val="Italic"/>
        </w:rPr>
        <w:instrText xml:space="preserve"> REF _Ref42519820 \h </w:instrText>
      </w:r>
      <w:r w:rsidR="005B3CFF">
        <w:rPr>
          <w:rStyle w:val="Italic"/>
        </w:rPr>
        <w:instrText xml:space="preserve"> \* MERGEFORMAT </w:instrText>
      </w:r>
      <w:r w:rsidR="005B3CFF" w:rsidRPr="005B3CFF">
        <w:rPr>
          <w:rStyle w:val="Italic"/>
        </w:rPr>
      </w:r>
      <w:r w:rsidR="005B3CFF" w:rsidRPr="005B3CFF">
        <w:rPr>
          <w:rStyle w:val="Italic"/>
        </w:rPr>
        <w:fldChar w:fldCharType="separate"/>
      </w:r>
      <w:r w:rsidR="00EB1774" w:rsidRPr="00EB1774">
        <w:rPr>
          <w:rStyle w:val="Italic"/>
        </w:rPr>
        <w:t>Table B</w:t>
      </w:r>
      <w:r w:rsidR="00EB1774" w:rsidRPr="00EB1774">
        <w:rPr>
          <w:rStyle w:val="Italic"/>
        </w:rPr>
        <w:noBreakHyphen/>
        <w:t>12</w:t>
      </w:r>
      <w:r w:rsidR="005B3CFF" w:rsidRPr="005B3CFF">
        <w:rPr>
          <w:rStyle w:val="Italic"/>
        </w:rPr>
        <w:fldChar w:fldCharType="end"/>
      </w:r>
      <w:r w:rsidR="005B3CFF">
        <w:rPr>
          <w:rStyle w:val="Italic"/>
        </w:rPr>
        <w:t xml:space="preserve"> </w:t>
      </w:r>
      <w:r w:rsidR="005B3CFF" w:rsidRPr="008E680E">
        <w:t xml:space="preserve">and </w:t>
      </w:r>
      <w:r w:rsidR="005B3CFF" w:rsidRPr="005B3CFF">
        <w:rPr>
          <w:rStyle w:val="Italic"/>
        </w:rPr>
        <w:fldChar w:fldCharType="begin"/>
      </w:r>
      <w:r w:rsidR="005B3CFF" w:rsidRPr="005B3CFF">
        <w:rPr>
          <w:rStyle w:val="Italic"/>
        </w:rPr>
        <w:instrText xml:space="preserve"> REF _Ref42519822 \h </w:instrText>
      </w:r>
      <w:r w:rsidR="005B3CFF">
        <w:rPr>
          <w:rStyle w:val="Italic"/>
        </w:rPr>
        <w:instrText xml:space="preserve"> \* MERGEFORMAT </w:instrText>
      </w:r>
      <w:r w:rsidR="005B3CFF" w:rsidRPr="005B3CFF">
        <w:rPr>
          <w:rStyle w:val="Italic"/>
        </w:rPr>
      </w:r>
      <w:r w:rsidR="005B3CFF" w:rsidRPr="005B3CFF">
        <w:rPr>
          <w:rStyle w:val="Italic"/>
        </w:rPr>
        <w:fldChar w:fldCharType="separate"/>
      </w:r>
      <w:r w:rsidR="00EB1774" w:rsidRPr="00EB1774">
        <w:rPr>
          <w:rStyle w:val="Italic"/>
        </w:rPr>
        <w:t>Table B</w:t>
      </w:r>
      <w:r w:rsidR="00EB1774" w:rsidRPr="00EB1774">
        <w:rPr>
          <w:rStyle w:val="Italic"/>
        </w:rPr>
        <w:noBreakHyphen/>
        <w:t>13</w:t>
      </w:r>
      <w:r w:rsidR="005B3CFF" w:rsidRPr="005B3CFF">
        <w:rPr>
          <w:rStyle w:val="Italic"/>
        </w:rPr>
        <w:fldChar w:fldCharType="end"/>
      </w:r>
      <w:r w:rsidRPr="008E680E">
        <w:t>.</w:t>
      </w:r>
      <w:r w:rsidR="004511B3">
        <w:t xml:space="preserve"> </w:t>
      </w:r>
      <w:r w:rsidRPr="008E680E">
        <w:t xml:space="preserve">This has then allowed all costs in </w:t>
      </w:r>
      <w:r w:rsidRPr="008E680E">
        <w:rPr>
          <w:i/>
          <w:iCs/>
        </w:rPr>
        <w:fldChar w:fldCharType="begin"/>
      </w:r>
      <w:r w:rsidRPr="008E680E">
        <w:rPr>
          <w:i/>
          <w:iCs/>
        </w:rPr>
        <w:instrText xml:space="preserve"> REF _Ref35009605 \h  \* MERGEFORMAT </w:instrText>
      </w:r>
      <w:r w:rsidRPr="008E680E">
        <w:rPr>
          <w:i/>
          <w:iCs/>
        </w:rPr>
      </w:r>
      <w:r w:rsidRPr="008E680E">
        <w:rPr>
          <w:i/>
          <w:iCs/>
        </w:rPr>
        <w:fldChar w:fldCharType="separate"/>
      </w:r>
      <w:r w:rsidR="00EB1774" w:rsidRPr="00EB1774">
        <w:rPr>
          <w:i/>
          <w:iCs/>
        </w:rPr>
        <w:t>Table B</w:t>
      </w:r>
      <w:r w:rsidR="00EB1774" w:rsidRPr="00EB1774">
        <w:rPr>
          <w:i/>
          <w:iCs/>
        </w:rPr>
        <w:noBreakHyphen/>
        <w:t>8</w:t>
      </w:r>
      <w:r w:rsidRPr="008E680E">
        <w:rPr>
          <w:i/>
          <w:iCs/>
        </w:rPr>
        <w:fldChar w:fldCharType="end"/>
      </w:r>
      <w:r w:rsidRPr="008E680E">
        <w:t>, the ‘Schedule of Benefits of AT’ to be presented as $AUD 2019</w:t>
      </w:r>
      <w:r w:rsidR="005B3CFF">
        <w:t>–</w:t>
      </w:r>
      <w:r w:rsidRPr="008E680E">
        <w:t>20.</w:t>
      </w:r>
    </w:p>
    <w:p w14:paraId="7E80E5B5" w14:textId="33B02661" w:rsidR="00F81E67" w:rsidRPr="008E680E" w:rsidRDefault="00F81E67" w:rsidP="00F81E67">
      <w:pPr>
        <w:pStyle w:val="ParaKeep"/>
      </w:pPr>
      <w:r w:rsidRPr="008E680E">
        <w:t>In summary, the Schedule of Benefits of AT reports the following annual cost savings (</w:t>
      </w:r>
      <w:r w:rsidRPr="008E680E">
        <w:rPr>
          <w:i/>
          <w:iCs/>
        </w:rPr>
        <w:fldChar w:fldCharType="begin"/>
      </w:r>
      <w:r w:rsidRPr="008E680E">
        <w:rPr>
          <w:i/>
          <w:iCs/>
        </w:rPr>
        <w:instrText xml:space="preserve"> REF _Ref35009605 \h  \* MERGEFORMAT </w:instrText>
      </w:r>
      <w:r w:rsidRPr="008E680E">
        <w:rPr>
          <w:i/>
          <w:iCs/>
        </w:rPr>
      </w:r>
      <w:r w:rsidRPr="008E680E">
        <w:rPr>
          <w:i/>
          <w:iCs/>
        </w:rPr>
        <w:fldChar w:fldCharType="separate"/>
      </w:r>
      <w:r w:rsidR="00EB1774" w:rsidRPr="00EB1774">
        <w:rPr>
          <w:i/>
          <w:iCs/>
        </w:rPr>
        <w:t>Table B</w:t>
      </w:r>
      <w:r w:rsidR="00EB1774" w:rsidRPr="00EB1774">
        <w:rPr>
          <w:i/>
          <w:iCs/>
        </w:rPr>
        <w:noBreakHyphen/>
        <w:t>8</w:t>
      </w:r>
      <w:r w:rsidRPr="008E680E">
        <w:rPr>
          <w:i/>
          <w:iCs/>
        </w:rPr>
        <w:fldChar w:fldCharType="end"/>
      </w:r>
      <w:r w:rsidRPr="008E680E">
        <w:t>):</w:t>
      </w:r>
    </w:p>
    <w:p w14:paraId="31F94771" w14:textId="4805ABBB" w:rsidR="00F81E67" w:rsidRPr="008E680E" w:rsidRDefault="004E4D15" w:rsidP="00F81E67">
      <w:pPr>
        <w:pStyle w:val="Bullet1Keep"/>
        <w:spacing w:after="120"/>
      </w:pPr>
      <w:r>
        <w:t>Cost savings for community services (e.g. formal and informal care)</w:t>
      </w:r>
      <w:r w:rsidR="00F81E67" w:rsidRPr="008E680E">
        <w:t>: $6,997.41</w:t>
      </w:r>
    </w:p>
    <w:p w14:paraId="4336891A" w14:textId="00290493" w:rsidR="00F81E67" w:rsidRPr="008E680E" w:rsidRDefault="004E4D15" w:rsidP="00F81E67">
      <w:pPr>
        <w:pStyle w:val="Bullet1Keep"/>
        <w:spacing w:after="120"/>
      </w:pPr>
      <w:r>
        <w:t>Cost savings for health and aged care</w:t>
      </w:r>
      <w:r w:rsidR="00F81E67" w:rsidRPr="008E680E">
        <w:t>: $29,952.59</w:t>
      </w:r>
    </w:p>
    <w:p w14:paraId="1E367620" w14:textId="77777777" w:rsidR="00F81E67" w:rsidRPr="008E680E" w:rsidRDefault="00F81E67" w:rsidP="005B3CFF">
      <w:pPr>
        <w:pStyle w:val="Bullet1"/>
      </w:pPr>
      <w:r w:rsidRPr="008E680E">
        <w:t>Social and wellbeing benefits: Undefined</w:t>
      </w:r>
    </w:p>
    <w:p w14:paraId="760C9D0C" w14:textId="00B2D410" w:rsidR="00F81E67" w:rsidRDefault="00F81E67" w:rsidP="005B3CFF">
      <w:pPr>
        <w:pStyle w:val="Paragraph"/>
      </w:pPr>
      <w:r w:rsidRPr="008E680E">
        <w:t xml:space="preserve">Total annual AT benefits reported in </w:t>
      </w:r>
      <w:r w:rsidRPr="008E680E">
        <w:rPr>
          <w:i/>
          <w:iCs/>
        </w:rPr>
        <w:fldChar w:fldCharType="begin"/>
      </w:r>
      <w:r w:rsidRPr="008E680E">
        <w:rPr>
          <w:i/>
          <w:iCs/>
        </w:rPr>
        <w:instrText xml:space="preserve"> REF _Ref35009605 \h  \* MERGEFORMAT </w:instrText>
      </w:r>
      <w:r w:rsidRPr="008E680E">
        <w:rPr>
          <w:i/>
          <w:iCs/>
        </w:rPr>
      </w:r>
      <w:r w:rsidRPr="008E680E">
        <w:rPr>
          <w:i/>
          <w:iCs/>
        </w:rPr>
        <w:fldChar w:fldCharType="separate"/>
      </w:r>
      <w:r w:rsidR="00EB1774" w:rsidRPr="00EB1774">
        <w:rPr>
          <w:i/>
          <w:iCs/>
        </w:rPr>
        <w:t>Table B</w:t>
      </w:r>
      <w:r w:rsidR="00EB1774" w:rsidRPr="00EB1774">
        <w:rPr>
          <w:i/>
          <w:iCs/>
        </w:rPr>
        <w:noBreakHyphen/>
        <w:t>8</w:t>
      </w:r>
      <w:r w:rsidRPr="008E680E">
        <w:rPr>
          <w:i/>
          <w:iCs/>
        </w:rPr>
        <w:fldChar w:fldCharType="end"/>
      </w:r>
      <w:r w:rsidRPr="008E680E">
        <w:t xml:space="preserve">, excluding the </w:t>
      </w:r>
      <w:r w:rsidRPr="008E680E">
        <w:rPr>
          <w:i/>
          <w:iCs/>
        </w:rPr>
        <w:t>undefined</w:t>
      </w:r>
      <w:r w:rsidRPr="008E680E">
        <w:t xml:space="preserve"> social and wellbeing benefits and excluding the </w:t>
      </w:r>
      <w:r w:rsidRPr="008E680E">
        <w:rPr>
          <w:i/>
          <w:iCs/>
        </w:rPr>
        <w:t>passive remote patient monitoring</w:t>
      </w:r>
      <w:r w:rsidRPr="008E680E">
        <w:t xml:space="preserve"> as utilisation as this AT would not extend across the whole population, </w:t>
      </w:r>
      <w:r>
        <w:t>was</w:t>
      </w:r>
      <w:r w:rsidRPr="008E680E">
        <w:t xml:space="preserve"> $36,950. </w:t>
      </w:r>
    </w:p>
    <w:p w14:paraId="2A5E6EA3" w14:textId="3A19422D" w:rsidR="00902628" w:rsidRPr="008E680E" w:rsidRDefault="00902628" w:rsidP="00F81E67">
      <w:pPr>
        <w:pStyle w:val="ParaKeep"/>
        <w:sectPr w:rsidR="00902628" w:rsidRPr="008E680E" w:rsidSect="00FD140E">
          <w:pgSz w:w="11906" w:h="16838"/>
          <w:pgMar w:top="1134" w:right="1134" w:bottom="1134" w:left="1134" w:header="709" w:footer="709" w:gutter="0"/>
          <w:cols w:space="708"/>
          <w:docGrid w:linePitch="360"/>
        </w:sectPr>
      </w:pPr>
    </w:p>
    <w:p w14:paraId="03C721DC" w14:textId="4659D7CE" w:rsidR="00F81E67" w:rsidRDefault="00F81E67" w:rsidP="00633A59">
      <w:bookmarkStart w:id="100" w:name="_Ref35009605"/>
      <w:bookmarkStart w:id="101" w:name="_Toc34988350"/>
      <w:bookmarkStart w:id="102" w:name="_Ref35011723"/>
      <w:bookmarkStart w:id="103" w:name="_Toc40622135"/>
      <w:bookmarkStart w:id="104" w:name="_Toc60999933"/>
      <w:r w:rsidRPr="008E680E">
        <w:lastRenderedPageBreak/>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6562A7">
        <w:t>-8</w:t>
      </w:r>
      <w:bookmarkEnd w:id="100"/>
      <w:r w:rsidR="00844892">
        <w:rPr>
          <w:noProof/>
        </w:rPr>
        <w:t>:</w:t>
      </w:r>
      <w:r w:rsidR="00844892">
        <w:tab/>
      </w:r>
      <w:r w:rsidRPr="008E680E">
        <w:t>Schedule of Benefits of assistive technology (annual)</w:t>
      </w:r>
      <w:bookmarkEnd w:id="101"/>
      <w:bookmarkEnd w:id="102"/>
      <w:bookmarkEnd w:id="103"/>
      <w:bookmarkEnd w:id="104"/>
    </w:p>
    <w:tbl>
      <w:tblPr>
        <w:tblStyle w:val="AHALight"/>
        <w:tblW w:w="0" w:type="auto"/>
        <w:tblLook w:val="06E0" w:firstRow="1" w:lastRow="1" w:firstColumn="1" w:lastColumn="0" w:noHBand="1" w:noVBand="1"/>
        <w:tblCaption w:val="table B 8"/>
        <w:tblDescription w:val="schedule of benefits of AT including unit cost and savings annually"/>
      </w:tblPr>
      <w:tblGrid>
        <w:gridCol w:w="1968"/>
        <w:gridCol w:w="2248"/>
        <w:gridCol w:w="4289"/>
        <w:gridCol w:w="1453"/>
        <w:gridCol w:w="1382"/>
        <w:gridCol w:w="1292"/>
        <w:gridCol w:w="1938"/>
      </w:tblGrid>
      <w:tr w:rsidR="00AA5419" w:rsidRPr="00D43B80" w14:paraId="73915AA3" w14:textId="77777777" w:rsidTr="00D35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2C0B3CA3" w14:textId="1FC1375A" w:rsidR="00B71941" w:rsidRPr="00D43B80" w:rsidRDefault="00B71941" w:rsidP="00B71941">
            <w:pPr>
              <w:pStyle w:val="TableHeading1"/>
              <w:rPr>
                <w:sz w:val="20"/>
                <w:szCs w:val="20"/>
              </w:rPr>
            </w:pPr>
            <w:r w:rsidRPr="00D43B80">
              <w:rPr>
                <w:sz w:val="20"/>
                <w:szCs w:val="20"/>
              </w:rPr>
              <w:t>Benefit group</w:t>
            </w:r>
          </w:p>
        </w:tc>
        <w:tc>
          <w:tcPr>
            <w:tcW w:w="2248" w:type="dxa"/>
          </w:tcPr>
          <w:p w14:paraId="3CFEC327" w14:textId="5DD413DF" w:rsidR="00B71941" w:rsidRPr="00D43B80" w:rsidRDefault="00B71941" w:rsidP="00B71941">
            <w:pPr>
              <w:pStyle w:val="TableHeading1"/>
              <w:cnfStyle w:val="100000000000" w:firstRow="1" w:lastRow="0" w:firstColumn="0" w:lastColumn="0" w:oddVBand="0" w:evenVBand="0" w:oddHBand="0" w:evenHBand="0" w:firstRowFirstColumn="0" w:firstRowLastColumn="0" w:lastRowFirstColumn="0" w:lastRowLastColumn="0"/>
              <w:rPr>
                <w:sz w:val="20"/>
                <w:szCs w:val="20"/>
              </w:rPr>
            </w:pPr>
            <w:r w:rsidRPr="00D43B80">
              <w:rPr>
                <w:sz w:val="20"/>
                <w:szCs w:val="20"/>
              </w:rPr>
              <w:t>Benefit type</w:t>
            </w:r>
          </w:p>
        </w:tc>
        <w:tc>
          <w:tcPr>
            <w:tcW w:w="4289" w:type="dxa"/>
          </w:tcPr>
          <w:p w14:paraId="149196CC" w14:textId="77777777" w:rsidR="00B71941" w:rsidRPr="00D43B80" w:rsidRDefault="00B71941" w:rsidP="00B71941">
            <w:pPr>
              <w:pStyle w:val="TableHeading1"/>
              <w:cnfStyle w:val="100000000000" w:firstRow="1" w:lastRow="0" w:firstColumn="0" w:lastColumn="0" w:oddVBand="0" w:evenVBand="0" w:oddHBand="0" w:evenHBand="0" w:firstRowFirstColumn="0" w:firstRowLastColumn="0" w:lastRowFirstColumn="0" w:lastRowLastColumn="0"/>
              <w:rPr>
                <w:sz w:val="20"/>
                <w:szCs w:val="20"/>
              </w:rPr>
            </w:pPr>
            <w:r w:rsidRPr="00D43B80">
              <w:rPr>
                <w:sz w:val="20"/>
                <w:szCs w:val="20"/>
              </w:rPr>
              <w:t>Unit definition</w:t>
            </w:r>
          </w:p>
        </w:tc>
        <w:tc>
          <w:tcPr>
            <w:tcW w:w="1453" w:type="dxa"/>
          </w:tcPr>
          <w:p w14:paraId="3052CB9B" w14:textId="77777777" w:rsidR="00B71941" w:rsidRPr="00D43B80" w:rsidRDefault="00B71941" w:rsidP="00C43413">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D43B80">
              <w:rPr>
                <w:sz w:val="20"/>
                <w:szCs w:val="20"/>
              </w:rPr>
              <w:t>Unit cost</w:t>
            </w:r>
          </w:p>
        </w:tc>
        <w:tc>
          <w:tcPr>
            <w:tcW w:w="1382" w:type="dxa"/>
          </w:tcPr>
          <w:p w14:paraId="7359B553" w14:textId="0FCFD9A6" w:rsidR="00B71941" w:rsidRPr="00D43B80" w:rsidRDefault="00C43413" w:rsidP="00C43413">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w:t>
            </w:r>
            <w:r w:rsidR="00B71941" w:rsidRPr="00D43B80">
              <w:rPr>
                <w:sz w:val="20"/>
                <w:szCs w:val="20"/>
              </w:rPr>
              <w:t>nits saved (annual)</w:t>
            </w:r>
          </w:p>
        </w:tc>
        <w:tc>
          <w:tcPr>
            <w:tcW w:w="1292" w:type="dxa"/>
          </w:tcPr>
          <w:p w14:paraId="538E1DF3" w14:textId="360D87B1" w:rsidR="00B71941" w:rsidRPr="00D43B80" w:rsidRDefault="00B71941" w:rsidP="00C43413">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D43B80">
              <w:rPr>
                <w:sz w:val="20"/>
                <w:szCs w:val="20"/>
              </w:rPr>
              <w:t>Total savings (annual)</w:t>
            </w:r>
          </w:p>
        </w:tc>
        <w:tc>
          <w:tcPr>
            <w:tcW w:w="1938" w:type="dxa"/>
          </w:tcPr>
          <w:p w14:paraId="0E1FC33B" w14:textId="77777777" w:rsidR="00B71941" w:rsidRPr="00D43B80" w:rsidRDefault="00B71941" w:rsidP="008033A6">
            <w:pPr>
              <w:pStyle w:val="TableHeading1"/>
              <w:jc w:val="center"/>
              <w:cnfStyle w:val="100000000000" w:firstRow="1" w:lastRow="0" w:firstColumn="0" w:lastColumn="0" w:oddVBand="0" w:evenVBand="0" w:oddHBand="0" w:evenHBand="0" w:firstRowFirstColumn="0" w:firstRowLastColumn="0" w:lastRowFirstColumn="0" w:lastRowLastColumn="0"/>
              <w:rPr>
                <w:sz w:val="20"/>
                <w:szCs w:val="20"/>
              </w:rPr>
            </w:pPr>
            <w:r w:rsidRPr="00D43B80">
              <w:rPr>
                <w:sz w:val="20"/>
                <w:szCs w:val="20"/>
              </w:rPr>
              <w:t>Data source</w:t>
            </w:r>
          </w:p>
        </w:tc>
      </w:tr>
      <w:tr w:rsidR="00C43413" w:rsidRPr="00D43B80" w14:paraId="4328F1A4"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0079C1" w:themeColor="text2"/>
              <w:bottom w:val="single" w:sz="4" w:space="0" w:color="71C9FF" w:themeColor="accent1"/>
            </w:tcBorders>
            <w:shd w:val="clear" w:color="auto" w:fill="F2F2F2" w:themeFill="background1" w:themeFillShade="F2"/>
          </w:tcPr>
          <w:p w14:paraId="39144455" w14:textId="5B22A489" w:rsidR="00B71941" w:rsidRPr="00C43413" w:rsidRDefault="00B71941" w:rsidP="008033A6">
            <w:pPr>
              <w:pStyle w:val="Tabletextsmall"/>
            </w:pPr>
            <w:r w:rsidRPr="00C43413">
              <w:t>Cost savings for community services</w:t>
            </w:r>
          </w:p>
        </w:tc>
        <w:tc>
          <w:tcPr>
            <w:tcW w:w="2248" w:type="dxa"/>
            <w:tcBorders>
              <w:top w:val="single" w:sz="4" w:space="0" w:color="0079C1" w:themeColor="text2"/>
              <w:bottom w:val="single" w:sz="4" w:space="0" w:color="71C9FF" w:themeColor="accent1"/>
            </w:tcBorders>
            <w:shd w:val="clear" w:color="auto" w:fill="F2F2F2" w:themeFill="background1" w:themeFillShade="F2"/>
          </w:tcPr>
          <w:p w14:paraId="0BA5A95B" w14:textId="2C1B9447"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bCs/>
                <w:szCs w:val="20"/>
              </w:rPr>
            </w:pPr>
            <w:r w:rsidRPr="00D43B80">
              <w:rPr>
                <w:rFonts w:cstheme="minorHAnsi"/>
                <w:bCs/>
                <w:szCs w:val="20"/>
              </w:rPr>
              <w:t>Formal care/</w:t>
            </w:r>
            <w:r w:rsidRPr="00D43B80">
              <w:rPr>
                <w:szCs w:val="20"/>
              </w:rPr>
              <w:t>​</w:t>
            </w:r>
            <w:r w:rsidRPr="00D43B80">
              <w:rPr>
                <w:rFonts w:cstheme="minorHAnsi"/>
                <w:bCs/>
                <w:szCs w:val="20"/>
              </w:rPr>
              <w:t>paid support work</w:t>
            </w:r>
          </w:p>
        </w:tc>
        <w:tc>
          <w:tcPr>
            <w:tcW w:w="4289" w:type="dxa"/>
            <w:tcBorders>
              <w:top w:val="single" w:sz="4" w:space="0" w:color="0079C1" w:themeColor="text2"/>
              <w:bottom w:val="single" w:sz="4" w:space="0" w:color="BFE7FF" w:themeColor="text2" w:themeTint="33"/>
            </w:tcBorders>
            <w:shd w:val="clear" w:color="auto" w:fill="F2F2F2" w:themeFill="background1" w:themeFillShade="F2"/>
          </w:tcPr>
          <w:p w14:paraId="6D5ECC04" w14:textId="3707AEA9"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AT to offset 1</w:t>
            </w:r>
            <w:r w:rsidR="00D43B80">
              <w:rPr>
                <w:rFonts w:cstheme="minorHAnsi"/>
                <w:szCs w:val="20"/>
              </w:rPr>
              <w:t> </w:t>
            </w:r>
            <w:r w:rsidRPr="00D43B80">
              <w:rPr>
                <w:rFonts w:cstheme="minorHAnsi"/>
                <w:szCs w:val="20"/>
              </w:rPr>
              <w:t>hour of care</w:t>
            </w:r>
          </w:p>
        </w:tc>
        <w:tc>
          <w:tcPr>
            <w:tcW w:w="1453" w:type="dxa"/>
            <w:tcBorders>
              <w:top w:val="single" w:sz="4" w:space="0" w:color="0079C1" w:themeColor="text2"/>
              <w:bottom w:val="single" w:sz="4" w:space="0" w:color="BFE7FF" w:themeColor="text2" w:themeTint="33"/>
            </w:tcBorders>
            <w:shd w:val="clear" w:color="auto" w:fill="F2F2F2" w:themeFill="background1" w:themeFillShade="F2"/>
          </w:tcPr>
          <w:p w14:paraId="68C5ABFD"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$48.96</w:t>
            </w:r>
          </w:p>
        </w:tc>
        <w:tc>
          <w:tcPr>
            <w:tcW w:w="1382" w:type="dxa"/>
            <w:tcBorders>
              <w:top w:val="single" w:sz="4" w:space="0" w:color="0079C1" w:themeColor="text2"/>
              <w:bottom w:val="single" w:sz="4" w:space="0" w:color="BFE7FF" w:themeColor="text2" w:themeTint="33"/>
            </w:tcBorders>
            <w:shd w:val="clear" w:color="auto" w:fill="F2F2F2" w:themeFill="background1" w:themeFillShade="F2"/>
          </w:tcPr>
          <w:p w14:paraId="0263F08A" w14:textId="24586433"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 xml:space="preserve">18.72 hours </w:t>
            </w:r>
            <w:r w:rsidRPr="00D43B80">
              <w:rPr>
                <w:rFonts w:cstheme="minorHAnsi"/>
                <w:szCs w:val="20"/>
                <w:vertAlign w:val="superscript"/>
              </w:rPr>
              <w:t>1</w:t>
            </w:r>
          </w:p>
        </w:tc>
        <w:tc>
          <w:tcPr>
            <w:tcW w:w="1292" w:type="dxa"/>
            <w:tcBorders>
              <w:top w:val="single" w:sz="4" w:space="0" w:color="0079C1" w:themeColor="text2"/>
              <w:bottom w:val="single" w:sz="4" w:space="0" w:color="BFE7FF" w:themeColor="text2" w:themeTint="33"/>
            </w:tcBorders>
            <w:shd w:val="clear" w:color="auto" w:fill="F2F2F2" w:themeFill="background1" w:themeFillShade="F2"/>
          </w:tcPr>
          <w:p w14:paraId="4F0F99A0"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$916.53</w:t>
            </w:r>
          </w:p>
        </w:tc>
        <w:tc>
          <w:tcPr>
            <w:tcW w:w="1938" w:type="dxa"/>
            <w:tcBorders>
              <w:top w:val="single" w:sz="4" w:space="0" w:color="0079C1" w:themeColor="text2"/>
              <w:bottom w:val="single" w:sz="4" w:space="0" w:color="BFE7FF" w:themeColor="text2" w:themeTint="33"/>
            </w:tcBorders>
            <w:shd w:val="clear" w:color="auto" w:fill="F2F2F2" w:themeFill="background1" w:themeFillShade="F2"/>
          </w:tcPr>
          <w:p w14:paraId="2E6065AA" w14:textId="16639687" w:rsidR="00B71941" w:rsidRPr="00D43B80" w:rsidRDefault="00B71941"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D43B80">
              <w:rPr>
                <w:rFonts w:eastAsia="Calibri"/>
                <w:szCs w:val="20"/>
              </w:rPr>
              <w:fldChar w:fldCharType="begin" w:fldLock="1"/>
            </w:r>
            <w:r w:rsidRPr="00D43B80">
              <w:rPr>
                <w:rFonts w:eastAsia="Calibri"/>
                <w:szCs w:val="20"/>
              </w:rPr>
              <w:instrText>ADDIN CSL_CITATION {"citationItems":[{"id":"ITEM-1","itemData":{"DOI":"10.3390/ijerph16111951","ISSN":"16604601","abstract":"The extent to which housing design can minimise levels of community caregiving has remained largely unmeasured. This paper reports the potential for home modifications to reduce caregiving in the peoples’ homes, particularly older people and people with a disability. It contributes to new knowledge in understanding how housing can play a role in community caregiving and acknowledges the role of the built environment in managing care levels in ageing societies. This paper analyses self-reported care data from 157 Australian community care recipients (average age: 72 years) who had received home modifications within the past 6 months. A before/after comparison of care provided revealed that home modifications reduced hours of care provided by 42% per week. More detailed analysis revealed that the positive association of home modifications with care reduction is stronger with informal care (46% reduction) followed by formal care (16% reduction). These results suggest the role that home modifications, and housing design in general, play in reducing care needs in a community setting.","author":[{"dropping-particle":"","family":"Carnemolla","given":"Phillippa","non-dropping-particle":"","parse-names":false,"suffix":""},{"dropping-particle":"","family":"Bridge","given":"Catherine","non-dropping-particle":"","parse-names":false,"suffix":""}],"container-title":"International Journal of Environmental Research and Public Health","id":"ITEM-1","issue":"11","issued":{"date-parts":[["2019"]]},"title":"Housing design and community care: How home modifications reduce care needs of older people and people with disability","type":"article-journal","volume":"16"},"uris":["http://www.mendeley.com/documents/?uuid=586110c3-96ab-4001-a5ca-b526285929e9"]}],"mendeley":{"formattedCitation":"(Carnemolla &amp; Bridge 2019)","plainTextFormattedCitation":"(Carnemolla &amp; Bridge 2019)","previouslyFormattedCitation":"(Carnemolla &amp; Bridge 2019)"},"properties":{"noteIndex":0},"schema":"https://github.com/citation-style-language/schema/raw/master/csl-citation.json"}</w:instrText>
            </w:r>
            <w:r w:rsidRPr="00D43B80">
              <w:rPr>
                <w:rFonts w:eastAsia="Calibri"/>
                <w:szCs w:val="20"/>
              </w:rPr>
              <w:fldChar w:fldCharType="separate"/>
            </w:r>
            <w:r w:rsidRPr="00D43B80">
              <w:rPr>
                <w:rFonts w:eastAsia="Calibri"/>
                <w:noProof/>
                <w:szCs w:val="20"/>
              </w:rPr>
              <w:t>(Carnemolla &amp; Bridge 2019)</w:t>
            </w:r>
            <w:r w:rsidRPr="00D43B80">
              <w:rPr>
                <w:rFonts w:eastAsia="Calibri"/>
                <w:szCs w:val="20"/>
              </w:rPr>
              <w:fldChar w:fldCharType="end"/>
            </w:r>
          </w:p>
        </w:tc>
      </w:tr>
      <w:tr w:rsidR="00C43413" w:rsidRPr="00D43B80" w14:paraId="5319A5CC"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shd w:val="clear" w:color="auto" w:fill="F2F2F2" w:themeFill="background1" w:themeFillShade="F2"/>
          </w:tcPr>
          <w:p w14:paraId="3EF59322" w14:textId="50AC5D1B" w:rsidR="00B71941" w:rsidRPr="00C43413" w:rsidRDefault="00B71941" w:rsidP="008033A6">
            <w:pPr>
              <w:pStyle w:val="Tabletextsmall"/>
              <w:rPr>
                <w:rStyle w:val="Invisible"/>
              </w:rPr>
            </w:pPr>
            <w:r w:rsidRPr="00C43413">
              <w:rPr>
                <w:rStyle w:val="Invisible"/>
              </w:rPr>
              <w:t xml:space="preserve">Cost savings for </w:t>
            </w:r>
            <w:r w:rsidR="00C43413" w:rsidRPr="00C43413">
              <w:rPr>
                <w:rStyle w:val="Invisible"/>
              </w:rPr>
              <w:br/>
            </w:r>
            <w:r w:rsidRPr="00C43413">
              <w:rPr>
                <w:rStyle w:val="Invisible"/>
              </w:rPr>
              <w:t xml:space="preserve">community </w:t>
            </w:r>
            <w:r w:rsidR="00C43413" w:rsidRPr="00C43413">
              <w:rPr>
                <w:rStyle w:val="Invisible"/>
              </w:rPr>
              <w:br/>
            </w:r>
            <w:r w:rsidRPr="00C43413">
              <w:rPr>
                <w:rStyle w:val="Invisible"/>
              </w:rPr>
              <w:t>services</w:t>
            </w:r>
          </w:p>
        </w:tc>
        <w:tc>
          <w:tcPr>
            <w:tcW w:w="2248" w:type="dxa"/>
            <w:tcBorders>
              <w:top w:val="single" w:sz="4" w:space="0" w:color="71C9FF" w:themeColor="accent1"/>
              <w:bottom w:val="single" w:sz="4" w:space="0" w:color="71C9FF" w:themeColor="accent1"/>
            </w:tcBorders>
            <w:shd w:val="clear" w:color="auto" w:fill="F2F2F2" w:themeFill="background1" w:themeFillShade="F2"/>
          </w:tcPr>
          <w:p w14:paraId="14CAF3FA" w14:textId="598E30DE"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bCs/>
                <w:szCs w:val="20"/>
              </w:rPr>
            </w:pPr>
            <w:r w:rsidRPr="00D43B80">
              <w:rPr>
                <w:rFonts w:cstheme="minorHAnsi"/>
                <w:bCs/>
                <w:szCs w:val="20"/>
              </w:rPr>
              <w:t>Informal care/</w:t>
            </w:r>
            <w:r w:rsidRPr="00D43B80">
              <w:rPr>
                <w:szCs w:val="20"/>
              </w:rPr>
              <w:t>​</w:t>
            </w:r>
            <w:r w:rsidRPr="00D43B80">
              <w:rPr>
                <w:rFonts w:cstheme="minorHAnsi"/>
                <w:bCs/>
                <w:szCs w:val="20"/>
              </w:rPr>
              <w:t>unpaid support work</w:t>
            </w:r>
          </w:p>
        </w:tc>
        <w:tc>
          <w:tcPr>
            <w:tcW w:w="4289" w:type="dxa"/>
            <w:tcBorders>
              <w:top w:val="single" w:sz="4" w:space="0" w:color="BFE7FF" w:themeColor="text2" w:themeTint="33"/>
              <w:bottom w:val="single" w:sz="4" w:space="0" w:color="BFE7FF" w:themeColor="text2" w:themeTint="33"/>
            </w:tcBorders>
            <w:shd w:val="clear" w:color="auto" w:fill="F2F2F2" w:themeFill="background1" w:themeFillShade="F2"/>
          </w:tcPr>
          <w:p w14:paraId="48FE77AA" w14:textId="5610EF99"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AT to offset 1</w:t>
            </w:r>
            <w:r w:rsidR="00D43B80">
              <w:rPr>
                <w:rFonts w:cstheme="minorHAnsi"/>
                <w:szCs w:val="20"/>
              </w:rPr>
              <w:t> </w:t>
            </w:r>
            <w:r w:rsidRPr="00D43B80">
              <w:rPr>
                <w:rFonts w:cstheme="minorHAnsi"/>
                <w:szCs w:val="20"/>
              </w:rPr>
              <w:t>hour of care</w:t>
            </w:r>
          </w:p>
        </w:tc>
        <w:tc>
          <w:tcPr>
            <w:tcW w:w="1453" w:type="dxa"/>
            <w:tcBorders>
              <w:top w:val="single" w:sz="4" w:space="0" w:color="BFE7FF" w:themeColor="text2" w:themeTint="33"/>
              <w:bottom w:val="single" w:sz="4" w:space="0" w:color="BFE7FF" w:themeColor="text2" w:themeTint="33"/>
            </w:tcBorders>
            <w:shd w:val="clear" w:color="auto" w:fill="F2F2F2" w:themeFill="background1" w:themeFillShade="F2"/>
          </w:tcPr>
          <w:p w14:paraId="65419749"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$19.49</w:t>
            </w:r>
          </w:p>
        </w:tc>
        <w:tc>
          <w:tcPr>
            <w:tcW w:w="1382" w:type="dxa"/>
            <w:tcBorders>
              <w:top w:val="single" w:sz="4" w:space="0" w:color="BFE7FF" w:themeColor="text2" w:themeTint="33"/>
              <w:bottom w:val="single" w:sz="4" w:space="0" w:color="BFE7FF" w:themeColor="text2" w:themeTint="33"/>
            </w:tcBorders>
            <w:shd w:val="clear" w:color="auto" w:fill="F2F2F2" w:themeFill="background1" w:themeFillShade="F2"/>
          </w:tcPr>
          <w:p w14:paraId="2055C641"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312 hours</w:t>
            </w:r>
          </w:p>
        </w:tc>
        <w:tc>
          <w:tcPr>
            <w:tcW w:w="1292" w:type="dxa"/>
            <w:tcBorders>
              <w:top w:val="single" w:sz="4" w:space="0" w:color="BFE7FF" w:themeColor="text2" w:themeTint="33"/>
              <w:bottom w:val="single" w:sz="4" w:space="0" w:color="BFE7FF" w:themeColor="text2" w:themeTint="33"/>
            </w:tcBorders>
            <w:shd w:val="clear" w:color="auto" w:fill="F2F2F2" w:themeFill="background1" w:themeFillShade="F2"/>
          </w:tcPr>
          <w:p w14:paraId="15A37353"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$6,080.88</w:t>
            </w:r>
          </w:p>
        </w:tc>
        <w:tc>
          <w:tcPr>
            <w:tcW w:w="1938" w:type="dxa"/>
            <w:tcBorders>
              <w:top w:val="single" w:sz="4" w:space="0" w:color="BFE7FF" w:themeColor="text2" w:themeTint="33"/>
              <w:bottom w:val="single" w:sz="4" w:space="0" w:color="BFE7FF" w:themeColor="text2" w:themeTint="33"/>
            </w:tcBorders>
            <w:shd w:val="clear" w:color="auto" w:fill="F2F2F2" w:themeFill="background1" w:themeFillShade="F2"/>
          </w:tcPr>
          <w:p w14:paraId="23BADF6A" w14:textId="7F62BC90" w:rsidR="00B71941" w:rsidRPr="00D43B80" w:rsidRDefault="00B71941"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D43B80">
              <w:rPr>
                <w:rFonts w:eastAsia="Calibri"/>
                <w:szCs w:val="20"/>
              </w:rPr>
              <w:fldChar w:fldCharType="begin" w:fldLock="1"/>
            </w:r>
            <w:r w:rsidRPr="00D43B80">
              <w:rPr>
                <w:rFonts w:eastAsia="Calibri"/>
                <w:szCs w:val="20"/>
              </w:rPr>
              <w:instrText>ADDIN CSL_CITATION {"citationItems":[{"id":"ITEM-1","itemData":{"DOI":"10.3390/ijerph16111951","ISSN":"16604601","abstract":"The extent to which housing design can minimise levels of community caregiving has remained largely unmeasured. This paper reports the potential for home modifications to reduce caregiving in the peoples’ homes, particularly older people and people with a disability. It contributes to new knowledge in understanding how housing can play a role in community caregiving and acknowledges the role of the built environment in managing care levels in ageing societies. This paper analyses self-reported care data from 157 Australian community care recipients (average age: 72 years) who had received home modifications within the past 6 months. A before/after comparison of care provided revealed that home modifications reduced hours of care provided by 42% per week. More detailed analysis revealed that the positive association of home modifications with care reduction is stronger with informal care (46% reduction) followed by formal care (16% reduction). These results suggest the role that home modifications, and housing design in general, play in reducing care needs in a community setting.","author":[{"dropping-particle":"","family":"Carnemolla","given":"Phillippa","non-dropping-particle":"","parse-names":false,"suffix":""},{"dropping-particle":"","family":"Bridge","given":"Catherine","non-dropping-particle":"","parse-names":false,"suffix":""}],"container-title":"International Journal of Environmental Research and Public Health","id":"ITEM-1","issue":"11","issued":{"date-parts":[["2019"]]},"title":"Housing design and community care: How home modifications reduce care needs of older people and people with disability","type":"article-journal","volume":"16"},"uris":["http://www.mendeley.com/documents/?uuid=586110c3-96ab-4001-a5ca-b526285929e9"]}],"mendeley":{"formattedCitation":"(Carnemolla &amp; Bridge 2019)","plainTextFormattedCitation":"(Carnemolla &amp; Bridge 2019)","previouslyFormattedCitation":"(Carnemolla &amp; Bridge 2019)"},"properties":{"noteIndex":0},"schema":"https://github.com/citation-style-language/schema/raw/master/csl-citation.json"}</w:instrText>
            </w:r>
            <w:r w:rsidRPr="00D43B80">
              <w:rPr>
                <w:rFonts w:eastAsia="Calibri"/>
                <w:szCs w:val="20"/>
              </w:rPr>
              <w:fldChar w:fldCharType="separate"/>
            </w:r>
            <w:r w:rsidRPr="00D43B80">
              <w:rPr>
                <w:rFonts w:eastAsia="Calibri"/>
                <w:noProof/>
                <w:szCs w:val="20"/>
              </w:rPr>
              <w:t>(Carnemolla &amp; Bridge 2019)</w:t>
            </w:r>
            <w:r w:rsidRPr="00D43B80">
              <w:rPr>
                <w:rFonts w:eastAsia="Calibri"/>
                <w:szCs w:val="20"/>
              </w:rPr>
              <w:fldChar w:fldCharType="end"/>
            </w:r>
          </w:p>
        </w:tc>
      </w:tr>
      <w:tr w:rsidR="00C43413" w:rsidRPr="00D43B80" w14:paraId="0EBADFE1"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shd w:val="clear" w:color="auto" w:fill="F2F2F2" w:themeFill="background1" w:themeFillShade="F2"/>
          </w:tcPr>
          <w:p w14:paraId="04245B3E" w14:textId="6A163AA4" w:rsidR="00B71941" w:rsidRPr="00C43413" w:rsidRDefault="00B71941" w:rsidP="008033A6">
            <w:pPr>
              <w:pStyle w:val="Tabletextsmall"/>
              <w:rPr>
                <w:rStyle w:val="Invisible"/>
              </w:rPr>
            </w:pPr>
            <w:r w:rsidRPr="00C43413">
              <w:rPr>
                <w:rStyle w:val="Invisible"/>
              </w:rPr>
              <w:t>Cost savings for community services</w:t>
            </w:r>
          </w:p>
        </w:tc>
        <w:tc>
          <w:tcPr>
            <w:tcW w:w="2248" w:type="dxa"/>
            <w:tcBorders>
              <w:top w:val="single" w:sz="4" w:space="0" w:color="71C9FF" w:themeColor="accent1"/>
              <w:bottom w:val="single" w:sz="4" w:space="0" w:color="71C9FF" w:themeColor="accent1"/>
            </w:tcBorders>
            <w:shd w:val="clear" w:color="auto" w:fill="F2F2F2" w:themeFill="background1" w:themeFillShade="F2"/>
          </w:tcPr>
          <w:p w14:paraId="19FA571B" w14:textId="69A78303"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bCs/>
                <w:szCs w:val="20"/>
              </w:rPr>
            </w:pPr>
            <w:r w:rsidRPr="00D43B80">
              <w:rPr>
                <w:rFonts w:cstheme="minorHAnsi"/>
                <w:bCs/>
                <w:szCs w:val="20"/>
              </w:rPr>
              <w:t xml:space="preserve">Direct cost offset for home modifications through AT </w:t>
            </w:r>
            <w:r w:rsidRPr="00D43B80">
              <w:rPr>
                <w:szCs w:val="20"/>
                <w:vertAlign w:val="superscript"/>
              </w:rPr>
              <w:t>2</w:t>
            </w:r>
          </w:p>
        </w:tc>
        <w:tc>
          <w:tcPr>
            <w:tcW w:w="4289" w:type="dxa"/>
            <w:tcBorders>
              <w:top w:val="single" w:sz="4" w:space="0" w:color="BFE7FF" w:themeColor="text2" w:themeTint="33"/>
              <w:bottom w:val="single" w:sz="4" w:space="0" w:color="BFE7FF" w:themeColor="text2" w:themeTint="33"/>
            </w:tcBorders>
            <w:shd w:val="clear" w:color="auto" w:fill="F2F2F2" w:themeFill="background1" w:themeFillShade="F2"/>
          </w:tcPr>
          <w:p w14:paraId="33EC720A" w14:textId="55E1B014" w:rsidR="00B71941" w:rsidRPr="00D43B80" w:rsidRDefault="000D28A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Undefined</w:t>
            </w:r>
          </w:p>
        </w:tc>
        <w:tc>
          <w:tcPr>
            <w:tcW w:w="1453" w:type="dxa"/>
            <w:tcBorders>
              <w:top w:val="single" w:sz="4" w:space="0" w:color="BFE7FF" w:themeColor="text2" w:themeTint="33"/>
              <w:bottom w:val="single" w:sz="4" w:space="0" w:color="BFE7FF" w:themeColor="text2" w:themeTint="33"/>
            </w:tcBorders>
            <w:shd w:val="clear" w:color="auto" w:fill="F2F2F2" w:themeFill="background1" w:themeFillShade="F2"/>
          </w:tcPr>
          <w:p w14:paraId="10DFAB33" w14:textId="67242414" w:rsidR="00B71941" w:rsidRPr="00D43B80" w:rsidRDefault="000D28A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Undefined</w:t>
            </w:r>
          </w:p>
        </w:tc>
        <w:tc>
          <w:tcPr>
            <w:tcW w:w="1382" w:type="dxa"/>
            <w:tcBorders>
              <w:top w:val="single" w:sz="4" w:space="0" w:color="BFE7FF" w:themeColor="text2" w:themeTint="33"/>
              <w:bottom w:val="single" w:sz="4" w:space="0" w:color="BFE7FF" w:themeColor="text2" w:themeTint="33"/>
            </w:tcBorders>
            <w:shd w:val="clear" w:color="auto" w:fill="F2F2F2" w:themeFill="background1" w:themeFillShade="F2"/>
          </w:tcPr>
          <w:p w14:paraId="6FB77487" w14:textId="0D049003" w:rsidR="00B71941" w:rsidRPr="00D43B80" w:rsidRDefault="000D28A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Undefined</w:t>
            </w:r>
          </w:p>
        </w:tc>
        <w:tc>
          <w:tcPr>
            <w:tcW w:w="1292" w:type="dxa"/>
            <w:tcBorders>
              <w:top w:val="single" w:sz="4" w:space="0" w:color="BFE7FF" w:themeColor="text2" w:themeTint="33"/>
              <w:bottom w:val="single" w:sz="4" w:space="0" w:color="BFE7FF" w:themeColor="text2" w:themeTint="33"/>
            </w:tcBorders>
            <w:shd w:val="clear" w:color="auto" w:fill="F2F2F2" w:themeFill="background1" w:themeFillShade="F2"/>
          </w:tcPr>
          <w:p w14:paraId="6BFE574D"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Undefined</w:t>
            </w:r>
          </w:p>
        </w:tc>
        <w:tc>
          <w:tcPr>
            <w:tcW w:w="1938" w:type="dxa"/>
            <w:tcBorders>
              <w:top w:val="single" w:sz="4" w:space="0" w:color="BFE7FF" w:themeColor="text2" w:themeTint="33"/>
              <w:bottom w:val="single" w:sz="4" w:space="0" w:color="BFE7FF" w:themeColor="text2" w:themeTint="33"/>
            </w:tcBorders>
            <w:shd w:val="clear" w:color="auto" w:fill="F2F2F2" w:themeFill="background1" w:themeFillShade="F2"/>
          </w:tcPr>
          <w:p w14:paraId="17681358" w14:textId="1D3D83E8" w:rsidR="00B71941" w:rsidRPr="00D43B80" w:rsidRDefault="000D28A1"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None</w:t>
            </w:r>
          </w:p>
        </w:tc>
      </w:tr>
      <w:tr w:rsidR="00AA5419" w:rsidRPr="00D43B80" w14:paraId="18F57E3D"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tcPr>
          <w:p w14:paraId="4AD7733C" w14:textId="0EA6A850" w:rsidR="000D28A1" w:rsidRPr="00C43413" w:rsidRDefault="000D28A1" w:rsidP="008033A6">
            <w:pPr>
              <w:pStyle w:val="Tabletextsmall"/>
            </w:pPr>
            <w:r w:rsidRPr="00C43413">
              <w:t>Cost savings for</w:t>
            </w:r>
            <w:r w:rsidRPr="00C43413">
              <w:rPr>
                <w:rStyle w:val="Invisible"/>
              </w:rPr>
              <w:t xml:space="preserve"> health </w:t>
            </w:r>
            <w:r w:rsidR="00D35824" w:rsidRPr="00C43413">
              <w:t>health and aged care</w:t>
            </w:r>
            <w:r w:rsidR="00D35824" w:rsidRPr="00C43413">
              <w:rPr>
                <w:rStyle w:val="Invisible"/>
              </w:rPr>
              <w:t xml:space="preserve"> </w:t>
            </w:r>
            <w:r w:rsidRPr="00C43413">
              <w:rPr>
                <w:rStyle w:val="Invisible"/>
              </w:rPr>
              <w:t>and aged care</w:t>
            </w:r>
          </w:p>
        </w:tc>
        <w:tc>
          <w:tcPr>
            <w:tcW w:w="2248" w:type="dxa"/>
            <w:tcBorders>
              <w:top w:val="single" w:sz="4" w:space="0" w:color="71C9FF" w:themeColor="accent1"/>
              <w:bottom w:val="single" w:sz="4" w:space="0" w:color="71C9FF" w:themeColor="accent1"/>
            </w:tcBorders>
          </w:tcPr>
          <w:p w14:paraId="7133D9D1" w14:textId="5EEBF80B" w:rsidR="000D28A1" w:rsidRPr="00D43B80" w:rsidRDefault="000D28A1" w:rsidP="008033A6">
            <w:pPr>
              <w:pStyle w:val="Tabletextsmall"/>
              <w:cnfStyle w:val="000000000000" w:firstRow="0" w:lastRow="0" w:firstColumn="0" w:lastColumn="0" w:oddVBand="0" w:evenVBand="0" w:oddHBand="0" w:evenHBand="0" w:firstRowFirstColumn="0" w:firstRowLastColumn="0" w:lastRowFirstColumn="0" w:lastRowLastColumn="0"/>
              <w:rPr>
                <w:bCs/>
                <w:szCs w:val="20"/>
              </w:rPr>
            </w:pPr>
            <w:r w:rsidRPr="00D43B80">
              <w:rPr>
                <w:bCs/>
                <w:szCs w:val="20"/>
              </w:rPr>
              <w:t xml:space="preserve">GP visits </w:t>
            </w:r>
            <w:r w:rsidRPr="00D43B80">
              <w:rPr>
                <w:szCs w:val="20"/>
                <w:vertAlign w:val="superscript"/>
              </w:rPr>
              <w:t>2</w:t>
            </w:r>
          </w:p>
        </w:tc>
        <w:tc>
          <w:tcPr>
            <w:tcW w:w="4289" w:type="dxa"/>
            <w:tcBorders>
              <w:top w:val="single" w:sz="4" w:space="0" w:color="BFE7FF" w:themeColor="text2" w:themeTint="33"/>
              <w:bottom w:val="single" w:sz="4" w:space="0" w:color="BFE7FF" w:themeColor="text2" w:themeTint="33"/>
            </w:tcBorders>
          </w:tcPr>
          <w:p w14:paraId="6D380F4C" w14:textId="5A7D5A70" w:rsidR="000D28A1" w:rsidRPr="00C43413" w:rsidRDefault="00C43413" w:rsidP="008033A6">
            <w:pPr>
              <w:pStyle w:val="Tabletextsmall"/>
              <w:cnfStyle w:val="000000000000" w:firstRow="0" w:lastRow="0" w:firstColumn="0" w:lastColumn="0" w:oddVBand="0" w:evenVBand="0" w:oddHBand="0" w:evenHBand="0" w:firstRowFirstColumn="0" w:firstRowLastColumn="0" w:lastRowFirstColumn="0" w:lastRowLastColumn="0"/>
              <w:rPr>
                <w:szCs w:val="18"/>
              </w:rPr>
            </w:pPr>
            <w:r w:rsidRPr="00C43413">
              <w:rPr>
                <w:bCs/>
                <w:szCs w:val="18"/>
              </w:rPr>
              <w:t>No cost data identified through the RER</w:t>
            </w:r>
          </w:p>
        </w:tc>
        <w:tc>
          <w:tcPr>
            <w:tcW w:w="1453" w:type="dxa"/>
            <w:tcBorders>
              <w:top w:val="single" w:sz="4" w:space="0" w:color="BFE7FF" w:themeColor="text2" w:themeTint="33"/>
              <w:bottom w:val="single" w:sz="4" w:space="0" w:color="BFE7FF" w:themeColor="text2" w:themeTint="33"/>
            </w:tcBorders>
          </w:tcPr>
          <w:p w14:paraId="1AAFD7DD" w14:textId="08158C79" w:rsidR="000D28A1" w:rsidRPr="00D43B80" w:rsidRDefault="000D28A1" w:rsidP="008033A6">
            <w:pPr>
              <w:pStyle w:val="Tabletextsmall"/>
              <w:jc w:val="right"/>
              <w:cnfStyle w:val="000000000000" w:firstRow="0" w:lastRow="0" w:firstColumn="0" w:lastColumn="0" w:oddVBand="0" w:evenVBand="0" w:oddHBand="0" w:evenHBand="0" w:firstRowFirstColumn="0" w:firstRowLastColumn="0" w:lastRowFirstColumn="0" w:lastRowLastColumn="0"/>
              <w:rPr>
                <w:szCs w:val="20"/>
              </w:rPr>
            </w:pPr>
            <w:r w:rsidRPr="0027709D">
              <w:rPr>
                <w:szCs w:val="20"/>
              </w:rPr>
              <w:t>No data</w:t>
            </w:r>
          </w:p>
        </w:tc>
        <w:tc>
          <w:tcPr>
            <w:tcW w:w="1382" w:type="dxa"/>
            <w:tcBorders>
              <w:top w:val="single" w:sz="4" w:space="0" w:color="BFE7FF" w:themeColor="text2" w:themeTint="33"/>
              <w:bottom w:val="single" w:sz="4" w:space="0" w:color="BFE7FF" w:themeColor="text2" w:themeTint="33"/>
            </w:tcBorders>
          </w:tcPr>
          <w:p w14:paraId="66F8F97F" w14:textId="44020B18" w:rsidR="000D28A1" w:rsidRPr="00D43B80" w:rsidRDefault="000D28A1" w:rsidP="008033A6">
            <w:pPr>
              <w:pStyle w:val="Tabletextsmall"/>
              <w:jc w:val="right"/>
              <w:cnfStyle w:val="000000000000" w:firstRow="0" w:lastRow="0" w:firstColumn="0" w:lastColumn="0" w:oddVBand="0" w:evenVBand="0" w:oddHBand="0" w:evenHBand="0" w:firstRowFirstColumn="0" w:firstRowLastColumn="0" w:lastRowFirstColumn="0" w:lastRowLastColumn="0"/>
              <w:rPr>
                <w:szCs w:val="20"/>
              </w:rPr>
            </w:pPr>
            <w:r w:rsidRPr="0027709D">
              <w:rPr>
                <w:szCs w:val="20"/>
              </w:rPr>
              <w:t>No data</w:t>
            </w:r>
          </w:p>
        </w:tc>
        <w:tc>
          <w:tcPr>
            <w:tcW w:w="1292" w:type="dxa"/>
            <w:tcBorders>
              <w:top w:val="single" w:sz="4" w:space="0" w:color="BFE7FF" w:themeColor="text2" w:themeTint="33"/>
              <w:bottom w:val="single" w:sz="4" w:space="0" w:color="BFE7FF" w:themeColor="text2" w:themeTint="33"/>
            </w:tcBorders>
          </w:tcPr>
          <w:p w14:paraId="0181F380" w14:textId="7927D5DE" w:rsidR="000D28A1" w:rsidRPr="00D43B80" w:rsidRDefault="000D28A1" w:rsidP="008033A6">
            <w:pPr>
              <w:pStyle w:val="Tabletextsmall"/>
              <w:jc w:val="right"/>
              <w:cnfStyle w:val="000000000000" w:firstRow="0" w:lastRow="0" w:firstColumn="0" w:lastColumn="0" w:oddVBand="0" w:evenVBand="0" w:oddHBand="0" w:evenHBand="0" w:firstRowFirstColumn="0" w:firstRowLastColumn="0" w:lastRowFirstColumn="0" w:lastRowLastColumn="0"/>
              <w:rPr>
                <w:szCs w:val="20"/>
              </w:rPr>
            </w:pPr>
            <w:r w:rsidRPr="0027709D">
              <w:rPr>
                <w:szCs w:val="20"/>
              </w:rPr>
              <w:t>No data</w:t>
            </w:r>
          </w:p>
        </w:tc>
        <w:tc>
          <w:tcPr>
            <w:tcW w:w="1938" w:type="dxa"/>
            <w:tcBorders>
              <w:top w:val="single" w:sz="4" w:space="0" w:color="BFE7FF" w:themeColor="text2" w:themeTint="33"/>
              <w:bottom w:val="single" w:sz="4" w:space="0" w:color="BFE7FF" w:themeColor="text2" w:themeTint="33"/>
            </w:tcBorders>
          </w:tcPr>
          <w:p w14:paraId="1EE381C1" w14:textId="05D82773" w:rsidR="000D28A1" w:rsidRPr="00D43B80" w:rsidRDefault="000D28A1" w:rsidP="008033A6">
            <w:pPr>
              <w:pStyle w:val="Tabletextsmall"/>
              <w:jc w:val="center"/>
              <w:cnfStyle w:val="000000000000" w:firstRow="0" w:lastRow="0" w:firstColumn="0" w:lastColumn="0" w:oddVBand="0" w:evenVBand="0" w:oddHBand="0" w:evenHBand="0" w:firstRowFirstColumn="0" w:firstRowLastColumn="0" w:lastRowFirstColumn="0" w:lastRowLastColumn="0"/>
              <w:rPr>
                <w:szCs w:val="20"/>
              </w:rPr>
            </w:pPr>
            <w:r>
              <w:rPr>
                <w:szCs w:val="20"/>
              </w:rPr>
              <w:t>None</w:t>
            </w:r>
          </w:p>
        </w:tc>
      </w:tr>
      <w:tr w:rsidR="00AA5419" w:rsidRPr="00D43B80" w14:paraId="0DDCCEC2"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tcPr>
          <w:p w14:paraId="507EBFD8" w14:textId="5B0FD5CD" w:rsidR="00B71941" w:rsidRPr="00C43413" w:rsidRDefault="00B71941" w:rsidP="008033A6">
            <w:pPr>
              <w:pStyle w:val="Tabletextsmall"/>
            </w:pPr>
            <w:r w:rsidRPr="00C43413">
              <w:rPr>
                <w:rStyle w:val="Invisible"/>
              </w:rPr>
              <w:t xml:space="preserve">Cost savings for </w:t>
            </w:r>
            <w:r w:rsidR="00C43413" w:rsidRPr="00C43413">
              <w:rPr>
                <w:rStyle w:val="Invisible"/>
              </w:rPr>
              <w:br/>
            </w:r>
          </w:p>
        </w:tc>
        <w:tc>
          <w:tcPr>
            <w:tcW w:w="2248" w:type="dxa"/>
            <w:tcBorders>
              <w:top w:val="single" w:sz="4" w:space="0" w:color="71C9FF" w:themeColor="accent1"/>
              <w:bottom w:val="single" w:sz="4" w:space="0" w:color="71C9FF" w:themeColor="accent1"/>
            </w:tcBorders>
          </w:tcPr>
          <w:p w14:paraId="1CF8BBAF" w14:textId="466CA18F"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bCs/>
                <w:szCs w:val="20"/>
              </w:rPr>
            </w:pPr>
            <w:r w:rsidRPr="00D43B80">
              <w:rPr>
                <w:rFonts w:cstheme="minorHAnsi"/>
                <w:bCs/>
                <w:szCs w:val="20"/>
              </w:rPr>
              <w:t>Acute hospital admissions</w:t>
            </w:r>
          </w:p>
        </w:tc>
        <w:tc>
          <w:tcPr>
            <w:tcW w:w="4289" w:type="dxa"/>
            <w:tcBorders>
              <w:top w:val="single" w:sz="4" w:space="0" w:color="BFE7FF" w:themeColor="text2" w:themeTint="33"/>
              <w:bottom w:val="single" w:sz="4" w:space="0" w:color="BFE7FF" w:themeColor="text2" w:themeTint="33"/>
            </w:tcBorders>
          </w:tcPr>
          <w:p w14:paraId="0D44F408" w14:textId="5D1176B3"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AT Products and services at home</w:t>
            </w:r>
            <w:r w:rsidR="00861912">
              <w:rPr>
                <w:rFonts w:cstheme="minorHAnsi"/>
                <w:szCs w:val="20"/>
              </w:rPr>
              <w:t xml:space="preserve"> – </w:t>
            </w:r>
            <w:r w:rsidRPr="00D43B80">
              <w:rPr>
                <w:rFonts w:cstheme="minorHAnsi"/>
                <w:szCs w:val="20"/>
              </w:rPr>
              <w:t>for each day of hospitalisation avoided</w:t>
            </w:r>
          </w:p>
        </w:tc>
        <w:tc>
          <w:tcPr>
            <w:tcW w:w="1453" w:type="dxa"/>
            <w:tcBorders>
              <w:top w:val="single" w:sz="4" w:space="0" w:color="BFE7FF" w:themeColor="text2" w:themeTint="33"/>
              <w:bottom w:val="single" w:sz="4" w:space="0" w:color="BFE7FF" w:themeColor="text2" w:themeTint="33"/>
            </w:tcBorders>
          </w:tcPr>
          <w:p w14:paraId="29528703"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$2,456.74</w:t>
            </w:r>
          </w:p>
        </w:tc>
        <w:tc>
          <w:tcPr>
            <w:tcW w:w="1382" w:type="dxa"/>
            <w:tcBorders>
              <w:top w:val="single" w:sz="4" w:space="0" w:color="BFE7FF" w:themeColor="text2" w:themeTint="33"/>
              <w:bottom w:val="single" w:sz="4" w:space="0" w:color="BFE7FF" w:themeColor="text2" w:themeTint="33"/>
            </w:tcBorders>
          </w:tcPr>
          <w:p w14:paraId="7E8AF0BC" w14:textId="1286A08E"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11.9 day</w:t>
            </w:r>
          </w:p>
        </w:tc>
        <w:tc>
          <w:tcPr>
            <w:tcW w:w="1292" w:type="dxa"/>
            <w:tcBorders>
              <w:top w:val="single" w:sz="4" w:space="0" w:color="BFE7FF" w:themeColor="text2" w:themeTint="33"/>
              <w:bottom w:val="single" w:sz="4" w:space="0" w:color="BFE7FF" w:themeColor="text2" w:themeTint="33"/>
            </w:tcBorders>
          </w:tcPr>
          <w:p w14:paraId="155EDB2E" w14:textId="1A64AF56"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$29,235.14</w:t>
            </w:r>
          </w:p>
        </w:tc>
        <w:tc>
          <w:tcPr>
            <w:tcW w:w="1938" w:type="dxa"/>
            <w:tcBorders>
              <w:top w:val="single" w:sz="4" w:space="0" w:color="BFE7FF" w:themeColor="text2" w:themeTint="33"/>
              <w:bottom w:val="single" w:sz="4" w:space="0" w:color="BFE7FF" w:themeColor="text2" w:themeTint="33"/>
            </w:tcBorders>
          </w:tcPr>
          <w:p w14:paraId="730B26CF" w14:textId="0163B306" w:rsidR="00B71941" w:rsidRPr="00D43B80" w:rsidRDefault="00B71941"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eastAsia="Calibri"/>
                <w:szCs w:val="20"/>
              </w:rPr>
            </w:pPr>
            <w:r w:rsidRPr="00D43B80">
              <w:rPr>
                <w:rFonts w:eastAsia="Calibri"/>
                <w:szCs w:val="20"/>
              </w:rPr>
              <w:fldChar w:fldCharType="begin" w:fldLock="1"/>
            </w:r>
            <w:r w:rsidRPr="00D43B80">
              <w:rPr>
                <w:rFonts w:eastAsia="Calibri"/>
                <w:szCs w:val="20"/>
              </w:rPr>
              <w:instrText>ADDIN CSL_CITATION {"citationItems":[{"id":"ITEM-1","itemData":{"DOI":"10.1001/archfami.8.3.210","ISSN":"10633987","PMID":"10333815","abstract":"Context: Home environmental interventions (Els) and assistive technology (AT) devices have the potential to increase independence for community-based frail elderly persons, but their effectiveness has not been demonstrated. Objective: To evaluate a system of AT-EI service provision designed to promote independence and reduce health care costs for physically frail elderly persons. Design: Randomized controlled trial. Setting and Participants: A total of 104 home-based frail elderly persons living in western New York were assigned to 1 of 2 groups (52 treatment, 52 control). Intervention: All participants underwent a comprehensive functional assessment and evaluation of their home environment. Participants in the treatment group received AT and EIs based on the results of the evaluation. The control group received \"usual care services.\" Main Outcome Measures: Functional status as measured by the Functional Independence Measure (FIM) and the Craig Handicap Assessment and Reporting Tech-nique; pain as measured by the Functional Status Instrument; and health care costs including the costs. Results: After the 18-month intervention period, the treatment groups showed significant decline for FIM total score and FIM motor score, but there was significantly more decline for the control group. Functional Status Instrument pain scores increased significantly more for the control group. In a comparison of health care costs, the treatment group expended more than the control group for AT and EIs. The control group required significantly more expenditures for institutional care. There was no significant difference in total in-home personnel costs, although there was a large effect size. The control group had significantly greater expenditures for nurse visits and case manager visits. Conclusion: The frail elderly persons in this trial experienced functional decline over time. Results indicate rate of decline can be slowed, and institutional and certain in-home personnel costs reduced through a systematic approach to providing AT and EIs.","author":[{"dropping-particle":"","family":"Mann","given":"W","non-dropping-particle":"","parse-names":false,"suffix":""},{"dropping-particle":"","family":"Ottenbacher","given":"K","non-dropping-particle":"","parse-names":false,"suffix":""},{"dropping-particle":"","family":"Frass","given":"L","non-dropping-particle":"","parse-names":false,"suffix":""},{"dropping-particle":"","family":"Tomita","given":"M","non-dropping-particle":"","parse-names":false,"suffix":""},{"dropping-particle":"","family":"Granger","given":"C","non-dropping-particle":"","parse-names":false,"suffix":""}],"container-title":"Archives of Family Medicine","id":"ITEM-1","issue":"3","issued":{"date-parts":[["1999"]]},"page":"210-217","title":"Effectiveness of assistive technology and environmental interventions in maintaining independence and reducing home care costs for the frail elderly: A randomized controlled trial","type":"article-journal","volume":"8"},"uris":["http://www.mendeley.com/documents/?uuid=4512e62c-17a1-3ab1-a6cc-632661c489fb"]}],"mendeley":{"formattedCitation":"(Mann et al. 1999)","plainTextFormattedCitation":"(Mann et al. 1999)","previouslyFormattedCitation":"(Mann et al. 1999)"},"properties":{"noteIndex":0},"schema":"https://github.com/citation-style-language/schema/raw/master/csl-citation.json"}</w:instrText>
            </w:r>
            <w:r w:rsidRPr="00D43B80">
              <w:rPr>
                <w:rFonts w:eastAsia="Calibri"/>
                <w:szCs w:val="20"/>
              </w:rPr>
              <w:fldChar w:fldCharType="separate"/>
            </w:r>
            <w:r w:rsidRPr="00D43B80">
              <w:rPr>
                <w:rFonts w:eastAsia="Calibri"/>
                <w:noProof/>
                <w:szCs w:val="20"/>
              </w:rPr>
              <w:t>(Mann et al. 1999)</w:t>
            </w:r>
            <w:r w:rsidRPr="00D43B80">
              <w:rPr>
                <w:rFonts w:eastAsia="Calibri"/>
                <w:szCs w:val="20"/>
              </w:rPr>
              <w:fldChar w:fldCharType="end"/>
            </w:r>
          </w:p>
        </w:tc>
      </w:tr>
      <w:tr w:rsidR="00AA5419" w:rsidRPr="00D43B80" w14:paraId="42F00F8D"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tcPr>
          <w:p w14:paraId="7734E4B0" w14:textId="3DFDEFFB" w:rsidR="00B71941" w:rsidRPr="00C43413" w:rsidRDefault="00B71941" w:rsidP="008033A6">
            <w:pPr>
              <w:pStyle w:val="Tabletextsmall"/>
              <w:rPr>
                <w:rStyle w:val="Invisible"/>
              </w:rPr>
            </w:pPr>
            <w:r w:rsidRPr="00C43413">
              <w:rPr>
                <w:rStyle w:val="Invisible"/>
              </w:rPr>
              <w:t>Cost savings for health and aged care</w:t>
            </w:r>
          </w:p>
        </w:tc>
        <w:tc>
          <w:tcPr>
            <w:tcW w:w="2248" w:type="dxa"/>
            <w:tcBorders>
              <w:top w:val="single" w:sz="4" w:space="0" w:color="71C9FF" w:themeColor="accent1"/>
              <w:bottom w:val="single" w:sz="4" w:space="0" w:color="71C9FF" w:themeColor="accent1"/>
            </w:tcBorders>
          </w:tcPr>
          <w:p w14:paraId="6AF4B02E" w14:textId="23BD409E" w:rsidR="00B71941" w:rsidRPr="00D1760E"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Style w:val="Invisible"/>
              </w:rPr>
            </w:pPr>
            <w:r w:rsidRPr="00D1760E">
              <w:rPr>
                <w:rStyle w:val="Invisible"/>
              </w:rPr>
              <w:t>Acute hospital admissions</w:t>
            </w:r>
          </w:p>
        </w:tc>
        <w:tc>
          <w:tcPr>
            <w:tcW w:w="4289" w:type="dxa"/>
            <w:tcBorders>
              <w:top w:val="single" w:sz="4" w:space="0" w:color="BFE7FF" w:themeColor="text2" w:themeTint="33"/>
              <w:bottom w:val="single" w:sz="4" w:space="0" w:color="BFE7FF" w:themeColor="text2" w:themeTint="33"/>
            </w:tcBorders>
          </w:tcPr>
          <w:p w14:paraId="4817CE65" w14:textId="77777777" w:rsidR="00B71941" w:rsidRPr="00D43B80" w:rsidRDefault="00B71941"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Passive remote patient monitoring to offset cost per year of hospital admissions</w:t>
            </w:r>
          </w:p>
        </w:tc>
        <w:tc>
          <w:tcPr>
            <w:tcW w:w="1453" w:type="dxa"/>
            <w:tcBorders>
              <w:top w:val="single" w:sz="4" w:space="0" w:color="BFE7FF" w:themeColor="text2" w:themeTint="33"/>
              <w:bottom w:val="single" w:sz="4" w:space="0" w:color="BFE7FF" w:themeColor="text2" w:themeTint="33"/>
            </w:tcBorders>
          </w:tcPr>
          <w:p w14:paraId="5455D1EE"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$433.61/​month</w:t>
            </w:r>
          </w:p>
        </w:tc>
        <w:tc>
          <w:tcPr>
            <w:tcW w:w="1382" w:type="dxa"/>
            <w:tcBorders>
              <w:top w:val="single" w:sz="4" w:space="0" w:color="BFE7FF" w:themeColor="text2" w:themeTint="33"/>
              <w:bottom w:val="single" w:sz="4" w:space="0" w:color="BFE7FF" w:themeColor="text2" w:themeTint="33"/>
            </w:tcBorders>
          </w:tcPr>
          <w:p w14:paraId="7B637E1C" w14:textId="77777777"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12 months</w:t>
            </w:r>
          </w:p>
        </w:tc>
        <w:tc>
          <w:tcPr>
            <w:tcW w:w="1292" w:type="dxa"/>
            <w:tcBorders>
              <w:top w:val="single" w:sz="4" w:space="0" w:color="BFE7FF" w:themeColor="text2" w:themeTint="33"/>
              <w:bottom w:val="single" w:sz="4" w:space="0" w:color="BFE7FF" w:themeColor="text2" w:themeTint="33"/>
            </w:tcBorders>
          </w:tcPr>
          <w:p w14:paraId="540A16B5" w14:textId="65266860" w:rsidR="00B71941" w:rsidRPr="00D43B80" w:rsidRDefault="00B71941"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$5,203.32</w:t>
            </w:r>
            <w:r w:rsidR="00A67271">
              <w:rPr>
                <w:rFonts w:cstheme="minorHAnsi"/>
                <w:szCs w:val="20"/>
              </w:rPr>
              <w:t xml:space="preserve"> </w:t>
            </w:r>
            <w:r w:rsidR="00A67271" w:rsidRPr="00A67271">
              <w:rPr>
                <w:rFonts w:cstheme="minorHAnsi"/>
                <w:szCs w:val="20"/>
                <w:vertAlign w:val="superscript"/>
              </w:rPr>
              <w:t>4</w:t>
            </w:r>
          </w:p>
        </w:tc>
        <w:tc>
          <w:tcPr>
            <w:tcW w:w="1938" w:type="dxa"/>
            <w:tcBorders>
              <w:top w:val="single" w:sz="4" w:space="0" w:color="BFE7FF" w:themeColor="text2" w:themeTint="33"/>
              <w:bottom w:val="single" w:sz="4" w:space="0" w:color="BFE7FF" w:themeColor="text2" w:themeTint="33"/>
            </w:tcBorders>
          </w:tcPr>
          <w:p w14:paraId="22160CA6" w14:textId="55FDA5B2" w:rsidR="00B71941" w:rsidRPr="00D43B80" w:rsidRDefault="00B71941"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eastAsia="Calibri"/>
                <w:szCs w:val="20"/>
              </w:rPr>
            </w:pPr>
            <w:r w:rsidRPr="00D43B80">
              <w:rPr>
                <w:rFonts w:eastAsia="Calibri"/>
                <w:szCs w:val="20"/>
              </w:rPr>
              <w:fldChar w:fldCharType="begin" w:fldLock="1"/>
            </w:r>
            <w:r w:rsidRPr="00D43B80">
              <w:rPr>
                <w:rFonts w:eastAsia="Calibri"/>
                <w:szCs w:val="20"/>
              </w:rPr>
              <w:instrText>ADDIN CSL_CITATION {"citationItems":[{"id":"ITEM-1","itemData":{"DOI":"10.1111/jgs.14892","ISSN":"0002-8614","abstract":"Objectives To conduct a cost analysis of ambient assisted living technology, which is promising for improving the ability of individuals and care providers to monitor daily activities and gain better awareness through proactive management of health and safety. Design Three-arm cohort study. Setting Homes of enrollees of a state-based healthcare plan for older adults. Participants Enrollees dually eligible for Medicare and Medicaid (N = 268). Intervention Health and safety passive remote patient monitoring ( PRPM) systems were installed in enrollees' homes (the intervention group) with monitoring and proactive intervention of a case manager when deviation from baseline subject behavior was detected. Measurements Claims data were collected over 12 months to assess healthcare use and costs in the intervention group and to compare use and costs with those of two control groups: a concurrent group of enrollees who declined the technology and a historical cohort matched on age to the participation group. Results Although the small sample size precluded cost differences that were statistically significant, the participant group used substantially less custodial care, emergency department ( ED) services, inpatient stays, and ED costs than the two control groups. Conclusion In this pilot study, the PRPM system was associated with apparent healthcare cost savings. Although more cost analyses are warranted, ambient assisted living technologies are a potentially valuable investment for older adult care.","author":[{"dropping-particle":"","family":"Finch","given":"Michael","non-dropping-particle":"","parse-names":false,"suffix":""},{"dropping-particle":"","family":"Griffin","given":"Kristen","non-dropping-particle":"","parse-names":false,"suffix":""},{"dropping-particle":"","family":"Pacala","given":"James T","non-dropping-particle":"","parse-names":false,"suffix":""}],"container-title":"Journal of the American Geriatrics Society","id":"ITEM-1","issue":"6","issued":{"date-parts":[["2017"]]},"note":"Peer Reviewed; USA. NLM UID: 7503062.","page":"1301-1305","publisher-place":"Medical Industry Leadership Institute, Carlson School of Management, University of Minnesota Penny George Institute for Health and Healing, Allina Health Care Department of Family Medicine and Community Health, Medical School, University of Minnesota","title":"Reduced Healthcare Use and Apparent Savings with Passive Home Monitoring Technology: A Pilot Study","type":"article-journal","volume":"65"},"uris":["http://www.mendeley.com/documents/?uuid=e6de1575-40fa-4ebe-937a-5eb4669b7f05"]}],"mendeley":{"formattedCitation":"(Finch, Griffin, &amp; James T Pacala 2017)","plainTextFormattedCitation":"(Finch, Griffin, &amp; James T Pacala 2017)","previouslyFormattedCitation":"(Finch, Griffin, &amp; James T Pacala 2017)"},"properties":{"noteIndex":0},"schema":"https://github.com/citation-style-language/schema/raw/master/csl-citation.json"}</w:instrText>
            </w:r>
            <w:r w:rsidRPr="00D43B80">
              <w:rPr>
                <w:rFonts w:eastAsia="Calibri"/>
                <w:szCs w:val="20"/>
              </w:rPr>
              <w:fldChar w:fldCharType="separate"/>
            </w:r>
            <w:r w:rsidRPr="00D43B80">
              <w:rPr>
                <w:rFonts w:eastAsia="Calibri"/>
                <w:noProof/>
                <w:szCs w:val="20"/>
              </w:rPr>
              <w:t>(Finch, Griffin, &amp; James T Pacala 2017)</w:t>
            </w:r>
            <w:r w:rsidRPr="00D43B80">
              <w:rPr>
                <w:rFonts w:eastAsia="Calibri"/>
                <w:szCs w:val="20"/>
              </w:rPr>
              <w:fldChar w:fldCharType="end"/>
            </w:r>
          </w:p>
        </w:tc>
      </w:tr>
      <w:tr w:rsidR="00C43413" w:rsidRPr="00D43B80" w14:paraId="340081C8"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tcPr>
          <w:p w14:paraId="11C8B769" w14:textId="51EC3EEF" w:rsidR="00C43413" w:rsidRPr="00C43413" w:rsidRDefault="00C43413" w:rsidP="008033A6">
            <w:pPr>
              <w:pStyle w:val="Tabletextsmall"/>
              <w:rPr>
                <w:rStyle w:val="Invisible"/>
              </w:rPr>
            </w:pPr>
            <w:r w:rsidRPr="00C43413">
              <w:rPr>
                <w:rStyle w:val="Invisible"/>
              </w:rPr>
              <w:t>Cost savings for health and aged care</w:t>
            </w:r>
          </w:p>
        </w:tc>
        <w:tc>
          <w:tcPr>
            <w:tcW w:w="2248" w:type="dxa"/>
            <w:tcBorders>
              <w:top w:val="single" w:sz="4" w:space="0" w:color="71C9FF" w:themeColor="accent1"/>
              <w:bottom w:val="single" w:sz="4" w:space="0" w:color="71C9FF" w:themeColor="accent1"/>
            </w:tcBorders>
          </w:tcPr>
          <w:p w14:paraId="0E91667F" w14:textId="090F1E57" w:rsidR="00C43413" w:rsidRPr="00D43B80" w:rsidRDefault="00C43413"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bCs/>
                <w:szCs w:val="20"/>
              </w:rPr>
            </w:pPr>
            <w:r w:rsidRPr="00D43B80">
              <w:rPr>
                <w:rFonts w:cstheme="minorHAnsi"/>
                <w:bCs/>
                <w:szCs w:val="20"/>
              </w:rPr>
              <w:t xml:space="preserve">Subacute hospital admissions </w:t>
            </w:r>
            <w:r w:rsidRPr="00D43B80">
              <w:rPr>
                <w:szCs w:val="20"/>
                <w:vertAlign w:val="superscript"/>
              </w:rPr>
              <w:t>2</w:t>
            </w:r>
          </w:p>
        </w:tc>
        <w:tc>
          <w:tcPr>
            <w:tcW w:w="4289" w:type="dxa"/>
            <w:tcBorders>
              <w:top w:val="single" w:sz="4" w:space="0" w:color="BFE7FF" w:themeColor="text2" w:themeTint="33"/>
              <w:bottom w:val="single" w:sz="4" w:space="0" w:color="BFE7FF" w:themeColor="text2" w:themeTint="33"/>
            </w:tcBorders>
          </w:tcPr>
          <w:p w14:paraId="7B15DA8B" w14:textId="1BE65D34" w:rsidR="00C43413" w:rsidRPr="00D43B80" w:rsidRDefault="00C43413"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C43413">
              <w:rPr>
                <w:bCs/>
                <w:szCs w:val="18"/>
              </w:rPr>
              <w:t>No cost data identified through the RER</w:t>
            </w:r>
          </w:p>
        </w:tc>
        <w:tc>
          <w:tcPr>
            <w:tcW w:w="1453" w:type="dxa"/>
            <w:tcBorders>
              <w:top w:val="single" w:sz="4" w:space="0" w:color="BFE7FF" w:themeColor="text2" w:themeTint="33"/>
              <w:bottom w:val="single" w:sz="4" w:space="0" w:color="BFE7FF" w:themeColor="text2" w:themeTint="33"/>
            </w:tcBorders>
          </w:tcPr>
          <w:p w14:paraId="106E007C" w14:textId="5BAE7CF6" w:rsidR="00C43413" w:rsidRPr="00D43B80" w:rsidRDefault="00C43413"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27709D">
              <w:rPr>
                <w:szCs w:val="20"/>
              </w:rPr>
              <w:t>No data</w:t>
            </w:r>
          </w:p>
        </w:tc>
        <w:tc>
          <w:tcPr>
            <w:tcW w:w="1382" w:type="dxa"/>
            <w:tcBorders>
              <w:top w:val="single" w:sz="4" w:space="0" w:color="BFE7FF" w:themeColor="text2" w:themeTint="33"/>
              <w:bottom w:val="single" w:sz="4" w:space="0" w:color="BFE7FF" w:themeColor="text2" w:themeTint="33"/>
            </w:tcBorders>
          </w:tcPr>
          <w:p w14:paraId="67153D6E" w14:textId="33A7E293" w:rsidR="00C43413" w:rsidRPr="00D43B80" w:rsidRDefault="00C43413"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27709D">
              <w:rPr>
                <w:szCs w:val="20"/>
              </w:rPr>
              <w:t>No data</w:t>
            </w:r>
          </w:p>
        </w:tc>
        <w:tc>
          <w:tcPr>
            <w:tcW w:w="1292" w:type="dxa"/>
            <w:tcBorders>
              <w:top w:val="single" w:sz="4" w:space="0" w:color="BFE7FF" w:themeColor="text2" w:themeTint="33"/>
              <w:bottom w:val="single" w:sz="4" w:space="0" w:color="BFE7FF" w:themeColor="text2" w:themeTint="33"/>
            </w:tcBorders>
          </w:tcPr>
          <w:p w14:paraId="67A5EB7C" w14:textId="19A2A51B" w:rsidR="00C43413" w:rsidRPr="00D43B80" w:rsidRDefault="00C43413"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27709D">
              <w:rPr>
                <w:szCs w:val="20"/>
              </w:rPr>
              <w:t>No data</w:t>
            </w:r>
          </w:p>
        </w:tc>
        <w:tc>
          <w:tcPr>
            <w:tcW w:w="1938" w:type="dxa"/>
            <w:tcBorders>
              <w:top w:val="single" w:sz="4" w:space="0" w:color="BFE7FF" w:themeColor="text2" w:themeTint="33"/>
              <w:bottom w:val="single" w:sz="4" w:space="0" w:color="BFE7FF" w:themeColor="text2" w:themeTint="33"/>
            </w:tcBorders>
          </w:tcPr>
          <w:p w14:paraId="5572E679" w14:textId="2837F23E" w:rsidR="00C43413" w:rsidRPr="00D43B80" w:rsidRDefault="00C43413"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Pr>
                <w:szCs w:val="20"/>
              </w:rPr>
              <w:t>None</w:t>
            </w:r>
          </w:p>
        </w:tc>
      </w:tr>
      <w:tr w:rsidR="00AA5419" w:rsidRPr="00D43B80" w14:paraId="03BD815C"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71C9FF" w:themeColor="accent1"/>
            </w:tcBorders>
          </w:tcPr>
          <w:p w14:paraId="5E3DA98F" w14:textId="6F372CFD" w:rsidR="00AA5419" w:rsidRPr="00C43413" w:rsidRDefault="00AA5419" w:rsidP="008033A6">
            <w:pPr>
              <w:pStyle w:val="Tabletextsmall"/>
              <w:rPr>
                <w:rStyle w:val="Invisible"/>
              </w:rPr>
            </w:pPr>
            <w:r w:rsidRPr="00C43413">
              <w:rPr>
                <w:rStyle w:val="Invisible"/>
              </w:rPr>
              <w:t>Cost savings for health and aged care</w:t>
            </w:r>
          </w:p>
        </w:tc>
        <w:tc>
          <w:tcPr>
            <w:tcW w:w="2248" w:type="dxa"/>
            <w:tcBorders>
              <w:top w:val="single" w:sz="4" w:space="0" w:color="71C9FF" w:themeColor="accent1"/>
              <w:bottom w:val="single" w:sz="4" w:space="0" w:color="71C9FF" w:themeColor="accent1"/>
            </w:tcBorders>
          </w:tcPr>
          <w:p w14:paraId="127F969F" w14:textId="5C30FBED" w:rsidR="00AA5419" w:rsidRPr="00D43B80" w:rsidRDefault="00AA5419"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bCs/>
                <w:szCs w:val="20"/>
              </w:rPr>
            </w:pPr>
            <w:r w:rsidRPr="00D43B80">
              <w:rPr>
                <w:rFonts w:cstheme="minorHAnsi"/>
                <w:bCs/>
                <w:szCs w:val="20"/>
              </w:rPr>
              <w:t>Residential aged care facility admissions</w:t>
            </w:r>
          </w:p>
        </w:tc>
        <w:tc>
          <w:tcPr>
            <w:tcW w:w="4289" w:type="dxa"/>
            <w:tcBorders>
              <w:top w:val="single" w:sz="4" w:space="0" w:color="BFE7FF" w:themeColor="text2" w:themeTint="33"/>
              <w:bottom w:val="single" w:sz="4" w:space="0" w:color="BFE7FF" w:themeColor="text2" w:themeTint="33"/>
            </w:tcBorders>
          </w:tcPr>
          <w:p w14:paraId="43C217BF" w14:textId="77777777" w:rsidR="00AA5419" w:rsidRPr="00D43B80" w:rsidRDefault="00AA5419"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AT Products and services at home for each day of aged care avoided</w:t>
            </w:r>
          </w:p>
        </w:tc>
        <w:tc>
          <w:tcPr>
            <w:tcW w:w="1453" w:type="dxa"/>
            <w:tcBorders>
              <w:top w:val="single" w:sz="4" w:space="0" w:color="BFE7FF" w:themeColor="text2" w:themeTint="33"/>
              <w:bottom w:val="single" w:sz="4" w:space="0" w:color="BFE7FF" w:themeColor="text2" w:themeTint="33"/>
            </w:tcBorders>
          </w:tcPr>
          <w:p w14:paraId="0815C6E4" w14:textId="77777777" w:rsidR="00AA5419" w:rsidRPr="00D43B80" w:rsidRDefault="00AA5419"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$239.15</w:t>
            </w:r>
          </w:p>
        </w:tc>
        <w:tc>
          <w:tcPr>
            <w:tcW w:w="1382" w:type="dxa"/>
            <w:tcBorders>
              <w:top w:val="single" w:sz="4" w:space="0" w:color="BFE7FF" w:themeColor="text2" w:themeTint="33"/>
              <w:bottom w:val="single" w:sz="4" w:space="0" w:color="BFE7FF" w:themeColor="text2" w:themeTint="33"/>
            </w:tcBorders>
          </w:tcPr>
          <w:p w14:paraId="467BDDC3" w14:textId="77777777" w:rsidR="00AA5419" w:rsidRPr="00D43B80" w:rsidRDefault="00AA5419"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3.0 days</w:t>
            </w:r>
          </w:p>
        </w:tc>
        <w:tc>
          <w:tcPr>
            <w:tcW w:w="1292" w:type="dxa"/>
            <w:tcBorders>
              <w:top w:val="single" w:sz="4" w:space="0" w:color="BFE7FF" w:themeColor="text2" w:themeTint="33"/>
              <w:bottom w:val="single" w:sz="4" w:space="0" w:color="BFE7FF" w:themeColor="text2" w:themeTint="33"/>
            </w:tcBorders>
          </w:tcPr>
          <w:p w14:paraId="6525ECA3" w14:textId="59C8FCD3" w:rsidR="00AA5419" w:rsidRPr="00D43B80" w:rsidRDefault="00AA5419"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$717.45</w:t>
            </w:r>
          </w:p>
        </w:tc>
        <w:tc>
          <w:tcPr>
            <w:tcW w:w="1938" w:type="dxa"/>
            <w:tcBorders>
              <w:top w:val="single" w:sz="4" w:space="0" w:color="BFE7FF" w:themeColor="text2" w:themeTint="33"/>
              <w:bottom w:val="single" w:sz="4" w:space="0" w:color="BFE7FF" w:themeColor="text2" w:themeTint="33"/>
            </w:tcBorders>
          </w:tcPr>
          <w:p w14:paraId="7AF4285D" w14:textId="3694D981" w:rsidR="00AA5419" w:rsidRPr="00D43B80" w:rsidRDefault="00AA5419"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eastAsia="Calibri"/>
                <w:szCs w:val="20"/>
              </w:rPr>
              <w:fldChar w:fldCharType="begin" w:fldLock="1"/>
            </w:r>
            <w:r w:rsidRPr="00D43B80">
              <w:rPr>
                <w:rFonts w:eastAsia="Calibri"/>
                <w:szCs w:val="20"/>
              </w:rPr>
              <w:instrText>ADDIN CSL_CITATION {"citationItems":[{"id":"ITEM-1","itemData":{"DOI":"10.1001/archfami.8.3.210","ISSN":"10633987","PMID":"10333815","abstract":"Context: Home environmental interventions (Els) and assistive technology (AT) devices have the potential to increase independence for community-based frail elderly persons, but their effectiveness has not been demonstrated. Objective: To evaluate a system of AT-EI service provision designed to promote independence and reduce health care costs for physically frail elderly persons. Design: Randomized controlled trial. Setting and Participants: A total of 104 home-based frail elderly persons living in western New York were assigned to 1 of 2 groups (52 treatment, 52 control). Intervention: All participants underwent a comprehensive functional assessment and evaluation of their home environment. Participants in the treatment group received AT and EIs based on the results of the evaluation. The control group received \"usual care services.\" Main Outcome Measures: Functional status as measured by the Functional Independence Measure (FIM) and the Craig Handicap Assessment and Reporting Tech-nique; pain as measured by the Functional Status Instrument; and health care costs including the costs. Results: After the 18-month intervention period, the treatment groups showed significant decline for FIM total score and FIM motor score, but there was significantly more decline for the control group. Functional Status Instrument pain scores increased significantly more for the control group. In a comparison of health care costs, the treatment group expended more than the control group for AT and EIs. The control group required significantly more expenditures for institutional care. There was no significant difference in total in-home personnel costs, although there was a large effect size. The control group had significantly greater expenditures for nurse visits and case manager visits. Conclusion: The frail elderly persons in this trial experienced functional decline over time. Results indicate rate of decline can be slowed, and institutional and certain in-home personnel costs reduced through a systematic approach to providing AT and EIs.","author":[{"dropping-particle":"","family":"Mann","given":"W","non-dropping-particle":"","parse-names":false,"suffix":""},{"dropping-particle":"","family":"Ottenbacher","given":"K","non-dropping-particle":"","parse-names":false,"suffix":""},{"dropping-particle":"","family":"Frass","given":"L","non-dropping-particle":"","parse-names":false,"suffix":""},{"dropping-particle":"","family":"Tomita","given":"M","non-dropping-particle":"","parse-names":false,"suffix":""},{"dropping-particle":"","family":"Granger","given":"C","non-dropping-particle":"","parse-names":false,"suffix":""}],"container-title":"Archives of Family Medicine","id":"ITEM-1","issue":"3","issued":{"date-parts":[["1999"]]},"page":"210-217","title":"Effectiveness of assistive technology and environmental interventions in maintaining independence and reducing home care costs for the frail elderly: A randomized controlled trial","type":"article-journal","volume":"8"},"uris":["http://www.mendeley.com/documents/?uuid=4512e62c-17a1-3ab1-a6cc-632661c489fb"]}],"mendeley":{"formattedCitation":"(Mann et al. 1999)","plainTextFormattedCitation":"(Mann et al. 1999)","previouslyFormattedCitation":"(Mann et al. 1999)"},"properties":{"noteIndex":0},"schema":"https://github.com/citation-style-language/schema/raw/master/csl-citation.json"}</w:instrText>
            </w:r>
            <w:r w:rsidRPr="00D43B80">
              <w:rPr>
                <w:rFonts w:eastAsia="Calibri"/>
                <w:szCs w:val="20"/>
              </w:rPr>
              <w:fldChar w:fldCharType="separate"/>
            </w:r>
            <w:r w:rsidRPr="00D43B80">
              <w:rPr>
                <w:rFonts w:eastAsia="Calibri"/>
                <w:noProof/>
                <w:szCs w:val="20"/>
              </w:rPr>
              <w:t>(Mann et al. 1999)</w:t>
            </w:r>
            <w:r w:rsidRPr="00D43B80">
              <w:rPr>
                <w:rFonts w:eastAsia="Calibri"/>
                <w:szCs w:val="20"/>
              </w:rPr>
              <w:fldChar w:fldCharType="end"/>
            </w:r>
          </w:p>
        </w:tc>
      </w:tr>
      <w:tr w:rsidR="00AA5419" w:rsidRPr="00D43B80" w14:paraId="6B62BEC8" w14:textId="77777777" w:rsidTr="00D35824">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71C9FF" w:themeColor="accent1"/>
              <w:bottom w:val="single" w:sz="4" w:space="0" w:color="0079C1" w:themeColor="text2"/>
            </w:tcBorders>
          </w:tcPr>
          <w:p w14:paraId="2957678C" w14:textId="32C5E1C5" w:rsidR="00AA5419" w:rsidRPr="00C43413" w:rsidRDefault="00AA5419" w:rsidP="008033A6">
            <w:pPr>
              <w:pStyle w:val="Tabletextsmall"/>
              <w:rPr>
                <w:rStyle w:val="Invisible"/>
              </w:rPr>
            </w:pPr>
            <w:r w:rsidRPr="00C43413">
              <w:rPr>
                <w:rStyle w:val="Invisible"/>
              </w:rPr>
              <w:t>Cost savings for health and aged care</w:t>
            </w:r>
          </w:p>
        </w:tc>
        <w:tc>
          <w:tcPr>
            <w:tcW w:w="2248" w:type="dxa"/>
            <w:tcBorders>
              <w:top w:val="single" w:sz="4" w:space="0" w:color="71C9FF" w:themeColor="accent1"/>
              <w:bottom w:val="single" w:sz="4" w:space="0" w:color="0079C1" w:themeColor="text2"/>
            </w:tcBorders>
          </w:tcPr>
          <w:p w14:paraId="1818466B" w14:textId="1D148559" w:rsidR="00AA5419" w:rsidRPr="00D1760E" w:rsidRDefault="00AA5419" w:rsidP="008033A6">
            <w:pPr>
              <w:pStyle w:val="Tabletextsmall"/>
              <w:cnfStyle w:val="000000000000" w:firstRow="0" w:lastRow="0" w:firstColumn="0" w:lastColumn="0" w:oddVBand="0" w:evenVBand="0" w:oddHBand="0" w:evenHBand="0" w:firstRowFirstColumn="0" w:firstRowLastColumn="0" w:lastRowFirstColumn="0" w:lastRowLastColumn="0"/>
              <w:rPr>
                <w:rStyle w:val="Invisible"/>
              </w:rPr>
            </w:pPr>
            <w:r w:rsidRPr="00D1760E">
              <w:rPr>
                <w:rStyle w:val="Invisible"/>
              </w:rPr>
              <w:t>Residential aged care facility admissions</w:t>
            </w:r>
          </w:p>
        </w:tc>
        <w:tc>
          <w:tcPr>
            <w:tcW w:w="4289" w:type="dxa"/>
            <w:tcBorders>
              <w:top w:val="single" w:sz="4" w:space="0" w:color="BFE7FF" w:themeColor="text2" w:themeTint="33"/>
              <w:bottom w:val="single" w:sz="4" w:space="0" w:color="0079C1" w:themeColor="text2"/>
            </w:tcBorders>
          </w:tcPr>
          <w:p w14:paraId="76523FD9" w14:textId="77777777" w:rsidR="00AA5419" w:rsidRPr="00D43B80" w:rsidRDefault="00AA5419" w:rsidP="008033A6">
            <w:pPr>
              <w:pStyle w:val="Tabletextsmall"/>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Passive remote patient monitoring to offset cost per year of aged care</w:t>
            </w:r>
          </w:p>
        </w:tc>
        <w:tc>
          <w:tcPr>
            <w:tcW w:w="1453" w:type="dxa"/>
            <w:tcBorders>
              <w:top w:val="single" w:sz="4" w:space="0" w:color="BFE7FF" w:themeColor="text2" w:themeTint="33"/>
              <w:bottom w:val="single" w:sz="4" w:space="0" w:color="0079C1" w:themeColor="text2"/>
            </w:tcBorders>
          </w:tcPr>
          <w:p w14:paraId="4C6864E3" w14:textId="77777777" w:rsidR="00AA5419" w:rsidRPr="00D43B80" w:rsidRDefault="00AA5419"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$975.46/​month</w:t>
            </w:r>
          </w:p>
        </w:tc>
        <w:tc>
          <w:tcPr>
            <w:tcW w:w="1382" w:type="dxa"/>
            <w:tcBorders>
              <w:top w:val="single" w:sz="4" w:space="0" w:color="BFE7FF" w:themeColor="text2" w:themeTint="33"/>
              <w:bottom w:val="single" w:sz="4" w:space="0" w:color="0079C1" w:themeColor="text2"/>
            </w:tcBorders>
          </w:tcPr>
          <w:p w14:paraId="5BF33872" w14:textId="77777777" w:rsidR="00AA5419" w:rsidRPr="00D43B80" w:rsidRDefault="00AA5419"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12 months</w:t>
            </w:r>
          </w:p>
        </w:tc>
        <w:tc>
          <w:tcPr>
            <w:tcW w:w="1292" w:type="dxa"/>
            <w:tcBorders>
              <w:top w:val="single" w:sz="4" w:space="0" w:color="BFE7FF" w:themeColor="text2" w:themeTint="33"/>
              <w:bottom w:val="single" w:sz="4" w:space="0" w:color="0079C1" w:themeColor="text2"/>
            </w:tcBorders>
          </w:tcPr>
          <w:p w14:paraId="74AA8D26" w14:textId="1CCE7F9E" w:rsidR="00AA5419" w:rsidRPr="00D43B80" w:rsidRDefault="00AA5419" w:rsidP="008033A6">
            <w:pPr>
              <w:pStyle w:val="Tabletextsmall"/>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$11,705.54</w:t>
            </w:r>
            <w:r w:rsidR="00A67271">
              <w:rPr>
                <w:rFonts w:cstheme="minorHAnsi"/>
                <w:szCs w:val="20"/>
              </w:rPr>
              <w:t xml:space="preserve"> </w:t>
            </w:r>
            <w:r w:rsidR="00A67271" w:rsidRPr="00A67271">
              <w:rPr>
                <w:rFonts w:cstheme="minorHAnsi"/>
                <w:szCs w:val="20"/>
                <w:vertAlign w:val="superscript"/>
              </w:rPr>
              <w:t>4</w:t>
            </w:r>
          </w:p>
        </w:tc>
        <w:tc>
          <w:tcPr>
            <w:tcW w:w="1938" w:type="dxa"/>
            <w:tcBorders>
              <w:top w:val="single" w:sz="4" w:space="0" w:color="BFE7FF" w:themeColor="text2" w:themeTint="33"/>
              <w:bottom w:val="single" w:sz="4" w:space="0" w:color="0079C1" w:themeColor="text2"/>
            </w:tcBorders>
          </w:tcPr>
          <w:p w14:paraId="4DF5D7C0" w14:textId="237691E2" w:rsidR="00AA5419" w:rsidRPr="00D43B80" w:rsidRDefault="00AA5419" w:rsidP="008033A6">
            <w:pPr>
              <w:pStyle w:val="Tabletextsmall"/>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D43B80">
              <w:rPr>
                <w:rFonts w:eastAsia="Calibri"/>
                <w:szCs w:val="20"/>
              </w:rPr>
              <w:fldChar w:fldCharType="begin" w:fldLock="1"/>
            </w:r>
            <w:r w:rsidRPr="00D43B80">
              <w:rPr>
                <w:rFonts w:eastAsia="Calibri"/>
                <w:szCs w:val="20"/>
              </w:rPr>
              <w:instrText>ADDIN CSL_CITATION {"citationItems":[{"id":"ITEM-1","itemData":{"DOI":"10.1111/jgs.14892","ISSN":"0002-8614","abstract":"Objectives To conduct a cost analysis of ambient assisted living technology, which is promising for improving the ability of individuals and care providers to monitor daily activities and gain better awareness through proactive management of health and safety. Design Three-arm cohort study. Setting Homes of enrollees of a state-based healthcare plan for older adults. Participants Enrollees dually eligible for Medicare and Medicaid (N = 268). Intervention Health and safety passive remote patient monitoring ( PRPM) systems were installed in enrollees' homes (the intervention group) with monitoring and proactive intervention of a case manager when deviation from baseline subject behavior was detected. Measurements Claims data were collected over 12 months to assess healthcare use and costs in the intervention group and to compare use and costs with those of two control groups: a concurrent group of enrollees who declined the technology and a historical cohort matched on age to the participation group. Results Although the small sample size precluded cost differences that were statistically significant, the participant group used substantially less custodial care, emergency department ( ED) services, inpatient stays, and ED costs than the two control groups. Conclusion In this pilot study, the PRPM system was associated with apparent healthcare cost savings. Although more cost analyses are warranted, ambient assisted living technologies are a potentially valuable investment for older adult care.","author":[{"dropping-particle":"","family":"Finch","given":"Michael","non-dropping-particle":"","parse-names":false,"suffix":""},{"dropping-particle":"","family":"Griffin","given":"Kristen","non-dropping-particle":"","parse-names":false,"suffix":""},{"dropping-particle":"","family":"Pacala","given":"James T","non-dropping-particle":"","parse-names":false,"suffix":""}],"container-title":"Journal of the American Geriatrics Society","id":"ITEM-1","issue":"6","issued":{"date-parts":[["2017"]]},"note":"Peer Reviewed; USA. NLM UID: 7503062.","page":"1301-1305","publisher-place":"Medical Industry Leadership Institute, Carlson School of Management, University of Minnesota Penny George Institute for Health and Healing, Allina Health Care Department of Family Medicine and Community Health, Medical School, University of Minnesota","title":"Reduced Healthcare Use and Apparent Savings with Passive Home Monitoring Technology: A Pilot Study","type":"article-journal","volume":"65"},"uris":["http://www.mendeley.com/documents/?uuid=e6de1575-40fa-4ebe-937a-5eb4669b7f05"]}],"mendeley":{"formattedCitation":"(Finch, Griffin, &amp; James T Pacala 2017)","plainTextFormattedCitation":"(Finch, Griffin, &amp; James T Pacala 2017)","previouslyFormattedCitation":"(Finch, Griffin, &amp; James T Pacala 2017)"},"properties":{"noteIndex":0},"schema":"https://github.com/citation-style-language/schema/raw/master/csl-citation.json"}</w:instrText>
            </w:r>
            <w:r w:rsidRPr="00D43B80">
              <w:rPr>
                <w:rFonts w:eastAsia="Calibri"/>
                <w:szCs w:val="20"/>
              </w:rPr>
              <w:fldChar w:fldCharType="separate"/>
            </w:r>
            <w:r w:rsidRPr="00D43B80">
              <w:rPr>
                <w:rFonts w:eastAsia="Calibri"/>
                <w:noProof/>
                <w:szCs w:val="20"/>
              </w:rPr>
              <w:t>(Finch, Griffin, &amp; James T Pacala 2017)</w:t>
            </w:r>
            <w:r w:rsidRPr="00D43B80">
              <w:rPr>
                <w:rFonts w:eastAsia="Calibri"/>
                <w:szCs w:val="20"/>
              </w:rPr>
              <w:fldChar w:fldCharType="end"/>
            </w:r>
          </w:p>
        </w:tc>
      </w:tr>
      <w:tr w:rsidR="00AA5419" w:rsidRPr="00D43B80" w14:paraId="47E0D51C" w14:textId="77777777" w:rsidTr="00F175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dxa"/>
          </w:tcPr>
          <w:p w14:paraId="18F9B220" w14:textId="58D755A1" w:rsidR="00AA5419" w:rsidRPr="00D43B80" w:rsidRDefault="00AA5419" w:rsidP="008033A6">
            <w:pPr>
              <w:pStyle w:val="Tabletextsmall"/>
              <w:rPr>
                <w:rFonts w:cstheme="minorHAnsi"/>
                <w:szCs w:val="20"/>
              </w:rPr>
            </w:pPr>
            <w:r w:rsidRPr="00D43B80">
              <w:rPr>
                <w:rFonts w:cstheme="minorHAnsi"/>
                <w:szCs w:val="20"/>
              </w:rPr>
              <w:t>Total costed benefits</w:t>
            </w:r>
          </w:p>
        </w:tc>
        <w:tc>
          <w:tcPr>
            <w:tcW w:w="2248" w:type="dxa"/>
          </w:tcPr>
          <w:p w14:paraId="08D7F506" w14:textId="6B917CB0" w:rsidR="00AA5419" w:rsidRPr="00D666B4" w:rsidRDefault="00D666B4" w:rsidP="00D666B4">
            <w:pPr>
              <w:pStyle w:val="Tabletextsmall"/>
              <w:cnfStyle w:val="010000000000" w:firstRow="0" w:lastRow="1" w:firstColumn="0" w:lastColumn="0" w:oddVBand="0" w:evenVBand="0" w:oddHBand="0" w:evenHBand="0" w:firstRowFirstColumn="0" w:firstRowLastColumn="0" w:lastRowFirstColumn="0" w:lastRowLastColumn="0"/>
              <w:rPr>
                <w:rStyle w:val="Invisible"/>
              </w:rPr>
            </w:pPr>
            <w:r w:rsidRPr="00D666B4">
              <w:rPr>
                <w:rStyle w:val="Invisible"/>
              </w:rPr>
              <w:t>N/​A</w:t>
            </w:r>
          </w:p>
        </w:tc>
        <w:tc>
          <w:tcPr>
            <w:tcW w:w="4289" w:type="dxa"/>
          </w:tcPr>
          <w:p w14:paraId="5FDF9FC0" w14:textId="39374BF5" w:rsidR="00AA5419" w:rsidRPr="00D666B4" w:rsidRDefault="00D666B4" w:rsidP="00D666B4">
            <w:pPr>
              <w:pStyle w:val="Tabletextsmall"/>
              <w:cnfStyle w:val="010000000000" w:firstRow="0" w:lastRow="1" w:firstColumn="0" w:lastColumn="0" w:oddVBand="0" w:evenVBand="0" w:oddHBand="0" w:evenHBand="0" w:firstRowFirstColumn="0" w:firstRowLastColumn="0" w:lastRowFirstColumn="0" w:lastRowLastColumn="0"/>
              <w:rPr>
                <w:rStyle w:val="Invisible"/>
              </w:rPr>
            </w:pPr>
            <w:r w:rsidRPr="00D666B4">
              <w:rPr>
                <w:rStyle w:val="Invisible"/>
              </w:rPr>
              <w:t>N/​A</w:t>
            </w:r>
          </w:p>
        </w:tc>
        <w:tc>
          <w:tcPr>
            <w:tcW w:w="1453" w:type="dxa"/>
          </w:tcPr>
          <w:p w14:paraId="279F2359" w14:textId="6C6749F5" w:rsidR="00AA5419" w:rsidRPr="00D666B4" w:rsidRDefault="00D666B4" w:rsidP="00D666B4">
            <w:pPr>
              <w:pStyle w:val="Tabletextsmall"/>
              <w:cnfStyle w:val="010000000000" w:firstRow="0" w:lastRow="1" w:firstColumn="0" w:lastColumn="0" w:oddVBand="0" w:evenVBand="0" w:oddHBand="0" w:evenHBand="0" w:firstRowFirstColumn="0" w:firstRowLastColumn="0" w:lastRowFirstColumn="0" w:lastRowLastColumn="0"/>
              <w:rPr>
                <w:rStyle w:val="Invisible"/>
              </w:rPr>
            </w:pPr>
            <w:r w:rsidRPr="00D666B4">
              <w:rPr>
                <w:rStyle w:val="Invisible"/>
              </w:rPr>
              <w:t>N/​A</w:t>
            </w:r>
          </w:p>
        </w:tc>
        <w:tc>
          <w:tcPr>
            <w:tcW w:w="1382" w:type="dxa"/>
          </w:tcPr>
          <w:p w14:paraId="0BE9A9A2" w14:textId="18A0F1F5" w:rsidR="00AA5419" w:rsidRPr="00D666B4" w:rsidRDefault="00D666B4" w:rsidP="00D666B4">
            <w:pPr>
              <w:pStyle w:val="Tabletextsmall"/>
              <w:cnfStyle w:val="010000000000" w:firstRow="0" w:lastRow="1" w:firstColumn="0" w:lastColumn="0" w:oddVBand="0" w:evenVBand="0" w:oddHBand="0" w:evenHBand="0" w:firstRowFirstColumn="0" w:firstRowLastColumn="0" w:lastRowFirstColumn="0" w:lastRowLastColumn="0"/>
              <w:rPr>
                <w:rStyle w:val="Invisible"/>
              </w:rPr>
            </w:pPr>
            <w:r w:rsidRPr="00D666B4">
              <w:rPr>
                <w:rStyle w:val="Invisible"/>
              </w:rPr>
              <w:t>N/​A</w:t>
            </w:r>
          </w:p>
        </w:tc>
        <w:tc>
          <w:tcPr>
            <w:tcW w:w="1292" w:type="dxa"/>
          </w:tcPr>
          <w:p w14:paraId="58A845CD" w14:textId="1E7067B1" w:rsidR="00AA5419" w:rsidRPr="00D43B80" w:rsidRDefault="00AA5419" w:rsidP="008033A6">
            <w:pPr>
              <w:pStyle w:val="Tabletextsmall"/>
              <w:jc w:val="right"/>
              <w:cnfStyle w:val="010000000000" w:firstRow="0" w:lastRow="1" w:firstColumn="0" w:lastColumn="0" w:oddVBand="0" w:evenVBand="0" w:oddHBand="0" w:evenHBand="0" w:firstRowFirstColumn="0" w:firstRowLastColumn="0" w:lastRowFirstColumn="0" w:lastRowLastColumn="0"/>
              <w:rPr>
                <w:rFonts w:cstheme="minorHAnsi"/>
                <w:szCs w:val="20"/>
              </w:rPr>
            </w:pPr>
            <w:r w:rsidRPr="00D43B80">
              <w:rPr>
                <w:rFonts w:cstheme="minorHAnsi"/>
                <w:szCs w:val="20"/>
              </w:rPr>
              <w:t>$36,950.00</w:t>
            </w:r>
          </w:p>
        </w:tc>
        <w:tc>
          <w:tcPr>
            <w:tcW w:w="1938" w:type="dxa"/>
          </w:tcPr>
          <w:p w14:paraId="4A8ABF7C" w14:textId="6215C9DA" w:rsidR="00AA5419" w:rsidRPr="00D666B4" w:rsidRDefault="00D666B4" w:rsidP="008033A6">
            <w:pPr>
              <w:pStyle w:val="Tabletextsmall"/>
              <w:jc w:val="center"/>
              <w:cnfStyle w:val="010000000000" w:firstRow="0" w:lastRow="1" w:firstColumn="0" w:lastColumn="0" w:oddVBand="0" w:evenVBand="0" w:oddHBand="0" w:evenHBand="0" w:firstRowFirstColumn="0" w:firstRowLastColumn="0" w:lastRowFirstColumn="0" w:lastRowLastColumn="0"/>
              <w:rPr>
                <w:rStyle w:val="Invisible"/>
              </w:rPr>
            </w:pPr>
            <w:r w:rsidRPr="00D666B4">
              <w:rPr>
                <w:rStyle w:val="Invisible"/>
              </w:rPr>
              <w:t>N/​A</w:t>
            </w:r>
          </w:p>
        </w:tc>
      </w:tr>
    </w:tbl>
    <w:p w14:paraId="78DC4E74" w14:textId="42A0E60C" w:rsidR="00D1760E" w:rsidRPr="00D1760E" w:rsidRDefault="00D1760E" w:rsidP="00D1760E">
      <w:pPr>
        <w:pStyle w:val="Note"/>
      </w:pPr>
      <w:r>
        <w:rPr>
          <w:rStyle w:val="Bold"/>
        </w:rPr>
        <w:t xml:space="preserve">Note: </w:t>
      </w:r>
      <w:r w:rsidRPr="00D1760E">
        <w:t xml:space="preserve">Costed benefits are </w:t>
      </w:r>
      <w:r w:rsidRPr="00D1760E">
        <w:rPr>
          <w:rStyle w:val="IntenseEmphasis"/>
        </w:rPr>
        <w:t>in addition to social and wellbeing benefits</w:t>
      </w:r>
      <w:r w:rsidRPr="00D1760E">
        <w:t xml:space="preserve"> (below). Possibl</w:t>
      </w:r>
      <w:r w:rsidR="00D35824">
        <w:t>e</w:t>
      </w:r>
      <w:r w:rsidRPr="00D1760E">
        <w:t xml:space="preserve"> </w:t>
      </w:r>
      <w:r w:rsidRPr="00D1760E">
        <w:rPr>
          <w:rStyle w:val="IntenseEmphasis"/>
        </w:rPr>
        <w:t>greater reduction in hospital admissions and residential aged care admissions</w:t>
      </w:r>
      <w:r w:rsidRPr="00D1760E">
        <w:t xml:space="preserve"> if the passive remote patient monitoring AT was included.</w:t>
      </w:r>
    </w:p>
    <w:p w14:paraId="7FD2FFE4" w14:textId="77777777" w:rsidR="00AA5419" w:rsidRPr="008E680E" w:rsidRDefault="00AA5419" w:rsidP="00AA5419">
      <w:pPr>
        <w:pStyle w:val="Note"/>
      </w:pPr>
      <w:r w:rsidRPr="008E680E">
        <w:rPr>
          <w:vertAlign w:val="superscript"/>
        </w:rPr>
        <w:t xml:space="preserve">1 </w:t>
      </w:r>
      <w:r w:rsidRPr="008E680E">
        <w:t>A second paper (Hoenig, et all 2003) was included in this RER and this paper reported a reduction of formal care by 3.8 hours per week or 197.6 hours per year.</w:t>
      </w:r>
      <w:r>
        <w:t xml:space="preserve"> </w:t>
      </w:r>
      <w:r w:rsidRPr="008E680E">
        <w:t>Hoenig, et all (2003) used a single point in time survey design from the USA describing the correlation of those people who do and do not use AT and those who do and do not receive care (no intervention).</w:t>
      </w:r>
      <w:r>
        <w:t xml:space="preserve"> </w:t>
      </w:r>
      <w:r w:rsidRPr="008E680E">
        <w:t>This was substantially more than the 18.72 hours per year reported by Carnemolla, P.</w:t>
      </w:r>
      <w:r>
        <w:t xml:space="preserve"> </w:t>
      </w:r>
      <w:r w:rsidRPr="008E680E">
        <w:t xml:space="preserve">and </w:t>
      </w:r>
      <w:r>
        <w:t>C. Bridge</w:t>
      </w:r>
      <w:r w:rsidRPr="008E680E">
        <w:t xml:space="preserve"> (2019).</w:t>
      </w:r>
      <w:r>
        <w:t xml:space="preserve"> </w:t>
      </w:r>
      <w:r w:rsidRPr="008E680E">
        <w:t>While both papers had a high risk of bias and medium quality, Carnemolla, P.</w:t>
      </w:r>
      <w:r>
        <w:t xml:space="preserve"> </w:t>
      </w:r>
      <w:r w:rsidRPr="008E680E">
        <w:t xml:space="preserve">and </w:t>
      </w:r>
      <w:r>
        <w:t>C. Bridge</w:t>
      </w:r>
      <w:r w:rsidRPr="008E680E">
        <w:t xml:space="preserve"> (2019) is a recent publication which used an intervention design with a before and after comparison from the Australian population aged 65 and older and</w:t>
      </w:r>
      <w:r>
        <w:t xml:space="preserve"> is</w:t>
      </w:r>
      <w:r w:rsidRPr="008E680E">
        <w:t xml:space="preserve"> therefore considered the more robust and more conservative estimate to be included in the Schedule of Benefits from AT.</w:t>
      </w:r>
    </w:p>
    <w:p w14:paraId="5CAFC8A2" w14:textId="77777777" w:rsidR="00AA5419" w:rsidRPr="008E680E" w:rsidRDefault="00AA5419" w:rsidP="00AA5419">
      <w:pPr>
        <w:pStyle w:val="Note"/>
        <w:rPr>
          <w:vertAlign w:val="superscript"/>
        </w:rPr>
      </w:pPr>
      <w:r w:rsidRPr="008E680E">
        <w:rPr>
          <w:vertAlign w:val="superscript"/>
        </w:rPr>
        <w:t>2</w:t>
      </w:r>
      <w:r w:rsidRPr="008E680E">
        <w:t xml:space="preserve"> Additional benefits that were examined but were not costed.</w:t>
      </w:r>
    </w:p>
    <w:p w14:paraId="22B25BBB" w14:textId="44A3BE3F" w:rsidR="00A67271" w:rsidRDefault="00A67271" w:rsidP="00A67271">
      <w:pPr>
        <w:pStyle w:val="Note"/>
        <w:rPr>
          <w:rFonts w:cstheme="minorHAnsi"/>
        </w:rPr>
      </w:pPr>
      <w:r w:rsidRPr="00A67271">
        <w:rPr>
          <w:rFonts w:cstheme="minorHAnsi"/>
          <w:vertAlign w:val="superscript"/>
        </w:rPr>
        <w:t>4</w:t>
      </w:r>
      <w:r w:rsidRPr="008E680E">
        <w:rPr>
          <w:rFonts w:cstheme="minorHAnsi"/>
        </w:rPr>
        <w:t xml:space="preserve"> </w:t>
      </w:r>
      <w:r>
        <w:rPr>
          <w:rFonts w:cstheme="minorHAnsi"/>
        </w:rPr>
        <w:t>N</w:t>
      </w:r>
      <w:r w:rsidRPr="008E680E">
        <w:rPr>
          <w:rFonts w:cstheme="minorHAnsi"/>
        </w:rPr>
        <w:t>ot included in total due to low relevance across all AT user groups</w:t>
      </w:r>
      <w:r>
        <w:rPr>
          <w:rFonts w:cstheme="minorHAnsi"/>
        </w:rPr>
        <w:t>.</w:t>
      </w:r>
    </w:p>
    <w:p w14:paraId="3B7CB138" w14:textId="67D4A5CB" w:rsidR="00AA5419" w:rsidRDefault="00AA5419" w:rsidP="00633A59">
      <w:bookmarkStart w:id="105" w:name="_Toc60999934"/>
      <w:r w:rsidRPr="008E680E">
        <w:lastRenderedPageBreak/>
        <w:t>Table </w:t>
      </w:r>
      <w:r>
        <w:fldChar w:fldCharType="begin"/>
      </w:r>
      <w:r>
        <w:instrText xml:space="preserve"> STYLEREF 5 \s </w:instrText>
      </w:r>
      <w:r>
        <w:fldChar w:fldCharType="separate"/>
      </w:r>
      <w:r w:rsidR="00EB1774">
        <w:rPr>
          <w:noProof/>
        </w:rPr>
        <w:t>B</w:t>
      </w:r>
      <w:r>
        <w:fldChar w:fldCharType="end"/>
      </w:r>
      <w:r w:rsidR="006562A7">
        <w:t>-9</w:t>
      </w:r>
      <w:r>
        <w:rPr>
          <w:noProof/>
        </w:rPr>
        <w:t>:</w:t>
      </w:r>
      <w:r>
        <w:tab/>
      </w:r>
      <w:r w:rsidR="006562A7">
        <w:t>social and wellbeing benefits</w:t>
      </w:r>
      <w:r w:rsidR="006562A7" w:rsidRPr="008E680E">
        <w:t xml:space="preserve"> </w:t>
      </w:r>
      <w:r w:rsidRPr="008E680E">
        <w:t>of assistive technology (annual)</w:t>
      </w:r>
      <w:r>
        <w:t xml:space="preserve">  </w:t>
      </w:r>
      <w:bookmarkEnd w:id="105"/>
    </w:p>
    <w:tbl>
      <w:tblPr>
        <w:tblStyle w:val="AHALight"/>
        <w:tblW w:w="5000" w:type="pct"/>
        <w:tblLayout w:type="fixed"/>
        <w:tblLook w:val="0620" w:firstRow="1" w:lastRow="0" w:firstColumn="0" w:lastColumn="0" w:noHBand="1" w:noVBand="1"/>
        <w:tblCaption w:val="table B 9"/>
        <w:tblDescription w:val="social and wellbeing benefits for AT"/>
      </w:tblPr>
      <w:tblGrid>
        <w:gridCol w:w="2252"/>
        <w:gridCol w:w="1518"/>
        <w:gridCol w:w="1164"/>
        <w:gridCol w:w="6690"/>
        <w:gridCol w:w="2946"/>
      </w:tblGrid>
      <w:tr w:rsidR="008033A6" w:rsidRPr="00D1760E" w14:paraId="7DFE173C" w14:textId="77777777" w:rsidTr="00D666B4">
        <w:trPr>
          <w:cnfStyle w:val="100000000000" w:firstRow="1" w:lastRow="0" w:firstColumn="0" w:lastColumn="0" w:oddVBand="0" w:evenVBand="0" w:oddHBand="0" w:evenHBand="0" w:firstRowFirstColumn="0" w:firstRowLastColumn="0" w:lastRowFirstColumn="0" w:lastRowLastColumn="0"/>
        </w:trPr>
        <w:tc>
          <w:tcPr>
            <w:tcW w:w="2252" w:type="dxa"/>
          </w:tcPr>
          <w:p w14:paraId="39A7742E" w14:textId="77777777" w:rsidR="00AA5419" w:rsidRPr="00D1760E" w:rsidRDefault="00AA5419" w:rsidP="00D1760E">
            <w:pPr>
              <w:pStyle w:val="TableHeading1"/>
              <w:rPr>
                <w:sz w:val="20"/>
                <w:szCs w:val="22"/>
              </w:rPr>
            </w:pPr>
            <w:r w:rsidRPr="00D1760E">
              <w:rPr>
                <w:sz w:val="20"/>
                <w:szCs w:val="22"/>
              </w:rPr>
              <w:t>Benefit type</w:t>
            </w:r>
          </w:p>
        </w:tc>
        <w:tc>
          <w:tcPr>
            <w:tcW w:w="1518" w:type="dxa"/>
          </w:tcPr>
          <w:p w14:paraId="6820E372" w14:textId="77777777" w:rsidR="00AA5419" w:rsidRPr="00D1760E" w:rsidRDefault="00AA5419" w:rsidP="00D1760E">
            <w:pPr>
              <w:pStyle w:val="TableHeading1"/>
              <w:rPr>
                <w:sz w:val="20"/>
                <w:szCs w:val="22"/>
              </w:rPr>
            </w:pPr>
            <w:r w:rsidRPr="00D1760E">
              <w:rPr>
                <w:sz w:val="20"/>
                <w:szCs w:val="22"/>
              </w:rPr>
              <w:t>Unit definition</w:t>
            </w:r>
          </w:p>
        </w:tc>
        <w:tc>
          <w:tcPr>
            <w:tcW w:w="1164" w:type="dxa"/>
          </w:tcPr>
          <w:p w14:paraId="50C28B58" w14:textId="77777777" w:rsidR="00AA5419" w:rsidRPr="00D1760E" w:rsidRDefault="00AA5419" w:rsidP="00D1760E">
            <w:pPr>
              <w:pStyle w:val="TableHeading1"/>
              <w:rPr>
                <w:sz w:val="20"/>
                <w:szCs w:val="22"/>
              </w:rPr>
            </w:pPr>
            <w:r w:rsidRPr="00D1760E">
              <w:rPr>
                <w:sz w:val="20"/>
                <w:szCs w:val="22"/>
              </w:rPr>
              <w:t>Unit cost</w:t>
            </w:r>
          </w:p>
        </w:tc>
        <w:tc>
          <w:tcPr>
            <w:tcW w:w="6690" w:type="dxa"/>
          </w:tcPr>
          <w:p w14:paraId="52687D45" w14:textId="77777777" w:rsidR="00AA5419" w:rsidRPr="00D1760E" w:rsidRDefault="00AA5419" w:rsidP="00D1760E">
            <w:pPr>
              <w:pStyle w:val="TableHeading1"/>
              <w:rPr>
                <w:sz w:val="20"/>
                <w:szCs w:val="22"/>
              </w:rPr>
            </w:pPr>
            <w:r w:rsidRPr="00D1760E">
              <w:rPr>
                <w:sz w:val="20"/>
                <w:szCs w:val="22"/>
              </w:rPr>
              <w:t>Number of units saved (annual)</w:t>
            </w:r>
          </w:p>
        </w:tc>
        <w:tc>
          <w:tcPr>
            <w:tcW w:w="2946" w:type="dxa"/>
          </w:tcPr>
          <w:p w14:paraId="0D9A92CA" w14:textId="77777777" w:rsidR="00AA5419" w:rsidRPr="00D1760E" w:rsidRDefault="00AA5419" w:rsidP="00D1760E">
            <w:pPr>
              <w:pStyle w:val="TableHeading1"/>
              <w:rPr>
                <w:sz w:val="20"/>
                <w:szCs w:val="22"/>
              </w:rPr>
            </w:pPr>
            <w:r w:rsidRPr="00D1760E">
              <w:rPr>
                <w:sz w:val="20"/>
                <w:szCs w:val="22"/>
              </w:rPr>
              <w:t>Data source</w:t>
            </w:r>
          </w:p>
        </w:tc>
      </w:tr>
      <w:tr w:rsidR="00D1760E" w:rsidRPr="00D43B80" w14:paraId="7B90C859" w14:textId="77777777" w:rsidTr="00D666B4">
        <w:tc>
          <w:tcPr>
            <w:tcW w:w="2252" w:type="dxa"/>
            <w:tcBorders>
              <w:top w:val="single" w:sz="4" w:space="0" w:color="0079C1" w:themeColor="text2"/>
              <w:bottom w:val="single" w:sz="4" w:space="0" w:color="BFE7FF" w:themeColor="text2" w:themeTint="33"/>
            </w:tcBorders>
            <w:shd w:val="clear" w:color="auto" w:fill="F2F2F2" w:themeFill="background1" w:themeFillShade="F2"/>
          </w:tcPr>
          <w:p w14:paraId="17CE606B" w14:textId="77777777" w:rsidR="00AA5419" w:rsidRPr="00D43B80" w:rsidRDefault="00AA5419" w:rsidP="00D1760E">
            <w:pPr>
              <w:pStyle w:val="Tabletextsmall"/>
              <w:rPr>
                <w:bCs/>
              </w:rPr>
            </w:pPr>
            <w:r w:rsidRPr="00D43B80">
              <w:rPr>
                <w:bCs/>
              </w:rPr>
              <w:t xml:space="preserve">Productivity </w:t>
            </w:r>
            <w:r w:rsidRPr="00D43B80">
              <w:rPr>
                <w:vertAlign w:val="superscript"/>
              </w:rPr>
              <w:t>2</w:t>
            </w:r>
          </w:p>
        </w:tc>
        <w:tc>
          <w:tcPr>
            <w:tcW w:w="1518" w:type="dxa"/>
            <w:tcBorders>
              <w:top w:val="single" w:sz="4" w:space="0" w:color="0079C1" w:themeColor="text2"/>
              <w:bottom w:val="single" w:sz="4" w:space="0" w:color="BFE7FF" w:themeColor="text2" w:themeTint="33"/>
            </w:tcBorders>
            <w:shd w:val="clear" w:color="auto" w:fill="F2F2F2" w:themeFill="background1" w:themeFillShade="F2"/>
          </w:tcPr>
          <w:p w14:paraId="6355BA04" w14:textId="6FB952FF" w:rsidR="00AA5419" w:rsidRPr="00D43B80" w:rsidRDefault="008033A6" w:rsidP="00D1760E">
            <w:pPr>
              <w:pStyle w:val="Tabletextsmall"/>
            </w:pPr>
            <w:r w:rsidRPr="00C43413">
              <w:rPr>
                <w:bCs/>
                <w:szCs w:val="18"/>
              </w:rPr>
              <w:t>No cost data</w:t>
            </w:r>
          </w:p>
        </w:tc>
        <w:tc>
          <w:tcPr>
            <w:tcW w:w="1164" w:type="dxa"/>
            <w:tcBorders>
              <w:top w:val="single" w:sz="4" w:space="0" w:color="0079C1" w:themeColor="text2"/>
              <w:bottom w:val="single" w:sz="4" w:space="0" w:color="BFE7FF" w:themeColor="text2" w:themeTint="33"/>
            </w:tcBorders>
            <w:shd w:val="clear" w:color="auto" w:fill="F2F2F2" w:themeFill="background1" w:themeFillShade="F2"/>
          </w:tcPr>
          <w:p w14:paraId="6ACE20CA" w14:textId="10FB23F2" w:rsidR="00AA5419" w:rsidRPr="00D43B80" w:rsidRDefault="00AA5419" w:rsidP="00D1760E">
            <w:pPr>
              <w:pStyle w:val="Tabletextsmall"/>
            </w:pPr>
            <w:r w:rsidRPr="00746576">
              <w:rPr>
                <w:bCs/>
              </w:rPr>
              <w:t>No data</w:t>
            </w:r>
          </w:p>
        </w:tc>
        <w:tc>
          <w:tcPr>
            <w:tcW w:w="6690" w:type="dxa"/>
            <w:tcBorders>
              <w:top w:val="single" w:sz="4" w:space="0" w:color="0079C1" w:themeColor="text2"/>
              <w:bottom w:val="single" w:sz="4" w:space="0" w:color="BFE7FF" w:themeColor="text2" w:themeTint="33"/>
            </w:tcBorders>
            <w:shd w:val="clear" w:color="auto" w:fill="F2F2F2" w:themeFill="background1" w:themeFillShade="F2"/>
          </w:tcPr>
          <w:p w14:paraId="00CCD076" w14:textId="24576AD1" w:rsidR="00AA5419" w:rsidRPr="00D43B80" w:rsidRDefault="00AA5419" w:rsidP="00D1760E">
            <w:pPr>
              <w:pStyle w:val="Tabletextsmall"/>
            </w:pPr>
            <w:r w:rsidRPr="00746576">
              <w:rPr>
                <w:bCs/>
              </w:rPr>
              <w:t>No data</w:t>
            </w:r>
          </w:p>
        </w:tc>
        <w:tc>
          <w:tcPr>
            <w:tcW w:w="2946" w:type="dxa"/>
            <w:tcBorders>
              <w:top w:val="single" w:sz="4" w:space="0" w:color="0079C1" w:themeColor="text2"/>
              <w:bottom w:val="single" w:sz="4" w:space="0" w:color="BFE7FF" w:themeColor="text2" w:themeTint="33"/>
            </w:tcBorders>
            <w:shd w:val="clear" w:color="auto" w:fill="F2F2F2" w:themeFill="background1" w:themeFillShade="F2"/>
          </w:tcPr>
          <w:p w14:paraId="4C65E1B5" w14:textId="77777777" w:rsidR="00AA5419" w:rsidRPr="00D43B80" w:rsidRDefault="00AA5419" w:rsidP="00D1760E">
            <w:pPr>
              <w:pStyle w:val="Tabletextsmall"/>
            </w:pPr>
            <w:r>
              <w:rPr>
                <w:bCs/>
              </w:rPr>
              <w:t>None</w:t>
            </w:r>
          </w:p>
        </w:tc>
      </w:tr>
      <w:tr w:rsidR="00D1760E" w:rsidRPr="00D43B80" w14:paraId="772EF879" w14:textId="77777777" w:rsidTr="00D666B4">
        <w:tc>
          <w:tcPr>
            <w:tcW w:w="2252" w:type="dxa"/>
            <w:tcBorders>
              <w:top w:val="single" w:sz="4" w:space="0" w:color="BFE7FF" w:themeColor="text2" w:themeTint="33"/>
              <w:bottom w:val="nil"/>
            </w:tcBorders>
          </w:tcPr>
          <w:p w14:paraId="7C6303B3" w14:textId="77777777" w:rsidR="00AA5419" w:rsidRPr="00D43B80" w:rsidRDefault="00AA5419" w:rsidP="00D1760E">
            <w:pPr>
              <w:pStyle w:val="Tabletextsmall"/>
              <w:rPr>
                <w:rFonts w:cstheme="minorHAnsi"/>
                <w:bCs/>
              </w:rPr>
            </w:pPr>
            <w:r w:rsidRPr="00D43B80">
              <w:rPr>
                <w:rFonts w:cstheme="minorHAnsi"/>
                <w:bCs/>
              </w:rPr>
              <w:t>Wellbeing</w:t>
            </w:r>
          </w:p>
        </w:tc>
        <w:tc>
          <w:tcPr>
            <w:tcW w:w="1518" w:type="dxa"/>
            <w:tcBorders>
              <w:top w:val="single" w:sz="4" w:space="0" w:color="BFE7FF" w:themeColor="text2" w:themeTint="33"/>
              <w:bottom w:val="nil"/>
            </w:tcBorders>
          </w:tcPr>
          <w:p w14:paraId="7D91F684" w14:textId="77777777" w:rsidR="00AA5419" w:rsidRPr="00D43B80" w:rsidRDefault="00AA5419" w:rsidP="00D1760E">
            <w:pPr>
              <w:pStyle w:val="Tabletextsmall"/>
              <w:rPr>
                <w:rFonts w:cstheme="minorHAnsi"/>
              </w:rPr>
            </w:pPr>
            <w:r w:rsidRPr="00D43B80">
              <w:rPr>
                <w:rFonts w:cstheme="minorHAnsi"/>
              </w:rPr>
              <w:t>Variable</w:t>
            </w:r>
          </w:p>
        </w:tc>
        <w:tc>
          <w:tcPr>
            <w:tcW w:w="1164" w:type="dxa"/>
            <w:tcBorders>
              <w:top w:val="single" w:sz="4" w:space="0" w:color="BFE7FF" w:themeColor="text2" w:themeTint="33"/>
              <w:bottom w:val="nil"/>
            </w:tcBorders>
          </w:tcPr>
          <w:p w14:paraId="63AB15F8" w14:textId="77777777" w:rsidR="00AA5419" w:rsidRPr="00D43B80" w:rsidRDefault="00AA5419" w:rsidP="00D1760E">
            <w:pPr>
              <w:pStyle w:val="Tabletextsmall"/>
              <w:rPr>
                <w:rFonts w:cstheme="minorHAnsi"/>
              </w:rPr>
            </w:pPr>
            <w:r w:rsidRPr="00D43B80">
              <w:rPr>
                <w:rFonts w:cstheme="minorHAnsi"/>
              </w:rPr>
              <w:t>Undefined</w:t>
            </w:r>
          </w:p>
        </w:tc>
        <w:tc>
          <w:tcPr>
            <w:tcW w:w="6690" w:type="dxa"/>
            <w:tcBorders>
              <w:top w:val="single" w:sz="4" w:space="0" w:color="BFE7FF" w:themeColor="text2" w:themeTint="33"/>
              <w:bottom w:val="single" w:sz="4" w:space="0" w:color="BFE7FF" w:themeColor="text2" w:themeTint="33"/>
            </w:tcBorders>
          </w:tcPr>
          <w:p w14:paraId="3576BA37" w14:textId="77777777" w:rsidR="00AA5419" w:rsidRPr="00D43B80" w:rsidRDefault="00AA5419" w:rsidP="00D1760E">
            <w:pPr>
              <w:pStyle w:val="Tabletextsmall"/>
              <w:rPr>
                <w:rFonts w:cstheme="minorHAnsi"/>
              </w:rPr>
            </w:pPr>
            <w:r w:rsidRPr="00D43B80">
              <w:rPr>
                <w:rFonts w:cstheme="minorHAnsi"/>
              </w:rPr>
              <w:t>Improved wellbeing, ageing and social participation</w:t>
            </w:r>
          </w:p>
        </w:tc>
        <w:tc>
          <w:tcPr>
            <w:tcW w:w="2946" w:type="dxa"/>
            <w:tcBorders>
              <w:top w:val="single" w:sz="4" w:space="0" w:color="BFE7FF" w:themeColor="text2" w:themeTint="33"/>
              <w:bottom w:val="single" w:sz="4" w:space="0" w:color="BFE7FF" w:themeColor="text2" w:themeTint="33"/>
            </w:tcBorders>
          </w:tcPr>
          <w:p w14:paraId="26D291C5" w14:textId="77777777" w:rsidR="00AA5419" w:rsidRPr="00D43B80" w:rsidRDefault="00AA5419"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D43B80">
              <w:rPr>
                <w:rFonts w:eastAsia="Calibri"/>
              </w:rPr>
              <w:fldChar w:fldCharType="separate"/>
            </w:r>
            <w:r w:rsidRPr="00D43B80">
              <w:rPr>
                <w:rFonts w:eastAsia="Calibri"/>
                <w:noProof/>
              </w:rPr>
              <w:t>(Carnemolla &amp; Bridge 2018)</w:t>
            </w:r>
            <w:r w:rsidRPr="00D43B80">
              <w:rPr>
                <w:rFonts w:eastAsia="Calibri"/>
              </w:rPr>
              <w:fldChar w:fldCharType="end"/>
            </w:r>
          </w:p>
        </w:tc>
      </w:tr>
      <w:tr w:rsidR="00D1760E" w:rsidRPr="00D43B80" w14:paraId="77F81550" w14:textId="77777777" w:rsidTr="00D666B4">
        <w:tc>
          <w:tcPr>
            <w:tcW w:w="2252" w:type="dxa"/>
            <w:tcBorders>
              <w:top w:val="nil"/>
              <w:bottom w:val="nil"/>
            </w:tcBorders>
          </w:tcPr>
          <w:p w14:paraId="5FFF25DA" w14:textId="77777777" w:rsidR="00AA5419" w:rsidRPr="00D666B4" w:rsidRDefault="00AA5419" w:rsidP="00D1760E">
            <w:pPr>
              <w:pStyle w:val="Tabletextsmall"/>
              <w:rPr>
                <w:rStyle w:val="Invisible"/>
              </w:rPr>
            </w:pPr>
            <w:r w:rsidRPr="00D666B4">
              <w:rPr>
                <w:rStyle w:val="Invisible"/>
              </w:rPr>
              <w:t>Wellbeing</w:t>
            </w:r>
          </w:p>
        </w:tc>
        <w:tc>
          <w:tcPr>
            <w:tcW w:w="1518" w:type="dxa"/>
            <w:tcBorders>
              <w:top w:val="nil"/>
              <w:bottom w:val="nil"/>
            </w:tcBorders>
          </w:tcPr>
          <w:p w14:paraId="5A5C0B9D" w14:textId="77777777" w:rsidR="00AA5419" w:rsidRPr="00D666B4" w:rsidRDefault="00AA5419" w:rsidP="00D1760E">
            <w:pPr>
              <w:pStyle w:val="Tabletextsmall"/>
              <w:rPr>
                <w:rStyle w:val="Invisible"/>
              </w:rPr>
            </w:pPr>
            <w:r w:rsidRPr="00D666B4">
              <w:rPr>
                <w:rStyle w:val="Invisible"/>
              </w:rPr>
              <w:t>Variable</w:t>
            </w:r>
          </w:p>
        </w:tc>
        <w:tc>
          <w:tcPr>
            <w:tcW w:w="1164" w:type="dxa"/>
            <w:tcBorders>
              <w:top w:val="nil"/>
              <w:bottom w:val="nil"/>
            </w:tcBorders>
          </w:tcPr>
          <w:p w14:paraId="183663B3" w14:textId="77777777" w:rsidR="00AA5419" w:rsidRPr="00D666B4" w:rsidRDefault="00AA5419"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BFE7FF" w:themeColor="text2" w:themeTint="33"/>
            </w:tcBorders>
          </w:tcPr>
          <w:p w14:paraId="799B7F73" w14:textId="77777777" w:rsidR="00AA5419" w:rsidRPr="00D43B80" w:rsidRDefault="00AA5419" w:rsidP="00D1760E">
            <w:pPr>
              <w:pStyle w:val="Tabletextsmall"/>
              <w:rPr>
                <w:rFonts w:cstheme="minorHAnsi"/>
              </w:rPr>
            </w:pPr>
            <w:r w:rsidRPr="00D43B80">
              <w:rPr>
                <w:rFonts w:cstheme="minorHAnsi"/>
              </w:rPr>
              <w:t>40% increase in HQOL</w:t>
            </w:r>
          </w:p>
        </w:tc>
        <w:tc>
          <w:tcPr>
            <w:tcW w:w="2946" w:type="dxa"/>
            <w:tcBorders>
              <w:top w:val="single" w:sz="4" w:space="0" w:color="BFE7FF" w:themeColor="text2" w:themeTint="33"/>
              <w:bottom w:val="single" w:sz="4" w:space="0" w:color="BFE7FF" w:themeColor="text2" w:themeTint="33"/>
            </w:tcBorders>
          </w:tcPr>
          <w:p w14:paraId="5D754C2C" w14:textId="77777777" w:rsidR="00AA5419" w:rsidRPr="00D43B80" w:rsidRDefault="00AA5419"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{"citationItems":[{"id":"ITEM-1","itemData":{"DOI":"10.26687/archnet-ijar.v10i2.977","ISSN":"19387806","abstract":"The multi-dimensional relationship between housing and population health is now well recognised internationally, across both developing and developed nations. This paper examines a dimension within the housing and health relationship - accessibility - that to date has been considered difficult to measure. This paper reports on the mixed method results of larger mixed-method, exploratory study designed to measure the impact of home modifications on Health-Related Quality of Life, supported by qualitative data of recipients' experiences of home modifications. Data was gathered from 157 Australian HACC clients, who had received home modifications. Measurements were taken for both before and after home modifications and reveal that home modifications were associated with an average 40% increase in Health-Related Quality of Life levels. The qualitative results revealed that participants positively associated home modifications across six effect themes: increased safety and confidence, improved mobility at home, increased independence, supported caregiving role, increased social participation, and ability to return home from hospital. This exploratory research gives an insight into the potential for accessible architecture to impact improvements in community health and wellbeing.","author":[{"dropping-particle":"","family":"Carnemolla","given":"Phillippa","non-dropping-particle":"","parse-names":false,"suffix":""},{"dropping-particle":"","family":"Bridge","given":"Catherine","non-dropping-particle":"","parse-names":false,"suffix":""}],"container-title":"Archnet-IJAR","id":"ITEM-1","issue":"2","issued":{"date-parts":[["2016"]]},"page":"38-51","title":"Accessible housing and health-related quality of life: Measurements of wellbeing outcomes following home modifications","type":"article-journal","volume":"10"},"uris":["http://www.mendeley.com/documents/?uuid=95486d40-78ef-4327-9b3d-4576fd07ed01"]}],"mendeley":{"formattedCitation":"(Carnemolla &amp; Bridge 2016)","plainTextFormattedCitation":"(Carnemolla &amp; Bridge 2016)","previouslyFormattedCitation":"(Carnemolla &amp; Bridge 2016)"},"properties":{"noteIndex":0},"schema":"https://github.com/citation-style-language/schema/raw/master/csl-citation.json"}</w:instrText>
            </w:r>
            <w:r w:rsidRPr="00D43B80">
              <w:rPr>
                <w:rFonts w:eastAsia="Calibri"/>
              </w:rPr>
              <w:fldChar w:fldCharType="separate"/>
            </w:r>
            <w:r w:rsidRPr="00D43B80">
              <w:rPr>
                <w:rFonts w:eastAsia="Calibri"/>
                <w:noProof/>
              </w:rPr>
              <w:t>(Carnemolla &amp; Bridge 2016)</w:t>
            </w:r>
            <w:r w:rsidRPr="00D43B80">
              <w:rPr>
                <w:rFonts w:eastAsia="Calibri"/>
              </w:rPr>
              <w:fldChar w:fldCharType="end"/>
            </w:r>
          </w:p>
        </w:tc>
      </w:tr>
      <w:tr w:rsidR="00D1760E" w:rsidRPr="00D43B80" w14:paraId="62439008" w14:textId="77777777" w:rsidTr="00D666B4">
        <w:tc>
          <w:tcPr>
            <w:tcW w:w="2252" w:type="dxa"/>
            <w:tcBorders>
              <w:top w:val="nil"/>
              <w:bottom w:val="single" w:sz="4" w:space="0" w:color="BFE7FF" w:themeColor="text2" w:themeTint="33"/>
            </w:tcBorders>
          </w:tcPr>
          <w:p w14:paraId="03569C65" w14:textId="77777777" w:rsidR="00AA5419" w:rsidRPr="00D666B4" w:rsidRDefault="00AA5419" w:rsidP="00D1760E">
            <w:pPr>
              <w:pStyle w:val="Tabletextsmall"/>
              <w:rPr>
                <w:rStyle w:val="Invisible"/>
              </w:rPr>
            </w:pPr>
            <w:r w:rsidRPr="00D666B4">
              <w:rPr>
                <w:rStyle w:val="Invisible"/>
              </w:rPr>
              <w:t>Wellbeing</w:t>
            </w:r>
          </w:p>
        </w:tc>
        <w:tc>
          <w:tcPr>
            <w:tcW w:w="1518" w:type="dxa"/>
            <w:tcBorders>
              <w:top w:val="nil"/>
              <w:bottom w:val="single" w:sz="4" w:space="0" w:color="BFE7FF" w:themeColor="text2" w:themeTint="33"/>
            </w:tcBorders>
          </w:tcPr>
          <w:p w14:paraId="2CBA8BC2" w14:textId="77777777" w:rsidR="00AA5419" w:rsidRPr="00D666B4" w:rsidRDefault="00AA5419" w:rsidP="00D1760E">
            <w:pPr>
              <w:pStyle w:val="Tabletextsmall"/>
              <w:rPr>
                <w:rStyle w:val="Invisible"/>
              </w:rPr>
            </w:pPr>
            <w:r w:rsidRPr="00D666B4">
              <w:rPr>
                <w:rStyle w:val="Invisible"/>
              </w:rPr>
              <w:t>Variable</w:t>
            </w:r>
          </w:p>
        </w:tc>
        <w:tc>
          <w:tcPr>
            <w:tcW w:w="1164" w:type="dxa"/>
            <w:tcBorders>
              <w:top w:val="nil"/>
              <w:bottom w:val="single" w:sz="4" w:space="0" w:color="BFE7FF" w:themeColor="text2" w:themeTint="33"/>
            </w:tcBorders>
          </w:tcPr>
          <w:p w14:paraId="0B906CBE" w14:textId="77777777" w:rsidR="00AA5419" w:rsidRPr="00D666B4" w:rsidRDefault="00AA5419"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BFE7FF" w:themeColor="text2" w:themeTint="33"/>
            </w:tcBorders>
          </w:tcPr>
          <w:p w14:paraId="3EA871A4" w14:textId="77777777" w:rsidR="00AA5419" w:rsidRPr="00D43B80" w:rsidRDefault="00AA5419" w:rsidP="00D1760E">
            <w:pPr>
              <w:pStyle w:val="Tabletextsmall"/>
              <w:rPr>
                <w:rFonts w:cstheme="minorHAnsi"/>
              </w:rPr>
            </w:pPr>
            <w:r w:rsidRPr="00D43B80">
              <w:rPr>
                <w:rFonts w:cstheme="minorHAnsi"/>
              </w:rPr>
              <w:t xml:space="preserve">Information and communication technology </w:t>
            </w:r>
            <w:r>
              <w:rPr>
                <w:rFonts w:cstheme="minorHAnsi"/>
              </w:rPr>
              <w:t>i</w:t>
            </w:r>
            <w:r w:rsidRPr="00D43B80">
              <w:rPr>
                <w:rFonts w:cstheme="minorHAnsi"/>
              </w:rPr>
              <w:t>ncreased family contact and wellbeing</w:t>
            </w:r>
          </w:p>
        </w:tc>
        <w:tc>
          <w:tcPr>
            <w:tcW w:w="2946" w:type="dxa"/>
            <w:tcBorders>
              <w:top w:val="single" w:sz="4" w:space="0" w:color="BFE7FF" w:themeColor="text2" w:themeTint="33"/>
              <w:bottom w:val="single" w:sz="4" w:space="0" w:color="BFE7FF" w:themeColor="text2" w:themeTint="33"/>
            </w:tcBorders>
          </w:tcPr>
          <w:p w14:paraId="5F1C7864" w14:textId="77777777" w:rsidR="00AA5419" w:rsidRPr="00D43B80" w:rsidRDefault="00AA5419"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10.1080/13607863.2017.1358354","ISSN":"1360-7863","author":[{"dropping-particle":"","family":"Fang","given":"Yang","non-dropping-particle":"","parse-names":false,"suffix":""},{"dropping-particle":"","family":"Chau","given":"Anson K. C.","non-dropping-particle":"","parse-names":false,"suffix":""},{"dropping-particle":"","family":"Wong","given":"Anna","non-dropping-particle":"","parse-names":false,"suffix":""},{"dropping-particle":"","family":"Fung","given":"Helene H.","non-dropping-particle":"","parse-names":false,"suffix":""},{"dropping-particle":"","family":"Woo","given":"Jean","non-dropping-particle":"","parse-names":false,"suffix":""}],"container-title":"Aging &amp; Mental Health","id":"ITEM-1","issue":"11","issued":{"date-parts":[["2018","11","2"]]},"page":"1516-1524","title":"Information and communicative technology use enhances psychological well-being of older adults: the roles of age, social connectedness, and frailty status","type":"article-journal","volume":"22"},"uris":["http://www.mendeley.com/documents/?uuid=be6ed3f3-b6a9-3ec7-b73f-9d7464350f71"]}],"mendeley":{"formattedCitation":"(Fang et al. 2018)","plainTextFormattedCitation":"(Fang et al. 2018)","previouslyFormattedCitation":"(Fang et al. 2018)"},"properties":{"noteIndex":0},"schema":"https://github.com/citation-style-language/schema/raw/master/csl-citation.json"}</w:instrText>
            </w:r>
            <w:r w:rsidRPr="00D43B80">
              <w:rPr>
                <w:rFonts w:eastAsia="Calibri"/>
              </w:rPr>
              <w:fldChar w:fldCharType="separate"/>
            </w:r>
            <w:r w:rsidRPr="00D43B80">
              <w:rPr>
                <w:rFonts w:eastAsia="Calibri"/>
                <w:noProof/>
              </w:rPr>
              <w:t>(Fang et al. 2018)</w:t>
            </w:r>
            <w:r w:rsidRPr="00D43B80">
              <w:rPr>
                <w:rFonts w:eastAsia="Calibri"/>
              </w:rPr>
              <w:fldChar w:fldCharType="end"/>
            </w:r>
          </w:p>
        </w:tc>
      </w:tr>
      <w:tr w:rsidR="00D1760E" w:rsidRPr="00D43B80" w14:paraId="6258788E" w14:textId="77777777" w:rsidTr="00D666B4">
        <w:tc>
          <w:tcPr>
            <w:tcW w:w="2252" w:type="dxa"/>
            <w:tcBorders>
              <w:top w:val="single" w:sz="4" w:space="0" w:color="BFE7FF" w:themeColor="text2" w:themeTint="33"/>
              <w:bottom w:val="nil"/>
            </w:tcBorders>
            <w:shd w:val="clear" w:color="auto" w:fill="F2F2F2" w:themeFill="background1" w:themeFillShade="F2"/>
          </w:tcPr>
          <w:p w14:paraId="54F97ED6" w14:textId="77777777" w:rsidR="00AA5419" w:rsidRPr="00D43B80" w:rsidRDefault="00AA5419" w:rsidP="00D1760E">
            <w:pPr>
              <w:pStyle w:val="Tabletextsmall"/>
              <w:rPr>
                <w:rFonts w:cstheme="minorHAnsi"/>
                <w:bCs/>
              </w:rPr>
            </w:pPr>
            <w:r w:rsidRPr="00D43B80">
              <w:rPr>
                <w:rFonts w:cstheme="minorHAnsi"/>
                <w:bCs/>
              </w:rPr>
              <w:t>Participation</w:t>
            </w:r>
          </w:p>
        </w:tc>
        <w:tc>
          <w:tcPr>
            <w:tcW w:w="1518" w:type="dxa"/>
            <w:tcBorders>
              <w:top w:val="single" w:sz="4" w:space="0" w:color="BFE7FF" w:themeColor="text2" w:themeTint="33"/>
              <w:bottom w:val="nil"/>
            </w:tcBorders>
            <w:shd w:val="clear" w:color="auto" w:fill="F2F2F2" w:themeFill="background1" w:themeFillShade="F2"/>
          </w:tcPr>
          <w:p w14:paraId="0283C238" w14:textId="77777777" w:rsidR="00AA5419" w:rsidRPr="00D43B80" w:rsidRDefault="00AA5419" w:rsidP="00D1760E">
            <w:pPr>
              <w:pStyle w:val="Tabletextsmall"/>
              <w:rPr>
                <w:rFonts w:cstheme="minorHAnsi"/>
              </w:rPr>
            </w:pPr>
            <w:r w:rsidRPr="00D43B80">
              <w:rPr>
                <w:rFonts w:cstheme="minorHAnsi"/>
              </w:rPr>
              <w:t>Variable</w:t>
            </w:r>
          </w:p>
        </w:tc>
        <w:tc>
          <w:tcPr>
            <w:tcW w:w="1164" w:type="dxa"/>
            <w:tcBorders>
              <w:top w:val="single" w:sz="4" w:space="0" w:color="BFE7FF" w:themeColor="text2" w:themeTint="33"/>
              <w:bottom w:val="nil"/>
            </w:tcBorders>
            <w:shd w:val="clear" w:color="auto" w:fill="F2F2F2" w:themeFill="background1" w:themeFillShade="F2"/>
          </w:tcPr>
          <w:p w14:paraId="13BE9618" w14:textId="77777777" w:rsidR="00AA5419" w:rsidRPr="00D43B80" w:rsidRDefault="00AA5419" w:rsidP="00D1760E">
            <w:pPr>
              <w:pStyle w:val="Tabletextsmall"/>
              <w:rPr>
                <w:rFonts w:cstheme="minorHAnsi"/>
              </w:rPr>
            </w:pPr>
            <w:r w:rsidRPr="00D43B80">
              <w:rPr>
                <w:rFonts w:cstheme="minorHAnsi"/>
              </w:rPr>
              <w:t>Undefined</w:t>
            </w:r>
          </w:p>
        </w:tc>
        <w:tc>
          <w:tcPr>
            <w:tcW w:w="6690" w:type="dxa"/>
            <w:tcBorders>
              <w:top w:val="single" w:sz="4" w:space="0" w:color="BFE7FF" w:themeColor="text2" w:themeTint="33"/>
              <w:bottom w:val="single" w:sz="4" w:space="0" w:color="BFE7FF" w:themeColor="text2" w:themeTint="33"/>
            </w:tcBorders>
            <w:shd w:val="clear" w:color="auto" w:fill="F2F2F2" w:themeFill="background1" w:themeFillShade="F2"/>
          </w:tcPr>
          <w:p w14:paraId="1190CF98" w14:textId="77777777" w:rsidR="00AA5419" w:rsidRPr="00D43B80" w:rsidRDefault="00AA5419" w:rsidP="00D1760E">
            <w:pPr>
              <w:pStyle w:val="Tabletextsmall"/>
              <w:rPr>
                <w:rFonts w:cstheme="minorHAnsi"/>
              </w:rPr>
            </w:pPr>
            <w:r w:rsidRPr="00D43B80">
              <w:rPr>
                <w:rFonts w:cstheme="minorHAnsi"/>
              </w:rPr>
              <w:t>Improved function and physical health</w:t>
            </w:r>
          </w:p>
        </w:tc>
        <w:tc>
          <w:tcPr>
            <w:tcW w:w="2946" w:type="dxa"/>
            <w:tcBorders>
              <w:top w:val="single" w:sz="4" w:space="0" w:color="BFE7FF" w:themeColor="text2" w:themeTint="33"/>
              <w:bottom w:val="single" w:sz="4" w:space="0" w:color="BFE7FF" w:themeColor="text2" w:themeTint="33"/>
            </w:tcBorders>
            <w:shd w:val="clear" w:color="auto" w:fill="F2F2F2" w:themeFill="background1" w:themeFillShade="F2"/>
          </w:tcPr>
          <w:p w14:paraId="7B78BF86" w14:textId="77777777" w:rsidR="00AA5419" w:rsidRPr="00D43B80" w:rsidRDefault="00AA5419" w:rsidP="00D1760E">
            <w:pPr>
              <w:pStyle w:val="Tabletextsmall"/>
            </w:pPr>
            <w:r w:rsidRPr="00D43B80">
              <w:rPr>
                <w:rFonts w:eastAsia="Calibri"/>
              </w:rPr>
              <w:fldChar w:fldCharType="begin" w:fldLock="1"/>
            </w:r>
            <w:r w:rsidRPr="00D43B80">
              <w:rPr>
                <w:rFonts w:eastAsia="Calibri"/>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D43B80">
              <w:rPr>
                <w:rFonts w:eastAsia="Calibri"/>
              </w:rPr>
              <w:fldChar w:fldCharType="separate"/>
            </w:r>
            <w:r w:rsidRPr="00D43B80">
              <w:rPr>
                <w:rFonts w:eastAsia="Calibri"/>
                <w:noProof/>
              </w:rPr>
              <w:t>(Carnemolla &amp; Bridge 2018)</w:t>
            </w:r>
            <w:r w:rsidRPr="00D43B80">
              <w:rPr>
                <w:rFonts w:eastAsia="Calibri"/>
              </w:rPr>
              <w:fldChar w:fldCharType="end"/>
            </w:r>
          </w:p>
        </w:tc>
      </w:tr>
      <w:tr w:rsidR="00D1760E" w:rsidRPr="00D43B80" w14:paraId="629BBF1C" w14:textId="77777777" w:rsidTr="00D666B4">
        <w:tc>
          <w:tcPr>
            <w:tcW w:w="2252" w:type="dxa"/>
            <w:tcBorders>
              <w:top w:val="nil"/>
              <w:bottom w:val="nil"/>
            </w:tcBorders>
            <w:shd w:val="clear" w:color="auto" w:fill="F2F2F2" w:themeFill="background1" w:themeFillShade="F2"/>
          </w:tcPr>
          <w:p w14:paraId="7715C99B" w14:textId="77777777" w:rsidR="00AA5419" w:rsidRPr="00D666B4" w:rsidRDefault="00AA5419" w:rsidP="00D1760E">
            <w:pPr>
              <w:pStyle w:val="Tabletextsmall"/>
              <w:rPr>
                <w:rStyle w:val="Invisible"/>
              </w:rPr>
            </w:pPr>
            <w:r w:rsidRPr="00D666B4">
              <w:rPr>
                <w:rStyle w:val="Invisible"/>
              </w:rPr>
              <w:t>Participation</w:t>
            </w:r>
          </w:p>
        </w:tc>
        <w:tc>
          <w:tcPr>
            <w:tcW w:w="1518" w:type="dxa"/>
            <w:tcBorders>
              <w:top w:val="nil"/>
              <w:bottom w:val="nil"/>
            </w:tcBorders>
            <w:shd w:val="clear" w:color="auto" w:fill="F2F2F2" w:themeFill="background1" w:themeFillShade="F2"/>
          </w:tcPr>
          <w:p w14:paraId="19E44056" w14:textId="77777777" w:rsidR="00AA5419" w:rsidRPr="00D666B4" w:rsidRDefault="00AA5419" w:rsidP="00D1760E">
            <w:pPr>
              <w:pStyle w:val="Tabletextsmall"/>
              <w:rPr>
                <w:rStyle w:val="Invisible"/>
              </w:rPr>
            </w:pPr>
            <w:r w:rsidRPr="00D666B4">
              <w:rPr>
                <w:rStyle w:val="Invisible"/>
              </w:rPr>
              <w:t>Variable</w:t>
            </w:r>
          </w:p>
        </w:tc>
        <w:tc>
          <w:tcPr>
            <w:tcW w:w="1164" w:type="dxa"/>
            <w:tcBorders>
              <w:top w:val="nil"/>
              <w:bottom w:val="nil"/>
            </w:tcBorders>
            <w:shd w:val="clear" w:color="auto" w:fill="F2F2F2" w:themeFill="background1" w:themeFillShade="F2"/>
          </w:tcPr>
          <w:p w14:paraId="6484F4FD" w14:textId="77777777" w:rsidR="00AA5419" w:rsidRPr="00D666B4" w:rsidRDefault="00AA5419"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BFE7FF" w:themeColor="text2" w:themeTint="33"/>
            </w:tcBorders>
            <w:shd w:val="clear" w:color="auto" w:fill="F2F2F2" w:themeFill="background1" w:themeFillShade="F2"/>
          </w:tcPr>
          <w:p w14:paraId="5BB76E44" w14:textId="77777777" w:rsidR="00AA5419" w:rsidRPr="00D43B80" w:rsidRDefault="00AA5419" w:rsidP="00D1760E">
            <w:pPr>
              <w:pStyle w:val="Tabletextsmall"/>
              <w:rPr>
                <w:rFonts w:cstheme="minorHAnsi"/>
              </w:rPr>
            </w:pPr>
            <w:r w:rsidRPr="00D43B80">
              <w:rPr>
                <w:rFonts w:cstheme="minorHAnsi"/>
              </w:rPr>
              <w:t>Improved survival rate with AT (from 87% to 94%)</w:t>
            </w:r>
          </w:p>
        </w:tc>
        <w:tc>
          <w:tcPr>
            <w:tcW w:w="2946" w:type="dxa"/>
            <w:tcBorders>
              <w:top w:val="single" w:sz="4" w:space="0" w:color="BFE7FF" w:themeColor="text2" w:themeTint="33"/>
              <w:bottom w:val="single" w:sz="4" w:space="0" w:color="BFE7FF" w:themeColor="text2" w:themeTint="33"/>
            </w:tcBorders>
            <w:shd w:val="clear" w:color="auto" w:fill="F2F2F2" w:themeFill="background1" w:themeFillShade="F2"/>
          </w:tcPr>
          <w:p w14:paraId="270E172C" w14:textId="77777777" w:rsidR="00AA5419" w:rsidRPr="00D43B80" w:rsidRDefault="00AA5419"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{"citationItems":[{"id":"ITEM-1","itemData":{"DOI":"10.1155/2012/680265","ISSN":"2090-2212 (Electronic)","PMID":"21876812","abstract":"Evaluating cost effectiveness of interventions for aging in place is essential for adoption in service settings. We present the cost effectiveness of Advancing Better Living for Elders (ABLE), previously shown in a randomized trial to reduce functional difficulties and mortality in 319 community-dwelling elders. ABLE involved occupational and physical therapy sessions and home modifications to address client-identified functional difficulties, performance goals, and home safety. Incremental cost-effectiveness ratio (ICER), expressed as additional cost to bring about one additional year of life, was calculated. Two models were then developed to account for potential cost differences in implementing ABLE. Probabilistic sensitivity analyses were conducted to account for variations in model parameters. By two years, there were 30 deaths (9: ABLE; 21: control). Additional costs for 1 additional year of life was $13,179 for Model 1 and $14,800 for Model 2. Investment in ABLE may be worthwhile depending on society's willingness to pay.","author":[{"dropping-particle":"","family":"Jutkowitz","given":"Eric","non-dropping-particle":"","parse-names":false,"suffix":""},{"dropping-particle":"","family":"Gitlin","given":"Laura N","non-dropping-particle":"","parse-names":false,"suffix":""},{"dropping-particle":"","family":"Pizzi","given":"Laura T","non-dropping-particle":"","parse-names":false,"suffix":""},{"dropping-particle":"","family":"Lee","given":"Edward","non-dropping-particle":"","parse-names":false,"suffix":""},{"dropping-particle":"","family":"Dennis","given":"Marie P","non-dropping-particle":"","parse-names":false,"suffix":""}],"container-title":"Journal of aging research","id":"ITEM-1","issued":{"date-parts":[["2012"]]},"language":"eng","title":"Cost effectiveness of a home-based intervention that helps functionally vulnerable older adults age in place at home.","type":"article-journal","volume":"2012"},"uris":["http://www.mendeley.com/documents/?uuid=8c380d95-2e8d-4d6a-8265-fec66124c055"]}],"mendeley":{"formattedCitation":"(Jutkowitz et al. 2012)","plainTextFormattedCitation":"(Jutkowitz et al. 2012)","previouslyFormattedCitation":"(Jutkowitz et al. 2012)"},"properties":{"noteIndex":0},"schema":"https://github.com/citation-style-language/schema/raw/master/csl-citation.json"}</w:instrText>
            </w:r>
            <w:r w:rsidRPr="00D43B80">
              <w:rPr>
                <w:rFonts w:eastAsia="Calibri"/>
              </w:rPr>
              <w:fldChar w:fldCharType="separate"/>
            </w:r>
            <w:r w:rsidRPr="00D43B80">
              <w:rPr>
                <w:rFonts w:eastAsia="Calibri"/>
                <w:noProof/>
              </w:rPr>
              <w:t>(Jutkowitz et al. 2012)</w:t>
            </w:r>
            <w:r w:rsidRPr="00D43B80">
              <w:rPr>
                <w:rFonts w:eastAsia="Calibri"/>
              </w:rPr>
              <w:fldChar w:fldCharType="end"/>
            </w:r>
          </w:p>
        </w:tc>
      </w:tr>
      <w:tr w:rsidR="00D1760E" w:rsidRPr="00D43B80" w14:paraId="753F1C95" w14:textId="77777777" w:rsidTr="00D666B4">
        <w:tc>
          <w:tcPr>
            <w:tcW w:w="2252" w:type="dxa"/>
            <w:tcBorders>
              <w:top w:val="nil"/>
              <w:bottom w:val="nil"/>
            </w:tcBorders>
            <w:shd w:val="clear" w:color="auto" w:fill="F2F2F2" w:themeFill="background1" w:themeFillShade="F2"/>
          </w:tcPr>
          <w:p w14:paraId="0BFF83FF" w14:textId="77777777" w:rsidR="00AA5419" w:rsidRPr="00D666B4" w:rsidRDefault="00AA5419" w:rsidP="00D1760E">
            <w:pPr>
              <w:pStyle w:val="Tabletextsmall"/>
              <w:rPr>
                <w:rStyle w:val="Invisible"/>
              </w:rPr>
            </w:pPr>
            <w:r w:rsidRPr="00D666B4">
              <w:rPr>
                <w:rStyle w:val="Invisible"/>
              </w:rPr>
              <w:t>Participation</w:t>
            </w:r>
          </w:p>
        </w:tc>
        <w:tc>
          <w:tcPr>
            <w:tcW w:w="1518" w:type="dxa"/>
            <w:tcBorders>
              <w:top w:val="nil"/>
              <w:bottom w:val="nil"/>
            </w:tcBorders>
            <w:shd w:val="clear" w:color="auto" w:fill="F2F2F2" w:themeFill="background1" w:themeFillShade="F2"/>
          </w:tcPr>
          <w:p w14:paraId="6477738C" w14:textId="77777777" w:rsidR="00AA5419" w:rsidRPr="00D666B4" w:rsidRDefault="00AA5419" w:rsidP="00D1760E">
            <w:pPr>
              <w:pStyle w:val="Tabletextsmall"/>
              <w:rPr>
                <w:rStyle w:val="Invisible"/>
              </w:rPr>
            </w:pPr>
            <w:r w:rsidRPr="00D666B4">
              <w:rPr>
                <w:rStyle w:val="Invisible"/>
              </w:rPr>
              <w:t>Variable</w:t>
            </w:r>
          </w:p>
        </w:tc>
        <w:tc>
          <w:tcPr>
            <w:tcW w:w="1164" w:type="dxa"/>
            <w:tcBorders>
              <w:top w:val="nil"/>
              <w:bottom w:val="nil"/>
            </w:tcBorders>
            <w:shd w:val="clear" w:color="auto" w:fill="F2F2F2" w:themeFill="background1" w:themeFillShade="F2"/>
          </w:tcPr>
          <w:p w14:paraId="5598BE9D" w14:textId="77777777" w:rsidR="00AA5419" w:rsidRPr="00D666B4" w:rsidRDefault="00AA5419"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BFE7FF" w:themeColor="text2" w:themeTint="33"/>
            </w:tcBorders>
            <w:shd w:val="clear" w:color="auto" w:fill="F2F2F2" w:themeFill="background1" w:themeFillShade="F2"/>
          </w:tcPr>
          <w:p w14:paraId="5FD5776F" w14:textId="77777777" w:rsidR="00AA5419" w:rsidRPr="00D43B80" w:rsidRDefault="00AA5419" w:rsidP="00D1760E">
            <w:pPr>
              <w:pStyle w:val="Tabletextsmall"/>
              <w:rPr>
                <w:rFonts w:cstheme="minorHAnsi"/>
              </w:rPr>
            </w:pPr>
            <w:r w:rsidRPr="00D43B80">
              <w:rPr>
                <w:rFonts w:cstheme="minorHAnsi"/>
              </w:rPr>
              <w:t>Reduced social isolation and improved quality of life, improved wellbeing and life satisfaction, improved moods, reduced depression across multiple studies</w:t>
            </w:r>
          </w:p>
        </w:tc>
        <w:tc>
          <w:tcPr>
            <w:tcW w:w="2946" w:type="dxa"/>
            <w:tcBorders>
              <w:top w:val="single" w:sz="4" w:space="0" w:color="BFE7FF" w:themeColor="text2" w:themeTint="33"/>
              <w:bottom w:val="single" w:sz="4" w:space="0" w:color="BFE7FF" w:themeColor="text2" w:themeTint="33"/>
            </w:tcBorders>
            <w:shd w:val="clear" w:color="auto" w:fill="F2F2F2" w:themeFill="background1" w:themeFillShade="F2"/>
          </w:tcPr>
          <w:p w14:paraId="1B53B478" w14:textId="77777777" w:rsidR="00AA5419" w:rsidRPr="00D43B80" w:rsidRDefault="00AA5419"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{"citationItems":[{"id":"ITEM-1","itemData":{"DOI":"10.1016/j.ijmedinf.2015.05.014","ISSN":"1386-5056","abstract":"BACKGROUND: Recently, a number of Information and Communication Technologies have emerged with the aim to provide innovative and efficient ways to help seniors in their daily life and to reduce the cost of healthcare. Studies have been conducted to introduce an assistive technology to support seniors and to investigate the acceptance of these assistive technologies; however, research illustrating the effectiveness of assistive technologies is scant. METHOD: This study undertakes a systematic literature review of ScienceDirect, PubMed, ProQuest and IEEE Explore databases to investigate current empirical studies on the assistive technologies applied in aged care. Our systematic review of an initial set of 2035 studies published from 2000 to 2014 examines the role of assistive technologies in seniors' daily lives, from enhancements in their mobility to improvements in the social connectedness and decreases in readmission to hospitals. RESULTS: This study found eight key issues in aged care that have been targeted by researchers from different disciplines (e.g., ICT, health and social science), namely, dependent living, fall risk, chronic disease, dementia, social isolation, depression, poor well-being, and poor medication management. This paper also identified the assistive technologies that have been proposed to overcome those problems, and we categorised these assistive technologies into six clusters, namely, general ICT, robotics, telemedicine, sensor technology, medication management applications, and video games. In addition, we analyzed the effectiveness of the identified technologies and noted that some technologies can change and enhance seniors' daily lives and relieve their problems. Our analysis showed a significant growth in the number of publications in this area in the past few years. It also showed that most of the studies in this area have been conducted in North America. CONCLUSION: Assistive technologies are a reality and can be applied to improve quality of life, especially among older age groups. This study identified various assistive technologies proposed by ICT researchers to assist the elderly. We also identified the effectiveness of the proposed technologies. This review shows that, although assistive technologies have been positively evaluated, more studies are needed regarding the outcome and effectiveness of these technologies.","author":[{"dropping-particle":"","family":"Khosravi","given":"P","non-dropping-particle":"","parse-names":false,"suffix":""},{"dropping-particle":"","family":"Ghapanchi","given":"A H","non-dropping-particle":"","parse-names":false,"suffix":""}],"container-title":"Int J Med Inform","edition":"2015/07/29","id":"ITEM-1","issue":"1","issued":{"date-parts":[["2016"]]},"language":"eng","note":"1872-8243\nKhosravi, Pouria\nGhapanchi, Amir Hossein\nJournal Article\nReview\nIreland\nInt J Med Inform. 2016 Jan;85(1):17-26. doi: 10.1016/j.ijmedinf.2015.05.014. Epub 2015 Jun 11.","page":"17-26","publisher-place":"School of Information and Communication Technology, Griffith University, Gold Coast, Queensland 4222, Australia. Electronic address: pouria.khosravi@griffithuni.edu.au. School of Information and Communication Technology, Griffith University, Gold Coast, Q","title":"Investigating the effectiveness of technologies applied to assist seniors: A systematic literature review","type":"article-journal","volume":"85"},"uris":["http://www.mendeley.com/documents/?uuid=52d3dee5-55fb-4264-ba54-1b29a1c051c8"]}],"mendeley":{"formattedCitation":"(Khosravi &amp; Ghapanchi 2016)","plainTextFormattedCitation":"(Khosravi &amp; Ghapanchi 2016)","previouslyFormattedCitation":"(Khosravi &amp; Ghapanchi 2016)"},"properties":{"noteIndex":0},"schema":"https://github.com/citation-style-language/schema/raw/master/csl-citation.json"}</w:instrText>
            </w:r>
            <w:r w:rsidRPr="00D43B80">
              <w:rPr>
                <w:rFonts w:eastAsia="Calibri"/>
              </w:rPr>
              <w:fldChar w:fldCharType="separate"/>
            </w:r>
            <w:r w:rsidRPr="00D43B80">
              <w:rPr>
                <w:rFonts w:eastAsia="Calibri"/>
                <w:noProof/>
              </w:rPr>
              <w:t>(Khosravi &amp; Ghapanchi 2016)</w:t>
            </w:r>
            <w:r w:rsidRPr="00D43B80">
              <w:rPr>
                <w:rFonts w:eastAsia="Calibri"/>
              </w:rPr>
              <w:fldChar w:fldCharType="end"/>
            </w:r>
          </w:p>
        </w:tc>
      </w:tr>
      <w:tr w:rsidR="00D1760E" w:rsidRPr="00D43B80" w14:paraId="34C0AFFD" w14:textId="77777777" w:rsidTr="00D666B4">
        <w:tc>
          <w:tcPr>
            <w:tcW w:w="2252" w:type="dxa"/>
            <w:tcBorders>
              <w:top w:val="nil"/>
              <w:bottom w:val="single" w:sz="4" w:space="0" w:color="BFE7FF" w:themeColor="text2" w:themeTint="33"/>
            </w:tcBorders>
            <w:shd w:val="clear" w:color="auto" w:fill="F2F2F2" w:themeFill="background1" w:themeFillShade="F2"/>
          </w:tcPr>
          <w:p w14:paraId="11387ACA" w14:textId="77777777" w:rsidR="00AA5419" w:rsidRPr="00D666B4" w:rsidRDefault="00AA5419" w:rsidP="00D1760E">
            <w:pPr>
              <w:pStyle w:val="Tabletextsmall"/>
              <w:rPr>
                <w:rStyle w:val="Invisible"/>
              </w:rPr>
            </w:pPr>
            <w:r w:rsidRPr="00D666B4">
              <w:rPr>
                <w:rStyle w:val="Invisible"/>
              </w:rPr>
              <w:t>Participation</w:t>
            </w:r>
          </w:p>
        </w:tc>
        <w:tc>
          <w:tcPr>
            <w:tcW w:w="1518" w:type="dxa"/>
            <w:tcBorders>
              <w:top w:val="nil"/>
              <w:bottom w:val="single" w:sz="4" w:space="0" w:color="BFE7FF" w:themeColor="text2" w:themeTint="33"/>
            </w:tcBorders>
            <w:shd w:val="clear" w:color="auto" w:fill="F2F2F2" w:themeFill="background1" w:themeFillShade="F2"/>
          </w:tcPr>
          <w:p w14:paraId="3ECB5832" w14:textId="77777777" w:rsidR="00AA5419" w:rsidRPr="00D666B4" w:rsidRDefault="00AA5419" w:rsidP="00D1760E">
            <w:pPr>
              <w:pStyle w:val="Tabletextsmall"/>
              <w:rPr>
                <w:rStyle w:val="Invisible"/>
              </w:rPr>
            </w:pPr>
            <w:r w:rsidRPr="00D666B4">
              <w:rPr>
                <w:rStyle w:val="Invisible"/>
              </w:rPr>
              <w:t>Variable</w:t>
            </w:r>
          </w:p>
        </w:tc>
        <w:tc>
          <w:tcPr>
            <w:tcW w:w="1164" w:type="dxa"/>
            <w:tcBorders>
              <w:top w:val="nil"/>
              <w:bottom w:val="single" w:sz="4" w:space="0" w:color="BFE7FF" w:themeColor="text2" w:themeTint="33"/>
            </w:tcBorders>
            <w:shd w:val="clear" w:color="auto" w:fill="F2F2F2" w:themeFill="background1" w:themeFillShade="F2"/>
          </w:tcPr>
          <w:p w14:paraId="1A035494" w14:textId="77777777" w:rsidR="00AA5419" w:rsidRPr="00D666B4" w:rsidRDefault="00AA5419"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BFE7FF" w:themeColor="text2" w:themeTint="33"/>
            </w:tcBorders>
            <w:shd w:val="clear" w:color="auto" w:fill="F2F2F2" w:themeFill="background1" w:themeFillShade="F2"/>
          </w:tcPr>
          <w:p w14:paraId="0CD06026" w14:textId="77777777" w:rsidR="00AA5419" w:rsidRPr="00D43B80" w:rsidRDefault="00AA5419" w:rsidP="00D1760E">
            <w:pPr>
              <w:pStyle w:val="Tabletextsmall"/>
              <w:rPr>
                <w:rFonts w:cstheme="minorHAnsi"/>
              </w:rPr>
            </w:pPr>
            <w:r w:rsidRPr="00D43B80">
              <w:rPr>
                <w:rFonts w:cstheme="minorHAnsi"/>
              </w:rPr>
              <w:t>Internet usage increased from 42.3% in the group who reported being very dissatisfied with wellbeing to 55.2% for those who reported being very satisfied with their overall wellbeing</w:t>
            </w:r>
          </w:p>
        </w:tc>
        <w:tc>
          <w:tcPr>
            <w:tcW w:w="2946" w:type="dxa"/>
            <w:tcBorders>
              <w:top w:val="single" w:sz="4" w:space="0" w:color="BFE7FF" w:themeColor="text2" w:themeTint="33"/>
              <w:bottom w:val="single" w:sz="4" w:space="0" w:color="BFE7FF" w:themeColor="text2" w:themeTint="33"/>
            </w:tcBorders>
            <w:shd w:val="clear" w:color="auto" w:fill="F2F2F2" w:themeFill="background1" w:themeFillShade="F2"/>
          </w:tcPr>
          <w:p w14:paraId="310555FE" w14:textId="77777777" w:rsidR="00AA5419" w:rsidRPr="00D43B80" w:rsidRDefault="00AA5419"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{"citationItems":[{"id":"ITEM-1","itemData":{"DOI":"10.1080/03601270902917745","ISSN":"03601277","abstract":"Research indicates that significant groups of older people are using Internet/e-mail technology. Using data from a 2007 random sample of 1,680 New Zealanders aged 65-84, predictors of Internet/e-mail usage and the impact of usage on well-being were investigated. Gender, age, education, household composition, income, and work were significant predictors of Internet/e-mail usage. Significant positive relationships were also found between Internet/e-mail usage, self-rated health, leisure/recreation participation and leadership, and well-being. These research findings suggest that public policies should encourage older people to adopt Internet/e-mail technology to ensure continued participation, learning, and well-being throughout later years. © Taylor &amp; Francis Group, LLC.","author":[{"dropping-particle":"","family":"Koopman-Boyden","given":"Peggy G.","non-dropping-particle":"","parse-names":false,"suffix":""},{"dropping-particle":"","family":"Reid","given":"Sarah L.","non-dropping-particle":"","parse-names":false,"suffix":""}],"container-title":"Educational Gerontology","id":"ITEM-1","issue":"11","issued":{"date-parts":[["2009"]]},"page":"990-1007","title":"Internet/e-mail usage and well-being among 65-84 year olds in new zealand: Policy implications","type":"article-journal","volume":"35"},"uris":["http://www.mendeley.com/documents/?uuid=04116f33-adbb-4c74-af66-f8cd27b43ee0"]}],"mendeley":{"formattedCitation":"(Koopman-Boyden &amp; Reid 2009)","plainTextFormattedCitation":"(Koopman-Boyden &amp; Reid 2009)","previouslyFormattedCitation":"(Koopman-Boyden &amp; Reid 2009)"},"properties":{"noteIndex":0},"schema":"https://github.com/citation-style-language/schema/raw/master/csl-citation.json"}</w:instrText>
            </w:r>
            <w:r w:rsidRPr="00D43B80">
              <w:rPr>
                <w:rFonts w:eastAsia="Calibri"/>
              </w:rPr>
              <w:fldChar w:fldCharType="separate"/>
            </w:r>
            <w:r w:rsidRPr="00D43B80">
              <w:rPr>
                <w:rFonts w:eastAsia="Calibri"/>
                <w:noProof/>
              </w:rPr>
              <w:t>(Koopman-Boyden &amp; Reid 2009)</w:t>
            </w:r>
            <w:r w:rsidRPr="00D43B80">
              <w:rPr>
                <w:rFonts w:eastAsia="Calibri"/>
              </w:rPr>
              <w:fldChar w:fldCharType="end"/>
            </w:r>
          </w:p>
        </w:tc>
      </w:tr>
      <w:tr w:rsidR="00D1760E" w:rsidRPr="00D43B80" w14:paraId="0E67B62B" w14:textId="77777777" w:rsidTr="00D666B4">
        <w:tc>
          <w:tcPr>
            <w:tcW w:w="2252" w:type="dxa"/>
            <w:tcBorders>
              <w:top w:val="single" w:sz="4" w:space="0" w:color="BFE7FF" w:themeColor="text2" w:themeTint="33"/>
              <w:bottom w:val="single" w:sz="4" w:space="0" w:color="BFE7FF" w:themeColor="text2" w:themeTint="33"/>
            </w:tcBorders>
          </w:tcPr>
          <w:p w14:paraId="5F2C5805" w14:textId="77777777" w:rsidR="00D1760E" w:rsidRPr="00D43B80" w:rsidRDefault="00D1760E" w:rsidP="00D1760E">
            <w:pPr>
              <w:pStyle w:val="Tabletextsmall"/>
            </w:pPr>
            <w:r w:rsidRPr="00D43B80">
              <w:t xml:space="preserve">Carer health </w:t>
            </w:r>
            <w:r w:rsidRPr="00D43B80">
              <w:rPr>
                <w:bCs/>
                <w:vertAlign w:val="superscript"/>
              </w:rPr>
              <w:t>2</w:t>
            </w:r>
          </w:p>
        </w:tc>
        <w:tc>
          <w:tcPr>
            <w:tcW w:w="1518" w:type="dxa"/>
            <w:tcBorders>
              <w:top w:val="single" w:sz="4" w:space="0" w:color="BFE7FF" w:themeColor="text2" w:themeTint="33"/>
              <w:bottom w:val="single" w:sz="4" w:space="0" w:color="BFE7FF" w:themeColor="text2" w:themeTint="33"/>
            </w:tcBorders>
          </w:tcPr>
          <w:p w14:paraId="4339B339" w14:textId="2992AF9B" w:rsidR="00D1760E" w:rsidRPr="00D43B80" w:rsidRDefault="00D1760E" w:rsidP="00D1760E">
            <w:pPr>
              <w:pStyle w:val="Tabletextsmall"/>
            </w:pPr>
            <w:r w:rsidRPr="00B22023">
              <w:rPr>
                <w:bCs/>
                <w:szCs w:val="18"/>
              </w:rPr>
              <w:t>No cost data</w:t>
            </w:r>
          </w:p>
        </w:tc>
        <w:tc>
          <w:tcPr>
            <w:tcW w:w="1164" w:type="dxa"/>
            <w:tcBorders>
              <w:top w:val="single" w:sz="4" w:space="0" w:color="BFE7FF" w:themeColor="text2" w:themeTint="33"/>
              <w:bottom w:val="single" w:sz="4" w:space="0" w:color="BFE7FF" w:themeColor="text2" w:themeTint="33"/>
            </w:tcBorders>
          </w:tcPr>
          <w:p w14:paraId="179D71C5" w14:textId="159F9EA9" w:rsidR="00D1760E" w:rsidRPr="00D43B80" w:rsidRDefault="00D1760E" w:rsidP="00D1760E">
            <w:pPr>
              <w:pStyle w:val="Tabletextsmall"/>
            </w:pPr>
            <w:r w:rsidRPr="00746576">
              <w:rPr>
                <w:bCs/>
              </w:rPr>
              <w:t>No data</w:t>
            </w:r>
          </w:p>
        </w:tc>
        <w:tc>
          <w:tcPr>
            <w:tcW w:w="6690" w:type="dxa"/>
            <w:tcBorders>
              <w:top w:val="single" w:sz="4" w:space="0" w:color="BFE7FF" w:themeColor="text2" w:themeTint="33"/>
              <w:bottom w:val="single" w:sz="4" w:space="0" w:color="BFE7FF" w:themeColor="text2" w:themeTint="33"/>
            </w:tcBorders>
          </w:tcPr>
          <w:p w14:paraId="0E2240CD" w14:textId="1EF8A115" w:rsidR="00D1760E" w:rsidRPr="00D43B80" w:rsidRDefault="00D1760E" w:rsidP="00D1760E">
            <w:pPr>
              <w:pStyle w:val="Tabletextsmall"/>
            </w:pPr>
            <w:r w:rsidRPr="00746576">
              <w:rPr>
                <w:bCs/>
              </w:rPr>
              <w:t>No data</w:t>
            </w:r>
          </w:p>
        </w:tc>
        <w:tc>
          <w:tcPr>
            <w:tcW w:w="2946" w:type="dxa"/>
            <w:tcBorders>
              <w:top w:val="single" w:sz="4" w:space="0" w:color="BFE7FF" w:themeColor="text2" w:themeTint="33"/>
              <w:bottom w:val="single" w:sz="4" w:space="0" w:color="BFE7FF" w:themeColor="text2" w:themeTint="33"/>
            </w:tcBorders>
          </w:tcPr>
          <w:p w14:paraId="531CAEB8" w14:textId="77777777" w:rsidR="00D1760E" w:rsidRPr="00D43B80" w:rsidRDefault="00D1760E" w:rsidP="00D1760E">
            <w:pPr>
              <w:pStyle w:val="Tabletextsmall"/>
            </w:pPr>
            <w:r>
              <w:rPr>
                <w:bCs/>
              </w:rPr>
              <w:t>None</w:t>
            </w:r>
          </w:p>
        </w:tc>
      </w:tr>
      <w:tr w:rsidR="00D1760E" w:rsidRPr="00D43B80" w14:paraId="421E437F" w14:textId="77777777" w:rsidTr="00D666B4">
        <w:tc>
          <w:tcPr>
            <w:tcW w:w="2252" w:type="dxa"/>
            <w:tcBorders>
              <w:top w:val="single" w:sz="4" w:space="0" w:color="BFE7FF" w:themeColor="text2" w:themeTint="33"/>
              <w:bottom w:val="nil"/>
            </w:tcBorders>
            <w:shd w:val="clear" w:color="auto" w:fill="F2F2F2" w:themeFill="background1" w:themeFillShade="F2"/>
          </w:tcPr>
          <w:p w14:paraId="3BC4439F" w14:textId="77777777" w:rsidR="00D1760E" w:rsidRPr="00D43B80" w:rsidRDefault="00D1760E" w:rsidP="00D1760E">
            <w:pPr>
              <w:pStyle w:val="Tabletextsmall"/>
              <w:rPr>
                <w:rFonts w:cstheme="minorHAnsi"/>
                <w:bCs/>
              </w:rPr>
            </w:pPr>
            <w:r w:rsidRPr="00D43B80">
              <w:rPr>
                <w:rFonts w:cstheme="minorHAnsi"/>
                <w:bCs/>
              </w:rPr>
              <w:t>OH&amp;S risk including falls</w:t>
            </w:r>
          </w:p>
        </w:tc>
        <w:tc>
          <w:tcPr>
            <w:tcW w:w="1518" w:type="dxa"/>
            <w:tcBorders>
              <w:top w:val="single" w:sz="4" w:space="0" w:color="BFE7FF" w:themeColor="text2" w:themeTint="33"/>
              <w:bottom w:val="nil"/>
            </w:tcBorders>
            <w:shd w:val="clear" w:color="auto" w:fill="F2F2F2" w:themeFill="background1" w:themeFillShade="F2"/>
          </w:tcPr>
          <w:p w14:paraId="736306D9" w14:textId="4D31ABC7" w:rsidR="00D1760E" w:rsidRPr="00D43B80" w:rsidRDefault="00D1760E" w:rsidP="00D1760E">
            <w:pPr>
              <w:pStyle w:val="Tabletextsmall"/>
            </w:pPr>
            <w:r w:rsidRPr="00B22023">
              <w:rPr>
                <w:bCs/>
                <w:szCs w:val="18"/>
              </w:rPr>
              <w:t>No cost data</w:t>
            </w:r>
          </w:p>
        </w:tc>
        <w:tc>
          <w:tcPr>
            <w:tcW w:w="1164" w:type="dxa"/>
            <w:tcBorders>
              <w:top w:val="single" w:sz="4" w:space="0" w:color="BFE7FF" w:themeColor="text2" w:themeTint="33"/>
              <w:bottom w:val="nil"/>
            </w:tcBorders>
            <w:shd w:val="clear" w:color="auto" w:fill="F2F2F2" w:themeFill="background1" w:themeFillShade="F2"/>
          </w:tcPr>
          <w:p w14:paraId="390A95BD" w14:textId="77777777" w:rsidR="00D1760E" w:rsidRPr="00D43B80" w:rsidRDefault="00D1760E" w:rsidP="00D1760E">
            <w:pPr>
              <w:pStyle w:val="Tabletextsmall"/>
            </w:pPr>
            <w:r w:rsidRPr="00D43B80">
              <w:t>Undefined</w:t>
            </w:r>
          </w:p>
        </w:tc>
        <w:tc>
          <w:tcPr>
            <w:tcW w:w="6690" w:type="dxa"/>
            <w:tcBorders>
              <w:top w:val="single" w:sz="4" w:space="0" w:color="BFE7FF" w:themeColor="text2" w:themeTint="33"/>
              <w:bottom w:val="single" w:sz="4" w:space="0" w:color="BFE7FF" w:themeColor="text2" w:themeTint="33"/>
            </w:tcBorders>
            <w:shd w:val="clear" w:color="auto" w:fill="F2F2F2" w:themeFill="background1" w:themeFillShade="F2"/>
          </w:tcPr>
          <w:p w14:paraId="661F4481" w14:textId="77777777" w:rsidR="00D1760E" w:rsidRPr="00D43B80" w:rsidRDefault="00D1760E" w:rsidP="00D1760E">
            <w:pPr>
              <w:pStyle w:val="Tabletextsmall"/>
            </w:pPr>
            <w:r w:rsidRPr="00D43B80">
              <w:t>Reduction in falls and injuries from falls</w:t>
            </w:r>
          </w:p>
        </w:tc>
        <w:tc>
          <w:tcPr>
            <w:tcW w:w="2946" w:type="dxa"/>
            <w:tcBorders>
              <w:top w:val="single" w:sz="4" w:space="0" w:color="BFE7FF" w:themeColor="text2" w:themeTint="33"/>
              <w:bottom w:val="single" w:sz="4" w:space="0" w:color="BFE7FF" w:themeColor="text2" w:themeTint="33"/>
            </w:tcBorders>
            <w:shd w:val="clear" w:color="auto" w:fill="F2F2F2" w:themeFill="background1" w:themeFillShade="F2"/>
          </w:tcPr>
          <w:p w14:paraId="589408B1" w14:textId="77777777" w:rsidR="00D1760E" w:rsidRPr="00D43B80" w:rsidRDefault="00D1760E" w:rsidP="00D1760E">
            <w:pPr>
              <w:pStyle w:val="Tabletextsmall"/>
            </w:pPr>
            <w:r w:rsidRPr="00D43B80">
              <w:rPr>
                <w:rFonts w:eastAsia="Calibri"/>
              </w:rPr>
              <w:fldChar w:fldCharType="begin" w:fldLock="1"/>
            </w:r>
            <w:r w:rsidRPr="00D43B80">
              <w:rPr>
                <w:rFonts w:eastAsia="Calibri"/>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D43B80">
              <w:rPr>
                <w:rFonts w:eastAsia="Calibri"/>
              </w:rPr>
              <w:fldChar w:fldCharType="separate"/>
            </w:r>
            <w:r w:rsidRPr="00D43B80">
              <w:rPr>
                <w:rFonts w:eastAsia="Calibri"/>
                <w:noProof/>
              </w:rPr>
              <w:t>(Carnemolla &amp; Bridge 2018)</w:t>
            </w:r>
            <w:r w:rsidRPr="00D43B80">
              <w:rPr>
                <w:rFonts w:eastAsia="Calibri"/>
              </w:rPr>
              <w:fldChar w:fldCharType="end"/>
            </w:r>
          </w:p>
        </w:tc>
      </w:tr>
      <w:tr w:rsidR="00D1760E" w:rsidRPr="00D43B80" w14:paraId="739F9DF7" w14:textId="77777777" w:rsidTr="00D666B4">
        <w:tc>
          <w:tcPr>
            <w:tcW w:w="2252" w:type="dxa"/>
            <w:tcBorders>
              <w:top w:val="nil"/>
              <w:bottom w:val="nil"/>
            </w:tcBorders>
            <w:shd w:val="clear" w:color="auto" w:fill="F2F2F2" w:themeFill="background1" w:themeFillShade="F2"/>
          </w:tcPr>
          <w:p w14:paraId="1E1026C5" w14:textId="77777777" w:rsidR="00D1760E" w:rsidRPr="00D666B4" w:rsidRDefault="00D1760E" w:rsidP="00D1760E">
            <w:pPr>
              <w:pStyle w:val="Tabletextsmall"/>
              <w:rPr>
                <w:rStyle w:val="Invisible"/>
              </w:rPr>
            </w:pPr>
            <w:r w:rsidRPr="00D666B4">
              <w:rPr>
                <w:rStyle w:val="Invisible"/>
              </w:rPr>
              <w:t>OH&amp;S risk including falls</w:t>
            </w:r>
          </w:p>
        </w:tc>
        <w:tc>
          <w:tcPr>
            <w:tcW w:w="1518" w:type="dxa"/>
            <w:tcBorders>
              <w:top w:val="nil"/>
              <w:bottom w:val="nil"/>
            </w:tcBorders>
            <w:shd w:val="clear" w:color="auto" w:fill="F2F2F2" w:themeFill="background1" w:themeFillShade="F2"/>
          </w:tcPr>
          <w:p w14:paraId="6CAC1FEA" w14:textId="2ACEAF3C" w:rsidR="00D1760E" w:rsidRPr="00D666B4" w:rsidRDefault="00D1760E" w:rsidP="00D1760E">
            <w:pPr>
              <w:pStyle w:val="Tabletextsmall"/>
              <w:rPr>
                <w:rStyle w:val="Invisible"/>
              </w:rPr>
            </w:pPr>
            <w:r w:rsidRPr="00D666B4">
              <w:rPr>
                <w:rStyle w:val="Invisible"/>
              </w:rPr>
              <w:t>No cost data</w:t>
            </w:r>
          </w:p>
        </w:tc>
        <w:tc>
          <w:tcPr>
            <w:tcW w:w="1164" w:type="dxa"/>
            <w:tcBorders>
              <w:top w:val="nil"/>
              <w:bottom w:val="nil"/>
            </w:tcBorders>
            <w:shd w:val="clear" w:color="auto" w:fill="F2F2F2" w:themeFill="background1" w:themeFillShade="F2"/>
          </w:tcPr>
          <w:p w14:paraId="225157BC" w14:textId="04056291" w:rsidR="00D1760E" w:rsidRPr="00D666B4" w:rsidRDefault="00D1760E"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BFE7FF" w:themeColor="text2" w:themeTint="33"/>
            </w:tcBorders>
            <w:shd w:val="clear" w:color="auto" w:fill="F2F2F2" w:themeFill="background1" w:themeFillShade="F2"/>
          </w:tcPr>
          <w:p w14:paraId="259F875D" w14:textId="77777777" w:rsidR="00D1760E" w:rsidRPr="00D43B80" w:rsidRDefault="00D1760E" w:rsidP="00D1760E">
            <w:pPr>
              <w:pStyle w:val="Tabletextsmall"/>
            </w:pPr>
            <w:r w:rsidRPr="00D43B80">
              <w:t>33% reduction in costs associated with falls</w:t>
            </w:r>
          </w:p>
        </w:tc>
        <w:tc>
          <w:tcPr>
            <w:tcW w:w="2946" w:type="dxa"/>
            <w:tcBorders>
              <w:top w:val="single" w:sz="4" w:space="0" w:color="BFE7FF" w:themeColor="text2" w:themeTint="33"/>
              <w:bottom w:val="single" w:sz="4" w:space="0" w:color="BFE7FF" w:themeColor="text2" w:themeTint="33"/>
            </w:tcBorders>
            <w:shd w:val="clear" w:color="auto" w:fill="F2F2F2" w:themeFill="background1" w:themeFillShade="F2"/>
          </w:tcPr>
          <w:p w14:paraId="7418B9DF" w14:textId="77777777" w:rsidR="00D1760E" w:rsidRPr="00D43B80" w:rsidRDefault="00D1760E" w:rsidP="00D1760E">
            <w:pPr>
              <w:pStyle w:val="Tabletextsmall"/>
              <w:rPr>
                <w:rFonts w:eastAsia="Calibri"/>
              </w:rPr>
            </w:pPr>
            <w:r w:rsidRPr="00D43B80">
              <w:rPr>
                <w:rFonts w:eastAsia="Calibri"/>
              </w:rPr>
              <w:fldChar w:fldCharType="begin" w:fldLock="1"/>
            </w:r>
            <w:r w:rsidRPr="00D43B80">
              <w:rPr>
                <w:rFonts w:eastAsia="Calibri"/>
              </w:rPr>
              <w:instrText>ADDIN CSL_CITATION {"citationItems":[{"id":"ITEM-1","itemData":{"DOI":"10.1136/injuryprev-2015-041947","ISSN":"14755785","abstract":"Background Injuries due to falls in the home impose a huge social and economic cost on society. We have previously found important safety benefits of home modifications such as handrails for steps and stairs, grab rails for bathrooms, outside lighting, edging for outside steps and slip-resistant surfacing for outside areas such as decks. Here we assess the economic benefits of these modifications. Methods Using a single-blinded cluster randomised controlled trial, we analysed insurance payments for medically treated home fall injuries as recorded by the national injury insurer. The benefits in terms of the value of disability adjusted life years (DALYs) averted and social costs of injuries saved were extrapolated to a national level and compared with the costs of the intervention. Results An intention-to-treat analysis was carried out. Injury costs per time exposed to the modified homes compared with the unmodified homes showed a reduction in the costs of home fall injuries of 33% (95% CI 5% to 49%). The social benefits of injuries prevented were estimated to be at least six times the costs of the intervention. The benefit–cost ratio can be at least doubled for older people and increased by 60% for those with a prior history of fall injuries. Conclusions This is the first randomised controlled trial to examine the benefits of home modification for reducing fall injury costs in the general population. The results show a convincing economic justification for undertaking relatively low-cost home repairs and installing safety features to prevent falls.","author":[{"dropping-particle":"","family":"Keall","given":"Michael D.","non-dropping-particle":"","parse-names":false,"suffix":""},{"dropping-particle":"","family":"Pierse","given":"Nevil","non-dropping-particle":"","parse-names":false,"suffix":""},{"dropping-particle":"","family":"Howden-Chapman","given":"Philippa","non-dropping-particle":"","parse-names":false,"suffix":""},{"dropping-particle":"","family":"Guria","given":"Jagadish","non-dropping-particle":"","parse-names":false,"suffix":""},{"dropping-particle":"","family":"Cunningham","given":"Chris W.","non-dropping-particle":"","parse-names":false,"suffix":""},{"dropping-particle":"","family":"Baker","given":"Michael G.","non-dropping-particle":"","parse-names":false,"suffix":""}],"container-title":"Injury Prevention","id":"ITEM-1","issue":"1","issued":{"date-parts":[["2017"]]},"page":"22-26","title":"Cost–benefit analysis of fall injuries prevented by a programme of home modifications: A cluster randomised controlled trial","type":"article-journal","volume":"23"},"uris":["http://www.mendeley.com/documents/?uuid=4bd660a5-8771-4849-8fa6-78faa76c69e6"]}],"mendeley":{"formattedCitation":"(Keall et al. 2017)","plainTextFormattedCitation":"(Keall et al. 2017)","previouslyFormattedCitation":"(Keall et al. 2017)"},"properties":{"noteIndex":0},"schema":"https://github.com/citation-style-language/schema/raw/master/csl-citation.json"}</w:instrText>
            </w:r>
            <w:r w:rsidRPr="00D43B80">
              <w:rPr>
                <w:rFonts w:eastAsia="Calibri"/>
              </w:rPr>
              <w:fldChar w:fldCharType="separate"/>
            </w:r>
            <w:r w:rsidRPr="00D43B80">
              <w:rPr>
                <w:rFonts w:eastAsia="Calibri"/>
                <w:noProof/>
              </w:rPr>
              <w:t>(Keall et al. 2017)</w:t>
            </w:r>
            <w:r w:rsidRPr="00D43B80">
              <w:rPr>
                <w:rFonts w:eastAsia="Calibri"/>
              </w:rPr>
              <w:fldChar w:fldCharType="end"/>
            </w:r>
          </w:p>
        </w:tc>
      </w:tr>
      <w:tr w:rsidR="00D1760E" w:rsidRPr="00D43B80" w14:paraId="1BC4D322" w14:textId="77777777" w:rsidTr="00D666B4">
        <w:tc>
          <w:tcPr>
            <w:tcW w:w="2252" w:type="dxa"/>
            <w:tcBorders>
              <w:top w:val="nil"/>
              <w:bottom w:val="single" w:sz="4" w:space="0" w:color="0079C1" w:themeColor="text2"/>
            </w:tcBorders>
            <w:shd w:val="clear" w:color="auto" w:fill="F2F2F2" w:themeFill="background1" w:themeFillShade="F2"/>
          </w:tcPr>
          <w:p w14:paraId="4D7BF39B" w14:textId="77777777" w:rsidR="00D1760E" w:rsidRPr="00D666B4" w:rsidRDefault="00D1760E" w:rsidP="00D1760E">
            <w:pPr>
              <w:pStyle w:val="Tabletextsmall"/>
              <w:rPr>
                <w:rStyle w:val="Invisible"/>
              </w:rPr>
            </w:pPr>
            <w:r w:rsidRPr="00D666B4">
              <w:rPr>
                <w:rStyle w:val="Invisible"/>
              </w:rPr>
              <w:t>OH&amp;S risk including falls</w:t>
            </w:r>
          </w:p>
        </w:tc>
        <w:tc>
          <w:tcPr>
            <w:tcW w:w="1518" w:type="dxa"/>
            <w:tcBorders>
              <w:top w:val="nil"/>
              <w:bottom w:val="single" w:sz="4" w:space="0" w:color="0079C1" w:themeColor="text2"/>
            </w:tcBorders>
            <w:shd w:val="clear" w:color="auto" w:fill="F2F2F2" w:themeFill="background1" w:themeFillShade="F2"/>
          </w:tcPr>
          <w:p w14:paraId="273D6A49" w14:textId="6F8DB987" w:rsidR="00D1760E" w:rsidRPr="00D666B4" w:rsidRDefault="00D1760E" w:rsidP="00D1760E">
            <w:pPr>
              <w:pStyle w:val="Tabletextsmall"/>
              <w:rPr>
                <w:rStyle w:val="Invisible"/>
              </w:rPr>
            </w:pPr>
            <w:r w:rsidRPr="00D666B4">
              <w:rPr>
                <w:rStyle w:val="Invisible"/>
              </w:rPr>
              <w:t>No cost data</w:t>
            </w:r>
          </w:p>
        </w:tc>
        <w:tc>
          <w:tcPr>
            <w:tcW w:w="1164" w:type="dxa"/>
            <w:tcBorders>
              <w:top w:val="nil"/>
              <w:bottom w:val="single" w:sz="4" w:space="0" w:color="0079C1" w:themeColor="text2"/>
            </w:tcBorders>
            <w:shd w:val="clear" w:color="auto" w:fill="F2F2F2" w:themeFill="background1" w:themeFillShade="F2"/>
          </w:tcPr>
          <w:p w14:paraId="7A233859" w14:textId="5DA30BBF" w:rsidR="00D1760E" w:rsidRPr="00D666B4" w:rsidRDefault="00D1760E" w:rsidP="00D1760E">
            <w:pPr>
              <w:pStyle w:val="Tabletextsmall"/>
              <w:rPr>
                <w:rStyle w:val="Invisible"/>
              </w:rPr>
            </w:pPr>
            <w:r w:rsidRPr="00D666B4">
              <w:rPr>
                <w:rStyle w:val="Invisible"/>
              </w:rPr>
              <w:t>Undefined</w:t>
            </w:r>
          </w:p>
        </w:tc>
        <w:tc>
          <w:tcPr>
            <w:tcW w:w="6690" w:type="dxa"/>
            <w:tcBorders>
              <w:top w:val="single" w:sz="4" w:space="0" w:color="BFE7FF" w:themeColor="text2" w:themeTint="33"/>
              <w:bottom w:val="single" w:sz="4" w:space="0" w:color="0079C1" w:themeColor="text2"/>
            </w:tcBorders>
            <w:shd w:val="clear" w:color="auto" w:fill="F2F2F2" w:themeFill="background1" w:themeFillShade="F2"/>
          </w:tcPr>
          <w:p w14:paraId="3435B9A0" w14:textId="77777777" w:rsidR="00D1760E" w:rsidRPr="00D43B80" w:rsidRDefault="00D1760E" w:rsidP="00D1760E">
            <w:pPr>
              <w:pStyle w:val="Tabletextsmall"/>
            </w:pPr>
            <w:r w:rsidRPr="00D43B80">
              <w:t>18% reduction in falls</w:t>
            </w:r>
          </w:p>
        </w:tc>
        <w:tc>
          <w:tcPr>
            <w:tcW w:w="2946" w:type="dxa"/>
            <w:tcBorders>
              <w:top w:val="single" w:sz="4" w:space="0" w:color="BFE7FF" w:themeColor="text2" w:themeTint="33"/>
              <w:bottom w:val="single" w:sz="4" w:space="0" w:color="0079C1" w:themeColor="text2"/>
            </w:tcBorders>
            <w:shd w:val="clear" w:color="auto" w:fill="F2F2F2" w:themeFill="background1" w:themeFillShade="F2"/>
          </w:tcPr>
          <w:p w14:paraId="0C1EFC61" w14:textId="77777777" w:rsidR="00D1760E" w:rsidRPr="00D43B80" w:rsidRDefault="00D1760E" w:rsidP="00D1760E">
            <w:pPr>
              <w:pStyle w:val="Tabletextsmall"/>
            </w:pPr>
            <w:r w:rsidRPr="00D43B80">
              <w:rPr>
                <w:rFonts w:eastAsia="Calibri"/>
              </w:rPr>
              <w:fldChar w:fldCharType="begin" w:fldLock="1"/>
            </w:r>
            <w:r w:rsidRPr="00D43B80">
              <w:rPr>
                <w:rFonts w:eastAsia="Calibri"/>
              </w:rPr>
              <w:instrText>ADDIN CSL_CITATION {"citationItems":[{"id":"ITEM-1","itemData":{"DOI":"10.1016/j.ijmedinf.2015.05.014","ISSN":"1386-5056","abstract":"BACKGROUND: Recently, a number of Information and Communication Technologies have emerged with the aim to provide innovative and efficient ways to help seniors in their daily life and to reduce the cost of healthcare. Studies have been conducted to introduce an assistive technology to support seniors and to investigate the acceptance of these assistive technologies; however, research illustrating the effectiveness of assistive technologies is scant. METHOD: This study undertakes a systematic literature review of ScienceDirect, PubMed, ProQuest and IEEE Explore databases to investigate current empirical studies on the assistive technologies applied in aged care. Our systematic review of an initial set of 2035 studies published from 2000 to 2014 examines the role of assistive technologies in seniors' daily lives, from enhancements in their mobility to improvements in the social connectedness and decreases in readmission to hospitals. RESULTS: This study found eight key issues in aged care that have been targeted by researchers from different disciplines (e.g., ICT, health and social science), namely, dependent living, fall risk, chronic disease, dementia, social isolation, depression, poor well-being, and poor medication management. This paper also identified the assistive technologies that have been proposed to overcome those problems, and we categorised these assistive technologies into six clusters, namely, general ICT, robotics, telemedicine, sensor technology, medication management applications, and video games. In addition, we analyzed the effectiveness of the identified technologies and noted that some technologies can change and enhance seniors' daily lives and relieve their problems. Our analysis showed a significant growth in the number of publications in this area in the past few years. It also showed that most of the studies in this area have been conducted in North America. CONCLUSION: Assistive technologies are a reality and can be applied to improve quality of life, especially among older age groups. This study identified various assistive technologies proposed by ICT researchers to assist the elderly. We also identified the effectiveness of the proposed technologies. This review shows that, although assistive technologies have been positively evaluated, more studies are needed regarding the outcome and effectiveness of these technologies.","author":[{"dropping-particle":"","family":"Khosravi","given":"P","non-dropping-particle":"","parse-names":false,"suffix":""},{"dropping-particle":"","family":"Ghapanchi","given":"A H","non-dropping-particle":"","parse-names":false,"suffix":""}],"container-title":"Int J Med Inform","edition":"2015/07/29","id":"ITEM-1","issue":"1","issued":{"date-parts":[["2016"]]},"language":"eng","note":"1872-8243\nKhosravi, Pouria\nGhapanchi, Amir Hossein\nJournal Article\nReview\nIreland\nInt J Med Inform. 2016 Jan;85(1):17-26. doi: 10.1016/j.ijmedinf.2015.05.014. Epub 2015 Jun 11.","page":"17-26","publisher-place":"School of Information and Communication Technology, Griffith University, Gold Coast, Queensland 4222, Australia. Electronic address: pouria.khosravi@griffithuni.edu.au. School of Information and Communication Technology, Griffith University, Gold Coast, Q","title":"Investigating the effectiveness of technologies applied to assist seniors: A systematic literature review","type":"article-journal","volume":"85"},"uris":["http://www.mendeley.com/documents/?uuid=52d3dee5-55fb-4264-ba54-1b29a1c051c8"]}],"mendeley":{"formattedCitation":"(Khosravi &amp; Ghapanchi 2016)","plainTextFormattedCitation":"(Khosravi &amp; Ghapanchi 2016)","previouslyFormattedCitation":"(Khosravi &amp; Ghapanchi 2016)"},"properties":{"noteIndex":0},"schema":"https://github.com/citation-style-language/schema/raw/master/csl-citation.json"}</w:instrText>
            </w:r>
            <w:r w:rsidRPr="00D43B80">
              <w:rPr>
                <w:rFonts w:eastAsia="Calibri"/>
              </w:rPr>
              <w:fldChar w:fldCharType="separate"/>
            </w:r>
            <w:r w:rsidRPr="00D43B80">
              <w:rPr>
                <w:rFonts w:eastAsia="Calibri"/>
                <w:noProof/>
              </w:rPr>
              <w:t>(Khosravi &amp; Ghapanchi 2016)</w:t>
            </w:r>
            <w:r w:rsidRPr="00D43B80">
              <w:rPr>
                <w:rFonts w:eastAsia="Calibri"/>
              </w:rPr>
              <w:fldChar w:fldCharType="end"/>
            </w:r>
          </w:p>
        </w:tc>
      </w:tr>
    </w:tbl>
    <w:p w14:paraId="56AEEE63" w14:textId="77777777" w:rsidR="00F81E67" w:rsidRPr="00F1750E" w:rsidRDefault="00F81E67" w:rsidP="00CE2F6C">
      <w:pPr>
        <w:pStyle w:val="Note"/>
      </w:pPr>
      <w:r w:rsidRPr="008E680E">
        <w:rPr>
          <w:vertAlign w:val="superscript"/>
        </w:rPr>
        <w:t>2</w:t>
      </w:r>
      <w:r w:rsidRPr="008E680E">
        <w:t xml:space="preserve"> Additional benefits that were examined but were not costed.</w:t>
      </w:r>
    </w:p>
    <w:p w14:paraId="0FFC3D69" w14:textId="634DADA6" w:rsidR="00F81E67" w:rsidRPr="008E680E" w:rsidRDefault="00F81E67" w:rsidP="00CE2F6C">
      <w:pPr>
        <w:pStyle w:val="Note"/>
        <w:rPr>
          <w:b/>
          <w:bCs/>
          <w:szCs w:val="16"/>
        </w:rPr>
      </w:pPr>
      <w:r w:rsidRPr="008E680E">
        <w:rPr>
          <w:b/>
          <w:bCs/>
          <w:szCs w:val="16"/>
        </w:rPr>
        <w:br w:type="page"/>
      </w:r>
    </w:p>
    <w:p w14:paraId="31418137" w14:textId="2129A6BD" w:rsidR="005B3CFF" w:rsidRDefault="00F81E67" w:rsidP="00633A59">
      <w:pPr>
        <w:pStyle w:val="Heading2"/>
      </w:pPr>
      <w:bookmarkStart w:id="106" w:name="_Ref35009590"/>
      <w:bookmarkStart w:id="107" w:name="_Toc34988351"/>
      <w:r w:rsidRPr="008E680E">
        <w:lastRenderedPageBreak/>
        <w:t xml:space="preserve">RER </w:t>
      </w:r>
      <w:r w:rsidRPr="00902628">
        <w:t>summarie</w:t>
      </w:r>
      <w:r w:rsidR="005B3CFF">
        <w:t>s</w:t>
      </w:r>
    </w:p>
    <w:p w14:paraId="03539880" w14:textId="546A7109" w:rsidR="00F81E67" w:rsidRPr="008E680E" w:rsidRDefault="00F81E67" w:rsidP="00633A59">
      <w:bookmarkStart w:id="108" w:name="_Ref40969950"/>
      <w:bookmarkStart w:id="109" w:name="_Toc40622136"/>
      <w:bookmarkStart w:id="110" w:name="_Toc60999935"/>
      <w:r w:rsidRPr="008E680E">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10</w:t>
      </w:r>
      <w:r w:rsidR="00FD5E41">
        <w:fldChar w:fldCharType="end"/>
      </w:r>
      <w:bookmarkEnd w:id="106"/>
      <w:bookmarkEnd w:id="108"/>
      <w:r w:rsidRPr="008E680E">
        <w:t>:</w:t>
      </w:r>
      <w:r w:rsidR="00902628">
        <w:tab/>
      </w:r>
      <w:r w:rsidRPr="008E680E">
        <w:t>Rapid evidence review summaries</w:t>
      </w:r>
      <w:bookmarkEnd w:id="107"/>
      <w:bookmarkEnd w:id="109"/>
      <w:bookmarkEnd w:id="110"/>
    </w:p>
    <w:tbl>
      <w:tblPr>
        <w:tblStyle w:val="AHALight"/>
        <w:tblW w:w="0" w:type="auto"/>
        <w:tblInd w:w="5" w:type="dxa"/>
        <w:tblBorders>
          <w:top w:val="single" w:sz="4" w:space="0" w:color="D9D9D9" w:themeColor="background1" w:themeShade="D9"/>
          <w:left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Caption w:val="table B 10"/>
        <w:tblDescription w:val="rapid evidence review summaries of studies"/>
      </w:tblPr>
      <w:tblGrid>
        <w:gridCol w:w="1246"/>
        <w:gridCol w:w="1159"/>
        <w:gridCol w:w="1134"/>
        <w:gridCol w:w="1418"/>
        <w:gridCol w:w="1134"/>
        <w:gridCol w:w="3978"/>
        <w:gridCol w:w="2698"/>
        <w:gridCol w:w="1798"/>
      </w:tblGrid>
      <w:tr w:rsidR="001245C0" w:rsidRPr="008E680E" w14:paraId="695F372E" w14:textId="77777777" w:rsidTr="00861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90E0F30" w14:textId="77777777" w:rsidR="00F81E67" w:rsidRPr="008E680E" w:rsidRDefault="00F81E67" w:rsidP="00187BC0">
            <w:pPr>
              <w:rPr>
                <w:sz w:val="18"/>
                <w:szCs w:val="18"/>
              </w:rPr>
            </w:pPr>
            <w:r w:rsidRPr="008E680E">
              <w:rPr>
                <w:sz w:val="18"/>
                <w:szCs w:val="18"/>
              </w:rPr>
              <w:t>Short reference</w:t>
            </w:r>
          </w:p>
        </w:tc>
        <w:tc>
          <w:tcPr>
            <w:tcW w:w="1159" w:type="dxa"/>
          </w:tcPr>
          <w:p w14:paraId="6B69701D" w14:textId="77777777"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Benefit type</w:t>
            </w:r>
          </w:p>
        </w:tc>
        <w:tc>
          <w:tcPr>
            <w:tcW w:w="1134" w:type="dxa"/>
          </w:tcPr>
          <w:p w14:paraId="46FF0AE9" w14:textId="663053B0"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Scores</w:t>
            </w:r>
            <w:r w:rsidR="00861912">
              <w:rPr>
                <w:sz w:val="18"/>
                <w:szCs w:val="18"/>
              </w:rPr>
              <w:t xml:space="preserve"> </w:t>
            </w:r>
            <w:r w:rsidRPr="008E680E">
              <w:rPr>
                <w:vertAlign w:val="superscript"/>
              </w:rPr>
              <w:t>1</w:t>
            </w:r>
          </w:p>
        </w:tc>
        <w:tc>
          <w:tcPr>
            <w:tcW w:w="1418" w:type="dxa"/>
          </w:tcPr>
          <w:p w14:paraId="41526895" w14:textId="77777777"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Level of evidence</w:t>
            </w:r>
          </w:p>
        </w:tc>
        <w:tc>
          <w:tcPr>
            <w:tcW w:w="1134" w:type="dxa"/>
          </w:tcPr>
          <w:p w14:paraId="1182F11A" w14:textId="77777777"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Cost/​effect</w:t>
            </w:r>
          </w:p>
        </w:tc>
        <w:tc>
          <w:tcPr>
            <w:tcW w:w="3978" w:type="dxa"/>
          </w:tcPr>
          <w:p w14:paraId="6768252B" w14:textId="77777777"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Evidence statement &amp; full reference</w:t>
            </w:r>
          </w:p>
        </w:tc>
        <w:tc>
          <w:tcPr>
            <w:tcW w:w="2698" w:type="dxa"/>
          </w:tcPr>
          <w:p w14:paraId="2166E1B4" w14:textId="77777777"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 xml:space="preserve">Benefit per year </w:t>
            </w:r>
            <w:r w:rsidRPr="008E680E">
              <w:rPr>
                <w:sz w:val="18"/>
                <w:szCs w:val="18"/>
              </w:rPr>
              <w:br/>
              <w:t>as presented</w:t>
            </w:r>
          </w:p>
        </w:tc>
        <w:tc>
          <w:tcPr>
            <w:tcW w:w="1798" w:type="dxa"/>
          </w:tcPr>
          <w:p w14:paraId="02ED6C45" w14:textId="2A24F760" w:rsidR="00F81E67" w:rsidRPr="008E680E" w:rsidRDefault="00F81E67" w:rsidP="00187BC0">
            <w:pPr>
              <w:cnfStyle w:val="100000000000" w:firstRow="1" w:lastRow="0" w:firstColumn="0" w:lastColumn="0" w:oddVBand="0" w:evenVBand="0" w:oddHBand="0" w:evenHBand="0" w:firstRowFirstColumn="0" w:firstRowLastColumn="0" w:lastRowFirstColumn="0" w:lastRowLastColumn="0"/>
              <w:rPr>
                <w:sz w:val="18"/>
                <w:szCs w:val="18"/>
              </w:rPr>
            </w:pPr>
            <w:r w:rsidRPr="008E680E">
              <w:rPr>
                <w:sz w:val="18"/>
                <w:szCs w:val="18"/>
              </w:rPr>
              <w:t xml:space="preserve">Benefit per year </w:t>
            </w:r>
            <w:r w:rsidRPr="008E680E">
              <w:rPr>
                <w:sz w:val="18"/>
                <w:szCs w:val="18"/>
              </w:rPr>
              <w:br/>
              <w:t>$AUD 2019</w:t>
            </w:r>
            <w:r w:rsidRPr="008E680E">
              <w:rPr>
                <w:sz w:val="18"/>
                <w:szCs w:val="18"/>
              </w:rPr>
              <w:noBreakHyphen/>
              <w:t>20</w:t>
            </w:r>
          </w:p>
        </w:tc>
      </w:tr>
      <w:tr w:rsidR="00F81E67" w:rsidRPr="008E680E" w14:paraId="6685AE2C"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0079C1" w:themeColor="text2"/>
            </w:tcBorders>
          </w:tcPr>
          <w:p w14:paraId="7309DA6D" w14:textId="4DC11FED" w:rsidR="00F81E67" w:rsidRPr="00BA0E0E" w:rsidRDefault="00BA0E0E" w:rsidP="00902628">
            <w:pPr>
              <w:rPr>
                <w:bCs/>
                <w:sz w:val="18"/>
                <w:szCs w:val="18"/>
              </w:rPr>
            </w:pPr>
            <w:r w:rsidRPr="00BA0E0E">
              <w:rPr>
                <w:bCs/>
                <w:sz w:val="18"/>
                <w:szCs w:val="18"/>
              </w:rPr>
              <w:fldChar w:fldCharType="begin" w:fldLock="1"/>
            </w:r>
            <w:r>
              <w:rPr>
                <w:bCs/>
                <w:sz w:val="18"/>
                <w:szCs w:val="18"/>
              </w:rPr>
              <w:instrText>ADDIN CSL_CITATION {"citationItems":[{"id":"ITEM-1","itemData":{"DOI":"10.3390/ijerph16111951","ISSN":"16604601","abstract":"The extent to which housing design can minimise levels of community caregiving has remained largely unmeasured. This paper reports the potential for home modifications to reduce caregiving in the peoples’ homes, particularly older people and people with a disability. It contributes to new knowledge in understanding how housing can play a role in community caregiving and acknowledges the role of the built environment in managing care levels in ageing societies. This paper analyses self-reported care data from 157 Australian community care recipients (average age: 72 years) who had received home modifications within the past 6 months. A before/after comparison of care provided revealed that home modifications reduced hours of care provided by 42% per week. More detailed analysis revealed that the positive association of home modifications with care reduction is stronger with informal care (46% reduction) followed by formal care (16% reduction). These results suggest the role that home modifications, and housing design in general, play in reducing care needs in a community setting.","author":[{"dropping-particle":"","family":"Carnemolla","given":"Phillippa","non-dropping-particle":"","parse-names":false,"suffix":""},{"dropping-particle":"","family":"Bridge","given":"Catherine","non-dropping-particle":"","parse-names":false,"suffix":""}],"container-title":"International Journal of Environmental Research and Public Health","id":"ITEM-1","issue":"11","issued":{"date-parts":[["2019"]]},"title":"Housing design and community care: How home modifications reduce care needs of older people and people with disability","type":"article-journal","volume":"16"},"uris":["http://www.mendeley.com/documents/?uuid=586110c3-96ab-4001-a5ca-b526285929e9"]}],"mendeley":{"formattedCitation":"(Carnemolla &amp; Bridge 2019)","plainTextFormattedCitation":"(Carnemolla &amp; Bridge 2019)","previouslyFormattedCitation":"(Carnemolla &amp; Bridge 2019)"},"properties":{"noteIndex":0},"schema":"https://github.com/citation-style-language/schema/raw/master/csl-citation.json"}</w:instrText>
            </w:r>
            <w:r w:rsidRPr="00BA0E0E">
              <w:rPr>
                <w:bCs/>
                <w:sz w:val="18"/>
                <w:szCs w:val="18"/>
              </w:rPr>
              <w:fldChar w:fldCharType="separate"/>
            </w:r>
            <w:r w:rsidRPr="00BA0E0E">
              <w:rPr>
                <w:bCs/>
                <w:noProof/>
                <w:sz w:val="18"/>
                <w:szCs w:val="18"/>
              </w:rPr>
              <w:t>(Carnemolla &amp; Bridge 2019)</w:t>
            </w:r>
            <w:r w:rsidRPr="00BA0E0E">
              <w:rPr>
                <w:bCs/>
                <w:sz w:val="18"/>
                <w:szCs w:val="18"/>
              </w:rPr>
              <w:fldChar w:fldCharType="end"/>
            </w:r>
          </w:p>
        </w:tc>
        <w:tc>
          <w:tcPr>
            <w:tcW w:w="1159" w:type="dxa"/>
            <w:tcBorders>
              <w:top w:val="single" w:sz="4" w:space="0" w:color="0079C1" w:themeColor="text2"/>
            </w:tcBorders>
          </w:tcPr>
          <w:p w14:paraId="1A7EB1DC" w14:textId="270F3361" w:rsidR="00F81E67" w:rsidRPr="008E680E" w:rsidRDefault="00F81E67" w:rsidP="00902628">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Paid support work</w:t>
            </w:r>
          </w:p>
        </w:tc>
        <w:tc>
          <w:tcPr>
            <w:tcW w:w="1134" w:type="dxa"/>
            <w:tcBorders>
              <w:top w:val="single" w:sz="4" w:space="0" w:color="0079C1" w:themeColor="text2"/>
            </w:tcBorders>
          </w:tcPr>
          <w:p w14:paraId="097A1639"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1/5</w:t>
            </w:r>
          </w:p>
          <w:p w14:paraId="2BB33F42"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15/22</w:t>
            </w:r>
          </w:p>
        </w:tc>
        <w:tc>
          <w:tcPr>
            <w:tcW w:w="1418" w:type="dxa"/>
            <w:tcBorders>
              <w:top w:val="single" w:sz="4" w:space="0" w:color="0079C1" w:themeColor="text2"/>
            </w:tcBorders>
          </w:tcPr>
          <w:p w14:paraId="168E8372"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3</w:t>
            </w:r>
          </w:p>
          <w:p w14:paraId="7455764A"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 xml:space="preserve">Mixed methods explorative cohort study </w:t>
            </w:r>
          </w:p>
        </w:tc>
        <w:tc>
          <w:tcPr>
            <w:tcW w:w="1134" w:type="dxa"/>
            <w:tcBorders>
              <w:top w:val="single" w:sz="4" w:space="0" w:color="0079C1" w:themeColor="text2"/>
            </w:tcBorders>
          </w:tcPr>
          <w:p w14:paraId="0DA7F8D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 only</w:t>
            </w:r>
          </w:p>
        </w:tc>
        <w:tc>
          <w:tcPr>
            <w:tcW w:w="3978" w:type="dxa"/>
            <w:tcBorders>
              <w:top w:val="single" w:sz="4" w:space="0" w:color="0079C1" w:themeColor="text2"/>
            </w:tcBorders>
          </w:tcPr>
          <w:p w14:paraId="0001D847" w14:textId="0EC730BE"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Across a variety of home modifications (from minor to major) there was an average reduction of 0.36 hours per week of formal carer hours (n=157, 95% CI 0.02 to 0.7 hours, p=0.04), n=157Carnemolla,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(2019).</w:t>
            </w:r>
            <w:r w:rsidR="004511B3">
              <w:rPr>
                <w:sz w:val="18"/>
                <w:szCs w:val="18"/>
              </w:rPr>
              <w:t xml:space="preserve"> </w:t>
            </w:r>
            <w:r w:rsidRPr="008E680E">
              <w:rPr>
                <w:sz w:val="18"/>
                <w:szCs w:val="18"/>
              </w:rPr>
              <w:t>"Housing design and community care: How home modifications reduce care needs of older people and people with disability." International journal of environmental research and public health 16(11): 1951.</w:t>
            </w:r>
          </w:p>
        </w:tc>
        <w:tc>
          <w:tcPr>
            <w:tcW w:w="2698" w:type="dxa"/>
            <w:tcBorders>
              <w:top w:val="single" w:sz="4" w:space="0" w:color="0079C1" w:themeColor="text2"/>
            </w:tcBorders>
          </w:tcPr>
          <w:p w14:paraId="61D2C78D"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Reduction in formal care hours by 0.36 per week or 18.72 per year</w:t>
            </w:r>
          </w:p>
        </w:tc>
        <w:tc>
          <w:tcPr>
            <w:tcW w:w="1798" w:type="dxa"/>
            <w:tcBorders>
              <w:top w:val="single" w:sz="4" w:space="0" w:color="0079C1" w:themeColor="text2"/>
            </w:tcBorders>
          </w:tcPr>
          <w:p w14:paraId="6E3E490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18.72 hours per year costed at $48.96 per hour = annual cost saving of $916.53</w:t>
            </w:r>
          </w:p>
        </w:tc>
      </w:tr>
      <w:tr w:rsidR="00F81E67" w:rsidRPr="008E680E" w14:paraId="0A3D32A8"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582307AA" w14:textId="0F24E378" w:rsidR="00F81E67" w:rsidRPr="008E680E" w:rsidRDefault="00BA0E0E" w:rsidP="00902628">
            <w:pPr>
              <w:rPr>
                <w:sz w:val="18"/>
                <w:szCs w:val="18"/>
              </w:rPr>
            </w:pPr>
            <w:r w:rsidRPr="00BA0E0E">
              <w:rPr>
                <w:bCs/>
                <w:sz w:val="18"/>
                <w:szCs w:val="18"/>
              </w:rPr>
              <w:fldChar w:fldCharType="begin" w:fldLock="1"/>
            </w:r>
            <w:r>
              <w:rPr>
                <w:bCs/>
                <w:sz w:val="18"/>
                <w:szCs w:val="18"/>
              </w:rPr>
              <w:instrText>ADDIN CSL_CITATION {"citationItems":[{"id":"ITEM-1","itemData":{"DOI":"10.3390/ijerph16111951","ISSN":"16604601","abstract":"The extent to which housing design can minimise levels of community caregiving has remained largely unmeasured. This paper reports the potential for home modifications to reduce caregiving in the peoples’ homes, particularly older people and people with a disability. It contributes to new knowledge in understanding how housing can play a role in community caregiving and acknowledges the role of the built environment in managing care levels in ageing societies. This paper analyses self-reported care data from 157 Australian community care recipients (average age: 72 years) who had received home modifications within the past 6 months. A before/after comparison of care provided revealed that home modifications reduced hours of care provided by 42% per week. More detailed analysis revealed that the positive association of home modifications with care reduction is stronger with informal care (46% reduction) followed by formal care (16% reduction). These results suggest the role that home modifications, and housing design in general, play in reducing care needs in a community setting.","author":[{"dropping-particle":"","family":"Carnemolla","given":"Phillippa","non-dropping-particle":"","parse-names":false,"suffix":""},{"dropping-particle":"","family":"Bridge","given":"Catherine","non-dropping-particle":"","parse-names":false,"suffix":""}],"container-title":"International Journal of Environmental Research and Public Health","id":"ITEM-1","issue":"11","issued":{"date-parts":[["2019"]]},"title":"Housing design and community care: How home modifications reduce care needs of older people and people with disability","type":"article-journal","volume":"16"},"uris":["http://www.mendeley.com/documents/?uuid=586110c3-96ab-4001-a5ca-b526285929e9"]}],"mendeley":{"formattedCitation":"(Carnemolla &amp; Bridge 2019)","plainTextFormattedCitation":"(Carnemolla &amp; Bridge 2019)","previouslyFormattedCitation":"(Carnemolla &amp; Bridge 2019)"},"properties":{"noteIndex":0},"schema":"https://github.com/citation-style-language/schema/raw/master/csl-citation.json"}</w:instrText>
            </w:r>
            <w:r w:rsidRPr="00BA0E0E">
              <w:rPr>
                <w:bCs/>
                <w:sz w:val="18"/>
                <w:szCs w:val="18"/>
              </w:rPr>
              <w:fldChar w:fldCharType="separate"/>
            </w:r>
            <w:r w:rsidRPr="00BA0E0E">
              <w:rPr>
                <w:bCs/>
                <w:noProof/>
                <w:sz w:val="18"/>
                <w:szCs w:val="18"/>
              </w:rPr>
              <w:t>(Carnemolla &amp; Bridge 2019)</w:t>
            </w:r>
            <w:r w:rsidRPr="00BA0E0E">
              <w:rPr>
                <w:bCs/>
                <w:sz w:val="18"/>
                <w:szCs w:val="18"/>
              </w:rPr>
              <w:fldChar w:fldCharType="end"/>
            </w:r>
          </w:p>
        </w:tc>
        <w:tc>
          <w:tcPr>
            <w:tcW w:w="1159" w:type="dxa"/>
          </w:tcPr>
          <w:p w14:paraId="42EA170C" w14:textId="780AD9C8" w:rsidR="00F81E67" w:rsidRPr="008E680E" w:rsidRDefault="00F81E67" w:rsidP="00902628">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Unpaid support work</w:t>
            </w:r>
          </w:p>
        </w:tc>
        <w:tc>
          <w:tcPr>
            <w:tcW w:w="1134" w:type="dxa"/>
          </w:tcPr>
          <w:p w14:paraId="2983013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1/5</w:t>
            </w:r>
          </w:p>
          <w:p w14:paraId="21D1D334"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15/22</w:t>
            </w:r>
          </w:p>
        </w:tc>
        <w:tc>
          <w:tcPr>
            <w:tcW w:w="1418" w:type="dxa"/>
          </w:tcPr>
          <w:p w14:paraId="09A024EC"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3</w:t>
            </w:r>
          </w:p>
          <w:p w14:paraId="5FB51998"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Mixed methods explorative cohort study</w:t>
            </w:r>
          </w:p>
        </w:tc>
        <w:tc>
          <w:tcPr>
            <w:tcW w:w="1134" w:type="dxa"/>
          </w:tcPr>
          <w:p w14:paraId="41A3CE5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Effect only</w:t>
            </w:r>
          </w:p>
        </w:tc>
        <w:tc>
          <w:tcPr>
            <w:tcW w:w="3978" w:type="dxa"/>
          </w:tcPr>
          <w:p w14:paraId="442F8538"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Across a variety of home modifications (from minor to major) there was an average reduction of 6 hours per week of informal carer hours (n=157, 95% CI 4.12 to 7.8 hours, p&lt;0.00), n=157</w:t>
            </w:r>
          </w:p>
          <w:p w14:paraId="6E169639" w14:textId="4D7E7846"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(2019).</w:t>
            </w:r>
            <w:r w:rsidR="004511B3">
              <w:rPr>
                <w:sz w:val="18"/>
                <w:szCs w:val="18"/>
              </w:rPr>
              <w:t xml:space="preserve"> </w:t>
            </w:r>
            <w:r w:rsidRPr="008E680E">
              <w:rPr>
                <w:sz w:val="18"/>
                <w:szCs w:val="18"/>
              </w:rPr>
              <w:t>"Housing design and community care: How home modifications reduce care needs of older people and people with disability." International journal of environmental research and public health 16(11): 1951.</w:t>
            </w:r>
          </w:p>
        </w:tc>
        <w:tc>
          <w:tcPr>
            <w:tcW w:w="2698" w:type="dxa"/>
          </w:tcPr>
          <w:p w14:paraId="738E039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Reduction in informal care hours by 6 per week or 312 per year</w:t>
            </w:r>
          </w:p>
        </w:tc>
        <w:tc>
          <w:tcPr>
            <w:tcW w:w="1798" w:type="dxa"/>
          </w:tcPr>
          <w:p w14:paraId="2A2C8D8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312 hours per year costed at $19.49 per hour = annual cost saving of $6,080.88</w:t>
            </w:r>
          </w:p>
        </w:tc>
      </w:tr>
      <w:tr w:rsidR="00F81E67" w:rsidRPr="008E680E" w14:paraId="5A5C5382"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1E2A029D" w14:textId="28305EDB" w:rsidR="00F81E67" w:rsidRPr="00BA0E0E" w:rsidRDefault="00BA0E0E" w:rsidP="00902628">
            <w:pPr>
              <w:rPr>
                <w:bCs/>
                <w:sz w:val="18"/>
                <w:szCs w:val="18"/>
              </w:rPr>
            </w:pPr>
            <w:r w:rsidRPr="00BA0E0E">
              <w:rPr>
                <w:bCs/>
                <w:sz w:val="18"/>
                <w:szCs w:val="18"/>
              </w:rPr>
              <w:fldChar w:fldCharType="begin" w:fldLock="1"/>
            </w:r>
            <w:r>
              <w:rPr>
                <w:bCs/>
                <w:sz w:val="18"/>
                <w:szCs w:val="18"/>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BA0E0E">
              <w:rPr>
                <w:bCs/>
                <w:sz w:val="18"/>
                <w:szCs w:val="18"/>
              </w:rPr>
              <w:fldChar w:fldCharType="separate"/>
            </w:r>
            <w:r w:rsidRPr="00BA0E0E">
              <w:rPr>
                <w:bCs/>
                <w:noProof/>
                <w:sz w:val="18"/>
                <w:szCs w:val="18"/>
              </w:rPr>
              <w:t>(Carnemolla &amp; Bridge 2018)</w:t>
            </w:r>
            <w:r w:rsidRPr="00BA0E0E">
              <w:rPr>
                <w:bCs/>
                <w:sz w:val="18"/>
                <w:szCs w:val="18"/>
              </w:rPr>
              <w:fldChar w:fldCharType="end"/>
            </w:r>
          </w:p>
        </w:tc>
        <w:tc>
          <w:tcPr>
            <w:tcW w:w="1159" w:type="dxa"/>
          </w:tcPr>
          <w:p w14:paraId="65E41CE2" w14:textId="4A926006" w:rsidR="00F81E67" w:rsidRPr="008E680E" w:rsidRDefault="00F81E67" w:rsidP="00902628">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Combined benefit from systematic review</w:t>
            </w:r>
          </w:p>
        </w:tc>
        <w:tc>
          <w:tcPr>
            <w:tcW w:w="1134" w:type="dxa"/>
          </w:tcPr>
          <w:p w14:paraId="7B34FB77" w14:textId="00B210F4"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No ROB or CHEERS</w:t>
            </w:r>
            <w:r w:rsidR="00861912">
              <w:rPr>
                <w:sz w:val="18"/>
                <w:szCs w:val="18"/>
              </w:rPr>
              <w:t xml:space="preserve"> – </w:t>
            </w:r>
            <w:r w:rsidRPr="008E680E">
              <w:rPr>
                <w:sz w:val="18"/>
                <w:szCs w:val="18"/>
              </w:rPr>
              <w:t>this paper used the PRIMSA for quality of reporting</w:t>
            </w:r>
          </w:p>
        </w:tc>
        <w:tc>
          <w:tcPr>
            <w:tcW w:w="1418" w:type="dxa"/>
          </w:tcPr>
          <w:p w14:paraId="3A9FFD9D"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1</w:t>
            </w:r>
          </w:p>
          <w:p w14:paraId="26D153C4"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Systematic review</w:t>
            </w:r>
          </w:p>
        </w:tc>
        <w:tc>
          <w:tcPr>
            <w:tcW w:w="1134" w:type="dxa"/>
          </w:tcPr>
          <w:p w14:paraId="478756FA"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General effect only</w:t>
            </w:r>
          </w:p>
        </w:tc>
        <w:tc>
          <w:tcPr>
            <w:tcW w:w="3978" w:type="dxa"/>
          </w:tcPr>
          <w:p w14:paraId="2E208751" w14:textId="70B2F34D"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 systematic review in the RER included seven studies on cost-effectiveness of home modifications.</w:t>
            </w:r>
            <w:r w:rsidR="004511B3">
              <w:rPr>
                <w:sz w:val="18"/>
                <w:szCs w:val="18"/>
              </w:rPr>
              <w:t xml:space="preserve"> </w:t>
            </w:r>
            <w:r w:rsidRPr="008E680E">
              <w:rPr>
                <w:sz w:val="18"/>
                <w:szCs w:val="18"/>
              </w:rPr>
              <w:t>3 older studies (all published in 2000) reported not being cost-effective.</w:t>
            </w:r>
            <w:r w:rsidR="004511B3">
              <w:rPr>
                <w:sz w:val="18"/>
                <w:szCs w:val="18"/>
              </w:rPr>
              <w:t xml:space="preserve"> </w:t>
            </w:r>
            <w:r w:rsidRPr="008E680E">
              <w:rPr>
                <w:sz w:val="18"/>
                <w:szCs w:val="18"/>
              </w:rPr>
              <w:t>4</w:t>
            </w:r>
            <w:r w:rsidR="006B0BD2">
              <w:rPr>
                <w:sz w:val="18"/>
                <w:szCs w:val="18"/>
              </w:rPr>
              <w:t> </w:t>
            </w:r>
            <w:r w:rsidRPr="008E680E">
              <w:rPr>
                <w:sz w:val="18"/>
                <w:szCs w:val="18"/>
              </w:rPr>
              <w:t>newer studies published 1999, 2011, 2004 and 2007) reported being cost-effective.</w:t>
            </w:r>
            <w:r w:rsidR="004511B3">
              <w:rPr>
                <w:sz w:val="18"/>
                <w:szCs w:val="18"/>
              </w:rPr>
              <w:t xml:space="preserve"> </w:t>
            </w:r>
            <w:r w:rsidRPr="008E680E">
              <w:rPr>
                <w:sz w:val="18"/>
                <w:szCs w:val="18"/>
              </w:rPr>
              <w:t>Have included one of these studies into this RER as it meets the criteria (Jutkowitz, 2012).</w:t>
            </w:r>
          </w:p>
          <w:p w14:paraId="30F407BE" w14:textId="61DC63B2"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(2018).</w:t>
            </w:r>
            <w:r w:rsidR="004511B3">
              <w:rPr>
                <w:sz w:val="18"/>
                <w:szCs w:val="18"/>
              </w:rPr>
              <w:t xml:space="preserve"> </w:t>
            </w:r>
            <w:r w:rsidRPr="008E680E">
              <w:rPr>
                <w:sz w:val="18"/>
                <w:szCs w:val="18"/>
              </w:rPr>
              <w:t>"A scoping review of home modification interventions–Mapping the evidence base." Indoor and Built Environment: 1420326X18761112.</w:t>
            </w:r>
          </w:p>
        </w:tc>
        <w:tc>
          <w:tcPr>
            <w:tcW w:w="2698" w:type="dxa"/>
          </w:tcPr>
          <w:p w14:paraId="1CD9CB4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6A585907"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3347FE8B"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4CC5B79D" w14:textId="49C5F2CC" w:rsidR="00F81E67" w:rsidRPr="008E680E" w:rsidRDefault="00BA0E0E" w:rsidP="00902628">
            <w:pPr>
              <w:rPr>
                <w:sz w:val="18"/>
                <w:szCs w:val="18"/>
              </w:rPr>
            </w:pPr>
            <w:r w:rsidRPr="00BA0E0E">
              <w:rPr>
                <w:bCs/>
                <w:sz w:val="18"/>
                <w:szCs w:val="18"/>
              </w:rPr>
              <w:lastRenderedPageBreak/>
              <w:fldChar w:fldCharType="begin" w:fldLock="1"/>
            </w:r>
            <w:r>
              <w:rPr>
                <w:bCs/>
                <w:sz w:val="18"/>
                <w:szCs w:val="18"/>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BA0E0E">
              <w:rPr>
                <w:bCs/>
                <w:sz w:val="18"/>
                <w:szCs w:val="18"/>
              </w:rPr>
              <w:fldChar w:fldCharType="separate"/>
            </w:r>
            <w:r w:rsidRPr="00BA0E0E">
              <w:rPr>
                <w:bCs/>
                <w:noProof/>
                <w:sz w:val="18"/>
                <w:szCs w:val="18"/>
              </w:rPr>
              <w:t>(Carnemolla &amp; Bridge 2018)</w:t>
            </w:r>
            <w:r w:rsidRPr="00BA0E0E">
              <w:rPr>
                <w:bCs/>
                <w:sz w:val="18"/>
                <w:szCs w:val="18"/>
              </w:rPr>
              <w:fldChar w:fldCharType="end"/>
            </w:r>
          </w:p>
        </w:tc>
        <w:tc>
          <w:tcPr>
            <w:tcW w:w="1159" w:type="dxa"/>
          </w:tcPr>
          <w:p w14:paraId="5821D5CE"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Wellbeing</w:t>
            </w:r>
          </w:p>
        </w:tc>
        <w:tc>
          <w:tcPr>
            <w:tcW w:w="1134" w:type="dxa"/>
          </w:tcPr>
          <w:p w14:paraId="25141C86" w14:textId="74D6E56F"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No ROB or CHEERS</w:t>
            </w:r>
            <w:r w:rsidR="00861912">
              <w:rPr>
                <w:sz w:val="18"/>
                <w:szCs w:val="18"/>
              </w:rPr>
              <w:t xml:space="preserve"> – </w:t>
            </w:r>
            <w:r w:rsidRPr="008E680E">
              <w:rPr>
                <w:sz w:val="18"/>
                <w:szCs w:val="18"/>
              </w:rPr>
              <w:t>this paper used the PRIMSA for quality of reporting</w:t>
            </w:r>
          </w:p>
        </w:tc>
        <w:tc>
          <w:tcPr>
            <w:tcW w:w="1418" w:type="dxa"/>
          </w:tcPr>
          <w:p w14:paraId="0F970E9C"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1</w:t>
            </w:r>
          </w:p>
          <w:p w14:paraId="3118268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Systematic review</w:t>
            </w:r>
          </w:p>
        </w:tc>
        <w:tc>
          <w:tcPr>
            <w:tcW w:w="1134" w:type="dxa"/>
          </w:tcPr>
          <w:p w14:paraId="068BCBB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Effect only</w:t>
            </w:r>
          </w:p>
        </w:tc>
        <w:tc>
          <w:tcPr>
            <w:tcW w:w="3978" w:type="dxa"/>
          </w:tcPr>
          <w:p w14:paraId="3C11D7F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Systematic review paper: Based on two systematic reviews and 5 RCTs and 15 quasi-experimental studies there was consistent evidence that home modifications had a relationship with improved function.</w:t>
            </w:r>
          </w:p>
          <w:p w14:paraId="1396B49D" w14:textId="7ECF2CA6"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(2018).</w:t>
            </w:r>
            <w:r w:rsidR="004511B3">
              <w:rPr>
                <w:sz w:val="18"/>
                <w:szCs w:val="18"/>
              </w:rPr>
              <w:t xml:space="preserve"> </w:t>
            </w:r>
            <w:r w:rsidRPr="008E680E">
              <w:rPr>
                <w:sz w:val="18"/>
                <w:szCs w:val="18"/>
              </w:rPr>
              <w:t>"A scoping review of home modification interventions–Mapping the evidence base." Indoor and Built Environment: 1420326X18761112.</w:t>
            </w:r>
          </w:p>
        </w:tc>
        <w:tc>
          <w:tcPr>
            <w:tcW w:w="2698" w:type="dxa"/>
          </w:tcPr>
          <w:p w14:paraId="179BA00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485656A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7095912C"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61984006" w14:textId="70FDAF84" w:rsidR="00F81E67" w:rsidRPr="008E680E" w:rsidRDefault="00BA0E0E" w:rsidP="00902628">
            <w:pPr>
              <w:rPr>
                <w:sz w:val="18"/>
                <w:szCs w:val="18"/>
              </w:rPr>
            </w:pPr>
            <w:r w:rsidRPr="00BA0E0E">
              <w:rPr>
                <w:bCs/>
                <w:sz w:val="18"/>
                <w:szCs w:val="18"/>
              </w:rPr>
              <w:fldChar w:fldCharType="begin" w:fldLock="1"/>
            </w:r>
            <w:r>
              <w:rPr>
                <w:bCs/>
                <w:sz w:val="18"/>
                <w:szCs w:val="18"/>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Pr="00BA0E0E">
              <w:rPr>
                <w:bCs/>
                <w:sz w:val="18"/>
                <w:szCs w:val="18"/>
              </w:rPr>
              <w:fldChar w:fldCharType="separate"/>
            </w:r>
            <w:r w:rsidRPr="00BA0E0E">
              <w:rPr>
                <w:bCs/>
                <w:noProof/>
                <w:sz w:val="18"/>
                <w:szCs w:val="18"/>
              </w:rPr>
              <w:t>(Carnemolla &amp; Bridge 2018)</w:t>
            </w:r>
            <w:r w:rsidRPr="00BA0E0E">
              <w:rPr>
                <w:bCs/>
                <w:sz w:val="18"/>
                <w:szCs w:val="18"/>
              </w:rPr>
              <w:fldChar w:fldCharType="end"/>
            </w:r>
          </w:p>
        </w:tc>
        <w:tc>
          <w:tcPr>
            <w:tcW w:w="1159" w:type="dxa"/>
          </w:tcPr>
          <w:p w14:paraId="28DD227D"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Wellbeing</w:t>
            </w:r>
          </w:p>
        </w:tc>
        <w:tc>
          <w:tcPr>
            <w:tcW w:w="1134" w:type="dxa"/>
          </w:tcPr>
          <w:p w14:paraId="4680D600" w14:textId="189680FC"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No ROB or CHEERS</w:t>
            </w:r>
            <w:r w:rsidR="00861912">
              <w:rPr>
                <w:sz w:val="18"/>
                <w:szCs w:val="18"/>
              </w:rPr>
              <w:t xml:space="preserve"> – </w:t>
            </w:r>
            <w:r w:rsidRPr="008E680E">
              <w:rPr>
                <w:sz w:val="18"/>
                <w:szCs w:val="18"/>
              </w:rPr>
              <w:t>this paper used the PRIMSA for quality of reporting</w:t>
            </w:r>
          </w:p>
        </w:tc>
        <w:tc>
          <w:tcPr>
            <w:tcW w:w="1418" w:type="dxa"/>
          </w:tcPr>
          <w:p w14:paraId="579E8781"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1</w:t>
            </w:r>
          </w:p>
          <w:p w14:paraId="77C140F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Systematic review</w:t>
            </w:r>
          </w:p>
        </w:tc>
        <w:tc>
          <w:tcPr>
            <w:tcW w:w="1134" w:type="dxa"/>
          </w:tcPr>
          <w:p w14:paraId="4BE65384"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 only</w:t>
            </w:r>
          </w:p>
        </w:tc>
        <w:tc>
          <w:tcPr>
            <w:tcW w:w="3978" w:type="dxa"/>
          </w:tcPr>
          <w:p w14:paraId="5E1EDEAB"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Systematic review paper: Based on variable low to medium levels of evidence in the systematic review, it was reported that home modifications had a positive effect for physical health and wellbeing (2 RCTs), ageing (low-level evidence) and social participation (low-level evidence)</w:t>
            </w:r>
          </w:p>
          <w:p w14:paraId="61513FA7" w14:textId="70C5E585"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(2018).</w:t>
            </w:r>
            <w:r w:rsidR="004511B3">
              <w:rPr>
                <w:sz w:val="18"/>
                <w:szCs w:val="18"/>
              </w:rPr>
              <w:t xml:space="preserve"> </w:t>
            </w:r>
            <w:r w:rsidRPr="008E680E">
              <w:rPr>
                <w:sz w:val="18"/>
                <w:szCs w:val="18"/>
              </w:rPr>
              <w:t>"A scoping review of home modification interventions–Mapping the evidence base." Indoor and Built Environment: 1420326X18761112.</w:t>
            </w:r>
          </w:p>
        </w:tc>
        <w:tc>
          <w:tcPr>
            <w:tcW w:w="2698" w:type="dxa"/>
          </w:tcPr>
          <w:p w14:paraId="0503DB57"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00023AC7"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0A700998"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591BCF1B" w14:textId="698A33A1" w:rsidR="00F81E67" w:rsidRPr="008E680E" w:rsidRDefault="00F81E67" w:rsidP="00902628">
            <w:pPr>
              <w:rPr>
                <w:sz w:val="18"/>
                <w:szCs w:val="18"/>
              </w:rPr>
            </w:pPr>
            <w:r w:rsidRPr="008E680E">
              <w:rPr>
                <w:sz w:val="18"/>
                <w:szCs w:val="18"/>
              </w:rPr>
              <w:fldChar w:fldCharType="begin"/>
            </w:r>
            <w:r w:rsidRPr="008E680E">
              <w:rPr>
                <w:sz w:val="18"/>
                <w:szCs w:val="18"/>
              </w:rPr>
              <w:instrText xml:space="preserve">  EN.CITE &lt;EndNote&gt;&lt;Cite&gt;&lt;Author&gt;Carnemolla&lt;/Author&gt;&lt;Year&gt;2018&lt;/Year&gt;&lt;RecNum&gt;2&lt;/RecNum&gt;&lt;DisplayText&gt;(Carnemolla and Bridge, 2018)&lt;/DisplayText&gt;&lt;record&gt;&lt;rec-number&gt;2&lt;/rec-number&gt;&lt;foreign-keys&gt;&lt;key app="EN" db-id="z0f5xrvehzt9xzexr2k5apf1psvsftpfvp52" timestamp="1581805779"&gt;2&lt;/key&gt;&lt;/foreign-keys&gt;&lt;ref-type name="Journal Article"&gt;17&lt;/ref-type&gt;&lt;contributors&gt;&lt;authors&gt;&lt;author&gt;Carnemolla, Phillippa&lt;/author&gt;&lt;author&gt;Bridge, Catherine&lt;/author&gt;&lt;/authors&gt;&lt;/contributors&gt;&lt;titles&gt;&lt;title&gt;A scoping review of home modification interventions–Mapping the evidence base&lt;/title&gt;&lt;secondary-title&gt;Indoor and Built Environment&lt;/secondary-title&gt;&lt;/titles&gt;&lt;periodical&gt;&lt;full-title&gt;Indoor and Built Environment&lt;/full-title&gt;&lt;/periodical&gt;&lt;pages&gt;1420326X18761112&lt;/pages&gt;&lt;dates&gt;&lt;year&gt;2018&lt;/year&gt;&lt;/dates&gt;&lt;isbn&gt;1420-326X&lt;/isbn&gt;&lt;urls&gt;&lt;/urls&gt;&lt;/record&gt;&lt;/Cite&gt;&lt;/EndNote&gt;</w:instrText>
            </w:r>
            <w:r w:rsidRPr="008E680E">
              <w:rPr>
                <w:sz w:val="18"/>
                <w:szCs w:val="18"/>
              </w:rPr>
              <w:fldChar w:fldCharType="separate"/>
            </w:r>
            <w:r w:rsidRPr="008E680E">
              <w:rPr>
                <w:sz w:val="18"/>
                <w:szCs w:val="18"/>
              </w:rPr>
              <w:t>(Carnemolla and Bridge, 2018)</w:t>
            </w:r>
            <w:r w:rsidRPr="008E680E">
              <w:rPr>
                <w:sz w:val="18"/>
                <w:szCs w:val="18"/>
              </w:rPr>
              <w:fldChar w:fldCharType="end"/>
            </w:r>
            <w:r w:rsidR="00BA0E0E" w:rsidRPr="00BA0E0E">
              <w:rPr>
                <w:bCs/>
                <w:sz w:val="18"/>
                <w:szCs w:val="18"/>
              </w:rPr>
              <w:fldChar w:fldCharType="begin" w:fldLock="1"/>
            </w:r>
            <w:r w:rsidR="00BA0E0E">
              <w:rPr>
                <w:bCs/>
                <w:sz w:val="18"/>
                <w:szCs w:val="18"/>
              </w:rPr>
              <w:instrText>ADDIN CSL_CITATION {"citationItems":[{"id":"ITEM-1","itemData":{"DOI":"10.1177/1420326x18761112","ISSN":"1420-326X","author":[{"dropping-particle":"","family":"Carnemolla","given":"Phillippa","non-dropping-particle":"","parse-names":false,"suffix":""},{"dropping-particle":"","family":"Bridge","given":"Catherine","non-dropping-particle":"","parse-names":false,"suffix":""}],"container-title":"Indoor and Built Environment","id":"ITEM-1","issue":"0","issued":{"date-parts":[["2018"]]},"page":"1420326X1876111","title":"A scoping review of home modification interventions – Mapping the evidence base","type":"article-journal","volume":"0"},"uris":["http://www.mendeley.com/documents/?uuid=329a70f0-fca5-42cf-8ece-a2c0294dd05a"]}],"mendeley":{"formattedCitation":"(Carnemolla &amp; Bridge 2018)","plainTextFormattedCitation":"(Carnemolla &amp; Bridge 2018)","previouslyFormattedCitation":"(Carnemolla &amp; Bridge 2018)"},"properties":{"noteIndex":0},"schema":"https://github.com/citation-style-language/schema/raw/master/csl-citation.json"}</w:instrText>
            </w:r>
            <w:r w:rsidR="00BA0E0E" w:rsidRPr="00BA0E0E">
              <w:rPr>
                <w:bCs/>
                <w:sz w:val="18"/>
                <w:szCs w:val="18"/>
              </w:rPr>
              <w:fldChar w:fldCharType="separate"/>
            </w:r>
            <w:r w:rsidR="00BA0E0E" w:rsidRPr="00BA0E0E">
              <w:rPr>
                <w:bCs/>
                <w:noProof/>
                <w:sz w:val="18"/>
                <w:szCs w:val="18"/>
              </w:rPr>
              <w:t>(Carnemolla &amp; Bridge 2018)</w:t>
            </w:r>
            <w:r w:rsidR="00BA0E0E" w:rsidRPr="00BA0E0E">
              <w:rPr>
                <w:bCs/>
                <w:sz w:val="18"/>
                <w:szCs w:val="18"/>
              </w:rPr>
              <w:fldChar w:fldCharType="end"/>
            </w:r>
          </w:p>
        </w:tc>
        <w:tc>
          <w:tcPr>
            <w:tcW w:w="1159" w:type="dxa"/>
          </w:tcPr>
          <w:p w14:paraId="1AE5308D" w14:textId="13025EBF"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Carer Health/</w:t>
            </w:r>
            <w:r w:rsidR="00861912">
              <w:rPr>
                <w:sz w:val="18"/>
                <w:szCs w:val="18"/>
              </w:rPr>
              <w:t>‌</w:t>
            </w:r>
            <w:r w:rsidRPr="008E680E">
              <w:rPr>
                <w:sz w:val="18"/>
                <w:szCs w:val="18"/>
              </w:rPr>
              <w:t>Avoid OH&amp;S Risk</w:t>
            </w:r>
          </w:p>
        </w:tc>
        <w:tc>
          <w:tcPr>
            <w:tcW w:w="1134" w:type="dxa"/>
          </w:tcPr>
          <w:p w14:paraId="658460B8" w14:textId="65752A50"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No ROB or CHEERS</w:t>
            </w:r>
            <w:r w:rsidR="00861912">
              <w:rPr>
                <w:sz w:val="18"/>
                <w:szCs w:val="18"/>
              </w:rPr>
              <w:t xml:space="preserve"> – </w:t>
            </w:r>
            <w:r w:rsidRPr="008E680E">
              <w:rPr>
                <w:sz w:val="18"/>
                <w:szCs w:val="18"/>
              </w:rPr>
              <w:t>this paper used the PRIMSA for quality of reporting</w:t>
            </w:r>
          </w:p>
        </w:tc>
        <w:tc>
          <w:tcPr>
            <w:tcW w:w="1418" w:type="dxa"/>
          </w:tcPr>
          <w:p w14:paraId="227F685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1</w:t>
            </w:r>
          </w:p>
          <w:p w14:paraId="0CD2578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Systematic review</w:t>
            </w:r>
          </w:p>
        </w:tc>
        <w:tc>
          <w:tcPr>
            <w:tcW w:w="1134" w:type="dxa"/>
          </w:tcPr>
          <w:p w14:paraId="7C7496E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Effect only</w:t>
            </w:r>
          </w:p>
        </w:tc>
        <w:tc>
          <w:tcPr>
            <w:tcW w:w="3978" w:type="dxa"/>
          </w:tcPr>
          <w:p w14:paraId="1FCF0DD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Systematic review paper: Based on six systematic reviews and 19 RCTs, there was strong and consistent evidence with home modifications reduced falls and injuries from falls.</w:t>
            </w:r>
          </w:p>
          <w:p w14:paraId="6552C1CD" w14:textId="088DE3D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(2018).</w:t>
            </w:r>
            <w:r w:rsidR="004511B3">
              <w:rPr>
                <w:sz w:val="18"/>
                <w:szCs w:val="18"/>
              </w:rPr>
              <w:t xml:space="preserve"> </w:t>
            </w:r>
            <w:r w:rsidRPr="008E680E">
              <w:rPr>
                <w:sz w:val="18"/>
                <w:szCs w:val="18"/>
              </w:rPr>
              <w:t>"A scoping review of home modification interventions–Mapping the evidence base." Indoor and Built Environment: 1420326X18761112.</w:t>
            </w:r>
          </w:p>
        </w:tc>
        <w:tc>
          <w:tcPr>
            <w:tcW w:w="2698" w:type="dxa"/>
          </w:tcPr>
          <w:p w14:paraId="32E1C75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1AAA1839"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0925253E"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9CBAC75" w14:textId="3BA74CB0" w:rsidR="00F81E67" w:rsidRPr="00BA0E0E" w:rsidRDefault="00BA0E0E" w:rsidP="00902628">
            <w:pPr>
              <w:rPr>
                <w:sz w:val="18"/>
                <w:szCs w:val="18"/>
              </w:rPr>
            </w:pPr>
            <w:r w:rsidRPr="00BA0E0E">
              <w:rPr>
                <w:sz w:val="18"/>
                <w:szCs w:val="18"/>
              </w:rPr>
              <w:fldChar w:fldCharType="begin" w:fldLock="1"/>
            </w:r>
            <w:r>
              <w:rPr>
                <w:sz w:val="18"/>
                <w:szCs w:val="18"/>
              </w:rPr>
              <w:instrText>ADDIN CSL_CITATION {"citationItems":[{"id":"ITEM-1","itemData":{"DOI":"10.26687/archnet-ijar.v10i2.977","ISSN":"19387806","abstract":"The multi-dimensional relationship between housing and population health is now well recognised internationally, across both developing and developed nations. This paper examines a dimension within the housing and health relationship - accessibility - that to date has been considered difficult to measure. This paper reports on the mixed method results of larger mixed-method, exploratory study designed to measure the impact of home modifications on Health-Related Quality of Life, supported by qualitative data of recipients' experiences of home modifications. Data was gathered from 157 Australian HACC clients, who had received home modifications. Measurements were taken for both before and after home modifications and reveal that home modifications were associated with an average 40% increase in Health-Related Quality of Life levels. The qualitative results revealed that participants positively associated home modifications across six effect themes: increased safety and confidence, improved mobility at home, increased independence, supported caregiving role, increased social participation, and ability to return home from hospital. This exploratory research gives an insight into the potential for accessible architecture to impact improvements in community health and wellbeing.","author":[{"dropping-particle":"","family":"Carnemolla","given":"Phillippa","non-dropping-particle":"","parse-names":false,"suffix":""},{"dropping-particle":"","family":"Bridge","given":"Catherine","non-dropping-particle":"","parse-names":false,"suffix":""}],"container-title":"Archnet-IJAR","id":"ITEM-1","issue":"2","issued":{"date-parts":[["2016"]]},"page":"38-51","title":"Accessible housing and health-related quality of life: Measurements of wellbeing outcomes following home modifications","type":"article-journal","volume":"10"},"uris":["http://www.mendeley.com/documents/?uuid=95486d40-78ef-4327-9b3d-4576fd07ed01"]}],"mendeley":{"formattedCitation":"(Carnemolla &amp; Bridge 2016)","plainTextFormattedCitation":"(Carnemolla &amp; Bridge 2016)","previouslyFormattedCitation":"(Carnemolla &amp; Bridge 2016)"},"properties":{"noteIndex":0},"schema":"https://github.com/citation-style-language/schema/raw/master/csl-citation.json"}</w:instrText>
            </w:r>
            <w:r w:rsidRPr="00BA0E0E">
              <w:rPr>
                <w:sz w:val="18"/>
                <w:szCs w:val="18"/>
              </w:rPr>
              <w:fldChar w:fldCharType="separate"/>
            </w:r>
            <w:r w:rsidRPr="00BA0E0E">
              <w:rPr>
                <w:noProof/>
                <w:sz w:val="18"/>
                <w:szCs w:val="18"/>
              </w:rPr>
              <w:t>(Carnemolla &amp; Bridge 2016)</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&lt;EndNote&gt;&lt;Cite&gt;&lt;Author&gt;Carnemolla&lt;/Author&gt;&lt;Year&gt;2016&lt;/Year&gt;&lt;RecNum&gt;1&lt;/RecNum&gt;&lt;DisplayText&gt;(Carnemolla and Bridge, 2016)&lt;/DisplayText&gt;&lt;record&gt;&lt;rec-number&gt;1&lt;/rec-number&gt;&lt;foreign-keys&gt;&lt;key app="EN" db-id="z0f5xrvehzt9xzexr2k5apf1psvsftpfvp52" timestamp="1581805757"&gt;1&lt;/key&gt;&lt;/foreign-keys&gt;&lt;ref-type name="Journal Article"&gt;17&lt;/ref-type&gt;&lt;contributors&gt;&lt;authors&gt;&lt;author&gt;Carnemolla, Phillippa&lt;/author&gt;&lt;author&gt;Bridge, Catherine&lt;/author&gt;&lt;/authors&gt;&lt;/contributors&gt;&lt;titles&gt;&lt;title&gt;Accessible housing and health related quality of life: Measurements of well being outcomes following home modifications&lt;/title&gt;&lt;secondary-title&gt;ArchNet-IJAR&lt;/secondary-title&gt;&lt;/titles&gt;&lt;periodical&gt;&lt;full-title&gt;ArchNet-IJAR&lt;/full-title&gt;&lt;/periodical&gt;&lt;volume&gt;10&lt;/volume&gt;&lt;number&gt;2&lt;/number&gt;&lt;dates&gt;&lt;year&gt;2016&lt;/year&gt;&lt;/dates&gt;&lt;isbn&gt;1938-7806&lt;/isbn&gt;&lt;urls&gt;&lt;/urls&gt;&lt;/record&gt;&lt;/Cite&gt;&lt;/EndNote&gt;</w:instrText>
            </w:r>
            <w:r w:rsidR="00F81E67" w:rsidRPr="00BA0E0E">
              <w:rPr>
                <w:sz w:val="18"/>
                <w:szCs w:val="18"/>
              </w:rPr>
              <w:fldChar w:fldCharType="separate"/>
            </w:r>
            <w:r w:rsidR="00F81E67" w:rsidRPr="00BA0E0E">
              <w:rPr>
                <w:sz w:val="18"/>
                <w:szCs w:val="18"/>
              </w:rPr>
              <w:t>(Carnemolla and Bridge, 2016)</w:t>
            </w:r>
            <w:r w:rsidR="00F81E67" w:rsidRPr="00BA0E0E">
              <w:rPr>
                <w:sz w:val="18"/>
                <w:szCs w:val="18"/>
              </w:rPr>
              <w:fldChar w:fldCharType="end"/>
            </w:r>
          </w:p>
        </w:tc>
        <w:tc>
          <w:tcPr>
            <w:tcW w:w="1159" w:type="dxa"/>
          </w:tcPr>
          <w:p w14:paraId="75A3E70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Wellbeing</w:t>
            </w:r>
          </w:p>
        </w:tc>
        <w:tc>
          <w:tcPr>
            <w:tcW w:w="1134" w:type="dxa"/>
          </w:tcPr>
          <w:p w14:paraId="2BE318A4"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1/5</w:t>
            </w:r>
          </w:p>
          <w:p w14:paraId="4235136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13/22</w:t>
            </w:r>
          </w:p>
        </w:tc>
        <w:tc>
          <w:tcPr>
            <w:tcW w:w="1418" w:type="dxa"/>
          </w:tcPr>
          <w:p w14:paraId="09376A9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3</w:t>
            </w:r>
          </w:p>
          <w:p w14:paraId="2E00A721"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Explorative cohort study</w:t>
            </w:r>
          </w:p>
        </w:tc>
        <w:tc>
          <w:tcPr>
            <w:tcW w:w="1134" w:type="dxa"/>
          </w:tcPr>
          <w:p w14:paraId="6A185E0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 only</w:t>
            </w:r>
          </w:p>
        </w:tc>
        <w:tc>
          <w:tcPr>
            <w:tcW w:w="3978" w:type="dxa"/>
          </w:tcPr>
          <w:p w14:paraId="43DBFF7F" w14:textId="27236C1A"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40% increase in HRQoL pre</w:t>
            </w:r>
            <w:r w:rsidR="00861912">
              <w:rPr>
                <w:sz w:val="18"/>
                <w:szCs w:val="18"/>
              </w:rPr>
              <w:t xml:space="preserve"> – </w:t>
            </w:r>
            <w:r w:rsidRPr="008E680E">
              <w:rPr>
                <w:sz w:val="18"/>
                <w:szCs w:val="18"/>
              </w:rPr>
              <w:t xml:space="preserve"> to post-home modifications.</w:t>
            </w:r>
            <w:r w:rsidR="004511B3">
              <w:rPr>
                <w:sz w:val="18"/>
                <w:szCs w:val="18"/>
              </w:rPr>
              <w:t xml:space="preserve"> </w:t>
            </w:r>
            <w:r w:rsidRPr="008E680E">
              <w:rPr>
                <w:sz w:val="18"/>
                <w:szCs w:val="18"/>
              </w:rPr>
              <w:t>N=157 Australian HACC consumers.</w:t>
            </w:r>
          </w:p>
          <w:p w14:paraId="69E57384" w14:textId="039A7486"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Carnemolla, P.</w:t>
            </w:r>
            <w:r w:rsidR="004511B3">
              <w:rPr>
                <w:sz w:val="18"/>
                <w:szCs w:val="18"/>
              </w:rPr>
              <w:t xml:space="preserve"> </w:t>
            </w:r>
            <w:r w:rsidRPr="008E680E">
              <w:rPr>
                <w:sz w:val="18"/>
                <w:szCs w:val="18"/>
              </w:rPr>
              <w:t xml:space="preserve">and </w:t>
            </w:r>
            <w:r w:rsidR="00F05D13">
              <w:rPr>
                <w:sz w:val="18"/>
                <w:szCs w:val="18"/>
              </w:rPr>
              <w:t>C. Bridge</w:t>
            </w:r>
            <w:r w:rsidRPr="008E680E">
              <w:rPr>
                <w:sz w:val="18"/>
                <w:szCs w:val="18"/>
              </w:rPr>
              <w:t xml:space="preserve"> (2016).</w:t>
            </w:r>
            <w:r w:rsidR="004511B3">
              <w:rPr>
                <w:sz w:val="18"/>
                <w:szCs w:val="18"/>
              </w:rPr>
              <w:t xml:space="preserve"> </w:t>
            </w:r>
            <w:r w:rsidRPr="008E680E">
              <w:rPr>
                <w:sz w:val="18"/>
                <w:szCs w:val="18"/>
              </w:rPr>
              <w:t>"Accessible housing and health related quality of life: Measurements of wellbeing outcomes following home modifications." ArchNet-IJAR 10(2).</w:t>
            </w:r>
          </w:p>
        </w:tc>
        <w:tc>
          <w:tcPr>
            <w:tcW w:w="2698" w:type="dxa"/>
          </w:tcPr>
          <w:p w14:paraId="228D7AA1"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28A626A4"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3E961205"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71126FD2" w14:textId="093892DA" w:rsidR="00F81E67" w:rsidRPr="00BA0E0E" w:rsidRDefault="00BA0E0E" w:rsidP="00187BC0">
            <w:pPr>
              <w:rPr>
                <w:bCs/>
                <w:sz w:val="18"/>
                <w:szCs w:val="18"/>
              </w:rPr>
            </w:pPr>
            <w:r w:rsidRPr="00BA0E0E">
              <w:rPr>
                <w:bCs/>
                <w:sz w:val="18"/>
                <w:szCs w:val="18"/>
              </w:rPr>
              <w:lastRenderedPageBreak/>
              <w:fldChar w:fldCharType="begin" w:fldLock="1"/>
            </w:r>
            <w:r>
              <w:rPr>
                <w:bCs/>
                <w:sz w:val="18"/>
                <w:szCs w:val="18"/>
              </w:rPr>
              <w:instrText>ADDIN CSL_CITATION {"citationItems":[{"id":"ITEM-1","itemData":{"author":[{"dropping-particle":"","family":"Coughlin","given":"S","non-dropping-particle":"","parse-names":false,"suffix":""},{"dropping-particle":"","family":"Peyerl","given":"F. W","non-dropping-particle":"","parse-names":false,"suffix":""},{"dropping-particle":"","family":"Munson","given":"S. H","non-dropping-particle":"","parse-names":false,"suffix":""},{"dropping-particle":"","family":"Ravindranath","given":"A. J","non-dropping-particle":"","parse-names":false,"suffix":""},{"dropping-particle":"","family":"Lee-Chiong","given":"T. L","non-dropping-particle":"","parse-names":false,"suffix":""}],"container-title":"Value in Health","id":"ITEM-1","issued":{"date-parts":[["2017"]]},"page":"379-387","title":"Cost savings from reduced hospitalizations with use of home noninvasive ventilation for COPD","type":"article-journal","volume":"20"},"uris":["http://www.mendeley.com/documents/?uuid=cf62b54a-db03-4dcc-9160-9888e8150742"]}],"mendeley":{"formattedCitation":"(Coughlin et al. 2017)","plainTextFormattedCitation":"(Coughlin et al. 2017)","previouslyFormattedCitation":"(Coughlin et al. 2017)"},"properties":{"noteIndex":0},"schema":"https://github.com/citation-style-language/schema/raw/master/csl-citation.json"}</w:instrText>
            </w:r>
            <w:r w:rsidRPr="00BA0E0E">
              <w:rPr>
                <w:bCs/>
                <w:sz w:val="18"/>
                <w:szCs w:val="18"/>
              </w:rPr>
              <w:fldChar w:fldCharType="separate"/>
            </w:r>
            <w:r w:rsidRPr="00BA0E0E">
              <w:rPr>
                <w:bCs/>
                <w:noProof/>
                <w:sz w:val="18"/>
                <w:szCs w:val="18"/>
              </w:rPr>
              <w:t>(Coughlin et al. 2017)</w:t>
            </w:r>
            <w:r w:rsidRPr="00BA0E0E">
              <w:rPr>
                <w:bCs/>
                <w:sz w:val="18"/>
                <w:szCs w:val="18"/>
              </w:rPr>
              <w:fldChar w:fldCharType="end"/>
            </w:r>
            <w:r w:rsidR="00F81E67" w:rsidRPr="008E680E">
              <w:rPr>
                <w:sz w:val="18"/>
                <w:szCs w:val="18"/>
              </w:rPr>
              <w:fldChar w:fldCharType="begin"/>
            </w:r>
            <w:r w:rsidR="00F81E67" w:rsidRPr="008E680E">
              <w:rPr>
                <w:sz w:val="18"/>
                <w:szCs w:val="18"/>
              </w:rPr>
              <w:instrText xml:space="preserve">  EN.CITE &lt;EndNote&gt;&lt;Cite&gt;&lt;Author&gt;Coughlin&lt;/Author&gt;&lt;Year&gt;2017&lt;/Year&gt;&lt;RecNum&gt;49&lt;/RecNum&gt;&lt;DisplayText&gt;(Coughlin et al., 2017)&lt;/DisplayText&gt;&lt;record&gt;&lt;rec-number&gt;49&lt;/rec-number&gt;&lt;foreign-keys&gt;&lt;key app="EN" db-id="z0f5xrvehzt9xzexr2k5apf1psvsftpfvp52" timestamp="1583013844"&gt;49&lt;/key&gt;&lt;/foreign-keys&gt;&lt;ref-type name="Journal Article"&gt;17&lt;/ref-type&gt;&lt;contributors&gt;&lt;authors&gt;&lt;author&gt;Coughlin, Steven&lt;/author&gt;&lt;author&gt;Peyerl, Fred W&lt;/author&gt;&lt;author&gt;Munson, Sibyl H&lt;/author&gt;&lt;author&gt;Ravindranath, Aditi J&lt;/author&gt;&lt;author&gt;Lee-Chiong, Teofilo L&lt;/author&gt;&lt;/authors&gt;&lt;/contributors&gt;&lt;titles&gt;&lt;title&gt;Cost savings from reduced hospitalizations with use of home noninvasive ventilation for COPD&lt;/title&gt;&lt;secondary-title&gt;Value in Health&lt;/secondary-title&gt;&lt;/titles&gt;&lt;periodical&gt;&lt;full-title&gt;Value in Health&lt;/full-title&gt;&lt;/periodical&gt;&lt;pages&gt;379-387&lt;/pages&gt;&lt;volume&gt;20&lt;/volume&gt;&lt;number&gt;3&lt;/number&gt;&lt;dates&gt;&lt;year&gt;2017&lt;/year&gt;&lt;/dates&gt;&lt;isbn&gt;1098-3015&lt;/isbn&gt;&lt;urls&gt;&lt;/urls&gt;&lt;/record&gt;&lt;/Cite&gt;&lt;/EndNote&gt;</w:instrText>
            </w:r>
            <w:r w:rsidR="00F81E67" w:rsidRPr="008E680E">
              <w:rPr>
                <w:sz w:val="18"/>
                <w:szCs w:val="18"/>
              </w:rPr>
              <w:fldChar w:fldCharType="separate"/>
            </w:r>
            <w:r w:rsidR="00F81E67" w:rsidRPr="008E680E">
              <w:rPr>
                <w:sz w:val="18"/>
                <w:szCs w:val="18"/>
              </w:rPr>
              <w:t>(Coughlin et al., 2017)</w:t>
            </w:r>
            <w:r w:rsidR="00F81E67" w:rsidRPr="008E680E">
              <w:rPr>
                <w:sz w:val="18"/>
                <w:szCs w:val="18"/>
              </w:rPr>
              <w:fldChar w:fldCharType="end"/>
            </w:r>
          </w:p>
        </w:tc>
        <w:tc>
          <w:tcPr>
            <w:tcW w:w="1159" w:type="dxa"/>
          </w:tcPr>
          <w:p w14:paraId="6B58C33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Acute hospital admissions</w:t>
            </w:r>
          </w:p>
        </w:tc>
        <w:tc>
          <w:tcPr>
            <w:tcW w:w="1134" w:type="dxa"/>
          </w:tcPr>
          <w:p w14:paraId="474740B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3/6</w:t>
            </w:r>
          </w:p>
          <w:p w14:paraId="138BB8C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22/23</w:t>
            </w:r>
          </w:p>
        </w:tc>
        <w:tc>
          <w:tcPr>
            <w:tcW w:w="1418" w:type="dxa"/>
          </w:tcPr>
          <w:p w14:paraId="723C7884"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3</w:t>
            </w:r>
          </w:p>
          <w:p w14:paraId="14E85212"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Modelled economic data</w:t>
            </w:r>
          </w:p>
        </w:tc>
        <w:tc>
          <w:tcPr>
            <w:tcW w:w="1134" w:type="dxa"/>
          </w:tcPr>
          <w:p w14:paraId="2FA14898"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596AB0B4" w14:textId="3CA2C00C"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This economic model concluded that adoption of home advanced non-invasive ventilation with averaged volume assured pressure support with auto expiratory positive airway pressure as a part of a multifaceted intervention program, presents an opportunity for hospitals to reduce COPD readmission costs for payers to reduce costs associated with managing patients with severe COPD on the basis with reduced admissions.</w:t>
            </w:r>
            <w:r w:rsidR="004511B3">
              <w:rPr>
                <w:sz w:val="18"/>
                <w:szCs w:val="18"/>
              </w:rPr>
              <w:t xml:space="preserve"> </w:t>
            </w:r>
            <w:r w:rsidRPr="008E680E">
              <w:rPr>
                <w:sz w:val="18"/>
                <w:szCs w:val="18"/>
              </w:rPr>
              <w:t>Model includes all ages (including aged 65 and above) but does not provide a breakdown of age groups</w:t>
            </w:r>
          </w:p>
          <w:p w14:paraId="6D09E026" w14:textId="2C04B101"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Coughlin, S., et al.</w:t>
            </w:r>
            <w:r w:rsidR="004511B3">
              <w:rPr>
                <w:sz w:val="18"/>
                <w:szCs w:val="18"/>
              </w:rPr>
              <w:t xml:space="preserve"> </w:t>
            </w:r>
            <w:r w:rsidRPr="008E680E">
              <w:rPr>
                <w:sz w:val="18"/>
                <w:szCs w:val="18"/>
              </w:rPr>
              <w:t>(2017).</w:t>
            </w:r>
            <w:r w:rsidR="004511B3">
              <w:rPr>
                <w:sz w:val="18"/>
                <w:szCs w:val="18"/>
              </w:rPr>
              <w:t xml:space="preserve"> </w:t>
            </w:r>
            <w:r w:rsidRPr="008E680E">
              <w:rPr>
                <w:sz w:val="18"/>
                <w:szCs w:val="18"/>
              </w:rPr>
              <w:t>"Cost savings from reduced hospitalizations with use of home non-invasive ventilation for COPD." Value in Health 20(3): 379</w:t>
            </w:r>
            <w:r w:rsidR="009D1408">
              <w:rPr>
                <w:sz w:val="18"/>
                <w:szCs w:val="18"/>
              </w:rPr>
              <w:t>–</w:t>
            </w:r>
            <w:r w:rsidRPr="008E680E">
              <w:rPr>
                <w:sz w:val="18"/>
                <w:szCs w:val="18"/>
              </w:rPr>
              <w:t>387.</w:t>
            </w:r>
          </w:p>
        </w:tc>
        <w:tc>
          <w:tcPr>
            <w:tcW w:w="2698" w:type="dxa"/>
          </w:tcPr>
          <w:p w14:paraId="2EE90E3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Modelled cost data over n=250 (all ages) is a savings I hospital admissions of $402,981 from day 0-30 post AT (USD 2015)</w:t>
            </w:r>
          </w:p>
        </w:tc>
        <w:tc>
          <w:tcPr>
            <w:tcW w:w="1798" w:type="dxa"/>
          </w:tcPr>
          <w:p w14:paraId="3DD20EF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 within the context of the current RER</w:t>
            </w:r>
          </w:p>
        </w:tc>
      </w:tr>
      <w:tr w:rsidR="00F81E67" w:rsidRPr="008E680E" w14:paraId="53F8D8FE"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1E3E2B4D" w14:textId="20F2F5F3" w:rsidR="00F81E67" w:rsidRPr="00BA0E0E" w:rsidRDefault="00BA0E0E" w:rsidP="00187BC0">
            <w:pPr>
              <w:rPr>
                <w:sz w:val="18"/>
                <w:szCs w:val="18"/>
              </w:rPr>
            </w:pPr>
            <w:r w:rsidRPr="00BA0E0E">
              <w:rPr>
                <w:sz w:val="18"/>
                <w:szCs w:val="18"/>
              </w:rPr>
              <w:fldChar w:fldCharType="begin" w:fldLock="1"/>
            </w:r>
            <w:r>
              <w:rPr>
                <w:sz w:val="18"/>
                <w:szCs w:val="18"/>
              </w:rPr>
              <w:instrText>ADDIN CSL_CITATION {"citationItems":[{"id":"ITEM-1","itemData":{"DOI":"10.1080/13607863.2017.1358354","ISSN":"1360-7863","author":[{"dropping-particle":"","family":"Fang","given":"Yang","non-dropping-particle":"","parse-names":false,"suffix":""},{"dropping-particle":"","family":"Chau","given":"Anson K. C.","non-dropping-particle":"","parse-names":false,"suffix":""},{"dropping-particle":"","family":"Wong","given":"Anna","non-dropping-particle":"","parse-names":false,"suffix":""},{"dropping-particle":"","family":"Fung","given":"Helene H.","non-dropping-particle":"","parse-names":false,"suffix":""},{"dropping-particle":"","family":"Woo","given":"Jean","non-dropping-particle":"","parse-names":false,"suffix":""}],"container-title":"Aging &amp; Mental Health","id":"ITEM-1","issue":"11","issued":{"date-parts":[["2018","11","2"]]},"page":"1516-1524","title":"Information and communicative technology use enhances psychological well-being of older adults: the roles of age, social connectedness, and frailty status","type":"article-journal","volume":"22"},"uris":["http://www.mendeley.com/documents/?uuid=be6ed3f3-b6a9-3ec7-b73f-9d7464350f71"]}],"mendeley":{"formattedCitation":"(Fang et al. 2018)","plainTextFormattedCitation":"(Fang et al. 2018)","previouslyFormattedCitation":"(Fang et al. 2018)"},"properties":{"noteIndex":0},"schema":"https://github.com/citation-style-language/schema/raw/master/csl-citation.json"}</w:instrText>
            </w:r>
            <w:r w:rsidRPr="00BA0E0E">
              <w:rPr>
                <w:sz w:val="18"/>
                <w:szCs w:val="18"/>
              </w:rPr>
              <w:fldChar w:fldCharType="separate"/>
            </w:r>
            <w:r w:rsidRPr="00BA0E0E">
              <w:rPr>
                <w:noProof/>
                <w:sz w:val="18"/>
                <w:szCs w:val="18"/>
              </w:rPr>
              <w:t>(Fang et al. 2018)</w:t>
            </w:r>
            <w:r w:rsidRPr="00BA0E0E">
              <w:rPr>
                <w:sz w:val="18"/>
                <w:szCs w:val="18"/>
              </w:rPr>
              <w:fldChar w:fldCharType="end"/>
            </w:r>
          </w:p>
        </w:tc>
        <w:tc>
          <w:tcPr>
            <w:tcW w:w="1159" w:type="dxa"/>
          </w:tcPr>
          <w:p w14:paraId="520FE88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Wellbeing</w:t>
            </w:r>
          </w:p>
        </w:tc>
        <w:tc>
          <w:tcPr>
            <w:tcW w:w="1134" w:type="dxa"/>
          </w:tcPr>
          <w:p w14:paraId="4757C4A1"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3/3</w:t>
            </w:r>
          </w:p>
          <w:p w14:paraId="0D1F2291"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16/22</w:t>
            </w:r>
          </w:p>
        </w:tc>
        <w:tc>
          <w:tcPr>
            <w:tcW w:w="1418" w:type="dxa"/>
          </w:tcPr>
          <w:p w14:paraId="7E7DD27D"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3</w:t>
            </w:r>
          </w:p>
          <w:p w14:paraId="3C00FFFE"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Explorative cohort study</w:t>
            </w:r>
          </w:p>
        </w:tc>
        <w:tc>
          <w:tcPr>
            <w:tcW w:w="1134" w:type="dxa"/>
          </w:tcPr>
          <w:p w14:paraId="0D699369"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 only</w:t>
            </w:r>
          </w:p>
        </w:tc>
        <w:tc>
          <w:tcPr>
            <w:tcW w:w="3978" w:type="dxa"/>
          </w:tcPr>
          <w:p w14:paraId="2648D85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Information and communication technology among people aged 75 and above is associated with increased contact with the family, n=1,201</w:t>
            </w:r>
          </w:p>
          <w:p w14:paraId="53A08075" w14:textId="4B075080"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Fang, Y., et al.</w:t>
            </w:r>
            <w:r w:rsidR="004511B3">
              <w:rPr>
                <w:sz w:val="18"/>
                <w:szCs w:val="18"/>
              </w:rPr>
              <w:t xml:space="preserve"> </w:t>
            </w:r>
            <w:r w:rsidRPr="008E680E">
              <w:rPr>
                <w:sz w:val="18"/>
                <w:szCs w:val="18"/>
              </w:rPr>
              <w:t>(2018).</w:t>
            </w:r>
            <w:r w:rsidR="004511B3">
              <w:rPr>
                <w:sz w:val="18"/>
                <w:szCs w:val="18"/>
              </w:rPr>
              <w:t xml:space="preserve"> </w:t>
            </w:r>
            <w:r w:rsidRPr="008E680E">
              <w:rPr>
                <w:sz w:val="18"/>
                <w:szCs w:val="18"/>
              </w:rPr>
              <w:t>"Information and communicative technology use enhance psychological wellbeing of older adults: the roles of age, social connectedness, and frailty status." Aging &amp; mental health 22(11): 1516</w:t>
            </w:r>
            <w:r w:rsidR="009D1408">
              <w:rPr>
                <w:sz w:val="18"/>
                <w:szCs w:val="18"/>
              </w:rPr>
              <w:t>–</w:t>
            </w:r>
            <w:r w:rsidRPr="008E680E">
              <w:rPr>
                <w:sz w:val="18"/>
                <w:szCs w:val="18"/>
              </w:rPr>
              <w:t>1524.</w:t>
            </w:r>
          </w:p>
        </w:tc>
        <w:tc>
          <w:tcPr>
            <w:tcW w:w="2698" w:type="dxa"/>
          </w:tcPr>
          <w:p w14:paraId="4F6CF63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222DD95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338F1886"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0CA96D0E" w14:textId="4DC9341F" w:rsidR="00F81E67" w:rsidRPr="008E680E" w:rsidRDefault="00BA0E0E" w:rsidP="00187BC0">
            <w:pPr>
              <w:rPr>
                <w:sz w:val="18"/>
                <w:szCs w:val="18"/>
              </w:rPr>
            </w:pPr>
            <w:r w:rsidRPr="00BA0E0E">
              <w:rPr>
                <w:sz w:val="18"/>
                <w:szCs w:val="18"/>
              </w:rPr>
              <w:fldChar w:fldCharType="begin" w:fldLock="1"/>
            </w:r>
            <w:r>
              <w:rPr>
                <w:sz w:val="18"/>
                <w:szCs w:val="18"/>
              </w:rPr>
              <w:instrText>ADDIN CSL_CITATION {"citationItems":[{"id":"ITEM-1","itemData":{"DOI":"10.1080/13607863.2017.1358354","ISSN":"1360-7863","author":[{"dropping-particle":"","family":"Fang","given":"Yang","non-dropping-particle":"","parse-names":false,"suffix":""},{"dropping-particle":"","family":"Chau","given":"Anson K. C.","non-dropping-particle":"","parse-names":false,"suffix":""},{"dropping-particle":"","family":"Wong","given":"Anna","non-dropping-particle":"","parse-names":false,"suffix":""},{"dropping-particle":"","family":"Fung","given":"Helene H.","non-dropping-particle":"","parse-names":false,"suffix":""},{"dropping-particle":"","family":"Woo","given":"Jean","non-dropping-particle":"","parse-names":false,"suffix":""}],"container-title":"Aging &amp; Mental Health","id":"ITEM-1","issue":"11","issued":{"date-parts":[["2018","11","2"]]},"page":"1516-1524","title":"Information and communicative technology use enhances psychological well-being of older adults: the roles of age, social connectedness, and frailty status","type":"article-journal","volume":"22"},"uris":["http://www.mendeley.com/documents/?uuid=be6ed3f3-b6a9-3ec7-b73f-9d7464350f71"]}],"mendeley":{"formattedCitation":"(Fang et al. 2018)","plainTextFormattedCitation":"(Fang et al. 2018)","previouslyFormattedCitation":"(Fang et al. 2018)"},"properties":{"noteIndex":0},"schema":"https://github.com/citation-style-language/schema/raw/master/csl-citation.json"}</w:instrText>
            </w:r>
            <w:r w:rsidRPr="00BA0E0E">
              <w:rPr>
                <w:sz w:val="18"/>
                <w:szCs w:val="18"/>
              </w:rPr>
              <w:fldChar w:fldCharType="separate"/>
            </w:r>
            <w:r w:rsidRPr="00BA0E0E">
              <w:rPr>
                <w:noProof/>
                <w:sz w:val="18"/>
                <w:szCs w:val="18"/>
              </w:rPr>
              <w:t>(Fang et al. 2018)</w:t>
            </w:r>
            <w:r w:rsidRPr="00BA0E0E">
              <w:rPr>
                <w:sz w:val="18"/>
                <w:szCs w:val="18"/>
              </w:rPr>
              <w:fldChar w:fldCharType="end"/>
            </w:r>
          </w:p>
        </w:tc>
        <w:tc>
          <w:tcPr>
            <w:tcW w:w="1159" w:type="dxa"/>
          </w:tcPr>
          <w:p w14:paraId="5AC9715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Wellbeing</w:t>
            </w:r>
          </w:p>
        </w:tc>
        <w:tc>
          <w:tcPr>
            <w:tcW w:w="1134" w:type="dxa"/>
          </w:tcPr>
          <w:p w14:paraId="7D0D62A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3/3</w:t>
            </w:r>
          </w:p>
          <w:p w14:paraId="058F8BC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16/22</w:t>
            </w:r>
          </w:p>
        </w:tc>
        <w:tc>
          <w:tcPr>
            <w:tcW w:w="1418" w:type="dxa"/>
          </w:tcPr>
          <w:p w14:paraId="6EF1E76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3</w:t>
            </w:r>
          </w:p>
          <w:p w14:paraId="5146FDE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Explorative cohort study</w:t>
            </w:r>
          </w:p>
        </w:tc>
        <w:tc>
          <w:tcPr>
            <w:tcW w:w="1134" w:type="dxa"/>
          </w:tcPr>
          <w:p w14:paraId="2B88979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Effect only</w:t>
            </w:r>
          </w:p>
        </w:tc>
        <w:tc>
          <w:tcPr>
            <w:tcW w:w="3978" w:type="dxa"/>
          </w:tcPr>
          <w:p w14:paraId="322B2BB5" w14:textId="4943B045"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ICT use on a scale of 1 (never) to 4 (often) ICT use was 2.74.</w:t>
            </w:r>
            <w:r w:rsidR="004511B3">
              <w:rPr>
                <w:sz w:val="18"/>
                <w:szCs w:val="18"/>
              </w:rPr>
              <w:t xml:space="preserve"> </w:t>
            </w:r>
            <w:r w:rsidRPr="008E680E">
              <w:rPr>
                <w:sz w:val="18"/>
                <w:szCs w:val="18"/>
              </w:rPr>
              <w:t>Psychological wellbeing on a scale of 0-10 where high score represents a better outcome the score was 6.9 with a significant correlation between ICT use and psychological wellbeing p=0.048, n=1,201</w:t>
            </w:r>
          </w:p>
          <w:p w14:paraId="3D3881AA" w14:textId="72A80FDF"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Fang, Y., et al.</w:t>
            </w:r>
            <w:r w:rsidR="004511B3">
              <w:rPr>
                <w:sz w:val="18"/>
                <w:szCs w:val="18"/>
              </w:rPr>
              <w:t xml:space="preserve"> </w:t>
            </w:r>
            <w:r w:rsidRPr="008E680E">
              <w:rPr>
                <w:sz w:val="18"/>
                <w:szCs w:val="18"/>
              </w:rPr>
              <w:t>(2018).</w:t>
            </w:r>
            <w:r w:rsidR="004511B3">
              <w:rPr>
                <w:sz w:val="18"/>
                <w:szCs w:val="18"/>
              </w:rPr>
              <w:t xml:space="preserve"> </w:t>
            </w:r>
            <w:r w:rsidRPr="008E680E">
              <w:rPr>
                <w:sz w:val="18"/>
                <w:szCs w:val="18"/>
              </w:rPr>
              <w:t>"Information and communicative technology use enhance psychological wellbeing of older adults: the roles of age, social connectedness, and frailty status." Aging &amp; mental health 22(11): 1516</w:t>
            </w:r>
            <w:r w:rsidR="009D1408">
              <w:rPr>
                <w:sz w:val="18"/>
                <w:szCs w:val="18"/>
              </w:rPr>
              <w:t>–</w:t>
            </w:r>
            <w:r w:rsidRPr="008E680E">
              <w:rPr>
                <w:sz w:val="18"/>
                <w:szCs w:val="18"/>
              </w:rPr>
              <w:t>1524.</w:t>
            </w:r>
          </w:p>
        </w:tc>
        <w:tc>
          <w:tcPr>
            <w:tcW w:w="2698" w:type="dxa"/>
          </w:tcPr>
          <w:p w14:paraId="3BD3387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312A01A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52CC4802"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13AC9BE2" w14:textId="3EBD94EB"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{"citationItems":[{"id":"ITEM-1","itemData":{"DOI":"10.1111/jgs.14892","ISSN":"15325415","abstract":"Objectives: To conduct a cost analysis of ambient assisted living technology, which is promising for improving the ability of individuals and care providers to monitor daily activities and gain better awareness through proactive management of health and safety. Design: Three-arm cohort study. Setting: Homes of enrollees of a state-based healthcare plan for older adults. Participants: Enrollees dually eligible for Medicare and Medicaid (N = 268). Intervention: Health and safety passive remote patient monitoring (PRPM) systems were installed in enrollees’ homes (the intervention group) with monitoring and proactive intervention of a case manager when deviation from baseline subject behavior was detected. Measurements: Claims data were collected over 12 months to assess healthcare use and costs in the intervention group and to compare use and costs with those of two control groups: a concurrent group of enrollees who declined the technology and a historical cohort matched on age to the participation group. Results: Although the small sample size precluded cost differences that were statistically significant, the participant group used substantially less custodial care, emergency department (ED) services, inpatient stays, and ED costs than the two control groups. Conclusion: In this pilot study, the PRPM system was associated with apparent healthcare cost savings. Although more cost analyses are warranted, ambient assisted living technologies are a potentially valuable investment for older adult care.","author":[{"dropping-particle":"","family":"Finch","given":"Michael","non-dropping-particle":"","parse-names":false,"suffix":""},{"dropping-particle":"","family":"Griffin","given":"Kristen","non-dropping-particle":"","parse-names":false,"suffix":""},{"dropping-particle":"","family":"Pacala","given":"James T.","non-dropping-particle":"","parse-names":false,"suffix":""}],"container-title":"Journal of the American Geriatrics Society","id":"ITEM-1","issue":"6","issued":{"date-parts":[["2017","6","1"]]},"page":"1301-1305","publisher":"Blackwell Publishing Inc.","title":"Reduced Healthcare Use and Apparent Savings with Passive Home Monitoring Technology: A Pilot Study","type":"article-journal","volume":"65"},"uris":["http://www.mendeley.com/documents/?uuid=501193fe-b48e-4c99-9eb1-d03c00d0cfc2"]}],"mendeley":{"formattedCitation":"(Finch, Griffin, &amp; James T. Pacala 2017)","plainTextFormattedCitation":"(Finch, Griffin, &amp; James T. Pacala 2017)","previouslyFormattedCitation":"(Finch, Griffin, &amp; James T. Pacala 2017)"},"properties":{"noteIndex":0},"schema":"https://github.com/citation-style-language/schema/raw/master/csl-citation.json"}</w:instrText>
            </w:r>
            <w:r w:rsidRPr="00BA0E0E">
              <w:rPr>
                <w:sz w:val="18"/>
                <w:szCs w:val="18"/>
              </w:rPr>
              <w:fldChar w:fldCharType="separate"/>
            </w:r>
            <w:r w:rsidRPr="00BA0E0E">
              <w:rPr>
                <w:noProof/>
                <w:sz w:val="18"/>
                <w:szCs w:val="18"/>
              </w:rPr>
              <w:t>(Finch, Griffin, &amp; James T. Pacala 2017)</w:t>
            </w:r>
            <w:r w:rsidRPr="00BA0E0E">
              <w:rPr>
                <w:sz w:val="18"/>
                <w:szCs w:val="18"/>
              </w:rPr>
              <w:fldChar w:fldCharType="end"/>
            </w:r>
          </w:p>
        </w:tc>
        <w:tc>
          <w:tcPr>
            <w:tcW w:w="1159" w:type="dxa"/>
          </w:tcPr>
          <w:p w14:paraId="5FE4E05A"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Acute admissions</w:t>
            </w:r>
          </w:p>
        </w:tc>
        <w:tc>
          <w:tcPr>
            <w:tcW w:w="1134" w:type="dxa"/>
          </w:tcPr>
          <w:p w14:paraId="6A7FBFD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3/6</w:t>
            </w:r>
          </w:p>
          <w:p w14:paraId="41EEE76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20/24</w:t>
            </w:r>
          </w:p>
        </w:tc>
        <w:tc>
          <w:tcPr>
            <w:tcW w:w="1418" w:type="dxa"/>
          </w:tcPr>
          <w:p w14:paraId="05304DE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3</w:t>
            </w:r>
          </w:p>
          <w:p w14:paraId="2928AD6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Comparative study</w:t>
            </w:r>
          </w:p>
        </w:tc>
        <w:tc>
          <w:tcPr>
            <w:tcW w:w="1134" w:type="dxa"/>
          </w:tcPr>
          <w:p w14:paraId="1891C54E"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Cost and effect</w:t>
            </w:r>
          </w:p>
        </w:tc>
        <w:tc>
          <w:tcPr>
            <w:tcW w:w="3978" w:type="dxa"/>
          </w:tcPr>
          <w:p w14:paraId="2B4AF63D" w14:textId="0AD65735"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passive remote patient monitoring trends towards being a cost-effective intervention.</w:t>
            </w:r>
            <w:r w:rsidR="004511B3">
              <w:rPr>
                <w:sz w:val="18"/>
                <w:szCs w:val="18"/>
              </w:rPr>
              <w:t xml:space="preserve"> </w:t>
            </w:r>
            <w:r w:rsidRPr="008E680E">
              <w:rPr>
                <w:sz w:val="18"/>
                <w:szCs w:val="18"/>
              </w:rPr>
              <w:t>Trended towards significance for cost categories of in-patient hospital stay (P=0.22), long term care (P=0.12) and skilled nursing facility (p=0.16).</w:t>
            </w:r>
            <w:r w:rsidR="004511B3">
              <w:rPr>
                <w:sz w:val="18"/>
                <w:szCs w:val="18"/>
              </w:rPr>
              <w:t xml:space="preserve"> </w:t>
            </w:r>
            <w:r w:rsidRPr="008E680E">
              <w:rPr>
                <w:sz w:val="18"/>
                <w:szCs w:val="18"/>
              </w:rPr>
              <w:t>Overall apparent cost savings ranged from 547.32 to 687.13 (USD 2014) per month.</w:t>
            </w:r>
          </w:p>
          <w:p w14:paraId="75D53EC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Apparent cost savings for in-patient hospital admissions ranged from 123.38 (intervention n=74 to not enrolled n=129) to 254.74 (intervention n=74 to historical n=65) (USD 2014).</w:t>
            </w:r>
          </w:p>
          <w:p w14:paraId="10D6301D" w14:textId="3475C1E4"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Finch, M., et al.</w:t>
            </w:r>
            <w:r w:rsidR="004511B3">
              <w:rPr>
                <w:sz w:val="18"/>
                <w:szCs w:val="18"/>
              </w:rPr>
              <w:t xml:space="preserve"> </w:t>
            </w:r>
            <w:r w:rsidRPr="008E680E">
              <w:rPr>
                <w:sz w:val="18"/>
                <w:szCs w:val="18"/>
              </w:rPr>
              <w:t>(2017).</w:t>
            </w:r>
            <w:r w:rsidR="004511B3">
              <w:rPr>
                <w:sz w:val="18"/>
                <w:szCs w:val="18"/>
              </w:rPr>
              <w:t xml:space="preserve"> </w:t>
            </w:r>
            <w:r w:rsidRPr="008E680E">
              <w:rPr>
                <w:sz w:val="18"/>
                <w:szCs w:val="18"/>
              </w:rPr>
              <w:t>"Reduced health care use and apparent savings with passive home monitoring technology: A pilot study." Journal of the American Geriatrics Society 65(6): 1301</w:t>
            </w:r>
            <w:r w:rsidR="009D1408">
              <w:rPr>
                <w:sz w:val="18"/>
                <w:szCs w:val="18"/>
              </w:rPr>
              <w:t>–</w:t>
            </w:r>
            <w:r w:rsidRPr="008E680E">
              <w:rPr>
                <w:sz w:val="18"/>
                <w:szCs w:val="18"/>
              </w:rPr>
              <w:t>1305.</w:t>
            </w:r>
          </w:p>
        </w:tc>
        <w:tc>
          <w:tcPr>
            <w:tcW w:w="2698" w:type="dxa"/>
          </w:tcPr>
          <w:p w14:paraId="04007785"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Passive remote patient monitoring saved in-patient hospital admissions (intervention to historical)</w:t>
            </w:r>
          </w:p>
          <w:p w14:paraId="20F5D88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$254.74 x 12 months = $3,056.88 (USA 2014)</w:t>
            </w:r>
          </w:p>
        </w:tc>
        <w:tc>
          <w:tcPr>
            <w:tcW w:w="1798" w:type="dxa"/>
          </w:tcPr>
          <w:p w14:paraId="128050CB"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Passive remote patient monitoring saved in-patient hospital admissions (intervention to historical)</w:t>
            </w:r>
          </w:p>
          <w:p w14:paraId="5FA8337E"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$433.61 x 12 months = $5,203.32</w:t>
            </w:r>
          </w:p>
        </w:tc>
      </w:tr>
      <w:tr w:rsidR="00F81E67" w:rsidRPr="008E680E" w14:paraId="66AEEEF7"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01F34966" w14:textId="16C6956A" w:rsidR="00F81E67" w:rsidRPr="008E680E" w:rsidRDefault="00BA0E0E" w:rsidP="00187BC0">
            <w:pPr>
              <w:rPr>
                <w:sz w:val="18"/>
                <w:szCs w:val="18"/>
              </w:rPr>
            </w:pPr>
            <w:r w:rsidRPr="00BA0E0E">
              <w:rPr>
                <w:sz w:val="18"/>
                <w:szCs w:val="18"/>
              </w:rPr>
              <w:fldChar w:fldCharType="begin" w:fldLock="1"/>
            </w:r>
            <w:r>
              <w:rPr>
                <w:sz w:val="18"/>
                <w:szCs w:val="18"/>
              </w:rPr>
              <w:instrText>ADDIN CSL_CITATION {"citationItems":[{"id":"ITEM-1","itemData":{"DOI":"10.1111/jgs.14892","ISSN":"15325415","abstract":"Objectives: To conduct a cost analysis of ambient assisted living technology, which is promising for improving the ability of individuals and care providers to monitor daily activities and gain better awareness through proactive management of health and safety. Design: Three-arm cohort study. Setting: Homes of enrollees of a state-based healthcare plan for older adults. Participants: Enrollees dually eligible for Medicare and Medicaid (N = 268). Intervention: Health and safety passive remote patient monitoring (PRPM) systems were installed in enrollees’ homes (the intervention group) with monitoring and proactive intervention of a case manager when deviation from baseline subject behavior was detected. Measurements: Claims data were collected over 12 months to assess healthcare use and costs in the intervention group and to compare use and costs with those of two control groups: a concurrent group of enrollees who declined the technology and a historical cohort matched on age to the participation group. Results: Although the small sample size precluded cost differences that were statistically significant, the participant group used substantially less custodial care, emergency department (ED) services, inpatient stays, and ED costs than the two control groups. Conclusion: In this pilot study, the PRPM system was associated with apparent healthcare cost savings. Although more cost analyses are warranted, ambient assisted living technologies are a potentially valuable investment for older adult care.","author":[{"dropping-particle":"","family":"Finch","given":"Michael","non-dropping-particle":"","parse-names":false,"suffix":""},{"dropping-particle":"","family":"Griffin","given":"Kristen","non-dropping-particle":"","parse-names":false,"suffix":""},{"dropping-particle":"","family":"Pacala","given":"James T.","non-dropping-particle":"","parse-names":false,"suffix":""}],"container-title":"Journal of the American Geriatrics Society","id":"ITEM-1","issue":"6","issued":{"date-parts":[["2017","6","1"]]},"page":"1301-1305","publisher":"Blackwell Publishing Inc.","title":"Reduced Healthcare Use and Apparent Savings with Passive Home Monitoring Technology: A Pilot Study","type":"article-journal","volume":"65"},"uris":["http://www.mendeley.com/documents/?uuid=501193fe-b48e-4c99-9eb1-d03c00d0cfc2"]}],"mendeley":{"formattedCitation":"(Finch, Griffin, &amp; James T. Pacala 2017)","plainTextFormattedCitation":"(Finch, Griffin, &amp; James T. Pacala 2017)","previouslyFormattedCitation":"(Finch, Griffin, &amp; James T. Pacala 2017)"},"properties":{"noteIndex":0},"schema":"https://github.com/citation-style-language/schema/raw/master/csl-citation.json"}</w:instrText>
            </w:r>
            <w:r w:rsidRPr="00BA0E0E">
              <w:rPr>
                <w:sz w:val="18"/>
                <w:szCs w:val="18"/>
              </w:rPr>
              <w:fldChar w:fldCharType="separate"/>
            </w:r>
            <w:r w:rsidRPr="00BA0E0E">
              <w:rPr>
                <w:noProof/>
                <w:sz w:val="18"/>
                <w:szCs w:val="18"/>
              </w:rPr>
              <w:t>(Finch, Griffin, &amp; James T. Pacala 2017)</w:t>
            </w:r>
            <w:r w:rsidRPr="00BA0E0E">
              <w:rPr>
                <w:sz w:val="18"/>
                <w:szCs w:val="18"/>
              </w:rPr>
              <w:fldChar w:fldCharType="end"/>
            </w:r>
          </w:p>
        </w:tc>
        <w:tc>
          <w:tcPr>
            <w:tcW w:w="1159" w:type="dxa"/>
          </w:tcPr>
          <w:p w14:paraId="6D538B4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Residential aged care facility</w:t>
            </w:r>
          </w:p>
        </w:tc>
        <w:tc>
          <w:tcPr>
            <w:tcW w:w="1134" w:type="dxa"/>
          </w:tcPr>
          <w:p w14:paraId="3912BF4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3/6</w:t>
            </w:r>
          </w:p>
          <w:p w14:paraId="1F40858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20/24</w:t>
            </w:r>
          </w:p>
        </w:tc>
        <w:tc>
          <w:tcPr>
            <w:tcW w:w="1418" w:type="dxa"/>
          </w:tcPr>
          <w:p w14:paraId="094F15CA"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3</w:t>
            </w:r>
          </w:p>
          <w:p w14:paraId="3A038B0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Comparative study</w:t>
            </w:r>
          </w:p>
        </w:tc>
        <w:tc>
          <w:tcPr>
            <w:tcW w:w="1134" w:type="dxa"/>
          </w:tcPr>
          <w:p w14:paraId="34F93834"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57EDE041" w14:textId="45C5E3CA"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passive remote patient monitoring trends towards being a cost-effective intervention.</w:t>
            </w:r>
            <w:r w:rsidR="004511B3">
              <w:rPr>
                <w:sz w:val="18"/>
                <w:szCs w:val="18"/>
              </w:rPr>
              <w:t xml:space="preserve"> </w:t>
            </w:r>
            <w:r w:rsidRPr="008E680E">
              <w:rPr>
                <w:sz w:val="18"/>
                <w:szCs w:val="18"/>
              </w:rPr>
              <w:t>Trended towards significance for cost categories of in-patient hospital stay (P=0.22), long term care (P=0.12) and skilled nursing facility (p=0.16).</w:t>
            </w:r>
            <w:r w:rsidR="004511B3">
              <w:rPr>
                <w:sz w:val="18"/>
                <w:szCs w:val="18"/>
              </w:rPr>
              <w:t xml:space="preserve"> </w:t>
            </w:r>
            <w:r w:rsidRPr="008E680E">
              <w:rPr>
                <w:sz w:val="18"/>
                <w:szCs w:val="18"/>
              </w:rPr>
              <w:t xml:space="preserve">Overall apparent cost savings ranged from 547.32 to 687.13 (USD 2014) per month. </w:t>
            </w:r>
          </w:p>
          <w:p w14:paraId="5BC114B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Specific to residential aged care facilities the apparent cost savings ranged from 347.85 (intervention n=74 to not enrolled n=129) to 573.07 (intervention n=74 to historical n=65) per month</w:t>
            </w:r>
          </w:p>
          <w:p w14:paraId="1945DC40" w14:textId="13640D15"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Finch, M., et al.</w:t>
            </w:r>
            <w:r w:rsidR="004511B3">
              <w:rPr>
                <w:sz w:val="18"/>
                <w:szCs w:val="18"/>
              </w:rPr>
              <w:t xml:space="preserve"> </w:t>
            </w:r>
            <w:r w:rsidRPr="008E680E">
              <w:rPr>
                <w:sz w:val="18"/>
                <w:szCs w:val="18"/>
              </w:rPr>
              <w:t>(2017).</w:t>
            </w:r>
            <w:r w:rsidR="004511B3">
              <w:rPr>
                <w:sz w:val="18"/>
                <w:szCs w:val="18"/>
              </w:rPr>
              <w:t xml:space="preserve"> </w:t>
            </w:r>
            <w:r w:rsidRPr="008E680E">
              <w:rPr>
                <w:sz w:val="18"/>
                <w:szCs w:val="18"/>
              </w:rPr>
              <w:t>"Reduced health care use and apparent savings with passive home monitoring technology: A pilot study." Journal of the American Geriatrics Society 65(6): 1301-</w:t>
            </w:r>
            <w:r w:rsidR="009D1408">
              <w:rPr>
                <w:sz w:val="18"/>
                <w:szCs w:val="18"/>
              </w:rPr>
              <w:t>–</w:t>
            </w:r>
            <w:r w:rsidRPr="008E680E">
              <w:rPr>
                <w:sz w:val="18"/>
                <w:szCs w:val="18"/>
              </w:rPr>
              <w:t>1305.</w:t>
            </w:r>
          </w:p>
        </w:tc>
        <w:tc>
          <w:tcPr>
            <w:tcW w:w="2698" w:type="dxa"/>
          </w:tcPr>
          <w:p w14:paraId="281F3634"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Passive remote patient monitoring saved residential aged care admissions (intervention to historical)</w:t>
            </w:r>
          </w:p>
          <w:p w14:paraId="506F302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$573.07 x 12 months = $6,876.84 (USA 2014)</w:t>
            </w:r>
          </w:p>
        </w:tc>
        <w:tc>
          <w:tcPr>
            <w:tcW w:w="1798" w:type="dxa"/>
          </w:tcPr>
          <w:p w14:paraId="5496F1A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Passive remote patient monitoring saved residential aged care admissions (intervention to historical)</w:t>
            </w:r>
          </w:p>
          <w:p w14:paraId="3DC26BD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$975.46 x 12 months = $11,705.54</w:t>
            </w:r>
          </w:p>
        </w:tc>
      </w:tr>
      <w:tr w:rsidR="00F81E67" w:rsidRPr="008E680E" w14:paraId="613529EA"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601262DA" w14:textId="17C8DDA6" w:rsidR="00F81E67" w:rsidRPr="00BA0E0E" w:rsidRDefault="00BA0E0E" w:rsidP="00187BC0">
            <w:pPr>
              <w:rPr>
                <w:sz w:val="18"/>
                <w:szCs w:val="18"/>
              </w:rPr>
            </w:pPr>
            <w:r w:rsidRPr="00BA0E0E">
              <w:rPr>
                <w:sz w:val="18"/>
                <w:szCs w:val="18"/>
              </w:rPr>
              <w:lastRenderedPageBreak/>
              <w:fldChar w:fldCharType="begin" w:fldLock="1"/>
            </w:r>
            <w:r w:rsidRPr="00BA0E0E">
              <w:rPr>
                <w:sz w:val="18"/>
                <w:szCs w:val="18"/>
              </w:rPr>
              <w:instrText>ADDIN CSL_CITATION {"citationItems":[{"id":"ITEM-1","itemData":{"DOI":"10.1002/14651858.CD013258","ISSN":"1469493X","abstract":"This is a protocol for a Cochrane Review (Intervention). The objectives are as follows: To assess the effects (benefits and harms) of environmental interventions (such as assistive devices, and reduction of fall hazards in home, outdoors, and public places) for preventing falls in older people living in the community.","author":[{"dropping-particle":"","family":"Gillespie","given":"L. D","non-dropping-particle":"","parse-names":false,"suffix":""},{"dropping-particle":"","family":"Robertson","given":"M. C","non-dropping-particle":"","parse-names":false,"suffix":""},{"dropping-particle":"","family":"Gillespie","given":"W. J","non-dropping-particle":"","parse-names":false,"suffix":""},{"dropping-particle":"","family":"Sherrington","given":"C","non-dropping-particle":"","parse-names":false,"suffix":""},{"dropping-particle":"","family":"Gates","given":"S","non-dropping-particle":"","parse-names":false,"suffix":""},{"dropping-particle":"","family":"Clemson","given":"L. M","non-dropping-particle":"","parse-names":false,"suffix":""},{"dropping-particle":"","family":"Lamb","given":"S. E.","non-dropping-particle":"","parse-names":false,"suffix":""}],"container-title":"Cochrane Database of Systematic Reviews","id":"ITEM-1","issue":"9","issued":{"date-parts":[["2012"]]},"title":"Environmental interventions for preventing falls in older people living in the community","type":"article-journal"},"uris":["http://www.mendeley.com/documents/?uuid=916c9023-9626-4ada-84c2-93afbe111278"]}],"mendeley":{"formattedCitation":"(Gillespie et al. 2012)","plainTextFormattedCitation":"(Gillespie et al. 2012)","previouslyFormattedCitation":"(Gillespie et al. 2012)"},"properties":{"noteIndex":0},"schema":"https://github.com/citation-style-language/schema/raw/master/csl-citation.json"}</w:instrText>
            </w:r>
            <w:r w:rsidRPr="00BA0E0E">
              <w:rPr>
                <w:sz w:val="18"/>
                <w:szCs w:val="18"/>
              </w:rPr>
              <w:fldChar w:fldCharType="separate"/>
            </w:r>
            <w:r w:rsidRPr="00BA0E0E">
              <w:rPr>
                <w:noProof/>
                <w:sz w:val="18"/>
                <w:szCs w:val="18"/>
              </w:rPr>
              <w:t>(Gillespie et al. 2012)</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&lt;EndNote&gt;&lt;Cite&gt;&lt;Author&gt;Gillespie&lt;/Author&gt;&lt;Year&gt;2012&lt;/Year&gt;&lt;RecNum&gt;135&lt;/RecNum&gt;&lt;DisplayText&gt;(Gillespie et al., 2012)&lt;/DisplayText&gt;&lt;record&gt;&lt;rec-number&gt;135&lt;/rec-number&gt;&lt;foreign-keys&gt;&lt;key app="EN" db-id="zex9fsa9btda98ezrs6prx5dpts20zpx5zv0" timestamp="1582419479"&gt;135&lt;/key&gt;&lt;/foreign-keys&gt;&lt;ref-type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00F81E67" w:rsidRPr="00BA0E0E">
              <w:rPr>
                <w:sz w:val="18"/>
                <w:szCs w:val="18"/>
              </w:rPr>
              <w:fldChar w:fldCharType="separate"/>
            </w:r>
            <w:r w:rsidR="00F81E67" w:rsidRPr="00BA0E0E">
              <w:rPr>
                <w:sz w:val="18"/>
                <w:szCs w:val="18"/>
              </w:rPr>
              <w:t>(Gillespie et al., 2012)</w:t>
            </w:r>
            <w:r w:rsidR="00F81E67" w:rsidRPr="00BA0E0E">
              <w:rPr>
                <w:sz w:val="18"/>
                <w:szCs w:val="18"/>
              </w:rPr>
              <w:fldChar w:fldCharType="end"/>
            </w:r>
          </w:p>
        </w:tc>
        <w:tc>
          <w:tcPr>
            <w:tcW w:w="1159" w:type="dxa"/>
          </w:tcPr>
          <w:p w14:paraId="3C673F54"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AT Services</w:t>
            </w:r>
          </w:p>
        </w:tc>
        <w:tc>
          <w:tcPr>
            <w:tcW w:w="1134" w:type="dxa"/>
          </w:tcPr>
          <w:p w14:paraId="5FF5563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Cochrane’s systematic review, no risk of bias</w:t>
            </w:r>
          </w:p>
          <w:p w14:paraId="61F8D6D0"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CHEERS completed</w:t>
            </w:r>
          </w:p>
        </w:tc>
        <w:tc>
          <w:tcPr>
            <w:tcW w:w="1418" w:type="dxa"/>
          </w:tcPr>
          <w:p w14:paraId="2255E62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1</w:t>
            </w:r>
          </w:p>
          <w:p w14:paraId="546BDC15"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Systematic review</w:t>
            </w:r>
          </w:p>
        </w:tc>
        <w:tc>
          <w:tcPr>
            <w:tcW w:w="1134" w:type="dxa"/>
          </w:tcPr>
          <w:p w14:paraId="48E6F10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 only</w:t>
            </w:r>
          </w:p>
        </w:tc>
        <w:tc>
          <w:tcPr>
            <w:tcW w:w="3978" w:type="dxa"/>
          </w:tcPr>
          <w:p w14:paraId="3027ADB1" w14:textId="77777777" w:rsidR="007472A7"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review carried out a post-hoc subgroup analysis based on whether the home safety assessment/​intervention was carried out by an OT or by other personnel.</w:t>
            </w:r>
            <w:r w:rsidR="004511B3">
              <w:rPr>
                <w:sz w:val="18"/>
                <w:szCs w:val="18"/>
              </w:rPr>
              <w:t xml:space="preserve"> </w:t>
            </w:r>
            <w:r w:rsidRPr="008E680E">
              <w:rPr>
                <w:sz w:val="18"/>
                <w:szCs w:val="18"/>
              </w:rPr>
              <w:t>One paper (Pighills 2011) randomised participants to two interventions groups to explore the effect of using differently trained personnel to deliver the intervention.</w:t>
            </w:r>
            <w:r w:rsidR="004511B3">
              <w:rPr>
                <w:sz w:val="18"/>
                <w:szCs w:val="18"/>
              </w:rPr>
              <w:t xml:space="preserve"> </w:t>
            </w:r>
          </w:p>
          <w:p w14:paraId="5EB8E2B2" w14:textId="054B2DC6"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There was some evidence that OT led interventions were more effective than non-OT led interventions for rate of falls and risk of falling.</w:t>
            </w:r>
            <w:r w:rsidR="004511B3">
              <w:rPr>
                <w:sz w:val="18"/>
                <w:szCs w:val="18"/>
              </w:rPr>
              <w:t xml:space="preserve"> </w:t>
            </w:r>
            <w:r w:rsidRPr="008E680E">
              <w:rPr>
                <w:sz w:val="18"/>
                <w:szCs w:val="18"/>
              </w:rPr>
              <w:t>Home safety interventions implemented by an OT resulted in a statistically significant difference in rate of falls.</w:t>
            </w:r>
          </w:p>
          <w:p w14:paraId="75DDA200" w14:textId="6545DCAB"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Gillespie, L.</w:t>
            </w:r>
            <w:r w:rsidR="004511B3">
              <w:rPr>
                <w:sz w:val="18"/>
                <w:szCs w:val="18"/>
              </w:rPr>
              <w:t xml:space="preserve"> </w:t>
            </w:r>
            <w:r w:rsidRPr="008E680E">
              <w:rPr>
                <w:sz w:val="18"/>
                <w:szCs w:val="18"/>
              </w:rPr>
              <w:t>D., et al.</w:t>
            </w:r>
            <w:r w:rsidR="004511B3">
              <w:rPr>
                <w:sz w:val="18"/>
                <w:szCs w:val="18"/>
              </w:rPr>
              <w:t xml:space="preserve"> </w:t>
            </w:r>
            <w:r w:rsidRPr="008E680E">
              <w:rPr>
                <w:sz w:val="18"/>
                <w:szCs w:val="18"/>
              </w:rPr>
              <w:t>(2012).</w:t>
            </w:r>
            <w:r w:rsidR="004511B3">
              <w:rPr>
                <w:sz w:val="18"/>
                <w:szCs w:val="18"/>
              </w:rPr>
              <w:t xml:space="preserve"> </w:t>
            </w:r>
            <w:r w:rsidRPr="008E680E">
              <w:rPr>
                <w:sz w:val="18"/>
                <w:szCs w:val="18"/>
              </w:rPr>
              <w:t>"Interventions for preventing falls in older people living in the community." Cochrane database of systematic reviews</w:t>
            </w:r>
            <w:r w:rsidR="009D1408">
              <w:rPr>
                <w:sz w:val="18"/>
                <w:szCs w:val="18"/>
              </w:rPr>
              <w:t xml:space="preserve"> </w:t>
            </w:r>
            <w:r w:rsidRPr="008E680E">
              <w:rPr>
                <w:sz w:val="18"/>
                <w:szCs w:val="18"/>
              </w:rPr>
              <w:t>(9).</w:t>
            </w:r>
          </w:p>
        </w:tc>
        <w:tc>
          <w:tcPr>
            <w:tcW w:w="2698" w:type="dxa"/>
          </w:tcPr>
          <w:p w14:paraId="529CC3F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6316151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565E9142"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4F95E62D" w14:textId="693CC083" w:rsidR="00F81E67" w:rsidRPr="00BA0E0E" w:rsidRDefault="00BA0E0E" w:rsidP="00187BC0">
            <w:pPr>
              <w:rPr>
                <w:sz w:val="18"/>
                <w:szCs w:val="18"/>
              </w:rPr>
            </w:pPr>
            <w:r w:rsidRPr="00BA0E0E">
              <w:rPr>
                <w:sz w:val="18"/>
                <w:szCs w:val="18"/>
              </w:rPr>
              <w:fldChar w:fldCharType="begin" w:fldLock="1"/>
            </w:r>
            <w:r w:rsidRPr="00BA0E0E">
              <w:rPr>
                <w:sz w:val="18"/>
                <w:szCs w:val="18"/>
              </w:rPr>
              <w:instrText>ADDIN CSL_CITATION {"citationItems":[{"id":"ITEM-1","itemData":{"author":[{"dropping-particle":"","family":"Goodacre","given":"Kate","non-dropping-particle":"","parse-names":false,"suffix":""},{"dropping-particle":"","family":"McCreadie","given":"Claudine","non-dropping-particle":"","parse-names":false,"suffix":""},{"dropping-particle":"","family":"Flanagan","given":"Syusan","non-dropping-particle":"","parse-names":false,"suffix":""},{"dropping-particle":"","family":"Lansley","given":"Peter","non-dropping-particle":"","parse-names":false,"suffix":""}],"container-title":"British Journal of Occupational Therapy","id":"ITEM-1","issue":"4","issued":{"date-parts":[["2008"]]},"note":"Goodacre et al (2007) discussed the unique understanding that occupational therapists bring to the functional needs of older people, the practicalities of adapting housing and the availability and appropriateness of AT (130)\n\nThe issue of the substitution of care by AT is an area in which there is increasing interest (Audit Commission 2000). Can human and non-human input be substituted for one another and, if so, to what extent? There has been little systematic research in the United Kingdom on this subject; what literature there is comes mostly from the United States (Mann et al 1999, Agree and Freedman 2001). The assumption that one entire system of care can be traded off for another (for example, swapping AT for informal, unpaid home care or for formal, paid home care) is a simplistic and unhelpful approach to substitution.(131)\n\nRather, substitution by AT can be defined as a reduction in the number of caregivers, a reduction in the hours of care provided or a displacement of efforts to other tasks (Mann et al 1999, Agree and Freedman 2001). (131)\n\nThe study has shown that some AT and adaptations are cost-effective, enabling savings in the cost of formal care as well as improving the quality of life. However, the fact that savings accrue to health and social services while the costs of adaptations are met by the housing providers is of great significance. As noted by Goodacre et al (2007),housing authorities have little motivation to increase their expenditure on adaptations when health and social services will be the beneficiaries of any savings.(139)\n\nBasic AT package: Full formal care is accompanied by only those adaptations and AT necessary to allow an individual to remain in his or her own home. Thus, for users dependent on a wheelchair, the ‘basic’ adaptations and AT would include the wheelchair and accessible entrances and circulation space. \n</w:instrText>
            </w:r>
            <w:r w:rsidRPr="00BA0E0E">
              <w:rPr>
                <w:rFonts w:ascii="Arial" w:hAnsi="Arial" w:cs="Arial"/>
                <w:sz w:val="18"/>
                <w:szCs w:val="18"/>
              </w:rPr>
              <w:instrText>■</w:instrText>
            </w:r>
            <w:r w:rsidRPr="00BA0E0E">
              <w:rPr>
                <w:sz w:val="18"/>
                <w:szCs w:val="18"/>
              </w:rPr>
              <w:instrText xml:space="preserve"> Augmented AT package: Full formal care is reduced with the provision of ‘care-reducing’ adaptations and AT, which enable the individual to accomplish some tasks that otherwise would be undertaken by another person. An example would be the provision of a level access shower, enabling individuals to bathe themselves rather than requiring a carer to assist them. Another would be an adapted kitchen for a wheelchair user, enabling him or her to prepare meals and undertake other routine kitchen tasks rather than relying on domestic help and meals on wheels.\n</w:instrText>
            </w:r>
            <w:r w:rsidRPr="00BA0E0E">
              <w:rPr>
                <w:rFonts w:ascii="Arial" w:hAnsi="Arial" w:cs="Arial"/>
                <w:sz w:val="18"/>
                <w:szCs w:val="18"/>
              </w:rPr>
              <w:instrText>■</w:instrText>
            </w:r>
            <w:r w:rsidRPr="00BA0E0E">
              <w:rPr>
                <w:sz w:val="18"/>
                <w:szCs w:val="18"/>
              </w:rPr>
              <w:instrText xml:space="preserve"> Maximum AT package: This extends the previous package by the addition of further ‘enhanced’ adaptations and AT,in order to enhance quality of life by supplementing the reduced formal care that is provided at the same level. An example would be the provision of a videoentry phone. Although a user could leave the entrance door unlocked to callers or use a keysafe for a small number of regular visitors, a video entry phone would increase safety and independence. (135)","page":"130-140","title":"Enabling older people to stay at home: the costs of substituting and supplementing care with assistive technology","type":"article-journal","volume":"71"},"uris":["http://www.mendeley.com/documents/?uuid=b1a13199-0d07-4a02-9c12-5047c80d537a"]}],"mendeley":{"formattedCitation":"(Kate Goodacre et al. 2008)","plainTextFormattedCitation":"(Kate Goodacre et al. 2008)","previouslyFormattedCitation":"(Kate Goodacre et al. 2008)"},"properties":{"noteIndex":0},"schema":"https://github.com/citation-style-language/schema/raw/master/csl-citation.json"}</w:instrText>
            </w:r>
            <w:r w:rsidRPr="00BA0E0E">
              <w:rPr>
                <w:sz w:val="18"/>
                <w:szCs w:val="18"/>
              </w:rPr>
              <w:fldChar w:fldCharType="separate"/>
            </w:r>
            <w:r w:rsidRPr="00BA0E0E">
              <w:rPr>
                <w:noProof/>
                <w:sz w:val="18"/>
                <w:szCs w:val="18"/>
              </w:rPr>
              <w:t>(Kate Goodacre et al. 2008)</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&lt;EndNote&gt;&lt;Cite&gt;&lt;Author&gt;Goodacre&lt;/Author&gt;&lt;Year&gt;2008&lt;/Year&gt;&lt;RecNum&gt;10&lt;/RecNum&gt;&lt;DisplayText&gt;(Goodacre et al., 2008)&lt;/DisplayText&gt;&lt;record&gt;&lt;rec-number&gt;10&lt;/rec-number&gt;&lt;foreign-keys&gt;&lt;key app="EN" db-id="z0f5xrvehzt9xzexr2k5apf1psvsftpfvp52" timestamp="1581805927"&gt;10&lt;/key&gt;&lt;/foreign-keys&gt;&lt;ref-type name="Journal Article"&gt;17&lt;/ref-type&gt;&lt;contributors&gt;&lt;authors&gt;&lt;author&gt;Goodacre, Kate&lt;/author&gt;&lt;author&gt;McCreadie, Claudine&lt;/author&gt;&lt;author&gt;Flanagan, Susan&lt;/author&gt;&lt;author&gt;Lansley, Peter&lt;/author&gt;&lt;/authors&gt;&lt;/contributors&gt;&lt;titles&gt;&lt;title&gt;Enabling older people to stay at home: the costs of substituting and supplementing care with assistive technology&lt;/title&gt;&lt;secondary-title&gt;British Journal of Occupational Therapy&lt;/secondary-title&gt;&lt;/titles&gt;&lt;periodical&gt;&lt;full-title&gt;British Journal of Occupational Therapy&lt;/full-title&gt;&lt;/periodical&gt;&lt;pages&gt;130-140&lt;/pages&gt;&lt;volume&gt;71&lt;/volume&gt;&lt;number&gt;4&lt;/number&gt;&lt;dates&gt;&lt;year&gt;2008&lt;/year&gt;&lt;/dates&gt;&lt;isbn&gt;0308-0226&lt;/isbn&gt;&lt;urls&gt;&lt;/urls&gt;&lt;/record&gt;&lt;/Cite&gt;&lt;/EndNote&gt;</w:instrText>
            </w:r>
            <w:r w:rsidR="00F81E67" w:rsidRPr="00BA0E0E">
              <w:rPr>
                <w:sz w:val="18"/>
                <w:szCs w:val="18"/>
              </w:rPr>
              <w:fldChar w:fldCharType="separate"/>
            </w:r>
            <w:r w:rsidR="00F81E67" w:rsidRPr="00BA0E0E">
              <w:rPr>
                <w:sz w:val="18"/>
                <w:szCs w:val="18"/>
              </w:rPr>
              <w:t>(Goodacre et al., 2008)</w:t>
            </w:r>
            <w:r w:rsidR="00F81E67" w:rsidRPr="00BA0E0E">
              <w:rPr>
                <w:sz w:val="18"/>
                <w:szCs w:val="18"/>
              </w:rPr>
              <w:fldChar w:fldCharType="end"/>
            </w:r>
          </w:p>
        </w:tc>
        <w:tc>
          <w:tcPr>
            <w:tcW w:w="1159" w:type="dxa"/>
          </w:tcPr>
          <w:p w14:paraId="44AC22F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Formal and informal care</w:t>
            </w:r>
          </w:p>
        </w:tc>
        <w:tc>
          <w:tcPr>
            <w:tcW w:w="1134" w:type="dxa"/>
          </w:tcPr>
          <w:p w14:paraId="1AC636AC"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2/5</w:t>
            </w:r>
          </w:p>
          <w:p w14:paraId="412C2F4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18/23</w:t>
            </w:r>
          </w:p>
        </w:tc>
        <w:tc>
          <w:tcPr>
            <w:tcW w:w="1418" w:type="dxa"/>
          </w:tcPr>
          <w:p w14:paraId="571E01D1"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3</w:t>
            </w:r>
          </w:p>
          <w:p w14:paraId="35389F0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Comparative study</w:t>
            </w:r>
          </w:p>
        </w:tc>
        <w:tc>
          <w:tcPr>
            <w:tcW w:w="1134" w:type="dxa"/>
          </w:tcPr>
          <w:p w14:paraId="5839527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2A1D7C4B"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This research provides important evidence about the cost of AT and the situations in which its increased use can be cost neutral or even provide cost benefits because it is used to supplement, or in some circumstances substitute for, care</w:t>
            </w:r>
          </w:p>
          <w:p w14:paraId="483613A6" w14:textId="249C269D"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Goodacre, K., et al.</w:t>
            </w:r>
            <w:r w:rsidR="004511B3">
              <w:rPr>
                <w:sz w:val="18"/>
                <w:szCs w:val="18"/>
              </w:rPr>
              <w:t xml:space="preserve"> </w:t>
            </w:r>
            <w:r w:rsidRPr="008E680E">
              <w:rPr>
                <w:sz w:val="18"/>
                <w:szCs w:val="18"/>
              </w:rPr>
              <w:t>(2008).</w:t>
            </w:r>
            <w:r w:rsidR="004511B3">
              <w:rPr>
                <w:sz w:val="18"/>
                <w:szCs w:val="18"/>
              </w:rPr>
              <w:t xml:space="preserve"> </w:t>
            </w:r>
            <w:r w:rsidRPr="008E680E">
              <w:rPr>
                <w:sz w:val="18"/>
                <w:szCs w:val="18"/>
              </w:rPr>
              <w:t>"Enabling older people to stay at home: the costs of substituting and supplementing care with assistive technology." British Journal of Occupational Therapy 71(4): 130</w:t>
            </w:r>
            <w:r w:rsidR="009D1408">
              <w:rPr>
                <w:sz w:val="18"/>
                <w:szCs w:val="18"/>
              </w:rPr>
              <w:t>–</w:t>
            </w:r>
            <w:r w:rsidRPr="008E680E">
              <w:rPr>
                <w:sz w:val="18"/>
                <w:szCs w:val="18"/>
              </w:rPr>
              <w:t>140.</w:t>
            </w:r>
          </w:p>
        </w:tc>
        <w:tc>
          <w:tcPr>
            <w:tcW w:w="2698" w:type="dxa"/>
          </w:tcPr>
          <w:p w14:paraId="5D9CAF4E"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5EFE21AB"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1E2BB5FA"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04F77FA6" w14:textId="24D180F1" w:rsidR="00F81E67" w:rsidRPr="00BA0E0E" w:rsidRDefault="00BA0E0E" w:rsidP="00187BC0">
            <w:pPr>
              <w:rPr>
                <w:sz w:val="18"/>
                <w:szCs w:val="18"/>
              </w:rPr>
            </w:pPr>
            <w:r w:rsidRPr="00BA0E0E">
              <w:rPr>
                <w:sz w:val="18"/>
                <w:szCs w:val="18"/>
              </w:rPr>
              <w:fldChar w:fldCharType="begin" w:fldLock="1"/>
            </w:r>
            <w:r>
              <w:rPr>
                <w:sz w:val="18"/>
                <w:szCs w:val="18"/>
              </w:rPr>
              <w:instrText>ADDIN CSL_CITATION {"citationItems":[{"id":"ITEM-1","itemData":{"DOI":"10.3109/17483107.2014.1002540","ISSN":"1748-3107","abstract":"AbstractPurpose: The aim of this study was to analyse the cost-effectiveness of prescribing powered mobility devices (PMDs) to elderly users. Methods: Forty-five persons participated in the pre- and post-intervention study with a follow-up at four months. All participants were prescribed a scooter model and were offered individual support to get started using the PMD. In the analysis, the use of the PMD was compared to the situation prior to its use. The cost-utility analysis takes a societal perspective and considers costs, savings and quality of life (QoL) using answers to the EQ-5D questionnaire. Results: Costs for the first year with the PMD were 1395 USD and then 592 USD per subsequent year. There was a significant decrease in transportation costs and in relatives' time use, but the increase in QoL of 0.041 was not significant. Costs per gained quality adjusted life year (QALY) were 12?400?14?700 USD/QALY if the value of time saved not was considered and 600?2900 USD/QALY when an hour was valued at 3.6 USD. Conclusion: Prescription of PMDs to elderly users might be cost-effective. However, there are shortcomings in measuring QALY gains from the use of a PMD, and it is unclear how time savings among relatives should be valued.Implications for RehabilitationPrescription of powered mobility devices for the elderly with disability seems to be cost effective and should be a standard intervention.In economic evaluations of powered mobility devices and other assistive devices, the commonly used analyses methods are not always appropriate and therefore need to be adjusted.","author":[{"dropping-particle":"","family":"Hagberg","given":"Lars","non-dropping-particle":"","parse-names":false,"suffix":""},{"dropping-particle":"","family":"Hermansson","given":"Liselotte","non-dropping-particle":"","parse-names":false,"suffix":""},{"dropping-particle":"","family":"Fredriksson","given":"Carin","non-dropping-particle":"","parse-names":false,"suffix":""},{"dropping-particle":"","family":"Pettersson","given":"Ingvor","non-dropping-particle":"","parse-names":false,"suffix":""}],"container-title":"Disability and Rehabilitation: Assistive Technology","id":"ITEM-1","issue":"2","issued":{"date-parts":[["2017"]]},"page":"115-120","title":"Cost-effectiveness of powered mobility devices for elderly people with disability","type":"article-journal","volume":"12"},"uris":["http://www.mendeley.com/documents/?uuid=bb19bc97-bc75-4121-b895-9e5d3346df84"]}],"mendeley":{"formattedCitation":"(Hagberg et al. 2017)","plainTextFormattedCitation":"(Hagberg et al. 2017)","previouslyFormattedCitation":"(Hagberg et al. 2017)"},"properties":{"noteIndex":0},"schema":"https://github.com/citation-style-language/schema/raw/master/csl-citation.json"}</w:instrText>
            </w:r>
            <w:r w:rsidRPr="00BA0E0E">
              <w:rPr>
                <w:sz w:val="18"/>
                <w:szCs w:val="18"/>
              </w:rPr>
              <w:fldChar w:fldCharType="separate"/>
            </w:r>
            <w:r w:rsidRPr="00BA0E0E">
              <w:rPr>
                <w:noProof/>
                <w:sz w:val="18"/>
                <w:szCs w:val="18"/>
              </w:rPr>
              <w:t>(Hagberg et al. 2017)</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&lt;EndNote&gt;&lt;Cite&gt;&lt;Author&gt;Hagberg&lt;/Author&gt;&lt;Year&gt;2017&lt;/Year&gt;&lt;RecNum&gt;11&lt;/RecNum&gt;&lt;DisplayText&gt;(Hagberg et al., 2017)&lt;/DisplayText&gt;&lt;record&gt;&lt;rec-number&gt;11&lt;/rec-number&gt;&lt;foreign-keys&gt;&lt;key app="EN" db-id="z0f5xrvehzt9xzexr2k5apf1psvsftpfvp52" timestamp="1581807150"&gt;11&lt;/key&gt;&lt;/foreign-keys&gt;&lt;ref-type name="Journal Article"&gt;17&lt;/ref-type&gt;&lt;contributors&gt;&lt;authors&gt;&lt;author&gt;Hagberg, Lars&lt;/author&gt;&lt;author&gt;Hermansson, Liselotte&lt;/author&gt;&lt;author&gt;Fredriksson, Carin&lt;/author&gt;&lt;author&gt;Pettersson, Ingvor&lt;/author&gt;&lt;/authors&gt;&lt;/contributors&gt;&lt;titles&gt;&lt;title&gt;Cost-effectiveness of powered mobility devices for elderly people with disability&lt;/title&gt;&lt;secondary-title&gt;Disability and Rehabilitation: Assistive Technology&lt;/secondary-title&gt;&lt;/titles&gt;&lt;periodical&gt;&lt;full-title&gt;Disability and Rehabilitation: Assistive Technology&lt;/full-title&gt;&lt;/periodical&gt;&lt;pages&gt;115-120&lt;/pages&gt;&lt;volume&gt;12&lt;/volume&gt;&lt;number&gt;2&lt;/number&gt;&lt;dates&gt;&lt;year&gt;2017&lt;/year&gt;&lt;/dates&gt;&lt;isbn&gt;1748-3107&lt;/isbn&gt;&lt;urls&gt;&lt;/urls&gt;&lt;/record&gt;&lt;/Cite&gt;&lt;/EndNote&gt;</w:instrText>
            </w:r>
            <w:r w:rsidR="00F81E67" w:rsidRPr="00BA0E0E">
              <w:rPr>
                <w:sz w:val="18"/>
                <w:szCs w:val="18"/>
              </w:rPr>
              <w:fldChar w:fldCharType="separate"/>
            </w:r>
            <w:r w:rsidR="00F81E67" w:rsidRPr="00BA0E0E">
              <w:rPr>
                <w:sz w:val="18"/>
                <w:szCs w:val="18"/>
              </w:rPr>
              <w:t>(Hagberg et al., 2017)</w:t>
            </w:r>
            <w:r w:rsidR="00F81E67" w:rsidRPr="00BA0E0E">
              <w:rPr>
                <w:sz w:val="18"/>
                <w:szCs w:val="18"/>
              </w:rPr>
              <w:fldChar w:fldCharType="end"/>
            </w:r>
          </w:p>
        </w:tc>
        <w:tc>
          <w:tcPr>
            <w:tcW w:w="1159" w:type="dxa"/>
          </w:tcPr>
          <w:p w14:paraId="25E8C1A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Wellbeing</w:t>
            </w:r>
          </w:p>
        </w:tc>
        <w:tc>
          <w:tcPr>
            <w:tcW w:w="1134" w:type="dxa"/>
          </w:tcPr>
          <w:p w14:paraId="6D59B59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2/5</w:t>
            </w:r>
          </w:p>
          <w:p w14:paraId="2597B20E"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22/23</w:t>
            </w:r>
          </w:p>
        </w:tc>
        <w:tc>
          <w:tcPr>
            <w:tcW w:w="1418" w:type="dxa"/>
          </w:tcPr>
          <w:p w14:paraId="47967B0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3</w:t>
            </w:r>
          </w:p>
          <w:p w14:paraId="72FBBC39"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Comparative study with pre/post</w:t>
            </w:r>
          </w:p>
        </w:tc>
        <w:tc>
          <w:tcPr>
            <w:tcW w:w="1134" w:type="dxa"/>
          </w:tcPr>
          <w:p w14:paraId="3E70C560"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Cost and effect</w:t>
            </w:r>
          </w:p>
        </w:tc>
        <w:tc>
          <w:tcPr>
            <w:tcW w:w="3978" w:type="dxa"/>
          </w:tcPr>
          <w:p w14:paraId="0750D8A8" w14:textId="4C266A88"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Prescription of powered mobility devices for elderly people might be cost-effective.</w:t>
            </w:r>
            <w:r w:rsidR="004511B3">
              <w:rPr>
                <w:sz w:val="18"/>
                <w:szCs w:val="18"/>
              </w:rPr>
              <w:t xml:space="preserve"> </w:t>
            </w:r>
            <w:r w:rsidRPr="008E680E">
              <w:rPr>
                <w:sz w:val="18"/>
                <w:szCs w:val="18"/>
              </w:rPr>
              <w:t>However, there are shortcomings in measuring QALY gains for the use of a powered mobility device.</w:t>
            </w:r>
            <w:r w:rsidR="004511B3">
              <w:rPr>
                <w:sz w:val="18"/>
                <w:szCs w:val="18"/>
              </w:rPr>
              <w:t xml:space="preserve"> </w:t>
            </w:r>
            <w:r w:rsidRPr="008E680E">
              <w:rPr>
                <w:sz w:val="18"/>
                <w:szCs w:val="18"/>
              </w:rPr>
              <w:t xml:space="preserve">QALY across 5 years of use gains in QALY was 0.194 and the cost was $3,597 USD 2014. </w:t>
            </w:r>
          </w:p>
          <w:p w14:paraId="43946445" w14:textId="15822643"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Hagberg, L., et al.</w:t>
            </w:r>
            <w:r w:rsidR="004511B3">
              <w:rPr>
                <w:sz w:val="18"/>
                <w:szCs w:val="18"/>
              </w:rPr>
              <w:t xml:space="preserve"> </w:t>
            </w:r>
            <w:r w:rsidRPr="008E680E">
              <w:rPr>
                <w:sz w:val="18"/>
                <w:szCs w:val="18"/>
              </w:rPr>
              <w:t>(2017).</w:t>
            </w:r>
            <w:r w:rsidR="004511B3">
              <w:rPr>
                <w:sz w:val="18"/>
                <w:szCs w:val="18"/>
              </w:rPr>
              <w:t xml:space="preserve"> </w:t>
            </w:r>
            <w:r w:rsidRPr="008E680E">
              <w:rPr>
                <w:sz w:val="18"/>
                <w:szCs w:val="18"/>
              </w:rPr>
              <w:t>"Cost-effectiveness of powered mobility devices for elderly people with disability." Disability and Rehabilitation: Assistive Technology 12(2): 115</w:t>
            </w:r>
            <w:r w:rsidR="009D1408">
              <w:rPr>
                <w:sz w:val="18"/>
                <w:szCs w:val="18"/>
              </w:rPr>
              <w:t>–</w:t>
            </w:r>
            <w:r w:rsidRPr="008E680E">
              <w:rPr>
                <w:sz w:val="18"/>
                <w:szCs w:val="18"/>
              </w:rPr>
              <w:t>120</w:t>
            </w:r>
          </w:p>
        </w:tc>
        <w:tc>
          <w:tcPr>
            <w:tcW w:w="2698" w:type="dxa"/>
          </w:tcPr>
          <w:p w14:paraId="2ED7909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1ED2F5C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6AB9F9FC"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0DF0F3C4" w14:textId="67193B69"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{"citationItems":[{"id":"ITEM-1","itemData":{"DOI":"10.1080/17483107.2018.1523953","ISSN":"17483115","abstract":"Purpose: Approximately 1.5% of the world’s population (</w:instrText>
            </w:r>
            <w:r>
              <w:rPr>
                <w:rFonts w:ascii="Cambria Math" w:hAnsi="Cambria Math" w:cs="Cambria Math"/>
                <w:sz w:val="18"/>
                <w:szCs w:val="18"/>
              </w:rPr>
              <w:instrText>∼</w:instrText>
            </w:r>
            <w:r>
              <w:rPr>
                <w:sz w:val="18"/>
                <w:szCs w:val="18"/>
              </w:rPr>
              <w:instrText>100 million people) need a prosthesis/orthosis. The objective of the study was to establish an overview of the literature that has examined prosthetic and orthotic interventions with a view to inform policy development. Methods: Fourteen databases were searched from 1995–2015. Studies reporting primary research on the effectiveness or cost-effectiveness of prosthetic and orthotic interventions were examined. Metadata and information on study characteristics were extracted from the included studies. Results: The searches resulted in a total of 28,958 articles, a focus on studies with the words “randomized” OR “randomized” OR “cost” OR “economic” in their citation reduced this total to 2644. Research has predominantly been conducted in Australia, Canada, Germany, Netherlands, UK and USA. A total of 346 randomized controlled trials were identified, with only four randomized controlled trials examining prosthetic interventions. The majority of research examined lower limb orthoses in the adult population and used a wide range of outcome measures. Conclusions: While various international organizations have highlighted the value of providing prosthetic and orthotic services, both to the user and society as a whole, the availability of scientific research to inform policy is limited. Future structured evaluation of prosthetic and orthotic interventions/services is warranted to inform future policy developments.Implications for rehabilitation Research into prosthetic and orthotic interventions has grown substantially in the last 20 years, with most of this research conducted in a small number of countries and focusing on the use of lower limb orthotics in adult populations. Research to date has utilized an extensive range of outcome measures, the development of agreed standardized sets of outcomes would allow comparison and combination of results in future research. This study highlights the need for further research in this area, especially studies which examine the cost-effectiveness of prosthetic and orthotic provision.","author":[{"dropping-particle":"","family":"Healy","given":"Aoife","non-dropping-particle":"","parse-names":false,"suffix":""},{"dropping-particle":"","family":"Farmer","given":"Sybil","non-dropping-particle":"","parse-names":false,"suffix":""},{"dropping-particle":"","family":"Eddison","given":"Nicola","non-dropping-particle":"","parse-names":false,"suffix":""},{"dropping-particle":"","family":"Allcock","given":"Jonathan","non-dropping-particle":"","parse-names":false,"suffix":""},{"dropping-particle":"","family":"Perry","given":"Thomas","non-dropping-particle":"","parse-names":false,"suffix":""},{"dropping-particle":"","family":"Pandyan","given":"Anand","non-dropping-particle":"","parse-names":false,"suffix":""},{"dropping-particle":"","family":"Chockalingam","given":"Nachiappan","non-dropping-particle":"","parse-names":false,"suffix":""}],"container-title":"Disability and Rehabilitation: Assistive Technology","id":"ITEM-1","issue":"1","issued":{"date-parts":[["2020"]]},"page":"60-66","publisher":"Taylor &amp; Francis","title":"A scoping literature review of studies assessing effectiveness and cost-effectiveness of prosthetic and orthotic interventions","type":"article-journal","volume":"15"},"uris":["http://www.mendeley.com/documents/?uuid=5b1913ea-f04d-42ef-8a67-54e1b1d4736d"]}],"mendeley":{"formattedCitation":"(Healy et al. 2020)","plainTextFormattedCitation":"(Healy et al. 2020)","previouslyFormattedCitation":"(Healy et al. 2020)"},"properties":{"noteIndex":0},"schema":"https://github.com/citation-style-language/schema/raw/master/csl-citation.json"}</w:instrText>
            </w:r>
            <w:r w:rsidRPr="00BA0E0E">
              <w:rPr>
                <w:sz w:val="18"/>
                <w:szCs w:val="18"/>
              </w:rPr>
              <w:fldChar w:fldCharType="separate"/>
            </w:r>
            <w:r w:rsidRPr="00BA0E0E">
              <w:rPr>
                <w:noProof/>
                <w:sz w:val="18"/>
                <w:szCs w:val="18"/>
              </w:rPr>
              <w:t>(Healy et al. 2020)</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&lt;EndNote&gt;&lt;Cite&gt;&lt;Author&gt;Healy&lt;/Author&gt;&lt;Year&gt;2020&lt;/Year&gt;&lt;RecNum&gt;13&lt;/RecNum&gt;&lt;DisplayText&gt;(Healy et al., 2020)&lt;/DisplayText&gt;&lt;record&gt;&lt;rec-number&gt;13&lt;/rec-number&gt;&lt;foreign-keys&gt;&lt;key app="EN" db-id="z0f5xrvehzt9xzexr2k5apf1psvsftpfvp52" timestamp="1581807188"&gt;13&lt;/key&gt;&lt;/foreign-keys&gt;&lt;ref-type name="Journal Article"&gt;17&lt;/ref-type&gt;&lt;contributors&gt;&lt;authors&gt;&lt;author&gt;Healy, Aoife&lt;/author&gt;&lt;author&gt;Farmer, Sybil&lt;/author&gt;&lt;author&gt;Eddison, Nicola&lt;/author&gt;&lt;author&gt;Allcock, Jonathan&lt;/author&gt;&lt;author&gt;Perry, Thomas&lt;/author&gt;&lt;author&gt;Pandyan, Anand&lt;/author&gt;&lt;author&gt;Chockalingam, Nachiappan&lt;/author&gt;&lt;/authors&gt;&lt;/contributors&gt;&lt;titles&gt;&lt;title&gt;A scoping literature review of studies assessing effectiveness and cost-effectiveness of prosthetic and orthotic interventions&lt;/title&gt;&lt;secondary-title&gt;Disability and Rehabilitation: Assistive Technology&lt;/secondary-title&gt;&lt;/titles&gt;&lt;periodical&gt;&lt;full-title&gt;Disability and Rehabilitation: Assistive Technology&lt;/full-title&gt;&lt;/periodical&gt;&lt;pages&gt;60-66&lt;/pages&gt;&lt;volume&gt;15&lt;/volume&gt;&lt;number&gt;1&lt;/number&gt;&lt;dates&gt;&lt;year&gt;2020&lt;/year&gt;&lt;/dates&gt;&lt;isbn&gt;1748-3107&lt;/isbn&gt;&lt;urls&gt;&lt;/urls&gt;&lt;/record&gt;&lt;/Cite&gt;&lt;/EndNote&gt;</w:instrText>
            </w:r>
            <w:r w:rsidR="00F81E67" w:rsidRPr="00BA0E0E">
              <w:rPr>
                <w:sz w:val="18"/>
                <w:szCs w:val="18"/>
              </w:rPr>
              <w:fldChar w:fldCharType="separate"/>
            </w:r>
            <w:r w:rsidR="00F81E67" w:rsidRPr="00BA0E0E">
              <w:rPr>
                <w:sz w:val="18"/>
                <w:szCs w:val="18"/>
              </w:rPr>
              <w:t>(Healy et al., 2020)</w:t>
            </w:r>
            <w:r w:rsidR="00F81E67" w:rsidRPr="00BA0E0E">
              <w:rPr>
                <w:sz w:val="18"/>
                <w:szCs w:val="18"/>
              </w:rPr>
              <w:fldChar w:fldCharType="end"/>
            </w:r>
          </w:p>
        </w:tc>
        <w:tc>
          <w:tcPr>
            <w:tcW w:w="1159" w:type="dxa"/>
          </w:tcPr>
          <w:p w14:paraId="6FC465AA"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Wellbeing</w:t>
            </w:r>
          </w:p>
        </w:tc>
        <w:tc>
          <w:tcPr>
            <w:tcW w:w="1134" w:type="dxa"/>
          </w:tcPr>
          <w:p w14:paraId="5C7D253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2/2</w:t>
            </w:r>
          </w:p>
          <w:p w14:paraId="48089B2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9/23</w:t>
            </w:r>
          </w:p>
        </w:tc>
        <w:tc>
          <w:tcPr>
            <w:tcW w:w="1418" w:type="dxa"/>
          </w:tcPr>
          <w:p w14:paraId="0D34CC3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1</w:t>
            </w:r>
          </w:p>
          <w:p w14:paraId="3D89F69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Systematic review</w:t>
            </w:r>
          </w:p>
        </w:tc>
        <w:tc>
          <w:tcPr>
            <w:tcW w:w="1134" w:type="dxa"/>
          </w:tcPr>
          <w:p w14:paraId="70C5348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587CF1B0"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 xml:space="preserve">The included studies highlight the importance of P&amp;O supports post amputation of the lower limb, however, the ability for the literature to inform policy is limited. </w:t>
            </w:r>
          </w:p>
          <w:p w14:paraId="4C50D443" w14:textId="3D0287EB"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Healy, A., et al.</w:t>
            </w:r>
            <w:r w:rsidR="004511B3">
              <w:rPr>
                <w:sz w:val="18"/>
                <w:szCs w:val="18"/>
              </w:rPr>
              <w:t xml:space="preserve"> </w:t>
            </w:r>
            <w:r w:rsidRPr="008E680E">
              <w:rPr>
                <w:sz w:val="18"/>
                <w:szCs w:val="18"/>
              </w:rPr>
              <w:t>(2020).</w:t>
            </w:r>
            <w:r w:rsidR="004511B3">
              <w:rPr>
                <w:sz w:val="18"/>
                <w:szCs w:val="18"/>
              </w:rPr>
              <w:t xml:space="preserve"> </w:t>
            </w:r>
            <w:r w:rsidRPr="008E680E">
              <w:rPr>
                <w:sz w:val="18"/>
                <w:szCs w:val="18"/>
              </w:rPr>
              <w:t>"A scoping literature review of studies assessing effectiveness and cost-effectiveness of prosthetic and orthotic interventions." Disability and Rehabilitation: Assistive Technology 15(1): 60</w:t>
            </w:r>
            <w:r w:rsidR="009D1408">
              <w:rPr>
                <w:sz w:val="18"/>
                <w:szCs w:val="18"/>
              </w:rPr>
              <w:t>–</w:t>
            </w:r>
            <w:r w:rsidRPr="008E680E">
              <w:rPr>
                <w:sz w:val="18"/>
                <w:szCs w:val="18"/>
              </w:rPr>
              <w:t>66.</w:t>
            </w:r>
          </w:p>
        </w:tc>
        <w:tc>
          <w:tcPr>
            <w:tcW w:w="2698" w:type="dxa"/>
          </w:tcPr>
          <w:p w14:paraId="53EBFAA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1EFCFE71"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D43B80" w:rsidRPr="008E680E" w14:paraId="51F4BC6A"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7BB81694" w14:textId="69BDAA8C" w:rsidR="00D43B80" w:rsidRPr="00BA0E0E" w:rsidRDefault="00D43B80" w:rsidP="00187BC0">
            <w:pPr>
              <w:rPr>
                <w:sz w:val="18"/>
                <w:szCs w:val="18"/>
              </w:rPr>
            </w:pPr>
            <w:r w:rsidRPr="00BA0E0E">
              <w:rPr>
                <w:sz w:val="18"/>
                <w:szCs w:val="18"/>
              </w:rPr>
              <w:fldChar w:fldCharType="begin" w:fldLock="1"/>
            </w:r>
            <w:r>
              <w:rPr>
                <w:sz w:val="18"/>
                <w:szCs w:val="18"/>
              </w:rPr>
              <w:instrText>ADDIN CSL_CITATION {"citationItems":[{"id":"ITEM-1","itemData":{"DOI":"10.2105/ajph.93.2.330","ISSN":"0090-0036","abstract":"OBJECTIVES: This study examined whether use of equipment (technological assistance) to cope with disability was associated with use of fewer hours of help from another person (personal assistance). METHODS: In a cross-sectional study of 2368 community dwellers older than 65 years with 1 or more limitations in basic activities of daily living (ADLs) from the 1994 National Long Term Care Survey, the relation between technological assistance and personal assistance was examined. RESULTS: Among people with ADL limitations, multivariate models showed a strong and consistent relation between technological assistance and personal assistance, whereby use of equipment was associated with fewer hours of help. CONCLUSIONS: Among people with disability, use of assistive technology was associated with use of fewer hours of personal assistance.","author":[{"dropping-particle":"","family":"Hoenig","given":"Helen","non-dropping-particle":"","parse-names":false,"suffix":""},{"dropping-particle":"","family":"Taylor  Jr","given":"Donald H","non-dropping-particle":"","parse-names":false,"suffix":""},{"dropping-particle":"","family":"Sloan","given":"Frank A","non-dropping-particle":"","parse-names":false,"suffix":""}],"container-title":"American journal of public health","id":"ITEM-1","issue":"2","issued":{"date-parts":[["2003","2"]]},"language":"eng","page":"330-337","publisher":"© American Journal of Public Health 2003","title":"Does assistive technology substitute for personal assistance among the disabled elderly?","type":"article-journal","volume":"93"},"uris":["http://www.mendeley.com/documents/?uuid=2dc8a240-d8a3-4217-9dc1-ce2d060dfdf6"]}],"mendeley":{"formattedCitation":"(Hoenig et al. 2003)","plainTextFormattedCitation":"(Hoenig et al. 2003)","previouslyFormattedCitation":"(Hoenig et al. 2003)"},"properties":{"noteIndex":0},"schema":"https://github.com/citation-style-language/schema/raw/master/csl-citation.json"}</w:instrText>
            </w:r>
            <w:r w:rsidRPr="00BA0E0E">
              <w:rPr>
                <w:sz w:val="18"/>
                <w:szCs w:val="18"/>
              </w:rPr>
              <w:fldChar w:fldCharType="separate"/>
            </w:r>
            <w:r w:rsidRPr="00BA0E0E">
              <w:rPr>
                <w:noProof/>
                <w:sz w:val="18"/>
                <w:szCs w:val="18"/>
              </w:rPr>
              <w:t>(Hoenig et al. 2003)</w:t>
            </w:r>
            <w:r w:rsidRPr="00BA0E0E">
              <w:rPr>
                <w:sz w:val="18"/>
                <w:szCs w:val="18"/>
              </w:rPr>
              <w:fldChar w:fldCharType="end"/>
            </w:r>
            <w:r w:rsidRPr="00BA0E0E">
              <w:rPr>
                <w:sz w:val="18"/>
                <w:szCs w:val="18"/>
              </w:rPr>
              <w:fldChar w:fldCharType="begin"/>
            </w:r>
            <w:r w:rsidRPr="00BA0E0E">
              <w:rPr>
                <w:sz w:val="18"/>
                <w:szCs w:val="18"/>
              </w:rPr>
              <w:instrText xml:space="preserve">  EN.CITE &lt;EndNote&gt;&lt;Cite&gt;&lt;Author&gt;Hoenig&lt;/Author&gt;&lt;Year&gt;2003&lt;/Year&gt;&lt;RecNum&gt;50&lt;/RecNum&gt;&lt;DisplayText&gt;(Hoenig et al., 2003)&lt;/DisplayText&gt;&lt;record&gt;&lt;rec-number&gt;50&lt;/rec-number&gt;&lt;foreign-keys&gt;&lt;key app="EN" db-id="z0f5xrvehzt9xzexr2k5apf1psvsftpfvp52" timestamp="1583031685"&gt;50&lt;/key&gt;&lt;/foreign-keys&gt;&lt;ref-type name="Journal Article"&gt;17&lt;/ref-type&gt;&lt;contributors&gt;&lt;authors&gt;&lt;author&gt;Hoenig, Helen&lt;/author&gt;&lt;author&gt;Taylor Jr, Donald H&lt;/author&gt;&lt;author&gt;Sloan, Frank A&lt;/author&gt;&lt;/authors&gt;&lt;/contributors&gt;&lt;titles&gt;&lt;title&gt;Does assistive technology substitute for personal assistance among the disabled elderly?&lt;/title&gt;&lt;secondary-title&gt;American journal of public health&lt;/secondary-title&gt;&lt;/titles&gt;&lt;periodical&gt;&lt;full-title&gt;American journal of public health&lt;/full-title&gt;&lt;/periodical&gt;&lt;pages&gt;330-337&lt;/pages&gt;&lt;volume&gt;93&lt;/volume&gt;&lt;number&gt;2&lt;/number&gt;&lt;dates&gt;&lt;year&gt;2003&lt;/year&gt;&lt;/dates&gt;&lt;isbn&gt;0090-0036&lt;/isbn&gt;&lt;urls&gt;&lt;/urls&gt;&lt;/record&gt;&lt;/Cite&gt;&lt;/EndNote&gt;</w:instrText>
            </w:r>
            <w:r w:rsidRPr="00BA0E0E">
              <w:rPr>
                <w:sz w:val="18"/>
                <w:szCs w:val="18"/>
              </w:rPr>
              <w:fldChar w:fldCharType="separate"/>
            </w:r>
            <w:r w:rsidRPr="00BA0E0E">
              <w:rPr>
                <w:sz w:val="18"/>
                <w:szCs w:val="18"/>
              </w:rPr>
              <w:t>(Hoenig et al., 2003)</w:t>
            </w:r>
            <w:r w:rsidRPr="00BA0E0E">
              <w:rPr>
                <w:sz w:val="18"/>
                <w:szCs w:val="18"/>
              </w:rPr>
              <w:fldChar w:fldCharType="end"/>
            </w:r>
          </w:p>
        </w:tc>
        <w:tc>
          <w:tcPr>
            <w:tcW w:w="1159" w:type="dxa"/>
          </w:tcPr>
          <w:p w14:paraId="60472A65"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Formal care</w:t>
            </w:r>
          </w:p>
        </w:tc>
        <w:tc>
          <w:tcPr>
            <w:tcW w:w="1134" w:type="dxa"/>
          </w:tcPr>
          <w:p w14:paraId="25323DA2"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3/6</w:t>
            </w:r>
          </w:p>
          <w:p w14:paraId="13733AA2"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17/23</w:t>
            </w:r>
          </w:p>
        </w:tc>
        <w:tc>
          <w:tcPr>
            <w:tcW w:w="1418" w:type="dxa"/>
          </w:tcPr>
          <w:p w14:paraId="469D16F8"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4</w:t>
            </w:r>
          </w:p>
          <w:p w14:paraId="1386F1D4"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Survey</w:t>
            </w:r>
          </w:p>
        </w:tc>
        <w:tc>
          <w:tcPr>
            <w:tcW w:w="1134" w:type="dxa"/>
          </w:tcPr>
          <w:p w14:paraId="3AF7FB4D"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 only</w:t>
            </w:r>
          </w:p>
        </w:tc>
        <w:tc>
          <w:tcPr>
            <w:tcW w:w="3978" w:type="dxa"/>
          </w:tcPr>
          <w:p w14:paraId="56709608"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 xml:space="preserve">Among people with disability use of assistive technology was associated with use of fewer hours of personal assistance. </w:t>
            </w:r>
          </w:p>
          <w:p w14:paraId="3838A1AD"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Reduction of 3.8 hours per week of formal care for those that us some or all equipment compared to those that did not use equipment</w:t>
            </w:r>
          </w:p>
          <w:p w14:paraId="6F9F2B7B" w14:textId="2C6C56DF"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Hoenig, H., et al.</w:t>
            </w:r>
            <w:r>
              <w:rPr>
                <w:sz w:val="18"/>
                <w:szCs w:val="18"/>
              </w:rPr>
              <w:t xml:space="preserve"> </w:t>
            </w:r>
            <w:r w:rsidRPr="008E680E">
              <w:rPr>
                <w:sz w:val="18"/>
                <w:szCs w:val="18"/>
              </w:rPr>
              <w:t>(2003).</w:t>
            </w:r>
            <w:r>
              <w:rPr>
                <w:sz w:val="18"/>
                <w:szCs w:val="18"/>
              </w:rPr>
              <w:t xml:space="preserve"> </w:t>
            </w:r>
            <w:r w:rsidRPr="008E680E">
              <w:rPr>
                <w:sz w:val="18"/>
                <w:szCs w:val="18"/>
              </w:rPr>
              <w:t xml:space="preserve">"Does assistive technology substitute for personal assistance among the disabled elderly?" American </w:t>
            </w:r>
            <w:r>
              <w:rPr>
                <w:sz w:val="18"/>
                <w:szCs w:val="18"/>
              </w:rPr>
              <w:t>J</w:t>
            </w:r>
            <w:r w:rsidRPr="008E680E">
              <w:rPr>
                <w:sz w:val="18"/>
                <w:szCs w:val="18"/>
              </w:rPr>
              <w:t xml:space="preserve">ournal of </w:t>
            </w:r>
            <w:r>
              <w:rPr>
                <w:sz w:val="18"/>
                <w:szCs w:val="18"/>
              </w:rPr>
              <w:t>P</w:t>
            </w:r>
            <w:r w:rsidRPr="008E680E">
              <w:rPr>
                <w:sz w:val="18"/>
                <w:szCs w:val="18"/>
              </w:rPr>
              <w:t xml:space="preserve">ublic </w:t>
            </w:r>
            <w:r>
              <w:rPr>
                <w:sz w:val="18"/>
                <w:szCs w:val="18"/>
              </w:rPr>
              <w:t>H</w:t>
            </w:r>
            <w:r w:rsidRPr="008E680E">
              <w:rPr>
                <w:sz w:val="18"/>
                <w:szCs w:val="18"/>
              </w:rPr>
              <w:t>ealth 93(2): 330</w:t>
            </w:r>
            <w:r>
              <w:rPr>
                <w:sz w:val="18"/>
                <w:szCs w:val="18"/>
              </w:rPr>
              <w:t>–</w:t>
            </w:r>
            <w:r w:rsidRPr="008E680E">
              <w:rPr>
                <w:sz w:val="18"/>
                <w:szCs w:val="18"/>
              </w:rPr>
              <w:t>337.</w:t>
            </w:r>
          </w:p>
        </w:tc>
        <w:tc>
          <w:tcPr>
            <w:tcW w:w="2698" w:type="dxa"/>
          </w:tcPr>
          <w:p w14:paraId="48541262" w14:textId="77777777"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Summary of benefit and reason for excluding from the Schedule of Benefits from AT:</w:t>
            </w:r>
          </w:p>
          <w:p w14:paraId="0F635026" w14:textId="77777777" w:rsidR="00D43B80"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Hoenig, et all 2003 reported a reduction of formal care by 3.8 hours per week or 197.6 hours per year.</w:t>
            </w:r>
            <w:r>
              <w:rPr>
                <w:sz w:val="18"/>
                <w:szCs w:val="18"/>
              </w:rPr>
              <w:t xml:space="preserve"> </w:t>
            </w:r>
            <w:r w:rsidRPr="008E680E">
              <w:rPr>
                <w:sz w:val="18"/>
                <w:szCs w:val="18"/>
              </w:rPr>
              <w:t>Hoenig, et all (2003) used a single point in time survey design from the USA describing the correlation of those people who do and do not use AT and those who do and do not receive care (no intervention).</w:t>
            </w:r>
          </w:p>
          <w:p w14:paraId="110EDCA9" w14:textId="77777777" w:rsidR="00D43B80" w:rsidRDefault="00D43B80" w:rsidP="00D43B8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This was substantially more than the 18.72 hours per year reported by Carnemolla, P.</w:t>
            </w:r>
            <w:r>
              <w:rPr>
                <w:sz w:val="18"/>
                <w:szCs w:val="18"/>
              </w:rPr>
              <w:t xml:space="preserve"> </w:t>
            </w:r>
            <w:r w:rsidRPr="008E680E">
              <w:rPr>
                <w:sz w:val="18"/>
                <w:szCs w:val="18"/>
              </w:rPr>
              <w:t xml:space="preserve">and </w:t>
            </w:r>
            <w:r>
              <w:rPr>
                <w:sz w:val="18"/>
                <w:szCs w:val="18"/>
              </w:rPr>
              <w:t>C. Bridge</w:t>
            </w:r>
            <w:r w:rsidRPr="008E680E">
              <w:rPr>
                <w:sz w:val="18"/>
                <w:szCs w:val="18"/>
              </w:rPr>
              <w:t xml:space="preserve"> (2019).</w:t>
            </w:r>
            <w:r>
              <w:rPr>
                <w:sz w:val="18"/>
                <w:szCs w:val="18"/>
              </w:rPr>
              <w:t xml:space="preserve"> </w:t>
            </w:r>
          </w:p>
          <w:p w14:paraId="260FA0D5" w14:textId="0234090E" w:rsidR="00D43B80" w:rsidRDefault="00D43B80" w:rsidP="00D43B8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While both papers had a high risk of bias and medium quality, Carnemolla, P.</w:t>
            </w:r>
            <w:r>
              <w:rPr>
                <w:sz w:val="18"/>
                <w:szCs w:val="18"/>
              </w:rPr>
              <w:t xml:space="preserve"> </w:t>
            </w:r>
            <w:r w:rsidRPr="008E680E">
              <w:rPr>
                <w:sz w:val="18"/>
                <w:szCs w:val="18"/>
              </w:rPr>
              <w:t xml:space="preserve">and </w:t>
            </w:r>
            <w:r>
              <w:rPr>
                <w:sz w:val="18"/>
                <w:szCs w:val="18"/>
              </w:rPr>
              <w:t>C. Bridge</w:t>
            </w:r>
            <w:r w:rsidRPr="008E680E">
              <w:rPr>
                <w:sz w:val="18"/>
                <w:szCs w:val="18"/>
              </w:rPr>
              <w:t xml:space="preserve"> (2019) is a recent publication which used an intervention design with a before and after comparison from the Australian population aged 65 and older and therefore considered the more robust and more conservative estimate to be included in the Schedule of Benefits from AT.</w:t>
            </w:r>
          </w:p>
        </w:tc>
        <w:tc>
          <w:tcPr>
            <w:tcW w:w="1798" w:type="dxa"/>
          </w:tcPr>
          <w:p w14:paraId="5C520773" w14:textId="0A664918" w:rsidR="00D43B80" w:rsidRPr="008E680E" w:rsidRDefault="00D43B80" w:rsidP="00187BC0">
            <w:pPr>
              <w:cnfStyle w:val="000000100000" w:firstRow="0" w:lastRow="0" w:firstColumn="0" w:lastColumn="0" w:oddVBand="0" w:evenVBand="0" w:oddHBand="1" w:evenHBand="0" w:firstRowFirstColumn="0" w:firstRowLastColumn="0" w:lastRowFirstColumn="0" w:lastRowLastColumn="0"/>
              <w:rPr>
                <w:sz w:val="18"/>
                <w:szCs w:val="18"/>
              </w:rPr>
            </w:pPr>
          </w:p>
        </w:tc>
      </w:tr>
      <w:tr w:rsidR="00F81E67" w:rsidRPr="008E680E" w14:paraId="5D3B89EA" w14:textId="77777777" w:rsidTr="00861912">
        <w:trPr>
          <w:trHeight w:val="558"/>
        </w:trPr>
        <w:tc>
          <w:tcPr>
            <w:cnfStyle w:val="001000000000" w:firstRow="0" w:lastRow="0" w:firstColumn="1" w:lastColumn="0" w:oddVBand="0" w:evenVBand="0" w:oddHBand="0" w:evenHBand="0" w:firstRowFirstColumn="0" w:firstRowLastColumn="0" w:lastRowFirstColumn="0" w:lastRowLastColumn="0"/>
            <w:tcW w:w="1246" w:type="dxa"/>
          </w:tcPr>
          <w:p w14:paraId="34ED0F17" w14:textId="1E8A2F20"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{"citationItems":[{"id":"ITEM-1","itemData":{"DOI":"10.1111/1440-1630.12648","ISSN":"14401630","abstract":"Introduction: Returning to driving is often a goal for people with acquired disabilities. Vehicle modifications make it possible for people with both acquired and lifelong disabilities to drive yet can be costly. There has been no financial evaluation of vehicle modifications in Australia or internationally. Methods: A social return on investment analysis of vehicle modifications was undertaken. Primary data were collected via qualitative interviews with consumers and other stakeholders (e.g. driver-trained occupational therapists, rehabilitation physicians, driving instructors, vehicle modifiers) (n = 23). Secondary data were collected from literature searches and used to identify suitable financial proxies and make estimations of the proportion of drivers with vehicle modifications experiencing each outcome. A co-investment model was adopted to estimate social return on investment and payback period for funder and consumer. Five scenarios were developed to illustrate social return for low-cost modifications (Scenario 1) through to high-cost modifications (Scenario 5). Results: Social return on investment ratios was positive for funder and consumer investment in all five scenarios. Social return on investment calculations based on co-investment ranged from $17.32 for every $1 invested (Scenario 1) to $2.78 for every $1 invested (Scenario 5). Consumers' payback periods were between 5.4 and 7.1 months, and funders between 3.5 weeks and 2 years 8.4 months. Conclusion: Vehicle modifications represent sound investments for both funders and consumers. Given the short payback periods, funders should reconsider age restrictions on vehicles considered suitable for modifications, especially for low- to medium-cost modifications.","author":[{"dropping-particle":"","family":"Hutchinson","given":"Claire","non-dropping-particle":"","parse-names":false,"suffix":""},{"dropping-particle":"","family":"Berndt","given":"Angela","non-dropping-particle":"","parse-names":false,"suffix":""},{"dropping-particle":"","family":"Cleland","given":"Jenny","non-dropping-particle":"","parse-names":false,"suffix":""},{"dropping-particle":"","family":"Gilbert-Hunt","given":"Susan","non-dropping-particle":"","parse-names":false,"suffix":""},{"dropping-particle":"","family":"George","given":"Stacey","non-dropping-particle":"","parse-names":false,"suffix":""},{"dropping-particle":"","family":"Ratcliffe","given":"Julie","non-dropping-particle":"","parse-names":false,"suffix":""}],"container-title":"Australian Occupational Therapy Journal","id":"ITEM-1","issue":"January","issued":{"date-parts":[["2020"]]},"page":"1-10","title":"Using social return on investment analysis to calculate the social impact of modified vehicles for people with disability","type":"article-journal"},"uris":["http://www.mendeley.com/documents/?uuid=f0cb5438-1d70-4a48-9208-ee3b884d8e33"]}],"mendeley":{"formattedCitation":"(Hutchinson et al. 2020)","plainTextFormattedCitation":"(Hutchinson et al. 2020)","previouslyFormattedCitation":"(Hutchinson et al. 2020)"},"properties":{"noteIndex":0},"schema":"https://github.com/citation-style-language/schema/raw/master/csl-citation.json"}</w:instrText>
            </w:r>
            <w:r w:rsidRPr="00BA0E0E">
              <w:rPr>
                <w:sz w:val="18"/>
                <w:szCs w:val="18"/>
              </w:rPr>
              <w:fldChar w:fldCharType="separate"/>
            </w:r>
            <w:r w:rsidRPr="00BA0E0E">
              <w:rPr>
                <w:noProof/>
                <w:sz w:val="18"/>
                <w:szCs w:val="18"/>
              </w:rPr>
              <w:t>(Hutchinson et al. 2020)</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&lt;EndNote&gt;&lt;Cite&gt;&lt;Author&gt;Hutchinson&lt;/Author&gt;&lt;Year&gt;2020&lt;/Year&gt;&lt;RecNum&gt;43&lt;/RecNum&gt;&lt;DisplayText&gt;(Hutchinson et al., 2020)&lt;/DisplayText&gt;&lt;record&gt;&lt;rec-number&gt;43&lt;/rec-number&gt;&lt;foreign-keys&gt;&lt;key app="EN" db-id="z0f5xrvehzt9xzexr2k5apf1psvsftpfvp52" timestamp="1581820745"&gt;43&lt;/key&gt;&lt;/foreign-keys&gt;&lt;ref-type name="Journal Article"&gt;17&lt;/ref-type&gt;&lt;contributors&gt;&lt;authors&gt;&lt;author&gt;Hutchinson, Claire&lt;/author&gt;&lt;author&gt;Berndt, Angela&lt;/author&gt;&lt;author&gt;Cleland, Jenny&lt;/author&gt;&lt;author&gt;Gilbert‐Hunt, Susan&lt;/author&gt;&lt;author&gt;George, Stacey&lt;/author&gt;&lt;author&gt;Ratcliffe, Julie&lt;/author&gt;&lt;/authors&gt;&lt;/contributors&gt;&lt;titles&gt;&lt;title&gt;Using social return on investment analysis to calculate the social impact of modified vehicles for people with disability&lt;/title&gt;&lt;secondary-title&gt;Australian Occupational Therapy Journal&lt;/secondary-title&gt;&lt;/titles&gt;&lt;periodical&gt;&lt;full-title&gt;Australian Occupational Therapy Journal&lt;/full-title&gt;&lt;/periodical&gt;&lt;dates&gt;&lt;year&gt;2020&lt;/year&gt;&lt;/dates&gt;&lt;isbn&gt;0045-0766&lt;/isbn&gt;&lt;urls&gt;&lt;/urls&gt;&lt;/record&gt;&lt;/Cite&gt;&lt;/EndNote&gt;</w:instrText>
            </w:r>
            <w:r w:rsidR="00F81E67" w:rsidRPr="00BA0E0E">
              <w:rPr>
                <w:sz w:val="18"/>
                <w:szCs w:val="18"/>
              </w:rPr>
              <w:fldChar w:fldCharType="separate"/>
            </w:r>
            <w:r w:rsidR="00F81E67" w:rsidRPr="00BA0E0E">
              <w:rPr>
                <w:sz w:val="18"/>
                <w:szCs w:val="18"/>
              </w:rPr>
              <w:t>(Hutchinson et al., 2020)</w:t>
            </w:r>
            <w:r w:rsidR="00F81E67" w:rsidRPr="00BA0E0E">
              <w:rPr>
                <w:sz w:val="18"/>
                <w:szCs w:val="18"/>
              </w:rPr>
              <w:fldChar w:fldCharType="end"/>
            </w:r>
          </w:p>
        </w:tc>
        <w:tc>
          <w:tcPr>
            <w:tcW w:w="1159" w:type="dxa"/>
          </w:tcPr>
          <w:p w14:paraId="0568C45E"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Participation</w:t>
            </w:r>
          </w:p>
        </w:tc>
        <w:tc>
          <w:tcPr>
            <w:tcW w:w="1134" w:type="dxa"/>
          </w:tcPr>
          <w:p w14:paraId="1F4209EA"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2/5</w:t>
            </w:r>
          </w:p>
          <w:p w14:paraId="43831F9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23/23</w:t>
            </w:r>
          </w:p>
        </w:tc>
        <w:tc>
          <w:tcPr>
            <w:tcW w:w="1418" w:type="dxa"/>
          </w:tcPr>
          <w:p w14:paraId="185FA592"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4</w:t>
            </w:r>
          </w:p>
          <w:p w14:paraId="285F90FB"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Case studies</w:t>
            </w:r>
          </w:p>
        </w:tc>
        <w:tc>
          <w:tcPr>
            <w:tcW w:w="1134" w:type="dxa"/>
          </w:tcPr>
          <w:p w14:paraId="7549B6D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24A82642" w14:textId="77777777" w:rsidR="007472A7"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Vehicle modifications represent sound investment for both funders and users given the short payback periods, funders should reconsider age restrictions on vehicles considered suitable for modifications, especially for low to medium cost modifications.</w:t>
            </w:r>
            <w:r w:rsidR="004511B3">
              <w:rPr>
                <w:sz w:val="18"/>
                <w:szCs w:val="18"/>
              </w:rPr>
              <w:t xml:space="preserve"> </w:t>
            </w:r>
            <w:r w:rsidRPr="008E680E">
              <w:rPr>
                <w:sz w:val="18"/>
                <w:szCs w:val="18"/>
              </w:rPr>
              <w:t>While the social return on investment considered a multitude of outcomes which were costed, of these employment and education opportunities were included.</w:t>
            </w:r>
            <w:r w:rsidR="004511B3">
              <w:rPr>
                <w:sz w:val="18"/>
                <w:szCs w:val="18"/>
              </w:rPr>
              <w:t xml:space="preserve"> </w:t>
            </w:r>
          </w:p>
          <w:p w14:paraId="27F81ECA" w14:textId="4EE790BB"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social return on investment for car modifications across all age groups ranges from (co-investment) 17.32 to 2.78 per one dollar invested.</w:t>
            </w:r>
            <w:r w:rsidR="004511B3">
              <w:rPr>
                <w:sz w:val="18"/>
                <w:szCs w:val="18"/>
              </w:rPr>
              <w:t xml:space="preserve"> </w:t>
            </w:r>
            <w:r w:rsidRPr="008E680E">
              <w:rPr>
                <w:sz w:val="18"/>
                <w:szCs w:val="18"/>
              </w:rPr>
              <w:t>Consumer payback periods were between 5.4 and 7.1 months and funder payback periods were between 3.5 weeks and 2 years 8 months.</w:t>
            </w:r>
            <w:r w:rsidR="004511B3">
              <w:rPr>
                <w:sz w:val="18"/>
                <w:szCs w:val="18"/>
              </w:rPr>
              <w:t xml:space="preserve"> </w:t>
            </w:r>
            <w:r w:rsidRPr="008E680E">
              <w:rPr>
                <w:sz w:val="18"/>
                <w:szCs w:val="18"/>
              </w:rPr>
              <w:t>Care must be taken as this is based on all people aged 18+ as the specificity for the 65+ age group is unknown.</w:t>
            </w:r>
          </w:p>
          <w:p w14:paraId="74C1E659" w14:textId="283AC51F"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Hutchinson, C., et al.</w:t>
            </w:r>
            <w:r w:rsidR="004511B3">
              <w:rPr>
                <w:sz w:val="18"/>
                <w:szCs w:val="18"/>
              </w:rPr>
              <w:t xml:space="preserve"> </w:t>
            </w:r>
            <w:r w:rsidRPr="008E680E">
              <w:rPr>
                <w:sz w:val="18"/>
                <w:szCs w:val="18"/>
              </w:rPr>
              <w:t>(2020).</w:t>
            </w:r>
            <w:r w:rsidR="004511B3">
              <w:rPr>
                <w:sz w:val="18"/>
                <w:szCs w:val="18"/>
              </w:rPr>
              <w:t xml:space="preserve"> </w:t>
            </w:r>
            <w:r w:rsidRPr="008E680E">
              <w:rPr>
                <w:sz w:val="18"/>
                <w:szCs w:val="18"/>
              </w:rPr>
              <w:t>"Using social return on investment analysis to calculate the social impact of modified vehicles for people with disability." Australian Occupational Therapy Journal.</w:t>
            </w:r>
          </w:p>
        </w:tc>
        <w:tc>
          <w:tcPr>
            <w:tcW w:w="2698" w:type="dxa"/>
          </w:tcPr>
          <w:p w14:paraId="4DAEE2A9"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 for the 65+ age group</w:t>
            </w:r>
          </w:p>
        </w:tc>
        <w:tc>
          <w:tcPr>
            <w:tcW w:w="1798" w:type="dxa"/>
          </w:tcPr>
          <w:p w14:paraId="493A50D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 for the 65+ age group</w:t>
            </w:r>
          </w:p>
        </w:tc>
      </w:tr>
      <w:tr w:rsidR="00F81E67" w:rsidRPr="008E680E" w14:paraId="1DF7EF39"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5026B8FD" w14:textId="45DF7B52" w:rsidR="00F81E67" w:rsidRPr="00BA0E0E" w:rsidRDefault="00BA0E0E" w:rsidP="00187BC0">
            <w:pPr>
              <w:rPr>
                <w:sz w:val="18"/>
                <w:szCs w:val="18"/>
              </w:rPr>
            </w:pPr>
            <w:r w:rsidRPr="00BA0E0E">
              <w:rPr>
                <w:sz w:val="18"/>
                <w:szCs w:val="18"/>
              </w:rPr>
              <w:fldChar w:fldCharType="begin" w:fldLock="1"/>
            </w:r>
            <w:r>
              <w:rPr>
                <w:sz w:val="18"/>
                <w:szCs w:val="18"/>
              </w:rPr>
              <w:instrText>ADDIN CSL_CITATION {"citationItems":[{"id":"ITEM-1","itemData":{"DOI":"10.1155/2012/680265","ISSN":"2090-2212 (Electronic)","PMID":"21876812","abstract":"Evaluating cost effectiveness of interventions for aging in place is essential for adoption in service settings. We present the cost effectiveness of Advancing Better Living for Elders (ABLE), previously shown in a randomized trial to reduce functional difficulties and mortality in 319 community-dwelling elders. ABLE involved occupational and physical therapy sessions and home modifications to address client-identified functional difficulties, performance goals, and home safety. Incremental cost-effectiveness ratio (ICER), expressed as additional cost to bring about one additional year of life, was calculated. Two models were then developed to account for potential cost differences in implementing ABLE. Probabilistic sensitivity analyses were conducted to account for variations in model parameters. By two years, there were 30 deaths (9: ABLE; 21: control). Additional costs for 1 additional year of life was $13,179 for Model 1 and $14,800 for Model 2. Investment in ABLE may be worthwhile depending on society's willingness to pay.","author":[{"dropping-particle":"","family":"Jutkowitz","given":"Eric","non-dropping-particle":"","parse-names":false,"suffix":""},{"dropping-particle":"","family":"Gitlin","given":"Laura N","non-dropping-particle":"","parse-names":false,"suffix":""},{"dropping-particle":"","family":"Pizzi","given":"Laura T","non-dropping-particle":"","parse-names":false,"suffix":""},{"dropping-particle":"","family":"Lee","given":"Edward","non-dropping-particle":"","parse-names":false,"suffix":""},{"dropping-particle":"","family":"Dennis","given":"Marie P","non-dropping-particle":"","parse-names":false,"suffix":""}],"container-title":"Journal of aging research","id":"ITEM-1","issued":{"date-parts":[["2012"]]},"language":"eng","title":"Cost effectiveness of a home-based intervention that helps functionally vulnerable older adults age in place at home.","type":"article-journal","volume":"2012"},"uris":["http://www.mendeley.com/documents/?uuid=8c380d95-2e8d-4d6a-8265-fec66124c055"]}],"mendeley":{"formattedCitation":"(Jutkowitz et al. 2012)","plainTextFormattedCitation":"(Jutkowitz et al. 2012)","previouslyFormattedCitation":"(Jutkowitz et al. 2012)"},"properties":{"noteIndex":0},"schema":"https://github.com/citation-style-language/schema/raw/master/csl-citation.json"}</w:instrText>
            </w:r>
            <w:r w:rsidRPr="00BA0E0E">
              <w:rPr>
                <w:sz w:val="18"/>
                <w:szCs w:val="18"/>
              </w:rPr>
              <w:fldChar w:fldCharType="separate"/>
            </w:r>
            <w:r w:rsidRPr="00BA0E0E">
              <w:rPr>
                <w:noProof/>
                <w:sz w:val="18"/>
                <w:szCs w:val="18"/>
              </w:rPr>
              <w:t>(Jutkowitz et al. 2012)</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&lt;EndNote&gt;&lt;Cite&gt;&lt;Author&gt;Jutkowitz&lt;/Author&gt;&lt;Year&gt;2012&lt;/Year&gt;&lt;RecNum&gt;44&lt;/RecNum&gt;&lt;DisplayText&gt;(Jutkowitz et al., 2012)&lt;/DisplayText&gt;&lt;record&gt;&lt;rec-number&gt;44&lt;/rec-number&gt;&lt;foreign-keys&gt;&lt;key app="EN" db-id="z0f5xrvehzt9xzexr2k5apf1psvsftpfvp52" timestamp="1581899467"&gt;44&lt;/key&gt;&lt;/foreign-keys&gt;&lt;ref-type name="Journal Article"&gt;17&lt;/ref-type&gt;&lt;contributors&gt;&lt;authors&gt;&lt;author&gt;Jutkowitz, Eric&lt;/author&gt;&lt;author&gt;Gitlin, Laura N&lt;/author&gt;&lt;author&gt;Pizzi, Laura T&lt;/author&gt;&lt;author&gt;Lee, Edward&lt;/author&gt;&lt;author&gt;Dennis, Marie P&lt;/author&gt;&lt;/authors&gt;&lt;/contributors&gt;&lt;titles&gt;&lt;title&gt;Cost effectiveness of a home-based intervention that helps functionally vulnerable older adults age in place at home&lt;/title&gt;&lt;secondary-title&gt;Journal of aging research&lt;/secondary-title&gt;&lt;/titles&gt;&lt;periodical&gt;&lt;full-title&gt;Journal of aging research&lt;/full-title&gt;&lt;/periodical&gt;&lt;volume&gt;2012&lt;/volume&gt;&lt;dates&gt;&lt;year&gt;2012&lt;/year&gt;&lt;/dates&gt;&lt;isbn&gt;2090-2204&lt;/isbn&gt;&lt;urls&gt;&lt;/urls&gt;&lt;/record&gt;&lt;/Cite&gt;&lt;/EndNote&gt;</w:instrText>
            </w:r>
            <w:r w:rsidR="00F81E67" w:rsidRPr="00BA0E0E">
              <w:rPr>
                <w:sz w:val="18"/>
                <w:szCs w:val="18"/>
              </w:rPr>
              <w:fldChar w:fldCharType="separate"/>
            </w:r>
            <w:r w:rsidR="00F81E67" w:rsidRPr="00BA0E0E">
              <w:rPr>
                <w:sz w:val="18"/>
                <w:szCs w:val="18"/>
              </w:rPr>
              <w:t>(Jutkowitz et al., 2012)</w:t>
            </w:r>
            <w:r w:rsidR="00F81E67" w:rsidRPr="00BA0E0E">
              <w:rPr>
                <w:sz w:val="18"/>
                <w:szCs w:val="18"/>
              </w:rPr>
              <w:fldChar w:fldCharType="end"/>
            </w:r>
          </w:p>
        </w:tc>
        <w:tc>
          <w:tcPr>
            <w:tcW w:w="1159" w:type="dxa"/>
          </w:tcPr>
          <w:p w14:paraId="789399B9"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Wellbeing</w:t>
            </w:r>
          </w:p>
        </w:tc>
        <w:tc>
          <w:tcPr>
            <w:tcW w:w="1134" w:type="dxa"/>
          </w:tcPr>
          <w:p w14:paraId="517D49EA"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4/4</w:t>
            </w:r>
          </w:p>
          <w:p w14:paraId="4E896BA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23/24</w:t>
            </w:r>
          </w:p>
        </w:tc>
        <w:tc>
          <w:tcPr>
            <w:tcW w:w="1418" w:type="dxa"/>
          </w:tcPr>
          <w:p w14:paraId="08F3B0C0"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2</w:t>
            </w:r>
          </w:p>
          <w:p w14:paraId="07D06961"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Randomised controlled trials</w:t>
            </w:r>
          </w:p>
        </w:tc>
        <w:tc>
          <w:tcPr>
            <w:tcW w:w="1134" w:type="dxa"/>
          </w:tcPr>
          <w:p w14:paraId="6167677B"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Cost and effect</w:t>
            </w:r>
          </w:p>
        </w:tc>
        <w:tc>
          <w:tcPr>
            <w:tcW w:w="3978" w:type="dxa"/>
          </w:tcPr>
          <w:p w14:paraId="56F9D131" w14:textId="67EF081F"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home-based intervention may be worthwhile depending on society's willingness to pay.</w:t>
            </w:r>
            <w:r w:rsidR="004511B3">
              <w:rPr>
                <w:sz w:val="18"/>
                <w:szCs w:val="18"/>
              </w:rPr>
              <w:t xml:space="preserve"> </w:t>
            </w:r>
            <w:r w:rsidRPr="008E680E">
              <w:rPr>
                <w:sz w:val="18"/>
                <w:szCs w:val="18"/>
              </w:rPr>
              <w:t>Additional costs for one additional year of life was 13,179 USD (for base case model).</w:t>
            </w:r>
            <w:r w:rsidR="004511B3">
              <w:rPr>
                <w:sz w:val="18"/>
                <w:szCs w:val="18"/>
              </w:rPr>
              <w:t xml:space="preserve"> </w:t>
            </w:r>
            <w:r w:rsidRPr="008E680E">
              <w:rPr>
                <w:sz w:val="18"/>
                <w:szCs w:val="18"/>
              </w:rPr>
              <w:t>Total average cost per person for home modifications was $942 (USA 2010).</w:t>
            </w:r>
            <w:r w:rsidR="004511B3">
              <w:rPr>
                <w:sz w:val="18"/>
                <w:szCs w:val="18"/>
              </w:rPr>
              <w:t xml:space="preserve"> </w:t>
            </w:r>
            <w:r w:rsidRPr="008E680E">
              <w:rPr>
                <w:sz w:val="18"/>
                <w:szCs w:val="18"/>
              </w:rPr>
              <w:t>The intervention group had a survival rate of 94% (n=9) deaths, or mortality rate of 6%) control group had a survival rate of 87% (n=21) deaths, or mortality rate of 13% p=0.02.</w:t>
            </w:r>
          </w:p>
          <w:p w14:paraId="48DB3A23" w14:textId="040FE930"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Jutkowitz, E., et al.</w:t>
            </w:r>
            <w:r w:rsidR="004511B3">
              <w:rPr>
                <w:sz w:val="18"/>
                <w:szCs w:val="18"/>
              </w:rPr>
              <w:t xml:space="preserve"> </w:t>
            </w:r>
            <w:r w:rsidRPr="008E680E">
              <w:rPr>
                <w:sz w:val="18"/>
                <w:szCs w:val="18"/>
              </w:rPr>
              <w:t>(2012).</w:t>
            </w:r>
            <w:r w:rsidR="004511B3">
              <w:rPr>
                <w:sz w:val="18"/>
                <w:szCs w:val="18"/>
              </w:rPr>
              <w:t xml:space="preserve"> </w:t>
            </w:r>
            <w:r w:rsidRPr="008E680E">
              <w:rPr>
                <w:sz w:val="18"/>
                <w:szCs w:val="18"/>
              </w:rPr>
              <w:t xml:space="preserve">"Cost-effectiveness of a home-based intervention that helps functionally vulnerable older adults age in place at home." Journal of </w:t>
            </w:r>
            <w:r w:rsidR="009D1408">
              <w:rPr>
                <w:sz w:val="18"/>
                <w:szCs w:val="18"/>
              </w:rPr>
              <w:t>A</w:t>
            </w:r>
            <w:r w:rsidR="009D1408" w:rsidRPr="008E680E">
              <w:rPr>
                <w:sz w:val="18"/>
                <w:szCs w:val="18"/>
              </w:rPr>
              <w:t xml:space="preserve">ging </w:t>
            </w:r>
            <w:r w:rsidR="009D1408">
              <w:rPr>
                <w:sz w:val="18"/>
                <w:szCs w:val="18"/>
              </w:rPr>
              <w:t>R</w:t>
            </w:r>
            <w:r w:rsidR="009D1408" w:rsidRPr="008E680E">
              <w:rPr>
                <w:sz w:val="18"/>
                <w:szCs w:val="18"/>
              </w:rPr>
              <w:t xml:space="preserve">esearch </w:t>
            </w:r>
            <w:r w:rsidRPr="008E680E">
              <w:rPr>
                <w:sz w:val="18"/>
                <w:szCs w:val="18"/>
              </w:rPr>
              <w:t>2012</w:t>
            </w:r>
            <w:r w:rsidR="009D1408">
              <w:rPr>
                <w:sz w:val="18"/>
                <w:szCs w:val="18"/>
              </w:rPr>
              <w:t>(1)</w:t>
            </w:r>
            <w:r w:rsidR="00B236EB">
              <w:rPr>
                <w:sz w:val="18"/>
                <w:szCs w:val="18"/>
              </w:rPr>
              <w:t>: 1–6</w:t>
            </w:r>
            <w:r w:rsidRPr="008E680E">
              <w:rPr>
                <w:sz w:val="18"/>
                <w:szCs w:val="18"/>
              </w:rPr>
              <w:t>.</w:t>
            </w:r>
          </w:p>
        </w:tc>
        <w:tc>
          <w:tcPr>
            <w:tcW w:w="2698" w:type="dxa"/>
          </w:tcPr>
          <w:p w14:paraId="1D523BCA"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“cost” for the improved survival rate has not been reported, rather the ICER per QALY</w:t>
            </w:r>
          </w:p>
        </w:tc>
        <w:tc>
          <w:tcPr>
            <w:tcW w:w="1798" w:type="dxa"/>
          </w:tcPr>
          <w:p w14:paraId="76CC7D8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“cost” for the improved survival rate has not been reported, rather the ICER per QALY</w:t>
            </w:r>
          </w:p>
        </w:tc>
      </w:tr>
      <w:tr w:rsidR="00F81E67" w:rsidRPr="008E680E" w14:paraId="6DC4DD0E"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4BA10F16" w14:textId="2696A82C"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{"citationItems":[{"id":"ITEM-1","itemData":{"DOI":"10.1136/injuryprev-2015-041947","ISSN":"14755785","abstract":"Background Injuries due to falls in the home impose a huge social and economic cost on society. We have previously found important safety benefits of home modifications such as handrails for steps and stairs, grab rails for bathrooms, outside lighting, edging for outside steps and slip-resistant surfacing for outside areas such as decks. Here we assess the economic benefits of these modifications. Methods Using a single-blinded cluster randomised controlled trial, we analysed insurance payments for medically treated home fall injuries as recorded by the national injury insurer. The benefits in terms of the value of disability adjusted life years (DALYs) averted and social costs of injuries saved were extrapolated to a national level and compared with the costs of the intervention. Results An intention-to-treat analysis was carried out. Injury costs per time exposed to the modified homes compared with the unmodified homes showed a reduction in the costs of home fall injuries of 33% (95% CI 5% to 49%). The social benefits of injuries prevented were estimated to be at least six times the costs of the intervention. The benefit–cost ratio can be at least doubled for older people and increased by 60% for those with a prior history of fall injuries. Conclusions This is the first randomised controlled trial to examine the benefits of home modification for reducing fall injury costs in the general population. The results show a convincing economic justification for undertaking relatively low-cost home repairs and installing safety features to prevent falls.","author":[{"dropping-particle":"","family":"Keall","given":"Michael D.","non-dropping-particle":"","parse-names":false,"suffix":""},{"dropping-particle":"","family":"Pierse","given":"Nevil","non-dropping-particle":"","parse-names":false,"suffix":""},{"dropping-particle":"","family":"Howden-Chapman","given":"Philippa","non-dropping-particle":"","parse-names":false,"suffix":""},{"dropping-particle":"","family":"Guria","given":"Jagadish","non-dropping-particle":"","parse-names":false,"suffix":""},{"dropping-particle":"","family":"Cunningham","given":"Chris W.","non-dropping-particle":"","parse-names":false,"suffix":""},{"dropping-particle":"","family":"Baker","given":"Michael G.","non-dropping-particle":"","parse-names":false,"suffix":""}],"container-title":"Injury Prevention","id":"ITEM-1","issue":"1","issued":{"date-parts":[["2017"]]},"page":"22-26","title":"Cost–benefit analysis of fall injuries prevented by a programme of home modifications: A cluster randomised controlled trial","type":"article-journal","volume":"23"},"uris":["http://www.mendeley.com/documents/?uuid=4bd660a5-8771-4849-8fa6-78faa76c69e6"]}],"mendeley":{"formattedCitation":"(Keall et al. 2017)","plainTextFormattedCitation":"(Keall et al. 2017)","previouslyFormattedCitation":"(Keall et al. 2017)"},"properties":{"noteIndex":0},"schema":"https://github.com/citation-style-language/schema/raw/master/csl-citation.json"}</w:instrText>
            </w:r>
            <w:r w:rsidRPr="00BA0E0E">
              <w:rPr>
                <w:sz w:val="18"/>
                <w:szCs w:val="18"/>
              </w:rPr>
              <w:fldChar w:fldCharType="separate"/>
            </w:r>
            <w:r w:rsidRPr="00BA0E0E">
              <w:rPr>
                <w:noProof/>
                <w:sz w:val="18"/>
                <w:szCs w:val="18"/>
              </w:rPr>
              <w:t>(Keall et al. 2017)</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&lt;EndNote&gt;&lt;Cite&gt;&lt;Author&gt;Keall&lt;/Author&gt;&lt;Year&gt;2017&lt;/Year&gt;&lt;RecNum&gt;18&lt;/RecNum&gt;&lt;DisplayText&gt;(Keall et al., 2017)&lt;/DisplayText&gt;&lt;record&gt;&lt;rec-number&gt;18&lt;/rec-number&gt;&lt;foreign-keys&gt;&lt;key app="EN" db-id="z0f5xrvehzt9xzexr2k5apf1psvsftpfvp52" timestamp="1581807317"&gt;18&lt;/key&gt;&lt;/foreign-keys&gt;&lt;ref-type name="Journal Article"&gt;17&lt;/ref-type&gt;&lt;contributors&gt;&lt;authors&gt;&lt;author&gt;Keall, Michael D&lt;/author&gt;&lt;author&gt;Pierse, Nevil&lt;/author&gt;&lt;author&gt;Howden-Chapman, Philippa&lt;/author&gt;&lt;author&gt;Guria, Jagadish&lt;/author&gt;&lt;author&gt;Cunningham, Chris W&lt;/author&gt;&lt;author&gt;Baker, Michael G&lt;/author&gt;&lt;/authors&gt;&lt;/contributors&gt;&lt;titles&gt;&lt;title&gt;Cost–benefit analysis of fall injuries prevented by a programme of home modifications: a cluster randomised controlled trial&lt;/title&gt;&lt;secondary-title&gt;Injury prevention&lt;/secondary-title&gt;&lt;/titles&gt;&lt;periodical&gt;&lt;full-title&gt;Injury prevention&lt;/full-title&gt;&lt;/periodical&gt;&lt;pages&gt;22-26&lt;/pages&gt;&lt;volume&gt;23&lt;/volume&gt;&lt;number&gt;1&lt;/number&gt;&lt;dates&gt;&lt;year&gt;2017&lt;/year&gt;&lt;/dates&gt;&lt;isbn&gt;1353-8047&lt;/isbn&gt;&lt;urls&gt;&lt;/urls&gt;&lt;/record&gt;&lt;/Cite&gt;&lt;/EndNote&gt;</w:instrText>
            </w:r>
            <w:r w:rsidR="00F81E67" w:rsidRPr="00BA0E0E">
              <w:rPr>
                <w:sz w:val="18"/>
                <w:szCs w:val="18"/>
              </w:rPr>
              <w:fldChar w:fldCharType="separate"/>
            </w:r>
            <w:r w:rsidR="00F81E67" w:rsidRPr="00BA0E0E">
              <w:rPr>
                <w:sz w:val="18"/>
                <w:szCs w:val="18"/>
              </w:rPr>
              <w:t>(Keall et al., 2017)</w:t>
            </w:r>
            <w:r w:rsidR="00F81E67" w:rsidRPr="00BA0E0E">
              <w:rPr>
                <w:sz w:val="18"/>
                <w:szCs w:val="18"/>
              </w:rPr>
              <w:fldChar w:fldCharType="end"/>
            </w:r>
          </w:p>
        </w:tc>
        <w:tc>
          <w:tcPr>
            <w:tcW w:w="1159" w:type="dxa"/>
          </w:tcPr>
          <w:p w14:paraId="7CCC8D5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Carer/Health/Avoid OH&amp;S risk</w:t>
            </w:r>
          </w:p>
        </w:tc>
        <w:tc>
          <w:tcPr>
            <w:tcW w:w="1134" w:type="dxa"/>
          </w:tcPr>
          <w:p w14:paraId="4E5828D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6/6</w:t>
            </w:r>
          </w:p>
          <w:p w14:paraId="272383EB"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22/23</w:t>
            </w:r>
          </w:p>
        </w:tc>
        <w:tc>
          <w:tcPr>
            <w:tcW w:w="1418" w:type="dxa"/>
          </w:tcPr>
          <w:p w14:paraId="1888909C"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2</w:t>
            </w:r>
          </w:p>
          <w:p w14:paraId="4A207A0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Randomised controlled trials</w:t>
            </w:r>
          </w:p>
        </w:tc>
        <w:tc>
          <w:tcPr>
            <w:tcW w:w="1134" w:type="dxa"/>
          </w:tcPr>
          <w:p w14:paraId="5AF631B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25A2897E" w14:textId="77777777" w:rsidR="007472A7"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social benefits of injuries prevented were estimated to be at least six times the costs of the intervention.</w:t>
            </w:r>
            <w:r w:rsidR="004511B3">
              <w:rPr>
                <w:sz w:val="18"/>
                <w:szCs w:val="18"/>
              </w:rPr>
              <w:t xml:space="preserve"> </w:t>
            </w:r>
          </w:p>
          <w:p w14:paraId="31DE04C9" w14:textId="7BCA942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results show a convincing economic justification for undertaking relatively low-cost home repairs and installing safety measures to prevent falls.</w:t>
            </w:r>
            <w:r w:rsidR="004511B3">
              <w:rPr>
                <w:sz w:val="18"/>
                <w:szCs w:val="18"/>
              </w:rPr>
              <w:t xml:space="preserve"> </w:t>
            </w:r>
            <w:r w:rsidRPr="008E680E">
              <w:rPr>
                <w:sz w:val="18"/>
                <w:szCs w:val="18"/>
              </w:rPr>
              <w:t xml:space="preserve">33% reduction in costs associated with falls, however, costs are extrapolated over 20 years from a societal perspective (unable to extract the annual or 5-year time horizon required for this RER). </w:t>
            </w:r>
          </w:p>
          <w:p w14:paraId="2D6A5B8D" w14:textId="20DF1483"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Keall, M.</w:t>
            </w:r>
            <w:r w:rsidR="004511B3">
              <w:rPr>
                <w:sz w:val="18"/>
                <w:szCs w:val="18"/>
              </w:rPr>
              <w:t xml:space="preserve"> </w:t>
            </w:r>
            <w:r w:rsidRPr="008E680E">
              <w:rPr>
                <w:sz w:val="18"/>
                <w:szCs w:val="18"/>
              </w:rPr>
              <w:t>D., et al.</w:t>
            </w:r>
            <w:r w:rsidR="004511B3">
              <w:rPr>
                <w:sz w:val="18"/>
                <w:szCs w:val="18"/>
              </w:rPr>
              <w:t xml:space="preserve"> </w:t>
            </w:r>
            <w:r w:rsidRPr="008E680E">
              <w:rPr>
                <w:sz w:val="18"/>
                <w:szCs w:val="18"/>
              </w:rPr>
              <w:t>(2017).</w:t>
            </w:r>
            <w:r w:rsidR="004511B3">
              <w:rPr>
                <w:sz w:val="18"/>
                <w:szCs w:val="18"/>
              </w:rPr>
              <w:t xml:space="preserve"> </w:t>
            </w:r>
            <w:r w:rsidRPr="008E680E">
              <w:rPr>
                <w:sz w:val="18"/>
                <w:szCs w:val="18"/>
              </w:rPr>
              <w:t xml:space="preserve">"Cost–benefit analysis of fall injuries prevented by a programme of home modifications: a cluster randomised controlled trial." Injury </w:t>
            </w:r>
            <w:r w:rsidR="00B236EB">
              <w:rPr>
                <w:sz w:val="18"/>
                <w:szCs w:val="18"/>
              </w:rPr>
              <w:t>P</w:t>
            </w:r>
            <w:r w:rsidR="00B236EB" w:rsidRPr="008E680E">
              <w:rPr>
                <w:sz w:val="18"/>
                <w:szCs w:val="18"/>
              </w:rPr>
              <w:t xml:space="preserve">revention </w:t>
            </w:r>
            <w:r w:rsidRPr="008E680E">
              <w:rPr>
                <w:sz w:val="18"/>
                <w:szCs w:val="18"/>
              </w:rPr>
              <w:t>23(1): 22</w:t>
            </w:r>
            <w:r w:rsidR="00B236EB">
              <w:rPr>
                <w:sz w:val="18"/>
                <w:szCs w:val="18"/>
              </w:rPr>
              <w:t>–</w:t>
            </w:r>
            <w:r w:rsidRPr="008E680E">
              <w:rPr>
                <w:sz w:val="18"/>
                <w:szCs w:val="18"/>
              </w:rPr>
              <w:t>26.</w:t>
            </w:r>
          </w:p>
        </w:tc>
        <w:tc>
          <w:tcPr>
            <w:tcW w:w="2698" w:type="dxa"/>
          </w:tcPr>
          <w:p w14:paraId="6447037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33% reduction in costs associated with falls, however, unable to extract the annual or 5-year time horizon required for this RER</w:t>
            </w:r>
          </w:p>
        </w:tc>
        <w:tc>
          <w:tcPr>
            <w:tcW w:w="1798" w:type="dxa"/>
          </w:tcPr>
          <w:p w14:paraId="135CE4DE"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33% reduction in costs associated with falls, however, unable to extract the annual or 5-year time horizon required for this RER</w:t>
            </w:r>
          </w:p>
        </w:tc>
      </w:tr>
      <w:tr w:rsidR="00F81E67" w:rsidRPr="008E680E" w14:paraId="5BC39E15"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4615C12" w14:textId="0A299685" w:rsidR="00F81E67" w:rsidRPr="00BA0E0E" w:rsidRDefault="00BA0E0E" w:rsidP="00187BC0">
            <w:pPr>
              <w:rPr>
                <w:sz w:val="18"/>
                <w:szCs w:val="18"/>
              </w:rPr>
            </w:pPr>
            <w:r w:rsidRPr="00BA0E0E">
              <w:rPr>
                <w:sz w:val="18"/>
                <w:szCs w:val="18"/>
              </w:rPr>
              <w:fldChar w:fldCharType="begin" w:fldLock="1"/>
            </w:r>
            <w:r>
              <w:rPr>
                <w:sz w:val="18"/>
                <w:szCs w:val="18"/>
              </w:rPr>
              <w:instrText>ADDIN CSL_CITATION {"citationItems":[{"id":"ITEM-1","itemData":{"DOI":"10.1016/j.ijmedinf.2015.05.014","ISSN":"1386-5056","abstract":"BACKGROUND: Recently, a number of Information and Communication Technologies have emerged with the aim to provide innovative and efficient ways to help seniors in their daily life and to reduce the cost of healthcare. Studies have been conducted to introduce an assistive technology to support seniors and to investigate the acceptance of these assistive technologies; however, research illustrating the effectiveness of assistive technologies is scant. METHOD: This study undertakes a systematic literature review of ScienceDirect, PubMed, ProQuest and IEEE Explore databases to investigate current empirical studies on the assistive technologies applied in aged care. Our systematic review of an initial set of 2035 studies published from 2000 to 2014 examines the role of assistive technologies in seniors' daily lives, from enhancements in their mobility to improvements in the social connectedness and decreases in readmission to hospitals. RESULTS: This study found eight key issues in aged care that have been targeted by researchers from different disciplines (e.g., ICT, health and social science), namely, dependent living, fall risk, chronic disease, dementia, social isolation, depression, poor well-being, and poor medication management. This paper also identified the assistive technologies that have been proposed to overcome those problems, and we categorised these assistive technologies into six clusters, namely, general ICT, robotics, telemedicine, sensor technology, medication management applications, and video games. In addition, we analyzed the effectiveness of the identified technologies and noted that some technologies can change and enhance seniors' daily lives and relieve their problems. Our analysis showed a significant growth in the number of publications in this area in the past few years. It also showed that most of the studies in this area have been conducted in North America. CONCLUSION: Assistive technologies are a reality and can be applied to improve quality of life, especially among older age groups. This study identified various assistive technologies proposed by ICT researchers to assist the elderly. We also identified the effectiveness of the proposed technologies. This review shows that, although assistive technologies have been positively evaluated, more studies are needed regarding the outcome and effectiveness of these technologies.","author":[{"dropping-particle":"","family":"Khosravi","given":"P","non-dropping-particle":"","parse-names":false,"suffix":""},{"dropping-particle":"","family":"Ghapanchi","given":"A H","non-dropping-particle":"","parse-names":false,"suffix":""}],"container-title":"Int J Med Inform","edition":"2015/07/29","id":"ITEM-1","issue":"1","issued":{"date-parts":[["2016"]]},"language":"eng","note":"1872-8243\nKhosravi, Pouria\nGhapanchi, Amir Hossein\nJournal Article\nReview\nIreland\nInt J Med Inform. 2016 Jan;85(1):17-26. doi: 10.1016/j.ijmedinf.2015.05.014. Epub 2015 Jun 11.","page":"17-26","publisher-place":"School of Information and Communication Technology, Griffith University, Gold Coast, Queensland 4222, Australia. Electronic address: pouria.khosravi@griffithuni.edu.au. School of Information and Communication Technology, Griffith University, Gold Coast, Q","title":"Investigating the effectiveness of technologies applied to assist seniors: A systematic literature review","type":"article-journal","volume":"85"},"uris":["http://www.mendeley.com/documents/?uuid=a8e16feb-020d-4bcf-9dba-e330f611cb4b"]}],"mendeley":{"formattedCitation":"(Khosravi &amp; Ghapanchi 2016)","plainTextFormattedCitation":"(Khosravi &amp; Ghapanchi 2016)","previouslyFormattedCitation":"(Khosravi &amp; Ghapanchi 2016)"},"properties":{"noteIndex":0},"schema":"https://github.com/citation-style-language/schema/raw/master/csl-citation.json"}</w:instrText>
            </w:r>
            <w:r w:rsidRPr="00BA0E0E">
              <w:rPr>
                <w:sz w:val="18"/>
                <w:szCs w:val="18"/>
              </w:rPr>
              <w:fldChar w:fldCharType="separate"/>
            </w:r>
            <w:r w:rsidRPr="00BA0E0E">
              <w:rPr>
                <w:noProof/>
                <w:sz w:val="18"/>
                <w:szCs w:val="18"/>
              </w:rPr>
              <w:t>(Khosravi &amp; Ghapanchi 2016)</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&lt;EndNote&gt;&lt;Cite&gt;&lt;Author&gt;Khosravi&lt;/Author&gt;&lt;Year&gt;2016&lt;/Year&gt;&lt;RecNum&gt;20&lt;/RecNum&gt;&lt;DisplayText&gt;(Khosravi and Ghapanchi, 2016)&lt;/DisplayText&gt;&lt;record&gt;&lt;rec-number&gt;20&lt;/rec-number&gt;&lt;foreign-keys&gt;&lt;key app="EN" db-id="z0f5xrvehzt9xzexr2k5apf1psvsftpfvp52" timestamp="1581807403"&gt;20&lt;/key&gt;&lt;/foreign-keys&gt;&lt;ref-type name="Journal Article"&gt;17&lt;/ref-type&gt;&lt;contributors&gt;&lt;authors&gt;&lt;author&gt;Khosravi, Pouria&lt;/author&gt;&lt;author&gt;Ghapanchi, Amir Hossein&lt;/author&gt;&lt;/authors&gt;&lt;/contributors&gt;&lt;titles&gt;&lt;title&gt;Investigating the effectiveness of technologies applied to assist seniors: A systematic literature review&lt;/title&gt;&lt;secondary-title&gt;International journal of medical informatics&lt;/secondary-title&gt;&lt;/titles&gt;&lt;periodical&gt;&lt;full-title&gt;International journal of medical informatics&lt;/full-title&gt;&lt;/periodical&gt;&lt;pages&gt;17-26&lt;/pages&gt;&lt;volume&gt;85&lt;/volume&gt;&lt;number&gt;1&lt;/number&gt;&lt;dates&gt;&lt;year&gt;2016&lt;/year&gt;&lt;/dates&gt;&lt;isbn&gt;1386-5056&lt;/isbn&gt;&lt;urls&gt;&lt;/urls&gt;&lt;/record&gt;&lt;/Cite&gt;&lt;/EndNote&gt;</w:instrText>
            </w:r>
            <w:r w:rsidR="00F81E67" w:rsidRPr="00BA0E0E">
              <w:rPr>
                <w:sz w:val="18"/>
                <w:szCs w:val="18"/>
              </w:rPr>
              <w:fldChar w:fldCharType="separate"/>
            </w:r>
            <w:r w:rsidR="00F81E67" w:rsidRPr="00BA0E0E">
              <w:rPr>
                <w:sz w:val="18"/>
                <w:szCs w:val="18"/>
              </w:rPr>
              <w:t>(Khosravi and Ghapanchi, 2016)</w:t>
            </w:r>
            <w:r w:rsidR="00F81E67" w:rsidRPr="00BA0E0E">
              <w:rPr>
                <w:sz w:val="18"/>
                <w:szCs w:val="18"/>
              </w:rPr>
              <w:fldChar w:fldCharType="end"/>
            </w:r>
          </w:p>
        </w:tc>
        <w:tc>
          <w:tcPr>
            <w:tcW w:w="1159" w:type="dxa"/>
          </w:tcPr>
          <w:p w14:paraId="1615ED4B"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Carer Health/Avoid OH&amp;S risk</w:t>
            </w:r>
          </w:p>
        </w:tc>
        <w:tc>
          <w:tcPr>
            <w:tcW w:w="1134" w:type="dxa"/>
          </w:tcPr>
          <w:p w14:paraId="623D060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Systematic review, no ROB or CHEERS scores</w:t>
            </w:r>
          </w:p>
        </w:tc>
        <w:tc>
          <w:tcPr>
            <w:tcW w:w="1418" w:type="dxa"/>
          </w:tcPr>
          <w:p w14:paraId="5A1DF637"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1</w:t>
            </w:r>
          </w:p>
          <w:p w14:paraId="4A7B7F7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Systematic review</w:t>
            </w:r>
          </w:p>
        </w:tc>
        <w:tc>
          <w:tcPr>
            <w:tcW w:w="1134" w:type="dxa"/>
          </w:tcPr>
          <w:p w14:paraId="7ED69A4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Effect</w:t>
            </w:r>
          </w:p>
        </w:tc>
        <w:tc>
          <w:tcPr>
            <w:tcW w:w="3978" w:type="dxa"/>
          </w:tcPr>
          <w:p w14:paraId="1D9B0C56" w14:textId="77777777" w:rsidR="007472A7"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Assistive technologies are a reality and can be applied to improve quality of life especially among older age groups.</w:t>
            </w:r>
            <w:r w:rsidR="004511B3">
              <w:rPr>
                <w:sz w:val="18"/>
                <w:szCs w:val="18"/>
              </w:rPr>
              <w:t xml:space="preserve"> </w:t>
            </w:r>
            <w:r w:rsidRPr="008E680E">
              <w:rPr>
                <w:sz w:val="18"/>
                <w:szCs w:val="18"/>
              </w:rPr>
              <w:t>Studies reported 18% reduction in falls (2 studies).</w:t>
            </w:r>
            <w:r w:rsidR="004511B3">
              <w:rPr>
                <w:sz w:val="18"/>
                <w:szCs w:val="18"/>
              </w:rPr>
              <w:t xml:space="preserve"> </w:t>
            </w:r>
          </w:p>
          <w:p w14:paraId="09E974A8" w14:textId="3B85F880"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Reduced social isolation and improved quality of life, improved wellbeing and life satisfaction, improved moods, reduced depression across multiple studies.</w:t>
            </w:r>
            <w:r w:rsidR="004511B3">
              <w:rPr>
                <w:sz w:val="18"/>
                <w:szCs w:val="18"/>
              </w:rPr>
              <w:t xml:space="preserve"> </w:t>
            </w:r>
            <w:r w:rsidRPr="008E680E">
              <w:rPr>
                <w:sz w:val="18"/>
                <w:szCs w:val="18"/>
              </w:rPr>
              <w:t>However, inconsistent results for dementia.</w:t>
            </w:r>
            <w:r w:rsidR="004511B3">
              <w:rPr>
                <w:sz w:val="18"/>
                <w:szCs w:val="18"/>
              </w:rPr>
              <w:t xml:space="preserve"> </w:t>
            </w:r>
            <w:r w:rsidRPr="008E680E">
              <w:rPr>
                <w:sz w:val="18"/>
                <w:szCs w:val="18"/>
              </w:rPr>
              <w:t>Sensor technology provided favourable results for those with access to this AT.</w:t>
            </w:r>
            <w:r w:rsidR="004511B3">
              <w:rPr>
                <w:sz w:val="18"/>
                <w:szCs w:val="18"/>
              </w:rPr>
              <w:t xml:space="preserve"> </w:t>
            </w:r>
            <w:r w:rsidRPr="008E680E">
              <w:rPr>
                <w:sz w:val="18"/>
                <w:szCs w:val="18"/>
              </w:rPr>
              <w:t xml:space="preserve">No effect was seen with regard to medication adherence. </w:t>
            </w:r>
          </w:p>
          <w:p w14:paraId="5C2D0302" w14:textId="261E0FF2"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Khosravi, P.</w:t>
            </w:r>
            <w:r w:rsidR="004511B3">
              <w:rPr>
                <w:sz w:val="18"/>
                <w:szCs w:val="18"/>
              </w:rPr>
              <w:t xml:space="preserve"> </w:t>
            </w:r>
            <w:r w:rsidRPr="008E680E">
              <w:rPr>
                <w:sz w:val="18"/>
                <w:szCs w:val="18"/>
              </w:rPr>
              <w:t>and A.</w:t>
            </w:r>
            <w:r w:rsidR="004511B3">
              <w:rPr>
                <w:sz w:val="18"/>
                <w:szCs w:val="18"/>
              </w:rPr>
              <w:t xml:space="preserve"> </w:t>
            </w:r>
            <w:r w:rsidRPr="008E680E">
              <w:rPr>
                <w:sz w:val="18"/>
                <w:szCs w:val="18"/>
              </w:rPr>
              <w:t>H.</w:t>
            </w:r>
            <w:r w:rsidR="004511B3">
              <w:rPr>
                <w:sz w:val="18"/>
                <w:szCs w:val="18"/>
              </w:rPr>
              <w:t xml:space="preserve"> </w:t>
            </w:r>
            <w:r w:rsidRPr="008E680E">
              <w:rPr>
                <w:sz w:val="18"/>
                <w:szCs w:val="18"/>
              </w:rPr>
              <w:t>Ghapanchi (2016).</w:t>
            </w:r>
            <w:r w:rsidR="004511B3">
              <w:rPr>
                <w:sz w:val="18"/>
                <w:szCs w:val="18"/>
              </w:rPr>
              <w:t xml:space="preserve"> </w:t>
            </w:r>
            <w:r w:rsidRPr="008E680E">
              <w:rPr>
                <w:sz w:val="18"/>
                <w:szCs w:val="18"/>
              </w:rPr>
              <w:t xml:space="preserve">"Investigating the effectiveness of technologies applied to assist seniors: A systematic literature review." International </w:t>
            </w:r>
            <w:r w:rsidR="00B236EB">
              <w:rPr>
                <w:sz w:val="18"/>
                <w:szCs w:val="18"/>
              </w:rPr>
              <w:t>J</w:t>
            </w:r>
            <w:r w:rsidR="00B236EB" w:rsidRPr="008E680E">
              <w:rPr>
                <w:sz w:val="18"/>
                <w:szCs w:val="18"/>
              </w:rPr>
              <w:t xml:space="preserve">ournal </w:t>
            </w:r>
            <w:r w:rsidRPr="008E680E">
              <w:rPr>
                <w:sz w:val="18"/>
                <w:szCs w:val="18"/>
              </w:rPr>
              <w:t xml:space="preserve">of </w:t>
            </w:r>
            <w:r w:rsidR="00B236EB">
              <w:rPr>
                <w:sz w:val="18"/>
                <w:szCs w:val="18"/>
              </w:rPr>
              <w:t>M</w:t>
            </w:r>
            <w:r w:rsidR="00B236EB" w:rsidRPr="008E680E">
              <w:rPr>
                <w:sz w:val="18"/>
                <w:szCs w:val="18"/>
              </w:rPr>
              <w:t xml:space="preserve">edical </w:t>
            </w:r>
            <w:r w:rsidR="00B236EB">
              <w:rPr>
                <w:sz w:val="18"/>
                <w:szCs w:val="18"/>
              </w:rPr>
              <w:t>I</w:t>
            </w:r>
            <w:r w:rsidR="00B236EB" w:rsidRPr="008E680E">
              <w:rPr>
                <w:sz w:val="18"/>
                <w:szCs w:val="18"/>
              </w:rPr>
              <w:t xml:space="preserve">nformatics </w:t>
            </w:r>
            <w:r w:rsidRPr="008E680E">
              <w:rPr>
                <w:sz w:val="18"/>
                <w:szCs w:val="18"/>
              </w:rPr>
              <w:t>85(1): 17</w:t>
            </w:r>
            <w:r w:rsidR="00B236EB">
              <w:rPr>
                <w:sz w:val="18"/>
                <w:szCs w:val="18"/>
              </w:rPr>
              <w:t>–</w:t>
            </w:r>
            <w:r w:rsidRPr="008E680E">
              <w:rPr>
                <w:sz w:val="18"/>
                <w:szCs w:val="18"/>
              </w:rPr>
              <w:t>26.</w:t>
            </w:r>
          </w:p>
        </w:tc>
        <w:tc>
          <w:tcPr>
            <w:tcW w:w="2698" w:type="dxa"/>
          </w:tcPr>
          <w:p w14:paraId="45D9437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3AFECB22"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2F965B32"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7A947773" w14:textId="3BAC4751"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{"citationItems":[{"id":"ITEM-1","itemData":{"DOI":"10.1080/03601270902917745","ISSN":"03601277","abstract":"Research indicates that significant groups of older people are using Internet/e-mail technology. Using data from a 2007 random sample of 1,680 New Zealanders aged 65-84, predictors of Internet/e-mail usage and the impact of usage on well-being were investigated. Gender, age, education, household composition, income, and work were significant predictors of Internet/e-mail usage. Significant positive relationships were also found between Internet/e-mail usage, self-rated health, leisure/recreation participation and leadership, and well-being. These research findings suggest that public policies should encourage older people to adopt Internet/e-mail technology to ensure continued participation, learning, and well-being throughout later years. © Taylor &amp; Francis Group, LLC.","author":[{"dropping-particle":"","family":"Koopman-Boyden","given":"Peggy G.","non-dropping-particle":"","parse-names":false,"suffix":""},{"dropping-particle":"","family":"Reid","given":"Sarah L.","non-dropping-particle":"","parse-names":false,"suffix":""}],"container-title":"Educational Gerontology","id":"ITEM-1","issue":"11","issued":{"date-parts":[["2009"]]},"page":"990-1007","title":"Internet/e-mail usage and well-being among 65-84 year olds in new zealand: Policy implications","type":"article-journal","volume":"35"},"uris":["http://www.mendeley.com/documents/?uuid=04116f33-adbb-4c74-af66-f8cd27b43ee0"]}],"mendeley":{"formattedCitation":"(Koopman-Boyden &amp; Reid 2009)","plainTextFormattedCitation":"(Koopman-Boyden &amp; Reid 2009)","previouslyFormattedCitation":"(Koopman-Boyden &amp; Reid 2009)"},"properties":{"noteIndex":0},"schema":"https://github.com/citation-style-language/schema/raw/master/csl-citation.json"}</w:instrText>
            </w:r>
            <w:r w:rsidRPr="00BA0E0E">
              <w:rPr>
                <w:sz w:val="18"/>
                <w:szCs w:val="18"/>
              </w:rPr>
              <w:fldChar w:fldCharType="separate"/>
            </w:r>
            <w:r w:rsidRPr="00BA0E0E">
              <w:rPr>
                <w:noProof/>
                <w:sz w:val="18"/>
                <w:szCs w:val="18"/>
              </w:rPr>
              <w:t>(Koopman-Boyden &amp; Reid 2009)</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&lt;EndNote&gt;&lt;Cite&gt;&lt;Author&gt;Koopman-Boyden&lt;/Author&gt;&lt;Year&gt;2009&lt;/Year&gt;&lt;RecNum&gt;21&lt;/RecNum&gt;&lt;DisplayText&gt;(Koopman-Boyden and Reid, 2009)&lt;/DisplayText&gt;&lt;record&gt;&lt;rec-number&gt;21&lt;/rec-number&gt;&lt;foreign-keys&gt;&lt;key app="EN" db-id="z0f5xrvehzt9xzexr2k5apf1psvsftpfvp52" timestamp="1581807421"&gt;21&lt;/key&gt;&lt;/foreign-keys&gt;&lt;ref-type name="Journal Article"&gt;17&lt;/ref-type&gt;&lt;contributors&gt;&lt;authors&gt;&lt;author&gt;Koopman-Boyden, Peggy G&lt;/author&gt;&lt;author&gt;Reid, Sarah L&lt;/author&gt;&lt;/authors&gt;&lt;/contributors&gt;&lt;titles&gt;&lt;title&gt;Internet/E-mail usage and well-being among 65–84 year olds in New Zealand: Policy implications&lt;/title&gt;&lt;secondary-title&gt;Educational Gerontology&lt;/secondary-title&gt;&lt;/titles&gt;&lt;periodical&gt;&lt;full-title&gt;Educational Gerontology&lt;/full-title&gt;&lt;/periodical&gt;&lt;pages&gt;990-1007&lt;/pages&gt;&lt;volume&gt;35&lt;/volume&gt;&lt;number&gt;11&lt;/number&gt;&lt;dates&gt;&lt;year&gt;2009&lt;/year&gt;&lt;/dates&gt;&lt;isbn&gt;0360-1277&lt;/isbn&gt;&lt;urls&gt;&lt;/urls&gt;&lt;/record&gt;&lt;/Cite&gt;&lt;/EndNote&gt;</w:instrText>
            </w:r>
            <w:r w:rsidR="00F81E67" w:rsidRPr="00BA0E0E">
              <w:rPr>
                <w:sz w:val="18"/>
                <w:szCs w:val="18"/>
              </w:rPr>
              <w:fldChar w:fldCharType="separate"/>
            </w:r>
            <w:r w:rsidR="00F81E67" w:rsidRPr="00BA0E0E">
              <w:rPr>
                <w:sz w:val="18"/>
                <w:szCs w:val="18"/>
              </w:rPr>
              <w:t>(Koopman-Boyden and Reid, 2009)</w:t>
            </w:r>
            <w:r w:rsidR="00F81E67" w:rsidRPr="00BA0E0E">
              <w:rPr>
                <w:sz w:val="18"/>
                <w:szCs w:val="18"/>
              </w:rPr>
              <w:fldChar w:fldCharType="end"/>
            </w:r>
          </w:p>
        </w:tc>
        <w:tc>
          <w:tcPr>
            <w:tcW w:w="1159" w:type="dxa"/>
          </w:tcPr>
          <w:p w14:paraId="2CB75F3B"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Wellbeing</w:t>
            </w:r>
          </w:p>
        </w:tc>
        <w:tc>
          <w:tcPr>
            <w:tcW w:w="1134" w:type="dxa"/>
          </w:tcPr>
          <w:p w14:paraId="11CD1601"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4/5 (survey only)</w:t>
            </w:r>
          </w:p>
          <w:p w14:paraId="03D1E75A"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No score</w:t>
            </w:r>
          </w:p>
        </w:tc>
        <w:tc>
          <w:tcPr>
            <w:tcW w:w="1418" w:type="dxa"/>
          </w:tcPr>
          <w:p w14:paraId="26A52A02"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4</w:t>
            </w:r>
          </w:p>
          <w:p w14:paraId="29495F0D"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Cohort study</w:t>
            </w:r>
          </w:p>
        </w:tc>
        <w:tc>
          <w:tcPr>
            <w:tcW w:w="1134" w:type="dxa"/>
          </w:tcPr>
          <w:p w14:paraId="7ED044C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Effect only</w:t>
            </w:r>
          </w:p>
        </w:tc>
        <w:tc>
          <w:tcPr>
            <w:tcW w:w="3978" w:type="dxa"/>
          </w:tcPr>
          <w:p w14:paraId="16EB2B9C" w14:textId="5B6836D8"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A trend of increasing internet usage with overall wellbeing on the World Value Survey question.</w:t>
            </w:r>
            <w:r w:rsidR="004511B3">
              <w:rPr>
                <w:sz w:val="18"/>
                <w:szCs w:val="18"/>
              </w:rPr>
              <w:t xml:space="preserve"> </w:t>
            </w:r>
            <w:r w:rsidRPr="008E680E">
              <w:rPr>
                <w:sz w:val="18"/>
                <w:szCs w:val="18"/>
              </w:rPr>
              <w:t>Internet usage increased from 42.3% in the group who reported being very dissatisfied with wellbeing to 55.2% for those who reported being very satisfied with their overall wellbeing.</w:t>
            </w:r>
            <w:r w:rsidR="004511B3">
              <w:rPr>
                <w:sz w:val="18"/>
                <w:szCs w:val="18"/>
              </w:rPr>
              <w:t xml:space="preserve"> </w:t>
            </w:r>
            <w:r w:rsidRPr="008E680E">
              <w:rPr>
                <w:sz w:val="18"/>
                <w:szCs w:val="18"/>
              </w:rPr>
              <w:t>Similar positive relationship for leisure, recreation, leadership and self-reported health with positive results correlating with higher levels of internet and email usage.</w:t>
            </w:r>
          </w:p>
          <w:p w14:paraId="56F4C4D4" w14:textId="2F6ABFFE"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Koopman-Boyden, P.</w:t>
            </w:r>
            <w:r w:rsidR="004511B3">
              <w:rPr>
                <w:sz w:val="18"/>
                <w:szCs w:val="18"/>
              </w:rPr>
              <w:t xml:space="preserve"> </w:t>
            </w:r>
            <w:r w:rsidRPr="008E680E">
              <w:rPr>
                <w:sz w:val="18"/>
                <w:szCs w:val="18"/>
              </w:rPr>
              <w:t>G.</w:t>
            </w:r>
            <w:r w:rsidR="004511B3">
              <w:rPr>
                <w:sz w:val="18"/>
                <w:szCs w:val="18"/>
              </w:rPr>
              <w:t xml:space="preserve"> </w:t>
            </w:r>
            <w:r w:rsidRPr="008E680E">
              <w:rPr>
                <w:sz w:val="18"/>
                <w:szCs w:val="18"/>
              </w:rPr>
              <w:t>and S.</w:t>
            </w:r>
            <w:r w:rsidR="004511B3">
              <w:rPr>
                <w:sz w:val="18"/>
                <w:szCs w:val="18"/>
              </w:rPr>
              <w:t xml:space="preserve"> </w:t>
            </w:r>
            <w:r w:rsidRPr="008E680E">
              <w:rPr>
                <w:sz w:val="18"/>
                <w:szCs w:val="18"/>
              </w:rPr>
              <w:t>L.</w:t>
            </w:r>
            <w:r w:rsidR="004511B3">
              <w:rPr>
                <w:sz w:val="18"/>
                <w:szCs w:val="18"/>
              </w:rPr>
              <w:t xml:space="preserve"> </w:t>
            </w:r>
            <w:r w:rsidRPr="008E680E">
              <w:rPr>
                <w:sz w:val="18"/>
                <w:szCs w:val="18"/>
              </w:rPr>
              <w:t>Reid (2009).</w:t>
            </w:r>
            <w:r w:rsidR="004511B3">
              <w:rPr>
                <w:sz w:val="18"/>
                <w:szCs w:val="18"/>
              </w:rPr>
              <w:t xml:space="preserve"> </w:t>
            </w:r>
            <w:r w:rsidRPr="008E680E">
              <w:rPr>
                <w:sz w:val="18"/>
                <w:szCs w:val="18"/>
              </w:rPr>
              <w:t>"Internet/Email usage and wellbeing among 65–84 year olds in New Zealand: Policy implications." Educational Gerontology 35(11): 990</w:t>
            </w:r>
            <w:r w:rsidR="00B236EB">
              <w:rPr>
                <w:sz w:val="18"/>
                <w:szCs w:val="18"/>
              </w:rPr>
              <w:t>–</w:t>
            </w:r>
            <w:r w:rsidRPr="008E680E">
              <w:rPr>
                <w:sz w:val="18"/>
                <w:szCs w:val="18"/>
              </w:rPr>
              <w:t>1007.</w:t>
            </w:r>
          </w:p>
        </w:tc>
        <w:tc>
          <w:tcPr>
            <w:tcW w:w="2698" w:type="dxa"/>
          </w:tcPr>
          <w:p w14:paraId="072FEBF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547BE1E8"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34DDA8AF"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63565CE" w14:textId="227F3C55" w:rsidR="00F81E67" w:rsidRPr="00BA0E0E" w:rsidRDefault="00BA0E0E" w:rsidP="00187BC0">
            <w:pPr>
              <w:rPr>
                <w:sz w:val="18"/>
                <w:szCs w:val="18"/>
              </w:rPr>
            </w:pPr>
            <w:r w:rsidRPr="00BA0E0E">
              <w:rPr>
                <w:sz w:val="18"/>
                <w:szCs w:val="18"/>
              </w:rPr>
              <w:fldChar w:fldCharType="begin" w:fldLock="1"/>
            </w:r>
            <w:r>
              <w:rPr>
                <w:sz w:val="18"/>
                <w:szCs w:val="18"/>
              </w:rPr>
              <w:instrText>ADDIN CSL_CITATION {"citationItems":[{"id":"ITEM-1","itemData":{"DOI":"10.1093/ageing/afh190","ISSN":"00020729","abstract":"Background: Adaptations and assistive technology (AT) have an important role in enabling older people to remain in their own homes. Objective: To measure the feasibility and cost of adaptations and AT, and the scope for these to substitute and supplement formal care. Design: Detailed design studies to benchmark the adaptability of 82 properties against the needs of seven notional users. Setting: Social rented housing sector. Main outcome measures: Measures of the adaptability of properties, costs of care, adaptations and AT, and relationships between these costs. Results: The adaptability of properties varies according to many design factors and the needs of occupiers. The most adaptable properties were ground floor flats and bungalows; the least were houses, maisonettes and flats in converted houses. Purpose-built sheltered properties were generally more adaptable than corresponding mainstream properties but the opposite was the case for bungalows. Adaptations and AT can substitute for and supplement formal care, and in most cases the initial investment in adaptations and AT is recouped through subsequently lower care costs within the average life expectancy of a user. Conclusion: Appropriately selected adaptations and AT can make a significant contribution to the provision of living environments which facilitate independence. They can both substitute for traditional formal care services and supplement these services in a cost-effective way. © British Geriatrics Society 2004; all rights reserved.","author":[{"dropping-particle":"","family":"Lansley","given":"Peter R.","non-dropping-particle":"","parse-names":false,"suffix":""},{"dropping-particle":"","family":"McCreadie","given":"Claudine","non-dropping-particle":"","parse-names":false,"suffix":""},{"dropping-particle":"","family":"Tinker","given":"Anthea","non-dropping-particle":"","parse-names":false,"suffix":""}],"container-title":"Age and Ageing","id":"ITEM-1","issue":"6","issued":{"date-parts":[["2004"]]},"page":"571-576","title":"Can adapting the homes of older people and providing assistive technology pay its way?","type":"article-journal","volume":"33"},"uris":["http://www.mendeley.com/documents/?uuid=2aa91fd6-36f3-49a8-89ae-00107497a6e3"]}],"mendeley":{"formattedCitation":"(Lansley et al. 2004)","plainTextFormattedCitation":"(Lansley et al. 2004)","previouslyFormattedCitation":"(Lansley et al. 2004)"},"properties":{"noteIndex":0},"schema":"https://github.com/citation-style-language/schema/raw/master/csl-citation.json"}</w:instrText>
            </w:r>
            <w:r w:rsidRPr="00BA0E0E">
              <w:rPr>
                <w:sz w:val="18"/>
                <w:szCs w:val="18"/>
              </w:rPr>
              <w:fldChar w:fldCharType="separate"/>
            </w:r>
            <w:r w:rsidRPr="00BA0E0E">
              <w:rPr>
                <w:noProof/>
                <w:sz w:val="18"/>
                <w:szCs w:val="18"/>
              </w:rPr>
              <w:t>(Lansley et al. 2004)</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&lt;EndNote&gt;&lt;Cite&gt;&lt;Author&gt;Lansley&lt;/Author&gt;&lt;Year&gt;2004&lt;/Year&gt;&lt;RecNum&gt;30&lt;/RecNum&gt;&lt;DisplayText&gt;(Lansley et al., 2004)&lt;/DisplayText&gt;&lt;record&gt;&lt;rec-number&gt;30&lt;/rec-number&gt;&lt;foreign-keys&gt;&lt;key app="EN" db-id="z0f5xrvehzt9xzexr2k5apf1psvsftpfvp52" timestamp="1581807615"&gt;30&lt;/key&gt;&lt;/foreign-keys&gt;&lt;ref-type name="Journal Article"&gt;17&lt;/ref-type&gt;&lt;contributors&gt;&lt;authors&gt;&lt;author&gt;Lansley, Peter&lt;/author&gt;&lt;author&gt;McCreadie, Claudine&lt;/author&gt;&lt;author&gt;Tinker, Anthea&lt;/author&gt;&lt;/authors&gt;&lt;/contributors&gt;&lt;titles&gt;&lt;title&gt;Can adapting the homes of older people and providing assistive technology pay its way?&lt;/title&gt;&lt;secondary-title&gt;Age and Ageing&lt;/secondary-title&gt;&lt;/titles&gt;&lt;periodical&gt;&lt;full-title&gt;Age and Ageing&lt;/full-title&gt;&lt;/periodical&gt;&lt;pages&gt;571-576&lt;/pages&gt;&lt;volume&gt;33&lt;/volume&gt;&lt;number&gt;6&lt;/number&gt;&lt;dates&gt;&lt;year&gt;2004&lt;/year&gt;&lt;/dates&gt;&lt;isbn&gt;1468-2834&lt;/isbn&gt;&lt;urls&gt;&lt;/urls&gt;&lt;/record&gt;&lt;/Cite&gt;&lt;/EndNote&gt;</w:instrText>
            </w:r>
            <w:r w:rsidR="00F81E67" w:rsidRPr="00BA0E0E">
              <w:rPr>
                <w:sz w:val="18"/>
                <w:szCs w:val="18"/>
              </w:rPr>
              <w:fldChar w:fldCharType="separate"/>
            </w:r>
            <w:r w:rsidR="00F81E67" w:rsidRPr="00BA0E0E">
              <w:rPr>
                <w:sz w:val="18"/>
                <w:szCs w:val="18"/>
              </w:rPr>
              <w:t>(Lansley et al., 2004)</w:t>
            </w:r>
            <w:r w:rsidR="00F81E67" w:rsidRPr="00BA0E0E">
              <w:rPr>
                <w:sz w:val="18"/>
                <w:szCs w:val="18"/>
              </w:rPr>
              <w:fldChar w:fldCharType="end"/>
            </w:r>
          </w:p>
        </w:tc>
        <w:tc>
          <w:tcPr>
            <w:tcW w:w="1159" w:type="dxa"/>
          </w:tcPr>
          <w:p w14:paraId="398F651B"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Paid support work</w:t>
            </w:r>
          </w:p>
        </w:tc>
        <w:tc>
          <w:tcPr>
            <w:tcW w:w="1134" w:type="dxa"/>
          </w:tcPr>
          <w:p w14:paraId="4D268B6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2/5</w:t>
            </w:r>
          </w:p>
          <w:p w14:paraId="5ABF0360"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18/21</w:t>
            </w:r>
          </w:p>
        </w:tc>
        <w:tc>
          <w:tcPr>
            <w:tcW w:w="1418" w:type="dxa"/>
          </w:tcPr>
          <w:p w14:paraId="6CF1579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4</w:t>
            </w:r>
          </w:p>
          <w:p w14:paraId="01BADE6E"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Case studies</w:t>
            </w:r>
          </w:p>
        </w:tc>
        <w:tc>
          <w:tcPr>
            <w:tcW w:w="1134" w:type="dxa"/>
          </w:tcPr>
          <w:p w14:paraId="78F3E505"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Cost and effect</w:t>
            </w:r>
          </w:p>
        </w:tc>
        <w:tc>
          <w:tcPr>
            <w:tcW w:w="3978" w:type="dxa"/>
          </w:tcPr>
          <w:p w14:paraId="2A6F1840" w14:textId="77777777" w:rsidR="007472A7"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Adaptations and AT can substitute and supplement care.</w:t>
            </w:r>
            <w:r w:rsidR="004511B3">
              <w:rPr>
                <w:sz w:val="18"/>
                <w:szCs w:val="18"/>
              </w:rPr>
              <w:t xml:space="preserve"> </w:t>
            </w:r>
            <w:r w:rsidRPr="008E680E">
              <w:rPr>
                <w:sz w:val="18"/>
                <w:szCs w:val="18"/>
              </w:rPr>
              <w:t>For many older people, adaptations and AT can be cost-effective.</w:t>
            </w:r>
            <w:r w:rsidR="004511B3">
              <w:rPr>
                <w:sz w:val="18"/>
                <w:szCs w:val="18"/>
              </w:rPr>
              <w:t xml:space="preserve"> </w:t>
            </w:r>
            <w:r w:rsidRPr="008E680E">
              <w:rPr>
                <w:sz w:val="18"/>
                <w:szCs w:val="18"/>
              </w:rPr>
              <w:t>Pay-back periods from investment in adaptations and AT can be quite short.</w:t>
            </w:r>
            <w:r w:rsidR="004511B3">
              <w:rPr>
                <w:sz w:val="18"/>
                <w:szCs w:val="18"/>
              </w:rPr>
              <w:t xml:space="preserve"> </w:t>
            </w:r>
            <w:r w:rsidRPr="008E680E">
              <w:rPr>
                <w:sz w:val="18"/>
                <w:szCs w:val="18"/>
              </w:rPr>
              <w:t>The design of the home has a major impact on cost-effectiveness.</w:t>
            </w:r>
            <w:r w:rsidR="004511B3">
              <w:rPr>
                <w:sz w:val="18"/>
                <w:szCs w:val="18"/>
              </w:rPr>
              <w:t xml:space="preserve"> </w:t>
            </w:r>
          </w:p>
          <w:p w14:paraId="3FA5E076" w14:textId="148416E5"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Appropriately selected adaptations and AT can make a significant contribution to the provision of living environments which facilitate independence.</w:t>
            </w:r>
            <w:r w:rsidR="004511B3">
              <w:rPr>
                <w:sz w:val="18"/>
                <w:szCs w:val="18"/>
              </w:rPr>
              <w:t xml:space="preserve"> </w:t>
            </w:r>
            <w:r w:rsidRPr="008E680E">
              <w:rPr>
                <w:sz w:val="18"/>
                <w:szCs w:val="18"/>
              </w:rPr>
              <w:t>They can both substitute for traditional formal care services and supplement these services in a cost-effective way.</w:t>
            </w:r>
            <w:r w:rsidR="004511B3">
              <w:rPr>
                <w:sz w:val="18"/>
                <w:szCs w:val="18"/>
              </w:rPr>
              <w:t xml:space="preserve"> </w:t>
            </w:r>
            <w:r w:rsidRPr="008E680E">
              <w:rPr>
                <w:sz w:val="18"/>
                <w:szCs w:val="18"/>
              </w:rPr>
              <w:t>Data was modelled based on notational users and cannot be applied to population data.</w:t>
            </w:r>
          </w:p>
          <w:p w14:paraId="59A0F225" w14:textId="3DE1D015"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Lansley, P., et al.</w:t>
            </w:r>
            <w:r w:rsidR="004511B3">
              <w:rPr>
                <w:sz w:val="18"/>
                <w:szCs w:val="18"/>
              </w:rPr>
              <w:t xml:space="preserve"> </w:t>
            </w:r>
            <w:r w:rsidRPr="008E680E">
              <w:rPr>
                <w:sz w:val="18"/>
                <w:szCs w:val="18"/>
              </w:rPr>
              <w:t>(2004).</w:t>
            </w:r>
            <w:r w:rsidR="004511B3">
              <w:rPr>
                <w:sz w:val="18"/>
                <w:szCs w:val="18"/>
              </w:rPr>
              <w:t xml:space="preserve"> </w:t>
            </w:r>
            <w:r w:rsidRPr="008E680E">
              <w:rPr>
                <w:sz w:val="18"/>
                <w:szCs w:val="18"/>
              </w:rPr>
              <w:t>"Can adapting the homes of older people and providing assistive technology pay its way?" Age and Ageing 33(6): 571</w:t>
            </w:r>
            <w:r w:rsidR="00B236EB">
              <w:rPr>
                <w:sz w:val="18"/>
                <w:szCs w:val="18"/>
              </w:rPr>
              <w:t>–</w:t>
            </w:r>
            <w:r w:rsidRPr="008E680E">
              <w:rPr>
                <w:sz w:val="18"/>
                <w:szCs w:val="18"/>
              </w:rPr>
              <w:t>576.</w:t>
            </w:r>
          </w:p>
        </w:tc>
        <w:tc>
          <w:tcPr>
            <w:tcW w:w="2698" w:type="dxa"/>
          </w:tcPr>
          <w:p w14:paraId="0E766922"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c>
          <w:tcPr>
            <w:tcW w:w="1798" w:type="dxa"/>
          </w:tcPr>
          <w:p w14:paraId="6FAC0235"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Insufficient detail to determine a defined benefit with an associated cost saving</w:t>
            </w:r>
          </w:p>
        </w:tc>
      </w:tr>
      <w:tr w:rsidR="00F81E67" w:rsidRPr="008E680E" w14:paraId="272AFCE8"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369D1E1D" w14:textId="694AB3D1"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{"citationItems":[{"id":"ITEM-1","itemData":{"DOI":"10.1001/archfami.8.3.210","ISSN":"10633987","PMID":"10333815","abstract":"Context: Home environmental interventions (Els) and assistive technology (AT) devices have the potential to increase independence for community-based frail elderly persons, but their effectiveness has not been demonstrated. Objective: To evaluate a system of AT-EI service provision designed to promote independence and reduce health care costs for physically frail elderly persons. Design: Randomized controlled trial. Setting and Participants: A total of 104 home-based frail elderly persons living in western New York were assigned to 1 of 2 groups (52 treatment, 52 control). Intervention: All participants underwent a comprehensive functional assessment and evaluation of their home environment. Participants in the treatment group received AT and EIs based on the results of the evaluation. The control group received \"usual care services.\" Main Outcome Measures: Functional status as measured by the Functional Independence Measure (FIM) and the Craig Handicap Assessment and Reporting Tech-nique; pain as measured by the Functional Status Instrument; and health care costs including the costs. Results: After the 18-month intervention period, the treatment groups showed significant decline for FIM total score and FIM motor score, but there was significantly more decline for the control group. Functional Status Instrument pain scores increased significantly more for the control group. In a comparison of health care costs, the treatment group expended more than the control group for AT and EIs. The control group required significantly more expenditures for institutional care. There was no significant difference in total in-home personnel costs, although there was a large effect size. The control group had significantly greater expenditures for nurse visits and case manager visits. Conclusion: The frail elderly persons in this trial experienced functional decline over time. Results indicate rate of decline can be slowed, and institutional and certain in-home personnel costs reduced through a systematic approach to providing AT and EIs.","author":[{"dropping-particle":"","family":"Mann","given":"William C.","non-dropping-particle":"","parse-names":false,"suffix":""}],"container-title":"Archives of Family Medicine","id":"ITEM-1","issue":"3","issued":{"date-parts":[["1999"]]},"page":"210-217","title":"Effectiveness of assistive technology and environmental interventions in maintaining independence and reducing home care costs for the frail elderly a randomized controlled trial","type":"article-journal","volume":"8"},"uris":["http://www.mendeley.com/documents/?uuid=22ffa52a-71d1-4e8e-a858-2f7ac74b49ce"]}],"mendeley":{"formattedCitation":"(Mann 1999)","plainTextFormattedCitation":"(Mann 1999)","previouslyFormattedCitation":"(Mann 1999)"},"properties":{"noteIndex":0},"schema":"https://github.com/citation-style-language/schema/raw/master/csl-citation.json"}</w:instrText>
            </w:r>
            <w:r w:rsidRPr="00BA0E0E">
              <w:rPr>
                <w:sz w:val="18"/>
                <w:szCs w:val="18"/>
              </w:rPr>
              <w:fldChar w:fldCharType="separate"/>
            </w:r>
            <w:r w:rsidRPr="00BA0E0E">
              <w:rPr>
                <w:noProof/>
                <w:sz w:val="18"/>
                <w:szCs w:val="18"/>
              </w:rPr>
              <w:t>(Mann 1999)</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&lt;EndNote&gt;&lt;Cite&gt;&lt;Author&gt;Mann&lt;/Author&gt;&lt;Year&gt;1999&lt;/Year&gt;&lt;RecNum&gt;41&lt;/RecNum&gt;&lt;DisplayText&gt;(Mann et al., 1999)&lt;/DisplayText&gt;&lt;record&gt;&lt;rec-number&gt;41&lt;/rec-number&gt;&lt;foreign-keys&gt;&lt;key app="EN" db-id="z0f5xrvehzt9xzexr2k5apf1psvsftpfvp52" timestamp="1581814546"&gt;41&lt;/key&gt;&lt;/foreign-keys&gt;&lt;ref-type name="Journal Article"&gt;17&lt;/ref-type&gt;&lt;contributors&gt;&lt;authors&gt;&lt;author&gt;Mann, William C&lt;/author&gt;&lt;author&gt;Ottenbacher, Kenneth J&lt;/author&gt;&lt;author&gt;Fraas, Linda&lt;/author&gt;&lt;author&gt;Tomita, Machiko&lt;/author&gt;&lt;author&gt;Granger, Carl V&lt;/author&gt;&lt;/authors&gt;&lt;/contributors&gt;&lt;titles&gt;&lt;title&gt;Effectiveness of assistive technology and environmental interventions in maintaining independence and reducing home care costs for the frail elderly: A randomized controlled trial&lt;/title&gt;&lt;secondary-title&gt;Archives of family Medicine&lt;/secondary-title&gt;&lt;/titles&gt;&lt;periodical&gt;&lt;full-title&gt;Archives of family Medicine&lt;/full-title&gt;&lt;/periodical&gt;&lt;pages&gt;210&lt;/pages&gt;&lt;volume&gt;8&lt;/volume&gt;&lt;number&gt;3&lt;/number&gt;&lt;dates&gt;&lt;year&gt;1999&lt;/year&gt;&lt;/dates&gt;&lt;urls&gt;&lt;/urls&gt;&lt;/record&gt;&lt;/Cite&gt;&lt;/EndNote&gt;</w:instrText>
            </w:r>
            <w:r w:rsidR="00F81E67" w:rsidRPr="00BA0E0E">
              <w:rPr>
                <w:sz w:val="18"/>
                <w:szCs w:val="18"/>
              </w:rPr>
              <w:fldChar w:fldCharType="separate"/>
            </w:r>
            <w:r w:rsidR="00F81E67" w:rsidRPr="00BA0E0E">
              <w:rPr>
                <w:sz w:val="18"/>
                <w:szCs w:val="18"/>
              </w:rPr>
              <w:t>(Mann et al., 1999)</w:t>
            </w:r>
            <w:r w:rsidR="00F81E67" w:rsidRPr="00BA0E0E">
              <w:rPr>
                <w:sz w:val="18"/>
                <w:szCs w:val="18"/>
              </w:rPr>
              <w:fldChar w:fldCharType="end"/>
            </w:r>
          </w:p>
        </w:tc>
        <w:tc>
          <w:tcPr>
            <w:tcW w:w="1159" w:type="dxa"/>
          </w:tcPr>
          <w:p w14:paraId="4498FE8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Acute admissions</w:t>
            </w:r>
          </w:p>
        </w:tc>
        <w:tc>
          <w:tcPr>
            <w:tcW w:w="1134" w:type="dxa"/>
          </w:tcPr>
          <w:p w14:paraId="3C69392A"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6/6</w:t>
            </w:r>
          </w:p>
          <w:p w14:paraId="2BC2DBF9"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18/23</w:t>
            </w:r>
          </w:p>
        </w:tc>
        <w:tc>
          <w:tcPr>
            <w:tcW w:w="1418" w:type="dxa"/>
          </w:tcPr>
          <w:p w14:paraId="6D7D9F8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2</w:t>
            </w:r>
          </w:p>
          <w:p w14:paraId="075D96C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Randomised controlled trials</w:t>
            </w:r>
          </w:p>
        </w:tc>
        <w:tc>
          <w:tcPr>
            <w:tcW w:w="1134" w:type="dxa"/>
          </w:tcPr>
          <w:p w14:paraId="2C6DDB4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Cost and effect</w:t>
            </w:r>
          </w:p>
        </w:tc>
        <w:tc>
          <w:tcPr>
            <w:tcW w:w="3978" w:type="dxa"/>
          </w:tcPr>
          <w:p w14:paraId="02DB76D7" w14:textId="77777777" w:rsidR="007472A7"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intervention group required significantly less cost for institutional care.</w:t>
            </w:r>
            <w:r w:rsidR="004511B3">
              <w:rPr>
                <w:sz w:val="18"/>
                <w:szCs w:val="18"/>
              </w:rPr>
              <w:t xml:space="preserve"> </w:t>
            </w:r>
            <w:r w:rsidRPr="008E680E">
              <w:rPr>
                <w:sz w:val="18"/>
                <w:szCs w:val="18"/>
              </w:rPr>
              <w:t>Frail/elderly people experience functional decline over time.</w:t>
            </w:r>
            <w:r w:rsidR="004511B3">
              <w:rPr>
                <w:sz w:val="18"/>
                <w:szCs w:val="18"/>
              </w:rPr>
              <w:t xml:space="preserve"> </w:t>
            </w:r>
            <w:r w:rsidRPr="008E680E">
              <w:rPr>
                <w:sz w:val="18"/>
                <w:szCs w:val="18"/>
              </w:rPr>
              <w:t>In this study the results indicate that the rate of decline can be slowed and institutional and certain in-home personnel costs can be reduced through a systematic approach to providing AT.</w:t>
            </w:r>
            <w:r w:rsidR="004511B3">
              <w:rPr>
                <w:sz w:val="18"/>
                <w:szCs w:val="18"/>
              </w:rPr>
              <w:t xml:space="preserve"> </w:t>
            </w:r>
          </w:p>
          <w:p w14:paraId="0D833414" w14:textId="0661328D"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Specific to days of hospitalisation</w:t>
            </w:r>
            <w:r w:rsidR="007472A7">
              <w:rPr>
                <w:sz w:val="18"/>
                <w:szCs w:val="18"/>
              </w:rPr>
              <w:t>,</w:t>
            </w:r>
            <w:r w:rsidRPr="008E680E">
              <w:rPr>
                <w:sz w:val="18"/>
                <w:szCs w:val="18"/>
              </w:rPr>
              <w:t xml:space="preserve"> the intervention group had 5.9 days over 18 months compared to the control group who had 23.7 days over 18 months, with the costs respectively 4977 and 20826 (USD 1999).</w:t>
            </w:r>
            <w:r w:rsidR="004511B3">
              <w:rPr>
                <w:sz w:val="18"/>
                <w:szCs w:val="18"/>
              </w:rPr>
              <w:t xml:space="preserve"> </w:t>
            </w:r>
            <w:r w:rsidRPr="008E680E">
              <w:rPr>
                <w:sz w:val="18"/>
                <w:szCs w:val="18"/>
              </w:rPr>
              <w:t xml:space="preserve">Difference in days was 17.8 days over 18 months, or 11.9 days over 12 months. </w:t>
            </w:r>
          </w:p>
          <w:p w14:paraId="7D719697" w14:textId="6962040A"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Mann, W.</w:t>
            </w:r>
            <w:r w:rsidR="004511B3">
              <w:rPr>
                <w:sz w:val="18"/>
                <w:szCs w:val="18"/>
              </w:rPr>
              <w:t xml:space="preserve"> </w:t>
            </w:r>
            <w:r w:rsidRPr="008E680E">
              <w:rPr>
                <w:sz w:val="18"/>
                <w:szCs w:val="18"/>
              </w:rPr>
              <w:t>C., et al.</w:t>
            </w:r>
            <w:r w:rsidR="004511B3">
              <w:rPr>
                <w:sz w:val="18"/>
                <w:szCs w:val="18"/>
              </w:rPr>
              <w:t xml:space="preserve"> </w:t>
            </w:r>
            <w:r w:rsidRPr="008E680E">
              <w:rPr>
                <w:sz w:val="18"/>
                <w:szCs w:val="18"/>
              </w:rPr>
              <w:t>(1999).</w:t>
            </w:r>
            <w:r w:rsidR="004511B3">
              <w:rPr>
                <w:sz w:val="18"/>
                <w:szCs w:val="18"/>
              </w:rPr>
              <w:t xml:space="preserve"> </w:t>
            </w:r>
            <w:r w:rsidRPr="008E680E">
              <w:rPr>
                <w:sz w:val="18"/>
                <w:szCs w:val="18"/>
              </w:rPr>
              <w:t xml:space="preserve">"Effectiveness of assistive technology and environmental interventions in maintaining independence and reducing home care costs for the frail elderly: A randomized controlled trial." Archives of </w:t>
            </w:r>
            <w:r w:rsidR="00B236EB">
              <w:rPr>
                <w:sz w:val="18"/>
                <w:szCs w:val="18"/>
              </w:rPr>
              <w:t>F</w:t>
            </w:r>
            <w:r w:rsidRPr="008E680E">
              <w:rPr>
                <w:sz w:val="18"/>
                <w:szCs w:val="18"/>
              </w:rPr>
              <w:t>amily Medicine 8(3): 210.</w:t>
            </w:r>
          </w:p>
        </w:tc>
        <w:tc>
          <w:tcPr>
            <w:tcW w:w="2698" w:type="dxa"/>
          </w:tcPr>
          <w:p w14:paraId="09AB08F5" w14:textId="3A63889D"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Reduction in hospital admissions by 11.9 days.</w:t>
            </w:r>
            <w:r w:rsidR="004511B3">
              <w:rPr>
                <w:sz w:val="18"/>
                <w:szCs w:val="18"/>
              </w:rPr>
              <w:t xml:space="preserve"> </w:t>
            </w:r>
            <w:r w:rsidRPr="008E680E">
              <w:rPr>
                <w:sz w:val="18"/>
                <w:szCs w:val="18"/>
              </w:rPr>
              <w:t>Mean cost per day 878.73 (USD 1999) or 10,456.94 per year</w:t>
            </w:r>
          </w:p>
        </w:tc>
        <w:tc>
          <w:tcPr>
            <w:tcW w:w="1798" w:type="dxa"/>
          </w:tcPr>
          <w:p w14:paraId="01835A47" w14:textId="29022D3F"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Reduction in hospital admissions by 11.9 days.</w:t>
            </w:r>
            <w:r w:rsidR="004511B3">
              <w:rPr>
                <w:sz w:val="18"/>
                <w:szCs w:val="18"/>
              </w:rPr>
              <w:t xml:space="preserve"> </w:t>
            </w:r>
            <w:r w:rsidRPr="008E680E">
              <w:rPr>
                <w:sz w:val="18"/>
                <w:szCs w:val="18"/>
              </w:rPr>
              <w:t>per year $29,235.14</w:t>
            </w:r>
          </w:p>
        </w:tc>
      </w:tr>
      <w:tr w:rsidR="00F81E67" w:rsidRPr="008E680E" w14:paraId="1325A5E6"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37352314" w14:textId="26D25F3E" w:rsidR="00F81E67" w:rsidRPr="008E68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{"citationItems":[{"id":"ITEM-1","itemData":{"DOI":"10.1001/archfami.8.3.210","ISSN":"10633987","PMID":"10333815","abstract":"Context: Home environmental interventions (Els) and assistive technology (AT) devices have the potential to increase independence for community-based frail elderly persons, but their effectiveness has not been demonstrated. Objective: To evaluate a system of AT-EI service provision designed to promote independence and reduce health care costs for physically frail elderly persons. Design: Randomized controlled trial. Setting and Participants: A total of 104 home-based frail elderly persons living in western New York were assigned to 1 of 2 groups (52 treatment, 52 control). Intervention: All participants underwent a comprehensive functional assessment and evaluation of their home environment. Participants in the treatment group received AT and EIs based on the results of the evaluation. The control group received \"usual care services.\" Main Outcome Measures: Functional status as measured by the Functional Independence Measure (FIM) and the Craig Handicap Assessment and Reporting Tech-nique; pain as measured by the Functional Status Instrument; and health care costs including the costs. Results: After the 18-month intervention period, the treatment groups showed significant decline for FIM total score and FIM motor score, but there was significantly more decline for the control group. Functional Status Instrument pain scores increased significantly more for the control group. In a comparison of health care costs, the treatment group expended more than the control group for AT and EIs. The control group required significantly more expenditures for institutional care. There was no significant difference in total in-home personnel costs, although there was a large effect size. The control group had significantly greater expenditures for nurse visits and case manager visits. Conclusion: The frail elderly persons in this trial experienced functional decline over time. Results indicate rate of decline can be slowed, and institutional and certain in-home personnel costs reduced through a systematic approach to providing AT and EIs.","author":[{"dropping-particle":"","family":"Mann","given":"William C.","non-dropping-particle":"","parse-names":false,"suffix":""}],"container-title":"Archives of Family Medicine","id":"ITEM-1","issue":"3","issued":{"date-parts":[["1999"]]},"page":"210-217","title":"Effectiveness of assistive technology and environmental interventions in maintaining independence and reducing home care costs for the frail elderly a randomized controlled trial","type":"article-journal","volume":"8"},"uris":["http://www.mendeley.com/documents/?uuid=22ffa52a-71d1-4e8e-a858-2f7ac74b49ce"]}],"mendeley":{"formattedCitation":"(Mann 1999)","plainTextFormattedCitation":"(Mann 1999)","previouslyFormattedCitation":"(Mann 1999)"},"properties":{"noteIndex":0},"schema":"https://github.com/citation-style-language/schema/raw/master/csl-citation.json"}</w:instrText>
            </w:r>
            <w:r w:rsidRPr="00BA0E0E">
              <w:rPr>
                <w:sz w:val="18"/>
                <w:szCs w:val="18"/>
              </w:rPr>
              <w:fldChar w:fldCharType="separate"/>
            </w:r>
            <w:r w:rsidRPr="00BA0E0E">
              <w:rPr>
                <w:noProof/>
                <w:sz w:val="18"/>
                <w:szCs w:val="18"/>
              </w:rPr>
              <w:t>(Mann 1999)</w:t>
            </w:r>
            <w:r w:rsidRPr="00BA0E0E">
              <w:rPr>
                <w:sz w:val="18"/>
                <w:szCs w:val="18"/>
              </w:rPr>
              <w:fldChar w:fldCharType="end"/>
            </w:r>
            <w:r w:rsidR="00F81E67" w:rsidRPr="008E680E">
              <w:rPr>
                <w:sz w:val="18"/>
                <w:szCs w:val="18"/>
              </w:rPr>
              <w:fldChar w:fldCharType="begin"/>
            </w:r>
            <w:r w:rsidR="00F81E67" w:rsidRPr="008E680E">
              <w:rPr>
                <w:sz w:val="18"/>
                <w:szCs w:val="18"/>
              </w:rPr>
              <w:instrText xml:space="preserve">  EN.CITE &lt;EndNote&gt;&lt;Cite&gt;&lt;Author&gt;Mann&lt;/Author&gt;&lt;Year&gt;1999&lt;/Year&gt;&lt;RecNum&gt;41&lt;/RecNum&gt;&lt;DisplayText&gt;(Mann et al., 1999)&lt;/DisplayText&gt;&lt;record&gt;&lt;rec-number&gt;41&lt;/rec-number&gt;&lt;foreign-keys&gt;&lt;key app="EN" db-id="z0f5xrvehzt9xzexr2k5apf1psvsftpfvp52" timestamp="1581814546"&gt;41&lt;/key&gt;&lt;/foreign-keys&gt;&lt;ref-type name="Journal Article"&gt;17&lt;/ref-type&gt;&lt;contributors&gt;&lt;authors&gt;&lt;author&gt;Mann, William C&lt;/author&gt;&lt;author&gt;Ottenbacher, Kenneth J&lt;/author&gt;&lt;author&gt;Fraas, Linda&lt;/author&gt;&lt;author&gt;Tomita, Machiko&lt;/author&gt;&lt;author&gt;Granger, Carl V&lt;/author&gt;&lt;/authors&gt;&lt;/contributors&gt;&lt;titles&gt;&lt;title&gt;Effectiveness of assistive technology and environmental interventions in maintaining independence and reducing home care costs for the frail elderly: A randomized controlled trial&lt;/title&gt;&lt;secondary-title&gt;Archives of family Medicine&lt;/secondary-title&gt;&lt;/titles&gt;&lt;periodical&gt;&lt;full-title&gt;Archives of family Medicine&lt;/full-title&gt;&lt;/periodical&gt;&lt;pages&gt;210&lt;/pages&gt;&lt;volume&gt;8&lt;/volume&gt;&lt;number&gt;3&lt;/number&gt;&lt;dates&gt;&lt;year&gt;1999&lt;/year&gt;&lt;/dates&gt;&lt;urls&gt;&lt;/urls&gt;&lt;/record&gt;&lt;/Cite&gt;&lt;/EndNote&gt;</w:instrText>
            </w:r>
            <w:r w:rsidR="00F81E67" w:rsidRPr="008E680E">
              <w:rPr>
                <w:sz w:val="18"/>
                <w:szCs w:val="18"/>
              </w:rPr>
              <w:fldChar w:fldCharType="separate"/>
            </w:r>
            <w:r w:rsidR="00F81E67" w:rsidRPr="008E680E">
              <w:rPr>
                <w:sz w:val="18"/>
                <w:szCs w:val="18"/>
              </w:rPr>
              <w:t>(Mann et al., 1999)</w:t>
            </w:r>
            <w:r w:rsidR="00F81E67" w:rsidRPr="008E680E">
              <w:rPr>
                <w:sz w:val="18"/>
                <w:szCs w:val="18"/>
              </w:rPr>
              <w:fldChar w:fldCharType="end"/>
            </w:r>
          </w:p>
        </w:tc>
        <w:tc>
          <w:tcPr>
            <w:tcW w:w="1159" w:type="dxa"/>
          </w:tcPr>
          <w:p w14:paraId="0C8F909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Residential aged care facility</w:t>
            </w:r>
          </w:p>
        </w:tc>
        <w:tc>
          <w:tcPr>
            <w:tcW w:w="1134" w:type="dxa"/>
          </w:tcPr>
          <w:p w14:paraId="7AAADC99"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6/6</w:t>
            </w:r>
          </w:p>
          <w:p w14:paraId="07DDE16E"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18/23</w:t>
            </w:r>
          </w:p>
        </w:tc>
        <w:tc>
          <w:tcPr>
            <w:tcW w:w="1418" w:type="dxa"/>
          </w:tcPr>
          <w:p w14:paraId="661DF893"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2</w:t>
            </w:r>
          </w:p>
          <w:p w14:paraId="26D60169"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Randomised controlled trials</w:t>
            </w:r>
          </w:p>
        </w:tc>
        <w:tc>
          <w:tcPr>
            <w:tcW w:w="1134" w:type="dxa"/>
          </w:tcPr>
          <w:p w14:paraId="7B00E318"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Cost and effect</w:t>
            </w:r>
          </w:p>
        </w:tc>
        <w:tc>
          <w:tcPr>
            <w:tcW w:w="3978" w:type="dxa"/>
          </w:tcPr>
          <w:p w14:paraId="3478CBE9" w14:textId="77777777" w:rsidR="007472A7"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intervention group required significantly less cost for institutional care.</w:t>
            </w:r>
            <w:r w:rsidR="004511B3">
              <w:rPr>
                <w:sz w:val="18"/>
                <w:szCs w:val="18"/>
              </w:rPr>
              <w:t xml:space="preserve"> </w:t>
            </w:r>
            <w:r w:rsidRPr="008E680E">
              <w:rPr>
                <w:sz w:val="18"/>
                <w:szCs w:val="18"/>
              </w:rPr>
              <w:t>Frail/elderly people experience functional decline over time.</w:t>
            </w:r>
            <w:r w:rsidR="004511B3">
              <w:rPr>
                <w:sz w:val="18"/>
                <w:szCs w:val="18"/>
              </w:rPr>
              <w:t xml:space="preserve"> </w:t>
            </w:r>
            <w:r w:rsidRPr="008E680E">
              <w:rPr>
                <w:sz w:val="18"/>
                <w:szCs w:val="18"/>
              </w:rPr>
              <w:t>In this study the results indicate that the rate of decline can be slowed and institutional and certain in-home personnel costs can be reduced through a systematic approach to providing AT.</w:t>
            </w:r>
            <w:r w:rsidR="004511B3">
              <w:rPr>
                <w:sz w:val="18"/>
                <w:szCs w:val="18"/>
              </w:rPr>
              <w:t xml:space="preserve"> </w:t>
            </w:r>
          </w:p>
          <w:p w14:paraId="6C151AA2" w14:textId="6DCC0AC2"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Specific to days of residential aged care facilities</w:t>
            </w:r>
            <w:r w:rsidR="007472A7">
              <w:rPr>
                <w:sz w:val="18"/>
                <w:szCs w:val="18"/>
              </w:rPr>
              <w:t>,</w:t>
            </w:r>
            <w:r w:rsidRPr="008E680E">
              <w:rPr>
                <w:sz w:val="18"/>
                <w:szCs w:val="18"/>
              </w:rPr>
              <w:t xml:space="preserve"> the intervention group had 7.4 days over 18 months compared to the control group who had 11.9 days over 18 months, with the costs respectively 633 and 1020 (USD 1999).</w:t>
            </w:r>
            <w:r w:rsidR="004511B3">
              <w:rPr>
                <w:sz w:val="18"/>
                <w:szCs w:val="18"/>
              </w:rPr>
              <w:t xml:space="preserve"> </w:t>
            </w:r>
            <w:r w:rsidRPr="008E680E">
              <w:rPr>
                <w:sz w:val="18"/>
                <w:szCs w:val="18"/>
              </w:rPr>
              <w:t>Difference in days was 4.5 days over 18 months, or 3.0 days over 12 months.</w:t>
            </w:r>
          </w:p>
          <w:p w14:paraId="00ABB011" w14:textId="5A75565B"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Mann, W.</w:t>
            </w:r>
            <w:r w:rsidR="004511B3">
              <w:rPr>
                <w:sz w:val="18"/>
                <w:szCs w:val="18"/>
              </w:rPr>
              <w:t xml:space="preserve"> </w:t>
            </w:r>
            <w:r w:rsidRPr="008E680E">
              <w:rPr>
                <w:sz w:val="18"/>
                <w:szCs w:val="18"/>
              </w:rPr>
              <w:t>C., et al.</w:t>
            </w:r>
            <w:r w:rsidR="004511B3">
              <w:rPr>
                <w:sz w:val="18"/>
                <w:szCs w:val="18"/>
              </w:rPr>
              <w:t xml:space="preserve"> </w:t>
            </w:r>
            <w:r w:rsidRPr="008E680E">
              <w:rPr>
                <w:sz w:val="18"/>
                <w:szCs w:val="18"/>
              </w:rPr>
              <w:t>(1999).</w:t>
            </w:r>
            <w:r w:rsidR="004511B3">
              <w:rPr>
                <w:sz w:val="18"/>
                <w:szCs w:val="18"/>
              </w:rPr>
              <w:t xml:space="preserve"> </w:t>
            </w:r>
            <w:r w:rsidRPr="008E680E">
              <w:rPr>
                <w:sz w:val="18"/>
                <w:szCs w:val="18"/>
              </w:rPr>
              <w:t xml:space="preserve">"Effectiveness of assistive technology and environmental interventions in maintaining independence and reducing home care costs for the frail elderly: A randomized controlled trial." Archives of </w:t>
            </w:r>
            <w:r w:rsidR="00B236EB">
              <w:rPr>
                <w:sz w:val="18"/>
                <w:szCs w:val="18"/>
              </w:rPr>
              <w:t>F</w:t>
            </w:r>
            <w:r w:rsidRPr="008E680E">
              <w:rPr>
                <w:sz w:val="18"/>
                <w:szCs w:val="18"/>
              </w:rPr>
              <w:t>amily Medicine 8(3): 210.</w:t>
            </w:r>
          </w:p>
        </w:tc>
        <w:tc>
          <w:tcPr>
            <w:tcW w:w="2698" w:type="dxa"/>
          </w:tcPr>
          <w:p w14:paraId="558E2F5A" w14:textId="43E46150"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Reduction in aged care admissions by 3.0 days.</w:t>
            </w:r>
            <w:r w:rsidR="004511B3">
              <w:rPr>
                <w:sz w:val="18"/>
                <w:szCs w:val="18"/>
              </w:rPr>
              <w:t xml:space="preserve"> </w:t>
            </w:r>
            <w:r w:rsidRPr="008E680E">
              <w:rPr>
                <w:sz w:val="18"/>
                <w:szCs w:val="18"/>
              </w:rPr>
              <w:t>Mean cost per day 85.54 (USD 1999) or 256.62 per year</w:t>
            </w:r>
          </w:p>
        </w:tc>
        <w:tc>
          <w:tcPr>
            <w:tcW w:w="1798" w:type="dxa"/>
          </w:tcPr>
          <w:p w14:paraId="4ABB6BDC" w14:textId="6C6640CC"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Reduction in aged care admissions by 3.0 days.</w:t>
            </w:r>
            <w:r w:rsidR="004511B3">
              <w:rPr>
                <w:sz w:val="18"/>
                <w:szCs w:val="18"/>
              </w:rPr>
              <w:t xml:space="preserve"> </w:t>
            </w:r>
            <w:r w:rsidRPr="008E680E">
              <w:rPr>
                <w:sz w:val="18"/>
                <w:szCs w:val="18"/>
              </w:rPr>
              <w:t>per year $717.45</w:t>
            </w:r>
          </w:p>
        </w:tc>
      </w:tr>
      <w:tr w:rsidR="00F81E67" w:rsidRPr="008E680E" w14:paraId="43FECD75" w14:textId="77777777" w:rsidTr="00861912">
        <w:tc>
          <w:tcPr>
            <w:cnfStyle w:val="001000000000" w:firstRow="0" w:lastRow="0" w:firstColumn="1" w:lastColumn="0" w:oddVBand="0" w:evenVBand="0" w:oddHBand="0" w:evenHBand="0" w:firstRowFirstColumn="0" w:firstRowLastColumn="0" w:lastRowFirstColumn="0" w:lastRowLastColumn="0"/>
            <w:tcW w:w="1246" w:type="dxa"/>
          </w:tcPr>
          <w:p w14:paraId="265A2D44" w14:textId="7ABEDA10" w:rsidR="00F81E67" w:rsidRPr="00BA0E0E" w:rsidRDefault="00BA0E0E" w:rsidP="00187BC0">
            <w:pPr>
              <w:rPr>
                <w:sz w:val="18"/>
                <w:szCs w:val="18"/>
              </w:rPr>
            </w:pPr>
            <w:r w:rsidRPr="00BA0E0E">
              <w:rPr>
                <w:sz w:val="18"/>
                <w:szCs w:val="18"/>
              </w:rPr>
              <w:fldChar w:fldCharType="begin" w:fldLock="1"/>
            </w:r>
            <w:r>
              <w:rPr>
                <w:sz w:val="18"/>
                <w:szCs w:val="18"/>
              </w:rPr>
              <w:instrText>ADDIN CSL_CITATION {"citationItems":[{"id":"ITEM-1","itemData":{"DOI":"10.1007/s40520-019-01323-2","ISBN":"0123456789","ISSN":"17208319","abstract":"Background: Advances such as passive monitoring technology (PMT), which provides holistic supervision of chronically ill and elderly patients, enable and support improved monitoring and observation, thus empowering the growing population of older adults to live more independently while lowering health care expenses. Aims: This study develops a conceptual model to estimate the potential savings associated with PMT. Methods: We first develop a conceptual model to identify the main cost variables associated with independent living, focusing on three pathways: (1) PMT, (2) independent living supported by the current standard of care, and (3) facility-based care. We examined the impact on three outcomes [i.e., health care costs, institutional costs, and health-related quality of life (HRQoL)] along each of the three care pathways (i.e., PMT, independent living supported by the standard of care, and facility-based care) and developed a cost-benefit model to calculate the net costs and benefits associated with each care pathway. Results: The cost–benefit model showed savings between approximately $425 per-member per-month (PMPM) for those using PMT compared to those on the standard of care pathway. Sensitivity analysis demonstrated that a 5% increase in nursing home utilization generates cost savings of more than 30% PMPM. Discussion: The total projected cost savings for individuals on the PMT arm are projected to be more than $425 PMPM, with annual savings of $5069 per-person per-year, and over $5.1 million for a target population of 1000 individuals. Conclusions: The cost calculations in our cost–benefit simulation model clearly demonstrate the value of PMT and show the potential value to payers and integrated delivery systems in offering PMT to individuals who are likely to benefit the most from the services.","author":[{"dropping-particle":"","family":"Schneider","given":"John E.","non-dropping-particle":"","parse-names":false,"suffix":""},{"dropping-particle":"","family":"Cooper","given":"Jacie","non-dropping-particle":"","parse-names":false,"suffix":""},{"dropping-particle":"","family":"Scheibling","given":"Cara","non-dropping-particle":"","parse-names":false,"suffix":""},{"dropping-particle":"","family":"Parikh","given":"Anjani","non-dropping-particle":"","parse-names":false,"suffix":""}],"container-title":"Aging Clinical and Experimental Research","id":"ITEM-1","issue":"0123456789","issued":{"date-parts":[["2019"]]},"publisher":"Springer International Publishing","title":"Economic evaluation of passive monitoring technology for seniors","type":"article-journal"},"uris":["http://www.mendeley.com/documents/?uuid=6aa287ec-01e5-4150-9d7a-7ddf8dc7003a"]}],"mendeley":{"formattedCitation":"(Schneider et al. 2019)","plainTextFormattedCitation":"(Schneider et al. 2019)","previouslyFormattedCitation":"(Schneider et al. 2019)"},"properties":{"noteIndex":0},"schema":"https://github.com/citation-style-language/schema/raw/master/csl-citation.json"}</w:instrText>
            </w:r>
            <w:r w:rsidRPr="00BA0E0E">
              <w:rPr>
                <w:sz w:val="18"/>
                <w:szCs w:val="18"/>
              </w:rPr>
              <w:fldChar w:fldCharType="separate"/>
            </w:r>
            <w:r w:rsidRPr="00BA0E0E">
              <w:rPr>
                <w:noProof/>
                <w:sz w:val="18"/>
                <w:szCs w:val="18"/>
              </w:rPr>
              <w:t>(Schneider et al. 2019)</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&lt;EndNote&gt;&lt;Cite&gt;&lt;Author&gt;Schneider&lt;/Author&gt;&lt;Year&gt;2019&lt;/Year&gt;&lt;RecNum&gt;33&lt;/RecNum&gt;&lt;DisplayText&gt;(Schneider et al., 2019)&lt;/DisplayText&gt;&lt;record&gt;&lt;rec-number&gt;33&lt;/rec-number&gt;&lt;foreign-keys&gt;&lt;key app="EN" db-id="z0f5xrvehzt9xzexr2k5apf1psvsftpfvp52" timestamp="1581807692"&gt;33&lt;/key&gt;&lt;/foreign-keys&gt;&lt;ref-type name="Journal Article"&gt;17&lt;/ref-type&gt;&lt;contributors&gt;&lt;authors&gt;&lt;author&gt;Schneider, John E&lt;/author&gt;&lt;author&gt;Cooper, Jacie&lt;/author&gt;&lt;author&gt;Scheibling, Cara&lt;/author&gt;&lt;author&gt;Parikh, Anjani&lt;/author&gt;&lt;/authors&gt;&lt;/contributors&gt;&lt;titles&gt;&lt;title&gt;Economic evaluation of passive monitoring technology for seniors&lt;/title&gt;&lt;secondary-title&gt;Aging clinical and experimental research&lt;/secondary-title&gt;&lt;/titles&gt;&lt;periodical&gt;&lt;full-title&gt;Aging clinical and experimental research&lt;/full-title&gt;&lt;/periodical&gt;&lt;pages&gt;1-8&lt;/pages&gt;&lt;dates&gt;&lt;year&gt;2019&lt;/year&gt;&lt;/dates&gt;&lt;isbn&gt;1720-8319&lt;/isbn&gt;&lt;urls&gt;&lt;/urls&gt;&lt;/record&gt;&lt;/Cite&gt;&lt;/EndNote&gt;</w:instrText>
            </w:r>
            <w:r w:rsidR="00F81E67" w:rsidRPr="00BA0E0E">
              <w:rPr>
                <w:sz w:val="18"/>
                <w:szCs w:val="18"/>
              </w:rPr>
              <w:fldChar w:fldCharType="separate"/>
            </w:r>
            <w:r w:rsidR="00F81E67" w:rsidRPr="00BA0E0E">
              <w:rPr>
                <w:sz w:val="18"/>
                <w:szCs w:val="18"/>
              </w:rPr>
              <w:t>(Schneider et al., 2019)</w:t>
            </w:r>
            <w:r w:rsidR="00F81E67" w:rsidRPr="00BA0E0E">
              <w:rPr>
                <w:sz w:val="18"/>
                <w:szCs w:val="18"/>
              </w:rPr>
              <w:fldChar w:fldCharType="end"/>
            </w:r>
          </w:p>
        </w:tc>
        <w:tc>
          <w:tcPr>
            <w:tcW w:w="1159" w:type="dxa"/>
          </w:tcPr>
          <w:p w14:paraId="6C8752D5"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Residential aged care facility</w:t>
            </w:r>
          </w:p>
        </w:tc>
        <w:tc>
          <w:tcPr>
            <w:tcW w:w="1134" w:type="dxa"/>
          </w:tcPr>
          <w:p w14:paraId="1E819A03"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ROB: 2/5</w:t>
            </w:r>
          </w:p>
          <w:p w14:paraId="6CFE167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CHEERS: 18/24</w:t>
            </w:r>
          </w:p>
        </w:tc>
        <w:tc>
          <w:tcPr>
            <w:tcW w:w="1418" w:type="dxa"/>
          </w:tcPr>
          <w:p w14:paraId="6AB0C7F7"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Level 4</w:t>
            </w:r>
          </w:p>
          <w:p w14:paraId="1AF44EE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Case studies</w:t>
            </w:r>
          </w:p>
        </w:tc>
        <w:tc>
          <w:tcPr>
            <w:tcW w:w="1134" w:type="dxa"/>
          </w:tcPr>
          <w:p w14:paraId="2984F87F"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 xml:space="preserve">Cost and effect </w:t>
            </w:r>
          </w:p>
        </w:tc>
        <w:tc>
          <w:tcPr>
            <w:tcW w:w="3978" w:type="dxa"/>
          </w:tcPr>
          <w:p w14:paraId="6D3DF986"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cost–benefit model showed savings between approximately 425 (USD 2019) per member, per month (PMPM) for those using PMT compared to those on the standard of care pathway.</w:t>
            </w:r>
          </w:p>
          <w:p w14:paraId="7D9A7E44" w14:textId="62941EB9"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Schneider, J.</w:t>
            </w:r>
            <w:r w:rsidR="004511B3">
              <w:rPr>
                <w:sz w:val="18"/>
                <w:szCs w:val="18"/>
              </w:rPr>
              <w:t xml:space="preserve"> </w:t>
            </w:r>
            <w:r w:rsidRPr="008E680E">
              <w:rPr>
                <w:sz w:val="18"/>
                <w:szCs w:val="18"/>
              </w:rPr>
              <w:t>E., et al.</w:t>
            </w:r>
            <w:r w:rsidR="004511B3">
              <w:rPr>
                <w:sz w:val="18"/>
                <w:szCs w:val="18"/>
              </w:rPr>
              <w:t xml:space="preserve"> </w:t>
            </w:r>
            <w:r w:rsidRPr="008E680E">
              <w:rPr>
                <w:sz w:val="18"/>
                <w:szCs w:val="18"/>
              </w:rPr>
              <w:t>(2019).</w:t>
            </w:r>
            <w:r w:rsidR="004511B3">
              <w:rPr>
                <w:sz w:val="18"/>
                <w:szCs w:val="18"/>
              </w:rPr>
              <w:t xml:space="preserve"> </w:t>
            </w:r>
            <w:r w:rsidRPr="008E680E">
              <w:rPr>
                <w:sz w:val="18"/>
                <w:szCs w:val="18"/>
              </w:rPr>
              <w:t>"Economic evaluation of passive monitoring technology for seniors." Aging clinical and experimental research: 1-8.</w:t>
            </w:r>
          </w:p>
        </w:tc>
        <w:tc>
          <w:tcPr>
            <w:tcW w:w="2698" w:type="dxa"/>
          </w:tcPr>
          <w:p w14:paraId="2AEAE8D2"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 xml:space="preserve">Modelled cost data does not allow population-based extrapolation </w:t>
            </w:r>
          </w:p>
        </w:tc>
        <w:tc>
          <w:tcPr>
            <w:tcW w:w="1798" w:type="dxa"/>
          </w:tcPr>
          <w:p w14:paraId="10F28C58" w14:textId="7777777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 xml:space="preserve">Modelled cost data does not allow population-based extrapolation </w:t>
            </w:r>
          </w:p>
        </w:tc>
      </w:tr>
      <w:tr w:rsidR="00F81E67" w:rsidRPr="008E680E" w14:paraId="1E996DAB"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Pr>
          <w:p w14:paraId="211CD1E7" w14:textId="5C5CBCE5" w:rsidR="00F81E67" w:rsidRPr="00BA0E0E" w:rsidRDefault="00BA0E0E" w:rsidP="00187BC0">
            <w:pPr>
              <w:rPr>
                <w:sz w:val="18"/>
                <w:szCs w:val="18"/>
              </w:rPr>
            </w:pPr>
            <w:r w:rsidRPr="00BA0E0E">
              <w:rPr>
                <w:sz w:val="18"/>
                <w:szCs w:val="18"/>
              </w:rPr>
              <w:lastRenderedPageBreak/>
              <w:fldChar w:fldCharType="begin" w:fldLock="1"/>
            </w:r>
            <w:r>
              <w:rPr>
                <w:sz w:val="18"/>
                <w:szCs w:val="18"/>
              </w:rPr>
              <w:instrText>ADDIN CSL_CITATION {"citationItems":[{"id":"ITEM-1","itemData":{"DOI":"10.1093/geront/gns145","ISSN":"00169013","abstract":"Purpose: The United States faces a growing population of older adults and accompanying functional disabilities, coupled with constrained public resources and diminishing informal supports. A variety of interventions that aim to improve client outcomes have been studied, but to date, there is limited translational research that examines the efficacy of moving such interventions from clinical trials to agency settings. Methods: A randomized controlled trial was conducted to evaluate a restorative occupational therapy intervention relative to \"usual care\" among community-dwelling older adults. The intervention included a detailed assessment from a person- environment perspective and provision of adaptive equipment and home modifications where appropriate. The intervention (n = 31) and control groups (n = 29) were evaluated at 3 months and assessed for changes in functional status, home safety, falls, health-related quality of life (HRQoL; EQ5D), depression, social support, and fear of falling; a 4 subgroup analysis also examined outcomes by waiting list status. An informal economic evaluation compared the intervention to usual care. Results: Findings indicated improvements in home safety (p &lt; .0005, b = -15.87), HRQoL (p = .03, b = 0.08), and fear of falling (p &lt; .05, b = 2.22). Findings did not show improvement in functional status or reduction in actual falls. The intervention resulted in a 39% reduction in recommended hours of personal care, which if implemented, could result in significant cost savings. Implications: The study adds to the growing literature of occupational therapy interventions for older adults, and the findings support the concept that restorative approaches can be successfully implemented in public agencies. © The Author 2013. All rights reserved.","author":[{"dropping-particle":"","family":"Sheffield","given":"Chava","non-dropping-particle":"","parse-names":false,"suffix":""},{"dropping-particle":"","family":"Smith","given":"Charles A.","non-dropping-particle":"","parse-names":false,"suffix":""},{"dropping-particle":"","family":"Becker","given":"Mary","non-dropping-particle":"","parse-names":false,"suffix":""}],"container-title":"Gerontologist","id":"ITEM-1","issue":"6","issued":{"date-parts":[["2013"]]},"page":"907-918","title":"Evaluation of an agency-based occupational therapy intervention to facilitate aging in place","type":"article-journal","volume":"53"},"uris":["http://www.mendeley.com/documents/?uuid=b8791a44-7a55-4247-ae79-bcf715e4fcdf"]}],"mendeley":{"formattedCitation":"(Sheffield et al. 2013)","plainTextFormattedCitation":"(Sheffield et al. 2013)","previouslyFormattedCitation":"(Sheffield et al. 2013)"},"properties":{"noteIndex":0},"schema":"https://github.com/citation-style-language/schema/raw/master/csl-citation.json"}</w:instrText>
            </w:r>
            <w:r w:rsidRPr="00BA0E0E">
              <w:rPr>
                <w:sz w:val="18"/>
                <w:szCs w:val="18"/>
              </w:rPr>
              <w:fldChar w:fldCharType="separate"/>
            </w:r>
            <w:r w:rsidRPr="00BA0E0E">
              <w:rPr>
                <w:noProof/>
                <w:sz w:val="18"/>
                <w:szCs w:val="18"/>
              </w:rPr>
              <w:t>(Sheffield et al. 2013)</w:t>
            </w:r>
            <w:r w:rsidRPr="00BA0E0E">
              <w:rPr>
                <w:sz w:val="18"/>
                <w:szCs w:val="18"/>
              </w:rPr>
              <w:fldChar w:fldCharType="end"/>
            </w:r>
            <w:r w:rsidR="00F81E67" w:rsidRPr="00BA0E0E">
              <w:rPr>
                <w:sz w:val="18"/>
                <w:szCs w:val="18"/>
              </w:rPr>
              <w:fldChar w:fldCharType="begin"/>
            </w:r>
            <w:r w:rsidR="00F81E67" w:rsidRPr="00BA0E0E">
              <w:rPr>
                <w:sz w:val="18"/>
                <w:szCs w:val="18"/>
              </w:rPr>
              <w:instrText xml:space="preserve">  EN.CITE &lt;EndNote&gt;&lt;Cite&gt;&lt;Author&gt;Sheffield&lt;/Author&gt;&lt;Year&gt;2013&lt;/Year&gt;&lt;RecNum&gt;34&lt;/RecNum&gt;&lt;DisplayText&gt;(Sheffield et al., 2013)&lt;/DisplayText&gt;&lt;record&gt;&lt;rec-number&gt;34&lt;/rec-number&gt;&lt;foreign-keys&gt;&lt;key app="EN" db-id="z0f5xrvehzt9xzexr2k5apf1psvsftpfvp52" timestamp="1581807706"&gt;34&lt;/key&gt;&lt;/foreign-keys&gt;&lt;ref-type name="Journal Article"&gt;17&lt;/ref-type&gt;&lt;contributors&gt;&lt;authors&gt;&lt;author&gt;Sheffield, Chava&lt;/author&gt;&lt;author&gt;Smith, Charles A&lt;/author&gt;&lt;author&gt;Becker, Mary&lt;/author&gt;&lt;/authors&gt;&lt;/contributors&gt;&lt;titles&gt;&lt;title&gt;Evaluation of an agency-based occupational therapy intervention to facilitate aging in place&lt;/title&gt;&lt;secondary-title&gt;The Gerontologist&lt;/secondary-title&gt;&lt;/titles&gt;&lt;periodical&gt;&lt;full-title&gt;The Gerontologist&lt;/full-title&gt;&lt;/periodical&gt;&lt;pages&gt;907-918&lt;/pages&gt;&lt;volume&gt;53&lt;/volume&gt;&lt;number&gt;6&lt;/number&gt;&lt;dates&gt;&lt;year&gt;2013&lt;/year&gt;&lt;/dates&gt;&lt;isbn&gt;1758-5341&lt;/isbn&gt;&lt;urls&gt;&lt;/urls&gt;&lt;/record&gt;&lt;/Cite&gt;&lt;/EndNote&gt;</w:instrText>
            </w:r>
            <w:r w:rsidR="00F81E67" w:rsidRPr="00BA0E0E">
              <w:rPr>
                <w:sz w:val="18"/>
                <w:szCs w:val="18"/>
              </w:rPr>
              <w:fldChar w:fldCharType="separate"/>
            </w:r>
            <w:r w:rsidR="00F81E67" w:rsidRPr="00BA0E0E">
              <w:rPr>
                <w:sz w:val="18"/>
                <w:szCs w:val="18"/>
              </w:rPr>
              <w:t>(Sheffield et al., 2013)</w:t>
            </w:r>
            <w:r w:rsidR="00F81E67" w:rsidRPr="00BA0E0E">
              <w:rPr>
                <w:sz w:val="18"/>
                <w:szCs w:val="18"/>
              </w:rPr>
              <w:fldChar w:fldCharType="end"/>
            </w:r>
          </w:p>
        </w:tc>
        <w:tc>
          <w:tcPr>
            <w:tcW w:w="1159" w:type="dxa"/>
          </w:tcPr>
          <w:p w14:paraId="69AD60E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Formal care</w:t>
            </w:r>
          </w:p>
        </w:tc>
        <w:tc>
          <w:tcPr>
            <w:tcW w:w="1134" w:type="dxa"/>
          </w:tcPr>
          <w:p w14:paraId="3B6C9EBF"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ROB: 5/6</w:t>
            </w:r>
          </w:p>
          <w:p w14:paraId="5112CAC5"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CHEERS: 11/23</w:t>
            </w:r>
          </w:p>
        </w:tc>
        <w:tc>
          <w:tcPr>
            <w:tcW w:w="1418" w:type="dxa"/>
          </w:tcPr>
          <w:p w14:paraId="58F9C90C"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Level 2</w:t>
            </w:r>
          </w:p>
          <w:p w14:paraId="01A2B744"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Randomised controlled trials</w:t>
            </w:r>
          </w:p>
        </w:tc>
        <w:tc>
          <w:tcPr>
            <w:tcW w:w="1134" w:type="dxa"/>
          </w:tcPr>
          <w:p w14:paraId="5A5D6060"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Cost and effect</w:t>
            </w:r>
          </w:p>
        </w:tc>
        <w:tc>
          <w:tcPr>
            <w:tcW w:w="3978" w:type="dxa"/>
          </w:tcPr>
          <w:p w14:paraId="4B473750" w14:textId="245F8CE2"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 xml:space="preserve">A reduction of 2.36 hours per week per </w:t>
            </w:r>
            <w:r w:rsidR="00C929C8">
              <w:rPr>
                <w:sz w:val="18"/>
                <w:szCs w:val="18"/>
              </w:rPr>
              <w:t>consumer</w:t>
            </w:r>
            <w:r w:rsidRPr="008E680E">
              <w:rPr>
                <w:sz w:val="18"/>
                <w:szCs w:val="18"/>
              </w:rPr>
              <w:t xml:space="preserve"> (0.44 SD) in informal care, or a 39% reduction relative to existing care plan created by the social worker/case manager, for agency-Based Occupational Therapy Intervention to Facilitate Ageing in place including AT.</w:t>
            </w:r>
            <w:r w:rsidR="004511B3">
              <w:rPr>
                <w:sz w:val="18"/>
                <w:szCs w:val="18"/>
              </w:rPr>
              <w:t xml:space="preserve"> </w:t>
            </w:r>
            <w:r w:rsidRPr="008E680E">
              <w:rPr>
                <w:sz w:val="18"/>
                <w:szCs w:val="18"/>
              </w:rPr>
              <w:t>However, this was not based on actual observed reduction, this was based on OT professional judgement in the amount of formal care required each week.</w:t>
            </w:r>
          </w:p>
          <w:p w14:paraId="0621E7B6"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This outcome has not been included in the Schedule of Benefits Table as the economic evaluation had poor quality (11/23) and was opinion based</w:t>
            </w:r>
          </w:p>
          <w:p w14:paraId="5DC2D6F4" w14:textId="48BEFA0E"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Sheffield, C., et al.</w:t>
            </w:r>
            <w:r w:rsidR="004511B3">
              <w:rPr>
                <w:sz w:val="18"/>
                <w:szCs w:val="18"/>
              </w:rPr>
              <w:t xml:space="preserve"> </w:t>
            </w:r>
            <w:r w:rsidRPr="008E680E">
              <w:rPr>
                <w:sz w:val="18"/>
                <w:szCs w:val="18"/>
              </w:rPr>
              <w:t>(2013).</w:t>
            </w:r>
            <w:r w:rsidR="004511B3">
              <w:rPr>
                <w:sz w:val="18"/>
                <w:szCs w:val="18"/>
              </w:rPr>
              <w:t xml:space="preserve"> </w:t>
            </w:r>
            <w:r w:rsidRPr="008E680E">
              <w:rPr>
                <w:sz w:val="18"/>
                <w:szCs w:val="18"/>
              </w:rPr>
              <w:t>"Evaluation of an agency-based occupational therapy intervention to facilitate aging in place." The Gerontologist 53(6): 907-918.</w:t>
            </w:r>
          </w:p>
        </w:tc>
        <w:tc>
          <w:tcPr>
            <w:tcW w:w="2698" w:type="dxa"/>
          </w:tcPr>
          <w:p w14:paraId="16BD446E" w14:textId="7F4D7378"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 xml:space="preserve">A reduction of 2.36 hours per week per </w:t>
            </w:r>
            <w:r w:rsidR="00C929C8">
              <w:rPr>
                <w:sz w:val="18"/>
                <w:szCs w:val="18"/>
              </w:rPr>
              <w:t>consumer</w:t>
            </w:r>
            <w:r w:rsidRPr="008E680E">
              <w:rPr>
                <w:sz w:val="18"/>
                <w:szCs w:val="18"/>
              </w:rPr>
              <w:t xml:space="preserve"> in informal care following OT and AT intervention</w:t>
            </w:r>
          </w:p>
        </w:tc>
        <w:tc>
          <w:tcPr>
            <w:tcW w:w="1798" w:type="dxa"/>
          </w:tcPr>
          <w:p w14:paraId="75F6F81D" w14:textId="77777777"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 xml:space="preserve">This has not been included in the Schedule of Benefits Table as the economic evaluation had poor quality (11/23) and was opinion based </w:t>
            </w:r>
          </w:p>
        </w:tc>
      </w:tr>
    </w:tbl>
    <w:p w14:paraId="7F10F9C8" w14:textId="2607F72A" w:rsidR="00F81E67" w:rsidRPr="008E680E" w:rsidRDefault="00F81E67" w:rsidP="00CE2F6C">
      <w:pPr>
        <w:pStyle w:val="Note"/>
      </w:pPr>
      <w:r w:rsidRPr="008E680E">
        <w:rPr>
          <w:vertAlign w:val="superscript"/>
        </w:rPr>
        <w:t>1</w:t>
      </w:r>
      <w:r w:rsidRPr="008E680E">
        <w:t xml:space="preserve"> As mentioned in </w:t>
      </w:r>
      <w:r w:rsidRPr="008E680E">
        <w:rPr>
          <w:i/>
          <w:iCs/>
        </w:rPr>
        <w:t xml:space="preserve">Section </w:t>
      </w:r>
      <w:r w:rsidRPr="008E680E">
        <w:rPr>
          <w:i/>
          <w:iCs/>
        </w:rPr>
        <w:fldChar w:fldCharType="begin"/>
      </w:r>
      <w:r w:rsidRPr="008E680E">
        <w:rPr>
          <w:i/>
          <w:iCs/>
        </w:rPr>
        <w:instrText xml:space="preserve"> REF _Ref34985069 \r \h  \* MERGEFORMAT </w:instrText>
      </w:r>
      <w:r w:rsidRPr="008E680E">
        <w:rPr>
          <w:i/>
          <w:iCs/>
        </w:rPr>
      </w:r>
      <w:r w:rsidRPr="008E680E">
        <w:rPr>
          <w:i/>
          <w:iCs/>
        </w:rPr>
        <w:fldChar w:fldCharType="separate"/>
      </w:r>
      <w:r w:rsidR="00EB1774">
        <w:rPr>
          <w:i/>
          <w:iCs/>
        </w:rPr>
        <w:t>B.3.2</w:t>
      </w:r>
      <w:r w:rsidRPr="008E680E">
        <w:rPr>
          <w:i/>
          <w:iCs/>
        </w:rPr>
        <w:fldChar w:fldCharType="end"/>
      </w:r>
      <w:r w:rsidRPr="008E680E">
        <w:t xml:space="preserve"> more detail on risk of bias (ROB) and Consolidated Health Economic Evaluation Reporting Standards may be provided upon request.</w:t>
      </w:r>
    </w:p>
    <w:p w14:paraId="50F3F8FC" w14:textId="091CD754" w:rsidR="00F81E67" w:rsidRPr="008E680E" w:rsidRDefault="00F81E67" w:rsidP="00633A59">
      <w:bookmarkStart w:id="111" w:name="_Toc40622137"/>
      <w:bookmarkStart w:id="112" w:name="_Toc60999936"/>
      <w:r w:rsidRPr="008E680E">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11</w:t>
      </w:r>
      <w:r w:rsidR="00FD5E41">
        <w:fldChar w:fldCharType="end"/>
      </w:r>
      <w:r w:rsidRPr="008E680E">
        <w:t>:</w:t>
      </w:r>
      <w:r w:rsidR="00902628">
        <w:tab/>
      </w:r>
      <w:r w:rsidRPr="008E680E">
        <w:t>Modelled cost data</w:t>
      </w:r>
      <w:bookmarkEnd w:id="111"/>
      <w:bookmarkEnd w:id="112"/>
    </w:p>
    <w:tbl>
      <w:tblPr>
        <w:tblStyle w:val="AHALight"/>
        <w:tblW w:w="0" w:type="auto"/>
        <w:tblLook w:val="04A0" w:firstRow="1" w:lastRow="0" w:firstColumn="1" w:lastColumn="0" w:noHBand="0" w:noVBand="1"/>
        <w:tblCaption w:val="table B 11"/>
        <w:tblDescription w:val="cost data for unpaid informal care, paid carer support,  paid formal care"/>
      </w:tblPr>
      <w:tblGrid>
        <w:gridCol w:w="2410"/>
        <w:gridCol w:w="4111"/>
        <w:gridCol w:w="3118"/>
        <w:gridCol w:w="4931"/>
      </w:tblGrid>
      <w:tr w:rsidR="001245C0" w:rsidRPr="008E680E" w14:paraId="411D046E" w14:textId="77777777" w:rsidTr="00861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AA3B04B" w14:textId="77777777" w:rsidR="00F81E67" w:rsidRPr="008E680E" w:rsidRDefault="00F81E67" w:rsidP="00187BC0">
            <w:pPr>
              <w:pStyle w:val="TableHeading1"/>
            </w:pPr>
            <w:r w:rsidRPr="008E680E">
              <w:t>Unit type</w:t>
            </w:r>
          </w:p>
        </w:tc>
        <w:tc>
          <w:tcPr>
            <w:tcW w:w="4111" w:type="dxa"/>
          </w:tcPr>
          <w:p w14:paraId="34AEF16F" w14:textId="77777777" w:rsidR="00F81E67" w:rsidRPr="008E680E" w:rsidRDefault="00F81E67" w:rsidP="00187BC0">
            <w:pPr>
              <w:pStyle w:val="TableHeading1"/>
              <w:cnfStyle w:val="100000000000" w:firstRow="1" w:lastRow="0" w:firstColumn="0" w:lastColumn="0" w:oddVBand="0" w:evenVBand="0" w:oddHBand="0" w:evenHBand="0" w:firstRowFirstColumn="0" w:firstRowLastColumn="0" w:lastRowFirstColumn="0" w:lastRowLastColumn="0"/>
            </w:pPr>
            <w:r w:rsidRPr="008E680E">
              <w:t>Cost per unit</w:t>
            </w:r>
          </w:p>
        </w:tc>
        <w:tc>
          <w:tcPr>
            <w:tcW w:w="3118" w:type="dxa"/>
          </w:tcPr>
          <w:p w14:paraId="3670EE0A" w14:textId="77777777" w:rsidR="00F81E67" w:rsidRPr="008E680E" w:rsidRDefault="00F81E67" w:rsidP="00187BC0">
            <w:pPr>
              <w:pStyle w:val="TableHeading1"/>
              <w:cnfStyle w:val="100000000000" w:firstRow="1" w:lastRow="0" w:firstColumn="0" w:lastColumn="0" w:oddVBand="0" w:evenVBand="0" w:oddHBand="0" w:evenHBand="0" w:firstRowFirstColumn="0" w:firstRowLastColumn="0" w:lastRowFirstColumn="0" w:lastRowLastColumn="0"/>
            </w:pPr>
            <w:r w:rsidRPr="008E680E">
              <w:t>Cost definition</w:t>
            </w:r>
          </w:p>
        </w:tc>
        <w:tc>
          <w:tcPr>
            <w:tcW w:w="4931" w:type="dxa"/>
          </w:tcPr>
          <w:p w14:paraId="2568D0BF" w14:textId="17E03EDF" w:rsidR="00F81E67" w:rsidRPr="008E680E" w:rsidRDefault="00F81E67" w:rsidP="00187BC0">
            <w:pPr>
              <w:pStyle w:val="TableHeading1"/>
              <w:cnfStyle w:val="100000000000" w:firstRow="1" w:lastRow="0" w:firstColumn="0" w:lastColumn="0" w:oddVBand="0" w:evenVBand="0" w:oddHBand="0" w:evenHBand="0" w:firstRowFirstColumn="0" w:firstRowLastColumn="0" w:lastRowFirstColumn="0" w:lastRowLastColumn="0"/>
            </w:pPr>
            <w:r w:rsidRPr="008E680E">
              <w:t>Data source</w:t>
            </w:r>
          </w:p>
        </w:tc>
      </w:tr>
      <w:tr w:rsidR="00F81E67" w:rsidRPr="008E680E" w14:paraId="5D1A0506"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3FD006" w14:textId="77777777" w:rsidR="00F81E67" w:rsidRPr="008E680E" w:rsidRDefault="00F81E67" w:rsidP="00902628">
            <w:pPr>
              <w:pStyle w:val="TableTextKeep"/>
            </w:pPr>
            <w:r w:rsidRPr="008E680E">
              <w:t>Unpaid informal care</w:t>
            </w:r>
          </w:p>
        </w:tc>
        <w:tc>
          <w:tcPr>
            <w:tcW w:w="4111" w:type="dxa"/>
          </w:tcPr>
          <w:p w14:paraId="581C2469" w14:textId="5E38BC16" w:rsidR="00F81E67" w:rsidRPr="008E680E" w:rsidRDefault="00F81E67" w:rsidP="00902628">
            <w:pPr>
              <w:pStyle w:val="TableTextKeep"/>
              <w:cnfStyle w:val="000000100000" w:firstRow="0" w:lastRow="0" w:firstColumn="0" w:lastColumn="0" w:oddVBand="0" w:evenVBand="0" w:oddHBand="1" w:evenHBand="0" w:firstRowFirstColumn="0" w:firstRowLastColumn="0" w:lastRowFirstColumn="0" w:lastRowLastColumn="0"/>
            </w:pPr>
            <w:r w:rsidRPr="008E680E">
              <w:t xml:space="preserve">$19.49 base rate </w:t>
            </w:r>
            <w:r w:rsidR="00861912">
              <w:br/>
            </w:r>
            <w:r w:rsidRPr="008E680E">
              <w:t>(excludes entitlements and loadings)</w:t>
            </w:r>
          </w:p>
        </w:tc>
        <w:tc>
          <w:tcPr>
            <w:tcW w:w="3118" w:type="dxa"/>
          </w:tcPr>
          <w:p w14:paraId="4AADACC1" w14:textId="77777777" w:rsidR="00F81E67" w:rsidRPr="008E680E" w:rsidRDefault="00F81E67" w:rsidP="00902628">
            <w:pPr>
              <w:pStyle w:val="TableTextKeep"/>
              <w:cnfStyle w:val="000000100000" w:firstRow="0" w:lastRow="0" w:firstColumn="0" w:lastColumn="0" w:oddVBand="0" w:evenVBand="0" w:oddHBand="1" w:evenHBand="0" w:firstRowFirstColumn="0" w:firstRowLastColumn="0" w:lastRowFirstColumn="0" w:lastRowLastColumn="0"/>
            </w:pPr>
            <w:r w:rsidRPr="008E680E">
              <w:t xml:space="preserve">Base hourly rate for current minimum wage in Australia </w:t>
            </w:r>
          </w:p>
        </w:tc>
        <w:tc>
          <w:tcPr>
            <w:tcW w:w="4931" w:type="dxa"/>
          </w:tcPr>
          <w:p w14:paraId="5DDF5DB0" w14:textId="0D317A91" w:rsidR="00F81E67" w:rsidRPr="00AF5319" w:rsidRDefault="00F81E67" w:rsidP="00902628">
            <w:pPr>
              <w:pStyle w:val="TableTextKeep"/>
              <w:cnfStyle w:val="000000100000" w:firstRow="0" w:lastRow="0" w:firstColumn="0" w:lastColumn="0" w:oddVBand="0" w:evenVBand="0" w:oddHBand="1" w:evenHBand="0" w:firstRowFirstColumn="0" w:firstRowLastColumn="0" w:lastRowFirstColumn="0" w:lastRowLastColumn="0"/>
              <w:rPr>
                <w:szCs w:val="21"/>
              </w:rPr>
            </w:pPr>
            <w:r w:rsidRPr="008E680E">
              <w:rPr>
                <w:rFonts w:eastAsia="Arial Unicode MS"/>
                <w:szCs w:val="21"/>
              </w:rPr>
              <w:t xml:space="preserve">Minimum Wage and Award Wages </w:t>
            </w:r>
            <w:r w:rsidRPr="00433E00">
              <w:rPr>
                <w:rFonts w:eastAsia="Arial Unicode MS"/>
                <w:szCs w:val="21"/>
              </w:rPr>
              <w:t>in</w:t>
            </w:r>
            <w:r w:rsidRPr="008E680E">
              <w:rPr>
                <w:rFonts w:eastAsia="Arial Unicode MS"/>
                <w:szCs w:val="21"/>
              </w:rPr>
              <w:t xml:space="preserve"> Australia</w:t>
            </w:r>
            <w:r w:rsidR="00362118">
              <w:rPr>
                <w:rFonts w:eastAsia="Arial Unicode MS"/>
                <w:szCs w:val="21"/>
              </w:rPr>
              <w:t xml:space="preserve"> </w:t>
            </w:r>
            <w:r w:rsidR="00AF5319">
              <w:rPr>
                <w:rFonts w:eastAsia="Arial Unicode MS"/>
                <w:szCs w:val="21"/>
              </w:rPr>
              <w:fldChar w:fldCharType="begin" w:fldLock="1"/>
            </w:r>
            <w:r w:rsidR="00AF5319">
              <w:rPr>
                <w:rFonts w:eastAsia="Arial Unicode MS"/>
                <w:szCs w:val="21"/>
              </w:rPr>
              <w:instrText>ADDIN CSL_CITATION {"citationItems":[{"id":"ITEM-1","itemData":{"URL":"https://employsure.com.au/guides/wage-and-pay/minimum-wage-australia/","author":[{"dropping-particle":"","family":"employsure","given":"","non-dropping-particle":"","parse-names":false,"suffix":""}],"id":"ITEM-1","issued":{"date-parts":[["0"]]},"title":"Minimum Wage and Award Wages In Australia","type":"webpage"},"uris":["http://www.mendeley.com/documents/?uuid=5b2b6545-f69c-4aa7-9414-aa4b7cf3ac58"]}],"mendeley":{"formattedCitation":"(employsure n.d.)","plainTextFormattedCitation":"(employsure n.d.)","previouslyFormattedCitation":"(employsure n.d.)"},"properties":{"noteIndex":0},"schema":"https://github.com/citation-style-language/schema/raw/master/csl-citation.json"}</w:instrText>
            </w:r>
            <w:r w:rsidR="00AF5319">
              <w:rPr>
                <w:rFonts w:eastAsia="Arial Unicode MS"/>
                <w:szCs w:val="21"/>
              </w:rPr>
              <w:fldChar w:fldCharType="separate"/>
            </w:r>
            <w:r w:rsidR="00AF5319" w:rsidRPr="00AF5319">
              <w:rPr>
                <w:rFonts w:eastAsia="Arial Unicode MS"/>
                <w:noProof/>
                <w:szCs w:val="21"/>
              </w:rPr>
              <w:t>(employsure n.d.)</w:t>
            </w:r>
            <w:r w:rsidR="00AF5319">
              <w:rPr>
                <w:rFonts w:eastAsia="Arial Unicode MS"/>
                <w:szCs w:val="21"/>
              </w:rPr>
              <w:fldChar w:fldCharType="end"/>
            </w:r>
            <w:r w:rsidR="00AF5319">
              <w:rPr>
                <w:rFonts w:eastAsia="Arial Unicode MS"/>
                <w:szCs w:val="21"/>
              </w:rPr>
              <w:t xml:space="preserve"> </w:t>
            </w:r>
          </w:p>
        </w:tc>
      </w:tr>
      <w:tr w:rsidR="00F81E67" w:rsidRPr="008E680E" w14:paraId="5773622F" w14:textId="77777777" w:rsidTr="00861912">
        <w:tc>
          <w:tcPr>
            <w:cnfStyle w:val="001000000000" w:firstRow="0" w:lastRow="0" w:firstColumn="1" w:lastColumn="0" w:oddVBand="0" w:evenVBand="0" w:oddHBand="0" w:evenHBand="0" w:firstRowFirstColumn="0" w:firstRowLastColumn="0" w:lastRowFirstColumn="0" w:lastRowLastColumn="0"/>
            <w:tcW w:w="2410" w:type="dxa"/>
          </w:tcPr>
          <w:p w14:paraId="4A3F9A16" w14:textId="77777777" w:rsidR="00F81E67" w:rsidRPr="008E680E" w:rsidRDefault="00F81E67" w:rsidP="00902628">
            <w:pPr>
              <w:pStyle w:val="TableTextKeep"/>
            </w:pPr>
            <w:r w:rsidRPr="008E680E">
              <w:t>Paid carer support</w:t>
            </w:r>
          </w:p>
        </w:tc>
        <w:tc>
          <w:tcPr>
            <w:tcW w:w="4111" w:type="dxa"/>
          </w:tcPr>
          <w:p w14:paraId="05070ED8" w14:textId="5C8F13AE" w:rsidR="00F81E67" w:rsidRPr="008E680E" w:rsidRDefault="00F81E67" w:rsidP="00902628">
            <w:pPr>
              <w:pStyle w:val="TableTextKeep"/>
              <w:cnfStyle w:val="000000000000" w:firstRow="0" w:lastRow="0" w:firstColumn="0" w:lastColumn="0" w:oddVBand="0" w:evenVBand="0" w:oddHBand="0" w:evenHBand="0" w:firstRowFirstColumn="0" w:firstRowLastColumn="0" w:lastRowFirstColumn="0" w:lastRowLastColumn="0"/>
            </w:pPr>
            <w:r w:rsidRPr="008E680E">
              <w:t xml:space="preserve">$19.49 base rate </w:t>
            </w:r>
            <w:r w:rsidR="00861912">
              <w:br/>
            </w:r>
            <w:r w:rsidRPr="008E680E">
              <w:t>(excludes entitlements and loadings)</w:t>
            </w:r>
          </w:p>
        </w:tc>
        <w:tc>
          <w:tcPr>
            <w:tcW w:w="3118" w:type="dxa"/>
          </w:tcPr>
          <w:p w14:paraId="7AD12791" w14:textId="77777777" w:rsidR="00F81E67" w:rsidRPr="008E680E" w:rsidRDefault="00F81E67" w:rsidP="00902628">
            <w:pPr>
              <w:pStyle w:val="TableTextKeep"/>
              <w:cnfStyle w:val="000000000000" w:firstRow="0" w:lastRow="0" w:firstColumn="0" w:lastColumn="0" w:oddVBand="0" w:evenVBand="0" w:oddHBand="0" w:evenHBand="0" w:firstRowFirstColumn="0" w:firstRowLastColumn="0" w:lastRowFirstColumn="0" w:lastRowLastColumn="0"/>
            </w:pPr>
            <w:r w:rsidRPr="008E680E">
              <w:t xml:space="preserve">Base hourly rate for current minimum wage in Australia </w:t>
            </w:r>
          </w:p>
        </w:tc>
        <w:tc>
          <w:tcPr>
            <w:tcW w:w="4931" w:type="dxa"/>
          </w:tcPr>
          <w:p w14:paraId="0EB88282" w14:textId="2B14C978" w:rsidR="00F81E67" w:rsidRPr="00AF5319" w:rsidRDefault="00F81E67" w:rsidP="00902628">
            <w:pPr>
              <w:pStyle w:val="TableTextKeep"/>
              <w:cnfStyle w:val="000000000000" w:firstRow="0" w:lastRow="0" w:firstColumn="0" w:lastColumn="0" w:oddVBand="0" w:evenVBand="0" w:oddHBand="0" w:evenHBand="0" w:firstRowFirstColumn="0" w:firstRowLastColumn="0" w:lastRowFirstColumn="0" w:lastRowLastColumn="0"/>
              <w:rPr>
                <w:szCs w:val="21"/>
              </w:rPr>
            </w:pPr>
            <w:r w:rsidRPr="008E680E">
              <w:rPr>
                <w:rFonts w:eastAsia="Arial Unicode MS"/>
                <w:szCs w:val="21"/>
              </w:rPr>
              <w:t xml:space="preserve">Minimum Wage and Award Wages </w:t>
            </w:r>
            <w:r w:rsidRPr="00433E00">
              <w:rPr>
                <w:rFonts w:eastAsia="Arial Unicode MS"/>
                <w:szCs w:val="21"/>
              </w:rPr>
              <w:t>in</w:t>
            </w:r>
            <w:r w:rsidRPr="008E680E">
              <w:rPr>
                <w:rFonts w:eastAsia="Arial Unicode MS"/>
                <w:szCs w:val="21"/>
              </w:rPr>
              <w:t xml:space="preserve"> Australia</w:t>
            </w:r>
            <w:r w:rsidR="00AF5319">
              <w:rPr>
                <w:szCs w:val="21"/>
              </w:rPr>
              <w:t xml:space="preserve"> </w:t>
            </w:r>
            <w:r w:rsidR="00AF5319">
              <w:rPr>
                <w:rFonts w:eastAsia="Arial Unicode MS"/>
                <w:szCs w:val="21"/>
              </w:rPr>
              <w:fldChar w:fldCharType="begin" w:fldLock="1"/>
            </w:r>
            <w:r w:rsidR="00AF5319">
              <w:rPr>
                <w:rFonts w:eastAsia="Arial Unicode MS"/>
                <w:szCs w:val="21"/>
              </w:rPr>
              <w:instrText>ADDIN CSL_CITATION {"citationItems":[{"id":"ITEM-1","itemData":{"URL":"https://employsure.com.au/guides/wage-and-pay/minimum-wage-australia/","author":[{"dropping-particle":"","family":"employsure","given":"","non-dropping-particle":"","parse-names":false,"suffix":""}],"id":"ITEM-1","issued":{"date-parts":[["0"]]},"title":"Minimum Wage and Award Wages In Australia","type":"webpage"},"uris":["http://www.mendeley.com/documents/?uuid=5b2b6545-f69c-4aa7-9414-aa4b7cf3ac58"]}],"mendeley":{"formattedCitation":"(employsure n.d.)","plainTextFormattedCitation":"(employsure n.d.)","previouslyFormattedCitation":"(employsure n.d.)"},"properties":{"noteIndex":0},"schema":"https://github.com/citation-style-language/schema/raw/master/csl-citation.json"}</w:instrText>
            </w:r>
            <w:r w:rsidR="00AF5319">
              <w:rPr>
                <w:rFonts w:eastAsia="Arial Unicode MS"/>
                <w:szCs w:val="21"/>
              </w:rPr>
              <w:fldChar w:fldCharType="separate"/>
            </w:r>
            <w:r w:rsidR="00AF5319" w:rsidRPr="00AF5319">
              <w:rPr>
                <w:rFonts w:eastAsia="Arial Unicode MS"/>
                <w:noProof/>
                <w:szCs w:val="21"/>
              </w:rPr>
              <w:t>(employsure n.d.)</w:t>
            </w:r>
            <w:r w:rsidR="00AF5319">
              <w:rPr>
                <w:rFonts w:eastAsia="Arial Unicode MS"/>
                <w:szCs w:val="21"/>
              </w:rPr>
              <w:fldChar w:fldCharType="end"/>
            </w:r>
          </w:p>
        </w:tc>
      </w:tr>
      <w:tr w:rsidR="00F81E67" w:rsidRPr="008E680E" w14:paraId="47FF7AE2" w14:textId="77777777" w:rsidTr="00861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8A7E51" w14:textId="77777777" w:rsidR="00F81E67" w:rsidRPr="008E680E" w:rsidRDefault="00F81E67" w:rsidP="00902628">
            <w:pPr>
              <w:pStyle w:val="TableTextKeep"/>
            </w:pPr>
            <w:r w:rsidRPr="008E680E">
              <w:t>Paid formal care</w:t>
            </w:r>
          </w:p>
        </w:tc>
        <w:tc>
          <w:tcPr>
            <w:tcW w:w="4111" w:type="dxa"/>
          </w:tcPr>
          <w:p w14:paraId="5C1CA9B6" w14:textId="77777777" w:rsidR="00F81E67" w:rsidRPr="008E680E" w:rsidRDefault="00F81E67" w:rsidP="00902628">
            <w:pPr>
              <w:pStyle w:val="TableTextKeep"/>
              <w:cnfStyle w:val="000000100000" w:firstRow="0" w:lastRow="0" w:firstColumn="0" w:lastColumn="0" w:oddVBand="0" w:evenVBand="0" w:oddHBand="1" w:evenHBand="0" w:firstRowFirstColumn="0" w:firstRowLastColumn="0" w:lastRowFirstColumn="0" w:lastRowLastColumn="0"/>
            </w:pPr>
            <w:r w:rsidRPr="008E680E">
              <w:t>$32.65 base rate</w:t>
            </w:r>
          </w:p>
          <w:p w14:paraId="52A7A57A" w14:textId="77777777" w:rsidR="00F81E67" w:rsidRPr="008E680E" w:rsidRDefault="00F81E67" w:rsidP="00902628">
            <w:pPr>
              <w:pStyle w:val="TableTextKeep"/>
              <w:cnfStyle w:val="000000100000" w:firstRow="0" w:lastRow="0" w:firstColumn="0" w:lastColumn="0" w:oddVBand="0" w:evenVBand="0" w:oddHBand="1" w:evenHBand="0" w:firstRowFirstColumn="0" w:firstRowLastColumn="0" w:lastRowFirstColumn="0" w:lastRowLastColumn="0"/>
            </w:pPr>
            <w:r w:rsidRPr="008E680E">
              <w:t>$48.96 inflated rate</w:t>
            </w:r>
          </w:p>
        </w:tc>
        <w:tc>
          <w:tcPr>
            <w:tcW w:w="3118" w:type="dxa"/>
          </w:tcPr>
          <w:p w14:paraId="04841004" w14:textId="77777777" w:rsidR="00F81E67" w:rsidRPr="008E680E" w:rsidRDefault="00F81E67" w:rsidP="00902628">
            <w:pPr>
              <w:pStyle w:val="TableTextKeep"/>
              <w:cnfStyle w:val="000000100000" w:firstRow="0" w:lastRow="0" w:firstColumn="0" w:lastColumn="0" w:oddVBand="0" w:evenVBand="0" w:oddHBand="1" w:evenHBand="0" w:firstRowFirstColumn="0" w:firstRowLastColumn="0" w:lastRowFirstColumn="0" w:lastRowLastColumn="0"/>
            </w:pPr>
            <w:r w:rsidRPr="008E680E">
              <w:t>Base hourly rate for a Level 3.3 employee</w:t>
            </w:r>
          </w:p>
        </w:tc>
        <w:tc>
          <w:tcPr>
            <w:tcW w:w="4931" w:type="dxa"/>
          </w:tcPr>
          <w:p w14:paraId="64B67DA8" w14:textId="25F14F0D" w:rsidR="00F81E67" w:rsidRPr="00AF5319" w:rsidRDefault="00F81E67" w:rsidP="00902628">
            <w:pPr>
              <w:pStyle w:val="TableTextKeep"/>
              <w:cnfStyle w:val="000000100000" w:firstRow="0" w:lastRow="0" w:firstColumn="0" w:lastColumn="0" w:oddVBand="0" w:evenVBand="0" w:oddHBand="1" w:evenHBand="0" w:firstRowFirstColumn="0" w:firstRowLastColumn="0" w:lastRowFirstColumn="0" w:lastRowLastColumn="0"/>
            </w:pPr>
            <w:r w:rsidRPr="008E680E">
              <w:t>Community Vision Australia Disability and Aged Care Agreement 2019</w:t>
            </w:r>
            <w:r w:rsidR="00AF5319">
              <w:t xml:space="preserve"> </w:t>
            </w:r>
            <w:r w:rsidR="00AF5319">
              <w:fldChar w:fldCharType="begin" w:fldLock="1"/>
            </w:r>
            <w:r w:rsidR="00AF5319">
              <w:instrText>ADDIN CSL_CITATION {"citationItems":[{"id":"ITEM-1","itemData":{"URL":"https://www.fwc.gov.au/awards-and-agreements","author":[{"dropping-particle":"","family":"Fair Work Commission","given":"","non-dropping-particle":"","parse-names":false,"suffix":""}],"id":"ITEM-1","issued":{"date-parts":[["2016"]]},"title":"Awards &amp; agreements","type":"webpage"},"uris":["http://www.mendeley.com/documents/?uuid=4ed90a47-2c7b-4f75-a540-faf9888488a0"]}],"mendeley":{"formattedCitation":"(Fair Work Commission 2016)","plainTextFormattedCitation":"(Fair Work Commission 2016)","previouslyFormattedCitation":"(Fair Work Commission 2016)"},"properties":{"noteIndex":0},"schema":"https://github.com/citation-style-language/schema/raw/master/csl-citation.json"}</w:instrText>
            </w:r>
            <w:r w:rsidR="00AF5319">
              <w:fldChar w:fldCharType="separate"/>
            </w:r>
            <w:r w:rsidR="00AF5319" w:rsidRPr="00AF5319">
              <w:rPr>
                <w:noProof/>
              </w:rPr>
              <w:t>(Fair Work Commission 2016)</w:t>
            </w:r>
            <w:r w:rsidR="00AF5319">
              <w:fldChar w:fldCharType="end"/>
            </w:r>
            <w:r w:rsidR="00AF5319">
              <w:t>f</w:t>
            </w:r>
          </w:p>
        </w:tc>
      </w:tr>
    </w:tbl>
    <w:p w14:paraId="2F1A1CAD" w14:textId="77777777" w:rsidR="00F81E67" w:rsidRPr="008E680E" w:rsidRDefault="00F81E67" w:rsidP="00861912">
      <w:pPr>
        <w:pStyle w:val="Note"/>
        <w:spacing w:after="0"/>
      </w:pPr>
      <w:r w:rsidRPr="008E680E">
        <w:t>Assumptions and limitations:</w:t>
      </w:r>
    </w:p>
    <w:p w14:paraId="17CAD3E5" w14:textId="4787C6DE" w:rsidR="00F81E67" w:rsidRPr="008E680E" w:rsidRDefault="00F81E67" w:rsidP="00861912">
      <w:pPr>
        <w:pStyle w:val="NoteBullet"/>
      </w:pPr>
      <w:r w:rsidRPr="008E680E">
        <w:t>Formal care is based on an hourly rate which is inflated by 50%.</w:t>
      </w:r>
      <w:r w:rsidR="004511B3">
        <w:t xml:space="preserve"> </w:t>
      </w:r>
      <w:r w:rsidRPr="008E680E">
        <w:t>This is to cover on-costs or casual rates (25% loading) and travel, car expenses and other costs (25% loading).</w:t>
      </w:r>
    </w:p>
    <w:p w14:paraId="5B2FB0C3" w14:textId="77777777" w:rsidR="00F81E67" w:rsidRPr="008E680E" w:rsidRDefault="00F81E67" w:rsidP="00861912">
      <w:pPr>
        <w:pStyle w:val="NoteBullet"/>
      </w:pPr>
      <w:r w:rsidRPr="008E680E">
        <w:t>The hourly rate for the Community Vision Australia Disability and Aged Care Agreement 2019 was consistent with the range found in other similar agreements.</w:t>
      </w:r>
    </w:p>
    <w:p w14:paraId="4F9D0800" w14:textId="77777777" w:rsidR="00F81E67" w:rsidRPr="008E680E" w:rsidRDefault="00F81E67" w:rsidP="00861912">
      <w:pPr>
        <w:pStyle w:val="NoteBullet"/>
      </w:pPr>
      <w:r w:rsidRPr="008E680E">
        <w:t>Informal care is based on the current minimum wage in Australia to reflect a monetary value should this informal care need to be replaced with paid care.</w:t>
      </w:r>
    </w:p>
    <w:p w14:paraId="5648B5B3" w14:textId="25252953" w:rsidR="00F81E67" w:rsidRPr="008E680E" w:rsidRDefault="00F81E67" w:rsidP="00861912">
      <w:pPr>
        <w:pStyle w:val="NoteBullet"/>
      </w:pPr>
      <w:r w:rsidRPr="008E680E">
        <w:t>Costs are reported in $AUD 2019</w:t>
      </w:r>
      <w:r w:rsidR="00AA69F0">
        <w:t>–</w:t>
      </w:r>
      <w:r w:rsidRPr="008E680E">
        <w:t>20.</w:t>
      </w:r>
    </w:p>
    <w:p w14:paraId="41A2AFA9" w14:textId="77777777" w:rsidR="002E4984" w:rsidRDefault="00F81E67" w:rsidP="00861912">
      <w:pPr>
        <w:pStyle w:val="NoteBullet"/>
      </w:pPr>
      <w:r w:rsidRPr="008E680E">
        <w:t>Rates are valid as at February 2020.</w:t>
      </w:r>
    </w:p>
    <w:p w14:paraId="4FC5FE8E" w14:textId="2890448D" w:rsidR="004A7A1B" w:rsidRDefault="004A7A1B" w:rsidP="00CE2F6C">
      <w:pPr>
        <w:pStyle w:val="Note"/>
        <w:sectPr w:rsidR="004A7A1B" w:rsidSect="00FD140E">
          <w:pgSz w:w="16838" w:h="11906" w:orient="landscape"/>
          <w:pgMar w:top="1134" w:right="1134" w:bottom="1134" w:left="1134" w:header="709" w:footer="709" w:gutter="0"/>
          <w:cols w:space="708"/>
          <w:docGrid w:linePitch="360"/>
        </w:sectPr>
      </w:pPr>
    </w:p>
    <w:p w14:paraId="744FC672" w14:textId="1A268702" w:rsidR="00F81E67" w:rsidRPr="008E680E" w:rsidRDefault="00F81E67" w:rsidP="00633A59">
      <w:bookmarkStart w:id="113" w:name="_Ref42519820"/>
      <w:bookmarkStart w:id="114" w:name="_Toc40622138"/>
      <w:bookmarkStart w:id="115" w:name="_Toc60999937"/>
      <w:r w:rsidRPr="008E680E">
        <w:lastRenderedPageBreak/>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12</w:t>
      </w:r>
      <w:r w:rsidR="00FD5E41">
        <w:fldChar w:fldCharType="end"/>
      </w:r>
      <w:bookmarkEnd w:id="113"/>
      <w:r w:rsidRPr="008E680E">
        <w:t>:</w:t>
      </w:r>
      <w:r w:rsidR="004A7A1B">
        <w:tab/>
      </w:r>
      <w:r w:rsidRPr="008E680E">
        <w:t>Exchange rates</w:t>
      </w:r>
      <w:bookmarkEnd w:id="114"/>
      <w:bookmarkEnd w:id="115"/>
    </w:p>
    <w:tbl>
      <w:tblPr>
        <w:tblStyle w:val="AHALight"/>
        <w:tblW w:w="2679" w:type="pct"/>
        <w:tblLayout w:type="fixed"/>
        <w:tblLook w:val="0420" w:firstRow="1" w:lastRow="0" w:firstColumn="0" w:lastColumn="0" w:noHBand="0" w:noVBand="1"/>
        <w:tblCaption w:val="table  B 12"/>
        <w:tblDescription w:val="country and currency exchange rates to Australian dollars "/>
      </w:tblPr>
      <w:tblGrid>
        <w:gridCol w:w="2440"/>
        <w:gridCol w:w="2724"/>
      </w:tblGrid>
      <w:tr w:rsidR="00D326C3" w:rsidRPr="008E680E" w14:paraId="174FA965" w14:textId="77777777" w:rsidTr="00D43B80">
        <w:trPr>
          <w:cnfStyle w:val="100000000000" w:firstRow="1" w:lastRow="0" w:firstColumn="0" w:lastColumn="0" w:oddVBand="0" w:evenVBand="0" w:oddHBand="0" w:evenHBand="0" w:firstRowFirstColumn="0" w:firstRowLastColumn="0" w:lastRowFirstColumn="0" w:lastRowLastColumn="0"/>
        </w:trPr>
        <w:tc>
          <w:tcPr>
            <w:tcW w:w="2440" w:type="dxa"/>
          </w:tcPr>
          <w:p w14:paraId="337CF635" w14:textId="21192064" w:rsidR="00D326C3" w:rsidRPr="008E680E" w:rsidRDefault="00D326C3" w:rsidP="00187BC0">
            <w:pPr>
              <w:rPr>
                <w:szCs w:val="20"/>
              </w:rPr>
            </w:pPr>
            <w:r w:rsidRPr="008E680E">
              <w:rPr>
                <w:szCs w:val="20"/>
              </w:rPr>
              <w:t xml:space="preserve">Original </w:t>
            </w:r>
            <w:r w:rsidRPr="008E680E">
              <w:rPr>
                <w:szCs w:val="20"/>
              </w:rPr>
              <w:br/>
              <w:t>country &amp; currency</w:t>
            </w:r>
          </w:p>
        </w:tc>
        <w:tc>
          <w:tcPr>
            <w:tcW w:w="2725" w:type="dxa"/>
          </w:tcPr>
          <w:p w14:paraId="3C4DFF80" w14:textId="5ECF95A4" w:rsidR="00D326C3" w:rsidRPr="008E680E" w:rsidRDefault="00D326C3" w:rsidP="00902628">
            <w:pPr>
              <w:jc w:val="right"/>
              <w:rPr>
                <w:szCs w:val="20"/>
              </w:rPr>
            </w:pPr>
            <w:r w:rsidRPr="008E680E">
              <w:t>Australia ($AUD)</w:t>
            </w:r>
            <w:r>
              <w:br/>
            </w:r>
            <w:r w:rsidRPr="008E680E">
              <w:rPr>
                <w:szCs w:val="20"/>
              </w:rPr>
              <w:t>Current conversion rate*</w:t>
            </w:r>
          </w:p>
        </w:tc>
      </w:tr>
      <w:tr w:rsidR="00D326C3" w:rsidRPr="008E680E" w14:paraId="48595222" w14:textId="77777777" w:rsidTr="00D43B80">
        <w:trPr>
          <w:cnfStyle w:val="000000100000" w:firstRow="0" w:lastRow="0" w:firstColumn="0" w:lastColumn="0" w:oddVBand="0" w:evenVBand="0" w:oddHBand="1" w:evenHBand="0" w:firstRowFirstColumn="0" w:firstRowLastColumn="0" w:lastRowFirstColumn="0" w:lastRowLastColumn="0"/>
        </w:trPr>
        <w:tc>
          <w:tcPr>
            <w:tcW w:w="2440" w:type="dxa"/>
          </w:tcPr>
          <w:p w14:paraId="66223DA3" w14:textId="77777777" w:rsidR="00D326C3" w:rsidRPr="008E680E" w:rsidRDefault="00D326C3" w:rsidP="00902628">
            <w:pPr>
              <w:pStyle w:val="TableTextKeep"/>
            </w:pPr>
            <w:r w:rsidRPr="008E680E">
              <w:t>United States ($USD)</w:t>
            </w:r>
          </w:p>
        </w:tc>
        <w:tc>
          <w:tcPr>
            <w:tcW w:w="2725" w:type="dxa"/>
          </w:tcPr>
          <w:p w14:paraId="7F8C6706" w14:textId="77777777" w:rsidR="00D326C3" w:rsidRPr="008E680E" w:rsidRDefault="00D326C3" w:rsidP="00902628">
            <w:pPr>
              <w:pStyle w:val="TableTextKeep"/>
              <w:jc w:val="right"/>
            </w:pPr>
            <w:r w:rsidRPr="008E680E">
              <w:t>1.52524</w:t>
            </w:r>
          </w:p>
        </w:tc>
      </w:tr>
      <w:tr w:rsidR="00D326C3" w:rsidRPr="008E680E" w14:paraId="73D2E798" w14:textId="77777777" w:rsidTr="00D43B80">
        <w:tc>
          <w:tcPr>
            <w:tcW w:w="2440" w:type="dxa"/>
          </w:tcPr>
          <w:p w14:paraId="25B0AD0F" w14:textId="77777777" w:rsidR="00D326C3" w:rsidRPr="008E680E" w:rsidRDefault="00D326C3" w:rsidP="00902628">
            <w:pPr>
              <w:pStyle w:val="TableTextKeep"/>
            </w:pPr>
            <w:r w:rsidRPr="008E680E">
              <w:rPr>
                <w:rFonts w:cstheme="minorHAnsi"/>
              </w:rPr>
              <w:t>Europe (€</w:t>
            </w:r>
            <w:r w:rsidRPr="008E680E">
              <w:t>Euro)</w:t>
            </w:r>
          </w:p>
        </w:tc>
        <w:tc>
          <w:tcPr>
            <w:tcW w:w="2725" w:type="dxa"/>
          </w:tcPr>
          <w:p w14:paraId="4287EE6F" w14:textId="77777777" w:rsidR="00D326C3" w:rsidRPr="008E680E" w:rsidRDefault="00D326C3" w:rsidP="00902628">
            <w:pPr>
              <w:pStyle w:val="TableTextKeep"/>
              <w:jc w:val="right"/>
            </w:pPr>
            <w:r w:rsidRPr="008E680E">
              <w:t>1.67579</w:t>
            </w:r>
          </w:p>
        </w:tc>
      </w:tr>
      <w:tr w:rsidR="00D326C3" w:rsidRPr="008E680E" w14:paraId="20ED93B9" w14:textId="77777777" w:rsidTr="00D43B80">
        <w:trPr>
          <w:cnfStyle w:val="000000100000" w:firstRow="0" w:lastRow="0" w:firstColumn="0" w:lastColumn="0" w:oddVBand="0" w:evenVBand="0" w:oddHBand="1" w:evenHBand="0" w:firstRowFirstColumn="0" w:firstRowLastColumn="0" w:lastRowFirstColumn="0" w:lastRowLastColumn="0"/>
        </w:trPr>
        <w:tc>
          <w:tcPr>
            <w:tcW w:w="2440" w:type="dxa"/>
          </w:tcPr>
          <w:p w14:paraId="7D0BB929" w14:textId="77777777" w:rsidR="00D326C3" w:rsidRPr="008E680E" w:rsidRDefault="00D326C3" w:rsidP="00902628">
            <w:pPr>
              <w:pStyle w:val="TableTextKeep"/>
            </w:pPr>
            <w:r w:rsidRPr="008E680E">
              <w:rPr>
                <w:rFonts w:ascii="Calibri" w:hAnsi="Calibri" w:cs="Calibri"/>
              </w:rPr>
              <w:t>United Kingdom (£</w:t>
            </w:r>
            <w:r w:rsidRPr="008E680E">
              <w:t>GBP)</w:t>
            </w:r>
          </w:p>
        </w:tc>
        <w:tc>
          <w:tcPr>
            <w:tcW w:w="2725" w:type="dxa"/>
          </w:tcPr>
          <w:p w14:paraId="261579C7" w14:textId="77777777" w:rsidR="00D326C3" w:rsidRPr="008E680E" w:rsidRDefault="00D326C3" w:rsidP="00902628">
            <w:pPr>
              <w:pStyle w:val="TableTextKeep"/>
              <w:jc w:val="right"/>
            </w:pPr>
            <w:r w:rsidRPr="008E680E">
              <w:t>1.96570</w:t>
            </w:r>
          </w:p>
        </w:tc>
      </w:tr>
      <w:tr w:rsidR="00D326C3" w:rsidRPr="008E680E" w14:paraId="60F2F267" w14:textId="77777777" w:rsidTr="00D43B80">
        <w:tc>
          <w:tcPr>
            <w:tcW w:w="2440" w:type="dxa"/>
          </w:tcPr>
          <w:p w14:paraId="5548DE2C" w14:textId="77777777" w:rsidR="00D326C3" w:rsidRPr="008E680E" w:rsidRDefault="00D326C3" w:rsidP="00902628">
            <w:pPr>
              <w:pStyle w:val="TableTextKeep"/>
            </w:pPr>
            <w:r w:rsidRPr="008E680E">
              <w:t>New Zealand ($NZD)</w:t>
            </w:r>
          </w:p>
        </w:tc>
        <w:tc>
          <w:tcPr>
            <w:tcW w:w="2725" w:type="dxa"/>
          </w:tcPr>
          <w:p w14:paraId="395DDCF8" w14:textId="77777777" w:rsidR="00D326C3" w:rsidRPr="008E680E" w:rsidRDefault="00D326C3" w:rsidP="00902628">
            <w:pPr>
              <w:pStyle w:val="TableTextKeep"/>
              <w:jc w:val="right"/>
            </w:pPr>
            <w:r w:rsidRPr="008E680E">
              <w:t>0.95632</w:t>
            </w:r>
          </w:p>
        </w:tc>
      </w:tr>
      <w:tr w:rsidR="00D326C3" w:rsidRPr="008E680E" w14:paraId="3D4F1CFF" w14:textId="77777777" w:rsidTr="00D43B80">
        <w:trPr>
          <w:cnfStyle w:val="000000100000" w:firstRow="0" w:lastRow="0" w:firstColumn="0" w:lastColumn="0" w:oddVBand="0" w:evenVBand="0" w:oddHBand="1" w:evenHBand="0" w:firstRowFirstColumn="0" w:firstRowLastColumn="0" w:lastRowFirstColumn="0" w:lastRowLastColumn="0"/>
        </w:trPr>
        <w:tc>
          <w:tcPr>
            <w:tcW w:w="2440" w:type="dxa"/>
          </w:tcPr>
          <w:p w14:paraId="634A513A" w14:textId="77777777" w:rsidR="00D326C3" w:rsidRPr="008E680E" w:rsidRDefault="00D326C3" w:rsidP="00902628">
            <w:pPr>
              <w:pStyle w:val="TableTextKeep"/>
            </w:pPr>
            <w:r w:rsidRPr="008E680E">
              <w:t>Canada ($CAD)</w:t>
            </w:r>
          </w:p>
        </w:tc>
        <w:tc>
          <w:tcPr>
            <w:tcW w:w="2725" w:type="dxa"/>
          </w:tcPr>
          <w:p w14:paraId="6931F9F5" w14:textId="77777777" w:rsidR="00D326C3" w:rsidRPr="008E680E" w:rsidRDefault="00D326C3" w:rsidP="00902628">
            <w:pPr>
              <w:pStyle w:val="TableTextKeep"/>
              <w:jc w:val="right"/>
            </w:pPr>
            <w:r w:rsidRPr="008E680E">
              <w:t>1.13646</w:t>
            </w:r>
          </w:p>
        </w:tc>
      </w:tr>
      <w:tr w:rsidR="00D326C3" w:rsidRPr="008E680E" w14:paraId="6055F122" w14:textId="77777777" w:rsidTr="00D43B80">
        <w:tc>
          <w:tcPr>
            <w:tcW w:w="2440" w:type="dxa"/>
          </w:tcPr>
          <w:p w14:paraId="1F18392E" w14:textId="77777777" w:rsidR="00D326C3" w:rsidRPr="008E680E" w:rsidRDefault="00D326C3" w:rsidP="00902628">
            <w:pPr>
              <w:pStyle w:val="TableTextKeep"/>
            </w:pPr>
            <w:r w:rsidRPr="008E680E">
              <w:t>Sweden (SEK)</w:t>
            </w:r>
          </w:p>
        </w:tc>
        <w:tc>
          <w:tcPr>
            <w:tcW w:w="2725" w:type="dxa"/>
          </w:tcPr>
          <w:p w14:paraId="316DE77A" w14:textId="77777777" w:rsidR="00D326C3" w:rsidRPr="008E680E" w:rsidRDefault="00D326C3" w:rsidP="00902628">
            <w:pPr>
              <w:pStyle w:val="TableTextKeep"/>
              <w:jc w:val="right"/>
            </w:pPr>
            <w:r w:rsidRPr="008E680E">
              <w:t>0.15746</w:t>
            </w:r>
          </w:p>
        </w:tc>
      </w:tr>
    </w:tbl>
    <w:p w14:paraId="5C109FEF" w14:textId="6813B545" w:rsidR="00F81E67" w:rsidRPr="00433E00" w:rsidRDefault="00F81E67" w:rsidP="00CE2F6C">
      <w:pPr>
        <w:pStyle w:val="Note"/>
      </w:pPr>
      <w:r w:rsidRPr="008E680E">
        <w:t xml:space="preserve">*Per the </w:t>
      </w:r>
      <w:hyperlink r:id="rId42" w:history="1">
        <w:r w:rsidRPr="002F65BC">
          <w:rPr>
            <w:rStyle w:val="Hyperlink"/>
            <w:noProof w:val="0"/>
            <w:lang w:val="en-CA"/>
          </w:rPr>
          <w:t>XE website</w:t>
        </w:r>
      </w:hyperlink>
      <w:r w:rsidRPr="008E680E">
        <w:t xml:space="preserve"> </w:t>
      </w:r>
      <w:hyperlink r:id="rId43" w:history="1">
        <w:r w:rsidR="002F65BC">
          <w:rPr>
            <w:rFonts w:eastAsia="Arial Unicode MS"/>
          </w:rPr>
          <w:t>(</w:t>
        </w:r>
      </w:hyperlink>
      <w:r w:rsidRPr="008E680E">
        <w:rPr>
          <w:rFonts w:eastAsia="Arial Unicode MS"/>
        </w:rPr>
        <w:t>a</w:t>
      </w:r>
      <w:r w:rsidRPr="008E680E">
        <w:t>ccessed 28 February 2020)</w:t>
      </w:r>
    </w:p>
    <w:p w14:paraId="4885E82A" w14:textId="2D7F6F73" w:rsidR="00F81E67" w:rsidRPr="008E680E" w:rsidRDefault="00F81E67" w:rsidP="00633A59">
      <w:bookmarkStart w:id="116" w:name="_Ref42519822"/>
      <w:bookmarkStart w:id="117" w:name="_Toc40622139"/>
      <w:bookmarkStart w:id="118" w:name="_Toc60999938"/>
      <w:r w:rsidRPr="008E680E">
        <w:t>Table </w:t>
      </w:r>
      <w:r w:rsidR="00FD5E41">
        <w:fldChar w:fldCharType="begin"/>
      </w:r>
      <w:r w:rsidR="00FD5E41">
        <w:instrText xml:space="preserve"> STYLEREF 5 \s </w:instrText>
      </w:r>
      <w:r w:rsidR="00FD5E41">
        <w:fldChar w:fldCharType="separate"/>
      </w:r>
      <w:r w:rsidR="00EB1774">
        <w:rPr>
          <w:noProof/>
        </w:rPr>
        <w:t>B</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13</w:t>
      </w:r>
      <w:r w:rsidR="00FD5E41">
        <w:fldChar w:fldCharType="end"/>
      </w:r>
      <w:bookmarkEnd w:id="116"/>
      <w:r w:rsidRPr="008E680E">
        <w:t>:</w:t>
      </w:r>
      <w:r w:rsidR="004A7A1B">
        <w:tab/>
      </w:r>
      <w:r w:rsidRPr="008E680E">
        <w:t>Conversion rates</w:t>
      </w:r>
      <w:bookmarkEnd w:id="117"/>
      <w:bookmarkEnd w:id="118"/>
    </w:p>
    <w:tbl>
      <w:tblPr>
        <w:tblStyle w:val="AHALight"/>
        <w:tblW w:w="4129" w:type="pct"/>
        <w:tblBorders>
          <w:top w:val="single" w:sz="4" w:space="0" w:color="D9D9D9" w:themeColor="background1" w:themeShade="D9"/>
          <w:left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Caption w:val="table  B 13"/>
        <w:tblDescription w:val="conversion rates of CPI and multiplication factor 1999 to 2019"/>
      </w:tblPr>
      <w:tblGrid>
        <w:gridCol w:w="1281"/>
        <w:gridCol w:w="1491"/>
        <w:gridCol w:w="761"/>
        <w:gridCol w:w="2209"/>
        <w:gridCol w:w="2209"/>
      </w:tblGrid>
      <w:tr w:rsidR="001245C0" w:rsidRPr="008E680E" w14:paraId="68C0935B" w14:textId="77777777" w:rsidTr="00D43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542880F4" w14:textId="77777777" w:rsidR="00F81E67" w:rsidRPr="008E680E" w:rsidRDefault="00F81E67" w:rsidP="00D43B80">
            <w:pPr>
              <w:jc w:val="center"/>
              <w:rPr>
                <w:rFonts w:cstheme="minorHAnsi"/>
                <w:szCs w:val="20"/>
              </w:rPr>
            </w:pPr>
            <w:r w:rsidRPr="008E680E">
              <w:rPr>
                <w:rFonts w:cstheme="minorHAnsi"/>
                <w:szCs w:val="20"/>
              </w:rPr>
              <w:t>Base year</w:t>
            </w:r>
          </w:p>
        </w:tc>
        <w:tc>
          <w:tcPr>
            <w:tcW w:w="1492" w:type="dxa"/>
          </w:tcPr>
          <w:p w14:paraId="30E7E77C" w14:textId="77777777" w:rsidR="00F81E67" w:rsidRPr="008E680E" w:rsidRDefault="00F81E67" w:rsidP="00D43B80">
            <w:pPr>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8E680E">
              <w:rPr>
                <w:rFonts w:cstheme="minorHAnsi"/>
                <w:szCs w:val="20"/>
              </w:rPr>
              <w:t>Inflated year</w:t>
            </w:r>
          </w:p>
        </w:tc>
        <w:tc>
          <w:tcPr>
            <w:tcW w:w="762" w:type="dxa"/>
          </w:tcPr>
          <w:p w14:paraId="4BA84787" w14:textId="77777777" w:rsidR="00F81E67" w:rsidRPr="008E680E" w:rsidRDefault="00F81E67" w:rsidP="00D43B80">
            <w:pPr>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8E680E">
              <w:rPr>
                <w:rFonts w:cstheme="minorHAnsi"/>
                <w:szCs w:val="20"/>
              </w:rPr>
              <w:t>CPI*</w:t>
            </w:r>
          </w:p>
        </w:tc>
        <w:tc>
          <w:tcPr>
            <w:tcW w:w="2211" w:type="dxa"/>
          </w:tcPr>
          <w:p w14:paraId="11CCEAD3" w14:textId="6DC6194A" w:rsidR="00F81E67" w:rsidRPr="008E680E" w:rsidRDefault="00F81E67" w:rsidP="00D43B80">
            <w:pPr>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8E680E">
              <w:rPr>
                <w:rFonts w:cstheme="minorHAnsi"/>
                <w:szCs w:val="20"/>
              </w:rPr>
              <w:t>Multiplication factor from base year to inflated year</w:t>
            </w:r>
          </w:p>
        </w:tc>
        <w:tc>
          <w:tcPr>
            <w:tcW w:w="2211" w:type="dxa"/>
          </w:tcPr>
          <w:p w14:paraId="7D595FE3" w14:textId="42783CA9" w:rsidR="00F81E67" w:rsidRPr="008E680E" w:rsidRDefault="00F81E67" w:rsidP="00D43B80">
            <w:pPr>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8E680E">
              <w:rPr>
                <w:rFonts w:cstheme="minorHAnsi"/>
                <w:szCs w:val="20"/>
              </w:rPr>
              <w:t>Multiplication factor from base year to 2019</w:t>
            </w:r>
            <w:r w:rsidR="00AA69F0">
              <w:rPr>
                <w:rFonts w:cstheme="minorHAnsi"/>
                <w:szCs w:val="20"/>
              </w:rPr>
              <w:t>–</w:t>
            </w:r>
            <w:r w:rsidRPr="008E680E">
              <w:rPr>
                <w:rFonts w:cstheme="minorHAnsi"/>
                <w:szCs w:val="20"/>
              </w:rPr>
              <w:t>20</w:t>
            </w:r>
          </w:p>
        </w:tc>
      </w:tr>
      <w:tr w:rsidR="00D326C3" w:rsidRPr="008E680E" w14:paraId="4C03FCD6"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Borders>
              <w:top w:val="single" w:sz="4" w:space="0" w:color="0079C1" w:themeColor="text2"/>
            </w:tcBorders>
          </w:tcPr>
          <w:p w14:paraId="3EE1E8B2" w14:textId="77777777" w:rsidR="00F81E67" w:rsidRPr="008E680E" w:rsidRDefault="00F81E67" w:rsidP="00A904F5">
            <w:pPr>
              <w:pStyle w:val="TableTextKeep"/>
              <w:jc w:val="center"/>
            </w:pPr>
            <w:r w:rsidRPr="008E680E">
              <w:t>1999-2000</w:t>
            </w:r>
          </w:p>
        </w:tc>
        <w:tc>
          <w:tcPr>
            <w:tcW w:w="1492" w:type="dxa"/>
            <w:tcBorders>
              <w:top w:val="single" w:sz="4" w:space="0" w:color="0079C1" w:themeColor="text2"/>
            </w:tcBorders>
          </w:tcPr>
          <w:p w14:paraId="7BA8B7F2"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2000-01</w:t>
            </w:r>
          </w:p>
        </w:tc>
        <w:tc>
          <w:tcPr>
            <w:tcW w:w="762" w:type="dxa"/>
            <w:tcBorders>
              <w:top w:val="single" w:sz="4" w:space="0" w:color="0079C1" w:themeColor="text2"/>
            </w:tcBorders>
          </w:tcPr>
          <w:p w14:paraId="12A5C377"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1.9%</w:t>
            </w:r>
          </w:p>
        </w:tc>
        <w:tc>
          <w:tcPr>
            <w:tcW w:w="2211" w:type="dxa"/>
            <w:tcBorders>
              <w:top w:val="single" w:sz="4" w:space="0" w:color="0079C1" w:themeColor="text2"/>
            </w:tcBorders>
          </w:tcPr>
          <w:p w14:paraId="7C486C24"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1.019</w:t>
            </w:r>
          </w:p>
        </w:tc>
        <w:tc>
          <w:tcPr>
            <w:tcW w:w="2211" w:type="dxa"/>
            <w:tcBorders>
              <w:top w:val="single" w:sz="4" w:space="0" w:color="0079C1" w:themeColor="text2"/>
            </w:tcBorders>
          </w:tcPr>
          <w:p w14:paraId="01699EF6"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1.833</w:t>
            </w:r>
          </w:p>
        </w:tc>
      </w:tr>
      <w:tr w:rsidR="00D326C3" w:rsidRPr="008E680E" w14:paraId="1B9A6728"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500783CC" w14:textId="77777777" w:rsidR="00F81E67" w:rsidRPr="008E680E" w:rsidRDefault="00F81E67" w:rsidP="00A904F5">
            <w:pPr>
              <w:pStyle w:val="TableTextKeep"/>
              <w:jc w:val="center"/>
            </w:pPr>
            <w:r w:rsidRPr="008E680E">
              <w:t>2000-01</w:t>
            </w:r>
          </w:p>
        </w:tc>
        <w:tc>
          <w:tcPr>
            <w:tcW w:w="1492" w:type="dxa"/>
          </w:tcPr>
          <w:p w14:paraId="4B57F72F"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2001-02</w:t>
            </w:r>
          </w:p>
        </w:tc>
        <w:tc>
          <w:tcPr>
            <w:tcW w:w="762" w:type="dxa"/>
          </w:tcPr>
          <w:p w14:paraId="08B2AA42"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6.6%</w:t>
            </w:r>
          </w:p>
        </w:tc>
        <w:tc>
          <w:tcPr>
            <w:tcW w:w="2211" w:type="dxa"/>
          </w:tcPr>
          <w:p w14:paraId="493A53D5"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1.066</w:t>
            </w:r>
          </w:p>
        </w:tc>
        <w:tc>
          <w:tcPr>
            <w:tcW w:w="2211" w:type="dxa"/>
          </w:tcPr>
          <w:p w14:paraId="5DAEF283"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1.799</w:t>
            </w:r>
          </w:p>
        </w:tc>
      </w:tr>
      <w:tr w:rsidR="00D326C3" w:rsidRPr="008E680E" w14:paraId="3953938A"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0D741BA9" w14:textId="77777777" w:rsidR="00F81E67" w:rsidRPr="008E680E" w:rsidRDefault="00F81E67" w:rsidP="00A904F5">
            <w:pPr>
              <w:pStyle w:val="TableTextKeep"/>
              <w:jc w:val="center"/>
            </w:pPr>
            <w:r w:rsidRPr="008E680E">
              <w:t>2001-02</w:t>
            </w:r>
          </w:p>
        </w:tc>
        <w:tc>
          <w:tcPr>
            <w:tcW w:w="1492" w:type="dxa"/>
          </w:tcPr>
          <w:p w14:paraId="3A55E9BA"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2002-03</w:t>
            </w:r>
          </w:p>
        </w:tc>
        <w:tc>
          <w:tcPr>
            <w:tcW w:w="762" w:type="dxa"/>
          </w:tcPr>
          <w:p w14:paraId="0CF45B6A"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3.4%</w:t>
            </w:r>
          </w:p>
        </w:tc>
        <w:tc>
          <w:tcPr>
            <w:tcW w:w="2211" w:type="dxa"/>
          </w:tcPr>
          <w:p w14:paraId="1563B8FE"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1.034</w:t>
            </w:r>
          </w:p>
        </w:tc>
        <w:tc>
          <w:tcPr>
            <w:tcW w:w="2211" w:type="dxa"/>
          </w:tcPr>
          <w:p w14:paraId="2DBCA6B1"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1.688</w:t>
            </w:r>
          </w:p>
        </w:tc>
      </w:tr>
      <w:tr w:rsidR="00D326C3" w:rsidRPr="008E680E" w14:paraId="3D69D2EE"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564FFAA9" w14:textId="77777777" w:rsidR="00F81E67" w:rsidRPr="008E680E" w:rsidRDefault="00F81E67" w:rsidP="00A904F5">
            <w:pPr>
              <w:pStyle w:val="TableTextKeep"/>
              <w:jc w:val="center"/>
            </w:pPr>
            <w:r w:rsidRPr="008E680E">
              <w:t>2002-03</w:t>
            </w:r>
          </w:p>
        </w:tc>
        <w:tc>
          <w:tcPr>
            <w:tcW w:w="1492" w:type="dxa"/>
          </w:tcPr>
          <w:p w14:paraId="555003F4"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2003-04</w:t>
            </w:r>
          </w:p>
        </w:tc>
        <w:tc>
          <w:tcPr>
            <w:tcW w:w="762" w:type="dxa"/>
          </w:tcPr>
          <w:p w14:paraId="79B48A51"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4.4%</w:t>
            </w:r>
          </w:p>
        </w:tc>
        <w:tc>
          <w:tcPr>
            <w:tcW w:w="2211" w:type="dxa"/>
          </w:tcPr>
          <w:p w14:paraId="1E2B4E19"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1.044</w:t>
            </w:r>
          </w:p>
        </w:tc>
        <w:tc>
          <w:tcPr>
            <w:tcW w:w="2211" w:type="dxa"/>
          </w:tcPr>
          <w:p w14:paraId="7E5FD48B"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1.632</w:t>
            </w:r>
          </w:p>
        </w:tc>
      </w:tr>
      <w:tr w:rsidR="00D326C3" w:rsidRPr="008E680E" w14:paraId="6FC85BA5"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1FCDC6CF" w14:textId="77777777" w:rsidR="00F81E67" w:rsidRPr="008E680E" w:rsidRDefault="00F81E67" w:rsidP="00A904F5">
            <w:pPr>
              <w:pStyle w:val="TableTextKeep"/>
              <w:jc w:val="center"/>
            </w:pPr>
            <w:r w:rsidRPr="008E680E">
              <w:t>2003-04</w:t>
            </w:r>
          </w:p>
        </w:tc>
        <w:tc>
          <w:tcPr>
            <w:tcW w:w="1492" w:type="dxa"/>
          </w:tcPr>
          <w:p w14:paraId="3450BE94"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2004-05</w:t>
            </w:r>
          </w:p>
        </w:tc>
        <w:tc>
          <w:tcPr>
            <w:tcW w:w="762" w:type="dxa"/>
          </w:tcPr>
          <w:p w14:paraId="18AC0344"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2.3%</w:t>
            </w:r>
          </w:p>
        </w:tc>
        <w:tc>
          <w:tcPr>
            <w:tcW w:w="2211" w:type="dxa"/>
          </w:tcPr>
          <w:p w14:paraId="1A0616D4"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1.023</w:t>
            </w:r>
          </w:p>
        </w:tc>
        <w:tc>
          <w:tcPr>
            <w:tcW w:w="2211" w:type="dxa"/>
          </w:tcPr>
          <w:p w14:paraId="76A695A9"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1.563</w:t>
            </w:r>
          </w:p>
        </w:tc>
      </w:tr>
      <w:tr w:rsidR="00D326C3" w:rsidRPr="008E680E" w14:paraId="756134E0"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7470AE77" w14:textId="77777777" w:rsidR="00F81E67" w:rsidRPr="008E680E" w:rsidRDefault="00F81E67" w:rsidP="00A904F5">
            <w:pPr>
              <w:pStyle w:val="TableTextKeep"/>
              <w:jc w:val="center"/>
            </w:pPr>
            <w:r w:rsidRPr="008E680E">
              <w:t>2004-05</w:t>
            </w:r>
          </w:p>
        </w:tc>
        <w:tc>
          <w:tcPr>
            <w:tcW w:w="1492" w:type="dxa"/>
          </w:tcPr>
          <w:p w14:paraId="21E2103B"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2005-06</w:t>
            </w:r>
          </w:p>
        </w:tc>
        <w:tc>
          <w:tcPr>
            <w:tcW w:w="762" w:type="dxa"/>
          </w:tcPr>
          <w:p w14:paraId="78956ACA"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1.9%</w:t>
            </w:r>
          </w:p>
        </w:tc>
        <w:tc>
          <w:tcPr>
            <w:tcW w:w="2211" w:type="dxa"/>
          </w:tcPr>
          <w:p w14:paraId="172ED2E7"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1.019</w:t>
            </w:r>
          </w:p>
        </w:tc>
        <w:tc>
          <w:tcPr>
            <w:tcW w:w="2211" w:type="dxa"/>
          </w:tcPr>
          <w:p w14:paraId="7A5DA3C8"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1.528</w:t>
            </w:r>
          </w:p>
        </w:tc>
      </w:tr>
      <w:tr w:rsidR="00D326C3" w:rsidRPr="008E680E" w14:paraId="145B1C43"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D367415" w14:textId="77777777" w:rsidR="00F81E67" w:rsidRPr="008E680E" w:rsidRDefault="00F81E67" w:rsidP="00A904F5">
            <w:pPr>
              <w:pStyle w:val="TableTextKeep"/>
              <w:jc w:val="center"/>
            </w:pPr>
            <w:r w:rsidRPr="008E680E">
              <w:t>2005-06</w:t>
            </w:r>
          </w:p>
        </w:tc>
        <w:tc>
          <w:tcPr>
            <w:tcW w:w="1492" w:type="dxa"/>
          </w:tcPr>
          <w:p w14:paraId="1D10031A"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2006-07</w:t>
            </w:r>
          </w:p>
        </w:tc>
        <w:tc>
          <w:tcPr>
            <w:tcW w:w="762" w:type="dxa"/>
          </w:tcPr>
          <w:p w14:paraId="0A53BC23"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8.3%</w:t>
            </w:r>
          </w:p>
        </w:tc>
        <w:tc>
          <w:tcPr>
            <w:tcW w:w="2211" w:type="dxa"/>
          </w:tcPr>
          <w:p w14:paraId="49654D53"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1.083</w:t>
            </w:r>
          </w:p>
        </w:tc>
        <w:tc>
          <w:tcPr>
            <w:tcW w:w="2211" w:type="dxa"/>
          </w:tcPr>
          <w:p w14:paraId="4E545559"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1.500</w:t>
            </w:r>
          </w:p>
        </w:tc>
      </w:tr>
      <w:tr w:rsidR="00D326C3" w:rsidRPr="008E680E" w14:paraId="4A8697E7"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06580385" w14:textId="77777777" w:rsidR="00F81E67" w:rsidRPr="008E680E" w:rsidRDefault="00F81E67" w:rsidP="00A904F5">
            <w:pPr>
              <w:pStyle w:val="TableTextKeep"/>
              <w:jc w:val="center"/>
            </w:pPr>
            <w:r w:rsidRPr="008E680E">
              <w:t>2006-07</w:t>
            </w:r>
          </w:p>
        </w:tc>
        <w:tc>
          <w:tcPr>
            <w:tcW w:w="1492" w:type="dxa"/>
          </w:tcPr>
          <w:p w14:paraId="798BBC3C"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2007-08</w:t>
            </w:r>
          </w:p>
        </w:tc>
        <w:tc>
          <w:tcPr>
            <w:tcW w:w="762" w:type="dxa"/>
          </w:tcPr>
          <w:p w14:paraId="00C14F79"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2.2%</w:t>
            </w:r>
          </w:p>
        </w:tc>
        <w:tc>
          <w:tcPr>
            <w:tcW w:w="2211" w:type="dxa"/>
          </w:tcPr>
          <w:p w14:paraId="13128A3C"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1.022</w:t>
            </w:r>
          </w:p>
        </w:tc>
        <w:tc>
          <w:tcPr>
            <w:tcW w:w="2211" w:type="dxa"/>
          </w:tcPr>
          <w:p w14:paraId="494DD8E5"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1.385</w:t>
            </w:r>
          </w:p>
        </w:tc>
      </w:tr>
      <w:tr w:rsidR="00D326C3" w:rsidRPr="008E680E" w14:paraId="29411E8B"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87E5ED2" w14:textId="77777777" w:rsidR="00F81E67" w:rsidRPr="008E680E" w:rsidRDefault="00F81E67" w:rsidP="00A904F5">
            <w:pPr>
              <w:pStyle w:val="TableTextKeep"/>
              <w:jc w:val="center"/>
            </w:pPr>
            <w:r w:rsidRPr="008E680E">
              <w:t>2007-08</w:t>
            </w:r>
          </w:p>
        </w:tc>
        <w:tc>
          <w:tcPr>
            <w:tcW w:w="1492" w:type="dxa"/>
          </w:tcPr>
          <w:p w14:paraId="13087954"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2008-09</w:t>
            </w:r>
          </w:p>
        </w:tc>
        <w:tc>
          <w:tcPr>
            <w:tcW w:w="762" w:type="dxa"/>
          </w:tcPr>
          <w:p w14:paraId="47235997"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3.9%</w:t>
            </w:r>
          </w:p>
        </w:tc>
        <w:tc>
          <w:tcPr>
            <w:tcW w:w="2211" w:type="dxa"/>
          </w:tcPr>
          <w:p w14:paraId="3230DA09"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1.039</w:t>
            </w:r>
          </w:p>
        </w:tc>
        <w:tc>
          <w:tcPr>
            <w:tcW w:w="2211" w:type="dxa"/>
          </w:tcPr>
          <w:p w14:paraId="17295F7E"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1.355</w:t>
            </w:r>
          </w:p>
        </w:tc>
      </w:tr>
      <w:tr w:rsidR="00D326C3" w:rsidRPr="008E680E" w14:paraId="12F17379"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423D960F" w14:textId="77777777" w:rsidR="00F81E67" w:rsidRPr="008E680E" w:rsidRDefault="00F81E67" w:rsidP="00A904F5">
            <w:pPr>
              <w:pStyle w:val="TableTextKeep"/>
              <w:jc w:val="center"/>
            </w:pPr>
            <w:r w:rsidRPr="008E680E">
              <w:t>2008-09</w:t>
            </w:r>
          </w:p>
        </w:tc>
        <w:tc>
          <w:tcPr>
            <w:tcW w:w="1492" w:type="dxa"/>
          </w:tcPr>
          <w:p w14:paraId="4FB295F0"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2009-10</w:t>
            </w:r>
          </w:p>
        </w:tc>
        <w:tc>
          <w:tcPr>
            <w:tcW w:w="762" w:type="dxa"/>
          </w:tcPr>
          <w:p w14:paraId="112F05E3"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4.8%</w:t>
            </w:r>
          </w:p>
        </w:tc>
        <w:tc>
          <w:tcPr>
            <w:tcW w:w="2211" w:type="dxa"/>
          </w:tcPr>
          <w:p w14:paraId="540185F1"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1.048</w:t>
            </w:r>
          </w:p>
        </w:tc>
        <w:tc>
          <w:tcPr>
            <w:tcW w:w="2211" w:type="dxa"/>
          </w:tcPr>
          <w:p w14:paraId="597C5C65"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1.304</w:t>
            </w:r>
          </w:p>
        </w:tc>
      </w:tr>
      <w:tr w:rsidR="00D326C3" w:rsidRPr="008E680E" w14:paraId="675F27DB"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53E7A832" w14:textId="77777777" w:rsidR="00F81E67" w:rsidRPr="008E680E" w:rsidRDefault="00F81E67" w:rsidP="00A904F5">
            <w:pPr>
              <w:pStyle w:val="TableTextKeep"/>
              <w:jc w:val="center"/>
            </w:pPr>
            <w:r w:rsidRPr="008E680E">
              <w:t>2009-10</w:t>
            </w:r>
          </w:p>
        </w:tc>
        <w:tc>
          <w:tcPr>
            <w:tcW w:w="1492" w:type="dxa"/>
          </w:tcPr>
          <w:p w14:paraId="792C6BB0"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2010-11</w:t>
            </w:r>
          </w:p>
        </w:tc>
        <w:tc>
          <w:tcPr>
            <w:tcW w:w="762" w:type="dxa"/>
          </w:tcPr>
          <w:p w14:paraId="382C43DC"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1.4%</w:t>
            </w:r>
          </w:p>
        </w:tc>
        <w:tc>
          <w:tcPr>
            <w:tcW w:w="2211" w:type="dxa"/>
          </w:tcPr>
          <w:p w14:paraId="153431C1"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1.014</w:t>
            </w:r>
          </w:p>
        </w:tc>
        <w:tc>
          <w:tcPr>
            <w:tcW w:w="2211" w:type="dxa"/>
          </w:tcPr>
          <w:p w14:paraId="0E6582FF"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1.244</w:t>
            </w:r>
          </w:p>
        </w:tc>
      </w:tr>
      <w:tr w:rsidR="00D326C3" w:rsidRPr="008E680E" w14:paraId="7A9686AB"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4888F7BE" w14:textId="77777777" w:rsidR="00F81E67" w:rsidRPr="008E680E" w:rsidRDefault="00F81E67" w:rsidP="00A904F5">
            <w:pPr>
              <w:pStyle w:val="TableTextKeep"/>
              <w:jc w:val="center"/>
            </w:pPr>
            <w:r w:rsidRPr="008E680E">
              <w:t>2010-11</w:t>
            </w:r>
          </w:p>
        </w:tc>
        <w:tc>
          <w:tcPr>
            <w:tcW w:w="1492" w:type="dxa"/>
          </w:tcPr>
          <w:p w14:paraId="4994FF2D"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2011-12</w:t>
            </w:r>
          </w:p>
        </w:tc>
        <w:tc>
          <w:tcPr>
            <w:tcW w:w="762" w:type="dxa"/>
          </w:tcPr>
          <w:p w14:paraId="740E424D"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6.1%</w:t>
            </w:r>
          </w:p>
        </w:tc>
        <w:tc>
          <w:tcPr>
            <w:tcW w:w="2211" w:type="dxa"/>
          </w:tcPr>
          <w:p w14:paraId="621285D2"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1.061</w:t>
            </w:r>
          </w:p>
        </w:tc>
        <w:tc>
          <w:tcPr>
            <w:tcW w:w="2211" w:type="dxa"/>
          </w:tcPr>
          <w:p w14:paraId="7BA4C13F"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1.227</w:t>
            </w:r>
          </w:p>
        </w:tc>
      </w:tr>
      <w:tr w:rsidR="00D326C3" w:rsidRPr="008E680E" w14:paraId="0ED370C7"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BB946D4" w14:textId="77777777" w:rsidR="00F81E67" w:rsidRPr="008E680E" w:rsidRDefault="00F81E67" w:rsidP="00A904F5">
            <w:pPr>
              <w:pStyle w:val="TableTextKeep"/>
              <w:jc w:val="center"/>
            </w:pPr>
            <w:r w:rsidRPr="008E680E">
              <w:t>2011-12</w:t>
            </w:r>
          </w:p>
        </w:tc>
        <w:tc>
          <w:tcPr>
            <w:tcW w:w="1492" w:type="dxa"/>
          </w:tcPr>
          <w:p w14:paraId="0DDF24D6"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2012-13</w:t>
            </w:r>
          </w:p>
        </w:tc>
        <w:tc>
          <w:tcPr>
            <w:tcW w:w="762" w:type="dxa"/>
          </w:tcPr>
          <w:p w14:paraId="4494D5EC"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1.2%</w:t>
            </w:r>
          </w:p>
        </w:tc>
        <w:tc>
          <w:tcPr>
            <w:tcW w:w="2211" w:type="dxa"/>
          </w:tcPr>
          <w:p w14:paraId="1CDF90B5"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1.012</w:t>
            </w:r>
          </w:p>
        </w:tc>
        <w:tc>
          <w:tcPr>
            <w:tcW w:w="2211" w:type="dxa"/>
          </w:tcPr>
          <w:p w14:paraId="47BF3EA7"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1.157</w:t>
            </w:r>
          </w:p>
        </w:tc>
      </w:tr>
      <w:tr w:rsidR="00D326C3" w:rsidRPr="008E680E" w14:paraId="1966801B"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609A292E" w14:textId="77777777" w:rsidR="00F81E67" w:rsidRPr="008E680E" w:rsidRDefault="00F81E67" w:rsidP="00A904F5">
            <w:pPr>
              <w:pStyle w:val="TableTextKeep"/>
              <w:jc w:val="center"/>
            </w:pPr>
            <w:r w:rsidRPr="008E680E">
              <w:t>2012-13</w:t>
            </w:r>
          </w:p>
        </w:tc>
        <w:tc>
          <w:tcPr>
            <w:tcW w:w="1492" w:type="dxa"/>
          </w:tcPr>
          <w:p w14:paraId="152AADF8"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2013-14</w:t>
            </w:r>
          </w:p>
        </w:tc>
        <w:tc>
          <w:tcPr>
            <w:tcW w:w="762" w:type="dxa"/>
          </w:tcPr>
          <w:p w14:paraId="2160B7EC"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2.4%</w:t>
            </w:r>
          </w:p>
        </w:tc>
        <w:tc>
          <w:tcPr>
            <w:tcW w:w="2211" w:type="dxa"/>
          </w:tcPr>
          <w:p w14:paraId="167C8E63"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1.024</w:t>
            </w:r>
          </w:p>
        </w:tc>
        <w:tc>
          <w:tcPr>
            <w:tcW w:w="2211" w:type="dxa"/>
          </w:tcPr>
          <w:p w14:paraId="436F218A"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1.143</w:t>
            </w:r>
          </w:p>
        </w:tc>
      </w:tr>
      <w:tr w:rsidR="00D326C3" w:rsidRPr="008E680E" w14:paraId="33F88A86"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0C4D3E8A" w14:textId="77777777" w:rsidR="00F81E67" w:rsidRPr="008E680E" w:rsidRDefault="00F81E67" w:rsidP="00A904F5">
            <w:pPr>
              <w:pStyle w:val="TableTextKeep"/>
              <w:jc w:val="center"/>
            </w:pPr>
            <w:r w:rsidRPr="008E680E">
              <w:t>2013-14</w:t>
            </w:r>
          </w:p>
        </w:tc>
        <w:tc>
          <w:tcPr>
            <w:tcW w:w="1492" w:type="dxa"/>
          </w:tcPr>
          <w:p w14:paraId="0A64E67D"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2014-15</w:t>
            </w:r>
          </w:p>
        </w:tc>
        <w:tc>
          <w:tcPr>
            <w:tcW w:w="762" w:type="dxa"/>
          </w:tcPr>
          <w:p w14:paraId="5BEAFF48"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3.0%</w:t>
            </w:r>
          </w:p>
        </w:tc>
        <w:tc>
          <w:tcPr>
            <w:tcW w:w="2211" w:type="dxa"/>
          </w:tcPr>
          <w:p w14:paraId="61505DFF"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1.030</w:t>
            </w:r>
          </w:p>
        </w:tc>
        <w:tc>
          <w:tcPr>
            <w:tcW w:w="2211" w:type="dxa"/>
          </w:tcPr>
          <w:p w14:paraId="6332EE9B"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1.116</w:t>
            </w:r>
          </w:p>
        </w:tc>
      </w:tr>
      <w:tr w:rsidR="00D326C3" w:rsidRPr="008E680E" w14:paraId="247D26BB"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60E704D4" w14:textId="77777777" w:rsidR="00F81E67" w:rsidRPr="008E680E" w:rsidRDefault="00F81E67" w:rsidP="00A904F5">
            <w:pPr>
              <w:pStyle w:val="TableTextKeep"/>
              <w:jc w:val="center"/>
            </w:pPr>
            <w:r w:rsidRPr="008E680E">
              <w:t>2014-15</w:t>
            </w:r>
          </w:p>
        </w:tc>
        <w:tc>
          <w:tcPr>
            <w:tcW w:w="1492" w:type="dxa"/>
          </w:tcPr>
          <w:p w14:paraId="19B1242A"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2015-16</w:t>
            </w:r>
          </w:p>
        </w:tc>
        <w:tc>
          <w:tcPr>
            <w:tcW w:w="762" w:type="dxa"/>
          </w:tcPr>
          <w:p w14:paraId="3BC52F5B"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1.5%</w:t>
            </w:r>
          </w:p>
        </w:tc>
        <w:tc>
          <w:tcPr>
            <w:tcW w:w="2211" w:type="dxa"/>
          </w:tcPr>
          <w:p w14:paraId="16B69692"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1.015</w:t>
            </w:r>
          </w:p>
        </w:tc>
        <w:tc>
          <w:tcPr>
            <w:tcW w:w="2211" w:type="dxa"/>
          </w:tcPr>
          <w:p w14:paraId="75BB10B7"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1.084</w:t>
            </w:r>
          </w:p>
        </w:tc>
      </w:tr>
      <w:tr w:rsidR="00D326C3" w:rsidRPr="008E680E" w14:paraId="1F32C831"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0439D49" w14:textId="77777777" w:rsidR="00F81E67" w:rsidRPr="008E680E" w:rsidRDefault="00F81E67" w:rsidP="00A904F5">
            <w:pPr>
              <w:pStyle w:val="TableTextKeep"/>
              <w:jc w:val="center"/>
            </w:pPr>
            <w:r w:rsidRPr="008E680E">
              <w:t>2015-16</w:t>
            </w:r>
          </w:p>
        </w:tc>
        <w:tc>
          <w:tcPr>
            <w:tcW w:w="1492" w:type="dxa"/>
          </w:tcPr>
          <w:p w14:paraId="6CF5F30D"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2016-17</w:t>
            </w:r>
          </w:p>
        </w:tc>
        <w:tc>
          <w:tcPr>
            <w:tcW w:w="762" w:type="dxa"/>
          </w:tcPr>
          <w:p w14:paraId="327A2B8A"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1.0%</w:t>
            </w:r>
          </w:p>
        </w:tc>
        <w:tc>
          <w:tcPr>
            <w:tcW w:w="2211" w:type="dxa"/>
          </w:tcPr>
          <w:p w14:paraId="13E523AE"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1.010</w:t>
            </w:r>
          </w:p>
        </w:tc>
        <w:tc>
          <w:tcPr>
            <w:tcW w:w="2211" w:type="dxa"/>
          </w:tcPr>
          <w:p w14:paraId="589675D1"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1.068</w:t>
            </w:r>
          </w:p>
        </w:tc>
      </w:tr>
      <w:tr w:rsidR="00D326C3" w:rsidRPr="008E680E" w14:paraId="50F0301F"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7A36BD8A" w14:textId="77777777" w:rsidR="00F81E67" w:rsidRPr="008E680E" w:rsidRDefault="00F81E67" w:rsidP="00A904F5">
            <w:pPr>
              <w:pStyle w:val="TableTextKeep"/>
              <w:jc w:val="center"/>
            </w:pPr>
            <w:r w:rsidRPr="008E680E">
              <w:t>2016-17</w:t>
            </w:r>
          </w:p>
        </w:tc>
        <w:tc>
          <w:tcPr>
            <w:tcW w:w="1492" w:type="dxa"/>
          </w:tcPr>
          <w:p w14:paraId="21124AC0"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2017-18</w:t>
            </w:r>
          </w:p>
        </w:tc>
        <w:tc>
          <w:tcPr>
            <w:tcW w:w="762" w:type="dxa"/>
          </w:tcPr>
          <w:p w14:paraId="55CA65B7"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1.9%</w:t>
            </w:r>
          </w:p>
        </w:tc>
        <w:tc>
          <w:tcPr>
            <w:tcW w:w="2211" w:type="dxa"/>
          </w:tcPr>
          <w:p w14:paraId="50ACFFA3"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1.019</w:t>
            </w:r>
          </w:p>
        </w:tc>
        <w:tc>
          <w:tcPr>
            <w:tcW w:w="2211" w:type="dxa"/>
          </w:tcPr>
          <w:p w14:paraId="17D7E81C"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1.057</w:t>
            </w:r>
          </w:p>
        </w:tc>
      </w:tr>
      <w:tr w:rsidR="00D326C3" w:rsidRPr="008E680E" w14:paraId="1549228E" w14:textId="77777777" w:rsidTr="00D43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972E6B6" w14:textId="77777777" w:rsidR="00F81E67" w:rsidRPr="008E680E" w:rsidRDefault="00F81E67" w:rsidP="00A904F5">
            <w:pPr>
              <w:pStyle w:val="TableTextKeep"/>
              <w:jc w:val="center"/>
            </w:pPr>
            <w:r w:rsidRPr="008E680E">
              <w:t>2017-18</w:t>
            </w:r>
          </w:p>
        </w:tc>
        <w:tc>
          <w:tcPr>
            <w:tcW w:w="1492" w:type="dxa"/>
          </w:tcPr>
          <w:p w14:paraId="3809989A"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2018-19</w:t>
            </w:r>
          </w:p>
        </w:tc>
        <w:tc>
          <w:tcPr>
            <w:tcW w:w="762" w:type="dxa"/>
          </w:tcPr>
          <w:p w14:paraId="63302688"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t>2.1%</w:t>
            </w:r>
          </w:p>
        </w:tc>
        <w:tc>
          <w:tcPr>
            <w:tcW w:w="2211" w:type="dxa"/>
          </w:tcPr>
          <w:p w14:paraId="49432066"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1.021</w:t>
            </w:r>
          </w:p>
        </w:tc>
        <w:tc>
          <w:tcPr>
            <w:tcW w:w="2211" w:type="dxa"/>
          </w:tcPr>
          <w:p w14:paraId="2F3EBF99" w14:textId="77777777" w:rsidR="00F81E67" w:rsidRPr="008E680E" w:rsidRDefault="00F81E67" w:rsidP="00A904F5">
            <w:pPr>
              <w:pStyle w:val="TableTextKeep"/>
              <w:jc w:val="center"/>
              <w:cnfStyle w:val="000000100000" w:firstRow="0" w:lastRow="0" w:firstColumn="0" w:lastColumn="0" w:oddVBand="0" w:evenVBand="0" w:oddHBand="1" w:evenHBand="0" w:firstRowFirstColumn="0" w:firstRowLastColumn="0" w:lastRowFirstColumn="0" w:lastRowLastColumn="0"/>
            </w:pPr>
            <w:r w:rsidRPr="008E680E">
              <w:rPr>
                <w:color w:val="000000"/>
              </w:rPr>
              <w:t>1.037</w:t>
            </w:r>
          </w:p>
        </w:tc>
      </w:tr>
      <w:tr w:rsidR="00D326C3" w:rsidRPr="008E680E" w14:paraId="51091C93" w14:textId="77777777" w:rsidTr="00D43B80">
        <w:tc>
          <w:tcPr>
            <w:cnfStyle w:val="001000000000" w:firstRow="0" w:lastRow="0" w:firstColumn="1" w:lastColumn="0" w:oddVBand="0" w:evenVBand="0" w:oddHBand="0" w:evenHBand="0" w:firstRowFirstColumn="0" w:firstRowLastColumn="0" w:lastRowFirstColumn="0" w:lastRowLastColumn="0"/>
            <w:tcW w:w="1283" w:type="dxa"/>
          </w:tcPr>
          <w:p w14:paraId="31BF707D" w14:textId="77777777" w:rsidR="00F81E67" w:rsidRPr="008E680E" w:rsidRDefault="00F81E67" w:rsidP="00A904F5">
            <w:pPr>
              <w:pStyle w:val="TableTextKeep"/>
              <w:jc w:val="center"/>
            </w:pPr>
            <w:r w:rsidRPr="008E680E">
              <w:t>2018-19</w:t>
            </w:r>
          </w:p>
        </w:tc>
        <w:tc>
          <w:tcPr>
            <w:tcW w:w="1492" w:type="dxa"/>
          </w:tcPr>
          <w:p w14:paraId="184B2927"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2019</w:t>
            </w:r>
            <w:r w:rsidRPr="008E680E">
              <w:noBreakHyphen/>
              <w:t>20</w:t>
            </w:r>
          </w:p>
        </w:tc>
        <w:tc>
          <w:tcPr>
            <w:tcW w:w="762" w:type="dxa"/>
          </w:tcPr>
          <w:p w14:paraId="16768A6C"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t>1.6%</w:t>
            </w:r>
          </w:p>
        </w:tc>
        <w:tc>
          <w:tcPr>
            <w:tcW w:w="2211" w:type="dxa"/>
          </w:tcPr>
          <w:p w14:paraId="5CA90F20"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1.016</w:t>
            </w:r>
          </w:p>
        </w:tc>
        <w:tc>
          <w:tcPr>
            <w:tcW w:w="2211" w:type="dxa"/>
          </w:tcPr>
          <w:p w14:paraId="5CB619D0" w14:textId="77777777" w:rsidR="00F81E67" w:rsidRPr="008E680E" w:rsidRDefault="00F81E67" w:rsidP="00A904F5">
            <w:pPr>
              <w:pStyle w:val="TableTextKeep"/>
              <w:jc w:val="center"/>
              <w:cnfStyle w:val="000000000000" w:firstRow="0" w:lastRow="0" w:firstColumn="0" w:lastColumn="0" w:oddVBand="0" w:evenVBand="0" w:oddHBand="0" w:evenHBand="0" w:firstRowFirstColumn="0" w:firstRowLastColumn="0" w:lastRowFirstColumn="0" w:lastRowLastColumn="0"/>
            </w:pPr>
            <w:r w:rsidRPr="008E680E">
              <w:rPr>
                <w:color w:val="000000"/>
              </w:rPr>
              <w:t>1.016</w:t>
            </w:r>
          </w:p>
        </w:tc>
      </w:tr>
    </w:tbl>
    <w:p w14:paraId="659A0F56" w14:textId="3AD8CDAE" w:rsidR="00F81E67" w:rsidRPr="008E680E" w:rsidRDefault="00F81E67" w:rsidP="00CE2F6C">
      <w:pPr>
        <w:pStyle w:val="Note"/>
      </w:pPr>
      <w:r w:rsidRPr="008E680E">
        <w:t xml:space="preserve">* Inflation rate based on the June to June CPI rate from the base year, per the </w:t>
      </w:r>
      <w:hyperlink r:id="rId44" w:history="1">
        <w:r w:rsidRPr="002F65BC">
          <w:rPr>
            <w:rStyle w:val="Hyperlink"/>
            <w:noProof w:val="0"/>
            <w:lang w:val="en-CA"/>
          </w:rPr>
          <w:t>ABS website</w:t>
        </w:r>
      </w:hyperlink>
      <w:r w:rsidRPr="008E680E">
        <w:t xml:space="preserve"> (accessed 28 February 2020.)</w:t>
      </w:r>
    </w:p>
    <w:p w14:paraId="0A6D402E" w14:textId="77777777" w:rsidR="0031014A" w:rsidRPr="008E680E" w:rsidRDefault="0031014A" w:rsidP="0031014A">
      <w:pPr>
        <w:sectPr w:rsidR="0031014A" w:rsidRPr="008E680E" w:rsidSect="00F05D13">
          <w:pgSz w:w="11906" w:h="16838" w:code="9"/>
          <w:pgMar w:top="1134" w:right="1134" w:bottom="1134" w:left="1134" w:header="709" w:footer="709" w:gutter="0"/>
          <w:cols w:space="567"/>
          <w:docGrid w:linePitch="360"/>
        </w:sectPr>
      </w:pPr>
    </w:p>
    <w:p w14:paraId="72B53080" w14:textId="77777777" w:rsidR="0031014A" w:rsidRPr="00433E00" w:rsidRDefault="0031014A" w:rsidP="0031014A"/>
    <w:p w14:paraId="2C12A599" w14:textId="4E07DDF9" w:rsidR="0031014A" w:rsidRPr="008E680E" w:rsidRDefault="0031014A" w:rsidP="00217053">
      <w:pPr>
        <w:pStyle w:val="Heading1"/>
        <w:tabs>
          <w:tab w:val="clear" w:pos="2977"/>
        </w:tabs>
      </w:pPr>
      <w:bookmarkStart w:id="119" w:name="_Ref40894270"/>
      <w:bookmarkStart w:id="120" w:name="_Toc60999855"/>
      <w:r w:rsidRPr="00433E00">
        <w:t>Delphi technique</w:t>
      </w:r>
      <w:r w:rsidRPr="008E680E">
        <w:t xml:space="preserve"> for a </w:t>
      </w:r>
      <w:r w:rsidRPr="00FE5A79">
        <w:t>Consensus</w:t>
      </w:r>
      <w:r w:rsidRPr="008E680E">
        <w:t xml:space="preserve"> Statement on the</w:t>
      </w:r>
      <w:r w:rsidR="00F34556">
        <w:t> </w:t>
      </w:r>
      <w:r w:rsidRPr="008E680E">
        <w:t>Benefits</w:t>
      </w:r>
      <w:r w:rsidR="00F05D13">
        <w:t> </w:t>
      </w:r>
      <w:r w:rsidRPr="008E680E">
        <w:t>of</w:t>
      </w:r>
      <w:r w:rsidR="00F05D13">
        <w:t> </w:t>
      </w:r>
      <w:r w:rsidRPr="008E680E">
        <w:t>A</w:t>
      </w:r>
      <w:r w:rsidR="00FE6DDC">
        <w:t>T</w:t>
      </w:r>
      <w:bookmarkEnd w:id="119"/>
      <w:bookmarkEnd w:id="120"/>
    </w:p>
    <w:p w14:paraId="3D3AFA04" w14:textId="0D896F61" w:rsidR="0031014A" w:rsidRPr="008E680E" w:rsidRDefault="0031014A" w:rsidP="00E50153">
      <w:pPr>
        <w:pStyle w:val="Heading1"/>
        <w:tabs>
          <w:tab w:val="clear" w:pos="2977"/>
        </w:tabs>
      </w:pPr>
      <w:bookmarkStart w:id="121" w:name="_Toc60999856"/>
      <w:r w:rsidRPr="008E680E">
        <w:t>Introduction</w:t>
      </w:r>
      <w:bookmarkEnd w:id="121"/>
    </w:p>
    <w:p w14:paraId="09B5B684" w14:textId="1ED2C6DC" w:rsidR="00184FBE" w:rsidRPr="00376A73" w:rsidRDefault="00184FBE" w:rsidP="00184FBE">
      <w:pPr>
        <w:pStyle w:val="Paragraph"/>
        <w:rPr>
          <w:rFonts w:eastAsia="Calibri"/>
          <w:szCs w:val="26"/>
        </w:rPr>
      </w:pPr>
      <w:r w:rsidRPr="00593139">
        <w:t>AHA utilised the Delphi technique to develop a consensus statement on the economic benefits of assistive technology. A Delphi technique is used to examine complex proble</w:t>
      </w:r>
      <w:r w:rsidR="002C5948">
        <w:t>m</w:t>
      </w:r>
      <w:r w:rsidR="00F33447">
        <w:t>s </w:t>
      </w:r>
      <w:r w:rsidRPr="00593139">
        <w:t>through an iterative process guided by expert opinions</w:t>
      </w:r>
      <w:r>
        <w:t xml:space="preserve"> </w:t>
      </w:r>
      <w:r>
        <w:rPr>
          <w:rFonts w:eastAsia="Calibri"/>
          <w:szCs w:val="26"/>
        </w:rPr>
        <w:fldChar w:fldCharType="begin" w:fldLock="1"/>
      </w:r>
      <w:r>
        <w:rPr>
          <w:rFonts w:eastAsia="Calibri"/>
          <w:szCs w:val="26"/>
        </w:rPr>
        <w:instrText>ADDIN CSL_CITATION {"citationItems":[{"id":"ITEM-1","itemData":{"ISSN":"14777029","abstract":"Delphi is a frequently used research method in the information systems (IS) field. The last fifteen years have seen many variants of the Delphi Method proposed and used in IS research. However, these variants do not seem to be properly derived; while all variants share certain characteristics, their reasoning for differentiation inconsistently varies. It seems that researchers tend to create \"new\" Delphi Method variants, although the underlying modification of the Delphi Method is, in fact, minor. This leads to a heterogeneity of Delphi Method variants and undermines scientific rigor when using Delphi. The study addresses this deficit and (1) identifies different variants of Delphi and determines their characteristics, (2) critically reflects to what extent a clear distinction between these variants exists, (3) shows the clearly distinguishable Delphi Method variants and their characteristics, (4) develops a proposed taxonomy of Delphi Method variants, and (5) evaluates and applies this taxonomy. The proposed taxonomy helps clearly differentiate Delphi Method variants and enhances methodological rigor when using the Delphi Method.","author":[{"dropping-particle":"","family":"Strasser","given":"Artur","non-dropping-particle":"","parse-names":false,"suffix":""}],"container-title":"Electronic Journal of Business Research Methods","id":"ITEM-1","issue":"2","issued":{"date-parts":[["2017"]]},"page":"120-133","title":"Delphi method variants in information systems research: Taxonomy development and application","type":"article-journal","volume":"15"},"uris":["http://www.mendeley.com/documents/?uuid=e8b3f5d0-16ad-40d5-a099-cd3d4061052f"]}],"mendeley":{"formattedCitation":"(Strasser 2017)","plainTextFormattedCitation":"(Strasser 2017)","previouslyFormattedCitation":"(Strasser 2017)"},"properties":{"noteIndex":0},"schema":"https://github.com/citation-style-language/schema/raw/master/csl-citation.json"}</w:instrText>
      </w:r>
      <w:r>
        <w:rPr>
          <w:rFonts w:eastAsia="Calibri"/>
          <w:szCs w:val="26"/>
        </w:rPr>
        <w:fldChar w:fldCharType="separate"/>
      </w:r>
      <w:r w:rsidRPr="00184FBE">
        <w:rPr>
          <w:rFonts w:eastAsia="Calibri"/>
          <w:noProof/>
          <w:szCs w:val="26"/>
        </w:rPr>
        <w:t>(Strasser 2017)</w:t>
      </w:r>
      <w:r>
        <w:rPr>
          <w:rFonts w:eastAsia="Calibri"/>
          <w:szCs w:val="26"/>
        </w:rPr>
        <w:fldChar w:fldCharType="end"/>
      </w:r>
      <w:r w:rsidRPr="00593139">
        <w:t>, known as a group knowledge acquisition model</w:t>
      </w:r>
      <w:r>
        <w:t xml:space="preserve"> </w:t>
      </w:r>
      <w:r>
        <w:rPr>
          <w:rFonts w:eastAsia="Calibri"/>
          <w:szCs w:val="26"/>
        </w:rPr>
        <w:fldChar w:fldCharType="begin" w:fldLock="1"/>
      </w:r>
      <w:r>
        <w:rPr>
          <w:rFonts w:eastAsia="Calibri"/>
          <w:szCs w:val="26"/>
        </w:rPr>
        <w:instrText>ADDIN CSL_CITATION {"citationItems":[{"id":"ITEM-1","itemData":{"author":[{"dropping-particle":"","family":"Habibi","given":"Arash","non-dropping-particle":"","parse-names":false,"suffix":""},{"dropping-particle":"","family":"Sarafrazi","given":"Azam","non-dropping-particle":"","parse-names":false,"suffix":""},{"dropping-particle":"","family":"Izadyar","given":"Sedigheh","non-dropping-particle":"","parse-names":false,"suffix":""}],"container-title":"International Journal of Engineering Science","id":"ITEM-1","issued":{"date-parts":[["2014","1","1"]]},"page":"8-13","title":"Delphi Technique Theoretical Framework in Qualitative","type":"article-journal","volume":"3"},"uris":["http://www.mendeley.com/documents/?uuid=ce99f6ad-3cbd-4973-89eb-cf90e43861ea"]}],"mendeley":{"formattedCitation":"(Habibi et al. 2014)","plainTextFormattedCitation":"(Habibi et al. 2014)","previouslyFormattedCitation":"(Habibi et al. 2014)"},"properties":{"noteIndex":0},"schema":"https://github.com/citation-style-language/schema/raw/master/csl-citation.json"}</w:instrText>
      </w:r>
      <w:r>
        <w:rPr>
          <w:rFonts w:eastAsia="Calibri"/>
          <w:szCs w:val="26"/>
        </w:rPr>
        <w:fldChar w:fldCharType="separate"/>
      </w:r>
      <w:r w:rsidRPr="00184FBE">
        <w:rPr>
          <w:rFonts w:eastAsia="Calibri"/>
          <w:noProof/>
          <w:szCs w:val="26"/>
        </w:rPr>
        <w:t>(Habibi et al. 2014)</w:t>
      </w:r>
      <w:r>
        <w:rPr>
          <w:rFonts w:eastAsia="Calibri"/>
          <w:szCs w:val="26"/>
        </w:rPr>
        <w:fldChar w:fldCharType="end"/>
      </w:r>
      <w:r w:rsidRPr="00593139">
        <w:t>. On this occasion, this was a three-stage iterative process with experts in the areas of AT use, AT service provision, Government and health economics, to obtain consensus around the qualitative and quantitative benefits of AT for older Australians.</w:t>
      </w:r>
      <w:r>
        <w:t xml:space="preserve"> </w:t>
      </w:r>
    </w:p>
    <w:p w14:paraId="33422E26" w14:textId="77777777" w:rsidR="00F81E67" w:rsidRPr="00593139" w:rsidRDefault="00F81E67" w:rsidP="00F05D13">
      <w:pPr>
        <w:pStyle w:val="ParaKeep"/>
      </w:pPr>
      <w:r w:rsidRPr="00593139">
        <w:t xml:space="preserve">The Delphi technique is summarised as follows: </w:t>
      </w:r>
    </w:p>
    <w:p w14:paraId="0CF13BF4" w14:textId="6DCFC110" w:rsidR="00F81E67" w:rsidRPr="00593139" w:rsidRDefault="00F81E67" w:rsidP="00483E84">
      <w:pPr>
        <w:pStyle w:val="Bullet1Keep"/>
      </w:pPr>
      <w:r w:rsidRPr="00593139">
        <w:t>Methods (</w:t>
      </w:r>
      <w:r w:rsidRPr="00593139">
        <w:rPr>
          <w:i/>
          <w:iCs/>
        </w:rPr>
        <w:t>Section</w:t>
      </w:r>
      <w:r w:rsidR="00F05D13">
        <w:rPr>
          <w:i/>
          <w:iCs/>
        </w:rPr>
        <w:t> </w:t>
      </w:r>
      <w:r w:rsidR="00690B42">
        <w:rPr>
          <w:rStyle w:val="Italic"/>
        </w:rPr>
        <w:t>C.2</w:t>
      </w:r>
      <w:r w:rsidRPr="00593139">
        <w:t>) comprising:</w:t>
      </w:r>
    </w:p>
    <w:p w14:paraId="1D95B272" w14:textId="77777777" w:rsidR="00F81E67" w:rsidRPr="00593139" w:rsidRDefault="00F81E67" w:rsidP="002B177E">
      <w:pPr>
        <w:pStyle w:val="Bullet2"/>
        <w:numPr>
          <w:ilvl w:val="0"/>
          <w:numId w:val="47"/>
        </w:numPr>
      </w:pPr>
      <w:r w:rsidRPr="00593139">
        <w:t>The Delphi technique</w:t>
      </w:r>
    </w:p>
    <w:p w14:paraId="12EB78BD" w14:textId="77777777" w:rsidR="00F81E67" w:rsidRPr="00593139" w:rsidRDefault="00F81E67" w:rsidP="002B177E">
      <w:pPr>
        <w:pStyle w:val="Bullet2"/>
        <w:numPr>
          <w:ilvl w:val="0"/>
          <w:numId w:val="47"/>
        </w:numPr>
      </w:pPr>
      <w:r w:rsidRPr="00593139">
        <w:t>Delphi expert panel selection</w:t>
      </w:r>
    </w:p>
    <w:p w14:paraId="6E839C69" w14:textId="77777777" w:rsidR="00F81E67" w:rsidRPr="00593139" w:rsidRDefault="00F81E67" w:rsidP="002B177E">
      <w:pPr>
        <w:pStyle w:val="Bullet2"/>
        <w:numPr>
          <w:ilvl w:val="0"/>
          <w:numId w:val="47"/>
        </w:numPr>
      </w:pPr>
      <w:r w:rsidRPr="00593139">
        <w:t>Focus of the Delphi questions</w:t>
      </w:r>
    </w:p>
    <w:p w14:paraId="4A14595C" w14:textId="005AE8A3" w:rsidR="00F81E67" w:rsidRPr="00593139" w:rsidRDefault="00F81E67" w:rsidP="002B177E">
      <w:pPr>
        <w:pStyle w:val="Bullet2"/>
        <w:numPr>
          <w:ilvl w:val="0"/>
          <w:numId w:val="47"/>
        </w:numPr>
      </w:pPr>
      <w:r w:rsidRPr="00593139">
        <w:t>Analysis of the Delphi questions</w:t>
      </w:r>
      <w:r w:rsidR="00AA69F0">
        <w:t>.</w:t>
      </w:r>
    </w:p>
    <w:p w14:paraId="09B509F3" w14:textId="76A1E6E2" w:rsidR="00F81E67" w:rsidRPr="00593139" w:rsidRDefault="00F81E67" w:rsidP="00483E84">
      <w:pPr>
        <w:pStyle w:val="Bullet1Keep"/>
      </w:pPr>
      <w:r w:rsidRPr="00593139">
        <w:t>Results (</w:t>
      </w:r>
      <w:r w:rsidRPr="00593139">
        <w:rPr>
          <w:i/>
          <w:iCs/>
        </w:rPr>
        <w:t>Section</w:t>
      </w:r>
      <w:r w:rsidR="00F05D13">
        <w:rPr>
          <w:i/>
          <w:iCs/>
        </w:rPr>
        <w:t> </w:t>
      </w:r>
      <w:r w:rsidR="00477F57">
        <w:rPr>
          <w:i/>
          <w:iCs/>
        </w:rPr>
        <w:t>C.3</w:t>
      </w:r>
      <w:r w:rsidRPr="00593139">
        <w:t>) comprising:</w:t>
      </w:r>
    </w:p>
    <w:p w14:paraId="014B557F" w14:textId="77777777" w:rsidR="00F81E67" w:rsidRPr="00593139" w:rsidRDefault="00F81E67" w:rsidP="002B177E">
      <w:pPr>
        <w:pStyle w:val="Bullet2"/>
        <w:numPr>
          <w:ilvl w:val="0"/>
          <w:numId w:val="48"/>
        </w:numPr>
      </w:pPr>
      <w:r w:rsidRPr="00593139">
        <w:t>Delphi panel experts</w:t>
      </w:r>
    </w:p>
    <w:p w14:paraId="421B8EAD" w14:textId="4549F7DD" w:rsidR="00F81E67" w:rsidRPr="00593139" w:rsidRDefault="00F81E67" w:rsidP="002B177E">
      <w:pPr>
        <w:pStyle w:val="Bullet2"/>
        <w:numPr>
          <w:ilvl w:val="0"/>
          <w:numId w:val="48"/>
        </w:numPr>
      </w:pPr>
      <w:r w:rsidRPr="00593139">
        <w:t xml:space="preserve">Feedback provided at the start of </w:t>
      </w:r>
      <w:r w:rsidR="00690B42">
        <w:t>I</w:t>
      </w:r>
      <w:r w:rsidRPr="00593139">
        <w:t xml:space="preserve">teration 2 and </w:t>
      </w:r>
      <w:r w:rsidR="00690B42">
        <w:t>I</w:t>
      </w:r>
      <w:r w:rsidRPr="00593139">
        <w:t>teration 3</w:t>
      </w:r>
    </w:p>
    <w:p w14:paraId="363D5CC4" w14:textId="77777777" w:rsidR="00F81E67" w:rsidRPr="00593139" w:rsidRDefault="00F81E67" w:rsidP="002B177E">
      <w:pPr>
        <w:pStyle w:val="Bullet2"/>
        <w:numPr>
          <w:ilvl w:val="0"/>
          <w:numId w:val="48"/>
        </w:numPr>
      </w:pPr>
      <w:r w:rsidRPr="00593139">
        <w:t>Results of the Delphi technique</w:t>
      </w:r>
    </w:p>
    <w:p w14:paraId="6B1C88F1" w14:textId="67B81437" w:rsidR="00F81E67" w:rsidRPr="00593139" w:rsidRDefault="00F81E67" w:rsidP="002B177E">
      <w:pPr>
        <w:pStyle w:val="Bullet2"/>
        <w:numPr>
          <w:ilvl w:val="0"/>
          <w:numId w:val="48"/>
        </w:numPr>
      </w:pPr>
      <w:r w:rsidRPr="00593139">
        <w:t xml:space="preserve">Integration of the </w:t>
      </w:r>
      <w:r w:rsidR="004E2F56">
        <w:t>R</w:t>
      </w:r>
      <w:r w:rsidR="004E2F56" w:rsidRPr="00593139">
        <w:t xml:space="preserve">apid </w:t>
      </w:r>
      <w:r w:rsidR="004E2F56">
        <w:t>E</w:t>
      </w:r>
      <w:r w:rsidR="004E2F56" w:rsidRPr="00593139">
        <w:t xml:space="preserve">vidence </w:t>
      </w:r>
      <w:r w:rsidR="004E2F56">
        <w:t>R</w:t>
      </w:r>
      <w:r w:rsidR="004E2F56" w:rsidRPr="00593139">
        <w:t xml:space="preserve">eview </w:t>
      </w:r>
      <w:r w:rsidRPr="00593139">
        <w:t>and the Delphi technique results</w:t>
      </w:r>
      <w:r w:rsidR="00AA69F0">
        <w:t>.</w:t>
      </w:r>
    </w:p>
    <w:p w14:paraId="40BE792A" w14:textId="77777777" w:rsidR="00F81E67" w:rsidRPr="00593139" w:rsidRDefault="00F81E67" w:rsidP="00217053">
      <w:pPr>
        <w:pStyle w:val="Heading1"/>
      </w:pPr>
      <w:bookmarkStart w:id="122" w:name="_Toc60999857"/>
      <w:r w:rsidRPr="00593139">
        <w:t>Methods</w:t>
      </w:r>
      <w:bookmarkEnd w:id="122"/>
    </w:p>
    <w:p w14:paraId="663B2496" w14:textId="77777777" w:rsidR="00F81E67" w:rsidRPr="00593139" w:rsidRDefault="00F81E67" w:rsidP="00217053">
      <w:pPr>
        <w:pStyle w:val="Heading2"/>
      </w:pPr>
      <w:r w:rsidRPr="00593139">
        <w:t>The Delphi technique</w:t>
      </w:r>
    </w:p>
    <w:p w14:paraId="3B6B451E" w14:textId="0CA30698" w:rsidR="00184FBE" w:rsidRPr="00184FBE" w:rsidRDefault="00184FBE" w:rsidP="00120921">
      <w:pPr>
        <w:rPr>
          <w:rFonts w:eastAsia="Calibri"/>
          <w:szCs w:val="26"/>
        </w:rPr>
      </w:pPr>
      <w:r w:rsidRPr="00593139">
        <w:t>The Delphi technique has been around for over 50 years and over this time it has taken over a dozen different for</w:t>
      </w:r>
      <w:r w:rsidR="00120921">
        <w:t xml:space="preserve">ms </w:t>
      </w:r>
      <w:r w:rsidR="00F33447">
        <w:t> </w:t>
      </w:r>
      <w:r w:rsidRPr="00593139">
        <w:t>including the Classical Delphi, Policy Delphi, Decision Delphi and the Mini Delphi</w:t>
      </w:r>
      <w:r>
        <w:t xml:space="preserve"> </w:t>
      </w:r>
      <w:bookmarkStart w:id="123" w:name="_Hlk42690054"/>
      <w:r>
        <w:rPr>
          <w:rFonts w:eastAsia="Calibri"/>
          <w:szCs w:val="26"/>
        </w:rPr>
        <w:fldChar w:fldCharType="begin" w:fldLock="1"/>
      </w:r>
      <w:r>
        <w:rPr>
          <w:rFonts w:eastAsia="Calibri"/>
          <w:szCs w:val="26"/>
        </w:rPr>
        <w:instrText>ADDIN CSL_CITATION {"citationItems":[{"id":"ITEM-1","itemData":{"ISSN":"14777029","abstract":"Delphi is a frequently used research method in the information systems (IS) field. The last fifteen years have seen many variants of the Delphi Method proposed and used in IS research. However, these variants do not seem to be properly derived; while all variants share certain characteristics, their reasoning for differentiation inconsistently varies. It seems that researchers tend to create \"new\" Delphi Method variants, although the underlying modification of the Delphi Method is, in fact, minor. This leads to a heterogeneity of Delphi Method variants and undermines scientific rigor when using Delphi. The study addresses this deficit and (1) identifies different variants of Delphi and determines their characteristics, (2) critically reflects to what extent a clear distinction between these variants exists, (3) shows the clearly distinguishable Delphi Method variants and their characteristics, (4) develops a proposed taxonomy of Delphi Method variants, and (5) evaluates and applies this taxonomy. The proposed taxonomy helps clearly differentiate Delphi Method variants and enhances methodological rigor when using the Delphi Method.","author":[{"dropping-particle":"","family":"Strasser","given":"Artur","non-dropping-particle":"","parse-names":false,"suffix":""}],"container-title":"Electronic Journal of Business Research Methods","id":"ITEM-1","issue":"2","issued":{"date-parts":[["2017"]]},"page":"120-133","title":"Delphi method variants in information systems research: Taxonomy development and application","type":"article-journal","volume":"15"},"uris":["http://www.mendeley.com/documents/?uuid=e8b3f5d0-16ad-40d5-a099-cd3d4061052f"]}],"mendeley":{"formattedCitation":"(Strasser 2017)","plainTextFormattedCitation":"(Strasser 2017)","previouslyFormattedCitation":"(Strasser 2017)"},"properties":{"noteIndex":0},"schema":"https://github.com/citation-style-language/schema/raw/master/csl-citation.json"}</w:instrText>
      </w:r>
      <w:r>
        <w:rPr>
          <w:rFonts w:eastAsia="Calibri"/>
          <w:szCs w:val="26"/>
        </w:rPr>
        <w:fldChar w:fldCharType="separate"/>
      </w:r>
      <w:r w:rsidRPr="00184FBE">
        <w:rPr>
          <w:rFonts w:eastAsia="Calibri"/>
          <w:noProof/>
          <w:szCs w:val="26"/>
        </w:rPr>
        <w:t>(Strasser 2017)</w:t>
      </w:r>
      <w:r>
        <w:rPr>
          <w:rFonts w:eastAsia="Calibri"/>
          <w:szCs w:val="26"/>
        </w:rPr>
        <w:fldChar w:fldCharType="end"/>
      </w:r>
      <w:bookmarkEnd w:id="123"/>
      <w:r w:rsidRPr="00593139">
        <w:t>. While variations exist within the different Delphi techniques, most have retained several key elements including an iterative process for the panellists, the provision of feedback between one iteration and the next, as well as aggregation of the group responses</w:t>
      </w:r>
      <w:r>
        <w:t xml:space="preserve"> </w:t>
      </w:r>
      <w:r>
        <w:rPr>
          <w:rFonts w:eastAsia="Calibri"/>
          <w:szCs w:val="26"/>
        </w:rPr>
        <w:fldChar w:fldCharType="begin" w:fldLock="1"/>
      </w:r>
      <w:r>
        <w:rPr>
          <w:rFonts w:eastAsia="Calibri"/>
          <w:szCs w:val="26"/>
        </w:rPr>
        <w:instrText>ADDIN CSL_CITATION {"citationItems":[{"id":"ITEM-1","itemData":{"ISSN":"14777029","abstract":"Delphi is a frequently used research method in the information systems (IS) field. The last fifteen years have seen many variants of the Delphi Method proposed and used in IS research. However, these variants do not seem to be properly derived; while all variants share certain characteristics, their reasoning for differentiation inconsistently varies. It seems that researchers tend to create \"new\" Delphi Method variants, although the underlying modification of the Delphi Method is, in fact, minor. This leads to a heterogeneity of Delphi Method variants and undermines scientific rigor when using Delphi. The study addresses this deficit and (1) identifies different variants of Delphi and determines their characteristics, (2) critically reflects to what extent a clear distinction between these variants exists, (3) shows the clearly distinguishable Delphi Method variants and their characteristics, (4) develops a proposed taxonomy of Delphi Method variants, and (5) evaluates and applies this taxonomy. The proposed taxonomy helps clearly differentiate Delphi Method variants and enhances methodological rigor when using the Delphi Method.","author":[{"dropping-particle":"","family":"Strasser","given":"Artur","non-dropping-particle":"","parse-names":false,"suffix":""}],"container-title":"Electronic Journal of Business Research Methods","id":"ITEM-1","issue":"2","issued":{"date-parts":[["2017"]]},"page":"120-133","title":"Delphi method variants in information systems research: Taxonomy development and application","type":"article-journal","volume":"15"},"uris":["http://www.mendeley.com/documents/?uuid=e8b3f5d0-16ad-40d5-a099-cd3d4061052f"]}],"mendeley":{"formattedCitation":"(Strasser 2017)","plainTextFormattedCitation":"(Strasser 2017)","previouslyFormattedCitation":"(Strasser 2017)"},"properties":{"noteIndex":0},"schema":"https://github.com/citation-style-language/schema/raw/master/csl-citation.json"}</w:instrText>
      </w:r>
      <w:r>
        <w:rPr>
          <w:rFonts w:eastAsia="Calibri"/>
          <w:szCs w:val="26"/>
        </w:rPr>
        <w:fldChar w:fldCharType="separate"/>
      </w:r>
      <w:r w:rsidRPr="00184FBE">
        <w:rPr>
          <w:rFonts w:eastAsia="Calibri"/>
          <w:noProof/>
          <w:szCs w:val="26"/>
        </w:rPr>
        <w:t>(Strasser 2017)</w:t>
      </w:r>
      <w:r>
        <w:rPr>
          <w:rFonts w:eastAsia="Calibri"/>
          <w:szCs w:val="26"/>
        </w:rPr>
        <w:fldChar w:fldCharType="end"/>
      </w:r>
      <w:r>
        <w:t xml:space="preserve"> </w:t>
      </w:r>
      <w:r>
        <w:rPr>
          <w:rFonts w:eastAsia="Calibri"/>
          <w:szCs w:val="26"/>
        </w:rPr>
        <w:fldChar w:fldCharType="begin" w:fldLock="1"/>
      </w:r>
      <w:r>
        <w:rPr>
          <w:rFonts w:eastAsia="Calibri"/>
          <w:szCs w:val="26"/>
        </w:rPr>
        <w:instrText>ADDIN CSL_CITATION {"citationItems":[{"id":"ITEM-1","itemData":{"author":[{"dropping-particle":"","family":"Habibi","given":"Arash","non-dropping-particle":"","parse-names":false,"suffix":""},{"dropping-particle":"","family":"Sarafrazi","given":"Azam","non-dropping-particle":"","parse-names":false,"suffix":""},{"dropping-particle":"","family":"Izadyar","given":"Sedigheh","non-dropping-particle":"","parse-names":false,"suffix":""}],"container-title":"International Journal of Engineering Science","id":"ITEM-1","issued":{"date-parts":[["2014","1","1"]]},"page":"8-13","title":"Delphi Technique Theoretical Framework in Qualitative","type":"article-journal","volume":"3"},"uris":["http://www.mendeley.com/documents/?uuid=ce99f6ad-3cbd-4973-89eb-cf90e43861ea"]}],"mendeley":{"formattedCitation":"(Habibi et al. 2014)","plainTextFormattedCitation":"(Habibi et al. 2014)","previouslyFormattedCitation":"(Habibi et al. 2014)"},"properties":{"noteIndex":0},"schema":"https://github.com/citation-style-language/schema/raw/master/csl-citation.json"}</w:instrText>
      </w:r>
      <w:r>
        <w:rPr>
          <w:rFonts w:eastAsia="Calibri"/>
          <w:szCs w:val="26"/>
        </w:rPr>
        <w:fldChar w:fldCharType="separate"/>
      </w:r>
      <w:r w:rsidRPr="00184FBE">
        <w:rPr>
          <w:rFonts w:eastAsia="Calibri"/>
          <w:noProof/>
          <w:szCs w:val="26"/>
        </w:rPr>
        <w:t>(Habibi et al. 2014)</w:t>
      </w:r>
      <w:r>
        <w:rPr>
          <w:rFonts w:eastAsia="Calibri"/>
          <w:szCs w:val="26"/>
        </w:rPr>
        <w:fldChar w:fldCharType="end"/>
      </w:r>
      <w:r w:rsidRPr="00593139">
        <w:t>. A Delphi technique usually has between two and ten rounds and it is reported that three rounds are considered adequate for many studies</w:t>
      </w:r>
      <w:r>
        <w:t xml:space="preserve">  </w:t>
      </w:r>
      <w:r>
        <w:rPr>
          <w:rFonts w:eastAsia="Calibri"/>
          <w:szCs w:val="26"/>
        </w:rPr>
        <w:fldChar w:fldCharType="begin" w:fldLock="1"/>
      </w:r>
      <w:r>
        <w:rPr>
          <w:rFonts w:eastAsia="Calibri"/>
          <w:szCs w:val="26"/>
        </w:rPr>
        <w:instrText>ADDIN CSL_CITATION {"citationItems":[{"id":"ITEM-1","itemData":{"author":[{"dropping-particle":"","family":"Habibi","given":"Arash","non-dropping-particle":"","parse-names":false,"suffix":""},{"dropping-particle":"","family":"Sarafrazi","given":"Azam","non-dropping-particle":"","parse-names":false,"suffix":""},{"dropping-particle":"","family":"Izadyar","given":"Sedigheh","non-dropping-particle":"","parse-names":false,"suffix":""}],"container-title":"International Journal of Engineering Science","id":"ITEM-1","issued":{"date-parts":[["2014","1","1"]]},"page":"8-13","title":"Delphi Technique Theoretical Framework in Qualitative","type":"article-journal","volume":"3"},"uris":["http://www.mendeley.com/documents/?uuid=ce99f6ad-3cbd-4973-89eb-cf90e43861ea"]}],"mendeley":{"formattedCitation":"(Habibi et al. 2014)","plainTextFormattedCitation":"(Habibi et al. 2014)","previouslyFormattedCitation":"(Habibi et al. 2014)"},"properties":{"noteIndex":0},"schema":"https://github.com/citation-style-language/schema/raw/master/csl-citation.json"}</w:instrText>
      </w:r>
      <w:r>
        <w:rPr>
          <w:rFonts w:eastAsia="Calibri"/>
          <w:szCs w:val="26"/>
        </w:rPr>
        <w:fldChar w:fldCharType="separate"/>
      </w:r>
      <w:r w:rsidRPr="00184FBE">
        <w:rPr>
          <w:rFonts w:eastAsia="Calibri"/>
          <w:noProof/>
          <w:szCs w:val="26"/>
        </w:rPr>
        <w:t>(Habibi et al. 2014)</w:t>
      </w:r>
      <w:r>
        <w:rPr>
          <w:rFonts w:eastAsia="Calibri"/>
          <w:szCs w:val="26"/>
        </w:rPr>
        <w:fldChar w:fldCharType="end"/>
      </w:r>
      <w:r w:rsidRPr="00593139">
        <w:t xml:space="preserve"> and a Delphi technique can be a part of a larger evaluation</w:t>
      </w:r>
      <w:r>
        <w:t xml:space="preserve"> </w:t>
      </w:r>
      <w:r>
        <w:rPr>
          <w:rFonts w:eastAsia="Calibri"/>
          <w:szCs w:val="26"/>
        </w:rPr>
        <w:fldChar w:fldCharType="begin" w:fldLock="1"/>
      </w:r>
      <w:r>
        <w:rPr>
          <w:rFonts w:eastAsia="Calibri"/>
          <w:szCs w:val="26"/>
        </w:rPr>
        <w:instrText>ADDIN CSL_CITATION {"citationItems":[{"id":"ITEM-1","itemData":{"author":[{"dropping-particle":"","family":"Rowe","given":"G","non-dropping-particle":"","parse-names":false,"suffix":""},{"dropping-particle":"","family":"Wright","given":"G","non-dropping-particle":"","parse-names":false,"suffix":""}],"container-title":"Technological Forecasting and Social Change","id":"ITEM-1","issue":"9","issued":{"date-parts":[["2011"]]},"page":"1487-1490","title":"The Delphi technique: Past, present, and future prospects — Introduction to the special issue","type":"article-journal","volume":"78"},"uris":["http://www.mendeley.com/documents/?uuid=687f9c6a-433e-4efa-ab7d-a441a34a6682"]}],"mendeley":{"formattedCitation":"(Rowe &amp; Wright 2011)","plainTextFormattedCitation":"(Rowe &amp; Wright 2011)","previouslyFormattedCitation":"(Rowe &amp; Wright 2011)"},"properties":{"noteIndex":0},"schema":"https://github.com/citation-style-language/schema/raw/master/csl-citation.json"}</w:instrText>
      </w:r>
      <w:r>
        <w:rPr>
          <w:rFonts w:eastAsia="Calibri"/>
          <w:szCs w:val="26"/>
        </w:rPr>
        <w:fldChar w:fldCharType="separate"/>
      </w:r>
      <w:r w:rsidRPr="00184FBE">
        <w:rPr>
          <w:rFonts w:eastAsia="Calibri"/>
          <w:noProof/>
          <w:szCs w:val="26"/>
        </w:rPr>
        <w:t>(Rowe &amp; Wright 2011)</w:t>
      </w:r>
      <w:r>
        <w:rPr>
          <w:rFonts w:eastAsia="Calibri"/>
          <w:szCs w:val="26"/>
        </w:rPr>
        <w:fldChar w:fldCharType="end"/>
      </w:r>
      <w:r w:rsidRPr="00593139">
        <w:t>.</w:t>
      </w:r>
    </w:p>
    <w:p w14:paraId="00A96833" w14:textId="57670CC8" w:rsidR="00F81E67" w:rsidRPr="00593139" w:rsidRDefault="00F81E67" w:rsidP="00F81E67">
      <w:pPr>
        <w:pStyle w:val="Paragraph"/>
      </w:pPr>
      <w:r w:rsidRPr="00593139">
        <w:t>The Delphi technique in this study was aligned to the Classical Delphi where the focus is on facts and the objective is the elicit opinion and gain consensu</w:t>
      </w:r>
      <w:r w:rsidR="00184FBE">
        <w:t xml:space="preserve">s </w:t>
      </w:r>
      <w:r w:rsidR="00184FBE">
        <w:rPr>
          <w:rFonts w:eastAsia="Calibri"/>
          <w:szCs w:val="26"/>
        </w:rPr>
        <w:fldChar w:fldCharType="begin" w:fldLock="1"/>
      </w:r>
      <w:r w:rsidR="00184FBE">
        <w:rPr>
          <w:rFonts w:eastAsia="Calibri"/>
          <w:szCs w:val="26"/>
        </w:rPr>
        <w:instrText>ADDIN CSL_CITATION {"citationItems":[{"id":"ITEM-1","itemData":{"ISSN":"14777029","abstract":"Delphi is a frequently used research method in the information systems (IS) field. The last fifteen years have seen many variants of the Delphi Method proposed and used in IS research. However, these variants do not seem to be properly derived; while all variants share certain characteristics, their reasoning for differentiation inconsistently varies. It seems that researchers tend to create \"new\" Delphi Method variants, although the underlying modification of the Delphi Method is, in fact, minor. This leads to a heterogeneity of Delphi Method variants and undermines scientific rigor when using Delphi. The study addresses this deficit and (1) identifies different variants of Delphi and determines their characteristics, (2) critically reflects to what extent a clear distinction between these variants exists, (3) shows the clearly distinguishable Delphi Method variants and their characteristics, (4) develops a proposed taxonomy of Delphi Method variants, and (5) evaluates and applies this taxonomy. The proposed taxonomy helps clearly differentiate Delphi Method variants and enhances methodological rigor when using the Delphi Method.","author":[{"dropping-particle":"","family":"Strasser","given":"Artur","non-dropping-particle":"","parse-names":false,"suffix":""}],"container-title":"Electronic Journal of Business Research Methods","id":"ITEM-1","issue":"2","issued":{"date-parts":[["2017"]]},"page":"120-133","title":"Delphi method variants in information systems research: Taxonomy development and application","type":"article-journal","volume":"15"},"uris":["http://www.mendeley.com/documents/?uuid=e8b3f5d0-16ad-40d5-a099-cd3d4061052f"]}],"mendeley":{"formattedCitation":"(Strasser 2017)","plainTextFormattedCitation":"(Strasser 2017)","previouslyFormattedCitation":"(Strasser 2017)"},"properties":{"noteIndex":0},"schema":"https://github.com/citation-style-language/schema/raw/master/csl-citation.json"}</w:instrText>
      </w:r>
      <w:r w:rsidR="00184FBE">
        <w:rPr>
          <w:rFonts w:eastAsia="Calibri"/>
          <w:szCs w:val="26"/>
        </w:rPr>
        <w:fldChar w:fldCharType="separate"/>
      </w:r>
      <w:r w:rsidR="00184FBE" w:rsidRPr="00184FBE">
        <w:rPr>
          <w:rFonts w:eastAsia="Calibri"/>
          <w:noProof/>
          <w:szCs w:val="26"/>
        </w:rPr>
        <w:t>(Strasser 2017)</w:t>
      </w:r>
      <w:r w:rsidR="00184FBE">
        <w:rPr>
          <w:rFonts w:eastAsia="Calibri"/>
          <w:szCs w:val="26"/>
        </w:rPr>
        <w:fldChar w:fldCharType="end"/>
      </w:r>
      <w:r w:rsidRPr="00593139">
        <w:t>. Our technique included a three-stage iterative process which was conducted over three consecutive day</w:t>
      </w:r>
      <w:r w:rsidR="00B71D6B">
        <w:t>s: 5–7 May </w:t>
      </w:r>
      <w:r w:rsidRPr="00593139">
        <w:t>2020 (</w:t>
      </w:r>
      <w:r w:rsidR="00B71D6B" w:rsidRPr="00B71D6B">
        <w:rPr>
          <w:rStyle w:val="Italic"/>
        </w:rPr>
        <w:fldChar w:fldCharType="begin"/>
      </w:r>
      <w:r w:rsidR="00B71D6B" w:rsidRPr="00B71D6B">
        <w:rPr>
          <w:rStyle w:val="Italic"/>
        </w:rPr>
        <w:instrText xml:space="preserve"> REF _Ref42520573 \h </w:instrText>
      </w:r>
      <w:r w:rsidR="00B71D6B">
        <w:rPr>
          <w:rStyle w:val="Italic"/>
        </w:rPr>
        <w:instrText xml:space="preserve"> \* MERGEFORMAT </w:instrText>
      </w:r>
      <w:r w:rsidR="00B71D6B" w:rsidRPr="00B71D6B">
        <w:rPr>
          <w:rStyle w:val="Italic"/>
        </w:rPr>
      </w:r>
      <w:r w:rsidR="00B71D6B" w:rsidRPr="00B71D6B">
        <w:rPr>
          <w:rStyle w:val="Italic"/>
        </w:rPr>
        <w:fldChar w:fldCharType="separate"/>
      </w:r>
      <w:r w:rsidR="00EB1774" w:rsidRPr="00EB1774">
        <w:rPr>
          <w:rStyle w:val="Italic"/>
        </w:rPr>
        <w:t>Figure C</w:t>
      </w:r>
      <w:r w:rsidR="00EB1774" w:rsidRPr="00EB1774">
        <w:rPr>
          <w:rStyle w:val="Italic"/>
        </w:rPr>
        <w:noBreakHyphen/>
        <w:t>1</w:t>
      </w:r>
      <w:r w:rsidR="00B71D6B" w:rsidRPr="00B71D6B">
        <w:rPr>
          <w:rStyle w:val="Italic"/>
        </w:rPr>
        <w:fldChar w:fldCharType="end"/>
      </w:r>
      <w:r w:rsidRPr="00593139">
        <w:t>). We commenced with a pre-survey to gain individual opinion without any influences (Iteration 1); followed by a 2-hour focus group, which began with a presentation of the RER results and the pre-survey results, followed by a group discussion to elicit individual and group opinions and gain consensus (Iteration 2); and a post-survey, which began with a presentation of the focus group results, to gain individual opinion which may now have been influenced by the previous two iterations (Iteration 3). Key to this Delphi technique was the provision of the RER evidence during the focus group to ensure the consensus process of the expert panel was based on fact.</w:t>
      </w:r>
    </w:p>
    <w:p w14:paraId="62DB8B7E" w14:textId="77777777" w:rsidR="00120921" w:rsidRDefault="00120921">
      <w:bookmarkStart w:id="124" w:name="_Ref42520573"/>
      <w:bookmarkStart w:id="125" w:name="_Ref42520569"/>
      <w:bookmarkStart w:id="126" w:name="_Toc60999879"/>
      <w:r>
        <w:br w:type="page"/>
      </w:r>
    </w:p>
    <w:p w14:paraId="25AA73C5" w14:textId="69A10F79" w:rsidR="00F81E67" w:rsidRPr="00593139" w:rsidRDefault="00AB4782" w:rsidP="00217053">
      <w:r w:rsidRPr="00593139">
        <w:lastRenderedPageBreak/>
        <w:t>Figure </w:t>
      </w:r>
      <w:r w:rsidRPr="00593139">
        <w:fldChar w:fldCharType="begin"/>
      </w:r>
      <w:r w:rsidRPr="00593139">
        <w:instrText xml:space="preserve"> STYLEREF 5 \s </w:instrText>
      </w:r>
      <w:r w:rsidRPr="00593139">
        <w:fldChar w:fldCharType="separate"/>
      </w:r>
      <w:r w:rsidR="00EB1774">
        <w:rPr>
          <w:noProof/>
        </w:rPr>
        <w:t>C</w:t>
      </w:r>
      <w:r w:rsidRPr="00593139">
        <w:rPr>
          <w:noProof/>
        </w:rPr>
        <w:fldChar w:fldCharType="end"/>
      </w:r>
      <w:r w:rsidR="006562A7">
        <w:rPr>
          <w:noProof/>
        </w:rPr>
        <w:t>-1</w:t>
      </w:r>
      <w:bookmarkEnd w:id="124"/>
      <w:r w:rsidRPr="00593139">
        <w:t>:</w:t>
      </w:r>
      <w:r w:rsidRPr="00593139">
        <w:tab/>
      </w:r>
      <w:r w:rsidR="00F81E67" w:rsidRPr="00593139">
        <w:t>Delphi technique demonstrating the three-stage iterative process</w:t>
      </w:r>
      <w:bookmarkEnd w:id="125"/>
      <w:bookmarkEnd w:id="126"/>
    </w:p>
    <w:p w14:paraId="17281CAB" w14:textId="77777777" w:rsidR="00F81E67" w:rsidRPr="00593139" w:rsidRDefault="00F81E67" w:rsidP="00D326C3">
      <w:r w:rsidRPr="00593139">
        <w:rPr>
          <w:noProof/>
          <w:lang w:val="en-AU" w:eastAsia="en-AU"/>
        </w:rPr>
        <w:drawing>
          <wp:inline distT="0" distB="0" distL="0" distR="0" wp14:anchorId="0579DD93" wp14:editId="0616C1BC">
            <wp:extent cx="5227955" cy="5139805"/>
            <wp:effectExtent l="0" t="0" r="0" b="22860"/>
            <wp:docPr id="15" name="Diagram 15" descr="Iteration 1: 5 May 2020 - pre-survey (n=9) - individual opinion without influence.&#10;Iteration 2: 6 May 2020 - Focus Group (n=9) - group opinion with feedback from the RER and the pre-survey.&#10;Iteration 3: 7 May 2020 - post-survey (n=9) - individual opinion with influence from the previous two iter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88BB6BE" w14:textId="1263E60B" w:rsidR="00F81E67" w:rsidRPr="00593139" w:rsidRDefault="00F81E67" w:rsidP="00F81E67">
      <w:pPr>
        <w:pStyle w:val="Paragraph"/>
      </w:pPr>
      <w:r w:rsidRPr="00593139">
        <w:t xml:space="preserve">The two surveys were administered on a Qualtrics server and were sent to the panel members via email which included a link to the survey. The focus group was not in person, instead it was held via an on-line platform </w:t>
      </w:r>
      <w:r w:rsidR="002F65BC">
        <w:t>zoom</w:t>
      </w:r>
      <w:r w:rsidRPr="00593139">
        <w:t xml:space="preserve"> due to the national COVID-19 social restrictions in place at the time the Delphi technique was administered. Anonymity of the participants was maintained for the first </w:t>
      </w:r>
      <w:r w:rsidR="004E2F56" w:rsidRPr="00593139">
        <w:t>iteration;</w:t>
      </w:r>
      <w:r w:rsidRPr="00593139">
        <w:t xml:space="preserve"> </w:t>
      </w:r>
      <w:r w:rsidR="004E2F56" w:rsidRPr="00593139">
        <w:t>however,</w:t>
      </w:r>
      <w:r w:rsidRPr="00593139">
        <w:t xml:space="preserve"> this was not maintained for the next two iterations when the panellists were introduced to each other at the start of the focus group. The focus group was facilitated by one of the AHA team members to ensure that all panel members had an opportunity to contribute and be heard. During the focus group additional members of the AHA team were present to introduce the project, provide contextual background information, note comments written in the “comments” function on the online platform, and transcribe the focus group verbatim. To assist with the transcription, the focus group was recorded.</w:t>
      </w:r>
    </w:p>
    <w:p w14:paraId="02EE815A" w14:textId="77777777" w:rsidR="00F81E67" w:rsidRPr="00593139" w:rsidRDefault="00F81E67" w:rsidP="00217053">
      <w:pPr>
        <w:pStyle w:val="Heading2"/>
      </w:pPr>
      <w:r w:rsidRPr="00593139">
        <w:lastRenderedPageBreak/>
        <w:t xml:space="preserve">Delphi expert panel selection </w:t>
      </w:r>
    </w:p>
    <w:p w14:paraId="12E50382" w14:textId="77777777" w:rsidR="00F81E67" w:rsidRPr="00593139" w:rsidRDefault="00F81E67" w:rsidP="00D326C3">
      <w:pPr>
        <w:pStyle w:val="ParaKeep"/>
      </w:pPr>
      <w:r w:rsidRPr="00593139">
        <w:t>This Delphi technique aimed to have 8 to 10 panel members with a broad range of expertise and lived experience. Potential panel members were targeted to cover the following range of expertise and lived experience:</w:t>
      </w:r>
    </w:p>
    <w:p w14:paraId="76C45357" w14:textId="77777777" w:rsidR="00F81E67" w:rsidRPr="00524988" w:rsidRDefault="00F81E67" w:rsidP="007472A7">
      <w:pPr>
        <w:pStyle w:val="List1"/>
        <w:numPr>
          <w:ilvl w:val="0"/>
          <w:numId w:val="42"/>
        </w:numPr>
        <w:ind w:left="851"/>
      </w:pPr>
      <w:r w:rsidRPr="00524988">
        <w:t>Lived experience using, or caring for someone with, AT</w:t>
      </w:r>
    </w:p>
    <w:p w14:paraId="64BE1B87" w14:textId="77777777" w:rsidR="00F81E67" w:rsidRPr="00524988" w:rsidRDefault="00F81E67" w:rsidP="007472A7">
      <w:pPr>
        <w:pStyle w:val="List1"/>
        <w:ind w:left="851"/>
      </w:pPr>
      <w:r w:rsidRPr="00524988">
        <w:t>Health economics</w:t>
      </w:r>
    </w:p>
    <w:p w14:paraId="6C32EBAC" w14:textId="77777777" w:rsidR="00F81E67" w:rsidRPr="00524988" w:rsidRDefault="00F81E67" w:rsidP="007472A7">
      <w:pPr>
        <w:pStyle w:val="List1"/>
        <w:ind w:left="851"/>
      </w:pPr>
      <w:r w:rsidRPr="00524988">
        <w:t>Government perspective</w:t>
      </w:r>
    </w:p>
    <w:p w14:paraId="78881952" w14:textId="2FBC0FE1" w:rsidR="00F81E67" w:rsidRPr="00593139" w:rsidRDefault="00F81E67" w:rsidP="007472A7">
      <w:pPr>
        <w:pStyle w:val="List1"/>
        <w:ind w:left="851"/>
      </w:pPr>
      <w:r w:rsidRPr="00524988">
        <w:t>AT and reablement</w:t>
      </w:r>
      <w:r w:rsidRPr="00593139">
        <w:t xml:space="preserve"> service provision &amp; service leadership</w:t>
      </w:r>
      <w:r w:rsidR="00E42EC5">
        <w:t>.</w:t>
      </w:r>
    </w:p>
    <w:p w14:paraId="778093EA" w14:textId="77777777" w:rsidR="00F81E67" w:rsidRPr="00593139" w:rsidRDefault="00F81E67" w:rsidP="00D326C3">
      <w:pPr>
        <w:pStyle w:val="Paragraph"/>
      </w:pPr>
      <w:r w:rsidRPr="00593139">
        <w:t>Potential panel members were contacted via email. The email outlined the project, the planned Delphi technique and the commitment which was required by the panel members. It was noted that participation was voluntary and that the decision to participate (or not) would not influence current or future relationships with the AHA team.</w:t>
      </w:r>
    </w:p>
    <w:p w14:paraId="1AB77A3C" w14:textId="77777777" w:rsidR="00F81E67" w:rsidRPr="00593139" w:rsidRDefault="00F81E67" w:rsidP="00217053">
      <w:pPr>
        <w:pStyle w:val="Heading2"/>
      </w:pPr>
      <w:r w:rsidRPr="00593139">
        <w:t>Focus of the Delphi questions</w:t>
      </w:r>
    </w:p>
    <w:p w14:paraId="0BD91DF3" w14:textId="7127CF3B" w:rsidR="00F81E67" w:rsidRPr="00184FBE" w:rsidRDefault="00F81E67" w:rsidP="00247740">
      <w:pPr>
        <w:pStyle w:val="ParaKeep"/>
        <w:rPr>
          <w:rFonts w:eastAsia="Calibri"/>
          <w:szCs w:val="26"/>
        </w:rPr>
      </w:pPr>
      <w:r w:rsidRPr="00593139">
        <w:t>The questions in the Delphi technique were designed to draw out the qualitative and quantitative benefits of AT for older Australians. This was in recognition that not all benefits could be quantified by a dollar value. A copy of the full question set is available on request. The same format of questions was used for the pre-survey, the focus group and the post-survey. Section 1 started broadly, gathering demographic information and asking the panel “when you think of AT, what images come to mind? What benefits come to mind?”. This approach allowed us to understand the different perspectives that each of the panellist brought to the Delphi technique. Section 2 and 3 asked a number of questions which were scored on a 7-point Likert scale. The 7-point Likert scale was chosen due to the appropriateness of a Likert scale in capturing expert opinion within the Delphi technique and due to the correlation between a 7-point scale and t-test results</w:t>
      </w:r>
      <w:r w:rsidR="00184FBE">
        <w:t xml:space="preserve"> </w:t>
      </w:r>
      <w:bookmarkStart w:id="127" w:name="_Hlk42690084"/>
      <w:r w:rsidR="00184FBE">
        <w:rPr>
          <w:rFonts w:eastAsia="Calibri"/>
          <w:szCs w:val="26"/>
        </w:rPr>
        <w:fldChar w:fldCharType="begin" w:fldLock="1"/>
      </w:r>
      <w:r w:rsidR="00184FBE">
        <w:rPr>
          <w:rFonts w:eastAsia="Calibri"/>
          <w:szCs w:val="26"/>
        </w:rPr>
        <w:instrText>ADDIN CSL_CITATION {"citationItems":[{"id":"ITEM-1","itemData":{"author":[{"dropping-particle":"","family":"Habibi","given":"Arash","non-dropping-particle":"","parse-names":false,"suffix":""},{"dropping-particle":"","family":"Sarafrazi","given":"Azam","non-dropping-particle":"","parse-names":false,"suffix":""},{"dropping-particle":"","family":"Izadyar","given":"Sedigheh","non-dropping-particle":"","parse-names":false,"suffix":""}],"container-title":"International Journal of Engineering Science","id":"ITEM-1","issued":{"date-parts":[["2014","1","1"]]},"page":"8-13","title":"Delphi Technique Theoretical Framework in Qualitative","type":"article-journal","volume":"3"},"uris":["http://www.mendeley.com/documents/?uuid=ce99f6ad-3cbd-4973-89eb-cf90e43861ea"]}],"mendeley":{"formattedCitation":"(Habibi et al. 2014)","plainTextFormattedCitation":"(Habibi et al. 2014)","previouslyFormattedCitation":"(Habibi et al. 2014)"},"properties":{"noteIndex":0},"schema":"https://github.com/citation-style-language/schema/raw/master/csl-citation.json"}</w:instrText>
      </w:r>
      <w:r w:rsidR="00184FBE">
        <w:rPr>
          <w:rFonts w:eastAsia="Calibri"/>
          <w:szCs w:val="26"/>
        </w:rPr>
        <w:fldChar w:fldCharType="separate"/>
      </w:r>
      <w:r w:rsidR="00184FBE" w:rsidRPr="00184FBE">
        <w:rPr>
          <w:rFonts w:eastAsia="Calibri"/>
          <w:noProof/>
          <w:szCs w:val="26"/>
        </w:rPr>
        <w:t>(Habibi et al. 2014)</w:t>
      </w:r>
      <w:r w:rsidR="00184FBE">
        <w:rPr>
          <w:rFonts w:eastAsia="Calibri"/>
          <w:szCs w:val="26"/>
        </w:rPr>
        <w:fldChar w:fldCharType="end"/>
      </w:r>
      <w:bookmarkEnd w:id="127"/>
      <w:r w:rsidRPr="00593139">
        <w:t>. Section</w:t>
      </w:r>
      <w:r w:rsidR="00ED6ACE">
        <w:t>s</w:t>
      </w:r>
      <w:r w:rsidRPr="00593139">
        <w:t xml:space="preserve"> 2 and 3 also asked about unpaid informal care, paid carer support and paid formal care. These were defined as:</w:t>
      </w:r>
      <w:r w:rsidR="00184FBE">
        <w:t xml:space="preserve"> </w:t>
      </w:r>
    </w:p>
    <w:p w14:paraId="235EB810" w14:textId="5FA04D62" w:rsidR="00F81E67" w:rsidRPr="00593139" w:rsidRDefault="00F81E67" w:rsidP="00D326C3">
      <w:pPr>
        <w:pStyle w:val="Bullet1"/>
      </w:pPr>
      <w:r w:rsidRPr="00593139">
        <w:rPr>
          <w:u w:val="single"/>
        </w:rPr>
        <w:t>Unpaid informal care</w:t>
      </w:r>
      <w:r w:rsidR="00861912">
        <w:t xml:space="preserve"> – </w:t>
      </w:r>
      <w:r w:rsidRPr="00593139">
        <w:t>this is when family, friends and volunteers who help the person without payment</w:t>
      </w:r>
    </w:p>
    <w:p w14:paraId="03C80DEA" w14:textId="6D7FDFD2" w:rsidR="00F81E67" w:rsidRPr="00593139" w:rsidRDefault="00F81E67" w:rsidP="00D326C3">
      <w:pPr>
        <w:pStyle w:val="Bullet1"/>
      </w:pPr>
      <w:r w:rsidRPr="00593139">
        <w:rPr>
          <w:u w:val="single"/>
        </w:rPr>
        <w:t>Paid carer support</w:t>
      </w:r>
      <w:r w:rsidR="00861912">
        <w:t xml:space="preserve"> – </w:t>
      </w:r>
      <w:r w:rsidRPr="00593139">
        <w:t>this is when you family receives payment to care for the person (e.g. the daughter is on a carers allowance to support her father at home)</w:t>
      </w:r>
    </w:p>
    <w:p w14:paraId="2CCA8427" w14:textId="54153A0E" w:rsidR="00F81E67" w:rsidRPr="00593139" w:rsidRDefault="00F81E67" w:rsidP="00D326C3">
      <w:pPr>
        <w:pStyle w:val="Bullet1"/>
      </w:pPr>
      <w:r w:rsidRPr="00593139">
        <w:rPr>
          <w:u w:val="single"/>
        </w:rPr>
        <w:t>Paid formal care</w:t>
      </w:r>
      <w:r w:rsidR="00861912">
        <w:t xml:space="preserve"> – </w:t>
      </w:r>
      <w:r w:rsidRPr="00593139">
        <w:t>this includes supports such as domestic assistance, personal care through the local council or an agency, meal support and gardening support</w:t>
      </w:r>
      <w:r w:rsidR="00AA69F0">
        <w:t>.</w:t>
      </w:r>
    </w:p>
    <w:p w14:paraId="703CA435" w14:textId="77777777" w:rsidR="00F81E67" w:rsidRPr="00593139" w:rsidRDefault="00F81E67" w:rsidP="00F81E67">
      <w:pPr>
        <w:pStyle w:val="Paragraph"/>
      </w:pPr>
      <w:r w:rsidRPr="00593139">
        <w:t xml:space="preserve">Section 2 used the 7-point Likert scale to ask panellists about the potential benefits of using AT in the home and in the community and these focussed on user wellbeing, user independence and participation in the home and in the community, as well as reduced user risks such as falls and burns in the kitchen. As noted in the RER, these areas had been identified as potential benefits of AT, however they had not been quantified by a dollar value. Section 2 then asked panellists about the potential benefits of using AT for families and carers. These questions are focussed on reducing safety risks for unpaid informal care support, improving carer satisfaction and reduce the hours for unpaid informal care support. Section 2 then asked panellists about the potential benefits of using AT for the health and aged care system through reduced hours for paid carer support, reduced GP visits, reduced hospitalisations through the emergency department, </w:t>
      </w:r>
      <w:r w:rsidRPr="00593139">
        <w:lastRenderedPageBreak/>
        <w:t>reduced days in respite care and reducing or delaying the need for residential care. As noted in the RER, these areas had been identified as potential benefits of AT and they have been quantified by a dollar value.</w:t>
      </w:r>
    </w:p>
    <w:p w14:paraId="56394CB2" w14:textId="4431AB93" w:rsidR="00E31056" w:rsidRDefault="006C04AE" w:rsidP="00D326C3">
      <w:pPr>
        <w:pStyle w:val="ParaKeep"/>
      </w:pPr>
      <w:r w:rsidRPr="00593139">
        <w:t xml:space="preserve">These four Archetypes were selected </w:t>
      </w:r>
      <w:r>
        <w:t>as follows</w:t>
      </w:r>
      <w:r w:rsidR="00513818">
        <w:t xml:space="preserve"> </w:t>
      </w:r>
      <w:r w:rsidR="00F81E67" w:rsidRPr="00593139">
        <w:t>that were</w:t>
      </w:r>
      <w:r w:rsidR="00E31056">
        <w:t>:</w:t>
      </w:r>
    </w:p>
    <w:p w14:paraId="34634E0D" w14:textId="444F8E2A" w:rsidR="00E31056" w:rsidRDefault="00F81E67" w:rsidP="00E31056">
      <w:pPr>
        <w:pStyle w:val="Bullet1"/>
      </w:pPr>
      <w:r w:rsidRPr="00593139">
        <w:t xml:space="preserve"> Person 1: </w:t>
      </w:r>
      <w:r w:rsidR="00F33447">
        <w:t>Mrs </w:t>
      </w:r>
      <w:r w:rsidRPr="00593139">
        <w:t>A</w:t>
      </w:r>
      <w:r w:rsidR="00DF7A69">
        <w:t xml:space="preserve"> - Mild impairment</w:t>
      </w:r>
    </w:p>
    <w:p w14:paraId="34C1E258" w14:textId="7160EE8C" w:rsidR="00E31056" w:rsidRDefault="00F81E67" w:rsidP="00E31056">
      <w:pPr>
        <w:pStyle w:val="Bullet1"/>
      </w:pPr>
      <w:r w:rsidRPr="00593139">
        <w:t xml:space="preserve"> Person 2: </w:t>
      </w:r>
      <w:r w:rsidR="00F33447">
        <w:t>Mr </w:t>
      </w:r>
      <w:r w:rsidRPr="00593139">
        <w:t>B</w:t>
      </w:r>
      <w:r w:rsidR="00DF7A69">
        <w:t xml:space="preserve"> - Moderate impairment</w:t>
      </w:r>
    </w:p>
    <w:p w14:paraId="7AA7F94B" w14:textId="588830D3" w:rsidR="00E31056" w:rsidRDefault="00F81E67" w:rsidP="00E31056">
      <w:pPr>
        <w:pStyle w:val="Bullet1"/>
      </w:pPr>
      <w:r w:rsidRPr="00593139">
        <w:t xml:space="preserve"> Person 3: </w:t>
      </w:r>
      <w:r w:rsidR="00F33447">
        <w:t>Ms </w:t>
      </w:r>
      <w:r w:rsidRPr="00593139">
        <w:t>C</w:t>
      </w:r>
      <w:r w:rsidR="00DF7A69">
        <w:t xml:space="preserve"> - Severe impairment </w:t>
      </w:r>
    </w:p>
    <w:p w14:paraId="250CE47D" w14:textId="275DB14A" w:rsidR="00E31056" w:rsidRDefault="00F81E67" w:rsidP="00E31056">
      <w:pPr>
        <w:pStyle w:val="Bullet1"/>
      </w:pPr>
      <w:r w:rsidRPr="00593139">
        <w:t xml:space="preserve">Person 4: </w:t>
      </w:r>
      <w:r w:rsidR="00F33447">
        <w:t>Mr </w:t>
      </w:r>
      <w:r w:rsidRPr="00593139">
        <w:t xml:space="preserve">D </w:t>
      </w:r>
      <w:r w:rsidR="00690B42">
        <w:t xml:space="preserve">- </w:t>
      </w:r>
      <w:r w:rsidR="00DF7A69">
        <w:t>Profound impairment</w:t>
      </w:r>
    </w:p>
    <w:p w14:paraId="45E9DD3A" w14:textId="4A2DE6FF" w:rsidR="008F0B6A" w:rsidRDefault="006551F0" w:rsidP="00D326C3">
      <w:pPr>
        <w:pStyle w:val="ParaKeep"/>
      </w:pPr>
      <w:r w:rsidRPr="00E31056">
        <w:rPr>
          <w:i/>
          <w:iCs/>
        </w:rPr>
        <w:t>Table C-1</w:t>
      </w:r>
      <w:r w:rsidR="008F0B6A">
        <w:t xml:space="preserve"> </w:t>
      </w:r>
      <w:r>
        <w:t>describes each Archetype.</w:t>
      </w:r>
      <w:r w:rsidR="00F81E67" w:rsidRPr="00593139">
        <w:t>. Each Archetype had a summary of</w:t>
      </w:r>
      <w:r w:rsidR="008F0B6A">
        <w:t>:</w:t>
      </w:r>
    </w:p>
    <w:p w14:paraId="542F1AC3" w14:textId="642E43A0" w:rsidR="008F0B6A" w:rsidRDefault="00690B42" w:rsidP="008F0B6A">
      <w:pPr>
        <w:pStyle w:val="Bullet1"/>
      </w:pPr>
      <w:r w:rsidRPr="00593139">
        <w:t xml:space="preserve">The </w:t>
      </w:r>
      <w:r w:rsidR="00F81E67" w:rsidRPr="00593139">
        <w:t>person</w:t>
      </w:r>
      <w:r w:rsidR="00614E9F">
        <w:t>’</w:t>
      </w:r>
      <w:r w:rsidR="00F81E67" w:rsidRPr="00593139">
        <w:t>s social, medical and functional history</w:t>
      </w:r>
    </w:p>
    <w:p w14:paraId="44761FF5" w14:textId="0DA1E9E1" w:rsidR="008F0B6A" w:rsidRDefault="00690B42" w:rsidP="008F0B6A">
      <w:pPr>
        <w:pStyle w:val="Bullet1"/>
      </w:pPr>
      <w:r w:rsidRPr="00593139">
        <w:t xml:space="preserve">The </w:t>
      </w:r>
      <w:r w:rsidR="00F81E67" w:rsidRPr="00593139">
        <w:t>AT products and services recommended</w:t>
      </w:r>
    </w:p>
    <w:p w14:paraId="668BEEF8" w14:textId="6C28336B" w:rsidR="008F0B6A" w:rsidRDefault="00690B42" w:rsidP="008F0B6A">
      <w:pPr>
        <w:pStyle w:val="Bullet1"/>
      </w:pPr>
      <w:r w:rsidRPr="00593139">
        <w:t xml:space="preserve">The </w:t>
      </w:r>
      <w:r w:rsidR="00F81E67" w:rsidRPr="00593139">
        <w:t xml:space="preserve">previous 12 months (pre access to AT) utilisation and access to support for unpaid informal care, paid carer support, paid formal care, GP visits, hospital admissions through the emergency department, days a day program and days in respite care, as well as the number of falls. </w:t>
      </w:r>
    </w:p>
    <w:p w14:paraId="2A1035E7" w14:textId="77777777" w:rsidR="00802EBF" w:rsidRDefault="00F81E67" w:rsidP="00247740">
      <w:pPr>
        <w:pStyle w:val="ParaKeep"/>
      </w:pPr>
      <w:r w:rsidRPr="00593139">
        <w:t xml:space="preserve">The questions asked </w:t>
      </w:r>
      <w:r w:rsidR="008F0B6A">
        <w:t>sought</w:t>
      </w:r>
      <w:r w:rsidR="00802EBF">
        <w:t>:</w:t>
      </w:r>
    </w:p>
    <w:p w14:paraId="6AD1190C" w14:textId="77777777" w:rsidR="00802EBF" w:rsidRDefault="00802EBF" w:rsidP="00802EBF">
      <w:pPr>
        <w:pStyle w:val="Bullet1"/>
      </w:pPr>
      <w:r>
        <w:t xml:space="preserve">A </w:t>
      </w:r>
      <w:r w:rsidR="00F81E67" w:rsidRPr="00593139">
        <w:t xml:space="preserve">rating on the 7-point Likert scale </w:t>
      </w:r>
    </w:p>
    <w:p w14:paraId="7332E1C7" w14:textId="77777777" w:rsidR="00802EBF" w:rsidRDefault="00802EBF" w:rsidP="00802EBF">
      <w:pPr>
        <w:pStyle w:val="Bullet1"/>
      </w:pPr>
      <w:r>
        <w:t>Q</w:t>
      </w:r>
      <w:r w:rsidR="00F81E67" w:rsidRPr="00593139">
        <w:t xml:space="preserve">uantified changes to the previous 12 months (pre access to AT) utilisation and access to support projected for the following 12 months (post access to AT). </w:t>
      </w:r>
    </w:p>
    <w:p w14:paraId="202B77EC" w14:textId="0B3C9DFA" w:rsidR="00513818" w:rsidRDefault="00F81E67" w:rsidP="00802EBF">
      <w:pPr>
        <w:pStyle w:val="Paragraph"/>
      </w:pPr>
      <w:r w:rsidRPr="00593139">
        <w:t>For the focus group and the post-survey, the panel were instructed “When answering the questions about the four AT users, please base your responses on the assumption that there is no change in function status or disease progression, therefore the only difference is the access to AT”.</w:t>
      </w:r>
    </w:p>
    <w:p w14:paraId="61746F80" w14:textId="3EB77C61" w:rsidR="00F81E67" w:rsidRPr="00593139" w:rsidRDefault="00F81E67" w:rsidP="00247740">
      <w:pPr>
        <w:pStyle w:val="ParaKeep"/>
      </w:pPr>
      <w:r w:rsidRPr="00593139">
        <w:t>The cost of the AT was not presented in the surveys nor was it discussed in the focus group. This was because the focus was on the benefits, not the cost of the AT. To allow a cost benefit analysis, the cost of the AT products and kits have been calculated using are noted below:</w:t>
      </w:r>
    </w:p>
    <w:p w14:paraId="4AE67138" w14:textId="1AFD26AB" w:rsidR="00F81E67" w:rsidRPr="00593139" w:rsidRDefault="00F81E67" w:rsidP="00D326C3">
      <w:pPr>
        <w:pStyle w:val="Bullet1"/>
      </w:pPr>
      <w:r w:rsidRPr="00593139">
        <w:t xml:space="preserve">Person 1: </w:t>
      </w:r>
      <w:r w:rsidR="00F33447">
        <w:t>Mrs </w:t>
      </w:r>
      <w:r w:rsidRPr="00593139">
        <w:t>A; these AT products and kits would cost an average of $287 per year</w:t>
      </w:r>
    </w:p>
    <w:p w14:paraId="05924485" w14:textId="218CECD7" w:rsidR="00F81E67" w:rsidRPr="00593139" w:rsidRDefault="00F81E67" w:rsidP="00D326C3">
      <w:pPr>
        <w:pStyle w:val="Bullet1"/>
      </w:pPr>
      <w:r w:rsidRPr="00593139">
        <w:t xml:space="preserve">Person 2: </w:t>
      </w:r>
      <w:r w:rsidR="00F33447">
        <w:t>Mr </w:t>
      </w:r>
      <w:r w:rsidRPr="00593139">
        <w:t>B; these AT products and kits would cost an average of $40 per year</w:t>
      </w:r>
    </w:p>
    <w:p w14:paraId="575B4741" w14:textId="742FA787" w:rsidR="00F81E67" w:rsidRPr="00593139" w:rsidRDefault="00F81E67" w:rsidP="00D326C3">
      <w:pPr>
        <w:pStyle w:val="Bullet1"/>
      </w:pPr>
      <w:r w:rsidRPr="00593139">
        <w:t xml:space="preserve">Person 3: </w:t>
      </w:r>
      <w:r w:rsidR="00F33447">
        <w:t>Ms </w:t>
      </w:r>
      <w:r w:rsidRPr="00593139">
        <w:t>C; these AT products and kits would cost an average of $773 per year, and</w:t>
      </w:r>
    </w:p>
    <w:p w14:paraId="04EE78D6" w14:textId="1F5C8115" w:rsidR="00B71D6B" w:rsidRDefault="00F81E67" w:rsidP="00D326C3">
      <w:pPr>
        <w:pStyle w:val="Bullet1"/>
      </w:pPr>
      <w:r w:rsidRPr="00593139">
        <w:t xml:space="preserve">Person 4: </w:t>
      </w:r>
      <w:r w:rsidR="00F33447">
        <w:t>Mr </w:t>
      </w:r>
      <w:r w:rsidRPr="00593139">
        <w:t>D; these AT products and kits would cost an average of $1,174 per year.</w:t>
      </w:r>
    </w:p>
    <w:p w14:paraId="3B9BB5CB" w14:textId="2CA30473" w:rsidR="00B71D6B" w:rsidRDefault="00B71D6B" w:rsidP="00D326C3">
      <w:pPr>
        <w:pStyle w:val="Bullet1"/>
        <w:sectPr w:rsidR="00B71D6B" w:rsidSect="00FD140E">
          <w:pgSz w:w="11907" w:h="16840" w:code="9"/>
          <w:pgMar w:top="1134" w:right="1134" w:bottom="1134" w:left="1134" w:header="567" w:footer="851" w:gutter="0"/>
          <w:cols w:space="708"/>
          <w:docGrid w:linePitch="360"/>
        </w:sectPr>
      </w:pPr>
    </w:p>
    <w:p w14:paraId="2078B93B" w14:textId="7BD4FE30" w:rsidR="00F81E67" w:rsidRDefault="00D5668A" w:rsidP="00217053">
      <w:bookmarkStart w:id="128" w:name="_Toc60999939"/>
      <w:r w:rsidRPr="008E680E">
        <w:lastRenderedPageBreak/>
        <w:t>Table </w:t>
      </w:r>
      <w:r w:rsidR="00FD5E41">
        <w:fldChar w:fldCharType="begin"/>
      </w:r>
      <w:r w:rsidR="00FD5E41">
        <w:instrText xml:space="preserve"> STYLEREF 5 \s </w:instrText>
      </w:r>
      <w:r w:rsidR="00FD5E41">
        <w:fldChar w:fldCharType="separate"/>
      </w:r>
      <w:r w:rsidR="00EB1774">
        <w:rPr>
          <w:noProof/>
        </w:rPr>
        <w:t>C</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1</w:t>
      </w:r>
      <w:r w:rsidR="00FD5E41">
        <w:fldChar w:fldCharType="end"/>
      </w:r>
      <w:r w:rsidR="00AB4782" w:rsidRPr="00593139">
        <w:t>:</w:t>
      </w:r>
      <w:r w:rsidR="00AB4782" w:rsidRPr="00593139">
        <w:tab/>
      </w:r>
      <w:r w:rsidR="00F81E67" w:rsidRPr="00593139">
        <w:t>The four Archetypes</w:t>
      </w:r>
      <w:bookmarkEnd w:id="128"/>
    </w:p>
    <w:tbl>
      <w:tblPr>
        <w:tblStyle w:val="AHALight"/>
        <w:tblW w:w="0" w:type="auto"/>
        <w:tblLayout w:type="fixed"/>
        <w:tblLook w:val="04A0" w:firstRow="1" w:lastRow="0" w:firstColumn="1" w:lastColumn="0" w:noHBand="0" w:noVBand="1"/>
        <w:tblCaption w:val="table C 1"/>
        <w:tblDescription w:val="4 examples of people with mild, moderate, severe, profound needs and the expected AT products and services "/>
      </w:tblPr>
      <w:tblGrid>
        <w:gridCol w:w="1203"/>
        <w:gridCol w:w="6735"/>
        <w:gridCol w:w="3459"/>
        <w:gridCol w:w="3175"/>
      </w:tblGrid>
      <w:tr w:rsidR="00E138BB" w:rsidRPr="00B71D6B" w14:paraId="201EFDBF" w14:textId="49E2E77E" w:rsidTr="00F34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64E3F5AE" w14:textId="5FB6B9A0" w:rsidR="00E138BB" w:rsidRPr="00B71D6B" w:rsidRDefault="00E138BB" w:rsidP="00A53DA5">
            <w:pPr>
              <w:rPr>
                <w:szCs w:val="20"/>
              </w:rPr>
            </w:pPr>
            <w:r>
              <w:rPr>
                <w:szCs w:val="20"/>
              </w:rPr>
              <w:t>Archetype</w:t>
            </w:r>
          </w:p>
        </w:tc>
        <w:tc>
          <w:tcPr>
            <w:tcW w:w="6735" w:type="dxa"/>
          </w:tcPr>
          <w:p w14:paraId="1854FBFD" w14:textId="5B86BCCA" w:rsidR="00E138BB" w:rsidRPr="00B71D6B" w:rsidRDefault="00E138BB" w:rsidP="00A53DA5">
            <w:pPr>
              <w:cnfStyle w:val="100000000000" w:firstRow="1" w:lastRow="0" w:firstColumn="0" w:lastColumn="0" w:oddVBand="0" w:evenVBand="0" w:oddHBand="0" w:evenHBand="0" w:firstRowFirstColumn="0" w:firstRowLastColumn="0" w:lastRowFirstColumn="0" w:lastRowLastColumn="0"/>
              <w:rPr>
                <w:szCs w:val="20"/>
              </w:rPr>
            </w:pPr>
            <w:r w:rsidRPr="00B71D6B">
              <w:rPr>
                <w:szCs w:val="20"/>
              </w:rPr>
              <w:t>Description</w:t>
            </w:r>
          </w:p>
        </w:tc>
        <w:tc>
          <w:tcPr>
            <w:tcW w:w="3459" w:type="dxa"/>
          </w:tcPr>
          <w:p w14:paraId="0F53E258" w14:textId="0EE6EB77" w:rsidR="00E138BB" w:rsidRPr="00B71D6B" w:rsidRDefault="00E138BB" w:rsidP="00A53DA5">
            <w:pPr>
              <w:cnfStyle w:val="100000000000" w:firstRow="1" w:lastRow="0" w:firstColumn="0" w:lastColumn="0" w:oddVBand="0" w:evenVBand="0" w:oddHBand="0" w:evenHBand="0" w:firstRowFirstColumn="0" w:firstRowLastColumn="0" w:lastRowFirstColumn="0" w:lastRowLastColumn="0"/>
              <w:rPr>
                <w:szCs w:val="20"/>
              </w:rPr>
            </w:pPr>
            <w:r>
              <w:rPr>
                <w:szCs w:val="20"/>
              </w:rPr>
              <w:t>AT Products</w:t>
            </w:r>
          </w:p>
        </w:tc>
        <w:tc>
          <w:tcPr>
            <w:tcW w:w="3175" w:type="dxa"/>
          </w:tcPr>
          <w:p w14:paraId="20D7A724" w14:textId="2BDBA839" w:rsidR="00E138BB" w:rsidRDefault="00E138BB" w:rsidP="00A53DA5">
            <w:pPr>
              <w:cnfStyle w:val="100000000000" w:firstRow="1" w:lastRow="0" w:firstColumn="0" w:lastColumn="0" w:oddVBand="0" w:evenVBand="0" w:oddHBand="0" w:evenHBand="0" w:firstRowFirstColumn="0" w:firstRowLastColumn="0" w:lastRowFirstColumn="0" w:lastRowLastColumn="0"/>
              <w:rPr>
                <w:szCs w:val="20"/>
              </w:rPr>
            </w:pPr>
            <w:r>
              <w:rPr>
                <w:szCs w:val="20"/>
              </w:rPr>
              <w:t>AT Services</w:t>
            </w:r>
          </w:p>
        </w:tc>
      </w:tr>
      <w:tr w:rsidR="00E138BB" w:rsidRPr="00B71D6B" w14:paraId="0E5EA4CC" w14:textId="0C33C5CE" w:rsidTr="00F3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011CA871" w14:textId="2DE2F1F7" w:rsidR="00E138BB" w:rsidRPr="00B71D6B" w:rsidRDefault="00E138BB" w:rsidP="00A53DA5">
            <w:pPr>
              <w:rPr>
                <w:szCs w:val="20"/>
              </w:rPr>
            </w:pPr>
            <w:r w:rsidRPr="00B71D6B">
              <w:rPr>
                <w:szCs w:val="20"/>
              </w:rPr>
              <w:t>Person</w:t>
            </w:r>
            <w:r w:rsidR="00FE64D9">
              <w:rPr>
                <w:szCs w:val="20"/>
              </w:rPr>
              <w:t xml:space="preserve"> 1 – </w:t>
            </w:r>
            <w:r w:rsidR="00F33447">
              <w:rPr>
                <w:szCs w:val="20"/>
              </w:rPr>
              <w:t>Mrs </w:t>
            </w:r>
            <w:r w:rsidRPr="00B71D6B">
              <w:rPr>
                <w:szCs w:val="20"/>
              </w:rPr>
              <w:t>A</w:t>
            </w:r>
          </w:p>
        </w:tc>
        <w:tc>
          <w:tcPr>
            <w:tcW w:w="6735" w:type="dxa"/>
          </w:tcPr>
          <w:p w14:paraId="767BFF04" w14:textId="7FFAFABD" w:rsidR="00E138BB" w:rsidRPr="00B71D6B" w:rsidRDefault="00F33447" w:rsidP="00F34556">
            <w:pPr>
              <w:spacing w:after="120"/>
              <w:cnfStyle w:val="000000100000" w:firstRow="0" w:lastRow="0" w:firstColumn="0" w:lastColumn="0" w:oddVBand="0" w:evenVBand="0" w:oddHBand="1" w:evenHBand="0" w:firstRowFirstColumn="0" w:firstRowLastColumn="0" w:lastRowFirstColumn="0" w:lastRowLastColumn="0"/>
              <w:rPr>
                <w:szCs w:val="20"/>
              </w:rPr>
            </w:pPr>
            <w:r>
              <w:rPr>
                <w:szCs w:val="20"/>
              </w:rPr>
              <w:t>Mrs </w:t>
            </w:r>
            <w:r w:rsidR="00E138BB" w:rsidRPr="00B71D6B">
              <w:rPr>
                <w:szCs w:val="20"/>
              </w:rPr>
              <w:t>A, aged 69, is beginning to notice that it is harder to do some everyday tasks such as cleaning, cutting her toenails and gardening.</w:t>
            </w:r>
            <w:r w:rsidR="004511B3">
              <w:rPr>
                <w:szCs w:val="20"/>
              </w:rPr>
              <w:t xml:space="preserve"> </w:t>
            </w:r>
            <w:r w:rsidR="00E138BB" w:rsidRPr="00B71D6B">
              <w:rPr>
                <w:szCs w:val="20"/>
              </w:rPr>
              <w:t>She is worried about losing her independence and becoming more dependent on her children.</w:t>
            </w:r>
          </w:p>
          <w:p w14:paraId="09618C59" w14:textId="44606BD1" w:rsidR="00E138BB" w:rsidRPr="00B71D6B" w:rsidRDefault="00E138BB" w:rsidP="00F34556">
            <w:pPr>
              <w:spacing w:after="120"/>
              <w:cnfStyle w:val="000000100000" w:firstRow="0" w:lastRow="0" w:firstColumn="0" w:lastColumn="0" w:oddVBand="0" w:evenVBand="0" w:oddHBand="1" w:evenHBand="0" w:firstRowFirstColumn="0" w:firstRowLastColumn="0" w:lastRowFirstColumn="0" w:lastRowLastColumn="0"/>
              <w:rPr>
                <w:szCs w:val="20"/>
              </w:rPr>
            </w:pPr>
            <w:r w:rsidRPr="00B71D6B">
              <w:rPr>
                <w:szCs w:val="20"/>
              </w:rPr>
              <w:t>She was talking with a friend who told her about some products they had found online.</w:t>
            </w:r>
            <w:r w:rsidR="004511B3">
              <w:rPr>
                <w:szCs w:val="20"/>
              </w:rPr>
              <w:t xml:space="preserve"> </w:t>
            </w:r>
            <w:r w:rsidRPr="00B71D6B">
              <w:rPr>
                <w:szCs w:val="20"/>
              </w:rPr>
              <w:t>Her friend referred her to a website that provides ideas, help and advice about simple equipment that might help with daily tasks and help keep her safe. The website listed a range of products such as bathroom, cleaning and gardening aids.</w:t>
            </w:r>
            <w:r w:rsidR="004511B3">
              <w:rPr>
                <w:szCs w:val="20"/>
              </w:rPr>
              <w:t xml:space="preserve"> </w:t>
            </w:r>
            <w:r w:rsidRPr="00B71D6B">
              <w:rPr>
                <w:szCs w:val="20"/>
              </w:rPr>
              <w:t xml:space="preserve">After some more research on the costs of these items, </w:t>
            </w:r>
            <w:r w:rsidR="00F33447">
              <w:rPr>
                <w:szCs w:val="20"/>
              </w:rPr>
              <w:t>Mrs </w:t>
            </w:r>
            <w:r w:rsidRPr="00B71D6B">
              <w:rPr>
                <w:szCs w:val="20"/>
              </w:rPr>
              <w:t>A bought a range of products online and from the local hardware store.</w:t>
            </w:r>
            <w:r w:rsidR="004511B3">
              <w:rPr>
                <w:szCs w:val="20"/>
              </w:rPr>
              <w:t xml:space="preserve"> </w:t>
            </w:r>
            <w:r w:rsidR="00F33447">
              <w:rPr>
                <w:szCs w:val="20"/>
              </w:rPr>
              <w:t>Mrs </w:t>
            </w:r>
            <w:r w:rsidRPr="00B71D6B">
              <w:rPr>
                <w:szCs w:val="20"/>
              </w:rPr>
              <w:t>A does not need to access any formal support services.</w:t>
            </w:r>
          </w:p>
        </w:tc>
        <w:tc>
          <w:tcPr>
            <w:tcW w:w="3459" w:type="dxa"/>
          </w:tcPr>
          <w:p w14:paraId="7128201A" w14:textId="77777777" w:rsidR="00E138BB" w:rsidRPr="00B71D6B" w:rsidRDefault="00E138BB" w:rsidP="00E138BB">
            <w:pPr>
              <w:pStyle w:val="TableHeading2"/>
              <w:cnfStyle w:val="000000100000" w:firstRow="0" w:lastRow="0" w:firstColumn="0" w:lastColumn="0" w:oddVBand="0" w:evenVBand="0" w:oddHBand="1" w:evenHBand="0" w:firstRowFirstColumn="0" w:firstRowLastColumn="0" w:lastRowFirstColumn="0" w:lastRowLastColumn="0"/>
            </w:pPr>
            <w:r w:rsidRPr="00B71D6B">
              <w:t>Bathroom products including:</w:t>
            </w:r>
          </w:p>
          <w:p w14:paraId="2B648BE8" w14:textId="08CECF61"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Long-handled washer/</w:t>
            </w:r>
            <w:r w:rsidRPr="00E138BB">
              <w:t>​</w:t>
            </w:r>
            <w:r w:rsidRPr="00B71D6B">
              <w:t>toe dryer</w:t>
            </w:r>
          </w:p>
          <w:p w14:paraId="4B58084A"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Long-handled sponge</w:t>
            </w:r>
          </w:p>
          <w:p w14:paraId="0B42E3E4"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 xml:space="preserve">Long-handled nail clippers </w:t>
            </w:r>
          </w:p>
          <w:p w14:paraId="202D4F9D" w14:textId="77777777" w:rsidR="00E138BB" w:rsidRPr="00B71D6B" w:rsidRDefault="00E138BB" w:rsidP="00E138BB">
            <w:pPr>
              <w:pStyle w:val="TableHeading2"/>
              <w:cnfStyle w:val="000000100000" w:firstRow="0" w:lastRow="0" w:firstColumn="0" w:lastColumn="0" w:oddVBand="0" w:evenVBand="0" w:oddHBand="1" w:evenHBand="0" w:firstRowFirstColumn="0" w:firstRowLastColumn="0" w:lastRowFirstColumn="0" w:lastRowLastColumn="0"/>
            </w:pPr>
            <w:r w:rsidRPr="00B71D6B">
              <w:t>Cleaning products including:</w:t>
            </w:r>
          </w:p>
          <w:p w14:paraId="0553ECD7"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 xml:space="preserve">Lightweight vacuum </w:t>
            </w:r>
          </w:p>
          <w:p w14:paraId="7FB1AD6C"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 xml:space="preserve">Lightweight mop </w:t>
            </w:r>
          </w:p>
          <w:p w14:paraId="5E5706B6"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 xml:space="preserve">Long-handled reacher </w:t>
            </w:r>
          </w:p>
          <w:p w14:paraId="4BA96555"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 xml:space="preserve">Long-handled dustpan and brush </w:t>
            </w:r>
          </w:p>
          <w:p w14:paraId="3CA15954"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 xml:space="preserve">Long-handled duster </w:t>
            </w:r>
          </w:p>
          <w:p w14:paraId="14ECB121"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Long-handled scrubber</w:t>
            </w:r>
          </w:p>
          <w:p w14:paraId="1321AFB6" w14:textId="29F73A2D"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Long-handled garden equipment</w:t>
            </w:r>
          </w:p>
        </w:tc>
        <w:tc>
          <w:tcPr>
            <w:tcW w:w="3175" w:type="dxa"/>
          </w:tcPr>
          <w:p w14:paraId="39382C61" w14:textId="3300D738"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Online information about costs</w:t>
            </w:r>
          </w:p>
        </w:tc>
      </w:tr>
      <w:tr w:rsidR="00E138BB" w:rsidRPr="00B71D6B" w14:paraId="130E03D4" w14:textId="3B0B5616" w:rsidTr="00F34556">
        <w:tc>
          <w:tcPr>
            <w:cnfStyle w:val="001000000000" w:firstRow="0" w:lastRow="0" w:firstColumn="1" w:lastColumn="0" w:oddVBand="0" w:evenVBand="0" w:oddHBand="0" w:evenHBand="0" w:firstRowFirstColumn="0" w:firstRowLastColumn="0" w:lastRowFirstColumn="0" w:lastRowLastColumn="0"/>
            <w:tcW w:w="1203" w:type="dxa"/>
          </w:tcPr>
          <w:p w14:paraId="31C56C95" w14:textId="746D6EB3" w:rsidR="00E138BB" w:rsidRPr="00B71D6B" w:rsidRDefault="00E138BB" w:rsidP="00B71D6B">
            <w:pPr>
              <w:rPr>
                <w:szCs w:val="20"/>
              </w:rPr>
            </w:pPr>
            <w:r w:rsidRPr="00B71D6B">
              <w:rPr>
                <w:szCs w:val="20"/>
              </w:rPr>
              <w:t>Person</w:t>
            </w:r>
            <w:r w:rsidR="00FE64D9">
              <w:rPr>
                <w:szCs w:val="20"/>
              </w:rPr>
              <w:t> </w:t>
            </w:r>
            <w:r w:rsidRPr="00B71D6B">
              <w:rPr>
                <w:szCs w:val="20"/>
              </w:rPr>
              <w:t>2</w:t>
            </w:r>
            <w:r w:rsidR="00FE64D9">
              <w:rPr>
                <w:szCs w:val="20"/>
              </w:rPr>
              <w:t xml:space="preserve"> – </w:t>
            </w:r>
            <w:r w:rsidR="00F33447">
              <w:rPr>
                <w:szCs w:val="20"/>
              </w:rPr>
              <w:t>Mr </w:t>
            </w:r>
            <w:r w:rsidRPr="00B71D6B">
              <w:rPr>
                <w:szCs w:val="20"/>
              </w:rPr>
              <w:t>B</w:t>
            </w:r>
          </w:p>
        </w:tc>
        <w:tc>
          <w:tcPr>
            <w:tcW w:w="6735" w:type="dxa"/>
          </w:tcPr>
          <w:p w14:paraId="5E8BE560" w14:textId="3522F66C" w:rsidR="00E138BB" w:rsidRDefault="00F33447" w:rsidP="00B71D6B">
            <w:pPr>
              <w:cnfStyle w:val="000000000000" w:firstRow="0" w:lastRow="0" w:firstColumn="0" w:lastColumn="0" w:oddVBand="0" w:evenVBand="0" w:oddHBand="0" w:evenHBand="0" w:firstRowFirstColumn="0" w:firstRowLastColumn="0" w:lastRowFirstColumn="0" w:lastRowLastColumn="0"/>
              <w:rPr>
                <w:szCs w:val="20"/>
              </w:rPr>
            </w:pPr>
            <w:r>
              <w:rPr>
                <w:szCs w:val="20"/>
              </w:rPr>
              <w:t>Mr </w:t>
            </w:r>
            <w:r w:rsidR="00E138BB" w:rsidRPr="00B71D6B">
              <w:rPr>
                <w:szCs w:val="20"/>
              </w:rPr>
              <w:t>B, aged 71, takes regular medications.</w:t>
            </w:r>
            <w:r w:rsidR="004511B3">
              <w:rPr>
                <w:szCs w:val="20"/>
              </w:rPr>
              <w:t xml:space="preserve"> </w:t>
            </w:r>
            <w:r w:rsidR="00E138BB" w:rsidRPr="00B71D6B">
              <w:rPr>
                <w:szCs w:val="20"/>
              </w:rPr>
              <w:t>He exercises daily and maintains a healthy diet.</w:t>
            </w:r>
            <w:r w:rsidR="004511B3">
              <w:rPr>
                <w:szCs w:val="20"/>
              </w:rPr>
              <w:t xml:space="preserve"> </w:t>
            </w:r>
            <w:r w:rsidR="00E138BB" w:rsidRPr="00B71D6B">
              <w:rPr>
                <w:szCs w:val="20"/>
              </w:rPr>
              <w:t>He lives alone and has a good circle of friends.</w:t>
            </w:r>
            <w:r w:rsidR="004511B3">
              <w:rPr>
                <w:szCs w:val="20"/>
              </w:rPr>
              <w:t xml:space="preserve"> </w:t>
            </w:r>
            <w:r w:rsidR="00E138BB" w:rsidRPr="00B71D6B">
              <w:rPr>
                <w:szCs w:val="20"/>
              </w:rPr>
              <w:t>He is independent and manages his daily living tasks himself and rests when needed.</w:t>
            </w:r>
          </w:p>
          <w:p w14:paraId="0044E742" w14:textId="77777777" w:rsidR="00E138BB" w:rsidRDefault="00E138BB" w:rsidP="00F34556">
            <w:pPr>
              <w:spacing w:before="120" w:after="120"/>
              <w:cnfStyle w:val="000000000000" w:firstRow="0" w:lastRow="0" w:firstColumn="0" w:lastColumn="0" w:oddVBand="0" w:evenVBand="0" w:oddHBand="0" w:evenHBand="0" w:firstRowFirstColumn="0" w:firstRowLastColumn="0" w:lastRowFirstColumn="0" w:lastRowLastColumn="0"/>
              <w:rPr>
                <w:szCs w:val="20"/>
              </w:rPr>
            </w:pPr>
            <w:r w:rsidRPr="00B71D6B">
              <w:rPr>
                <w:szCs w:val="20"/>
              </w:rPr>
              <w:t>He gets some assistance with his shopping through a local service and has a private cleaner who comes in every fortnight.</w:t>
            </w:r>
          </w:p>
          <w:p w14:paraId="7DE34B05" w14:textId="71B75BDA" w:rsidR="00E138BB" w:rsidRPr="00B71D6B" w:rsidRDefault="00F33447" w:rsidP="00B71D6B">
            <w:pPr>
              <w:cnfStyle w:val="000000000000" w:firstRow="0" w:lastRow="0" w:firstColumn="0" w:lastColumn="0" w:oddVBand="0" w:evenVBand="0" w:oddHBand="0" w:evenHBand="0" w:firstRowFirstColumn="0" w:firstRowLastColumn="0" w:lastRowFirstColumn="0" w:lastRowLastColumn="0"/>
              <w:rPr>
                <w:szCs w:val="20"/>
              </w:rPr>
            </w:pPr>
            <w:r>
              <w:rPr>
                <w:szCs w:val="20"/>
              </w:rPr>
              <w:t>Mr </w:t>
            </w:r>
            <w:r w:rsidR="00E138BB" w:rsidRPr="00B71D6B">
              <w:rPr>
                <w:szCs w:val="20"/>
              </w:rPr>
              <w:t>B is experiencing increasing mobility issues that leave him prone to slips and falls.</w:t>
            </w:r>
            <w:r w:rsidR="004511B3">
              <w:rPr>
                <w:szCs w:val="20"/>
              </w:rPr>
              <w:t xml:space="preserve"> </w:t>
            </w:r>
            <w:r w:rsidR="00E138BB" w:rsidRPr="00B71D6B">
              <w:rPr>
                <w:szCs w:val="20"/>
              </w:rPr>
              <w:t xml:space="preserve">However, </w:t>
            </w:r>
            <w:r>
              <w:rPr>
                <w:szCs w:val="20"/>
              </w:rPr>
              <w:t>Mr </w:t>
            </w:r>
            <w:r w:rsidR="00E138BB" w:rsidRPr="00B71D6B">
              <w:rPr>
                <w:szCs w:val="20"/>
              </w:rPr>
              <w:t>B does not consider himself frail and does not accept that he needs any support from aged care services.</w:t>
            </w:r>
            <w:r w:rsidR="004511B3">
              <w:rPr>
                <w:szCs w:val="20"/>
              </w:rPr>
              <w:t xml:space="preserve"> </w:t>
            </w:r>
            <w:r w:rsidR="00E138BB" w:rsidRPr="00B71D6B">
              <w:rPr>
                <w:szCs w:val="20"/>
              </w:rPr>
              <w:t>He heard from friends that he could get an independent consultation to look at AT options, particularly mobility aids.</w:t>
            </w:r>
            <w:r w:rsidR="004511B3">
              <w:rPr>
                <w:szCs w:val="20"/>
              </w:rPr>
              <w:t xml:space="preserve"> </w:t>
            </w:r>
            <w:r w:rsidR="00E138BB" w:rsidRPr="00B71D6B">
              <w:rPr>
                <w:szCs w:val="20"/>
              </w:rPr>
              <w:t>He visited an Independent Living Centre and had an AT consultation.</w:t>
            </w:r>
          </w:p>
        </w:tc>
        <w:tc>
          <w:tcPr>
            <w:tcW w:w="3459" w:type="dxa"/>
          </w:tcPr>
          <w:p w14:paraId="13C1F62E" w14:textId="6EB9D2E8"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Four-wheeled walker</w:t>
            </w:r>
          </w:p>
        </w:tc>
        <w:tc>
          <w:tcPr>
            <w:tcW w:w="3175" w:type="dxa"/>
          </w:tcPr>
          <w:p w14:paraId="3CF26375" w14:textId="6374C4F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AT consultation at the Independent Living Centre</w:t>
            </w:r>
          </w:p>
        </w:tc>
      </w:tr>
      <w:tr w:rsidR="00E138BB" w:rsidRPr="00B71D6B" w14:paraId="413BB37D" w14:textId="39DE54B3" w:rsidTr="00F3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11349A5A" w14:textId="4E47ECBE" w:rsidR="00E138BB" w:rsidRPr="00B71D6B" w:rsidRDefault="00E138BB" w:rsidP="00B71D6B">
            <w:pPr>
              <w:rPr>
                <w:szCs w:val="20"/>
              </w:rPr>
            </w:pPr>
            <w:r w:rsidRPr="00B71D6B">
              <w:rPr>
                <w:szCs w:val="20"/>
              </w:rPr>
              <w:lastRenderedPageBreak/>
              <w:t>Person</w:t>
            </w:r>
            <w:r w:rsidR="00FE64D9">
              <w:rPr>
                <w:szCs w:val="20"/>
              </w:rPr>
              <w:t> </w:t>
            </w:r>
            <w:r w:rsidRPr="00B71D6B">
              <w:rPr>
                <w:szCs w:val="20"/>
              </w:rPr>
              <w:t>3</w:t>
            </w:r>
            <w:r w:rsidR="00FE64D9">
              <w:rPr>
                <w:szCs w:val="20"/>
              </w:rPr>
              <w:t xml:space="preserve"> – </w:t>
            </w:r>
            <w:r w:rsidR="00F33447">
              <w:rPr>
                <w:szCs w:val="20"/>
              </w:rPr>
              <w:t>Ms </w:t>
            </w:r>
            <w:r w:rsidRPr="00B71D6B">
              <w:rPr>
                <w:szCs w:val="20"/>
              </w:rPr>
              <w:t>C</w:t>
            </w:r>
          </w:p>
        </w:tc>
        <w:tc>
          <w:tcPr>
            <w:tcW w:w="6735" w:type="dxa"/>
          </w:tcPr>
          <w:p w14:paraId="2E118CFA" w14:textId="2EF9FF45" w:rsidR="00E138BB" w:rsidRPr="00E138BB" w:rsidRDefault="00F33447" w:rsidP="00E138BB">
            <w:pPr>
              <w:cnfStyle w:val="000000100000" w:firstRow="0" w:lastRow="0" w:firstColumn="0" w:lastColumn="0" w:oddVBand="0" w:evenVBand="0" w:oddHBand="1" w:evenHBand="0" w:firstRowFirstColumn="0" w:firstRowLastColumn="0" w:lastRowFirstColumn="0" w:lastRowLastColumn="0"/>
            </w:pPr>
            <w:r>
              <w:t>Ms </w:t>
            </w:r>
            <w:r w:rsidR="00E138BB" w:rsidRPr="00E138BB">
              <w:t>C, aged 72, contacted My Aged Care and has been referred for assessment due to medical conditions and concern about increasing frailty.</w:t>
            </w:r>
            <w:r w:rsidR="004511B3">
              <w:t xml:space="preserve"> </w:t>
            </w:r>
            <w:r>
              <w:t>Ms </w:t>
            </w:r>
            <w:r w:rsidR="00E138BB" w:rsidRPr="00E138BB">
              <w:t>C has also been referred by her local GP for a mobility assessment.</w:t>
            </w:r>
            <w:r w:rsidR="004511B3">
              <w:t xml:space="preserve"> </w:t>
            </w:r>
            <w:r w:rsidR="00E138BB" w:rsidRPr="00E138BB">
              <w:t>She is concerned about accessing medical appointments outside of her local area and would like some support.</w:t>
            </w:r>
            <w:r w:rsidR="004511B3">
              <w:t xml:space="preserve"> </w:t>
            </w:r>
            <w:r w:rsidR="00E138BB" w:rsidRPr="00E138BB">
              <w:t>She would also like some information about local social group activities.</w:t>
            </w:r>
            <w:r w:rsidR="004511B3">
              <w:t xml:space="preserve"> </w:t>
            </w:r>
            <w:r w:rsidR="00E138BB" w:rsidRPr="00E138BB">
              <w:t>She lives with her friend in a rental home.</w:t>
            </w:r>
            <w:r w:rsidR="004511B3">
              <w:t xml:space="preserve"> </w:t>
            </w:r>
            <w:r w:rsidR="00E138BB" w:rsidRPr="00E138BB">
              <w:t>She enjoys watching TV, reading and the company of her pets.</w:t>
            </w:r>
            <w:r w:rsidR="004511B3">
              <w:t xml:space="preserve"> </w:t>
            </w:r>
            <w:r w:rsidR="00E138BB" w:rsidRPr="00E138BB">
              <w:t>She accesses counselling services through a GP health care plan as part of treatment to maintain her emotional wellbeing.</w:t>
            </w:r>
            <w:r w:rsidR="004511B3">
              <w:t xml:space="preserve"> </w:t>
            </w:r>
            <w:r w:rsidR="00E138BB" w:rsidRPr="00E138BB">
              <w:t>She would like to join some social group outings that meet her interests and help support her emotional wellbeing.</w:t>
            </w:r>
            <w:r w:rsidR="004511B3">
              <w:t xml:space="preserve"> </w:t>
            </w:r>
            <w:r w:rsidR="00E138BB" w:rsidRPr="00E138BB">
              <w:t>She accesses a private lawn-mowing service.</w:t>
            </w:r>
          </w:p>
          <w:p w14:paraId="03F254CD" w14:textId="17036B92" w:rsidR="00E138BB" w:rsidRPr="00E138BB" w:rsidRDefault="00F33447" w:rsidP="00F34556">
            <w:pPr>
              <w:spacing w:before="120" w:after="120"/>
              <w:cnfStyle w:val="000000100000" w:firstRow="0" w:lastRow="0" w:firstColumn="0" w:lastColumn="0" w:oddVBand="0" w:evenVBand="0" w:oddHBand="1" w:evenHBand="0" w:firstRowFirstColumn="0" w:firstRowLastColumn="0" w:lastRowFirstColumn="0" w:lastRowLastColumn="0"/>
            </w:pPr>
            <w:r>
              <w:t>Ms </w:t>
            </w:r>
            <w:r w:rsidR="00E138BB" w:rsidRPr="00E138BB">
              <w:t>C takes prescribed medication to manage hypertension, high cholesterol, reflux, mood, respiratory health, chronic pain and osteoarthritis.</w:t>
            </w:r>
          </w:p>
          <w:p w14:paraId="2A122E76" w14:textId="5AE7DA3A" w:rsidR="00E138BB" w:rsidRPr="00E138BB" w:rsidRDefault="00E138BB" w:rsidP="00E138BB">
            <w:pPr>
              <w:cnfStyle w:val="000000100000" w:firstRow="0" w:lastRow="0" w:firstColumn="0" w:lastColumn="0" w:oddVBand="0" w:evenVBand="0" w:oddHBand="1" w:evenHBand="0" w:firstRowFirstColumn="0" w:firstRowLastColumn="0" w:lastRowFirstColumn="0" w:lastRowLastColumn="0"/>
            </w:pPr>
            <w:r w:rsidRPr="00E138BB">
              <w:t>She moves independently in the home and uses a walking stick when out of the house.</w:t>
            </w:r>
            <w:r w:rsidR="004511B3">
              <w:t xml:space="preserve"> </w:t>
            </w:r>
            <w:r w:rsidR="00F33447">
              <w:t>Ms </w:t>
            </w:r>
            <w:r w:rsidRPr="00E138BB">
              <w:t>C advises that she feels stable on her feet and has not had a fall this year, but she is cautious when she walks and can only walk short distances. She advises that she cannot kneel.</w:t>
            </w:r>
            <w:r w:rsidR="004511B3">
              <w:t xml:space="preserve"> </w:t>
            </w:r>
            <w:r w:rsidRPr="00E138BB">
              <w:t>She drives locally and is independent with grocery shopping, meal preparation, medication management, bills, and mobility transfers.</w:t>
            </w:r>
            <w:r w:rsidR="004511B3">
              <w:t xml:space="preserve"> </w:t>
            </w:r>
            <w:r w:rsidRPr="00E138BB">
              <w:t>She also advises that she manages domestic tasks with modification of tasks and time management, but cannot lift her ar</w:t>
            </w:r>
            <w:r w:rsidR="00F33447">
              <w:t>Ms </w:t>
            </w:r>
            <w:r w:rsidRPr="00E138BB">
              <w:t>above her shoulders.</w:t>
            </w:r>
          </w:p>
        </w:tc>
        <w:tc>
          <w:tcPr>
            <w:tcW w:w="3459" w:type="dxa"/>
          </w:tcPr>
          <w:p w14:paraId="16E3DB33" w14:textId="77777777" w:rsidR="00E138BB" w:rsidRPr="00B71D6B" w:rsidRDefault="00E138BB" w:rsidP="00E138BB">
            <w:pPr>
              <w:pStyle w:val="TableHeading2"/>
              <w:cnfStyle w:val="000000100000" w:firstRow="0" w:lastRow="0" w:firstColumn="0" w:lastColumn="0" w:oddVBand="0" w:evenVBand="0" w:oddHBand="1" w:evenHBand="0" w:firstRowFirstColumn="0" w:firstRowLastColumn="0" w:lastRowFirstColumn="0" w:lastRowLastColumn="0"/>
            </w:pPr>
            <w:r w:rsidRPr="00B71D6B">
              <w:t>Falls prevention products:</w:t>
            </w:r>
          </w:p>
          <w:p w14:paraId="3E5CF431"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Long-handled reacher</w:t>
            </w:r>
          </w:p>
          <w:p w14:paraId="0F10CC47"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Lighting</w:t>
            </w:r>
          </w:p>
          <w:p w14:paraId="1279766B"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Safety flooring</w:t>
            </w:r>
          </w:p>
          <w:p w14:paraId="58C0AA4E"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Rail in the shower</w:t>
            </w:r>
          </w:p>
          <w:p w14:paraId="72525E74"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Handheld shower head</w:t>
            </w:r>
          </w:p>
          <w:p w14:paraId="5CFE8C76"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Adjustable washing line, laundry trolley</w:t>
            </w:r>
          </w:p>
          <w:p w14:paraId="2C5F82AE"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Handrails for bathroom, toilet, entrances</w:t>
            </w:r>
          </w:p>
          <w:p w14:paraId="672511B1"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Shower stool</w:t>
            </w:r>
          </w:p>
          <w:p w14:paraId="1424B441"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Alter cupboard reach range (minor modifications)</w:t>
            </w:r>
          </w:p>
          <w:p w14:paraId="5F23EC3E" w14:textId="77777777" w:rsidR="00E138BB" w:rsidRPr="00B71D6B" w:rsidRDefault="00E138BB" w:rsidP="00E138BB">
            <w:pPr>
              <w:pStyle w:val="TableHeading2"/>
              <w:cnfStyle w:val="000000100000" w:firstRow="0" w:lastRow="0" w:firstColumn="0" w:lastColumn="0" w:oddVBand="0" w:evenVBand="0" w:oddHBand="1" w:evenHBand="0" w:firstRowFirstColumn="0" w:firstRowLastColumn="0" w:lastRowFirstColumn="0" w:lastRowLastColumn="0"/>
            </w:pPr>
            <w:r w:rsidRPr="00B71D6B">
              <w:t>Meal preparation aids:</w:t>
            </w:r>
          </w:p>
          <w:p w14:paraId="002ADD12"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Powered can opener</w:t>
            </w:r>
          </w:p>
          <w:p w14:paraId="076FA727"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Large-grip peeler</w:t>
            </w:r>
          </w:p>
          <w:p w14:paraId="616C2BB4"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Buttering board</w:t>
            </w:r>
          </w:p>
          <w:p w14:paraId="0DD58AE0"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Jar opener</w:t>
            </w:r>
          </w:p>
          <w:p w14:paraId="543D6C8B"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Kettle tipper</w:t>
            </w:r>
          </w:p>
          <w:p w14:paraId="537A010A"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Tap turner</w:t>
            </w:r>
          </w:p>
          <w:p w14:paraId="0A86AFBB"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Kitchen trolley</w:t>
            </w:r>
          </w:p>
          <w:p w14:paraId="6C105D44"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Four-wheeled walker for prolonged walking</w:t>
            </w:r>
          </w:p>
          <w:p w14:paraId="168D2E73" w14:textId="1AC6E158"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AT Services</w:t>
            </w:r>
          </w:p>
        </w:tc>
        <w:tc>
          <w:tcPr>
            <w:tcW w:w="3175" w:type="dxa"/>
          </w:tcPr>
          <w:p w14:paraId="3228081A"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A mobility assessment by an allied health worker to support ongoing safe mobility</w:t>
            </w:r>
          </w:p>
          <w:p w14:paraId="44CB9946" w14:textId="77777777"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Consideration of an exercise program to support balance and conditioning, and reduce the risk of falls</w:t>
            </w:r>
          </w:p>
          <w:p w14:paraId="51C3E560" w14:textId="40BEF132"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Accessing social group outings and activities that</w:t>
            </w:r>
            <w:r w:rsidR="00F34556">
              <w:t xml:space="preserve"> </w:t>
            </w:r>
            <w:r w:rsidRPr="00B71D6B">
              <w:t>meet her interests to support</w:t>
            </w:r>
            <w:r w:rsidR="00F34556">
              <w:t xml:space="preserve"> </w:t>
            </w:r>
            <w:r w:rsidRPr="00B71D6B">
              <w:t>ongoing</w:t>
            </w:r>
            <w:r w:rsidR="00F34556">
              <w:t xml:space="preserve"> </w:t>
            </w:r>
            <w:r w:rsidRPr="00B71D6B">
              <w:t xml:space="preserve">connection to her community and her emotional wellbeing </w:t>
            </w:r>
          </w:p>
          <w:p w14:paraId="21641EA9" w14:textId="634370A2" w:rsidR="00E138BB" w:rsidRPr="00B71D6B" w:rsidRDefault="00E138BB" w:rsidP="00E138BB">
            <w:pPr>
              <w:pStyle w:val="TableBullet1"/>
              <w:cnfStyle w:val="000000100000" w:firstRow="0" w:lastRow="0" w:firstColumn="0" w:lastColumn="0" w:oddVBand="0" w:evenVBand="0" w:oddHBand="1" w:evenHBand="0" w:firstRowFirstColumn="0" w:firstRowLastColumn="0" w:lastRowFirstColumn="0" w:lastRowLastColumn="0"/>
            </w:pPr>
            <w:r w:rsidRPr="00B71D6B">
              <w:t>Transport assistance to attend medical appointments out of her local area</w:t>
            </w:r>
          </w:p>
        </w:tc>
      </w:tr>
      <w:tr w:rsidR="00E138BB" w:rsidRPr="00B71D6B" w14:paraId="26B62853" w14:textId="18F905C0" w:rsidTr="00F34556">
        <w:tc>
          <w:tcPr>
            <w:cnfStyle w:val="001000000000" w:firstRow="0" w:lastRow="0" w:firstColumn="1" w:lastColumn="0" w:oddVBand="0" w:evenVBand="0" w:oddHBand="0" w:evenHBand="0" w:firstRowFirstColumn="0" w:firstRowLastColumn="0" w:lastRowFirstColumn="0" w:lastRowLastColumn="0"/>
            <w:tcW w:w="1203" w:type="dxa"/>
          </w:tcPr>
          <w:p w14:paraId="06D667C4" w14:textId="5F4FF450" w:rsidR="00E138BB" w:rsidRPr="00B71D6B" w:rsidRDefault="00E138BB" w:rsidP="00B71D6B">
            <w:pPr>
              <w:rPr>
                <w:szCs w:val="20"/>
              </w:rPr>
            </w:pPr>
            <w:r w:rsidRPr="00B71D6B">
              <w:rPr>
                <w:szCs w:val="20"/>
              </w:rPr>
              <w:lastRenderedPageBreak/>
              <w:t>Person</w:t>
            </w:r>
            <w:r w:rsidR="00FE64D9">
              <w:rPr>
                <w:szCs w:val="20"/>
              </w:rPr>
              <w:t> </w:t>
            </w:r>
            <w:r w:rsidRPr="00B71D6B">
              <w:rPr>
                <w:szCs w:val="20"/>
              </w:rPr>
              <w:t>4</w:t>
            </w:r>
            <w:r w:rsidR="00FE64D9">
              <w:rPr>
                <w:szCs w:val="20"/>
              </w:rPr>
              <w:t xml:space="preserve"> – </w:t>
            </w:r>
            <w:r w:rsidR="00F33447">
              <w:rPr>
                <w:szCs w:val="20"/>
              </w:rPr>
              <w:t>Mr </w:t>
            </w:r>
            <w:r w:rsidRPr="00B71D6B">
              <w:rPr>
                <w:szCs w:val="20"/>
              </w:rPr>
              <w:t>D</w:t>
            </w:r>
          </w:p>
        </w:tc>
        <w:tc>
          <w:tcPr>
            <w:tcW w:w="6735" w:type="dxa"/>
          </w:tcPr>
          <w:p w14:paraId="3A03AC0D" w14:textId="20EE65FD" w:rsidR="00E138BB" w:rsidRPr="00B71D6B" w:rsidRDefault="00F33447" w:rsidP="00B71D6B">
            <w:pPr>
              <w:cnfStyle w:val="000000000000" w:firstRow="0" w:lastRow="0" w:firstColumn="0" w:lastColumn="0" w:oddVBand="0" w:evenVBand="0" w:oddHBand="0" w:evenHBand="0" w:firstRowFirstColumn="0" w:firstRowLastColumn="0" w:lastRowFirstColumn="0" w:lastRowLastColumn="0"/>
              <w:rPr>
                <w:szCs w:val="20"/>
              </w:rPr>
            </w:pPr>
            <w:r>
              <w:rPr>
                <w:szCs w:val="20"/>
              </w:rPr>
              <w:t>Mr </w:t>
            </w:r>
            <w:r w:rsidR="00E138BB" w:rsidRPr="00B71D6B">
              <w:rPr>
                <w:szCs w:val="20"/>
              </w:rPr>
              <w:t>D is aged 86 and lives with his daughter, who is his registered carer.</w:t>
            </w:r>
            <w:r w:rsidR="004511B3">
              <w:rPr>
                <w:szCs w:val="20"/>
              </w:rPr>
              <w:t xml:space="preserve"> </w:t>
            </w:r>
            <w:r>
              <w:rPr>
                <w:szCs w:val="20"/>
              </w:rPr>
              <w:t>Mr </w:t>
            </w:r>
            <w:r w:rsidR="00E138BB" w:rsidRPr="00B71D6B">
              <w:rPr>
                <w:szCs w:val="20"/>
              </w:rPr>
              <w:t>D was referred for an Aged Care Assessment Team (ACAT) assessment to provide access to a coordinated Home Care Package and to assess his eligibility for residential care (both permanent and respite).</w:t>
            </w:r>
            <w:r w:rsidR="004511B3">
              <w:rPr>
                <w:szCs w:val="20"/>
              </w:rPr>
              <w:t xml:space="preserve"> </w:t>
            </w:r>
            <w:r>
              <w:rPr>
                <w:szCs w:val="20"/>
              </w:rPr>
              <w:t>Mr </w:t>
            </w:r>
            <w:r w:rsidR="00E138BB" w:rsidRPr="00B71D6B">
              <w:rPr>
                <w:szCs w:val="20"/>
              </w:rPr>
              <w:t>D also has two sons, both of whom reside in the same town.</w:t>
            </w:r>
            <w:r w:rsidR="004511B3">
              <w:rPr>
                <w:szCs w:val="20"/>
              </w:rPr>
              <w:t xml:space="preserve"> </w:t>
            </w:r>
            <w:r>
              <w:rPr>
                <w:szCs w:val="20"/>
              </w:rPr>
              <w:t>Mr </w:t>
            </w:r>
            <w:r w:rsidR="00E138BB" w:rsidRPr="00B71D6B">
              <w:rPr>
                <w:szCs w:val="20"/>
              </w:rPr>
              <w:t>D attends the Men's Shed twice weekly and his daughter is investigating other day centre options.</w:t>
            </w:r>
          </w:p>
          <w:p w14:paraId="39EC421E" w14:textId="39599D4E" w:rsidR="00E138BB" w:rsidRPr="00B71D6B" w:rsidRDefault="00F33447" w:rsidP="00F34556">
            <w:pPr>
              <w:spacing w:before="120"/>
              <w:cnfStyle w:val="000000000000" w:firstRow="0" w:lastRow="0" w:firstColumn="0" w:lastColumn="0" w:oddVBand="0" w:evenVBand="0" w:oddHBand="0" w:evenHBand="0" w:firstRowFirstColumn="0" w:firstRowLastColumn="0" w:lastRowFirstColumn="0" w:lastRowLastColumn="0"/>
              <w:rPr>
                <w:szCs w:val="20"/>
              </w:rPr>
            </w:pPr>
            <w:r>
              <w:rPr>
                <w:szCs w:val="20"/>
              </w:rPr>
              <w:t>Mr </w:t>
            </w:r>
            <w:r w:rsidR="00E138BB" w:rsidRPr="00B71D6B">
              <w:rPr>
                <w:szCs w:val="20"/>
              </w:rPr>
              <w:t>D maintains regular contact with his GP.</w:t>
            </w:r>
            <w:r w:rsidR="004511B3">
              <w:rPr>
                <w:szCs w:val="20"/>
              </w:rPr>
              <w:t xml:space="preserve"> </w:t>
            </w:r>
            <w:r w:rsidR="00E138BB" w:rsidRPr="00B71D6B">
              <w:rPr>
                <w:szCs w:val="20"/>
              </w:rPr>
              <w:t>He is able to verbalise his immediate needs. He has:</w:t>
            </w:r>
          </w:p>
          <w:p w14:paraId="37B1591B"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Chronic and complex health conditions impacting physical functional capacity and mobility</w:t>
            </w:r>
          </w:p>
          <w:p w14:paraId="29B44357"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Diagnosis of dementia in Alzheimer's disease: he requires prompting to initiate, and supervision of safety, for all daily living activities.</w:t>
            </w:r>
          </w:p>
          <w:p w14:paraId="038834FB" w14:textId="07BB0098" w:rsidR="00E138BB" w:rsidRPr="00B71D6B" w:rsidRDefault="00E138BB" w:rsidP="00F34556">
            <w:pPr>
              <w:pStyle w:val="TableText"/>
              <w:spacing w:before="120" w:after="120"/>
              <w:cnfStyle w:val="000000000000" w:firstRow="0" w:lastRow="0" w:firstColumn="0" w:lastColumn="0" w:oddVBand="0" w:evenVBand="0" w:oddHBand="0" w:evenHBand="0" w:firstRowFirstColumn="0" w:firstRowLastColumn="0" w:lastRowFirstColumn="0" w:lastRowLastColumn="0"/>
            </w:pPr>
            <w:r w:rsidRPr="00B71D6B">
              <w:t>He has reported visual misperceptions and potential for wandering, including overnight High potential for carer stress and/or burnout, as reflected in Carer Strain Index.</w:t>
            </w:r>
            <w:r w:rsidR="004511B3">
              <w:t xml:space="preserve"> </w:t>
            </w:r>
            <w:r w:rsidRPr="00B71D6B">
              <w:t>Nil current residential respite eligibilities and/or sustainable emergency care plan</w:t>
            </w:r>
            <w:r w:rsidR="007472A7">
              <w:t>.</w:t>
            </w:r>
          </w:p>
          <w:p w14:paraId="6A5784A5" w14:textId="222B7A0D" w:rsidR="00E138BB" w:rsidRPr="00B71D6B" w:rsidRDefault="00E138BB" w:rsidP="00E138BB">
            <w:pPr>
              <w:pStyle w:val="TableText"/>
              <w:cnfStyle w:val="000000000000" w:firstRow="0" w:lastRow="0" w:firstColumn="0" w:lastColumn="0" w:oddVBand="0" w:evenVBand="0" w:oddHBand="0" w:evenHBand="0" w:firstRowFirstColumn="0" w:firstRowLastColumn="0" w:lastRowFirstColumn="0" w:lastRowLastColumn="0"/>
              <w:rPr>
                <w:szCs w:val="20"/>
              </w:rPr>
            </w:pPr>
            <w:r w:rsidRPr="00B71D6B">
              <w:t>High falls risk potential</w:t>
            </w:r>
            <w:r w:rsidR="00861912">
              <w:t xml:space="preserve"> – </w:t>
            </w:r>
            <w:r w:rsidRPr="00B71D6B">
              <w:t>supervision of all mobility and transfers is suggested</w:t>
            </w:r>
            <w:r>
              <w:t>.</w:t>
            </w:r>
          </w:p>
        </w:tc>
        <w:tc>
          <w:tcPr>
            <w:tcW w:w="3459" w:type="dxa"/>
          </w:tcPr>
          <w:p w14:paraId="277FD9AD"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Visual prompts and props (signage, lighting, large-print orientation labels on doors)</w:t>
            </w:r>
          </w:p>
          <w:p w14:paraId="6ECE9863"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Large-face watch with reminder system</w:t>
            </w:r>
          </w:p>
          <w:p w14:paraId="06B9064E" w14:textId="271E31BE"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Large-button TV/radio controller or iPad for self-settling with meditation apps/</w:t>
            </w:r>
            <w:r w:rsidRPr="00E138BB">
              <w:t>​</w:t>
            </w:r>
            <w:r w:rsidRPr="00B71D6B">
              <w:t>favourite music/</w:t>
            </w:r>
            <w:r w:rsidRPr="00E138BB">
              <w:t>​</w:t>
            </w:r>
            <w:r w:rsidRPr="00B71D6B">
              <w:t>shows</w:t>
            </w:r>
          </w:p>
          <w:p w14:paraId="03338707" w14:textId="2DDE9EA6"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Workbench or desk for hobby/</w:t>
            </w:r>
            <w:r w:rsidRPr="00E138BB">
              <w:t>​</w:t>
            </w:r>
            <w:r w:rsidRPr="00B71D6B">
              <w:t>self-soothing activities (books, pictures, small tools and projects) Reverse hinge toilet door for safety, safety latches on garden gates</w:t>
            </w:r>
          </w:p>
          <w:p w14:paraId="6ACFBCDB"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GPS tracking system</w:t>
            </w:r>
          </w:p>
          <w:p w14:paraId="3E8D08EF" w14:textId="70F6CDDF"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Transfer mat alarm at bedside/</w:t>
            </w:r>
            <w:r w:rsidRPr="00E138BB">
              <w:t>​</w:t>
            </w:r>
            <w:r w:rsidRPr="00B71D6B">
              <w:t>doorstep</w:t>
            </w:r>
          </w:p>
          <w:p w14:paraId="439C8E78"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Riser recliner armchair, raised bed</w:t>
            </w:r>
          </w:p>
          <w:p w14:paraId="68125CAB"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Stool for dressing</w:t>
            </w:r>
          </w:p>
          <w:p w14:paraId="3A88A1DB" w14:textId="70BD8DED"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Tempering valve in shower with shower seat, hand shower and rails for shower/</w:t>
            </w:r>
            <w:r w:rsidRPr="00E138BB">
              <w:t>​</w:t>
            </w:r>
            <w:r w:rsidRPr="00B71D6B">
              <w:t>toile</w:t>
            </w:r>
            <w:r>
              <w:t>t</w:t>
            </w:r>
          </w:p>
        </w:tc>
        <w:tc>
          <w:tcPr>
            <w:tcW w:w="3175" w:type="dxa"/>
          </w:tcPr>
          <w:p w14:paraId="6A78E2CF"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Home Care Package Level 4</w:t>
            </w:r>
          </w:p>
          <w:p w14:paraId="3AA21F67"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High-level residential respite care</w:t>
            </w:r>
          </w:p>
          <w:p w14:paraId="789B8416"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Social support</w:t>
            </w:r>
          </w:p>
          <w:p w14:paraId="01273FC0"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Centre-based respite</w:t>
            </w:r>
          </w:p>
          <w:p w14:paraId="59C550AF" w14:textId="77777777"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 xml:space="preserve">Flexible respite </w:t>
            </w:r>
          </w:p>
          <w:p w14:paraId="245E4DC0" w14:textId="01B542AA" w:rsidR="00E138BB" w:rsidRPr="00B71D6B" w:rsidRDefault="00E138BB" w:rsidP="00E138BB">
            <w:pPr>
              <w:pStyle w:val="TableBullet1"/>
              <w:cnfStyle w:val="000000000000" w:firstRow="0" w:lastRow="0" w:firstColumn="0" w:lastColumn="0" w:oddVBand="0" w:evenVBand="0" w:oddHBand="0" w:evenHBand="0" w:firstRowFirstColumn="0" w:firstRowLastColumn="0" w:lastRowFirstColumn="0" w:lastRowLastColumn="0"/>
            </w:pPr>
            <w:r w:rsidRPr="00B71D6B">
              <w:t>Home modifications</w:t>
            </w:r>
          </w:p>
        </w:tc>
      </w:tr>
    </w:tbl>
    <w:p w14:paraId="6C3DEF89" w14:textId="77777777" w:rsidR="00B71D6B" w:rsidRDefault="00B71D6B" w:rsidP="00F81E67">
      <w:pPr>
        <w:rPr>
          <w:color w:val="000000" w:themeColor="text1"/>
          <w:lang w:eastAsia="en-US"/>
        </w:rPr>
      </w:pPr>
    </w:p>
    <w:p w14:paraId="500B4609" w14:textId="700789CA" w:rsidR="00B71D6B" w:rsidRDefault="00B71D6B" w:rsidP="00B71D6B">
      <w:pPr>
        <w:rPr>
          <w:lang w:eastAsia="en-US"/>
        </w:rPr>
        <w:sectPr w:rsidR="00B71D6B" w:rsidSect="00B71D6B">
          <w:pgSz w:w="16840" w:h="11907" w:orient="landscape" w:code="9"/>
          <w:pgMar w:top="1134" w:right="1134" w:bottom="1134" w:left="1134" w:header="567" w:footer="851" w:gutter="0"/>
          <w:cols w:space="708"/>
          <w:docGrid w:linePitch="360"/>
        </w:sectPr>
      </w:pPr>
    </w:p>
    <w:p w14:paraId="42574E02" w14:textId="77777777" w:rsidR="00F81E67" w:rsidRPr="00593139" w:rsidRDefault="00F81E67" w:rsidP="00217053">
      <w:pPr>
        <w:pStyle w:val="Heading2"/>
      </w:pPr>
      <w:r w:rsidRPr="00593139">
        <w:lastRenderedPageBreak/>
        <w:t>Analysis of the Delphi questions</w:t>
      </w:r>
    </w:p>
    <w:p w14:paraId="2A587021" w14:textId="2166BE75" w:rsidR="00F81E67" w:rsidRPr="00184FBE" w:rsidRDefault="00F81E67" w:rsidP="00184FBE">
      <w:pPr>
        <w:pStyle w:val="Paragraph"/>
        <w:rPr>
          <w:rFonts w:eastAsia="Calibri"/>
          <w:szCs w:val="26"/>
        </w:rPr>
      </w:pPr>
      <w:r w:rsidRPr="00593139">
        <w:t xml:space="preserve">The analysis was divided into quantitative and qualitative sections. Open ended questions were reported as a word cloud using the </w:t>
      </w:r>
      <w:hyperlink r:id="rId50" w:history="1">
        <w:r w:rsidR="002F65BC" w:rsidRPr="002F65BC">
          <w:rPr>
            <w:rStyle w:val="Hyperlink"/>
            <w:noProof w:val="0"/>
          </w:rPr>
          <w:t>monkey</w:t>
        </w:r>
        <w:r w:rsidR="002F65BC">
          <w:rPr>
            <w:rStyle w:val="Hyperlink"/>
            <w:noProof w:val="0"/>
          </w:rPr>
          <w:t xml:space="preserve"> </w:t>
        </w:r>
        <w:r w:rsidR="002F65BC" w:rsidRPr="002F65BC">
          <w:rPr>
            <w:rStyle w:val="Hyperlink"/>
            <w:noProof w:val="0"/>
          </w:rPr>
          <w:t>learn</w:t>
        </w:r>
      </w:hyperlink>
      <w:r w:rsidR="002F65BC">
        <w:t xml:space="preserve"> </w:t>
      </w:r>
      <w:r w:rsidRPr="00593139">
        <w:t>website. Words that were reported more frequently were shown in a larger font compared to words that were reported less frequently. Likert scale questions were analysed to report the correlation between the panellist’s responses based on Kendall’s tau coefficient of concordance for an ordinal scal</w:t>
      </w:r>
      <w:r w:rsidR="00184FBE">
        <w:t xml:space="preserve">e </w:t>
      </w:r>
      <w:r w:rsidR="00184FBE">
        <w:rPr>
          <w:rFonts w:eastAsia="Calibri"/>
          <w:szCs w:val="26"/>
        </w:rPr>
        <w:fldChar w:fldCharType="begin" w:fldLock="1"/>
      </w:r>
      <w:r w:rsidR="00184FBE">
        <w:rPr>
          <w:rFonts w:eastAsia="Calibri"/>
          <w:szCs w:val="26"/>
        </w:rPr>
        <w:instrText>ADDIN CSL_CITATION {"citationItems":[{"id":"ITEM-1","itemData":{"author":[{"dropping-particle":"","family":"Habibi","given":"Arash","non-dropping-particle":"","parse-names":false,"suffix":""},{"dropping-particle":"","family":"Sarafrazi","given":"Azam","non-dropping-particle":"","parse-names":false,"suffix":""},{"dropping-particle":"","family":"Izadyar","given":"Sedigheh","non-dropping-particle":"","parse-names":false,"suffix":""}],"container-title":"International Journal of Engineering Science","id":"ITEM-1","issued":{"date-parts":[["2014","1","1"]]},"page":"8-13","title":"Delphi Technique Theoretical Framework in Qualitative","type":"article-journal","volume":"3"},"uris":["http://www.mendeley.com/documents/?uuid=ce99f6ad-3cbd-4973-89eb-cf90e43861ea"]}],"mendeley":{"formattedCitation":"(Habibi et al. 2014)","plainTextFormattedCitation":"(Habibi et al. 2014)","previouslyFormattedCitation":"(Habibi et al. 2014)"},"properties":{"noteIndex":0},"schema":"https://github.com/citation-style-language/schema/raw/master/csl-citation.json"}</w:instrText>
      </w:r>
      <w:r w:rsidR="00184FBE">
        <w:rPr>
          <w:rFonts w:eastAsia="Calibri"/>
          <w:szCs w:val="26"/>
        </w:rPr>
        <w:fldChar w:fldCharType="separate"/>
      </w:r>
      <w:r w:rsidR="00184FBE" w:rsidRPr="00184FBE">
        <w:rPr>
          <w:rFonts w:eastAsia="Calibri"/>
          <w:noProof/>
          <w:szCs w:val="26"/>
        </w:rPr>
        <w:t>(Habibi et al. 2014)</w:t>
      </w:r>
      <w:r w:rsidR="00184FBE">
        <w:rPr>
          <w:rFonts w:eastAsia="Calibri"/>
          <w:szCs w:val="26"/>
        </w:rPr>
        <w:fldChar w:fldCharType="end"/>
      </w:r>
      <w:r w:rsidRPr="00593139">
        <w:t>. A Kendall’s W &gt; 0.7 is considered a strong consensus; W = 0.</w:t>
      </w:r>
      <w:r w:rsidRPr="00DF244A">
        <w:t>5 is considered a moderate consensus and W &lt; 0.3 is considered a weak consensus</w:t>
      </w:r>
      <w:r w:rsidR="00184FBE">
        <w:t xml:space="preserve"> </w:t>
      </w:r>
      <w:r w:rsidR="00184FBE">
        <w:rPr>
          <w:rFonts w:eastAsia="Calibri"/>
          <w:szCs w:val="26"/>
        </w:rPr>
        <w:fldChar w:fldCharType="begin" w:fldLock="1"/>
      </w:r>
      <w:r w:rsidR="00184FBE">
        <w:rPr>
          <w:rFonts w:eastAsia="Calibri"/>
          <w:szCs w:val="26"/>
        </w:rPr>
        <w:instrText>ADDIN CSL_CITATION {"citationItems":[{"id":"ITEM-1","itemData":{"author":[{"dropping-particle":"","family":"Habibi","given":"Arash","non-dropping-particle":"","parse-names":false,"suffix":""},{"dropping-particle":"","family":"Sarafrazi","given":"Azam","non-dropping-particle":"","parse-names":false,"suffix":""},{"dropping-particle":"","family":"Izadyar","given":"Sedigheh","non-dropping-particle":"","parse-names":false,"suffix":""}],"container-title":"International Journal of Engineering Science","id":"ITEM-1","issued":{"date-parts":[["2014","1","1"]]},"page":"8-13","title":"Delphi Technique Theoretical Framework in Qualitative","type":"article-journal","volume":"3"},"uris":["http://www.mendeley.com/documents/?uuid=ce99f6ad-3cbd-4973-89eb-cf90e43861ea"]}],"mendeley":{"formattedCitation":"(Habibi et al. 2014)","plainTextFormattedCitation":"(Habibi et al. 2014)","previouslyFormattedCitation":"(Habibi et al. 2014)"},"properties":{"noteIndex":0},"schema":"https://github.com/citation-style-language/schema/raw/master/csl-citation.json"}</w:instrText>
      </w:r>
      <w:r w:rsidR="00184FBE">
        <w:rPr>
          <w:rFonts w:eastAsia="Calibri"/>
          <w:szCs w:val="26"/>
        </w:rPr>
        <w:fldChar w:fldCharType="separate"/>
      </w:r>
      <w:r w:rsidR="00184FBE" w:rsidRPr="00184FBE">
        <w:rPr>
          <w:rFonts w:eastAsia="Calibri"/>
          <w:noProof/>
          <w:szCs w:val="26"/>
        </w:rPr>
        <w:t>(Habibi et al. 2014)</w:t>
      </w:r>
      <w:r w:rsidR="00184FBE">
        <w:rPr>
          <w:rFonts w:eastAsia="Calibri"/>
          <w:szCs w:val="26"/>
        </w:rPr>
        <w:fldChar w:fldCharType="end"/>
      </w:r>
      <w:r w:rsidRPr="00593139">
        <w:t>. It is noted that Kendall’s tau is more suited for small sample sizes and is a more conservative measure compared to Spearman rho.</w:t>
      </w:r>
      <w:r w:rsidRPr="008E680E">
        <w:t xml:space="preserve"> </w:t>
      </w:r>
    </w:p>
    <w:p w14:paraId="1DD26DD1" w14:textId="77777777" w:rsidR="00F81E67" w:rsidRPr="008E680E" w:rsidRDefault="00F81E67" w:rsidP="00217053">
      <w:pPr>
        <w:pStyle w:val="Heading1"/>
      </w:pPr>
      <w:bookmarkStart w:id="129" w:name="_Toc60999858"/>
      <w:r w:rsidRPr="008E680E">
        <w:t>Results</w:t>
      </w:r>
      <w:bookmarkEnd w:id="129"/>
    </w:p>
    <w:p w14:paraId="2CCBBDDF" w14:textId="77777777" w:rsidR="00F81E67" w:rsidRPr="008E680E" w:rsidRDefault="00F81E67" w:rsidP="00217053">
      <w:pPr>
        <w:pStyle w:val="Heading2"/>
      </w:pPr>
      <w:r w:rsidRPr="008E680E">
        <w:t>Delphi expert panel</w:t>
      </w:r>
    </w:p>
    <w:p w14:paraId="1F3FF0C6" w14:textId="1532FF3C" w:rsidR="00F81E67" w:rsidRPr="008E680E" w:rsidRDefault="00F81E67" w:rsidP="00F81E67">
      <w:pPr>
        <w:pStyle w:val="Paragraph"/>
      </w:pPr>
      <w:r w:rsidRPr="008E680E">
        <w:t>The panel consisted of nine people with a broad range of expertise and lived experience (</w:t>
      </w:r>
      <w:r w:rsidRPr="0005623E">
        <w:rPr>
          <w:i/>
          <w:iCs/>
        </w:rPr>
        <w:t xml:space="preserve">Table </w:t>
      </w:r>
      <w:r w:rsidR="00690B42">
        <w:rPr>
          <w:i/>
          <w:iCs/>
        </w:rPr>
        <w:t>C</w:t>
      </w:r>
      <w:r w:rsidRPr="0005623E">
        <w:rPr>
          <w:i/>
          <w:iCs/>
        </w:rPr>
        <w:t>-</w:t>
      </w:r>
      <w:r w:rsidR="00690B42">
        <w:rPr>
          <w:i/>
          <w:iCs/>
        </w:rPr>
        <w:t>2</w:t>
      </w:r>
      <w:r w:rsidRPr="008E680E">
        <w:t>). The expert panel ranged in age from 41 to 70+ years, with the majority of the panel aged 51-60 years (n=6). Three of the panel members were current users of AT and one panel member currently provided support and care for someone who uses AT.</w:t>
      </w:r>
    </w:p>
    <w:p w14:paraId="160060C7" w14:textId="64303C8B" w:rsidR="00F81E67" w:rsidRDefault="00F93CBB" w:rsidP="00217053">
      <w:bookmarkStart w:id="130" w:name="_Toc40622140"/>
      <w:bookmarkStart w:id="131" w:name="_Toc60999940"/>
      <w:r w:rsidRPr="008E680E">
        <w:t>Table </w:t>
      </w:r>
      <w:r w:rsidR="00FD5E41">
        <w:fldChar w:fldCharType="begin"/>
      </w:r>
      <w:r w:rsidR="00FD5E41">
        <w:instrText xml:space="preserve"> STYLEREF 5 \s </w:instrText>
      </w:r>
      <w:r w:rsidR="00FD5E41">
        <w:fldChar w:fldCharType="separate"/>
      </w:r>
      <w:r w:rsidR="00EB1774">
        <w:rPr>
          <w:noProof/>
        </w:rPr>
        <w:t>C</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2</w:t>
      </w:r>
      <w:r w:rsidR="00FD5E41">
        <w:fldChar w:fldCharType="end"/>
      </w:r>
      <w:r w:rsidR="00F81E67" w:rsidRPr="008E680E">
        <w:t>:</w:t>
      </w:r>
      <w:r w:rsidR="00844892">
        <w:tab/>
      </w:r>
      <w:r w:rsidR="00F81E67" w:rsidRPr="008E680E">
        <w:t>Delphi expert panel</w:t>
      </w:r>
      <w:bookmarkEnd w:id="130"/>
      <w:bookmarkEnd w:id="131"/>
    </w:p>
    <w:p w14:paraId="298F8906" w14:textId="77777777" w:rsidR="00217053" w:rsidRPr="008E680E" w:rsidRDefault="00217053" w:rsidP="00217053"/>
    <w:tbl>
      <w:tblPr>
        <w:tblStyle w:val="AHALight"/>
        <w:tblW w:w="3880" w:type="dxa"/>
        <w:tblLook w:val="0620" w:firstRow="1" w:lastRow="0" w:firstColumn="0" w:lastColumn="0" w:noHBand="1" w:noVBand="1"/>
        <w:tblCaption w:val="table C 2"/>
        <w:tblDescription w:val="expertise and experience of  Delphi expert panel"/>
      </w:tblPr>
      <w:tblGrid>
        <w:gridCol w:w="3880"/>
      </w:tblGrid>
      <w:tr w:rsidR="00F81E67" w:rsidRPr="008E680E" w14:paraId="49F7712D" w14:textId="77777777" w:rsidTr="00513818">
        <w:trPr>
          <w:cnfStyle w:val="100000000000" w:firstRow="1" w:lastRow="0" w:firstColumn="0" w:lastColumn="0" w:oddVBand="0" w:evenVBand="0" w:oddHBand="0" w:evenHBand="0" w:firstRowFirstColumn="0" w:firstRowLastColumn="0" w:lastRowFirstColumn="0" w:lastRowLastColumn="0"/>
        </w:trPr>
        <w:tc>
          <w:tcPr>
            <w:tcW w:w="3880"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6F90310" w14:textId="77777777" w:rsidR="00F81E67" w:rsidRPr="008E680E" w:rsidRDefault="00F81E67" w:rsidP="00187BC0">
            <w:pPr>
              <w:pStyle w:val="TableHeading1"/>
            </w:pPr>
            <w:r w:rsidRPr="008E680E">
              <w:t>Expertise and lived experience</w:t>
            </w:r>
          </w:p>
        </w:tc>
      </w:tr>
      <w:tr w:rsidR="00F81E67" w:rsidRPr="008E680E" w14:paraId="4126B688" w14:textId="77777777" w:rsidTr="00513818">
        <w:tc>
          <w:tcPr>
            <w:tcW w:w="3880" w:type="dxa"/>
            <w:tcBorders>
              <w:top w:val="single" w:sz="4" w:space="0" w:color="0079C1" w:themeColor="text2"/>
              <w:left w:val="single" w:sz="4" w:space="0" w:color="D9D9D9" w:themeColor="background1" w:themeShade="D9"/>
              <w:bottom w:val="single" w:sz="4" w:space="0" w:color="D9D9D9" w:themeColor="background1" w:themeShade="D9"/>
              <w:right w:val="single" w:sz="4" w:space="0" w:color="D9D9D9" w:themeColor="background1" w:themeShade="D9"/>
            </w:tcBorders>
          </w:tcPr>
          <w:p w14:paraId="6AFB2E28" w14:textId="77777777" w:rsidR="00F81E67" w:rsidRPr="008E680E" w:rsidRDefault="00F81E67" w:rsidP="00187BC0">
            <w:pPr>
              <w:pStyle w:val="Paragraph"/>
              <w:spacing w:before="60" w:after="60"/>
            </w:pPr>
            <w:r w:rsidRPr="008E680E">
              <w:t>AT mentor and lived experience</w:t>
            </w:r>
          </w:p>
        </w:tc>
      </w:tr>
      <w:tr w:rsidR="00F81E67" w:rsidRPr="008E680E" w14:paraId="5D839207"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880DBA" w14:textId="77777777" w:rsidR="00F81E67" w:rsidRPr="008E680E" w:rsidRDefault="00F81E67" w:rsidP="00187BC0">
            <w:pPr>
              <w:pStyle w:val="Paragraph"/>
              <w:spacing w:before="60" w:after="60"/>
            </w:pPr>
            <w:r w:rsidRPr="008E680E">
              <w:t>ILC Representative</w:t>
            </w:r>
          </w:p>
        </w:tc>
      </w:tr>
      <w:tr w:rsidR="00F81E67" w:rsidRPr="008E680E" w14:paraId="71BE1F1B"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ED540B" w14:textId="77777777" w:rsidR="00F81E67" w:rsidRPr="008E680E" w:rsidRDefault="00F81E67" w:rsidP="00187BC0">
            <w:pPr>
              <w:pStyle w:val="Paragraph"/>
              <w:spacing w:before="60" w:after="60"/>
            </w:pPr>
            <w:r w:rsidRPr="008E680E">
              <w:t>Wellness and Reablement Consultant</w:t>
            </w:r>
          </w:p>
        </w:tc>
      </w:tr>
      <w:tr w:rsidR="00F81E67" w:rsidRPr="008E680E" w14:paraId="520FD259"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A5FE0B" w14:textId="77777777" w:rsidR="00F81E67" w:rsidRPr="008E680E" w:rsidRDefault="00F81E67" w:rsidP="00187BC0">
            <w:pPr>
              <w:pStyle w:val="Paragraph"/>
              <w:spacing w:before="60" w:after="60"/>
            </w:pPr>
            <w:r w:rsidRPr="008E680E">
              <w:t>Aged Care Program Executive</w:t>
            </w:r>
          </w:p>
        </w:tc>
      </w:tr>
      <w:tr w:rsidR="00F81E67" w:rsidRPr="008E680E" w14:paraId="01359AA5"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1DEF3A4" w14:textId="77777777" w:rsidR="00F81E67" w:rsidRPr="008E680E" w:rsidRDefault="00F81E67" w:rsidP="00187BC0">
            <w:pPr>
              <w:pStyle w:val="Paragraph"/>
              <w:spacing w:before="60" w:after="60"/>
            </w:pPr>
            <w:r w:rsidRPr="008E680E">
              <w:t>Health Economist</w:t>
            </w:r>
          </w:p>
        </w:tc>
      </w:tr>
      <w:tr w:rsidR="00F81E67" w:rsidRPr="008E680E" w14:paraId="1AD29F71"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68E97F" w14:textId="79541DB9" w:rsidR="00F81E67" w:rsidRPr="008E680E" w:rsidRDefault="00F81E67" w:rsidP="00187BC0">
            <w:pPr>
              <w:pStyle w:val="Paragraph"/>
              <w:spacing w:before="60" w:after="60"/>
            </w:pPr>
            <w:r w:rsidRPr="008E680E">
              <w:t xml:space="preserve">Victorian Government </w:t>
            </w:r>
            <w:r w:rsidR="00513EA8">
              <w:t>re</w:t>
            </w:r>
            <w:r w:rsidR="00B7692A">
              <w:t>presentative</w:t>
            </w:r>
          </w:p>
        </w:tc>
      </w:tr>
      <w:tr w:rsidR="00F81E67" w:rsidRPr="008E680E" w14:paraId="29981B17"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ACFDFA" w14:textId="77777777" w:rsidR="00F81E67" w:rsidRPr="008E680E" w:rsidRDefault="00F81E67" w:rsidP="00187BC0">
            <w:pPr>
              <w:pStyle w:val="Paragraph"/>
              <w:spacing w:before="60" w:after="60"/>
            </w:pPr>
            <w:r w:rsidRPr="008E680E">
              <w:t>ILC Representative</w:t>
            </w:r>
          </w:p>
        </w:tc>
      </w:tr>
      <w:tr w:rsidR="00F81E67" w:rsidRPr="008E680E" w14:paraId="43DD912C" w14:textId="77777777" w:rsidTr="00513818">
        <w:tc>
          <w:tcPr>
            <w:tcW w:w="38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C9D42C" w14:textId="77777777" w:rsidR="00F81E67" w:rsidRPr="008E680E" w:rsidRDefault="00F81E67" w:rsidP="00187BC0">
            <w:pPr>
              <w:pStyle w:val="Paragraph"/>
              <w:spacing w:before="60" w:after="60"/>
            </w:pPr>
            <w:r w:rsidRPr="008E680E">
              <w:t>Consumer Representative</w:t>
            </w:r>
          </w:p>
        </w:tc>
      </w:tr>
      <w:tr w:rsidR="00F81E67" w:rsidRPr="008E680E" w14:paraId="6244BABB" w14:textId="77777777" w:rsidTr="00513818">
        <w:tc>
          <w:tcPr>
            <w:tcW w:w="3880" w:type="dxa"/>
            <w:tcBorders>
              <w:top w:val="single" w:sz="4" w:space="0" w:color="D9D9D9" w:themeColor="background1" w:themeShade="D9"/>
              <w:left w:val="single" w:sz="4" w:space="0" w:color="D9D9D9" w:themeColor="background1" w:themeShade="D9"/>
              <w:bottom w:val="single" w:sz="4" w:space="0" w:color="0079C1" w:themeColor="text2"/>
              <w:right w:val="single" w:sz="4" w:space="0" w:color="D9D9D9" w:themeColor="background1" w:themeShade="D9"/>
            </w:tcBorders>
          </w:tcPr>
          <w:p w14:paraId="6084D0A2" w14:textId="520B87CD" w:rsidR="00F81E67" w:rsidRPr="008E680E" w:rsidRDefault="00F81E67" w:rsidP="00187BC0">
            <w:pPr>
              <w:pStyle w:val="Paragraph"/>
              <w:spacing w:before="60" w:after="60"/>
            </w:pPr>
            <w:r w:rsidRPr="008E680E">
              <w:t>AT Service Provider/Local Government</w:t>
            </w:r>
          </w:p>
        </w:tc>
      </w:tr>
    </w:tbl>
    <w:p w14:paraId="36206232" w14:textId="77777777" w:rsidR="00F81E67" w:rsidRPr="008E680E" w:rsidRDefault="00F81E67" w:rsidP="00217053">
      <w:pPr>
        <w:pStyle w:val="Heading2"/>
      </w:pPr>
      <w:r w:rsidRPr="008E680E">
        <w:t>Feedback provided at the start of Iteration 2 and Iteration 3</w:t>
      </w:r>
    </w:p>
    <w:p w14:paraId="1363F23C" w14:textId="5189ED5D" w:rsidR="00F81E67" w:rsidRPr="008E680E" w:rsidRDefault="00F81E67" w:rsidP="00F81E67">
      <w:pPr>
        <w:pStyle w:val="Paragraph"/>
      </w:pPr>
      <w:r w:rsidRPr="008E680E">
        <w:t xml:space="preserve">At the commencement of the focus group (Iteration 2) there was a presentation of the RER results and the pre-survey results </w:t>
      </w:r>
      <w:r w:rsidR="00BA0E0E">
        <w:t>(</w:t>
      </w:r>
      <w:r w:rsidR="00BA0E0E" w:rsidRPr="00BA0E0E">
        <w:rPr>
          <w:i/>
          <w:iCs/>
        </w:rPr>
        <w:fldChar w:fldCharType="begin"/>
      </w:r>
      <w:r w:rsidR="00BA0E0E" w:rsidRPr="00BA0E0E">
        <w:rPr>
          <w:i/>
          <w:iCs/>
        </w:rPr>
        <w:instrText xml:space="preserve"> REF _Ref42699469 \h </w:instrText>
      </w:r>
      <w:r w:rsidR="00BA0E0E">
        <w:rPr>
          <w:i/>
          <w:iCs/>
        </w:rPr>
        <w:instrText xml:space="preserve"> \* MERGEFORMAT </w:instrText>
      </w:r>
      <w:r w:rsidR="00BA0E0E" w:rsidRPr="00BA0E0E">
        <w:rPr>
          <w:i/>
          <w:iCs/>
        </w:rPr>
      </w:r>
      <w:r w:rsidR="00BA0E0E" w:rsidRPr="00BA0E0E">
        <w:rPr>
          <w:i/>
          <w:iCs/>
        </w:rPr>
        <w:fldChar w:fldCharType="separate"/>
      </w:r>
      <w:r w:rsidR="00EB1774" w:rsidRPr="00EB1774">
        <w:rPr>
          <w:i/>
          <w:iCs/>
        </w:rPr>
        <w:t>Figure C</w:t>
      </w:r>
      <w:r w:rsidR="00EB1774" w:rsidRPr="00EB1774">
        <w:rPr>
          <w:i/>
          <w:iCs/>
        </w:rPr>
        <w:noBreakHyphen/>
        <w:t>2</w:t>
      </w:r>
      <w:r w:rsidR="00BA0E0E" w:rsidRPr="00BA0E0E">
        <w:rPr>
          <w:i/>
          <w:iCs/>
        </w:rPr>
        <w:fldChar w:fldCharType="end"/>
      </w:r>
      <w:r w:rsidR="00BA0E0E" w:rsidRPr="00BA0E0E">
        <w:rPr>
          <w:i/>
          <w:iCs/>
        </w:rPr>
        <w:t>)</w:t>
      </w:r>
      <w:r w:rsidR="00ED6ACE" w:rsidRPr="00BA0E0E">
        <w:rPr>
          <w:i/>
          <w:iCs/>
        </w:rPr>
        <w:t>.</w:t>
      </w:r>
      <w:r w:rsidR="00ED6ACE">
        <w:t xml:space="preserve"> A</w:t>
      </w:r>
      <w:r w:rsidRPr="008E680E">
        <w:t>t the commencement of the post-survey (Iteration 3) there was a presentation of the focus group results (</w:t>
      </w:r>
      <w:r w:rsidR="007F1E82" w:rsidRPr="007F1E82">
        <w:rPr>
          <w:rStyle w:val="Italic"/>
        </w:rPr>
        <w:fldChar w:fldCharType="begin"/>
      </w:r>
      <w:r w:rsidR="007F1E82" w:rsidRPr="007F1E82">
        <w:rPr>
          <w:rStyle w:val="Italic"/>
        </w:rPr>
        <w:instrText xml:space="preserve"> REF _Ref42521586 \h </w:instrText>
      </w:r>
      <w:r w:rsidR="007F1E82">
        <w:rPr>
          <w:rStyle w:val="Italic"/>
        </w:rPr>
        <w:instrText xml:space="preserve"> \* MERGEFORMAT </w:instrText>
      </w:r>
      <w:r w:rsidR="007F1E82" w:rsidRPr="007F1E82">
        <w:rPr>
          <w:rStyle w:val="Italic"/>
        </w:rPr>
      </w:r>
      <w:r w:rsidR="007F1E82" w:rsidRPr="007F1E82">
        <w:rPr>
          <w:rStyle w:val="Italic"/>
        </w:rPr>
        <w:fldChar w:fldCharType="separate"/>
      </w:r>
      <w:r w:rsidR="00EB1774" w:rsidRPr="00EB1774">
        <w:rPr>
          <w:rStyle w:val="Italic"/>
        </w:rPr>
        <w:t>Figure C</w:t>
      </w:r>
      <w:r w:rsidR="00EB1774" w:rsidRPr="00EB1774">
        <w:rPr>
          <w:rStyle w:val="Italic"/>
        </w:rPr>
        <w:noBreakHyphen/>
        <w:t>3</w:t>
      </w:r>
      <w:r w:rsidR="007F1E82" w:rsidRPr="007F1E82">
        <w:rPr>
          <w:rStyle w:val="Italic"/>
        </w:rPr>
        <w:fldChar w:fldCharType="end"/>
      </w:r>
      <w:r w:rsidRPr="008E680E">
        <w:t>).</w:t>
      </w:r>
    </w:p>
    <w:p w14:paraId="36B3B486" w14:textId="77777777" w:rsidR="00C37335" w:rsidRPr="00247740" w:rsidRDefault="00C37335" w:rsidP="00247740">
      <w:bookmarkStart w:id="132" w:name="_Ref42521581"/>
      <w:r w:rsidRPr="00247740">
        <w:br w:type="page"/>
      </w:r>
    </w:p>
    <w:p w14:paraId="7C5098A6" w14:textId="229A3AE8" w:rsidR="00F81E67" w:rsidRDefault="00AB4782" w:rsidP="00217053">
      <w:bookmarkStart w:id="133" w:name="_Ref42699469"/>
      <w:bookmarkStart w:id="134" w:name="_Toc60999880"/>
      <w:bookmarkStart w:id="135" w:name="_Hlk59490792"/>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7">
        <w:rPr>
          <w:noProof/>
        </w:rPr>
        <w:t>-2</w:t>
      </w:r>
      <w:bookmarkEnd w:id="132"/>
      <w:bookmarkEnd w:id="133"/>
      <w:r w:rsidRPr="008E680E">
        <w:t>:</w:t>
      </w:r>
      <w:r w:rsidRPr="008E680E">
        <w:tab/>
      </w:r>
      <w:r w:rsidR="00F81E67" w:rsidRPr="008E680E">
        <w:t>Presentation RER results and the pre-survey results</w:t>
      </w:r>
      <w:bookmarkEnd w:id="134"/>
    </w:p>
    <w:p w14:paraId="0665C18D" w14:textId="77777777" w:rsidR="00C37335" w:rsidRPr="009D208E" w:rsidRDefault="00C37335" w:rsidP="009D208E">
      <w:r w:rsidRPr="009D208E">
        <w:rPr>
          <w:noProof/>
          <w:lang w:val="en-AU" w:eastAsia="en-AU"/>
        </w:rPr>
        <w:drawing>
          <wp:inline distT="0" distB="0" distL="0" distR="0" wp14:anchorId="3EEA247E" wp14:editId="32130B03">
            <wp:extent cx="4715905" cy="2638425"/>
            <wp:effectExtent l="0" t="0" r="8890" b="0"/>
            <wp:docPr id="9" name="Picture 9" descr="Cost effectiveness of AT for older people - Rapid Evidenc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st effectiveness of AT for older people - Rapid Evidence Review"/>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738300" cy="2650954"/>
                    </a:xfrm>
                    <a:prstGeom prst="rect">
                      <a:avLst/>
                    </a:prstGeom>
                    <a:ln>
                      <a:noFill/>
                    </a:ln>
                    <a:extLst>
                      <a:ext uri="{53640926-AAD7-44D8-BBD7-CCE9431645EC}">
                        <a14:shadowObscured xmlns:a14="http://schemas.microsoft.com/office/drawing/2010/main"/>
                      </a:ext>
                    </a:extLst>
                  </pic:spPr>
                </pic:pic>
              </a:graphicData>
            </a:graphic>
          </wp:inline>
        </w:drawing>
      </w:r>
    </w:p>
    <w:p w14:paraId="08BEEB7C" w14:textId="77777777" w:rsidR="00C37335" w:rsidRPr="009D208E" w:rsidRDefault="00C37335" w:rsidP="009D208E">
      <w:r w:rsidRPr="009D208E">
        <w:rPr>
          <w:noProof/>
          <w:lang w:val="en-AU" w:eastAsia="en-AU"/>
        </w:rPr>
        <w:drawing>
          <wp:inline distT="0" distB="0" distL="0" distR="0" wp14:anchorId="4930D335" wp14:editId="1F9A3108">
            <wp:extent cx="4707902" cy="2667000"/>
            <wp:effectExtent l="0" t="0" r="0" b="0"/>
            <wp:docPr id="12" name="Picture 12" descr="Feedback from the survey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eedback from the survey (Part 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739521" cy="2684912"/>
                    </a:xfrm>
                    <a:prstGeom prst="rect">
                      <a:avLst/>
                    </a:prstGeom>
                    <a:ln>
                      <a:noFill/>
                    </a:ln>
                    <a:extLst>
                      <a:ext uri="{53640926-AAD7-44D8-BBD7-CCE9431645EC}">
                        <a14:shadowObscured xmlns:a14="http://schemas.microsoft.com/office/drawing/2010/main"/>
                      </a:ext>
                    </a:extLst>
                  </pic:spPr>
                </pic:pic>
              </a:graphicData>
            </a:graphic>
          </wp:inline>
        </w:drawing>
      </w:r>
    </w:p>
    <w:p w14:paraId="175AAABD" w14:textId="0633F728" w:rsidR="00F81E67" w:rsidRPr="009D208E" w:rsidRDefault="00C37335" w:rsidP="009D208E">
      <w:r w:rsidRPr="009D208E">
        <w:rPr>
          <w:noProof/>
          <w:lang w:val="en-AU" w:eastAsia="en-AU"/>
        </w:rPr>
        <w:drawing>
          <wp:inline distT="0" distB="0" distL="0" distR="0" wp14:anchorId="791EC5E7" wp14:editId="7957C98F">
            <wp:extent cx="4617202" cy="2619375"/>
            <wp:effectExtent l="0" t="0" r="0" b="0"/>
            <wp:docPr id="13" name="Picture 13" descr="Feedback from the survey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eedback from the survey (Part 2)"/>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660954" cy="2644196"/>
                    </a:xfrm>
                    <a:prstGeom prst="rect">
                      <a:avLst/>
                    </a:prstGeom>
                    <a:ln>
                      <a:noFill/>
                    </a:ln>
                    <a:extLst>
                      <a:ext uri="{53640926-AAD7-44D8-BBD7-CCE9431645EC}">
                        <a14:shadowObscured xmlns:a14="http://schemas.microsoft.com/office/drawing/2010/main"/>
                      </a:ext>
                    </a:extLst>
                  </pic:spPr>
                </pic:pic>
              </a:graphicData>
            </a:graphic>
          </wp:inline>
        </w:drawing>
      </w:r>
    </w:p>
    <w:bookmarkEnd w:id="135"/>
    <w:p w14:paraId="63ABAB46" w14:textId="77777777" w:rsidR="001F3ED5" w:rsidRDefault="001F3ED5">
      <w:r>
        <w:br w:type="page"/>
      </w:r>
    </w:p>
    <w:p w14:paraId="12E8474A" w14:textId="4E064BA3" w:rsidR="00F81E67" w:rsidRDefault="00AB4782" w:rsidP="00217053">
      <w:bookmarkStart w:id="136" w:name="_Ref42521586"/>
      <w:bookmarkStart w:id="137" w:name="_Toc60999881"/>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7">
        <w:rPr>
          <w:noProof/>
        </w:rPr>
        <w:t>-3</w:t>
      </w:r>
      <w:bookmarkEnd w:id="136"/>
      <w:r w:rsidRPr="008E680E">
        <w:t>:</w:t>
      </w:r>
      <w:r w:rsidRPr="008E680E">
        <w:tab/>
      </w:r>
      <w:r w:rsidR="00C47100" w:rsidRPr="008E680E">
        <w:t>focus group results start of the post-survey</w:t>
      </w:r>
      <w:bookmarkEnd w:id="137"/>
    </w:p>
    <w:p w14:paraId="629094D0" w14:textId="0B760533" w:rsidR="006562A7" w:rsidRDefault="006562A7" w:rsidP="006562A7">
      <w:pPr>
        <w:rPr>
          <w:lang w:eastAsia="en-US"/>
        </w:rPr>
      </w:pPr>
    </w:p>
    <w:p w14:paraId="740F8FD7" w14:textId="77777777" w:rsidR="006562A7" w:rsidRPr="00217053" w:rsidRDefault="006562A7" w:rsidP="00217053">
      <w:pPr>
        <w:rPr>
          <w:rFonts w:ascii="Calibri" w:hAnsi="Calibri"/>
          <w:b/>
          <w:sz w:val="28"/>
          <w:szCs w:val="28"/>
          <w:lang w:val="en-AU"/>
        </w:rPr>
      </w:pPr>
      <w:r w:rsidRPr="00217053">
        <w:rPr>
          <w:b/>
          <w:sz w:val="28"/>
          <w:szCs w:val="28"/>
        </w:rPr>
        <w:t>High-level focus group findings</w:t>
      </w:r>
    </w:p>
    <w:p w14:paraId="0BD86AB6" w14:textId="77777777" w:rsidR="00217053" w:rsidRDefault="00217053" w:rsidP="00217053">
      <w:pPr>
        <w:rPr>
          <w:b/>
        </w:rPr>
      </w:pPr>
    </w:p>
    <w:p w14:paraId="3BC8A53F" w14:textId="1EE32A3F" w:rsidR="00F81E67" w:rsidRPr="00217053" w:rsidRDefault="00F81E67" w:rsidP="00217053">
      <w:pPr>
        <w:rPr>
          <w:b/>
        </w:rPr>
      </w:pPr>
      <w:r w:rsidRPr="00217053">
        <w:rPr>
          <w:b/>
        </w:rPr>
        <w:t>Summary of discussion around user profiles:</w:t>
      </w:r>
    </w:p>
    <w:p w14:paraId="6C1FBCB1" w14:textId="16CB0292" w:rsidR="00F81E67" w:rsidRPr="001F3ED5" w:rsidRDefault="00F33447" w:rsidP="00C61CD3">
      <w:pPr>
        <w:pStyle w:val="Paragraph"/>
      </w:pPr>
      <w:r>
        <w:rPr>
          <w:rStyle w:val="Bold"/>
        </w:rPr>
        <w:t>Mrs </w:t>
      </w:r>
      <w:r w:rsidR="00F81E67" w:rsidRPr="00BE20E8">
        <w:rPr>
          <w:rStyle w:val="Bold"/>
        </w:rPr>
        <w:t>A:</w:t>
      </w:r>
      <w:r w:rsidR="00F81E67" w:rsidRPr="001F3ED5">
        <w:t xml:space="preserve"> The panel provided feedback around </w:t>
      </w:r>
      <w:r>
        <w:t>Mrs </w:t>
      </w:r>
      <w:r w:rsidR="00F81E67" w:rsidRPr="001F3ED5">
        <w:t xml:space="preserve">A’s current need for AT and the possible benefits which could sustain her independence over the medium to long term, including support services. The group agreed that with the appropriate AT there was no perceived need for residential aged care in the foreseeable future. AT could enable </w:t>
      </w:r>
      <w:r>
        <w:t>Mrs </w:t>
      </w:r>
      <w:r w:rsidR="00F81E67" w:rsidRPr="001F3ED5">
        <w:t xml:space="preserve">A to do her own housework in an easier way, with the added benefits of moving her body, increasing flexibility, strength and balance. This could be encouraging her to build capacity and reserve rather than compensate with unnecessary AT. Several panel members felt it was hard to assess the impact of AT on the frequency of GP visits. There was agreement that AT would lead to a reduction in formal support going forward (delaying the need). </w:t>
      </w:r>
    </w:p>
    <w:p w14:paraId="6AE8C9B2" w14:textId="73E37131" w:rsidR="00F81E67" w:rsidRPr="001F3ED5" w:rsidRDefault="00F33447" w:rsidP="00C61CD3">
      <w:pPr>
        <w:pStyle w:val="Paragraph"/>
      </w:pPr>
      <w:r>
        <w:rPr>
          <w:rStyle w:val="Bold"/>
        </w:rPr>
        <w:t>Mr </w:t>
      </w:r>
      <w:r w:rsidR="00F81E67" w:rsidRPr="00BE20E8">
        <w:rPr>
          <w:rStyle w:val="Bold"/>
        </w:rPr>
        <w:t>B:</w:t>
      </w:r>
      <w:r w:rsidR="00F81E67" w:rsidRPr="001F3ED5">
        <w:t xml:space="preserve"> The panel identified that </w:t>
      </w:r>
      <w:r>
        <w:t>Mr </w:t>
      </w:r>
      <w:r w:rsidR="00F81E67" w:rsidRPr="001F3ED5">
        <w:t xml:space="preserve">B had visited an Independent Living Centre, and therefore it was assumed that the prescription of his four wheeled walked was done by an Allied Health professional, taking into account his environment, with no additional needs identified. The panel agreed that appropriate prescription of AT reduces the risk of abandonment. </w:t>
      </w:r>
      <w:r>
        <w:t>Mr </w:t>
      </w:r>
      <w:r w:rsidR="00F81E67" w:rsidRPr="001F3ED5">
        <w:t>B could have substantial behaviour change with access to a four wheeled walker, including confidence gained and increased community access. If referred to a physio following a fall, he may not need the walker long term (reablement).</w:t>
      </w:r>
    </w:p>
    <w:p w14:paraId="2058C2AD" w14:textId="0B6A8E25" w:rsidR="00F81E67" w:rsidRPr="001F3ED5" w:rsidRDefault="00F33447" w:rsidP="00C61CD3">
      <w:pPr>
        <w:pStyle w:val="Paragraph"/>
      </w:pPr>
      <w:r>
        <w:rPr>
          <w:rStyle w:val="Bold"/>
        </w:rPr>
        <w:t>Ms </w:t>
      </w:r>
      <w:r w:rsidR="00F81E67" w:rsidRPr="00BE20E8">
        <w:rPr>
          <w:rStyle w:val="Bold"/>
        </w:rPr>
        <w:t>C:</w:t>
      </w:r>
      <w:r w:rsidR="00F81E67" w:rsidRPr="001F3ED5">
        <w:t xml:space="preserve"> The panel determined that </w:t>
      </w:r>
      <w:r>
        <w:t>Ms </w:t>
      </w:r>
      <w:r w:rsidR="00F81E67" w:rsidRPr="001F3ED5">
        <w:t xml:space="preserve">C is on the cusp of needing a lot of formal support, however appropriate AT could delay the need for services. Short term intensive services could alleviate the need for long term ongoing services. A planned approach that could be scaled back as needed may be appropriate for this user. The panel identified that she has complex health needs, as identified through her medications, she is on the cusp of requiring escalated care if no immediate intervention is put in place. A holistic approach to her support is needed. Loss of ability to drive could lead to emotional distress and a feeling of loss of independence. Putting in the appropriate supports could delay admission to residential aged care for 5-10 years. The panel advised that appropriate AT can last 10, 20, 30 years. </w:t>
      </w:r>
    </w:p>
    <w:p w14:paraId="616695D2" w14:textId="6782ECEC" w:rsidR="00F81E67" w:rsidRDefault="00F33447" w:rsidP="00C61CD3">
      <w:pPr>
        <w:pStyle w:val="Paragraph"/>
      </w:pPr>
      <w:r>
        <w:rPr>
          <w:rStyle w:val="Bold"/>
        </w:rPr>
        <w:t>Mr </w:t>
      </w:r>
      <w:r w:rsidR="00F81E67" w:rsidRPr="00BE20E8">
        <w:rPr>
          <w:rStyle w:val="Bold"/>
        </w:rPr>
        <w:t>D:</w:t>
      </w:r>
      <w:r w:rsidR="00F81E67" w:rsidRPr="001F3ED5">
        <w:t xml:space="preserve"> "I can’t imagine what this gentleman’s life or his daughter’s life would be like, or even possible, without the AT and modifications." The panel considered that without the significant carer support and AT, </w:t>
      </w:r>
      <w:r>
        <w:t>Mr </w:t>
      </w:r>
      <w:r w:rsidR="00F81E67" w:rsidRPr="001F3ED5">
        <w:t xml:space="preserve">D would already be in residential aged care. The panel highlighted the need to balance cost of services with cost of AT. There is high risk of carer burnout without AT. The panel assumed that the AT described in the user profiles had been purchased by the individuals or their families. It was noted that consumers often don’t want to pay for an AT assessment with their home care package, and may just go ahead and purchase unprescribed AT which could lead to AT abandonment. </w:t>
      </w:r>
    </w:p>
    <w:p w14:paraId="24C80A81" w14:textId="792632EA" w:rsidR="00FE64D9" w:rsidRDefault="00FE64D9">
      <w:pPr>
        <w:rPr>
          <w:rFonts w:ascii="Calibri" w:eastAsia="Calibri" w:hAnsi="Calibri"/>
        </w:rPr>
      </w:pPr>
      <w:r>
        <w:br w:type="page"/>
      </w:r>
    </w:p>
    <w:p w14:paraId="6F454643" w14:textId="137816D0" w:rsidR="00F81E67" w:rsidRPr="008E680E" w:rsidRDefault="00F81E67" w:rsidP="00120921">
      <w:pPr>
        <w:pStyle w:val="Heading2"/>
      </w:pPr>
      <w:bookmarkStart w:id="138" w:name="_Ref42681023"/>
      <w:r w:rsidRPr="008E680E">
        <w:lastRenderedPageBreak/>
        <w:t>Results of the Delphi technique</w:t>
      </w:r>
      <w:bookmarkEnd w:id="138"/>
    </w:p>
    <w:p w14:paraId="4FA55F11" w14:textId="24A165CF" w:rsidR="00F81E67" w:rsidRPr="00217053" w:rsidRDefault="00F81E67" w:rsidP="00217053">
      <w:pPr>
        <w:rPr>
          <w:b/>
          <w:sz w:val="28"/>
          <w:szCs w:val="28"/>
        </w:rPr>
      </w:pPr>
      <w:r w:rsidRPr="00217053">
        <w:rPr>
          <w:b/>
          <w:sz w:val="28"/>
          <w:szCs w:val="28"/>
        </w:rPr>
        <w:t>Images and benefits of AT (free text)</w:t>
      </w:r>
    </w:p>
    <w:p w14:paraId="163CEA37" w14:textId="2462D580" w:rsidR="00F81E67" w:rsidRPr="008E680E" w:rsidRDefault="00F81E67" w:rsidP="00F81E67">
      <w:pPr>
        <w:pStyle w:val="Paragraph"/>
      </w:pPr>
      <w:r w:rsidRPr="008E680E">
        <w:t>Both the images and benefits of AT, as perceived by the panellists, had some variation and some similarity from the pre-survey to the post-survey (</w:t>
      </w:r>
      <w:r w:rsidR="007F1E82" w:rsidRPr="007F1E82">
        <w:rPr>
          <w:rStyle w:val="Italic"/>
        </w:rPr>
        <w:fldChar w:fldCharType="begin"/>
      </w:r>
      <w:r w:rsidR="007F1E82" w:rsidRPr="007F1E82">
        <w:rPr>
          <w:rStyle w:val="Italic"/>
        </w:rPr>
        <w:instrText xml:space="preserve"> REF _Ref42521794 \h </w:instrText>
      </w:r>
      <w:r w:rsidR="007F1E82">
        <w:rPr>
          <w:rStyle w:val="Italic"/>
        </w:rPr>
        <w:instrText xml:space="preserve"> \* MERGEFORMAT </w:instrText>
      </w:r>
      <w:r w:rsidR="007F1E82" w:rsidRPr="007F1E82">
        <w:rPr>
          <w:rStyle w:val="Italic"/>
        </w:rPr>
      </w:r>
      <w:r w:rsidR="007F1E82" w:rsidRPr="007F1E82">
        <w:rPr>
          <w:rStyle w:val="Italic"/>
        </w:rPr>
        <w:fldChar w:fldCharType="separate"/>
      </w:r>
      <w:r w:rsidR="00EB1774" w:rsidRPr="00EB1774">
        <w:rPr>
          <w:rStyle w:val="Italic"/>
        </w:rPr>
        <w:t>Figure C</w:t>
      </w:r>
      <w:r w:rsidR="00EB1774" w:rsidRPr="00EB1774">
        <w:rPr>
          <w:rStyle w:val="Italic"/>
        </w:rPr>
        <w:noBreakHyphen/>
        <w:t>4</w:t>
      </w:r>
      <w:r w:rsidR="007F1E82" w:rsidRPr="007F1E82">
        <w:rPr>
          <w:rStyle w:val="Italic"/>
        </w:rPr>
        <w:fldChar w:fldCharType="end"/>
      </w:r>
      <w:r w:rsidR="00126A80">
        <w:rPr>
          <w:rStyle w:val="Italic"/>
        </w:rPr>
        <w:t xml:space="preserve"> </w:t>
      </w:r>
      <w:r w:rsidR="00126A80" w:rsidRPr="00126A80">
        <w:t>and</w:t>
      </w:r>
      <w:r w:rsidR="00126A80">
        <w:rPr>
          <w:rStyle w:val="Italic"/>
        </w:rPr>
        <w:t xml:space="preserve"> </w:t>
      </w:r>
      <w:r w:rsidR="00126A80" w:rsidRPr="00126A80">
        <w:rPr>
          <w:rStyle w:val="Italic"/>
        </w:rPr>
        <w:fldChar w:fldCharType="begin"/>
      </w:r>
      <w:r w:rsidR="00126A80" w:rsidRPr="00126A80">
        <w:rPr>
          <w:rStyle w:val="Italic"/>
        </w:rPr>
        <w:instrText xml:space="preserve"> REF _Ref42521839 \h </w:instrText>
      </w:r>
      <w:r w:rsidR="00126A80">
        <w:rPr>
          <w:rStyle w:val="Italic"/>
        </w:rPr>
        <w:instrText xml:space="preserve"> \* MERGEFORMAT </w:instrText>
      </w:r>
      <w:r w:rsidR="00126A80" w:rsidRPr="00126A80">
        <w:rPr>
          <w:rStyle w:val="Italic"/>
        </w:rPr>
      </w:r>
      <w:r w:rsidR="00126A80" w:rsidRPr="00126A80">
        <w:rPr>
          <w:rStyle w:val="Italic"/>
        </w:rPr>
        <w:fldChar w:fldCharType="separate"/>
      </w:r>
      <w:r w:rsidR="00EB1774" w:rsidRPr="00EB1774">
        <w:rPr>
          <w:rStyle w:val="Italic"/>
        </w:rPr>
        <w:t>Figure C</w:t>
      </w:r>
      <w:r w:rsidR="00EB1774" w:rsidRPr="00EB1774">
        <w:rPr>
          <w:rStyle w:val="Italic"/>
        </w:rPr>
        <w:noBreakHyphen/>
        <w:t>5</w:t>
      </w:r>
      <w:r w:rsidR="00126A80" w:rsidRPr="00126A80">
        <w:rPr>
          <w:rStyle w:val="Italic"/>
        </w:rPr>
        <w:fldChar w:fldCharType="end"/>
      </w:r>
      <w:r w:rsidRPr="008E680E">
        <w:t>). Images focussed on a variety of different aids and equipment. Benefits focussed on independence, quality of life, autonomy, staying at home, confidence and reducing hospital admissions and formal support.</w:t>
      </w:r>
    </w:p>
    <w:p w14:paraId="39F20E0E" w14:textId="2953C625" w:rsidR="00F81E67" w:rsidRPr="008E680E" w:rsidRDefault="00AB4782" w:rsidP="00217053">
      <w:bookmarkStart w:id="139" w:name="_Ref42521794"/>
      <w:bookmarkStart w:id="140" w:name="_Toc60999882"/>
      <w:bookmarkStart w:id="141" w:name="_Hlk59490741"/>
      <w:r w:rsidRPr="008E680E">
        <w:t>Figure </w:t>
      </w:r>
      <w:r>
        <w:fldChar w:fldCharType="begin"/>
      </w:r>
      <w:r>
        <w:instrText xml:space="preserve"> STYLEREF 5 \s </w:instrText>
      </w:r>
      <w:r>
        <w:fldChar w:fldCharType="separate"/>
      </w:r>
      <w:r w:rsidR="00EB1774">
        <w:rPr>
          <w:noProof/>
        </w:rPr>
        <w:t>C</w:t>
      </w:r>
      <w:r>
        <w:rPr>
          <w:noProof/>
        </w:rPr>
        <w:fldChar w:fldCharType="end"/>
      </w:r>
      <w:r w:rsidR="006562A7">
        <w:rPr>
          <w:noProof/>
        </w:rPr>
        <w:t>-4</w:t>
      </w:r>
      <w:bookmarkEnd w:id="139"/>
      <w:r w:rsidRPr="008E680E">
        <w:t>:</w:t>
      </w:r>
      <w:r w:rsidRPr="008E680E">
        <w:tab/>
      </w:r>
      <w:r w:rsidR="00F81E67" w:rsidRPr="008E680E">
        <w:t>Panellist reported images of AT</w:t>
      </w:r>
      <w:bookmarkEnd w:id="140"/>
    </w:p>
    <w:p w14:paraId="539F608F" w14:textId="77777777" w:rsidR="00217053" w:rsidRDefault="00217053" w:rsidP="00217053">
      <w:pPr>
        <w:rPr>
          <w:noProof/>
        </w:rPr>
      </w:pPr>
    </w:p>
    <w:p w14:paraId="511084D7" w14:textId="2991A623" w:rsidR="007F1E82" w:rsidRDefault="007F1E82" w:rsidP="00217053">
      <w:pPr>
        <w:rPr>
          <w:noProof/>
        </w:rPr>
      </w:pPr>
      <w:r w:rsidRPr="00433E00">
        <w:rPr>
          <w:noProof/>
        </w:rPr>
        <w:t>Part a) Pre-survey</w:t>
      </w:r>
    </w:p>
    <w:p w14:paraId="16121345" w14:textId="77777777" w:rsidR="00F81E67" w:rsidRPr="00433E00" w:rsidRDefault="00F81E67" w:rsidP="007F1E82">
      <w:pPr>
        <w:rPr>
          <w:noProof/>
        </w:rPr>
      </w:pPr>
      <w:r w:rsidRPr="00433E00">
        <w:rPr>
          <w:noProof/>
          <w:lang w:val="en-AU" w:eastAsia="en-AU"/>
        </w:rPr>
        <w:drawing>
          <wp:inline distT="0" distB="0" distL="0" distR="0" wp14:anchorId="3E55E98D" wp14:editId="37DC61FE">
            <wp:extent cx="5004000" cy="3266499"/>
            <wp:effectExtent l="19050" t="19050" r="25400" b="10160"/>
            <wp:docPr id="37" name="Picture 37" descr="A ‘cloud’ of words/phrases depicting panellists’ reported images of AT pre-survey. The more commonly reported the word/phrase, the larger it appears in the cloud. The largest word in this cloud is ‘aid’. The words/phrases that are second-largest in size are ‘wheelchair’, ‘products’, ‘equipment’, ‘mobility aid’ and ‘scooter’. The words/phrases that are third-largest in size are ‘handled sponge’, ‘home automation’, ‘communications device’, ‘services’ and ‘electric wheelchair’. The remaining group of smallest-sized words/phrases are ‘cordless vacuum’, ‘enormous range’, ‘wide variety’, ‘electronic monitoring device’, ‘use need prescription’, ambulatory aid’, ‘motorised home modification’, ‘range of products’, ‘low vision aid’, ‘specialised equipment’, ‘motorized scooter’, ‘low level device’, ‘personal care, ‘specialised cutlery’, ‘bathroom stool’, ‘memory aid’, ‘speech recognition software’, ‘media cost mobility’, ‘mobility items’, ‘adaptive scissors’, ‘support need’, ‘speech therapy’, ‘environmental control’, ‘knee pad’, ‘high tech device’, ‘domestic task’, slide board’, ‘low cost equipment’, ‘cost robot vacuum’, ‘low vision specialist’, ‘kitchen aid’, ‘life of choice’, ‘personal alarm’, ‘car modification’, ‘cost mobility aid’, ‘safety aid’, ‘bathroom aid’, and ‘expert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ud’ of words/phrases depicting panellists’ reported images of AT pre-survey. The more commonly reported the word/phrase, the larger it appears in the cloud. The largest word in this cloud is ‘aid’. The words/phrases that are second-largest in size are ‘wheelchair’, ‘products’, ‘equipment’, ‘mobility aid’ and ‘scooter’. The words/phrases that are third-largest in size are ‘handled sponge’, ‘home automation’, ‘communications device’, ‘services’ and ‘electric wheelchair’. The remaining group of smallest-sized words/phrases are ‘cordless vacuum’, ‘enormous range’, ‘wide variety’, ‘electronic monitoring device’, ‘use need prescription’, ambulatory aid’, ‘motorised home modification’, ‘range of products’, ‘low vision aid’, ‘specialised equipment’, ‘motorized scooter’, ‘low level device’, ‘personal care, ‘specialised cutlery’, ‘bathroom stool’, ‘memory aid’, ‘speech recognition software’, ‘media cost mobility’, ‘mobility items’, ‘adaptive scissors’, ‘support need’, ‘speech therapy’, ‘environmental control’, ‘knee pad’, ‘high tech device’, ‘domestic task’, slide board’, ‘low cost equipment’, ‘cost robot vacuum’, ‘low vision specialist’, ‘kitchen aid’, ‘life of choice’, ‘personal alarm’, ‘car modification’, ‘cost mobility aid’, ‘safety aid’, ‘bathroom aid’, and ‘expert prescription’."/>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004000" cy="3266499"/>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6A6775C1" w14:textId="77777777" w:rsidR="00217053" w:rsidRDefault="00217053" w:rsidP="00217053"/>
    <w:p w14:paraId="7551053F" w14:textId="369DB889" w:rsidR="007F1E82" w:rsidRDefault="007F1E82" w:rsidP="00217053">
      <w:r w:rsidRPr="008E680E">
        <w:t>Part b) Post-survey</w:t>
      </w:r>
    </w:p>
    <w:p w14:paraId="365C9CDE" w14:textId="77777777" w:rsidR="00F81E67" w:rsidRPr="008E680E" w:rsidRDefault="00F81E67" w:rsidP="007F1E82">
      <w:r w:rsidRPr="00433E00">
        <w:rPr>
          <w:noProof/>
          <w:lang w:val="en-AU" w:eastAsia="en-AU"/>
        </w:rPr>
        <w:drawing>
          <wp:inline distT="0" distB="0" distL="0" distR="0" wp14:anchorId="33C11E6A" wp14:editId="1CA82E9C">
            <wp:extent cx="5004000" cy="3154115"/>
            <wp:effectExtent l="19050" t="19050" r="25400" b="27305"/>
            <wp:docPr id="36" name="Picture 36" descr="A ‘cloud’ of words/phrases depicting panellists’ reported images of AT post-survey. The more commonly reported the word/phrase, the larger it appears in the cloud. The largest-sized word in this cloud is ‘aid’. The words/phrases that are second-largest in size are ‘range of equipment’ and ‘electric wheelchair’. The remaining group of smallest-sized words/phrases are ‘mobility aid’, ‘pills bob’, ‘plus smart home’, ‘specialised seating’, ‘domestic activities’, ‘regular market’, ‘image of information’, ‘modified utensils’, ‘district nurse’, ‘large print calendar’, ‘life of choice’, ‘universal design’, ‘mobility equipment’, ‘related services’, ‘robot vacuum’, ‘range of things’, ‘physical problem’, ‘easy everyday equipment’, ‘tin opener’, ‘image of people’, ‘handled shoe horn’, ‘piece of equipment’, ‘simple aid’, ‘smart home technology’, ‘pressure care’, ‘shower chair’, ‘actual equipment’, ‘wheeled walker’, ‘sensory problem’, ‘specialist equipment’, ‘shower mat’, ‘aid cordless vacuum’, ‘simple equipment people’, ‘broad church’, ‘specialised comunications device’, ‘wheelchair custom build’, ‘specialized market place’, ‘speech recognition software’, ‘tele monitoring device’, ‘possible problem’, ‘electric wheelchair custom’, ‘power assist device’, ‘kind of technology’, ‘hand rail’, hearing problem’, ‘professional prescription’ and ‘expert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ud’ of words/phrases depicting panellists’ reported images of AT post-survey. The more commonly reported the word/phrase, the larger it appears in the cloud. The largest-sized word in this cloud is ‘aid’. The words/phrases that are second-largest in size are ‘range of equipment’ and ‘electric wheelchair’. The remaining group of smallest-sized words/phrases are ‘mobility aid’, ‘pills bob’, ‘plus smart home’, ‘specialised seating’, ‘domestic activities’, ‘regular market’, ‘image of information’, ‘modified utensils’, ‘district nurse’, ‘large print calendar’, ‘life of choice’, ‘universal design’, ‘mobility equipment’, ‘related services’, ‘robot vacuum’, ‘range of things’, ‘physical problem’, ‘easy everyday equipment’, ‘tin opener’, ‘image of people’, ‘handled shoe horn’, ‘piece of equipment’, ‘simple aid’, ‘smart home technology’, ‘pressure care’, ‘shower chair’, ‘actual equipment’, ‘wheeled walker’, ‘sensory problem’, ‘specialist equipment’, ‘shower mat’, ‘aid cordless vacuum’, ‘simple equipment people’, ‘broad church’, ‘specialised comunications device’, ‘wheelchair custom build’, ‘specialized market place’, ‘speech recognition software’, ‘tele monitoring device’, ‘possible problem’, ‘electric wheelchair custom’, ‘power assist device’, ‘kind of technology’, ‘hand rail’, hearing problem’, ‘professional prescription’ and ‘expert advic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004000" cy="3154115"/>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45790C1C" w14:textId="7429C810" w:rsidR="00F81E67" w:rsidRPr="008E680E" w:rsidRDefault="00AB4782" w:rsidP="00217053">
      <w:bookmarkStart w:id="142" w:name="_Ref42521839"/>
      <w:bookmarkStart w:id="143" w:name="_Toc60999883"/>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7">
        <w:rPr>
          <w:noProof/>
        </w:rPr>
        <w:t>-5</w:t>
      </w:r>
      <w:bookmarkEnd w:id="142"/>
      <w:r w:rsidRPr="008E680E">
        <w:t>:</w:t>
      </w:r>
      <w:r w:rsidRPr="008E680E">
        <w:tab/>
      </w:r>
      <w:r w:rsidR="00F81E67" w:rsidRPr="008E680E">
        <w:t>Panellist reported benefits of AT</w:t>
      </w:r>
      <w:bookmarkEnd w:id="143"/>
    </w:p>
    <w:p w14:paraId="6937F955" w14:textId="77777777" w:rsidR="00217053" w:rsidRDefault="00217053" w:rsidP="00217053"/>
    <w:p w14:paraId="1C276364" w14:textId="00055FC7" w:rsidR="00126A80" w:rsidRPr="00126A80" w:rsidRDefault="00126A80" w:rsidP="00217053">
      <w:r w:rsidRPr="00126A80">
        <w:t>Part a) Pre-survey</w:t>
      </w:r>
    </w:p>
    <w:p w14:paraId="4FD25581" w14:textId="77777777" w:rsidR="00F81E67" w:rsidRPr="00126A80" w:rsidRDefault="00F81E67" w:rsidP="00126A80">
      <w:r w:rsidRPr="00126A80">
        <w:rPr>
          <w:noProof/>
          <w:lang w:val="en-AU" w:eastAsia="en-AU"/>
        </w:rPr>
        <w:drawing>
          <wp:inline distT="0" distB="0" distL="0" distR="0" wp14:anchorId="4C539A62" wp14:editId="7B10C845">
            <wp:extent cx="6120000" cy="3960000"/>
            <wp:effectExtent l="19050" t="19050" r="14605" b="21590"/>
            <wp:docPr id="40" name="Picture 40" descr="A ‘cloud’ of words/phrases depicting panellists’ reported benefits of AT pre-survey. The more commonly reported the word/phrase, the larger it appears in the cloud. The largest-sized word in this cloud is ‘independence’. The words/phrases that are second-largest in size are ‘quality of life’ and ‘autonomy’. The words/phrases that are third-largest in size are ‘formal support’ and ‘personal injury’. The remaining group of smallest-sized words/phrases are ‘emergency presentation’, ‘readmission rate’, ‘greater sense’, ‘carer health’, ‘potential risk’, ‘improved health’, ‘valued outcomes’, ‘level support package’, increased participation’, ‘level of support’, ‘gp visit’, ‘risk of fall’, ‘decreased support cost’, ‘carer benefits’, ‘less need’, support consumer choice’, ‘subacute health services’, ‘period of reablement’, ‘health intervention’, ‘better social connection’, ‘provides solutions’, ‘facilitate memory’, ‘support workers’, ‘less reliance’, ‘self confidence’, ‘maintain connection’, ‘capacity building opportunities’, ‘hospital admission’, ‘individual need’, ‘promote independence’, ‘formal support staff’, ‘provisions of care’, ‘improved quality’, ‘enables discharge’, ‘informal carers’, ‘family member’, ‘valued role’ ‘sense of wellbeing’, ‘intense support’, ‘day task’, ‘intensive level’, ‘greater independence’, ‘personal care’, ‘one self’, and ‘increased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ud’ of words/phrases depicting panellists’ reported benefits of AT pre-survey. The more commonly reported the word/phrase, the larger it appears in the cloud. The largest-sized word in this cloud is ‘independence’. The words/phrases that are second-largest in size are ‘quality of life’ and ‘autonomy’. The words/phrases that are third-largest in size are ‘formal support’ and ‘personal injury’. The remaining group of smallest-sized words/phrases are ‘emergency presentation’, ‘readmission rate’, ‘greater sense’, ‘carer health’, ‘potential risk’, ‘improved health’, ‘valued outcomes’, ‘level support package’, increased participation’, ‘level of support’, ‘gp visit’, ‘risk of fall’, ‘decreased support cost’, ‘carer benefits’, ‘less need’, support consumer choice’, ‘subacute health services’, ‘period of reablement’, ‘health intervention’, ‘better social connection’, ‘provides solutions’, ‘facilitate memory’, ‘support workers’, ‘less reliance’, ‘self confidence’, ‘maintain connection’, ‘capacity building opportunities’, ‘hospital admission’, ‘individual need’, ‘promote independence’, ‘formal support staff’, ‘provisions of care’, ‘improved quality’, ‘enables discharge’, ‘informal carers’, ‘family member’, ‘valued role’ ‘sense of wellbeing’, ‘intense support’, ‘day task’, ‘intensive level’, ‘greater independence’, ‘personal care’, ‘one self’, and ‘increased productivity’."/>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120000" cy="3960000"/>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3358FF6B" w14:textId="77777777" w:rsidR="00217053" w:rsidRDefault="00217053" w:rsidP="00217053"/>
    <w:p w14:paraId="05D6EAAD" w14:textId="5673CBA9" w:rsidR="00126A80" w:rsidRPr="00126A80" w:rsidRDefault="00126A80" w:rsidP="00217053">
      <w:r w:rsidRPr="00126A80">
        <w:t>Part b) Post-survey</w:t>
      </w:r>
    </w:p>
    <w:p w14:paraId="1C1F433D" w14:textId="77777777" w:rsidR="00F81E67" w:rsidRPr="00126A80" w:rsidRDefault="00F81E67" w:rsidP="00126A80">
      <w:r w:rsidRPr="00126A80">
        <w:rPr>
          <w:noProof/>
          <w:lang w:val="en-AU" w:eastAsia="en-AU"/>
        </w:rPr>
        <w:drawing>
          <wp:inline distT="0" distB="0" distL="0" distR="0" wp14:anchorId="14C0B729" wp14:editId="4DE008B6">
            <wp:extent cx="6120000" cy="3960000"/>
            <wp:effectExtent l="19050" t="19050" r="14605" b="21590"/>
            <wp:docPr id="41" name="Picture 41" descr="A ‘cloud’ of words/phrases depicting panellists’ reported benefits of AT post-survey. The more commonly reported the word/phrase, the larger it appears in the cloud. The largest-sized words in this cloud are ‘home’, ‘independence’ and ‘quality of life’. The words/phrases that are second-largest in size are ‘improved quality’ and ‘autonomy’. The words/phrases that are third-largest in size are ‘increased confidence’, hospital admission’ and ‘formal support’. The remaining group of smallest-sized words/phrases are ‘improved independence’, ‘secondary complications’, ‘acute care’, ‘carer’s health’, ‘carer support’, ‘acute/sub’, ‘risk of injury’, ‘health intervention’, ‘gp visit’, ‘capacity building’, ‘carer burden’, ‘early intervention stage’, ‘terms health conditions’, ‘potential risk’, ‘improved carer quality’, ‘decreased need’, ‘improved carer safety’, ‘delayed need’, ‘stage of disability’, ‘maintenance of ability’, ‘facilitate memory’, ‘level of fitness’, ‘nursing home care’, ‘greater independence,’ ‘increased level’, ‘paid staff’, ‘lower level hcp’, ‘acute hospital discharge’, ‘level of support’, ‘improved wellbeing’, ‘sense of control’, ‘less frustration’, ‘valued role’, ‘intensive level’, ‘cost savings’, ‘care home’, ‘acute hospital admission’, ‘early entry’, ‘whole community benefits’, ‘minimising accident’, ‘emergency presentation’ and ‘improved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ud’ of words/phrases depicting panellists’ reported benefits of AT post-survey. The more commonly reported the word/phrase, the larger it appears in the cloud. The largest-sized words in this cloud are ‘home’, ‘independence’ and ‘quality of life’. The words/phrases that are second-largest in size are ‘improved quality’ and ‘autonomy’. The words/phrases that are third-largest in size are ‘increased confidence’, hospital admission’ and ‘formal support’. The remaining group of smallest-sized words/phrases are ‘improved independence’, ‘secondary complications’, ‘acute care’, ‘carer’s health’, ‘carer support’, ‘acute/sub’, ‘risk of injury’, ‘health intervention’, ‘gp visit’, ‘capacity building’, ‘carer burden’, ‘early intervention stage’, ‘terms health conditions’, ‘potential risk’, ‘improved carer quality’, ‘decreased need’, ‘improved carer safety’, ‘delayed need’, ‘stage of disability’, ‘maintenance of ability’, ‘facilitate memory’, ‘level of fitness’, ‘nursing home care’, ‘greater independence,’ ‘increased level’, ‘paid staff’, ‘lower level hcp’, ‘acute hospital discharge’, ‘level of support’, ‘improved wellbeing’, ‘sense of control’, ‘less frustration’, ‘valued role’, ‘intensive level’, ‘cost savings’, ‘care home’, ‘acute hospital admission’, ‘early entry’, ‘whole community benefits’, ‘minimising accident’, ‘emergency presentation’ and ‘improved support’.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120000" cy="3960000"/>
                    </a:xfrm>
                    <a:prstGeom prst="rect">
                      <a:avLst/>
                    </a:prstGeom>
                    <a:noFill/>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bookmarkEnd w:id="141"/>
    <w:p w14:paraId="57A4A201" w14:textId="77777777" w:rsidR="00F81E67" w:rsidRPr="00126A80" w:rsidRDefault="00F81E67" w:rsidP="00126A80">
      <w:r w:rsidRPr="00126A80">
        <w:br w:type="page"/>
      </w:r>
    </w:p>
    <w:p w14:paraId="61E7E5E4" w14:textId="095FAAA6" w:rsidR="00F81E67" w:rsidRDefault="00AB4782" w:rsidP="00217053">
      <w:bookmarkStart w:id="144" w:name="_Toc60999884"/>
      <w:bookmarkStart w:id="145" w:name="_Hlk40615977"/>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7">
        <w:rPr>
          <w:noProof/>
        </w:rPr>
        <w:t>-6</w:t>
      </w:r>
      <w:r w:rsidRPr="008E680E">
        <w:t>:</w:t>
      </w:r>
      <w:r w:rsidRPr="008E680E">
        <w:tab/>
      </w:r>
      <w:r w:rsidR="004511B3">
        <w:t>P</w:t>
      </w:r>
      <w:r w:rsidR="00F81E67">
        <w:t>an</w:t>
      </w:r>
      <w:r w:rsidR="00F81E67" w:rsidRPr="008E680E">
        <w:t xml:space="preserve">ellist </w:t>
      </w:r>
      <w:r w:rsidR="00F81E67">
        <w:t>quotes to reflect the main themes from the focus group</w:t>
      </w:r>
      <w:bookmarkEnd w:id="144"/>
    </w:p>
    <w:p w14:paraId="36226092" w14:textId="683DCD31" w:rsidR="00DF1908" w:rsidRPr="00DF1908" w:rsidRDefault="00DF1908" w:rsidP="00DF1908">
      <w:pPr>
        <w:rPr>
          <w:b/>
          <w:lang w:eastAsia="en-US"/>
        </w:rPr>
      </w:pPr>
      <w:r w:rsidRPr="00DF1908">
        <w:rPr>
          <w:b/>
          <w:lang w:eastAsia="en-US"/>
        </w:rPr>
        <w:t>AT Services are essential for AT Products to be selected and implemented correctly and to reduce AT product abandonment and safe usage</w:t>
      </w:r>
    </w:p>
    <w:bookmarkEnd w:id="145"/>
    <w:p w14:paraId="54354629" w14:textId="77777777" w:rsidR="006562A7" w:rsidRPr="00A9412A" w:rsidRDefault="006562A7" w:rsidP="006562A7">
      <w:pPr>
        <w:pStyle w:val="Paragraph"/>
        <w:rPr>
          <w:rFonts w:eastAsia="Calibri"/>
        </w:rPr>
      </w:pPr>
      <w:r>
        <w:rPr>
          <w:rFonts w:eastAsia="Calibri"/>
          <w:i/>
          <w:iCs/>
        </w:rPr>
        <w:t>T</w:t>
      </w:r>
      <w:r w:rsidRPr="00A9412A">
        <w:rPr>
          <w:rFonts w:eastAsia="Calibri"/>
          <w:i/>
          <w:iCs/>
        </w:rPr>
        <w:t>raining of the</w:t>
      </w:r>
      <w:r>
        <w:rPr>
          <w:rFonts w:eastAsia="Calibri"/>
          <w:i/>
          <w:iCs/>
        </w:rPr>
        <w:t xml:space="preserve"> AT</w:t>
      </w:r>
      <w:r w:rsidRPr="00A9412A">
        <w:rPr>
          <w:rFonts w:eastAsia="Calibri"/>
          <w:i/>
          <w:iCs/>
        </w:rPr>
        <w:t xml:space="preserve"> products </w:t>
      </w:r>
      <w:r>
        <w:rPr>
          <w:rFonts w:eastAsia="Calibri"/>
          <w:i/>
          <w:iCs/>
        </w:rPr>
        <w:t>is</w:t>
      </w:r>
      <w:r w:rsidRPr="00A9412A">
        <w:rPr>
          <w:rFonts w:eastAsia="Calibri"/>
          <w:i/>
          <w:iCs/>
        </w:rPr>
        <w:t xml:space="preserve"> important</w:t>
      </w:r>
      <w:r>
        <w:rPr>
          <w:rFonts w:eastAsia="Calibri"/>
          <w:i/>
          <w:iCs/>
        </w:rPr>
        <w:t xml:space="preserve"> – </w:t>
      </w:r>
      <w:r w:rsidRPr="00A9412A">
        <w:rPr>
          <w:rFonts w:eastAsia="Calibri"/>
          <w:i/>
          <w:iCs/>
        </w:rPr>
        <w:t>high level AT</w:t>
      </w:r>
      <w:r>
        <w:rPr>
          <w:rFonts w:eastAsia="Calibri"/>
          <w:i/>
          <w:iCs/>
        </w:rPr>
        <w:t xml:space="preserve"> </w:t>
      </w:r>
      <w:r w:rsidRPr="00A9412A">
        <w:rPr>
          <w:rFonts w:eastAsia="Calibri"/>
          <w:i/>
          <w:iCs/>
        </w:rPr>
        <w:t>can be dangerous</w:t>
      </w:r>
      <w:r>
        <w:rPr>
          <w:rFonts w:eastAsia="Calibri"/>
          <w:i/>
          <w:iCs/>
        </w:rPr>
        <w:t xml:space="preserve">, like a </w:t>
      </w:r>
      <w:r w:rsidRPr="00A9412A">
        <w:rPr>
          <w:rFonts w:eastAsia="Calibri"/>
          <w:i/>
          <w:iCs/>
        </w:rPr>
        <w:t>mobility scooter, when a consumer is not properly trained</w:t>
      </w:r>
      <w:r>
        <w:rPr>
          <w:rFonts w:eastAsia="Calibri"/>
          <w:i/>
          <w:iCs/>
        </w:rPr>
        <w:t xml:space="preserve"> — </w:t>
      </w:r>
      <w:r>
        <w:rPr>
          <w:rFonts w:eastAsia="Calibri"/>
        </w:rPr>
        <w:t>AT User</w:t>
      </w:r>
    </w:p>
    <w:p w14:paraId="1AD16FF5" w14:textId="0BE50DE6" w:rsidR="006562A7" w:rsidRDefault="006562A7" w:rsidP="006562A7">
      <w:pPr>
        <w:pStyle w:val="Paragraph"/>
        <w:rPr>
          <w:rFonts w:eastAsia="Calibri"/>
          <w:bCs/>
          <w:lang w:val="en-CA" w:eastAsia="en-AU"/>
        </w:rPr>
      </w:pPr>
      <w:r>
        <w:rPr>
          <w:rFonts w:eastAsia="Calibri"/>
          <w:bCs/>
          <w:i/>
          <w:iCs/>
          <w:lang w:val="en-CA" w:eastAsia="en-AU"/>
        </w:rPr>
        <w:t>We see m</w:t>
      </w:r>
      <w:r w:rsidRPr="007F152D">
        <w:rPr>
          <w:rFonts w:eastAsia="Calibri"/>
          <w:bCs/>
          <w:i/>
          <w:iCs/>
          <w:lang w:val="en-CA" w:eastAsia="en-AU"/>
        </w:rPr>
        <w:t xml:space="preserve">ultiple AT </w:t>
      </w:r>
      <w:r>
        <w:rPr>
          <w:rFonts w:eastAsia="Calibri"/>
          <w:bCs/>
          <w:i/>
          <w:iCs/>
          <w:lang w:val="en-CA" w:eastAsia="en-AU"/>
        </w:rPr>
        <w:t xml:space="preserve">items </w:t>
      </w:r>
      <w:r w:rsidRPr="007F152D">
        <w:rPr>
          <w:rFonts w:eastAsia="Calibri"/>
          <w:bCs/>
          <w:i/>
          <w:iCs/>
          <w:lang w:val="en-CA" w:eastAsia="en-AU"/>
        </w:rPr>
        <w:t>of the same type being abandon</w:t>
      </w:r>
      <w:r>
        <w:rPr>
          <w:rFonts w:eastAsia="Calibri"/>
          <w:bCs/>
          <w:i/>
          <w:iCs/>
          <w:lang w:val="en-CA" w:eastAsia="en-AU"/>
        </w:rPr>
        <w:t>ed</w:t>
      </w:r>
      <w:r w:rsidRPr="007F152D">
        <w:rPr>
          <w:rFonts w:eastAsia="Calibri"/>
          <w:bCs/>
          <w:i/>
          <w:iCs/>
          <w:lang w:val="en-CA" w:eastAsia="en-AU"/>
        </w:rPr>
        <w:t xml:space="preserve"> because there was no assessment </w:t>
      </w:r>
      <w:r>
        <w:rPr>
          <w:rFonts w:eastAsia="Calibri"/>
          <w:bCs/>
          <w:i/>
          <w:iCs/>
          <w:lang w:val="en-CA" w:eastAsia="en-AU"/>
        </w:rPr>
        <w:t>or</w:t>
      </w:r>
      <w:r w:rsidRPr="007F152D">
        <w:rPr>
          <w:rFonts w:eastAsia="Calibri"/>
          <w:bCs/>
          <w:i/>
          <w:iCs/>
          <w:lang w:val="en-CA" w:eastAsia="en-AU"/>
        </w:rPr>
        <w:t xml:space="preserve"> information provided to get the right product for the right person</w:t>
      </w:r>
      <w:r>
        <w:rPr>
          <w:rFonts w:eastAsia="Calibri"/>
          <w:bCs/>
          <w:lang w:val="en-CA" w:eastAsia="en-AU"/>
        </w:rPr>
        <w:t>. — ILC Representative</w:t>
      </w:r>
    </w:p>
    <w:p w14:paraId="53466B92" w14:textId="77777777" w:rsidR="00DF1908" w:rsidRPr="00DF1908" w:rsidRDefault="00DF1908" w:rsidP="00DF1908">
      <w:pPr>
        <w:rPr>
          <w:rFonts w:eastAsia="Calibri"/>
          <w:b/>
        </w:rPr>
      </w:pPr>
      <w:r w:rsidRPr="00DF1908">
        <w:rPr>
          <w:rFonts w:eastAsia="Calibri"/>
          <w:b/>
        </w:rPr>
        <w:t xml:space="preserve">Consumers (AT Mentor and AT User) emphasise that without access to AT, day to day activities would be fully dependent on others </w:t>
      </w:r>
    </w:p>
    <w:p w14:paraId="53A181C8" w14:textId="77777777" w:rsidR="006562A7" w:rsidRPr="00A9412A" w:rsidRDefault="006562A7" w:rsidP="006562A7">
      <w:pPr>
        <w:pStyle w:val="Paragraph"/>
        <w:rPr>
          <w:rFonts w:eastAsia="Calibri"/>
        </w:rPr>
      </w:pPr>
      <w:r w:rsidRPr="00A9412A">
        <w:rPr>
          <w:rFonts w:eastAsia="Calibri"/>
          <w:i/>
          <w:iCs/>
        </w:rPr>
        <w:t>I would need full time round the clock formal care or I would be</w:t>
      </w:r>
      <w:r>
        <w:rPr>
          <w:rFonts w:eastAsia="Calibri"/>
          <w:i/>
          <w:iCs/>
        </w:rPr>
        <w:t xml:space="preserve"> in</w:t>
      </w:r>
      <w:r w:rsidRPr="00A9412A">
        <w:rPr>
          <w:rFonts w:eastAsia="Calibri"/>
          <w:i/>
          <w:iCs/>
        </w:rPr>
        <w:t xml:space="preserve"> assisted housing or formal residential aged care without AT</w:t>
      </w:r>
      <w:r>
        <w:rPr>
          <w:rFonts w:eastAsia="Calibri"/>
          <w:i/>
          <w:iCs/>
        </w:rPr>
        <w:t xml:space="preserve">. </w:t>
      </w:r>
      <w:r>
        <w:rPr>
          <w:rFonts w:eastAsia="Calibri"/>
        </w:rPr>
        <w:t>— AT User</w:t>
      </w:r>
    </w:p>
    <w:p w14:paraId="75FCB3FD" w14:textId="77777777" w:rsidR="006562A7" w:rsidRPr="006F1E0F" w:rsidRDefault="006562A7" w:rsidP="006562A7">
      <w:pPr>
        <w:pStyle w:val="Paragraph"/>
        <w:rPr>
          <w:rFonts w:eastAsia="Calibri"/>
          <w:bCs/>
          <w:i/>
          <w:iCs/>
          <w:lang w:val="en-CA" w:eastAsia="en-AU"/>
        </w:rPr>
      </w:pPr>
      <w:r w:rsidRPr="006F1E0F">
        <w:rPr>
          <w:rFonts w:eastAsia="Calibri"/>
          <w:bCs/>
          <w:i/>
          <w:iCs/>
          <w:lang w:val="en-CA" w:eastAsia="en-AU"/>
        </w:rPr>
        <w:t xml:space="preserve">Often when people lose their ability to drive, it’s a loss of independence, that will also affect </w:t>
      </w:r>
      <w:r>
        <w:rPr>
          <w:rFonts w:eastAsia="Calibri"/>
          <w:bCs/>
          <w:i/>
          <w:iCs/>
          <w:lang w:val="en-CA" w:eastAsia="en-AU"/>
        </w:rPr>
        <w:t>people</w:t>
      </w:r>
      <w:r w:rsidRPr="006F1E0F">
        <w:rPr>
          <w:rFonts w:eastAsia="Calibri"/>
          <w:bCs/>
          <w:i/>
          <w:iCs/>
          <w:lang w:val="en-CA" w:eastAsia="en-AU"/>
        </w:rPr>
        <w:t xml:space="preserve"> mentally, loss of driving can have a big impact on function and emotional wellbeing</w:t>
      </w:r>
      <w:r>
        <w:rPr>
          <w:rFonts w:eastAsia="Calibri"/>
          <w:bCs/>
          <w:i/>
          <w:iCs/>
          <w:lang w:val="en-CA" w:eastAsia="en-AU"/>
        </w:rPr>
        <w:t>. — </w:t>
      </w:r>
      <w:r w:rsidRPr="00572ADA">
        <w:rPr>
          <w:rFonts w:eastAsia="Calibri"/>
          <w:bCs/>
          <w:lang w:val="en-CA" w:eastAsia="en-AU"/>
        </w:rPr>
        <w:t>AT</w:t>
      </w:r>
      <w:r>
        <w:rPr>
          <w:rFonts w:eastAsia="Calibri"/>
          <w:bCs/>
          <w:lang w:val="en-CA" w:eastAsia="en-AU"/>
        </w:rPr>
        <w:t> </w:t>
      </w:r>
      <w:r w:rsidRPr="00572ADA">
        <w:rPr>
          <w:rFonts w:eastAsia="Calibri"/>
          <w:bCs/>
          <w:lang w:val="en-CA" w:eastAsia="en-AU"/>
        </w:rPr>
        <w:t>User</w:t>
      </w:r>
    </w:p>
    <w:p w14:paraId="7A91E50C" w14:textId="77777777" w:rsidR="006562A7" w:rsidRPr="00DF1908" w:rsidRDefault="006562A7" w:rsidP="00DF1908">
      <w:pPr>
        <w:rPr>
          <w:rFonts w:eastAsia="Calibri"/>
          <w:b/>
        </w:rPr>
      </w:pPr>
      <w:r w:rsidRPr="00DF1908">
        <w:rPr>
          <w:rFonts w:eastAsia="Calibri"/>
          <w:b/>
        </w:rPr>
        <w:t xml:space="preserve">Capital costs, including major home modification and electric scooters, need to be decided on a case-by-case basis, where the time horizon for benefits is part of the decision-making process </w:t>
      </w:r>
    </w:p>
    <w:p w14:paraId="4A0CEC2E" w14:textId="77777777" w:rsidR="006562A7" w:rsidRDefault="006562A7" w:rsidP="006562A7">
      <w:pPr>
        <w:pStyle w:val="Paragraph"/>
        <w:rPr>
          <w:rFonts w:eastAsia="Calibri"/>
          <w:bCs/>
          <w:i/>
          <w:iCs/>
          <w:lang w:val="en-CA" w:eastAsia="en-AU"/>
        </w:rPr>
      </w:pPr>
      <w:r>
        <w:rPr>
          <w:rFonts w:eastAsia="Calibri"/>
          <w:bCs/>
          <w:i/>
          <w:iCs/>
          <w:lang w:val="en-CA" w:eastAsia="en-AU"/>
        </w:rPr>
        <w:t>I</w:t>
      </w:r>
      <w:r w:rsidRPr="007F152D">
        <w:rPr>
          <w:rFonts w:eastAsia="Calibri"/>
          <w:bCs/>
          <w:i/>
          <w:iCs/>
          <w:lang w:val="en-CA" w:eastAsia="en-AU"/>
        </w:rPr>
        <w:t xml:space="preserve">n </w:t>
      </w:r>
      <w:r>
        <w:rPr>
          <w:rFonts w:eastAsia="Calibri"/>
          <w:bCs/>
          <w:i/>
          <w:iCs/>
          <w:lang w:val="en-CA" w:eastAsia="en-AU"/>
        </w:rPr>
        <w:t xml:space="preserve">terms </w:t>
      </w:r>
      <w:r w:rsidRPr="007F152D">
        <w:rPr>
          <w:rFonts w:eastAsia="Calibri"/>
          <w:bCs/>
          <w:i/>
          <w:iCs/>
          <w:lang w:val="en-CA" w:eastAsia="en-AU"/>
        </w:rPr>
        <w:t xml:space="preserve">of capital, </w:t>
      </w:r>
      <w:r>
        <w:rPr>
          <w:rFonts w:eastAsia="Calibri"/>
          <w:bCs/>
          <w:i/>
          <w:iCs/>
          <w:lang w:val="en-CA" w:eastAsia="en-AU"/>
        </w:rPr>
        <w:t>AT</w:t>
      </w:r>
      <w:r w:rsidRPr="007F152D">
        <w:rPr>
          <w:rFonts w:eastAsia="Calibri"/>
          <w:bCs/>
          <w:i/>
          <w:iCs/>
          <w:lang w:val="en-CA" w:eastAsia="en-AU"/>
        </w:rPr>
        <w:t xml:space="preserve"> and </w:t>
      </w:r>
      <w:r>
        <w:rPr>
          <w:rFonts w:eastAsia="Calibri"/>
          <w:bCs/>
          <w:i/>
          <w:iCs/>
          <w:lang w:val="en-CA" w:eastAsia="en-AU"/>
        </w:rPr>
        <w:t>home modifications</w:t>
      </w:r>
      <w:r w:rsidRPr="007F152D">
        <w:rPr>
          <w:rFonts w:eastAsia="Calibri"/>
          <w:bCs/>
          <w:i/>
          <w:iCs/>
          <w:lang w:val="en-CA" w:eastAsia="en-AU"/>
        </w:rPr>
        <w:t xml:space="preserve"> capital cost is high. It is a matter of an investment in a</w:t>
      </w:r>
      <w:r>
        <w:rPr>
          <w:rFonts w:eastAsia="Calibri"/>
          <w:bCs/>
          <w:i/>
          <w:iCs/>
          <w:lang w:val="en-CA" w:eastAsia="en-AU"/>
        </w:rPr>
        <w:t>n</w:t>
      </w:r>
      <w:r w:rsidRPr="007F152D">
        <w:rPr>
          <w:rFonts w:eastAsia="Calibri"/>
          <w:bCs/>
          <w:i/>
          <w:iCs/>
          <w:lang w:val="en-CA" w:eastAsia="en-AU"/>
        </w:rPr>
        <w:t xml:space="preserve"> AT product that wasn’t capital intensive vs a big capital expense. If there is going to be an intensive capital investment you want to see a long-term benefit.</w:t>
      </w:r>
      <w:r>
        <w:rPr>
          <w:rFonts w:eastAsia="Calibri"/>
          <w:bCs/>
          <w:i/>
          <w:iCs/>
          <w:lang w:val="en-CA" w:eastAsia="en-AU"/>
        </w:rPr>
        <w:t xml:space="preserve"> — </w:t>
      </w:r>
      <w:r w:rsidRPr="00572ADA">
        <w:rPr>
          <w:rFonts w:eastAsia="Calibri"/>
          <w:bCs/>
          <w:lang w:val="en-CA" w:eastAsia="en-AU"/>
        </w:rPr>
        <w:t>Health</w:t>
      </w:r>
      <w:r>
        <w:rPr>
          <w:rFonts w:eastAsia="Calibri"/>
          <w:bCs/>
          <w:lang w:val="en-CA" w:eastAsia="en-AU"/>
        </w:rPr>
        <w:t> </w:t>
      </w:r>
      <w:r w:rsidRPr="00572ADA">
        <w:rPr>
          <w:rFonts w:eastAsia="Calibri"/>
          <w:bCs/>
          <w:lang w:val="en-CA" w:eastAsia="en-AU"/>
        </w:rPr>
        <w:t>economist</w:t>
      </w:r>
    </w:p>
    <w:p w14:paraId="6CCD6D0F" w14:textId="77777777" w:rsidR="006562A7" w:rsidRPr="00DF1908" w:rsidRDefault="006562A7" w:rsidP="00DF1908">
      <w:pPr>
        <w:rPr>
          <w:rFonts w:eastAsia="Calibri"/>
          <w:b/>
        </w:rPr>
      </w:pPr>
      <w:r w:rsidRPr="00DF1908">
        <w:rPr>
          <w:rFonts w:eastAsia="Calibri"/>
          <w:b/>
        </w:rPr>
        <w:t xml:space="preserve">AT should not replace opportunities for reablement. AT and reablement should complement one another, not be instead of one another. </w:t>
      </w:r>
    </w:p>
    <w:p w14:paraId="1FDDDC2D" w14:textId="77777777" w:rsidR="006562A7" w:rsidRDefault="006562A7" w:rsidP="006562A7">
      <w:pPr>
        <w:pStyle w:val="Paragraph"/>
        <w:rPr>
          <w:rFonts w:eastAsia="Calibri"/>
          <w:i/>
          <w:iCs/>
        </w:rPr>
      </w:pPr>
      <w:r w:rsidRPr="00A9412A">
        <w:rPr>
          <w:rFonts w:eastAsia="Calibri"/>
          <w:i/>
          <w:iCs/>
        </w:rPr>
        <w:t>For low level non-complex AT in the context of reablement do you need that piece of AT</w:t>
      </w:r>
      <w:r>
        <w:rPr>
          <w:rFonts w:eastAsia="Calibri"/>
          <w:i/>
          <w:iCs/>
        </w:rPr>
        <w:t xml:space="preserve"> – </w:t>
      </w:r>
      <w:r w:rsidRPr="00A9412A">
        <w:rPr>
          <w:rFonts w:eastAsia="Calibri"/>
          <w:i/>
          <w:iCs/>
        </w:rPr>
        <w:t>AT can be a crutch when a consumer should be strengthening in the long term.</w:t>
      </w:r>
      <w:r>
        <w:rPr>
          <w:rFonts w:eastAsia="Calibri"/>
          <w:i/>
          <w:iCs/>
        </w:rPr>
        <w:t xml:space="preserve"> — </w:t>
      </w:r>
      <w:r w:rsidRPr="00572ADA">
        <w:rPr>
          <w:rFonts w:eastAsia="Calibri"/>
        </w:rPr>
        <w:t>ILC</w:t>
      </w:r>
      <w:r>
        <w:rPr>
          <w:rFonts w:eastAsia="Calibri"/>
        </w:rPr>
        <w:t> </w:t>
      </w:r>
      <w:r w:rsidRPr="00572ADA">
        <w:rPr>
          <w:rFonts w:eastAsia="Calibri"/>
        </w:rPr>
        <w:t>representative</w:t>
      </w:r>
    </w:p>
    <w:p w14:paraId="1D546A6A" w14:textId="77777777" w:rsidR="006562A7" w:rsidRPr="00A9412A" w:rsidRDefault="006562A7" w:rsidP="006562A7">
      <w:pPr>
        <w:pStyle w:val="Paragraph"/>
        <w:rPr>
          <w:rFonts w:eastAsia="Calibri"/>
          <w:i/>
          <w:iCs/>
        </w:rPr>
      </w:pPr>
      <w:r w:rsidRPr="00A9412A">
        <w:rPr>
          <w:rFonts w:eastAsia="Calibri"/>
          <w:bCs/>
          <w:i/>
          <w:iCs/>
          <w:lang w:val="en-CA" w:eastAsia="en-AU"/>
        </w:rPr>
        <w:t>Reablement can encourage people to build capacity rather than compensate with the AT, it’s the balance of building capacity and AT use.</w:t>
      </w:r>
      <w:r>
        <w:rPr>
          <w:rFonts w:eastAsia="Calibri"/>
          <w:bCs/>
          <w:i/>
          <w:iCs/>
          <w:lang w:val="en-CA" w:eastAsia="en-AU"/>
        </w:rPr>
        <w:t xml:space="preserve"> —</w:t>
      </w:r>
      <w:r>
        <w:rPr>
          <w:rFonts w:eastAsia="Calibri"/>
          <w:i/>
          <w:iCs/>
        </w:rPr>
        <w:t> </w:t>
      </w:r>
      <w:r w:rsidRPr="00572ADA">
        <w:rPr>
          <w:rFonts w:eastAsia="Calibri"/>
        </w:rPr>
        <w:t>ILC</w:t>
      </w:r>
      <w:r>
        <w:rPr>
          <w:rFonts w:eastAsia="Calibri"/>
        </w:rPr>
        <w:t> </w:t>
      </w:r>
      <w:r w:rsidRPr="00572ADA">
        <w:rPr>
          <w:rFonts w:eastAsia="Calibri"/>
        </w:rPr>
        <w:t>representative</w:t>
      </w:r>
    </w:p>
    <w:p w14:paraId="4A832399" w14:textId="77777777" w:rsidR="006562A7" w:rsidRPr="00217053" w:rsidRDefault="006562A7" w:rsidP="00217053">
      <w:pPr>
        <w:rPr>
          <w:rFonts w:eastAsia="Calibri"/>
          <w:b/>
        </w:rPr>
      </w:pPr>
      <w:r w:rsidRPr="00217053">
        <w:rPr>
          <w:rFonts w:eastAsia="Calibri"/>
          <w:b/>
        </w:rPr>
        <w:t>Access to information is critical to ensuring consumers have fit for purpose AT</w:t>
      </w:r>
    </w:p>
    <w:p w14:paraId="23F97C2D" w14:textId="77777777" w:rsidR="006562A7" w:rsidRPr="00A9412A" w:rsidRDefault="006562A7" w:rsidP="006562A7">
      <w:pPr>
        <w:pStyle w:val="Paragraph"/>
        <w:rPr>
          <w:rFonts w:eastAsia="Calibri"/>
        </w:rPr>
      </w:pPr>
      <w:r w:rsidRPr="00A9412A">
        <w:rPr>
          <w:rFonts w:eastAsia="Calibri"/>
          <w:i/>
          <w:iCs/>
        </w:rPr>
        <w:t>Consumer tends to get what’s available not what’s required</w:t>
      </w:r>
      <w:r>
        <w:rPr>
          <w:rFonts w:eastAsia="Calibri"/>
          <w:i/>
          <w:iCs/>
        </w:rPr>
        <w:t xml:space="preserve"> – </w:t>
      </w:r>
      <w:r w:rsidRPr="00A9412A">
        <w:rPr>
          <w:rFonts w:eastAsia="Calibri"/>
          <w:i/>
          <w:iCs/>
        </w:rPr>
        <w:t>this is one of the reasons for abandonment. Consumers need information to help identify what is need</w:t>
      </w:r>
      <w:r>
        <w:rPr>
          <w:rFonts w:eastAsia="Calibri"/>
          <w:i/>
          <w:iCs/>
        </w:rPr>
        <w:t>ed</w:t>
      </w:r>
      <w:r w:rsidRPr="00A9412A">
        <w:rPr>
          <w:rFonts w:eastAsia="Calibri"/>
          <w:i/>
          <w:iCs/>
        </w:rPr>
        <w:t>.</w:t>
      </w:r>
      <w:r>
        <w:rPr>
          <w:rFonts w:eastAsia="Calibri"/>
          <w:i/>
          <w:iCs/>
        </w:rPr>
        <w:t xml:space="preserve"> — </w:t>
      </w:r>
      <w:r>
        <w:rPr>
          <w:rFonts w:eastAsia="Calibri"/>
        </w:rPr>
        <w:t>ILC representative</w:t>
      </w:r>
    </w:p>
    <w:p w14:paraId="351D8AC9" w14:textId="77777777" w:rsidR="006562A7" w:rsidRPr="007F152D" w:rsidRDefault="006562A7" w:rsidP="006562A7">
      <w:pPr>
        <w:pStyle w:val="Paragraph"/>
        <w:rPr>
          <w:rFonts w:eastAsia="Calibri"/>
          <w:i/>
          <w:iCs/>
        </w:rPr>
      </w:pPr>
      <w:r>
        <w:rPr>
          <w:rFonts w:eastAsia="Calibri"/>
          <w:i/>
          <w:iCs/>
        </w:rPr>
        <w:t>P</w:t>
      </w:r>
      <w:r w:rsidRPr="007F152D">
        <w:rPr>
          <w:rFonts w:eastAsia="Calibri"/>
          <w:i/>
          <w:iCs/>
        </w:rPr>
        <w:t>eople need to be informed about their choices, to minimise abandonment of AT</w:t>
      </w:r>
      <w:r>
        <w:rPr>
          <w:rFonts w:eastAsia="Calibri"/>
          <w:i/>
          <w:iCs/>
        </w:rPr>
        <w:t>. — </w:t>
      </w:r>
      <w:r w:rsidRPr="00572ADA">
        <w:rPr>
          <w:rFonts w:eastAsia="Calibri"/>
        </w:rPr>
        <w:t>ILC</w:t>
      </w:r>
      <w:r>
        <w:rPr>
          <w:rFonts w:eastAsia="Calibri"/>
        </w:rPr>
        <w:t> </w:t>
      </w:r>
      <w:r w:rsidRPr="00572ADA">
        <w:rPr>
          <w:rFonts w:eastAsia="Calibri"/>
        </w:rPr>
        <w:t>representative</w:t>
      </w:r>
    </w:p>
    <w:p w14:paraId="496222F3" w14:textId="77777777" w:rsidR="006562A7" w:rsidRPr="00DF1908" w:rsidRDefault="006562A7" w:rsidP="00DF1908">
      <w:pPr>
        <w:rPr>
          <w:rFonts w:eastAsia="Calibri"/>
          <w:b/>
        </w:rPr>
      </w:pPr>
      <w:r w:rsidRPr="00DF1908">
        <w:rPr>
          <w:rFonts w:eastAsia="Calibri"/>
          <w:b/>
        </w:rPr>
        <w:t xml:space="preserve">AT assessment and a holistic view of consumer needs are essential components to an effective AT service system </w:t>
      </w:r>
    </w:p>
    <w:p w14:paraId="54E3ADA0" w14:textId="77777777" w:rsidR="006562A7" w:rsidRDefault="006562A7" w:rsidP="006562A7">
      <w:pPr>
        <w:pStyle w:val="Paragraph"/>
        <w:rPr>
          <w:rFonts w:eastAsia="Calibri"/>
          <w:bCs/>
          <w:lang w:val="en-CA" w:eastAsia="en-AU"/>
        </w:rPr>
      </w:pPr>
      <w:r>
        <w:rPr>
          <w:rFonts w:eastAsia="Calibri"/>
          <w:bCs/>
          <w:i/>
          <w:iCs/>
          <w:lang w:val="en-CA" w:eastAsia="en-AU"/>
        </w:rPr>
        <w:t>There is p</w:t>
      </w:r>
      <w:r w:rsidRPr="00A9412A">
        <w:rPr>
          <w:rFonts w:eastAsia="Calibri"/>
          <w:bCs/>
          <w:i/>
          <w:iCs/>
          <w:lang w:val="en-CA" w:eastAsia="en-AU"/>
        </w:rPr>
        <w:t>otential to lose a consumer if they’re unable to get a quick, good assessment.</w:t>
      </w:r>
      <w:r>
        <w:rPr>
          <w:rFonts w:eastAsia="Calibri"/>
          <w:bCs/>
          <w:i/>
          <w:iCs/>
          <w:lang w:val="en-CA" w:eastAsia="en-AU"/>
        </w:rPr>
        <w:t xml:space="preserve"> </w:t>
      </w:r>
      <w:r w:rsidRPr="00A9412A">
        <w:rPr>
          <w:rFonts w:eastAsia="Calibri"/>
          <w:bCs/>
          <w:i/>
          <w:iCs/>
          <w:lang w:val="en-CA" w:eastAsia="en-AU"/>
        </w:rPr>
        <w:t>Need to take into consideration a person’s current big picture.</w:t>
      </w:r>
      <w:r>
        <w:rPr>
          <w:rFonts w:eastAsia="Calibri"/>
          <w:bCs/>
          <w:i/>
          <w:iCs/>
          <w:lang w:val="en-CA" w:eastAsia="en-AU"/>
        </w:rPr>
        <w:t xml:space="preserve"> — </w:t>
      </w:r>
      <w:r w:rsidRPr="00A9412A">
        <w:rPr>
          <w:rFonts w:eastAsia="Calibri"/>
          <w:bCs/>
          <w:lang w:val="en-CA" w:eastAsia="en-AU"/>
        </w:rPr>
        <w:t>Aged</w:t>
      </w:r>
      <w:r>
        <w:rPr>
          <w:rFonts w:eastAsia="Calibri"/>
          <w:bCs/>
          <w:lang w:val="en-CA" w:eastAsia="en-AU"/>
        </w:rPr>
        <w:t> </w:t>
      </w:r>
      <w:r w:rsidRPr="00A9412A">
        <w:rPr>
          <w:rFonts w:eastAsia="Calibri"/>
          <w:bCs/>
          <w:lang w:val="en-CA" w:eastAsia="en-AU"/>
        </w:rPr>
        <w:t>care</w:t>
      </w:r>
      <w:r>
        <w:rPr>
          <w:rFonts w:eastAsia="Calibri"/>
          <w:bCs/>
          <w:lang w:val="en-CA" w:eastAsia="en-AU"/>
        </w:rPr>
        <w:t> </w:t>
      </w:r>
      <w:r w:rsidRPr="00A9412A">
        <w:rPr>
          <w:rFonts w:eastAsia="Calibri"/>
          <w:bCs/>
          <w:lang w:val="en-CA" w:eastAsia="en-AU"/>
        </w:rPr>
        <w:t>program</w:t>
      </w:r>
      <w:r>
        <w:rPr>
          <w:rFonts w:eastAsia="Calibri"/>
          <w:bCs/>
          <w:lang w:val="en-CA" w:eastAsia="en-AU"/>
        </w:rPr>
        <w:t> </w:t>
      </w:r>
      <w:r w:rsidRPr="00A9412A">
        <w:rPr>
          <w:rFonts w:eastAsia="Calibri"/>
          <w:bCs/>
          <w:lang w:val="en-CA" w:eastAsia="en-AU"/>
        </w:rPr>
        <w:t>leader</w:t>
      </w:r>
    </w:p>
    <w:p w14:paraId="3D88BBCD" w14:textId="77777777" w:rsidR="006562A7" w:rsidRDefault="006562A7" w:rsidP="006562A7">
      <w:pPr>
        <w:pStyle w:val="Paragraph"/>
        <w:rPr>
          <w:rFonts w:eastAsia="Calibri"/>
          <w:bCs/>
          <w:lang w:val="en-CA" w:eastAsia="en-AU"/>
        </w:rPr>
      </w:pPr>
      <w:r w:rsidRPr="007F152D">
        <w:rPr>
          <w:rFonts w:eastAsia="Calibri"/>
          <w:bCs/>
          <w:i/>
          <w:iCs/>
          <w:lang w:val="en-CA" w:eastAsia="en-AU"/>
        </w:rPr>
        <w:t>As far as the AT goes, the right piece of AT or right level of AT can last a long time. It’s taking the time to make sure the right product is prescribed.</w:t>
      </w:r>
      <w:r>
        <w:rPr>
          <w:rFonts w:eastAsia="Calibri"/>
          <w:bCs/>
          <w:i/>
          <w:iCs/>
          <w:lang w:val="en-CA" w:eastAsia="en-AU"/>
        </w:rPr>
        <w:t xml:space="preserve"> —</w:t>
      </w:r>
      <w:r>
        <w:rPr>
          <w:rFonts w:eastAsia="Calibri"/>
          <w:bCs/>
          <w:lang w:val="en-CA" w:eastAsia="en-AU"/>
        </w:rPr>
        <w:t> AT User</w:t>
      </w:r>
    </w:p>
    <w:p w14:paraId="62B8EF02" w14:textId="77777777" w:rsidR="00217053" w:rsidRDefault="00217053" w:rsidP="00217053">
      <w:pPr>
        <w:rPr>
          <w:rFonts w:eastAsia="Calibri"/>
          <w:b/>
        </w:rPr>
      </w:pPr>
    </w:p>
    <w:p w14:paraId="2AF1D544" w14:textId="77777777" w:rsidR="00217053" w:rsidRDefault="00217053" w:rsidP="00217053">
      <w:pPr>
        <w:rPr>
          <w:rFonts w:eastAsia="Calibri"/>
          <w:b/>
        </w:rPr>
      </w:pPr>
    </w:p>
    <w:p w14:paraId="419977CC" w14:textId="5DDAB8D6" w:rsidR="006562A7" w:rsidRPr="00217053" w:rsidRDefault="006562A7" w:rsidP="00217053">
      <w:pPr>
        <w:rPr>
          <w:rFonts w:eastAsia="Calibri"/>
          <w:b/>
        </w:rPr>
      </w:pPr>
      <w:r w:rsidRPr="00217053">
        <w:rPr>
          <w:rFonts w:eastAsia="Calibri"/>
          <w:b/>
        </w:rPr>
        <w:lastRenderedPageBreak/>
        <w:t xml:space="preserve">Consumer attitudes are important factors in AT use/abandonment </w:t>
      </w:r>
    </w:p>
    <w:p w14:paraId="37959C29" w14:textId="77777777" w:rsidR="006562A7" w:rsidRDefault="006562A7" w:rsidP="006562A7">
      <w:pPr>
        <w:pStyle w:val="Paragraph"/>
        <w:rPr>
          <w:rFonts w:eastAsia="Calibri"/>
          <w:bCs/>
          <w:lang w:val="en-CA" w:eastAsia="en-AU"/>
        </w:rPr>
      </w:pPr>
      <w:r>
        <w:rPr>
          <w:rFonts w:eastAsia="Calibri"/>
          <w:bCs/>
          <w:i/>
          <w:iCs/>
          <w:lang w:val="en-CA" w:eastAsia="en-AU"/>
        </w:rPr>
        <w:t>A</w:t>
      </w:r>
      <w:r w:rsidRPr="007F152D">
        <w:rPr>
          <w:rFonts w:eastAsia="Calibri"/>
          <w:bCs/>
          <w:i/>
          <w:iCs/>
          <w:lang w:val="en-CA" w:eastAsia="en-AU"/>
        </w:rPr>
        <w:t xml:space="preserve"> person</w:t>
      </w:r>
      <w:r>
        <w:rPr>
          <w:rFonts w:eastAsia="Calibri"/>
          <w:bCs/>
          <w:i/>
          <w:iCs/>
          <w:lang w:val="en-CA" w:eastAsia="en-AU"/>
        </w:rPr>
        <w:t>’</w:t>
      </w:r>
      <w:r w:rsidRPr="007F152D">
        <w:rPr>
          <w:rFonts w:eastAsia="Calibri"/>
          <w:bCs/>
          <w:i/>
          <w:iCs/>
          <w:lang w:val="en-CA" w:eastAsia="en-AU"/>
        </w:rPr>
        <w:t>s motivation to use equipment is important too, not everyone sees the benefit</w:t>
      </w:r>
      <w:r>
        <w:rPr>
          <w:rFonts w:eastAsia="Calibri"/>
          <w:bCs/>
          <w:i/>
          <w:iCs/>
          <w:lang w:val="en-CA" w:eastAsia="en-AU"/>
        </w:rPr>
        <w:t>. — </w:t>
      </w:r>
      <w:r>
        <w:rPr>
          <w:rFonts w:eastAsia="Calibri"/>
          <w:bCs/>
          <w:lang w:val="en-CA" w:eastAsia="en-AU"/>
        </w:rPr>
        <w:t>Government representative</w:t>
      </w:r>
    </w:p>
    <w:p w14:paraId="01949C94" w14:textId="77777777" w:rsidR="006562A7" w:rsidRPr="00572ADA" w:rsidRDefault="006562A7" w:rsidP="006562A7">
      <w:pPr>
        <w:pStyle w:val="Paragraph"/>
        <w:rPr>
          <w:rFonts w:eastAsia="Calibri"/>
        </w:rPr>
      </w:pPr>
      <w:r w:rsidRPr="006F1E0F">
        <w:rPr>
          <w:rFonts w:eastAsia="Calibri"/>
          <w:bCs/>
          <w:i/>
          <w:iCs/>
          <w:lang w:val="en-CA" w:eastAsia="en-AU"/>
        </w:rPr>
        <w:t xml:space="preserve">I think the right AT provides people </w:t>
      </w:r>
      <w:r>
        <w:rPr>
          <w:rFonts w:eastAsia="Calibri"/>
          <w:bCs/>
          <w:i/>
          <w:iCs/>
          <w:lang w:val="en-CA" w:eastAsia="en-AU"/>
        </w:rPr>
        <w:t xml:space="preserve">with </w:t>
      </w:r>
      <w:r w:rsidRPr="006F1E0F">
        <w:rPr>
          <w:rFonts w:eastAsia="Calibri"/>
          <w:bCs/>
          <w:i/>
          <w:iCs/>
          <w:lang w:val="en-CA" w:eastAsia="en-AU"/>
        </w:rPr>
        <w:t>the option</w:t>
      </w:r>
      <w:r>
        <w:rPr>
          <w:rFonts w:eastAsia="Calibri"/>
          <w:bCs/>
          <w:i/>
          <w:iCs/>
          <w:lang w:val="en-CA" w:eastAsia="en-AU"/>
        </w:rPr>
        <w:t xml:space="preserve"> or </w:t>
      </w:r>
      <w:r w:rsidRPr="006F1E0F">
        <w:rPr>
          <w:rFonts w:eastAsia="Calibri"/>
          <w:bCs/>
          <w:i/>
          <w:iCs/>
          <w:lang w:val="en-CA" w:eastAsia="en-AU"/>
        </w:rPr>
        <w:t>encouragement to maintain a healthy social life.</w:t>
      </w:r>
      <w:r>
        <w:rPr>
          <w:rFonts w:eastAsia="Calibri"/>
          <w:bCs/>
          <w:i/>
          <w:iCs/>
          <w:lang w:val="en-CA" w:eastAsia="en-AU"/>
        </w:rPr>
        <w:t xml:space="preserve"> — </w:t>
      </w:r>
      <w:r>
        <w:rPr>
          <w:rFonts w:eastAsia="Calibri"/>
          <w:bCs/>
          <w:lang w:val="en-CA" w:eastAsia="en-AU"/>
        </w:rPr>
        <w:t>AT User</w:t>
      </w:r>
    </w:p>
    <w:p w14:paraId="4A3EC8F6" w14:textId="1F1C83B6" w:rsidR="00F81E67" w:rsidRPr="00217053" w:rsidRDefault="00F81E67" w:rsidP="00217053">
      <w:pPr>
        <w:rPr>
          <w:b/>
          <w:sz w:val="32"/>
          <w:szCs w:val="32"/>
        </w:rPr>
      </w:pPr>
      <w:r w:rsidRPr="00217053">
        <w:rPr>
          <w:b/>
          <w:sz w:val="32"/>
          <w:szCs w:val="32"/>
        </w:rPr>
        <w:t>Benefits of AT (Likert scale)</w:t>
      </w:r>
    </w:p>
    <w:p w14:paraId="65B0699F" w14:textId="784F3CA7" w:rsidR="00F81E67" w:rsidRPr="008E680E" w:rsidRDefault="00F81E67" w:rsidP="00F81E67">
      <w:pPr>
        <w:pStyle w:val="Paragraph"/>
      </w:pPr>
      <w:r>
        <w:t>To</w:t>
      </w:r>
      <w:r w:rsidRPr="008E680E">
        <w:t xml:space="preserve"> recap, for </w:t>
      </w:r>
      <w:r w:rsidR="0082102B">
        <w:t>S</w:t>
      </w:r>
      <w:r w:rsidR="0082102B" w:rsidRPr="008E680E">
        <w:t xml:space="preserve">ection </w:t>
      </w:r>
      <w:r w:rsidRPr="008E680E">
        <w:t>2</w:t>
      </w:r>
      <w:r>
        <w:t>,</w:t>
      </w:r>
      <w:r w:rsidRPr="008E680E">
        <w:t xml:space="preserve"> the pre-survey and the post-survey were examined separately to determine the correlation between the panellist’s responses based on Kendall’s tau coefficient. A coefficient of &gt; 0.7 was considered a strong consensus; 0.5 was considered a moderate consensus and &lt;0.3 was considered a weak consensus. Section 2 had 13 Likert scale questions rated by 9 panellists. This meant that a correlation between the 13 questions was reported for 72 potential combinations (each of the 9 panellists was compared to the other 8 panellists).</w:t>
      </w:r>
    </w:p>
    <w:p w14:paraId="0D2C013F" w14:textId="35BF0B15" w:rsidR="00172C9A" w:rsidRDefault="00F81E67" w:rsidP="00166E46">
      <w:pPr>
        <w:pStyle w:val="Paragraph"/>
      </w:pPr>
      <w:r w:rsidRPr="008E680E">
        <w:t xml:space="preserve">Of the 72 potential combinations for the pre-survey, a significant correlation (p&lt;0.05) was reported for 10 combinations with 6 of the significant correlations reporting a moderate consensus and 4 reporting a strong consensus. Of the 72 potential combinations for the post-survey, a significant correlation (p&lt;0.05) was reported for 28 combinations with 20 of the significant correlations reporting a moderate consensus and 8 reporting a strong consensus. These results demonstrate that there was almost a three-fold increase in the quantity of significant consensus’ as well as a two-fold increase in the number of strong consensus’ reported. Graphs of the survey results are presented in </w:t>
      </w:r>
      <w:r w:rsidR="00126A80" w:rsidRPr="00126A80">
        <w:rPr>
          <w:rStyle w:val="Italic"/>
        </w:rPr>
        <w:fldChar w:fldCharType="begin"/>
      </w:r>
      <w:r w:rsidR="00126A80" w:rsidRPr="00126A80">
        <w:rPr>
          <w:rStyle w:val="Italic"/>
        </w:rPr>
        <w:instrText xml:space="preserve"> REF _Ref42522004 \h </w:instrText>
      </w:r>
      <w:r w:rsidR="00126A80">
        <w:rPr>
          <w:rStyle w:val="Italic"/>
        </w:rPr>
        <w:instrText xml:space="preserve"> \* MERGEFORMAT </w:instrText>
      </w:r>
      <w:r w:rsidR="00126A80" w:rsidRPr="00126A80">
        <w:rPr>
          <w:rStyle w:val="Italic"/>
        </w:rPr>
      </w:r>
      <w:r w:rsidR="00126A80" w:rsidRPr="00126A80">
        <w:rPr>
          <w:rStyle w:val="Italic"/>
        </w:rPr>
        <w:fldChar w:fldCharType="separate"/>
      </w:r>
      <w:r w:rsidR="00EB1774" w:rsidRPr="00EB1774">
        <w:rPr>
          <w:rStyle w:val="Italic"/>
        </w:rPr>
        <w:t>Figure C</w:t>
      </w:r>
      <w:r w:rsidR="00EB1774" w:rsidRPr="00EB1774">
        <w:rPr>
          <w:rStyle w:val="Italic"/>
        </w:rPr>
        <w:noBreakHyphen/>
        <w:t>7</w:t>
      </w:r>
      <w:r w:rsidR="00126A80" w:rsidRPr="00126A80">
        <w:rPr>
          <w:rStyle w:val="Italic"/>
        </w:rPr>
        <w:fldChar w:fldCharType="end"/>
      </w:r>
      <w:r w:rsidR="00126A80">
        <w:t xml:space="preserve"> to </w:t>
      </w:r>
      <w:r w:rsidR="00126A80" w:rsidRPr="00126A80">
        <w:rPr>
          <w:rStyle w:val="Italic"/>
        </w:rPr>
        <w:fldChar w:fldCharType="begin"/>
      </w:r>
      <w:r w:rsidR="00126A80" w:rsidRPr="00126A80">
        <w:rPr>
          <w:rStyle w:val="Italic"/>
        </w:rPr>
        <w:instrText xml:space="preserve"> REF _Ref42522008 \h </w:instrText>
      </w:r>
      <w:r w:rsidR="00126A80">
        <w:rPr>
          <w:rStyle w:val="Italic"/>
        </w:rPr>
        <w:instrText xml:space="preserve"> \* MERGEFORMAT </w:instrText>
      </w:r>
      <w:r w:rsidR="00126A80" w:rsidRPr="00126A80">
        <w:rPr>
          <w:rStyle w:val="Italic"/>
        </w:rPr>
      </w:r>
      <w:r w:rsidR="00126A80" w:rsidRPr="00126A80">
        <w:rPr>
          <w:rStyle w:val="Italic"/>
        </w:rPr>
        <w:fldChar w:fldCharType="separate"/>
      </w:r>
      <w:r w:rsidR="00EB1774" w:rsidRPr="00EB1774">
        <w:rPr>
          <w:rStyle w:val="Italic"/>
        </w:rPr>
        <w:t>Figure C</w:t>
      </w:r>
      <w:r w:rsidR="00EB1774" w:rsidRPr="00EB1774">
        <w:rPr>
          <w:rStyle w:val="Italic"/>
        </w:rPr>
        <w:noBreakHyphen/>
        <w:t>9</w:t>
      </w:r>
      <w:r w:rsidR="00126A80" w:rsidRPr="00126A80">
        <w:rPr>
          <w:rStyle w:val="Italic"/>
        </w:rPr>
        <w:fldChar w:fldCharType="end"/>
      </w:r>
      <w:r w:rsidRPr="008E680E">
        <w:t>.</w:t>
      </w:r>
    </w:p>
    <w:p w14:paraId="676F3C61" w14:textId="77777777" w:rsidR="00166E46" w:rsidRDefault="00166E46">
      <w:pPr>
        <w:rPr>
          <w:color w:val="000000" w:themeColor="text1"/>
          <w:lang w:eastAsia="en-US"/>
        </w:rPr>
        <w:sectPr w:rsidR="00166E46" w:rsidSect="00B80FD6">
          <w:type w:val="continuous"/>
          <w:pgSz w:w="11907" w:h="16840" w:code="9"/>
          <w:pgMar w:top="1134" w:right="1134" w:bottom="1134" w:left="1134" w:header="567" w:footer="851" w:gutter="0"/>
          <w:cols w:space="708"/>
          <w:docGrid w:linePitch="360"/>
        </w:sectPr>
      </w:pPr>
    </w:p>
    <w:p w14:paraId="5C1F0BD2" w14:textId="709E31E5" w:rsidR="00F81E67" w:rsidRDefault="004733A9" w:rsidP="00217053">
      <w:bookmarkStart w:id="146" w:name="_Ref42522004"/>
      <w:bookmarkStart w:id="147" w:name="_Toc60999885"/>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bookmarkEnd w:id="146"/>
      <w:r w:rsidR="00DF1908">
        <w:t>-7</w:t>
      </w:r>
      <w:r w:rsidRPr="008E680E">
        <w:t>:</w:t>
      </w:r>
      <w:r w:rsidRPr="008E680E">
        <w:tab/>
      </w:r>
      <w:r w:rsidR="00A85B3B">
        <w:t>B</w:t>
      </w:r>
      <w:r w:rsidR="00F81E67" w:rsidRPr="008E680E">
        <w:t>enefits of using AT in the home and community</w:t>
      </w:r>
      <w:bookmarkEnd w:id="147"/>
    </w:p>
    <w:p w14:paraId="7D3B9863" w14:textId="77777777" w:rsidR="00045ECB" w:rsidRDefault="00166E46">
      <w:pPr>
        <w:rPr>
          <w:lang w:eastAsia="en-US"/>
        </w:rPr>
      </w:pPr>
      <w:r w:rsidRPr="00166E46">
        <w:rPr>
          <w:noProof/>
          <w:lang w:val="en-AU" w:eastAsia="en-AU"/>
        </w:rPr>
        <w:drawing>
          <wp:inline distT="0" distB="0" distL="0" distR="0" wp14:anchorId="37D47AE4" wp14:editId="26BAFB85">
            <wp:extent cx="3024000" cy="2160000"/>
            <wp:effectExtent l="0" t="0" r="5080" b="12065"/>
            <wp:docPr id="450" name="Chart 450" descr="Improved user wellbeing (pre-survey)&#10;Strongly agree = 8&#10;Mostly agree = 1">
              <a:extLst xmlns:a="http://schemas.openxmlformats.org/drawingml/2006/main">
                <a:ext uri="{FF2B5EF4-FFF2-40B4-BE49-F238E27FC236}">
                  <a16:creationId xmlns:a16="http://schemas.microsoft.com/office/drawing/2014/main" id="{C5499001-4FB5-4656-B42C-1671AC626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166E46">
        <w:rPr>
          <w:noProof/>
          <w:lang w:val="en-AU" w:eastAsia="en-AU"/>
        </w:rPr>
        <w:drawing>
          <wp:inline distT="0" distB="0" distL="0" distR="0" wp14:anchorId="2BCD7CEE" wp14:editId="6E4FE924">
            <wp:extent cx="3024000" cy="2160000"/>
            <wp:effectExtent l="0" t="0" r="5080" b="12065"/>
            <wp:docPr id="452" name="Chart 452" descr="Improved user wellbeing (post-survey)&#10;Strongly agree = 6&#10;Mostly agree = 3">
              <a:extLst xmlns:a="http://schemas.openxmlformats.org/drawingml/2006/main">
                <a:ext uri="{FF2B5EF4-FFF2-40B4-BE49-F238E27FC236}">
                  <a16:creationId xmlns:a16="http://schemas.microsoft.com/office/drawing/2014/main" id="{1C87DAE7-401A-4173-81A9-20C61E2B8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54652D">
        <w:rPr>
          <w:noProof/>
          <w:color w:val="0076A3"/>
          <w:lang w:val="en-AU" w:eastAsia="en-AU"/>
        </w:rPr>
        <w:drawing>
          <wp:inline distT="0" distB="0" distL="0" distR="0" wp14:anchorId="08F479EA" wp14:editId="0AB00364">
            <wp:extent cx="3024000" cy="2160000"/>
            <wp:effectExtent l="0" t="0" r="5080" b="12065"/>
            <wp:docPr id="453" name="Chart 453" descr="Improved user independence and participation in activities in the home (pre-survey)&#10;Strongly agree = 7&#10;Mostly agree = 2">
              <a:extLst xmlns:a="http://schemas.openxmlformats.org/drawingml/2006/main">
                <a:ext uri="{FF2B5EF4-FFF2-40B4-BE49-F238E27FC236}">
                  <a16:creationId xmlns:a16="http://schemas.microsoft.com/office/drawing/2014/main" id="{A9322335-50CC-4608-B443-00EFEA444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66E46">
        <w:rPr>
          <w:noProof/>
          <w:lang w:val="en-AU" w:eastAsia="en-AU"/>
        </w:rPr>
        <w:drawing>
          <wp:inline distT="0" distB="0" distL="0" distR="0" wp14:anchorId="61D35972" wp14:editId="1D7EC9CE">
            <wp:extent cx="3024000" cy="2160000"/>
            <wp:effectExtent l="0" t="0" r="5080" b="12065"/>
            <wp:docPr id="454" name="Chart 454" descr="Improved user independence and participation in activities in the home (post-survey)&#10;Strongly agree = 6&#10;Mostly agree = 3">
              <a:extLst xmlns:a="http://schemas.openxmlformats.org/drawingml/2006/main">
                <a:ext uri="{FF2B5EF4-FFF2-40B4-BE49-F238E27FC236}">
                  <a16:creationId xmlns:a16="http://schemas.microsoft.com/office/drawing/2014/main" id="{B1082295-56E7-4807-95C2-80958070F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166E46">
        <w:rPr>
          <w:noProof/>
          <w:lang w:val="en-AU" w:eastAsia="en-AU"/>
        </w:rPr>
        <w:drawing>
          <wp:inline distT="0" distB="0" distL="0" distR="0" wp14:anchorId="40DBD04A" wp14:editId="24109956">
            <wp:extent cx="3024000" cy="2160000"/>
            <wp:effectExtent l="0" t="0" r="5080" b="12065"/>
            <wp:docPr id="455" name="Chart 455" descr="Improved user independence and participation in activities in the community (pre-survey)&#10;Strongly agree = 6&#10;Mostly agree = 3">
              <a:extLst xmlns:a="http://schemas.openxmlformats.org/drawingml/2006/main">
                <a:ext uri="{FF2B5EF4-FFF2-40B4-BE49-F238E27FC236}">
                  <a16:creationId xmlns:a16="http://schemas.microsoft.com/office/drawing/2014/main" id="{ED0AC148-9FAE-4F5F-BCF4-04B539027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66E46">
        <w:rPr>
          <w:noProof/>
          <w:lang w:val="en-AU" w:eastAsia="en-AU"/>
        </w:rPr>
        <w:drawing>
          <wp:inline distT="0" distB="0" distL="0" distR="0" wp14:anchorId="64117CDA" wp14:editId="2BD7463E">
            <wp:extent cx="3024000" cy="2160000"/>
            <wp:effectExtent l="0" t="0" r="5080" b="12065"/>
            <wp:docPr id="456" name="Chart 456" descr="Improved user independence and participation in activities in the community (post-survey)&#10;Strongly agree = 7&#10;Mostly agree = 2">
              <a:extLst xmlns:a="http://schemas.openxmlformats.org/drawingml/2006/main">
                <a:ext uri="{FF2B5EF4-FFF2-40B4-BE49-F238E27FC236}">
                  <a16:creationId xmlns:a16="http://schemas.microsoft.com/office/drawing/2014/main" id="{D3AA008D-F41E-46DF-B863-2FE7354E6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166E46">
        <w:rPr>
          <w:noProof/>
          <w:lang w:val="en-AU" w:eastAsia="en-AU"/>
        </w:rPr>
        <w:drawing>
          <wp:inline distT="0" distB="0" distL="0" distR="0" wp14:anchorId="7499B341" wp14:editId="7CAE95BB">
            <wp:extent cx="3024000" cy="2160000"/>
            <wp:effectExtent l="0" t="0" r="5080" b="12065"/>
            <wp:docPr id="458" name="Chart 458" descr="Reduced user risks (pre-survey)&#10;Strongly agree = 7&#10;Mostly agree = 1&#10;Somewhat agree = 1">
              <a:extLst xmlns:a="http://schemas.openxmlformats.org/drawingml/2006/main">
                <a:ext uri="{FF2B5EF4-FFF2-40B4-BE49-F238E27FC236}">
                  <a16:creationId xmlns:a16="http://schemas.microsoft.com/office/drawing/2014/main" id="{29D27478-D777-49A4-AB66-DF6425C45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166E46">
        <w:rPr>
          <w:noProof/>
          <w:lang w:val="en-AU" w:eastAsia="en-AU"/>
        </w:rPr>
        <w:drawing>
          <wp:inline distT="0" distB="0" distL="0" distR="0" wp14:anchorId="6140C67D" wp14:editId="50B325A3">
            <wp:extent cx="3024000" cy="2160000"/>
            <wp:effectExtent l="0" t="0" r="5080" b="12065"/>
            <wp:docPr id="459" name="Chart 459" descr="Reduced user risks (post-survey)&#10;Strongly agree = 4&#10;Mostly agree = 3&#10;Somewhat agree = 2">
              <a:extLst xmlns:a="http://schemas.openxmlformats.org/drawingml/2006/main">
                <a:ext uri="{FF2B5EF4-FFF2-40B4-BE49-F238E27FC236}">
                  <a16:creationId xmlns:a16="http://schemas.microsoft.com/office/drawing/2014/main" id="{435A2EFE-1A6E-44C0-8F09-71ACCE0BE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11AC788" w14:textId="284F173F" w:rsidR="00166E46" w:rsidRDefault="00166E46">
      <w:pPr>
        <w:rPr>
          <w:lang w:eastAsia="en-US"/>
        </w:rPr>
      </w:pPr>
      <w:r>
        <w:rPr>
          <w:lang w:eastAsia="en-US"/>
        </w:rPr>
        <w:br w:type="page"/>
      </w:r>
    </w:p>
    <w:p w14:paraId="712939A8" w14:textId="2390D78F" w:rsidR="00F81E67" w:rsidRDefault="004733A9" w:rsidP="00217053">
      <w:bookmarkStart w:id="148" w:name="_Toc60999886"/>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DF1908">
        <w:t>-8</w:t>
      </w:r>
      <w:r w:rsidRPr="008E680E">
        <w:t>:</w:t>
      </w:r>
      <w:r w:rsidRPr="008E680E">
        <w:tab/>
      </w:r>
      <w:r w:rsidR="00A85B3B">
        <w:t>B</w:t>
      </w:r>
      <w:r w:rsidR="00F81E67" w:rsidRPr="008E680E">
        <w:t>enefits of using AT for families and carers</w:t>
      </w:r>
      <w:bookmarkEnd w:id="148"/>
    </w:p>
    <w:p w14:paraId="657D9A21" w14:textId="3606363E" w:rsidR="00166E46" w:rsidRDefault="00166E46" w:rsidP="00166E46">
      <w:pPr>
        <w:rPr>
          <w:lang w:eastAsia="en-US"/>
        </w:rPr>
      </w:pPr>
      <w:r w:rsidRPr="00166E46">
        <w:rPr>
          <w:noProof/>
          <w:lang w:val="en-AU" w:eastAsia="en-AU"/>
        </w:rPr>
        <w:drawing>
          <wp:inline distT="0" distB="0" distL="0" distR="0" wp14:anchorId="7A60CB3A" wp14:editId="03B7BE0D">
            <wp:extent cx="3024000" cy="2160000"/>
            <wp:effectExtent l="0" t="0" r="5080" b="12065"/>
            <wp:docPr id="462" name="Chart 462" descr="Reducing safety risks for informal care and unpaid support workers (pre-survey)&#10;Strongly agree = 7&#10;Mostly agree = 1&#10;Neither agree nor disagree = 1">
              <a:extLst xmlns:a="http://schemas.openxmlformats.org/drawingml/2006/main">
                <a:ext uri="{FF2B5EF4-FFF2-40B4-BE49-F238E27FC236}">
                  <a16:creationId xmlns:a16="http://schemas.microsoft.com/office/drawing/2014/main" id="{29145FF3-46E6-4553-AE85-BA107452B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166E46">
        <w:rPr>
          <w:noProof/>
          <w:lang w:val="en-AU" w:eastAsia="en-AU"/>
        </w:rPr>
        <w:drawing>
          <wp:inline distT="0" distB="0" distL="0" distR="0" wp14:anchorId="28627E88" wp14:editId="3B02B86A">
            <wp:extent cx="3024000" cy="2160000"/>
            <wp:effectExtent l="0" t="0" r="5080" b="12065"/>
            <wp:docPr id="463" name="Chart 463" descr="Reducing safety risks for informal care and unpaid support workers (post-survey)&#10;Strongly agree = 6&#10;Mostly agree = 2&#10;Somewhat agree = 1">
              <a:extLst xmlns:a="http://schemas.openxmlformats.org/drawingml/2006/main">
                <a:ext uri="{FF2B5EF4-FFF2-40B4-BE49-F238E27FC236}">
                  <a16:creationId xmlns:a16="http://schemas.microsoft.com/office/drawing/2014/main" id="{92CBA1BE-EF35-42EE-BB27-63CD3E859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166E46">
        <w:rPr>
          <w:noProof/>
          <w:lang w:val="en-AU" w:eastAsia="en-AU"/>
        </w:rPr>
        <w:drawing>
          <wp:inline distT="0" distB="0" distL="0" distR="0" wp14:anchorId="36344DE8" wp14:editId="72697D1E">
            <wp:extent cx="3024000" cy="2160000"/>
            <wp:effectExtent l="0" t="0" r="5080" b="12065"/>
            <wp:docPr id="464" name="Chart 464" descr="Improving carer satisfaction (pre-survey)&#10;Strongly agree = 4&#10;Mostly agree = 4&#10;Somewhat agree = 1">
              <a:extLst xmlns:a="http://schemas.openxmlformats.org/drawingml/2006/main">
                <a:ext uri="{FF2B5EF4-FFF2-40B4-BE49-F238E27FC236}">
                  <a16:creationId xmlns:a16="http://schemas.microsoft.com/office/drawing/2014/main" id="{56916934-47C2-4BF2-BB97-84167A731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166E46">
        <w:rPr>
          <w:noProof/>
          <w:lang w:val="en-AU" w:eastAsia="en-AU"/>
        </w:rPr>
        <w:drawing>
          <wp:inline distT="0" distB="0" distL="0" distR="0" wp14:anchorId="2B6DB56D" wp14:editId="53F1D418">
            <wp:extent cx="3024000" cy="2160000"/>
            <wp:effectExtent l="0" t="0" r="5080" b="12065"/>
            <wp:docPr id="465" name="Chart 465" descr="Improving carer satisfaction (post-survey)&#10;Strongly agree = 5&#10;Mostly agree = 3&#10;Somewhat agree = 1">
              <a:extLst xmlns:a="http://schemas.openxmlformats.org/drawingml/2006/main">
                <a:ext uri="{FF2B5EF4-FFF2-40B4-BE49-F238E27FC236}">
                  <a16:creationId xmlns:a16="http://schemas.microsoft.com/office/drawing/2014/main" id="{E25B8ED2-DCE8-4DB1-BCE7-6208FA0CF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166E46">
        <w:rPr>
          <w:noProof/>
          <w:lang w:val="en-AU" w:eastAsia="en-AU"/>
        </w:rPr>
        <w:drawing>
          <wp:inline distT="0" distB="0" distL="0" distR="0" wp14:anchorId="2B16806D" wp14:editId="7F6281A5">
            <wp:extent cx="3024000" cy="2160000"/>
            <wp:effectExtent l="0" t="0" r="5080" b="12065"/>
            <wp:docPr id="466" name="Chart 466" descr="Reducing the hours for unpaid formal care support (pre-survey)&#10;Strongly agree = 4&#10;Mostly agree = 4&#10;Neither agree nor disagree = 1">
              <a:extLst xmlns:a="http://schemas.openxmlformats.org/drawingml/2006/main">
                <a:ext uri="{FF2B5EF4-FFF2-40B4-BE49-F238E27FC236}">
                  <a16:creationId xmlns:a16="http://schemas.microsoft.com/office/drawing/2014/main" id="{1DCC411F-8709-43CB-A91B-E88C189AE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166E46">
        <w:rPr>
          <w:noProof/>
          <w:lang w:val="en-AU" w:eastAsia="en-AU"/>
        </w:rPr>
        <w:drawing>
          <wp:inline distT="0" distB="0" distL="0" distR="0" wp14:anchorId="3946DF98" wp14:editId="01148A7C">
            <wp:extent cx="3024000" cy="2160000"/>
            <wp:effectExtent l="0" t="0" r="5080" b="12065"/>
            <wp:docPr id="467" name="Chart 467" descr="Reducing the hours for unpaid formal care support (post-survey)&#10;Strongly agree = 4&#10;Mostly agree = 3&#10;Somewhat agree = 2">
              <a:extLst xmlns:a="http://schemas.openxmlformats.org/drawingml/2006/main">
                <a:ext uri="{FF2B5EF4-FFF2-40B4-BE49-F238E27FC236}">
                  <a16:creationId xmlns:a16="http://schemas.microsoft.com/office/drawing/2014/main" id="{E1E44432-E417-4E66-89B3-4B6CAAB60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7B9AA97" w14:textId="2E8CDD76" w:rsidR="00166E46" w:rsidRDefault="00166E46">
      <w:pPr>
        <w:rPr>
          <w:lang w:eastAsia="en-US"/>
        </w:rPr>
      </w:pPr>
      <w:r>
        <w:rPr>
          <w:lang w:eastAsia="en-US"/>
        </w:rPr>
        <w:br w:type="page"/>
      </w:r>
    </w:p>
    <w:p w14:paraId="469E02BD" w14:textId="58E3549C" w:rsidR="00F81E67" w:rsidRDefault="004733A9" w:rsidP="00217053">
      <w:bookmarkStart w:id="149" w:name="_Ref42522008"/>
      <w:bookmarkStart w:id="150" w:name="_Toc60999887"/>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bookmarkEnd w:id="149"/>
      <w:r w:rsidR="00DF1908">
        <w:t>-9</w:t>
      </w:r>
      <w:r w:rsidRPr="008E680E">
        <w:t>:</w:t>
      </w:r>
      <w:r w:rsidRPr="008E680E">
        <w:tab/>
      </w:r>
      <w:r w:rsidR="00A85B3B">
        <w:t>B</w:t>
      </w:r>
      <w:r w:rsidR="00F81E67" w:rsidRPr="008E680E">
        <w:t>enefits of using AT for the health and aged care systems</w:t>
      </w:r>
      <w:bookmarkEnd w:id="150"/>
    </w:p>
    <w:p w14:paraId="0AF2D408" w14:textId="02173073" w:rsidR="00166E46" w:rsidRDefault="00166E46" w:rsidP="00A53DA5">
      <w:r w:rsidRPr="00166E46">
        <w:rPr>
          <w:noProof/>
          <w:lang w:val="en-AU" w:eastAsia="en-AU"/>
        </w:rPr>
        <w:drawing>
          <wp:inline distT="0" distB="0" distL="0" distR="0" wp14:anchorId="010DA218" wp14:editId="0C116E1F">
            <wp:extent cx="3024000" cy="2160000"/>
            <wp:effectExtent l="0" t="0" r="5080" b="12065"/>
            <wp:docPr id="468" name="Chart 468" descr="Reducing the hours for unpaid formal care support (pre-survey)&#10;Strongly agree = 5&#10;Mostly agree = 2&#10;Somewhat agree = 2">
              <a:extLst xmlns:a="http://schemas.openxmlformats.org/drawingml/2006/main">
                <a:ext uri="{FF2B5EF4-FFF2-40B4-BE49-F238E27FC236}">
                  <a16:creationId xmlns:a16="http://schemas.microsoft.com/office/drawing/2014/main" id="{1BB39490-7D21-466A-87F0-5AEA5CEB6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166E46">
        <w:rPr>
          <w:noProof/>
          <w:lang w:val="en-AU" w:eastAsia="en-AU"/>
        </w:rPr>
        <w:drawing>
          <wp:inline distT="0" distB="0" distL="0" distR="0" wp14:anchorId="1BCD1267" wp14:editId="13BA6226">
            <wp:extent cx="3024000" cy="2160000"/>
            <wp:effectExtent l="0" t="0" r="5080" b="12065"/>
            <wp:docPr id="469" name="Chart 469" descr="Reducing the hours for unpaid formal care support (post-survey)&#10;Strongly agree = 4&#10;Mostly agree = 3&#10;Somewhat agree = 2">
              <a:extLst xmlns:a="http://schemas.openxmlformats.org/drawingml/2006/main">
                <a:ext uri="{FF2B5EF4-FFF2-40B4-BE49-F238E27FC236}">
                  <a16:creationId xmlns:a16="http://schemas.microsoft.com/office/drawing/2014/main" id="{2F221FEF-35E4-4057-8780-2F62B48A4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166E46">
        <w:rPr>
          <w:noProof/>
          <w:lang w:val="en-AU" w:eastAsia="en-AU"/>
        </w:rPr>
        <w:drawing>
          <wp:inline distT="0" distB="0" distL="0" distR="0" wp14:anchorId="013C5FE4" wp14:editId="70540456">
            <wp:extent cx="3024000" cy="2160000"/>
            <wp:effectExtent l="0" t="0" r="5080" b="12065"/>
            <wp:docPr id="470" name="Chart 470" descr="Reducing the hours for paid formal care support (pre-survey)&#10;Strongly agree = 5&#10;Mostly agree = 1&#10;Somewhat agree = 3">
              <a:extLst xmlns:a="http://schemas.openxmlformats.org/drawingml/2006/main">
                <a:ext uri="{FF2B5EF4-FFF2-40B4-BE49-F238E27FC236}">
                  <a16:creationId xmlns:a16="http://schemas.microsoft.com/office/drawing/2014/main" id="{29A09CE3-EB1A-44E7-929A-C0110BF1F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166E46">
        <w:rPr>
          <w:noProof/>
          <w:lang w:val="en-AU" w:eastAsia="en-AU"/>
        </w:rPr>
        <w:drawing>
          <wp:inline distT="0" distB="0" distL="0" distR="0" wp14:anchorId="5AC248D6" wp14:editId="62374619">
            <wp:extent cx="3024000" cy="2160000"/>
            <wp:effectExtent l="0" t="0" r="5080" b="12065"/>
            <wp:docPr id="471" name="Chart 471" descr="Reducing the hours for paid formal care support (post-survey)&#10;Strongly agree = 4&#10;Mostly agree = 3&#10;Somewhat agree = 2">
              <a:extLst xmlns:a="http://schemas.openxmlformats.org/drawingml/2006/main">
                <a:ext uri="{FF2B5EF4-FFF2-40B4-BE49-F238E27FC236}">
                  <a16:creationId xmlns:a16="http://schemas.microsoft.com/office/drawing/2014/main" id="{24053E41-9C1A-4325-8EEA-D5530E998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166E46">
        <w:rPr>
          <w:noProof/>
          <w:lang w:val="en-AU" w:eastAsia="en-AU"/>
        </w:rPr>
        <w:drawing>
          <wp:inline distT="0" distB="0" distL="0" distR="0" wp14:anchorId="1565B58D" wp14:editId="7D89100F">
            <wp:extent cx="3024000" cy="2160000"/>
            <wp:effectExtent l="0" t="0" r="5080" b="12065"/>
            <wp:docPr id="472" name="Chart 472" descr="Reducing the number of GP visits (pre-survey)&#10;Strongly agree = 2&#10;Mostly agree = 2&#10;Somewhat agree = 3&#10;Neither agree nor disagree = 1&#10;Mostly disagree = 1">
              <a:extLst xmlns:a="http://schemas.openxmlformats.org/drawingml/2006/main">
                <a:ext uri="{FF2B5EF4-FFF2-40B4-BE49-F238E27FC236}">
                  <a16:creationId xmlns:a16="http://schemas.microsoft.com/office/drawing/2014/main" id="{8601039D-5710-4550-81B8-CC942C612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166E46">
        <w:rPr>
          <w:noProof/>
          <w:lang w:val="en-AU" w:eastAsia="en-AU"/>
        </w:rPr>
        <w:drawing>
          <wp:inline distT="0" distB="0" distL="0" distR="0" wp14:anchorId="6A6B8570" wp14:editId="0E3A0DA2">
            <wp:extent cx="3024000" cy="2160000"/>
            <wp:effectExtent l="0" t="0" r="5080" b="12065"/>
            <wp:docPr id="473" name="Chart 473" descr="Reducing the number of GP visits (post-survey)&#10;Strongly agree = 1&#10;Mostly agree = 3&#10;Somewhat agree = 1&#10;Neither agree nor disagree = 4">
              <a:extLst xmlns:a="http://schemas.openxmlformats.org/drawingml/2006/main">
                <a:ext uri="{FF2B5EF4-FFF2-40B4-BE49-F238E27FC236}">
                  <a16:creationId xmlns:a16="http://schemas.microsoft.com/office/drawing/2014/main" id="{5F67ECFF-989B-4D53-8DE3-CCA3B15CD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166E46">
        <w:rPr>
          <w:noProof/>
          <w:lang w:val="en-AU" w:eastAsia="en-AU"/>
        </w:rPr>
        <w:drawing>
          <wp:inline distT="0" distB="0" distL="0" distR="0" wp14:anchorId="1E128105" wp14:editId="6429AED4">
            <wp:extent cx="3024000" cy="2160000"/>
            <wp:effectExtent l="0" t="0" r="5080" b="12065"/>
            <wp:docPr id="474" name="Chart 474" descr="Reducing the number of hospital admissions through the emergency department (pre-survey)&#10;Strongly agree = 3&#10;Mostly agree = 3&#10;Neither agree nor disagree = 3">
              <a:extLst xmlns:a="http://schemas.openxmlformats.org/drawingml/2006/main">
                <a:ext uri="{FF2B5EF4-FFF2-40B4-BE49-F238E27FC236}">
                  <a16:creationId xmlns:a16="http://schemas.microsoft.com/office/drawing/2014/main" id="{E1D64A8E-E4B1-4657-822D-881D8F78F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166E46">
        <w:rPr>
          <w:noProof/>
          <w:lang w:val="en-AU" w:eastAsia="en-AU"/>
        </w:rPr>
        <w:drawing>
          <wp:inline distT="0" distB="0" distL="0" distR="0" wp14:anchorId="737AB749" wp14:editId="2E24F6F3">
            <wp:extent cx="3024000" cy="2160000"/>
            <wp:effectExtent l="0" t="0" r="5080" b="12065"/>
            <wp:docPr id="475" name="Chart 475" descr="Reducing the number of hospital admissions through the emergency department (post-survey)&#10;Strongly agree = 2&#10;Mostly agree = 3&#10;Somewhat agree = 1&#10;Neither agree nor disagree = 3">
              <a:extLst xmlns:a="http://schemas.openxmlformats.org/drawingml/2006/main">
                <a:ext uri="{FF2B5EF4-FFF2-40B4-BE49-F238E27FC236}">
                  <a16:creationId xmlns:a16="http://schemas.microsoft.com/office/drawing/2014/main" id="{113DECD3-D8DE-4E78-9D31-8E9123CE3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166E46">
        <w:rPr>
          <w:noProof/>
          <w:lang w:val="en-AU" w:eastAsia="en-AU"/>
        </w:rPr>
        <w:lastRenderedPageBreak/>
        <w:drawing>
          <wp:inline distT="0" distB="0" distL="0" distR="0" wp14:anchorId="05A1A39D" wp14:editId="5B228C63">
            <wp:extent cx="3024000" cy="2160000"/>
            <wp:effectExtent l="0" t="0" r="5080" b="12065"/>
            <wp:docPr id="476" name="Chart 476" descr="Reducing days spent in respite care (pre-survey)&#10;Strongly agree = 2&#10;Mostly agree = 2&#10;Somewhat agree = 2&#10;Neither agree nor disagree = 2&#10;Somewhat disagree = 1">
              <a:extLst xmlns:a="http://schemas.openxmlformats.org/drawingml/2006/main">
                <a:ext uri="{FF2B5EF4-FFF2-40B4-BE49-F238E27FC236}">
                  <a16:creationId xmlns:a16="http://schemas.microsoft.com/office/drawing/2014/main" id="{AB19344E-FC1E-4C02-9943-35F695906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166E46">
        <w:rPr>
          <w:noProof/>
          <w:lang w:val="en-AU" w:eastAsia="en-AU"/>
        </w:rPr>
        <w:drawing>
          <wp:inline distT="0" distB="0" distL="0" distR="0" wp14:anchorId="38D1A17C" wp14:editId="57709013">
            <wp:extent cx="3024000" cy="2160000"/>
            <wp:effectExtent l="0" t="0" r="5080" b="12065"/>
            <wp:docPr id="477" name="Chart 477" descr="Reducing days spent in respite care (post-survey)&#10;Strongly agree = 2&#10;Mostly agree = 3&#10;Somewhat agree = 1&#10;Neither agree nor disagree = 3">
              <a:extLst xmlns:a="http://schemas.openxmlformats.org/drawingml/2006/main">
                <a:ext uri="{FF2B5EF4-FFF2-40B4-BE49-F238E27FC236}">
                  <a16:creationId xmlns:a16="http://schemas.microsoft.com/office/drawing/2014/main" id="{AF12E83B-B85E-44CD-9F6A-515AD83AA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166E46">
        <w:rPr>
          <w:noProof/>
          <w:lang w:val="en-AU" w:eastAsia="en-AU"/>
        </w:rPr>
        <w:drawing>
          <wp:inline distT="0" distB="0" distL="0" distR="0" wp14:anchorId="41AE2DC1" wp14:editId="14540824">
            <wp:extent cx="3024000" cy="2160000"/>
            <wp:effectExtent l="0" t="0" r="5080" b="12065"/>
            <wp:docPr id="478" name="Chart 478" descr="Reducing or delaying the need for residential aged care (pre-survey)&#10;Strongly agree = 5&#10;Mostly agree = 1&#10;Somewhat agree = 1&#10;Neither agree nor disagree = 1&#10;Somewhat disagree = 1">
              <a:extLst xmlns:a="http://schemas.openxmlformats.org/drawingml/2006/main">
                <a:ext uri="{FF2B5EF4-FFF2-40B4-BE49-F238E27FC236}">
                  <a16:creationId xmlns:a16="http://schemas.microsoft.com/office/drawing/2014/main" id="{624A9F30-EFD4-4F18-AA76-B5BC88CCC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166E46">
        <w:rPr>
          <w:noProof/>
          <w:lang w:val="en-AU" w:eastAsia="en-AU"/>
        </w:rPr>
        <w:drawing>
          <wp:inline distT="0" distB="0" distL="0" distR="0" wp14:anchorId="693A20F0" wp14:editId="76C8FB61">
            <wp:extent cx="3024000" cy="2160000"/>
            <wp:effectExtent l="0" t="0" r="5080" b="12065"/>
            <wp:docPr id="479" name="Chart 479" descr="Reducing or delaying the need for residential aged care (post-survey)&#10;Strongly agree = 6&#10;Mostly agree = 1&#10;Somewhat agree = 1&#10;Neither agree nor disagree = 1">
              <a:extLst xmlns:a="http://schemas.openxmlformats.org/drawingml/2006/main">
                <a:ext uri="{FF2B5EF4-FFF2-40B4-BE49-F238E27FC236}">
                  <a16:creationId xmlns:a16="http://schemas.microsoft.com/office/drawing/2014/main" id="{2F77BD22-1986-4AA8-92D6-2A5F10839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953A605" w14:textId="0514D317" w:rsidR="00166E46" w:rsidRDefault="00166E46" w:rsidP="00A53DA5">
      <w:pPr>
        <w:sectPr w:rsidR="00166E46" w:rsidSect="00FE64D9">
          <w:pgSz w:w="11907" w:h="16840" w:code="9"/>
          <w:pgMar w:top="1134" w:right="1134" w:bottom="1134" w:left="1134" w:header="567" w:footer="851" w:gutter="0"/>
          <w:cols w:space="708"/>
          <w:docGrid w:linePitch="360"/>
        </w:sectPr>
      </w:pPr>
    </w:p>
    <w:p w14:paraId="4A10C360" w14:textId="764FBB5D" w:rsidR="00F81E67" w:rsidRPr="00217053" w:rsidRDefault="00F81E67" w:rsidP="00217053">
      <w:pPr>
        <w:rPr>
          <w:b/>
          <w:sz w:val="28"/>
          <w:szCs w:val="28"/>
        </w:rPr>
      </w:pPr>
      <w:r w:rsidRPr="00217053">
        <w:rPr>
          <w:b/>
          <w:sz w:val="28"/>
          <w:szCs w:val="28"/>
        </w:rPr>
        <w:lastRenderedPageBreak/>
        <w:t>Benefits for the AT users Archetypes</w:t>
      </w:r>
    </w:p>
    <w:p w14:paraId="002425C7" w14:textId="75DDDE41" w:rsidR="00F81E67" w:rsidRPr="00847629" w:rsidRDefault="00F81E67" w:rsidP="00F81E67">
      <w:pPr>
        <w:pStyle w:val="Paragraph"/>
      </w:pPr>
      <w:r>
        <w:t>To</w:t>
      </w:r>
      <w:r w:rsidRPr="00847629">
        <w:t xml:space="preserve"> recap, for </w:t>
      </w:r>
      <w:r w:rsidR="0082102B">
        <w:t>S</w:t>
      </w:r>
      <w:r w:rsidR="0082102B" w:rsidRPr="00847629">
        <w:t xml:space="preserve">ection </w:t>
      </w:r>
      <w:r>
        <w:t>3,</w:t>
      </w:r>
      <w:r w:rsidRPr="00847629">
        <w:t xml:space="preserve"> the pre-survey and the post-survey were examined separately to determine the correlation between the panellist’s responses based on Kendall’s tau coefficient. A coefficient of &gt; 0.7 was considered a strong consensus; 0.5 was considered a moderate consensus and &lt; 0.3 was considered a weak consensus. Section </w:t>
      </w:r>
      <w:r>
        <w:t>3</w:t>
      </w:r>
      <w:r w:rsidRPr="00847629">
        <w:t xml:space="preserve"> had </w:t>
      </w:r>
      <w:r>
        <w:t>28</w:t>
      </w:r>
      <w:r w:rsidRPr="00847629">
        <w:t xml:space="preserve"> Likert scale questions rated by 9 panellists. This meant that a correlation between the </w:t>
      </w:r>
      <w:r>
        <w:t>28</w:t>
      </w:r>
      <w:r w:rsidRPr="00847629">
        <w:t xml:space="preserve"> questions was reported for 72 potential combinations (each of the 9 panellists was compared to the other 8 panellists).</w:t>
      </w:r>
    </w:p>
    <w:p w14:paraId="05C9E5FD" w14:textId="73E6F828" w:rsidR="00F81E67" w:rsidRDefault="00F81E67" w:rsidP="00F81E67">
      <w:pPr>
        <w:pStyle w:val="Paragraph"/>
        <w:rPr>
          <w:lang w:val="en-AU"/>
        </w:rPr>
      </w:pPr>
      <w:r w:rsidRPr="00847629">
        <w:t xml:space="preserve">Of the 72 potential combinations for the pre-survey, a significant correlation (p&lt;0.05) was reported for </w:t>
      </w:r>
      <w:r>
        <w:t>28</w:t>
      </w:r>
      <w:r w:rsidRPr="00847629">
        <w:t xml:space="preserve"> combinations with </w:t>
      </w:r>
      <w:r>
        <w:t>2</w:t>
      </w:r>
      <w:r w:rsidRPr="00847629">
        <w:t xml:space="preserve">6 of the significant correlations reporting a moderate consensus and </w:t>
      </w:r>
      <w:r>
        <w:t>2</w:t>
      </w:r>
      <w:r w:rsidRPr="00847629">
        <w:t xml:space="preserve"> reporting a strong consensus. Of the 72 potential combinations for the post-survey, a significant correlation (p&lt;0.05) was reported for </w:t>
      </w:r>
      <w:r>
        <w:t>34</w:t>
      </w:r>
      <w:r w:rsidRPr="00847629">
        <w:t xml:space="preserve"> combinations with </w:t>
      </w:r>
      <w:r>
        <w:t>all 34</w:t>
      </w:r>
      <w:r w:rsidRPr="00847629">
        <w:t xml:space="preserve"> of the significant correlations reporting a moderate consensus. These results demonstrate </w:t>
      </w:r>
      <w:r>
        <w:t>a small</w:t>
      </w:r>
      <w:r w:rsidRPr="00847629">
        <w:t xml:space="preserve"> increase in the quantity of significant consensus’. Graphs of the survey results are presented in </w:t>
      </w:r>
      <w:r w:rsidR="00BE20E8" w:rsidRPr="00BE20E8">
        <w:rPr>
          <w:rStyle w:val="Italic"/>
        </w:rPr>
        <w:fldChar w:fldCharType="begin"/>
      </w:r>
      <w:r w:rsidR="00BE20E8" w:rsidRPr="00BE20E8">
        <w:rPr>
          <w:rStyle w:val="Italic"/>
        </w:rPr>
        <w:instrText xml:space="preserve"> REF _Ref42527512 \h </w:instrText>
      </w:r>
      <w:r w:rsidR="00BE20E8">
        <w:rPr>
          <w:rStyle w:val="Italic"/>
        </w:rPr>
        <w:instrText xml:space="preserve"> \* MERGEFORMAT </w:instrText>
      </w:r>
      <w:r w:rsidR="00BE20E8" w:rsidRPr="00BE20E8">
        <w:rPr>
          <w:rStyle w:val="Italic"/>
        </w:rPr>
      </w:r>
      <w:r w:rsidR="00BE20E8" w:rsidRPr="00BE20E8">
        <w:rPr>
          <w:rStyle w:val="Italic"/>
        </w:rPr>
        <w:fldChar w:fldCharType="separate"/>
      </w:r>
      <w:r w:rsidR="00EB1774" w:rsidRPr="00EB1774">
        <w:rPr>
          <w:rStyle w:val="Italic"/>
        </w:rPr>
        <w:t>Figure C</w:t>
      </w:r>
      <w:r w:rsidR="00EB1774" w:rsidRPr="00EB1774">
        <w:rPr>
          <w:rStyle w:val="Italic"/>
        </w:rPr>
        <w:noBreakHyphen/>
        <w:t>13</w:t>
      </w:r>
      <w:r w:rsidR="00BE20E8" w:rsidRPr="00BE20E8">
        <w:rPr>
          <w:rStyle w:val="Italic"/>
        </w:rPr>
        <w:fldChar w:fldCharType="end"/>
      </w:r>
      <w:r w:rsidR="00A05AB3">
        <w:rPr>
          <w:rStyle w:val="Italic"/>
        </w:rPr>
        <w:t xml:space="preserve"> </w:t>
      </w:r>
      <w:r w:rsidR="00BE20E8">
        <w:t xml:space="preserve">to </w:t>
      </w:r>
      <w:r w:rsidR="00BE20E8" w:rsidRPr="00BE20E8">
        <w:rPr>
          <w:rStyle w:val="Italic"/>
        </w:rPr>
        <w:fldChar w:fldCharType="begin"/>
      </w:r>
      <w:r w:rsidR="00BE20E8" w:rsidRPr="00BE20E8">
        <w:rPr>
          <w:rStyle w:val="Italic"/>
        </w:rPr>
        <w:instrText xml:space="preserve"> REF _Ref42527515 \h </w:instrText>
      </w:r>
      <w:r w:rsidR="00BE20E8">
        <w:rPr>
          <w:rStyle w:val="Italic"/>
        </w:rPr>
        <w:instrText xml:space="preserve"> \* MERGEFORMAT </w:instrText>
      </w:r>
      <w:r w:rsidR="00BE20E8" w:rsidRPr="00BE20E8">
        <w:rPr>
          <w:rStyle w:val="Italic"/>
        </w:rPr>
      </w:r>
      <w:r w:rsidR="00BE20E8" w:rsidRPr="00BE20E8">
        <w:rPr>
          <w:rStyle w:val="Italic"/>
        </w:rPr>
        <w:fldChar w:fldCharType="separate"/>
      </w:r>
      <w:r w:rsidR="00EB1774" w:rsidRPr="00EB1774">
        <w:rPr>
          <w:rStyle w:val="Italic"/>
        </w:rPr>
        <w:t>Figure C</w:t>
      </w:r>
      <w:r w:rsidR="00EB1774" w:rsidRPr="00EB1774">
        <w:rPr>
          <w:rStyle w:val="Italic"/>
        </w:rPr>
        <w:noBreakHyphen/>
        <w:t>16</w:t>
      </w:r>
      <w:r w:rsidR="00BE20E8" w:rsidRPr="00BE20E8">
        <w:rPr>
          <w:rStyle w:val="Italic"/>
        </w:rPr>
        <w:fldChar w:fldCharType="end"/>
      </w:r>
      <w:r w:rsidRPr="00847629">
        <w:t xml:space="preserve">. </w:t>
      </w:r>
    </w:p>
    <w:p w14:paraId="6A51E68D" w14:textId="77777777" w:rsidR="00EB1774" w:rsidRDefault="00690B42" w:rsidP="00EB1774">
      <w:pPr>
        <w:pStyle w:val="Paragraph"/>
        <w:rPr>
          <w:rFonts w:ascii="Calibri Light" w:hAnsi="Calibri Light"/>
          <w:bCs/>
          <w:color w:val="404142" w:themeColor="background2" w:themeShade="80"/>
          <w:szCs w:val="18"/>
        </w:rPr>
      </w:pPr>
      <w:r>
        <w:t>Summaries</w:t>
      </w:r>
      <w:r w:rsidR="00F81E67">
        <w:t xml:space="preserve"> of the benefits for the pre-survey, the focus group and the post-survey </w:t>
      </w:r>
      <w:r>
        <w:t xml:space="preserve">are provided </w:t>
      </w:r>
      <w:r w:rsidR="00F81E67">
        <w:t xml:space="preserve">in </w:t>
      </w:r>
      <w:r w:rsidR="00BE20E8" w:rsidRPr="00690B42">
        <w:rPr>
          <w:rStyle w:val="Italic"/>
        </w:rPr>
        <w:fldChar w:fldCharType="begin"/>
      </w:r>
      <w:r w:rsidR="00BE20E8" w:rsidRPr="00690B42">
        <w:rPr>
          <w:rStyle w:val="Italic"/>
        </w:rPr>
        <w:instrText xml:space="preserve"> REF _Ref42527571 \h  \* MERGEFORMAT </w:instrText>
      </w:r>
      <w:r w:rsidR="00BE20E8" w:rsidRPr="00690B42">
        <w:rPr>
          <w:rStyle w:val="Italic"/>
        </w:rPr>
      </w:r>
      <w:r w:rsidR="00BE20E8" w:rsidRPr="00690B42">
        <w:rPr>
          <w:rStyle w:val="Italic"/>
        </w:rPr>
        <w:fldChar w:fldCharType="separate"/>
      </w:r>
      <w:r w:rsidR="00EB1774" w:rsidRPr="00EB1774">
        <w:rPr>
          <w:rStyle w:val="Italic"/>
        </w:rPr>
        <w:br w:type="page"/>
      </w:r>
    </w:p>
    <w:p w14:paraId="2D88D236" w14:textId="2A8AD88F" w:rsidR="00F81E67" w:rsidRPr="0005623E" w:rsidRDefault="00EB1774" w:rsidP="0005623E">
      <w:pPr>
        <w:pStyle w:val="Paragraph"/>
        <w:spacing w:before="0"/>
        <w:rPr>
          <w:i/>
        </w:rPr>
      </w:pPr>
      <w:r w:rsidRPr="008E680E">
        <w:lastRenderedPageBreak/>
        <w:t>Figure </w:t>
      </w:r>
      <w:r>
        <w:t>C</w:t>
      </w:r>
      <w:r w:rsidRPr="008E680E">
        <w:noBreakHyphen/>
      </w:r>
      <w:r>
        <w:t>10</w:t>
      </w:r>
      <w:r w:rsidR="00BE20E8" w:rsidRPr="00690B42">
        <w:rPr>
          <w:rStyle w:val="Italic"/>
        </w:rPr>
        <w:fldChar w:fldCharType="end"/>
      </w:r>
      <w:r w:rsidR="00BE20E8" w:rsidRPr="0005623E">
        <w:rPr>
          <w:i/>
        </w:rPr>
        <w:t xml:space="preserve">, </w:t>
      </w:r>
      <w:r w:rsidR="00BE20E8" w:rsidRPr="00690B42">
        <w:rPr>
          <w:rStyle w:val="Italic"/>
        </w:rPr>
        <w:fldChar w:fldCharType="begin"/>
      </w:r>
      <w:r w:rsidR="00BE20E8" w:rsidRPr="00690B42">
        <w:rPr>
          <w:rStyle w:val="Italic"/>
        </w:rPr>
        <w:instrText xml:space="preserve"> REF _Ref42527574 \h  \* MERGEFORMAT </w:instrText>
      </w:r>
      <w:r w:rsidR="00BE20E8" w:rsidRPr="00690B42">
        <w:rPr>
          <w:rStyle w:val="Italic"/>
        </w:rPr>
      </w:r>
      <w:r w:rsidR="00BE20E8" w:rsidRPr="00690B42">
        <w:rPr>
          <w:rStyle w:val="Italic"/>
        </w:rPr>
        <w:fldChar w:fldCharType="separate"/>
      </w:r>
      <w:r w:rsidRPr="00EB1774">
        <w:rPr>
          <w:rStyle w:val="Italic"/>
        </w:rPr>
        <w:t>Figure C</w:t>
      </w:r>
      <w:r w:rsidRPr="00EB1774">
        <w:rPr>
          <w:rStyle w:val="Italic"/>
        </w:rPr>
        <w:noBreakHyphen/>
        <w:t>11</w:t>
      </w:r>
      <w:r w:rsidR="00BE20E8" w:rsidRPr="00690B42">
        <w:rPr>
          <w:rStyle w:val="Italic"/>
        </w:rPr>
        <w:fldChar w:fldCharType="end"/>
      </w:r>
      <w:r w:rsidR="00BE20E8" w:rsidRPr="0005623E">
        <w:rPr>
          <w:i/>
        </w:rPr>
        <w:t xml:space="preserve"> </w:t>
      </w:r>
      <w:r w:rsidR="00BE20E8" w:rsidRPr="00690B42">
        <w:rPr>
          <w:iCs/>
        </w:rPr>
        <w:t>and</w:t>
      </w:r>
      <w:r w:rsidR="00BE20E8" w:rsidRPr="0005623E">
        <w:rPr>
          <w:i/>
        </w:rPr>
        <w:t xml:space="preserve"> </w:t>
      </w:r>
      <w:r w:rsidR="00BE20E8" w:rsidRPr="00690B42">
        <w:rPr>
          <w:rStyle w:val="Italic"/>
        </w:rPr>
        <w:fldChar w:fldCharType="begin"/>
      </w:r>
      <w:r w:rsidR="00BE20E8" w:rsidRPr="00690B42">
        <w:rPr>
          <w:rStyle w:val="Italic"/>
        </w:rPr>
        <w:instrText xml:space="preserve"> REF _Ref42527576 \h  \* MERGEFORMAT </w:instrText>
      </w:r>
      <w:r w:rsidR="00BE20E8" w:rsidRPr="00690B42">
        <w:rPr>
          <w:rStyle w:val="Italic"/>
        </w:rPr>
      </w:r>
      <w:r w:rsidR="00BE20E8" w:rsidRPr="00690B42">
        <w:rPr>
          <w:rStyle w:val="Italic"/>
        </w:rPr>
        <w:fldChar w:fldCharType="separate"/>
      </w:r>
      <w:r w:rsidRPr="00EB1774">
        <w:rPr>
          <w:rStyle w:val="Italic"/>
        </w:rPr>
        <w:t>Figure C</w:t>
      </w:r>
      <w:r w:rsidRPr="00EB1774">
        <w:rPr>
          <w:rStyle w:val="Italic"/>
        </w:rPr>
        <w:noBreakHyphen/>
        <w:t>12</w:t>
      </w:r>
      <w:r w:rsidR="00BE20E8" w:rsidRPr="00690B42">
        <w:rPr>
          <w:rStyle w:val="Italic"/>
        </w:rPr>
        <w:fldChar w:fldCharType="end"/>
      </w:r>
      <w:r w:rsidR="00F81E67" w:rsidRPr="0005623E">
        <w:rPr>
          <w:i/>
        </w:rPr>
        <w:t xml:space="preserve">. </w:t>
      </w:r>
    </w:p>
    <w:p w14:paraId="763BBA23" w14:textId="77777777" w:rsidR="00C13FC5" w:rsidRDefault="00F81E67" w:rsidP="00FE64D9">
      <w:pPr>
        <w:pStyle w:val="Paragraph"/>
        <w:rPr>
          <w:lang w:val="en-AU"/>
        </w:rPr>
      </w:pPr>
      <w:r w:rsidRPr="00847629">
        <w:rPr>
          <w:lang w:val="en-AU"/>
        </w:rPr>
        <w:t xml:space="preserve">Analysis of the quantified </w:t>
      </w:r>
      <w:r>
        <w:rPr>
          <w:lang w:val="en-AU"/>
        </w:rPr>
        <w:t>economic</w:t>
      </w:r>
      <w:r w:rsidRPr="00847629">
        <w:rPr>
          <w:lang w:val="en-AU"/>
        </w:rPr>
        <w:t xml:space="preserve"> benefits for the archetypes was based on the post-survey to represent the point of greatest consensus between the panellists. Panellists were presented with the quantity of services and supports required in the 12 months prior to accessing AT and were asked to </w:t>
      </w:r>
      <w:r w:rsidR="004E2F56" w:rsidRPr="00847629">
        <w:rPr>
          <w:lang w:val="en-AU"/>
        </w:rPr>
        <w:t>report</w:t>
      </w:r>
      <w:r w:rsidRPr="00847629">
        <w:rPr>
          <w:lang w:val="en-AU"/>
        </w:rPr>
        <w:t xml:space="preserve"> their perception on the quantity of services and supports required in the 12 months post access to AT. This was assuming that the functional status and disease progression did not worsen. </w:t>
      </w:r>
    </w:p>
    <w:p w14:paraId="49A3F2D8" w14:textId="1B2504F4" w:rsidR="00B63A95" w:rsidRDefault="00F81E67" w:rsidP="00FE64D9">
      <w:pPr>
        <w:pStyle w:val="Paragraph"/>
        <w:rPr>
          <w:lang w:val="en-AU"/>
        </w:rPr>
      </w:pPr>
      <w:r w:rsidRPr="00847629">
        <w:rPr>
          <w:lang w:val="en-AU"/>
        </w:rPr>
        <w:t xml:space="preserve">As this was a consensus process, 2 or more panellists were required to report a difference in the quantity services and supports required to impact the analysis of quantified and costed benefits of AT. It is noted that for some services and supports the panellists reported that they perceive the quantity has increased. </w:t>
      </w:r>
    </w:p>
    <w:p w14:paraId="0272A773" w14:textId="77777777" w:rsidR="00EB1774" w:rsidRPr="00EB1774" w:rsidRDefault="00A11E41" w:rsidP="00EB1774">
      <w:pPr>
        <w:pStyle w:val="ParaKeep"/>
        <w:rPr>
          <w:rStyle w:val="Italic"/>
        </w:rPr>
        <w:sectPr w:rsidR="00EB1774" w:rsidRPr="00EB1774" w:rsidSect="00423FC8">
          <w:pgSz w:w="11907" w:h="16840" w:code="9"/>
          <w:pgMar w:top="1134" w:right="1134" w:bottom="1134" w:left="1134" w:header="567" w:footer="851" w:gutter="0"/>
          <w:cols w:space="708"/>
          <w:docGrid w:linePitch="360"/>
        </w:sectPr>
      </w:pPr>
      <w:r w:rsidRPr="004511B3">
        <w:rPr>
          <w:rStyle w:val="Italic"/>
        </w:rPr>
        <w:t>Table C</w:t>
      </w:r>
      <w:r w:rsidRPr="004511B3">
        <w:rPr>
          <w:rStyle w:val="Italic"/>
        </w:rPr>
        <w:noBreakHyphen/>
      </w:r>
      <w:r>
        <w:rPr>
          <w:rStyle w:val="Italic"/>
        </w:rPr>
        <w:t xml:space="preserve">3 </w:t>
      </w:r>
      <w:r w:rsidR="00F81E67">
        <w:rPr>
          <w:lang w:val="en-AU"/>
        </w:rPr>
        <w:t xml:space="preserve">presents a summary of the results, </w:t>
      </w:r>
      <w:r w:rsidR="00EF56E8" w:rsidRPr="00EF56E8">
        <w:rPr>
          <w:rStyle w:val="Italic"/>
        </w:rPr>
        <w:fldChar w:fldCharType="begin"/>
      </w:r>
      <w:r w:rsidR="00EF56E8" w:rsidRPr="00EF56E8">
        <w:rPr>
          <w:rStyle w:val="Italic"/>
        </w:rPr>
        <w:instrText xml:space="preserve"> REF _Ref42528421 \h </w:instrText>
      </w:r>
      <w:r w:rsidR="00EF56E8">
        <w:rPr>
          <w:rStyle w:val="Italic"/>
        </w:rPr>
        <w:instrText xml:space="preserve"> \* MERGEFORMAT </w:instrText>
      </w:r>
      <w:r w:rsidR="00EF56E8" w:rsidRPr="00EF56E8">
        <w:rPr>
          <w:rStyle w:val="Italic"/>
        </w:rPr>
      </w:r>
      <w:r w:rsidR="00EF56E8" w:rsidRPr="00EF56E8">
        <w:rPr>
          <w:rStyle w:val="Italic"/>
        </w:rPr>
        <w:fldChar w:fldCharType="separate"/>
      </w:r>
    </w:p>
    <w:p w14:paraId="74F52569" w14:textId="11CE8CCD" w:rsidR="00F81E67" w:rsidRDefault="00EB1774" w:rsidP="00FE64D9">
      <w:pPr>
        <w:pStyle w:val="ParaKeep"/>
        <w:rPr>
          <w:lang w:val="en-AU"/>
        </w:rPr>
      </w:pPr>
      <w:r w:rsidRPr="008E680E">
        <w:lastRenderedPageBreak/>
        <w:t>Table </w:t>
      </w:r>
      <w:r>
        <w:t>C</w:t>
      </w:r>
      <w:r>
        <w:noBreakHyphen/>
        <w:t>4</w:t>
      </w:r>
      <w:r w:rsidR="00EF56E8" w:rsidRPr="00EF56E8">
        <w:rPr>
          <w:rStyle w:val="Italic"/>
        </w:rPr>
        <w:fldChar w:fldCharType="end"/>
      </w:r>
      <w:r w:rsidR="00EF56E8">
        <w:rPr>
          <w:lang w:val="en-AU"/>
        </w:rPr>
        <w:t xml:space="preserve"> </w:t>
      </w:r>
      <w:r w:rsidR="00F81E67" w:rsidRPr="00847629">
        <w:rPr>
          <w:lang w:val="en-AU"/>
        </w:rPr>
        <w:t xml:space="preserve">summarised the quantity and costs of the benefits and </w:t>
      </w:r>
      <w:r w:rsidR="00EF56E8" w:rsidRPr="00EF56E8">
        <w:rPr>
          <w:rStyle w:val="Italic"/>
        </w:rPr>
        <w:fldChar w:fldCharType="begin"/>
      </w:r>
      <w:r w:rsidR="00EF56E8" w:rsidRPr="00EF56E8">
        <w:rPr>
          <w:rStyle w:val="Italic"/>
        </w:rPr>
        <w:instrText xml:space="preserve"> REF _Ref42528419 \h </w:instrText>
      </w:r>
      <w:r w:rsidR="00EF56E8">
        <w:rPr>
          <w:rStyle w:val="Italic"/>
        </w:rPr>
        <w:instrText xml:space="preserve"> \* MERGEFORMAT </w:instrText>
      </w:r>
      <w:r w:rsidR="00EF56E8" w:rsidRPr="00EF56E8">
        <w:rPr>
          <w:rStyle w:val="Italic"/>
        </w:rPr>
      </w:r>
      <w:r w:rsidR="00EF56E8" w:rsidRPr="00EF56E8">
        <w:rPr>
          <w:rStyle w:val="Italic"/>
        </w:rPr>
        <w:fldChar w:fldCharType="separate"/>
      </w:r>
      <w:r w:rsidRPr="00EB1774">
        <w:rPr>
          <w:rStyle w:val="Italic"/>
        </w:rPr>
        <w:t>Table C</w:t>
      </w:r>
      <w:r w:rsidRPr="00EB1774">
        <w:rPr>
          <w:rStyle w:val="Italic"/>
        </w:rPr>
        <w:noBreakHyphen/>
        <w:t>5</w:t>
      </w:r>
      <w:r w:rsidR="00EF56E8" w:rsidRPr="00EF56E8">
        <w:rPr>
          <w:rStyle w:val="Italic"/>
        </w:rPr>
        <w:fldChar w:fldCharType="end"/>
      </w:r>
      <w:r w:rsidR="00EF56E8">
        <w:rPr>
          <w:rStyle w:val="Italic"/>
        </w:rPr>
        <w:t xml:space="preserve"> </w:t>
      </w:r>
      <w:r w:rsidR="00F81E67" w:rsidRPr="00847629">
        <w:rPr>
          <w:lang w:val="en-AU"/>
        </w:rPr>
        <w:t>reports the methodology for costing the modelled cost data.</w:t>
      </w:r>
      <w:r w:rsidR="00F81E67">
        <w:rPr>
          <w:lang w:val="en-AU"/>
        </w:rPr>
        <w:t xml:space="preserve"> In brief for the post-survey and final analyses </w:t>
      </w:r>
      <w:r w:rsidR="00F81E67" w:rsidRPr="00847629">
        <w:rPr>
          <w:lang w:val="en-AU"/>
        </w:rPr>
        <w:t>of the costed benefits</w:t>
      </w:r>
      <w:r w:rsidR="00F81E67">
        <w:rPr>
          <w:lang w:val="en-AU"/>
        </w:rPr>
        <w:t>:</w:t>
      </w:r>
    </w:p>
    <w:p w14:paraId="7BA92537" w14:textId="5C4A9257" w:rsidR="00F81E67" w:rsidRDefault="00F81E67" w:rsidP="002B177E">
      <w:pPr>
        <w:pStyle w:val="Paragraph"/>
        <w:numPr>
          <w:ilvl w:val="0"/>
          <w:numId w:val="32"/>
        </w:numPr>
        <w:rPr>
          <w:lang w:val="en-AU"/>
        </w:rPr>
      </w:pPr>
      <w:r>
        <w:rPr>
          <w:lang w:val="en-AU"/>
        </w:rPr>
        <w:t xml:space="preserve">Person 1: </w:t>
      </w:r>
      <w:r w:rsidR="00F33447">
        <w:rPr>
          <w:lang w:val="en-AU"/>
        </w:rPr>
        <w:t>Mrs </w:t>
      </w:r>
      <w:r>
        <w:rPr>
          <w:lang w:val="en-AU"/>
        </w:rPr>
        <w:t xml:space="preserve">A (mild impairment) reported benefit of </w:t>
      </w:r>
      <w:r w:rsidRPr="00847629">
        <w:rPr>
          <w:b/>
          <w:bCs/>
          <w:lang w:val="en-AU"/>
        </w:rPr>
        <w:t>$17</w:t>
      </w:r>
      <w:r>
        <w:rPr>
          <w:lang w:val="en-AU"/>
        </w:rPr>
        <w:t xml:space="preserve"> per year following access to AT compared to the </w:t>
      </w:r>
      <w:r w:rsidRPr="00847629">
        <w:rPr>
          <w:b/>
          <w:bCs/>
          <w:lang w:val="en-AU"/>
        </w:rPr>
        <w:t>annual cost of AT valued at $</w:t>
      </w:r>
      <w:r>
        <w:rPr>
          <w:b/>
          <w:bCs/>
          <w:lang w:val="en-AU"/>
        </w:rPr>
        <w:t>287</w:t>
      </w:r>
      <w:r>
        <w:rPr>
          <w:lang w:val="en-AU"/>
        </w:rPr>
        <w:t xml:space="preserve"> which was assumed to be funded by the consumer.</w:t>
      </w:r>
    </w:p>
    <w:p w14:paraId="23059F26" w14:textId="689D1E2A" w:rsidR="00F81E67" w:rsidRDefault="00F81E67" w:rsidP="002B177E">
      <w:pPr>
        <w:pStyle w:val="Paragraph"/>
        <w:numPr>
          <w:ilvl w:val="0"/>
          <w:numId w:val="32"/>
        </w:numPr>
        <w:rPr>
          <w:lang w:val="en-AU"/>
        </w:rPr>
      </w:pPr>
      <w:r>
        <w:rPr>
          <w:lang w:val="en-AU"/>
        </w:rPr>
        <w:t xml:space="preserve">Person 2: </w:t>
      </w:r>
      <w:r w:rsidR="00F33447">
        <w:rPr>
          <w:lang w:val="en-AU"/>
        </w:rPr>
        <w:t>Mr </w:t>
      </w:r>
      <w:r>
        <w:rPr>
          <w:lang w:val="en-AU"/>
        </w:rPr>
        <w:t xml:space="preserve">B (moderate impairment) reported benefit of </w:t>
      </w:r>
      <w:r w:rsidRPr="00847629">
        <w:rPr>
          <w:b/>
          <w:bCs/>
          <w:lang w:val="en-AU"/>
        </w:rPr>
        <w:t>$</w:t>
      </w:r>
      <w:r>
        <w:rPr>
          <w:b/>
          <w:bCs/>
          <w:lang w:val="en-AU"/>
        </w:rPr>
        <w:t>2,8345</w:t>
      </w:r>
      <w:r w:rsidR="004E4D15">
        <w:rPr>
          <w:b/>
          <w:bCs/>
          <w:lang w:val="en-AU"/>
        </w:rPr>
        <w:t xml:space="preserve"> </w:t>
      </w:r>
      <w:r>
        <w:rPr>
          <w:lang w:val="en-AU"/>
        </w:rPr>
        <w:t xml:space="preserve">per year following access to AT compared to the </w:t>
      </w:r>
      <w:r w:rsidRPr="00847629">
        <w:rPr>
          <w:b/>
          <w:bCs/>
          <w:lang w:val="en-AU"/>
        </w:rPr>
        <w:t>annual cost of AT valued at $</w:t>
      </w:r>
      <w:r>
        <w:rPr>
          <w:b/>
          <w:bCs/>
          <w:lang w:val="en-AU"/>
        </w:rPr>
        <w:t>40</w:t>
      </w:r>
      <w:r>
        <w:rPr>
          <w:lang w:val="en-AU"/>
        </w:rPr>
        <w:t xml:space="preserve"> which was assumed to be funded by the consumer.</w:t>
      </w:r>
    </w:p>
    <w:p w14:paraId="29B74B80" w14:textId="2741E04D" w:rsidR="00F81E67" w:rsidRDefault="00F81E67" w:rsidP="002B177E">
      <w:pPr>
        <w:pStyle w:val="Paragraph"/>
        <w:numPr>
          <w:ilvl w:val="0"/>
          <w:numId w:val="32"/>
        </w:numPr>
        <w:rPr>
          <w:lang w:val="en-AU"/>
        </w:rPr>
      </w:pPr>
      <w:r>
        <w:rPr>
          <w:lang w:val="en-AU"/>
        </w:rPr>
        <w:t xml:space="preserve">Person 3: </w:t>
      </w:r>
      <w:r w:rsidR="00F33447">
        <w:rPr>
          <w:lang w:val="en-AU"/>
        </w:rPr>
        <w:t>Ms </w:t>
      </w:r>
      <w:r>
        <w:rPr>
          <w:lang w:val="en-AU"/>
        </w:rPr>
        <w:t xml:space="preserve">C (severe impairment) reported benefit of </w:t>
      </w:r>
      <w:r w:rsidRPr="00847629">
        <w:rPr>
          <w:b/>
          <w:bCs/>
          <w:lang w:val="en-AU"/>
        </w:rPr>
        <w:t>$</w:t>
      </w:r>
      <w:r>
        <w:rPr>
          <w:b/>
          <w:bCs/>
          <w:lang w:val="en-AU"/>
        </w:rPr>
        <w:t>3,345</w:t>
      </w:r>
      <w:r>
        <w:rPr>
          <w:lang w:val="en-AU"/>
        </w:rPr>
        <w:t xml:space="preserve"> per year following access to AT compared to the </w:t>
      </w:r>
      <w:r w:rsidRPr="00847629">
        <w:rPr>
          <w:b/>
          <w:bCs/>
          <w:lang w:val="en-AU"/>
        </w:rPr>
        <w:t>annual cost of AT valued at $</w:t>
      </w:r>
      <w:r>
        <w:rPr>
          <w:b/>
          <w:bCs/>
          <w:lang w:val="en-AU"/>
        </w:rPr>
        <w:t>773</w:t>
      </w:r>
      <w:r>
        <w:rPr>
          <w:lang w:val="en-AU"/>
        </w:rPr>
        <w:t xml:space="preserve"> which was assumed to be co-funded by the Aged Care system.</w:t>
      </w:r>
    </w:p>
    <w:p w14:paraId="77D8270B" w14:textId="51F656DA" w:rsidR="00F81E67" w:rsidRDefault="00F81E67" w:rsidP="002B177E">
      <w:pPr>
        <w:pStyle w:val="Paragraph"/>
        <w:numPr>
          <w:ilvl w:val="0"/>
          <w:numId w:val="32"/>
        </w:numPr>
        <w:rPr>
          <w:lang w:val="en-AU"/>
        </w:rPr>
      </w:pPr>
      <w:r>
        <w:rPr>
          <w:lang w:val="en-AU"/>
        </w:rPr>
        <w:t xml:space="preserve">Person 4: </w:t>
      </w:r>
      <w:r w:rsidR="00F33447">
        <w:rPr>
          <w:lang w:val="en-AU"/>
        </w:rPr>
        <w:t>Mr </w:t>
      </w:r>
      <w:r>
        <w:rPr>
          <w:lang w:val="en-AU"/>
        </w:rPr>
        <w:t xml:space="preserve">D (profound impairment) reported benefit of </w:t>
      </w:r>
      <w:r w:rsidRPr="00847629">
        <w:rPr>
          <w:b/>
          <w:bCs/>
          <w:lang w:val="en-AU"/>
        </w:rPr>
        <w:t>$</w:t>
      </w:r>
      <w:r>
        <w:rPr>
          <w:b/>
          <w:bCs/>
          <w:lang w:val="en-AU"/>
        </w:rPr>
        <w:t>13,</w:t>
      </w:r>
      <w:r w:rsidR="004E4D15">
        <w:rPr>
          <w:b/>
          <w:bCs/>
          <w:lang w:val="en-AU"/>
        </w:rPr>
        <w:t>555</w:t>
      </w:r>
      <w:r>
        <w:rPr>
          <w:lang w:val="en-AU"/>
        </w:rPr>
        <w:t xml:space="preserve"> per year following access to AT compared to the </w:t>
      </w:r>
      <w:r w:rsidRPr="00847629">
        <w:rPr>
          <w:b/>
          <w:bCs/>
          <w:lang w:val="en-AU"/>
        </w:rPr>
        <w:t>annual cost of AT valued at $</w:t>
      </w:r>
      <w:r>
        <w:rPr>
          <w:b/>
          <w:bCs/>
          <w:lang w:val="en-AU"/>
        </w:rPr>
        <w:t>1,174</w:t>
      </w:r>
      <w:r>
        <w:rPr>
          <w:lang w:val="en-AU"/>
        </w:rPr>
        <w:t xml:space="preserve"> which was assumed to be co-funded by the Aged Care system.</w:t>
      </w:r>
    </w:p>
    <w:p w14:paraId="6C922410" w14:textId="62B4DC5F" w:rsidR="00DF6158" w:rsidRPr="00DF6158" w:rsidRDefault="00DF6158" w:rsidP="00A53DA5">
      <w:pPr>
        <w:pStyle w:val="Paragraph"/>
      </w:pPr>
      <w:r w:rsidRPr="007C7A4B">
        <w:t>Cost benefit based on the combined AT product and service costs, presented as a return on investment for every $1 spent on combined AT products, kits and services</w:t>
      </w:r>
    </w:p>
    <w:p w14:paraId="53522F9C" w14:textId="231E63A2" w:rsidR="00A53DA5" w:rsidRDefault="00A53DA5" w:rsidP="00217053">
      <w:bookmarkStart w:id="151" w:name="_Ref42528376"/>
      <w:bookmarkStart w:id="152" w:name="_Toc60999941"/>
      <w:r>
        <w:t>Table </w:t>
      </w:r>
      <w:r w:rsidR="00FD5E41">
        <w:fldChar w:fldCharType="begin"/>
      </w:r>
      <w:r w:rsidR="00FD5E41">
        <w:instrText xml:space="preserve"> STYLEREF 5 \s </w:instrText>
      </w:r>
      <w:r w:rsidR="00FD5E41">
        <w:fldChar w:fldCharType="separate"/>
      </w:r>
      <w:r w:rsidR="00EB1774">
        <w:rPr>
          <w:noProof/>
        </w:rPr>
        <w:t>C</w:t>
      </w:r>
      <w:r w:rsidR="00FD5E41">
        <w:fldChar w:fldCharType="end"/>
      </w:r>
      <w:bookmarkEnd w:id="151"/>
      <w:r w:rsidR="00DF1908">
        <w:t>-3</w:t>
      </w:r>
      <w:r>
        <w:t>:</w:t>
      </w:r>
      <w:r w:rsidR="00B23828">
        <w:tab/>
      </w:r>
      <w:r w:rsidR="00795AA0">
        <w:t>Total costs, benefits and return on investment</w:t>
      </w:r>
      <w:bookmarkEnd w:id="152"/>
    </w:p>
    <w:tbl>
      <w:tblPr>
        <w:tblStyle w:val="AHALight"/>
        <w:tblW w:w="5079" w:type="pct"/>
        <w:tblLayout w:type="fixed"/>
        <w:tblLook w:val="07E0" w:firstRow="1" w:lastRow="1" w:firstColumn="1" w:lastColumn="1" w:noHBand="1" w:noVBand="1"/>
        <w:tblCaption w:val="table C 3"/>
        <w:tblDescription w:val="total costs, benefits and return on investment of people with mild, moderate,severe, profound needs"/>
      </w:tblPr>
      <w:tblGrid>
        <w:gridCol w:w="2268"/>
        <w:gridCol w:w="1985"/>
        <w:gridCol w:w="1559"/>
        <w:gridCol w:w="1276"/>
        <w:gridCol w:w="1417"/>
        <w:gridCol w:w="1286"/>
      </w:tblGrid>
      <w:tr w:rsidR="00DF6158" w:rsidRPr="00B2461E" w14:paraId="085A556D" w14:textId="77777777" w:rsidTr="00A53D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7C86107" w14:textId="77777777" w:rsidR="00DF6158" w:rsidRPr="00B2461E" w:rsidRDefault="00DF6158" w:rsidP="00563B2D">
            <w:pPr>
              <w:pStyle w:val="TableHeading1"/>
              <w:rPr>
                <w:szCs w:val="20"/>
                <w:lang w:val="en-AU"/>
              </w:rPr>
            </w:pPr>
            <w:r>
              <w:rPr>
                <w:szCs w:val="20"/>
                <w:lang w:val="en-AU"/>
              </w:rPr>
              <w:t>Archetype</w:t>
            </w:r>
          </w:p>
        </w:tc>
        <w:tc>
          <w:tcPr>
            <w:tcW w:w="1985" w:type="dxa"/>
            <w:noWrap/>
            <w:hideMark/>
          </w:tcPr>
          <w:p w14:paraId="1D3F0EEE" w14:textId="77777777" w:rsidR="00DF6158" w:rsidRPr="00B2461E" w:rsidRDefault="00DF6158" w:rsidP="00563B2D">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rPr>
              <w:t xml:space="preserve">Cost of AT </w:t>
            </w:r>
            <w:r>
              <w:rPr>
                <w:bCs/>
                <w:szCs w:val="20"/>
              </w:rPr>
              <w:t>P</w:t>
            </w:r>
            <w:r w:rsidRPr="00B2461E">
              <w:rPr>
                <w:bCs/>
                <w:szCs w:val="20"/>
              </w:rPr>
              <w:t xml:space="preserve">roducts and </w:t>
            </w:r>
            <w:r>
              <w:rPr>
                <w:bCs/>
                <w:szCs w:val="20"/>
              </w:rPr>
              <w:t>ADL</w:t>
            </w:r>
            <w:r w:rsidRPr="00B2461E">
              <w:rPr>
                <w:bCs/>
                <w:szCs w:val="20"/>
              </w:rPr>
              <w:t xml:space="preserve"> </w:t>
            </w:r>
            <w:r>
              <w:rPr>
                <w:bCs/>
                <w:szCs w:val="20"/>
              </w:rPr>
              <w:t>K</w:t>
            </w:r>
            <w:r w:rsidRPr="00B2461E">
              <w:rPr>
                <w:bCs/>
                <w:szCs w:val="20"/>
              </w:rPr>
              <w:t>its</w:t>
            </w:r>
          </w:p>
        </w:tc>
        <w:tc>
          <w:tcPr>
            <w:tcW w:w="1559" w:type="dxa"/>
            <w:noWrap/>
            <w:hideMark/>
          </w:tcPr>
          <w:p w14:paraId="172C7B95" w14:textId="77777777" w:rsidR="00DF6158" w:rsidRPr="00B2461E" w:rsidRDefault="00DF6158" w:rsidP="00563B2D">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lang w:val="en-AU"/>
              </w:rPr>
              <w:t>Cost of AT</w:t>
            </w:r>
            <w:r>
              <w:rPr>
                <w:bCs/>
                <w:szCs w:val="20"/>
                <w:lang w:val="en-AU"/>
              </w:rPr>
              <w:t> </w:t>
            </w:r>
            <w:r w:rsidRPr="00B2461E">
              <w:rPr>
                <w:bCs/>
                <w:szCs w:val="20"/>
                <w:lang w:val="en-AU"/>
              </w:rPr>
              <w:t>Services</w:t>
            </w:r>
          </w:p>
        </w:tc>
        <w:tc>
          <w:tcPr>
            <w:tcW w:w="1276" w:type="dxa"/>
            <w:noWrap/>
            <w:hideMark/>
          </w:tcPr>
          <w:p w14:paraId="208DC2AC" w14:textId="77777777" w:rsidR="00DF6158" w:rsidRPr="00B2461E" w:rsidRDefault="00DF6158" w:rsidP="00563B2D">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lang w:val="en-AU"/>
              </w:rPr>
              <w:t>Combined AT costs</w:t>
            </w:r>
          </w:p>
        </w:tc>
        <w:tc>
          <w:tcPr>
            <w:tcW w:w="1417" w:type="dxa"/>
            <w:noWrap/>
            <w:hideMark/>
          </w:tcPr>
          <w:p w14:paraId="7971F528" w14:textId="77777777" w:rsidR="00DF6158" w:rsidRPr="00B2461E" w:rsidRDefault="00DF6158" w:rsidP="00563B2D">
            <w:pPr>
              <w:pStyle w:val="TableHeading1"/>
              <w:jc w:val="right"/>
              <w:cnfStyle w:val="100000000000" w:firstRow="1" w:lastRow="0" w:firstColumn="0" w:lastColumn="0" w:oddVBand="0" w:evenVBand="0" w:oddHBand="0" w:evenHBand="0" w:firstRowFirstColumn="0" w:firstRowLastColumn="0" w:lastRowFirstColumn="0" w:lastRowLastColumn="0"/>
              <w:rPr>
                <w:b w:val="0"/>
                <w:bCs/>
                <w:szCs w:val="20"/>
                <w:lang w:val="en-AU"/>
              </w:rPr>
            </w:pPr>
            <w:r w:rsidRPr="00B2461E">
              <w:rPr>
                <w:bCs/>
                <w:szCs w:val="20"/>
              </w:rPr>
              <w:t>Benefit of</w:t>
            </w:r>
            <w:r>
              <w:rPr>
                <w:bCs/>
                <w:szCs w:val="20"/>
              </w:rPr>
              <w:t> </w:t>
            </w:r>
            <w:r w:rsidRPr="00B2461E">
              <w:rPr>
                <w:bCs/>
                <w:szCs w:val="20"/>
              </w:rPr>
              <w:t>AT</w:t>
            </w:r>
          </w:p>
        </w:tc>
        <w:tc>
          <w:tcPr>
            <w:cnfStyle w:val="000100000000" w:firstRow="0" w:lastRow="0" w:firstColumn="0" w:lastColumn="1" w:oddVBand="0" w:evenVBand="0" w:oddHBand="0" w:evenHBand="0" w:firstRowFirstColumn="0" w:firstRowLastColumn="0" w:lastRowFirstColumn="0" w:lastRowLastColumn="0"/>
            <w:tcW w:w="1286" w:type="dxa"/>
            <w:noWrap/>
            <w:hideMark/>
          </w:tcPr>
          <w:p w14:paraId="23D6F3F9" w14:textId="77777777" w:rsidR="00DF6158" w:rsidRPr="00B2461E" w:rsidRDefault="00DF6158" w:rsidP="00563B2D">
            <w:pPr>
              <w:pStyle w:val="TableHeading1"/>
              <w:jc w:val="right"/>
              <w:rPr>
                <w:b w:val="0"/>
                <w:bCs/>
                <w:szCs w:val="20"/>
                <w:lang w:val="en-AU"/>
              </w:rPr>
            </w:pPr>
            <w:r>
              <w:rPr>
                <w:bCs/>
                <w:szCs w:val="20"/>
              </w:rPr>
              <w:t>Return on investment</w:t>
            </w:r>
          </w:p>
        </w:tc>
      </w:tr>
      <w:tr w:rsidR="00DF6158" w:rsidRPr="007D3E7B" w14:paraId="318AA53F" w14:textId="77777777" w:rsidTr="00A53DA5">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C8BF265" w14:textId="77777777" w:rsidR="00DF6158" w:rsidRPr="007D3E7B" w:rsidRDefault="00DF6158" w:rsidP="00563B2D">
            <w:pPr>
              <w:pStyle w:val="TableTextKeep"/>
              <w:rPr>
                <w:lang w:val="en-AU"/>
              </w:rPr>
            </w:pPr>
            <w:r>
              <w:t>Mild impairment</w:t>
            </w:r>
          </w:p>
        </w:tc>
        <w:tc>
          <w:tcPr>
            <w:tcW w:w="1985" w:type="dxa"/>
            <w:noWrap/>
            <w:hideMark/>
          </w:tcPr>
          <w:p w14:paraId="6FDEBE37"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$287</w:t>
            </w:r>
          </w:p>
        </w:tc>
        <w:tc>
          <w:tcPr>
            <w:tcW w:w="1559" w:type="dxa"/>
            <w:noWrap/>
            <w:hideMark/>
          </w:tcPr>
          <w:p w14:paraId="4F3446A8"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$144</w:t>
            </w:r>
          </w:p>
        </w:tc>
        <w:tc>
          <w:tcPr>
            <w:tcW w:w="1276" w:type="dxa"/>
            <w:noWrap/>
            <w:hideMark/>
          </w:tcPr>
          <w:p w14:paraId="23876C7B" w14:textId="77777777" w:rsidR="00DF6158" w:rsidRPr="004C4533"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$431</w:t>
            </w:r>
          </w:p>
        </w:tc>
        <w:tc>
          <w:tcPr>
            <w:tcW w:w="1417" w:type="dxa"/>
            <w:noWrap/>
            <w:hideMark/>
          </w:tcPr>
          <w:p w14:paraId="1D596F2C"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$17</w:t>
            </w:r>
          </w:p>
        </w:tc>
        <w:tc>
          <w:tcPr>
            <w:cnfStyle w:val="000100000000" w:firstRow="0" w:lastRow="0" w:firstColumn="0" w:lastColumn="1" w:oddVBand="0" w:evenVBand="0" w:oddHBand="0" w:evenHBand="0" w:firstRowFirstColumn="0" w:firstRowLastColumn="0" w:lastRowFirstColumn="0" w:lastRowLastColumn="0"/>
            <w:tcW w:w="1286" w:type="dxa"/>
            <w:noWrap/>
            <w:hideMark/>
          </w:tcPr>
          <w:p w14:paraId="0B0A9F37" w14:textId="77777777" w:rsidR="00DF6158" w:rsidRPr="001B5BEA" w:rsidRDefault="00DF6158" w:rsidP="00563B2D">
            <w:pPr>
              <w:pStyle w:val="TableTextKeep"/>
              <w:jc w:val="right"/>
              <w:rPr>
                <w:b w:val="0"/>
                <w:lang w:val="en-AU"/>
              </w:rPr>
            </w:pPr>
            <w:r>
              <w:t>$</w:t>
            </w:r>
            <w:r w:rsidRPr="007D3E7B">
              <w:t>0.04</w:t>
            </w:r>
          </w:p>
        </w:tc>
      </w:tr>
      <w:tr w:rsidR="00DF6158" w:rsidRPr="007D3E7B" w14:paraId="2A12F69D" w14:textId="77777777" w:rsidTr="00A53DA5">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EF2386E" w14:textId="77777777" w:rsidR="00DF6158" w:rsidRPr="007D3E7B" w:rsidRDefault="00DF6158" w:rsidP="00563B2D">
            <w:pPr>
              <w:pStyle w:val="TableTextKeep"/>
              <w:rPr>
                <w:lang w:val="en-AU"/>
              </w:rPr>
            </w:pPr>
            <w:r>
              <w:t>M</w:t>
            </w:r>
            <w:r w:rsidRPr="007D3E7B">
              <w:t>oderate impairment</w:t>
            </w:r>
          </w:p>
        </w:tc>
        <w:tc>
          <w:tcPr>
            <w:tcW w:w="1985" w:type="dxa"/>
            <w:noWrap/>
            <w:hideMark/>
          </w:tcPr>
          <w:p w14:paraId="1D6BA5EF"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$40</w:t>
            </w:r>
          </w:p>
        </w:tc>
        <w:tc>
          <w:tcPr>
            <w:tcW w:w="1559" w:type="dxa"/>
            <w:noWrap/>
            <w:hideMark/>
          </w:tcPr>
          <w:p w14:paraId="45C990B9"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$20</w:t>
            </w:r>
          </w:p>
        </w:tc>
        <w:tc>
          <w:tcPr>
            <w:tcW w:w="1276" w:type="dxa"/>
            <w:noWrap/>
            <w:hideMark/>
          </w:tcPr>
          <w:p w14:paraId="60C1ED4F" w14:textId="77777777" w:rsidR="00DF6158" w:rsidRPr="004C4533"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$60</w:t>
            </w:r>
          </w:p>
        </w:tc>
        <w:tc>
          <w:tcPr>
            <w:tcW w:w="1417" w:type="dxa"/>
            <w:noWrap/>
            <w:hideMark/>
          </w:tcPr>
          <w:p w14:paraId="0AB9E351"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$2,835</w:t>
            </w:r>
          </w:p>
        </w:tc>
        <w:tc>
          <w:tcPr>
            <w:cnfStyle w:val="000100000000" w:firstRow="0" w:lastRow="0" w:firstColumn="0" w:lastColumn="1" w:oddVBand="0" w:evenVBand="0" w:oddHBand="0" w:evenHBand="0" w:firstRowFirstColumn="0" w:firstRowLastColumn="0" w:lastRowFirstColumn="0" w:lastRowLastColumn="0"/>
            <w:tcW w:w="1286" w:type="dxa"/>
            <w:noWrap/>
            <w:hideMark/>
          </w:tcPr>
          <w:p w14:paraId="18525852" w14:textId="77777777" w:rsidR="00DF6158" w:rsidRPr="001B5BEA" w:rsidRDefault="00DF6158" w:rsidP="00563B2D">
            <w:pPr>
              <w:pStyle w:val="TableTextKeep"/>
              <w:jc w:val="right"/>
              <w:rPr>
                <w:b w:val="0"/>
                <w:lang w:val="en-AU"/>
              </w:rPr>
            </w:pPr>
            <w:r>
              <w:t>$</w:t>
            </w:r>
            <w:r w:rsidRPr="007D3E7B">
              <w:t>47.25</w:t>
            </w:r>
          </w:p>
        </w:tc>
      </w:tr>
      <w:tr w:rsidR="00DF6158" w:rsidRPr="007D3E7B" w14:paraId="7AE11101" w14:textId="77777777" w:rsidTr="00A53DA5">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48BC10C" w14:textId="77777777" w:rsidR="00DF6158" w:rsidRPr="007D3E7B" w:rsidRDefault="00DF6158" w:rsidP="00563B2D">
            <w:pPr>
              <w:pStyle w:val="TableTextKeep"/>
              <w:rPr>
                <w:lang w:val="en-AU"/>
              </w:rPr>
            </w:pPr>
            <w:r>
              <w:t>S</w:t>
            </w:r>
            <w:r w:rsidRPr="007D3E7B">
              <w:t>evere impairment</w:t>
            </w:r>
          </w:p>
        </w:tc>
        <w:tc>
          <w:tcPr>
            <w:tcW w:w="1985" w:type="dxa"/>
            <w:noWrap/>
            <w:hideMark/>
          </w:tcPr>
          <w:p w14:paraId="7079C54B"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$773</w:t>
            </w:r>
          </w:p>
        </w:tc>
        <w:tc>
          <w:tcPr>
            <w:tcW w:w="1559" w:type="dxa"/>
            <w:noWrap/>
            <w:hideMark/>
          </w:tcPr>
          <w:p w14:paraId="0A92C995"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$387</w:t>
            </w:r>
          </w:p>
        </w:tc>
        <w:tc>
          <w:tcPr>
            <w:tcW w:w="1276" w:type="dxa"/>
            <w:noWrap/>
            <w:hideMark/>
          </w:tcPr>
          <w:p w14:paraId="3C4C0C01" w14:textId="77777777" w:rsidR="00DF6158" w:rsidRPr="004C4533"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$1,160</w:t>
            </w:r>
          </w:p>
        </w:tc>
        <w:tc>
          <w:tcPr>
            <w:tcW w:w="1417" w:type="dxa"/>
            <w:noWrap/>
            <w:hideMark/>
          </w:tcPr>
          <w:p w14:paraId="4C756904"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$3,345</w:t>
            </w:r>
          </w:p>
        </w:tc>
        <w:tc>
          <w:tcPr>
            <w:cnfStyle w:val="000100000000" w:firstRow="0" w:lastRow="0" w:firstColumn="0" w:lastColumn="1" w:oddVBand="0" w:evenVBand="0" w:oddHBand="0" w:evenHBand="0" w:firstRowFirstColumn="0" w:firstRowLastColumn="0" w:lastRowFirstColumn="0" w:lastRowLastColumn="0"/>
            <w:tcW w:w="1286" w:type="dxa"/>
            <w:noWrap/>
            <w:hideMark/>
          </w:tcPr>
          <w:p w14:paraId="4F4A9272" w14:textId="77777777" w:rsidR="00DF6158" w:rsidRPr="001B5BEA" w:rsidRDefault="00DF6158" w:rsidP="00563B2D">
            <w:pPr>
              <w:pStyle w:val="TableTextKeep"/>
              <w:jc w:val="right"/>
              <w:rPr>
                <w:b w:val="0"/>
                <w:lang w:val="en-AU"/>
              </w:rPr>
            </w:pPr>
            <w:r>
              <w:t>$</w:t>
            </w:r>
            <w:r w:rsidRPr="007D3E7B">
              <w:t>2.88</w:t>
            </w:r>
          </w:p>
        </w:tc>
      </w:tr>
      <w:tr w:rsidR="00DF6158" w:rsidRPr="007D3E7B" w14:paraId="1F9F1258" w14:textId="77777777" w:rsidTr="00A53DA5">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7563B4A" w14:textId="77777777" w:rsidR="00DF6158" w:rsidRPr="007D3E7B" w:rsidRDefault="00DF6158" w:rsidP="00563B2D">
            <w:pPr>
              <w:pStyle w:val="TableTextKeep"/>
              <w:rPr>
                <w:lang w:val="en-AU"/>
              </w:rPr>
            </w:pPr>
            <w:r>
              <w:t>P</w:t>
            </w:r>
            <w:r w:rsidRPr="007D3E7B">
              <w:t>rofound impairment</w:t>
            </w:r>
          </w:p>
        </w:tc>
        <w:tc>
          <w:tcPr>
            <w:tcW w:w="1985" w:type="dxa"/>
            <w:noWrap/>
            <w:hideMark/>
          </w:tcPr>
          <w:p w14:paraId="322D5D53"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$1,174</w:t>
            </w:r>
          </w:p>
        </w:tc>
        <w:tc>
          <w:tcPr>
            <w:tcW w:w="1559" w:type="dxa"/>
            <w:noWrap/>
            <w:hideMark/>
          </w:tcPr>
          <w:p w14:paraId="11621205"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rPr>
                <w:lang w:val="en-AU"/>
              </w:rPr>
              <w:t>$587</w:t>
            </w:r>
          </w:p>
        </w:tc>
        <w:tc>
          <w:tcPr>
            <w:tcW w:w="1276" w:type="dxa"/>
            <w:noWrap/>
            <w:hideMark/>
          </w:tcPr>
          <w:p w14:paraId="7A5A0DA0" w14:textId="77777777" w:rsidR="00DF6158" w:rsidRPr="004C4533"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b/>
                <w:lang w:val="en-AU"/>
              </w:rPr>
            </w:pPr>
            <w:r w:rsidRPr="004C4533">
              <w:rPr>
                <w:b/>
                <w:lang w:val="en-AU"/>
              </w:rPr>
              <w:t>$1,761</w:t>
            </w:r>
          </w:p>
        </w:tc>
        <w:tc>
          <w:tcPr>
            <w:tcW w:w="1417" w:type="dxa"/>
            <w:noWrap/>
            <w:hideMark/>
          </w:tcPr>
          <w:p w14:paraId="6BC99BB9" w14:textId="77777777" w:rsidR="00DF6158" w:rsidRPr="007D3E7B" w:rsidRDefault="00DF6158" w:rsidP="00563B2D">
            <w:pPr>
              <w:pStyle w:val="TableTextKeep"/>
              <w:jc w:val="right"/>
              <w:cnfStyle w:val="000000000000" w:firstRow="0" w:lastRow="0" w:firstColumn="0" w:lastColumn="0" w:oddVBand="0" w:evenVBand="0" w:oddHBand="0" w:evenHBand="0" w:firstRowFirstColumn="0" w:firstRowLastColumn="0" w:lastRowFirstColumn="0" w:lastRowLastColumn="0"/>
              <w:rPr>
                <w:lang w:val="en-AU"/>
              </w:rPr>
            </w:pPr>
            <w:r w:rsidRPr="007D3E7B">
              <w:t>$13,</w:t>
            </w:r>
            <w:r>
              <w:t>555</w:t>
            </w:r>
          </w:p>
        </w:tc>
        <w:tc>
          <w:tcPr>
            <w:cnfStyle w:val="000100000000" w:firstRow="0" w:lastRow="0" w:firstColumn="0" w:lastColumn="1" w:oddVBand="0" w:evenVBand="0" w:oddHBand="0" w:evenHBand="0" w:firstRowFirstColumn="0" w:firstRowLastColumn="0" w:lastRowFirstColumn="0" w:lastRowLastColumn="0"/>
            <w:tcW w:w="1286" w:type="dxa"/>
            <w:noWrap/>
            <w:hideMark/>
          </w:tcPr>
          <w:p w14:paraId="3067F7ED" w14:textId="77777777" w:rsidR="00DF6158" w:rsidRPr="001B5BEA" w:rsidRDefault="00DF6158" w:rsidP="00563B2D">
            <w:pPr>
              <w:pStyle w:val="TableTextKeep"/>
              <w:jc w:val="right"/>
              <w:rPr>
                <w:b w:val="0"/>
                <w:lang w:val="en-AU"/>
              </w:rPr>
            </w:pPr>
            <w:r>
              <w:t>$</w:t>
            </w:r>
            <w:r w:rsidRPr="007D3E7B">
              <w:t>7.</w:t>
            </w:r>
            <w:r>
              <w:t>70</w:t>
            </w:r>
          </w:p>
        </w:tc>
      </w:tr>
      <w:tr w:rsidR="00DF6158" w:rsidRPr="006206E7" w14:paraId="63BCD44B" w14:textId="77777777" w:rsidTr="00A53DA5">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48F8C3E" w14:textId="461EC664" w:rsidR="00DF6158" w:rsidRPr="006206E7" w:rsidRDefault="00A53DA5" w:rsidP="00563B2D">
            <w:r>
              <w:t>Total</w:t>
            </w:r>
          </w:p>
        </w:tc>
        <w:tc>
          <w:tcPr>
            <w:tcW w:w="1985" w:type="dxa"/>
            <w:noWrap/>
            <w:hideMark/>
          </w:tcPr>
          <w:p w14:paraId="0203EAF0" w14:textId="77777777" w:rsidR="00DF6158" w:rsidRPr="006206E7" w:rsidRDefault="00DF6158" w:rsidP="00563B2D">
            <w:pPr>
              <w:jc w:val="right"/>
              <w:cnfStyle w:val="010000000000" w:firstRow="0" w:lastRow="1" w:firstColumn="0" w:lastColumn="0" w:oddVBand="0" w:evenVBand="0" w:oddHBand="0" w:evenHBand="0" w:firstRowFirstColumn="0" w:firstRowLastColumn="0" w:lastRowFirstColumn="0" w:lastRowLastColumn="0"/>
            </w:pPr>
            <w:r w:rsidRPr="006206E7">
              <w:t>$2,274</w:t>
            </w:r>
          </w:p>
        </w:tc>
        <w:tc>
          <w:tcPr>
            <w:tcW w:w="1559" w:type="dxa"/>
            <w:noWrap/>
            <w:hideMark/>
          </w:tcPr>
          <w:p w14:paraId="6B58A671" w14:textId="77777777" w:rsidR="00DF6158" w:rsidRPr="006206E7" w:rsidRDefault="00DF6158" w:rsidP="00563B2D">
            <w:pPr>
              <w:jc w:val="right"/>
              <w:cnfStyle w:val="010000000000" w:firstRow="0" w:lastRow="1" w:firstColumn="0" w:lastColumn="0" w:oddVBand="0" w:evenVBand="0" w:oddHBand="0" w:evenHBand="0" w:firstRowFirstColumn="0" w:firstRowLastColumn="0" w:lastRowFirstColumn="0" w:lastRowLastColumn="0"/>
            </w:pPr>
            <w:r w:rsidRPr="006206E7">
              <w:t>$1,137</w:t>
            </w:r>
          </w:p>
        </w:tc>
        <w:tc>
          <w:tcPr>
            <w:tcW w:w="1276" w:type="dxa"/>
            <w:noWrap/>
            <w:hideMark/>
          </w:tcPr>
          <w:p w14:paraId="42F6322B" w14:textId="77777777" w:rsidR="00DF6158" w:rsidRPr="006206E7" w:rsidRDefault="00DF6158" w:rsidP="00563B2D">
            <w:pPr>
              <w:jc w:val="right"/>
              <w:cnfStyle w:val="010000000000" w:firstRow="0" w:lastRow="1" w:firstColumn="0" w:lastColumn="0" w:oddVBand="0" w:evenVBand="0" w:oddHBand="0" w:evenHBand="0" w:firstRowFirstColumn="0" w:firstRowLastColumn="0" w:lastRowFirstColumn="0" w:lastRowLastColumn="0"/>
            </w:pPr>
            <w:r w:rsidRPr="006206E7">
              <w:t>$3,411</w:t>
            </w:r>
          </w:p>
        </w:tc>
        <w:tc>
          <w:tcPr>
            <w:tcW w:w="1417" w:type="dxa"/>
            <w:noWrap/>
            <w:hideMark/>
          </w:tcPr>
          <w:p w14:paraId="79EF626D" w14:textId="77777777" w:rsidR="00DF6158" w:rsidRPr="006206E7" w:rsidRDefault="00DF6158" w:rsidP="00563B2D">
            <w:pPr>
              <w:jc w:val="right"/>
              <w:cnfStyle w:val="010000000000" w:firstRow="0" w:lastRow="1" w:firstColumn="0" w:lastColumn="0" w:oddVBand="0" w:evenVBand="0" w:oddHBand="0" w:evenHBand="0" w:firstRowFirstColumn="0" w:firstRowLastColumn="0" w:lastRowFirstColumn="0" w:lastRowLastColumn="0"/>
            </w:pPr>
            <w:r w:rsidRPr="006206E7">
              <w:t>$19,</w:t>
            </w:r>
            <w:r>
              <w:t>725</w:t>
            </w:r>
          </w:p>
        </w:tc>
        <w:tc>
          <w:tcPr>
            <w:cnfStyle w:val="000100000000" w:firstRow="0" w:lastRow="0" w:firstColumn="0" w:lastColumn="1" w:oddVBand="0" w:evenVBand="0" w:oddHBand="0" w:evenHBand="0" w:firstRowFirstColumn="0" w:firstRowLastColumn="0" w:lastRowFirstColumn="0" w:lastRowLastColumn="0"/>
            <w:tcW w:w="1286" w:type="dxa"/>
            <w:noWrap/>
            <w:hideMark/>
          </w:tcPr>
          <w:p w14:paraId="6F9FE263" w14:textId="77777777" w:rsidR="00DF6158" w:rsidRPr="006206E7" w:rsidRDefault="00DF6158" w:rsidP="00563B2D">
            <w:pPr>
              <w:jc w:val="right"/>
            </w:pPr>
            <w:r>
              <w:t>$</w:t>
            </w:r>
            <w:r w:rsidRPr="006206E7">
              <w:t>5.7</w:t>
            </w:r>
            <w:r>
              <w:t>9</w:t>
            </w:r>
          </w:p>
        </w:tc>
      </w:tr>
    </w:tbl>
    <w:p w14:paraId="4A757B16" w14:textId="77777777" w:rsidR="00FE1733" w:rsidRDefault="00FE1733">
      <w:pPr>
        <w:rPr>
          <w:rFonts w:ascii="Calibri Light" w:hAnsi="Calibri Light"/>
          <w:bCs/>
          <w:color w:val="404142" w:themeColor="background2" w:themeShade="80"/>
          <w:szCs w:val="18"/>
          <w:lang w:eastAsia="en-US"/>
        </w:rPr>
      </w:pPr>
      <w:bookmarkStart w:id="153" w:name="_Ref42527571"/>
      <w:r>
        <w:br w:type="page"/>
      </w:r>
    </w:p>
    <w:p w14:paraId="5FAC8461" w14:textId="50F5FEEE" w:rsidR="00F81E67" w:rsidRPr="008E680E" w:rsidRDefault="004733A9" w:rsidP="00217053">
      <w:pPr>
        <w:rPr>
          <w:lang w:val="en-AU"/>
        </w:rPr>
      </w:pPr>
      <w:bookmarkStart w:id="154" w:name="_Toc60999888"/>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1">
        <w:rPr>
          <w:noProof/>
        </w:rPr>
        <w:t>-10</w:t>
      </w:r>
      <w:bookmarkEnd w:id="153"/>
      <w:r w:rsidRPr="008E680E">
        <w:t>:</w:t>
      </w:r>
      <w:r w:rsidRPr="008E680E">
        <w:tab/>
      </w:r>
      <w:r w:rsidR="00F81E67">
        <w:rPr>
          <w:lang w:val="en-AU"/>
        </w:rPr>
        <w:t>Quantitative summary of the benefits of access to AT</w:t>
      </w:r>
      <w:r w:rsidR="00861912">
        <w:rPr>
          <w:lang w:val="en-AU"/>
        </w:rPr>
        <w:t xml:space="preserve"> – </w:t>
      </w:r>
      <w:r w:rsidR="004511B3">
        <w:rPr>
          <w:lang w:val="en-AU"/>
        </w:rPr>
        <w:t>pre-survey</w:t>
      </w:r>
      <w:bookmarkEnd w:id="154"/>
    </w:p>
    <w:p w14:paraId="036B9CD0" w14:textId="77777777" w:rsidR="006562A1" w:rsidRDefault="006562A1" w:rsidP="006562A1">
      <w:pPr>
        <w:rPr>
          <w:lang w:val="en-AU"/>
        </w:rPr>
      </w:pPr>
    </w:p>
    <w:p w14:paraId="785F70C6" w14:textId="6B1E45E0" w:rsidR="00F81E67" w:rsidRPr="006562A1" w:rsidRDefault="00F81E67" w:rsidP="006562A1">
      <w:pPr>
        <w:rPr>
          <w:b/>
          <w:lang w:val="en-AU"/>
        </w:rPr>
      </w:pPr>
      <w:r w:rsidRPr="006562A1">
        <w:rPr>
          <w:b/>
          <w:lang w:val="en-AU"/>
        </w:rPr>
        <w:t xml:space="preserve">Person 1: </w:t>
      </w:r>
      <w:r w:rsidR="00F33447" w:rsidRPr="006562A1">
        <w:rPr>
          <w:b/>
          <w:lang w:val="en-AU"/>
        </w:rPr>
        <w:t>Mrs </w:t>
      </w:r>
      <w:r w:rsidRPr="006562A1">
        <w:rPr>
          <w:b/>
          <w:lang w:val="en-AU"/>
        </w:rPr>
        <w:t xml:space="preserve">A (mild impairment) </w:t>
      </w:r>
    </w:p>
    <w:p w14:paraId="00765F95" w14:textId="2239DD55" w:rsidR="00F81E67" w:rsidRPr="008E680E" w:rsidRDefault="00F81E67" w:rsidP="00D458CD">
      <w:pPr>
        <w:pStyle w:val="Paragraph"/>
        <w:rPr>
          <w:lang w:val="en-AU"/>
        </w:rPr>
      </w:pPr>
      <w:r w:rsidRPr="008E680E">
        <w:rPr>
          <w:lang w:val="en-AU"/>
        </w:rPr>
        <w:t>Over the next 12 months, while there were no immediate cost savings from access to AT (e.g. reduction in care and support), there was a perception that access to AT would maintain her current level of independence for 1 to 6 years and ensure that residential aged care is not required within the foreseeable future.</w:t>
      </w:r>
      <w:r>
        <w:rPr>
          <w:lang w:val="en-AU"/>
        </w:rPr>
        <w:t xml:space="preserve"> Additional c</w:t>
      </w:r>
      <w:r w:rsidRPr="008E680E">
        <w:rPr>
          <w:lang w:val="en-AU"/>
        </w:rPr>
        <w:t>ost benefits of AT include delay of in-home services (average 4 years) and supports and requirement for residential aged care (foreseeable future)</w:t>
      </w:r>
      <w:r w:rsidR="00D458CD">
        <w:rPr>
          <w:lang w:val="en-AU"/>
        </w:rPr>
        <w:t>.</w:t>
      </w:r>
    </w:p>
    <w:p w14:paraId="583D9026" w14:textId="1CAA940D" w:rsidR="00F81E67" w:rsidRPr="006562A1" w:rsidRDefault="00F81E67" w:rsidP="006562A1">
      <w:pPr>
        <w:rPr>
          <w:b/>
          <w:lang w:val="en-AU"/>
        </w:rPr>
      </w:pPr>
      <w:r w:rsidRPr="006562A1">
        <w:rPr>
          <w:b/>
          <w:lang w:val="en-AU"/>
        </w:rPr>
        <w:t xml:space="preserve">Person 2: </w:t>
      </w:r>
      <w:r w:rsidR="00F33447" w:rsidRPr="006562A1">
        <w:rPr>
          <w:b/>
          <w:lang w:val="en-AU"/>
        </w:rPr>
        <w:t>Mr </w:t>
      </w:r>
      <w:r w:rsidRPr="006562A1">
        <w:rPr>
          <w:b/>
          <w:lang w:val="en-AU"/>
        </w:rPr>
        <w:t xml:space="preserve">B (moderate impairment) </w:t>
      </w:r>
    </w:p>
    <w:p w14:paraId="4CCFE469" w14:textId="74158E73" w:rsidR="00F81E67" w:rsidRPr="008E680E" w:rsidRDefault="00F81E67" w:rsidP="00D458CD">
      <w:pPr>
        <w:pStyle w:val="Paragraph"/>
        <w:rPr>
          <w:lang w:val="en-AU"/>
        </w:rPr>
      </w:pPr>
      <w:r w:rsidRPr="008E680E">
        <w:rPr>
          <w:lang w:val="en-AU"/>
        </w:rPr>
        <w:t>Over the next 12 months, it was perceived that access to AT may have a small reduction in GP visits, falls and hospital admissions through the emergency department. Despite the AT, it was perceived that there could be a small increase in unpaid formal care, paid carer support and paid formal care. There was a perception that access to AT would maintain his current level of independence for 6 months to 5 years and ensure that residential aged care is not required within the 6 months to 10 years.</w:t>
      </w:r>
      <w:r w:rsidRPr="000F6BC1">
        <w:rPr>
          <w:lang w:val="en-AU"/>
        </w:rPr>
        <w:t xml:space="preserve"> </w:t>
      </w:r>
      <w:r>
        <w:rPr>
          <w:lang w:val="en-AU"/>
        </w:rPr>
        <w:t>Additional c</w:t>
      </w:r>
      <w:r w:rsidRPr="00847629">
        <w:rPr>
          <w:lang w:val="en-AU"/>
        </w:rPr>
        <w:t xml:space="preserve">ost </w:t>
      </w:r>
      <w:r w:rsidRPr="008E680E">
        <w:rPr>
          <w:lang w:val="en-AU"/>
        </w:rPr>
        <w:t>benefits of AT include reduced health service utilisation (1 GP visit and ½ a hospital admission) and delay of in-home services (average 3 years) and supports and requirement for residential aged care (foreseeable future)</w:t>
      </w:r>
      <w:r w:rsidR="00D458CD">
        <w:rPr>
          <w:lang w:val="en-AU"/>
        </w:rPr>
        <w:t>.</w:t>
      </w:r>
    </w:p>
    <w:p w14:paraId="5E7A76F2" w14:textId="2673F881" w:rsidR="00F81E67" w:rsidRPr="006562A1" w:rsidRDefault="00F81E67" w:rsidP="006562A1">
      <w:pPr>
        <w:rPr>
          <w:b/>
          <w:lang w:val="en-AU"/>
        </w:rPr>
      </w:pPr>
      <w:r w:rsidRPr="006562A1">
        <w:rPr>
          <w:b/>
          <w:lang w:val="en-AU"/>
        </w:rPr>
        <w:t xml:space="preserve">Person 3: </w:t>
      </w:r>
      <w:r w:rsidR="00F33447" w:rsidRPr="006562A1">
        <w:rPr>
          <w:b/>
          <w:lang w:val="en-AU"/>
        </w:rPr>
        <w:t>Ms </w:t>
      </w:r>
      <w:r w:rsidRPr="006562A1">
        <w:rPr>
          <w:b/>
          <w:lang w:val="en-AU"/>
        </w:rPr>
        <w:t>C (severe impairment)</w:t>
      </w:r>
    </w:p>
    <w:p w14:paraId="1B3203D9" w14:textId="6B0D2636" w:rsidR="00F81E67" w:rsidRPr="008E680E" w:rsidRDefault="00F81E67" w:rsidP="00D458CD">
      <w:pPr>
        <w:pStyle w:val="Paragraph"/>
        <w:rPr>
          <w:lang w:val="en-AU"/>
        </w:rPr>
      </w:pPr>
      <w:r w:rsidRPr="008E680E">
        <w:rPr>
          <w:lang w:val="en-AU"/>
        </w:rPr>
        <w:t>Over the next 12 months, it was perceived that access to AT may have a small reduction in the need for unpaid informal care and paid formal care, GP visits and hospital admissions through the emergency department. Despite the AT, it was perceived that there could be a small increase in falls. There was a perception that access to AT would maintain her current level of independence for 1 to 5 years and ensure that residential aged care is not required within the 6 months to 10 years.</w:t>
      </w:r>
      <w:r w:rsidRPr="000F6BC1">
        <w:rPr>
          <w:lang w:val="en-AU"/>
        </w:rPr>
        <w:t xml:space="preserve"> </w:t>
      </w:r>
      <w:r>
        <w:rPr>
          <w:lang w:val="en-AU"/>
        </w:rPr>
        <w:t>Additional c</w:t>
      </w:r>
      <w:r w:rsidRPr="00847629">
        <w:rPr>
          <w:lang w:val="en-AU"/>
        </w:rPr>
        <w:t xml:space="preserve">ost </w:t>
      </w:r>
      <w:r w:rsidRPr="008E680E">
        <w:rPr>
          <w:lang w:val="en-AU"/>
        </w:rPr>
        <w:t>benefits of AT include reduced health service utilisation (2.5 GP visits and ½ a hospital admission) and delay of in-home services (average 3 years) and supports and requirement for residential aged care (average 5 years)</w:t>
      </w:r>
      <w:r w:rsidR="00D458CD">
        <w:rPr>
          <w:lang w:val="en-AU"/>
        </w:rPr>
        <w:t>.</w:t>
      </w:r>
    </w:p>
    <w:p w14:paraId="68CA5ED1" w14:textId="796AF620" w:rsidR="00F81E67" w:rsidRPr="006562A1" w:rsidRDefault="00F81E67" w:rsidP="006562A1">
      <w:pPr>
        <w:rPr>
          <w:b/>
          <w:lang w:val="en-AU"/>
        </w:rPr>
      </w:pPr>
      <w:r w:rsidRPr="006562A1">
        <w:rPr>
          <w:b/>
          <w:lang w:val="en-AU"/>
        </w:rPr>
        <w:t xml:space="preserve">Person 4: </w:t>
      </w:r>
      <w:r w:rsidR="00F33447" w:rsidRPr="006562A1">
        <w:rPr>
          <w:b/>
          <w:lang w:val="en-AU"/>
        </w:rPr>
        <w:t>Mr </w:t>
      </w:r>
      <w:r w:rsidRPr="006562A1">
        <w:rPr>
          <w:b/>
          <w:lang w:val="en-AU"/>
        </w:rPr>
        <w:t>D (profound impairment)</w:t>
      </w:r>
    </w:p>
    <w:p w14:paraId="7FE6BCDF" w14:textId="77777777" w:rsidR="00A04609" w:rsidRDefault="00F81E67" w:rsidP="00D458CD">
      <w:pPr>
        <w:pStyle w:val="Paragraph"/>
        <w:rPr>
          <w:lang w:val="en-AU"/>
        </w:rPr>
      </w:pPr>
      <w:r w:rsidRPr="008E680E">
        <w:rPr>
          <w:lang w:val="en-AU"/>
        </w:rPr>
        <w:t xml:space="preserve">Over the next 12 months, it was perceived that access to AT may have a small reduction in the need for unpaid informal care, paid carer support, GP visits, falls, hospital admissions through the emergency department, days in respite day </w:t>
      </w:r>
      <w:r w:rsidR="002C16CD">
        <w:rPr>
          <w:lang w:val="en-AU"/>
        </w:rPr>
        <w:t xml:space="preserve">programs </w:t>
      </w:r>
      <w:r w:rsidRPr="008E680E">
        <w:rPr>
          <w:lang w:val="en-AU"/>
        </w:rPr>
        <w:t>and days in respite overnight services. Despite the AT, it was perceived that there could be a small increase paid formal care. There was a perception that access to AT would maintain her current level of independence for 6 to 12 months and ensure that residential aged care is not required within the 6 to 18 months.</w:t>
      </w:r>
      <w:r w:rsidRPr="000F6BC1">
        <w:rPr>
          <w:lang w:val="en-AU"/>
        </w:rPr>
        <w:t xml:space="preserve"> </w:t>
      </w:r>
      <w:r>
        <w:rPr>
          <w:lang w:val="en-AU"/>
        </w:rPr>
        <w:t>Additional c</w:t>
      </w:r>
      <w:r w:rsidRPr="00847629">
        <w:rPr>
          <w:lang w:val="en-AU"/>
        </w:rPr>
        <w:t xml:space="preserve">ost </w:t>
      </w:r>
      <w:r w:rsidRPr="008E680E">
        <w:rPr>
          <w:lang w:val="en-AU"/>
        </w:rPr>
        <w:t>benefits of AT include reduced health service utilisation (4 GP visits and 2 hospital admissions), paid carer support (4 hours per week) and delay of in-home services (average 3 years) and supports and requirement for residential aged care (average 5 years), however a potential increase in paid formal care was identified (1.5 hours per week)</w:t>
      </w:r>
      <w:r w:rsidR="00D458CD">
        <w:rPr>
          <w:lang w:val="en-AU"/>
        </w:rPr>
        <w:t>.</w:t>
      </w:r>
    </w:p>
    <w:p w14:paraId="5B1AC444" w14:textId="75DED037" w:rsidR="00F81E67" w:rsidRDefault="00F81E67" w:rsidP="00D458CD">
      <w:pPr>
        <w:pStyle w:val="Paragraph"/>
        <w:rPr>
          <w:b/>
          <w:bCs/>
          <w:lang w:val="en-AU"/>
        </w:rPr>
      </w:pPr>
      <w:r>
        <w:rPr>
          <w:b/>
          <w:bCs/>
          <w:lang w:val="en-AU"/>
        </w:rPr>
        <w:br w:type="page"/>
      </w:r>
    </w:p>
    <w:p w14:paraId="2CE85A1E" w14:textId="16847DFD" w:rsidR="00F81E67" w:rsidRPr="00847629" w:rsidRDefault="004733A9" w:rsidP="00217053">
      <w:pPr>
        <w:rPr>
          <w:lang w:val="en-AU"/>
        </w:rPr>
      </w:pPr>
      <w:bookmarkStart w:id="155" w:name="_Ref42527574"/>
      <w:bookmarkStart w:id="156" w:name="_Toc60999889"/>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bookmarkEnd w:id="155"/>
      <w:r w:rsidR="006562A1">
        <w:t>-11</w:t>
      </w:r>
      <w:r w:rsidRPr="008E680E">
        <w:t>:</w:t>
      </w:r>
      <w:r w:rsidRPr="008E680E">
        <w:tab/>
      </w:r>
      <w:r w:rsidR="00F81E67">
        <w:rPr>
          <w:lang w:val="en-AU"/>
        </w:rPr>
        <w:t>Qualitative summary benefits of access to AT</w:t>
      </w:r>
      <w:r w:rsidR="00861912">
        <w:rPr>
          <w:lang w:val="en-AU"/>
        </w:rPr>
        <w:t xml:space="preserve"> – </w:t>
      </w:r>
      <w:r w:rsidR="004511B3">
        <w:rPr>
          <w:lang w:val="en-AU"/>
        </w:rPr>
        <w:t>focus group</w:t>
      </w:r>
      <w:bookmarkEnd w:id="156"/>
    </w:p>
    <w:p w14:paraId="34A0BBCB" w14:textId="77777777" w:rsidR="006562A1" w:rsidRDefault="006562A1" w:rsidP="006562A1">
      <w:pPr>
        <w:rPr>
          <w:b/>
          <w:lang w:val="en-AU"/>
        </w:rPr>
      </w:pPr>
    </w:p>
    <w:p w14:paraId="68D5FC93" w14:textId="2CA798E1" w:rsidR="00F81E67" w:rsidRPr="006562A1" w:rsidRDefault="00F81E67" w:rsidP="006562A1">
      <w:pPr>
        <w:rPr>
          <w:b/>
          <w:lang w:val="en-AU"/>
        </w:rPr>
      </w:pPr>
      <w:r w:rsidRPr="006562A1">
        <w:rPr>
          <w:b/>
          <w:lang w:val="en-AU"/>
        </w:rPr>
        <w:t xml:space="preserve">Person 1: </w:t>
      </w:r>
      <w:r w:rsidR="00F33447" w:rsidRPr="006562A1">
        <w:rPr>
          <w:b/>
          <w:lang w:val="en-AU"/>
        </w:rPr>
        <w:t>Mrs </w:t>
      </w:r>
      <w:r w:rsidRPr="006562A1">
        <w:rPr>
          <w:b/>
          <w:lang w:val="en-AU"/>
        </w:rPr>
        <w:t xml:space="preserve">A (mild impairment) </w:t>
      </w:r>
    </w:p>
    <w:p w14:paraId="74477EC6" w14:textId="69FD4525" w:rsidR="00F81E67" w:rsidRPr="00847629" w:rsidRDefault="00F81E67" w:rsidP="00D458CD">
      <w:pPr>
        <w:pStyle w:val="Paragraph"/>
        <w:rPr>
          <w:lang w:val="en-AU"/>
        </w:rPr>
      </w:pPr>
      <w:r w:rsidRPr="00847629">
        <w:rPr>
          <w:lang w:eastAsia="en-AU"/>
        </w:rPr>
        <w:t xml:space="preserve">The panel provided feedback around </w:t>
      </w:r>
      <w:r w:rsidR="00F33447">
        <w:rPr>
          <w:lang w:eastAsia="en-AU"/>
        </w:rPr>
        <w:t>Mrs </w:t>
      </w:r>
      <w:r w:rsidRPr="00847629">
        <w:rPr>
          <w:lang w:eastAsia="en-AU"/>
        </w:rPr>
        <w:t xml:space="preserve">A’s current need for AT and the possible benefits which could sustain her independence over the medium to long term, including support services. The group agreed that with the appropriate AT there was no perceived need for residential aged care in the foreseeable future. AT could enable </w:t>
      </w:r>
      <w:r w:rsidR="00F33447">
        <w:rPr>
          <w:lang w:eastAsia="en-AU"/>
        </w:rPr>
        <w:t>Mrs </w:t>
      </w:r>
      <w:r w:rsidRPr="00847629">
        <w:rPr>
          <w:lang w:eastAsia="en-AU"/>
        </w:rPr>
        <w:t xml:space="preserve">A </w:t>
      </w:r>
      <w:r w:rsidRPr="00847629">
        <w:rPr>
          <w:lang w:val="en-CA" w:eastAsia="en-AU"/>
        </w:rPr>
        <w:t>to do her own housework in an easier way, with the added benefits of moving her body, increasing flexibility, strength and balance. This could be encouraging her to build capacity and reserve rather than compensate with unnecessary AT. </w:t>
      </w:r>
      <w:r w:rsidRPr="00847629">
        <w:rPr>
          <w:lang w:eastAsia="en-AU"/>
        </w:rPr>
        <w:t>Several panel members felt it was hard to assess the impact of AT on the frequency of GP visits. There was agreement that AT would lead to a reduction in formal support going forward (delaying the need</w:t>
      </w:r>
      <w:r w:rsidRPr="00847629">
        <w:rPr>
          <w:lang w:val="en-AU"/>
        </w:rPr>
        <w:t>)</w:t>
      </w:r>
      <w:r w:rsidR="00AA69F0">
        <w:rPr>
          <w:lang w:val="en-AU"/>
        </w:rPr>
        <w:t>.</w:t>
      </w:r>
    </w:p>
    <w:p w14:paraId="75D756EE" w14:textId="6CEB29EA" w:rsidR="00F81E67" w:rsidRPr="00217053" w:rsidRDefault="00F81E67" w:rsidP="00217053">
      <w:pPr>
        <w:rPr>
          <w:b/>
          <w:lang w:val="en-AU"/>
        </w:rPr>
      </w:pPr>
      <w:r w:rsidRPr="00217053">
        <w:rPr>
          <w:b/>
          <w:lang w:val="en-AU"/>
        </w:rPr>
        <w:t xml:space="preserve">Person 2: </w:t>
      </w:r>
      <w:r w:rsidR="00F33447" w:rsidRPr="00217053">
        <w:rPr>
          <w:b/>
          <w:lang w:val="en-AU"/>
        </w:rPr>
        <w:t>Mr </w:t>
      </w:r>
      <w:r w:rsidRPr="00217053">
        <w:rPr>
          <w:b/>
          <w:lang w:val="en-AU"/>
        </w:rPr>
        <w:t xml:space="preserve">B (moderate impairment) </w:t>
      </w:r>
    </w:p>
    <w:p w14:paraId="612EE2F8" w14:textId="7BB046BA" w:rsidR="00F81E67" w:rsidRPr="00847629" w:rsidRDefault="00F81E67" w:rsidP="00D458CD">
      <w:pPr>
        <w:pStyle w:val="Paragraph"/>
        <w:rPr>
          <w:lang w:val="en-AU"/>
        </w:rPr>
      </w:pPr>
      <w:r w:rsidRPr="00847629">
        <w:rPr>
          <w:lang w:eastAsia="en-AU"/>
        </w:rPr>
        <w:t xml:space="preserve">The panel identified that </w:t>
      </w:r>
      <w:r w:rsidR="00F33447">
        <w:rPr>
          <w:lang w:eastAsia="en-AU"/>
        </w:rPr>
        <w:t>Mr </w:t>
      </w:r>
      <w:r w:rsidRPr="00847629">
        <w:rPr>
          <w:lang w:eastAsia="en-AU"/>
        </w:rPr>
        <w:t xml:space="preserve">B had visited an Independent Living Centre, and therefore it was assumed that the prescription of his four wheeled walked was done by an Allied Health professional, taking into account his environment, with no additional needs identified. The panel agreed that appropriate prescription of AT reduces the risk of abandonment. </w:t>
      </w:r>
      <w:r w:rsidR="00F33447">
        <w:rPr>
          <w:lang w:eastAsia="en-AU"/>
        </w:rPr>
        <w:t>Mr </w:t>
      </w:r>
      <w:r w:rsidRPr="00847629">
        <w:rPr>
          <w:lang w:eastAsia="en-AU"/>
        </w:rPr>
        <w:t>B could have substantial behaviour change with access to a four wheeled walker, including confidence gained and increased community access. If referred to a physio following a fall, he may not need the walker long term (reablement</w:t>
      </w:r>
      <w:r w:rsidRPr="00847629">
        <w:rPr>
          <w:lang w:val="en-AU"/>
        </w:rPr>
        <w:t>)</w:t>
      </w:r>
      <w:r w:rsidR="00AA69F0">
        <w:rPr>
          <w:lang w:val="en-AU"/>
        </w:rPr>
        <w:t>.</w:t>
      </w:r>
    </w:p>
    <w:p w14:paraId="5EC61D55" w14:textId="69DD5CA7" w:rsidR="00F81E67" w:rsidRPr="00217053" w:rsidRDefault="00F81E67" w:rsidP="00217053">
      <w:pPr>
        <w:rPr>
          <w:b/>
          <w:lang w:val="en-AU"/>
        </w:rPr>
      </w:pPr>
      <w:r w:rsidRPr="00217053">
        <w:rPr>
          <w:b/>
          <w:lang w:val="en-AU"/>
        </w:rPr>
        <w:t xml:space="preserve">Person 3: </w:t>
      </w:r>
      <w:r w:rsidR="00F33447" w:rsidRPr="00217053">
        <w:rPr>
          <w:b/>
          <w:lang w:val="en-AU"/>
        </w:rPr>
        <w:t>Ms </w:t>
      </w:r>
      <w:r w:rsidRPr="00217053">
        <w:rPr>
          <w:b/>
          <w:lang w:val="en-AU"/>
        </w:rPr>
        <w:t>C (severe impairment)</w:t>
      </w:r>
    </w:p>
    <w:p w14:paraId="71602C87" w14:textId="4A262301" w:rsidR="00F81E67" w:rsidRPr="00847629" w:rsidRDefault="00F81E67" w:rsidP="00D458CD">
      <w:pPr>
        <w:pStyle w:val="Paragraph"/>
        <w:rPr>
          <w:lang w:val="en-AU"/>
        </w:rPr>
      </w:pPr>
      <w:r w:rsidRPr="00847629">
        <w:rPr>
          <w:lang w:eastAsia="en-AU"/>
        </w:rPr>
        <w:t xml:space="preserve">The panel determined that </w:t>
      </w:r>
      <w:r w:rsidR="00F33447">
        <w:rPr>
          <w:lang w:eastAsia="en-AU"/>
        </w:rPr>
        <w:t>Ms </w:t>
      </w:r>
      <w:r w:rsidRPr="00847629">
        <w:rPr>
          <w:lang w:eastAsia="en-AU"/>
        </w:rPr>
        <w:t>C is on the cusp of needing a lot of formal support, however appropriate AT could delay the need for services. Short term intensive services could alleviate the need for long term ongoing services. A planned approach that could be scaled back as needed may be appropriate for this user. The panel identified that she has complex health needs, as identified through her medications, she is on the cusp of requiring escalated care if no immediate intervention is put in place. A holistic approach to her support is needed. Loss of ability to drive could lead to emotional distress and a feeling of loss of independence. Putting in the appropriate supports could delay admission to residential aged care for 5-10 years. The panel advised that appropriate AT can last 10, 20, 30 years</w:t>
      </w:r>
      <w:r w:rsidR="00AA69F0">
        <w:rPr>
          <w:lang w:eastAsia="en-AU"/>
        </w:rPr>
        <w:t>.</w:t>
      </w:r>
    </w:p>
    <w:p w14:paraId="11993167" w14:textId="01A8FF58" w:rsidR="00F81E67" w:rsidRPr="00217053" w:rsidRDefault="00F81E67" w:rsidP="00217053">
      <w:pPr>
        <w:rPr>
          <w:b/>
          <w:lang w:val="en-AU"/>
        </w:rPr>
      </w:pPr>
      <w:r w:rsidRPr="00217053">
        <w:rPr>
          <w:b/>
          <w:lang w:val="en-AU"/>
        </w:rPr>
        <w:t xml:space="preserve">Person 4: </w:t>
      </w:r>
      <w:r w:rsidR="00F33447" w:rsidRPr="00217053">
        <w:rPr>
          <w:b/>
          <w:lang w:val="en-AU"/>
        </w:rPr>
        <w:t>Mr </w:t>
      </w:r>
      <w:r w:rsidRPr="00217053">
        <w:rPr>
          <w:b/>
          <w:lang w:val="en-AU"/>
        </w:rPr>
        <w:t>D (profound impairment)</w:t>
      </w:r>
    </w:p>
    <w:p w14:paraId="114F738E" w14:textId="1D2AC099" w:rsidR="00F81E67" w:rsidRPr="00655FE1" w:rsidRDefault="00F81E67" w:rsidP="00D458CD">
      <w:pPr>
        <w:pStyle w:val="Paragraph"/>
      </w:pPr>
      <w:r w:rsidRPr="00847629">
        <w:rPr>
          <w:lang w:eastAsia="en-AU"/>
        </w:rPr>
        <w:t>"</w:t>
      </w:r>
      <w:r w:rsidRPr="00847629">
        <w:rPr>
          <w:lang w:val="en-CA" w:eastAsia="en-AU"/>
        </w:rPr>
        <w:t>I can’t imagine what this gentleman’s life or his daughter’s life would be like, or even possible, without the AT and modifications.</w:t>
      </w:r>
      <w:r w:rsidRPr="00847629">
        <w:rPr>
          <w:lang w:eastAsia="en-AU"/>
        </w:rPr>
        <w:t xml:space="preserve">" The panel considered that without the significant carer support and AT, </w:t>
      </w:r>
      <w:r w:rsidR="00F33447">
        <w:rPr>
          <w:lang w:eastAsia="en-AU"/>
        </w:rPr>
        <w:t>Mr </w:t>
      </w:r>
      <w:r w:rsidRPr="00847629">
        <w:rPr>
          <w:lang w:eastAsia="en-AU"/>
        </w:rPr>
        <w:t>D would already be in residential aged care. The panel highlighted the need to balance cost of services with cost of AT. There is high risk of carer burnout without AT. The panel assumed that the AT described in the user profiles had been purchased by the individuals or their families. It was noted that consumers often don’t want to pay for an AT assessment with their home care package, and may just go ahead and purchase unprescribed AT which could lead to AT abandonment</w:t>
      </w:r>
      <w:r>
        <w:rPr>
          <w:lang w:eastAsia="en-AU"/>
        </w:rPr>
        <w:t>.</w:t>
      </w:r>
      <w:r w:rsidRPr="00655FE1">
        <w:br w:type="page"/>
      </w:r>
    </w:p>
    <w:p w14:paraId="3010D2FF" w14:textId="5B55EB45" w:rsidR="00F81E67" w:rsidRPr="00847629" w:rsidRDefault="004733A9" w:rsidP="00217053">
      <w:pPr>
        <w:rPr>
          <w:lang w:val="en-AU"/>
        </w:rPr>
      </w:pPr>
      <w:bookmarkStart w:id="157" w:name="_Ref42527576"/>
      <w:bookmarkStart w:id="158" w:name="_Toc60999890"/>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1">
        <w:rPr>
          <w:noProof/>
        </w:rPr>
        <w:t>-12</w:t>
      </w:r>
      <w:bookmarkEnd w:id="157"/>
      <w:r w:rsidRPr="008E680E">
        <w:t>:</w:t>
      </w:r>
      <w:r w:rsidRPr="008E680E">
        <w:tab/>
      </w:r>
      <w:r w:rsidR="00F81E67">
        <w:rPr>
          <w:lang w:val="en-AU"/>
        </w:rPr>
        <w:t>Quantitative summary of the benefits of access to AT</w:t>
      </w:r>
      <w:r w:rsidR="00861912">
        <w:rPr>
          <w:lang w:val="en-AU"/>
        </w:rPr>
        <w:t xml:space="preserve"> – </w:t>
      </w:r>
      <w:r w:rsidR="004511B3">
        <w:rPr>
          <w:lang w:val="en-AU"/>
        </w:rPr>
        <w:t>p</w:t>
      </w:r>
      <w:r w:rsidR="002A7282">
        <w:rPr>
          <w:lang w:val="en-AU"/>
        </w:rPr>
        <w:t>ost</w:t>
      </w:r>
      <w:r w:rsidR="004511B3">
        <w:rPr>
          <w:lang w:val="en-AU"/>
        </w:rPr>
        <w:t>-survey</w:t>
      </w:r>
      <w:bookmarkEnd w:id="158"/>
    </w:p>
    <w:p w14:paraId="050D802A" w14:textId="77777777" w:rsidR="006562A1" w:rsidRDefault="006562A1" w:rsidP="006562A1">
      <w:pPr>
        <w:rPr>
          <w:b/>
          <w:lang w:val="en-AU"/>
        </w:rPr>
      </w:pPr>
    </w:p>
    <w:p w14:paraId="107B5443" w14:textId="39B58DCB" w:rsidR="00F81E67" w:rsidRPr="006562A1" w:rsidRDefault="00F81E67" w:rsidP="006562A1">
      <w:pPr>
        <w:rPr>
          <w:b/>
          <w:lang w:val="en-AU"/>
        </w:rPr>
      </w:pPr>
      <w:r w:rsidRPr="006562A1">
        <w:rPr>
          <w:b/>
          <w:lang w:val="en-AU"/>
        </w:rPr>
        <w:t xml:space="preserve">Person 1: </w:t>
      </w:r>
      <w:r w:rsidR="00F33447" w:rsidRPr="006562A1">
        <w:rPr>
          <w:b/>
          <w:lang w:val="en-AU"/>
        </w:rPr>
        <w:t>Mrs </w:t>
      </w:r>
      <w:r w:rsidRPr="006562A1">
        <w:rPr>
          <w:b/>
          <w:lang w:val="en-AU"/>
        </w:rPr>
        <w:t xml:space="preserve">A (mild impairment) </w:t>
      </w:r>
    </w:p>
    <w:p w14:paraId="665C36B9" w14:textId="19DB9B29" w:rsidR="00F81E67" w:rsidRPr="00847629" w:rsidRDefault="00F33447" w:rsidP="00D458CD">
      <w:pPr>
        <w:pStyle w:val="Paragraph"/>
        <w:rPr>
          <w:lang w:val="en-AU"/>
        </w:rPr>
      </w:pPr>
      <w:r>
        <w:rPr>
          <w:lang w:val="en-AU"/>
        </w:rPr>
        <w:t>Mrs </w:t>
      </w:r>
      <w:r w:rsidR="00F81E67">
        <w:rPr>
          <w:lang w:val="en-AU"/>
        </w:rPr>
        <w:t xml:space="preserve">A who represented an older Australian with a </w:t>
      </w:r>
      <w:r w:rsidR="00F81E67" w:rsidRPr="00847629">
        <w:rPr>
          <w:b/>
          <w:bCs/>
          <w:lang w:val="en-AU"/>
        </w:rPr>
        <w:t>mild activity limitation</w:t>
      </w:r>
      <w:r w:rsidR="00F81E67">
        <w:rPr>
          <w:lang w:val="en-AU"/>
        </w:rPr>
        <w:t xml:space="preserve"> had a reported benefit of </w:t>
      </w:r>
      <w:r w:rsidR="00F81E67" w:rsidRPr="00847629">
        <w:rPr>
          <w:b/>
          <w:bCs/>
          <w:lang w:val="en-AU"/>
        </w:rPr>
        <w:t>$17</w:t>
      </w:r>
      <w:r w:rsidR="00F81E67">
        <w:rPr>
          <w:lang w:val="en-AU"/>
        </w:rPr>
        <w:t xml:space="preserve"> per year following access to AT. This was based on an annual small reduction in GP visits each year (0.4 reduction in visits per year). The most significant cost benefits for access to AT for </w:t>
      </w:r>
      <w:r>
        <w:rPr>
          <w:lang w:val="en-AU"/>
        </w:rPr>
        <w:t>Mrs </w:t>
      </w:r>
      <w:r w:rsidR="00F81E67">
        <w:rPr>
          <w:lang w:val="en-AU"/>
        </w:rPr>
        <w:t xml:space="preserve">A was the delay </w:t>
      </w:r>
      <w:r w:rsidR="00F81E67" w:rsidRPr="00847629">
        <w:rPr>
          <w:lang w:val="en-AU"/>
        </w:rPr>
        <w:t xml:space="preserve">to increase unpaid formal care, paid carer support and paid formal care </w:t>
      </w:r>
      <w:r w:rsidR="00F81E67">
        <w:rPr>
          <w:lang w:val="en-AU"/>
        </w:rPr>
        <w:t xml:space="preserve">(estimated between 2 and 12 years) </w:t>
      </w:r>
      <w:r w:rsidR="00F81E67" w:rsidRPr="00847629">
        <w:rPr>
          <w:lang w:val="en-AU"/>
        </w:rPr>
        <w:t xml:space="preserve">and the delay for residential aged care admission </w:t>
      </w:r>
      <w:r w:rsidR="00F81E67">
        <w:rPr>
          <w:lang w:val="en-AU"/>
        </w:rPr>
        <w:t xml:space="preserve">(not in the foreseeable future), noting that </w:t>
      </w:r>
      <w:r w:rsidR="00F81E67" w:rsidRPr="00847629">
        <w:rPr>
          <w:lang w:val="en-AU"/>
        </w:rPr>
        <w:t>cost calculation for these benefits are out of scope for this analysis.</w:t>
      </w:r>
      <w:r w:rsidR="00F81E67">
        <w:rPr>
          <w:lang w:val="en-AU"/>
        </w:rPr>
        <w:t xml:space="preserve"> This is compared to the </w:t>
      </w:r>
      <w:r w:rsidR="00F81E67" w:rsidRPr="00847629">
        <w:rPr>
          <w:b/>
          <w:bCs/>
          <w:lang w:val="en-AU"/>
        </w:rPr>
        <w:t>annual cost of AT valued at $</w:t>
      </w:r>
      <w:r w:rsidR="00F81E67">
        <w:rPr>
          <w:b/>
          <w:bCs/>
          <w:lang w:val="en-AU"/>
        </w:rPr>
        <w:t>287</w:t>
      </w:r>
      <w:r w:rsidR="00F81E67">
        <w:rPr>
          <w:lang w:val="en-AU"/>
        </w:rPr>
        <w:t xml:space="preserve"> which was assumed to be funded by the consumer.</w:t>
      </w:r>
    </w:p>
    <w:p w14:paraId="7AAC53BC" w14:textId="7C16D5FE" w:rsidR="00F81E67" w:rsidRPr="00217053" w:rsidRDefault="00F81E67" w:rsidP="00217053">
      <w:pPr>
        <w:rPr>
          <w:b/>
          <w:lang w:val="en-AU"/>
        </w:rPr>
      </w:pPr>
      <w:r w:rsidRPr="00217053">
        <w:rPr>
          <w:b/>
          <w:lang w:val="en-AU"/>
        </w:rPr>
        <w:t xml:space="preserve">Person 2: </w:t>
      </w:r>
      <w:r w:rsidR="00F33447" w:rsidRPr="00217053">
        <w:rPr>
          <w:b/>
          <w:lang w:val="en-AU"/>
        </w:rPr>
        <w:t>Mr </w:t>
      </w:r>
      <w:r w:rsidRPr="00217053">
        <w:rPr>
          <w:b/>
          <w:lang w:val="en-AU"/>
        </w:rPr>
        <w:t xml:space="preserve">B (moderate impairment) </w:t>
      </w:r>
    </w:p>
    <w:p w14:paraId="40154F27" w14:textId="6FA1AB2D" w:rsidR="00F81E67" w:rsidRPr="00847629" w:rsidRDefault="00F33447" w:rsidP="00D458CD">
      <w:pPr>
        <w:pStyle w:val="Paragraph"/>
        <w:rPr>
          <w:lang w:val="en-AU"/>
        </w:rPr>
      </w:pPr>
      <w:r>
        <w:rPr>
          <w:lang w:val="en-AU"/>
        </w:rPr>
        <w:t>Mr </w:t>
      </w:r>
      <w:r w:rsidR="00F81E67">
        <w:rPr>
          <w:lang w:val="en-AU"/>
        </w:rPr>
        <w:t xml:space="preserve">B who represented an older Australian with a </w:t>
      </w:r>
      <w:r w:rsidR="00F81E67" w:rsidRPr="00847629">
        <w:rPr>
          <w:b/>
          <w:bCs/>
          <w:lang w:val="en-AU"/>
        </w:rPr>
        <w:t>moderate activity limitation</w:t>
      </w:r>
      <w:r w:rsidR="00F81E67">
        <w:rPr>
          <w:lang w:val="en-AU"/>
        </w:rPr>
        <w:t xml:space="preserve"> had a reported benefit of </w:t>
      </w:r>
      <w:r w:rsidR="00F81E67" w:rsidRPr="00847629">
        <w:rPr>
          <w:b/>
          <w:bCs/>
          <w:lang w:val="en-AU"/>
        </w:rPr>
        <w:t>$</w:t>
      </w:r>
      <w:r w:rsidR="00F81E67">
        <w:rPr>
          <w:b/>
          <w:bCs/>
          <w:lang w:val="en-AU"/>
        </w:rPr>
        <w:t>2,835</w:t>
      </w:r>
      <w:r w:rsidR="00F81E67">
        <w:rPr>
          <w:lang w:val="en-AU"/>
        </w:rPr>
        <w:t xml:space="preserve"> per year following access to AT. This was based on an annual small reduction in GP visits (0.4 reduction), falls (0.9 reduction) and hospital admissions (0.6 reduction). Additional significant cost benefits for access to AT for </w:t>
      </w:r>
      <w:r>
        <w:rPr>
          <w:lang w:val="en-AU"/>
        </w:rPr>
        <w:t>Mr </w:t>
      </w:r>
      <w:r w:rsidR="00F81E67">
        <w:rPr>
          <w:lang w:val="en-AU"/>
        </w:rPr>
        <w:t xml:space="preserve">B was the delay </w:t>
      </w:r>
      <w:r w:rsidR="00F81E67" w:rsidRPr="00847629">
        <w:rPr>
          <w:lang w:val="en-AU"/>
        </w:rPr>
        <w:t>to increase</w:t>
      </w:r>
      <w:r w:rsidR="004511B3">
        <w:rPr>
          <w:lang w:val="en-AU"/>
        </w:rPr>
        <w:t xml:space="preserve"> </w:t>
      </w:r>
      <w:r w:rsidR="00F81E67" w:rsidRPr="00847629">
        <w:rPr>
          <w:lang w:val="en-AU"/>
        </w:rPr>
        <w:t xml:space="preserve">unpaid formal care, paid carer support and paid formal care </w:t>
      </w:r>
      <w:r w:rsidR="00F81E67">
        <w:rPr>
          <w:lang w:val="en-AU"/>
        </w:rPr>
        <w:t xml:space="preserve">(estimated between 2 and 12 years) </w:t>
      </w:r>
      <w:r w:rsidR="00F81E67" w:rsidRPr="00847629">
        <w:rPr>
          <w:lang w:val="en-AU"/>
        </w:rPr>
        <w:t xml:space="preserve">and the delay for residential aged care admission </w:t>
      </w:r>
      <w:r w:rsidR="00F81E67">
        <w:rPr>
          <w:lang w:val="en-AU"/>
        </w:rPr>
        <w:t xml:space="preserve">(not in the foreseeable future), noting that </w:t>
      </w:r>
      <w:r w:rsidR="00F81E67" w:rsidRPr="00847629">
        <w:rPr>
          <w:lang w:val="en-AU"/>
        </w:rPr>
        <w:t>cost calculation for these benefits are out of scope for this analysis.</w:t>
      </w:r>
      <w:r w:rsidR="00F81E67">
        <w:rPr>
          <w:lang w:val="en-AU"/>
        </w:rPr>
        <w:t xml:space="preserve"> This is compared to the </w:t>
      </w:r>
      <w:r w:rsidR="00F81E67" w:rsidRPr="00847629">
        <w:rPr>
          <w:b/>
          <w:bCs/>
          <w:lang w:val="en-AU"/>
        </w:rPr>
        <w:t>annual cost of AT valued at $</w:t>
      </w:r>
      <w:r w:rsidR="00F81E67">
        <w:rPr>
          <w:b/>
          <w:bCs/>
          <w:lang w:val="en-AU"/>
        </w:rPr>
        <w:t>40</w:t>
      </w:r>
      <w:r w:rsidR="00F81E67">
        <w:rPr>
          <w:lang w:val="en-AU"/>
        </w:rPr>
        <w:t xml:space="preserve"> which was assumed to be funded by the consumer.</w:t>
      </w:r>
    </w:p>
    <w:p w14:paraId="0C8A6EC0" w14:textId="5C8CF56B" w:rsidR="00F81E67" w:rsidRPr="00217053" w:rsidRDefault="00F81E67" w:rsidP="00217053">
      <w:pPr>
        <w:rPr>
          <w:b/>
          <w:lang w:val="en-AU"/>
        </w:rPr>
      </w:pPr>
      <w:r w:rsidRPr="00217053">
        <w:rPr>
          <w:b/>
          <w:lang w:val="en-AU"/>
        </w:rPr>
        <w:t xml:space="preserve">Person 3: </w:t>
      </w:r>
      <w:r w:rsidR="00F33447" w:rsidRPr="00217053">
        <w:rPr>
          <w:b/>
          <w:lang w:val="en-AU"/>
        </w:rPr>
        <w:t>Ms </w:t>
      </w:r>
      <w:r w:rsidRPr="00217053">
        <w:rPr>
          <w:b/>
          <w:lang w:val="en-AU"/>
        </w:rPr>
        <w:t>C (severe impairment)</w:t>
      </w:r>
    </w:p>
    <w:p w14:paraId="35C77E96" w14:textId="5E81BF72" w:rsidR="00F81E67" w:rsidRDefault="00F33447" w:rsidP="00D458CD">
      <w:pPr>
        <w:pStyle w:val="Paragraph"/>
        <w:rPr>
          <w:lang w:val="en-AU"/>
        </w:rPr>
      </w:pPr>
      <w:r>
        <w:rPr>
          <w:lang w:val="en-AU"/>
        </w:rPr>
        <w:t>Ms </w:t>
      </w:r>
      <w:r w:rsidR="00F81E67">
        <w:rPr>
          <w:lang w:val="en-AU"/>
        </w:rPr>
        <w:t xml:space="preserve">C who represented an older Australian with a </w:t>
      </w:r>
      <w:r w:rsidR="00F81E67" w:rsidRPr="00847629">
        <w:rPr>
          <w:b/>
          <w:bCs/>
          <w:lang w:val="en-AU"/>
        </w:rPr>
        <w:t>severe activity limitation</w:t>
      </w:r>
      <w:r w:rsidR="00F81E67">
        <w:rPr>
          <w:lang w:val="en-AU"/>
        </w:rPr>
        <w:t xml:space="preserve"> had a reported benefit of </w:t>
      </w:r>
      <w:r w:rsidR="00F81E67" w:rsidRPr="00847629">
        <w:rPr>
          <w:b/>
          <w:bCs/>
          <w:lang w:val="en-AU"/>
        </w:rPr>
        <w:t>$</w:t>
      </w:r>
      <w:r w:rsidR="00F81E67">
        <w:rPr>
          <w:b/>
          <w:bCs/>
          <w:lang w:val="en-AU"/>
        </w:rPr>
        <w:t>3,345</w:t>
      </w:r>
      <w:r w:rsidR="00F81E67">
        <w:rPr>
          <w:lang w:val="en-AU"/>
        </w:rPr>
        <w:t xml:space="preserve"> per year following access to AT. This was based on an annual reduction in unpaid informal care (</w:t>
      </w:r>
      <w:r w:rsidR="004E2F56">
        <w:rPr>
          <w:lang w:val="en-AU"/>
        </w:rPr>
        <w:t>12-hour</w:t>
      </w:r>
      <w:r w:rsidR="00F81E67">
        <w:rPr>
          <w:lang w:val="en-AU"/>
        </w:rPr>
        <w:t xml:space="preserve"> reduction), GP visits (1.0 reduction) and hospital admissions (0.7 reduction). Additional significant cost benefits for access to AT for </w:t>
      </w:r>
      <w:r>
        <w:rPr>
          <w:lang w:val="en-AU"/>
        </w:rPr>
        <w:t>Ms </w:t>
      </w:r>
      <w:r w:rsidR="00F81E67">
        <w:rPr>
          <w:lang w:val="en-AU"/>
        </w:rPr>
        <w:t xml:space="preserve">C was the delay </w:t>
      </w:r>
      <w:r w:rsidR="00F81E67" w:rsidRPr="00847629">
        <w:rPr>
          <w:lang w:val="en-AU"/>
        </w:rPr>
        <w:t>to increase</w:t>
      </w:r>
      <w:r w:rsidR="004511B3">
        <w:rPr>
          <w:lang w:val="en-AU"/>
        </w:rPr>
        <w:t xml:space="preserve"> </w:t>
      </w:r>
      <w:r w:rsidR="00F81E67" w:rsidRPr="00847629">
        <w:rPr>
          <w:lang w:val="en-AU"/>
        </w:rPr>
        <w:t xml:space="preserve">unpaid formal care, paid carer support and paid formal care </w:t>
      </w:r>
      <w:r w:rsidR="00F81E67">
        <w:rPr>
          <w:lang w:val="en-AU"/>
        </w:rPr>
        <w:t xml:space="preserve">(estimated between 1 and 10 years) </w:t>
      </w:r>
      <w:r w:rsidR="00F81E67" w:rsidRPr="00847629">
        <w:rPr>
          <w:lang w:val="en-AU"/>
        </w:rPr>
        <w:t xml:space="preserve">and the delay for residential aged care admission </w:t>
      </w:r>
      <w:r w:rsidR="00F81E67">
        <w:rPr>
          <w:lang w:val="en-AU"/>
        </w:rPr>
        <w:t xml:space="preserve">(6 months to 10 years), noting that </w:t>
      </w:r>
      <w:r w:rsidR="00F81E67" w:rsidRPr="00847629">
        <w:rPr>
          <w:lang w:val="en-AU"/>
        </w:rPr>
        <w:t>cost calculation for these benefits are out of scope for this analysis.</w:t>
      </w:r>
      <w:r w:rsidR="00F81E67">
        <w:rPr>
          <w:lang w:val="en-AU"/>
        </w:rPr>
        <w:t xml:space="preserve"> This is compared to the </w:t>
      </w:r>
      <w:r w:rsidR="00F81E67" w:rsidRPr="00847629">
        <w:rPr>
          <w:b/>
          <w:bCs/>
          <w:lang w:val="en-AU"/>
        </w:rPr>
        <w:t>annual cost of AT valued at $</w:t>
      </w:r>
      <w:r w:rsidR="00F81E67">
        <w:rPr>
          <w:b/>
          <w:bCs/>
          <w:lang w:val="en-AU"/>
        </w:rPr>
        <w:t>773</w:t>
      </w:r>
      <w:r w:rsidR="00F81E67">
        <w:rPr>
          <w:lang w:val="en-AU"/>
        </w:rPr>
        <w:t xml:space="preserve"> which was assumed to be funded by the Aged Care system.</w:t>
      </w:r>
    </w:p>
    <w:p w14:paraId="41501B3B" w14:textId="7226C4A1" w:rsidR="00F81E67" w:rsidRPr="00217053" w:rsidRDefault="00F81E67" w:rsidP="00217053">
      <w:pPr>
        <w:rPr>
          <w:b/>
          <w:lang w:val="en-AU"/>
        </w:rPr>
      </w:pPr>
      <w:r w:rsidRPr="00217053">
        <w:rPr>
          <w:b/>
          <w:lang w:val="en-AU"/>
        </w:rPr>
        <w:t xml:space="preserve">Person 4: </w:t>
      </w:r>
      <w:r w:rsidR="00F33447" w:rsidRPr="00217053">
        <w:rPr>
          <w:b/>
          <w:lang w:val="en-AU"/>
        </w:rPr>
        <w:t>Mr </w:t>
      </w:r>
      <w:r w:rsidRPr="00217053">
        <w:rPr>
          <w:b/>
          <w:lang w:val="en-AU"/>
        </w:rPr>
        <w:t>D (profound impairment)</w:t>
      </w:r>
    </w:p>
    <w:p w14:paraId="5CF0FE9F" w14:textId="1EDB1CF2" w:rsidR="00CE6180" w:rsidRDefault="00F33447" w:rsidP="00D458CD">
      <w:pPr>
        <w:pStyle w:val="Paragraph"/>
        <w:rPr>
          <w:lang w:val="en-AU"/>
        </w:rPr>
      </w:pPr>
      <w:r>
        <w:rPr>
          <w:lang w:val="en-AU"/>
        </w:rPr>
        <w:t>Mr </w:t>
      </w:r>
      <w:r w:rsidR="00F81E67">
        <w:rPr>
          <w:lang w:val="en-AU"/>
        </w:rPr>
        <w:t xml:space="preserve">D who represented an older Australian with a </w:t>
      </w:r>
      <w:r w:rsidR="00F81E67" w:rsidRPr="00847629">
        <w:rPr>
          <w:b/>
          <w:bCs/>
          <w:lang w:val="en-AU"/>
        </w:rPr>
        <w:t>profound activity limitation</w:t>
      </w:r>
      <w:r w:rsidR="00F81E67">
        <w:rPr>
          <w:lang w:val="en-AU"/>
        </w:rPr>
        <w:t xml:space="preserve"> had a reported benefit of </w:t>
      </w:r>
      <w:r w:rsidR="00F81E67" w:rsidRPr="00847629">
        <w:rPr>
          <w:b/>
          <w:bCs/>
          <w:lang w:val="en-AU"/>
        </w:rPr>
        <w:t>$</w:t>
      </w:r>
      <w:r w:rsidR="00F81E67">
        <w:rPr>
          <w:b/>
          <w:bCs/>
          <w:lang w:val="en-AU"/>
        </w:rPr>
        <w:t>13,272</w:t>
      </w:r>
      <w:r w:rsidR="00F81E67">
        <w:rPr>
          <w:lang w:val="en-AU"/>
        </w:rPr>
        <w:t xml:space="preserve"> per year following access to AT. This was based on an annual reduction in unpaid informal care, paid carer support and aid formal care (92 hours, 75 hours and 6 hours respectively), as well as GP visits (5.7 reduction), falls (0.3 reduction), hospital admissions (1.9 reduction) and days in residential respire care (0.9 reduction). Additional significant cost benefits for access to AT for </w:t>
      </w:r>
      <w:r>
        <w:rPr>
          <w:lang w:val="en-AU"/>
        </w:rPr>
        <w:t>Mr </w:t>
      </w:r>
      <w:r w:rsidR="00F81E67">
        <w:rPr>
          <w:lang w:val="en-AU"/>
        </w:rPr>
        <w:t xml:space="preserve">D was the delay </w:t>
      </w:r>
      <w:r w:rsidR="00F81E67" w:rsidRPr="00847629">
        <w:rPr>
          <w:lang w:val="en-AU"/>
        </w:rPr>
        <w:t>to increase</w:t>
      </w:r>
      <w:r w:rsidR="004511B3">
        <w:rPr>
          <w:lang w:val="en-AU"/>
        </w:rPr>
        <w:t xml:space="preserve"> </w:t>
      </w:r>
      <w:r w:rsidR="00F81E67" w:rsidRPr="00847629">
        <w:rPr>
          <w:lang w:val="en-AU"/>
        </w:rPr>
        <w:t xml:space="preserve">unpaid formal care, paid carer support and paid formal care </w:t>
      </w:r>
      <w:r w:rsidR="00F81E67">
        <w:rPr>
          <w:lang w:val="en-AU"/>
        </w:rPr>
        <w:t xml:space="preserve">(estimated between 6 months to 2 years) </w:t>
      </w:r>
      <w:r w:rsidR="00F81E67" w:rsidRPr="00847629">
        <w:rPr>
          <w:lang w:val="en-AU"/>
        </w:rPr>
        <w:t xml:space="preserve">and the delay for residential aged care admission </w:t>
      </w:r>
      <w:r w:rsidR="00F81E67">
        <w:rPr>
          <w:lang w:val="en-AU"/>
        </w:rPr>
        <w:t xml:space="preserve">(4 months to 3 years), noting that </w:t>
      </w:r>
      <w:r w:rsidR="00F81E67" w:rsidRPr="00847629">
        <w:rPr>
          <w:lang w:val="en-AU"/>
        </w:rPr>
        <w:t>cost calculation for these benefits are out of scope for this analysis.</w:t>
      </w:r>
      <w:r w:rsidR="00F81E67">
        <w:rPr>
          <w:lang w:val="en-AU"/>
        </w:rPr>
        <w:t xml:space="preserve"> This is compared to the </w:t>
      </w:r>
      <w:r w:rsidR="00F81E67" w:rsidRPr="00847629">
        <w:rPr>
          <w:b/>
          <w:bCs/>
          <w:lang w:val="en-AU"/>
        </w:rPr>
        <w:t>annual cost of AT valued at $</w:t>
      </w:r>
      <w:r w:rsidR="00F81E67">
        <w:rPr>
          <w:b/>
          <w:bCs/>
          <w:lang w:val="en-AU"/>
        </w:rPr>
        <w:t>1,174</w:t>
      </w:r>
      <w:r w:rsidR="00F81E67">
        <w:rPr>
          <w:lang w:val="en-AU"/>
        </w:rPr>
        <w:t xml:space="preserve"> which was assumed to be funded by the Aged Care system.</w:t>
      </w:r>
    </w:p>
    <w:p w14:paraId="45F1E1BA" w14:textId="4074BF8E" w:rsidR="00813458" w:rsidRDefault="00813458">
      <w:pPr>
        <w:rPr>
          <w:color w:val="000000" w:themeColor="text1"/>
          <w:lang w:val="en-AU" w:eastAsia="en-US"/>
        </w:rPr>
      </w:pPr>
      <w:r>
        <w:rPr>
          <w:lang w:val="en-AU"/>
        </w:rPr>
        <w:br w:type="page"/>
      </w:r>
    </w:p>
    <w:p w14:paraId="08F2E9B2" w14:textId="608020DE" w:rsidR="00F81E67" w:rsidRDefault="00CF5AFF" w:rsidP="00217053">
      <w:bookmarkStart w:id="159" w:name="_Ref42527512"/>
      <w:bookmarkStart w:id="160" w:name="_Toc60999891"/>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1">
        <w:rPr>
          <w:noProof/>
        </w:rPr>
        <w:t>-13</w:t>
      </w:r>
      <w:bookmarkEnd w:id="159"/>
      <w:r w:rsidRPr="008E680E">
        <w:t>:</w:t>
      </w:r>
      <w:r w:rsidRPr="008E680E">
        <w:tab/>
      </w:r>
      <w:r w:rsidR="00F81E67" w:rsidRPr="00847629">
        <w:t xml:space="preserve">Benefits of using AT </w:t>
      </w:r>
      <w:r w:rsidR="00861912">
        <w:t xml:space="preserve">– </w:t>
      </w:r>
      <w:r w:rsidR="00A85B3B" w:rsidRPr="00847629">
        <w:t xml:space="preserve">Person 1: </w:t>
      </w:r>
      <w:r w:rsidR="00F33447">
        <w:t>Mrs </w:t>
      </w:r>
      <w:r w:rsidR="00A85B3B" w:rsidRPr="00847629">
        <w:t>A</w:t>
      </w:r>
      <w:bookmarkEnd w:id="160"/>
    </w:p>
    <w:p w14:paraId="7473D693" w14:textId="13D54477" w:rsidR="00D251A8" w:rsidRDefault="00D251A8" w:rsidP="00A45875">
      <w:pPr>
        <w:rPr>
          <w:lang w:eastAsia="en-US"/>
        </w:rPr>
      </w:pPr>
      <w:r w:rsidRPr="00D251A8">
        <w:rPr>
          <w:noProof/>
          <w:lang w:val="en-AU" w:eastAsia="en-AU"/>
        </w:rPr>
        <w:drawing>
          <wp:inline distT="0" distB="0" distL="0" distR="0" wp14:anchorId="04FDB906" wp14:editId="1760C22F">
            <wp:extent cx="3024000" cy="2160000"/>
            <wp:effectExtent l="0" t="0" r="5080" b="12065"/>
            <wp:docPr id="28" name="Chart 28" descr="Reducing the hours for unpaid formal care support (pre-survey)&#10;Strongly agree = 4&#10;Mostly agree = 5">
              <a:extLst xmlns:a="http://schemas.openxmlformats.org/drawingml/2006/main">
                <a:ext uri="{FF2B5EF4-FFF2-40B4-BE49-F238E27FC236}">
                  <a16:creationId xmlns:a16="http://schemas.microsoft.com/office/drawing/2014/main" id="{EE9F570C-D480-4803-85CB-21BAF017A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D251A8">
        <w:rPr>
          <w:noProof/>
          <w:lang w:val="en-AU" w:eastAsia="en-AU"/>
        </w:rPr>
        <w:drawing>
          <wp:inline distT="0" distB="0" distL="0" distR="0" wp14:anchorId="77B0585A" wp14:editId="760647FB">
            <wp:extent cx="3024000" cy="2160000"/>
            <wp:effectExtent l="0" t="0" r="5080" b="12065"/>
            <wp:docPr id="39" name="Chart 39" descr="Reducing the hours for unpaid formal care support (post-survey)&#10;Strongly agree = 6&#10;Somewhat agree = 2&#10;Neither agree nor disagree = 1">
              <a:extLst xmlns:a="http://schemas.openxmlformats.org/drawingml/2006/main">
                <a:ext uri="{FF2B5EF4-FFF2-40B4-BE49-F238E27FC236}">
                  <a16:creationId xmlns:a16="http://schemas.microsoft.com/office/drawing/2014/main" id="{4018CAD2-446D-4133-8596-49C8925F75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8CF1272" w14:textId="11E9F7D3" w:rsidR="00A45875" w:rsidRPr="00A45875" w:rsidRDefault="00D251A8" w:rsidP="00A45875">
      <w:pPr>
        <w:rPr>
          <w:lang w:eastAsia="en-US"/>
        </w:rPr>
      </w:pPr>
      <w:r w:rsidRPr="00D251A8">
        <w:rPr>
          <w:noProof/>
          <w:lang w:val="en-AU" w:eastAsia="en-AU"/>
        </w:rPr>
        <w:drawing>
          <wp:inline distT="0" distB="0" distL="0" distR="0" wp14:anchorId="3891E974" wp14:editId="6A047040">
            <wp:extent cx="3024000" cy="2160000"/>
            <wp:effectExtent l="0" t="0" r="5080" b="12065"/>
            <wp:docPr id="38" name="Chart 38" descr="Reducing the hours required for paid carer support (pre-survey)&#10;Strongly agree = 4&#10;Mostly agree = 4&#10;Somewhat agree = 1">
              <a:extLst xmlns:a="http://schemas.openxmlformats.org/drawingml/2006/main">
                <a:ext uri="{FF2B5EF4-FFF2-40B4-BE49-F238E27FC236}">
                  <a16:creationId xmlns:a16="http://schemas.microsoft.com/office/drawing/2014/main" id="{CEC5E84E-23B2-46A0-92FF-5F9F499E9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D251A8">
        <w:rPr>
          <w:noProof/>
          <w:lang w:val="en-AU" w:eastAsia="en-AU"/>
        </w:rPr>
        <w:drawing>
          <wp:inline distT="0" distB="0" distL="0" distR="0" wp14:anchorId="58D26365" wp14:editId="4753420F">
            <wp:extent cx="3024000" cy="2160000"/>
            <wp:effectExtent l="0" t="0" r="5080" b="12065"/>
            <wp:docPr id="46" name="Chart 46" descr="Reducing the hours required for paid carer support (post-survey)&#10;Strongly agree = 6&#10;Mostly agree = 1&#10;Neither agree nor disagree = 1&#10;Somewhat disagree = 1&#10;">
              <a:extLst xmlns:a="http://schemas.openxmlformats.org/drawingml/2006/main">
                <a:ext uri="{FF2B5EF4-FFF2-40B4-BE49-F238E27FC236}">
                  <a16:creationId xmlns:a16="http://schemas.microsoft.com/office/drawing/2014/main" id="{D4E9B1F8-38AE-4C42-9FB8-37FBFDEB2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D251A8">
        <w:rPr>
          <w:noProof/>
          <w:lang w:val="en-AU" w:eastAsia="en-AU"/>
        </w:rPr>
        <w:drawing>
          <wp:inline distT="0" distB="0" distL="0" distR="0" wp14:anchorId="0B75BD80" wp14:editId="601A081F">
            <wp:extent cx="3024000" cy="2160000"/>
            <wp:effectExtent l="0" t="0" r="5080" b="12065"/>
            <wp:docPr id="47" name="Chart 47" descr="Reducing the hours for paid formal care support (pre-survey)&#10;Strongly agree = 4&#10;Mostly agree = 4&#10;Somewhat agree = 1&#10;">
              <a:extLst xmlns:a="http://schemas.openxmlformats.org/drawingml/2006/main">
                <a:ext uri="{FF2B5EF4-FFF2-40B4-BE49-F238E27FC236}">
                  <a16:creationId xmlns:a16="http://schemas.microsoft.com/office/drawing/2014/main" id="{35BC2FE9-B49B-468D-8719-7893B3735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D251A8">
        <w:rPr>
          <w:noProof/>
          <w:lang w:val="en-AU" w:eastAsia="en-AU"/>
        </w:rPr>
        <w:drawing>
          <wp:inline distT="0" distB="0" distL="0" distR="0" wp14:anchorId="21947A12" wp14:editId="61B682D3">
            <wp:extent cx="3024000" cy="2160000"/>
            <wp:effectExtent l="0" t="0" r="5080" b="12065"/>
            <wp:docPr id="48" name="Chart 48" descr="Reducing the hours for paid formal care support (post-survey)&#10;Strongly agree = 5&#10;Mostly agree = 2 &#10;Neither agree nor disagree = 1&#10;Somewhat disagree = 1">
              <a:extLst xmlns:a="http://schemas.openxmlformats.org/drawingml/2006/main">
                <a:ext uri="{FF2B5EF4-FFF2-40B4-BE49-F238E27FC236}">
                  <a16:creationId xmlns:a16="http://schemas.microsoft.com/office/drawing/2014/main" id="{474DF097-2967-49B8-8711-D4E54C6A0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D251A8">
        <w:rPr>
          <w:noProof/>
          <w:lang w:val="en-AU" w:eastAsia="en-AU"/>
        </w:rPr>
        <w:drawing>
          <wp:inline distT="0" distB="0" distL="0" distR="0" wp14:anchorId="3C6C0C3C" wp14:editId="31C5B245">
            <wp:extent cx="3024000" cy="2160000"/>
            <wp:effectExtent l="0" t="0" r="5080" b="12065"/>
            <wp:docPr id="50" name="Chart 50" descr="Reducing the number of GP visits (pre-survey)&#10;Strongly agree = 1&#10;Mostly agree = 2&#10;Somewhat agree = 2&#10;Neither agree nor disagree = 2&#10;Somewhat disagree = 2">
              <a:extLst xmlns:a="http://schemas.openxmlformats.org/drawingml/2006/main">
                <a:ext uri="{FF2B5EF4-FFF2-40B4-BE49-F238E27FC236}">
                  <a16:creationId xmlns:a16="http://schemas.microsoft.com/office/drawing/2014/main" id="{ADEC644C-2ABF-4734-A4E0-9336466DF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D251A8">
        <w:rPr>
          <w:noProof/>
          <w:lang w:val="en-AU" w:eastAsia="en-AU"/>
        </w:rPr>
        <w:drawing>
          <wp:inline distT="0" distB="0" distL="0" distR="0" wp14:anchorId="598A6791" wp14:editId="0854BDD6">
            <wp:extent cx="3024000" cy="2160000"/>
            <wp:effectExtent l="0" t="0" r="5080" b="12065"/>
            <wp:docPr id="51" name="Chart 51" descr="Reducing the number of GP visits (post-survey)&#10;Strongly agree = 1&#10;Mostly agree = 1&#10;Somewhat agree = 2&#10;Neither agree nor disagree = 4&#10;Somewhat disagree = 1">
              <a:extLst xmlns:a="http://schemas.openxmlformats.org/drawingml/2006/main">
                <a:ext uri="{FF2B5EF4-FFF2-40B4-BE49-F238E27FC236}">
                  <a16:creationId xmlns:a16="http://schemas.microsoft.com/office/drawing/2014/main" id="{A5577C71-6F0A-4F45-A5F0-E7DBE26D9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D251A8">
        <w:rPr>
          <w:noProof/>
          <w:lang w:val="en-AU" w:eastAsia="en-AU"/>
        </w:rPr>
        <w:lastRenderedPageBreak/>
        <w:drawing>
          <wp:inline distT="0" distB="0" distL="0" distR="0" wp14:anchorId="6F948325" wp14:editId="36037A22">
            <wp:extent cx="3024000" cy="2160000"/>
            <wp:effectExtent l="0" t="0" r="5080" b="12065"/>
            <wp:docPr id="52" name="Chart 52" descr="Reducing the number of hospital admissions through the emergency department (pre-survey)&#10;Strongly agree = 1&#10;Mostly agree = 3&#10;Somewhat agree = 1&#10;Neither agree nor disagree = 3&#10;Somewhat disagree = 1">
              <a:extLst xmlns:a="http://schemas.openxmlformats.org/drawingml/2006/main">
                <a:ext uri="{FF2B5EF4-FFF2-40B4-BE49-F238E27FC236}">
                  <a16:creationId xmlns:a16="http://schemas.microsoft.com/office/drawing/2014/main" id="{E3370671-3F02-41F9-B66F-ADDEDD9E7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D251A8">
        <w:rPr>
          <w:noProof/>
          <w:lang w:val="en-AU" w:eastAsia="en-AU"/>
        </w:rPr>
        <w:drawing>
          <wp:inline distT="0" distB="0" distL="0" distR="0" wp14:anchorId="2DD61146" wp14:editId="3E713774">
            <wp:extent cx="3024000" cy="2160000"/>
            <wp:effectExtent l="0" t="0" r="5080" b="12065"/>
            <wp:docPr id="10" name="Chart 10" descr="Reducing the number of hospital admissions through the emergency department (post-survey)&#10;Strongly agree = 3&#10;Somewhat agree = 2&#10;Neither agree nor disagree = 3&#10;Somewhat disagree = 1">
              <a:extLst xmlns:a="http://schemas.openxmlformats.org/drawingml/2006/main">
                <a:ext uri="{FF2B5EF4-FFF2-40B4-BE49-F238E27FC236}">
                  <a16:creationId xmlns:a16="http://schemas.microsoft.com/office/drawing/2014/main" id="{631F53B9-AF8E-4326-B994-9BF977A70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D251A8">
        <w:rPr>
          <w:noProof/>
          <w:lang w:val="en-AU" w:eastAsia="en-AU"/>
        </w:rPr>
        <w:drawing>
          <wp:inline distT="0" distB="0" distL="0" distR="0" wp14:anchorId="1F9AC28F" wp14:editId="18693376">
            <wp:extent cx="3024000" cy="2160000"/>
            <wp:effectExtent l="0" t="0" r="5080" b="12065"/>
            <wp:docPr id="53" name="Chart 53" descr="Reducing days spent in respite care (pre-survey)&#10;Strongly agree = 2&#10;Mostly agree = 3&#10;Neither agree nor disagree = 4">
              <a:extLst xmlns:a="http://schemas.openxmlformats.org/drawingml/2006/main">
                <a:ext uri="{FF2B5EF4-FFF2-40B4-BE49-F238E27FC236}">
                  <a16:creationId xmlns:a16="http://schemas.microsoft.com/office/drawing/2014/main" id="{C8E3ECC4-EE3D-455C-95F5-77F7A6B88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D251A8">
        <w:rPr>
          <w:noProof/>
          <w:lang w:val="en-AU" w:eastAsia="en-AU"/>
        </w:rPr>
        <w:drawing>
          <wp:inline distT="0" distB="0" distL="0" distR="0" wp14:anchorId="58BCBC06" wp14:editId="16E7F2F0">
            <wp:extent cx="3024000" cy="2160000"/>
            <wp:effectExtent l="0" t="0" r="5080" b="12065"/>
            <wp:docPr id="57" name="Chart 57" descr="Reducing days spent in respite care (post-survey)&#10;Strongly agree = 5&#10;Somewhat agree = 3&#10;Neither agree nor disagree = 1">
              <a:extLst xmlns:a="http://schemas.openxmlformats.org/drawingml/2006/main">
                <a:ext uri="{FF2B5EF4-FFF2-40B4-BE49-F238E27FC236}">
                  <a16:creationId xmlns:a16="http://schemas.microsoft.com/office/drawing/2014/main" id="{2E707AF7-519A-42B2-9D36-384B2B8AE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D251A8">
        <w:rPr>
          <w:noProof/>
          <w:lang w:val="en-AU" w:eastAsia="en-AU"/>
        </w:rPr>
        <w:drawing>
          <wp:inline distT="0" distB="0" distL="0" distR="0" wp14:anchorId="5BDF9FD2" wp14:editId="5B5F9616">
            <wp:extent cx="3024000" cy="2160000"/>
            <wp:effectExtent l="0" t="0" r="5080" b="12065"/>
            <wp:docPr id="56" name="Chart 56" descr="Reducing or delaying the need for residential aged care (pre-survey)&#10;Strongly agree = 2&#10;Mostly agree = 2&#10;Somewhat agree = 4&#10;Neither agree nor disagree = 1">
              <a:extLst xmlns:a="http://schemas.openxmlformats.org/drawingml/2006/main">
                <a:ext uri="{FF2B5EF4-FFF2-40B4-BE49-F238E27FC236}">
                  <a16:creationId xmlns:a16="http://schemas.microsoft.com/office/drawing/2014/main" id="{315C09FF-0085-45C4-A81E-EDD01C615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D251A8">
        <w:rPr>
          <w:noProof/>
          <w:lang w:val="en-AU" w:eastAsia="en-AU"/>
        </w:rPr>
        <w:drawing>
          <wp:inline distT="0" distB="0" distL="0" distR="0" wp14:anchorId="1F7FEC87" wp14:editId="7D0DACF8">
            <wp:extent cx="3024000" cy="2160000"/>
            <wp:effectExtent l="0" t="0" r="5080" b="12065"/>
            <wp:docPr id="58" name="Chart 58" descr="Reducing or delaying the need for residential aged care (post-survey)&#10;Strongly agree = 5&#10;Somewhat agree = 1&#10;Neither agree nor disagree = 3">
              <a:extLst xmlns:a="http://schemas.openxmlformats.org/drawingml/2006/main">
                <a:ext uri="{FF2B5EF4-FFF2-40B4-BE49-F238E27FC236}">
                  <a16:creationId xmlns:a16="http://schemas.microsoft.com/office/drawing/2014/main" id="{F32A5CEA-C53B-47AC-900D-2A8B5358A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9DEAC75" w14:textId="11FDED47" w:rsidR="00F81E67" w:rsidRPr="00847629" w:rsidRDefault="00F81E67" w:rsidP="00655FE1">
      <w:r w:rsidRPr="00847629">
        <w:br w:type="page"/>
      </w:r>
    </w:p>
    <w:p w14:paraId="2E8AD175" w14:textId="7A7ED8A2" w:rsidR="00F81E67" w:rsidRPr="00847629" w:rsidRDefault="00CF5AFF" w:rsidP="00217053">
      <w:bookmarkStart w:id="161" w:name="_Toc60999892"/>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1">
        <w:rPr>
          <w:noProof/>
        </w:rPr>
        <w:t>-14</w:t>
      </w:r>
      <w:r w:rsidRPr="008E680E">
        <w:t>:</w:t>
      </w:r>
      <w:r w:rsidRPr="008E680E">
        <w:tab/>
      </w:r>
      <w:r w:rsidR="00F81E67" w:rsidRPr="00847629">
        <w:t xml:space="preserve">Benefits of using AT </w:t>
      </w:r>
      <w:r w:rsidR="006562A1">
        <w:t xml:space="preserve">- </w:t>
      </w:r>
      <w:r w:rsidR="00A85B3B" w:rsidRPr="00847629">
        <w:t xml:space="preserve">Person 2: </w:t>
      </w:r>
      <w:r w:rsidR="00F33447">
        <w:t>Mr </w:t>
      </w:r>
      <w:r w:rsidR="00A85B3B" w:rsidRPr="00847629">
        <w:t>B</w:t>
      </w:r>
      <w:bookmarkEnd w:id="161"/>
    </w:p>
    <w:p w14:paraId="72266A25" w14:textId="2BE34A2F" w:rsidR="00BE1FDC" w:rsidRDefault="008A7B12" w:rsidP="00655FE1">
      <w:r w:rsidRPr="008A7B12">
        <w:rPr>
          <w:noProof/>
          <w:lang w:val="en-AU" w:eastAsia="en-AU"/>
        </w:rPr>
        <w:drawing>
          <wp:inline distT="0" distB="0" distL="0" distR="0" wp14:anchorId="66AE7388" wp14:editId="10B1A447">
            <wp:extent cx="3024000" cy="2160000"/>
            <wp:effectExtent l="0" t="0" r="5080" b="12065"/>
            <wp:docPr id="448" name="Chart 448" descr="Reducing the hours for unpaid formal care support (pre-survey)&#10;Strongly agree = 3&#10;Mostly agree = 3&#10;Somewhat agree = 2&#10;Neither agree nor disagree = 1">
              <a:extLst xmlns:a="http://schemas.openxmlformats.org/drawingml/2006/main">
                <a:ext uri="{FF2B5EF4-FFF2-40B4-BE49-F238E27FC236}">
                  <a16:creationId xmlns:a16="http://schemas.microsoft.com/office/drawing/2014/main" id="{5DBDE220-5E30-4FE0-8AA0-97D79D51D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8A7B12">
        <w:rPr>
          <w:noProof/>
          <w:lang w:val="en-AU" w:eastAsia="en-AU"/>
        </w:rPr>
        <w:drawing>
          <wp:inline distT="0" distB="0" distL="0" distR="0" wp14:anchorId="59ABFB50" wp14:editId="09F7E6C7">
            <wp:extent cx="3024000" cy="2160000"/>
            <wp:effectExtent l="0" t="0" r="5080" b="12065"/>
            <wp:docPr id="485" name="Chart 485" descr="Reducing the hours for unpaid formal care support (post-survey)&#10;Strongly agree = 4&#10;Mostly agree = 2&#10;Somewhat agree = 2&#10;Neither agree nor disagree = 1">
              <a:extLst xmlns:a="http://schemas.openxmlformats.org/drawingml/2006/main">
                <a:ext uri="{FF2B5EF4-FFF2-40B4-BE49-F238E27FC236}">
                  <a16:creationId xmlns:a16="http://schemas.microsoft.com/office/drawing/2014/main" id="{6F9BC237-962B-48C6-8A2B-515AABFD5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8A7B12">
        <w:rPr>
          <w:noProof/>
          <w:lang w:val="en-AU" w:eastAsia="en-AU"/>
        </w:rPr>
        <w:drawing>
          <wp:inline distT="0" distB="0" distL="0" distR="0" wp14:anchorId="208FA599" wp14:editId="065D0F80">
            <wp:extent cx="3024000" cy="2160000"/>
            <wp:effectExtent l="0" t="0" r="5080" b="12065"/>
            <wp:docPr id="460" name="Chart 460" descr="Reducing the hours required for paid carer support (pre-survey)&#10;Strongly agree = 2&#10;Mostly agree = 3&#10;Somewhat agree = 3&#10;Somewhat disagree = 1">
              <a:extLst xmlns:a="http://schemas.openxmlformats.org/drawingml/2006/main">
                <a:ext uri="{FF2B5EF4-FFF2-40B4-BE49-F238E27FC236}">
                  <a16:creationId xmlns:a16="http://schemas.microsoft.com/office/drawing/2014/main" id="{7A01CDBE-F15C-4CA3-A8FB-B64812175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8A7B12">
        <w:rPr>
          <w:noProof/>
          <w:lang w:val="en-AU" w:eastAsia="en-AU"/>
        </w:rPr>
        <w:drawing>
          <wp:inline distT="0" distB="0" distL="0" distR="0" wp14:anchorId="12EB2095" wp14:editId="3B28659C">
            <wp:extent cx="3024000" cy="2160000"/>
            <wp:effectExtent l="0" t="0" r="5080" b="12065"/>
            <wp:docPr id="486" name="Chart 486" descr="Reducing the hours required for paid carer support (post-survey)&#10;Strongly agree = 5&#10;Mostly agree = 1&#10;Neither agree nor disagree = 3">
              <a:extLst xmlns:a="http://schemas.openxmlformats.org/drawingml/2006/main">
                <a:ext uri="{FF2B5EF4-FFF2-40B4-BE49-F238E27FC236}">
                  <a16:creationId xmlns:a16="http://schemas.microsoft.com/office/drawing/2014/main" id="{3D7A7519-285D-40EB-81D5-7F7416DF4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8A7B12">
        <w:rPr>
          <w:noProof/>
          <w:lang w:val="en-AU" w:eastAsia="en-AU"/>
        </w:rPr>
        <w:drawing>
          <wp:inline distT="0" distB="0" distL="0" distR="0" wp14:anchorId="7B6BA501" wp14:editId="17CEEFC9">
            <wp:extent cx="3024000" cy="2160000"/>
            <wp:effectExtent l="0" t="0" r="5080" b="12065"/>
            <wp:docPr id="480" name="Chart 480" descr="Reducing the hours for paid formal care support (pre-survey)&#10;Strongly agree = 1&#10;Mostly agree = 3&#10;Somewhat agree = 2&#10;Neither agree nor disagree = 2&#10;Mostly disagree = 1">
              <a:extLst xmlns:a="http://schemas.openxmlformats.org/drawingml/2006/main">
                <a:ext uri="{FF2B5EF4-FFF2-40B4-BE49-F238E27FC236}">
                  <a16:creationId xmlns:a16="http://schemas.microsoft.com/office/drawing/2014/main" id="{42ECDD20-70B8-4995-A4C6-914589343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8A7B12">
        <w:rPr>
          <w:noProof/>
          <w:lang w:val="en-AU" w:eastAsia="en-AU"/>
        </w:rPr>
        <w:drawing>
          <wp:inline distT="0" distB="0" distL="0" distR="0" wp14:anchorId="3AC4423D" wp14:editId="78D1AAE3">
            <wp:extent cx="3024000" cy="2160000"/>
            <wp:effectExtent l="0" t="0" r="5080" b="12065"/>
            <wp:docPr id="487" name="Chart 487" descr="Reducing the hours for paid formal care support (post-survey)&#10;Strongly agree = 3&#10;Mostly agree = 2&#10;Somewhat agree = 1&#10;Neither agree nor disagree = 3">
              <a:extLst xmlns:a="http://schemas.openxmlformats.org/drawingml/2006/main">
                <a:ext uri="{FF2B5EF4-FFF2-40B4-BE49-F238E27FC236}">
                  <a16:creationId xmlns:a16="http://schemas.microsoft.com/office/drawing/2014/main" id="{DEE270F8-99E2-42EA-A9DB-DA67EA2B2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8A7B12">
        <w:rPr>
          <w:noProof/>
          <w:lang w:val="en-AU" w:eastAsia="en-AU"/>
        </w:rPr>
        <w:drawing>
          <wp:inline distT="0" distB="0" distL="0" distR="0" wp14:anchorId="5BB26091" wp14:editId="1E95C180">
            <wp:extent cx="3024000" cy="2160000"/>
            <wp:effectExtent l="0" t="0" r="5080" b="12065"/>
            <wp:docPr id="481" name="Chart 481" descr="Reducing the number of GP visits (pre-survey)&#10;Mostly agree = 4&#10;Somewhat agree = 2&#10;Neither agree nor disagree = 1&#10;Mostly disagree = 2">
              <a:extLst xmlns:a="http://schemas.openxmlformats.org/drawingml/2006/main">
                <a:ext uri="{FF2B5EF4-FFF2-40B4-BE49-F238E27FC236}">
                  <a16:creationId xmlns:a16="http://schemas.microsoft.com/office/drawing/2014/main" id="{F7C15F60-800F-463E-B6A1-2A04ED7B5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8A7B12">
        <w:rPr>
          <w:noProof/>
          <w:lang w:val="en-AU" w:eastAsia="en-AU"/>
        </w:rPr>
        <w:drawing>
          <wp:inline distT="0" distB="0" distL="0" distR="0" wp14:anchorId="4A96CB9F" wp14:editId="722D08DD">
            <wp:extent cx="3024000" cy="2160000"/>
            <wp:effectExtent l="0" t="0" r="5080" b="12065"/>
            <wp:docPr id="488" name="Chart 488" descr="Reducing the number of GP visits (post-survey)&#10;Strongly agree = 1&#10;Mostly agree = 2&#10;Somewhat agree = 2&#10;Neither agree nor disagree = 3&#10;Somewhat disagree = 1">
              <a:extLst xmlns:a="http://schemas.openxmlformats.org/drawingml/2006/main">
                <a:ext uri="{FF2B5EF4-FFF2-40B4-BE49-F238E27FC236}">
                  <a16:creationId xmlns:a16="http://schemas.microsoft.com/office/drawing/2014/main" id="{3C90523A-C66D-49C7-B282-68F016C7C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8A7B12">
        <w:rPr>
          <w:noProof/>
          <w:lang w:val="en-AU" w:eastAsia="en-AU"/>
        </w:rPr>
        <w:lastRenderedPageBreak/>
        <w:drawing>
          <wp:inline distT="0" distB="0" distL="0" distR="0" wp14:anchorId="6839C1C3" wp14:editId="44B9FD6C">
            <wp:extent cx="3024000" cy="2160000"/>
            <wp:effectExtent l="0" t="0" r="5080" b="12065"/>
            <wp:docPr id="482" name="Chart 482" descr="Reducing the number of hospital admissions through the emergency department (pre-survey)&#10;Mostly agree = 5&#10;Somewhat agree = 1&#10;Neither agree nor disagree = 2&#10;Strongly disagree = 1">
              <a:extLst xmlns:a="http://schemas.openxmlformats.org/drawingml/2006/main">
                <a:ext uri="{FF2B5EF4-FFF2-40B4-BE49-F238E27FC236}">
                  <a16:creationId xmlns:a16="http://schemas.microsoft.com/office/drawing/2014/main" id="{D6AB7C62-47FD-4738-A80C-4D5CCFF8A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8A7B12">
        <w:rPr>
          <w:noProof/>
          <w:lang w:val="en-AU" w:eastAsia="en-AU"/>
        </w:rPr>
        <w:drawing>
          <wp:inline distT="0" distB="0" distL="0" distR="0" wp14:anchorId="7704BCE0" wp14:editId="2E3BEAE2">
            <wp:extent cx="3024000" cy="2160000"/>
            <wp:effectExtent l="0" t="0" r="5080" b="12065"/>
            <wp:docPr id="489" name="Chart 489" descr="Reducing the number of hospital admissions through the emergency department (post-survey)&#10;Strongly agree = 4&#10;Mostly agree = 2&#10;Somewhat agree = 1&#10;Neither agree nor disagree = 2">
              <a:extLst xmlns:a="http://schemas.openxmlformats.org/drawingml/2006/main">
                <a:ext uri="{FF2B5EF4-FFF2-40B4-BE49-F238E27FC236}">
                  <a16:creationId xmlns:a16="http://schemas.microsoft.com/office/drawing/2014/main" id="{C482A4C7-2DB9-4E84-BD01-6964F8A85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8A7B12">
        <w:rPr>
          <w:noProof/>
          <w:lang w:val="en-AU" w:eastAsia="en-AU"/>
        </w:rPr>
        <w:drawing>
          <wp:inline distT="0" distB="0" distL="0" distR="0" wp14:anchorId="32639BB1" wp14:editId="4BAEA0FD">
            <wp:extent cx="3024000" cy="2160000"/>
            <wp:effectExtent l="0" t="0" r="5080" b="12065"/>
            <wp:docPr id="483" name="Chart 483" descr="Reducing days spent in respite care (pre-survey)&#10;Strongly agree = 1&#10;Mostly agree = 4&#10;Somewhat agree = 1&#10;Neither agree nor disagree = 2&#10;Somewhat disagree = 1">
              <a:extLst xmlns:a="http://schemas.openxmlformats.org/drawingml/2006/main">
                <a:ext uri="{FF2B5EF4-FFF2-40B4-BE49-F238E27FC236}">
                  <a16:creationId xmlns:a16="http://schemas.microsoft.com/office/drawing/2014/main" id="{D497B925-E151-43D4-A95E-DEE4836CE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8A7B12">
        <w:rPr>
          <w:noProof/>
          <w:lang w:val="en-AU" w:eastAsia="en-AU"/>
        </w:rPr>
        <w:drawing>
          <wp:inline distT="0" distB="0" distL="0" distR="0" wp14:anchorId="49A1C2B8" wp14:editId="0562EF4B">
            <wp:extent cx="3024000" cy="2160000"/>
            <wp:effectExtent l="0" t="0" r="5080" b="12065"/>
            <wp:docPr id="490" name="Chart 490" descr="Reducing days spent in respite care (post-survey)&#10;Strongly agree = 3&#10;Mostly agree = 2&#10;Somewhat agree = 2&#10;Neither agree nor disagree = 2">
              <a:extLst xmlns:a="http://schemas.openxmlformats.org/drawingml/2006/main">
                <a:ext uri="{FF2B5EF4-FFF2-40B4-BE49-F238E27FC236}">
                  <a16:creationId xmlns:a16="http://schemas.microsoft.com/office/drawing/2014/main" id="{3F2F5FD2-D52E-42C7-A0F0-32DD0F20B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8A7B12">
        <w:rPr>
          <w:noProof/>
          <w:lang w:val="en-AU" w:eastAsia="en-AU"/>
        </w:rPr>
        <w:drawing>
          <wp:inline distT="0" distB="0" distL="0" distR="0" wp14:anchorId="0CCB6635" wp14:editId="3F82BA82">
            <wp:extent cx="3024000" cy="2160000"/>
            <wp:effectExtent l="0" t="0" r="5080" b="12065"/>
            <wp:docPr id="484" name="Chart 484" descr="Reducing or delaying the need for residential aged care (pre-survey)&#10;Strongly agree = 1&#10;Mostly agree = 4&#10;Somewhat agree = 1&#10;Neither agree nor disagree = 2&#10;Somewhat disagree = 1">
              <a:extLst xmlns:a="http://schemas.openxmlformats.org/drawingml/2006/main">
                <a:ext uri="{FF2B5EF4-FFF2-40B4-BE49-F238E27FC236}">
                  <a16:creationId xmlns:a16="http://schemas.microsoft.com/office/drawing/2014/main" id="{1EE510A8-7E80-4553-AF91-4E78F658F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8A7B12">
        <w:rPr>
          <w:noProof/>
          <w:lang w:val="en-AU" w:eastAsia="en-AU"/>
        </w:rPr>
        <w:drawing>
          <wp:inline distT="0" distB="0" distL="0" distR="0" wp14:anchorId="7B0511FA" wp14:editId="1539D1CA">
            <wp:extent cx="3024000" cy="2160000"/>
            <wp:effectExtent l="0" t="0" r="5080" b="12065"/>
            <wp:docPr id="491" name="Chart 491" descr="Reducing or delaying the need for residential aged care (post-survey)&#10;Strongly agree = 5&#10;Mostly agree = 1&#10;Somewhat agree = 1&#10;Neither agree nor disagree = 2">
              <a:extLst xmlns:a="http://schemas.openxmlformats.org/drawingml/2006/main">
                <a:ext uri="{FF2B5EF4-FFF2-40B4-BE49-F238E27FC236}">
                  <a16:creationId xmlns:a16="http://schemas.microsoft.com/office/drawing/2014/main" id="{7CF4DF9F-A5AE-452C-9D46-D36E7A099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2188913" w14:textId="6D8DD404" w:rsidR="00F81E67" w:rsidRPr="00655FE1" w:rsidRDefault="00F81E67" w:rsidP="00655FE1">
      <w:r w:rsidRPr="00655FE1">
        <w:br w:type="page"/>
      </w:r>
    </w:p>
    <w:p w14:paraId="424F7891" w14:textId="40B3C80A" w:rsidR="00F81E67" w:rsidRDefault="00CF5AFF" w:rsidP="00217053">
      <w:bookmarkStart w:id="162" w:name="_Toc60999893"/>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1">
        <w:rPr>
          <w:noProof/>
        </w:rPr>
        <w:t>-15</w:t>
      </w:r>
      <w:r w:rsidRPr="008E680E">
        <w:t>:</w:t>
      </w:r>
      <w:r w:rsidRPr="008E680E">
        <w:tab/>
      </w:r>
      <w:r w:rsidR="00F81E67" w:rsidRPr="00847629">
        <w:t xml:space="preserve">Benefits of using AT </w:t>
      </w:r>
      <w:r w:rsidR="00861912">
        <w:t xml:space="preserve">– </w:t>
      </w:r>
      <w:r w:rsidR="00A85B3B" w:rsidRPr="00847629">
        <w:t xml:space="preserve">Person 3: </w:t>
      </w:r>
      <w:r w:rsidR="00F33447">
        <w:t>Ms </w:t>
      </w:r>
      <w:r w:rsidR="00A85B3B" w:rsidRPr="00847629">
        <w:t>C</w:t>
      </w:r>
      <w:bookmarkEnd w:id="162"/>
    </w:p>
    <w:p w14:paraId="3AB18A01" w14:textId="458A9173" w:rsidR="00BE1FDC" w:rsidRDefault="0024160A" w:rsidP="00043F59">
      <w:pPr>
        <w:rPr>
          <w:lang w:eastAsia="en-US"/>
        </w:rPr>
      </w:pPr>
      <w:r w:rsidRPr="0024160A">
        <w:rPr>
          <w:noProof/>
          <w:lang w:val="en-AU" w:eastAsia="en-AU"/>
        </w:rPr>
        <w:drawing>
          <wp:inline distT="0" distB="0" distL="0" distR="0" wp14:anchorId="1C5AFB8B" wp14:editId="6631ED93">
            <wp:extent cx="3024000" cy="2160000"/>
            <wp:effectExtent l="0" t="0" r="5080" b="12065"/>
            <wp:docPr id="492" name="Chart 492" descr="Reducing the hours for unpaid formal care support (pre-survey)&#10;Strongly agree = 4&#10;Mostly agree = 3&#10;Somewhat agree = 1&#10;Neither agree nor disagree = 1">
              <a:extLst xmlns:a="http://schemas.openxmlformats.org/drawingml/2006/main">
                <a:ext uri="{FF2B5EF4-FFF2-40B4-BE49-F238E27FC236}">
                  <a16:creationId xmlns:a16="http://schemas.microsoft.com/office/drawing/2014/main" id="{BBF7F169-DCA1-4105-80F0-B02A732B3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24160A">
        <w:rPr>
          <w:noProof/>
          <w:lang w:val="en-AU" w:eastAsia="en-AU"/>
        </w:rPr>
        <w:drawing>
          <wp:inline distT="0" distB="0" distL="0" distR="0" wp14:anchorId="5D916624" wp14:editId="24740D46">
            <wp:extent cx="3024000" cy="2160000"/>
            <wp:effectExtent l="0" t="0" r="5080" b="12065"/>
            <wp:docPr id="499" name="Chart 499" descr="Reducing the hours for unpaid formal care support (post-survey)&#10;Strongly agree = 4&#10;Mostly agree = 1&#10;Somewhat agree = 3&#10;Somewhat disagree = 1">
              <a:extLst xmlns:a="http://schemas.openxmlformats.org/drawingml/2006/main">
                <a:ext uri="{FF2B5EF4-FFF2-40B4-BE49-F238E27FC236}">
                  <a16:creationId xmlns:a16="http://schemas.microsoft.com/office/drawing/2014/main" id="{2730CAB2-98FE-415E-9A6E-901B4BE46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24160A">
        <w:rPr>
          <w:noProof/>
          <w:lang w:val="en-AU" w:eastAsia="en-AU"/>
        </w:rPr>
        <w:drawing>
          <wp:inline distT="0" distB="0" distL="0" distR="0" wp14:anchorId="259DEF52" wp14:editId="132E0D59">
            <wp:extent cx="3024000" cy="2160000"/>
            <wp:effectExtent l="0" t="0" r="5080" b="12065"/>
            <wp:docPr id="493" name="Chart 493" descr="Reducing the hours required for paid carer support (pre-survey)&#10;Strongly agree = 4&#10;Mostly agree = 3&#10;Neither agree nor disagree = 2">
              <a:extLst xmlns:a="http://schemas.openxmlformats.org/drawingml/2006/main">
                <a:ext uri="{FF2B5EF4-FFF2-40B4-BE49-F238E27FC236}">
                  <a16:creationId xmlns:a16="http://schemas.microsoft.com/office/drawing/2014/main" id="{8DF1E436-B4C8-4977-9285-8B0289038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24160A">
        <w:rPr>
          <w:noProof/>
          <w:lang w:val="en-AU" w:eastAsia="en-AU"/>
        </w:rPr>
        <w:drawing>
          <wp:inline distT="0" distB="0" distL="0" distR="0" wp14:anchorId="10D86ABA" wp14:editId="68C2DDC8">
            <wp:extent cx="3024000" cy="2160000"/>
            <wp:effectExtent l="0" t="0" r="5080" b="12065"/>
            <wp:docPr id="500" name="Chart 500" descr="Reducing the hours required for paid carer support (post-survey)&#10;Strongly agree = 4&#10;Mostly agree = 1&#10;Somewhat agree = 3&#10;Neither agree nor disagree = 1">
              <a:extLst xmlns:a="http://schemas.openxmlformats.org/drawingml/2006/main">
                <a:ext uri="{FF2B5EF4-FFF2-40B4-BE49-F238E27FC236}">
                  <a16:creationId xmlns:a16="http://schemas.microsoft.com/office/drawing/2014/main" id="{201EE0AC-5439-4862-A49F-9207C1E05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24160A">
        <w:rPr>
          <w:noProof/>
          <w:lang w:val="en-AU" w:eastAsia="en-AU"/>
        </w:rPr>
        <w:drawing>
          <wp:inline distT="0" distB="0" distL="0" distR="0" wp14:anchorId="1C4F10D3" wp14:editId="16C32251">
            <wp:extent cx="3024000" cy="2160000"/>
            <wp:effectExtent l="0" t="0" r="5080" b="12065"/>
            <wp:docPr id="494" name="Chart 494" descr="Reducing the hours for paid formal care support (pre-survey)&#10;Strongly agree = 3&#10;Mostly agree = 2&#10;Somewhat agree = 1&#10;Neither agree nor disagree = 1&#10;Somewhat disagree = 2">
              <a:extLst xmlns:a="http://schemas.openxmlformats.org/drawingml/2006/main">
                <a:ext uri="{FF2B5EF4-FFF2-40B4-BE49-F238E27FC236}">
                  <a16:creationId xmlns:a16="http://schemas.microsoft.com/office/drawing/2014/main" id="{D0D22DC4-D61D-47A5-9F49-449ADF6D0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24160A">
        <w:rPr>
          <w:noProof/>
          <w:lang w:val="en-AU" w:eastAsia="en-AU"/>
        </w:rPr>
        <w:drawing>
          <wp:inline distT="0" distB="0" distL="0" distR="0" wp14:anchorId="49F6E13A" wp14:editId="57083D0A">
            <wp:extent cx="3024000" cy="2160000"/>
            <wp:effectExtent l="0" t="0" r="5080" b="12065"/>
            <wp:docPr id="501" name="Chart 501" descr="Reducing the hours for paid formal care support (post-survey)&#10;Strongly agree = 4&#10;Mostly agree = 1&#10;Somewhat agree = 2&#10;Neither agree nor disagree = 1&#10;Somewhat disagree = 1">
              <a:extLst xmlns:a="http://schemas.openxmlformats.org/drawingml/2006/main">
                <a:ext uri="{FF2B5EF4-FFF2-40B4-BE49-F238E27FC236}">
                  <a16:creationId xmlns:a16="http://schemas.microsoft.com/office/drawing/2014/main" id="{5E248F58-8A60-4841-A1C2-D337F4D35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24160A">
        <w:rPr>
          <w:noProof/>
          <w:lang w:val="en-AU" w:eastAsia="en-AU"/>
        </w:rPr>
        <w:drawing>
          <wp:inline distT="0" distB="0" distL="0" distR="0" wp14:anchorId="1B402F5D" wp14:editId="721A8AA3">
            <wp:extent cx="3024000" cy="2160000"/>
            <wp:effectExtent l="0" t="0" r="5080" b="12065"/>
            <wp:docPr id="495" name="Chart 495" descr="Reducing the number of GP visits (pre-survey)&#10;Strongly agree = 3&#10;Mostly agree = 2&#10;Somewhat agree = 1&#10;Neither agree nor disagree = 1&#10;Mostly disagree = 1&#10;Strongly disagree = 1">
              <a:extLst xmlns:a="http://schemas.openxmlformats.org/drawingml/2006/main">
                <a:ext uri="{FF2B5EF4-FFF2-40B4-BE49-F238E27FC236}">
                  <a16:creationId xmlns:a16="http://schemas.microsoft.com/office/drawing/2014/main" id="{4E8C3277-90FC-4E17-B783-911A2F15D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24160A">
        <w:rPr>
          <w:noProof/>
          <w:lang w:val="en-AU" w:eastAsia="en-AU"/>
        </w:rPr>
        <w:drawing>
          <wp:inline distT="0" distB="0" distL="0" distR="0" wp14:anchorId="73FD3392" wp14:editId="7F457F87">
            <wp:extent cx="3024000" cy="2160000"/>
            <wp:effectExtent l="0" t="0" r="5080" b="12065"/>
            <wp:docPr id="502" name="Chart 502" descr="Reducing the number of GP visits (post-survey)&#10;Strongly agree = 1&#10;Mostly agree = 1&#10;Somewhat agree = 3&#10;Neither agree nor disagree = 3&#10;Somewhat disagree = 1">
              <a:extLst xmlns:a="http://schemas.openxmlformats.org/drawingml/2006/main">
                <a:ext uri="{FF2B5EF4-FFF2-40B4-BE49-F238E27FC236}">
                  <a16:creationId xmlns:a16="http://schemas.microsoft.com/office/drawing/2014/main" id="{3189286C-3ABC-4EC4-93C4-F616F99D0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24160A">
        <w:rPr>
          <w:noProof/>
          <w:lang w:val="en-AU" w:eastAsia="en-AU"/>
        </w:rPr>
        <w:lastRenderedPageBreak/>
        <w:drawing>
          <wp:inline distT="0" distB="0" distL="0" distR="0" wp14:anchorId="441BD6D6" wp14:editId="283A6909">
            <wp:extent cx="3024000" cy="2160000"/>
            <wp:effectExtent l="0" t="0" r="5080" b="12065"/>
            <wp:docPr id="496" name="Chart 496" descr="Reducing the number of hospital admissions through the emergency department (pre-survey)&#10;Strongly agree = 2&#10;Mostly agree = 5&#10;Somewhat agree = 1&#10;Mostly disagree = 1">
              <a:extLst xmlns:a="http://schemas.openxmlformats.org/drawingml/2006/main">
                <a:ext uri="{FF2B5EF4-FFF2-40B4-BE49-F238E27FC236}">
                  <a16:creationId xmlns:a16="http://schemas.microsoft.com/office/drawing/2014/main" id="{EFF710F5-994E-4685-B439-A3A7E06C6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24160A">
        <w:rPr>
          <w:noProof/>
          <w:lang w:val="en-AU" w:eastAsia="en-AU"/>
        </w:rPr>
        <w:drawing>
          <wp:inline distT="0" distB="0" distL="0" distR="0" wp14:anchorId="5E3DF072" wp14:editId="63DC5602">
            <wp:extent cx="3024000" cy="2160000"/>
            <wp:effectExtent l="0" t="0" r="5080" b="12065"/>
            <wp:docPr id="503" name="Chart 503" descr="Reducing the number of hospital admissions through the emergency department (post-survey)&#10;Strongly agree = 2&#10;Mostly agree = 4&#10;Somewhat agree = 1&#10;Neither agree nor disagree = 2">
              <a:extLst xmlns:a="http://schemas.openxmlformats.org/drawingml/2006/main">
                <a:ext uri="{FF2B5EF4-FFF2-40B4-BE49-F238E27FC236}">
                  <a16:creationId xmlns:a16="http://schemas.microsoft.com/office/drawing/2014/main" id="{827115E9-EB7D-431E-9E82-A075CFB8A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24160A">
        <w:rPr>
          <w:noProof/>
          <w:lang w:val="en-AU" w:eastAsia="en-AU"/>
        </w:rPr>
        <w:drawing>
          <wp:inline distT="0" distB="0" distL="0" distR="0" wp14:anchorId="54DC5A0F" wp14:editId="16DC7F78">
            <wp:extent cx="3024000" cy="2160000"/>
            <wp:effectExtent l="0" t="0" r="5080" b="12065"/>
            <wp:docPr id="497" name="Chart 497" descr="Reducing days spent in respite care (pre-survey)&#10;Strongly agree = 4&#10;Mostly agree = 3&#10;Somewhat agree = 1&#10;Neither agree nor disagree = 1">
              <a:extLst xmlns:a="http://schemas.openxmlformats.org/drawingml/2006/main">
                <a:ext uri="{FF2B5EF4-FFF2-40B4-BE49-F238E27FC236}">
                  <a16:creationId xmlns:a16="http://schemas.microsoft.com/office/drawing/2014/main" id="{DBAAF871-0720-4BF3-9F5E-63F0206C7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24160A">
        <w:rPr>
          <w:noProof/>
          <w:lang w:val="en-AU" w:eastAsia="en-AU"/>
        </w:rPr>
        <w:drawing>
          <wp:inline distT="0" distB="0" distL="0" distR="0" wp14:anchorId="6FFABC9F" wp14:editId="2412D1EC">
            <wp:extent cx="3024000" cy="2160000"/>
            <wp:effectExtent l="0" t="0" r="5080" b="12065"/>
            <wp:docPr id="504" name="Chart 504" descr="Reducing days spent in respite care (post-survey)&#10;Strongly agree = 5&#10;Somewhat agree = 2&#10;Neither agree nor disagree = 2">
              <a:extLst xmlns:a="http://schemas.openxmlformats.org/drawingml/2006/main">
                <a:ext uri="{FF2B5EF4-FFF2-40B4-BE49-F238E27FC236}">
                  <a16:creationId xmlns:a16="http://schemas.microsoft.com/office/drawing/2014/main" id="{65E83263-725C-42C4-860E-DD3B8C4AF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24160A">
        <w:rPr>
          <w:noProof/>
          <w:lang w:val="en-AU" w:eastAsia="en-AU"/>
        </w:rPr>
        <w:drawing>
          <wp:inline distT="0" distB="0" distL="0" distR="0" wp14:anchorId="268FFB96" wp14:editId="010C0E79">
            <wp:extent cx="3024000" cy="2160000"/>
            <wp:effectExtent l="0" t="0" r="5080" b="12065"/>
            <wp:docPr id="498" name="Chart 498" descr="Reducing or delaying the need for residential aged care (pre-survey)&#10;Strongly agree = 4&#10;Mostly agree = 1&#10;Somewhat agree = 4">
              <a:extLst xmlns:a="http://schemas.openxmlformats.org/drawingml/2006/main">
                <a:ext uri="{FF2B5EF4-FFF2-40B4-BE49-F238E27FC236}">
                  <a16:creationId xmlns:a16="http://schemas.microsoft.com/office/drawing/2014/main" id="{F7C45BA8-F64E-40DA-848B-84296D7FB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24160A">
        <w:rPr>
          <w:noProof/>
          <w:lang w:val="en-AU" w:eastAsia="en-AU"/>
        </w:rPr>
        <w:drawing>
          <wp:inline distT="0" distB="0" distL="0" distR="0" wp14:anchorId="44A23A9F" wp14:editId="4693F33A">
            <wp:extent cx="3024000" cy="2160000"/>
            <wp:effectExtent l="0" t="0" r="5080" b="12065"/>
            <wp:docPr id="505" name="Chart 505" descr="Reducing or delaying the need for residential aged care (post-survey)&#10;Strongly agree = 5&#10;Mostly agree = 1&#10;Somewhat agree = 2&#10;Neither agree nor disagree = 1">
              <a:extLst xmlns:a="http://schemas.openxmlformats.org/drawingml/2006/main">
                <a:ext uri="{FF2B5EF4-FFF2-40B4-BE49-F238E27FC236}">
                  <a16:creationId xmlns:a16="http://schemas.microsoft.com/office/drawing/2014/main" id="{BD74D613-EB58-48FB-92E8-5EA94890E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2C0BC3E0" w14:textId="2E4175E5" w:rsidR="00F81E67" w:rsidRPr="00655FE1" w:rsidRDefault="00F81E67" w:rsidP="00655FE1">
      <w:r w:rsidRPr="00655FE1">
        <w:br w:type="page"/>
      </w:r>
    </w:p>
    <w:p w14:paraId="5A663806" w14:textId="3A506EFB" w:rsidR="00F81E67" w:rsidRDefault="00CF5AFF" w:rsidP="00217053">
      <w:bookmarkStart w:id="163" w:name="_Ref42527515"/>
      <w:bookmarkStart w:id="164" w:name="_Toc60999894"/>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006562A1">
        <w:rPr>
          <w:noProof/>
        </w:rPr>
        <w:t>-16</w:t>
      </w:r>
      <w:bookmarkEnd w:id="163"/>
      <w:r w:rsidRPr="008E680E">
        <w:t>:</w:t>
      </w:r>
      <w:r w:rsidRPr="008E680E">
        <w:tab/>
      </w:r>
      <w:r w:rsidR="00F81E67" w:rsidRPr="00847629">
        <w:t>Benefits of using AT</w:t>
      </w:r>
      <w:r w:rsidR="006562A1">
        <w:t xml:space="preserve"> </w:t>
      </w:r>
      <w:r w:rsidR="00861912">
        <w:t xml:space="preserve">– </w:t>
      </w:r>
      <w:r w:rsidR="00C429C9" w:rsidRPr="00847629">
        <w:t xml:space="preserve">Person </w:t>
      </w:r>
      <w:r w:rsidR="00F33447">
        <w:t>4</w:t>
      </w:r>
      <w:r w:rsidR="00C429C9" w:rsidRPr="00847629">
        <w:t xml:space="preserve">: </w:t>
      </w:r>
      <w:r w:rsidR="00F33447">
        <w:t>Mr D</w:t>
      </w:r>
      <w:bookmarkEnd w:id="164"/>
    </w:p>
    <w:p w14:paraId="3F924A29" w14:textId="40AB3A20" w:rsidR="00F33447" w:rsidRDefault="00307B62" w:rsidP="00F33447">
      <w:pPr>
        <w:rPr>
          <w:lang w:eastAsia="en-US"/>
        </w:rPr>
      </w:pPr>
      <w:r w:rsidRPr="00307B62">
        <w:rPr>
          <w:noProof/>
          <w:lang w:val="en-AU" w:eastAsia="en-AU"/>
        </w:rPr>
        <w:drawing>
          <wp:inline distT="0" distB="0" distL="0" distR="0" wp14:anchorId="5D96DA2E" wp14:editId="34E6C58C">
            <wp:extent cx="3024000" cy="2160000"/>
            <wp:effectExtent l="0" t="0" r="5080" b="12065"/>
            <wp:docPr id="506" name="Chart 506" descr="Reducing the hours for unpaid formal care support (pre-survey)&#10;Strongly agree = 1&#10;Mostly agree = 1&#10;Somewhat agree = 1&#10;Neither agree nor disagree = 2&#10;Somewhat disagree = 3&#10;Strongly disagree = 1">
              <a:extLst xmlns:a="http://schemas.openxmlformats.org/drawingml/2006/main">
                <a:ext uri="{FF2B5EF4-FFF2-40B4-BE49-F238E27FC236}">
                  <a16:creationId xmlns:a16="http://schemas.microsoft.com/office/drawing/2014/main" id="{E6FEE8C7-FF75-4916-9F89-D0AD23172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307B62">
        <w:rPr>
          <w:noProof/>
          <w:lang w:val="en-AU" w:eastAsia="en-AU"/>
        </w:rPr>
        <w:drawing>
          <wp:inline distT="0" distB="0" distL="0" distR="0" wp14:anchorId="2EE6A643" wp14:editId="14356A1F">
            <wp:extent cx="3024000" cy="2160000"/>
            <wp:effectExtent l="0" t="0" r="5080" b="12065"/>
            <wp:docPr id="897" name="Chart 897" descr="Reducing the hours for unpaid formal care support (post-survey)&#10;Strongly agree = 1&#10;Mostly agree = 4&#10;Somewhat agree = 2&#10;Neither agree nor disagree = 2">
              <a:extLst xmlns:a="http://schemas.openxmlformats.org/drawingml/2006/main">
                <a:ext uri="{FF2B5EF4-FFF2-40B4-BE49-F238E27FC236}">
                  <a16:creationId xmlns:a16="http://schemas.microsoft.com/office/drawing/2014/main" id="{D8C9D863-7C50-40A4-BC13-7FA5F13B8E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307B62">
        <w:rPr>
          <w:noProof/>
          <w:lang w:val="en-AU" w:eastAsia="en-AU"/>
        </w:rPr>
        <w:drawing>
          <wp:inline distT="0" distB="0" distL="0" distR="0" wp14:anchorId="602A1FCA" wp14:editId="6034EE11">
            <wp:extent cx="3024000" cy="2160000"/>
            <wp:effectExtent l="0" t="0" r="5080" b="12065"/>
            <wp:docPr id="507" name="Chart 507" descr="Reducing the hours required for paid carer support (pre-survey)&#10;Strongly agree = 1&#10;Mostly agree = 1&#10;Somewhat agree = 2&#10;Neither agree nor disagree = 1&#10;Somewhat disagree = 3&#10;Strongly disagree = 1">
              <a:extLst xmlns:a="http://schemas.openxmlformats.org/drawingml/2006/main">
                <a:ext uri="{FF2B5EF4-FFF2-40B4-BE49-F238E27FC236}">
                  <a16:creationId xmlns:a16="http://schemas.microsoft.com/office/drawing/2014/main" id="{5BDF1EEC-8E10-4D73-89EA-1010FB060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307B62">
        <w:rPr>
          <w:noProof/>
          <w:lang w:val="en-AU" w:eastAsia="en-AU"/>
        </w:rPr>
        <w:drawing>
          <wp:inline distT="0" distB="0" distL="0" distR="0" wp14:anchorId="1142AFC5" wp14:editId="699DF4F7">
            <wp:extent cx="3024000" cy="2160000"/>
            <wp:effectExtent l="0" t="0" r="5080" b="12065"/>
            <wp:docPr id="898" name="Chart 898" descr="Reducing the hours required for paid carer support (post-survey)&#10;Strongly agree = 1&#10;Mostly agree = 2&#10;Somewhat agree = 1&#10;Neither agree nor disagree = 3&#10;Somewhat disagree = 2">
              <a:extLst xmlns:a="http://schemas.openxmlformats.org/drawingml/2006/main">
                <a:ext uri="{FF2B5EF4-FFF2-40B4-BE49-F238E27FC236}">
                  <a16:creationId xmlns:a16="http://schemas.microsoft.com/office/drawing/2014/main" id="{0E12AE07-8266-418D-9A81-45479867B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307B62">
        <w:rPr>
          <w:noProof/>
          <w:lang w:val="en-AU" w:eastAsia="en-AU"/>
        </w:rPr>
        <w:drawing>
          <wp:inline distT="0" distB="0" distL="0" distR="0" wp14:anchorId="1DB05AF7" wp14:editId="6BCB8C0F">
            <wp:extent cx="3024000" cy="2160000"/>
            <wp:effectExtent l="0" t="0" r="5080" b="12065"/>
            <wp:docPr id="508" name="Chart 508" descr="Reducing the number of GP visits (pre-survey)&#10;Strongly agree = 1&#10;Somewhat agree = 3&#10;Neither agree nor disagree = 2&#10;Somewhat disagree = 2&#10;Mostly disagree = 1">
              <a:extLst xmlns:a="http://schemas.openxmlformats.org/drawingml/2006/main">
                <a:ext uri="{FF2B5EF4-FFF2-40B4-BE49-F238E27FC236}">
                  <a16:creationId xmlns:a16="http://schemas.microsoft.com/office/drawing/2014/main" id="{19E7F552-3FEA-4C1B-9FD7-9FB2B7CAD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307B62">
        <w:rPr>
          <w:noProof/>
          <w:lang w:val="en-AU" w:eastAsia="en-AU"/>
        </w:rPr>
        <w:drawing>
          <wp:inline distT="0" distB="0" distL="0" distR="0" wp14:anchorId="27031EE0" wp14:editId="7AC8FD9A">
            <wp:extent cx="3024000" cy="2160000"/>
            <wp:effectExtent l="0" t="0" r="5080" b="12065"/>
            <wp:docPr id="899" name="Chart 899" descr="Reducing the number of GP visits (post-survey)&#10;Strongly agree = 1&#10;Mostly agree = 3&#10;Somewhat agree = 2&#10;Neither agree nor disagree = 1&#10;Somewhat disagree = 2">
              <a:extLst xmlns:a="http://schemas.openxmlformats.org/drawingml/2006/main">
                <a:ext uri="{FF2B5EF4-FFF2-40B4-BE49-F238E27FC236}">
                  <a16:creationId xmlns:a16="http://schemas.microsoft.com/office/drawing/2014/main" id="{3F7D60C2-A57E-44D6-975C-18A36E9FE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307B62">
        <w:rPr>
          <w:noProof/>
          <w:lang w:val="en-AU" w:eastAsia="en-AU"/>
        </w:rPr>
        <w:drawing>
          <wp:inline distT="0" distB="0" distL="0" distR="0" wp14:anchorId="067319B4" wp14:editId="0BB5FB5A">
            <wp:extent cx="3024000" cy="2160000"/>
            <wp:effectExtent l="0" t="0" r="5080" b="12065"/>
            <wp:docPr id="509" name="Chart 509" descr="Reducing the number of GP visits (pre-survey)&#10;Strongly agree = 1&#10;Somewhat agree = 2&#10;Neither agree nor disagree = 3&#10;Somewhat disagree = 1&#10;Mostly disagree = 2">
              <a:extLst xmlns:a="http://schemas.openxmlformats.org/drawingml/2006/main">
                <a:ext uri="{FF2B5EF4-FFF2-40B4-BE49-F238E27FC236}">
                  <a16:creationId xmlns:a16="http://schemas.microsoft.com/office/drawing/2014/main" id="{FF712F9A-6F9E-484A-92EF-DBA091FF6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307B62">
        <w:rPr>
          <w:noProof/>
          <w:lang w:val="en-AU" w:eastAsia="en-AU"/>
        </w:rPr>
        <w:drawing>
          <wp:inline distT="0" distB="0" distL="0" distR="0" wp14:anchorId="6E05DDE4" wp14:editId="5F786FA7">
            <wp:extent cx="3024000" cy="2160000"/>
            <wp:effectExtent l="0" t="0" r="5080" b="12065"/>
            <wp:docPr id="900" name="Chart 900" descr="Reducing the number of GP visits (post-survey)&#10;Strongly agree = 1&#10;Mostly agree = 1&#10;Somewhat agree = 3&#10;Neither agree nor disagree = 2&#10;Somewhat disagree = 2">
              <a:extLst xmlns:a="http://schemas.openxmlformats.org/drawingml/2006/main">
                <a:ext uri="{FF2B5EF4-FFF2-40B4-BE49-F238E27FC236}">
                  <a16:creationId xmlns:a16="http://schemas.microsoft.com/office/drawing/2014/main" id="{FABD300B-F141-4575-94F0-FE3BFD483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307B62">
        <w:rPr>
          <w:noProof/>
          <w:lang w:val="en-AU" w:eastAsia="en-AU"/>
        </w:rPr>
        <w:lastRenderedPageBreak/>
        <w:drawing>
          <wp:inline distT="0" distB="0" distL="0" distR="0" wp14:anchorId="0DF027F1" wp14:editId="2A605035">
            <wp:extent cx="3024000" cy="2160000"/>
            <wp:effectExtent l="0" t="0" r="5080" b="12065"/>
            <wp:docPr id="510" name="Chart 510" descr="Reducing the number of hospital admissions through the emergency department (pre-survey)&#10;Strongly agree = 1&#10;Mostly agree = 2&#10;Somewhat agree = 5&#10;Mostly disagree = 1">
              <a:extLst xmlns:a="http://schemas.openxmlformats.org/drawingml/2006/main">
                <a:ext uri="{FF2B5EF4-FFF2-40B4-BE49-F238E27FC236}">
                  <a16:creationId xmlns:a16="http://schemas.microsoft.com/office/drawing/2014/main" id="{31330AE7-A47D-450F-AA26-0D08C19BC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307B62">
        <w:rPr>
          <w:noProof/>
          <w:lang w:val="en-AU" w:eastAsia="en-AU"/>
        </w:rPr>
        <w:drawing>
          <wp:inline distT="0" distB="0" distL="0" distR="0" wp14:anchorId="224310A8" wp14:editId="4BF1C25E">
            <wp:extent cx="3024000" cy="2160000"/>
            <wp:effectExtent l="0" t="0" r="5080" b="12065"/>
            <wp:docPr id="901" name="Chart 901" descr="Reducing the number of hospital admissions through the emergency department (post-survey)&#10;Strongly agree = 3&#10;Mostly agree = 2&#10;Somewhat agree = 1&#10;Neither agree nor disagree = 3">
              <a:extLst xmlns:a="http://schemas.openxmlformats.org/drawingml/2006/main">
                <a:ext uri="{FF2B5EF4-FFF2-40B4-BE49-F238E27FC236}">
                  <a16:creationId xmlns:a16="http://schemas.microsoft.com/office/drawing/2014/main" id="{EA8B0ACF-39AE-4C29-823B-0EAB28BCD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307B62">
        <w:rPr>
          <w:noProof/>
          <w:lang w:val="en-AU" w:eastAsia="en-AU"/>
        </w:rPr>
        <w:drawing>
          <wp:inline distT="0" distB="0" distL="0" distR="0" wp14:anchorId="153D06C8" wp14:editId="14BA6412">
            <wp:extent cx="3024000" cy="2160000"/>
            <wp:effectExtent l="0" t="0" r="5080" b="12065"/>
            <wp:docPr id="511" name="Chart 511" descr="Reducing days spent in respite care (pre-survey)&#10;Strongly agree = 1&#10;Mostly agree = 1&#10;Somewhat agree = 3&#10;Neither agree nor disagree = 2&#10;Somewhat disagree = 1&#10;Mostly disagree = 1">
              <a:extLst xmlns:a="http://schemas.openxmlformats.org/drawingml/2006/main">
                <a:ext uri="{FF2B5EF4-FFF2-40B4-BE49-F238E27FC236}">
                  <a16:creationId xmlns:a16="http://schemas.microsoft.com/office/drawing/2014/main" id="{92ADD8F8-944B-4366-91FD-C04E54C8C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Pr="00307B62">
        <w:rPr>
          <w:noProof/>
          <w:lang w:val="en-AU" w:eastAsia="en-AU"/>
        </w:rPr>
        <w:drawing>
          <wp:inline distT="0" distB="0" distL="0" distR="0" wp14:anchorId="2859FE57" wp14:editId="4D9DCACC">
            <wp:extent cx="3024000" cy="2160000"/>
            <wp:effectExtent l="0" t="0" r="5080" b="12065"/>
            <wp:docPr id="904" name="Chart 904" descr="Reducing days spent in respite care (post-survey)&#10;Strongly agree = 3&#10;Mostly agree = 1&#10;Neither agree nor disagree = 2&#10;Somewhat disagree = 2&#10;Mostly disagree = 1">
              <a:extLst xmlns:a="http://schemas.openxmlformats.org/drawingml/2006/main">
                <a:ext uri="{FF2B5EF4-FFF2-40B4-BE49-F238E27FC236}">
                  <a16:creationId xmlns:a16="http://schemas.microsoft.com/office/drawing/2014/main" id="{138C2769-12C4-4A95-8F0A-BAEDC5B4E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307B62">
        <w:rPr>
          <w:noProof/>
          <w:lang w:val="en-AU" w:eastAsia="en-AU"/>
        </w:rPr>
        <w:drawing>
          <wp:inline distT="0" distB="0" distL="0" distR="0" wp14:anchorId="06A2774C" wp14:editId="3979E028">
            <wp:extent cx="3024000" cy="2160000"/>
            <wp:effectExtent l="0" t="0" r="5080" b="12065"/>
            <wp:docPr id="896" name="Chart 896" descr="Reducing or delaying the need for residential aged care (pre-survey)&#10;Strongly agree = 2&#10;Mostly agree = 2&#10;Somewhat agree = 3&#10;Mostly disagree = 1&#10;Strongly disagree = 1">
              <a:extLst xmlns:a="http://schemas.openxmlformats.org/drawingml/2006/main">
                <a:ext uri="{FF2B5EF4-FFF2-40B4-BE49-F238E27FC236}">
                  <a16:creationId xmlns:a16="http://schemas.microsoft.com/office/drawing/2014/main" id="{B2E2B9F4-1335-4DF8-97EC-8A9ECE0C3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Pr="00307B62">
        <w:rPr>
          <w:noProof/>
          <w:lang w:val="en-AU" w:eastAsia="en-AU"/>
        </w:rPr>
        <w:drawing>
          <wp:inline distT="0" distB="0" distL="0" distR="0" wp14:anchorId="4A8D7197" wp14:editId="13993587">
            <wp:extent cx="3024000" cy="2160000"/>
            <wp:effectExtent l="0" t="0" r="5080" b="12065"/>
            <wp:docPr id="905" name="Chart 905" descr="Reducing or delaying the need for residential aged care (post-survey)&#10;Strongly agree = 5&#10;Mostly agree = 1&#10;Somewhat agree = 2&#10;Neither agree nor disagree = 1">
              <a:extLst xmlns:a="http://schemas.openxmlformats.org/drawingml/2006/main">
                <a:ext uri="{FF2B5EF4-FFF2-40B4-BE49-F238E27FC236}">
                  <a16:creationId xmlns:a16="http://schemas.microsoft.com/office/drawing/2014/main" id="{2E418AF1-E5B0-4A2C-A652-C8BA825C2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3E1B119" w14:textId="77777777" w:rsidR="00B93961" w:rsidRDefault="00B93961" w:rsidP="00F33447">
      <w:pPr>
        <w:rPr>
          <w:lang w:eastAsia="en-US"/>
        </w:rPr>
      </w:pPr>
    </w:p>
    <w:p w14:paraId="54832499" w14:textId="77777777" w:rsidR="00F33447" w:rsidRDefault="00F33447">
      <w:pPr>
        <w:sectPr w:rsidR="00F33447" w:rsidSect="00423FC8">
          <w:pgSz w:w="11907" w:h="16840" w:code="9"/>
          <w:pgMar w:top="1134" w:right="1134" w:bottom="1134" w:left="1134" w:header="567" w:footer="851" w:gutter="0"/>
          <w:cols w:space="708"/>
          <w:docGrid w:linePitch="360"/>
        </w:sectPr>
      </w:pPr>
      <w:bookmarkStart w:id="165" w:name="_Ref42528421"/>
    </w:p>
    <w:p w14:paraId="28B61AA6" w14:textId="6D7AD71B" w:rsidR="00F81E67" w:rsidRDefault="00655FE1" w:rsidP="00217053">
      <w:bookmarkStart w:id="166" w:name="_Toc60999942"/>
      <w:r w:rsidRPr="008E680E">
        <w:lastRenderedPageBreak/>
        <w:t>Table </w:t>
      </w:r>
      <w:r w:rsidR="00FD5E41">
        <w:fldChar w:fldCharType="begin"/>
      </w:r>
      <w:r w:rsidR="00FD5E41">
        <w:instrText xml:space="preserve"> STYLEREF 5 \s </w:instrText>
      </w:r>
      <w:r w:rsidR="00FD5E41">
        <w:fldChar w:fldCharType="separate"/>
      </w:r>
      <w:r w:rsidR="00EB1774">
        <w:rPr>
          <w:noProof/>
        </w:rPr>
        <w:t>C</w:t>
      </w:r>
      <w:r w:rsidR="00FD5E41">
        <w:fldChar w:fldCharType="end"/>
      </w:r>
      <w:r w:rsidR="006562A1">
        <w:t>-4</w:t>
      </w:r>
      <w:bookmarkEnd w:id="165"/>
      <w:r w:rsidRPr="008E680E">
        <w:t>:</w:t>
      </w:r>
      <w:r w:rsidR="00CF5AFF" w:rsidRPr="008E680E">
        <w:tab/>
      </w:r>
      <w:r w:rsidR="00F81E67" w:rsidRPr="008E680E">
        <w:t>Quantified and costed benefits for the archetypes</w:t>
      </w:r>
      <w:r w:rsidR="008935D0">
        <w:t xml:space="preserve">- </w:t>
      </w:r>
      <w:r w:rsidR="00F81E67" w:rsidRPr="008E680E">
        <w:t>post-survey</w:t>
      </w:r>
      <w:bookmarkEnd w:id="166"/>
    </w:p>
    <w:tbl>
      <w:tblPr>
        <w:tblStyle w:val="AHALight"/>
        <w:tblW w:w="14601" w:type="dxa"/>
        <w:tblLook w:val="04E0" w:firstRow="1" w:lastRow="1" w:firstColumn="1" w:lastColumn="0" w:noHBand="0" w:noVBand="1"/>
        <w:tblCaption w:val="table C 4"/>
        <w:tblDescription w:val="quantified and costed benefts of the 4 consumer examples post survey "/>
      </w:tblPr>
      <w:tblGrid>
        <w:gridCol w:w="2268"/>
        <w:gridCol w:w="1541"/>
        <w:gridCol w:w="1542"/>
        <w:gridCol w:w="1541"/>
        <w:gridCol w:w="1542"/>
        <w:gridCol w:w="1542"/>
        <w:gridCol w:w="1541"/>
        <w:gridCol w:w="1542"/>
        <w:gridCol w:w="1542"/>
      </w:tblGrid>
      <w:tr w:rsidR="00655FE1" w:rsidRPr="00F33447" w14:paraId="0F0A8131" w14:textId="77777777" w:rsidTr="0037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D291A9C" w14:textId="0B56EBDC" w:rsidR="00F81E67" w:rsidRPr="00F33447" w:rsidRDefault="00655FE1" w:rsidP="00187BC0">
            <w:pPr>
              <w:pStyle w:val="TableHeading1"/>
              <w:rPr>
                <w:sz w:val="20"/>
                <w:szCs w:val="20"/>
              </w:rPr>
            </w:pPr>
            <w:r w:rsidRPr="00F33447">
              <w:rPr>
                <w:sz w:val="20"/>
                <w:szCs w:val="20"/>
              </w:rPr>
              <w:t>Measure</w:t>
            </w:r>
          </w:p>
        </w:tc>
        <w:tc>
          <w:tcPr>
            <w:tcW w:w="1541" w:type="dxa"/>
          </w:tcPr>
          <w:p w14:paraId="4CFDBC82" w14:textId="4E481890"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1: </w:t>
            </w:r>
            <w:r w:rsidR="00F33447" w:rsidRPr="00F33447">
              <w:rPr>
                <w:sz w:val="20"/>
                <w:szCs w:val="20"/>
              </w:rPr>
              <w:t>Mrs </w:t>
            </w:r>
            <w:r w:rsidRPr="00F33447">
              <w:rPr>
                <w:sz w:val="20"/>
                <w:szCs w:val="20"/>
              </w:rPr>
              <w:t>A</w:t>
            </w:r>
            <w:r w:rsidR="00655FE1" w:rsidRPr="00F33447">
              <w:rPr>
                <w:sz w:val="20"/>
                <w:szCs w:val="20"/>
              </w:rPr>
              <w:br/>
              <w:t>Qty/</w:t>
            </w:r>
            <w:r w:rsidR="00F33447" w:rsidRPr="00F33447">
              <w:rPr>
                <w:sz w:val="20"/>
                <w:szCs w:val="20"/>
              </w:rPr>
              <w:t>‌</w:t>
            </w:r>
            <w:r w:rsidRPr="00F33447">
              <w:rPr>
                <w:sz w:val="20"/>
                <w:szCs w:val="20"/>
              </w:rPr>
              <w:t>year</w:t>
            </w:r>
          </w:p>
        </w:tc>
        <w:tc>
          <w:tcPr>
            <w:tcW w:w="1542" w:type="dxa"/>
          </w:tcPr>
          <w:p w14:paraId="4FCF5F8F" w14:textId="0BC69A3A"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1: </w:t>
            </w:r>
            <w:r w:rsidR="00F33447" w:rsidRPr="00F33447">
              <w:rPr>
                <w:sz w:val="20"/>
                <w:szCs w:val="20"/>
              </w:rPr>
              <w:t>Mrs </w:t>
            </w:r>
            <w:r w:rsidRPr="00F33447">
              <w:rPr>
                <w:sz w:val="20"/>
                <w:szCs w:val="20"/>
              </w:rPr>
              <w:t>A</w:t>
            </w:r>
            <w:r w:rsidR="00655FE1" w:rsidRPr="00F33447">
              <w:rPr>
                <w:sz w:val="20"/>
                <w:szCs w:val="20"/>
              </w:rPr>
              <w:br/>
            </w:r>
            <w:r w:rsidRPr="00F33447">
              <w:rPr>
                <w:sz w:val="20"/>
                <w:szCs w:val="20"/>
              </w:rPr>
              <w:t>Cost</w:t>
            </w:r>
            <w:r w:rsidR="00655FE1" w:rsidRPr="00F33447">
              <w:rPr>
                <w:sz w:val="20"/>
                <w:szCs w:val="20"/>
              </w:rPr>
              <w:t>/</w:t>
            </w:r>
            <w:r w:rsidR="00F33447" w:rsidRPr="00F33447">
              <w:rPr>
                <w:sz w:val="20"/>
                <w:szCs w:val="20"/>
              </w:rPr>
              <w:t>‌</w:t>
            </w:r>
            <w:r w:rsidRPr="00F33447">
              <w:rPr>
                <w:sz w:val="20"/>
                <w:szCs w:val="20"/>
              </w:rPr>
              <w:t>year</w:t>
            </w:r>
          </w:p>
        </w:tc>
        <w:tc>
          <w:tcPr>
            <w:tcW w:w="1541" w:type="dxa"/>
          </w:tcPr>
          <w:p w14:paraId="32F7C3B8" w14:textId="4409C178"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2: </w:t>
            </w:r>
            <w:r w:rsidR="00F33447" w:rsidRPr="00F33447">
              <w:rPr>
                <w:sz w:val="20"/>
                <w:szCs w:val="20"/>
              </w:rPr>
              <w:t>Mr </w:t>
            </w:r>
            <w:r w:rsidRPr="00F33447">
              <w:rPr>
                <w:sz w:val="20"/>
                <w:szCs w:val="20"/>
              </w:rPr>
              <w:t>B</w:t>
            </w:r>
            <w:r w:rsidR="00655FE1" w:rsidRPr="00F33447">
              <w:rPr>
                <w:sz w:val="20"/>
                <w:szCs w:val="20"/>
              </w:rPr>
              <w:br/>
              <w:t>Qty/</w:t>
            </w:r>
            <w:r w:rsidR="00F33447" w:rsidRPr="00F33447">
              <w:rPr>
                <w:sz w:val="20"/>
                <w:szCs w:val="20"/>
              </w:rPr>
              <w:t>‌</w:t>
            </w:r>
            <w:r w:rsidR="00655FE1" w:rsidRPr="00F33447">
              <w:rPr>
                <w:sz w:val="20"/>
                <w:szCs w:val="20"/>
              </w:rPr>
              <w:t>year</w:t>
            </w:r>
          </w:p>
        </w:tc>
        <w:tc>
          <w:tcPr>
            <w:tcW w:w="1542" w:type="dxa"/>
          </w:tcPr>
          <w:p w14:paraId="6121B300" w14:textId="65FE93F0"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2: </w:t>
            </w:r>
            <w:r w:rsidR="00F33447" w:rsidRPr="00F33447">
              <w:rPr>
                <w:sz w:val="20"/>
                <w:szCs w:val="20"/>
              </w:rPr>
              <w:t>Mr </w:t>
            </w:r>
            <w:r w:rsidRPr="00F33447">
              <w:rPr>
                <w:sz w:val="20"/>
                <w:szCs w:val="20"/>
              </w:rPr>
              <w:t>B</w:t>
            </w:r>
            <w:r w:rsidR="00655FE1" w:rsidRPr="00F33447">
              <w:rPr>
                <w:sz w:val="20"/>
                <w:szCs w:val="20"/>
              </w:rPr>
              <w:br/>
              <w:t>Cost/</w:t>
            </w:r>
            <w:r w:rsidR="00F33447" w:rsidRPr="00F33447">
              <w:rPr>
                <w:sz w:val="20"/>
                <w:szCs w:val="20"/>
              </w:rPr>
              <w:t>‌</w:t>
            </w:r>
            <w:r w:rsidR="00655FE1" w:rsidRPr="00F33447">
              <w:rPr>
                <w:sz w:val="20"/>
                <w:szCs w:val="20"/>
              </w:rPr>
              <w:t>year</w:t>
            </w:r>
          </w:p>
        </w:tc>
        <w:tc>
          <w:tcPr>
            <w:tcW w:w="1542" w:type="dxa"/>
          </w:tcPr>
          <w:p w14:paraId="0B762994" w14:textId="12748EDC"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3: </w:t>
            </w:r>
            <w:r w:rsidR="00F33447" w:rsidRPr="00F33447">
              <w:rPr>
                <w:sz w:val="20"/>
                <w:szCs w:val="20"/>
              </w:rPr>
              <w:t>Ms </w:t>
            </w:r>
            <w:r w:rsidRPr="00F33447">
              <w:rPr>
                <w:sz w:val="20"/>
                <w:szCs w:val="20"/>
              </w:rPr>
              <w:t>C</w:t>
            </w:r>
            <w:r w:rsidR="00655FE1" w:rsidRPr="00F33447">
              <w:rPr>
                <w:sz w:val="20"/>
                <w:szCs w:val="20"/>
              </w:rPr>
              <w:br/>
              <w:t>Qty/</w:t>
            </w:r>
            <w:r w:rsidR="00F33447" w:rsidRPr="00F33447">
              <w:rPr>
                <w:sz w:val="20"/>
                <w:szCs w:val="20"/>
              </w:rPr>
              <w:t>‌</w:t>
            </w:r>
            <w:r w:rsidR="00655FE1" w:rsidRPr="00F33447">
              <w:rPr>
                <w:sz w:val="20"/>
                <w:szCs w:val="20"/>
              </w:rPr>
              <w:t>year</w:t>
            </w:r>
          </w:p>
        </w:tc>
        <w:tc>
          <w:tcPr>
            <w:tcW w:w="1541" w:type="dxa"/>
          </w:tcPr>
          <w:p w14:paraId="78949A49" w14:textId="65ADACD5"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3: </w:t>
            </w:r>
            <w:r w:rsidR="00F33447" w:rsidRPr="00F33447">
              <w:rPr>
                <w:sz w:val="20"/>
                <w:szCs w:val="20"/>
              </w:rPr>
              <w:t>Ms </w:t>
            </w:r>
            <w:r w:rsidRPr="00F33447">
              <w:rPr>
                <w:sz w:val="20"/>
                <w:szCs w:val="20"/>
              </w:rPr>
              <w:t>C</w:t>
            </w:r>
            <w:r w:rsidR="00655FE1" w:rsidRPr="00F33447">
              <w:rPr>
                <w:sz w:val="20"/>
                <w:szCs w:val="20"/>
              </w:rPr>
              <w:br/>
            </w:r>
            <w:r w:rsidRPr="00F33447">
              <w:rPr>
                <w:sz w:val="20"/>
                <w:szCs w:val="20"/>
              </w:rPr>
              <w:t>Cost</w:t>
            </w:r>
            <w:r w:rsidR="00F33447" w:rsidRPr="00F33447">
              <w:rPr>
                <w:sz w:val="20"/>
                <w:szCs w:val="20"/>
              </w:rPr>
              <w:t>/​</w:t>
            </w:r>
            <w:r w:rsidRPr="00F33447">
              <w:rPr>
                <w:sz w:val="20"/>
                <w:szCs w:val="20"/>
              </w:rPr>
              <w:t>year</w:t>
            </w:r>
          </w:p>
        </w:tc>
        <w:tc>
          <w:tcPr>
            <w:tcW w:w="1542" w:type="dxa"/>
          </w:tcPr>
          <w:p w14:paraId="478F13C0" w14:textId="785BB238"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4: </w:t>
            </w:r>
            <w:r w:rsidR="00F33447" w:rsidRPr="00F33447">
              <w:rPr>
                <w:sz w:val="20"/>
                <w:szCs w:val="20"/>
              </w:rPr>
              <w:t>Mr </w:t>
            </w:r>
            <w:r w:rsidRPr="00F33447">
              <w:rPr>
                <w:sz w:val="20"/>
                <w:szCs w:val="20"/>
              </w:rPr>
              <w:t>D</w:t>
            </w:r>
            <w:r w:rsidR="00655FE1" w:rsidRPr="00F33447">
              <w:rPr>
                <w:sz w:val="20"/>
                <w:szCs w:val="20"/>
              </w:rPr>
              <w:br/>
              <w:t>Qty/</w:t>
            </w:r>
            <w:r w:rsidR="00F33447" w:rsidRPr="00F33447">
              <w:rPr>
                <w:sz w:val="20"/>
                <w:szCs w:val="20"/>
              </w:rPr>
              <w:t>‌</w:t>
            </w:r>
            <w:r w:rsidR="00655FE1" w:rsidRPr="00F33447">
              <w:rPr>
                <w:sz w:val="20"/>
                <w:szCs w:val="20"/>
              </w:rPr>
              <w:t>year</w:t>
            </w:r>
          </w:p>
        </w:tc>
        <w:tc>
          <w:tcPr>
            <w:tcW w:w="1542" w:type="dxa"/>
          </w:tcPr>
          <w:p w14:paraId="263309C5" w14:textId="5CD5F2C2" w:rsidR="00F81E67" w:rsidRPr="00F33447" w:rsidRDefault="00F81E67" w:rsidP="00655FE1">
            <w:pPr>
              <w:pStyle w:val="TableHeading1"/>
              <w:jc w:val="right"/>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4: </w:t>
            </w:r>
            <w:r w:rsidR="00F33447" w:rsidRPr="00F33447">
              <w:rPr>
                <w:sz w:val="20"/>
                <w:szCs w:val="20"/>
              </w:rPr>
              <w:t>Mr </w:t>
            </w:r>
            <w:r w:rsidRPr="00F33447">
              <w:rPr>
                <w:sz w:val="20"/>
                <w:szCs w:val="20"/>
              </w:rPr>
              <w:t>D</w:t>
            </w:r>
            <w:r w:rsidR="00655FE1" w:rsidRPr="00F33447">
              <w:rPr>
                <w:sz w:val="20"/>
                <w:szCs w:val="20"/>
              </w:rPr>
              <w:br/>
              <w:t>Cost/</w:t>
            </w:r>
            <w:r w:rsidR="00F33447" w:rsidRPr="00F33447">
              <w:rPr>
                <w:sz w:val="20"/>
                <w:szCs w:val="20"/>
              </w:rPr>
              <w:t>‌</w:t>
            </w:r>
            <w:r w:rsidR="00655FE1" w:rsidRPr="00F33447">
              <w:rPr>
                <w:sz w:val="20"/>
                <w:szCs w:val="20"/>
              </w:rPr>
              <w:t>year</w:t>
            </w:r>
          </w:p>
        </w:tc>
      </w:tr>
      <w:tr w:rsidR="00655FE1" w:rsidRPr="00F33447" w14:paraId="79CB7364" w14:textId="77777777" w:rsidTr="0037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210AF83D" w14:textId="77777777" w:rsidR="00F81E67" w:rsidRPr="00F33447" w:rsidRDefault="00F81E67" w:rsidP="00655FE1">
            <w:pPr>
              <w:rPr>
                <w:sz w:val="20"/>
                <w:szCs w:val="20"/>
              </w:rPr>
            </w:pPr>
            <w:r w:rsidRPr="00F33447">
              <w:rPr>
                <w:sz w:val="20"/>
                <w:szCs w:val="20"/>
              </w:rPr>
              <w:t>Unpaid informal care (hours)</w:t>
            </w:r>
          </w:p>
        </w:tc>
        <w:tc>
          <w:tcPr>
            <w:tcW w:w="1541" w:type="dxa"/>
            <w:tcBorders>
              <w:top w:val="single" w:sz="4" w:space="0" w:color="0079C1" w:themeColor="text2"/>
              <w:left w:val="single" w:sz="4" w:space="0" w:color="0079C1" w:themeColor="text2"/>
            </w:tcBorders>
          </w:tcPr>
          <w:p w14:paraId="3CE201EB" w14:textId="58670F95"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top w:val="single" w:sz="4" w:space="0" w:color="0079C1" w:themeColor="text2"/>
              <w:right w:val="single" w:sz="4" w:space="0" w:color="0079C1" w:themeColor="text2"/>
            </w:tcBorders>
          </w:tcPr>
          <w:p w14:paraId="45707255" w14:textId="60FFCE11"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05DEF82E" w14:textId="46D636FA"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55E3B342" w14:textId="635D3A3F"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top w:val="single" w:sz="4" w:space="0" w:color="0079C1" w:themeColor="text2"/>
              <w:left w:val="single" w:sz="4" w:space="0" w:color="0079C1" w:themeColor="text2"/>
            </w:tcBorders>
          </w:tcPr>
          <w:p w14:paraId="6BC44813" w14:textId="571001C6"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-11.6</w:t>
            </w:r>
            <w:r w:rsidR="00655FE1" w:rsidRPr="00F33447">
              <w:rPr>
                <w:sz w:val="20"/>
                <w:szCs w:val="20"/>
              </w:rPr>
              <w:br/>
            </w:r>
            <w:r w:rsidRPr="00F33447">
              <w:rPr>
                <w:sz w:val="20"/>
                <w:szCs w:val="20"/>
              </w:rPr>
              <w:t>(-0.2 per week)</w:t>
            </w:r>
          </w:p>
        </w:tc>
        <w:tc>
          <w:tcPr>
            <w:tcW w:w="1541" w:type="dxa"/>
            <w:tcBorders>
              <w:top w:val="single" w:sz="4" w:space="0" w:color="0079C1" w:themeColor="text2"/>
              <w:right w:val="single" w:sz="4" w:space="0" w:color="0079C1" w:themeColor="text2"/>
            </w:tcBorders>
          </w:tcPr>
          <w:p w14:paraId="640E04D9"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-$225.22</w:t>
            </w:r>
          </w:p>
        </w:tc>
        <w:tc>
          <w:tcPr>
            <w:tcW w:w="1542" w:type="dxa"/>
            <w:tcBorders>
              <w:left w:val="single" w:sz="4" w:space="0" w:color="0079C1" w:themeColor="text2"/>
            </w:tcBorders>
          </w:tcPr>
          <w:p w14:paraId="1F8CE87B" w14:textId="7E687012"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-92.4</w:t>
            </w:r>
            <w:r w:rsidR="00655FE1" w:rsidRPr="00F33447">
              <w:rPr>
                <w:sz w:val="20"/>
                <w:szCs w:val="20"/>
              </w:rPr>
              <w:br/>
            </w:r>
            <w:r w:rsidRPr="00F33447">
              <w:rPr>
                <w:sz w:val="20"/>
                <w:szCs w:val="20"/>
              </w:rPr>
              <w:t>(-1.8 per week)</w:t>
            </w:r>
          </w:p>
        </w:tc>
        <w:tc>
          <w:tcPr>
            <w:tcW w:w="1542" w:type="dxa"/>
          </w:tcPr>
          <w:p w14:paraId="7BBF6D27"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-$1,801.74</w:t>
            </w:r>
          </w:p>
        </w:tc>
      </w:tr>
      <w:tr w:rsidR="00655FE1" w:rsidRPr="00F33447" w14:paraId="67E52522" w14:textId="77777777" w:rsidTr="00370B41">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0D16B7D8" w14:textId="77777777" w:rsidR="00F81E67" w:rsidRPr="00F33447" w:rsidRDefault="00F81E67" w:rsidP="00655FE1">
            <w:pPr>
              <w:rPr>
                <w:sz w:val="20"/>
                <w:szCs w:val="20"/>
              </w:rPr>
            </w:pPr>
            <w:r w:rsidRPr="00F33447">
              <w:rPr>
                <w:sz w:val="20"/>
                <w:szCs w:val="20"/>
              </w:rPr>
              <w:t>Paid carer support (hours)</w:t>
            </w:r>
          </w:p>
        </w:tc>
        <w:tc>
          <w:tcPr>
            <w:tcW w:w="1541" w:type="dxa"/>
            <w:tcBorders>
              <w:left w:val="single" w:sz="4" w:space="0" w:color="0079C1" w:themeColor="text2"/>
            </w:tcBorders>
          </w:tcPr>
          <w:p w14:paraId="3B979E54" w14:textId="765A9E38"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42A1D395" w14:textId="0D200DA5"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553ED784" w14:textId="2F45859F"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66DEBB5E" w14:textId="76F71F04"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09C6EBE1" w14:textId="559D079B"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1" w:type="dxa"/>
            <w:tcBorders>
              <w:right w:val="single" w:sz="4" w:space="0" w:color="0079C1" w:themeColor="text2"/>
            </w:tcBorders>
          </w:tcPr>
          <w:p w14:paraId="2F53CB57" w14:textId="2ED23295"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4312216B" w14:textId="65C71A20"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-75.1</w:t>
            </w:r>
            <w:r w:rsidR="00655FE1" w:rsidRPr="00F33447">
              <w:rPr>
                <w:sz w:val="20"/>
                <w:szCs w:val="20"/>
              </w:rPr>
              <w:br/>
            </w:r>
            <w:r w:rsidRPr="00F33447">
              <w:rPr>
                <w:sz w:val="20"/>
                <w:szCs w:val="20"/>
              </w:rPr>
              <w:t>(-1.4 per week)</w:t>
            </w:r>
          </w:p>
        </w:tc>
        <w:tc>
          <w:tcPr>
            <w:tcW w:w="1542" w:type="dxa"/>
          </w:tcPr>
          <w:p w14:paraId="2998D9B8"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-$1,463.92</w:t>
            </w:r>
          </w:p>
        </w:tc>
      </w:tr>
      <w:tr w:rsidR="00655FE1" w:rsidRPr="00F33447" w14:paraId="61627E6D" w14:textId="77777777" w:rsidTr="0037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5CCE7985" w14:textId="77777777" w:rsidR="00F81E67" w:rsidRPr="00F33447" w:rsidRDefault="00F81E67" w:rsidP="00655FE1">
            <w:pPr>
              <w:rPr>
                <w:sz w:val="20"/>
                <w:szCs w:val="20"/>
              </w:rPr>
            </w:pPr>
            <w:r w:rsidRPr="00F33447">
              <w:rPr>
                <w:sz w:val="20"/>
                <w:szCs w:val="20"/>
              </w:rPr>
              <w:t>Paid formal care (hours)</w:t>
            </w:r>
          </w:p>
        </w:tc>
        <w:tc>
          <w:tcPr>
            <w:tcW w:w="1541" w:type="dxa"/>
            <w:tcBorders>
              <w:left w:val="single" w:sz="4" w:space="0" w:color="0079C1" w:themeColor="text2"/>
            </w:tcBorders>
          </w:tcPr>
          <w:p w14:paraId="7818B9EE" w14:textId="6AE9039B"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67A1DEC3" w14:textId="7FD0167A"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3C999489" w14:textId="2620E760"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11.6</w:t>
            </w:r>
            <w:r w:rsidR="00655FE1" w:rsidRPr="00F33447">
              <w:rPr>
                <w:sz w:val="20"/>
                <w:szCs w:val="20"/>
              </w:rPr>
              <w:br/>
            </w:r>
            <w:r w:rsidRPr="00F33447">
              <w:rPr>
                <w:sz w:val="20"/>
                <w:szCs w:val="20"/>
              </w:rPr>
              <w:t>(0.2 per week)</w:t>
            </w:r>
          </w:p>
        </w:tc>
        <w:tc>
          <w:tcPr>
            <w:tcW w:w="1542" w:type="dxa"/>
            <w:tcBorders>
              <w:right w:val="single" w:sz="4" w:space="0" w:color="0079C1" w:themeColor="text2"/>
            </w:tcBorders>
          </w:tcPr>
          <w:p w14:paraId="6AE41160"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$565.76</w:t>
            </w:r>
          </w:p>
        </w:tc>
        <w:tc>
          <w:tcPr>
            <w:tcW w:w="1542" w:type="dxa"/>
            <w:tcBorders>
              <w:left w:val="single" w:sz="4" w:space="0" w:color="0079C1" w:themeColor="text2"/>
            </w:tcBorders>
          </w:tcPr>
          <w:p w14:paraId="7FDA91E0" w14:textId="341C4EF2"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5.8</w:t>
            </w:r>
            <w:r w:rsidR="00655FE1" w:rsidRPr="00F33447">
              <w:rPr>
                <w:sz w:val="20"/>
                <w:szCs w:val="20"/>
              </w:rPr>
              <w:br/>
            </w:r>
            <w:r w:rsidRPr="00F33447">
              <w:rPr>
                <w:sz w:val="20"/>
                <w:szCs w:val="20"/>
              </w:rPr>
              <w:t>(0.11 per week)</w:t>
            </w:r>
          </w:p>
        </w:tc>
        <w:tc>
          <w:tcPr>
            <w:tcW w:w="1541" w:type="dxa"/>
            <w:tcBorders>
              <w:right w:val="single" w:sz="4" w:space="0" w:color="0079C1" w:themeColor="text2"/>
            </w:tcBorders>
          </w:tcPr>
          <w:p w14:paraId="7F1B40E6"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$282.88</w:t>
            </w:r>
          </w:p>
        </w:tc>
        <w:tc>
          <w:tcPr>
            <w:tcW w:w="1542" w:type="dxa"/>
            <w:tcBorders>
              <w:left w:val="single" w:sz="4" w:space="0" w:color="0079C1" w:themeColor="text2"/>
            </w:tcBorders>
          </w:tcPr>
          <w:p w14:paraId="5395A194" w14:textId="045769A2"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-5.8</w:t>
            </w:r>
            <w:r w:rsidR="00655FE1" w:rsidRPr="00F33447">
              <w:rPr>
                <w:sz w:val="20"/>
                <w:szCs w:val="20"/>
              </w:rPr>
              <w:br/>
            </w:r>
            <w:r w:rsidRPr="00F33447">
              <w:rPr>
                <w:sz w:val="20"/>
                <w:szCs w:val="20"/>
              </w:rPr>
              <w:t>(-0.1 per week)</w:t>
            </w:r>
          </w:p>
        </w:tc>
        <w:tc>
          <w:tcPr>
            <w:tcW w:w="1542" w:type="dxa"/>
          </w:tcPr>
          <w:p w14:paraId="2E648581"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-$282.88</w:t>
            </w:r>
          </w:p>
        </w:tc>
      </w:tr>
      <w:tr w:rsidR="00655FE1" w:rsidRPr="00F33447" w14:paraId="27935AF9" w14:textId="77777777" w:rsidTr="00370B41">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1A991043" w14:textId="77777777" w:rsidR="00F81E67" w:rsidRPr="00F33447" w:rsidRDefault="00F81E67" w:rsidP="00655FE1">
            <w:pPr>
              <w:rPr>
                <w:sz w:val="20"/>
                <w:szCs w:val="20"/>
              </w:rPr>
            </w:pPr>
            <w:r w:rsidRPr="00F33447">
              <w:rPr>
                <w:sz w:val="20"/>
                <w:szCs w:val="20"/>
              </w:rPr>
              <w:t>GP visits (number)</w:t>
            </w:r>
          </w:p>
        </w:tc>
        <w:tc>
          <w:tcPr>
            <w:tcW w:w="1541" w:type="dxa"/>
            <w:tcBorders>
              <w:left w:val="single" w:sz="4" w:space="0" w:color="0079C1" w:themeColor="text2"/>
            </w:tcBorders>
          </w:tcPr>
          <w:p w14:paraId="7D11AD0F"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-0.4</w:t>
            </w:r>
          </w:p>
        </w:tc>
        <w:tc>
          <w:tcPr>
            <w:tcW w:w="1542" w:type="dxa"/>
            <w:tcBorders>
              <w:right w:val="single" w:sz="4" w:space="0" w:color="0079C1" w:themeColor="text2"/>
            </w:tcBorders>
          </w:tcPr>
          <w:p w14:paraId="2A2906AC"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-$17.11</w:t>
            </w:r>
          </w:p>
        </w:tc>
        <w:tc>
          <w:tcPr>
            <w:tcW w:w="1541" w:type="dxa"/>
            <w:tcBorders>
              <w:left w:val="single" w:sz="4" w:space="0" w:color="0079C1" w:themeColor="text2"/>
            </w:tcBorders>
          </w:tcPr>
          <w:p w14:paraId="02F1AF75"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-0.6</w:t>
            </w:r>
          </w:p>
        </w:tc>
        <w:tc>
          <w:tcPr>
            <w:tcW w:w="1542" w:type="dxa"/>
            <w:tcBorders>
              <w:right w:val="single" w:sz="4" w:space="0" w:color="0079C1" w:themeColor="text2"/>
            </w:tcBorders>
          </w:tcPr>
          <w:p w14:paraId="0CE4CD1C"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-$21.22</w:t>
            </w:r>
          </w:p>
        </w:tc>
        <w:tc>
          <w:tcPr>
            <w:tcW w:w="1542" w:type="dxa"/>
            <w:tcBorders>
              <w:left w:val="single" w:sz="4" w:space="0" w:color="0079C1" w:themeColor="text2"/>
            </w:tcBorders>
          </w:tcPr>
          <w:p w14:paraId="409D6817"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-1.0</w:t>
            </w:r>
          </w:p>
        </w:tc>
        <w:tc>
          <w:tcPr>
            <w:tcW w:w="1541" w:type="dxa"/>
            <w:tcBorders>
              <w:right w:val="single" w:sz="4" w:space="0" w:color="0079C1" w:themeColor="text2"/>
            </w:tcBorders>
          </w:tcPr>
          <w:p w14:paraId="71AF1EAC"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-$38.20</w:t>
            </w:r>
          </w:p>
        </w:tc>
        <w:tc>
          <w:tcPr>
            <w:tcW w:w="1542" w:type="dxa"/>
            <w:tcBorders>
              <w:left w:val="single" w:sz="4" w:space="0" w:color="0079C1" w:themeColor="text2"/>
            </w:tcBorders>
          </w:tcPr>
          <w:p w14:paraId="6638A5B7"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-5.7</w:t>
            </w:r>
          </w:p>
        </w:tc>
        <w:tc>
          <w:tcPr>
            <w:tcW w:w="1542" w:type="dxa"/>
          </w:tcPr>
          <w:p w14:paraId="263A59CA"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-$216.47</w:t>
            </w:r>
          </w:p>
        </w:tc>
      </w:tr>
      <w:tr w:rsidR="00655FE1" w:rsidRPr="00F33447" w14:paraId="7FC9495A" w14:textId="77777777" w:rsidTr="0037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5B15CBF6" w14:textId="77777777" w:rsidR="00F81E67" w:rsidRPr="00F33447" w:rsidRDefault="00F81E67" w:rsidP="00655FE1">
            <w:pPr>
              <w:rPr>
                <w:sz w:val="20"/>
                <w:szCs w:val="20"/>
              </w:rPr>
            </w:pPr>
            <w:r w:rsidRPr="00F33447">
              <w:rPr>
                <w:sz w:val="20"/>
                <w:szCs w:val="20"/>
              </w:rPr>
              <w:t>Falls (number)</w:t>
            </w:r>
          </w:p>
        </w:tc>
        <w:tc>
          <w:tcPr>
            <w:tcW w:w="1541" w:type="dxa"/>
            <w:tcBorders>
              <w:left w:val="single" w:sz="4" w:space="0" w:color="0079C1" w:themeColor="text2"/>
            </w:tcBorders>
          </w:tcPr>
          <w:p w14:paraId="6E3E7D79" w14:textId="21E5FAB4"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6E607461" w14:textId="430FB4D7"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055D9CF6"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-0.9</w:t>
            </w:r>
          </w:p>
        </w:tc>
        <w:tc>
          <w:tcPr>
            <w:tcW w:w="1542" w:type="dxa"/>
            <w:tcBorders>
              <w:right w:val="single" w:sz="4" w:space="0" w:color="0079C1" w:themeColor="text2"/>
            </w:tcBorders>
          </w:tcPr>
          <w:p w14:paraId="735B363F"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-$575.88</w:t>
            </w:r>
          </w:p>
        </w:tc>
        <w:tc>
          <w:tcPr>
            <w:tcW w:w="1542" w:type="dxa"/>
            <w:tcBorders>
              <w:left w:val="single" w:sz="4" w:space="0" w:color="0079C1" w:themeColor="text2"/>
            </w:tcBorders>
          </w:tcPr>
          <w:p w14:paraId="0D3D0786" w14:textId="4B74AAFD"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1" w:type="dxa"/>
            <w:tcBorders>
              <w:right w:val="single" w:sz="4" w:space="0" w:color="0079C1" w:themeColor="text2"/>
            </w:tcBorders>
          </w:tcPr>
          <w:p w14:paraId="7956643C" w14:textId="715863F4"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025059B9"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-0.3</w:t>
            </w:r>
          </w:p>
        </w:tc>
        <w:tc>
          <w:tcPr>
            <w:tcW w:w="1542" w:type="dxa"/>
          </w:tcPr>
          <w:p w14:paraId="5F8EAE80"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-$213.30</w:t>
            </w:r>
          </w:p>
        </w:tc>
      </w:tr>
      <w:tr w:rsidR="00655FE1" w:rsidRPr="00F33447" w14:paraId="07611395" w14:textId="77777777" w:rsidTr="00370B41">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68100544" w14:textId="77777777" w:rsidR="00F81E67" w:rsidRPr="00F33447" w:rsidRDefault="00F81E67" w:rsidP="00655FE1">
            <w:pPr>
              <w:rPr>
                <w:sz w:val="20"/>
                <w:szCs w:val="20"/>
              </w:rPr>
            </w:pPr>
            <w:r w:rsidRPr="00F33447">
              <w:rPr>
                <w:sz w:val="20"/>
                <w:szCs w:val="20"/>
              </w:rPr>
              <w:t>Hospital admissions through the emergency department (number)</w:t>
            </w:r>
          </w:p>
        </w:tc>
        <w:tc>
          <w:tcPr>
            <w:tcW w:w="1541" w:type="dxa"/>
            <w:tcBorders>
              <w:left w:val="single" w:sz="4" w:space="0" w:color="0079C1" w:themeColor="text2"/>
            </w:tcBorders>
          </w:tcPr>
          <w:p w14:paraId="49A70068" w14:textId="56E9904F"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26C7758B" w14:textId="2F2FFF27"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4CF50E37"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-0.6</w:t>
            </w:r>
          </w:p>
        </w:tc>
        <w:tc>
          <w:tcPr>
            <w:tcW w:w="1542" w:type="dxa"/>
            <w:tcBorders>
              <w:right w:val="single" w:sz="4" w:space="0" w:color="0079C1" w:themeColor="text2"/>
            </w:tcBorders>
          </w:tcPr>
          <w:p w14:paraId="702F4113"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-$2,803.36</w:t>
            </w:r>
          </w:p>
        </w:tc>
        <w:tc>
          <w:tcPr>
            <w:tcW w:w="1542" w:type="dxa"/>
            <w:tcBorders>
              <w:left w:val="single" w:sz="4" w:space="0" w:color="0079C1" w:themeColor="text2"/>
            </w:tcBorders>
          </w:tcPr>
          <w:p w14:paraId="5FE061B9"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-0.7</w:t>
            </w:r>
          </w:p>
        </w:tc>
        <w:tc>
          <w:tcPr>
            <w:tcW w:w="1541" w:type="dxa"/>
            <w:tcBorders>
              <w:right w:val="single" w:sz="4" w:space="0" w:color="0079C1" w:themeColor="text2"/>
            </w:tcBorders>
          </w:tcPr>
          <w:p w14:paraId="3E11DEBC"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-$3,364.03</w:t>
            </w:r>
          </w:p>
        </w:tc>
        <w:tc>
          <w:tcPr>
            <w:tcW w:w="1542" w:type="dxa"/>
            <w:tcBorders>
              <w:left w:val="single" w:sz="4" w:space="0" w:color="0079C1" w:themeColor="text2"/>
            </w:tcBorders>
          </w:tcPr>
          <w:p w14:paraId="4E9A94AF"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-1.9</w:t>
            </w:r>
          </w:p>
        </w:tc>
        <w:tc>
          <w:tcPr>
            <w:tcW w:w="1542" w:type="dxa"/>
          </w:tcPr>
          <w:p w14:paraId="1B46D4DE"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-$9,531.41</w:t>
            </w:r>
          </w:p>
        </w:tc>
      </w:tr>
      <w:tr w:rsidR="00655FE1" w:rsidRPr="00F33447" w14:paraId="7A1D8749" w14:textId="77777777" w:rsidTr="0037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3238E0D2" w14:textId="77777777" w:rsidR="00F81E67" w:rsidRPr="00F33447" w:rsidRDefault="00F81E67" w:rsidP="00655FE1">
            <w:pPr>
              <w:rPr>
                <w:sz w:val="20"/>
                <w:szCs w:val="20"/>
              </w:rPr>
            </w:pPr>
            <w:r w:rsidRPr="00F33447">
              <w:rPr>
                <w:sz w:val="20"/>
                <w:szCs w:val="20"/>
              </w:rPr>
              <w:t>Days spent in daytime community respite care</w:t>
            </w:r>
          </w:p>
        </w:tc>
        <w:tc>
          <w:tcPr>
            <w:tcW w:w="1541" w:type="dxa"/>
            <w:tcBorders>
              <w:left w:val="single" w:sz="4" w:space="0" w:color="0079C1" w:themeColor="text2"/>
            </w:tcBorders>
          </w:tcPr>
          <w:p w14:paraId="4B1599C7" w14:textId="6E13D0FB"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16B937B2" w14:textId="3AB2E7AF"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5A9A5751" w14:textId="09CEAD1E"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6E14AC58" w14:textId="42520834"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2A2497B8" w14:textId="19FD0FAC"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1" w:type="dxa"/>
            <w:tcBorders>
              <w:right w:val="single" w:sz="4" w:space="0" w:color="0079C1" w:themeColor="text2"/>
            </w:tcBorders>
          </w:tcPr>
          <w:p w14:paraId="58DD291C" w14:textId="02C7A686" w:rsidR="00F81E67" w:rsidRPr="00F33447" w:rsidRDefault="00F3344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377F0B03"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-7.6</w:t>
            </w:r>
          </w:p>
        </w:tc>
        <w:tc>
          <w:tcPr>
            <w:tcW w:w="1542" w:type="dxa"/>
          </w:tcPr>
          <w:p w14:paraId="1FD644E3" w14:textId="77777777" w:rsidR="00F81E67" w:rsidRPr="00F33447" w:rsidRDefault="00F81E67" w:rsidP="00655FE1">
            <w:pPr>
              <w:jc w:val="right"/>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$0.00</w:t>
            </w:r>
          </w:p>
        </w:tc>
      </w:tr>
      <w:tr w:rsidR="00655FE1" w:rsidRPr="00F33447" w14:paraId="3AD520B9" w14:textId="77777777" w:rsidTr="00370B41">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59DBFF04" w14:textId="77777777" w:rsidR="00F81E67" w:rsidRPr="00F33447" w:rsidRDefault="00F81E67" w:rsidP="00655FE1">
            <w:pPr>
              <w:rPr>
                <w:sz w:val="20"/>
                <w:szCs w:val="20"/>
              </w:rPr>
            </w:pPr>
            <w:r w:rsidRPr="00F33447">
              <w:rPr>
                <w:sz w:val="20"/>
                <w:szCs w:val="20"/>
              </w:rPr>
              <w:t>Days spent in residential respite care (days)</w:t>
            </w:r>
          </w:p>
        </w:tc>
        <w:tc>
          <w:tcPr>
            <w:tcW w:w="1541" w:type="dxa"/>
            <w:tcBorders>
              <w:left w:val="single" w:sz="4" w:space="0" w:color="0079C1" w:themeColor="text2"/>
            </w:tcBorders>
          </w:tcPr>
          <w:p w14:paraId="67D33443" w14:textId="7EC9E103"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2C88D930" w14:textId="7D34B470"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1" w:type="dxa"/>
            <w:tcBorders>
              <w:left w:val="single" w:sz="4" w:space="0" w:color="0079C1" w:themeColor="text2"/>
            </w:tcBorders>
          </w:tcPr>
          <w:p w14:paraId="1900E107" w14:textId="0E0A81BA"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51C5942C" w14:textId="3385B859"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23D23287" w14:textId="0EE58A62"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1" w:type="dxa"/>
            <w:tcBorders>
              <w:right w:val="single" w:sz="4" w:space="0" w:color="0079C1" w:themeColor="text2"/>
            </w:tcBorders>
          </w:tcPr>
          <w:p w14:paraId="51E93704" w14:textId="724EC592" w:rsidR="00F81E67" w:rsidRPr="00F33447" w:rsidRDefault="00F3344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left w:val="single" w:sz="4" w:space="0" w:color="0079C1" w:themeColor="text2"/>
            </w:tcBorders>
          </w:tcPr>
          <w:p w14:paraId="7AF06359"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-0.9</w:t>
            </w:r>
          </w:p>
        </w:tc>
        <w:tc>
          <w:tcPr>
            <w:tcW w:w="1542" w:type="dxa"/>
          </w:tcPr>
          <w:p w14:paraId="732057CC" w14:textId="77777777" w:rsidR="00F81E67" w:rsidRPr="00F33447" w:rsidRDefault="00F81E67" w:rsidP="00655FE1">
            <w:pPr>
              <w:jc w:val="right"/>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-$45.42</w:t>
            </w:r>
          </w:p>
        </w:tc>
      </w:tr>
      <w:tr w:rsidR="00655FE1" w:rsidRPr="00F33447" w14:paraId="18303087" w14:textId="77777777" w:rsidTr="00370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0079C1" w:themeColor="text2"/>
            </w:tcBorders>
          </w:tcPr>
          <w:p w14:paraId="1D553D8A" w14:textId="77777777" w:rsidR="00F81E67" w:rsidRPr="00F33447" w:rsidRDefault="00F81E67" w:rsidP="00655FE1">
            <w:pPr>
              <w:rPr>
                <w:sz w:val="20"/>
                <w:szCs w:val="20"/>
              </w:rPr>
            </w:pPr>
            <w:r w:rsidRPr="00F33447">
              <w:rPr>
                <w:sz w:val="20"/>
                <w:szCs w:val="20"/>
              </w:rPr>
              <w:t>TOTAL BENEFIT</w:t>
            </w:r>
          </w:p>
        </w:tc>
        <w:tc>
          <w:tcPr>
            <w:tcW w:w="1541" w:type="dxa"/>
            <w:tcBorders>
              <w:left w:val="single" w:sz="4" w:space="0" w:color="0079C1" w:themeColor="text2"/>
            </w:tcBorders>
          </w:tcPr>
          <w:p w14:paraId="6A2692EC" w14:textId="475F908B" w:rsidR="00F81E67" w:rsidRPr="00F33447" w:rsidRDefault="00F3344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N/​A</w:t>
            </w:r>
          </w:p>
        </w:tc>
        <w:tc>
          <w:tcPr>
            <w:tcW w:w="1542" w:type="dxa"/>
            <w:tcBorders>
              <w:right w:val="single" w:sz="4" w:space="0" w:color="0079C1" w:themeColor="text2"/>
            </w:tcBorders>
          </w:tcPr>
          <w:p w14:paraId="64DF65FD" w14:textId="77777777" w:rsidR="00F81E67" w:rsidRPr="00F33447" w:rsidRDefault="00F81E6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r w:rsidRPr="00F33447">
              <w:rPr>
                <w:sz w:val="20"/>
                <w:szCs w:val="20"/>
              </w:rPr>
              <w:t>-$17.11</w:t>
            </w:r>
          </w:p>
        </w:tc>
        <w:tc>
          <w:tcPr>
            <w:tcW w:w="1541" w:type="dxa"/>
            <w:tcBorders>
              <w:left w:val="single" w:sz="4" w:space="0" w:color="0079C1" w:themeColor="text2"/>
            </w:tcBorders>
          </w:tcPr>
          <w:p w14:paraId="69587738" w14:textId="77777777" w:rsidR="00F81E67" w:rsidRPr="00F33447" w:rsidRDefault="00F81E6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p>
        </w:tc>
        <w:tc>
          <w:tcPr>
            <w:tcW w:w="1542" w:type="dxa"/>
            <w:tcBorders>
              <w:right w:val="single" w:sz="4" w:space="0" w:color="0079C1" w:themeColor="text2"/>
            </w:tcBorders>
          </w:tcPr>
          <w:p w14:paraId="01E29728" w14:textId="77777777" w:rsidR="00F81E67" w:rsidRPr="00F33447" w:rsidRDefault="00F81E6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r w:rsidRPr="00F33447">
              <w:rPr>
                <w:sz w:val="20"/>
                <w:szCs w:val="20"/>
              </w:rPr>
              <w:t>-$2,834.70</w:t>
            </w:r>
          </w:p>
        </w:tc>
        <w:tc>
          <w:tcPr>
            <w:tcW w:w="1542" w:type="dxa"/>
            <w:tcBorders>
              <w:left w:val="single" w:sz="4" w:space="0" w:color="0079C1" w:themeColor="text2"/>
            </w:tcBorders>
          </w:tcPr>
          <w:p w14:paraId="6CCD9E03" w14:textId="42ED76FF" w:rsidR="00F81E67" w:rsidRPr="00F33447" w:rsidRDefault="00F3344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N/​A</w:t>
            </w:r>
          </w:p>
        </w:tc>
        <w:tc>
          <w:tcPr>
            <w:tcW w:w="1541" w:type="dxa"/>
            <w:tcBorders>
              <w:right w:val="single" w:sz="4" w:space="0" w:color="0079C1" w:themeColor="text2"/>
            </w:tcBorders>
          </w:tcPr>
          <w:p w14:paraId="2733DA0C" w14:textId="77777777" w:rsidR="00F81E67" w:rsidRPr="00F33447" w:rsidRDefault="00F81E6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r w:rsidRPr="00F33447">
              <w:rPr>
                <w:sz w:val="20"/>
                <w:szCs w:val="20"/>
              </w:rPr>
              <w:t>-$3,344.57</w:t>
            </w:r>
          </w:p>
        </w:tc>
        <w:tc>
          <w:tcPr>
            <w:tcW w:w="1542" w:type="dxa"/>
            <w:tcBorders>
              <w:left w:val="single" w:sz="4" w:space="0" w:color="0079C1" w:themeColor="text2"/>
            </w:tcBorders>
          </w:tcPr>
          <w:p w14:paraId="0B40B9A2" w14:textId="77777777" w:rsidR="00F81E67" w:rsidRPr="00F33447" w:rsidRDefault="00F81E6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p>
        </w:tc>
        <w:tc>
          <w:tcPr>
            <w:tcW w:w="1542" w:type="dxa"/>
          </w:tcPr>
          <w:p w14:paraId="4D1E22F7" w14:textId="35B23CD7" w:rsidR="00F81E67" w:rsidRPr="00F33447" w:rsidRDefault="00F81E67" w:rsidP="00655FE1">
            <w:pPr>
              <w:jc w:val="right"/>
              <w:cnfStyle w:val="010000000000" w:firstRow="0" w:lastRow="1" w:firstColumn="0" w:lastColumn="0" w:oddVBand="0" w:evenVBand="0" w:oddHBand="0" w:evenHBand="0" w:firstRowFirstColumn="0" w:firstRowLastColumn="0" w:lastRowFirstColumn="0" w:lastRowLastColumn="0"/>
              <w:rPr>
                <w:sz w:val="20"/>
                <w:szCs w:val="20"/>
              </w:rPr>
            </w:pPr>
            <w:r w:rsidRPr="00F33447">
              <w:rPr>
                <w:sz w:val="20"/>
                <w:szCs w:val="20"/>
              </w:rPr>
              <w:t>-$13,</w:t>
            </w:r>
            <w:r w:rsidR="004E4D15" w:rsidRPr="00F33447">
              <w:rPr>
                <w:sz w:val="20"/>
                <w:szCs w:val="20"/>
              </w:rPr>
              <w:t>555.14</w:t>
            </w:r>
          </w:p>
        </w:tc>
      </w:tr>
    </w:tbl>
    <w:p w14:paraId="6E3DFC22" w14:textId="77777777" w:rsidR="00217053" w:rsidRDefault="00217053" w:rsidP="00217053"/>
    <w:p w14:paraId="1FA8EDB7" w14:textId="63DE9D1B" w:rsidR="00655FE1" w:rsidRPr="00217053" w:rsidRDefault="00655FE1" w:rsidP="00217053">
      <w:pPr>
        <w:rPr>
          <w:b/>
        </w:rPr>
      </w:pPr>
      <w:r w:rsidRPr="00217053">
        <w:rPr>
          <w:b/>
        </w:rPr>
        <w:t>Time horizon</w:t>
      </w:r>
    </w:p>
    <w:tbl>
      <w:tblPr>
        <w:tblStyle w:val="AHALight"/>
        <w:tblW w:w="14601" w:type="dxa"/>
        <w:tblLook w:val="04A0" w:firstRow="1" w:lastRow="0" w:firstColumn="1" w:lastColumn="0" w:noHBand="0" w:noVBand="1"/>
        <w:tblCaption w:val="table C 4"/>
        <w:tblDescription w:val="quantified and costed benefts of the 4 consumer examples post survey related to time delay to residential care if they have access to AT"/>
      </w:tblPr>
      <w:tblGrid>
        <w:gridCol w:w="4253"/>
        <w:gridCol w:w="2835"/>
        <w:gridCol w:w="2835"/>
        <w:gridCol w:w="2339"/>
        <w:gridCol w:w="2339"/>
      </w:tblGrid>
      <w:tr w:rsidR="00655FE1" w:rsidRPr="00F33447" w14:paraId="7A10E99F" w14:textId="77777777" w:rsidTr="00655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D434EA8" w14:textId="77777777" w:rsidR="00655FE1" w:rsidRPr="00F33447" w:rsidRDefault="00655FE1" w:rsidP="006D5358">
            <w:pPr>
              <w:pStyle w:val="TableHeading1"/>
              <w:rPr>
                <w:sz w:val="20"/>
                <w:szCs w:val="20"/>
              </w:rPr>
            </w:pPr>
            <w:r w:rsidRPr="00F33447">
              <w:rPr>
                <w:sz w:val="20"/>
                <w:szCs w:val="20"/>
              </w:rPr>
              <w:t>With access to AT</w:t>
            </w:r>
          </w:p>
        </w:tc>
        <w:tc>
          <w:tcPr>
            <w:tcW w:w="2835" w:type="dxa"/>
          </w:tcPr>
          <w:p w14:paraId="7A2D7AEA" w14:textId="27F5B004" w:rsidR="00655FE1" w:rsidRPr="00F33447" w:rsidRDefault="00655FE1" w:rsidP="00F33447">
            <w:pPr>
              <w:pStyle w:val="TableHeading1"/>
              <w:jc w:val="center"/>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1: </w:t>
            </w:r>
            <w:r w:rsidR="00F33447" w:rsidRPr="00F33447">
              <w:rPr>
                <w:sz w:val="20"/>
                <w:szCs w:val="20"/>
              </w:rPr>
              <w:t>Mrs </w:t>
            </w:r>
            <w:r w:rsidRPr="00F33447">
              <w:rPr>
                <w:sz w:val="20"/>
                <w:szCs w:val="20"/>
              </w:rPr>
              <w:t>A</w:t>
            </w:r>
          </w:p>
        </w:tc>
        <w:tc>
          <w:tcPr>
            <w:tcW w:w="2835" w:type="dxa"/>
          </w:tcPr>
          <w:p w14:paraId="22AFF932" w14:textId="25E0DE62" w:rsidR="00655FE1" w:rsidRPr="00F33447" w:rsidRDefault="00655FE1" w:rsidP="00F33447">
            <w:pPr>
              <w:pStyle w:val="TableHeading1"/>
              <w:jc w:val="center"/>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2: </w:t>
            </w:r>
            <w:r w:rsidR="00F33447" w:rsidRPr="00F33447">
              <w:rPr>
                <w:sz w:val="20"/>
                <w:szCs w:val="20"/>
              </w:rPr>
              <w:t>Mr </w:t>
            </w:r>
            <w:r w:rsidRPr="00F33447">
              <w:rPr>
                <w:sz w:val="20"/>
                <w:szCs w:val="20"/>
              </w:rPr>
              <w:t>B</w:t>
            </w:r>
          </w:p>
        </w:tc>
        <w:tc>
          <w:tcPr>
            <w:tcW w:w="2339" w:type="dxa"/>
          </w:tcPr>
          <w:p w14:paraId="63529E9D" w14:textId="46EF68D0" w:rsidR="00655FE1" w:rsidRPr="00F33447" w:rsidRDefault="00655FE1" w:rsidP="00F33447">
            <w:pPr>
              <w:pStyle w:val="TableHeading1"/>
              <w:jc w:val="center"/>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3: </w:t>
            </w:r>
            <w:r w:rsidR="00F33447" w:rsidRPr="00F33447">
              <w:rPr>
                <w:sz w:val="20"/>
                <w:szCs w:val="20"/>
              </w:rPr>
              <w:t>Ms </w:t>
            </w:r>
            <w:r w:rsidRPr="00F33447">
              <w:rPr>
                <w:sz w:val="20"/>
                <w:szCs w:val="20"/>
              </w:rPr>
              <w:t>C</w:t>
            </w:r>
          </w:p>
        </w:tc>
        <w:tc>
          <w:tcPr>
            <w:tcW w:w="2339" w:type="dxa"/>
          </w:tcPr>
          <w:p w14:paraId="3BB31F54" w14:textId="69B847FC" w:rsidR="00655FE1" w:rsidRPr="00F33447" w:rsidRDefault="00655FE1" w:rsidP="00F33447">
            <w:pPr>
              <w:pStyle w:val="TableHeading1"/>
              <w:jc w:val="center"/>
              <w:cnfStyle w:val="100000000000" w:firstRow="1"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Person 4: </w:t>
            </w:r>
            <w:r w:rsidR="00F33447" w:rsidRPr="00F33447">
              <w:rPr>
                <w:sz w:val="20"/>
                <w:szCs w:val="20"/>
              </w:rPr>
              <w:t>Mr </w:t>
            </w:r>
            <w:r w:rsidRPr="00F33447">
              <w:rPr>
                <w:sz w:val="20"/>
                <w:szCs w:val="20"/>
              </w:rPr>
              <w:t>D</w:t>
            </w:r>
          </w:p>
        </w:tc>
      </w:tr>
      <w:tr w:rsidR="00655FE1" w:rsidRPr="00F33447" w14:paraId="4BE30CFF" w14:textId="77777777" w:rsidTr="0065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ECA16C9" w14:textId="15B174E8" w:rsidR="00655FE1" w:rsidRPr="00F33447" w:rsidRDefault="00655FE1" w:rsidP="00655FE1">
            <w:pPr>
              <w:rPr>
                <w:sz w:val="20"/>
                <w:szCs w:val="20"/>
              </w:rPr>
            </w:pPr>
            <w:r w:rsidRPr="00F33447">
              <w:rPr>
                <w:sz w:val="20"/>
                <w:szCs w:val="20"/>
              </w:rPr>
              <w:t>Time delay to increase unpaid formal care, paid carer support and paid formal care</w:t>
            </w:r>
          </w:p>
        </w:tc>
        <w:tc>
          <w:tcPr>
            <w:tcW w:w="2835" w:type="dxa"/>
          </w:tcPr>
          <w:p w14:paraId="69D8EE64" w14:textId="77777777" w:rsidR="00655FE1" w:rsidRPr="00F33447" w:rsidRDefault="00655FE1" w:rsidP="00F334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2 to 12 years</w:t>
            </w:r>
          </w:p>
        </w:tc>
        <w:tc>
          <w:tcPr>
            <w:tcW w:w="2835" w:type="dxa"/>
          </w:tcPr>
          <w:p w14:paraId="6C7E0DF6" w14:textId="77777777" w:rsidR="00655FE1" w:rsidRPr="00F33447" w:rsidRDefault="00655FE1" w:rsidP="00F334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2 to 12 years</w:t>
            </w:r>
          </w:p>
        </w:tc>
        <w:tc>
          <w:tcPr>
            <w:tcW w:w="2339" w:type="dxa"/>
          </w:tcPr>
          <w:p w14:paraId="52494BAF" w14:textId="77777777" w:rsidR="00655FE1" w:rsidRPr="00F33447" w:rsidRDefault="00655FE1" w:rsidP="00F334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1 to 10 years</w:t>
            </w:r>
          </w:p>
        </w:tc>
        <w:tc>
          <w:tcPr>
            <w:tcW w:w="2339" w:type="dxa"/>
          </w:tcPr>
          <w:p w14:paraId="74FF7C2A" w14:textId="77777777" w:rsidR="00655FE1" w:rsidRPr="00F33447" w:rsidRDefault="00655FE1" w:rsidP="00F334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3447">
              <w:rPr>
                <w:sz w:val="20"/>
                <w:szCs w:val="20"/>
              </w:rPr>
              <w:t>6 months to 2 years</w:t>
            </w:r>
          </w:p>
        </w:tc>
      </w:tr>
      <w:tr w:rsidR="00655FE1" w:rsidRPr="00F33447" w14:paraId="5F0A9B92" w14:textId="77777777" w:rsidTr="00655FE1">
        <w:tc>
          <w:tcPr>
            <w:cnfStyle w:val="001000000000" w:firstRow="0" w:lastRow="0" w:firstColumn="1" w:lastColumn="0" w:oddVBand="0" w:evenVBand="0" w:oddHBand="0" w:evenHBand="0" w:firstRowFirstColumn="0" w:firstRowLastColumn="0" w:lastRowFirstColumn="0" w:lastRowLastColumn="0"/>
            <w:tcW w:w="4253" w:type="dxa"/>
          </w:tcPr>
          <w:p w14:paraId="3CFDD588" w14:textId="7A6298E4" w:rsidR="00655FE1" w:rsidRPr="00F33447" w:rsidRDefault="00655FE1" w:rsidP="00655FE1">
            <w:pPr>
              <w:rPr>
                <w:sz w:val="20"/>
                <w:szCs w:val="20"/>
              </w:rPr>
            </w:pPr>
            <w:r w:rsidRPr="00F33447">
              <w:rPr>
                <w:sz w:val="20"/>
                <w:szCs w:val="20"/>
              </w:rPr>
              <w:t>Time delay for residential aged care admission</w:t>
            </w:r>
          </w:p>
        </w:tc>
        <w:tc>
          <w:tcPr>
            <w:tcW w:w="2835" w:type="dxa"/>
          </w:tcPr>
          <w:p w14:paraId="70F59D37" w14:textId="3828D620" w:rsidR="00655FE1" w:rsidRPr="00F33447" w:rsidRDefault="00655FE1" w:rsidP="00F334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10+ years</w:t>
            </w:r>
            <w:r w:rsidRPr="00F33447">
              <w:rPr>
                <w:sz w:val="20"/>
                <w:szCs w:val="20"/>
              </w:rPr>
              <w:br/>
              <w:t>(not in the foreseeable future)</w:t>
            </w:r>
          </w:p>
        </w:tc>
        <w:tc>
          <w:tcPr>
            <w:tcW w:w="2835" w:type="dxa"/>
          </w:tcPr>
          <w:p w14:paraId="429B1DFE" w14:textId="4DFD52C7" w:rsidR="00655FE1" w:rsidRPr="00F33447" w:rsidRDefault="00655FE1" w:rsidP="00F334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 xml:space="preserve">10+ years </w:t>
            </w:r>
            <w:r w:rsidRPr="00F33447">
              <w:rPr>
                <w:sz w:val="20"/>
                <w:szCs w:val="20"/>
              </w:rPr>
              <w:br/>
              <w:t>(not in the foreseeable future)</w:t>
            </w:r>
          </w:p>
        </w:tc>
        <w:tc>
          <w:tcPr>
            <w:tcW w:w="2339" w:type="dxa"/>
          </w:tcPr>
          <w:p w14:paraId="7E8790D1" w14:textId="60C96664" w:rsidR="00655FE1" w:rsidRPr="00F33447" w:rsidRDefault="00655FE1" w:rsidP="00F334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6 months to 10 years</w:t>
            </w:r>
          </w:p>
        </w:tc>
        <w:tc>
          <w:tcPr>
            <w:tcW w:w="2339" w:type="dxa"/>
          </w:tcPr>
          <w:p w14:paraId="6A2C13C6" w14:textId="77777777" w:rsidR="00655FE1" w:rsidRPr="00F33447" w:rsidRDefault="00655FE1" w:rsidP="00F334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3447">
              <w:rPr>
                <w:sz w:val="20"/>
                <w:szCs w:val="20"/>
              </w:rPr>
              <w:t>4 months to 3 years</w:t>
            </w:r>
          </w:p>
        </w:tc>
      </w:tr>
    </w:tbl>
    <w:p w14:paraId="34979987" w14:textId="71298CE6" w:rsidR="00655FE1" w:rsidRDefault="00F81E67" w:rsidP="00655FE1">
      <w:pPr>
        <w:pStyle w:val="Note"/>
      </w:pPr>
      <w:r w:rsidRPr="008E680E">
        <w:t>Note: a negative quantity or cost represents a saving and a positive quantity or cost represents an increase</w:t>
      </w:r>
      <w:r w:rsidR="00655FE1">
        <w:t>.</w:t>
      </w:r>
    </w:p>
    <w:p w14:paraId="3D3A8701" w14:textId="77777777" w:rsidR="00120921" w:rsidRDefault="00120921">
      <w:bookmarkStart w:id="167" w:name="_Ref42528419"/>
      <w:bookmarkStart w:id="168" w:name="_Toc60999943"/>
      <w:r>
        <w:br w:type="page"/>
      </w:r>
    </w:p>
    <w:p w14:paraId="3910988E" w14:textId="554B1A3D" w:rsidR="00F81E67" w:rsidRPr="008E680E" w:rsidRDefault="00655FE1" w:rsidP="00217053">
      <w:r w:rsidRPr="008E680E">
        <w:lastRenderedPageBreak/>
        <w:t>Table </w:t>
      </w:r>
      <w:r w:rsidR="00FD5E41">
        <w:fldChar w:fldCharType="begin"/>
      </w:r>
      <w:r w:rsidR="00FD5E41">
        <w:instrText xml:space="preserve"> STYLEREF 5 \s </w:instrText>
      </w:r>
      <w:r w:rsidR="00FD5E41">
        <w:fldChar w:fldCharType="separate"/>
      </w:r>
      <w:r w:rsidR="00EB1774">
        <w:rPr>
          <w:noProof/>
        </w:rPr>
        <w:t>C</w:t>
      </w:r>
      <w:r w:rsidR="00FD5E41">
        <w:fldChar w:fldCharType="end"/>
      </w:r>
      <w:r w:rsidR="00FD5E41">
        <w:noBreakHyphen/>
      </w:r>
      <w:r w:rsidR="00FD5E41">
        <w:fldChar w:fldCharType="begin"/>
      </w:r>
      <w:r w:rsidR="00FD5E41">
        <w:instrText xml:space="preserve"> SEQ Table_Apx \* ARABIC \s 5 </w:instrText>
      </w:r>
      <w:r w:rsidR="00FD5E41">
        <w:fldChar w:fldCharType="separate"/>
      </w:r>
      <w:r w:rsidR="00EB1774">
        <w:rPr>
          <w:noProof/>
        </w:rPr>
        <w:t>5</w:t>
      </w:r>
      <w:r w:rsidR="00FD5E41">
        <w:fldChar w:fldCharType="end"/>
      </w:r>
      <w:bookmarkEnd w:id="167"/>
      <w:r w:rsidRPr="008E680E">
        <w:t>:</w:t>
      </w:r>
      <w:r w:rsidR="00CF5AFF" w:rsidRPr="008E680E">
        <w:tab/>
      </w:r>
      <w:r w:rsidR="00F81E67" w:rsidRPr="008E680E">
        <w:t>Modelled cost data</w:t>
      </w:r>
      <w:bookmarkEnd w:id="168"/>
    </w:p>
    <w:tbl>
      <w:tblPr>
        <w:tblStyle w:val="AHALight"/>
        <w:tblW w:w="5000" w:type="pct"/>
        <w:tblLayout w:type="fixed"/>
        <w:tblLook w:val="04A0" w:firstRow="1" w:lastRow="0" w:firstColumn="1" w:lastColumn="0" w:noHBand="0" w:noVBand="1"/>
        <w:tblCaption w:val="table C 5"/>
        <w:tblDescription w:val="details of cost data by care and assistance needs "/>
      </w:tblPr>
      <w:tblGrid>
        <w:gridCol w:w="2285"/>
        <w:gridCol w:w="2393"/>
        <w:gridCol w:w="3827"/>
        <w:gridCol w:w="6067"/>
      </w:tblGrid>
      <w:tr w:rsidR="001245C0" w:rsidRPr="008E680E" w14:paraId="3F59A952" w14:textId="77777777" w:rsidTr="00655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4CB9530E" w14:textId="77777777" w:rsidR="00F81E67" w:rsidRPr="008E680E" w:rsidRDefault="00F81E67" w:rsidP="00187BC0">
            <w:pPr>
              <w:pStyle w:val="TableHeading1"/>
            </w:pPr>
            <w:r w:rsidRPr="008E680E">
              <w:t>Unit type</w:t>
            </w:r>
          </w:p>
        </w:tc>
        <w:tc>
          <w:tcPr>
            <w:tcW w:w="2393" w:type="dxa"/>
          </w:tcPr>
          <w:p w14:paraId="7CB42742" w14:textId="77777777" w:rsidR="00F81E67" w:rsidRPr="008E680E" w:rsidRDefault="00F81E67" w:rsidP="00187BC0">
            <w:pPr>
              <w:pStyle w:val="TableHeading1"/>
              <w:cnfStyle w:val="100000000000" w:firstRow="1" w:lastRow="0" w:firstColumn="0" w:lastColumn="0" w:oddVBand="0" w:evenVBand="0" w:oddHBand="0" w:evenHBand="0" w:firstRowFirstColumn="0" w:firstRowLastColumn="0" w:lastRowFirstColumn="0" w:lastRowLastColumn="0"/>
            </w:pPr>
            <w:r w:rsidRPr="008E680E">
              <w:t>Cost per unit</w:t>
            </w:r>
          </w:p>
        </w:tc>
        <w:tc>
          <w:tcPr>
            <w:tcW w:w="3827" w:type="dxa"/>
          </w:tcPr>
          <w:p w14:paraId="265313C0" w14:textId="77777777" w:rsidR="00F81E67" w:rsidRPr="008E680E" w:rsidRDefault="00F81E67" w:rsidP="00187BC0">
            <w:pPr>
              <w:pStyle w:val="TableHeading1"/>
              <w:cnfStyle w:val="100000000000" w:firstRow="1" w:lastRow="0" w:firstColumn="0" w:lastColumn="0" w:oddVBand="0" w:evenVBand="0" w:oddHBand="0" w:evenHBand="0" w:firstRowFirstColumn="0" w:firstRowLastColumn="0" w:lastRowFirstColumn="0" w:lastRowLastColumn="0"/>
            </w:pPr>
            <w:r w:rsidRPr="008E680E">
              <w:t>Cost definition</w:t>
            </w:r>
          </w:p>
        </w:tc>
        <w:tc>
          <w:tcPr>
            <w:tcW w:w="6067" w:type="dxa"/>
          </w:tcPr>
          <w:p w14:paraId="5C29817E" w14:textId="2E6FDB7F" w:rsidR="00F81E67" w:rsidRPr="008E680E" w:rsidRDefault="00F81E67" w:rsidP="00187BC0">
            <w:pPr>
              <w:pStyle w:val="TableHeading1"/>
              <w:cnfStyle w:val="100000000000" w:firstRow="1" w:lastRow="0" w:firstColumn="0" w:lastColumn="0" w:oddVBand="0" w:evenVBand="0" w:oddHBand="0" w:evenHBand="0" w:firstRowFirstColumn="0" w:firstRowLastColumn="0" w:lastRowFirstColumn="0" w:lastRowLastColumn="0"/>
            </w:pPr>
            <w:r w:rsidRPr="008E680E">
              <w:t>Data source</w:t>
            </w:r>
          </w:p>
        </w:tc>
      </w:tr>
      <w:tr w:rsidR="00F81E67" w:rsidRPr="008E680E" w14:paraId="4436E206" w14:textId="77777777" w:rsidTr="0065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6DC193DD" w14:textId="77777777" w:rsidR="00F81E67" w:rsidRPr="008E680E" w:rsidRDefault="00F81E67" w:rsidP="00187BC0">
            <w:pPr>
              <w:pStyle w:val="TableText"/>
            </w:pPr>
            <w:r w:rsidRPr="008E680E">
              <w:t>Unpaid informal care</w:t>
            </w:r>
          </w:p>
        </w:tc>
        <w:tc>
          <w:tcPr>
            <w:tcW w:w="2393" w:type="dxa"/>
          </w:tcPr>
          <w:p w14:paraId="365286C3"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$19.49 base rate (excludes entitlements and loadings)</w:t>
            </w:r>
          </w:p>
        </w:tc>
        <w:tc>
          <w:tcPr>
            <w:tcW w:w="3827" w:type="dxa"/>
          </w:tcPr>
          <w:p w14:paraId="1708BBE3"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8E680E">
              <w:rPr>
                <w:sz w:val="18"/>
                <w:szCs w:val="18"/>
              </w:rPr>
              <w:t xml:space="preserve">Base hourly rate for current minimum wage in Australia </w:t>
            </w:r>
          </w:p>
        </w:tc>
        <w:tc>
          <w:tcPr>
            <w:tcW w:w="6067" w:type="dxa"/>
          </w:tcPr>
          <w:p w14:paraId="782BD27C" w14:textId="6153ACF3" w:rsidR="00F81E67" w:rsidRPr="008E680E" w:rsidRDefault="00F81E67" w:rsidP="00184FBE">
            <w:pPr>
              <w:cnfStyle w:val="000000100000" w:firstRow="0" w:lastRow="0" w:firstColumn="0" w:lastColumn="0" w:oddVBand="0" w:evenVBand="0" w:oddHBand="1" w:evenHBand="0" w:firstRowFirstColumn="0" w:firstRowLastColumn="0" w:lastRowFirstColumn="0" w:lastRowLastColumn="0"/>
              <w:rPr>
                <w:sz w:val="18"/>
                <w:szCs w:val="18"/>
              </w:rPr>
            </w:pPr>
            <w:r w:rsidRPr="008E680E">
              <w:rPr>
                <w:rFonts w:eastAsia="Arial Unicode MS"/>
                <w:sz w:val="18"/>
                <w:szCs w:val="18"/>
              </w:rPr>
              <w:t xml:space="preserve">Minimum Wage and Award Wages </w:t>
            </w:r>
            <w:r w:rsidRPr="00433E00">
              <w:rPr>
                <w:rFonts w:eastAsia="Arial Unicode MS"/>
                <w:sz w:val="18"/>
                <w:szCs w:val="18"/>
              </w:rPr>
              <w:t>in</w:t>
            </w:r>
            <w:r w:rsidRPr="008E680E">
              <w:rPr>
                <w:rFonts w:eastAsia="Arial Unicode MS"/>
                <w:sz w:val="18"/>
                <w:szCs w:val="18"/>
              </w:rPr>
              <w:t xml:space="preserve"> Australia</w:t>
            </w:r>
            <w:r w:rsidR="00184FBE">
              <w:rPr>
                <w:rFonts w:eastAsia="Arial Unicode MS"/>
                <w:sz w:val="18"/>
                <w:szCs w:val="18"/>
              </w:rPr>
              <w:t xml:space="preserve"> </w:t>
            </w:r>
            <w:r w:rsidR="00184FBE">
              <w:rPr>
                <w:rFonts w:eastAsia="Arial Unicode MS"/>
                <w:sz w:val="18"/>
                <w:szCs w:val="18"/>
              </w:rPr>
              <w:fldChar w:fldCharType="begin" w:fldLock="1"/>
            </w:r>
            <w:r w:rsidR="00184FBE">
              <w:rPr>
                <w:rFonts w:eastAsia="Arial Unicode MS"/>
                <w:sz w:val="18"/>
                <w:szCs w:val="18"/>
              </w:rPr>
              <w:instrText>ADDIN CSL_CITATION {"citationItems":[{"id":"ITEM-1","itemData":{"URL":"https://employsure.com.au/guides/wage-and-pay/minimum-wage-australia/","author":[{"dropping-particle":"","family":"employsure","given":"","non-dropping-particle":"","parse-names":false,"suffix":""}],"id":"ITEM-1","issued":{"date-parts":[["0"]]},"title":"Minimum Wage and Award Wages In Australia","type":"webpage"},"uris":["http://www.mendeley.com/documents/?uuid=5b2b6545-f69c-4aa7-9414-aa4b7cf3ac58"]}],"mendeley":{"formattedCitation":"(employsure n.d.)","plainTextFormattedCitation":"(employsure n.d.)","previouslyFormattedCitation":"(employsure n.d.)"},"properties":{"noteIndex":0},"schema":"https://github.com/citation-style-language/schema/raw/master/csl-citation.json"}</w:instrText>
            </w:r>
            <w:r w:rsidR="00184FBE">
              <w:rPr>
                <w:rFonts w:eastAsia="Arial Unicode MS"/>
                <w:sz w:val="18"/>
                <w:szCs w:val="18"/>
              </w:rPr>
              <w:fldChar w:fldCharType="separate"/>
            </w:r>
            <w:r w:rsidR="00184FBE" w:rsidRPr="00184FBE">
              <w:rPr>
                <w:rFonts w:eastAsia="Arial Unicode MS"/>
                <w:noProof/>
                <w:sz w:val="18"/>
                <w:szCs w:val="18"/>
              </w:rPr>
              <w:t>(employsure n.d.)</w:t>
            </w:r>
            <w:r w:rsidR="00184FBE">
              <w:rPr>
                <w:rFonts w:eastAsia="Arial Unicode MS"/>
                <w:sz w:val="18"/>
                <w:szCs w:val="18"/>
              </w:rPr>
              <w:fldChar w:fldCharType="end"/>
            </w:r>
          </w:p>
        </w:tc>
      </w:tr>
      <w:tr w:rsidR="00F81E67" w:rsidRPr="008E680E" w14:paraId="30D29B36" w14:textId="77777777" w:rsidTr="00655FE1">
        <w:tc>
          <w:tcPr>
            <w:cnfStyle w:val="001000000000" w:firstRow="0" w:lastRow="0" w:firstColumn="1" w:lastColumn="0" w:oddVBand="0" w:evenVBand="0" w:oddHBand="0" w:evenHBand="0" w:firstRowFirstColumn="0" w:firstRowLastColumn="0" w:lastRowFirstColumn="0" w:lastRowLastColumn="0"/>
            <w:tcW w:w="2285" w:type="dxa"/>
          </w:tcPr>
          <w:p w14:paraId="0889C724" w14:textId="77777777" w:rsidR="00F81E67" w:rsidRPr="008E680E" w:rsidRDefault="00F81E67" w:rsidP="00187BC0">
            <w:pPr>
              <w:pStyle w:val="TableText"/>
            </w:pPr>
            <w:r w:rsidRPr="00433E00">
              <w:t>P</w:t>
            </w:r>
            <w:r w:rsidRPr="007A4ECB">
              <w:t>a</w:t>
            </w:r>
            <w:r w:rsidRPr="008E680E">
              <w:t>id carer support</w:t>
            </w:r>
          </w:p>
        </w:tc>
        <w:tc>
          <w:tcPr>
            <w:tcW w:w="2393" w:type="dxa"/>
          </w:tcPr>
          <w:p w14:paraId="28A96415" w14:textId="77777777"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$19.49 base rate (excludes entitlements and loadings)</w:t>
            </w:r>
          </w:p>
        </w:tc>
        <w:tc>
          <w:tcPr>
            <w:tcW w:w="3827" w:type="dxa"/>
          </w:tcPr>
          <w:p w14:paraId="05712F5B" w14:textId="77777777"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8E680E">
              <w:rPr>
                <w:sz w:val="18"/>
                <w:szCs w:val="18"/>
              </w:rPr>
              <w:t xml:space="preserve">Base hourly rate for current minimum wage in Australia </w:t>
            </w:r>
          </w:p>
        </w:tc>
        <w:tc>
          <w:tcPr>
            <w:tcW w:w="6067" w:type="dxa"/>
          </w:tcPr>
          <w:p w14:paraId="44634ECB" w14:textId="123319B8" w:rsidR="00F81E67" w:rsidRPr="008E680E" w:rsidRDefault="00F81E67" w:rsidP="00184FBE">
            <w:pPr>
              <w:cnfStyle w:val="000000000000" w:firstRow="0" w:lastRow="0" w:firstColumn="0" w:lastColumn="0" w:oddVBand="0" w:evenVBand="0" w:oddHBand="0" w:evenHBand="0" w:firstRowFirstColumn="0" w:firstRowLastColumn="0" w:lastRowFirstColumn="0" w:lastRowLastColumn="0"/>
              <w:rPr>
                <w:sz w:val="18"/>
                <w:szCs w:val="18"/>
              </w:rPr>
            </w:pPr>
            <w:r w:rsidRPr="008E680E">
              <w:rPr>
                <w:rFonts w:eastAsia="Arial Unicode MS"/>
                <w:sz w:val="18"/>
                <w:szCs w:val="18"/>
              </w:rPr>
              <w:t xml:space="preserve">Minimum Wage and Award Wages </w:t>
            </w:r>
            <w:r w:rsidRPr="00433E00">
              <w:rPr>
                <w:rFonts w:eastAsia="Arial Unicode MS"/>
                <w:sz w:val="18"/>
                <w:szCs w:val="18"/>
              </w:rPr>
              <w:t>in</w:t>
            </w:r>
            <w:r w:rsidRPr="008E680E">
              <w:rPr>
                <w:rFonts w:eastAsia="Arial Unicode MS"/>
                <w:sz w:val="18"/>
                <w:szCs w:val="18"/>
              </w:rPr>
              <w:t xml:space="preserve"> Australia</w:t>
            </w:r>
            <w:r w:rsidR="00184FBE">
              <w:rPr>
                <w:rFonts w:eastAsia="Arial Unicode MS"/>
                <w:sz w:val="18"/>
                <w:szCs w:val="18"/>
              </w:rPr>
              <w:t xml:space="preserve"> </w:t>
            </w:r>
            <w:r w:rsidR="00184FBE">
              <w:rPr>
                <w:rFonts w:eastAsia="Arial Unicode MS"/>
                <w:sz w:val="18"/>
                <w:szCs w:val="18"/>
              </w:rPr>
              <w:fldChar w:fldCharType="begin" w:fldLock="1"/>
            </w:r>
            <w:r w:rsidR="00184FBE">
              <w:rPr>
                <w:rFonts w:eastAsia="Arial Unicode MS"/>
                <w:sz w:val="18"/>
                <w:szCs w:val="18"/>
              </w:rPr>
              <w:instrText>ADDIN CSL_CITATION {"citationItems":[{"id":"ITEM-1","itemData":{"URL":"https://employsure.com.au/guides/wage-and-pay/minimum-wage-australia/","author":[{"dropping-particle":"","family":"employsure","given":"","non-dropping-particle":"","parse-names":false,"suffix":""}],"id":"ITEM-1","issued":{"date-parts":[["0"]]},"title":"Minimum Wage and Award Wages In Australia","type":"webpage"},"uris":["http://www.mendeley.com/documents/?uuid=5b2b6545-f69c-4aa7-9414-aa4b7cf3ac58"]}],"mendeley":{"formattedCitation":"(employsure n.d.)","plainTextFormattedCitation":"(employsure n.d.)","previouslyFormattedCitation":"(employsure n.d.)"},"properties":{"noteIndex":0},"schema":"https://github.com/citation-style-language/schema/raw/master/csl-citation.json"}</w:instrText>
            </w:r>
            <w:r w:rsidR="00184FBE">
              <w:rPr>
                <w:rFonts w:eastAsia="Arial Unicode MS"/>
                <w:sz w:val="18"/>
                <w:szCs w:val="18"/>
              </w:rPr>
              <w:fldChar w:fldCharType="separate"/>
            </w:r>
            <w:r w:rsidR="00184FBE" w:rsidRPr="00184FBE">
              <w:rPr>
                <w:rFonts w:eastAsia="Arial Unicode MS"/>
                <w:noProof/>
                <w:sz w:val="18"/>
                <w:szCs w:val="18"/>
              </w:rPr>
              <w:t>(employsure n.d.)</w:t>
            </w:r>
            <w:r w:rsidR="00184FBE">
              <w:rPr>
                <w:rFonts w:eastAsia="Arial Unicode MS"/>
                <w:sz w:val="18"/>
                <w:szCs w:val="18"/>
              </w:rPr>
              <w:fldChar w:fldCharType="end"/>
            </w:r>
          </w:p>
        </w:tc>
      </w:tr>
      <w:tr w:rsidR="00F81E67" w:rsidRPr="008E680E" w14:paraId="32EBDA19" w14:textId="77777777" w:rsidTr="0065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1A993BD0" w14:textId="77777777" w:rsidR="00F81E67" w:rsidRPr="008E680E" w:rsidRDefault="00F81E67" w:rsidP="00187BC0">
            <w:pPr>
              <w:pStyle w:val="TableText"/>
            </w:pPr>
            <w:r w:rsidRPr="00433E00">
              <w:t>P</w:t>
            </w:r>
            <w:r w:rsidRPr="007A4ECB">
              <w:t>a</w:t>
            </w:r>
            <w:r w:rsidRPr="008E680E">
              <w:t>id formal care</w:t>
            </w:r>
          </w:p>
        </w:tc>
        <w:tc>
          <w:tcPr>
            <w:tcW w:w="2393" w:type="dxa"/>
          </w:tcPr>
          <w:p w14:paraId="03986233"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$32.65 base rate</w:t>
            </w:r>
          </w:p>
          <w:p w14:paraId="07FBE485"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$48.96 inflated rate with entitlements and loadings</w:t>
            </w:r>
          </w:p>
        </w:tc>
        <w:tc>
          <w:tcPr>
            <w:tcW w:w="3827" w:type="dxa"/>
          </w:tcPr>
          <w:p w14:paraId="657A7950"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8E680E">
              <w:rPr>
                <w:sz w:val="18"/>
                <w:szCs w:val="18"/>
              </w:rPr>
              <w:t>Base hourly rate for a Level 3.3 employee</w:t>
            </w:r>
          </w:p>
        </w:tc>
        <w:tc>
          <w:tcPr>
            <w:tcW w:w="6067" w:type="dxa"/>
          </w:tcPr>
          <w:p w14:paraId="04545920" w14:textId="7B914D78"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Community Vision Australia Disability and Aged Care Agreement 2019</w:t>
            </w:r>
            <w:r w:rsidR="00184FBE">
              <w:rPr>
                <w:sz w:val="18"/>
                <w:szCs w:val="18"/>
              </w:rPr>
              <w:t xml:space="preserve"> </w:t>
            </w:r>
            <w:r w:rsidR="00AF5319">
              <w:rPr>
                <w:sz w:val="18"/>
                <w:szCs w:val="18"/>
              </w:rPr>
              <w:fldChar w:fldCharType="begin" w:fldLock="1"/>
            </w:r>
            <w:r w:rsidR="00AF5319">
              <w:rPr>
                <w:sz w:val="18"/>
                <w:szCs w:val="18"/>
              </w:rPr>
              <w:instrText>ADDIN CSL_CITATION {"citationItems":[{"id":"ITEM-1","itemData":{"URL":"https://www.fwc.gov.au/awards-and-agreements","author":[{"dropping-particle":"","family":"Fair Work Commission","given":"","non-dropping-particle":"","parse-names":false,"suffix":""}],"id":"ITEM-1","issued":{"date-parts":[["2016"]]},"title":"Awards &amp; agreements","type":"webpage"},"uris":["http://www.mendeley.com/documents/?uuid=4ed90a47-2c7b-4f75-a540-faf9888488a0"]}],"mendeley":{"formattedCitation":"(Fair Work Commission 2016)","plainTextFormattedCitation":"(Fair Work Commission 2016)","previouslyFormattedCitation":"(Fair Work Commission 2016)"},"properties":{"noteIndex":0},"schema":"https://github.com/citation-style-language/schema/raw/master/csl-citation.json"}</w:instrText>
            </w:r>
            <w:r w:rsidR="00AF5319">
              <w:rPr>
                <w:sz w:val="18"/>
                <w:szCs w:val="18"/>
              </w:rPr>
              <w:fldChar w:fldCharType="separate"/>
            </w:r>
            <w:r w:rsidR="00AF5319" w:rsidRPr="00AF5319">
              <w:rPr>
                <w:noProof/>
                <w:sz w:val="18"/>
                <w:szCs w:val="18"/>
              </w:rPr>
              <w:t>(Fair Work Commission 2016)</w:t>
            </w:r>
            <w:r w:rsidR="00AF5319">
              <w:rPr>
                <w:sz w:val="18"/>
                <w:szCs w:val="18"/>
              </w:rPr>
              <w:fldChar w:fldCharType="end"/>
            </w:r>
            <w:r w:rsidR="00AF5319">
              <w:rPr>
                <w:sz w:val="18"/>
                <w:szCs w:val="18"/>
              </w:rPr>
              <w:t>f</w:t>
            </w:r>
          </w:p>
        </w:tc>
      </w:tr>
      <w:tr w:rsidR="00F81E67" w:rsidRPr="008E680E" w14:paraId="15135198" w14:textId="77777777" w:rsidTr="00655FE1">
        <w:tc>
          <w:tcPr>
            <w:cnfStyle w:val="001000000000" w:firstRow="0" w:lastRow="0" w:firstColumn="1" w:lastColumn="0" w:oddVBand="0" w:evenVBand="0" w:oddHBand="0" w:evenHBand="0" w:firstRowFirstColumn="0" w:firstRowLastColumn="0" w:lastRowFirstColumn="0" w:lastRowLastColumn="0"/>
            <w:tcW w:w="2285" w:type="dxa"/>
          </w:tcPr>
          <w:p w14:paraId="1D1AB0C6" w14:textId="77777777" w:rsidR="00F81E67" w:rsidRPr="008E680E" w:rsidRDefault="00F81E67" w:rsidP="00187BC0">
            <w:pPr>
              <w:pStyle w:val="TableText"/>
            </w:pPr>
            <w:r w:rsidRPr="008E680E">
              <w:t>GP Visit</w:t>
            </w:r>
          </w:p>
        </w:tc>
        <w:tc>
          <w:tcPr>
            <w:tcW w:w="2393" w:type="dxa"/>
          </w:tcPr>
          <w:p w14:paraId="23FC5E8B" w14:textId="77777777"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$38.20</w:t>
            </w:r>
          </w:p>
        </w:tc>
        <w:tc>
          <w:tcPr>
            <w:tcW w:w="3827" w:type="dxa"/>
          </w:tcPr>
          <w:p w14:paraId="23C3C055" w14:textId="1FFAC331"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lang w:val="en-AU"/>
              </w:rPr>
              <w:t>Medicare Benefits Schedule</w:t>
            </w:r>
            <w:r w:rsidR="00861912">
              <w:rPr>
                <w:sz w:val="18"/>
                <w:szCs w:val="18"/>
                <w:lang w:val="en-AU"/>
              </w:rPr>
              <w:t xml:space="preserve"> – </w:t>
            </w:r>
            <w:r w:rsidRPr="008E680E">
              <w:rPr>
                <w:sz w:val="18"/>
                <w:szCs w:val="18"/>
                <w:lang w:val="en-AU"/>
              </w:rPr>
              <w:t xml:space="preserve">Item 23 </w:t>
            </w:r>
            <w:r w:rsidRPr="00433E00">
              <w:rPr>
                <w:sz w:val="18"/>
                <w:szCs w:val="18"/>
                <w:lang w:val="en-AU"/>
              </w:rPr>
              <w:t>Level</w:t>
            </w:r>
            <w:r w:rsidRPr="008E680E">
              <w:rPr>
                <w:sz w:val="18"/>
                <w:szCs w:val="18"/>
                <w:lang w:val="en-AU"/>
              </w:rPr>
              <w:t xml:space="preserve"> B professions attendance by a general practitioner. Fee $38.20</w:t>
            </w:r>
          </w:p>
        </w:tc>
        <w:tc>
          <w:tcPr>
            <w:tcW w:w="6067" w:type="dxa"/>
          </w:tcPr>
          <w:p w14:paraId="27B63B72" w14:textId="49DA6018"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rFonts w:eastAsia="Arial Unicode MS"/>
                <w:sz w:val="18"/>
                <w:szCs w:val="18"/>
              </w:rPr>
            </w:pPr>
            <w:r w:rsidRPr="008E680E">
              <w:rPr>
                <w:sz w:val="18"/>
                <w:szCs w:val="18"/>
              </w:rPr>
              <w:t xml:space="preserve">Medicare Benefits Schedule: </w:t>
            </w:r>
            <w:r w:rsidR="00184FBE">
              <w:rPr>
                <w:sz w:val="18"/>
                <w:szCs w:val="18"/>
              </w:rPr>
              <w:fldChar w:fldCharType="begin" w:fldLock="1"/>
            </w:r>
            <w:r w:rsidR="00184FBE">
              <w:rPr>
                <w:sz w:val="18"/>
                <w:szCs w:val="18"/>
              </w:rPr>
              <w:instrText>ADDIN CSL_CITATION {"citationItems":[{"id":"ITEM-1","itemData":{"URL":"http://www9.health.gov.au/mbs/fullDisplay.cfm?type=item&amp;qt=ItemID&amp;q=23","author":[{"dropping-particle":"","family":"MBS online","given":"","non-dropping-particle":"","parse-names":false,"suffix":""}],"container-title":"Australian Government Department of Health","id":"ITEM-1","issued":{"date-parts":[["0"]]},"title":"Medicare Benefits Schedule - Item 23","type":"webpage"},"uris":["http://www.mendeley.com/documents/?uuid=517081c9-40af-47b5-a9ac-81482319344e"]}],"mendeley":{"formattedCitation":"(MBS online n.d.)","plainTextFormattedCitation":"(MBS online n.d.)","previouslyFormattedCitation":"(MBS online n.d.)"},"properties":{"noteIndex":0},"schema":"https://github.com/citation-style-language/schema/raw/master/csl-citation.json"}</w:instrText>
            </w:r>
            <w:r w:rsidR="00184FBE">
              <w:rPr>
                <w:sz w:val="18"/>
                <w:szCs w:val="18"/>
              </w:rPr>
              <w:fldChar w:fldCharType="separate"/>
            </w:r>
            <w:r w:rsidR="00184FBE" w:rsidRPr="00184FBE">
              <w:rPr>
                <w:noProof/>
                <w:sz w:val="18"/>
                <w:szCs w:val="18"/>
              </w:rPr>
              <w:t>(MBS online n.d.)</w:t>
            </w:r>
            <w:r w:rsidR="00184FBE">
              <w:rPr>
                <w:sz w:val="18"/>
                <w:szCs w:val="18"/>
              </w:rPr>
              <w:fldChar w:fldCharType="end"/>
            </w:r>
          </w:p>
        </w:tc>
      </w:tr>
      <w:tr w:rsidR="00F81E67" w:rsidRPr="008E680E" w14:paraId="7C5689D3" w14:textId="77777777" w:rsidTr="0065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212DEB25" w14:textId="77777777" w:rsidR="00F81E67" w:rsidRPr="008E680E" w:rsidRDefault="00F81E67" w:rsidP="00187BC0">
            <w:pPr>
              <w:pStyle w:val="TableText"/>
            </w:pPr>
            <w:r w:rsidRPr="008E680E">
              <w:t>Falls</w:t>
            </w:r>
          </w:p>
        </w:tc>
        <w:tc>
          <w:tcPr>
            <w:tcW w:w="2393" w:type="dxa"/>
          </w:tcPr>
          <w:p w14:paraId="79A2A362"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$639.90</w:t>
            </w:r>
          </w:p>
        </w:tc>
        <w:tc>
          <w:tcPr>
            <w:tcW w:w="3827" w:type="dxa"/>
          </w:tcPr>
          <w:p w14:paraId="6F62E899" w14:textId="31989630"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 xml:space="preserve">Cost of non-hospital </w:t>
            </w:r>
            <w:r w:rsidRPr="00433E00">
              <w:rPr>
                <w:sz w:val="18"/>
                <w:szCs w:val="18"/>
              </w:rPr>
              <w:t>treatmen</w:t>
            </w:r>
            <w:r w:rsidRPr="007A4ECB">
              <w:rPr>
                <w:sz w:val="18"/>
                <w:szCs w:val="18"/>
              </w:rPr>
              <w:t>t</w:t>
            </w:r>
            <w:r w:rsidRPr="008E680E">
              <w:rPr>
                <w:sz w:val="18"/>
                <w:szCs w:val="18"/>
              </w:rPr>
              <w:t xml:space="preserve"> associated with a fall in the community for Australian aged 65+. Hospital costs related to falls are captured in hospital admissions. Costs of $462 were reported in 2006/07 and inflated by CPI to 2019</w:t>
            </w:r>
            <w:r w:rsidR="00370B41">
              <w:rPr>
                <w:sz w:val="18"/>
                <w:szCs w:val="18"/>
              </w:rPr>
              <w:noBreakHyphen/>
            </w:r>
            <w:r w:rsidRPr="008E680E">
              <w:rPr>
                <w:sz w:val="18"/>
                <w:szCs w:val="18"/>
              </w:rPr>
              <w:t>20 to equal $639.90</w:t>
            </w:r>
          </w:p>
        </w:tc>
        <w:tc>
          <w:tcPr>
            <w:tcW w:w="6067" w:type="dxa"/>
          </w:tcPr>
          <w:p w14:paraId="40823B7B" w14:textId="27FB4CE3" w:rsidR="00F81E67" w:rsidRPr="008E680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The Incidence and Cost of Falls Injury Among Older People in New South Wales 2006/07. A Report to NSW Health</w:t>
            </w:r>
            <w:r w:rsidR="00184FBE">
              <w:rPr>
                <w:sz w:val="18"/>
                <w:szCs w:val="18"/>
              </w:rPr>
              <w:t xml:space="preserve"> </w:t>
            </w:r>
            <w:r w:rsidR="00184FBE">
              <w:rPr>
                <w:sz w:val="18"/>
                <w:szCs w:val="18"/>
              </w:rPr>
              <w:fldChar w:fldCharType="begin" w:fldLock="1"/>
            </w:r>
            <w:r w:rsidR="00184FBE">
              <w:rPr>
                <w:sz w:val="18"/>
                <w:szCs w:val="18"/>
              </w:rPr>
              <w:instrText>ADDIN CSL_CITATION {"citationItems":[{"id":"ITEM-1","itemData":{"ISBN":"9780980486643","author":[{"dropping-particle":"","family":"Watson","given":"W","non-dropping-particle":"","parse-names":false,"suffix":""},{"dropping-particle":"","family":"Clapperton","given":"A","non-dropping-particle":"","parse-names":false,"suffix":""},{"dropping-particle":"","family":"Mitchell","given":"R","non-dropping-particle":"","parse-names":false,"suffix":""}],"container-title":"Sydney: NSW Department of Health","id":"ITEM-1","issued":{"date-parts":[["2010"]]},"title":"The incidence and cost of falls injury among older people in New South Wales 2006/07","type":"book"},"uris":["http://www.mendeley.com/documents/?uuid=6c16e16e-8820-4a40-9c80-a61c6d7a475f"]}],"mendeley":{"formattedCitation":"(Watson et al. 2010)","plainTextFormattedCitation":"(Watson et al. 2010)","previouslyFormattedCitation":"(Watson et al. 2010)"},"properties":{"noteIndex":0},"schema":"https://github.com/citation-style-language/schema/raw/master/csl-citation.json"}</w:instrText>
            </w:r>
            <w:r w:rsidR="00184FBE">
              <w:rPr>
                <w:sz w:val="18"/>
                <w:szCs w:val="18"/>
              </w:rPr>
              <w:fldChar w:fldCharType="separate"/>
            </w:r>
            <w:r w:rsidR="00184FBE" w:rsidRPr="00184FBE">
              <w:rPr>
                <w:noProof/>
                <w:sz w:val="18"/>
                <w:szCs w:val="18"/>
              </w:rPr>
              <w:t>(Watson et al. 2010)</w:t>
            </w:r>
            <w:r w:rsidR="00184FBE">
              <w:rPr>
                <w:sz w:val="18"/>
                <w:szCs w:val="18"/>
              </w:rPr>
              <w:fldChar w:fldCharType="end"/>
            </w:r>
          </w:p>
          <w:p w14:paraId="68A77C40" w14:textId="3668A333" w:rsidR="00F81E67" w:rsidRPr="00184FBE"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Page 13, community residents aged 65+ with a non-</w:t>
            </w:r>
            <w:r w:rsidRPr="00433E00">
              <w:rPr>
                <w:sz w:val="18"/>
                <w:szCs w:val="18"/>
              </w:rPr>
              <w:t>hospital</w:t>
            </w:r>
            <w:r w:rsidRPr="008E680E">
              <w:rPr>
                <w:sz w:val="18"/>
                <w:szCs w:val="18"/>
              </w:rPr>
              <w:t xml:space="preserve"> </w:t>
            </w:r>
            <w:r w:rsidRPr="00433E00">
              <w:rPr>
                <w:sz w:val="18"/>
                <w:szCs w:val="18"/>
              </w:rPr>
              <w:t>treatment</w:t>
            </w:r>
            <w:r w:rsidRPr="008E680E">
              <w:rPr>
                <w:sz w:val="18"/>
                <w:szCs w:val="18"/>
              </w:rPr>
              <w:t xml:space="preserve"> for a fall.</w:t>
            </w:r>
          </w:p>
        </w:tc>
      </w:tr>
      <w:tr w:rsidR="00F81E67" w:rsidRPr="008E680E" w14:paraId="508B5E4B" w14:textId="77777777" w:rsidTr="00655FE1">
        <w:tc>
          <w:tcPr>
            <w:cnfStyle w:val="001000000000" w:firstRow="0" w:lastRow="0" w:firstColumn="1" w:lastColumn="0" w:oddVBand="0" w:evenVBand="0" w:oddHBand="0" w:evenHBand="0" w:firstRowFirstColumn="0" w:firstRowLastColumn="0" w:lastRowFirstColumn="0" w:lastRowLastColumn="0"/>
            <w:tcW w:w="2285" w:type="dxa"/>
          </w:tcPr>
          <w:p w14:paraId="1EF2570B" w14:textId="77777777" w:rsidR="00F81E67" w:rsidRPr="008E680E" w:rsidRDefault="00F81E67" w:rsidP="00187BC0">
            <w:pPr>
              <w:pStyle w:val="TableText"/>
            </w:pPr>
            <w:r w:rsidRPr="008E680E">
              <w:t>Hospital admissions through the emergency department</w:t>
            </w:r>
          </w:p>
        </w:tc>
        <w:tc>
          <w:tcPr>
            <w:tcW w:w="2393" w:type="dxa"/>
          </w:tcPr>
          <w:p w14:paraId="52021058" w14:textId="77777777"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$5,046.04</w:t>
            </w:r>
          </w:p>
        </w:tc>
        <w:tc>
          <w:tcPr>
            <w:tcW w:w="3827" w:type="dxa"/>
          </w:tcPr>
          <w:p w14:paraId="3439E785" w14:textId="70B1B425"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rFonts w:eastAsia="Arial Unicode MS"/>
                <w:sz w:val="18"/>
                <w:szCs w:val="18"/>
              </w:rPr>
              <w:t>Average cost per acute hospital admission was $4,886 in 2017</w:t>
            </w:r>
            <w:r w:rsidR="00370B41">
              <w:rPr>
                <w:rFonts w:eastAsia="Arial Unicode MS"/>
                <w:sz w:val="18"/>
                <w:szCs w:val="18"/>
              </w:rPr>
              <w:noBreakHyphen/>
            </w:r>
            <w:r w:rsidRPr="008E680E">
              <w:rPr>
                <w:rFonts w:eastAsia="Arial Unicode MS"/>
                <w:sz w:val="18"/>
                <w:szCs w:val="18"/>
              </w:rPr>
              <w:t>18, inflated by CPI to 2019</w:t>
            </w:r>
            <w:r w:rsidR="00370B41">
              <w:rPr>
                <w:rFonts w:eastAsia="Arial Unicode MS"/>
                <w:sz w:val="18"/>
                <w:szCs w:val="18"/>
              </w:rPr>
              <w:noBreakHyphen/>
            </w:r>
            <w:r w:rsidRPr="008E680E">
              <w:rPr>
                <w:rFonts w:eastAsia="Arial Unicode MS"/>
                <w:sz w:val="18"/>
                <w:szCs w:val="18"/>
              </w:rPr>
              <w:t xml:space="preserve">20 to equal $5,046 </w:t>
            </w:r>
          </w:p>
        </w:tc>
        <w:tc>
          <w:tcPr>
            <w:tcW w:w="6067" w:type="dxa"/>
          </w:tcPr>
          <w:p w14:paraId="2C73B435" w14:textId="373870B7"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National Hospital Cost Data Collection Report Public Sector, Round 22 (Financial Year 2017-18) February 2020</w:t>
            </w:r>
            <w:r w:rsidR="00184FBE">
              <w:rPr>
                <w:sz w:val="18"/>
                <w:szCs w:val="18"/>
              </w:rPr>
              <w:t xml:space="preserve"> </w:t>
            </w:r>
            <w:r w:rsidR="00184FBE">
              <w:rPr>
                <w:sz w:val="18"/>
                <w:szCs w:val="18"/>
              </w:rPr>
              <w:fldChar w:fldCharType="begin" w:fldLock="1"/>
            </w:r>
            <w:r w:rsidR="00184FBE">
              <w:rPr>
                <w:sz w:val="18"/>
                <w:szCs w:val="18"/>
              </w:rPr>
              <w:instrText>ADDIN CSL_CITATION {"citationItems":[{"id":"ITEM-1","itemData":{"author":[{"dropping-particle":"","family":"Independent Hospital Pricing Authority","given":"","non-dropping-particle":"","parse-names":false,"suffix":""}],"id":"ITEM-1","issue":"February","issued":{"date-parts":[["2020"]]},"title":"National Hospital Cost Data Collection Report","type":"article-journal","volume":"22"},"uris":["http://www.mendeley.com/documents/?uuid=4552cba7-84fe-4519-9b03-5341c046c1a1"]}],"mendeley":{"formattedCitation":"(Independent Hospital Pricing Authority 2020)","plainTextFormattedCitation":"(Independent Hospital Pricing Authority 2020)","previouslyFormattedCitation":"(Independent Hospital Pricing Authority 2020)"},"properties":{"noteIndex":0},"schema":"https://github.com/citation-style-language/schema/raw/master/csl-citation.json"}</w:instrText>
            </w:r>
            <w:r w:rsidR="00184FBE">
              <w:rPr>
                <w:sz w:val="18"/>
                <w:szCs w:val="18"/>
              </w:rPr>
              <w:fldChar w:fldCharType="separate"/>
            </w:r>
            <w:r w:rsidR="00184FBE" w:rsidRPr="00184FBE">
              <w:rPr>
                <w:noProof/>
                <w:sz w:val="18"/>
                <w:szCs w:val="18"/>
              </w:rPr>
              <w:t>(Independent Hospital Pricing Authority 2020)</w:t>
            </w:r>
            <w:r w:rsidR="00184FBE">
              <w:rPr>
                <w:sz w:val="18"/>
                <w:szCs w:val="18"/>
              </w:rPr>
              <w:fldChar w:fldCharType="end"/>
            </w:r>
          </w:p>
          <w:p w14:paraId="22A289C0" w14:textId="0B8D8FA4" w:rsidR="00F81E67" w:rsidRPr="008E680E" w:rsidRDefault="00F81E67" w:rsidP="00187BC0">
            <w:pPr>
              <w:cnfStyle w:val="000000000000" w:firstRow="0" w:lastRow="0" w:firstColumn="0" w:lastColumn="0" w:oddVBand="0" w:evenVBand="0" w:oddHBand="0" w:evenHBand="0" w:firstRowFirstColumn="0" w:firstRowLastColumn="0" w:lastRowFirstColumn="0" w:lastRowLastColumn="0"/>
              <w:rPr>
                <w:rFonts w:eastAsia="Arial Unicode MS"/>
                <w:sz w:val="18"/>
                <w:szCs w:val="18"/>
              </w:rPr>
            </w:pPr>
            <w:r w:rsidRPr="008E680E">
              <w:rPr>
                <w:rFonts w:eastAsia="Arial Unicode MS"/>
                <w:sz w:val="18"/>
                <w:szCs w:val="18"/>
              </w:rPr>
              <w:t>Page 14, average cost per episode for Round 22, in 2017/18</w:t>
            </w:r>
            <w:r w:rsidR="004511B3">
              <w:rPr>
                <w:rFonts w:eastAsia="Arial Unicode MS"/>
                <w:sz w:val="18"/>
                <w:szCs w:val="18"/>
              </w:rPr>
              <w:t xml:space="preserve"> </w:t>
            </w:r>
          </w:p>
        </w:tc>
      </w:tr>
      <w:tr w:rsidR="00F81E67" w:rsidRPr="008E680E" w14:paraId="405B04A8" w14:textId="77777777" w:rsidTr="00655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0DAD5165" w14:textId="77777777" w:rsidR="00F81E67" w:rsidRPr="008E680E" w:rsidRDefault="00F81E67" w:rsidP="00187BC0">
            <w:pPr>
              <w:pStyle w:val="TableText"/>
            </w:pPr>
            <w:r w:rsidRPr="008E680E">
              <w:t>Daytime community respite care</w:t>
            </w:r>
          </w:p>
        </w:tc>
        <w:tc>
          <w:tcPr>
            <w:tcW w:w="2393" w:type="dxa"/>
          </w:tcPr>
          <w:p w14:paraId="4D18439E"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8E680E">
              <w:rPr>
                <w:sz w:val="18"/>
                <w:szCs w:val="18"/>
              </w:rPr>
              <w:t>$0</w:t>
            </w:r>
          </w:p>
        </w:tc>
        <w:tc>
          <w:tcPr>
            <w:tcW w:w="3827" w:type="dxa"/>
          </w:tcPr>
          <w:p w14:paraId="36E6D985" w14:textId="77777777" w:rsidR="00F81E67" w:rsidRPr="008E680E" w:rsidRDefault="00F81E67" w:rsidP="00187BC0">
            <w:pPr>
              <w:pStyle w:val="TableText"/>
              <w:cnfStyle w:val="000000100000" w:firstRow="0" w:lastRow="0" w:firstColumn="0" w:lastColumn="0" w:oddVBand="0" w:evenVBand="0" w:oddHBand="1" w:evenHBand="0" w:firstRowFirstColumn="0" w:firstRowLastColumn="0" w:lastRowFirstColumn="0" w:lastRowLastColumn="0"/>
              <w:rPr>
                <w:rFonts w:eastAsia="Arial Unicode MS"/>
                <w:sz w:val="18"/>
                <w:szCs w:val="18"/>
              </w:rPr>
            </w:pPr>
            <w:r w:rsidRPr="00433E00">
              <w:rPr>
                <w:rFonts w:eastAsia="Arial Unicode MS"/>
                <w:sz w:val="18"/>
                <w:szCs w:val="18"/>
              </w:rPr>
              <w:t>Generally,</w:t>
            </w:r>
            <w:r w:rsidRPr="008E680E">
              <w:rPr>
                <w:rFonts w:eastAsia="Arial Unicode MS"/>
                <w:sz w:val="18"/>
                <w:szCs w:val="18"/>
              </w:rPr>
              <w:t xml:space="preserve"> no cost or minimal cost </w:t>
            </w:r>
            <w:r w:rsidRPr="00433E00">
              <w:rPr>
                <w:rFonts w:eastAsia="Arial Unicode MS"/>
                <w:sz w:val="18"/>
                <w:szCs w:val="18"/>
              </w:rPr>
              <w:t>to</w:t>
            </w:r>
            <w:r w:rsidRPr="008E680E">
              <w:rPr>
                <w:rFonts w:eastAsia="Arial Unicode MS"/>
                <w:sz w:val="18"/>
                <w:szCs w:val="18"/>
              </w:rPr>
              <w:t xml:space="preserve"> attend a daytime </w:t>
            </w:r>
            <w:r w:rsidRPr="00433E00">
              <w:rPr>
                <w:rFonts w:eastAsia="Arial Unicode MS"/>
                <w:sz w:val="18"/>
                <w:szCs w:val="18"/>
              </w:rPr>
              <w:t>community-based</w:t>
            </w:r>
            <w:r w:rsidRPr="008E680E">
              <w:rPr>
                <w:rFonts w:eastAsia="Arial Unicode MS"/>
                <w:sz w:val="18"/>
                <w:szCs w:val="18"/>
              </w:rPr>
              <w:t xml:space="preserve"> respite care</w:t>
            </w:r>
          </w:p>
        </w:tc>
        <w:tc>
          <w:tcPr>
            <w:tcW w:w="6067" w:type="dxa"/>
          </w:tcPr>
          <w:p w14:paraId="513383FB" w14:textId="77777777" w:rsidR="00F81E67" w:rsidRPr="00433E00" w:rsidRDefault="00F81E67" w:rsidP="00187BC0">
            <w:pPr>
              <w:cnfStyle w:val="000000100000" w:firstRow="0" w:lastRow="0" w:firstColumn="0" w:lastColumn="0" w:oddVBand="0" w:evenVBand="0" w:oddHBand="1" w:evenHBand="0" w:firstRowFirstColumn="0" w:firstRowLastColumn="0" w:lastRowFirstColumn="0" w:lastRowLastColumn="0"/>
              <w:rPr>
                <w:sz w:val="18"/>
                <w:szCs w:val="18"/>
              </w:rPr>
            </w:pPr>
          </w:p>
        </w:tc>
      </w:tr>
      <w:tr w:rsidR="00F81E67" w:rsidRPr="008E680E" w14:paraId="681E3343" w14:textId="77777777" w:rsidTr="00655FE1">
        <w:tc>
          <w:tcPr>
            <w:cnfStyle w:val="001000000000" w:firstRow="0" w:lastRow="0" w:firstColumn="1" w:lastColumn="0" w:oddVBand="0" w:evenVBand="0" w:oddHBand="0" w:evenHBand="0" w:firstRowFirstColumn="0" w:firstRowLastColumn="0" w:lastRowFirstColumn="0" w:lastRowLastColumn="0"/>
            <w:tcW w:w="2285" w:type="dxa"/>
          </w:tcPr>
          <w:p w14:paraId="7ECE7E04" w14:textId="77777777" w:rsidR="00F81E67" w:rsidRPr="008E680E" w:rsidRDefault="00F81E67" w:rsidP="00187BC0">
            <w:pPr>
              <w:pStyle w:val="TableText"/>
            </w:pPr>
            <w:r w:rsidRPr="008E680E">
              <w:t>Days spent in respite care</w:t>
            </w:r>
          </w:p>
        </w:tc>
        <w:tc>
          <w:tcPr>
            <w:tcW w:w="2393" w:type="dxa"/>
          </w:tcPr>
          <w:p w14:paraId="52C54940" w14:textId="77777777"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$51.21</w:t>
            </w:r>
          </w:p>
        </w:tc>
        <w:tc>
          <w:tcPr>
            <w:tcW w:w="3827" w:type="dxa"/>
          </w:tcPr>
          <w:p w14:paraId="7598085E" w14:textId="77777777" w:rsidR="00F81E67" w:rsidRPr="008E680E" w:rsidRDefault="00F81E67" w:rsidP="00187BC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The maximum daily fee for a respite resident is set by the Government at 85 percent of the single basic Age Pension. This is currently $843.60 per fortnight and 85 percent of this is $717.06 per fortnight or $51.21 per day.</w:t>
            </w:r>
          </w:p>
        </w:tc>
        <w:tc>
          <w:tcPr>
            <w:tcW w:w="6067" w:type="dxa"/>
          </w:tcPr>
          <w:p w14:paraId="0419AD68" w14:textId="6EF0D882" w:rsidR="00F81E67" w:rsidRPr="00AF5319" w:rsidRDefault="00F81E67" w:rsidP="00187BC0">
            <w:pPr>
              <w:cnfStyle w:val="000000000000" w:firstRow="0" w:lastRow="0" w:firstColumn="0" w:lastColumn="0" w:oddVBand="0" w:evenVBand="0" w:oddHBand="0" w:evenHBand="0" w:firstRowFirstColumn="0" w:firstRowLastColumn="0" w:lastRowFirstColumn="0" w:lastRowLastColumn="0"/>
              <w:rPr>
                <w:sz w:val="18"/>
                <w:szCs w:val="18"/>
              </w:rPr>
            </w:pPr>
            <w:r w:rsidRPr="008E680E">
              <w:rPr>
                <w:sz w:val="18"/>
                <w:szCs w:val="18"/>
              </w:rPr>
              <w:t>Aged Care Guide; Australia</w:t>
            </w:r>
            <w:r w:rsidR="00184FBE">
              <w:rPr>
                <w:sz w:val="18"/>
                <w:szCs w:val="18"/>
              </w:rPr>
              <w:t xml:space="preserve"> </w:t>
            </w:r>
            <w:r w:rsidR="00AF5319">
              <w:rPr>
                <w:sz w:val="18"/>
                <w:szCs w:val="18"/>
              </w:rPr>
              <w:fldChar w:fldCharType="begin" w:fldLock="1"/>
            </w:r>
            <w:r w:rsidR="00BA0E0E">
              <w:rPr>
                <w:sz w:val="18"/>
                <w:szCs w:val="18"/>
              </w:rPr>
              <w:instrText>ADDIN CSL_CITATION {"citationItems":[{"id":"ITEM-1","itemData":{"URL":"https://www.agedcareguide.com.au/information/respite-care","author":[{"dropping-particle":"","family":"Aged Care Guide","given":"","non-dropping-particle":"","parse-names":false,"suffix":""}],"id":"ITEM-1","issued":{"date-parts":[["0"]]},"title":"Respite Care","type":"webpage"},"uris":["http://www.mendeley.com/documents/?uuid=dc0d601b-dd8b-4f99-afde-9f28e3f03b9e"]}],"mendeley":{"formattedCitation":"(Aged Care Guide n.d.)","plainTextFormattedCitation":"(Aged Care Guide n.d.)","previouslyFormattedCitation":"(Aged Care Guide n.d.)"},"properties":{"noteIndex":0},"schema":"https://github.com/citation-style-language/schema/raw/master/csl-citation.json"}</w:instrText>
            </w:r>
            <w:r w:rsidR="00AF5319">
              <w:rPr>
                <w:sz w:val="18"/>
                <w:szCs w:val="18"/>
              </w:rPr>
              <w:fldChar w:fldCharType="separate"/>
            </w:r>
            <w:r w:rsidR="00AF5319" w:rsidRPr="00AF5319">
              <w:rPr>
                <w:noProof/>
                <w:sz w:val="18"/>
                <w:szCs w:val="18"/>
              </w:rPr>
              <w:t>(Aged Care Guide n.d.)</w:t>
            </w:r>
            <w:r w:rsidR="00AF5319">
              <w:rPr>
                <w:sz w:val="18"/>
                <w:szCs w:val="18"/>
              </w:rPr>
              <w:fldChar w:fldCharType="end"/>
            </w:r>
          </w:p>
        </w:tc>
      </w:tr>
    </w:tbl>
    <w:p w14:paraId="69A1924A" w14:textId="77777777" w:rsidR="00F81E67" w:rsidRPr="008E680E" w:rsidRDefault="00F81E67" w:rsidP="00CE2F6C">
      <w:pPr>
        <w:pStyle w:val="Note"/>
      </w:pPr>
      <w:r w:rsidRPr="008E680E">
        <w:t>Assumptions and limitations:</w:t>
      </w:r>
    </w:p>
    <w:p w14:paraId="767611DF" w14:textId="464A658C" w:rsidR="00F81E67" w:rsidRPr="008E680E" w:rsidRDefault="00F81E67" w:rsidP="00CA184D">
      <w:pPr>
        <w:pStyle w:val="Note"/>
        <w:numPr>
          <w:ilvl w:val="0"/>
          <w:numId w:val="69"/>
        </w:numPr>
        <w:ind w:left="567"/>
      </w:pPr>
      <w:r w:rsidRPr="008E680E">
        <w:t>Formal care is based on an hourly rate which is inflated by 50%.</w:t>
      </w:r>
      <w:r w:rsidR="004511B3">
        <w:t xml:space="preserve"> </w:t>
      </w:r>
      <w:r w:rsidRPr="008E680E">
        <w:t>This is to cover on-costs or casual rates (25% loading) and travel, car expenses and other costs (25% loading).</w:t>
      </w:r>
    </w:p>
    <w:p w14:paraId="2A9894EB" w14:textId="77777777" w:rsidR="00F81E67" w:rsidRPr="008E680E" w:rsidRDefault="00F81E67" w:rsidP="00CA184D">
      <w:pPr>
        <w:pStyle w:val="Note"/>
        <w:numPr>
          <w:ilvl w:val="0"/>
          <w:numId w:val="69"/>
        </w:numPr>
        <w:ind w:left="567"/>
      </w:pPr>
      <w:r w:rsidRPr="008E680E">
        <w:t>The hourly rate for the Community Vision Australia Disability and Aged Care Agreement 2019 was consistent with the range found in other similar agreements.</w:t>
      </w:r>
    </w:p>
    <w:p w14:paraId="3A95CD6B" w14:textId="77777777" w:rsidR="00F81E67" w:rsidRPr="008E680E" w:rsidRDefault="00F81E67" w:rsidP="00CA184D">
      <w:pPr>
        <w:pStyle w:val="Note"/>
        <w:numPr>
          <w:ilvl w:val="0"/>
          <w:numId w:val="69"/>
        </w:numPr>
        <w:ind w:left="567"/>
      </w:pPr>
      <w:r w:rsidRPr="008E680E">
        <w:t>Informal care is based on the current minimum wage in Australia to reflect a monetary value should this informal care need to be replaced with paid care.</w:t>
      </w:r>
    </w:p>
    <w:p w14:paraId="42275B3D" w14:textId="77777777" w:rsidR="00655FE1" w:rsidRDefault="00F81E67" w:rsidP="00CA184D">
      <w:pPr>
        <w:pStyle w:val="Note"/>
        <w:numPr>
          <w:ilvl w:val="0"/>
          <w:numId w:val="69"/>
        </w:numPr>
        <w:ind w:left="567"/>
      </w:pPr>
      <w:r w:rsidRPr="008E680E">
        <w:t>Costs are reported in $AUD 2019</w:t>
      </w:r>
      <w:r w:rsidRPr="008E680E">
        <w:noBreakHyphen/>
      </w:r>
      <w:r w:rsidRPr="00433E00">
        <w:t>20.</w:t>
      </w:r>
      <w:r w:rsidRPr="008E680E">
        <w:t xml:space="preserve"> Rates are valid as at February 2020.</w:t>
      </w:r>
    </w:p>
    <w:p w14:paraId="183E77CD" w14:textId="0C9EC63A" w:rsidR="00655FE1" w:rsidRDefault="00655FE1" w:rsidP="00CE2F6C">
      <w:pPr>
        <w:pStyle w:val="Note"/>
        <w:sectPr w:rsidR="00655FE1" w:rsidSect="00F33447">
          <w:pgSz w:w="16840" w:h="11907" w:orient="landscape" w:code="9"/>
          <w:pgMar w:top="1134" w:right="1134" w:bottom="1134" w:left="1134" w:header="567" w:footer="851" w:gutter="0"/>
          <w:cols w:space="708"/>
          <w:docGrid w:linePitch="360"/>
        </w:sectPr>
      </w:pPr>
    </w:p>
    <w:p w14:paraId="4890CDA5" w14:textId="343D1309" w:rsidR="00F81E67" w:rsidRPr="00217053" w:rsidRDefault="004E4D15" w:rsidP="00217053">
      <w:pPr>
        <w:rPr>
          <w:b/>
          <w:sz w:val="28"/>
          <w:szCs w:val="28"/>
        </w:rPr>
      </w:pPr>
      <w:r w:rsidRPr="00217053">
        <w:rPr>
          <w:b/>
          <w:sz w:val="28"/>
          <w:szCs w:val="28"/>
        </w:rPr>
        <w:lastRenderedPageBreak/>
        <w:t>AT Best Buys</w:t>
      </w:r>
    </w:p>
    <w:p w14:paraId="762E0090" w14:textId="2235C5F6" w:rsidR="00F81E67" w:rsidRPr="008E680E" w:rsidRDefault="00F81E67" w:rsidP="00F81E67">
      <w:pPr>
        <w:pStyle w:val="Paragraph"/>
      </w:pPr>
      <w:r w:rsidRPr="008E680E">
        <w:rPr>
          <w:lang w:val="en-US"/>
        </w:rPr>
        <w:t xml:space="preserve">For the pre-survey, the top 5 AT categories a CONSUMER should fund included the </w:t>
      </w:r>
      <w:r w:rsidRPr="008E680E">
        <w:rPr>
          <w:lang w:val="en-AU"/>
        </w:rPr>
        <w:t xml:space="preserve">Laundry AT, Bathing AT, Dressing AT, Communication and information, and Cleaning AT. Four panellists quantified a consumer co-payment for </w:t>
      </w:r>
      <w:r w:rsidR="004E2F56" w:rsidRPr="008E680E">
        <w:rPr>
          <w:lang w:val="en-AU"/>
        </w:rPr>
        <w:t>AT,</w:t>
      </w:r>
      <w:r w:rsidRPr="008E680E">
        <w:rPr>
          <w:lang w:val="en-AU"/>
        </w:rPr>
        <w:t xml:space="preserve"> and this ranged from $100 to $500. </w:t>
      </w:r>
      <w:r w:rsidRPr="008E680E">
        <w:rPr>
          <w:lang w:val="en-US"/>
        </w:rPr>
        <w:t xml:space="preserve">Top 5 AT categories a GOVERNMENT should fund included Home access, Home safety, Bathroom access, Bed Transfer and Kitchen modifications. Three </w:t>
      </w:r>
      <w:r w:rsidRPr="008E680E">
        <w:rPr>
          <w:lang w:val="en-AU"/>
        </w:rPr>
        <w:t>panellists quantified a government cap for AT and this ranged from $1</w:t>
      </w:r>
      <w:r w:rsidR="002A2AFB">
        <w:rPr>
          <w:lang w:val="en-AU"/>
        </w:rPr>
        <w:t>,</w:t>
      </w:r>
      <w:r w:rsidRPr="008E680E">
        <w:rPr>
          <w:lang w:val="en-AU"/>
        </w:rPr>
        <w:t>000 to $2</w:t>
      </w:r>
      <w:r w:rsidR="00370419">
        <w:rPr>
          <w:lang w:val="en-AU"/>
        </w:rPr>
        <w:t>,</w:t>
      </w:r>
      <w:r w:rsidRPr="008E680E">
        <w:rPr>
          <w:lang w:val="en-AU"/>
        </w:rPr>
        <w:t>000.</w:t>
      </w:r>
    </w:p>
    <w:p w14:paraId="5DD89B68" w14:textId="77777777" w:rsidR="00F81E67" w:rsidRPr="008E680E" w:rsidRDefault="00F81E67" w:rsidP="00F81E67">
      <w:pPr>
        <w:pStyle w:val="Paragraph"/>
      </w:pPr>
      <w:r w:rsidRPr="008E680E">
        <w:rPr>
          <w:lang w:val="en-US"/>
        </w:rPr>
        <w:t xml:space="preserve">For the post-survey, the top 5 AT categories a CONSUMER should fund included the Cleaning AT, </w:t>
      </w:r>
      <w:r w:rsidRPr="008E680E">
        <w:rPr>
          <w:lang w:val="en-AU"/>
        </w:rPr>
        <w:t xml:space="preserve">Bathing AT, Laundry AT, Food preparation and Dressing AT. Five panellists quantified a consumer co-payment for AT and this ranged from $30 to $200 with one suggesting 10% of the total costs. </w:t>
      </w:r>
      <w:r w:rsidRPr="008E680E">
        <w:rPr>
          <w:lang w:val="en-US"/>
        </w:rPr>
        <w:t xml:space="preserve">Top 5 AT categories a GOVERNMENT should fund included Home access, Bathroom access, Bed transfers, Home safety and Kitchen modifications. Two </w:t>
      </w:r>
      <w:r w:rsidRPr="008E680E">
        <w:rPr>
          <w:lang w:val="en-AU"/>
        </w:rPr>
        <w:t>panellists quantified a government cap for AT and this ranged from $1,500 to $10,000.</w:t>
      </w:r>
    </w:p>
    <w:p w14:paraId="6E538A53" w14:textId="64E4BED3" w:rsidR="00FE64D9" w:rsidRDefault="00F81E67" w:rsidP="00F81E67">
      <w:pPr>
        <w:pStyle w:val="Paragraph"/>
      </w:pPr>
      <w:r w:rsidRPr="008E680E">
        <w:t>The best buys for AT were identified for the pre-survey and the post-survey (</w:t>
      </w:r>
      <w:r w:rsidR="002A2AFB" w:rsidRPr="002A2AFB">
        <w:rPr>
          <w:rStyle w:val="Italic"/>
        </w:rPr>
        <w:fldChar w:fldCharType="begin"/>
      </w:r>
      <w:r w:rsidR="002A2AFB" w:rsidRPr="002A2AFB">
        <w:rPr>
          <w:rStyle w:val="Italic"/>
        </w:rPr>
        <w:instrText xml:space="preserve"> REF _Ref42525139 \h </w:instrText>
      </w:r>
      <w:r w:rsidR="002A2AFB">
        <w:rPr>
          <w:rStyle w:val="Italic"/>
        </w:rPr>
        <w:instrText xml:space="preserve"> \* MERGEFORMAT </w:instrText>
      </w:r>
      <w:r w:rsidR="002A2AFB" w:rsidRPr="002A2AFB">
        <w:rPr>
          <w:rStyle w:val="Italic"/>
        </w:rPr>
      </w:r>
      <w:r w:rsidR="002A2AFB" w:rsidRPr="002A2AFB">
        <w:rPr>
          <w:rStyle w:val="Italic"/>
        </w:rPr>
        <w:fldChar w:fldCharType="separate"/>
      </w:r>
      <w:r w:rsidR="00EB1774" w:rsidRPr="00EB1774">
        <w:rPr>
          <w:rStyle w:val="Italic"/>
        </w:rPr>
        <w:t>Figure C</w:t>
      </w:r>
      <w:r w:rsidR="00EB1774" w:rsidRPr="00EB1774">
        <w:rPr>
          <w:rStyle w:val="Italic"/>
        </w:rPr>
        <w:noBreakHyphen/>
        <w:t>17</w:t>
      </w:r>
      <w:r w:rsidR="002A2AFB" w:rsidRPr="002A2AFB">
        <w:rPr>
          <w:rStyle w:val="Italic"/>
        </w:rPr>
        <w:fldChar w:fldCharType="end"/>
      </w:r>
      <w:r w:rsidRPr="008E680E">
        <w:t>). The pre-survey focused on the provision of information, education, assessment, as well as products and equipment which are directed towards individual circumstances and use. The post-survey had a slightly different approach where the focus was on support, services and equipment in the home, as well as education, media and advice</w:t>
      </w:r>
      <w:r w:rsidR="00F33447">
        <w:t>,</w:t>
      </w:r>
      <w:r w:rsidRPr="008E680E">
        <w:t xml:space="preserve"> in addition to consideration of individual circumstances.</w:t>
      </w:r>
    </w:p>
    <w:p w14:paraId="233956D0" w14:textId="77777777" w:rsidR="00FE64D9" w:rsidRDefault="00FE64D9">
      <w:pPr>
        <w:rPr>
          <w:color w:val="000000" w:themeColor="text1"/>
          <w:lang w:eastAsia="en-US"/>
        </w:rPr>
      </w:pPr>
      <w:r>
        <w:br w:type="page"/>
      </w:r>
    </w:p>
    <w:p w14:paraId="798060B0" w14:textId="55F624EC" w:rsidR="00F81E67" w:rsidRPr="008E680E" w:rsidRDefault="00CF5AFF" w:rsidP="00217053">
      <w:bookmarkStart w:id="169" w:name="_Ref42525139"/>
      <w:bookmarkStart w:id="170" w:name="_Toc60999895"/>
      <w:bookmarkStart w:id="171" w:name="_Hlk59490766"/>
      <w:r w:rsidRPr="008E680E">
        <w:lastRenderedPageBreak/>
        <w:t>Figure </w:t>
      </w:r>
      <w:r>
        <w:fldChar w:fldCharType="begin"/>
      </w:r>
      <w:r>
        <w:instrText xml:space="preserve"> STYLEREF 5 \s </w:instrText>
      </w:r>
      <w:r>
        <w:fldChar w:fldCharType="separate"/>
      </w:r>
      <w:r w:rsidR="00EB1774">
        <w:rPr>
          <w:noProof/>
        </w:rPr>
        <w:t>C</w:t>
      </w:r>
      <w:r>
        <w:rPr>
          <w:noProof/>
        </w:rPr>
        <w:fldChar w:fldCharType="end"/>
      </w:r>
      <w:r w:rsidRPr="008E680E">
        <w:noBreakHyphen/>
      </w:r>
      <w:r>
        <w:fldChar w:fldCharType="begin"/>
      </w:r>
      <w:r>
        <w:instrText xml:space="preserve"> SEQ Figure_Apx \* ARABIC \s 5 </w:instrText>
      </w:r>
      <w:r>
        <w:fldChar w:fldCharType="separate"/>
      </w:r>
      <w:r w:rsidR="00EB1774">
        <w:rPr>
          <w:noProof/>
        </w:rPr>
        <w:t>17</w:t>
      </w:r>
      <w:r>
        <w:rPr>
          <w:noProof/>
        </w:rPr>
        <w:fldChar w:fldCharType="end"/>
      </w:r>
      <w:bookmarkEnd w:id="169"/>
      <w:r w:rsidRPr="008E680E">
        <w:t>:</w:t>
      </w:r>
      <w:r w:rsidRPr="008E680E">
        <w:tab/>
      </w:r>
      <w:r w:rsidR="00523DB3">
        <w:t>AT</w:t>
      </w:r>
      <w:r w:rsidR="00F81E67" w:rsidRPr="008E680E">
        <w:t xml:space="preserve"> </w:t>
      </w:r>
      <w:r w:rsidR="004511B3">
        <w:t>‘</w:t>
      </w:r>
      <w:r w:rsidR="00F81E67" w:rsidRPr="008E680E">
        <w:t>best buys</w:t>
      </w:r>
      <w:r w:rsidR="004511B3">
        <w:t>’</w:t>
      </w:r>
      <w:bookmarkEnd w:id="170"/>
    </w:p>
    <w:p w14:paraId="6EEDD749" w14:textId="77777777" w:rsidR="00217053" w:rsidRDefault="00217053" w:rsidP="00217053">
      <w:pPr>
        <w:rPr>
          <w:noProof/>
        </w:rPr>
      </w:pPr>
    </w:p>
    <w:p w14:paraId="683DD493" w14:textId="136D9B5C" w:rsidR="00655FE1" w:rsidRPr="00433E00" w:rsidRDefault="00655FE1" w:rsidP="00217053">
      <w:pPr>
        <w:rPr>
          <w:noProof/>
        </w:rPr>
      </w:pPr>
      <w:r w:rsidRPr="008E680E">
        <w:rPr>
          <w:noProof/>
        </w:rPr>
        <w:t>Part a) Pre-survey</w:t>
      </w:r>
    </w:p>
    <w:p w14:paraId="4D0A25D7" w14:textId="77777777" w:rsidR="00F81E67" w:rsidRPr="008E680E" w:rsidRDefault="00F81E67" w:rsidP="00655FE1">
      <w:r w:rsidRPr="00433E00">
        <w:rPr>
          <w:noProof/>
          <w:lang w:val="en-AU" w:eastAsia="en-AU"/>
        </w:rPr>
        <w:drawing>
          <wp:inline distT="0" distB="0" distL="0" distR="0" wp14:anchorId="6FEC9B60" wp14:editId="77A72B18">
            <wp:extent cx="6120000" cy="3229504"/>
            <wp:effectExtent l="19050" t="19050" r="14605" b="28575"/>
            <wp:docPr id="43" name="Picture 43" descr="A ‘cloud’ of words/phrases depicting panellists’ nominated AT ‘best buys’ pre-survey. The more commonly reported the word/phrase, the larger it appears in the cloud. The largest-sized words in this cloud are ‘information’, ‘products’ and ‘education’. The words that are second-largest in size are ‘circumstances’, ‘assessment’, ‘use’ and ‘equipment’. The remaining group of smallest-sized words/phrases are ‘supplies’, ‘needed professional support’, ‘task adaptation’, ‘light’, ‘client’, ‘personal care equipment’, ‘behaviour change’, ‘demonstration’, ‘biased information’, ‘bundle’, ‘daily living’, decision’, ‘device’, ‘severity’, ‘intervention’, ‘outcomes’, ‘flexibility’, ‘context’, ‘individual circumstances’, ‘potential user’, ‘technology’, ‘physio’, ‘best buy’, ‘line self assess’, ‘increase’, ‘decline’, ‘health professional’, ‘carers’, ‘building strength’, ‘handled sponge’, ‘eg static duster’, ‘information advice’, ‘training’, ‘guidance’ and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ud’ of words/phrases depicting panellists’ nominated AT ‘best buys’ pre-survey. The more commonly reported the word/phrase, the larger it appears in the cloud. The largest-sized words in this cloud are ‘information’, ‘products’ and ‘education’. The words that are second-largest in size are ‘circumstances’, ‘assessment’, ‘use’ and ‘equipment’. The remaining group of smallest-sized words/phrases are ‘supplies’, ‘needed professional support’, ‘task adaptation’, ‘light’, ‘client’, ‘personal care equipment’, ‘behaviour change’, ‘demonstration’, ‘biased information’, ‘bundle’, ‘daily living’, decision’, ‘device’, ‘severity’, ‘intervention’, ‘outcomes’, ‘flexibility’, ‘context’, ‘individual circumstances’, ‘potential user’, ‘technology’, ‘physio’, ‘best buy’, ‘line self assess’, ‘increase’, ‘decline’, ‘health professional’, ‘carers’, ‘building strength’, ‘handled sponge’, ‘eg static duster’, ‘information advice’, ‘training’, ‘guidance’ and ‘purchase’."/>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6120000" cy="322950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E964DDB" w14:textId="77777777" w:rsidR="00217053" w:rsidRDefault="00217053" w:rsidP="00217053"/>
    <w:p w14:paraId="1259099B" w14:textId="19286ACF" w:rsidR="00655FE1" w:rsidRPr="00A26732" w:rsidRDefault="00655FE1" w:rsidP="00217053">
      <w:pPr>
        <w:rPr>
          <w:highlight w:val="yellow"/>
        </w:rPr>
      </w:pPr>
      <w:r w:rsidRPr="008E680E">
        <w:t>Part b) Post-survey</w:t>
      </w:r>
    </w:p>
    <w:p w14:paraId="408C4D84" w14:textId="77777777" w:rsidR="00F81E67" w:rsidRPr="008E680E" w:rsidRDefault="00F81E67" w:rsidP="00655FE1">
      <w:r w:rsidRPr="00433E00">
        <w:rPr>
          <w:noProof/>
          <w:lang w:val="en-AU" w:eastAsia="en-AU"/>
        </w:rPr>
        <w:drawing>
          <wp:inline distT="0" distB="0" distL="0" distR="0" wp14:anchorId="37DB472B" wp14:editId="632D3A9E">
            <wp:extent cx="6120000" cy="3749776"/>
            <wp:effectExtent l="19050" t="19050" r="14605" b="22225"/>
            <wp:docPr id="44" name="Picture 44" descr="A ‘cloud’ of words/phrases depicting panellists’ nominated AT ‘best buys’ post-survey. The more commonly reported the word/phrase, the larger it appears in the cloud. The largest-sized words in this cloud are ‘support’, ‘equipment’ and ‘home’. The words/phrases that are second-largest in size are ‘education’, ‘advice’, ‘services’, ‘level’, ‘high cost equipment’, ‘circumstances’, ‘best buy’, ‘mobility aid’ and ‘media’. The remaining group of smallest-sized words/phrases are ‘friend’, ‘type’, ‘efficacy’, ‘technology’, ‘correct use’, ‘people’, ‘preventative measures’, ‘inclusion’, ‘line self’, ‘value’, ‘proper assessment’, ‘individual’, ‘benefits’, ‘impartial information’, ‘best practice’, ‘staff’, ‘choice’, ‘assessment &amp; prescription’, ‘easy living equipment’, ‘equipment expert assessment’, ‘behaviour change’, ‘chsp’, ‘buying power’, ‘home mod’, ‘referral pathway’, ‘bathroom &amp; mobility’, ‘health professional’, ‘context of reablement’, ‘home hire’, ‘allied health support’, ‘suite’, ‘family’, ‘safe use’, ‘need’, ‘unbiased information’, ‘short terms program’, knowledge level’ and ‘guide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ud’ of words/phrases depicting panellists’ nominated AT ‘best buys’ post-survey. The more commonly reported the word/phrase, the larger it appears in the cloud. The largest-sized words in this cloud are ‘support’, ‘equipment’ and ‘home’. The words/phrases that are second-largest in size are ‘education’, ‘advice’, ‘services’, ‘level’, ‘high cost equipment’, ‘circumstances’, ‘best buy’, ‘mobility aid’ and ‘media’. The remaining group of smallest-sized words/phrases are ‘friend’, ‘type’, ‘efficacy’, ‘technology’, ‘correct use’, ‘people’, ‘preventative measures’, ‘inclusion’, ‘line self’, ‘value’, ‘proper assessment’, ‘individual’, ‘benefits’, ‘impartial information’, ‘best practice’, ‘staff’, ‘choice’, ‘assessment &amp; prescription’, ‘easy living equipment’, ‘equipment expert assessment’, ‘behaviour change’, ‘chsp’, ‘buying power’, ‘home mod’, ‘referral pathway’, ‘bathroom &amp; mobility’, ‘health professional’, ‘context of reablement’, ‘home hire’, ‘allied health support’, ‘suite’, ‘family’, ‘safe use’, ‘need’, ‘unbiased information’, ‘short terms program’, knowledge level’ and ‘guided assessment’."/>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6120000" cy="374977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bookmarkEnd w:id="171"/>
    <w:p w14:paraId="3B7B155D" w14:textId="77777777" w:rsidR="0066109D" w:rsidRDefault="001503F0">
      <w:pPr>
        <w:rPr>
          <w:highlight w:val="yellow"/>
          <w:lang w:eastAsia="en-US"/>
        </w:rPr>
      </w:pPr>
      <w:r>
        <w:rPr>
          <w:highlight w:val="yellow"/>
          <w:lang w:eastAsia="en-US"/>
        </w:rPr>
        <w:br w:type="page"/>
      </w:r>
    </w:p>
    <w:p w14:paraId="2256427F" w14:textId="124BFB01" w:rsidR="001503F0" w:rsidRDefault="001503F0">
      <w:pPr>
        <w:rPr>
          <w:highlight w:val="yellow"/>
          <w:lang w:eastAsia="en-US"/>
        </w:rPr>
      </w:pPr>
    </w:p>
    <w:p w14:paraId="0390BC69" w14:textId="434541AA" w:rsidR="0031014A" w:rsidRPr="00A20678" w:rsidRDefault="0031014A" w:rsidP="00E50153">
      <w:pPr>
        <w:pStyle w:val="Heading1"/>
        <w:tabs>
          <w:tab w:val="clear" w:pos="2977"/>
        </w:tabs>
      </w:pPr>
      <w:bookmarkStart w:id="172" w:name="_Ref34736272"/>
      <w:bookmarkStart w:id="173" w:name="_Ref34747461"/>
      <w:bookmarkStart w:id="174" w:name="_Toc34991024"/>
      <w:bookmarkStart w:id="175" w:name="_Toc35011683"/>
      <w:bookmarkStart w:id="176" w:name="_Toc60999859"/>
      <w:r w:rsidRPr="00A20678">
        <w:t>Archetypes</w:t>
      </w:r>
      <w:bookmarkEnd w:id="172"/>
      <w:bookmarkEnd w:id="173"/>
      <w:bookmarkEnd w:id="174"/>
      <w:bookmarkEnd w:id="175"/>
      <w:bookmarkEnd w:id="176"/>
    </w:p>
    <w:p w14:paraId="13DBDE59" w14:textId="1F6BCE03" w:rsidR="00342E7B" w:rsidRDefault="00342E7B" w:rsidP="00E50153">
      <w:pPr>
        <w:pStyle w:val="Heading1"/>
        <w:tabs>
          <w:tab w:val="clear" w:pos="2977"/>
        </w:tabs>
      </w:pPr>
      <w:bookmarkStart w:id="177" w:name="_Toc60999860"/>
      <w:r>
        <w:t>Archetype overview</w:t>
      </w:r>
      <w:bookmarkEnd w:id="177"/>
    </w:p>
    <w:p w14:paraId="08613E64" w14:textId="77777777" w:rsidR="00C13FC5" w:rsidRDefault="0031014A" w:rsidP="00F85EFF">
      <w:pPr>
        <w:pStyle w:val="ParaKeep"/>
      </w:pPr>
      <w:r w:rsidRPr="00636B05">
        <w:t>This appendix</w:t>
      </w:r>
      <w:r w:rsidR="00C13FC5">
        <w:t>:</w:t>
      </w:r>
    </w:p>
    <w:p w14:paraId="17410527" w14:textId="6FEDF2E8" w:rsidR="00C13FC5" w:rsidRDefault="00C13FC5" w:rsidP="0005623E">
      <w:pPr>
        <w:pStyle w:val="Paragraph"/>
        <w:numPr>
          <w:ilvl w:val="0"/>
          <w:numId w:val="75"/>
        </w:numPr>
        <w:spacing w:before="100" w:after="100"/>
        <w:ind w:left="714" w:hanging="357"/>
      </w:pPr>
      <w:r>
        <w:t>D</w:t>
      </w:r>
      <w:r w:rsidR="0031014A" w:rsidRPr="00636B05">
        <w:t>escribes the 15 </w:t>
      </w:r>
      <w:r w:rsidR="00D6376B" w:rsidRPr="00636B05">
        <w:t xml:space="preserve">Archetypes </w:t>
      </w:r>
      <w:r w:rsidR="00D6376B">
        <w:t xml:space="preserve">based on </w:t>
      </w:r>
      <w:r w:rsidR="0031014A" w:rsidRPr="00636B05">
        <w:t>real life</w:t>
      </w:r>
      <w:r w:rsidR="00D6376B">
        <w:t xml:space="preserve"> </w:t>
      </w:r>
      <w:r w:rsidR="00C929C8">
        <w:t>consumer</w:t>
      </w:r>
      <w:r w:rsidR="00D6376B">
        <w:t>s,</w:t>
      </w:r>
      <w:r w:rsidR="0031014A" w:rsidRPr="00636B05">
        <w:t xml:space="preserve"> developed to represent the older population for the cost–benefit analysis</w:t>
      </w:r>
    </w:p>
    <w:p w14:paraId="526D2D5F" w14:textId="37FA7E70" w:rsidR="00C13FC5" w:rsidRDefault="00C13FC5" w:rsidP="0005623E">
      <w:pPr>
        <w:pStyle w:val="Paragraph"/>
        <w:numPr>
          <w:ilvl w:val="0"/>
          <w:numId w:val="75"/>
        </w:numPr>
        <w:spacing w:before="100" w:after="100"/>
        <w:ind w:left="714" w:hanging="357"/>
      </w:pPr>
      <w:r>
        <w:t>D</w:t>
      </w:r>
      <w:r w:rsidR="0031014A" w:rsidRPr="00636B05">
        <w:t xml:space="preserve">etails the associated </w:t>
      </w:r>
      <w:r w:rsidR="0031014A">
        <w:t xml:space="preserve">AT </w:t>
      </w:r>
      <w:r w:rsidR="00D55078">
        <w:t xml:space="preserve">products and services </w:t>
      </w:r>
      <w:r w:rsidR="0031014A" w:rsidRPr="00636B05">
        <w:t xml:space="preserve">recommended in the model. </w:t>
      </w:r>
    </w:p>
    <w:p w14:paraId="3F81AD2B" w14:textId="2DAB26F6" w:rsidR="0031014A" w:rsidRPr="00636B05" w:rsidRDefault="0031014A" w:rsidP="0031014A">
      <w:pPr>
        <w:pStyle w:val="Paragraph"/>
      </w:pPr>
      <w:r w:rsidRPr="00636B05">
        <w:t>The Archetypes are distributed across four categories according to the severity of impairment: Mild</w:t>
      </w:r>
      <w:r w:rsidRPr="002D64F0">
        <w:rPr>
          <w:i/>
          <w:iCs/>
        </w:rPr>
        <w:t>,</w:t>
      </w:r>
      <w:r w:rsidRPr="00636B05">
        <w:t xml:space="preserve"> Moderate, Severe and Profound.</w:t>
      </w:r>
      <w:r w:rsidR="004511B3">
        <w:t xml:space="preserve"> </w:t>
      </w:r>
      <w:r w:rsidRPr="00636B05">
        <w:t>Archetypes in the Mild category represent consumers who are not in aged care.</w:t>
      </w:r>
      <w:r w:rsidR="004511B3">
        <w:t xml:space="preserve"> </w:t>
      </w:r>
      <w:r w:rsidRPr="00636B05">
        <w:t>All other Archetypes are based on cases from de-identified CHSP support plans.</w:t>
      </w:r>
    </w:p>
    <w:p w14:paraId="6CDD2B47" w14:textId="649A4FBF" w:rsidR="0031014A" w:rsidRPr="00636B05" w:rsidRDefault="0031014A" w:rsidP="00217053">
      <w:pPr>
        <w:pStyle w:val="Heading1"/>
      </w:pPr>
      <w:bookmarkStart w:id="178" w:name="_Toc40249057"/>
      <w:bookmarkStart w:id="179" w:name="_Toc60999861"/>
      <w:r w:rsidRPr="00636B05">
        <w:t>Archetypes for Mild limitation</w:t>
      </w:r>
      <w:bookmarkEnd w:id="178"/>
      <w:bookmarkEnd w:id="179"/>
    </w:p>
    <w:p w14:paraId="1814BBC3" w14:textId="77777777" w:rsidR="00CF02AF" w:rsidRPr="00B34892" w:rsidRDefault="00CF02AF" w:rsidP="00B34892">
      <w:pPr>
        <w:rPr>
          <w:b/>
          <w:sz w:val="28"/>
          <w:szCs w:val="28"/>
        </w:rPr>
      </w:pPr>
      <w:r w:rsidRPr="00B34892">
        <w:rPr>
          <w:b/>
          <w:sz w:val="28"/>
          <w:szCs w:val="28"/>
        </w:rPr>
        <w:t>Archetype 1: Preventative AT</w:t>
      </w:r>
    </w:p>
    <w:p w14:paraId="4F98CB5B" w14:textId="77777777" w:rsidR="00996C17" w:rsidRPr="00FE64D9" w:rsidRDefault="00996C17" w:rsidP="00B4797D">
      <w:pPr>
        <w:pStyle w:val="Archetype"/>
        <w:sectPr w:rsidR="00996C17" w:rsidRPr="00FE64D9" w:rsidSect="00CF02AF">
          <w:pgSz w:w="11907" w:h="16840" w:code="9"/>
          <w:pgMar w:top="1134" w:right="1134" w:bottom="1134" w:left="1134" w:header="567" w:footer="851" w:gutter="0"/>
          <w:cols w:space="708"/>
          <w:docGrid w:linePitch="360"/>
        </w:sectPr>
      </w:pPr>
    </w:p>
    <w:p w14:paraId="2AC93423" w14:textId="283CA0A9" w:rsidR="00CF02AF" w:rsidRPr="00636B05" w:rsidRDefault="00F33447" w:rsidP="00C61CD3">
      <w:pPr>
        <w:pStyle w:val="Paragraph"/>
        <w:spacing w:before="0"/>
      </w:pPr>
      <w:r>
        <w:t>Mr </w:t>
      </w:r>
      <w:r w:rsidR="00CF02AF">
        <w:t>Z</w:t>
      </w:r>
      <w:r w:rsidR="00CF02AF" w:rsidRPr="00636B05">
        <w:t>, aged 69, is beginning to notice that it is harder to do some everyday tasks such as cutting his toenails, gardening, using steps and going shopping.</w:t>
      </w:r>
      <w:r w:rsidR="00CF02AF">
        <w:t xml:space="preserve"> </w:t>
      </w:r>
      <w:r w:rsidR="00CF02AF" w:rsidRPr="00636B05">
        <w:t>He is worried about losing his independence and becoming more dependent on his children.</w:t>
      </w:r>
    </w:p>
    <w:p w14:paraId="03E1FC09" w14:textId="73D15D2D" w:rsidR="00CF02AF" w:rsidRPr="00636B05" w:rsidRDefault="00CF02AF" w:rsidP="00996C17">
      <w:pPr>
        <w:pStyle w:val="Paragraph"/>
      </w:pPr>
      <w:r w:rsidRPr="00636B05">
        <w:t>He was talking about this with a friend who told him about a website that provides ideas, help and advice about simple equipment that might help with his daily tasks.</w:t>
      </w:r>
      <w:r>
        <w:t xml:space="preserve"> </w:t>
      </w:r>
      <w:r w:rsidRPr="00636B05">
        <w:t xml:space="preserve">After going online, </w:t>
      </w:r>
      <w:r w:rsidR="00F33447">
        <w:t>Mr </w:t>
      </w:r>
      <w:r>
        <w:t>Z</w:t>
      </w:r>
      <w:r w:rsidRPr="00636B05">
        <w:t xml:space="preserve"> read about different types of equipment that can help him remain active and safe.</w:t>
      </w:r>
      <w:r>
        <w:t xml:space="preserve"> </w:t>
      </w:r>
      <w:r w:rsidRPr="00636B05">
        <w:t>The website listed a range of products such as bathroom and toenail clipping aids, as well as gardening and shopping aids.</w:t>
      </w:r>
      <w:r>
        <w:t xml:space="preserve"> </w:t>
      </w:r>
      <w:r w:rsidRPr="00636B05">
        <w:t xml:space="preserve">After some more research on the costs of items, </w:t>
      </w:r>
      <w:r w:rsidR="00F33447">
        <w:t>Mr </w:t>
      </w:r>
      <w:r>
        <w:t>Z</w:t>
      </w:r>
      <w:r w:rsidRPr="00636B05">
        <w:t xml:space="preserve"> ordered online a long-handled nail clipper, some long-handled bathroom and gardening aids, and decided to look for a lightweight shopping trolley when he was next in the hardware store.</w:t>
      </w:r>
    </w:p>
    <w:p w14:paraId="6E73F769" w14:textId="225AC066" w:rsidR="00CF02AF" w:rsidRPr="00636B05" w:rsidRDefault="00996C17" w:rsidP="00BC3F7D">
      <w:pPr>
        <w:pStyle w:val="Subhead1"/>
      </w:pPr>
      <w:r>
        <w:br w:type="column"/>
      </w:r>
      <w:r w:rsidR="00CF02AF" w:rsidRPr="00636B05">
        <w:t>AT Products</w:t>
      </w:r>
    </w:p>
    <w:p w14:paraId="71E77399" w14:textId="77777777" w:rsidR="00CF02AF" w:rsidRPr="00636B05" w:rsidRDefault="00CF02AF" w:rsidP="0005623E">
      <w:pPr>
        <w:pStyle w:val="TableBullet1"/>
        <w:spacing w:before="40" w:after="40"/>
        <w:ind w:left="318"/>
      </w:pPr>
      <w:r w:rsidRPr="00636B05">
        <w:t>Peta long-handled nail clippers</w:t>
      </w:r>
    </w:p>
    <w:p w14:paraId="574AA98B" w14:textId="77777777" w:rsidR="00CF02AF" w:rsidRPr="00636B05" w:rsidRDefault="00CF02AF" w:rsidP="0005623E">
      <w:pPr>
        <w:pStyle w:val="TableBullet1"/>
        <w:spacing w:before="40" w:after="40"/>
        <w:ind w:left="318"/>
      </w:pPr>
      <w:r w:rsidRPr="00636B05">
        <w:t>Propping kitchen stool</w:t>
      </w:r>
    </w:p>
    <w:p w14:paraId="6657282A" w14:textId="77777777" w:rsidR="00CF02AF" w:rsidRPr="00636B05" w:rsidRDefault="00CF02AF" w:rsidP="0005623E">
      <w:pPr>
        <w:pStyle w:val="TableBullet1"/>
        <w:spacing w:before="40" w:after="40"/>
        <w:ind w:left="318"/>
      </w:pPr>
      <w:r w:rsidRPr="00636B05">
        <w:t>Lightweight vacuum</w:t>
      </w:r>
    </w:p>
    <w:p w14:paraId="38ACB7F6" w14:textId="77777777" w:rsidR="00CF02AF" w:rsidRPr="00636B05" w:rsidRDefault="00CF02AF" w:rsidP="0005623E">
      <w:pPr>
        <w:pStyle w:val="TableBullet1"/>
        <w:spacing w:before="40" w:after="40"/>
        <w:ind w:left="318"/>
      </w:pPr>
      <w:r w:rsidRPr="00636B05">
        <w:t>Lightweight mop</w:t>
      </w:r>
    </w:p>
    <w:p w14:paraId="551A3700" w14:textId="77777777" w:rsidR="00CF02AF" w:rsidRPr="00636B05" w:rsidRDefault="00CF02AF" w:rsidP="0005623E">
      <w:pPr>
        <w:pStyle w:val="TableBullet1"/>
        <w:spacing w:before="40" w:after="40"/>
        <w:ind w:left="318"/>
      </w:pPr>
      <w:r w:rsidRPr="00636B05">
        <w:t>Long-handled reacher</w:t>
      </w:r>
    </w:p>
    <w:p w14:paraId="69BCE4A6" w14:textId="77777777" w:rsidR="00CF02AF" w:rsidRPr="00636B05" w:rsidRDefault="00CF02AF" w:rsidP="0005623E">
      <w:pPr>
        <w:pStyle w:val="TableBullet1"/>
        <w:spacing w:before="40" w:after="40"/>
        <w:ind w:left="318"/>
      </w:pPr>
      <w:r w:rsidRPr="00636B05">
        <w:t>Long-handled dustpan and brush</w:t>
      </w:r>
    </w:p>
    <w:p w14:paraId="0E9C927E" w14:textId="77777777" w:rsidR="00CF02AF" w:rsidRPr="00636B05" w:rsidRDefault="00CF02AF" w:rsidP="0005623E">
      <w:pPr>
        <w:pStyle w:val="TableBullet1"/>
        <w:spacing w:before="40" w:after="40"/>
        <w:ind w:left="318"/>
      </w:pPr>
      <w:r w:rsidRPr="00636B05">
        <w:t>Long-handled duster</w:t>
      </w:r>
    </w:p>
    <w:p w14:paraId="27ACAB9D" w14:textId="77777777" w:rsidR="00CF02AF" w:rsidRPr="00636B05" w:rsidRDefault="00CF02AF" w:rsidP="0005623E">
      <w:pPr>
        <w:pStyle w:val="TableBullet1"/>
        <w:spacing w:before="40" w:after="40"/>
        <w:ind w:left="318"/>
      </w:pPr>
      <w:r w:rsidRPr="00636B05">
        <w:t>Long-handled scrubber</w:t>
      </w:r>
    </w:p>
    <w:p w14:paraId="26407696" w14:textId="77777777" w:rsidR="00CF02AF" w:rsidRPr="00636B05" w:rsidRDefault="00CF02AF" w:rsidP="0005623E">
      <w:pPr>
        <w:pStyle w:val="TableBullet1"/>
        <w:spacing w:before="40" w:after="40"/>
        <w:ind w:left="318"/>
      </w:pPr>
      <w:r w:rsidRPr="00636B05">
        <w:t>Kitchen trolley</w:t>
      </w:r>
    </w:p>
    <w:p w14:paraId="12121616" w14:textId="77777777" w:rsidR="00CF02AF" w:rsidRPr="00636B05" w:rsidRDefault="00CF02AF" w:rsidP="0005623E">
      <w:pPr>
        <w:pStyle w:val="TableBullet1"/>
        <w:spacing w:before="40" w:after="40"/>
        <w:ind w:left="318"/>
        <w:rPr>
          <w:rFonts w:cstheme="minorHAnsi"/>
        </w:rPr>
      </w:pPr>
      <w:r w:rsidRPr="00636B05">
        <w:t>Shopping trolley</w:t>
      </w:r>
    </w:p>
    <w:p w14:paraId="5AE6094E" w14:textId="77777777" w:rsidR="00CF02AF" w:rsidRPr="00636B05" w:rsidRDefault="00CF02AF" w:rsidP="0005623E">
      <w:pPr>
        <w:pStyle w:val="TableBullet1"/>
        <w:spacing w:before="40" w:after="40"/>
        <w:ind w:left="318"/>
      </w:pPr>
      <w:r w:rsidRPr="00636B05">
        <w:t>Long-handled washer/toe dryer</w:t>
      </w:r>
    </w:p>
    <w:p w14:paraId="45FFE1D5" w14:textId="77777777" w:rsidR="00CF02AF" w:rsidRPr="00636B05" w:rsidRDefault="00CF02AF" w:rsidP="0005623E">
      <w:pPr>
        <w:pStyle w:val="TableBullet1"/>
        <w:spacing w:before="40" w:after="40"/>
        <w:ind w:left="318"/>
      </w:pPr>
      <w:r w:rsidRPr="00636B05">
        <w:t>Long-handled sponge</w:t>
      </w:r>
    </w:p>
    <w:p w14:paraId="048782D2" w14:textId="77777777" w:rsidR="00CF02AF" w:rsidRPr="00636B05" w:rsidRDefault="00CF02AF" w:rsidP="0005623E">
      <w:pPr>
        <w:pStyle w:val="TableBullet1"/>
        <w:spacing w:before="40" w:after="40"/>
        <w:ind w:left="318"/>
      </w:pPr>
      <w:r w:rsidRPr="00636B05">
        <w:t>Long-handled garden equipment</w:t>
      </w:r>
    </w:p>
    <w:p w14:paraId="5DB26EFB" w14:textId="77B9A135" w:rsidR="00CF02AF" w:rsidRPr="00636B05" w:rsidRDefault="00CF02AF" w:rsidP="00BC3F7D">
      <w:pPr>
        <w:pStyle w:val="Subhead1"/>
      </w:pPr>
      <w:r w:rsidRPr="00636B05">
        <w:t>AT Services</w:t>
      </w:r>
    </w:p>
    <w:p w14:paraId="0FB2BA1A" w14:textId="5F2A7B14" w:rsidR="00CF02AF" w:rsidRPr="00CF02AF" w:rsidRDefault="00CF02AF" w:rsidP="00996C17">
      <w:pPr>
        <w:pStyle w:val="TableBullet1"/>
        <w:spacing w:before="40" w:after="0"/>
        <w:ind w:left="318"/>
        <w:rPr>
          <w:bCs/>
        </w:rPr>
      </w:pPr>
      <w:r w:rsidRPr="00636B05">
        <w:t>Online information</w:t>
      </w:r>
    </w:p>
    <w:p w14:paraId="3A6F4421" w14:textId="037A265D" w:rsidR="00996C17" w:rsidRPr="00996C17" w:rsidRDefault="00996C17" w:rsidP="00996C17">
      <w:pPr>
        <w:rPr>
          <w:rFonts w:eastAsia="Arial Unicode MS"/>
        </w:rPr>
      </w:pPr>
      <w:r w:rsidRPr="00996C17">
        <w:br w:type="page"/>
      </w:r>
    </w:p>
    <w:p w14:paraId="001E6281" w14:textId="77777777" w:rsidR="00CF02AF" w:rsidRPr="00996C17" w:rsidRDefault="00CF02AF" w:rsidP="00996C17">
      <w:pPr>
        <w:sectPr w:rsidR="00CF02AF" w:rsidRPr="00996C17" w:rsidSect="00CF02AF">
          <w:type w:val="continuous"/>
          <w:pgSz w:w="11907" w:h="16840" w:code="9"/>
          <w:pgMar w:top="1134" w:right="1134" w:bottom="1134" w:left="1134" w:header="567" w:footer="851" w:gutter="0"/>
          <w:cols w:num="2" w:space="708"/>
          <w:docGrid w:linePitch="360"/>
        </w:sectPr>
      </w:pPr>
    </w:p>
    <w:p w14:paraId="56D001D0" w14:textId="3AC88A52" w:rsidR="00CF02AF" w:rsidRPr="00636B05" w:rsidRDefault="00CF02AF" w:rsidP="00B4797D">
      <w:pPr>
        <w:pStyle w:val="Archetype"/>
      </w:pPr>
      <w:r w:rsidRPr="00636B05">
        <w:lastRenderedPageBreak/>
        <w:t>Archetype 2: Preventative H</w:t>
      </w:r>
      <w:r>
        <w:t xml:space="preserve">ome </w:t>
      </w:r>
      <w:r w:rsidRPr="00636B05">
        <w:t>M</w:t>
      </w:r>
      <w:r>
        <w:t>odifications</w:t>
      </w:r>
    </w:p>
    <w:p w14:paraId="3D62F261" w14:textId="77777777" w:rsidR="00996C17" w:rsidRDefault="00996C17" w:rsidP="00CF02AF">
      <w:pPr>
        <w:pStyle w:val="Paragraph"/>
        <w:sectPr w:rsidR="00996C17" w:rsidSect="00CF02AF">
          <w:type w:val="continuous"/>
          <w:pgSz w:w="11907" w:h="16840" w:code="9"/>
          <w:pgMar w:top="1134" w:right="1134" w:bottom="1134" w:left="1134" w:header="567" w:footer="851" w:gutter="0"/>
          <w:cols w:space="708"/>
          <w:docGrid w:linePitch="360"/>
        </w:sectPr>
      </w:pPr>
    </w:p>
    <w:p w14:paraId="7F865150" w14:textId="682857DF" w:rsidR="00CF02AF" w:rsidRPr="00636B05" w:rsidRDefault="00F33447" w:rsidP="00CF02AF">
      <w:pPr>
        <w:pStyle w:val="Paragraph"/>
      </w:pPr>
      <w:r>
        <w:t>Mrs </w:t>
      </w:r>
      <w:r w:rsidR="00CF02AF">
        <w:t>Y</w:t>
      </w:r>
      <w:r w:rsidR="00CF02AF" w:rsidRPr="00636B05">
        <w:t xml:space="preserve"> is 73 years old and lives in her own home that she and her husband built 40 years ago.</w:t>
      </w:r>
      <w:r w:rsidR="00CF02AF">
        <w:t xml:space="preserve"> </w:t>
      </w:r>
      <w:r w:rsidR="00CF02AF" w:rsidRPr="00636B05">
        <w:t>Her husband has since passed away and she lives alone.</w:t>
      </w:r>
      <w:r w:rsidR="00CF02AF">
        <w:t xml:space="preserve"> </w:t>
      </w:r>
      <w:r w:rsidR="00CF02AF" w:rsidRPr="00636B05">
        <w:t xml:space="preserve">Despite being in good health generally, </w:t>
      </w:r>
      <w:r>
        <w:t>Mrs </w:t>
      </w:r>
      <w:r w:rsidR="00CF02AF">
        <w:t>Y</w:t>
      </w:r>
      <w:r w:rsidR="00CF02AF" w:rsidRPr="00636B05">
        <w:t xml:space="preserve"> recently slipped in the bathroom and had a fall, and with a history of hip problems, her daughter was worried about </w:t>
      </w:r>
      <w:r>
        <w:t>Mrs </w:t>
      </w:r>
      <w:r w:rsidR="00CF02AF">
        <w:t>Y</w:t>
      </w:r>
      <w:r w:rsidR="00CF02AF" w:rsidRPr="00636B05">
        <w:t>’s general safety.</w:t>
      </w:r>
      <w:r w:rsidR="00CF02AF">
        <w:t xml:space="preserve"> </w:t>
      </w:r>
      <w:r w:rsidR="00CF02AF" w:rsidRPr="00636B05">
        <w:t xml:space="preserve">Her daughter also noticed that </w:t>
      </w:r>
      <w:r>
        <w:t>Mrs </w:t>
      </w:r>
      <w:r w:rsidR="00CF02AF">
        <w:t>Y</w:t>
      </w:r>
      <w:r w:rsidR="00CF02AF" w:rsidRPr="00636B05">
        <w:t xml:space="preserve"> is also beginning to have trouble climbing the large single step at her front doorway.</w:t>
      </w:r>
      <w:r w:rsidR="00CF02AF">
        <w:t xml:space="preserve"> </w:t>
      </w:r>
      <w:r>
        <w:t>Mrs </w:t>
      </w:r>
      <w:r w:rsidR="00CF02AF">
        <w:t>Y</w:t>
      </w:r>
      <w:r w:rsidR="00CF02AF" w:rsidRPr="00636B05">
        <w:t xml:space="preserve"> is very independent and does not receive any services, assistance or pensions from the government. </w:t>
      </w:r>
    </w:p>
    <w:p w14:paraId="5EEA756D" w14:textId="51281C2B" w:rsidR="00CF02AF" w:rsidRPr="00636B05" w:rsidRDefault="00CF02AF" w:rsidP="00CF02AF">
      <w:pPr>
        <w:pStyle w:val="Paragraph"/>
      </w:pPr>
      <w:r w:rsidRPr="00636B05">
        <w:t xml:space="preserve">After a family discussion about their concerns, </w:t>
      </w:r>
      <w:r w:rsidR="00F33447">
        <w:t>Mrs </w:t>
      </w:r>
      <w:r>
        <w:t>Y</w:t>
      </w:r>
      <w:r w:rsidRPr="00636B05">
        <w:t xml:space="preserve">’s </w:t>
      </w:r>
      <w:r>
        <w:t>daughter</w:t>
      </w:r>
      <w:r w:rsidRPr="00636B05">
        <w:t xml:space="preserve"> found information on specific DIY fall-prevention bathroom modifications and ramps.</w:t>
      </w:r>
      <w:r>
        <w:t xml:space="preserve"> </w:t>
      </w:r>
      <w:r w:rsidR="00F33447">
        <w:t>Mrs </w:t>
      </w:r>
      <w:r>
        <w:t>Y</w:t>
      </w:r>
      <w:r w:rsidRPr="00636B05">
        <w:t xml:space="preserve">’s </w:t>
      </w:r>
      <w:r>
        <w:t>daughter</w:t>
      </w:r>
      <w:r w:rsidRPr="00636B05">
        <w:t xml:space="preserve"> has some basic carpentry skills and after discussing with </w:t>
      </w:r>
      <w:r w:rsidR="00F33447">
        <w:t>Mrs </w:t>
      </w:r>
      <w:r>
        <w:t>Y</w:t>
      </w:r>
      <w:r w:rsidRPr="00636B05">
        <w:t xml:space="preserve"> </w:t>
      </w:r>
      <w:r>
        <w:t>s</w:t>
      </w:r>
      <w:r w:rsidRPr="00636B05">
        <w:t>he installed a single-step small ramp and handrails to her front doorway, added slip-resistant coating to her bathroom floor tiles, and a grab rail by her toilet.</w:t>
      </w:r>
    </w:p>
    <w:p w14:paraId="63A7D11B" w14:textId="068F6580" w:rsidR="00CF02AF" w:rsidRPr="00636B05" w:rsidRDefault="00F33447" w:rsidP="00E031D3">
      <w:pPr>
        <w:pStyle w:val="Paragraph"/>
      </w:pPr>
      <w:r>
        <w:t>Mrs </w:t>
      </w:r>
      <w:r w:rsidR="00CF02AF">
        <w:t>Y</w:t>
      </w:r>
      <w:r w:rsidR="00CF02AF" w:rsidRPr="00636B05">
        <w:t xml:space="preserve"> was happy to have the renovations done on her home as they made it easier for her to move around and gave her some peace of mind.</w:t>
      </w:r>
      <w:r w:rsidR="00CF02AF">
        <w:t xml:space="preserve"> </w:t>
      </w:r>
    </w:p>
    <w:p w14:paraId="380DD1F9" w14:textId="3AF6D3F5" w:rsidR="00CF02AF" w:rsidRPr="00636B05" w:rsidRDefault="00996C17" w:rsidP="00BC3F7D">
      <w:pPr>
        <w:pStyle w:val="Subhead1"/>
      </w:pPr>
      <w:r>
        <w:br w:type="column"/>
      </w:r>
      <w:r w:rsidR="00CF02AF" w:rsidRPr="00636B05">
        <w:t>AT Products</w:t>
      </w:r>
    </w:p>
    <w:p w14:paraId="053D1D25" w14:textId="77777777" w:rsidR="00CF02AF" w:rsidRPr="00636B05" w:rsidRDefault="00CF02AF" w:rsidP="00FB2F79">
      <w:pPr>
        <w:pStyle w:val="TableBullet1"/>
      </w:pPr>
      <w:r w:rsidRPr="00636B05">
        <w:t>Grab rails</w:t>
      </w:r>
    </w:p>
    <w:p w14:paraId="1493C632" w14:textId="77777777" w:rsidR="00CF02AF" w:rsidRPr="00636B05" w:rsidRDefault="00CF02AF" w:rsidP="00FB2F79">
      <w:pPr>
        <w:pStyle w:val="TableBullet1"/>
      </w:pPr>
      <w:r w:rsidRPr="00636B05">
        <w:t>Handrails at steps to home</w:t>
      </w:r>
    </w:p>
    <w:p w14:paraId="04273705" w14:textId="77777777" w:rsidR="00CF02AF" w:rsidRPr="00636B05" w:rsidRDefault="00CF02AF" w:rsidP="00FB2F79">
      <w:pPr>
        <w:pStyle w:val="TableBullet1"/>
      </w:pPr>
      <w:r w:rsidRPr="00636B05">
        <w:t>Rubber ramp</w:t>
      </w:r>
    </w:p>
    <w:p w14:paraId="6F767FE6" w14:textId="1EA1D53D" w:rsidR="00CF02AF" w:rsidRPr="00636B05" w:rsidRDefault="00CF02AF" w:rsidP="00BC3F7D">
      <w:pPr>
        <w:pStyle w:val="Subhead1"/>
      </w:pPr>
      <w:r w:rsidRPr="00636B05">
        <w:t>AT Services</w:t>
      </w:r>
    </w:p>
    <w:p w14:paraId="30158687" w14:textId="77777777" w:rsidR="00CF02AF" w:rsidRPr="001503F0" w:rsidRDefault="00CF02AF" w:rsidP="00F426CF">
      <w:pPr>
        <w:pStyle w:val="TableBullet1"/>
      </w:pPr>
      <w:r w:rsidRPr="00636B05">
        <w:t>Online information</w:t>
      </w:r>
    </w:p>
    <w:p w14:paraId="7713BA9A" w14:textId="15C6203D" w:rsidR="00996C17" w:rsidRDefault="00996C17">
      <w:pPr>
        <w:rPr>
          <w:b/>
          <w:color w:val="404142" w:themeColor="background2" w:themeShade="80"/>
          <w:lang w:eastAsia="en-US"/>
        </w:rPr>
      </w:pPr>
      <w:r>
        <w:br w:type="page"/>
      </w:r>
    </w:p>
    <w:p w14:paraId="6CCF856C" w14:textId="77777777" w:rsidR="00CF02AF" w:rsidRDefault="00CF02AF" w:rsidP="00FB2F79">
      <w:pPr>
        <w:pStyle w:val="TableHeading2"/>
        <w:sectPr w:rsidR="00CF02AF" w:rsidSect="00CF02AF">
          <w:type w:val="continuous"/>
          <w:pgSz w:w="11907" w:h="16840" w:code="9"/>
          <w:pgMar w:top="1134" w:right="1134" w:bottom="1134" w:left="1134" w:header="567" w:footer="851" w:gutter="0"/>
          <w:cols w:num="2" w:space="708"/>
          <w:docGrid w:linePitch="360"/>
        </w:sectPr>
      </w:pPr>
    </w:p>
    <w:p w14:paraId="36A4B31A" w14:textId="5A776334" w:rsidR="00CF02AF" w:rsidRPr="00636B05" w:rsidRDefault="00CF02AF" w:rsidP="00B4797D">
      <w:pPr>
        <w:pStyle w:val="Archetype"/>
      </w:pPr>
      <w:r w:rsidRPr="00636B05">
        <w:lastRenderedPageBreak/>
        <w:t xml:space="preserve">Archetype 3: AT </w:t>
      </w:r>
      <w:r w:rsidRPr="00CA184D">
        <w:t>assessment</w:t>
      </w:r>
      <w:r w:rsidRPr="00636B05">
        <w:t xml:space="preserve"> only</w:t>
      </w:r>
    </w:p>
    <w:p w14:paraId="7CC1F9F7" w14:textId="77777777" w:rsidR="00996C17" w:rsidRDefault="00996C17" w:rsidP="00F426CF">
      <w:pPr>
        <w:pStyle w:val="TableText"/>
        <w:sectPr w:rsidR="00996C17" w:rsidSect="00CF02AF">
          <w:type w:val="continuous"/>
          <w:pgSz w:w="11907" w:h="16840" w:code="9"/>
          <w:pgMar w:top="1134" w:right="1134" w:bottom="1134" w:left="1134" w:header="567" w:footer="851" w:gutter="0"/>
          <w:cols w:space="708"/>
          <w:docGrid w:linePitch="360"/>
        </w:sectPr>
      </w:pPr>
    </w:p>
    <w:p w14:paraId="7A04446B" w14:textId="448882B1" w:rsidR="00CF02AF" w:rsidRPr="00636B05" w:rsidRDefault="00F33447" w:rsidP="00F426CF">
      <w:pPr>
        <w:pStyle w:val="TableText"/>
      </w:pPr>
      <w:r>
        <w:t>Mr </w:t>
      </w:r>
      <w:r w:rsidR="00CF02AF">
        <w:t>X</w:t>
      </w:r>
      <w:r w:rsidR="00CF02AF" w:rsidRPr="00636B05">
        <w:t>, aged 71, takes medications and rests when needed.</w:t>
      </w:r>
      <w:r w:rsidR="00CF02AF">
        <w:t xml:space="preserve"> </w:t>
      </w:r>
      <w:r w:rsidR="00CF02AF" w:rsidRPr="00636B05">
        <w:t>He exercises daily and maintains a healthy diet.</w:t>
      </w:r>
      <w:r w:rsidR="00CF02AF">
        <w:t xml:space="preserve"> </w:t>
      </w:r>
      <w:r w:rsidR="00CF02AF" w:rsidRPr="00636B05">
        <w:t>He lives alone and has a good circle of friends.</w:t>
      </w:r>
      <w:r w:rsidR="00CF02AF">
        <w:t xml:space="preserve"> </w:t>
      </w:r>
      <w:r w:rsidR="00CF02AF" w:rsidRPr="00636B05">
        <w:t>He is independent and manages his daily living tasks himself.</w:t>
      </w:r>
    </w:p>
    <w:p w14:paraId="10C1C53E" w14:textId="77777777" w:rsidR="00CF02AF" w:rsidRPr="00636B05" w:rsidRDefault="00CF02AF" w:rsidP="00F426CF">
      <w:pPr>
        <w:pStyle w:val="TableText"/>
      </w:pPr>
      <w:r w:rsidRPr="00636B05">
        <w:t xml:space="preserve">He gets some assistance with his shopping through a local service and has a private cleaner who comes in every fortnight. </w:t>
      </w:r>
    </w:p>
    <w:p w14:paraId="5940FE22" w14:textId="77777777" w:rsidR="00B34892" w:rsidRDefault="00B34892" w:rsidP="00B34892">
      <w:pPr>
        <w:rPr>
          <w:b/>
          <w:sz w:val="28"/>
          <w:szCs w:val="28"/>
        </w:rPr>
      </w:pPr>
    </w:p>
    <w:p w14:paraId="7B4FD344" w14:textId="0B305BDE" w:rsidR="00996C17" w:rsidRPr="00B34892" w:rsidRDefault="00CF02AF" w:rsidP="00B34892">
      <w:pPr>
        <w:rPr>
          <w:b/>
          <w:sz w:val="28"/>
          <w:szCs w:val="28"/>
        </w:rPr>
      </w:pPr>
      <w:r w:rsidRPr="00B34892">
        <w:rPr>
          <w:b/>
          <w:sz w:val="28"/>
          <w:szCs w:val="28"/>
        </w:rPr>
        <w:t>Condition:</w:t>
      </w:r>
    </w:p>
    <w:p w14:paraId="6AB11DDF" w14:textId="44501FE8" w:rsidR="00CF02AF" w:rsidRPr="00636B05" w:rsidRDefault="00F33447" w:rsidP="00CF02AF">
      <w:pPr>
        <w:pStyle w:val="Paragraph"/>
      </w:pPr>
      <w:r>
        <w:t>Mr </w:t>
      </w:r>
      <w:r w:rsidR="00CF02AF">
        <w:t>X</w:t>
      </w:r>
      <w:r w:rsidR="00CF02AF" w:rsidRPr="00636B05">
        <w:t xml:space="preserve"> is experiencing increasing mobility issues that leave him prone to slips and falls.</w:t>
      </w:r>
      <w:r w:rsidR="00CF02AF">
        <w:t xml:space="preserve"> </w:t>
      </w:r>
      <w:r w:rsidR="00CF02AF" w:rsidRPr="00636B05">
        <w:t xml:space="preserve">However, </w:t>
      </w:r>
      <w:r>
        <w:t>Mr </w:t>
      </w:r>
      <w:r w:rsidR="00CF02AF">
        <w:t>X</w:t>
      </w:r>
      <w:r w:rsidR="00CF02AF" w:rsidRPr="00636B05">
        <w:t xml:space="preserve"> does not consider himself frail and does not accept that he needs any support from aged care programs.</w:t>
      </w:r>
      <w:r w:rsidR="00CF02AF">
        <w:t xml:space="preserve"> </w:t>
      </w:r>
      <w:r w:rsidR="00CF02AF" w:rsidRPr="00636B05">
        <w:t>He heard from friends that he could get an independent consultation to look at AT options, particularly mobility aids.</w:t>
      </w:r>
      <w:r w:rsidR="00CF02AF">
        <w:t xml:space="preserve"> </w:t>
      </w:r>
      <w:r w:rsidR="00CF02AF" w:rsidRPr="00636B05">
        <w:t>He visited an Independent Living Centre and an allied health professional conducted a gait assessment.</w:t>
      </w:r>
    </w:p>
    <w:p w14:paraId="21DFDC2D" w14:textId="1A3C6915" w:rsidR="00996C17" w:rsidRPr="00996C17" w:rsidRDefault="00E031D3" w:rsidP="00B34892">
      <w:r>
        <w:br w:type="column"/>
      </w:r>
      <w:r w:rsidR="00CF02AF" w:rsidRPr="00B34892">
        <w:rPr>
          <w:b/>
          <w:sz w:val="28"/>
          <w:szCs w:val="28"/>
        </w:rPr>
        <w:t>Recommendation:</w:t>
      </w:r>
    </w:p>
    <w:p w14:paraId="07F3C32D" w14:textId="453F20F3" w:rsidR="00CF02AF" w:rsidRPr="00636B05" w:rsidRDefault="00CF02AF" w:rsidP="00996C17">
      <w:pPr>
        <w:pStyle w:val="Paragraph"/>
      </w:pPr>
      <w:r w:rsidRPr="00636B05">
        <w:t>A four-wheeled walker.</w:t>
      </w:r>
    </w:p>
    <w:p w14:paraId="2D93442E" w14:textId="72D85813" w:rsidR="00CF02AF" w:rsidRPr="00B34892" w:rsidRDefault="00CF02AF" w:rsidP="00B34892">
      <w:pPr>
        <w:rPr>
          <w:b/>
          <w:sz w:val="28"/>
          <w:szCs w:val="28"/>
        </w:rPr>
      </w:pPr>
      <w:r w:rsidRPr="00B34892">
        <w:rPr>
          <w:b/>
          <w:sz w:val="28"/>
          <w:szCs w:val="28"/>
        </w:rPr>
        <w:t>AT Product</w:t>
      </w:r>
    </w:p>
    <w:p w14:paraId="05AB6059" w14:textId="77777777" w:rsidR="00CF02AF" w:rsidRPr="00F426CF" w:rsidRDefault="00CF02AF" w:rsidP="00F426CF">
      <w:pPr>
        <w:pStyle w:val="TableBullet1"/>
      </w:pPr>
      <w:r w:rsidRPr="00F426CF">
        <w:t>Four-wheeled walker</w:t>
      </w:r>
    </w:p>
    <w:p w14:paraId="4781ECB7" w14:textId="77777777" w:rsidR="00B34892" w:rsidRDefault="00B34892" w:rsidP="00B34892">
      <w:pPr>
        <w:rPr>
          <w:b/>
          <w:sz w:val="28"/>
          <w:szCs w:val="28"/>
        </w:rPr>
      </w:pPr>
    </w:p>
    <w:p w14:paraId="1A9BDC53" w14:textId="134E8CF2" w:rsidR="00CF02AF" w:rsidRPr="00B34892" w:rsidRDefault="00CF02AF" w:rsidP="00B34892">
      <w:pPr>
        <w:rPr>
          <w:b/>
          <w:sz w:val="28"/>
          <w:szCs w:val="28"/>
        </w:rPr>
      </w:pPr>
      <w:r w:rsidRPr="00B34892">
        <w:rPr>
          <w:b/>
          <w:sz w:val="28"/>
          <w:szCs w:val="28"/>
        </w:rPr>
        <w:t>AT Services</w:t>
      </w:r>
    </w:p>
    <w:p w14:paraId="68601326" w14:textId="26FB0289" w:rsidR="00CF02AF" w:rsidRPr="00F426CF" w:rsidRDefault="00CF02AF" w:rsidP="00F426CF">
      <w:pPr>
        <w:pStyle w:val="TableBullet1"/>
      </w:pPr>
      <w:r w:rsidRPr="00F426CF">
        <w:t>AT consultation</w:t>
      </w:r>
      <w:r w:rsidR="00861912">
        <w:t xml:space="preserve"> – </w:t>
      </w:r>
      <w:r w:rsidRPr="00F426CF">
        <w:t>for example, by an Independent Living Centre, or by an allied health professional qualified to conduct a gait assessment or triaged by customer service staff trained to identify gait indicators that require allied health input (could be fully subsidised or paid for by the consumer, but provided outside of aged care).</w:t>
      </w:r>
    </w:p>
    <w:p w14:paraId="4C2500F4" w14:textId="0D76D0E1" w:rsidR="00E031D3" w:rsidRPr="00E031D3" w:rsidRDefault="00E031D3" w:rsidP="00E031D3"/>
    <w:p w14:paraId="50F01A53" w14:textId="77777777" w:rsidR="00CF02AF" w:rsidRPr="00E031D3" w:rsidRDefault="00CF02AF" w:rsidP="00E031D3">
      <w:pPr>
        <w:sectPr w:rsidR="00CF02AF" w:rsidRPr="00E031D3" w:rsidSect="00CF02AF">
          <w:type w:val="continuous"/>
          <w:pgSz w:w="11907" w:h="16840" w:code="9"/>
          <w:pgMar w:top="1134" w:right="1134" w:bottom="1134" w:left="1134" w:header="567" w:footer="851" w:gutter="0"/>
          <w:cols w:num="2" w:space="708"/>
          <w:docGrid w:linePitch="360"/>
        </w:sectPr>
      </w:pPr>
    </w:p>
    <w:p w14:paraId="230D4670" w14:textId="0A4BFD54" w:rsidR="00CF02AF" w:rsidRPr="00636B05" w:rsidRDefault="00CF02AF" w:rsidP="00B4797D">
      <w:pPr>
        <w:pStyle w:val="Archetype"/>
      </w:pPr>
      <w:r w:rsidRPr="00636B05">
        <w:t>Archetype 4: CHSP AT only</w:t>
      </w:r>
    </w:p>
    <w:p w14:paraId="3513E87B" w14:textId="77777777" w:rsidR="00E031D3" w:rsidRDefault="00E031D3" w:rsidP="00CF02AF">
      <w:pPr>
        <w:pStyle w:val="Paragraph"/>
        <w:sectPr w:rsidR="00E031D3" w:rsidSect="00E031D3">
          <w:type w:val="continuous"/>
          <w:pgSz w:w="11907" w:h="16840" w:code="9"/>
          <w:pgMar w:top="1134" w:right="1134" w:bottom="1134" w:left="1134" w:header="567" w:footer="851" w:gutter="0"/>
          <w:cols w:space="708"/>
          <w:docGrid w:linePitch="360"/>
        </w:sectPr>
      </w:pPr>
    </w:p>
    <w:p w14:paraId="65E5A9E7" w14:textId="58FD110F" w:rsidR="00CF02AF" w:rsidRPr="00636B05" w:rsidRDefault="00F33447" w:rsidP="00CF02AF">
      <w:pPr>
        <w:pStyle w:val="Paragraph"/>
      </w:pPr>
      <w:r>
        <w:t>Mrs </w:t>
      </w:r>
      <w:r w:rsidR="00CF02AF">
        <w:t>W</w:t>
      </w:r>
      <w:r w:rsidR="00CF02AF" w:rsidRPr="00636B05">
        <w:t>, aged 68, contacted My Aged Care because she was concerned about her independence.</w:t>
      </w:r>
      <w:r w:rsidR="00CF02AF">
        <w:t xml:space="preserve"> </w:t>
      </w:r>
      <w:r w:rsidR="00CF02AF" w:rsidRPr="00636B05">
        <w:t xml:space="preserve">She currently uses a walker but says she has increasing </w:t>
      </w:r>
      <w:r w:rsidR="00B34892">
        <w:t xml:space="preserve">problems </w:t>
      </w:r>
      <w:r w:rsidR="00CF02AF" w:rsidRPr="00636B05">
        <w:t>getting around her home.</w:t>
      </w:r>
      <w:r w:rsidR="00CF02AF">
        <w:t xml:space="preserve"> </w:t>
      </w:r>
      <w:r w:rsidR="00CF02AF" w:rsidRPr="00636B05">
        <w:t xml:space="preserve">She does not want to relocate and would like someone to come and see how they can help her. </w:t>
      </w:r>
    </w:p>
    <w:p w14:paraId="21E94B1A" w14:textId="77777777" w:rsidR="00E031D3" w:rsidRPr="00B34892" w:rsidRDefault="00CF02AF" w:rsidP="00B34892">
      <w:pPr>
        <w:rPr>
          <w:b/>
          <w:sz w:val="28"/>
          <w:szCs w:val="28"/>
        </w:rPr>
      </w:pPr>
      <w:r w:rsidRPr="00B34892">
        <w:rPr>
          <w:b/>
          <w:sz w:val="28"/>
          <w:szCs w:val="28"/>
        </w:rPr>
        <w:t>Condition:</w:t>
      </w:r>
    </w:p>
    <w:p w14:paraId="3298118E" w14:textId="22C01574" w:rsidR="00CF02AF" w:rsidRPr="00636B05" w:rsidRDefault="00F33447" w:rsidP="00CF02AF">
      <w:pPr>
        <w:pStyle w:val="Paragraph"/>
      </w:pPr>
      <w:r>
        <w:t>Mrs </w:t>
      </w:r>
      <w:r w:rsidR="00CF02AF">
        <w:t>W</w:t>
      </w:r>
      <w:r w:rsidR="00CF02AF" w:rsidRPr="00636B05">
        <w:t xml:space="preserve"> has chronic pain in her back, which limits her abilities to complete any strenuous activities, and she cannot walk far before she has to stop and rest.</w:t>
      </w:r>
      <w:r w:rsidR="00CF02AF">
        <w:t xml:space="preserve"> </w:t>
      </w:r>
      <w:r w:rsidR="00CF02AF" w:rsidRPr="00636B05">
        <w:t>She has to bend over to use a walker and this causes pain.</w:t>
      </w:r>
    </w:p>
    <w:p w14:paraId="0EE64E47" w14:textId="3CFBDD52" w:rsidR="00CF02AF" w:rsidRPr="00636B05" w:rsidRDefault="00CF02AF" w:rsidP="00CF02AF">
      <w:pPr>
        <w:pStyle w:val="Paragraph"/>
      </w:pPr>
      <w:r w:rsidRPr="00996C17">
        <w:t>Back problems:</w:t>
      </w:r>
      <w:r w:rsidRPr="00636B05">
        <w:t xml:space="preserve"> </w:t>
      </w:r>
      <w:r>
        <w:t>D</w:t>
      </w:r>
      <w:r w:rsidRPr="00636B05">
        <w:t>orsopathies (includes scoliosis, sciatica); stroke (CVA)-cerebrovascular accident; abnormalities of gait and mobility (includes ataxic and spastic gait, difficulty in walking); other heart diseases (AF); chronic lower respiratory diseases (includes emphysema).</w:t>
      </w:r>
    </w:p>
    <w:p w14:paraId="60FBB21F" w14:textId="12CE2DC3" w:rsidR="00E031D3" w:rsidRPr="00B34892" w:rsidRDefault="00E031D3" w:rsidP="00B34892">
      <w:pPr>
        <w:rPr>
          <w:b/>
          <w:sz w:val="28"/>
          <w:szCs w:val="28"/>
        </w:rPr>
      </w:pPr>
      <w:r>
        <w:br w:type="column"/>
      </w:r>
      <w:r w:rsidR="00CF02AF" w:rsidRPr="00B34892">
        <w:rPr>
          <w:b/>
          <w:sz w:val="28"/>
          <w:szCs w:val="28"/>
        </w:rPr>
        <w:t>Recommendation:</w:t>
      </w:r>
    </w:p>
    <w:p w14:paraId="5854C5AC" w14:textId="5245F603" w:rsidR="00CF02AF" w:rsidRPr="00636B05" w:rsidRDefault="00CF02AF" w:rsidP="00E031D3">
      <w:pPr>
        <w:pStyle w:val="Paragraph"/>
        <w:rPr>
          <w:rFonts w:cstheme="minorHAnsi"/>
        </w:rPr>
      </w:pPr>
      <w:r w:rsidRPr="00636B05">
        <w:t>Referred for allied health assessment for support and mobility aids</w:t>
      </w:r>
      <w:r w:rsidR="00C83C37">
        <w:t>.</w:t>
      </w:r>
    </w:p>
    <w:p w14:paraId="47304B53" w14:textId="3FD58B2A" w:rsidR="00CF02AF" w:rsidRPr="00B34892" w:rsidRDefault="00CF02AF" w:rsidP="00B34892">
      <w:pPr>
        <w:rPr>
          <w:b/>
          <w:sz w:val="28"/>
          <w:szCs w:val="28"/>
        </w:rPr>
      </w:pPr>
      <w:r w:rsidRPr="00B34892">
        <w:rPr>
          <w:b/>
          <w:sz w:val="28"/>
          <w:szCs w:val="28"/>
        </w:rPr>
        <w:t>AT Products</w:t>
      </w:r>
    </w:p>
    <w:p w14:paraId="22C681F3" w14:textId="77777777" w:rsidR="00CF02AF" w:rsidRPr="00636B05" w:rsidRDefault="00CF02AF" w:rsidP="00FB2F79">
      <w:pPr>
        <w:pStyle w:val="TableBullet1"/>
      </w:pPr>
      <w:r w:rsidRPr="00636B05">
        <w:t>Kitchen trolley</w:t>
      </w:r>
    </w:p>
    <w:p w14:paraId="3474161A" w14:textId="77777777" w:rsidR="00CF02AF" w:rsidRPr="00636B05" w:rsidRDefault="00CF02AF" w:rsidP="00FB2F79">
      <w:pPr>
        <w:pStyle w:val="TableBullet1"/>
      </w:pPr>
      <w:r w:rsidRPr="00636B05">
        <w:t>Propping stool</w:t>
      </w:r>
    </w:p>
    <w:p w14:paraId="6480C094" w14:textId="77777777" w:rsidR="00CF02AF" w:rsidRPr="00636B05" w:rsidRDefault="00CF02AF" w:rsidP="00FB2F79">
      <w:pPr>
        <w:pStyle w:val="TableBullet1"/>
      </w:pPr>
      <w:r w:rsidRPr="00636B05">
        <w:t>Bathroom modifications</w:t>
      </w:r>
    </w:p>
    <w:p w14:paraId="3A68E580" w14:textId="77777777" w:rsidR="00CF02AF" w:rsidRPr="00636B05" w:rsidRDefault="00CF02AF" w:rsidP="00FB2F79">
      <w:pPr>
        <w:pStyle w:val="TableBullet1"/>
      </w:pPr>
      <w:r w:rsidRPr="00636B05">
        <w:t>Shower stool</w:t>
      </w:r>
    </w:p>
    <w:p w14:paraId="65394361" w14:textId="77777777" w:rsidR="00CF02AF" w:rsidRPr="00636B05" w:rsidRDefault="00CF02AF" w:rsidP="00FB2F79">
      <w:pPr>
        <w:pStyle w:val="TableBullet1"/>
      </w:pPr>
      <w:r w:rsidRPr="00636B05">
        <w:t>Dressing stool</w:t>
      </w:r>
    </w:p>
    <w:p w14:paraId="60DABEF2" w14:textId="77777777" w:rsidR="00CF02AF" w:rsidRPr="00636B05" w:rsidRDefault="00CF02AF" w:rsidP="00FB2F79">
      <w:pPr>
        <w:pStyle w:val="TableBullet1"/>
      </w:pPr>
      <w:r w:rsidRPr="00636B05">
        <w:t>Review bed and chair transfers</w:t>
      </w:r>
    </w:p>
    <w:p w14:paraId="42DC3A88" w14:textId="77777777" w:rsidR="00CF02AF" w:rsidRPr="00636B05" w:rsidRDefault="00CF02AF" w:rsidP="00FB2F79">
      <w:pPr>
        <w:pStyle w:val="TableBullet1"/>
      </w:pPr>
      <w:r w:rsidRPr="00636B05">
        <w:t>Long-handled reachers</w:t>
      </w:r>
    </w:p>
    <w:p w14:paraId="15BE4D79" w14:textId="77777777" w:rsidR="00CF02AF" w:rsidRPr="00636B05" w:rsidRDefault="00CF02AF" w:rsidP="00FB2F79">
      <w:pPr>
        <w:pStyle w:val="TableBullet1"/>
        <w:rPr>
          <w:b/>
        </w:rPr>
      </w:pPr>
      <w:r w:rsidRPr="00636B05">
        <w:t>Footcare</w:t>
      </w:r>
    </w:p>
    <w:p w14:paraId="5BE95E91" w14:textId="77777777" w:rsidR="00B34892" w:rsidRDefault="00B34892" w:rsidP="00B34892">
      <w:pPr>
        <w:rPr>
          <w:b/>
          <w:sz w:val="28"/>
          <w:szCs w:val="28"/>
        </w:rPr>
      </w:pPr>
    </w:p>
    <w:p w14:paraId="40AEDB2C" w14:textId="182EF13D" w:rsidR="00CF02AF" w:rsidRPr="00B34892" w:rsidRDefault="00CF02AF" w:rsidP="00B34892">
      <w:pPr>
        <w:rPr>
          <w:b/>
          <w:sz w:val="28"/>
          <w:szCs w:val="28"/>
        </w:rPr>
      </w:pPr>
      <w:r w:rsidRPr="00B34892">
        <w:rPr>
          <w:b/>
          <w:sz w:val="28"/>
          <w:szCs w:val="28"/>
        </w:rPr>
        <w:t>AT Services</w:t>
      </w:r>
    </w:p>
    <w:p w14:paraId="0F1AF404" w14:textId="77777777" w:rsidR="00CF02AF" w:rsidRPr="00636B05" w:rsidRDefault="00CF02AF" w:rsidP="00F426CF">
      <w:pPr>
        <w:pStyle w:val="TableBullet1"/>
      </w:pPr>
      <w:r w:rsidRPr="00636B05">
        <w:t xml:space="preserve">Allied health assessment </w:t>
      </w:r>
    </w:p>
    <w:p w14:paraId="53C741E8" w14:textId="0F1C203A" w:rsidR="00E031D3" w:rsidRDefault="00E031D3">
      <w:bookmarkStart w:id="180" w:name="_Ref34652018"/>
      <w:r>
        <w:br w:type="page"/>
      </w:r>
    </w:p>
    <w:p w14:paraId="450D000D" w14:textId="77777777" w:rsidR="00CF02AF" w:rsidRDefault="00CF02AF" w:rsidP="0031014A">
      <w:pPr>
        <w:sectPr w:rsidR="00CF02AF" w:rsidSect="00CF02AF">
          <w:type w:val="continuous"/>
          <w:pgSz w:w="11907" w:h="16840" w:code="9"/>
          <w:pgMar w:top="1134" w:right="1134" w:bottom="1134" w:left="1134" w:header="567" w:footer="851" w:gutter="0"/>
          <w:cols w:num="2" w:space="708"/>
          <w:docGrid w:linePitch="360"/>
        </w:sectPr>
      </w:pPr>
    </w:p>
    <w:p w14:paraId="0F329B79" w14:textId="39ADB8F1" w:rsidR="0031014A" w:rsidRPr="00636B05" w:rsidRDefault="0031014A" w:rsidP="00B4797D">
      <w:pPr>
        <w:pStyle w:val="Heading6"/>
      </w:pPr>
      <w:bookmarkStart w:id="181" w:name="_Toc40249058"/>
      <w:bookmarkStart w:id="182" w:name="_Toc60999862"/>
      <w:bookmarkEnd w:id="180"/>
      <w:r w:rsidRPr="00636B05">
        <w:lastRenderedPageBreak/>
        <w:t>Archetypes for Moderate limitation</w:t>
      </w:r>
      <w:bookmarkEnd w:id="181"/>
      <w:bookmarkEnd w:id="182"/>
    </w:p>
    <w:p w14:paraId="3D8F6324" w14:textId="77777777" w:rsidR="00CF02AF" w:rsidRPr="00B34892" w:rsidRDefault="00CF02AF" w:rsidP="00B34892">
      <w:pPr>
        <w:rPr>
          <w:b/>
          <w:sz w:val="28"/>
          <w:szCs w:val="28"/>
        </w:rPr>
      </w:pPr>
      <w:r w:rsidRPr="00B34892">
        <w:rPr>
          <w:b/>
          <w:sz w:val="28"/>
          <w:szCs w:val="28"/>
        </w:rPr>
        <w:t>Archetype 5: CHSP Reablement</w:t>
      </w:r>
    </w:p>
    <w:p w14:paraId="2FCB4C89" w14:textId="77777777" w:rsidR="00E031D3" w:rsidRDefault="00E031D3" w:rsidP="00BC3F7D">
      <w:pPr>
        <w:pStyle w:val="ParaKeep"/>
        <w:sectPr w:rsidR="00E031D3" w:rsidSect="00E031D3">
          <w:type w:val="continuous"/>
          <w:pgSz w:w="11907" w:h="16840" w:code="9"/>
          <w:pgMar w:top="1134" w:right="1134" w:bottom="1134" w:left="1134" w:header="567" w:footer="851" w:gutter="0"/>
          <w:cols w:space="708"/>
          <w:docGrid w:linePitch="360"/>
        </w:sectPr>
      </w:pPr>
    </w:p>
    <w:p w14:paraId="3334DB1D" w14:textId="4A83B67F" w:rsidR="00CF02AF" w:rsidRPr="00636B05" w:rsidRDefault="00F33447" w:rsidP="00BC3F7D">
      <w:pPr>
        <w:pStyle w:val="ParaKeep"/>
      </w:pPr>
      <w:r>
        <w:t>Ms </w:t>
      </w:r>
      <w:r w:rsidR="00CF02AF" w:rsidRPr="00636B05">
        <w:t>E, aged 72, contacted My Aged Care and has been referred for assessment due to medical conditions and concern about increasing frailty.</w:t>
      </w:r>
      <w:r w:rsidR="00CF02AF">
        <w:t xml:space="preserve"> </w:t>
      </w:r>
      <w:r>
        <w:t>Ms </w:t>
      </w:r>
      <w:r w:rsidR="00CF02AF" w:rsidRPr="00636B05">
        <w:t>E has been referred by her local GP for a mobility assessment.</w:t>
      </w:r>
      <w:r w:rsidR="00CF02AF">
        <w:t xml:space="preserve"> </w:t>
      </w:r>
      <w:r w:rsidR="00CF02AF" w:rsidRPr="00636B05">
        <w:t>She is concerned about accessing medical appointments out of her local area and would like some support.</w:t>
      </w:r>
      <w:r w:rsidR="00CF02AF">
        <w:t xml:space="preserve"> </w:t>
      </w:r>
      <w:r w:rsidR="00CF02AF" w:rsidRPr="00636B05">
        <w:t>She would also like some information about social group activities.</w:t>
      </w:r>
      <w:r w:rsidR="00CF02AF">
        <w:t xml:space="preserve"> </w:t>
      </w:r>
      <w:r w:rsidR="00CF02AF" w:rsidRPr="00636B05">
        <w:t>She lives with her friend and flatmate in a social housing rental home.</w:t>
      </w:r>
      <w:r w:rsidR="00CF02AF">
        <w:t xml:space="preserve"> </w:t>
      </w:r>
      <w:r w:rsidR="00CF02AF" w:rsidRPr="00636B05">
        <w:t>She enjoys watching TV, reading and the company of her pets.</w:t>
      </w:r>
      <w:r w:rsidR="00CF02AF">
        <w:t xml:space="preserve"> </w:t>
      </w:r>
      <w:r w:rsidR="00CF02AF" w:rsidRPr="00636B05">
        <w:t>She accesses counselling services through a GP health care plan as part of treatment to maintain her emotional wellbeing.</w:t>
      </w:r>
      <w:r w:rsidR="00CF02AF">
        <w:t xml:space="preserve"> </w:t>
      </w:r>
      <w:r w:rsidR="00CF02AF" w:rsidRPr="00636B05">
        <w:t>She would like to join some social group outings that meet her interests and help support her emotional wellbeing.</w:t>
      </w:r>
      <w:r w:rsidR="00CF02AF">
        <w:t xml:space="preserve"> </w:t>
      </w:r>
      <w:r w:rsidR="00CF02AF" w:rsidRPr="00636B05">
        <w:t>She accesses a private lawn-mowing service.</w:t>
      </w:r>
      <w:r w:rsidR="00CF02AF">
        <w:t xml:space="preserve"> </w:t>
      </w:r>
      <w:r w:rsidR="00CF02AF" w:rsidRPr="00636B05">
        <w:t xml:space="preserve">No other support services are currently accessed. </w:t>
      </w:r>
    </w:p>
    <w:p w14:paraId="07433917" w14:textId="77777777" w:rsidR="00E031D3" w:rsidRPr="00B34892" w:rsidRDefault="00CF02AF" w:rsidP="00B34892">
      <w:pPr>
        <w:rPr>
          <w:b/>
          <w:sz w:val="28"/>
          <w:szCs w:val="28"/>
        </w:rPr>
      </w:pPr>
      <w:r w:rsidRPr="00B34892">
        <w:rPr>
          <w:b/>
          <w:sz w:val="28"/>
          <w:szCs w:val="28"/>
        </w:rPr>
        <w:t>Condition</w:t>
      </w:r>
      <w:r w:rsidR="00BC3F7D" w:rsidRPr="00B34892">
        <w:rPr>
          <w:b/>
          <w:sz w:val="28"/>
          <w:szCs w:val="28"/>
        </w:rPr>
        <w:t>:</w:t>
      </w:r>
    </w:p>
    <w:p w14:paraId="1DEC866D" w14:textId="37CFE432" w:rsidR="00CF02AF" w:rsidRPr="00636B05" w:rsidRDefault="00F33447" w:rsidP="00BC3F7D">
      <w:pPr>
        <w:pStyle w:val="ParaKeep"/>
      </w:pPr>
      <w:r>
        <w:t>Ms </w:t>
      </w:r>
      <w:r w:rsidR="00CF02AF" w:rsidRPr="00636B05">
        <w:t xml:space="preserve">E takes prescribed medication to manage hypertension, high cholesterol, reflux, mood, respiratory health, chronic pain and osteoarthritis. </w:t>
      </w:r>
    </w:p>
    <w:p w14:paraId="15EDD3D9" w14:textId="4A309C52" w:rsidR="00CF02AF" w:rsidRPr="00636B05" w:rsidRDefault="00CF02AF" w:rsidP="00F426CF">
      <w:pPr>
        <w:pStyle w:val="TableText"/>
      </w:pPr>
      <w:r w:rsidRPr="00636B05">
        <w:t>In the shower, she utilises rails and a handheld shower head to maintain her independence and safety.</w:t>
      </w:r>
      <w:r>
        <w:t xml:space="preserve"> </w:t>
      </w:r>
      <w:r w:rsidRPr="00636B05">
        <w:t>She moves independently in the home and uses a walking stick when out of the house.</w:t>
      </w:r>
      <w:r>
        <w:t xml:space="preserve"> </w:t>
      </w:r>
      <w:r w:rsidR="00F33447">
        <w:t>Ms </w:t>
      </w:r>
      <w:r w:rsidRPr="00636B05">
        <w:t>E advises that she feels stable on her feet and has not had a fall this year but is cautious when she walks and can only walk short distances.</w:t>
      </w:r>
      <w:r>
        <w:t xml:space="preserve"> </w:t>
      </w:r>
      <w:r w:rsidRPr="00636B05">
        <w:t>She uses a four-wheeled walker for prolonged walking and standing due to chronic pain and shortness of breath.</w:t>
      </w:r>
      <w:r>
        <w:t xml:space="preserve"> </w:t>
      </w:r>
      <w:r w:rsidRPr="00636B05">
        <w:t>She advises that she cannot kneel.</w:t>
      </w:r>
      <w:r>
        <w:t xml:space="preserve"> </w:t>
      </w:r>
      <w:r w:rsidRPr="00636B05">
        <w:t>She drives locally and is independent with grocery shopping, meal preparation, medication management, bills, and mobility transfers.</w:t>
      </w:r>
      <w:r>
        <w:t xml:space="preserve"> </w:t>
      </w:r>
      <w:r w:rsidRPr="00636B05">
        <w:t>She also advises that she manages domestic tasks with modification of tasks and time management, but cannot lift her ar</w:t>
      </w:r>
      <w:r w:rsidR="00F33447">
        <w:t>Ms </w:t>
      </w:r>
      <w:r w:rsidRPr="00636B05">
        <w:t>above her shoulders.</w:t>
      </w:r>
    </w:p>
    <w:p w14:paraId="5FE4F3E9" w14:textId="0249BEA5" w:rsidR="00CF02AF" w:rsidRPr="00B34892" w:rsidRDefault="00E031D3" w:rsidP="00B34892">
      <w:pPr>
        <w:rPr>
          <w:b/>
          <w:sz w:val="28"/>
          <w:szCs w:val="28"/>
        </w:rPr>
      </w:pPr>
      <w:r>
        <w:br w:type="column"/>
      </w:r>
      <w:r w:rsidR="00CF02AF" w:rsidRPr="00B34892">
        <w:rPr>
          <w:b/>
          <w:sz w:val="28"/>
          <w:szCs w:val="28"/>
        </w:rPr>
        <w:t>Recommendations</w:t>
      </w:r>
      <w:r w:rsidR="00BC3F7D" w:rsidRPr="00B34892">
        <w:rPr>
          <w:b/>
          <w:sz w:val="28"/>
          <w:szCs w:val="28"/>
        </w:rPr>
        <w:t>:</w:t>
      </w:r>
    </w:p>
    <w:p w14:paraId="6D6E27CE" w14:textId="77777777" w:rsidR="00CF02AF" w:rsidRPr="00636B05" w:rsidRDefault="00CF02AF" w:rsidP="00FB2F79">
      <w:pPr>
        <w:pStyle w:val="TableBullet1"/>
      </w:pPr>
      <w:r w:rsidRPr="00636B05">
        <w:t>A mobility assessment to support ongoing safe mobility</w:t>
      </w:r>
    </w:p>
    <w:p w14:paraId="35F9F4D6" w14:textId="77777777" w:rsidR="00CF02AF" w:rsidRPr="00636B05" w:rsidRDefault="00CF02AF" w:rsidP="00FB2F79">
      <w:pPr>
        <w:pStyle w:val="TableBullet1"/>
      </w:pPr>
      <w:r w:rsidRPr="00636B05">
        <w:t>Goods and equipment</w:t>
      </w:r>
    </w:p>
    <w:p w14:paraId="513277E7" w14:textId="77777777" w:rsidR="00CF02AF" w:rsidRPr="00636B05" w:rsidRDefault="00CF02AF" w:rsidP="00FB2F79">
      <w:pPr>
        <w:pStyle w:val="TableBullet1"/>
      </w:pPr>
      <w:r w:rsidRPr="00636B05">
        <w:t>Consideration of an exercise program to support balance and conditioning, and reduce the risk of fall</w:t>
      </w:r>
    </w:p>
    <w:p w14:paraId="182EC1AC" w14:textId="77777777" w:rsidR="00CF02AF" w:rsidRPr="00636B05" w:rsidRDefault="00CF02AF" w:rsidP="00FB2F79">
      <w:pPr>
        <w:pStyle w:val="TableBullet1"/>
      </w:pPr>
      <w:r w:rsidRPr="00636B05">
        <w:t>Accessing social group outings and activities that meet her interests to support her ongoing connection to her community and her emotional wellbeing</w:t>
      </w:r>
    </w:p>
    <w:p w14:paraId="54C89469" w14:textId="77777777" w:rsidR="00CF02AF" w:rsidRPr="00636B05" w:rsidRDefault="00CF02AF" w:rsidP="00996C17">
      <w:pPr>
        <w:pStyle w:val="TableBullet1"/>
        <w:spacing w:after="240"/>
      </w:pPr>
      <w:r w:rsidRPr="00636B05">
        <w:t>Transport assistance to attend medical appointments out of her local area.</w:t>
      </w:r>
    </w:p>
    <w:p w14:paraId="2DF27170" w14:textId="12734F93" w:rsidR="00CF02AF" w:rsidRPr="00B34892" w:rsidRDefault="00CF02AF" w:rsidP="00B34892">
      <w:pPr>
        <w:rPr>
          <w:b/>
          <w:sz w:val="28"/>
          <w:szCs w:val="28"/>
        </w:rPr>
      </w:pPr>
      <w:r w:rsidRPr="00B34892">
        <w:rPr>
          <w:b/>
          <w:sz w:val="28"/>
          <w:szCs w:val="28"/>
        </w:rPr>
        <w:t>AT Products</w:t>
      </w:r>
    </w:p>
    <w:p w14:paraId="48F6A1BD" w14:textId="77777777" w:rsidR="00CF02AF" w:rsidRPr="00636B05" w:rsidRDefault="00CF02AF" w:rsidP="00FB2F79">
      <w:pPr>
        <w:pStyle w:val="TableBullet1"/>
      </w:pPr>
      <w:r w:rsidRPr="00636B05">
        <w:t>Falls prevention products (long-handled reacher, lighting, safety flooring, etc.)</w:t>
      </w:r>
    </w:p>
    <w:p w14:paraId="38A7B783" w14:textId="77777777" w:rsidR="00CF02AF" w:rsidRPr="00636B05" w:rsidRDefault="00CF02AF" w:rsidP="00FB2F79">
      <w:pPr>
        <w:pStyle w:val="TableBullet1"/>
      </w:pPr>
      <w:r w:rsidRPr="00636B05">
        <w:t>Adjustable washing line, laundry trolley</w:t>
      </w:r>
    </w:p>
    <w:p w14:paraId="1537ECFE" w14:textId="77777777" w:rsidR="00CF02AF" w:rsidRPr="00636B05" w:rsidRDefault="00CF02AF" w:rsidP="00FB2F79">
      <w:pPr>
        <w:pStyle w:val="TableBullet1"/>
      </w:pPr>
      <w:r w:rsidRPr="00636B05">
        <w:t>Handrails for bathroom/toilet/entrances</w:t>
      </w:r>
    </w:p>
    <w:p w14:paraId="1D8B7BEE" w14:textId="77777777" w:rsidR="00CF02AF" w:rsidRPr="00636B05" w:rsidRDefault="00CF02AF" w:rsidP="00FB2F79">
      <w:pPr>
        <w:pStyle w:val="TableBullet1"/>
      </w:pPr>
      <w:r w:rsidRPr="00636B05">
        <w:t>Shower stool</w:t>
      </w:r>
    </w:p>
    <w:p w14:paraId="0B1E2105" w14:textId="77777777" w:rsidR="00CF02AF" w:rsidRPr="00636B05" w:rsidRDefault="00CF02AF" w:rsidP="00FB2F79">
      <w:pPr>
        <w:pStyle w:val="TableBullet1"/>
      </w:pPr>
      <w:r w:rsidRPr="00636B05">
        <w:t>Alter cupboard reach range (minor modifications)</w:t>
      </w:r>
    </w:p>
    <w:p w14:paraId="1DE58234" w14:textId="77777777" w:rsidR="00CF02AF" w:rsidRPr="00636B05" w:rsidRDefault="00CF02AF" w:rsidP="00FB2F79">
      <w:pPr>
        <w:pStyle w:val="TableBullet1"/>
      </w:pPr>
      <w:r w:rsidRPr="00636B05">
        <w:t>Four-wheeled walker</w:t>
      </w:r>
    </w:p>
    <w:p w14:paraId="08C0C003" w14:textId="4FE93301" w:rsidR="00CF02AF" w:rsidRPr="00636B05" w:rsidRDefault="00CF02AF" w:rsidP="00FB2F79">
      <w:pPr>
        <w:pStyle w:val="TableBullet1"/>
      </w:pPr>
      <w:r w:rsidRPr="00636B05">
        <w:t>Meal preparation aids</w:t>
      </w:r>
      <w:r w:rsidR="00861912">
        <w:t xml:space="preserve"> – </w:t>
      </w:r>
      <w:r w:rsidRPr="00636B05">
        <w:t>powered can opener, large-grip peeler, buttering board, jar opener, kettle tipper, tap turner, kitchen trolley</w:t>
      </w:r>
    </w:p>
    <w:p w14:paraId="6592F2A1" w14:textId="04B44421" w:rsidR="00CF02AF" w:rsidRPr="00B34892" w:rsidRDefault="00CF02AF" w:rsidP="00B34892">
      <w:pPr>
        <w:rPr>
          <w:b/>
          <w:sz w:val="28"/>
          <w:szCs w:val="28"/>
        </w:rPr>
      </w:pPr>
      <w:r w:rsidRPr="00B34892">
        <w:rPr>
          <w:b/>
          <w:sz w:val="28"/>
          <w:szCs w:val="28"/>
        </w:rPr>
        <w:t>AT Services</w:t>
      </w:r>
    </w:p>
    <w:p w14:paraId="5172E587" w14:textId="77777777" w:rsidR="00CF02AF" w:rsidRPr="00636B05" w:rsidRDefault="00CF02AF" w:rsidP="00F426CF">
      <w:pPr>
        <w:pStyle w:val="TableBullet1"/>
      </w:pPr>
      <w:r w:rsidRPr="00636B05">
        <w:t xml:space="preserve">Allied </w:t>
      </w:r>
      <w:r w:rsidRPr="00F426CF">
        <w:t>health</w:t>
      </w:r>
      <w:r w:rsidRPr="00636B05">
        <w:t xml:space="preserve"> assessment</w:t>
      </w:r>
    </w:p>
    <w:p w14:paraId="1DE405B2" w14:textId="28CE30C3" w:rsidR="00996C17" w:rsidRPr="00E031D3" w:rsidRDefault="00996C17" w:rsidP="00E031D3">
      <w:pPr>
        <w:rPr>
          <w:rFonts w:eastAsia="Arial Unicode MS"/>
        </w:rPr>
      </w:pPr>
      <w:r w:rsidRPr="00E031D3">
        <w:br w:type="page"/>
      </w:r>
    </w:p>
    <w:p w14:paraId="0931714D" w14:textId="77777777" w:rsidR="00BC3F7D" w:rsidRPr="00E031D3" w:rsidRDefault="00BC3F7D" w:rsidP="00E031D3">
      <w:pPr>
        <w:sectPr w:rsidR="00BC3F7D" w:rsidRPr="00E031D3" w:rsidSect="00BC3F7D">
          <w:type w:val="continuous"/>
          <w:pgSz w:w="11907" w:h="16840" w:code="9"/>
          <w:pgMar w:top="1134" w:right="1134" w:bottom="1134" w:left="1134" w:header="567" w:footer="851" w:gutter="0"/>
          <w:cols w:num="2" w:space="708"/>
          <w:docGrid w:linePitch="360"/>
        </w:sectPr>
      </w:pPr>
    </w:p>
    <w:p w14:paraId="71A350C7" w14:textId="2E7D7451" w:rsidR="00CF02AF" w:rsidRPr="00B34892" w:rsidRDefault="00CF02AF" w:rsidP="00B34892">
      <w:pPr>
        <w:rPr>
          <w:b/>
          <w:sz w:val="28"/>
          <w:szCs w:val="28"/>
        </w:rPr>
      </w:pPr>
      <w:r w:rsidRPr="00B34892">
        <w:rPr>
          <w:b/>
          <w:sz w:val="28"/>
          <w:szCs w:val="28"/>
        </w:rPr>
        <w:lastRenderedPageBreak/>
        <w:t>Archetype 6: CHSP HM</w:t>
      </w:r>
    </w:p>
    <w:p w14:paraId="76D601D0" w14:textId="77777777" w:rsidR="00996C17" w:rsidRDefault="00996C17" w:rsidP="00BC3F7D">
      <w:pPr>
        <w:pStyle w:val="ParaKeep"/>
        <w:sectPr w:rsidR="00996C17" w:rsidSect="00996C17">
          <w:type w:val="continuous"/>
          <w:pgSz w:w="11907" w:h="16840" w:code="9"/>
          <w:pgMar w:top="1134" w:right="1134" w:bottom="1134" w:left="1134" w:header="567" w:footer="851" w:gutter="0"/>
          <w:cols w:space="708"/>
          <w:docGrid w:linePitch="360"/>
        </w:sectPr>
      </w:pPr>
    </w:p>
    <w:p w14:paraId="50912EF8" w14:textId="31F16102" w:rsidR="00CF02AF" w:rsidRPr="00636B05" w:rsidRDefault="00F33447" w:rsidP="00BC3F7D">
      <w:pPr>
        <w:pStyle w:val="ParaKeep"/>
      </w:pPr>
      <w:r>
        <w:t>Mrs </w:t>
      </w:r>
      <w:r w:rsidR="00CF02AF" w:rsidRPr="00636B05">
        <w:t>F, aged 81, contacted My Aged Care.</w:t>
      </w:r>
      <w:r w:rsidR="00CF02AF">
        <w:t xml:space="preserve"> </w:t>
      </w:r>
      <w:r w:rsidR="00CF02AF" w:rsidRPr="00636B05">
        <w:t>She has been referred for assessment as she has health conditions that affect her energy levels and result in some unsteadiness on her feet and, additionally, she is concerned about falling in the shower because there are no grab rails for support.</w:t>
      </w:r>
      <w:r w:rsidR="00CF02AF">
        <w:t xml:space="preserve"> </w:t>
      </w:r>
      <w:r w:rsidR="00CF02AF" w:rsidRPr="00636B05">
        <w:t>She lives with a partner in a low-level dwelling.</w:t>
      </w:r>
      <w:r w:rsidR="00CF02AF">
        <w:t xml:space="preserve"> </w:t>
      </w:r>
      <w:r w:rsidR="00CF02AF" w:rsidRPr="00636B05">
        <w:t>She has two sons living in the area who are supportive and whom she sees regularly.</w:t>
      </w:r>
      <w:r w:rsidR="00CF02AF">
        <w:t xml:space="preserve"> </w:t>
      </w:r>
      <w:r w:rsidR="00CF02AF" w:rsidRPr="00636B05">
        <w:t xml:space="preserve">She has another son interstate and </w:t>
      </w:r>
      <w:r w:rsidR="00CF02AF">
        <w:t xml:space="preserve">she </w:t>
      </w:r>
      <w:r w:rsidR="00CF02AF" w:rsidRPr="00636B05">
        <w:t>has a circle of supportive friends.</w:t>
      </w:r>
      <w:r w:rsidR="00CF02AF">
        <w:t xml:space="preserve"> </w:t>
      </w:r>
      <w:r w:rsidR="00CF02AF" w:rsidRPr="00636B05">
        <w:t xml:space="preserve">One son helps her with any heavy lifting and is available if she needs him. </w:t>
      </w:r>
    </w:p>
    <w:p w14:paraId="0C3E8A85" w14:textId="77777777" w:rsidR="00E031D3" w:rsidRPr="00B34892" w:rsidRDefault="00CF02AF" w:rsidP="00B34892">
      <w:pPr>
        <w:rPr>
          <w:b/>
          <w:sz w:val="28"/>
          <w:szCs w:val="28"/>
        </w:rPr>
      </w:pPr>
      <w:r w:rsidRPr="00B34892">
        <w:rPr>
          <w:b/>
          <w:sz w:val="28"/>
          <w:szCs w:val="28"/>
        </w:rPr>
        <w:t>Condition</w:t>
      </w:r>
      <w:r w:rsidR="00BC3F7D" w:rsidRPr="00B34892">
        <w:rPr>
          <w:b/>
          <w:sz w:val="28"/>
          <w:szCs w:val="28"/>
        </w:rPr>
        <w:t>:</w:t>
      </w:r>
    </w:p>
    <w:p w14:paraId="2C4231AE" w14:textId="2AD538B0" w:rsidR="00CF02AF" w:rsidRPr="00636B05" w:rsidRDefault="00F33447" w:rsidP="00E031D3">
      <w:pPr>
        <w:pStyle w:val="Paragraph"/>
      </w:pPr>
      <w:r>
        <w:t>Mrs </w:t>
      </w:r>
      <w:r w:rsidR="00CF02AF" w:rsidRPr="00636B05">
        <w:t>E has polymyalgia arthritica and is currently taking Cortisone for this.</w:t>
      </w:r>
      <w:r w:rsidR="00CF02AF">
        <w:t xml:space="preserve"> </w:t>
      </w:r>
      <w:r w:rsidR="00CF02AF" w:rsidRPr="00636B05">
        <w:t>She experiences very reduced energy levels and can be unsteady on her feet.</w:t>
      </w:r>
      <w:r w:rsidR="00CF02AF">
        <w:t xml:space="preserve"> </w:t>
      </w:r>
      <w:r w:rsidR="00CF02AF" w:rsidRPr="00636B05">
        <w:t>She had a heart attack in 2000 and had a pacemaker put into her heart.</w:t>
      </w:r>
      <w:r w:rsidR="00CF02AF">
        <w:t xml:space="preserve"> </w:t>
      </w:r>
      <w:r w:rsidR="00CF02AF" w:rsidRPr="00636B05">
        <w:t>She takes blood thinners and manages cholesterol and her blood pressure with medication.</w:t>
      </w:r>
    </w:p>
    <w:p w14:paraId="027899AF" w14:textId="15FF3887" w:rsidR="00CF02AF" w:rsidRPr="00B34892" w:rsidRDefault="00E031D3" w:rsidP="00B34892">
      <w:pPr>
        <w:rPr>
          <w:b/>
          <w:sz w:val="28"/>
          <w:szCs w:val="28"/>
        </w:rPr>
      </w:pPr>
      <w:r>
        <w:br w:type="column"/>
      </w:r>
      <w:r w:rsidR="00CF02AF" w:rsidRPr="00B34892">
        <w:rPr>
          <w:b/>
          <w:sz w:val="28"/>
          <w:szCs w:val="28"/>
        </w:rPr>
        <w:t>Recommendations</w:t>
      </w:r>
      <w:r w:rsidR="00BC3F7D" w:rsidRPr="00B34892">
        <w:rPr>
          <w:b/>
          <w:sz w:val="28"/>
          <w:szCs w:val="28"/>
        </w:rPr>
        <w:t>:</w:t>
      </w:r>
    </w:p>
    <w:p w14:paraId="67AC8E43" w14:textId="77777777" w:rsidR="00CF02AF" w:rsidRPr="00636B05" w:rsidRDefault="00CF02AF" w:rsidP="00FB2F79">
      <w:pPr>
        <w:pStyle w:val="TableBullet1"/>
      </w:pPr>
      <w:r w:rsidRPr="00636B05">
        <w:t>OT assessment for grab rails</w:t>
      </w:r>
    </w:p>
    <w:p w14:paraId="61DA8951" w14:textId="77777777" w:rsidR="00CF02AF" w:rsidRPr="00636B05" w:rsidRDefault="00CF02AF" w:rsidP="00996C17">
      <w:pPr>
        <w:pStyle w:val="TableBullet1"/>
        <w:spacing w:after="240"/>
      </w:pPr>
      <w:r w:rsidRPr="00636B05">
        <w:t xml:space="preserve">Bathroom assessment </w:t>
      </w:r>
    </w:p>
    <w:p w14:paraId="17D2C544" w14:textId="0FB7919C" w:rsidR="00CF02AF" w:rsidRPr="00B34892" w:rsidRDefault="00CF02AF" w:rsidP="00B34892">
      <w:pPr>
        <w:rPr>
          <w:b/>
          <w:sz w:val="28"/>
          <w:szCs w:val="28"/>
        </w:rPr>
      </w:pPr>
      <w:r w:rsidRPr="00B34892">
        <w:rPr>
          <w:b/>
          <w:sz w:val="28"/>
          <w:szCs w:val="28"/>
        </w:rPr>
        <w:t>AT Products</w:t>
      </w:r>
    </w:p>
    <w:p w14:paraId="0BE67735" w14:textId="77777777" w:rsidR="00CF02AF" w:rsidRPr="00636B05" w:rsidRDefault="00CF02AF" w:rsidP="00FB2F79">
      <w:pPr>
        <w:pStyle w:val="TableBullet1"/>
      </w:pPr>
      <w:r w:rsidRPr="00636B05">
        <w:t>Handheld shower</w:t>
      </w:r>
    </w:p>
    <w:p w14:paraId="2377D3E5" w14:textId="77777777" w:rsidR="00CF02AF" w:rsidRPr="00636B05" w:rsidRDefault="00CF02AF" w:rsidP="00FB2F79">
      <w:pPr>
        <w:pStyle w:val="TableBullet1"/>
      </w:pPr>
      <w:r w:rsidRPr="00636B05">
        <w:t>Handheld shower maximum cost</w:t>
      </w:r>
    </w:p>
    <w:p w14:paraId="4708AF0A" w14:textId="3DD9486B" w:rsidR="00CF02AF" w:rsidRPr="00B34892" w:rsidRDefault="00CF02AF" w:rsidP="00B34892">
      <w:pPr>
        <w:rPr>
          <w:b/>
          <w:sz w:val="28"/>
          <w:szCs w:val="28"/>
        </w:rPr>
      </w:pPr>
      <w:r w:rsidRPr="00B34892">
        <w:rPr>
          <w:b/>
          <w:sz w:val="28"/>
          <w:szCs w:val="28"/>
        </w:rPr>
        <w:t>AT Services</w:t>
      </w:r>
    </w:p>
    <w:p w14:paraId="7CAB537F" w14:textId="0DD090CE" w:rsidR="00C83C37" w:rsidRPr="00F85EFF" w:rsidRDefault="00CF02AF" w:rsidP="00172C9A">
      <w:pPr>
        <w:pStyle w:val="TableBullet1"/>
        <w:rPr>
          <w:rFonts w:eastAsia="Arial Unicode MS"/>
        </w:rPr>
      </w:pPr>
      <w:r w:rsidRPr="00636B05">
        <w:t>Allied health assessment</w:t>
      </w:r>
    </w:p>
    <w:p w14:paraId="10190E80" w14:textId="45AC7A98" w:rsidR="00F85EFF" w:rsidRDefault="00F85EFF">
      <w:r>
        <w:br w:type="page"/>
      </w:r>
    </w:p>
    <w:p w14:paraId="04E7E846" w14:textId="77777777" w:rsidR="00BC3F7D" w:rsidRPr="00C83C37" w:rsidRDefault="00BC3F7D" w:rsidP="00C83C37">
      <w:pPr>
        <w:sectPr w:rsidR="00BC3F7D" w:rsidRPr="00C83C37" w:rsidSect="00BC3F7D">
          <w:type w:val="continuous"/>
          <w:pgSz w:w="11907" w:h="16840" w:code="9"/>
          <w:pgMar w:top="1134" w:right="1134" w:bottom="1134" w:left="1134" w:header="567" w:footer="851" w:gutter="0"/>
          <w:cols w:num="2" w:space="708"/>
          <w:docGrid w:linePitch="360"/>
        </w:sectPr>
      </w:pPr>
    </w:p>
    <w:p w14:paraId="18C24B65" w14:textId="608580CE" w:rsidR="00CF02AF" w:rsidRPr="00B34892" w:rsidRDefault="00CF02AF" w:rsidP="00B34892">
      <w:pPr>
        <w:rPr>
          <w:b/>
          <w:sz w:val="32"/>
          <w:szCs w:val="32"/>
        </w:rPr>
      </w:pPr>
      <w:r w:rsidRPr="00B34892">
        <w:rPr>
          <w:b/>
          <w:sz w:val="32"/>
          <w:szCs w:val="32"/>
        </w:rPr>
        <w:lastRenderedPageBreak/>
        <w:t>Archetype 7: CHSP AT</w:t>
      </w:r>
    </w:p>
    <w:p w14:paraId="5FA56955" w14:textId="77777777" w:rsidR="00F85EFF" w:rsidRDefault="00F85EFF" w:rsidP="00BC3F7D">
      <w:pPr>
        <w:pStyle w:val="ParaKeep"/>
        <w:sectPr w:rsidR="00F85EFF" w:rsidSect="00F85EFF">
          <w:type w:val="continuous"/>
          <w:pgSz w:w="11907" w:h="16840" w:code="9"/>
          <w:pgMar w:top="1134" w:right="1134" w:bottom="1134" w:left="1134" w:header="567" w:footer="851" w:gutter="0"/>
          <w:cols w:space="708"/>
          <w:docGrid w:linePitch="360"/>
        </w:sectPr>
      </w:pPr>
    </w:p>
    <w:p w14:paraId="6BBD915A" w14:textId="3906F8F8" w:rsidR="00CF02AF" w:rsidRPr="00636B05" w:rsidRDefault="00F33447" w:rsidP="00C61CD3">
      <w:pPr>
        <w:pStyle w:val="ParaKeep"/>
        <w:spacing w:before="120"/>
      </w:pPr>
      <w:r>
        <w:t>Mr </w:t>
      </w:r>
      <w:r w:rsidR="00CF02AF" w:rsidRPr="00636B05">
        <w:t xml:space="preserve">G, aged 71, was referred by a discharge planner from the local hospital for assessment as </w:t>
      </w:r>
      <w:r>
        <w:t>Mr </w:t>
      </w:r>
      <w:r w:rsidR="00CF02AF" w:rsidRPr="00636B05">
        <w:t>G is home alone for most of the day while his wife is at work and he worries about not having a personal alarm system to assist him if he needed it.</w:t>
      </w:r>
      <w:r w:rsidR="00CF02AF">
        <w:t xml:space="preserve"> </w:t>
      </w:r>
      <w:r w:rsidR="00CF02AF" w:rsidRPr="00636B05">
        <w:t>He lives with this wife in a one-bedroom granny flat, with his daughter and grandchildren living on the same property in a separate house.</w:t>
      </w:r>
      <w:r w:rsidR="00CF02AF">
        <w:t xml:space="preserve"> </w:t>
      </w:r>
      <w:r w:rsidR="00CF02AF" w:rsidRPr="00636B05">
        <w:t>They provide great support to him and he also socialises with friends on a regular basis.</w:t>
      </w:r>
      <w:r w:rsidR="00CF02AF">
        <w:t xml:space="preserve"> </w:t>
      </w:r>
      <w:r w:rsidR="00CF02AF" w:rsidRPr="00636B05">
        <w:t>His wife, who is also his carer, provides meals, transport, shopping needs and domestic assistance on a daily basis.</w:t>
      </w:r>
      <w:r w:rsidR="00CF02AF">
        <w:t xml:space="preserve"> </w:t>
      </w:r>
      <w:r w:rsidR="00CF02AF" w:rsidRPr="00636B05">
        <w:t>He can only drive short distances.</w:t>
      </w:r>
      <w:r w:rsidR="00CF02AF">
        <w:t xml:space="preserve"> </w:t>
      </w:r>
      <w:r w:rsidR="00CF02AF" w:rsidRPr="00636B05">
        <w:t>He does assist with meal preparation, and he manages his own medications and personal care.</w:t>
      </w:r>
      <w:r w:rsidR="00CF02AF">
        <w:t xml:space="preserve"> </w:t>
      </w:r>
      <w:r w:rsidR="00CF02AF" w:rsidRPr="00636B05">
        <w:t xml:space="preserve">He receives domestic assistance for 1.5 hours per week but does not receive any other support services. </w:t>
      </w:r>
    </w:p>
    <w:p w14:paraId="4057745A" w14:textId="77777777" w:rsidR="00E031D3" w:rsidRPr="00B34892" w:rsidRDefault="00CF02AF" w:rsidP="00B34892">
      <w:pPr>
        <w:rPr>
          <w:b/>
          <w:sz w:val="28"/>
          <w:szCs w:val="28"/>
        </w:rPr>
      </w:pPr>
      <w:r w:rsidRPr="00B34892">
        <w:rPr>
          <w:b/>
          <w:sz w:val="28"/>
          <w:szCs w:val="28"/>
        </w:rPr>
        <w:t>Condition</w:t>
      </w:r>
      <w:r w:rsidR="00BC3F7D" w:rsidRPr="00B34892">
        <w:rPr>
          <w:b/>
          <w:sz w:val="28"/>
          <w:szCs w:val="28"/>
        </w:rPr>
        <w:t>:</w:t>
      </w:r>
    </w:p>
    <w:p w14:paraId="69210FF9" w14:textId="5BF41648" w:rsidR="00CF02AF" w:rsidRPr="00636B05" w:rsidRDefault="00F33447" w:rsidP="00E031D3">
      <w:pPr>
        <w:pStyle w:val="Paragraph"/>
      </w:pPr>
      <w:r>
        <w:t>Mr </w:t>
      </w:r>
      <w:r w:rsidR="00CF02AF" w:rsidRPr="00636B05">
        <w:t>G experiences</w:t>
      </w:r>
      <w:r w:rsidR="00996C17">
        <w:t xml:space="preserve"> </w:t>
      </w:r>
      <w:r w:rsidR="00CF02AF" w:rsidRPr="00636B05">
        <w:t>breathing difficulties/shortness of breath (COPD)</w:t>
      </w:r>
      <w:r w:rsidR="00996C17">
        <w:t xml:space="preserve">, </w:t>
      </w:r>
      <w:r w:rsidR="00CF02AF" w:rsidRPr="00636B05">
        <w:t>other diseases of the digestive system, including pancreatitis</w:t>
      </w:r>
      <w:r w:rsidR="00996C17">
        <w:t xml:space="preserve">, </w:t>
      </w:r>
      <w:r w:rsidR="00CF02AF" w:rsidRPr="00636B05">
        <w:t>pain</w:t>
      </w:r>
      <w:r w:rsidR="00996C17">
        <w:t xml:space="preserve">, and </w:t>
      </w:r>
      <w:r w:rsidR="00CF02AF" w:rsidRPr="00636B05">
        <w:t xml:space="preserve">issues with transfers which cause him to become light-headed at times. </w:t>
      </w:r>
    </w:p>
    <w:p w14:paraId="346EB606" w14:textId="45A7E7C4" w:rsidR="00CF02AF" w:rsidRPr="00636B05" w:rsidRDefault="00F33447" w:rsidP="00E031D3">
      <w:pPr>
        <w:pStyle w:val="Paragraph"/>
      </w:pPr>
      <w:r>
        <w:t>Mr </w:t>
      </w:r>
      <w:r w:rsidR="00CF02AF" w:rsidRPr="00636B05">
        <w:t>G takes medications and rests when needed and uses home oxygen.</w:t>
      </w:r>
      <w:r w:rsidR="00CF02AF">
        <w:t xml:space="preserve"> </w:t>
      </w:r>
      <w:r w:rsidR="00CF02AF" w:rsidRPr="00636B05">
        <w:t xml:space="preserve">He is under the care of a respiratory clinic and will be attending a six-week breathing clinic program. </w:t>
      </w:r>
    </w:p>
    <w:p w14:paraId="1649D39B" w14:textId="77777777" w:rsidR="00CF02AF" w:rsidRPr="00636B05" w:rsidRDefault="00CF02AF" w:rsidP="00E031D3">
      <w:pPr>
        <w:pStyle w:val="Paragraph"/>
      </w:pPr>
      <w:r w:rsidRPr="00636B05">
        <w:t xml:space="preserve">He is being investigated for coughing up blood. </w:t>
      </w:r>
    </w:p>
    <w:p w14:paraId="4A0365F6" w14:textId="4092CA48" w:rsidR="00E031D3" w:rsidRPr="00E031D3" w:rsidRDefault="00E031D3" w:rsidP="00B34892">
      <w:r>
        <w:br w:type="column"/>
      </w:r>
      <w:r w:rsidR="00CF02AF" w:rsidRPr="00B34892">
        <w:rPr>
          <w:b/>
          <w:sz w:val="28"/>
          <w:szCs w:val="28"/>
        </w:rPr>
        <w:t>Recommendations</w:t>
      </w:r>
      <w:r w:rsidR="00BC3F7D" w:rsidRPr="00B34892">
        <w:rPr>
          <w:b/>
          <w:sz w:val="28"/>
          <w:szCs w:val="28"/>
        </w:rPr>
        <w:t>:</w:t>
      </w:r>
    </w:p>
    <w:p w14:paraId="3D3D10FF" w14:textId="47BD7377" w:rsidR="00CF02AF" w:rsidRPr="00636B05" w:rsidRDefault="00CF02AF" w:rsidP="00BC3F7D">
      <w:pPr>
        <w:pStyle w:val="ParaKeep"/>
      </w:pPr>
      <w:r w:rsidRPr="00636B05">
        <w:t>Referral for:</w:t>
      </w:r>
    </w:p>
    <w:p w14:paraId="6AC1ED83" w14:textId="77777777" w:rsidR="00CF02AF" w:rsidRPr="00636B05" w:rsidRDefault="00CF02AF" w:rsidP="00FB2F79">
      <w:pPr>
        <w:pStyle w:val="TableBullet1"/>
      </w:pPr>
      <w:r w:rsidRPr="00636B05">
        <w:t>Occupational therapy</w:t>
      </w:r>
    </w:p>
    <w:p w14:paraId="2CC1A37E" w14:textId="77777777" w:rsidR="00CF02AF" w:rsidRPr="00636B05" w:rsidRDefault="00CF02AF" w:rsidP="00996C17">
      <w:pPr>
        <w:pStyle w:val="TableBullet1"/>
        <w:spacing w:after="240"/>
      </w:pPr>
      <w:r w:rsidRPr="00636B05">
        <w:t>Goods and equipment</w:t>
      </w:r>
    </w:p>
    <w:p w14:paraId="1BA9D7A4" w14:textId="416CAFB5" w:rsidR="00CF02AF" w:rsidRPr="00B34892" w:rsidRDefault="00CF02AF" w:rsidP="00B34892">
      <w:pPr>
        <w:rPr>
          <w:b/>
          <w:sz w:val="28"/>
          <w:szCs w:val="28"/>
        </w:rPr>
      </w:pPr>
      <w:r w:rsidRPr="00B34892">
        <w:rPr>
          <w:b/>
          <w:sz w:val="28"/>
          <w:szCs w:val="28"/>
        </w:rPr>
        <w:t>AT Products</w:t>
      </w:r>
    </w:p>
    <w:p w14:paraId="5DC27143" w14:textId="77777777" w:rsidR="00CF02AF" w:rsidRPr="00636B05" w:rsidRDefault="00CF02AF" w:rsidP="00FB2F79">
      <w:pPr>
        <w:pStyle w:val="TableBullet1"/>
      </w:pPr>
      <w:r w:rsidRPr="00636B05">
        <w:t>Personal alarm</w:t>
      </w:r>
    </w:p>
    <w:p w14:paraId="07800A82" w14:textId="77777777" w:rsidR="00CF02AF" w:rsidRPr="00636B05" w:rsidRDefault="00CF02AF" w:rsidP="00FB2F79">
      <w:pPr>
        <w:pStyle w:val="TableBullet1"/>
      </w:pPr>
      <w:r w:rsidRPr="00636B05">
        <w:t>Falls detection mat at bed/chair</w:t>
      </w:r>
    </w:p>
    <w:p w14:paraId="561FD7AB" w14:textId="77777777" w:rsidR="00CF02AF" w:rsidRPr="00636B05" w:rsidRDefault="00CF02AF" w:rsidP="00FB2F79">
      <w:pPr>
        <w:pStyle w:val="TableBullet1"/>
      </w:pPr>
      <w:r w:rsidRPr="00636B05">
        <w:t>Powered riser recliner lounge chair</w:t>
      </w:r>
    </w:p>
    <w:p w14:paraId="1EA1AF0A" w14:textId="77777777" w:rsidR="00CF02AF" w:rsidRPr="00636B05" w:rsidRDefault="00CF02AF" w:rsidP="00FB2F79">
      <w:pPr>
        <w:pStyle w:val="TableBullet1"/>
      </w:pPr>
      <w:r w:rsidRPr="00636B05">
        <w:t>Adjustable bed for respiratory angle and ease of transfers</w:t>
      </w:r>
    </w:p>
    <w:p w14:paraId="3BC4C609" w14:textId="77777777" w:rsidR="00CF02AF" w:rsidRPr="00636B05" w:rsidRDefault="00CF02AF" w:rsidP="00FB2F79">
      <w:pPr>
        <w:pStyle w:val="TableBullet1"/>
      </w:pPr>
      <w:r w:rsidRPr="00636B05">
        <w:t>Upright chair for drying/dressing</w:t>
      </w:r>
    </w:p>
    <w:p w14:paraId="06EE11FA" w14:textId="77777777" w:rsidR="00CF02AF" w:rsidRPr="00636B05" w:rsidRDefault="00CF02AF" w:rsidP="00FB2F79">
      <w:pPr>
        <w:pStyle w:val="TableBullet1"/>
      </w:pPr>
      <w:r w:rsidRPr="00636B05">
        <w:t>Shower stool, grab bars and hand shower</w:t>
      </w:r>
    </w:p>
    <w:p w14:paraId="76345AF7" w14:textId="77777777" w:rsidR="00CF02AF" w:rsidRPr="00636B05" w:rsidRDefault="00CF02AF" w:rsidP="00FB2F79">
      <w:pPr>
        <w:pStyle w:val="TableBullet1"/>
      </w:pPr>
      <w:r w:rsidRPr="00636B05">
        <w:t>Handrails in toilet</w:t>
      </w:r>
    </w:p>
    <w:p w14:paraId="5192A9F2" w14:textId="77777777" w:rsidR="00CF02AF" w:rsidRPr="00636B05" w:rsidRDefault="00CF02AF" w:rsidP="00FB2F79">
      <w:pPr>
        <w:pStyle w:val="TableBullet1"/>
      </w:pPr>
      <w:r w:rsidRPr="00636B05">
        <w:t>Commode next to bed</w:t>
      </w:r>
    </w:p>
    <w:p w14:paraId="028E7844" w14:textId="77777777" w:rsidR="00CF02AF" w:rsidRPr="00636B05" w:rsidRDefault="00CF02AF" w:rsidP="00FB2F79">
      <w:pPr>
        <w:pStyle w:val="TableBullet1"/>
      </w:pPr>
      <w:r w:rsidRPr="00636B05">
        <w:t>Home oxygen portable unit</w:t>
      </w:r>
    </w:p>
    <w:p w14:paraId="2DFD7150" w14:textId="77777777" w:rsidR="00B34892" w:rsidRDefault="00B34892" w:rsidP="00B34892">
      <w:pPr>
        <w:rPr>
          <w:b/>
          <w:sz w:val="28"/>
          <w:szCs w:val="28"/>
        </w:rPr>
      </w:pPr>
    </w:p>
    <w:p w14:paraId="2EA889E4" w14:textId="56985B8F" w:rsidR="00CF02AF" w:rsidRPr="00B34892" w:rsidRDefault="00CF02AF" w:rsidP="00B34892">
      <w:pPr>
        <w:rPr>
          <w:b/>
          <w:sz w:val="28"/>
          <w:szCs w:val="28"/>
        </w:rPr>
      </w:pPr>
      <w:r w:rsidRPr="00B34892">
        <w:rPr>
          <w:b/>
          <w:sz w:val="28"/>
          <w:szCs w:val="28"/>
        </w:rPr>
        <w:t>AT Services</w:t>
      </w:r>
    </w:p>
    <w:p w14:paraId="12BECAB9" w14:textId="77777777" w:rsidR="00CF02AF" w:rsidRPr="00636B05" w:rsidRDefault="00CF02AF" w:rsidP="00F426CF">
      <w:pPr>
        <w:pStyle w:val="TableBullet1"/>
        <w:rPr>
          <w:b/>
        </w:rPr>
      </w:pPr>
      <w:r w:rsidRPr="00636B05">
        <w:t xml:space="preserve">Allied health assessment </w:t>
      </w:r>
    </w:p>
    <w:p w14:paraId="5FF3193F" w14:textId="20312979" w:rsidR="00E031D3" w:rsidRPr="00E031D3" w:rsidRDefault="00E031D3" w:rsidP="00E031D3">
      <w:pPr>
        <w:rPr>
          <w:rFonts w:eastAsia="Arial Unicode MS"/>
        </w:rPr>
      </w:pPr>
      <w:bookmarkStart w:id="183" w:name="_Toc40249059"/>
      <w:r w:rsidRPr="00E031D3">
        <w:br w:type="page"/>
      </w:r>
    </w:p>
    <w:p w14:paraId="1910D3C3" w14:textId="77777777" w:rsidR="00996C17" w:rsidRPr="00E031D3" w:rsidRDefault="00996C17" w:rsidP="00E031D3">
      <w:pPr>
        <w:sectPr w:rsidR="00996C17" w:rsidRPr="00E031D3" w:rsidSect="00996C17">
          <w:type w:val="continuous"/>
          <w:pgSz w:w="11907" w:h="16840" w:code="9"/>
          <w:pgMar w:top="1134" w:right="1134" w:bottom="1134" w:left="1134" w:header="567" w:footer="851" w:gutter="0"/>
          <w:cols w:num="2" w:space="708"/>
          <w:docGrid w:linePitch="360"/>
        </w:sectPr>
      </w:pPr>
    </w:p>
    <w:p w14:paraId="6A727BA1" w14:textId="359994ED" w:rsidR="0031014A" w:rsidRPr="00636B05" w:rsidRDefault="0031014A" w:rsidP="00B4797D">
      <w:pPr>
        <w:pStyle w:val="Heading6"/>
      </w:pPr>
      <w:bookmarkStart w:id="184" w:name="_Toc60999863"/>
      <w:r w:rsidRPr="00636B05">
        <w:lastRenderedPageBreak/>
        <w:t>Archetypes for Severe limitation</w:t>
      </w:r>
      <w:bookmarkEnd w:id="183"/>
      <w:bookmarkEnd w:id="184"/>
    </w:p>
    <w:p w14:paraId="27AD42D0" w14:textId="77777777" w:rsidR="00CF02AF" w:rsidRPr="00B34892" w:rsidRDefault="00CF02AF" w:rsidP="00B34892">
      <w:pPr>
        <w:rPr>
          <w:b/>
          <w:sz w:val="32"/>
          <w:szCs w:val="32"/>
        </w:rPr>
      </w:pPr>
      <w:r w:rsidRPr="00B34892">
        <w:rPr>
          <w:b/>
          <w:sz w:val="32"/>
          <w:szCs w:val="32"/>
        </w:rPr>
        <w:t>Archetype 8: CHSP and services</w:t>
      </w:r>
    </w:p>
    <w:p w14:paraId="38184E2A" w14:textId="77777777" w:rsidR="00996C17" w:rsidRDefault="00996C17" w:rsidP="00C83C37">
      <w:pPr>
        <w:pStyle w:val="ParaKeep"/>
        <w:sectPr w:rsidR="00996C17" w:rsidSect="00996C17">
          <w:type w:val="continuous"/>
          <w:pgSz w:w="11907" w:h="16840" w:code="9"/>
          <w:pgMar w:top="1134" w:right="1134" w:bottom="1134" w:left="1134" w:header="567" w:footer="851" w:gutter="0"/>
          <w:cols w:space="708"/>
          <w:docGrid w:linePitch="360"/>
        </w:sectPr>
      </w:pPr>
    </w:p>
    <w:p w14:paraId="4FA99A76" w14:textId="0CF6A2FE" w:rsidR="00CF02AF" w:rsidRPr="00636B05" w:rsidRDefault="00F33447" w:rsidP="00C61CD3">
      <w:pPr>
        <w:pStyle w:val="Paragraph"/>
        <w:spacing w:before="120"/>
        <w:rPr>
          <w:b/>
        </w:rPr>
      </w:pPr>
      <w:r>
        <w:t>Mrs </w:t>
      </w:r>
      <w:r w:rsidR="00CF02AF" w:rsidRPr="00636B05">
        <w:t>G, aged 83, contacted My Aged Care.</w:t>
      </w:r>
      <w:r w:rsidR="00CF02AF">
        <w:t xml:space="preserve"> </w:t>
      </w:r>
      <w:r w:rsidR="00CF02AF" w:rsidRPr="00636B05">
        <w:t>She lives with her husband of 63 years in their own home.</w:t>
      </w:r>
      <w:r w:rsidR="00CF02AF">
        <w:t xml:space="preserve"> </w:t>
      </w:r>
      <w:r w:rsidR="00CF02AF" w:rsidRPr="00636B05">
        <w:t>They built their house and have lived in this same house since they married.</w:t>
      </w:r>
      <w:r w:rsidR="00CF02AF">
        <w:t xml:space="preserve"> </w:t>
      </w:r>
      <w:r w:rsidR="00CF02AF" w:rsidRPr="00636B05">
        <w:t>They have three children, 7</w:t>
      </w:r>
      <w:r w:rsidR="00C83C37">
        <w:t> </w:t>
      </w:r>
      <w:r w:rsidR="00CF02AF" w:rsidRPr="00636B05">
        <w:t>grandchildren and 10 great-grandchildren.</w:t>
      </w:r>
      <w:r w:rsidR="00CF02AF">
        <w:t xml:space="preserve"> </w:t>
      </w:r>
      <w:r>
        <w:t>Mrs </w:t>
      </w:r>
      <w:r w:rsidR="00CF02AF" w:rsidRPr="00636B05">
        <w:t>G used to be an active person who loved gardening.</w:t>
      </w:r>
      <w:r w:rsidR="00CF02AF">
        <w:t xml:space="preserve"> </w:t>
      </w:r>
      <w:r w:rsidR="00CF02AF" w:rsidRPr="00636B05">
        <w:t>Due to her worsening health</w:t>
      </w:r>
      <w:r w:rsidR="00C83C37">
        <w:t>,</w:t>
      </w:r>
      <w:r w:rsidR="00CF02AF" w:rsidRPr="00636B05">
        <w:t xml:space="preserve"> she now lives a sedentary life.</w:t>
      </w:r>
      <w:r w:rsidR="00CF02AF">
        <w:t xml:space="preserve"> </w:t>
      </w:r>
      <w:r w:rsidR="00CF02AF" w:rsidRPr="00636B05">
        <w:t>She and her husband go every Friday to the RSL to meet their friends.</w:t>
      </w:r>
      <w:r w:rsidR="00CF02AF">
        <w:t xml:space="preserve"> </w:t>
      </w:r>
      <w:r>
        <w:t>Mrs </w:t>
      </w:r>
      <w:r w:rsidR="00CF02AF" w:rsidRPr="00636B05">
        <w:t>G’s health has deteriorated, and she is unable to assist her husband with looking after their home.</w:t>
      </w:r>
    </w:p>
    <w:p w14:paraId="07316299" w14:textId="77777777" w:rsidR="00E031D3" w:rsidRPr="00B34892" w:rsidRDefault="00CF02AF" w:rsidP="00B34892">
      <w:pPr>
        <w:rPr>
          <w:b/>
          <w:sz w:val="28"/>
          <w:szCs w:val="28"/>
        </w:rPr>
      </w:pPr>
      <w:r w:rsidRPr="00B34892">
        <w:rPr>
          <w:b/>
          <w:sz w:val="28"/>
          <w:szCs w:val="28"/>
        </w:rPr>
        <w:t>Condition</w:t>
      </w:r>
      <w:r w:rsidR="00C83C37" w:rsidRPr="00B34892">
        <w:rPr>
          <w:b/>
          <w:sz w:val="28"/>
          <w:szCs w:val="28"/>
        </w:rPr>
        <w:t>:</w:t>
      </w:r>
    </w:p>
    <w:p w14:paraId="29957D89" w14:textId="34FD4E9A" w:rsidR="00CF02AF" w:rsidRDefault="00F33447" w:rsidP="00E031D3">
      <w:pPr>
        <w:pStyle w:val="Paragraph"/>
      </w:pPr>
      <w:r>
        <w:t>Mrs </w:t>
      </w:r>
      <w:r w:rsidR="00CF02AF" w:rsidRPr="00636B05">
        <w:t>G’s pain is due to her arthritis, which mostly affects her middle back.</w:t>
      </w:r>
      <w:r w:rsidR="00CF02AF">
        <w:t xml:space="preserve"> </w:t>
      </w:r>
      <w:r w:rsidR="00CF02AF" w:rsidRPr="00636B05">
        <w:t>She cannot raise her ar</w:t>
      </w:r>
      <w:r>
        <w:t>Ms </w:t>
      </w:r>
      <w:r w:rsidR="00CF02AF" w:rsidRPr="00636B05">
        <w:t>above chest level due to pain.</w:t>
      </w:r>
      <w:r w:rsidR="00CF02AF">
        <w:t xml:space="preserve"> </w:t>
      </w:r>
      <w:r w:rsidR="00CF02AF" w:rsidRPr="00636B05">
        <w:t>She says that she forgets names but is otherwise fine.</w:t>
      </w:r>
      <w:r w:rsidR="00CF02AF">
        <w:t xml:space="preserve"> </w:t>
      </w:r>
      <w:r w:rsidR="00CF02AF" w:rsidRPr="00636B05">
        <w:t>She is a semi-independent person whose main support is her husband.</w:t>
      </w:r>
      <w:r w:rsidR="00CF02AF">
        <w:t xml:space="preserve"> </w:t>
      </w:r>
      <w:r w:rsidR="00CF02AF" w:rsidRPr="00636B05">
        <w:t>She is able to look after her personal care, and assist with shopping, cooking, and lighter house cleaning.</w:t>
      </w:r>
      <w:r w:rsidR="00CF02AF">
        <w:t xml:space="preserve"> </w:t>
      </w:r>
      <w:r w:rsidR="00CF02AF" w:rsidRPr="00636B05">
        <w:t>She drives locally</w:t>
      </w:r>
      <w:r w:rsidR="00E031D3">
        <w:t>,</w:t>
      </w:r>
      <w:r w:rsidR="00CF02AF" w:rsidRPr="00636B05">
        <w:t xml:space="preserve"> if need be.</w:t>
      </w:r>
      <w:r w:rsidR="00CF02AF">
        <w:t xml:space="preserve"> </w:t>
      </w:r>
      <w:r w:rsidR="00CF02AF" w:rsidRPr="00636B05">
        <w:t>She has difficulties with mobility.</w:t>
      </w:r>
    </w:p>
    <w:p w14:paraId="25F1C68F" w14:textId="04E82A09" w:rsidR="00E031D3" w:rsidRPr="00E031D3" w:rsidRDefault="00865D87" w:rsidP="00B34892">
      <w:r>
        <w:br w:type="column"/>
      </w:r>
      <w:r w:rsidR="00CF02AF" w:rsidRPr="00B34892">
        <w:rPr>
          <w:b/>
          <w:sz w:val="28"/>
          <w:szCs w:val="28"/>
        </w:rPr>
        <w:t>Indicators</w:t>
      </w:r>
      <w:r w:rsidR="00C83C37" w:rsidRPr="00B34892">
        <w:rPr>
          <w:b/>
          <w:sz w:val="28"/>
          <w:szCs w:val="28"/>
        </w:rPr>
        <w:t>:</w:t>
      </w:r>
      <w:r w:rsidR="00C83C37" w:rsidRPr="00E031D3">
        <w:t xml:space="preserve"> </w:t>
      </w:r>
    </w:p>
    <w:p w14:paraId="2E86D48C" w14:textId="59F1A272" w:rsidR="00CF02AF" w:rsidRPr="00636B05" w:rsidRDefault="00CF02AF" w:rsidP="00E031D3">
      <w:pPr>
        <w:pStyle w:val="Paragraph"/>
      </w:pPr>
      <w:r w:rsidRPr="00636B05">
        <w:t>Personal care safety and independence</w:t>
      </w:r>
    </w:p>
    <w:p w14:paraId="0594CE96" w14:textId="1FA128E7" w:rsidR="00CF02AF" w:rsidRPr="00B34892" w:rsidRDefault="00CF02AF" w:rsidP="00B34892">
      <w:pPr>
        <w:rPr>
          <w:b/>
          <w:sz w:val="28"/>
          <w:szCs w:val="28"/>
        </w:rPr>
      </w:pPr>
      <w:r w:rsidRPr="00B34892">
        <w:rPr>
          <w:b/>
          <w:sz w:val="28"/>
          <w:szCs w:val="28"/>
        </w:rPr>
        <w:t>Recommendations</w:t>
      </w:r>
      <w:r w:rsidR="00C83C37" w:rsidRPr="00B34892">
        <w:rPr>
          <w:b/>
          <w:sz w:val="28"/>
          <w:szCs w:val="28"/>
        </w:rPr>
        <w:t>:</w:t>
      </w:r>
    </w:p>
    <w:p w14:paraId="38C60E29" w14:textId="77777777" w:rsidR="00CF02AF" w:rsidRPr="00636B05" w:rsidRDefault="00CF02AF" w:rsidP="00FB2F79">
      <w:pPr>
        <w:pStyle w:val="TableBullet1"/>
      </w:pPr>
      <w:r w:rsidRPr="00636B05">
        <w:t>OT assessment</w:t>
      </w:r>
    </w:p>
    <w:p w14:paraId="211A012E" w14:textId="77777777" w:rsidR="00CF02AF" w:rsidRPr="00636B05" w:rsidRDefault="00CF02AF" w:rsidP="00FB2F79">
      <w:pPr>
        <w:pStyle w:val="TableBullet1"/>
      </w:pPr>
      <w:r w:rsidRPr="00636B05">
        <w:t>Domestic assistance support</w:t>
      </w:r>
    </w:p>
    <w:p w14:paraId="7DAC03B8" w14:textId="77777777" w:rsidR="00CF02AF" w:rsidRPr="00636B05" w:rsidRDefault="00CF02AF" w:rsidP="00FB2F79">
      <w:pPr>
        <w:pStyle w:val="TableBullet1"/>
      </w:pPr>
      <w:r w:rsidRPr="00636B05">
        <w:t>Transport support</w:t>
      </w:r>
    </w:p>
    <w:p w14:paraId="4B17AB05" w14:textId="77777777" w:rsidR="00CF02AF" w:rsidRPr="00636B05" w:rsidRDefault="00CF02AF" w:rsidP="00FB2F79">
      <w:pPr>
        <w:pStyle w:val="TableBullet1"/>
      </w:pPr>
      <w:r w:rsidRPr="00636B05">
        <w:t>Support with transfers (bed, toilet, shower)</w:t>
      </w:r>
    </w:p>
    <w:p w14:paraId="6608BE59" w14:textId="77777777" w:rsidR="00CF02AF" w:rsidRPr="00636B05" w:rsidRDefault="00CF02AF" w:rsidP="00996C17">
      <w:pPr>
        <w:pStyle w:val="TableBullet1"/>
        <w:spacing w:after="240"/>
      </w:pPr>
      <w:r w:rsidRPr="00636B05">
        <w:t>Goods and equipment referral</w:t>
      </w:r>
    </w:p>
    <w:p w14:paraId="787B4CDF" w14:textId="38D0D9D1" w:rsidR="00CF02AF" w:rsidRPr="00B34892" w:rsidRDefault="00CF02AF" w:rsidP="00B34892">
      <w:pPr>
        <w:rPr>
          <w:b/>
          <w:sz w:val="28"/>
          <w:szCs w:val="28"/>
        </w:rPr>
      </w:pPr>
      <w:r w:rsidRPr="00B34892">
        <w:rPr>
          <w:b/>
          <w:sz w:val="28"/>
          <w:szCs w:val="28"/>
        </w:rPr>
        <w:t>AT Products</w:t>
      </w:r>
    </w:p>
    <w:p w14:paraId="2D410079" w14:textId="77777777" w:rsidR="00CF02AF" w:rsidRPr="00636B05" w:rsidRDefault="00CF02AF" w:rsidP="00FB2F79">
      <w:pPr>
        <w:pStyle w:val="TableText"/>
      </w:pPr>
      <w:r w:rsidRPr="00636B05">
        <w:t xml:space="preserve">Indicative </w:t>
      </w:r>
      <w:r>
        <w:t>products and services</w:t>
      </w:r>
      <w:r w:rsidRPr="00636B05">
        <w:t>:</w:t>
      </w:r>
    </w:p>
    <w:p w14:paraId="31BBE65E" w14:textId="77777777" w:rsidR="00CF02AF" w:rsidRPr="00636B05" w:rsidRDefault="00CF02AF" w:rsidP="00FB2F79">
      <w:pPr>
        <w:pStyle w:val="TableBullet1"/>
      </w:pPr>
      <w:r w:rsidRPr="00636B05">
        <w:t>Kitchen/laundry trolley</w:t>
      </w:r>
    </w:p>
    <w:p w14:paraId="108177C6" w14:textId="77777777" w:rsidR="00CF02AF" w:rsidRPr="00636B05" w:rsidRDefault="00CF02AF" w:rsidP="00FB2F79">
      <w:pPr>
        <w:pStyle w:val="TableBullet1"/>
      </w:pPr>
      <w:r w:rsidRPr="00636B05">
        <w:t>Dressing supports for lymphoedema</w:t>
      </w:r>
    </w:p>
    <w:p w14:paraId="51DC8F51" w14:textId="77777777" w:rsidR="00CF02AF" w:rsidRPr="00636B05" w:rsidRDefault="00CF02AF" w:rsidP="00FB2F79">
      <w:pPr>
        <w:pStyle w:val="TableBullet1"/>
      </w:pPr>
      <w:r w:rsidRPr="00636B05">
        <w:t>Seating for personal Activities of Daily Living</w:t>
      </w:r>
    </w:p>
    <w:p w14:paraId="1572EC99" w14:textId="77777777" w:rsidR="00CF02AF" w:rsidRPr="00636B05" w:rsidRDefault="00CF02AF" w:rsidP="00FB2F79">
      <w:pPr>
        <w:pStyle w:val="TableBullet1"/>
      </w:pPr>
      <w:r w:rsidRPr="00636B05">
        <w:t>Bathroom and toilet handrails; shower hose, shower seating</w:t>
      </w:r>
    </w:p>
    <w:p w14:paraId="74EB58B6" w14:textId="77777777" w:rsidR="00CF02AF" w:rsidRPr="00636B05" w:rsidRDefault="00CF02AF" w:rsidP="00FB2F79">
      <w:pPr>
        <w:pStyle w:val="TableBullet1"/>
      </w:pPr>
      <w:r w:rsidRPr="00636B05">
        <w:t>Continence pads</w:t>
      </w:r>
    </w:p>
    <w:p w14:paraId="03B721A0" w14:textId="77777777" w:rsidR="00CF02AF" w:rsidRPr="00636B05" w:rsidRDefault="00CF02AF" w:rsidP="00FB2F79">
      <w:pPr>
        <w:pStyle w:val="TableBullet1"/>
      </w:pPr>
      <w:r w:rsidRPr="00636B05">
        <w:t>Bed mobility</w:t>
      </w:r>
    </w:p>
    <w:p w14:paraId="2391B2FF" w14:textId="77777777" w:rsidR="00CF02AF" w:rsidRPr="00636B05" w:rsidRDefault="00CF02AF" w:rsidP="00FB2F79">
      <w:pPr>
        <w:pStyle w:val="TableBullet1"/>
      </w:pPr>
      <w:r w:rsidRPr="00636B05">
        <w:t>Medication management system</w:t>
      </w:r>
    </w:p>
    <w:p w14:paraId="278C9922" w14:textId="77777777" w:rsidR="00CF02AF" w:rsidRPr="00636B05" w:rsidRDefault="00CF02AF" w:rsidP="00FB2F79">
      <w:pPr>
        <w:pStyle w:val="TableBullet1"/>
      </w:pPr>
      <w:r w:rsidRPr="00636B05">
        <w:t>Mobility scooter</w:t>
      </w:r>
    </w:p>
    <w:p w14:paraId="04ACB77B" w14:textId="77777777" w:rsidR="00B34892" w:rsidRDefault="00B34892" w:rsidP="00B34892">
      <w:pPr>
        <w:rPr>
          <w:b/>
          <w:sz w:val="28"/>
          <w:szCs w:val="28"/>
        </w:rPr>
      </w:pPr>
    </w:p>
    <w:p w14:paraId="57DB858B" w14:textId="3DC68A19" w:rsidR="00CF02AF" w:rsidRPr="00B34892" w:rsidRDefault="00CF02AF" w:rsidP="00B34892">
      <w:pPr>
        <w:rPr>
          <w:b/>
          <w:sz w:val="28"/>
          <w:szCs w:val="28"/>
        </w:rPr>
      </w:pPr>
      <w:r w:rsidRPr="00B34892">
        <w:rPr>
          <w:b/>
          <w:sz w:val="28"/>
          <w:szCs w:val="28"/>
        </w:rPr>
        <w:t>AT Services</w:t>
      </w:r>
    </w:p>
    <w:p w14:paraId="1B9EF752" w14:textId="77777777" w:rsidR="00CF02AF" w:rsidRPr="00636B05" w:rsidRDefault="00CF02AF" w:rsidP="00F426CF">
      <w:pPr>
        <w:pStyle w:val="TableBullet1"/>
      </w:pPr>
      <w:r w:rsidRPr="00636B05">
        <w:t>Allied health assessment</w:t>
      </w:r>
    </w:p>
    <w:p w14:paraId="6B856BC3" w14:textId="096639B8" w:rsidR="00E031D3" w:rsidRPr="00E031D3" w:rsidRDefault="00E031D3" w:rsidP="00E031D3">
      <w:pPr>
        <w:rPr>
          <w:rFonts w:eastAsia="Arial Unicode MS"/>
        </w:rPr>
      </w:pPr>
      <w:r w:rsidRPr="00E031D3">
        <w:br w:type="page"/>
      </w:r>
    </w:p>
    <w:p w14:paraId="31C0FFD1" w14:textId="77777777" w:rsidR="00E031D3" w:rsidRPr="00E031D3" w:rsidRDefault="00E031D3" w:rsidP="00E031D3">
      <w:pPr>
        <w:sectPr w:rsidR="00E031D3" w:rsidRPr="00E031D3" w:rsidSect="00996C17">
          <w:type w:val="continuous"/>
          <w:pgSz w:w="11907" w:h="16840" w:code="9"/>
          <w:pgMar w:top="1134" w:right="1134" w:bottom="1134" w:left="1134" w:header="567" w:footer="851" w:gutter="0"/>
          <w:cols w:num="2" w:space="708"/>
          <w:docGrid w:linePitch="360"/>
        </w:sectPr>
      </w:pPr>
    </w:p>
    <w:p w14:paraId="4475A7FD" w14:textId="53EC57C9" w:rsidR="00CF02AF" w:rsidRPr="00B34892" w:rsidRDefault="00CF02AF" w:rsidP="00B34892">
      <w:pPr>
        <w:rPr>
          <w:b/>
          <w:sz w:val="32"/>
          <w:szCs w:val="32"/>
        </w:rPr>
      </w:pPr>
      <w:r w:rsidRPr="00B34892">
        <w:rPr>
          <w:b/>
          <w:sz w:val="32"/>
          <w:szCs w:val="32"/>
        </w:rPr>
        <w:lastRenderedPageBreak/>
        <w:t>Archetype 9: Home Care Package</w:t>
      </w:r>
      <w:r w:rsidR="00861912" w:rsidRPr="00B34892">
        <w:rPr>
          <w:b/>
          <w:sz w:val="32"/>
          <w:szCs w:val="32"/>
        </w:rPr>
        <w:t xml:space="preserve"> – </w:t>
      </w:r>
      <w:r w:rsidRPr="00B34892">
        <w:rPr>
          <w:b/>
          <w:sz w:val="32"/>
          <w:szCs w:val="32"/>
        </w:rPr>
        <w:t>Level 1</w:t>
      </w:r>
    </w:p>
    <w:p w14:paraId="7C2E4BAD" w14:textId="77777777" w:rsidR="00E031D3" w:rsidRDefault="00E031D3" w:rsidP="00E031D3">
      <w:pPr>
        <w:pStyle w:val="Paragraph"/>
        <w:sectPr w:rsidR="00E031D3" w:rsidSect="00E031D3">
          <w:type w:val="continuous"/>
          <w:pgSz w:w="11907" w:h="16840" w:code="9"/>
          <w:pgMar w:top="1134" w:right="1134" w:bottom="1134" w:left="1134" w:header="567" w:footer="851" w:gutter="0"/>
          <w:cols w:space="708"/>
          <w:docGrid w:linePitch="360"/>
        </w:sectPr>
      </w:pPr>
    </w:p>
    <w:p w14:paraId="40090D56" w14:textId="77777777" w:rsidR="00B34892" w:rsidRDefault="00B34892" w:rsidP="00E031D3">
      <w:pPr>
        <w:pStyle w:val="Paragraph"/>
      </w:pPr>
    </w:p>
    <w:p w14:paraId="3C54209E" w14:textId="5C443744" w:rsidR="00CF02AF" w:rsidRPr="00E031D3" w:rsidRDefault="00F33447" w:rsidP="00E031D3">
      <w:pPr>
        <w:pStyle w:val="Paragraph"/>
      </w:pPr>
      <w:r>
        <w:t>Mrs </w:t>
      </w:r>
      <w:r w:rsidR="00CF02AF" w:rsidRPr="00636B05">
        <w:t>H was assessed by an ACAT clinician in her privately-</w:t>
      </w:r>
      <w:r w:rsidR="00CF02AF" w:rsidRPr="00E031D3">
        <w:t xml:space="preserve">owned home where she lives alone. </w:t>
      </w:r>
      <w:r>
        <w:t>Mrs </w:t>
      </w:r>
      <w:r w:rsidR="00CF02AF" w:rsidRPr="00E031D3">
        <w:t xml:space="preserve">H has increasing health issues and her daughter stated that there is increasing indication of memory loss. At this time there is no Power of Attorney or Enduring Guardian in place. </w:t>
      </w:r>
    </w:p>
    <w:p w14:paraId="027434E1" w14:textId="6D944524" w:rsidR="00CF02AF" w:rsidRPr="00E031D3" w:rsidRDefault="00F33447" w:rsidP="00E031D3">
      <w:pPr>
        <w:pStyle w:val="Paragraph"/>
      </w:pPr>
      <w:r>
        <w:t>Mrs </w:t>
      </w:r>
      <w:r w:rsidR="00CF02AF" w:rsidRPr="00E031D3">
        <w:t xml:space="preserve">H has a history of falls. Currently she is mobilising with the assistance of a four-wheeled walker. </w:t>
      </w:r>
      <w:r>
        <w:t>Mrs </w:t>
      </w:r>
      <w:r w:rsidR="00CF02AF" w:rsidRPr="00E031D3">
        <w:t xml:space="preserve">H finds it difficult to be comfortable due to ongoing issues with pain. </w:t>
      </w:r>
    </w:p>
    <w:p w14:paraId="3F1D494C" w14:textId="268720D6" w:rsidR="00CF02AF" w:rsidRPr="00E031D3" w:rsidRDefault="00F33447" w:rsidP="00E031D3">
      <w:pPr>
        <w:pStyle w:val="Paragraph"/>
      </w:pPr>
      <w:r>
        <w:t>Mrs </w:t>
      </w:r>
      <w:r w:rsidR="00CF02AF" w:rsidRPr="00E031D3">
        <w:t xml:space="preserve">H wears glasses for reading, has had no recent changes in vision. She does not need hearing aids and there is no difficulty with speech or swallowing. </w:t>
      </w:r>
    </w:p>
    <w:p w14:paraId="6191ACDF" w14:textId="0293E3EA" w:rsidR="00CF02AF" w:rsidRPr="00E031D3" w:rsidRDefault="00F33447" w:rsidP="00E031D3">
      <w:pPr>
        <w:pStyle w:val="Paragraph"/>
      </w:pPr>
      <w:r>
        <w:t>Mrs </w:t>
      </w:r>
      <w:r w:rsidR="00CF02AF" w:rsidRPr="00E031D3">
        <w:t xml:space="preserve">H wears a Vital Call button at all times. </w:t>
      </w:r>
    </w:p>
    <w:p w14:paraId="1B1BCC36" w14:textId="77777777" w:rsidR="00E031D3" w:rsidRPr="00B34892" w:rsidRDefault="00CF02AF" w:rsidP="00B34892">
      <w:pPr>
        <w:rPr>
          <w:b/>
          <w:sz w:val="28"/>
          <w:szCs w:val="28"/>
        </w:rPr>
      </w:pPr>
      <w:r w:rsidRPr="00B34892">
        <w:rPr>
          <w:b/>
          <w:sz w:val="28"/>
          <w:szCs w:val="28"/>
        </w:rPr>
        <w:t>Condition</w:t>
      </w:r>
      <w:r w:rsidR="00996C17" w:rsidRPr="00B34892">
        <w:rPr>
          <w:b/>
          <w:sz w:val="28"/>
          <w:szCs w:val="28"/>
        </w:rPr>
        <w:t>:</w:t>
      </w:r>
    </w:p>
    <w:p w14:paraId="4D194930" w14:textId="26A17A91" w:rsidR="00CF02AF" w:rsidRPr="00E031D3" w:rsidRDefault="00F33447" w:rsidP="00E031D3">
      <w:pPr>
        <w:pStyle w:val="Paragraph"/>
      </w:pPr>
      <w:r>
        <w:t>Mrs </w:t>
      </w:r>
      <w:r w:rsidR="00CF02AF" w:rsidRPr="00E031D3">
        <w:t>H has monthly check-ups with her GP, and her medical history includes</w:t>
      </w:r>
      <w:r w:rsidR="00996C17" w:rsidRPr="00E031D3">
        <w:t xml:space="preserve"> </w:t>
      </w:r>
      <w:r w:rsidR="00CF02AF" w:rsidRPr="00E031D3">
        <w:t>chronic back pain</w:t>
      </w:r>
      <w:r w:rsidR="00996C17" w:rsidRPr="00E031D3">
        <w:t xml:space="preserve">, </w:t>
      </w:r>
      <w:r w:rsidR="00CF02AF" w:rsidRPr="00E031D3">
        <w:t>osteoarthritis</w:t>
      </w:r>
      <w:r w:rsidR="00996C17" w:rsidRPr="00E031D3">
        <w:t xml:space="preserve">, </w:t>
      </w:r>
      <w:r w:rsidR="00CF02AF" w:rsidRPr="00E031D3">
        <w:t>peripheral neuropathy in her feet</w:t>
      </w:r>
      <w:r w:rsidR="00996C17" w:rsidRPr="00E031D3">
        <w:t xml:space="preserve">, </w:t>
      </w:r>
      <w:r w:rsidR="00CF02AF" w:rsidRPr="00E031D3">
        <w:t>GORD</w:t>
      </w:r>
      <w:r w:rsidR="00996C17" w:rsidRPr="00E031D3">
        <w:t xml:space="preserve">, </w:t>
      </w:r>
      <w:r w:rsidR="00CF02AF" w:rsidRPr="00E031D3">
        <w:t>COPD</w:t>
      </w:r>
      <w:r w:rsidR="00996C17" w:rsidRPr="00E031D3">
        <w:t xml:space="preserve">, </w:t>
      </w:r>
      <w:r w:rsidR="00CF02AF" w:rsidRPr="00E031D3">
        <w:t>hypertension</w:t>
      </w:r>
      <w:r w:rsidR="00996C17" w:rsidRPr="00E031D3">
        <w:t xml:space="preserve">, </w:t>
      </w:r>
      <w:r w:rsidR="00CF02AF" w:rsidRPr="00E031D3">
        <w:t>bilateral knee replacements</w:t>
      </w:r>
      <w:r w:rsidR="00996C17" w:rsidRPr="00E031D3">
        <w:t xml:space="preserve">, </w:t>
      </w:r>
      <w:r w:rsidR="00CF02AF" w:rsidRPr="00E031D3">
        <w:t xml:space="preserve">a right mastectomy and reconstruction in 2006. </w:t>
      </w:r>
    </w:p>
    <w:p w14:paraId="5E19887C" w14:textId="24F167C6" w:rsidR="00CF02AF" w:rsidRPr="00E031D3" w:rsidRDefault="00CF02AF" w:rsidP="00E031D3">
      <w:pPr>
        <w:pStyle w:val="Paragraph"/>
      </w:pPr>
      <w:r w:rsidRPr="00E031D3">
        <w:t xml:space="preserve">She has noticeable lymphoedema in her right arm and hand. </w:t>
      </w:r>
      <w:r w:rsidR="00F33447">
        <w:t>Mrs </w:t>
      </w:r>
      <w:r w:rsidRPr="00E031D3">
        <w:t>H has had two recent episodes of bowel incontinence, lacks sensation from her bladder and uses continence aids.</w:t>
      </w:r>
    </w:p>
    <w:p w14:paraId="1495D2EB" w14:textId="58BC779B" w:rsidR="00CF02AF" w:rsidRPr="00E031D3" w:rsidRDefault="00F33447" w:rsidP="00E031D3">
      <w:pPr>
        <w:pStyle w:val="Paragraph"/>
      </w:pPr>
      <w:r>
        <w:t>Mrs </w:t>
      </w:r>
      <w:r w:rsidR="00CF02AF" w:rsidRPr="00E031D3">
        <w:t>H’s mobility is limited and has declined recently.</w:t>
      </w:r>
    </w:p>
    <w:p w14:paraId="1FD303AF" w14:textId="77777777" w:rsidR="00B34892" w:rsidRDefault="00B34892" w:rsidP="00E031D3">
      <w:pPr>
        <w:pStyle w:val="Subhead1"/>
      </w:pPr>
    </w:p>
    <w:p w14:paraId="1DDDF8CA" w14:textId="64C9767A" w:rsidR="00E031D3" w:rsidRPr="00B34892" w:rsidRDefault="00CF02AF" w:rsidP="00B34892">
      <w:pPr>
        <w:rPr>
          <w:b/>
          <w:sz w:val="28"/>
          <w:szCs w:val="28"/>
        </w:rPr>
      </w:pPr>
      <w:r w:rsidRPr="00B34892">
        <w:rPr>
          <w:b/>
          <w:sz w:val="28"/>
          <w:szCs w:val="28"/>
        </w:rPr>
        <w:t>Indicators</w:t>
      </w:r>
      <w:r w:rsidR="00996C17" w:rsidRPr="00B34892">
        <w:rPr>
          <w:b/>
          <w:sz w:val="28"/>
          <w:szCs w:val="28"/>
        </w:rPr>
        <w:t>:</w:t>
      </w:r>
    </w:p>
    <w:p w14:paraId="0CE8EFE7" w14:textId="02A20D1E" w:rsidR="00CF02AF" w:rsidRPr="00E031D3" w:rsidRDefault="00CF02AF" w:rsidP="00E031D3">
      <w:pPr>
        <w:pStyle w:val="Paragraph"/>
      </w:pPr>
      <w:r w:rsidRPr="00E031D3">
        <w:t>Personal care safety and independence</w:t>
      </w:r>
    </w:p>
    <w:p w14:paraId="5F482B49" w14:textId="50F68CBD" w:rsidR="00CF02AF" w:rsidRPr="00B34892" w:rsidRDefault="00CF02AF" w:rsidP="00B34892">
      <w:pPr>
        <w:rPr>
          <w:b/>
          <w:sz w:val="28"/>
          <w:szCs w:val="28"/>
        </w:rPr>
      </w:pPr>
      <w:r w:rsidRPr="00B34892">
        <w:rPr>
          <w:b/>
          <w:sz w:val="28"/>
          <w:szCs w:val="28"/>
        </w:rPr>
        <w:t>Recommendations</w:t>
      </w:r>
      <w:r w:rsidR="00996C17" w:rsidRPr="00B34892">
        <w:rPr>
          <w:b/>
          <w:sz w:val="28"/>
          <w:szCs w:val="28"/>
        </w:rPr>
        <w:t>:</w:t>
      </w:r>
    </w:p>
    <w:p w14:paraId="6EB17C76" w14:textId="77777777" w:rsidR="00CF02AF" w:rsidRPr="00636B05" w:rsidRDefault="00CF02AF" w:rsidP="00FB2F79">
      <w:pPr>
        <w:pStyle w:val="TableBullet1"/>
      </w:pPr>
      <w:r w:rsidRPr="00636B05">
        <w:t>Minimum agreed interim package level: Home Care Package Level 1</w:t>
      </w:r>
    </w:p>
    <w:p w14:paraId="2A00BF1E" w14:textId="77777777" w:rsidR="00CF02AF" w:rsidRPr="00636B05" w:rsidRDefault="00CF02AF" w:rsidP="00FB2F79">
      <w:pPr>
        <w:pStyle w:val="TableBullet1"/>
      </w:pPr>
      <w:r w:rsidRPr="00636B05">
        <w:t>AT recommendations:</w:t>
      </w:r>
    </w:p>
    <w:p w14:paraId="79B0AC4D" w14:textId="77777777" w:rsidR="00CF02AF" w:rsidRPr="00636B05" w:rsidRDefault="00CF02AF" w:rsidP="00BE1A58">
      <w:pPr>
        <w:pStyle w:val="TableBullet2"/>
      </w:pPr>
      <w:r w:rsidRPr="00636B05">
        <w:t>Support and mobility aids</w:t>
      </w:r>
    </w:p>
    <w:p w14:paraId="09CEEDFA" w14:textId="77777777" w:rsidR="00CF02AF" w:rsidRPr="00636B05" w:rsidRDefault="00CF02AF" w:rsidP="00BE1A58">
      <w:pPr>
        <w:pStyle w:val="TableBullet2"/>
      </w:pPr>
      <w:r w:rsidRPr="00636B05">
        <w:t>Self-care aids</w:t>
      </w:r>
    </w:p>
    <w:p w14:paraId="628C47CA" w14:textId="77777777" w:rsidR="00CF02AF" w:rsidRPr="00636B05" w:rsidRDefault="00CF02AF" w:rsidP="00BE1A58">
      <w:pPr>
        <w:pStyle w:val="TableBullet2"/>
      </w:pPr>
      <w:r w:rsidRPr="00636B05">
        <w:t>Medical care aids</w:t>
      </w:r>
    </w:p>
    <w:p w14:paraId="3AAB0486" w14:textId="77777777" w:rsidR="00CF02AF" w:rsidRPr="00636B05" w:rsidRDefault="00CF02AF" w:rsidP="00BE1A58">
      <w:pPr>
        <w:pStyle w:val="TableBullet2"/>
      </w:pPr>
      <w:r w:rsidRPr="00636B05">
        <w:t>Other goods and equipment, including rails in bathroom areas (currently has suction rails)</w:t>
      </w:r>
    </w:p>
    <w:p w14:paraId="4DD950FC" w14:textId="77777777" w:rsidR="00CF02AF" w:rsidRPr="00636B05" w:rsidRDefault="00CF02AF" w:rsidP="00BE1A58">
      <w:pPr>
        <w:pStyle w:val="TableBullet2"/>
      </w:pPr>
      <w:r w:rsidRPr="00636B05">
        <w:t>Allied health and therapy services</w:t>
      </w:r>
    </w:p>
    <w:p w14:paraId="2504B841" w14:textId="77777777" w:rsidR="00CF02AF" w:rsidRPr="00636B05" w:rsidRDefault="00CF02AF" w:rsidP="00BE1A58">
      <w:pPr>
        <w:pStyle w:val="TableBullet2"/>
      </w:pPr>
      <w:r w:rsidRPr="00636B05">
        <w:t>Social support.</w:t>
      </w:r>
    </w:p>
    <w:p w14:paraId="680FF2D5" w14:textId="77777777" w:rsidR="00B34892" w:rsidRDefault="00B34892" w:rsidP="00B34892">
      <w:pPr>
        <w:rPr>
          <w:b/>
          <w:sz w:val="28"/>
          <w:szCs w:val="28"/>
        </w:rPr>
      </w:pPr>
    </w:p>
    <w:p w14:paraId="411D4DE2" w14:textId="2A8C6BCA" w:rsidR="00CF02AF" w:rsidRPr="00B34892" w:rsidRDefault="00CF02AF" w:rsidP="00B34892">
      <w:pPr>
        <w:rPr>
          <w:b/>
          <w:sz w:val="28"/>
          <w:szCs w:val="28"/>
        </w:rPr>
      </w:pPr>
      <w:r w:rsidRPr="00B34892">
        <w:rPr>
          <w:b/>
          <w:sz w:val="28"/>
          <w:szCs w:val="28"/>
        </w:rPr>
        <w:t>AT Products</w:t>
      </w:r>
    </w:p>
    <w:p w14:paraId="1C41C0C1" w14:textId="77777777" w:rsidR="00CF02AF" w:rsidRPr="00636B05" w:rsidRDefault="00CF02AF" w:rsidP="00FB2F79">
      <w:pPr>
        <w:pStyle w:val="TableText"/>
      </w:pPr>
      <w:r w:rsidRPr="00636B05">
        <w:t xml:space="preserve">Indicative </w:t>
      </w:r>
      <w:r>
        <w:t>products and services</w:t>
      </w:r>
      <w:r w:rsidRPr="00636B05">
        <w:t>:</w:t>
      </w:r>
    </w:p>
    <w:p w14:paraId="218C63F0" w14:textId="77777777" w:rsidR="00CF02AF" w:rsidRPr="00636B05" w:rsidRDefault="00CF02AF" w:rsidP="00FB2F79">
      <w:pPr>
        <w:pStyle w:val="TableBullet1"/>
      </w:pPr>
      <w:r w:rsidRPr="00636B05">
        <w:t>Kitchen/laundry trolley</w:t>
      </w:r>
    </w:p>
    <w:p w14:paraId="21E2AE07" w14:textId="77777777" w:rsidR="00CF02AF" w:rsidRPr="00636B05" w:rsidRDefault="00CF02AF" w:rsidP="00FB2F79">
      <w:pPr>
        <w:pStyle w:val="TableBullet1"/>
      </w:pPr>
      <w:r w:rsidRPr="00636B05">
        <w:t>Dressing supports for lymphoedema</w:t>
      </w:r>
    </w:p>
    <w:p w14:paraId="103B1318" w14:textId="77777777" w:rsidR="00CF02AF" w:rsidRPr="00636B05" w:rsidRDefault="00CF02AF" w:rsidP="00FB2F79">
      <w:pPr>
        <w:pStyle w:val="TableBullet1"/>
      </w:pPr>
      <w:r w:rsidRPr="00636B05">
        <w:t>Seating for personal ADLs</w:t>
      </w:r>
    </w:p>
    <w:p w14:paraId="45583D4F" w14:textId="77777777" w:rsidR="00CF02AF" w:rsidRPr="00636B05" w:rsidRDefault="00CF02AF" w:rsidP="00FB2F79">
      <w:pPr>
        <w:pStyle w:val="TableBullet1"/>
      </w:pPr>
      <w:r w:rsidRPr="00636B05">
        <w:t>Bathroom and toilet handrails, shower hose, shower seating</w:t>
      </w:r>
    </w:p>
    <w:p w14:paraId="6534E560" w14:textId="77777777" w:rsidR="00CF02AF" w:rsidRPr="00636B05" w:rsidRDefault="00CF02AF" w:rsidP="00FB2F79">
      <w:pPr>
        <w:pStyle w:val="TableBullet1"/>
      </w:pPr>
      <w:r w:rsidRPr="00636B05">
        <w:t>Continence pads</w:t>
      </w:r>
    </w:p>
    <w:p w14:paraId="3950805F" w14:textId="77777777" w:rsidR="00CF02AF" w:rsidRPr="00636B05" w:rsidRDefault="00CF02AF" w:rsidP="00FB2F79">
      <w:pPr>
        <w:pStyle w:val="TableBullet1"/>
      </w:pPr>
      <w:r w:rsidRPr="00636B05">
        <w:t>Bed mobility</w:t>
      </w:r>
    </w:p>
    <w:p w14:paraId="605996F3" w14:textId="77777777" w:rsidR="00CF02AF" w:rsidRPr="00636B05" w:rsidRDefault="00CF02AF" w:rsidP="00FB2F79">
      <w:pPr>
        <w:pStyle w:val="TableBullet1"/>
      </w:pPr>
      <w:r w:rsidRPr="00636B05">
        <w:t>Medication management system</w:t>
      </w:r>
    </w:p>
    <w:p w14:paraId="6800CB55" w14:textId="77777777" w:rsidR="00CF02AF" w:rsidRPr="00636B05" w:rsidRDefault="00CF02AF" w:rsidP="00FB2F79">
      <w:pPr>
        <w:pStyle w:val="TableBullet1"/>
      </w:pPr>
      <w:r w:rsidRPr="00636B05">
        <w:t>Mobility scooter</w:t>
      </w:r>
    </w:p>
    <w:p w14:paraId="0FE7235A" w14:textId="77777777" w:rsidR="00B34892" w:rsidRDefault="00B34892" w:rsidP="00B34892">
      <w:pPr>
        <w:rPr>
          <w:b/>
          <w:sz w:val="28"/>
          <w:szCs w:val="28"/>
        </w:rPr>
      </w:pPr>
    </w:p>
    <w:p w14:paraId="01855AAB" w14:textId="2D39726A" w:rsidR="00CF02AF" w:rsidRPr="00B34892" w:rsidRDefault="00CF02AF" w:rsidP="00B34892">
      <w:pPr>
        <w:rPr>
          <w:b/>
          <w:sz w:val="28"/>
          <w:szCs w:val="28"/>
        </w:rPr>
      </w:pPr>
      <w:r w:rsidRPr="00B34892">
        <w:rPr>
          <w:b/>
          <w:sz w:val="28"/>
          <w:szCs w:val="28"/>
        </w:rPr>
        <w:t>AT Services</w:t>
      </w:r>
    </w:p>
    <w:p w14:paraId="73F3FCFA" w14:textId="77777777" w:rsidR="00CF02AF" w:rsidRPr="00636B05" w:rsidRDefault="00CF02AF" w:rsidP="00996C17">
      <w:pPr>
        <w:pStyle w:val="TableBullet1"/>
      </w:pPr>
      <w:r w:rsidRPr="00636B05">
        <w:t>Allied health assessment</w:t>
      </w:r>
    </w:p>
    <w:p w14:paraId="2873B424" w14:textId="1A2F3115" w:rsidR="00720A55" w:rsidRPr="00720A55" w:rsidRDefault="00720A55" w:rsidP="00720A55">
      <w:pPr>
        <w:rPr>
          <w:rFonts w:eastAsia="Arial Unicode MS"/>
        </w:rPr>
      </w:pPr>
      <w:r w:rsidRPr="00720A55">
        <w:br w:type="page"/>
      </w:r>
    </w:p>
    <w:p w14:paraId="1F7AACB3" w14:textId="77777777" w:rsidR="00720A55" w:rsidRPr="00720A55" w:rsidRDefault="00720A55" w:rsidP="00720A55">
      <w:pPr>
        <w:sectPr w:rsidR="00720A55" w:rsidRPr="00720A55" w:rsidSect="00996C17">
          <w:type w:val="continuous"/>
          <w:pgSz w:w="11907" w:h="16840" w:code="9"/>
          <w:pgMar w:top="1134" w:right="1134" w:bottom="1134" w:left="1134" w:header="567" w:footer="851" w:gutter="0"/>
          <w:cols w:num="2" w:space="708"/>
          <w:docGrid w:linePitch="360"/>
        </w:sectPr>
      </w:pPr>
    </w:p>
    <w:p w14:paraId="2C687630" w14:textId="23B8B85B" w:rsidR="00CF02AF" w:rsidRPr="00F426CF" w:rsidRDefault="00CF02AF" w:rsidP="00B4797D">
      <w:pPr>
        <w:pStyle w:val="Archetype"/>
      </w:pPr>
      <w:r w:rsidRPr="00F426CF">
        <w:lastRenderedPageBreak/>
        <w:t>Archetype 10: Home Care Package</w:t>
      </w:r>
      <w:r w:rsidR="00861912">
        <w:t xml:space="preserve"> – </w:t>
      </w:r>
      <w:r w:rsidRPr="00F426CF">
        <w:t>Level 2</w:t>
      </w:r>
    </w:p>
    <w:p w14:paraId="1CCD1091" w14:textId="77777777" w:rsidR="00720A55" w:rsidRDefault="00720A55" w:rsidP="00E031D3">
      <w:pPr>
        <w:pStyle w:val="Paragraph"/>
        <w:sectPr w:rsidR="00720A55" w:rsidSect="00720A55">
          <w:type w:val="continuous"/>
          <w:pgSz w:w="11907" w:h="16840" w:code="9"/>
          <w:pgMar w:top="1134" w:right="1134" w:bottom="1134" w:left="1134" w:header="567" w:footer="851" w:gutter="0"/>
          <w:cols w:space="708"/>
          <w:docGrid w:linePitch="360"/>
        </w:sectPr>
      </w:pPr>
    </w:p>
    <w:p w14:paraId="6F6C79C2" w14:textId="0FE4612D" w:rsidR="00CF02AF" w:rsidRPr="00E031D3" w:rsidRDefault="00F33447" w:rsidP="00C61CD3">
      <w:pPr>
        <w:pStyle w:val="Paragraph"/>
        <w:spacing w:before="0"/>
      </w:pPr>
      <w:r>
        <w:t>Mr </w:t>
      </w:r>
      <w:r w:rsidR="00CF02AF" w:rsidRPr="00636B05">
        <w:t xml:space="preserve">I, aged 92, was referred by a hospital </w:t>
      </w:r>
      <w:r w:rsidR="00CF02AF" w:rsidRPr="00E031D3">
        <w:t xml:space="preserve">discharge planner to determine his eligibility to access aged care services. </w:t>
      </w:r>
      <w:r>
        <w:t>Mr </w:t>
      </w:r>
      <w:r w:rsidR="00CF02AF" w:rsidRPr="00E031D3">
        <w:t xml:space="preserve">I is a widower and lives alone in his own home, with two sons living locally. He has a weekly private cleaner, and his sons help with lawn mowing, and splitting and bringing in wood in the winter. His friends are providing some cooked meals on an irregular basis. </w:t>
      </w:r>
      <w:r>
        <w:t>Mr </w:t>
      </w:r>
      <w:r w:rsidR="00CF02AF" w:rsidRPr="00E031D3">
        <w:t>I was managing his own shopping until recently and his sons will help in the short term. He loves to spend time researching on the internet or emailing.</w:t>
      </w:r>
    </w:p>
    <w:p w14:paraId="1771CAF1" w14:textId="77777777" w:rsidR="00720A55" w:rsidRDefault="00CF02AF" w:rsidP="00720A55">
      <w:pPr>
        <w:pStyle w:val="Subhead1"/>
      </w:pPr>
      <w:r w:rsidRPr="00E031D3">
        <w:t>Condition</w:t>
      </w:r>
      <w:r w:rsidR="00996C17" w:rsidRPr="00E031D3">
        <w:t xml:space="preserve">: </w:t>
      </w:r>
    </w:p>
    <w:p w14:paraId="108470FF" w14:textId="5EF8F806" w:rsidR="00CF02AF" w:rsidRPr="00E031D3" w:rsidRDefault="00F33447" w:rsidP="00E031D3">
      <w:pPr>
        <w:pStyle w:val="Paragraph"/>
      </w:pPr>
      <w:r>
        <w:t>Mr </w:t>
      </w:r>
      <w:r w:rsidR="00CF02AF" w:rsidRPr="00E031D3">
        <w:t xml:space="preserve">I was recently in hospital with a suspected bowel obstruction. He is very concerned about his short-term memory loss and states that this has been troublesome for the last couple of months, but his son thinks that there may have been a gradual decline over a longer period of time. </w:t>
      </w:r>
      <w:r>
        <w:t>Mr </w:t>
      </w:r>
      <w:r w:rsidR="00CF02AF" w:rsidRPr="00E031D3">
        <w:t xml:space="preserve">I’s MMSE score is 27/30 and he was challenged only in the recall area. </w:t>
      </w:r>
    </w:p>
    <w:p w14:paraId="43EF9B3D" w14:textId="51145AF1" w:rsidR="00CF02AF" w:rsidRPr="00E031D3" w:rsidRDefault="00F33447" w:rsidP="00E031D3">
      <w:pPr>
        <w:pStyle w:val="Paragraph"/>
      </w:pPr>
      <w:r>
        <w:t>Mr </w:t>
      </w:r>
      <w:r w:rsidR="00CF02AF" w:rsidRPr="00E031D3">
        <w:t xml:space="preserve">I has hearing loss and does use bilateral hearing aids. He has reduced vision in his left eye (from birth) and wears glasses. He has trouble sleeping at times. </w:t>
      </w:r>
      <w:r>
        <w:t>Mr </w:t>
      </w:r>
      <w:r w:rsidR="00CF02AF" w:rsidRPr="00E031D3">
        <w:t xml:space="preserve">I transfers with difficulty and uses aids such as pull belts, poles, furniture and fittings. He is mobilising across short distances using either a walking stick or a wheelie walker. He gets very breathless on exertion (even when conversing) and has to rest often. He had one recent fall when overbalanced and was unable to get himself back upright without someone to help him. His gait is slow and shuffling, and he tends to balance himself by leaning backwards. He is currently using a shower stool to undress and shower. He has trouble drying his feet. He also has trouble donning shoes and socks (so tends not to use them). He would benefit from minor assistance. He attends to his own toileting with no incontinence issues identified. </w:t>
      </w:r>
    </w:p>
    <w:p w14:paraId="5A233A44" w14:textId="3671B777" w:rsidR="00CF02AF" w:rsidRPr="00E031D3" w:rsidRDefault="00C61CD3" w:rsidP="00C61CD3">
      <w:pPr>
        <w:pStyle w:val="Paragraph"/>
        <w:spacing w:before="0"/>
      </w:pPr>
      <w:r>
        <w:br w:type="column"/>
      </w:r>
      <w:r w:rsidR="00F33447">
        <w:t>Mr </w:t>
      </w:r>
      <w:r w:rsidR="00CF02AF" w:rsidRPr="00E031D3">
        <w:t xml:space="preserve">I currently estimates his weight to be 80kg and he has no reported recent weight loss. He has a protruding abdomen. He believes that cabbage, cauliflower, </w:t>
      </w:r>
      <w:r w:rsidR="00865D87">
        <w:t>b</w:t>
      </w:r>
      <w:r w:rsidR="00CF02AF" w:rsidRPr="00E031D3">
        <w:t>russel</w:t>
      </w:r>
      <w:r w:rsidR="00865D87">
        <w:t>s</w:t>
      </w:r>
      <w:r w:rsidR="00CF02AF" w:rsidRPr="00E031D3">
        <w:t xml:space="preserve"> sprouts and onions have contributed to his recent bowel issue and is avoiding them. He would like to access MOW as he no longer cooks meals for himself but does get his own breakfast and snacks. His private cleaner attends to the heavy cleaning and laundry tasks. </w:t>
      </w:r>
      <w:r w:rsidR="00F33447">
        <w:t>Mr </w:t>
      </w:r>
      <w:r w:rsidR="00CF02AF" w:rsidRPr="00E031D3">
        <w:t xml:space="preserve">I now needs help with transport, shopping and main meals. </w:t>
      </w:r>
    </w:p>
    <w:p w14:paraId="147F2B02" w14:textId="1961E1E4" w:rsidR="00CF02AF" w:rsidRPr="00E031D3" w:rsidRDefault="00F33447" w:rsidP="00E031D3">
      <w:pPr>
        <w:pStyle w:val="Paragraph"/>
      </w:pPr>
      <w:r>
        <w:t>Mr </w:t>
      </w:r>
      <w:r w:rsidR="00CF02AF" w:rsidRPr="00E031D3">
        <w:t>I lives in an older-style brick home on one level, with one large step out to the side of the home that he struggles with. He has a secure handrail in the shower recess but there remains a 10 cm step into the shower. There is no rail near the toilet. He would benefit from OT home assessment and possible bed pole for easier bed transfers.</w:t>
      </w:r>
    </w:p>
    <w:p w14:paraId="57F3847C" w14:textId="4E11E625" w:rsidR="00720A55" w:rsidRDefault="00CF02AF" w:rsidP="00720A55">
      <w:pPr>
        <w:pStyle w:val="Subhead1"/>
      </w:pPr>
      <w:r w:rsidRPr="00E031D3">
        <w:t>Recommendations</w:t>
      </w:r>
      <w:r w:rsidR="00996C17" w:rsidRPr="00E031D3">
        <w:t>:</w:t>
      </w:r>
    </w:p>
    <w:p w14:paraId="6B7F69E8" w14:textId="262AEDDA" w:rsidR="00CF02AF" w:rsidRPr="00636B05" w:rsidRDefault="00CF02AF" w:rsidP="00E031D3">
      <w:pPr>
        <w:pStyle w:val="Paragraph"/>
      </w:pPr>
      <w:r w:rsidRPr="00E031D3">
        <w:t>Home Care Package Level 2 to support him at home and potentially provide care coordination, perso</w:t>
      </w:r>
      <w:r w:rsidRPr="00636B05">
        <w:t>nal care assistance, medication supervision, domestic and shopping assistance</w:t>
      </w:r>
    </w:p>
    <w:p w14:paraId="120ED99A" w14:textId="77777777" w:rsidR="00CF02AF" w:rsidRPr="00636B05" w:rsidRDefault="00CF02AF" w:rsidP="00FB2F79">
      <w:pPr>
        <w:pStyle w:val="TableBullet1"/>
      </w:pPr>
      <w:r w:rsidRPr="00636B05">
        <w:t>Goods and equipment: self-care aids and home modifications assessment</w:t>
      </w:r>
    </w:p>
    <w:p w14:paraId="5EBEA736" w14:textId="77777777" w:rsidR="00CF02AF" w:rsidRPr="00636B05" w:rsidRDefault="00CF02AF" w:rsidP="00FB2F79">
      <w:pPr>
        <w:pStyle w:val="TableBullet1"/>
      </w:pPr>
      <w:r w:rsidRPr="00636B05">
        <w:t>Approvals in place for respite and permanent residential care</w:t>
      </w:r>
    </w:p>
    <w:p w14:paraId="53219A48" w14:textId="0EA0F15A" w:rsidR="00CF02AF" w:rsidRDefault="00CF02AF" w:rsidP="00996C17">
      <w:pPr>
        <w:pStyle w:val="TableBullet1"/>
        <w:spacing w:after="240"/>
      </w:pPr>
      <w:r w:rsidRPr="00636B05">
        <w:t>May benefit from a rail near the entrance to his home.</w:t>
      </w:r>
    </w:p>
    <w:p w14:paraId="4B28A9ED" w14:textId="7D6268D9" w:rsidR="00CF02AF" w:rsidRPr="00636B05" w:rsidRDefault="00C61CD3" w:rsidP="00C61CD3">
      <w:pPr>
        <w:pStyle w:val="Subhead1"/>
      </w:pPr>
      <w:r>
        <w:br w:type="column"/>
      </w:r>
      <w:r w:rsidR="00CF02AF" w:rsidRPr="00636B05">
        <w:lastRenderedPageBreak/>
        <w:t>AT Products</w:t>
      </w:r>
    </w:p>
    <w:p w14:paraId="720BC6E8" w14:textId="77777777" w:rsidR="00CF02AF" w:rsidRPr="00636B05" w:rsidRDefault="00CF02AF" w:rsidP="00FB2F79">
      <w:pPr>
        <w:pStyle w:val="TableBullet1"/>
      </w:pPr>
      <w:r w:rsidRPr="00636B05">
        <w:t>Large-dial watch with medication reminder</w:t>
      </w:r>
    </w:p>
    <w:p w14:paraId="48DA9C01" w14:textId="77777777" w:rsidR="00CF02AF" w:rsidRPr="00636B05" w:rsidRDefault="00CF02AF" w:rsidP="00FB2F79">
      <w:pPr>
        <w:pStyle w:val="TableBullet1"/>
      </w:pPr>
      <w:r w:rsidRPr="00636B05">
        <w:t>Falls prevention strategies:</w:t>
      </w:r>
    </w:p>
    <w:p w14:paraId="059FB798" w14:textId="77777777" w:rsidR="00CF02AF" w:rsidRPr="00636B05" w:rsidRDefault="00CF02AF" w:rsidP="00BE1A58">
      <w:pPr>
        <w:pStyle w:val="TableBullet2"/>
      </w:pPr>
      <w:r w:rsidRPr="00636B05">
        <w:t>Rug fasteners</w:t>
      </w:r>
    </w:p>
    <w:p w14:paraId="5B5304E7" w14:textId="77777777" w:rsidR="00CF02AF" w:rsidRPr="00636B05" w:rsidRDefault="00CF02AF" w:rsidP="00BE1A58">
      <w:pPr>
        <w:pStyle w:val="TableBullet2"/>
      </w:pPr>
      <w:r w:rsidRPr="00636B05">
        <w:t>Improved lighting</w:t>
      </w:r>
    </w:p>
    <w:p w14:paraId="1AF00516" w14:textId="77777777" w:rsidR="00CF02AF" w:rsidRPr="00636B05" w:rsidRDefault="00CF02AF" w:rsidP="00BE1A58">
      <w:pPr>
        <w:pStyle w:val="TableBullet2"/>
      </w:pPr>
      <w:r w:rsidRPr="00636B05">
        <w:t>Declutter</w:t>
      </w:r>
    </w:p>
    <w:p w14:paraId="04FFD771" w14:textId="77777777" w:rsidR="00CF02AF" w:rsidRPr="00636B05" w:rsidRDefault="00CF02AF" w:rsidP="00BE1A58">
      <w:pPr>
        <w:pStyle w:val="TableBullet2"/>
      </w:pPr>
      <w:r w:rsidRPr="00636B05">
        <w:t>Organisation of environment for prompting and safety (e.g. set up desk or table with drinks, computer, papers, phone, magnifier, lamp and upright kitchen chair; lounge seating area with blocks under favourite chair, overbed table with tissues, phone, daily task schedule)</w:t>
      </w:r>
    </w:p>
    <w:p w14:paraId="65F8B13C" w14:textId="77777777" w:rsidR="00CF02AF" w:rsidRPr="00636B05" w:rsidRDefault="00CF02AF" w:rsidP="00BE1A58">
      <w:pPr>
        <w:pStyle w:val="TableBullet2"/>
      </w:pPr>
      <w:r w:rsidRPr="00636B05">
        <w:t>Clothing/footwear</w:t>
      </w:r>
    </w:p>
    <w:p w14:paraId="10B44AED" w14:textId="77777777" w:rsidR="00CF02AF" w:rsidRPr="00636B05" w:rsidRDefault="00CF02AF" w:rsidP="00FB2F79">
      <w:pPr>
        <w:pStyle w:val="TableBullet1"/>
      </w:pPr>
      <w:r w:rsidRPr="00636B05">
        <w:t>Clothing/footwear as falls mitigation strategy:</w:t>
      </w:r>
    </w:p>
    <w:p w14:paraId="6FAB30CC" w14:textId="77777777" w:rsidR="00CF02AF" w:rsidRPr="00636B05" w:rsidRDefault="00CF02AF" w:rsidP="00BE1A58">
      <w:pPr>
        <w:pStyle w:val="TableBullet2"/>
      </w:pPr>
      <w:r w:rsidRPr="00636B05">
        <w:t>Extra depth footwear (day shoes and slippers) with velcro</w:t>
      </w:r>
    </w:p>
    <w:p w14:paraId="157C05FC" w14:textId="77777777" w:rsidR="00CF02AF" w:rsidRPr="00636B05" w:rsidRDefault="00CF02AF" w:rsidP="00BE1A58">
      <w:pPr>
        <w:pStyle w:val="TableBullet2"/>
      </w:pPr>
      <w:r w:rsidRPr="00636B05">
        <w:t>Sock donner</w:t>
      </w:r>
    </w:p>
    <w:p w14:paraId="51FE6266" w14:textId="77777777" w:rsidR="00CF02AF" w:rsidRPr="00636B05" w:rsidRDefault="00CF02AF" w:rsidP="00BE1A58">
      <w:pPr>
        <w:pStyle w:val="TableBullet2"/>
      </w:pPr>
      <w:r w:rsidRPr="00636B05">
        <w:t>Easy wear clothing for lower limbs (e.g., https://ilcaustralia.org.au/products/21700)</w:t>
      </w:r>
    </w:p>
    <w:p w14:paraId="2711B255" w14:textId="77777777" w:rsidR="00CF02AF" w:rsidRPr="00636B05" w:rsidRDefault="00CF02AF" w:rsidP="00FB2F79">
      <w:pPr>
        <w:pStyle w:val="TableBullet1"/>
      </w:pPr>
      <w:r w:rsidRPr="00636B05">
        <w:t>Kitchen trolley to carry light meals and drinks, and manage general tasks and demands around the home</w:t>
      </w:r>
    </w:p>
    <w:p w14:paraId="6CF32119" w14:textId="77777777" w:rsidR="00CF02AF" w:rsidRPr="00636B05" w:rsidRDefault="00CF02AF" w:rsidP="00FB2F79">
      <w:pPr>
        <w:pStyle w:val="TableBullet1"/>
      </w:pPr>
      <w:r w:rsidRPr="00636B05">
        <w:t xml:space="preserve">Bathroom </w:t>
      </w:r>
      <w:r>
        <w:t>products and services</w:t>
      </w:r>
      <w:r w:rsidRPr="00636B05">
        <w:t xml:space="preserve"> (shower chair with back, hand shower, handrails, non-slip treatment, toilet rails)</w:t>
      </w:r>
    </w:p>
    <w:p w14:paraId="46499B17" w14:textId="14E7C7D2" w:rsidR="00CF02AF" w:rsidRPr="00636B05" w:rsidRDefault="00CF02AF" w:rsidP="00FB2F79">
      <w:pPr>
        <w:pStyle w:val="TableBullet1"/>
      </w:pPr>
      <w:r w:rsidRPr="00636B05">
        <w:t>Review transfer capacity: assess transfer technique and re-position all transfer surfaces</w:t>
      </w:r>
      <w:r>
        <w:t xml:space="preserve">, </w:t>
      </w:r>
      <w:r w:rsidRPr="00636B05">
        <w:t>handrail at home entrance</w:t>
      </w:r>
    </w:p>
    <w:p w14:paraId="10CFA77C" w14:textId="77777777" w:rsidR="00CF02AF" w:rsidRPr="00636B05" w:rsidRDefault="00CF02AF" w:rsidP="00FB2F79">
      <w:pPr>
        <w:pStyle w:val="TableBullet1"/>
      </w:pPr>
      <w:r w:rsidRPr="00636B05">
        <w:t>Chair mobility</w:t>
      </w:r>
    </w:p>
    <w:p w14:paraId="095909A1" w14:textId="77777777" w:rsidR="00CF02AF" w:rsidRPr="00636B05" w:rsidRDefault="00CF02AF" w:rsidP="00FB2F79">
      <w:pPr>
        <w:pStyle w:val="TableBullet1"/>
      </w:pPr>
      <w:r w:rsidRPr="00636B05">
        <w:t>Bed mobility</w:t>
      </w:r>
    </w:p>
    <w:p w14:paraId="37D32734" w14:textId="77777777" w:rsidR="00CF02AF" w:rsidRPr="00636B05" w:rsidRDefault="00CF02AF" w:rsidP="00FB2F79">
      <w:pPr>
        <w:pStyle w:val="TableBullet1"/>
      </w:pPr>
      <w:r w:rsidRPr="00636B05">
        <w:t>Gait: review wheelie walker to ensure can rise/lower into seat to manage shortness of breath during use</w:t>
      </w:r>
    </w:p>
    <w:p w14:paraId="3A93B4D5" w14:textId="2E4682DD" w:rsidR="00CF02AF" w:rsidRPr="00636B05" w:rsidRDefault="00C61CD3" w:rsidP="00BC3F7D">
      <w:pPr>
        <w:pStyle w:val="Subhead1"/>
      </w:pPr>
      <w:r>
        <w:br w:type="column"/>
      </w:r>
      <w:r w:rsidR="00CF02AF" w:rsidRPr="00636B05">
        <w:t>AT Services</w:t>
      </w:r>
    </w:p>
    <w:p w14:paraId="4F8D1908" w14:textId="77777777" w:rsidR="00CF02AF" w:rsidRPr="00636B05" w:rsidRDefault="00CF02AF" w:rsidP="00F426CF">
      <w:pPr>
        <w:pStyle w:val="TableBullet1"/>
      </w:pPr>
      <w:r w:rsidRPr="00636B05">
        <w:t>Allied health assessment</w:t>
      </w:r>
    </w:p>
    <w:p w14:paraId="30F6F09A" w14:textId="7BDF0ED7" w:rsidR="00720A55" w:rsidRPr="00720A55" w:rsidRDefault="00720A55" w:rsidP="00720A55">
      <w:pPr>
        <w:rPr>
          <w:rFonts w:eastAsia="Arial Unicode MS"/>
        </w:rPr>
      </w:pPr>
      <w:r w:rsidRPr="00720A55">
        <w:br w:type="page"/>
      </w:r>
    </w:p>
    <w:p w14:paraId="37493F40" w14:textId="77777777" w:rsidR="00996C17" w:rsidRPr="00720A55" w:rsidRDefault="00996C17" w:rsidP="00720A55">
      <w:pPr>
        <w:sectPr w:rsidR="00996C17" w:rsidRPr="00720A55" w:rsidSect="00996C17">
          <w:type w:val="continuous"/>
          <w:pgSz w:w="11907" w:h="16840" w:code="9"/>
          <w:pgMar w:top="1134" w:right="1134" w:bottom="1134" w:left="1134" w:header="567" w:footer="851" w:gutter="0"/>
          <w:cols w:num="2" w:space="708"/>
          <w:docGrid w:linePitch="360"/>
        </w:sectPr>
      </w:pPr>
    </w:p>
    <w:p w14:paraId="5DB4811C" w14:textId="12D532BC" w:rsidR="00CF02AF" w:rsidRPr="00F426CF" w:rsidRDefault="00CF02AF" w:rsidP="00B4797D">
      <w:pPr>
        <w:pStyle w:val="Archetype"/>
      </w:pPr>
      <w:r w:rsidRPr="00F426CF">
        <w:lastRenderedPageBreak/>
        <w:t>Archetype 11: Transition care</w:t>
      </w:r>
      <w:r w:rsidR="00861912">
        <w:t xml:space="preserve"> – </w:t>
      </w:r>
      <w:r w:rsidRPr="00F426CF">
        <w:t xml:space="preserve">(stroke) </w:t>
      </w:r>
    </w:p>
    <w:p w14:paraId="0A541363" w14:textId="77777777" w:rsidR="00720A55" w:rsidRDefault="00720A55" w:rsidP="00720A55">
      <w:pPr>
        <w:pStyle w:val="Paragraph"/>
        <w:rPr>
          <w:rFonts w:eastAsia="Calibri"/>
        </w:rPr>
        <w:sectPr w:rsidR="00720A55" w:rsidSect="00CF02AF">
          <w:type w:val="continuous"/>
          <w:pgSz w:w="11907" w:h="16840" w:code="9"/>
          <w:pgMar w:top="1134" w:right="1134" w:bottom="1134" w:left="1134" w:header="567" w:footer="851" w:gutter="0"/>
          <w:cols w:space="708"/>
          <w:docGrid w:linePitch="360"/>
        </w:sectPr>
      </w:pPr>
    </w:p>
    <w:p w14:paraId="0DCBE074" w14:textId="224E8138" w:rsidR="00CF02AF" w:rsidRPr="00720A55" w:rsidRDefault="00F33447" w:rsidP="00720A55">
      <w:pPr>
        <w:pStyle w:val="Paragraph"/>
        <w:rPr>
          <w:rFonts w:eastAsia="Calibri"/>
        </w:rPr>
      </w:pPr>
      <w:r>
        <w:rPr>
          <w:rFonts w:eastAsia="Calibri"/>
        </w:rPr>
        <w:t>Mrs </w:t>
      </w:r>
      <w:r w:rsidR="00CF02AF" w:rsidRPr="00720A55">
        <w:rPr>
          <w:rFonts w:eastAsia="Calibri"/>
        </w:rPr>
        <w:t xml:space="preserve">J, aged 78, has been referred for assessment by the hospital for consideration for a transition care package. She lives with her husband in their own home. He has his own health issues and thus their daughter is </w:t>
      </w:r>
      <w:r>
        <w:rPr>
          <w:rFonts w:eastAsia="Calibri"/>
        </w:rPr>
        <w:t>Mrs </w:t>
      </w:r>
      <w:r w:rsidR="00CF02AF" w:rsidRPr="00720A55">
        <w:rPr>
          <w:rFonts w:eastAsia="Calibri"/>
        </w:rPr>
        <w:t xml:space="preserve">J’s official carer. </w:t>
      </w:r>
      <w:r>
        <w:rPr>
          <w:rFonts w:eastAsia="Calibri"/>
        </w:rPr>
        <w:t>Mrs </w:t>
      </w:r>
      <w:r w:rsidR="00CF02AF" w:rsidRPr="00720A55">
        <w:rPr>
          <w:rFonts w:eastAsia="Calibri"/>
        </w:rPr>
        <w:t xml:space="preserve">J receives weekly cleaning assistance. </w:t>
      </w:r>
    </w:p>
    <w:p w14:paraId="67CD84BD" w14:textId="77777777" w:rsidR="00720A55" w:rsidRDefault="00CF02AF" w:rsidP="00720A55">
      <w:pPr>
        <w:pStyle w:val="Subhead1"/>
        <w:rPr>
          <w:rFonts w:eastAsia="Calibri"/>
        </w:rPr>
      </w:pPr>
      <w:r w:rsidRPr="00720A55">
        <w:rPr>
          <w:rFonts w:eastAsia="Calibri"/>
        </w:rPr>
        <w:t>Condition</w:t>
      </w:r>
      <w:r w:rsidR="00996C17" w:rsidRPr="00720A55">
        <w:rPr>
          <w:rFonts w:eastAsia="Calibri"/>
        </w:rPr>
        <w:t xml:space="preserve">: </w:t>
      </w:r>
    </w:p>
    <w:p w14:paraId="671E6EFF" w14:textId="38D1FA6F" w:rsidR="00CF02AF" w:rsidRPr="00720A55" w:rsidRDefault="00F33447" w:rsidP="00720A55">
      <w:pPr>
        <w:pStyle w:val="Paragraph"/>
        <w:rPr>
          <w:rFonts w:eastAsia="Calibri"/>
        </w:rPr>
      </w:pPr>
      <w:r>
        <w:rPr>
          <w:rFonts w:eastAsia="Calibri"/>
        </w:rPr>
        <w:t>Mrs </w:t>
      </w:r>
      <w:r w:rsidR="00CF02AF" w:rsidRPr="00720A55">
        <w:rPr>
          <w:rFonts w:eastAsia="Calibri"/>
        </w:rPr>
        <w:t>J had a right middle cerebral artery stroke and was admitted to hospital. She had multiple complications and was stabilised. Other medical issues include a previous CVA in 2018, diabetes mellitus-Type 2, chronic low back pain, atrial fibrillation, congestive heart failure, lower limb oedema and coeliac disease.</w:t>
      </w:r>
    </w:p>
    <w:p w14:paraId="15952580" w14:textId="7C4A6251" w:rsidR="00CF02AF" w:rsidRPr="00720A55" w:rsidRDefault="00F33447" w:rsidP="00720A55">
      <w:pPr>
        <w:pStyle w:val="Paragraph"/>
        <w:rPr>
          <w:rFonts w:eastAsia="Calibri"/>
        </w:rPr>
      </w:pPr>
      <w:r>
        <w:rPr>
          <w:rFonts w:eastAsia="Calibri"/>
        </w:rPr>
        <w:t>Mrs </w:t>
      </w:r>
      <w:r w:rsidR="00CF02AF" w:rsidRPr="00720A55">
        <w:rPr>
          <w:rFonts w:eastAsia="Calibri"/>
        </w:rPr>
        <w:t xml:space="preserve">J’s speech, mobility and cognition have improved since her CVA, but she has residual difficulties and requires ongoing rehabilitation. She has some cognitive impairment persisting around language (expressive and receptive dysphasia) and delayed processing. </w:t>
      </w:r>
    </w:p>
    <w:p w14:paraId="15CC5274" w14:textId="78D92948" w:rsidR="00CF02AF" w:rsidRPr="00720A55" w:rsidRDefault="00F33447" w:rsidP="00720A55">
      <w:pPr>
        <w:pStyle w:val="Paragraph"/>
        <w:rPr>
          <w:rFonts w:eastAsia="Calibri"/>
        </w:rPr>
      </w:pPr>
      <w:r>
        <w:rPr>
          <w:rFonts w:eastAsia="Calibri"/>
        </w:rPr>
        <w:t>Mrs </w:t>
      </w:r>
      <w:r w:rsidR="00CF02AF" w:rsidRPr="00720A55">
        <w:rPr>
          <w:rFonts w:eastAsia="Calibri"/>
        </w:rPr>
        <w:t>J has resolving dysphagia and is now on a standard ward diet</w:t>
      </w:r>
      <w:r w:rsidR="00861912">
        <w:rPr>
          <w:rFonts w:eastAsia="Calibri"/>
        </w:rPr>
        <w:t xml:space="preserve"> – </w:t>
      </w:r>
      <w:r w:rsidR="00CF02AF" w:rsidRPr="00720A55">
        <w:rPr>
          <w:rFonts w:eastAsia="Calibri"/>
        </w:rPr>
        <w:t>gluten free due to coeliac disease</w:t>
      </w:r>
      <w:r w:rsidR="00861912">
        <w:rPr>
          <w:rFonts w:eastAsia="Calibri"/>
        </w:rPr>
        <w:t xml:space="preserve"> – </w:t>
      </w:r>
      <w:r w:rsidR="00CF02AF" w:rsidRPr="00720A55">
        <w:rPr>
          <w:rFonts w:eastAsia="Calibri"/>
        </w:rPr>
        <w:t xml:space="preserve">and thin fluids. This requires observation and prompts to ensure upright posture when eating. </w:t>
      </w:r>
    </w:p>
    <w:p w14:paraId="5A83F365" w14:textId="75A2D9BD" w:rsidR="00CF02AF" w:rsidRPr="00720A55" w:rsidRDefault="00CF02AF" w:rsidP="00720A55">
      <w:pPr>
        <w:pStyle w:val="Paragraph"/>
        <w:rPr>
          <w:rFonts w:eastAsia="Calibri"/>
        </w:rPr>
      </w:pPr>
      <w:r w:rsidRPr="00720A55">
        <w:rPr>
          <w:rFonts w:eastAsia="Calibri"/>
        </w:rPr>
        <w:t xml:space="preserve">Additionally, </w:t>
      </w:r>
      <w:r w:rsidR="00F33447">
        <w:rPr>
          <w:rFonts w:eastAsia="Calibri"/>
        </w:rPr>
        <w:t>Mrs </w:t>
      </w:r>
      <w:r w:rsidRPr="00720A55">
        <w:rPr>
          <w:rFonts w:eastAsia="Calibri"/>
        </w:rPr>
        <w:t xml:space="preserve">J has a persistent left homonymous hemianopia and left visual field inattention that requires ongoing intervention. </w:t>
      </w:r>
      <w:r w:rsidR="00F33447">
        <w:rPr>
          <w:rFonts w:eastAsia="Calibri"/>
        </w:rPr>
        <w:t>Mrs </w:t>
      </w:r>
      <w:r w:rsidRPr="00720A55">
        <w:rPr>
          <w:rFonts w:eastAsia="Calibri"/>
        </w:rPr>
        <w:t xml:space="preserve">J still has some left-sided weakness and un-coordination, but she is now mobilising and transferring independently on ward with a four-wheeled walker and is toileting independently. She receives assistance with showering and dressing on ward. </w:t>
      </w:r>
    </w:p>
    <w:p w14:paraId="131D5FEE" w14:textId="15F5E312" w:rsidR="00CF02AF" w:rsidRPr="00720A55" w:rsidRDefault="00F33447" w:rsidP="00720A55">
      <w:pPr>
        <w:pStyle w:val="Paragraph"/>
        <w:rPr>
          <w:rFonts w:eastAsia="Calibri"/>
        </w:rPr>
      </w:pPr>
      <w:r>
        <w:rPr>
          <w:rFonts w:eastAsia="Calibri"/>
        </w:rPr>
        <w:t>Mrs </w:t>
      </w:r>
      <w:r w:rsidR="00CF02AF" w:rsidRPr="00720A55">
        <w:rPr>
          <w:rFonts w:eastAsia="Calibri"/>
        </w:rPr>
        <w:t>J experiences residual chronic back and left knee pain and mobility issues as a result of a car accident when she was in her 20s. She has also been having recurrent urinary tract infections that cause delirium.</w:t>
      </w:r>
    </w:p>
    <w:p w14:paraId="68F5F910" w14:textId="6F493364" w:rsidR="00CF02AF" w:rsidRPr="00720A55" w:rsidRDefault="00720A55" w:rsidP="00720A55">
      <w:pPr>
        <w:pStyle w:val="Subhead1"/>
        <w:rPr>
          <w:rFonts w:eastAsia="Calibri"/>
        </w:rPr>
      </w:pPr>
      <w:r>
        <w:rPr>
          <w:rFonts w:eastAsia="Calibri"/>
        </w:rPr>
        <w:br w:type="column"/>
      </w:r>
      <w:r w:rsidR="00CF02AF" w:rsidRPr="00720A55">
        <w:rPr>
          <w:rFonts w:eastAsia="Calibri"/>
        </w:rPr>
        <w:t>Recommendations</w:t>
      </w:r>
      <w:r w:rsidR="00996C17" w:rsidRPr="00720A55">
        <w:rPr>
          <w:rFonts w:eastAsia="Calibri"/>
        </w:rPr>
        <w:t>:</w:t>
      </w:r>
    </w:p>
    <w:p w14:paraId="3F60BF37" w14:textId="77777777" w:rsidR="00CF02AF" w:rsidRPr="00636B05" w:rsidRDefault="00CF02AF" w:rsidP="00FB2F79">
      <w:pPr>
        <w:pStyle w:val="TableBullet1"/>
      </w:pPr>
      <w:r w:rsidRPr="00636B05">
        <w:t>Transition care</w:t>
      </w:r>
    </w:p>
    <w:p w14:paraId="7D948A1A" w14:textId="77777777" w:rsidR="00CF02AF" w:rsidRPr="00636B05" w:rsidRDefault="00CF02AF" w:rsidP="00FB2F79">
      <w:pPr>
        <w:pStyle w:val="TableBullet1"/>
      </w:pPr>
      <w:r w:rsidRPr="00636B05">
        <w:t>High-level respite approvals</w:t>
      </w:r>
    </w:p>
    <w:p w14:paraId="46830194" w14:textId="77777777" w:rsidR="00CF02AF" w:rsidRPr="00636B05" w:rsidRDefault="00CF02AF" w:rsidP="00FB2F79">
      <w:pPr>
        <w:pStyle w:val="TableBullet1"/>
      </w:pPr>
      <w:r w:rsidRPr="00636B05">
        <w:t>Goods, equipment and AT</w:t>
      </w:r>
    </w:p>
    <w:p w14:paraId="2AE0679A" w14:textId="77777777" w:rsidR="00CF02AF" w:rsidRPr="00636B05" w:rsidRDefault="00CF02AF" w:rsidP="00FB2F79">
      <w:pPr>
        <w:pStyle w:val="TableBullet1"/>
      </w:pPr>
      <w:r w:rsidRPr="00636B05">
        <w:t>Home modifications</w:t>
      </w:r>
    </w:p>
    <w:p w14:paraId="7DF35ACE" w14:textId="77777777" w:rsidR="00CF02AF" w:rsidRPr="00636B05" w:rsidRDefault="00CF02AF" w:rsidP="00FB2F79">
      <w:pPr>
        <w:pStyle w:val="TableBullet1"/>
      </w:pPr>
      <w:r w:rsidRPr="00636B05">
        <w:t>Domestic assistance</w:t>
      </w:r>
    </w:p>
    <w:p w14:paraId="7BEF8532" w14:textId="77777777" w:rsidR="00CF02AF" w:rsidRPr="00636B05" w:rsidRDefault="00CF02AF" w:rsidP="00FB2F79">
      <w:pPr>
        <w:pStyle w:val="TableBullet1"/>
      </w:pPr>
      <w:r w:rsidRPr="00636B05">
        <w:t>Meals</w:t>
      </w:r>
    </w:p>
    <w:p w14:paraId="2ED5D2D0" w14:textId="05CAFAD1" w:rsidR="00CF02AF" w:rsidRPr="00636B05" w:rsidRDefault="00CF02AF" w:rsidP="00BC3F7D">
      <w:pPr>
        <w:pStyle w:val="Subhead1"/>
      </w:pPr>
      <w:r w:rsidRPr="00636B05">
        <w:t>AT Products</w:t>
      </w:r>
    </w:p>
    <w:p w14:paraId="5C0554F2" w14:textId="77777777" w:rsidR="00CF02AF" w:rsidRPr="00636B05" w:rsidRDefault="00CF02AF" w:rsidP="00FB2F79">
      <w:pPr>
        <w:pStyle w:val="TableBullet1"/>
      </w:pPr>
      <w:r w:rsidRPr="00636B05">
        <w:t>Adapted eating: dysphagia cup, upright seating</w:t>
      </w:r>
    </w:p>
    <w:p w14:paraId="5398AA85" w14:textId="77777777" w:rsidR="00CF02AF" w:rsidRPr="00636B05" w:rsidRDefault="00CF02AF" w:rsidP="00FB2F79">
      <w:pPr>
        <w:pStyle w:val="TableBullet1"/>
      </w:pPr>
      <w:r w:rsidRPr="00636B05">
        <w:t>Visual aids: lighting, magnifier, wayfinding props at home and high-marks on appliances, communication board/book</w:t>
      </w:r>
    </w:p>
    <w:p w14:paraId="22D28BA8" w14:textId="77777777" w:rsidR="00CF02AF" w:rsidRPr="00636B05" w:rsidRDefault="00CF02AF" w:rsidP="00FB2F79">
      <w:pPr>
        <w:pStyle w:val="TableBullet1"/>
      </w:pPr>
      <w:r w:rsidRPr="00636B05">
        <w:t>Bed support (clamp) and bed raisers/chair raisers for transfers</w:t>
      </w:r>
    </w:p>
    <w:p w14:paraId="02446F9F" w14:textId="77777777" w:rsidR="00CF02AF" w:rsidRPr="00636B05" w:rsidRDefault="00CF02AF" w:rsidP="00FB2F79">
      <w:pPr>
        <w:pStyle w:val="TableBullet1"/>
      </w:pPr>
      <w:r w:rsidRPr="00636B05">
        <w:t>Bathroom and toilet supports: rails, handrails, thermostatic mixing valve, shower hose, and shower chair with arms</w:t>
      </w:r>
    </w:p>
    <w:p w14:paraId="167AD419" w14:textId="77777777" w:rsidR="00CF02AF" w:rsidRPr="00636B05" w:rsidRDefault="00CF02AF" w:rsidP="00FB2F79">
      <w:pPr>
        <w:pStyle w:val="TableBullet1"/>
      </w:pPr>
      <w:r w:rsidRPr="00636B05">
        <w:t>Monitoring supports: GPS tracker (family), audible watch, visual medication management system</w:t>
      </w:r>
    </w:p>
    <w:p w14:paraId="01277271" w14:textId="77777777" w:rsidR="00CF02AF" w:rsidRPr="00636B05" w:rsidRDefault="00CF02AF" w:rsidP="00FB2F79">
      <w:pPr>
        <w:pStyle w:val="TableBullet1"/>
      </w:pPr>
      <w:r w:rsidRPr="00636B05">
        <w:t>Walking aid</w:t>
      </w:r>
    </w:p>
    <w:p w14:paraId="615E1BBC" w14:textId="4D151F19" w:rsidR="00CF02AF" w:rsidRPr="00636B05" w:rsidRDefault="00CF02AF" w:rsidP="00BC3F7D">
      <w:pPr>
        <w:pStyle w:val="Subhead1"/>
      </w:pPr>
      <w:r w:rsidRPr="00636B05">
        <w:t>AT Services</w:t>
      </w:r>
    </w:p>
    <w:p w14:paraId="725AEE76" w14:textId="77777777" w:rsidR="00CF02AF" w:rsidRPr="00636B05" w:rsidRDefault="00CF02AF" w:rsidP="00FB2F79">
      <w:pPr>
        <w:pStyle w:val="TableText"/>
      </w:pPr>
      <w:r w:rsidRPr="00636B05">
        <w:t>None.</w:t>
      </w:r>
    </w:p>
    <w:p w14:paraId="64CE22CE" w14:textId="1B34202B" w:rsidR="00720A55" w:rsidRPr="00720A55" w:rsidRDefault="00720A55" w:rsidP="00720A55">
      <w:pPr>
        <w:rPr>
          <w:rFonts w:eastAsia="Arial Unicode MS"/>
        </w:rPr>
      </w:pPr>
      <w:bookmarkStart w:id="185" w:name="_Ref35010241"/>
      <w:bookmarkStart w:id="186" w:name="_Toc40249060"/>
      <w:r w:rsidRPr="00720A55">
        <w:br w:type="page"/>
      </w:r>
    </w:p>
    <w:p w14:paraId="39C2CE2A" w14:textId="77777777" w:rsidR="00996C17" w:rsidRDefault="00996C17" w:rsidP="00B4797D">
      <w:pPr>
        <w:pStyle w:val="Heading6"/>
        <w:sectPr w:rsidR="00996C17" w:rsidSect="00996C17">
          <w:type w:val="continuous"/>
          <w:pgSz w:w="11907" w:h="16840" w:code="9"/>
          <w:pgMar w:top="1134" w:right="1134" w:bottom="1134" w:left="1134" w:header="567" w:footer="851" w:gutter="0"/>
          <w:cols w:num="2" w:space="708"/>
          <w:docGrid w:linePitch="360"/>
        </w:sectPr>
      </w:pPr>
    </w:p>
    <w:p w14:paraId="6EBCF5C1" w14:textId="49F3BDA0" w:rsidR="0031014A" w:rsidRPr="00636B05" w:rsidRDefault="0031014A" w:rsidP="00B4797D">
      <w:pPr>
        <w:pStyle w:val="Heading6"/>
      </w:pPr>
      <w:bookmarkStart w:id="187" w:name="_Toc60999864"/>
      <w:bookmarkEnd w:id="185"/>
      <w:r w:rsidRPr="00636B05">
        <w:lastRenderedPageBreak/>
        <w:t>Archetypes for Profound limitation</w:t>
      </w:r>
      <w:bookmarkEnd w:id="186"/>
      <w:bookmarkEnd w:id="187"/>
    </w:p>
    <w:p w14:paraId="013EBE5A" w14:textId="44C0EDEE" w:rsidR="00CF02AF" w:rsidRPr="00B34892" w:rsidRDefault="00CF02AF" w:rsidP="00B34892">
      <w:pPr>
        <w:rPr>
          <w:b/>
          <w:sz w:val="32"/>
          <w:szCs w:val="32"/>
        </w:rPr>
      </w:pPr>
      <w:r w:rsidRPr="00B34892">
        <w:rPr>
          <w:b/>
          <w:sz w:val="32"/>
          <w:szCs w:val="32"/>
        </w:rPr>
        <w:t>Archetype 12: Home Care Packages</w:t>
      </w:r>
      <w:r w:rsidR="00861912" w:rsidRPr="00B34892">
        <w:rPr>
          <w:b/>
          <w:sz w:val="32"/>
          <w:szCs w:val="32"/>
        </w:rPr>
        <w:t xml:space="preserve"> – </w:t>
      </w:r>
      <w:r w:rsidRPr="00B34892">
        <w:rPr>
          <w:b/>
          <w:sz w:val="32"/>
          <w:szCs w:val="32"/>
        </w:rPr>
        <w:t>Level 3 (Parkinson’s disease)</w:t>
      </w:r>
    </w:p>
    <w:p w14:paraId="69372289" w14:textId="77777777" w:rsidR="00996C17" w:rsidRPr="00B34892" w:rsidRDefault="00996C17" w:rsidP="00C83C37">
      <w:pPr>
        <w:pStyle w:val="ParaKeep"/>
        <w:rPr>
          <w:rFonts w:eastAsia="Calibri"/>
          <w:sz w:val="32"/>
          <w:szCs w:val="32"/>
        </w:rPr>
        <w:sectPr w:rsidR="00996C17" w:rsidRPr="00B34892" w:rsidSect="00CF02AF">
          <w:type w:val="continuous"/>
          <w:pgSz w:w="11907" w:h="16840" w:code="9"/>
          <w:pgMar w:top="1134" w:right="1134" w:bottom="1134" w:left="1134" w:header="567" w:footer="851" w:gutter="0"/>
          <w:cols w:space="708"/>
          <w:docGrid w:linePitch="360"/>
        </w:sectPr>
      </w:pPr>
    </w:p>
    <w:p w14:paraId="654E6702" w14:textId="12ED0CD1" w:rsidR="00CF02AF" w:rsidRPr="00636B05" w:rsidRDefault="00F33447" w:rsidP="00C83C37">
      <w:pPr>
        <w:pStyle w:val="ParaKeep"/>
        <w:rPr>
          <w:rFonts w:eastAsia="Calibri"/>
        </w:rPr>
      </w:pPr>
      <w:r>
        <w:rPr>
          <w:rFonts w:eastAsia="Calibri"/>
        </w:rPr>
        <w:t>Mr </w:t>
      </w:r>
      <w:r w:rsidR="00CF02AF" w:rsidRPr="00636B05">
        <w:rPr>
          <w:rFonts w:eastAsia="Calibri"/>
        </w:rPr>
        <w:t>K was referred for ACAT by his neurologist due to functional decline related to Parkinson’s disease.</w:t>
      </w:r>
      <w:r w:rsidR="00CF02AF">
        <w:rPr>
          <w:rFonts w:eastAsia="Calibri"/>
        </w:rPr>
        <w:t xml:space="preserve"> </w:t>
      </w:r>
      <w:r>
        <w:rPr>
          <w:rFonts w:eastAsia="Calibri"/>
        </w:rPr>
        <w:t>Mr </w:t>
      </w:r>
      <w:r w:rsidR="00CF02AF" w:rsidRPr="00636B05">
        <w:rPr>
          <w:rFonts w:eastAsia="Calibri"/>
        </w:rPr>
        <w:t>K lives with his wife who is his sole carer, with private support for domestic assistance.</w:t>
      </w:r>
      <w:r w:rsidR="00CF02AF">
        <w:rPr>
          <w:rFonts w:eastAsia="Calibri"/>
        </w:rPr>
        <w:t xml:space="preserve"> </w:t>
      </w:r>
      <w:r>
        <w:rPr>
          <w:rFonts w:eastAsia="Calibri"/>
        </w:rPr>
        <w:t>Mr </w:t>
      </w:r>
      <w:r w:rsidR="00CF02AF" w:rsidRPr="00636B05">
        <w:rPr>
          <w:rFonts w:eastAsia="Calibri"/>
        </w:rPr>
        <w:t xml:space="preserve">K goes to several </w:t>
      </w:r>
      <w:r w:rsidR="002C16CD">
        <w:rPr>
          <w:rFonts w:eastAsia="Calibri"/>
        </w:rPr>
        <w:t xml:space="preserve">programs </w:t>
      </w:r>
      <w:r w:rsidR="00CF02AF" w:rsidRPr="00636B05">
        <w:rPr>
          <w:rFonts w:eastAsia="Calibri"/>
        </w:rPr>
        <w:t>and health practitioners to maintain his capacity to undertake daily living tasks and independent mobility.</w:t>
      </w:r>
      <w:r w:rsidR="00CF02AF">
        <w:rPr>
          <w:rFonts w:eastAsia="Calibri"/>
        </w:rPr>
        <w:t xml:space="preserve"> </w:t>
      </w:r>
      <w:r w:rsidR="00CF02AF" w:rsidRPr="00636B05">
        <w:rPr>
          <w:rFonts w:eastAsia="Calibri"/>
        </w:rPr>
        <w:t xml:space="preserve">Within their home, </w:t>
      </w:r>
      <w:r>
        <w:rPr>
          <w:rFonts w:eastAsia="Calibri"/>
        </w:rPr>
        <w:t>Mr </w:t>
      </w:r>
      <w:r w:rsidR="00CF02AF" w:rsidRPr="00636B05">
        <w:rPr>
          <w:rFonts w:eastAsia="Calibri"/>
        </w:rPr>
        <w:t>K completes tasks with varying levels and for</w:t>
      </w:r>
      <w:r w:rsidR="00B34892">
        <w:rPr>
          <w:rFonts w:eastAsia="Calibri"/>
        </w:rPr>
        <w:t xml:space="preserve">ms </w:t>
      </w:r>
      <w:r w:rsidR="00CF02AF" w:rsidRPr="00636B05">
        <w:rPr>
          <w:rFonts w:eastAsia="Calibri"/>
        </w:rPr>
        <w:t xml:space="preserve">of assistance from his wife as required, mainly dependent upon his levels of fatigue, dexterity and mobility. </w:t>
      </w:r>
    </w:p>
    <w:p w14:paraId="0BD2AE57" w14:textId="77777777" w:rsidR="00CF02AF" w:rsidRPr="00B34892" w:rsidRDefault="00CF02AF" w:rsidP="00B34892">
      <w:pPr>
        <w:rPr>
          <w:b/>
          <w:sz w:val="28"/>
          <w:szCs w:val="28"/>
        </w:rPr>
      </w:pPr>
      <w:r w:rsidRPr="00B34892">
        <w:rPr>
          <w:b/>
          <w:sz w:val="28"/>
          <w:szCs w:val="28"/>
        </w:rPr>
        <w:t>Condition</w:t>
      </w:r>
    </w:p>
    <w:p w14:paraId="2C7707B0" w14:textId="734D626E" w:rsidR="00CF02AF" w:rsidRPr="00636B05" w:rsidRDefault="00F33447" w:rsidP="00C83C37">
      <w:pPr>
        <w:pStyle w:val="ParaKeep"/>
        <w:rPr>
          <w:rFonts w:eastAsia="Calibri"/>
        </w:rPr>
      </w:pPr>
      <w:r>
        <w:rPr>
          <w:rFonts w:eastAsia="Calibri"/>
        </w:rPr>
        <w:t>Mr </w:t>
      </w:r>
      <w:r w:rsidR="00CF02AF" w:rsidRPr="00636B05">
        <w:rPr>
          <w:rFonts w:eastAsia="Calibri"/>
        </w:rPr>
        <w:t>K reports several eye conditions that impact on his ability to conduct daily living tasks.</w:t>
      </w:r>
      <w:r w:rsidR="00CF02AF">
        <w:rPr>
          <w:rFonts w:eastAsia="Calibri"/>
        </w:rPr>
        <w:t xml:space="preserve"> </w:t>
      </w:r>
      <w:r w:rsidR="00CF02AF" w:rsidRPr="00636B05">
        <w:rPr>
          <w:rFonts w:eastAsia="Calibri"/>
        </w:rPr>
        <w:t>He is adjusting to changes in daily living as a result of his degenerative conditions.</w:t>
      </w:r>
      <w:r w:rsidR="00CF02AF">
        <w:rPr>
          <w:rFonts w:eastAsia="Calibri"/>
        </w:rPr>
        <w:t xml:space="preserve"> </w:t>
      </w:r>
      <w:r w:rsidR="00CF02AF" w:rsidRPr="00636B05">
        <w:rPr>
          <w:rFonts w:eastAsia="Calibri"/>
        </w:rPr>
        <w:t>Poor vision, fatigue and low mood impact on his ability to maintain his professional interests as a retired scientist.</w:t>
      </w:r>
      <w:r w:rsidR="00CF02AF">
        <w:rPr>
          <w:rFonts w:eastAsia="Calibri"/>
        </w:rPr>
        <w:t xml:space="preserve"> </w:t>
      </w:r>
      <w:r w:rsidR="00CF02AF" w:rsidRPr="00636B05">
        <w:rPr>
          <w:rFonts w:eastAsia="Calibri"/>
        </w:rPr>
        <w:t>He</w:t>
      </w:r>
      <w:r w:rsidR="00CF02AF">
        <w:rPr>
          <w:rFonts w:eastAsia="Calibri"/>
        </w:rPr>
        <w:t xml:space="preserve"> </w:t>
      </w:r>
      <w:r w:rsidR="00CF02AF" w:rsidRPr="00636B05">
        <w:rPr>
          <w:rFonts w:eastAsia="Calibri"/>
        </w:rPr>
        <w:t>has a network of former university colleagues who provide social support.</w:t>
      </w:r>
    </w:p>
    <w:p w14:paraId="6D6EBABC" w14:textId="1493876B" w:rsidR="00CF02AF" w:rsidRPr="00636B05" w:rsidRDefault="00F85EFF" w:rsidP="00B34892">
      <w:r>
        <w:br w:type="column"/>
      </w:r>
      <w:r w:rsidR="00CF02AF" w:rsidRPr="00B34892">
        <w:rPr>
          <w:b/>
          <w:sz w:val="28"/>
          <w:szCs w:val="28"/>
        </w:rPr>
        <w:t>Recommendations</w:t>
      </w:r>
    </w:p>
    <w:p w14:paraId="4BFEA94B" w14:textId="77777777" w:rsidR="00CF02AF" w:rsidRPr="00636B05" w:rsidRDefault="00CF02AF" w:rsidP="00FB2F79">
      <w:pPr>
        <w:pStyle w:val="TableBullet1"/>
      </w:pPr>
      <w:r w:rsidRPr="00636B05">
        <w:t>Level 3 or 4 HCP, residential respite high and residential care as required</w:t>
      </w:r>
    </w:p>
    <w:p w14:paraId="03B18AC6" w14:textId="77777777" w:rsidR="00CF02AF" w:rsidRPr="00636B05" w:rsidRDefault="00CF02AF" w:rsidP="00FB2F79">
      <w:pPr>
        <w:pStyle w:val="TableBullet1"/>
      </w:pPr>
      <w:r w:rsidRPr="00636B05">
        <w:t>Community transport and gardening maintenance</w:t>
      </w:r>
    </w:p>
    <w:p w14:paraId="4D259051" w14:textId="77777777" w:rsidR="00CF02AF" w:rsidRPr="00636B05" w:rsidRDefault="00CF02AF" w:rsidP="00FB2F79">
      <w:pPr>
        <w:pStyle w:val="TableBullet1"/>
      </w:pPr>
      <w:r w:rsidRPr="00636B05">
        <w:t>Personal alarm/communication device</w:t>
      </w:r>
    </w:p>
    <w:p w14:paraId="351E4AB8" w14:textId="77777777" w:rsidR="00CF02AF" w:rsidRPr="00636B05" w:rsidRDefault="00CF02AF" w:rsidP="00FB2F79">
      <w:pPr>
        <w:pStyle w:val="TableBullet1"/>
      </w:pPr>
      <w:r w:rsidRPr="00636B05">
        <w:t>Independent Living Centre to assess aids related to bed mobility and dressing</w:t>
      </w:r>
    </w:p>
    <w:p w14:paraId="66253FC5" w14:textId="77777777" w:rsidR="00CF02AF" w:rsidRPr="00636B05" w:rsidRDefault="00CF02AF" w:rsidP="00FB2F79">
      <w:pPr>
        <w:pStyle w:val="TableBullet1"/>
      </w:pPr>
      <w:r w:rsidRPr="00636B05">
        <w:t>Support for his wife as carer.</w:t>
      </w:r>
    </w:p>
    <w:p w14:paraId="7A0CBC0E" w14:textId="77777777" w:rsidR="00B34892" w:rsidRDefault="00B34892" w:rsidP="00B34892">
      <w:pPr>
        <w:rPr>
          <w:b/>
          <w:sz w:val="28"/>
          <w:szCs w:val="28"/>
        </w:rPr>
      </w:pPr>
    </w:p>
    <w:p w14:paraId="3E0C5AFB" w14:textId="158713BB" w:rsidR="00CF02AF" w:rsidRPr="00B34892" w:rsidRDefault="00CF02AF" w:rsidP="00B34892">
      <w:pPr>
        <w:rPr>
          <w:b/>
          <w:sz w:val="28"/>
          <w:szCs w:val="28"/>
        </w:rPr>
      </w:pPr>
      <w:r w:rsidRPr="00B34892">
        <w:rPr>
          <w:b/>
          <w:sz w:val="28"/>
          <w:szCs w:val="28"/>
        </w:rPr>
        <w:t>AT Products</w:t>
      </w:r>
    </w:p>
    <w:p w14:paraId="7B0B3708" w14:textId="77777777" w:rsidR="00CF02AF" w:rsidRPr="00636B05" w:rsidRDefault="00CF02AF" w:rsidP="00FB2F79">
      <w:pPr>
        <w:pStyle w:val="TableBullet1"/>
      </w:pPr>
      <w:r w:rsidRPr="00636B05">
        <w:t>Bed mobility: adjustable bed, leg lifting device, bed pole</w:t>
      </w:r>
    </w:p>
    <w:p w14:paraId="784B24AA" w14:textId="77777777" w:rsidR="00CF02AF" w:rsidRPr="00636B05" w:rsidRDefault="00CF02AF" w:rsidP="00FB2F79">
      <w:pPr>
        <w:pStyle w:val="TableBullet1"/>
      </w:pPr>
      <w:r w:rsidRPr="00636B05">
        <w:t>Chair for dressing, dressing aids</w:t>
      </w:r>
    </w:p>
    <w:p w14:paraId="75CA8A36" w14:textId="77777777" w:rsidR="00CF02AF" w:rsidRPr="00636B05" w:rsidRDefault="00CF02AF" w:rsidP="00FB2F79">
      <w:pPr>
        <w:pStyle w:val="TableBullet1"/>
      </w:pPr>
      <w:r w:rsidRPr="00636B05">
        <w:t>Large-print calendar, talking clock, audible watch with medication alarm</w:t>
      </w:r>
    </w:p>
    <w:p w14:paraId="76252E94" w14:textId="77777777" w:rsidR="00CF02AF" w:rsidRPr="00636B05" w:rsidRDefault="00CF02AF" w:rsidP="00FB2F79">
      <w:pPr>
        <w:pStyle w:val="TableBullet1"/>
      </w:pPr>
      <w:r w:rsidRPr="00636B05">
        <w:t>Propping stool in kitchen/workspace to manage fatigue</w:t>
      </w:r>
    </w:p>
    <w:p w14:paraId="0B78D270" w14:textId="77777777" w:rsidR="00CF02AF" w:rsidRPr="00636B05" w:rsidRDefault="00CF02AF" w:rsidP="00FB2F79">
      <w:pPr>
        <w:pStyle w:val="TableBullet1"/>
      </w:pPr>
      <w:r w:rsidRPr="00636B05">
        <w:t>Bathroom modifications including installation of stepless shower base, fold-down shower seat, handrails, handheld hose and switchcock</w:t>
      </w:r>
    </w:p>
    <w:p w14:paraId="352DD11B" w14:textId="77777777" w:rsidR="00CF02AF" w:rsidRPr="00636B05" w:rsidRDefault="00CF02AF" w:rsidP="00FB2F79">
      <w:pPr>
        <w:pStyle w:val="TableBullet1"/>
      </w:pPr>
      <w:r w:rsidRPr="00636B05">
        <w:t>Wheeled mobility aid with seat and basket for outdoors/garden</w:t>
      </w:r>
    </w:p>
    <w:p w14:paraId="39BBB80C" w14:textId="77777777" w:rsidR="00CF02AF" w:rsidRPr="00636B05" w:rsidRDefault="00CF02AF" w:rsidP="00FB2F79">
      <w:pPr>
        <w:pStyle w:val="TableBullet1"/>
      </w:pPr>
      <w:r w:rsidRPr="00636B05">
        <w:t>Garden trolley</w:t>
      </w:r>
    </w:p>
    <w:p w14:paraId="719089E2" w14:textId="77777777" w:rsidR="00CF02AF" w:rsidRPr="00636B05" w:rsidRDefault="00CF02AF" w:rsidP="00FB2F79">
      <w:pPr>
        <w:pStyle w:val="TableBullet1"/>
      </w:pPr>
      <w:r w:rsidRPr="00636B05">
        <w:t>Personal alarm</w:t>
      </w:r>
    </w:p>
    <w:p w14:paraId="5106A806" w14:textId="77777777" w:rsidR="00CF02AF" w:rsidRPr="00636B05" w:rsidRDefault="00CF02AF" w:rsidP="00FB2F79">
      <w:pPr>
        <w:pStyle w:val="TableBullet1"/>
      </w:pPr>
      <w:r w:rsidRPr="00636B05">
        <w:t>Easy access clothing, dressing stick, sock donner, elastic shoelaces</w:t>
      </w:r>
    </w:p>
    <w:p w14:paraId="78685C10" w14:textId="77777777" w:rsidR="00B34892" w:rsidRDefault="00B34892" w:rsidP="00B34892">
      <w:pPr>
        <w:rPr>
          <w:b/>
          <w:sz w:val="28"/>
          <w:szCs w:val="28"/>
        </w:rPr>
      </w:pPr>
    </w:p>
    <w:p w14:paraId="0768D104" w14:textId="2A577676" w:rsidR="00CF02AF" w:rsidRPr="00B34892" w:rsidRDefault="00CF02AF" w:rsidP="00B34892">
      <w:pPr>
        <w:rPr>
          <w:b/>
          <w:sz w:val="28"/>
          <w:szCs w:val="28"/>
        </w:rPr>
      </w:pPr>
      <w:r w:rsidRPr="00B34892">
        <w:rPr>
          <w:b/>
          <w:sz w:val="28"/>
          <w:szCs w:val="28"/>
        </w:rPr>
        <w:t>AT Services</w:t>
      </w:r>
    </w:p>
    <w:p w14:paraId="5B2729F8" w14:textId="77777777" w:rsidR="00CF02AF" w:rsidRPr="00636B05" w:rsidRDefault="00CF02AF" w:rsidP="006B5473">
      <w:pPr>
        <w:pStyle w:val="TableBullet1"/>
      </w:pPr>
      <w:r w:rsidRPr="00636B05">
        <w:t>Allied health assessment</w:t>
      </w:r>
    </w:p>
    <w:p w14:paraId="57390848" w14:textId="19DD573A" w:rsidR="00F85EFF" w:rsidRPr="00F85EFF" w:rsidRDefault="00F85EFF" w:rsidP="00F85EFF">
      <w:pPr>
        <w:rPr>
          <w:rFonts w:eastAsia="Arial Unicode MS"/>
        </w:rPr>
      </w:pPr>
      <w:r w:rsidRPr="00F85EFF">
        <w:br w:type="page"/>
      </w:r>
    </w:p>
    <w:p w14:paraId="5B68035E" w14:textId="77777777" w:rsidR="00F85EFF" w:rsidRDefault="00F85EFF" w:rsidP="00B4797D">
      <w:pPr>
        <w:pStyle w:val="Heading7"/>
        <w:sectPr w:rsidR="00F85EFF" w:rsidSect="00996C17">
          <w:type w:val="continuous"/>
          <w:pgSz w:w="11907" w:h="16840" w:code="9"/>
          <w:pgMar w:top="1134" w:right="1134" w:bottom="1134" w:left="1134" w:header="567" w:footer="851" w:gutter="0"/>
          <w:cols w:num="2" w:space="708"/>
          <w:docGrid w:linePitch="360"/>
        </w:sectPr>
      </w:pPr>
    </w:p>
    <w:p w14:paraId="0A332F76" w14:textId="6ADD9A80" w:rsidR="00CF02AF" w:rsidRPr="00636B05" w:rsidRDefault="00CF02AF" w:rsidP="00B4797D">
      <w:pPr>
        <w:pStyle w:val="Archetype"/>
        <w:rPr>
          <w:rFonts w:eastAsia="Calibri"/>
        </w:rPr>
      </w:pPr>
      <w:r w:rsidRPr="00636B05">
        <w:lastRenderedPageBreak/>
        <w:t>Archetype 13: Home Care Packages</w:t>
      </w:r>
      <w:r w:rsidR="00861912">
        <w:t xml:space="preserve"> – </w:t>
      </w:r>
      <w:r w:rsidRPr="00636B05">
        <w:t xml:space="preserve">Level 4 </w:t>
      </w:r>
    </w:p>
    <w:p w14:paraId="05373577" w14:textId="77777777" w:rsidR="00F85EFF" w:rsidRDefault="00F85EFF" w:rsidP="00C83C37">
      <w:pPr>
        <w:pStyle w:val="ParaKeep"/>
        <w:sectPr w:rsidR="00F85EFF" w:rsidSect="00F85EFF">
          <w:type w:val="continuous"/>
          <w:pgSz w:w="11907" w:h="16840" w:code="9"/>
          <w:pgMar w:top="1134" w:right="1134" w:bottom="1134" w:left="1134" w:header="567" w:footer="851" w:gutter="0"/>
          <w:cols w:space="708"/>
          <w:docGrid w:linePitch="360"/>
        </w:sectPr>
      </w:pPr>
    </w:p>
    <w:p w14:paraId="5586D7A6" w14:textId="6993E2BF" w:rsidR="00CF02AF" w:rsidRPr="00636B05" w:rsidRDefault="00F33447" w:rsidP="00F85EFF">
      <w:pPr>
        <w:pStyle w:val="Paragraph"/>
        <w:rPr>
          <w:bCs/>
        </w:rPr>
      </w:pPr>
      <w:r>
        <w:rPr>
          <w:bCs/>
        </w:rPr>
        <w:t>Mrs </w:t>
      </w:r>
      <w:r w:rsidR="00CF02AF" w:rsidRPr="00636B05">
        <w:rPr>
          <w:bCs/>
        </w:rPr>
        <w:t>L is a 60-year-old Aboriginal woman who lives in a unit on her own.</w:t>
      </w:r>
      <w:r w:rsidR="00CF02AF">
        <w:rPr>
          <w:bCs/>
        </w:rPr>
        <w:t xml:space="preserve"> </w:t>
      </w:r>
      <w:r w:rsidR="00CF02AF" w:rsidRPr="00636B05">
        <w:t>She sees her sister and brother-in-law regularly.</w:t>
      </w:r>
      <w:r w:rsidR="00CF02AF">
        <w:t xml:space="preserve"> </w:t>
      </w:r>
      <w:r w:rsidR="00CF02AF" w:rsidRPr="00636B05">
        <w:t>She does not think of her sister as her carer and prefers not to call on her for help if possible.</w:t>
      </w:r>
      <w:r w:rsidR="00CF02AF">
        <w:t xml:space="preserve"> </w:t>
      </w:r>
      <w:r>
        <w:t>Mrs </w:t>
      </w:r>
      <w:r w:rsidR="00CF02AF" w:rsidRPr="00636B05">
        <w:t>L is currently accessing a Level 2 Home Care Package, but due to the complex nature of her health conditions and need for specialised equipment she is already over budget with her package.</w:t>
      </w:r>
      <w:r w:rsidR="00CF02AF">
        <w:t xml:space="preserve"> </w:t>
      </w:r>
      <w:r w:rsidR="00CF02AF" w:rsidRPr="00636B05">
        <w:t xml:space="preserve">Her Home Care Package Case Manager requested that </w:t>
      </w:r>
      <w:r>
        <w:t>Mrs </w:t>
      </w:r>
      <w:r w:rsidR="00CF02AF" w:rsidRPr="00636B05">
        <w:t>L be reviewed by ACAT for a High Priority Level 4 Home Care Package.</w:t>
      </w:r>
      <w:r w:rsidR="00CF02AF">
        <w:t xml:space="preserve"> </w:t>
      </w:r>
      <w:r w:rsidR="00CF02AF" w:rsidRPr="00636B05">
        <w:t xml:space="preserve">An assessment then occurred in </w:t>
      </w:r>
      <w:r>
        <w:t>Mrs </w:t>
      </w:r>
      <w:r w:rsidR="00CF02AF" w:rsidRPr="00636B05">
        <w:t>L’s home.</w:t>
      </w:r>
      <w:r w:rsidR="00CF02AF">
        <w:t xml:space="preserve"> </w:t>
      </w:r>
      <w:r>
        <w:t>Mrs </w:t>
      </w:r>
      <w:r w:rsidR="00CF02AF" w:rsidRPr="00636B05">
        <w:t xml:space="preserve">L was also admitted to hospital a couple of weeks ago with such severe pain that she was not able to control it with medication and required a period of immobility/case assistance and high-level pain medication. </w:t>
      </w:r>
    </w:p>
    <w:p w14:paraId="310BCFAD" w14:textId="77777777" w:rsidR="00CF02AF" w:rsidRPr="00636B05" w:rsidRDefault="00CF02AF" w:rsidP="00F85EFF">
      <w:pPr>
        <w:pStyle w:val="Subhead1"/>
      </w:pPr>
      <w:r w:rsidRPr="00636B05">
        <w:t>Condition</w:t>
      </w:r>
    </w:p>
    <w:p w14:paraId="2D2AE78E" w14:textId="52E1E06E" w:rsidR="00CF02AF" w:rsidRPr="00636B05" w:rsidRDefault="00F33447" w:rsidP="00C83C37">
      <w:pPr>
        <w:pStyle w:val="ParaKeep"/>
      </w:pPr>
      <w:r>
        <w:t>Mrs </w:t>
      </w:r>
      <w:r w:rsidR="00CF02AF" w:rsidRPr="00636B05">
        <w:t>L has a long history of:</w:t>
      </w:r>
    </w:p>
    <w:p w14:paraId="620205E8" w14:textId="77777777" w:rsidR="00CF02AF" w:rsidRPr="00636B05" w:rsidRDefault="00CF02AF" w:rsidP="00FB2F79">
      <w:pPr>
        <w:pStyle w:val="TableBullet1"/>
      </w:pPr>
      <w:r w:rsidRPr="00636B05">
        <w:t>Rheumatoid arthritis</w:t>
      </w:r>
    </w:p>
    <w:p w14:paraId="02A96E86" w14:textId="77777777" w:rsidR="00CF02AF" w:rsidRPr="00636B05" w:rsidRDefault="00CF02AF" w:rsidP="00FB2F79">
      <w:pPr>
        <w:pStyle w:val="TableBullet1"/>
      </w:pPr>
      <w:r w:rsidRPr="00636B05">
        <w:t>Lupus</w:t>
      </w:r>
    </w:p>
    <w:p w14:paraId="3901CAF8" w14:textId="77777777" w:rsidR="00CF02AF" w:rsidRPr="00636B05" w:rsidRDefault="00CF02AF" w:rsidP="00FB2F79">
      <w:pPr>
        <w:pStyle w:val="TableBullet1"/>
      </w:pPr>
      <w:r w:rsidRPr="00636B05">
        <w:t>Osteoporosis</w:t>
      </w:r>
    </w:p>
    <w:p w14:paraId="14D46018" w14:textId="77777777" w:rsidR="00CF02AF" w:rsidRPr="00636B05" w:rsidRDefault="00CF02AF" w:rsidP="00FB2F79">
      <w:pPr>
        <w:pStyle w:val="TableBullet1"/>
      </w:pPr>
      <w:r w:rsidRPr="00636B05">
        <w:t>Polymyalgia rheumatica</w:t>
      </w:r>
    </w:p>
    <w:p w14:paraId="32773496" w14:textId="77777777" w:rsidR="00CF02AF" w:rsidRPr="00636B05" w:rsidRDefault="00CF02AF" w:rsidP="00FB2F79">
      <w:pPr>
        <w:pStyle w:val="TableBullet1"/>
      </w:pPr>
      <w:r w:rsidRPr="00636B05">
        <w:t>Chronic pancreatitis</w:t>
      </w:r>
    </w:p>
    <w:p w14:paraId="22293D5B" w14:textId="77777777" w:rsidR="00CF02AF" w:rsidRPr="00636B05" w:rsidRDefault="00CF02AF" w:rsidP="00FB2F79">
      <w:pPr>
        <w:pStyle w:val="TableBullet1"/>
      </w:pPr>
      <w:r w:rsidRPr="00636B05">
        <w:t>Reflux</w:t>
      </w:r>
    </w:p>
    <w:p w14:paraId="23237DE3" w14:textId="77777777" w:rsidR="00CF02AF" w:rsidRPr="00636B05" w:rsidRDefault="00CF02AF" w:rsidP="00FB2F79">
      <w:pPr>
        <w:pStyle w:val="TableBullet1"/>
      </w:pPr>
      <w:r w:rsidRPr="00636B05">
        <w:t xml:space="preserve">Irritable bowel syndrome. </w:t>
      </w:r>
    </w:p>
    <w:p w14:paraId="23A13F4A" w14:textId="469FFA55" w:rsidR="00CF02AF" w:rsidRPr="00636B05" w:rsidRDefault="00CF02AF" w:rsidP="00F85EFF">
      <w:pPr>
        <w:pStyle w:val="Paragraph"/>
      </w:pPr>
      <w:r w:rsidRPr="00636B05">
        <w:t>The majority of these conditions are a source of pain for her and she also reports experiencing a burning sensation that happens multiple times a day.</w:t>
      </w:r>
      <w:r>
        <w:t xml:space="preserve"> </w:t>
      </w:r>
      <w:r w:rsidRPr="00636B05">
        <w:t>The burning pain progresses through her body and can only be alleviated by lying very still and allowing it to pass.</w:t>
      </w:r>
      <w:r>
        <w:t xml:space="preserve"> </w:t>
      </w:r>
      <w:r w:rsidR="00F33447">
        <w:t>Mrs </w:t>
      </w:r>
      <w:r w:rsidRPr="00636B05">
        <w:t xml:space="preserve">L is a very slim woman who requires a soft diet due to swallowing difficulties from her Lupus. </w:t>
      </w:r>
    </w:p>
    <w:p w14:paraId="7C05BAD8" w14:textId="5507AAF6" w:rsidR="00CF02AF" w:rsidRPr="00636B05" w:rsidRDefault="00F33447" w:rsidP="00F85EFF">
      <w:pPr>
        <w:pStyle w:val="Paragraph"/>
        <w:rPr>
          <w:b/>
        </w:rPr>
      </w:pPr>
      <w:r>
        <w:t>Mrs </w:t>
      </w:r>
      <w:r w:rsidR="00CF02AF" w:rsidRPr="00636B05">
        <w:t>L currently accesses physiotherapy, counselling, and regular GP reviews, and has accessed the Pain Clinic in the past.</w:t>
      </w:r>
    </w:p>
    <w:p w14:paraId="02DDDCD2" w14:textId="669FF68E" w:rsidR="00CF02AF" w:rsidRPr="00636B05" w:rsidRDefault="00F85EFF" w:rsidP="00F85EFF">
      <w:pPr>
        <w:pStyle w:val="Subhead1"/>
      </w:pPr>
      <w:r>
        <w:br w:type="column"/>
      </w:r>
      <w:r w:rsidR="00CF02AF" w:rsidRPr="00636B05">
        <w:t>Indicators</w:t>
      </w:r>
    </w:p>
    <w:p w14:paraId="146D0A95" w14:textId="77777777" w:rsidR="00CF02AF" w:rsidRPr="00636B05" w:rsidRDefault="00CF02AF" w:rsidP="006B5473">
      <w:pPr>
        <w:pStyle w:val="TableBullet1"/>
      </w:pPr>
      <w:r w:rsidRPr="00636B05">
        <w:t>Soft diet (lupus)</w:t>
      </w:r>
    </w:p>
    <w:p w14:paraId="363BA2A4" w14:textId="77777777" w:rsidR="00CF02AF" w:rsidRPr="00636B05" w:rsidRDefault="00CF02AF" w:rsidP="006B5473">
      <w:pPr>
        <w:pStyle w:val="TableBullet1"/>
        <w:rPr>
          <w:iCs/>
        </w:rPr>
      </w:pPr>
      <w:r w:rsidRPr="00636B05">
        <w:t>Mobility</w:t>
      </w:r>
    </w:p>
    <w:p w14:paraId="28DB3403" w14:textId="77777777" w:rsidR="00CF02AF" w:rsidRPr="00636B05" w:rsidRDefault="00CF02AF" w:rsidP="006B5473">
      <w:pPr>
        <w:pStyle w:val="TableBullet1"/>
        <w:rPr>
          <w:iCs/>
        </w:rPr>
      </w:pPr>
      <w:r w:rsidRPr="00636B05">
        <w:t>Safety/confidence</w:t>
      </w:r>
    </w:p>
    <w:p w14:paraId="7C672709" w14:textId="77777777" w:rsidR="00CF02AF" w:rsidRPr="00636B05" w:rsidRDefault="00CF02AF" w:rsidP="00F85EFF">
      <w:pPr>
        <w:pStyle w:val="Subhead1"/>
      </w:pPr>
      <w:r w:rsidRPr="00636B05">
        <w:t>Recommendations</w:t>
      </w:r>
    </w:p>
    <w:p w14:paraId="1C517D35" w14:textId="77777777" w:rsidR="00CF02AF" w:rsidRPr="00636B05" w:rsidRDefault="00CF02AF" w:rsidP="006B5473">
      <w:pPr>
        <w:pStyle w:val="TableBullet1"/>
      </w:pPr>
      <w:r w:rsidRPr="00636B05">
        <w:t>Home Care Package Level 4</w:t>
      </w:r>
    </w:p>
    <w:p w14:paraId="7D3D1452" w14:textId="77777777" w:rsidR="00CF02AF" w:rsidRPr="00636B05" w:rsidRDefault="00CF02AF" w:rsidP="006B5473">
      <w:pPr>
        <w:pStyle w:val="TableBullet1"/>
      </w:pPr>
      <w:r w:rsidRPr="00636B05">
        <w:t>Social support individual</w:t>
      </w:r>
    </w:p>
    <w:p w14:paraId="2B41853A" w14:textId="77777777" w:rsidR="00CF02AF" w:rsidRPr="00636B05" w:rsidRDefault="00CF02AF" w:rsidP="006B5473">
      <w:pPr>
        <w:pStyle w:val="TableBullet1"/>
      </w:pPr>
      <w:r w:rsidRPr="00636B05">
        <w:t>Goods, equipment and AT</w:t>
      </w:r>
    </w:p>
    <w:p w14:paraId="0BA0CA3B" w14:textId="77777777" w:rsidR="00CF02AF" w:rsidRPr="00636B05" w:rsidRDefault="00CF02AF" w:rsidP="006B5473">
      <w:pPr>
        <w:pStyle w:val="TableBullet1"/>
      </w:pPr>
      <w:r w:rsidRPr="00636B05">
        <w:t>Domestic assistance</w:t>
      </w:r>
    </w:p>
    <w:p w14:paraId="327AE9D7" w14:textId="77777777" w:rsidR="00CF02AF" w:rsidRPr="00636B05" w:rsidRDefault="00CF02AF" w:rsidP="006B5473">
      <w:pPr>
        <w:pStyle w:val="TableBullet1"/>
      </w:pPr>
      <w:r w:rsidRPr="00636B05">
        <w:t xml:space="preserve">Home maintenance </w:t>
      </w:r>
    </w:p>
    <w:p w14:paraId="30699D9F" w14:textId="77777777" w:rsidR="00CF02AF" w:rsidRPr="00636B05" w:rsidRDefault="00CF02AF" w:rsidP="00BC3F7D">
      <w:pPr>
        <w:pStyle w:val="Subhead1"/>
      </w:pPr>
      <w:r w:rsidRPr="00636B05">
        <w:t>AT Products</w:t>
      </w:r>
    </w:p>
    <w:p w14:paraId="5ED09F4C" w14:textId="77777777" w:rsidR="00CF02AF" w:rsidRPr="00636B05" w:rsidRDefault="00CF02AF" w:rsidP="00FB2F79">
      <w:pPr>
        <w:pStyle w:val="TableText"/>
      </w:pPr>
      <w:r w:rsidRPr="00636B05">
        <w:t xml:space="preserve">Indicative </w:t>
      </w:r>
      <w:r>
        <w:t>products and services</w:t>
      </w:r>
      <w:r w:rsidRPr="00636B05">
        <w:t>:</w:t>
      </w:r>
    </w:p>
    <w:p w14:paraId="047C0BD7" w14:textId="77777777" w:rsidR="00CF02AF" w:rsidRPr="00636B05" w:rsidRDefault="00CF02AF" w:rsidP="00FB2F79">
      <w:pPr>
        <w:pStyle w:val="TableBullet1"/>
      </w:pPr>
      <w:r w:rsidRPr="00636B05">
        <w:t>Safety tread</w:t>
      </w:r>
    </w:p>
    <w:p w14:paraId="25DEF9CB" w14:textId="77777777" w:rsidR="00CF02AF" w:rsidRPr="00636B05" w:rsidRDefault="00CF02AF" w:rsidP="00FB2F79">
      <w:pPr>
        <w:pStyle w:val="TableBullet1"/>
      </w:pPr>
      <w:r w:rsidRPr="00636B05">
        <w:t>Dressing equipment</w:t>
      </w:r>
    </w:p>
    <w:p w14:paraId="7621AD8B" w14:textId="77777777" w:rsidR="00CF02AF" w:rsidRPr="00636B05" w:rsidRDefault="00CF02AF" w:rsidP="00FB2F79">
      <w:pPr>
        <w:pStyle w:val="TableBullet1"/>
      </w:pPr>
      <w:r w:rsidRPr="00636B05">
        <w:t>Shower stool</w:t>
      </w:r>
    </w:p>
    <w:p w14:paraId="050BB4AC" w14:textId="77777777" w:rsidR="00CF02AF" w:rsidRPr="00636B05" w:rsidRDefault="00CF02AF" w:rsidP="00FB2F79">
      <w:pPr>
        <w:pStyle w:val="TableBullet1"/>
      </w:pPr>
      <w:r w:rsidRPr="00636B05">
        <w:t>Bed supports (adjustable bed or tilt backrest)</w:t>
      </w:r>
    </w:p>
    <w:p w14:paraId="2D1ED1AC" w14:textId="77777777" w:rsidR="00CF02AF" w:rsidRPr="00636B05" w:rsidRDefault="00CF02AF" w:rsidP="00FB2F79">
      <w:pPr>
        <w:pStyle w:val="TableBullet1"/>
      </w:pPr>
      <w:r w:rsidRPr="00636B05">
        <w:t>Chair raisers</w:t>
      </w:r>
    </w:p>
    <w:p w14:paraId="125E8D40" w14:textId="77777777" w:rsidR="00CF02AF" w:rsidRPr="00636B05" w:rsidRDefault="00CF02AF" w:rsidP="00FB2F79">
      <w:pPr>
        <w:pStyle w:val="TableBullet1"/>
      </w:pPr>
      <w:r w:rsidRPr="00636B05">
        <w:t>Home adaptations</w:t>
      </w:r>
    </w:p>
    <w:p w14:paraId="505D9AF4" w14:textId="77777777" w:rsidR="00CF02AF" w:rsidRPr="00636B05" w:rsidRDefault="00CF02AF" w:rsidP="00FB2F79">
      <w:pPr>
        <w:pStyle w:val="TableBullet1"/>
      </w:pPr>
      <w:r w:rsidRPr="00636B05">
        <w:t>Nutrition support</w:t>
      </w:r>
    </w:p>
    <w:p w14:paraId="320E6027" w14:textId="77777777" w:rsidR="00CF02AF" w:rsidRPr="00636B05" w:rsidRDefault="00CF02AF" w:rsidP="00FB2F79">
      <w:pPr>
        <w:pStyle w:val="TableBullet1"/>
      </w:pPr>
      <w:r w:rsidRPr="00636B05">
        <w:t>Lightweight cleaning and cooking equipment</w:t>
      </w:r>
    </w:p>
    <w:p w14:paraId="6C8B8604" w14:textId="77777777" w:rsidR="00CF02AF" w:rsidRPr="00636B05" w:rsidRDefault="00CF02AF" w:rsidP="00FB2F79">
      <w:pPr>
        <w:pStyle w:val="TableBullet1"/>
      </w:pPr>
      <w:r w:rsidRPr="00636B05">
        <w:t>Laundry trolley</w:t>
      </w:r>
    </w:p>
    <w:p w14:paraId="3FA13D17" w14:textId="77777777" w:rsidR="00CF02AF" w:rsidRPr="00636B05" w:rsidRDefault="00CF02AF" w:rsidP="00FB2F79">
      <w:pPr>
        <w:pStyle w:val="TableBullet1"/>
      </w:pPr>
      <w:r w:rsidRPr="00636B05">
        <w:t>Reaching aids</w:t>
      </w:r>
    </w:p>
    <w:p w14:paraId="27B17C17" w14:textId="77777777" w:rsidR="00CF02AF" w:rsidRPr="00636B05" w:rsidRDefault="00CF02AF" w:rsidP="00BC3F7D">
      <w:pPr>
        <w:pStyle w:val="Subhead1"/>
      </w:pPr>
      <w:r w:rsidRPr="00636B05">
        <w:t>AT Services</w:t>
      </w:r>
    </w:p>
    <w:p w14:paraId="5EF244F0" w14:textId="77777777" w:rsidR="00CF02AF" w:rsidRPr="00636B05" w:rsidRDefault="00CF02AF" w:rsidP="00FB2F79">
      <w:pPr>
        <w:pStyle w:val="TableBullet1"/>
      </w:pPr>
      <w:r w:rsidRPr="00636B05">
        <w:t>Allied health assessment</w:t>
      </w:r>
    </w:p>
    <w:p w14:paraId="0A6C8559" w14:textId="64E44329" w:rsidR="00B30657" w:rsidRPr="00B30657" w:rsidRDefault="00B30657" w:rsidP="00B30657">
      <w:pPr>
        <w:rPr>
          <w:rFonts w:eastAsia="Arial Unicode MS"/>
        </w:rPr>
      </w:pPr>
      <w:r w:rsidRPr="00B30657">
        <w:br w:type="page"/>
      </w:r>
    </w:p>
    <w:p w14:paraId="23F1683E" w14:textId="77777777" w:rsidR="00F85EFF" w:rsidRPr="00B30657" w:rsidRDefault="00F85EFF" w:rsidP="00B30657">
      <w:pPr>
        <w:sectPr w:rsidR="00F85EFF" w:rsidRPr="00B30657" w:rsidSect="00996C17">
          <w:type w:val="continuous"/>
          <w:pgSz w:w="11907" w:h="16840" w:code="9"/>
          <w:pgMar w:top="1134" w:right="1134" w:bottom="1134" w:left="1134" w:header="567" w:footer="851" w:gutter="0"/>
          <w:cols w:num="2" w:space="708"/>
          <w:docGrid w:linePitch="360"/>
        </w:sectPr>
      </w:pPr>
    </w:p>
    <w:p w14:paraId="01A470EB" w14:textId="206E83D7" w:rsidR="00CF02AF" w:rsidRPr="00636B05" w:rsidRDefault="00CF02AF" w:rsidP="00B4797D">
      <w:pPr>
        <w:pStyle w:val="Archetype"/>
      </w:pPr>
      <w:r w:rsidRPr="00636B05">
        <w:lastRenderedPageBreak/>
        <w:t>Archetype 14: Home Care Packages</w:t>
      </w:r>
      <w:r w:rsidR="00861912">
        <w:t xml:space="preserve"> – </w:t>
      </w:r>
      <w:r w:rsidRPr="00636B05">
        <w:t>Level 4 (Dementia)</w:t>
      </w:r>
    </w:p>
    <w:p w14:paraId="580C3800" w14:textId="77777777" w:rsidR="00F85EFF" w:rsidRDefault="00F85EFF" w:rsidP="00C83C37">
      <w:pPr>
        <w:pStyle w:val="ParaKeep"/>
        <w:rPr>
          <w:rFonts w:eastAsia="Calibri"/>
        </w:rPr>
        <w:sectPr w:rsidR="00F85EFF" w:rsidSect="00F85EFF">
          <w:type w:val="continuous"/>
          <w:pgSz w:w="11907" w:h="16840" w:code="9"/>
          <w:pgMar w:top="1134" w:right="1134" w:bottom="1134" w:left="1134" w:header="567" w:footer="851" w:gutter="0"/>
          <w:cols w:space="708"/>
          <w:docGrid w:linePitch="360"/>
        </w:sectPr>
      </w:pPr>
    </w:p>
    <w:p w14:paraId="5B6A8DFE" w14:textId="0CA27BEE" w:rsidR="00CF02AF" w:rsidRPr="00636B05" w:rsidRDefault="00F33447" w:rsidP="00FE64D9">
      <w:pPr>
        <w:pStyle w:val="Paragraph"/>
        <w:spacing w:before="0" w:after="120"/>
        <w:rPr>
          <w:rFonts w:eastAsia="Calibri"/>
        </w:rPr>
      </w:pPr>
      <w:r>
        <w:rPr>
          <w:rFonts w:eastAsia="Calibri"/>
        </w:rPr>
        <w:t>Mr </w:t>
      </w:r>
      <w:r w:rsidR="00CF02AF" w:rsidRPr="00636B05">
        <w:rPr>
          <w:rFonts w:eastAsia="Calibri"/>
        </w:rPr>
        <w:t>M is aged 86 and lives with his daughter, who is his registered carer.</w:t>
      </w:r>
      <w:r w:rsidR="00CF02AF">
        <w:rPr>
          <w:rFonts w:eastAsia="Calibri"/>
        </w:rPr>
        <w:t xml:space="preserve"> </w:t>
      </w:r>
      <w:r w:rsidR="00CF02AF" w:rsidRPr="00636B05">
        <w:rPr>
          <w:rFonts w:eastAsia="Calibri"/>
        </w:rPr>
        <w:t xml:space="preserve">Following a recent Home Support Assessment, </w:t>
      </w:r>
      <w:r>
        <w:rPr>
          <w:rFonts w:eastAsia="Calibri"/>
        </w:rPr>
        <w:t>Mr </w:t>
      </w:r>
      <w:r w:rsidR="00CF02AF" w:rsidRPr="00636B05">
        <w:rPr>
          <w:rFonts w:eastAsia="Calibri"/>
        </w:rPr>
        <w:t>M was referred for an ACAT assessment to provide access to a coordinated Home Care Package and to assess his eligibilities for residential care (both permanent and respite).</w:t>
      </w:r>
      <w:r w:rsidR="00CF02AF">
        <w:rPr>
          <w:rFonts w:eastAsia="Calibri"/>
        </w:rPr>
        <w:t xml:space="preserve"> </w:t>
      </w:r>
      <w:r>
        <w:rPr>
          <w:rFonts w:eastAsia="Calibri"/>
        </w:rPr>
        <w:t>Mr </w:t>
      </w:r>
      <w:r w:rsidR="00CF02AF" w:rsidRPr="00636B05">
        <w:rPr>
          <w:rFonts w:eastAsia="Calibri"/>
        </w:rPr>
        <w:t>M also has two sons, both of whom reside in the same town.</w:t>
      </w:r>
      <w:r w:rsidR="00CF02AF">
        <w:rPr>
          <w:rFonts w:eastAsia="Calibri"/>
        </w:rPr>
        <w:t xml:space="preserve"> </w:t>
      </w:r>
      <w:r>
        <w:rPr>
          <w:rFonts w:eastAsia="Calibri"/>
        </w:rPr>
        <w:t>Mr </w:t>
      </w:r>
      <w:r w:rsidR="00CF02AF" w:rsidRPr="00636B05">
        <w:rPr>
          <w:rFonts w:eastAsia="Calibri"/>
        </w:rPr>
        <w:t>M attends the Men's Shed twice weekly and his daughter is investigating other day centre options.</w:t>
      </w:r>
      <w:r w:rsidR="00CF02AF">
        <w:rPr>
          <w:rFonts w:eastAsia="Calibri"/>
        </w:rPr>
        <w:t xml:space="preserve"> </w:t>
      </w:r>
      <w:r w:rsidR="00CF02AF" w:rsidRPr="00636B05">
        <w:rPr>
          <w:rFonts w:eastAsia="Calibri"/>
        </w:rPr>
        <w:t>No formal home care services are currently in place.</w:t>
      </w:r>
    </w:p>
    <w:p w14:paraId="21D62D58" w14:textId="4DF5303D" w:rsidR="00CF02AF" w:rsidRPr="00636B05" w:rsidRDefault="00F33447" w:rsidP="00F85EFF">
      <w:pPr>
        <w:pStyle w:val="Paragraph"/>
        <w:spacing w:before="120"/>
        <w:rPr>
          <w:rFonts w:eastAsia="Calibri"/>
        </w:rPr>
      </w:pPr>
      <w:r>
        <w:rPr>
          <w:rFonts w:eastAsia="Calibri"/>
        </w:rPr>
        <w:t>Mr </w:t>
      </w:r>
      <w:r w:rsidR="00CF02AF" w:rsidRPr="00636B05">
        <w:rPr>
          <w:rFonts w:eastAsia="Calibri"/>
        </w:rPr>
        <w:t>M maintains regular contact with his GP.</w:t>
      </w:r>
      <w:r w:rsidR="00CF02AF">
        <w:rPr>
          <w:rFonts w:eastAsia="Calibri"/>
        </w:rPr>
        <w:t xml:space="preserve"> </w:t>
      </w:r>
      <w:r w:rsidR="00CF02AF" w:rsidRPr="00636B05">
        <w:rPr>
          <w:rFonts w:eastAsia="Calibri"/>
        </w:rPr>
        <w:t xml:space="preserve">He is able to verbalise his immediate needs. </w:t>
      </w:r>
    </w:p>
    <w:p w14:paraId="30963F85" w14:textId="77777777" w:rsidR="00CF02AF" w:rsidRPr="00636B05" w:rsidRDefault="00CF02AF" w:rsidP="00F85EFF">
      <w:pPr>
        <w:pStyle w:val="Subhead1"/>
        <w:spacing w:after="0"/>
        <w:rPr>
          <w:rFonts w:eastAsia="Calibri"/>
        </w:rPr>
      </w:pPr>
      <w:r w:rsidRPr="00636B05">
        <w:rPr>
          <w:rFonts w:eastAsia="Calibri"/>
        </w:rPr>
        <w:t>Condition</w:t>
      </w:r>
    </w:p>
    <w:p w14:paraId="0F0F8DC9" w14:textId="423A6A72" w:rsidR="00CF02AF" w:rsidRPr="00636B05" w:rsidRDefault="00F33447" w:rsidP="00F85EFF">
      <w:pPr>
        <w:pStyle w:val="ParaKeep"/>
        <w:spacing w:before="120" w:after="0"/>
        <w:rPr>
          <w:rFonts w:eastAsia="Calibri"/>
        </w:rPr>
      </w:pPr>
      <w:r>
        <w:rPr>
          <w:rFonts w:eastAsia="Calibri"/>
        </w:rPr>
        <w:t>Mr </w:t>
      </w:r>
      <w:r w:rsidR="00CF02AF" w:rsidRPr="00636B05">
        <w:rPr>
          <w:rFonts w:eastAsia="Calibri"/>
        </w:rPr>
        <w:t>M has a reported medical history of:</w:t>
      </w:r>
    </w:p>
    <w:p w14:paraId="62BF21E6" w14:textId="77777777" w:rsidR="00CF02AF" w:rsidRPr="00636B05" w:rsidRDefault="00CF02AF" w:rsidP="00FB2F79">
      <w:pPr>
        <w:pStyle w:val="TableBullet1"/>
        <w:rPr>
          <w:rFonts w:eastAsia="Calibri"/>
        </w:rPr>
      </w:pPr>
      <w:r w:rsidRPr="00636B05">
        <w:rPr>
          <w:rFonts w:eastAsia="Calibri"/>
        </w:rPr>
        <w:t>Moderately severe dementia of mixed pathology</w:t>
      </w:r>
    </w:p>
    <w:p w14:paraId="59845224" w14:textId="77777777" w:rsidR="00CF02AF" w:rsidRPr="00636B05" w:rsidRDefault="00CF02AF" w:rsidP="00FB2F79">
      <w:pPr>
        <w:pStyle w:val="TableBullet1"/>
        <w:rPr>
          <w:rFonts w:eastAsia="Calibri"/>
        </w:rPr>
      </w:pPr>
      <w:r w:rsidRPr="00636B05">
        <w:rPr>
          <w:rFonts w:eastAsia="Calibri"/>
        </w:rPr>
        <w:t>Visual misperceptions</w:t>
      </w:r>
    </w:p>
    <w:p w14:paraId="445003E6" w14:textId="77777777" w:rsidR="00CF02AF" w:rsidRPr="00636B05" w:rsidRDefault="00CF02AF" w:rsidP="00FB2F79">
      <w:pPr>
        <w:pStyle w:val="TableBullet1"/>
        <w:rPr>
          <w:rFonts w:eastAsia="Calibri"/>
        </w:rPr>
      </w:pPr>
      <w:r w:rsidRPr="00636B05">
        <w:rPr>
          <w:rFonts w:eastAsia="Calibri"/>
        </w:rPr>
        <w:t>Vascular parkinsonism</w:t>
      </w:r>
    </w:p>
    <w:p w14:paraId="4CB259B5" w14:textId="77777777" w:rsidR="00CF02AF" w:rsidRPr="00636B05" w:rsidRDefault="00CF02AF" w:rsidP="00FB2F79">
      <w:pPr>
        <w:pStyle w:val="TableBullet1"/>
        <w:rPr>
          <w:rFonts w:eastAsia="Calibri"/>
        </w:rPr>
      </w:pPr>
      <w:r w:rsidRPr="00636B05">
        <w:rPr>
          <w:rFonts w:eastAsia="Calibri"/>
        </w:rPr>
        <w:t>Pre-syncope/syncope</w:t>
      </w:r>
    </w:p>
    <w:p w14:paraId="712855B5" w14:textId="77777777" w:rsidR="00CF02AF" w:rsidRPr="00636B05" w:rsidRDefault="00CF02AF" w:rsidP="00FB2F79">
      <w:pPr>
        <w:pStyle w:val="TableBullet1"/>
        <w:rPr>
          <w:rFonts w:eastAsia="Calibri"/>
        </w:rPr>
      </w:pPr>
      <w:r w:rsidRPr="00636B05">
        <w:rPr>
          <w:rFonts w:eastAsia="Calibri"/>
        </w:rPr>
        <w:t>Duplex kidney</w:t>
      </w:r>
    </w:p>
    <w:p w14:paraId="336D029B" w14:textId="77777777" w:rsidR="00CF02AF" w:rsidRPr="00636B05" w:rsidRDefault="00CF02AF" w:rsidP="00FB2F79">
      <w:pPr>
        <w:pStyle w:val="TableBullet1"/>
        <w:rPr>
          <w:rFonts w:eastAsia="Calibri"/>
        </w:rPr>
      </w:pPr>
      <w:r w:rsidRPr="00636B05">
        <w:rPr>
          <w:rFonts w:eastAsia="Calibri"/>
        </w:rPr>
        <w:t>Depression</w:t>
      </w:r>
    </w:p>
    <w:p w14:paraId="7809C5E7" w14:textId="77777777" w:rsidR="00CF02AF" w:rsidRPr="00636B05" w:rsidRDefault="00CF02AF" w:rsidP="00FB2F79">
      <w:pPr>
        <w:pStyle w:val="TableBullet1"/>
        <w:rPr>
          <w:rFonts w:eastAsia="Calibri"/>
        </w:rPr>
      </w:pPr>
      <w:r w:rsidRPr="00636B05">
        <w:rPr>
          <w:rFonts w:eastAsia="Calibri"/>
        </w:rPr>
        <w:t>Hypercholesterolemia</w:t>
      </w:r>
    </w:p>
    <w:p w14:paraId="29FA27B4" w14:textId="77777777" w:rsidR="00CF02AF" w:rsidRPr="00636B05" w:rsidRDefault="00CF02AF" w:rsidP="00FB2F79">
      <w:pPr>
        <w:pStyle w:val="TableBullet1"/>
        <w:rPr>
          <w:rFonts w:eastAsia="Calibri"/>
        </w:rPr>
      </w:pPr>
      <w:r w:rsidRPr="00636B05">
        <w:rPr>
          <w:rFonts w:eastAsia="Calibri"/>
        </w:rPr>
        <w:t>Coronary artery bypass grafting</w:t>
      </w:r>
    </w:p>
    <w:p w14:paraId="7CD1F6BC" w14:textId="77777777" w:rsidR="00CF02AF" w:rsidRPr="00636B05" w:rsidRDefault="00CF02AF" w:rsidP="00FB2F79">
      <w:pPr>
        <w:pStyle w:val="TableBullet1"/>
        <w:rPr>
          <w:rFonts w:eastAsia="Calibri"/>
        </w:rPr>
      </w:pPr>
      <w:r w:rsidRPr="00636B05">
        <w:rPr>
          <w:rFonts w:eastAsia="Calibri"/>
        </w:rPr>
        <w:t>Basal-cell carcinoma and excisions of same</w:t>
      </w:r>
    </w:p>
    <w:p w14:paraId="1DF37C0A" w14:textId="77777777" w:rsidR="00CF02AF" w:rsidRPr="00636B05" w:rsidRDefault="00CF02AF" w:rsidP="00FB2F79">
      <w:pPr>
        <w:pStyle w:val="TableBullet1"/>
        <w:rPr>
          <w:rFonts w:eastAsia="Calibri"/>
        </w:rPr>
      </w:pPr>
      <w:r w:rsidRPr="00636B05">
        <w:rPr>
          <w:rFonts w:eastAsia="Calibri"/>
        </w:rPr>
        <w:t>Gastro-oesophageal reflux disease</w:t>
      </w:r>
    </w:p>
    <w:p w14:paraId="20EA5B49" w14:textId="77777777" w:rsidR="00CF02AF" w:rsidRPr="00636B05" w:rsidRDefault="00CF02AF" w:rsidP="00FB2F79">
      <w:pPr>
        <w:pStyle w:val="TableBullet1"/>
        <w:rPr>
          <w:rFonts w:eastAsia="Calibri"/>
        </w:rPr>
      </w:pPr>
      <w:r w:rsidRPr="00636B05">
        <w:rPr>
          <w:rFonts w:eastAsia="Calibri"/>
        </w:rPr>
        <w:t>Atrial fibrillation.</w:t>
      </w:r>
    </w:p>
    <w:p w14:paraId="59BCB637" w14:textId="77777777" w:rsidR="00CF02AF" w:rsidRPr="00636B05" w:rsidRDefault="00CF02AF" w:rsidP="002C16CD">
      <w:pPr>
        <w:pStyle w:val="ParaKeep"/>
        <w:spacing w:before="120" w:after="0"/>
        <w:rPr>
          <w:rFonts w:eastAsia="Calibri"/>
        </w:rPr>
      </w:pPr>
      <w:r w:rsidRPr="00636B05">
        <w:rPr>
          <w:rFonts w:eastAsia="Calibri"/>
        </w:rPr>
        <w:t>He has:</w:t>
      </w:r>
    </w:p>
    <w:p w14:paraId="37A74CC0" w14:textId="77777777" w:rsidR="00CF02AF" w:rsidRPr="00636B05" w:rsidRDefault="00CF02AF" w:rsidP="00FB2F79">
      <w:pPr>
        <w:pStyle w:val="TableBullet1"/>
      </w:pPr>
      <w:r w:rsidRPr="00636B05">
        <w:t>Chronic and complex health conditions impacting physical functional capacity and mobility</w:t>
      </w:r>
    </w:p>
    <w:p w14:paraId="28382364" w14:textId="77777777" w:rsidR="00CF02AF" w:rsidRPr="00636B05" w:rsidRDefault="00CF02AF" w:rsidP="00FB2F79">
      <w:pPr>
        <w:pStyle w:val="TableBullet1"/>
      </w:pPr>
      <w:r w:rsidRPr="00636B05">
        <w:t>Diagnosis of dementia in Alzheimer's disease: he requires prompting to initiate, and supervision of safety, for all daily living activities.</w:t>
      </w:r>
      <w:r>
        <w:t xml:space="preserve"> </w:t>
      </w:r>
      <w:r w:rsidRPr="00636B05">
        <w:t>He has reported visual misperceptions and potential for wandering, including overnight</w:t>
      </w:r>
    </w:p>
    <w:p w14:paraId="0CB26B4E" w14:textId="77777777" w:rsidR="00CF02AF" w:rsidRPr="00636B05" w:rsidRDefault="00CF02AF" w:rsidP="00FB2F79">
      <w:pPr>
        <w:pStyle w:val="TableBullet1"/>
      </w:pPr>
      <w:r w:rsidRPr="00636B05">
        <w:t>High potential for carer stress and/or burnout, as reflected in Carer Strain Index.</w:t>
      </w:r>
      <w:r>
        <w:t xml:space="preserve"> </w:t>
      </w:r>
      <w:r w:rsidRPr="00636B05">
        <w:t>Nil current residential respite eligibilities and/or sustainable emergency care plan</w:t>
      </w:r>
    </w:p>
    <w:p w14:paraId="33CB36C0" w14:textId="70A9F619" w:rsidR="00CF02AF" w:rsidRPr="00636B05" w:rsidRDefault="00CF02AF" w:rsidP="00FB2F79">
      <w:pPr>
        <w:pStyle w:val="TableBullet1"/>
      </w:pPr>
      <w:r w:rsidRPr="00636B05">
        <w:t>High falls risk potential</w:t>
      </w:r>
      <w:r w:rsidR="00861912">
        <w:t xml:space="preserve"> – </w:t>
      </w:r>
      <w:r w:rsidRPr="00636B05">
        <w:t>supervision of all mobility and transfers is suggested.</w:t>
      </w:r>
    </w:p>
    <w:p w14:paraId="16002C0F" w14:textId="3FFC6D0F" w:rsidR="00CF02AF" w:rsidRPr="00636B05" w:rsidRDefault="002C16CD" w:rsidP="002C16CD">
      <w:pPr>
        <w:pStyle w:val="Subhead1"/>
        <w:spacing w:before="0"/>
        <w:rPr>
          <w:rFonts w:eastAsia="Calibri"/>
        </w:rPr>
      </w:pPr>
      <w:r>
        <w:rPr>
          <w:rFonts w:eastAsia="Calibri"/>
        </w:rPr>
        <w:br w:type="column"/>
      </w:r>
      <w:r w:rsidR="00CF02AF" w:rsidRPr="00FE64D9">
        <w:rPr>
          <w:rFonts w:eastAsia="Calibri"/>
        </w:rPr>
        <w:t>Recommendations</w:t>
      </w:r>
    </w:p>
    <w:p w14:paraId="1FA6F9CB" w14:textId="77777777" w:rsidR="00CF02AF" w:rsidRPr="00636B05" w:rsidRDefault="00CF02AF" w:rsidP="00FB2F79">
      <w:pPr>
        <w:pStyle w:val="TableBullet1"/>
      </w:pPr>
      <w:r w:rsidRPr="00636B05">
        <w:t>Home Care Package Level 4</w:t>
      </w:r>
    </w:p>
    <w:p w14:paraId="63C99904" w14:textId="77777777" w:rsidR="00CF02AF" w:rsidRPr="00636B05" w:rsidRDefault="00CF02AF" w:rsidP="00FB2F79">
      <w:pPr>
        <w:pStyle w:val="TableBullet1"/>
      </w:pPr>
      <w:r w:rsidRPr="00636B05">
        <w:t>Residential care</w:t>
      </w:r>
    </w:p>
    <w:p w14:paraId="4800181A" w14:textId="77777777" w:rsidR="00CF02AF" w:rsidRPr="00636B05" w:rsidRDefault="00CF02AF" w:rsidP="00FB2F79">
      <w:pPr>
        <w:pStyle w:val="TableBullet1"/>
      </w:pPr>
      <w:r w:rsidRPr="00636B05">
        <w:t>High-level residential respite care</w:t>
      </w:r>
    </w:p>
    <w:p w14:paraId="46A97BA1" w14:textId="77777777" w:rsidR="00CF02AF" w:rsidRPr="00636B05" w:rsidRDefault="00CF02AF" w:rsidP="00FB2F79">
      <w:pPr>
        <w:pStyle w:val="TableBullet1"/>
      </w:pPr>
      <w:r w:rsidRPr="00636B05">
        <w:t>Social support</w:t>
      </w:r>
    </w:p>
    <w:p w14:paraId="6EF8B5B0" w14:textId="77777777" w:rsidR="00CF02AF" w:rsidRPr="00636B05" w:rsidRDefault="00CF02AF" w:rsidP="00FB2F79">
      <w:pPr>
        <w:pStyle w:val="TableBullet1"/>
      </w:pPr>
      <w:r w:rsidRPr="00636B05">
        <w:t>Centre-based respite; flexible respite</w:t>
      </w:r>
    </w:p>
    <w:p w14:paraId="565F17D9" w14:textId="77777777" w:rsidR="00CF02AF" w:rsidRPr="00636B05" w:rsidRDefault="00CF02AF" w:rsidP="00FB2F79">
      <w:pPr>
        <w:pStyle w:val="TableBullet1"/>
      </w:pPr>
      <w:r w:rsidRPr="00636B05">
        <w:t>Goods, equipment and AT</w:t>
      </w:r>
    </w:p>
    <w:p w14:paraId="1922C3DD" w14:textId="77777777" w:rsidR="00CF02AF" w:rsidRPr="00636B05" w:rsidRDefault="00CF02AF" w:rsidP="00BC3F7D">
      <w:pPr>
        <w:pStyle w:val="Subhead1"/>
      </w:pPr>
      <w:r w:rsidRPr="00636B05">
        <w:t>AT Products</w:t>
      </w:r>
    </w:p>
    <w:p w14:paraId="65C0BB91" w14:textId="77777777" w:rsidR="00CF02AF" w:rsidRPr="00636B05" w:rsidRDefault="00CF02AF" w:rsidP="00FB2F79">
      <w:pPr>
        <w:pStyle w:val="TableBullet1"/>
      </w:pPr>
      <w:r w:rsidRPr="00636B05">
        <w:t>Visual prompts and props (signage, lighting, large-print orientation labels on doors)</w:t>
      </w:r>
    </w:p>
    <w:p w14:paraId="2DE8920D" w14:textId="77777777" w:rsidR="00CF02AF" w:rsidRPr="00636B05" w:rsidRDefault="00CF02AF" w:rsidP="00FB2F79">
      <w:pPr>
        <w:pStyle w:val="TableBullet1"/>
      </w:pPr>
      <w:r w:rsidRPr="00636B05">
        <w:t xml:space="preserve">Large-face watch with reminder system </w:t>
      </w:r>
    </w:p>
    <w:p w14:paraId="4E37D789" w14:textId="77777777" w:rsidR="00CF02AF" w:rsidRPr="00636B05" w:rsidRDefault="00CF02AF" w:rsidP="00FB2F79">
      <w:pPr>
        <w:pStyle w:val="TableBullet1"/>
      </w:pPr>
      <w:r w:rsidRPr="00636B05">
        <w:t>Large-button TV/radio controller or iPad for self-settling with meditation apps/favourite music/shows</w:t>
      </w:r>
    </w:p>
    <w:p w14:paraId="4F54824D" w14:textId="77777777" w:rsidR="00CF02AF" w:rsidRPr="00636B05" w:rsidRDefault="00CF02AF" w:rsidP="00FB2F79">
      <w:pPr>
        <w:pStyle w:val="TableBullet1"/>
      </w:pPr>
      <w:r w:rsidRPr="00636B05">
        <w:t>Workbench or desk for hobby/self-soothing activities (books, pictures, small tools and projects)</w:t>
      </w:r>
    </w:p>
    <w:p w14:paraId="7817B483" w14:textId="77777777" w:rsidR="00CF02AF" w:rsidRPr="00636B05" w:rsidRDefault="00CF02AF" w:rsidP="00FB2F79">
      <w:pPr>
        <w:pStyle w:val="TableBullet1"/>
      </w:pPr>
      <w:r w:rsidRPr="00636B05">
        <w:t>Reverse hinge toilet door for safety, safety latches on garden gates</w:t>
      </w:r>
    </w:p>
    <w:p w14:paraId="4074FF0D" w14:textId="77777777" w:rsidR="00CF02AF" w:rsidRPr="00636B05" w:rsidRDefault="00CF02AF" w:rsidP="00FB2F79">
      <w:pPr>
        <w:pStyle w:val="TableBullet1"/>
      </w:pPr>
      <w:r w:rsidRPr="00636B05">
        <w:t>GPS sock tracking system</w:t>
      </w:r>
    </w:p>
    <w:p w14:paraId="63695A21" w14:textId="77777777" w:rsidR="00CF02AF" w:rsidRPr="00636B05" w:rsidRDefault="00CF02AF" w:rsidP="00FB2F79">
      <w:pPr>
        <w:pStyle w:val="TableBullet1"/>
      </w:pPr>
      <w:r w:rsidRPr="00636B05">
        <w:t>Transfer mat alarm at bedside/doorstep, if needed</w:t>
      </w:r>
    </w:p>
    <w:p w14:paraId="5BB39DF8" w14:textId="77777777" w:rsidR="00CF02AF" w:rsidRPr="00636B05" w:rsidRDefault="00CF02AF" w:rsidP="00FB2F79">
      <w:pPr>
        <w:pStyle w:val="TableBullet1"/>
      </w:pPr>
      <w:r w:rsidRPr="00636B05">
        <w:t>Riser recliner armchair, raised bed</w:t>
      </w:r>
    </w:p>
    <w:p w14:paraId="14C02836" w14:textId="77777777" w:rsidR="00CF02AF" w:rsidRPr="00636B05" w:rsidRDefault="00CF02AF" w:rsidP="00FB2F79">
      <w:pPr>
        <w:pStyle w:val="TableBullet1"/>
      </w:pPr>
      <w:r w:rsidRPr="00636B05">
        <w:t>Stool for dressing</w:t>
      </w:r>
    </w:p>
    <w:p w14:paraId="2AD34F6C" w14:textId="77777777" w:rsidR="00CF02AF" w:rsidRPr="00636B05" w:rsidRDefault="00CF02AF" w:rsidP="00FB2F79">
      <w:pPr>
        <w:pStyle w:val="TableBullet1"/>
      </w:pPr>
      <w:r w:rsidRPr="00636B05">
        <w:t>Tempering valve in shower with shower seat, hand shower and rails for shower/toilet</w:t>
      </w:r>
    </w:p>
    <w:p w14:paraId="079AB7BB" w14:textId="77777777" w:rsidR="00CF02AF" w:rsidRPr="00636B05" w:rsidRDefault="00CF02AF" w:rsidP="00FB2F79">
      <w:pPr>
        <w:pStyle w:val="TableBullet1"/>
      </w:pPr>
      <w:r w:rsidRPr="00636B05">
        <w:t>Stove shut-off device</w:t>
      </w:r>
    </w:p>
    <w:p w14:paraId="55873E13" w14:textId="77777777" w:rsidR="00CF02AF" w:rsidRPr="00636B05" w:rsidRDefault="00CF02AF" w:rsidP="00BC3F7D">
      <w:pPr>
        <w:pStyle w:val="Subhead1"/>
      </w:pPr>
      <w:r w:rsidRPr="00636B05">
        <w:t>AT Services</w:t>
      </w:r>
    </w:p>
    <w:p w14:paraId="40654122" w14:textId="77777777" w:rsidR="00CF02AF" w:rsidRPr="00636B05" w:rsidRDefault="00CF02AF" w:rsidP="00FB2F79">
      <w:pPr>
        <w:pStyle w:val="TableBullet1"/>
      </w:pPr>
      <w:r w:rsidRPr="00636B05">
        <w:t xml:space="preserve">Allied health assessment </w:t>
      </w:r>
    </w:p>
    <w:p w14:paraId="06957799" w14:textId="2E64C991" w:rsidR="00FE64D9" w:rsidRPr="00FE64D9" w:rsidRDefault="00FE64D9" w:rsidP="00FE64D9">
      <w:pPr>
        <w:rPr>
          <w:rFonts w:eastAsia="Arial Unicode MS"/>
        </w:rPr>
      </w:pPr>
      <w:r w:rsidRPr="00FE64D9">
        <w:br w:type="page"/>
      </w:r>
    </w:p>
    <w:p w14:paraId="6B959CE2" w14:textId="77777777" w:rsidR="00F85EFF" w:rsidRPr="00FE64D9" w:rsidRDefault="00F85EFF" w:rsidP="00FE64D9">
      <w:pPr>
        <w:sectPr w:rsidR="00F85EFF" w:rsidRPr="00FE64D9" w:rsidSect="002C16CD">
          <w:type w:val="continuous"/>
          <w:pgSz w:w="11907" w:h="16840" w:code="9"/>
          <w:pgMar w:top="1134" w:right="1134" w:bottom="1134" w:left="1134" w:header="567" w:footer="851" w:gutter="0"/>
          <w:cols w:num="2" w:space="567"/>
          <w:docGrid w:linePitch="360"/>
        </w:sectPr>
      </w:pPr>
    </w:p>
    <w:p w14:paraId="4B0C407B" w14:textId="6632AFB7" w:rsidR="00CF02AF" w:rsidRPr="005876BE" w:rsidRDefault="00CF02AF" w:rsidP="00B4797D">
      <w:pPr>
        <w:pStyle w:val="Archetype"/>
        <w:rPr>
          <w:rFonts w:eastAsia="Calibri"/>
          <w:spacing w:val="-2"/>
        </w:rPr>
      </w:pPr>
      <w:r w:rsidRPr="005876BE">
        <w:lastRenderedPageBreak/>
        <w:t>Archetype 15: Home Care Packages</w:t>
      </w:r>
      <w:r w:rsidR="00861912">
        <w:t xml:space="preserve"> – </w:t>
      </w:r>
      <w:r w:rsidRPr="005876BE">
        <w:t xml:space="preserve">Level 4 </w:t>
      </w:r>
    </w:p>
    <w:p w14:paraId="0FB42AC3" w14:textId="77777777" w:rsidR="00F85EFF" w:rsidRDefault="00F85EFF" w:rsidP="00F85EFF">
      <w:pPr>
        <w:pStyle w:val="Paragraph"/>
        <w:rPr>
          <w:rFonts w:eastAsia="Calibri"/>
        </w:rPr>
        <w:sectPr w:rsidR="00F85EFF" w:rsidSect="00F85EFF">
          <w:type w:val="continuous"/>
          <w:pgSz w:w="11907" w:h="16840" w:code="9"/>
          <w:pgMar w:top="1134" w:right="1134" w:bottom="1134" w:left="1134" w:header="567" w:footer="851" w:gutter="0"/>
          <w:cols w:space="708"/>
          <w:docGrid w:linePitch="360"/>
        </w:sectPr>
      </w:pPr>
    </w:p>
    <w:p w14:paraId="5162B5FB" w14:textId="3169DEEE" w:rsidR="00CF02AF" w:rsidRPr="00636B05" w:rsidRDefault="00F33447" w:rsidP="00F85EFF">
      <w:pPr>
        <w:pStyle w:val="Paragraph"/>
        <w:rPr>
          <w:rFonts w:eastAsia="Calibri"/>
        </w:rPr>
      </w:pPr>
      <w:r>
        <w:rPr>
          <w:rFonts w:eastAsia="Calibri"/>
        </w:rPr>
        <w:t>Mrs </w:t>
      </w:r>
      <w:r w:rsidR="00CF02AF" w:rsidRPr="00636B05">
        <w:rPr>
          <w:rFonts w:eastAsia="Calibri"/>
        </w:rPr>
        <w:t>N is a 68-year-old widow.</w:t>
      </w:r>
      <w:r w:rsidR="00CF02AF">
        <w:rPr>
          <w:rFonts w:eastAsia="Calibri"/>
        </w:rPr>
        <w:t xml:space="preserve"> </w:t>
      </w:r>
      <w:r w:rsidR="00CF02AF" w:rsidRPr="00636B05">
        <w:rPr>
          <w:rFonts w:eastAsia="Calibri"/>
        </w:rPr>
        <w:t>She was referred by the local welfare association to review her priority to access a Home Care Package due to her increasing difficulty managing at home. She receives some CHSP services through the welfare association (assistance with personal care, cleaning, laundry, shopping, meals, bill-paying and transport).</w:t>
      </w:r>
      <w:r w:rsidR="00CF02AF">
        <w:rPr>
          <w:rFonts w:eastAsia="Calibri"/>
        </w:rPr>
        <w:t xml:space="preserve"> </w:t>
      </w:r>
      <w:r w:rsidR="00CF02AF" w:rsidRPr="00636B05">
        <w:rPr>
          <w:rFonts w:eastAsia="Calibri"/>
        </w:rPr>
        <w:t>She also receives nursing care/wound care three days a week.</w:t>
      </w:r>
      <w:r w:rsidR="00CF02AF">
        <w:rPr>
          <w:rFonts w:eastAsia="Calibri"/>
        </w:rPr>
        <w:t xml:space="preserve"> </w:t>
      </w:r>
      <w:r>
        <w:rPr>
          <w:rFonts w:eastAsia="Calibri"/>
        </w:rPr>
        <w:t>Mrs </w:t>
      </w:r>
      <w:r w:rsidR="00CF02AF" w:rsidRPr="00636B05">
        <w:rPr>
          <w:rFonts w:eastAsia="Calibri"/>
        </w:rPr>
        <w:t>N pays privately for four additional visits to assist with personal care (she therefore receives assistance with personal care seven days a week</w:t>
      </w:r>
      <w:r w:rsidR="00861912">
        <w:rPr>
          <w:rFonts w:eastAsia="Calibri"/>
        </w:rPr>
        <w:t xml:space="preserve"> – </w:t>
      </w:r>
      <w:r w:rsidR="00CF02AF" w:rsidRPr="00636B05">
        <w:rPr>
          <w:rFonts w:eastAsia="Calibri"/>
        </w:rPr>
        <w:t>she has a toe wound that she needs to keep dry).</w:t>
      </w:r>
      <w:r w:rsidR="00CF02AF">
        <w:rPr>
          <w:rFonts w:eastAsia="Calibri"/>
        </w:rPr>
        <w:t xml:space="preserve"> </w:t>
      </w:r>
      <w:r>
        <w:rPr>
          <w:rFonts w:eastAsia="Calibri"/>
        </w:rPr>
        <w:t>Mrs </w:t>
      </w:r>
      <w:r w:rsidR="00CF02AF" w:rsidRPr="00636B05">
        <w:rPr>
          <w:rFonts w:eastAsia="Calibri"/>
        </w:rPr>
        <w:t xml:space="preserve">N wants to remain in her usual accommodation setting. </w:t>
      </w:r>
    </w:p>
    <w:p w14:paraId="52EC4489" w14:textId="77777777" w:rsidR="00CF02AF" w:rsidRPr="00636B05" w:rsidRDefault="00CF02AF" w:rsidP="00F85EFF">
      <w:pPr>
        <w:pStyle w:val="Subhead1"/>
        <w:rPr>
          <w:rFonts w:eastAsia="Calibri"/>
        </w:rPr>
      </w:pPr>
      <w:r w:rsidRPr="00636B05">
        <w:rPr>
          <w:rFonts w:eastAsia="Calibri"/>
        </w:rPr>
        <w:t>Condition</w:t>
      </w:r>
    </w:p>
    <w:p w14:paraId="4D0E1A41" w14:textId="21209B84" w:rsidR="00CF02AF" w:rsidRPr="00636B05" w:rsidRDefault="00F33447" w:rsidP="00C83C37">
      <w:pPr>
        <w:pStyle w:val="ParaKeep"/>
        <w:rPr>
          <w:rFonts w:eastAsia="Calibri"/>
        </w:rPr>
      </w:pPr>
      <w:r>
        <w:rPr>
          <w:rFonts w:eastAsia="Calibri"/>
        </w:rPr>
        <w:t>Mrs </w:t>
      </w:r>
      <w:r w:rsidR="00CF02AF" w:rsidRPr="00636B05">
        <w:rPr>
          <w:rFonts w:eastAsia="Calibri"/>
        </w:rPr>
        <w:t>N reports:</w:t>
      </w:r>
    </w:p>
    <w:p w14:paraId="31120B54" w14:textId="77777777" w:rsidR="00CF02AF" w:rsidRPr="00636B05" w:rsidRDefault="00CF02AF" w:rsidP="00FB2F79">
      <w:pPr>
        <w:pStyle w:val="TableBullet1"/>
        <w:rPr>
          <w:rFonts w:eastAsia="Calibri"/>
        </w:rPr>
      </w:pPr>
      <w:r w:rsidRPr="00636B05">
        <w:rPr>
          <w:rFonts w:eastAsia="Calibri"/>
        </w:rPr>
        <w:t>Significant joint pain and stiffness throughout her body due to severe rheumatoid arthritis</w:t>
      </w:r>
    </w:p>
    <w:p w14:paraId="1C495595" w14:textId="77777777" w:rsidR="00CF02AF" w:rsidRPr="00636B05" w:rsidRDefault="00CF02AF" w:rsidP="00FB2F79">
      <w:pPr>
        <w:pStyle w:val="TableBullet1"/>
        <w:rPr>
          <w:rFonts w:eastAsia="Calibri"/>
        </w:rPr>
      </w:pPr>
      <w:r w:rsidRPr="00636B05">
        <w:rPr>
          <w:rFonts w:eastAsia="Calibri"/>
        </w:rPr>
        <w:t>Bilateral hip pain (she is awaiting orthopaedic review for possible hip replacements)</w:t>
      </w:r>
    </w:p>
    <w:p w14:paraId="4464F438" w14:textId="457287DC" w:rsidR="00CF02AF" w:rsidRPr="00636B05" w:rsidRDefault="00CF02AF" w:rsidP="00FB2F79">
      <w:pPr>
        <w:pStyle w:val="TableBullet1"/>
        <w:rPr>
          <w:rFonts w:eastAsia="Calibri"/>
        </w:rPr>
      </w:pPr>
      <w:r w:rsidRPr="00636B05">
        <w:rPr>
          <w:rFonts w:eastAsia="Calibri"/>
        </w:rPr>
        <w:t>Left foot pain (left second toe ulceration with severe deformity as well as clawing of other toes in both feet</w:t>
      </w:r>
      <w:r w:rsidR="00861912">
        <w:rPr>
          <w:rFonts w:eastAsia="Calibri"/>
        </w:rPr>
        <w:t xml:space="preserve"> – </w:t>
      </w:r>
      <w:r w:rsidRPr="00636B05">
        <w:rPr>
          <w:rFonts w:eastAsia="Calibri"/>
        </w:rPr>
        <w:t>she may require toe amputation then further corrective foot surgery).</w:t>
      </w:r>
    </w:p>
    <w:p w14:paraId="6FF9DFEF" w14:textId="04CF91A2" w:rsidR="00CF02AF" w:rsidRPr="00636B05" w:rsidRDefault="00F33447" w:rsidP="00C83C37">
      <w:pPr>
        <w:pStyle w:val="ParaKeep"/>
        <w:rPr>
          <w:rFonts w:eastAsia="Calibri"/>
        </w:rPr>
      </w:pPr>
      <w:r>
        <w:rPr>
          <w:rFonts w:eastAsia="Calibri"/>
        </w:rPr>
        <w:t>Mrs </w:t>
      </w:r>
      <w:r w:rsidR="00CF02AF" w:rsidRPr="00636B05">
        <w:rPr>
          <w:rFonts w:eastAsia="Calibri"/>
        </w:rPr>
        <w:t>N also has:</w:t>
      </w:r>
    </w:p>
    <w:p w14:paraId="6010BAA0" w14:textId="77777777" w:rsidR="00CF02AF" w:rsidRPr="00636B05" w:rsidRDefault="00CF02AF" w:rsidP="00FB2F79">
      <w:pPr>
        <w:pStyle w:val="TableBullet1"/>
        <w:rPr>
          <w:rFonts w:eastAsia="Calibri"/>
        </w:rPr>
      </w:pPr>
      <w:r w:rsidRPr="00636B05">
        <w:rPr>
          <w:rFonts w:eastAsia="Calibri"/>
        </w:rPr>
        <w:t>Very limited function in her hands and significant hand deformity due to rheumatoid arthritis</w:t>
      </w:r>
    </w:p>
    <w:p w14:paraId="7CD46E0E" w14:textId="77777777" w:rsidR="00CF02AF" w:rsidRPr="00636B05" w:rsidRDefault="00CF02AF" w:rsidP="00FB2F79">
      <w:pPr>
        <w:pStyle w:val="TableBullet1"/>
        <w:rPr>
          <w:rFonts w:eastAsia="Calibri"/>
        </w:rPr>
      </w:pPr>
      <w:r w:rsidRPr="00636B05">
        <w:rPr>
          <w:rFonts w:eastAsia="Calibri"/>
        </w:rPr>
        <w:t>Very slow and limited mobility (she frequently reports being unable to move first thing in the morning)</w:t>
      </w:r>
    </w:p>
    <w:p w14:paraId="7C8EF86F" w14:textId="77777777" w:rsidR="00CF02AF" w:rsidRPr="00636B05" w:rsidRDefault="00CF02AF" w:rsidP="00FB2F79">
      <w:pPr>
        <w:pStyle w:val="TableBullet1"/>
        <w:rPr>
          <w:rFonts w:eastAsia="Calibri"/>
        </w:rPr>
      </w:pPr>
      <w:r w:rsidRPr="00636B05">
        <w:rPr>
          <w:rFonts w:eastAsia="Calibri"/>
        </w:rPr>
        <w:t>Very limited standing tolerance</w:t>
      </w:r>
    </w:p>
    <w:p w14:paraId="13DDA327" w14:textId="77777777" w:rsidR="00CF02AF" w:rsidRPr="00636B05" w:rsidRDefault="00CF02AF" w:rsidP="00FB2F79">
      <w:pPr>
        <w:pStyle w:val="TableBullet1"/>
        <w:rPr>
          <w:rFonts w:eastAsia="Calibri"/>
        </w:rPr>
      </w:pPr>
      <w:r w:rsidRPr="00636B05">
        <w:rPr>
          <w:rFonts w:eastAsia="Calibri"/>
        </w:rPr>
        <w:t xml:space="preserve">Difficulty with transfers due to pain and stiffness. </w:t>
      </w:r>
    </w:p>
    <w:p w14:paraId="38C8C724" w14:textId="0C3B678B" w:rsidR="00CF02AF" w:rsidRPr="00636B05" w:rsidRDefault="00F33447" w:rsidP="00F85EFF">
      <w:pPr>
        <w:pStyle w:val="Paragraph"/>
        <w:rPr>
          <w:rFonts w:eastAsia="Calibri"/>
        </w:rPr>
      </w:pPr>
      <w:r>
        <w:rPr>
          <w:rFonts w:eastAsia="Calibri"/>
        </w:rPr>
        <w:t>Mrs </w:t>
      </w:r>
      <w:r w:rsidR="00CF02AF" w:rsidRPr="00636B05">
        <w:rPr>
          <w:rFonts w:eastAsia="Calibri"/>
        </w:rPr>
        <w:t>N mobilises using a four-wheeled walker and mobilises very short distances only (room to room).</w:t>
      </w:r>
      <w:r w:rsidR="00CF02AF">
        <w:rPr>
          <w:rFonts w:eastAsia="Calibri"/>
        </w:rPr>
        <w:t xml:space="preserve"> </w:t>
      </w:r>
      <w:r w:rsidR="00CF02AF" w:rsidRPr="00636B05">
        <w:rPr>
          <w:rFonts w:eastAsia="Calibri"/>
        </w:rPr>
        <w:t>She reports that she tries to limit her mobility as much as possible due to left foot pain.</w:t>
      </w:r>
      <w:r w:rsidR="00CF02AF">
        <w:rPr>
          <w:rFonts w:eastAsia="Calibri"/>
        </w:rPr>
        <w:t xml:space="preserve"> </w:t>
      </w:r>
      <w:r w:rsidR="00CF02AF" w:rsidRPr="00636B05">
        <w:rPr>
          <w:rFonts w:eastAsia="Calibri"/>
        </w:rPr>
        <w:t>She reported 2–3 falls in the last 12 months.</w:t>
      </w:r>
      <w:r w:rsidR="00CF02AF">
        <w:rPr>
          <w:rFonts w:eastAsia="Calibri"/>
        </w:rPr>
        <w:t xml:space="preserve"> </w:t>
      </w:r>
      <w:r w:rsidR="00CF02AF" w:rsidRPr="00636B05">
        <w:rPr>
          <w:rFonts w:eastAsia="Calibri"/>
        </w:rPr>
        <w:t xml:space="preserve">She would benefit from assistance with all movement-related activities. </w:t>
      </w:r>
      <w:r>
        <w:rPr>
          <w:rFonts w:eastAsia="Calibri"/>
        </w:rPr>
        <w:t>Mrs </w:t>
      </w:r>
      <w:r w:rsidR="00CF02AF" w:rsidRPr="00636B05">
        <w:rPr>
          <w:rFonts w:eastAsia="Calibri"/>
        </w:rPr>
        <w:t>N struggles to undertake all daily living tasks due to her physical limitations (pain, stiffness and joint deformity), and she needs assistance with everyday activities due to a chronic physical health condition.</w:t>
      </w:r>
      <w:r w:rsidR="00CF02AF">
        <w:rPr>
          <w:rFonts w:eastAsia="Calibri"/>
        </w:rPr>
        <w:t xml:space="preserve"> </w:t>
      </w:r>
      <w:r w:rsidR="00CF02AF" w:rsidRPr="00636B05">
        <w:rPr>
          <w:rFonts w:eastAsia="Calibri"/>
        </w:rPr>
        <w:t>She has experienced further deterioration in her functioning, in particular increasing hip and foot pain.</w:t>
      </w:r>
      <w:r w:rsidR="00CF02AF">
        <w:rPr>
          <w:rFonts w:eastAsia="Calibri"/>
        </w:rPr>
        <w:t xml:space="preserve"> </w:t>
      </w:r>
      <w:r w:rsidR="00CF02AF" w:rsidRPr="00636B05">
        <w:rPr>
          <w:rFonts w:eastAsia="Calibri"/>
        </w:rPr>
        <w:t>She is unable to perform the heavier cleaning tasks on a regular basis due to her rheumatoid arthritis and lack of mobility.</w:t>
      </w:r>
    </w:p>
    <w:p w14:paraId="098C7DDB" w14:textId="77777777" w:rsidR="00CF02AF" w:rsidRPr="00636B05" w:rsidRDefault="00CF02AF" w:rsidP="00F85EFF">
      <w:pPr>
        <w:pStyle w:val="Subhead1"/>
        <w:rPr>
          <w:rFonts w:eastAsia="Calibri"/>
        </w:rPr>
      </w:pPr>
      <w:r w:rsidRPr="00636B05">
        <w:rPr>
          <w:rFonts w:eastAsia="Calibri"/>
        </w:rPr>
        <w:t>Recommendations</w:t>
      </w:r>
    </w:p>
    <w:p w14:paraId="6DC502DD" w14:textId="40FBF667" w:rsidR="00CF02AF" w:rsidRPr="00636B05" w:rsidRDefault="00F33447" w:rsidP="00FB2F79">
      <w:pPr>
        <w:pStyle w:val="TableBullet1"/>
        <w:rPr>
          <w:rFonts w:eastAsia="Calibri"/>
        </w:rPr>
      </w:pPr>
      <w:r>
        <w:rPr>
          <w:rFonts w:eastAsia="Calibri"/>
        </w:rPr>
        <w:t>Mrs </w:t>
      </w:r>
      <w:r w:rsidR="00CF02AF" w:rsidRPr="00636B05">
        <w:rPr>
          <w:rFonts w:eastAsia="Calibri"/>
        </w:rPr>
        <w:t>N’s priority to access a Home Care Package be changed from medium to high.</w:t>
      </w:r>
      <w:r w:rsidR="00CF02AF">
        <w:rPr>
          <w:rFonts w:eastAsia="Calibri"/>
        </w:rPr>
        <w:t xml:space="preserve"> Consumer</w:t>
      </w:r>
      <w:r w:rsidR="00CF02AF" w:rsidRPr="00636B05">
        <w:rPr>
          <w:rFonts w:eastAsia="Calibri"/>
        </w:rPr>
        <w:t xml:space="preserve"> at high risk of hospitalisation and entry into permanent residential care without additional home care services.</w:t>
      </w:r>
    </w:p>
    <w:p w14:paraId="3A0BBCFD" w14:textId="77777777" w:rsidR="00CF02AF" w:rsidRPr="00636B05" w:rsidRDefault="00CF02AF" w:rsidP="00FB2F79">
      <w:pPr>
        <w:pStyle w:val="TableBullet1"/>
        <w:rPr>
          <w:rFonts w:eastAsia="Calibri"/>
        </w:rPr>
      </w:pPr>
      <w:r w:rsidRPr="00636B05">
        <w:rPr>
          <w:rFonts w:eastAsia="Calibri"/>
        </w:rPr>
        <w:t>Recommended assistance includes:</w:t>
      </w:r>
    </w:p>
    <w:p w14:paraId="6F5E148B" w14:textId="77777777" w:rsidR="00CF02AF" w:rsidRPr="00636B05" w:rsidRDefault="00CF02AF" w:rsidP="00BE1A58">
      <w:pPr>
        <w:pStyle w:val="TableBullet2"/>
      </w:pPr>
      <w:r w:rsidRPr="00636B05">
        <w:t>Goods, equipment and AT</w:t>
      </w:r>
    </w:p>
    <w:p w14:paraId="07470226" w14:textId="77777777" w:rsidR="00CF02AF" w:rsidRPr="00636B05" w:rsidRDefault="00CF02AF" w:rsidP="00BE1A58">
      <w:pPr>
        <w:pStyle w:val="TableBullet2"/>
      </w:pPr>
      <w:r w:rsidRPr="00636B05">
        <w:t>Home modifications</w:t>
      </w:r>
    </w:p>
    <w:p w14:paraId="4A2A23C7" w14:textId="77777777" w:rsidR="00CF02AF" w:rsidRPr="00636B05" w:rsidRDefault="00CF02AF" w:rsidP="00BE1A58">
      <w:pPr>
        <w:pStyle w:val="TableBullet2"/>
      </w:pPr>
      <w:r w:rsidRPr="00636B05">
        <w:t>Personal care</w:t>
      </w:r>
    </w:p>
    <w:p w14:paraId="4DAB5711" w14:textId="77777777" w:rsidR="00CF02AF" w:rsidRPr="00636B05" w:rsidRDefault="00CF02AF" w:rsidP="00BE1A58">
      <w:pPr>
        <w:pStyle w:val="TableBullet2"/>
      </w:pPr>
      <w:r w:rsidRPr="00636B05">
        <w:t>Domestic assistance</w:t>
      </w:r>
    </w:p>
    <w:p w14:paraId="413815D8" w14:textId="77777777" w:rsidR="00CF02AF" w:rsidRPr="00636B05" w:rsidRDefault="00CF02AF" w:rsidP="00BE1A58">
      <w:pPr>
        <w:pStyle w:val="TableBullet2"/>
      </w:pPr>
      <w:r w:rsidRPr="00636B05">
        <w:t>Social support group</w:t>
      </w:r>
    </w:p>
    <w:p w14:paraId="1FAAE42D" w14:textId="77777777" w:rsidR="00CF02AF" w:rsidRPr="00636B05" w:rsidRDefault="00CF02AF" w:rsidP="00BE1A58">
      <w:pPr>
        <w:pStyle w:val="TableBullet2"/>
      </w:pPr>
      <w:r w:rsidRPr="00636B05">
        <w:t>Food services</w:t>
      </w:r>
    </w:p>
    <w:p w14:paraId="7A004A9E" w14:textId="77777777" w:rsidR="00CF02AF" w:rsidRPr="00636B05" w:rsidRDefault="00CF02AF" w:rsidP="00BE1A58">
      <w:pPr>
        <w:pStyle w:val="TableBullet2"/>
      </w:pPr>
      <w:r w:rsidRPr="00636B05">
        <w:t>Nursing services.</w:t>
      </w:r>
    </w:p>
    <w:p w14:paraId="783B790B" w14:textId="77777777" w:rsidR="00CF02AF" w:rsidRPr="00636B05" w:rsidRDefault="00CF02AF" w:rsidP="00BC3F7D">
      <w:pPr>
        <w:pStyle w:val="Subhead1"/>
      </w:pPr>
      <w:r w:rsidRPr="00636B05">
        <w:t>AT Products</w:t>
      </w:r>
    </w:p>
    <w:p w14:paraId="1C9F9FB2" w14:textId="77777777" w:rsidR="00CF02AF" w:rsidRPr="00636B05" w:rsidRDefault="00CF02AF" w:rsidP="00FB2F79">
      <w:pPr>
        <w:pStyle w:val="TableBullet1"/>
      </w:pPr>
      <w:r w:rsidRPr="00636B05">
        <w:t>Full bathroom modifications (level access shower, wheeled shower commode)</w:t>
      </w:r>
    </w:p>
    <w:p w14:paraId="32BE3D84" w14:textId="77777777" w:rsidR="00CF02AF" w:rsidRPr="00636B05" w:rsidRDefault="00CF02AF" w:rsidP="00FB2F79">
      <w:pPr>
        <w:pStyle w:val="TableBullet1"/>
      </w:pPr>
      <w:r w:rsidRPr="00636B05">
        <w:t>Easy access clothing, some dressing aids (check hand function)</w:t>
      </w:r>
    </w:p>
    <w:p w14:paraId="474AC03A" w14:textId="77777777" w:rsidR="00CF02AF" w:rsidRPr="00636B05" w:rsidRDefault="00CF02AF" w:rsidP="00FB2F79">
      <w:pPr>
        <w:pStyle w:val="TableBullet1"/>
      </w:pPr>
      <w:r w:rsidRPr="00636B05">
        <w:t>Jar openers/buttering boards, lightweight kettle and other dexterity-related kitchen supports</w:t>
      </w:r>
    </w:p>
    <w:p w14:paraId="19BD51A8" w14:textId="77777777" w:rsidR="00CF02AF" w:rsidRPr="00636B05" w:rsidRDefault="00CF02AF" w:rsidP="00FB2F79">
      <w:pPr>
        <w:pStyle w:val="TableBullet1"/>
      </w:pPr>
      <w:r w:rsidRPr="00636B05">
        <w:t>Adjustable bed, power riser recliner lounge chair</w:t>
      </w:r>
    </w:p>
    <w:p w14:paraId="0EF252AE" w14:textId="3B4F2487" w:rsidR="00CF02AF" w:rsidRPr="00636B05" w:rsidRDefault="00CF02AF" w:rsidP="00FB2F79">
      <w:pPr>
        <w:pStyle w:val="TableBullet1"/>
      </w:pPr>
      <w:r w:rsidRPr="00636B05">
        <w:t xml:space="preserve">Power wheelchair option/mobility scooter or manual wheelchair for family to take </w:t>
      </w:r>
      <w:r w:rsidR="00F33447">
        <w:t>Mrs </w:t>
      </w:r>
      <w:r w:rsidRPr="00636B05">
        <w:t>N on outings</w:t>
      </w:r>
    </w:p>
    <w:p w14:paraId="015A9CFB" w14:textId="77777777" w:rsidR="00CF02AF" w:rsidRPr="00636B05" w:rsidRDefault="00CF02AF" w:rsidP="00FB2F79">
      <w:pPr>
        <w:pStyle w:val="TableBullet1"/>
      </w:pPr>
      <w:r w:rsidRPr="00636B05">
        <w:t>Prosthetic support/orthotic footwear</w:t>
      </w:r>
    </w:p>
    <w:p w14:paraId="0C44EC67" w14:textId="77777777" w:rsidR="00CF02AF" w:rsidRPr="00636B05" w:rsidRDefault="00CF02AF" w:rsidP="00BC3F7D">
      <w:pPr>
        <w:pStyle w:val="Subhead1"/>
      </w:pPr>
      <w:r w:rsidRPr="00636B05">
        <w:lastRenderedPageBreak/>
        <w:t>AT Services</w:t>
      </w:r>
    </w:p>
    <w:p w14:paraId="24D08CE5" w14:textId="77777777" w:rsidR="006D5358" w:rsidRDefault="00CF02AF" w:rsidP="00151BD5">
      <w:pPr>
        <w:pStyle w:val="TableBullet1"/>
      </w:pPr>
      <w:r w:rsidRPr="00636B05">
        <w:t>Allied health assessment.</w:t>
      </w:r>
    </w:p>
    <w:p w14:paraId="36CF5CB8" w14:textId="6B93EBF8" w:rsidR="00B457FA" w:rsidRDefault="00B457FA" w:rsidP="00151BD5">
      <w:pPr>
        <w:pStyle w:val="TableBullet1"/>
        <w:sectPr w:rsidR="00B457FA" w:rsidSect="00996C17">
          <w:type w:val="continuous"/>
          <w:pgSz w:w="11907" w:h="16840" w:code="9"/>
          <w:pgMar w:top="1134" w:right="1134" w:bottom="1134" w:left="1134" w:header="567" w:footer="851" w:gutter="0"/>
          <w:cols w:num="2" w:space="708"/>
          <w:docGrid w:linePitch="360"/>
        </w:sectPr>
      </w:pPr>
    </w:p>
    <w:p w14:paraId="711514CD" w14:textId="0C28FEB3" w:rsidR="00E93CB5" w:rsidRPr="00636B05" w:rsidRDefault="00E93CB5" w:rsidP="00E93CB5"/>
    <w:p w14:paraId="50CBE299" w14:textId="1C3C242B" w:rsidR="00E93CB5" w:rsidRPr="00E50153" w:rsidRDefault="00F51097" w:rsidP="00B4797D">
      <w:pPr>
        <w:pStyle w:val="Heading5"/>
        <w:rPr>
          <w:color w:val="auto"/>
        </w:rPr>
      </w:pPr>
      <w:bookmarkStart w:id="188" w:name="_Ref42015067"/>
      <w:bookmarkStart w:id="189" w:name="_Ref42015513"/>
      <w:bookmarkStart w:id="190" w:name="_Toc60999865"/>
      <w:r w:rsidRPr="00E50153">
        <w:rPr>
          <w:color w:val="auto"/>
        </w:rPr>
        <w:t xml:space="preserve">Existing </w:t>
      </w:r>
      <w:r w:rsidR="003750C2" w:rsidRPr="00E50153">
        <w:rPr>
          <w:color w:val="auto"/>
        </w:rPr>
        <w:t xml:space="preserve">AT </w:t>
      </w:r>
      <w:r w:rsidR="00DB72EB" w:rsidRPr="00E50153">
        <w:rPr>
          <w:color w:val="auto"/>
        </w:rPr>
        <w:t>programs</w:t>
      </w:r>
      <w:bookmarkEnd w:id="188"/>
      <w:bookmarkEnd w:id="189"/>
      <w:bookmarkEnd w:id="190"/>
    </w:p>
    <w:p w14:paraId="3C772588" w14:textId="5F9D4CEF" w:rsidR="00604727" w:rsidRDefault="00F51097" w:rsidP="00B4797D">
      <w:pPr>
        <w:pStyle w:val="Heading6"/>
      </w:pPr>
      <w:bookmarkStart w:id="191" w:name="_Toc60999866"/>
      <w:r>
        <w:t>National AT programs</w:t>
      </w:r>
      <w:bookmarkEnd w:id="191"/>
    </w:p>
    <w:p w14:paraId="4A607917" w14:textId="6F1A2ACD" w:rsidR="00F51097" w:rsidRPr="00D726C0" w:rsidRDefault="002C16CD" w:rsidP="00F51097">
      <w:pPr>
        <w:pStyle w:val="Paragraph"/>
        <w:rPr>
          <w:rStyle w:val="CrossReference"/>
          <w:i w:val="0"/>
          <w:iCs/>
        </w:rPr>
      </w:pPr>
      <w:r>
        <w:t>E</w:t>
      </w:r>
      <w:r w:rsidR="00880E0A" w:rsidRPr="00EC48FA">
        <w:t xml:space="preserve">xisting AT </w:t>
      </w:r>
      <w:r>
        <w:t xml:space="preserve">programs </w:t>
      </w:r>
      <w:r w:rsidR="00673864">
        <w:t>or subsidy schemes</w:t>
      </w:r>
      <w:r w:rsidR="00880E0A" w:rsidRPr="00EC48FA">
        <w:t xml:space="preserve"> at a national level</w:t>
      </w:r>
      <w:r w:rsidR="00674058">
        <w:t xml:space="preserve"> are profiled below</w:t>
      </w:r>
      <w:r w:rsidR="00880E0A" w:rsidRPr="00EC48FA">
        <w:t>.</w:t>
      </w:r>
      <w:r w:rsidR="004511B3">
        <w:t xml:space="preserve"> </w:t>
      </w:r>
      <w:r w:rsidR="00880E0A" w:rsidRPr="00EC48FA">
        <w:t>The profiles summarise each program, including funding source, categories of AT provided and eligibility criteria.</w:t>
      </w:r>
      <w:r w:rsidR="004511B3">
        <w:t xml:space="preserve"> </w:t>
      </w:r>
      <w:r w:rsidR="00D726C0">
        <w:rPr>
          <w:rStyle w:val="CrossReference"/>
          <w:i w:val="0"/>
          <w:iCs/>
        </w:rPr>
        <w:t xml:space="preserve">Detailed profiles of each scheme </w:t>
      </w:r>
      <w:r w:rsidR="00C13FC5">
        <w:rPr>
          <w:rStyle w:val="CrossReference"/>
          <w:i w:val="0"/>
          <w:iCs/>
        </w:rPr>
        <w:t xml:space="preserve">are provided </w:t>
      </w:r>
      <w:r w:rsidR="00D726C0">
        <w:rPr>
          <w:rStyle w:val="CrossReference"/>
          <w:i w:val="0"/>
          <w:iCs/>
        </w:rPr>
        <w:t>in the Initial Report.</w:t>
      </w:r>
    </w:p>
    <w:p w14:paraId="44F42AED" w14:textId="77777777" w:rsidR="002C16CD" w:rsidRPr="00223A9B" w:rsidRDefault="002C16CD" w:rsidP="00223A9B">
      <w:pPr>
        <w:rPr>
          <w:b/>
          <w:sz w:val="32"/>
          <w:szCs w:val="32"/>
        </w:rPr>
      </w:pPr>
      <w:r w:rsidRPr="00223A9B">
        <w:rPr>
          <w:b/>
          <w:sz w:val="32"/>
          <w:szCs w:val="32"/>
        </w:rPr>
        <w:t>National Disability Insurance Scheme (NDIS)</w:t>
      </w:r>
    </w:p>
    <w:p w14:paraId="47B5D865" w14:textId="65941ED4" w:rsidR="00CE7950" w:rsidRPr="00223A9B" w:rsidRDefault="002C16CD" w:rsidP="00223A9B">
      <w:pPr>
        <w:rPr>
          <w:sz w:val="28"/>
          <w:szCs w:val="28"/>
        </w:rPr>
      </w:pPr>
      <w:r w:rsidRPr="00223A9B">
        <w:rPr>
          <w:rStyle w:val="Bold"/>
          <w:sz w:val="28"/>
          <w:szCs w:val="28"/>
        </w:rPr>
        <w:t xml:space="preserve">Funder: </w:t>
      </w:r>
      <w:r w:rsidR="00B457FA" w:rsidRPr="00223A9B">
        <w:rPr>
          <w:sz w:val="28"/>
          <w:szCs w:val="28"/>
        </w:rPr>
        <w:t xml:space="preserve">Australian Government </w:t>
      </w:r>
      <w:r w:rsidRPr="00223A9B">
        <w:rPr>
          <w:sz w:val="28"/>
          <w:szCs w:val="28"/>
        </w:rPr>
        <w:t xml:space="preserve">Department of Social Services </w:t>
      </w:r>
      <w:r w:rsidRPr="00223A9B">
        <w:rPr>
          <w:rStyle w:val="Blue"/>
          <w:sz w:val="28"/>
          <w:szCs w:val="28"/>
        </w:rPr>
        <w:t>|</w:t>
      </w:r>
      <w:r w:rsidRPr="00223A9B">
        <w:rPr>
          <w:rStyle w:val="Bold"/>
          <w:sz w:val="28"/>
          <w:szCs w:val="28"/>
        </w:rPr>
        <w:t xml:space="preserve"> Administrator: </w:t>
      </w:r>
      <w:r w:rsidRPr="00223A9B">
        <w:rPr>
          <w:sz w:val="28"/>
          <w:szCs w:val="28"/>
        </w:rPr>
        <w:t>NDIA</w:t>
      </w:r>
    </w:p>
    <w:p w14:paraId="021FDEB6" w14:textId="77777777" w:rsidR="008E2DD9" w:rsidRDefault="008E2DD9" w:rsidP="002C16CD">
      <w:pPr>
        <w:pStyle w:val="ParaKeep"/>
        <w:sectPr w:rsidR="008E2DD9" w:rsidSect="008E2DD9">
          <w:pgSz w:w="11907" w:h="16840" w:code="9"/>
          <w:pgMar w:top="1134" w:right="851" w:bottom="1134" w:left="1134" w:header="567" w:footer="624" w:gutter="0"/>
          <w:cols w:space="708"/>
          <w:docGrid w:linePitch="360"/>
        </w:sectPr>
      </w:pPr>
    </w:p>
    <w:p w14:paraId="43C546D7" w14:textId="2CBA4CC5" w:rsidR="002C16CD" w:rsidRPr="00EC48FA" w:rsidRDefault="002C16CD" w:rsidP="002C16CD">
      <w:pPr>
        <w:pStyle w:val="ParaKeep"/>
      </w:pPr>
      <w:r w:rsidRPr="00C07C8B">
        <w:t>The NDIS is Australia’s first national scheme for people with disability.</w:t>
      </w:r>
      <w:r>
        <w:t xml:space="preserve"> </w:t>
      </w:r>
      <w:r w:rsidRPr="00C07C8B">
        <w:t>It provides funding directly to individuals.</w:t>
      </w:r>
      <w:r>
        <w:t xml:space="preserve"> </w:t>
      </w:r>
      <w:r w:rsidRPr="00F35A7D">
        <w:t>Consumer funding is based on what is ‘reasonable’ and ‘necessary’ to achieve the consumer’s goals</w:t>
      </w:r>
      <w:r>
        <w:t>.</w:t>
      </w:r>
    </w:p>
    <w:p w14:paraId="1E3DED54" w14:textId="77777777" w:rsidR="003F1CD1" w:rsidRPr="00223A9B" w:rsidRDefault="003F1CD1" w:rsidP="00223A9B">
      <w:pPr>
        <w:rPr>
          <w:b/>
          <w:sz w:val="28"/>
          <w:szCs w:val="28"/>
        </w:rPr>
      </w:pPr>
      <w:r w:rsidRPr="00223A9B">
        <w:rPr>
          <w:b/>
          <w:sz w:val="28"/>
          <w:szCs w:val="28"/>
        </w:rPr>
        <w:t>AT provided</w:t>
      </w:r>
    </w:p>
    <w:p w14:paraId="023B7EE6" w14:textId="77777777" w:rsidR="002C16CD" w:rsidRDefault="002C16CD" w:rsidP="002C16CD">
      <w:pPr>
        <w:pStyle w:val="ParaKeep"/>
      </w:pPr>
      <w:r>
        <w:t>The NDIS use four levels to describe the complexity of AT needs:</w:t>
      </w:r>
    </w:p>
    <w:p w14:paraId="3F7FFA66" w14:textId="77777777" w:rsidR="002C16CD" w:rsidRDefault="002C16CD" w:rsidP="0003608D">
      <w:pPr>
        <w:pStyle w:val="TableBullet1"/>
      </w:pPr>
      <w:r>
        <w:t xml:space="preserve">Simple, low-risk AT </w:t>
      </w:r>
    </w:p>
    <w:p w14:paraId="2BB5E16B" w14:textId="77777777" w:rsidR="002C16CD" w:rsidRDefault="002C16CD" w:rsidP="0003608D">
      <w:pPr>
        <w:pStyle w:val="TableBullet1"/>
      </w:pPr>
      <w:r>
        <w:t>Standard AT</w:t>
      </w:r>
    </w:p>
    <w:p w14:paraId="7B957F7D" w14:textId="77777777" w:rsidR="002C16CD" w:rsidRDefault="002C16CD" w:rsidP="0003608D">
      <w:pPr>
        <w:pStyle w:val="TableBullet1"/>
      </w:pPr>
      <w:r>
        <w:t>Specialised AT solutions</w:t>
      </w:r>
    </w:p>
    <w:p w14:paraId="3148D266" w14:textId="77777777" w:rsidR="002C16CD" w:rsidRDefault="002C16CD" w:rsidP="0003608D">
      <w:pPr>
        <w:pStyle w:val="TableBullet1"/>
      </w:pPr>
      <w:r>
        <w:t>Complex AT solutions.</w:t>
      </w:r>
    </w:p>
    <w:p w14:paraId="51BC73C9" w14:textId="77777777" w:rsidR="002C16CD" w:rsidRDefault="002C16CD" w:rsidP="002C16CD">
      <w:pPr>
        <w:pStyle w:val="ParaKeep"/>
      </w:pPr>
      <w:r>
        <w:t>NDIS participants can choose how they want to manage the funded supports in their plan, and can choose the providers they want to deliver AT supports. Funds can generally be used to:</w:t>
      </w:r>
    </w:p>
    <w:p w14:paraId="45B2D2F7" w14:textId="77777777" w:rsidR="002C16CD" w:rsidRDefault="002C16CD" w:rsidP="0003608D">
      <w:pPr>
        <w:pStyle w:val="TableBullet1"/>
      </w:pPr>
      <w:r>
        <w:t>Buy the AT outright; or</w:t>
      </w:r>
    </w:p>
    <w:p w14:paraId="78542B9D" w14:textId="77777777" w:rsidR="002C16CD" w:rsidRPr="00EC48FA" w:rsidRDefault="002C16CD" w:rsidP="0003608D">
      <w:pPr>
        <w:pStyle w:val="TableBullet1"/>
      </w:pPr>
      <w:r>
        <w:t xml:space="preserve">Access the AT through rental, loan or other arrangements </w:t>
      </w:r>
    </w:p>
    <w:p w14:paraId="68D84161" w14:textId="77777777" w:rsidR="00223A9B" w:rsidRDefault="004C7E26" w:rsidP="00223A9B">
      <w:r>
        <w:br w:type="column"/>
      </w:r>
    </w:p>
    <w:p w14:paraId="1F584684" w14:textId="37879E7F" w:rsidR="003F1CD1" w:rsidRPr="00EC48FA" w:rsidRDefault="003F1CD1" w:rsidP="00223A9B">
      <w:r w:rsidRPr="00223A9B">
        <w:rPr>
          <w:b/>
          <w:sz w:val="28"/>
          <w:szCs w:val="28"/>
        </w:rPr>
        <w:t>Information, assessment and provision</w:t>
      </w:r>
    </w:p>
    <w:p w14:paraId="501A16BA" w14:textId="00BDB2C7" w:rsidR="002C16CD" w:rsidRDefault="002C16CD" w:rsidP="002C16CD">
      <w:pPr>
        <w:pStyle w:val="ParaKeep"/>
      </w:pPr>
      <w:r>
        <w:t>If AT is included in a consumer’s plan, at least $500 is included to seek advice from an independent adviser about the consumer’s AT requirements.</w:t>
      </w:r>
    </w:p>
    <w:p w14:paraId="0892F42C" w14:textId="77777777" w:rsidR="003F1CD1" w:rsidRPr="00223A9B" w:rsidRDefault="003F1CD1" w:rsidP="00223A9B">
      <w:pPr>
        <w:rPr>
          <w:b/>
          <w:sz w:val="28"/>
          <w:szCs w:val="28"/>
        </w:rPr>
      </w:pPr>
      <w:r w:rsidRPr="00223A9B">
        <w:rPr>
          <w:b/>
          <w:sz w:val="28"/>
          <w:szCs w:val="28"/>
        </w:rPr>
        <w:t>Key eligibility and exclusion criteria</w:t>
      </w:r>
    </w:p>
    <w:p w14:paraId="13E6BE9B" w14:textId="77777777" w:rsidR="002C16CD" w:rsidRDefault="002C16CD" w:rsidP="0003608D">
      <w:pPr>
        <w:pStyle w:val="TableBullet1"/>
      </w:pPr>
      <w:r>
        <w:t>Have a permanent disability that significantly affects their ability to take part in everyday activities or a developmental delay</w:t>
      </w:r>
    </w:p>
    <w:p w14:paraId="162AFC67" w14:textId="77777777" w:rsidR="002C16CD" w:rsidRDefault="002C16CD" w:rsidP="0003608D">
      <w:pPr>
        <w:pStyle w:val="TableBullet1"/>
      </w:pPr>
      <w:r>
        <w:t>Be aged between 7 and &lt;65 years old when they first access the NDIS</w:t>
      </w:r>
    </w:p>
    <w:p w14:paraId="2D938C0D" w14:textId="016B297E" w:rsidR="002C16CD" w:rsidRPr="004C7E26" w:rsidRDefault="002C16CD" w:rsidP="00FF32F4">
      <w:pPr>
        <w:pStyle w:val="TableBullet1"/>
      </w:pPr>
      <w:r>
        <w:t>Be an Australian citizen, hold a permanent visa or a Protected Special Category visa</w:t>
      </w:r>
    </w:p>
    <w:p w14:paraId="050BCD2B" w14:textId="310DCD5C" w:rsidR="004C7E26" w:rsidRPr="004C7E26" w:rsidRDefault="004C7E26" w:rsidP="004C7E26">
      <w:pPr>
        <w:rPr>
          <w:rFonts w:eastAsia="Arial Unicode MS"/>
        </w:rPr>
      </w:pPr>
      <w:r w:rsidRPr="004C7E26">
        <w:br w:type="page"/>
      </w:r>
    </w:p>
    <w:p w14:paraId="798C198F" w14:textId="77777777" w:rsidR="004C7E26" w:rsidRPr="004C7E26" w:rsidRDefault="004C7E26" w:rsidP="004C7E26">
      <w:pPr>
        <w:sectPr w:rsidR="004C7E26" w:rsidRPr="004C7E26" w:rsidSect="008E2DD9">
          <w:type w:val="continuous"/>
          <w:pgSz w:w="11907" w:h="16840" w:code="9"/>
          <w:pgMar w:top="1134" w:right="851" w:bottom="1134" w:left="1134" w:header="567" w:footer="624" w:gutter="0"/>
          <w:cols w:num="2" w:space="708"/>
          <w:docGrid w:linePitch="360"/>
        </w:sectPr>
      </w:pPr>
    </w:p>
    <w:p w14:paraId="6A965F78" w14:textId="0B8EEC4C" w:rsidR="003F1CD1" w:rsidRPr="00223A9B" w:rsidRDefault="002C16CD" w:rsidP="00223A9B">
      <w:pPr>
        <w:rPr>
          <w:b/>
          <w:sz w:val="32"/>
          <w:szCs w:val="32"/>
        </w:rPr>
      </w:pPr>
      <w:r w:rsidRPr="00223A9B">
        <w:rPr>
          <w:b/>
          <w:sz w:val="32"/>
          <w:szCs w:val="32"/>
        </w:rPr>
        <w:lastRenderedPageBreak/>
        <w:t>Rehabilitation Appliances Program (RAP)</w:t>
      </w:r>
    </w:p>
    <w:p w14:paraId="25EA5FE5" w14:textId="40550E25" w:rsidR="002C16CD" w:rsidRPr="00223A9B" w:rsidRDefault="008545DA" w:rsidP="00223A9B">
      <w:pPr>
        <w:rPr>
          <w:sz w:val="28"/>
          <w:szCs w:val="28"/>
        </w:rPr>
      </w:pPr>
      <w:r w:rsidRPr="00223A9B">
        <w:rPr>
          <w:rStyle w:val="Bold"/>
          <w:sz w:val="28"/>
          <w:szCs w:val="28"/>
        </w:rPr>
        <w:t>Funder/​Administrator:</w:t>
      </w:r>
      <w:r w:rsidR="003F1CD1" w:rsidRPr="00223A9B">
        <w:rPr>
          <w:sz w:val="28"/>
          <w:szCs w:val="28"/>
        </w:rPr>
        <w:t xml:space="preserve"> </w:t>
      </w:r>
      <w:r w:rsidR="00B457FA" w:rsidRPr="00223A9B">
        <w:rPr>
          <w:sz w:val="28"/>
          <w:szCs w:val="28"/>
        </w:rPr>
        <w:t>Australian Government Department of Veterans’ Affairs</w:t>
      </w:r>
    </w:p>
    <w:p w14:paraId="6AA3D9C8" w14:textId="77777777" w:rsidR="004C7E26" w:rsidRDefault="004C7E26" w:rsidP="002C16CD">
      <w:pPr>
        <w:pStyle w:val="ParaKeep"/>
        <w:sectPr w:rsidR="004C7E26" w:rsidSect="004C7E26">
          <w:type w:val="continuous"/>
          <w:pgSz w:w="11907" w:h="16840" w:code="9"/>
          <w:pgMar w:top="1134" w:right="851" w:bottom="1134" w:left="1134" w:header="567" w:footer="624" w:gutter="0"/>
          <w:cols w:space="708"/>
          <w:docGrid w:linePitch="360"/>
        </w:sectPr>
      </w:pPr>
    </w:p>
    <w:p w14:paraId="2B6D90CF" w14:textId="30CAAEE2" w:rsidR="002C16CD" w:rsidRPr="007B5C5C" w:rsidRDefault="002C16CD" w:rsidP="002C16CD">
      <w:pPr>
        <w:pStyle w:val="ParaKeep"/>
      </w:pPr>
      <w:r w:rsidRPr="007B5C5C">
        <w:t>DVA’s RAP provides eligible DVA consumers with aids and appliances that:</w:t>
      </w:r>
    </w:p>
    <w:p w14:paraId="25592D04" w14:textId="5CFBED58" w:rsidR="002C16CD" w:rsidRPr="007B5C5C" w:rsidRDefault="002C16CD" w:rsidP="002C16CD">
      <w:pPr>
        <w:pStyle w:val="TableBullet1"/>
      </w:pPr>
      <w:r w:rsidRPr="007B5C5C">
        <w:t>Meet the consumer’s clinical health care needs, enabling them to be as independent and self-reliant as possible at home and in the community</w:t>
      </w:r>
    </w:p>
    <w:p w14:paraId="6920C7CB" w14:textId="7FAB07ED" w:rsidR="002C16CD" w:rsidRDefault="002C16CD" w:rsidP="002C16CD">
      <w:pPr>
        <w:pStyle w:val="TableBullet1"/>
      </w:pPr>
      <w:r w:rsidRPr="007B5C5C">
        <w:t>Are aimed at minimising the impact of the consumer’s disabilities, illnesses or injuries and helping them to maximise their quality of life, independence and participation in the community.</w:t>
      </w:r>
    </w:p>
    <w:p w14:paraId="299DB2AE" w14:textId="77777777" w:rsidR="002C16CD" w:rsidRPr="00EC48FA" w:rsidRDefault="002C16CD" w:rsidP="004C7E26">
      <w:pPr>
        <w:pStyle w:val="Paragraph"/>
      </w:pPr>
      <w:r>
        <w:t>The Hearing Services Program is a sub-program of RAP.</w:t>
      </w:r>
    </w:p>
    <w:p w14:paraId="33ACEA5D" w14:textId="77777777" w:rsidR="003F1CD1" w:rsidRPr="00223A9B" w:rsidRDefault="003F1CD1" w:rsidP="00223A9B">
      <w:pPr>
        <w:rPr>
          <w:b/>
          <w:sz w:val="28"/>
          <w:szCs w:val="28"/>
        </w:rPr>
      </w:pPr>
      <w:r w:rsidRPr="00223A9B">
        <w:rPr>
          <w:b/>
          <w:sz w:val="28"/>
          <w:szCs w:val="28"/>
        </w:rPr>
        <w:t>AT provided</w:t>
      </w:r>
    </w:p>
    <w:p w14:paraId="21DC8153" w14:textId="77777777" w:rsidR="002C16CD" w:rsidRPr="00EC48FA" w:rsidRDefault="002C16CD" w:rsidP="004C7E26">
      <w:pPr>
        <w:pStyle w:val="Paragraph"/>
        <w:spacing w:before="0"/>
      </w:pPr>
      <w:r>
        <w:t xml:space="preserve">Generally, DVA funds only medical and specialist services listed on the MBS. Requests for items not on the DVA Schedule must be made through prior approval process with DVA for consideration. </w:t>
      </w:r>
      <w:r w:rsidRPr="00647EE9">
        <w:t xml:space="preserve">The aids and appliances available under RAP </w:t>
      </w:r>
      <w:r>
        <w:t xml:space="preserve">include </w:t>
      </w:r>
      <w:r>
        <w:t>continence, diabetes, oxygen and positive airways pressure, mobility and functional support, cognitive, dementia and memory assistive technology, personal response systems, falls prevention, low vision, prosthesis and footwear, hearing appliances and speech pathology.</w:t>
      </w:r>
    </w:p>
    <w:p w14:paraId="3734A26E" w14:textId="77777777" w:rsidR="003F1CD1" w:rsidRPr="00223A9B" w:rsidRDefault="003F1CD1" w:rsidP="00223A9B">
      <w:pPr>
        <w:rPr>
          <w:b/>
          <w:sz w:val="28"/>
          <w:szCs w:val="28"/>
        </w:rPr>
      </w:pPr>
      <w:r w:rsidRPr="00223A9B">
        <w:rPr>
          <w:b/>
          <w:sz w:val="28"/>
          <w:szCs w:val="28"/>
        </w:rPr>
        <w:t>Information, assessment and provision</w:t>
      </w:r>
    </w:p>
    <w:p w14:paraId="235A04E7" w14:textId="77777777" w:rsidR="002C16CD" w:rsidRPr="00EC48FA" w:rsidRDefault="002C16CD" w:rsidP="004C7E26">
      <w:pPr>
        <w:pStyle w:val="Paragraph"/>
        <w:spacing w:before="120"/>
      </w:pPr>
      <w:r>
        <w:t>Most health care providers in Australia accept DVA Health Cards/Veteran Cards as full payment for treatment.</w:t>
      </w:r>
    </w:p>
    <w:p w14:paraId="4F2E8B89" w14:textId="77777777" w:rsidR="003F1CD1" w:rsidRPr="00223A9B" w:rsidRDefault="003F1CD1" w:rsidP="00223A9B">
      <w:pPr>
        <w:rPr>
          <w:b/>
          <w:sz w:val="28"/>
          <w:szCs w:val="28"/>
        </w:rPr>
      </w:pPr>
      <w:r w:rsidRPr="00223A9B">
        <w:rPr>
          <w:b/>
          <w:sz w:val="28"/>
          <w:szCs w:val="28"/>
        </w:rPr>
        <w:t>Key eligibility and exclusion criteria</w:t>
      </w:r>
    </w:p>
    <w:p w14:paraId="4F7ACACA" w14:textId="77777777" w:rsidR="002C16CD" w:rsidRDefault="002C16CD" w:rsidP="0003608D">
      <w:pPr>
        <w:pStyle w:val="TableBullet1"/>
      </w:pPr>
      <w:r>
        <w:t xml:space="preserve">A member of the veteran community </w:t>
      </w:r>
    </w:p>
    <w:p w14:paraId="34C27C0E" w14:textId="77777777" w:rsidR="002C16CD" w:rsidRDefault="002C16CD" w:rsidP="0003608D">
      <w:pPr>
        <w:pStyle w:val="TableBullet1"/>
      </w:pPr>
      <w:r>
        <w:t>A Gold Card holder, or</w:t>
      </w:r>
    </w:p>
    <w:p w14:paraId="241DE24E" w14:textId="77777777" w:rsidR="002C16CD" w:rsidRDefault="002C16CD" w:rsidP="0003608D">
      <w:pPr>
        <w:pStyle w:val="TableBullet1"/>
      </w:pPr>
      <w:r>
        <w:t>A White Card holder (only for conditions accepted by DVA as related to service)</w:t>
      </w:r>
    </w:p>
    <w:p w14:paraId="213E59F7" w14:textId="50331DE7" w:rsidR="004C7E26" w:rsidRPr="004C7E26" w:rsidRDefault="002C16CD" w:rsidP="00FF32F4">
      <w:pPr>
        <w:pStyle w:val="TableBullet1"/>
        <w:rPr>
          <w:rFonts w:eastAsia="Arial Unicode MS"/>
        </w:rPr>
      </w:pPr>
      <w:r>
        <w:t>Assessed by a GP or medical specialist as requiring an aid or appliance to meet a clinical health care need.</w:t>
      </w:r>
    </w:p>
    <w:p w14:paraId="515DA110"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4DE5D045" w14:textId="1CF940F9" w:rsidR="003F1CD1" w:rsidRPr="00CA184D" w:rsidRDefault="002C16CD" w:rsidP="00B4797D">
      <w:pPr>
        <w:pStyle w:val="Archetype"/>
      </w:pPr>
      <w:r w:rsidRPr="00CA184D">
        <w:t>National Aboriginal and Torres Strait Islander Flexible Aged Care Program (NATSIFAC)</w:t>
      </w:r>
    </w:p>
    <w:p w14:paraId="59D56EDC" w14:textId="47B42DAE" w:rsidR="002C16CD" w:rsidRPr="00EC48FA" w:rsidRDefault="008545DA" w:rsidP="00CE7950">
      <w:pPr>
        <w:pStyle w:val="Summary"/>
      </w:pPr>
      <w:r w:rsidRPr="008545DA">
        <w:rPr>
          <w:rStyle w:val="Bold"/>
        </w:rPr>
        <w:t>Funder/​Administrator:</w:t>
      </w:r>
      <w:r w:rsidR="003F1CD1">
        <w:t xml:space="preserve"> </w:t>
      </w:r>
      <w:r w:rsidR="00B457FA" w:rsidRPr="00E129D9">
        <w:t xml:space="preserve">Australian Government </w:t>
      </w:r>
      <w:r w:rsidR="003F1CD1">
        <w:t>D</w:t>
      </w:r>
      <w:r w:rsidR="002C16CD" w:rsidRPr="00434C74">
        <w:t>epartment of Health</w:t>
      </w:r>
    </w:p>
    <w:p w14:paraId="670DF261" w14:textId="77777777" w:rsidR="004C7E26" w:rsidRDefault="004C7E26" w:rsidP="002C16CD">
      <w:pPr>
        <w:pStyle w:val="ParaKeep"/>
        <w:sectPr w:rsidR="004C7E26" w:rsidSect="004C7E26">
          <w:type w:val="continuous"/>
          <w:pgSz w:w="11907" w:h="16840" w:code="9"/>
          <w:pgMar w:top="1134" w:right="851" w:bottom="1134" w:left="1134" w:header="567" w:footer="624" w:gutter="0"/>
          <w:cols w:space="708"/>
          <w:docGrid w:linePitch="360"/>
        </w:sectPr>
      </w:pPr>
    </w:p>
    <w:p w14:paraId="6C0AE654" w14:textId="700E1379" w:rsidR="002C16CD" w:rsidRPr="00EC48FA" w:rsidRDefault="002C16CD" w:rsidP="004C7E26">
      <w:pPr>
        <w:pStyle w:val="Paragraph"/>
      </w:pPr>
      <w:r w:rsidRPr="00D32F8A">
        <w:t>NATSIFAC provides culturally appropriate aged care to older Aboriginal and Torres Strait Islander people close to home and community.</w:t>
      </w:r>
      <w:r>
        <w:t xml:space="preserve"> </w:t>
      </w:r>
      <w:r w:rsidRPr="00D32F8A">
        <w:t>Service providers deliver a mix of residential and home care services in accordance with the needs of the community which are located mainly in rural and remote areas.</w:t>
      </w:r>
    </w:p>
    <w:p w14:paraId="286F9F93" w14:textId="77777777" w:rsidR="003F1CD1" w:rsidRPr="00EC48FA" w:rsidRDefault="003F1CD1" w:rsidP="003F1CD1">
      <w:pPr>
        <w:pStyle w:val="Subhead1"/>
      </w:pPr>
      <w:r w:rsidRPr="00EC48FA">
        <w:t>AT provided</w:t>
      </w:r>
    </w:p>
    <w:p w14:paraId="793320BE" w14:textId="77777777" w:rsidR="002C16CD" w:rsidRPr="00D245D3" w:rsidRDefault="002C16CD" w:rsidP="004C7E26">
      <w:pPr>
        <w:pStyle w:val="ParaKeep"/>
        <w:spacing w:before="120"/>
      </w:pPr>
      <w:r w:rsidRPr="00D245D3">
        <w:t>Care can be:</w:t>
      </w:r>
    </w:p>
    <w:p w14:paraId="397C1F85" w14:textId="77777777" w:rsidR="002C16CD" w:rsidRPr="00D245D3" w:rsidRDefault="002C16CD" w:rsidP="0003608D">
      <w:pPr>
        <w:pStyle w:val="TableBullet1"/>
      </w:pPr>
      <w:r w:rsidRPr="00D245D3">
        <w:t>Residential care. This includes assistance with personal care and care that meets the person’s nursing needs, meals and cleaning services, and furnishings, furniture and equipment for the provision of that care</w:t>
      </w:r>
    </w:p>
    <w:p w14:paraId="69D20CF4" w14:textId="77777777" w:rsidR="002C16CD" w:rsidRPr="00EC48FA" w:rsidRDefault="002C16CD" w:rsidP="0003608D">
      <w:pPr>
        <w:pStyle w:val="TableBullet1"/>
      </w:pPr>
      <w:r w:rsidRPr="00D245D3">
        <w:t>Home care that supports people to remain living at home.</w:t>
      </w:r>
    </w:p>
    <w:p w14:paraId="14022350" w14:textId="77777777" w:rsidR="003F1CD1" w:rsidRPr="00EC48FA" w:rsidRDefault="003F1CD1" w:rsidP="003F1CD1">
      <w:pPr>
        <w:pStyle w:val="Subhead1"/>
      </w:pPr>
      <w:r w:rsidRPr="00D06A61">
        <w:t>Information, assessment and provision</w:t>
      </w:r>
    </w:p>
    <w:p w14:paraId="3A47CC1A" w14:textId="77777777" w:rsidR="002C16CD" w:rsidRPr="00497EF3" w:rsidRDefault="002C16CD" w:rsidP="004C7E26">
      <w:pPr>
        <w:pStyle w:val="Paragraph"/>
        <w:spacing w:before="120"/>
      </w:pPr>
      <w:r w:rsidRPr="00497EF3">
        <w:t>Potential consumers are not required to be assessed by an ACAT to receive care services under the NATSIFAC Program.</w:t>
      </w:r>
      <w:r>
        <w:t xml:space="preserve"> </w:t>
      </w:r>
      <w:r w:rsidRPr="00497EF3">
        <w:t xml:space="preserve">However, it is recommended that an assessment be undertaken by a health professional or ACAT prior to receiving aged care services. </w:t>
      </w:r>
    </w:p>
    <w:p w14:paraId="4CCE5240" w14:textId="77777777" w:rsidR="003F1CD1" w:rsidRPr="00EC48FA" w:rsidRDefault="003F1CD1" w:rsidP="003F1CD1">
      <w:pPr>
        <w:pStyle w:val="Subhead1"/>
      </w:pPr>
      <w:r w:rsidRPr="00EC48FA">
        <w:t>Key eligibility</w:t>
      </w:r>
      <w:r>
        <w:t xml:space="preserve"> and </w:t>
      </w:r>
      <w:r w:rsidRPr="00EC48FA">
        <w:t>exclusion criteria</w:t>
      </w:r>
    </w:p>
    <w:p w14:paraId="6F6DC4A7" w14:textId="77777777" w:rsidR="002C16CD" w:rsidRPr="00757DC7" w:rsidRDefault="002C16CD" w:rsidP="00757DC7">
      <w:pPr>
        <w:pStyle w:val="TableBullet1"/>
      </w:pPr>
      <w:r w:rsidRPr="00757DC7">
        <w:t xml:space="preserve">Aged 50 years and older </w:t>
      </w:r>
    </w:p>
    <w:p w14:paraId="611E383F" w14:textId="77777777" w:rsidR="002C16CD" w:rsidRPr="00757DC7" w:rsidRDefault="002C16CD" w:rsidP="00757DC7">
      <w:pPr>
        <w:pStyle w:val="TableBullet1"/>
      </w:pPr>
      <w:r w:rsidRPr="00757DC7">
        <w:t>Aboriginal and/or Torres Strait Islander descent</w:t>
      </w:r>
    </w:p>
    <w:p w14:paraId="5F60B335" w14:textId="77777777" w:rsidR="002C16CD" w:rsidRPr="00757DC7" w:rsidRDefault="002C16CD" w:rsidP="00757DC7">
      <w:pPr>
        <w:pStyle w:val="TableBullet1"/>
      </w:pPr>
      <w:r w:rsidRPr="00757DC7">
        <w:t>Identify as Aboriginal and/or Torres Strait Islander</w:t>
      </w:r>
    </w:p>
    <w:p w14:paraId="1BC7EECB" w14:textId="77777777" w:rsidR="002C16CD" w:rsidRPr="00757DC7" w:rsidRDefault="002C16CD" w:rsidP="00757DC7">
      <w:pPr>
        <w:pStyle w:val="TableBullet1"/>
      </w:pPr>
      <w:r w:rsidRPr="00757DC7">
        <w:t>Are accepted by the community they live in or come from.</w:t>
      </w:r>
    </w:p>
    <w:p w14:paraId="19464549"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01B17A66" w14:textId="4B9C5845" w:rsidR="003F1CD1" w:rsidRDefault="00FF32F4" w:rsidP="00B4797D">
      <w:pPr>
        <w:pStyle w:val="Archetype"/>
      </w:pPr>
      <w:r>
        <w:lastRenderedPageBreak/>
        <w:t>Commonwealth Home Support Package (</w:t>
      </w:r>
      <w:r w:rsidR="002C16CD" w:rsidRPr="00B457FA">
        <w:t>CHSP</w:t>
      </w:r>
      <w:r>
        <w:t>)</w:t>
      </w:r>
    </w:p>
    <w:p w14:paraId="41C8288A" w14:textId="3F4EB1DA" w:rsidR="002C16CD" w:rsidRPr="00434C74" w:rsidRDefault="008545DA" w:rsidP="00CE7950">
      <w:pPr>
        <w:pStyle w:val="Summary"/>
      </w:pPr>
      <w:r w:rsidRPr="008545DA">
        <w:rPr>
          <w:rStyle w:val="Bold"/>
        </w:rPr>
        <w:t>Funder/​Administrator:</w:t>
      </w:r>
      <w:r>
        <w:rPr>
          <w:rStyle w:val="Bold"/>
        </w:rPr>
        <w:t xml:space="preserve"> </w:t>
      </w:r>
      <w:r w:rsidR="00B457FA" w:rsidRPr="00E129D9">
        <w:t xml:space="preserve">Australian Government </w:t>
      </w:r>
      <w:r w:rsidR="002C16CD" w:rsidRPr="00434C74">
        <w:t>Department of Health</w:t>
      </w:r>
    </w:p>
    <w:p w14:paraId="2D3D1C97"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36C81452" w14:textId="37DCD0A5" w:rsidR="002C16CD" w:rsidRPr="00EC48FA" w:rsidRDefault="002C16CD" w:rsidP="004C7E26">
      <w:pPr>
        <w:pStyle w:val="Paragraph"/>
      </w:pPr>
      <w:r w:rsidRPr="00903686">
        <w:t>CHSP represents the entry tier of the Australian aged care system.</w:t>
      </w:r>
      <w:r>
        <w:t xml:space="preserve"> </w:t>
      </w:r>
      <w:r w:rsidRPr="00903686">
        <w:t>It is designed to provide a relatively small amount of care and support to a large number of frail older people to help them to remain living at home and in their communities.</w:t>
      </w:r>
      <w:r>
        <w:t xml:space="preserve"> </w:t>
      </w:r>
      <w:r w:rsidRPr="00903686">
        <w:t>CHSP services can be delivered on a short-term, episodic or ongoing basis, and have a strong focus on activities that support independence and social connectedness and provide more choice to consumers.</w:t>
      </w:r>
      <w:r>
        <w:t xml:space="preserve"> </w:t>
      </w:r>
      <w:r w:rsidRPr="00903686">
        <w:t>Services funded under CHSP include domestic assistance, transport, meals, personal care, home maintenance and modifications, social support, nursing and allied health.</w:t>
      </w:r>
    </w:p>
    <w:p w14:paraId="2BCCFF6F" w14:textId="77777777" w:rsidR="003F1CD1" w:rsidRPr="00EC48FA" w:rsidRDefault="003F1CD1" w:rsidP="003F1CD1">
      <w:pPr>
        <w:pStyle w:val="Subhead1"/>
      </w:pPr>
      <w:r w:rsidRPr="00EC48FA">
        <w:t>AT provided</w:t>
      </w:r>
    </w:p>
    <w:p w14:paraId="34C04DA1" w14:textId="77777777" w:rsidR="002C16CD" w:rsidRPr="00404B46" w:rsidRDefault="002C16CD" w:rsidP="002C16CD">
      <w:pPr>
        <w:pStyle w:val="ParaKeep"/>
      </w:pPr>
      <w:r>
        <w:t>As n</w:t>
      </w:r>
      <w:r w:rsidRPr="00404B46">
        <w:t xml:space="preserve">o list currently exists of all </w:t>
      </w:r>
      <w:r>
        <w:t xml:space="preserve">items </w:t>
      </w:r>
      <w:r w:rsidRPr="00404B46">
        <w:t>included under the</w:t>
      </w:r>
      <w:r>
        <w:t xml:space="preserve"> CHSP</w:t>
      </w:r>
      <w:r w:rsidRPr="00404B46">
        <w:t xml:space="preserve"> goods, equipment and </w:t>
      </w:r>
      <w:r>
        <w:t>AT</w:t>
      </w:r>
      <w:r w:rsidRPr="00404B46">
        <w:t xml:space="preserve"> category, the following broad categories are used:</w:t>
      </w:r>
    </w:p>
    <w:p w14:paraId="506EEA09" w14:textId="77777777" w:rsidR="002C16CD" w:rsidRPr="00404B46" w:rsidRDefault="002C16CD" w:rsidP="006C07E4">
      <w:pPr>
        <w:pStyle w:val="TableBullet1"/>
      </w:pPr>
      <w:r w:rsidRPr="00404B46">
        <w:t>Self-care Aids</w:t>
      </w:r>
    </w:p>
    <w:p w14:paraId="4A153F39" w14:textId="77777777" w:rsidR="002C16CD" w:rsidRPr="00404B46" w:rsidRDefault="002C16CD" w:rsidP="006C07E4">
      <w:pPr>
        <w:pStyle w:val="TableBullet1"/>
      </w:pPr>
      <w:r w:rsidRPr="00404B46">
        <w:t>Support and Mobility Aids</w:t>
      </w:r>
    </w:p>
    <w:p w14:paraId="2C275363" w14:textId="77777777" w:rsidR="002C16CD" w:rsidRPr="00404B46" w:rsidRDefault="002C16CD" w:rsidP="006C07E4">
      <w:pPr>
        <w:pStyle w:val="TableBullet1"/>
      </w:pPr>
      <w:r w:rsidRPr="00404B46">
        <w:t>Medical Care Aids</w:t>
      </w:r>
    </w:p>
    <w:p w14:paraId="7BB6C318" w14:textId="77777777" w:rsidR="002C16CD" w:rsidRPr="00404B46" w:rsidRDefault="002C16CD" w:rsidP="006C07E4">
      <w:pPr>
        <w:pStyle w:val="TableBullet1"/>
      </w:pPr>
      <w:r w:rsidRPr="00404B46">
        <w:t>Communication Aids</w:t>
      </w:r>
    </w:p>
    <w:p w14:paraId="2D677086" w14:textId="77777777" w:rsidR="002C16CD" w:rsidRPr="00404B46" w:rsidRDefault="002C16CD" w:rsidP="006C07E4">
      <w:pPr>
        <w:pStyle w:val="TableBullet1"/>
      </w:pPr>
      <w:r w:rsidRPr="00404B46">
        <w:t>Other Goods and Equipment</w:t>
      </w:r>
    </w:p>
    <w:p w14:paraId="74548172" w14:textId="77777777" w:rsidR="002C16CD" w:rsidRPr="00404B46" w:rsidRDefault="002C16CD" w:rsidP="006C07E4">
      <w:pPr>
        <w:pStyle w:val="TableBullet1"/>
      </w:pPr>
      <w:r w:rsidRPr="00404B46">
        <w:t>Reading Aids</w:t>
      </w:r>
    </w:p>
    <w:p w14:paraId="68F6D82A" w14:textId="77777777" w:rsidR="002C16CD" w:rsidRPr="00404B46" w:rsidRDefault="002C16CD" w:rsidP="006C07E4">
      <w:pPr>
        <w:pStyle w:val="TableBullet1"/>
      </w:pPr>
      <w:r w:rsidRPr="00404B46">
        <w:t>Car Modifications.</w:t>
      </w:r>
    </w:p>
    <w:p w14:paraId="60CFB6DF" w14:textId="77777777" w:rsidR="002C16CD" w:rsidRPr="00EC48FA" w:rsidRDefault="002C16CD" w:rsidP="006C07E4">
      <w:pPr>
        <w:pStyle w:val="TableBullet1"/>
      </w:pPr>
      <w:r w:rsidRPr="00404B46">
        <w:t>Home modifications</w:t>
      </w:r>
    </w:p>
    <w:p w14:paraId="4ED89DCE" w14:textId="77777777" w:rsidR="003F1CD1" w:rsidRPr="00EC48FA" w:rsidRDefault="003F1CD1" w:rsidP="008545DA">
      <w:pPr>
        <w:pStyle w:val="Subhead1"/>
        <w:spacing w:before="0"/>
      </w:pPr>
      <w:r w:rsidRPr="00D06A61">
        <w:t>Information, assessment and provision</w:t>
      </w:r>
    </w:p>
    <w:p w14:paraId="1BA76D45" w14:textId="77777777" w:rsidR="002C16CD" w:rsidRPr="00757DC7" w:rsidRDefault="002C16CD" w:rsidP="004C7E26">
      <w:pPr>
        <w:pStyle w:val="Paragraph"/>
      </w:pPr>
      <w:r w:rsidRPr="00142DDB">
        <w:t>Assessment for CHSP is through My Aged Care, the entry point to the aged care system for older people, their families and carers.</w:t>
      </w:r>
      <w:r>
        <w:t xml:space="preserve"> </w:t>
      </w:r>
      <w:r w:rsidRPr="00142DDB">
        <w:t>Home Support Assessments for CHSP are conducted by the My Aged Care RAS.</w:t>
      </w:r>
      <w:r>
        <w:t xml:space="preserve"> </w:t>
      </w:r>
      <w:r w:rsidRPr="00142DDB">
        <w:t>Only providers that have a contract with the Australian Government can provide these services using CHSP funds.</w:t>
      </w:r>
      <w:r>
        <w:t xml:space="preserve"> Consumers can access up to $500 per year to access AT, or up to $1000 at provider discretion.</w:t>
      </w:r>
    </w:p>
    <w:p w14:paraId="5F2F7EA9" w14:textId="77777777" w:rsidR="003F1CD1" w:rsidRPr="00EC48FA" w:rsidRDefault="003F1CD1" w:rsidP="003F1CD1">
      <w:pPr>
        <w:pStyle w:val="Subhead1"/>
      </w:pPr>
      <w:r w:rsidRPr="00EC48FA">
        <w:t>Key eligibility</w:t>
      </w:r>
      <w:r>
        <w:t xml:space="preserve"> and </w:t>
      </w:r>
      <w:r w:rsidRPr="00EC48FA">
        <w:t>exclusion criteria</w:t>
      </w:r>
    </w:p>
    <w:p w14:paraId="0117A4E5" w14:textId="77777777" w:rsidR="002C16CD" w:rsidRDefault="002C16CD" w:rsidP="00FD0202">
      <w:pPr>
        <w:pStyle w:val="TableBullet1"/>
      </w:pPr>
      <w:r>
        <w:t>Frail people aged 65+ (50+ years for Aboriginal and Torres Strait Islander people), who have functional limitations (including cognitive) to remain living independently at home and in their community</w:t>
      </w:r>
    </w:p>
    <w:p w14:paraId="031D9AD8" w14:textId="77777777" w:rsidR="002C16CD" w:rsidRDefault="002C16CD" w:rsidP="00FD0202">
      <w:pPr>
        <w:pStyle w:val="TableBullet1"/>
      </w:pPr>
      <w:r>
        <w:t>Frail older consumers who need planned respite services to provide their carers with a break from their usual caring duties.</w:t>
      </w:r>
    </w:p>
    <w:p w14:paraId="21CA060C" w14:textId="77777777" w:rsidR="002C16CD" w:rsidRPr="00757DC7" w:rsidRDefault="002C16CD" w:rsidP="00FD0202">
      <w:pPr>
        <w:pStyle w:val="TableBullet1"/>
      </w:pPr>
      <w:r>
        <w:t>Frail people or prematurely aged people 50 years and over (or 45 years and over for Aboriginal and Torres Strait Islander people) on a low income, who are homeless or at risk of homelessness as a result of experiencing housing stress or not having secure accommodation.</w:t>
      </w:r>
    </w:p>
    <w:p w14:paraId="482E8443" w14:textId="5719EDC5" w:rsidR="008545DA" w:rsidRPr="008545DA" w:rsidRDefault="008545DA" w:rsidP="008545DA">
      <w:pPr>
        <w:rPr>
          <w:rFonts w:eastAsia="Arial Unicode MS"/>
        </w:rPr>
      </w:pPr>
      <w:r w:rsidRPr="008545DA">
        <w:br w:type="page"/>
      </w:r>
    </w:p>
    <w:p w14:paraId="18C37C61"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7844043C" w14:textId="1C4618B4" w:rsidR="003F1CD1" w:rsidRDefault="002C16CD" w:rsidP="00B4797D">
      <w:pPr>
        <w:pStyle w:val="Archetype"/>
      </w:pPr>
      <w:r>
        <w:lastRenderedPageBreak/>
        <w:t>Home Care Packages (HCP)</w:t>
      </w:r>
    </w:p>
    <w:p w14:paraId="11E691A7" w14:textId="53AC941B" w:rsidR="002C16CD" w:rsidRPr="00434C74" w:rsidRDefault="008545DA" w:rsidP="00CE7950">
      <w:pPr>
        <w:pStyle w:val="Summary"/>
      </w:pPr>
      <w:r w:rsidRPr="008545DA">
        <w:rPr>
          <w:rStyle w:val="Bold"/>
        </w:rPr>
        <w:t>Funder/​Administrator:</w:t>
      </w:r>
      <w:r>
        <w:rPr>
          <w:rStyle w:val="Bold"/>
        </w:rPr>
        <w:t xml:space="preserve"> </w:t>
      </w:r>
      <w:r w:rsidR="00B457FA" w:rsidRPr="00E129D9">
        <w:t xml:space="preserve">Australian Government </w:t>
      </w:r>
      <w:r w:rsidR="002C16CD" w:rsidRPr="00434C74">
        <w:t>Department of Health</w:t>
      </w:r>
    </w:p>
    <w:p w14:paraId="579AF55E" w14:textId="77777777" w:rsidR="004C7E26" w:rsidRDefault="004C7E26" w:rsidP="002C16CD">
      <w:pPr>
        <w:pStyle w:val="ParaKeep"/>
        <w:sectPr w:rsidR="004C7E26" w:rsidSect="004C7E26">
          <w:type w:val="continuous"/>
          <w:pgSz w:w="11907" w:h="16840" w:code="9"/>
          <w:pgMar w:top="1134" w:right="851" w:bottom="1134" w:left="1134" w:header="567" w:footer="624" w:gutter="0"/>
          <w:cols w:space="708"/>
          <w:docGrid w:linePitch="360"/>
        </w:sectPr>
      </w:pPr>
    </w:p>
    <w:p w14:paraId="556E63C5" w14:textId="3B94D422" w:rsidR="002C16CD" w:rsidRPr="009B08FF" w:rsidRDefault="002C16CD" w:rsidP="002C16CD">
      <w:pPr>
        <w:pStyle w:val="ParaKeep"/>
      </w:pPr>
      <w:r w:rsidRPr="0039034E">
        <w:t>HCP helps older Australians with complex care needs to live independently in their own homes.</w:t>
      </w:r>
      <w:r>
        <w:t xml:space="preserve"> </w:t>
      </w:r>
      <w:r w:rsidRPr="0039034E">
        <w:t>It provides the second tier of support in the aged care system and is designed to support older people living in the community whose care needs exceed the level of support that can be provided through CHSP.</w:t>
      </w:r>
      <w:r>
        <w:t xml:space="preserve"> </w:t>
      </w:r>
      <w:r w:rsidRPr="0039034E">
        <w:t>There is no minimum age requirement for home care packages.</w:t>
      </w:r>
      <w:r>
        <w:t xml:space="preserve"> </w:t>
      </w:r>
      <w:r w:rsidRPr="009B08FF">
        <w:t>Funding depends on which of the following four package levels a consumer is assigned to, based on their needs:</w:t>
      </w:r>
    </w:p>
    <w:p w14:paraId="06F66DF0" w14:textId="77777777" w:rsidR="002C16CD" w:rsidRPr="009B08FF" w:rsidRDefault="002C16CD" w:rsidP="006F295F">
      <w:pPr>
        <w:pStyle w:val="TableBullet1"/>
      </w:pPr>
      <w:r w:rsidRPr="009B08FF">
        <w:t>Level 1: Basic care needs approx. $8,800 a year</w:t>
      </w:r>
    </w:p>
    <w:p w14:paraId="36E43CD8" w14:textId="77777777" w:rsidR="002C16CD" w:rsidRPr="009B08FF" w:rsidRDefault="002C16CD" w:rsidP="006F295F">
      <w:pPr>
        <w:pStyle w:val="TableBullet1"/>
      </w:pPr>
      <w:r w:rsidRPr="009B08FF">
        <w:t>Level 2: Low care needs approx</w:t>
      </w:r>
      <w:r>
        <w:t>.</w:t>
      </w:r>
      <w:r w:rsidRPr="009B08FF">
        <w:t xml:space="preserve"> $15,500 a year</w:t>
      </w:r>
    </w:p>
    <w:p w14:paraId="6CFF0E32" w14:textId="77777777" w:rsidR="002C16CD" w:rsidRPr="009B08FF" w:rsidRDefault="002C16CD" w:rsidP="006F295F">
      <w:pPr>
        <w:pStyle w:val="TableBullet1"/>
      </w:pPr>
      <w:r w:rsidRPr="009B08FF">
        <w:t xml:space="preserve">Level 3: Intermediate care </w:t>
      </w:r>
      <w:r>
        <w:t xml:space="preserve">needs </w:t>
      </w:r>
      <w:r w:rsidRPr="009B08FF">
        <w:t>approx</w:t>
      </w:r>
      <w:r>
        <w:t>.</w:t>
      </w:r>
      <w:r w:rsidRPr="009B08FF">
        <w:t xml:space="preserve"> $33,700 a year</w:t>
      </w:r>
    </w:p>
    <w:p w14:paraId="0FD08B4E" w14:textId="77777777" w:rsidR="002C16CD" w:rsidRPr="00EC48FA" w:rsidRDefault="002C16CD" w:rsidP="006F295F">
      <w:pPr>
        <w:pStyle w:val="TableBullet1"/>
      </w:pPr>
      <w:r w:rsidRPr="009B08FF">
        <w:t>Level 4: High care needs approx</w:t>
      </w:r>
      <w:r>
        <w:t>.</w:t>
      </w:r>
      <w:r w:rsidRPr="009B08FF">
        <w:t xml:space="preserve"> $51,100 a year.</w:t>
      </w:r>
    </w:p>
    <w:p w14:paraId="485D645B" w14:textId="77777777" w:rsidR="003F1CD1" w:rsidRPr="00EC48FA" w:rsidRDefault="003F1CD1" w:rsidP="003F1CD1">
      <w:pPr>
        <w:pStyle w:val="Subhead1"/>
      </w:pPr>
      <w:r w:rsidRPr="00EC48FA">
        <w:t>AT provided</w:t>
      </w:r>
    </w:p>
    <w:p w14:paraId="4E7CDB9E" w14:textId="77777777" w:rsidR="002C16CD" w:rsidRPr="0001022E" w:rsidRDefault="002C16CD" w:rsidP="002C16CD">
      <w:pPr>
        <w:pStyle w:val="ParaKeep"/>
      </w:pPr>
      <w:r w:rsidRPr="0001022E">
        <w:t>Four types of services are provided</w:t>
      </w:r>
      <w:r>
        <w:t xml:space="preserve"> under HCPs</w:t>
      </w:r>
      <w:r w:rsidRPr="0001022E">
        <w:t>:</w:t>
      </w:r>
    </w:p>
    <w:p w14:paraId="270223A7" w14:textId="77777777" w:rsidR="002C16CD" w:rsidRPr="0001022E" w:rsidRDefault="002C16CD" w:rsidP="006F295F">
      <w:pPr>
        <w:pStyle w:val="TableBullet1"/>
      </w:pPr>
      <w:r w:rsidRPr="0001022E">
        <w:t>Personal care: such as help with showering, dressing, mobility, meal preparation and eating, and fitting sensory communication aids</w:t>
      </w:r>
    </w:p>
    <w:p w14:paraId="181E7CAF" w14:textId="77777777" w:rsidR="002C16CD" w:rsidRPr="0001022E" w:rsidRDefault="002C16CD" w:rsidP="006F295F">
      <w:pPr>
        <w:pStyle w:val="TableBullet1"/>
      </w:pPr>
      <w:r w:rsidRPr="0001022E">
        <w:t>Support services: such as help with laundry, house cleaning, gardening, basic home maintenance, home modifications (related to care needs), and transport to help the consumer do shopping, visit their doctor or attend social activities</w:t>
      </w:r>
    </w:p>
    <w:p w14:paraId="64A21632" w14:textId="77777777" w:rsidR="002C16CD" w:rsidRPr="0001022E" w:rsidRDefault="002C16CD" w:rsidP="006F295F">
      <w:pPr>
        <w:pStyle w:val="TableBullet1"/>
      </w:pPr>
      <w:r w:rsidRPr="0001022E">
        <w:t>Clinical care: nursing, allied health and other therapies</w:t>
      </w:r>
    </w:p>
    <w:p w14:paraId="393A6716" w14:textId="77777777" w:rsidR="002C16CD" w:rsidRPr="00EC48FA" w:rsidRDefault="002C16CD" w:rsidP="006F295F">
      <w:pPr>
        <w:pStyle w:val="TableBullet1"/>
      </w:pPr>
      <w:r w:rsidRPr="0001022E">
        <w:t>Other services: such as remote monitoring technology (where appropriate) and assistive technology, including devices that assist mobility, communication and personal safety where these services are identified in the consumer’s care plan.</w:t>
      </w:r>
    </w:p>
    <w:p w14:paraId="43E533E1" w14:textId="77777777" w:rsidR="003F1CD1" w:rsidRPr="00EC48FA" w:rsidRDefault="003F1CD1" w:rsidP="003F1CD1">
      <w:pPr>
        <w:pStyle w:val="Subhead1"/>
      </w:pPr>
      <w:r w:rsidRPr="00D06A61">
        <w:t>Information, assessment and provision</w:t>
      </w:r>
    </w:p>
    <w:p w14:paraId="1091988D" w14:textId="77777777" w:rsidR="002C16CD" w:rsidRPr="00A835C5" w:rsidRDefault="002C16CD" w:rsidP="004C7E26">
      <w:pPr>
        <w:pStyle w:val="Paragraph"/>
      </w:pPr>
      <w:r w:rsidRPr="00A835C5">
        <w:t xml:space="preserve">ACATs conduct comprehensive assessments for </w:t>
      </w:r>
      <w:r>
        <w:t>HCPs, and</w:t>
      </w:r>
      <w:r w:rsidRPr="00A835C5">
        <w:t xml:space="preserve"> recipients are not limited to a basic list of services.</w:t>
      </w:r>
      <w:r>
        <w:t xml:space="preserve"> </w:t>
      </w:r>
      <w:r w:rsidRPr="00A835C5">
        <w:t>Approved providers work with each of their consumers to select services that best meet each individual’s care needs and goals.</w:t>
      </w:r>
      <w:r>
        <w:t xml:space="preserve"> </w:t>
      </w:r>
      <w:r w:rsidRPr="00A835C5">
        <w:t>HCP consumers require an income assessment by the Department of Human Services and/or DVA.</w:t>
      </w:r>
      <w:r>
        <w:t xml:space="preserve"> </w:t>
      </w:r>
      <w:r w:rsidRPr="00A835C5">
        <w:t>Wait times of three months to over 12 months apply, depending on the package level.</w:t>
      </w:r>
    </w:p>
    <w:p w14:paraId="3C961FBB" w14:textId="77777777" w:rsidR="002C16CD" w:rsidRPr="00A835C5" w:rsidRDefault="002C16CD" w:rsidP="004C7E26">
      <w:pPr>
        <w:pStyle w:val="Paragraph"/>
      </w:pPr>
      <w:r w:rsidRPr="00A835C5">
        <w:t>Only providers that have a contract with the Australian Government can provide these services using HCP funds.</w:t>
      </w:r>
    </w:p>
    <w:p w14:paraId="664C1FD9" w14:textId="77777777" w:rsidR="002C16CD" w:rsidRPr="00A835C5" w:rsidRDefault="002C16CD" w:rsidP="004C7E26">
      <w:pPr>
        <w:pStyle w:val="Paragraph"/>
      </w:pPr>
      <w:r w:rsidRPr="00A835C5">
        <w:t xml:space="preserve">No list currently exists of all </w:t>
      </w:r>
      <w:r>
        <w:t xml:space="preserve">items </w:t>
      </w:r>
      <w:r w:rsidRPr="00A835C5">
        <w:t>included under HCP.</w:t>
      </w:r>
    </w:p>
    <w:p w14:paraId="3C6DE647" w14:textId="77777777" w:rsidR="003F1CD1" w:rsidRPr="00EC48FA" w:rsidRDefault="003F1CD1" w:rsidP="003F1CD1">
      <w:pPr>
        <w:pStyle w:val="Subhead1"/>
      </w:pPr>
      <w:r w:rsidRPr="00EC48FA">
        <w:t>Key eligibility</w:t>
      </w:r>
      <w:r>
        <w:t xml:space="preserve"> and </w:t>
      </w:r>
      <w:r w:rsidRPr="00EC48FA">
        <w:t>exclusion criteria</w:t>
      </w:r>
    </w:p>
    <w:p w14:paraId="116EBCA6" w14:textId="77777777" w:rsidR="002C16CD" w:rsidRDefault="002C16CD" w:rsidP="00F15F27">
      <w:pPr>
        <w:pStyle w:val="TableBullet1"/>
      </w:pPr>
      <w:r>
        <w:t xml:space="preserve">Older Australians whose care needs exceed the level of support that can be provided through the CHSP are eligible for HCP. </w:t>
      </w:r>
    </w:p>
    <w:p w14:paraId="6047E699" w14:textId="77777777" w:rsidR="002C16CD" w:rsidRPr="00757DC7" w:rsidRDefault="002C16CD" w:rsidP="00F15F27">
      <w:pPr>
        <w:pStyle w:val="TableBullet1"/>
      </w:pPr>
      <w:r>
        <w:t>Individuals whose who are unable to continue living independently in their own homes and who require higher levels of ongoing support than that available through HCP are excluded.</w:t>
      </w:r>
    </w:p>
    <w:p w14:paraId="1550DF21" w14:textId="04932DA1" w:rsidR="008545DA" w:rsidRPr="008545DA" w:rsidRDefault="008545DA" w:rsidP="008545DA">
      <w:pPr>
        <w:rPr>
          <w:rFonts w:eastAsia="Arial Unicode MS"/>
        </w:rPr>
      </w:pPr>
      <w:r w:rsidRPr="008545DA">
        <w:br w:type="page"/>
      </w:r>
    </w:p>
    <w:p w14:paraId="1D4A2373"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0BC9F295" w14:textId="720DC524" w:rsidR="003F1CD1" w:rsidRDefault="002C16CD" w:rsidP="00B4797D">
      <w:pPr>
        <w:pStyle w:val="Archetype"/>
      </w:pPr>
      <w:r>
        <w:lastRenderedPageBreak/>
        <w:t>Residential Aged Care (RAC)</w:t>
      </w:r>
    </w:p>
    <w:p w14:paraId="1DCC036A" w14:textId="0E044403" w:rsidR="002C16CD" w:rsidRPr="007B0E04" w:rsidRDefault="008545DA" w:rsidP="00CE7950">
      <w:pPr>
        <w:pStyle w:val="Summary"/>
      </w:pPr>
      <w:r w:rsidRPr="008545DA">
        <w:rPr>
          <w:rStyle w:val="Bold"/>
        </w:rPr>
        <w:t>Funder/​Administrator:</w:t>
      </w:r>
      <w:r>
        <w:rPr>
          <w:rStyle w:val="Bold"/>
        </w:rPr>
        <w:t xml:space="preserve"> </w:t>
      </w:r>
      <w:r w:rsidR="00B457FA" w:rsidRPr="00E129D9">
        <w:t xml:space="preserve">Australian Government </w:t>
      </w:r>
      <w:r w:rsidR="002C16CD">
        <w:t>Department of Health</w:t>
      </w:r>
    </w:p>
    <w:p w14:paraId="64F902EE"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36ABC1E4" w14:textId="5A8CC1F0" w:rsidR="002C16CD" w:rsidRPr="00EC48FA" w:rsidRDefault="002C16CD" w:rsidP="008545DA">
      <w:pPr>
        <w:pStyle w:val="Paragraph"/>
        <w:spacing w:before="120"/>
      </w:pPr>
      <w:r w:rsidRPr="00D561CE">
        <w:t>Residential aged care is delivered to older people in Australia by service providers who are approved under the Aged Care Act 1997. Residential aged care provides a range of care options and accommodation for older people who are unable to continue living independently in their own home</w:t>
      </w:r>
      <w:r>
        <w:t xml:space="preserve">. </w:t>
      </w:r>
      <w:r w:rsidRPr="001B3192">
        <w:t>The type of care provided ranges from personal care to assistance with activities of daily living through to 24-hour nursing care.</w:t>
      </w:r>
    </w:p>
    <w:p w14:paraId="092CA379" w14:textId="77777777" w:rsidR="003F1CD1" w:rsidRPr="00EC48FA" w:rsidRDefault="003F1CD1" w:rsidP="003F1CD1">
      <w:pPr>
        <w:pStyle w:val="Subhead1"/>
      </w:pPr>
      <w:r w:rsidRPr="00EC48FA">
        <w:t>AT provided</w:t>
      </w:r>
    </w:p>
    <w:p w14:paraId="763A0D22" w14:textId="77777777" w:rsidR="002C16CD" w:rsidRPr="00EC48FA" w:rsidRDefault="002C16CD" w:rsidP="008545DA">
      <w:pPr>
        <w:pStyle w:val="Paragraph"/>
        <w:spacing w:before="120"/>
      </w:pPr>
      <w:r>
        <w:t xml:space="preserve">RAC </w:t>
      </w:r>
      <w:r w:rsidRPr="000368C4">
        <w:t>facili</w:t>
      </w:r>
      <w:r>
        <w:t>ties are</w:t>
      </w:r>
      <w:r w:rsidRPr="000368C4">
        <w:t xml:space="preserve"> responsible for providing </w:t>
      </w:r>
      <w:r>
        <w:t>necessary AT for residents</w:t>
      </w:r>
      <w:r w:rsidRPr="000368C4">
        <w:t>. Residents may</w:t>
      </w:r>
      <w:r>
        <w:t xml:space="preserve"> also</w:t>
      </w:r>
      <w:r w:rsidRPr="000368C4">
        <w:t xml:space="preserve"> bring </w:t>
      </w:r>
      <w:r>
        <w:t>personal AT</w:t>
      </w:r>
      <w:r w:rsidRPr="000368C4">
        <w:t xml:space="preserve"> (</w:t>
      </w:r>
      <w:r>
        <w:t>such as</w:t>
      </w:r>
      <w:r w:rsidRPr="000368C4">
        <w:t xml:space="preserve"> mobility aids) </w:t>
      </w:r>
      <w:r>
        <w:t xml:space="preserve">when they move to the facility. </w:t>
      </w:r>
    </w:p>
    <w:p w14:paraId="18E77C9D" w14:textId="77777777" w:rsidR="003F1CD1" w:rsidRPr="00EC48FA" w:rsidRDefault="003F1CD1" w:rsidP="003F1CD1">
      <w:pPr>
        <w:pStyle w:val="Subhead1"/>
      </w:pPr>
      <w:r w:rsidRPr="00D06A61">
        <w:t>Information, assessment and provision</w:t>
      </w:r>
    </w:p>
    <w:p w14:paraId="2C16D23B" w14:textId="77777777" w:rsidR="002C16CD" w:rsidRPr="00757DC7" w:rsidRDefault="002C16CD" w:rsidP="008545DA">
      <w:pPr>
        <w:pStyle w:val="Paragraph"/>
        <w:spacing w:before="120"/>
      </w:pPr>
      <w:r w:rsidRPr="00605864">
        <w:t>To enter Australian Government-subsidised residential care, a person must first be approved as a care recipient.</w:t>
      </w:r>
      <w:r>
        <w:t xml:space="preserve"> </w:t>
      </w:r>
      <w:r w:rsidRPr="00605864">
        <w:t>In order to determine a person’s eligibility and care needs, an Aged Care Assessment Team (ACAT) assessment must be undertaken.</w:t>
      </w:r>
    </w:p>
    <w:p w14:paraId="27ADEC8C" w14:textId="77777777" w:rsidR="003F1CD1" w:rsidRPr="00EC48FA" w:rsidRDefault="003F1CD1" w:rsidP="003F1CD1">
      <w:pPr>
        <w:pStyle w:val="Subhead1"/>
      </w:pPr>
      <w:r w:rsidRPr="00EC48FA">
        <w:t>Key eligibility</w:t>
      </w:r>
      <w:r>
        <w:t xml:space="preserve"> and </w:t>
      </w:r>
      <w:r w:rsidRPr="00EC48FA">
        <w:t>exclusion criteria</w:t>
      </w:r>
    </w:p>
    <w:p w14:paraId="028BE519" w14:textId="77777777" w:rsidR="002C16CD" w:rsidRPr="00757DC7" w:rsidRDefault="002C16CD" w:rsidP="008545DA">
      <w:pPr>
        <w:pStyle w:val="Paragraph"/>
        <w:spacing w:before="120"/>
      </w:pPr>
      <w:r w:rsidRPr="00200FDC">
        <w:t>Older people who are unable to continue living independently in their own homes and who require higher levels of ongoing support than those available through home care packages.</w:t>
      </w:r>
    </w:p>
    <w:p w14:paraId="0451C2DA"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1B924E0E" w14:textId="05435CF4" w:rsidR="003F1CD1" w:rsidRDefault="002C16CD" w:rsidP="00B4797D">
      <w:pPr>
        <w:pStyle w:val="Archetype"/>
      </w:pPr>
      <w:r>
        <w:t>Transition Care Program (TCP)</w:t>
      </w:r>
    </w:p>
    <w:p w14:paraId="7FE1416A" w14:textId="7921C8FA" w:rsidR="002C16CD" w:rsidRPr="008420E0" w:rsidRDefault="008545DA" w:rsidP="008545DA">
      <w:pPr>
        <w:pStyle w:val="Summary"/>
      </w:pPr>
      <w:r w:rsidRPr="008545DA">
        <w:rPr>
          <w:rStyle w:val="Bold"/>
        </w:rPr>
        <w:t>Funder/​Administrator:</w:t>
      </w:r>
      <w:r>
        <w:t xml:space="preserve"> </w:t>
      </w:r>
      <w:r w:rsidR="00B457FA" w:rsidRPr="00E129D9">
        <w:t xml:space="preserve">Australian Government </w:t>
      </w:r>
      <w:r w:rsidR="002C16CD" w:rsidRPr="00434C74">
        <w:t>Department of Health</w:t>
      </w:r>
      <w:r w:rsidR="002C16CD">
        <w:t xml:space="preserve"> &amp; state/territory governments</w:t>
      </w:r>
    </w:p>
    <w:p w14:paraId="36236318"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7F977EE2" w14:textId="4FACE03D" w:rsidR="002C16CD" w:rsidRPr="00EC48FA" w:rsidRDefault="002C16CD" w:rsidP="004C7E26">
      <w:pPr>
        <w:pStyle w:val="Paragraph"/>
      </w:pPr>
      <w:r w:rsidRPr="00C55AB1">
        <w:t xml:space="preserve">Transition care provides short-term care that seeks to optimise the functioning and independence of older people after a hospital stay. Transition care is goal-oriented, time-limited and therapy-focused. </w:t>
      </w:r>
      <w:r>
        <w:t xml:space="preserve">The </w:t>
      </w:r>
      <w:r w:rsidRPr="003C0046">
        <w:t>Department of Health provides funding through flexible care subsidies that are paid to state governments as the approved providers</w:t>
      </w:r>
      <w:r>
        <w:t xml:space="preserve">, and </w:t>
      </w:r>
      <w:r w:rsidRPr="003C0046">
        <w:t>state governments provide a co-contribution.</w:t>
      </w:r>
      <w:r>
        <w:t xml:space="preserve"> </w:t>
      </w:r>
    </w:p>
    <w:p w14:paraId="26A1882D" w14:textId="77777777" w:rsidR="003F1CD1" w:rsidRPr="00EC48FA" w:rsidRDefault="003F1CD1" w:rsidP="003F1CD1">
      <w:pPr>
        <w:pStyle w:val="Subhead1"/>
      </w:pPr>
      <w:r w:rsidRPr="00EC48FA">
        <w:t>AT provided</w:t>
      </w:r>
    </w:p>
    <w:p w14:paraId="71EB9C35" w14:textId="77777777" w:rsidR="002C16CD" w:rsidRPr="00EC48FA" w:rsidRDefault="002C16CD" w:rsidP="008545DA">
      <w:pPr>
        <w:pStyle w:val="Paragraph"/>
        <w:spacing w:before="120"/>
      </w:pPr>
      <w:r>
        <w:t>TCP</w:t>
      </w:r>
      <w:r w:rsidRPr="000435F7">
        <w:t xml:space="preserve"> provides older people with a package of services that includes low-intensity therapy such as physiotherapy and occupational therapy, as well as social work, nursing support or personal care to maintain and improve physical and/or cognitive functioning.</w:t>
      </w:r>
      <w:r>
        <w:t xml:space="preserve"> </w:t>
      </w:r>
      <w:r w:rsidRPr="000435F7">
        <w:t>The program seeks to enable older people to return home after a hospital stay rather than prematurely enter residential aged care.</w:t>
      </w:r>
      <w:r>
        <w:t xml:space="preserve"> </w:t>
      </w:r>
      <w:r w:rsidRPr="008945F1">
        <w:t>Providers are required to supply aids and equipment to consumers while in their care</w:t>
      </w:r>
      <w:r>
        <w:t>. A</w:t>
      </w:r>
      <w:r w:rsidRPr="009C3C92">
        <w:t xml:space="preserve">ids, appliances, equipment and services required for a care recipient’s therapy are provided in a timely manner. </w:t>
      </w:r>
      <w:r>
        <w:t>P</w:t>
      </w:r>
      <w:r w:rsidRPr="009C3C92">
        <w:t>roviders may purchase equipment and this equipment may be loaned temporarily to individual care recipients.</w:t>
      </w:r>
    </w:p>
    <w:p w14:paraId="54DEDC74" w14:textId="77777777" w:rsidR="003F1CD1" w:rsidRPr="00EC48FA" w:rsidRDefault="003F1CD1" w:rsidP="003F1CD1">
      <w:pPr>
        <w:pStyle w:val="Subhead1"/>
      </w:pPr>
      <w:r w:rsidRPr="00D06A61">
        <w:t>Information, assessment and provision</w:t>
      </w:r>
    </w:p>
    <w:p w14:paraId="76D4A40C" w14:textId="77777777" w:rsidR="002C16CD" w:rsidRPr="00757DC7" w:rsidRDefault="002C16CD" w:rsidP="008545DA">
      <w:pPr>
        <w:pStyle w:val="Paragraph"/>
        <w:spacing w:before="120"/>
      </w:pPr>
      <w:r w:rsidRPr="00381275">
        <w:t>An assessment with an ACAT is required for entry into the program.</w:t>
      </w:r>
      <w:r>
        <w:t xml:space="preserve"> </w:t>
      </w:r>
      <w:r w:rsidRPr="00590F5B">
        <w:t>If eligible, consumers must enter transition care as soon as they leave hospital.</w:t>
      </w:r>
      <w:r>
        <w:t xml:space="preserve"> </w:t>
      </w:r>
      <w:r w:rsidRPr="008945F1">
        <w:t>If a care recipient requires aids and equipment on an ongoing basis, the service provider should</w:t>
      </w:r>
      <w:r>
        <w:t xml:space="preserve"> </w:t>
      </w:r>
      <w:r w:rsidRPr="008945F1">
        <w:t>seek equipment from such sources as state government equipment schemes or equipment loan services.</w:t>
      </w:r>
      <w:r>
        <w:t xml:space="preserve"> </w:t>
      </w:r>
      <w:r w:rsidRPr="008945F1">
        <w:t>If care recipients are not eligible for services under these equipment schemes or equipment loan services and the required services are not available, the care recipient or their representative is responsible for the cost of the equipment.</w:t>
      </w:r>
    </w:p>
    <w:p w14:paraId="15081917" w14:textId="77777777" w:rsidR="003F1CD1" w:rsidRPr="00EC48FA" w:rsidRDefault="003F1CD1" w:rsidP="003F1CD1">
      <w:pPr>
        <w:pStyle w:val="Subhead1"/>
      </w:pPr>
      <w:r w:rsidRPr="00EC48FA">
        <w:t>Key eligibility</w:t>
      </w:r>
      <w:r>
        <w:t xml:space="preserve"> and </w:t>
      </w:r>
      <w:r w:rsidRPr="00EC48FA">
        <w:t>exclusion criteria</w:t>
      </w:r>
    </w:p>
    <w:p w14:paraId="56A657DE" w14:textId="77777777" w:rsidR="002C16CD" w:rsidRDefault="002C16CD" w:rsidP="008545DA">
      <w:pPr>
        <w:pStyle w:val="ParaKeep"/>
        <w:spacing w:before="120"/>
      </w:pPr>
      <w:r>
        <w:t>Consumers must be an older person and</w:t>
      </w:r>
    </w:p>
    <w:p w14:paraId="4685D510" w14:textId="77777777" w:rsidR="002C16CD" w:rsidRDefault="002C16CD" w:rsidP="00181FFE">
      <w:pPr>
        <w:pStyle w:val="TableBullet1"/>
      </w:pPr>
      <w:r>
        <w:t>A patient in a public or private hospital</w:t>
      </w:r>
    </w:p>
    <w:p w14:paraId="174B927E" w14:textId="77777777" w:rsidR="002C16CD" w:rsidRDefault="002C16CD" w:rsidP="00181FFE">
      <w:pPr>
        <w:pStyle w:val="TableBullet1"/>
      </w:pPr>
      <w:r>
        <w:t>Have been told that they are ready to leave hospital</w:t>
      </w:r>
    </w:p>
    <w:p w14:paraId="493FB0C8" w14:textId="77777777" w:rsidR="002C16CD" w:rsidRPr="00757DC7" w:rsidRDefault="002C16CD" w:rsidP="00181FFE">
      <w:pPr>
        <w:pStyle w:val="TableBullet1"/>
      </w:pPr>
      <w:r>
        <w:t>Would benefit from receiving services for a short period of time.</w:t>
      </w:r>
    </w:p>
    <w:p w14:paraId="5683398B"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74852BA9" w14:textId="082A36C1" w:rsidR="003F1CD1" w:rsidRDefault="002C16CD" w:rsidP="00B4797D">
      <w:pPr>
        <w:pStyle w:val="Archetype"/>
      </w:pPr>
      <w:r w:rsidRPr="002877F7">
        <w:lastRenderedPageBreak/>
        <w:t>Short-Term Restorative Care Program</w:t>
      </w:r>
      <w:r>
        <w:t xml:space="preserve"> (STRC)</w:t>
      </w:r>
    </w:p>
    <w:p w14:paraId="0DD4DB3E" w14:textId="378533D0" w:rsidR="002C16CD" w:rsidRPr="002877F7" w:rsidRDefault="008545DA" w:rsidP="00CE7950">
      <w:pPr>
        <w:pStyle w:val="Summary"/>
      </w:pPr>
      <w:r w:rsidRPr="008545DA">
        <w:rPr>
          <w:rStyle w:val="Bold"/>
        </w:rPr>
        <w:t>Funder/​Administrator:</w:t>
      </w:r>
      <w:r>
        <w:rPr>
          <w:rStyle w:val="Bold"/>
        </w:rPr>
        <w:t xml:space="preserve"> </w:t>
      </w:r>
      <w:r w:rsidR="00B457FA" w:rsidRPr="00E129D9">
        <w:t xml:space="preserve">Australian Government </w:t>
      </w:r>
      <w:r w:rsidR="002C16CD" w:rsidRPr="00434C74">
        <w:t>Department of Health</w:t>
      </w:r>
    </w:p>
    <w:p w14:paraId="4B270D56"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39EB9A56" w14:textId="03436284" w:rsidR="002C16CD" w:rsidRPr="00EC48FA" w:rsidRDefault="002C16CD" w:rsidP="004C7E26">
      <w:pPr>
        <w:pStyle w:val="Paragraph"/>
      </w:pPr>
      <w:r w:rsidRPr="007B2978">
        <w:t>The STRC Program is an early intervention to reverse or slow ‘functional decline’ in older people.</w:t>
      </w:r>
      <w:r>
        <w:t xml:space="preserve"> </w:t>
      </w:r>
      <w:r w:rsidRPr="007B2978">
        <w:t>‘Functional decline’ is when a person is having difficulty performing their day-to-day activities, including bathing, dressing, feeding, shopping or driving.</w:t>
      </w:r>
      <w:r>
        <w:t xml:space="preserve"> </w:t>
      </w:r>
      <w:r w:rsidRPr="007B2978">
        <w:t>STRC provides services to older people for up to eight weeks (a maximum of 56 days) to help them delay or avoid long-term care.</w:t>
      </w:r>
    </w:p>
    <w:p w14:paraId="06864B21" w14:textId="77777777" w:rsidR="003F1CD1" w:rsidRPr="00EC48FA" w:rsidRDefault="003F1CD1" w:rsidP="003F1CD1">
      <w:pPr>
        <w:pStyle w:val="Subhead1"/>
      </w:pPr>
      <w:r w:rsidRPr="00EC48FA">
        <w:t>AT provided</w:t>
      </w:r>
    </w:p>
    <w:p w14:paraId="1E8CB3A7" w14:textId="77777777" w:rsidR="002C16CD" w:rsidRPr="00206A38" w:rsidRDefault="002C16CD" w:rsidP="00674058">
      <w:pPr>
        <w:pStyle w:val="ParaKeep"/>
      </w:pPr>
      <w:r w:rsidRPr="00206A38">
        <w:t>The support can take place in the person’s home, an aged care (nursing) home or a combination of both.</w:t>
      </w:r>
      <w:r>
        <w:t xml:space="preserve"> </w:t>
      </w:r>
      <w:r w:rsidRPr="00206A38">
        <w:t>STRC services are tailored for each person and can involve a number of different health professionals.</w:t>
      </w:r>
      <w:r>
        <w:t xml:space="preserve"> </w:t>
      </w:r>
      <w:r w:rsidRPr="00206A38">
        <w:t>STRC services may include but are not limited to:</w:t>
      </w:r>
    </w:p>
    <w:p w14:paraId="16D4E26A" w14:textId="77777777" w:rsidR="002C16CD" w:rsidRPr="00206A38" w:rsidRDefault="002C16CD" w:rsidP="006F295F">
      <w:pPr>
        <w:pStyle w:val="TableBullet1"/>
      </w:pPr>
      <w:r w:rsidRPr="00206A38">
        <w:t>Occupational therapy</w:t>
      </w:r>
    </w:p>
    <w:p w14:paraId="7FFEC0B0" w14:textId="77777777" w:rsidR="002C16CD" w:rsidRPr="00206A38" w:rsidRDefault="002C16CD" w:rsidP="006F295F">
      <w:pPr>
        <w:pStyle w:val="TableBullet1"/>
      </w:pPr>
      <w:r w:rsidRPr="00206A38">
        <w:t>Physiotherapy</w:t>
      </w:r>
    </w:p>
    <w:p w14:paraId="6B332B60" w14:textId="77777777" w:rsidR="002C16CD" w:rsidRPr="00206A38" w:rsidRDefault="002C16CD" w:rsidP="006F295F">
      <w:pPr>
        <w:pStyle w:val="TableBullet1"/>
      </w:pPr>
      <w:r w:rsidRPr="00206A38">
        <w:t>Nursing support</w:t>
      </w:r>
    </w:p>
    <w:p w14:paraId="2514036E" w14:textId="77777777" w:rsidR="002C16CD" w:rsidRPr="00206A38" w:rsidRDefault="002C16CD" w:rsidP="006F295F">
      <w:pPr>
        <w:pStyle w:val="TableBullet1"/>
      </w:pPr>
      <w:r w:rsidRPr="00206A38">
        <w:t>Personal care</w:t>
      </w:r>
    </w:p>
    <w:p w14:paraId="0BD448B0" w14:textId="77777777" w:rsidR="002C16CD" w:rsidRPr="00206A38" w:rsidRDefault="002C16CD" w:rsidP="006F295F">
      <w:pPr>
        <w:pStyle w:val="TableBullet1"/>
      </w:pPr>
      <w:r w:rsidRPr="00206A38">
        <w:t>Provision of technologies to help with day-to-day activities</w:t>
      </w:r>
    </w:p>
    <w:p w14:paraId="69F5447A" w14:textId="77777777" w:rsidR="002C16CD" w:rsidRPr="00EC48FA" w:rsidRDefault="002C16CD" w:rsidP="006F295F">
      <w:pPr>
        <w:pStyle w:val="TableBullet1"/>
      </w:pPr>
      <w:r w:rsidRPr="00206A38">
        <w:t>Minor home modifications.</w:t>
      </w:r>
    </w:p>
    <w:p w14:paraId="2F952DC9" w14:textId="77777777" w:rsidR="003F1CD1" w:rsidRPr="00EC48FA" w:rsidRDefault="003F1CD1" w:rsidP="003F1CD1">
      <w:pPr>
        <w:pStyle w:val="Subhead1"/>
      </w:pPr>
      <w:r w:rsidRPr="00D06A61">
        <w:t>Information, assessment and provision</w:t>
      </w:r>
    </w:p>
    <w:p w14:paraId="0150F389" w14:textId="77777777" w:rsidR="002C16CD" w:rsidRDefault="002C16CD" w:rsidP="004C7E26">
      <w:pPr>
        <w:pStyle w:val="Paragraph"/>
      </w:pPr>
      <w:r w:rsidRPr="005648C7">
        <w:t>If a person wants to apply for STRC, an ACAT must assess them.</w:t>
      </w:r>
      <w:r>
        <w:t xml:space="preserve"> </w:t>
      </w:r>
      <w:r w:rsidRPr="005648C7">
        <w:t>Each episode of care requires an ACAT assessment.</w:t>
      </w:r>
      <w:r>
        <w:t xml:space="preserve"> </w:t>
      </w:r>
    </w:p>
    <w:p w14:paraId="199B81E0" w14:textId="77777777" w:rsidR="002C16CD" w:rsidRPr="00757DC7" w:rsidRDefault="002C16CD" w:rsidP="004C7E26">
      <w:pPr>
        <w:pStyle w:val="Paragraph"/>
      </w:pPr>
      <w:r w:rsidRPr="00DB4313">
        <w:t>A person can access both STRC and CHSP services, but the services must be different, yet complementary.</w:t>
      </w:r>
    </w:p>
    <w:p w14:paraId="659F192E" w14:textId="77777777" w:rsidR="003F1CD1" w:rsidRPr="00EC48FA" w:rsidRDefault="003F1CD1" w:rsidP="003F1CD1">
      <w:pPr>
        <w:pStyle w:val="Subhead1"/>
      </w:pPr>
      <w:r w:rsidRPr="00EC48FA">
        <w:t>Key eligibility</w:t>
      </w:r>
      <w:r>
        <w:t xml:space="preserve"> and </w:t>
      </w:r>
      <w:r w:rsidRPr="00EC48FA">
        <w:t>exclusion criteria</w:t>
      </w:r>
    </w:p>
    <w:p w14:paraId="7DD21D34" w14:textId="77777777" w:rsidR="002C16CD" w:rsidRDefault="002C16CD" w:rsidP="00674058">
      <w:pPr>
        <w:pStyle w:val="ParaKeep"/>
      </w:pPr>
      <w:r>
        <w:t>To be eligible for STRC a person must be:</w:t>
      </w:r>
    </w:p>
    <w:p w14:paraId="00B74D64" w14:textId="77777777" w:rsidR="002C16CD" w:rsidRDefault="002C16CD" w:rsidP="001A6FA7">
      <w:pPr>
        <w:pStyle w:val="TableBullet1"/>
      </w:pPr>
      <w:r>
        <w:t>An o</w:t>
      </w:r>
      <w:r w:rsidRPr="00D0088A">
        <w:t>lder people who are having difficulty performing their day-to-day activities.</w:t>
      </w:r>
    </w:p>
    <w:p w14:paraId="1320AA01" w14:textId="77777777" w:rsidR="002C16CD" w:rsidRDefault="002C16CD" w:rsidP="001A6FA7">
      <w:pPr>
        <w:pStyle w:val="TableBullet1"/>
      </w:pPr>
      <w:r>
        <w:t>At risk of losing their independence</w:t>
      </w:r>
    </w:p>
    <w:p w14:paraId="6726B670" w14:textId="4F4D7C53" w:rsidR="003F1CD1" w:rsidRDefault="002C16CD" w:rsidP="00D0088A">
      <w:pPr>
        <w:pStyle w:val="TableBullet1"/>
      </w:pPr>
      <w:r>
        <w:t>Able to improve their independence with STRC.</w:t>
      </w:r>
    </w:p>
    <w:p w14:paraId="6AA75F48" w14:textId="37076D25" w:rsidR="003F1CD1" w:rsidRDefault="003F1CD1">
      <w:pPr>
        <w:rPr>
          <w:rFonts w:cs="Arial"/>
          <w:szCs w:val="20"/>
          <w:lang w:eastAsia="en-US"/>
        </w:rPr>
      </w:pPr>
    </w:p>
    <w:p w14:paraId="34F1B9CE"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3E5FBE68" w14:textId="16AE39F2" w:rsidR="00CE0BF5" w:rsidRDefault="002C16CD" w:rsidP="00B4797D">
      <w:pPr>
        <w:pStyle w:val="Archetype"/>
      </w:pPr>
      <w:r w:rsidRPr="00673864">
        <w:t>Continence Aids Payment Scheme (CAPS)</w:t>
      </w:r>
    </w:p>
    <w:p w14:paraId="4D75FB1F" w14:textId="565D59E8" w:rsidR="002C16CD" w:rsidRPr="00673864" w:rsidRDefault="008545DA" w:rsidP="00CE7950">
      <w:pPr>
        <w:pStyle w:val="Summary"/>
      </w:pPr>
      <w:r w:rsidRPr="008545DA">
        <w:rPr>
          <w:rStyle w:val="Bold"/>
        </w:rPr>
        <w:t>Funder/​Administrator:</w:t>
      </w:r>
      <w:r>
        <w:rPr>
          <w:rStyle w:val="Bold"/>
        </w:rPr>
        <w:t xml:space="preserve"> </w:t>
      </w:r>
      <w:r w:rsidR="00B457FA" w:rsidRPr="00E129D9">
        <w:t xml:space="preserve">Australian Government </w:t>
      </w:r>
      <w:r w:rsidR="002C16CD" w:rsidRPr="00251324">
        <w:t>Department of Health</w:t>
      </w:r>
    </w:p>
    <w:p w14:paraId="01B2C5D3"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422FBC56" w14:textId="3871D2DA" w:rsidR="002C16CD" w:rsidRPr="00EC48FA" w:rsidRDefault="002C16CD" w:rsidP="004C7E26">
      <w:pPr>
        <w:pStyle w:val="Paragraph"/>
      </w:pPr>
      <w:r w:rsidRPr="0052110B">
        <w:t>A yearly non-taxable payment to cover some of the cost of products that help people manage incontinence</w:t>
      </w:r>
    </w:p>
    <w:p w14:paraId="4E760CA6" w14:textId="77777777" w:rsidR="00CE0BF5" w:rsidRPr="00EC48FA" w:rsidRDefault="00CE0BF5" w:rsidP="00CE0BF5">
      <w:pPr>
        <w:pStyle w:val="Subhead1"/>
      </w:pPr>
      <w:r w:rsidRPr="00EC48FA">
        <w:t>AT provided</w:t>
      </w:r>
    </w:p>
    <w:p w14:paraId="3C59148C" w14:textId="77777777" w:rsidR="002C16CD" w:rsidRPr="00EC48FA" w:rsidRDefault="002C16CD" w:rsidP="004C7E26">
      <w:pPr>
        <w:pStyle w:val="Paragraph"/>
      </w:pPr>
      <w:r w:rsidRPr="004579CE">
        <w:t xml:space="preserve">The 2019-20 payment rate for CAPS is up to $609.70 per person. </w:t>
      </w:r>
      <w:r>
        <w:t>Consumer</w:t>
      </w:r>
      <w:r w:rsidRPr="004579CE">
        <w:t>s can buy any continence products they need with CAPS, including from supermarkets.</w:t>
      </w:r>
    </w:p>
    <w:p w14:paraId="650390F9" w14:textId="77777777" w:rsidR="00CE0BF5" w:rsidRPr="00EC48FA" w:rsidRDefault="00CE0BF5" w:rsidP="00CE0BF5">
      <w:pPr>
        <w:pStyle w:val="Subhead1"/>
      </w:pPr>
      <w:r w:rsidRPr="00D06A61">
        <w:t>Information, assessment and provision</w:t>
      </w:r>
    </w:p>
    <w:p w14:paraId="40760884" w14:textId="77777777" w:rsidR="002C16CD" w:rsidRPr="00757DC7" w:rsidRDefault="002C16CD" w:rsidP="004C7E26">
      <w:pPr>
        <w:pStyle w:val="Paragraph"/>
      </w:pPr>
      <w:r>
        <w:t>Consumers must fill out an application form, which must be signed off by a registered health professional</w:t>
      </w:r>
    </w:p>
    <w:p w14:paraId="78C64266" w14:textId="77777777" w:rsidR="00CE0BF5" w:rsidRPr="00EC48FA" w:rsidRDefault="00CE0BF5" w:rsidP="00CE0BF5">
      <w:pPr>
        <w:pStyle w:val="Subhead1"/>
      </w:pPr>
      <w:r w:rsidRPr="00EC48FA">
        <w:t>Key eligibility</w:t>
      </w:r>
      <w:r>
        <w:t xml:space="preserve"> and </w:t>
      </w:r>
      <w:r w:rsidRPr="00EC48FA">
        <w:t>exclusion criteria</w:t>
      </w:r>
    </w:p>
    <w:p w14:paraId="0B3178A3" w14:textId="77777777" w:rsidR="002C16CD" w:rsidRDefault="002C16CD" w:rsidP="00674058">
      <w:pPr>
        <w:pStyle w:val="ParaKeep"/>
      </w:pPr>
      <w:r>
        <w:t>To get paid under CAPS consumers must meet all of the following:</w:t>
      </w:r>
    </w:p>
    <w:p w14:paraId="03EDC00A" w14:textId="77777777" w:rsidR="002C16CD" w:rsidRDefault="002C16CD" w:rsidP="00F87829">
      <w:pPr>
        <w:pStyle w:val="TableBullet1"/>
      </w:pPr>
      <w:r>
        <w:t>be 5 years or older</w:t>
      </w:r>
    </w:p>
    <w:p w14:paraId="52ECE34C" w14:textId="77777777" w:rsidR="002C16CD" w:rsidRDefault="002C16CD" w:rsidP="00F87829">
      <w:pPr>
        <w:pStyle w:val="TableBullet1"/>
      </w:pPr>
      <w:r>
        <w:t>have permanent and severe bladder or bowel incontinence confirmed by a registered health professional</w:t>
      </w:r>
    </w:p>
    <w:p w14:paraId="64D8C621" w14:textId="77777777" w:rsidR="002C16CD" w:rsidRDefault="002C16CD" w:rsidP="00F87829">
      <w:pPr>
        <w:pStyle w:val="TableBullet1"/>
      </w:pPr>
      <w:r>
        <w:t>be an Australian permanent resident or citizen for as long as you get the payment</w:t>
      </w:r>
    </w:p>
    <w:p w14:paraId="6B35D2ED" w14:textId="77777777" w:rsidR="002C16CD" w:rsidRPr="00757DC7" w:rsidRDefault="002C16CD" w:rsidP="00F87829">
      <w:pPr>
        <w:pStyle w:val="TableBullet1"/>
      </w:pPr>
      <w:r>
        <w:t>have any eligible neurological conditions or eligible other conditions on the Bladder and Bowel website.</w:t>
      </w:r>
    </w:p>
    <w:p w14:paraId="0AC344F5" w14:textId="1CBF305B" w:rsidR="008545DA" w:rsidRPr="008545DA" w:rsidRDefault="008545DA" w:rsidP="008545DA">
      <w:pPr>
        <w:rPr>
          <w:rFonts w:eastAsia="Arial Unicode MS"/>
        </w:rPr>
      </w:pPr>
      <w:r w:rsidRPr="008545DA">
        <w:br w:type="page"/>
      </w:r>
    </w:p>
    <w:p w14:paraId="6DAEC230"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5FEEDECF" w14:textId="4C5F9AD2" w:rsidR="00CE0BF5" w:rsidRDefault="002C16CD" w:rsidP="00B4797D">
      <w:pPr>
        <w:pStyle w:val="Archetype"/>
      </w:pPr>
      <w:r w:rsidRPr="00673864">
        <w:lastRenderedPageBreak/>
        <w:t>Australian Government Hearing Services Program</w:t>
      </w:r>
    </w:p>
    <w:p w14:paraId="72941332" w14:textId="61B22BEA" w:rsidR="002C16CD" w:rsidRPr="00816EA3" w:rsidRDefault="008545DA" w:rsidP="00CE7950">
      <w:pPr>
        <w:pStyle w:val="Summary"/>
      </w:pPr>
      <w:r w:rsidRPr="008545DA">
        <w:rPr>
          <w:rStyle w:val="Bold"/>
        </w:rPr>
        <w:t>Funder/​Administrator:</w:t>
      </w:r>
      <w:r>
        <w:rPr>
          <w:rStyle w:val="Bold"/>
        </w:rPr>
        <w:t xml:space="preserve"> </w:t>
      </w:r>
      <w:r w:rsidR="00B457FA" w:rsidRPr="00E129D9">
        <w:t xml:space="preserve">Australian Government </w:t>
      </w:r>
      <w:r w:rsidR="002C16CD" w:rsidRPr="001A3BDF">
        <w:t>Department of Health</w:t>
      </w:r>
    </w:p>
    <w:p w14:paraId="2916F495"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35B15F00" w14:textId="0039163E" w:rsidR="002C16CD" w:rsidRDefault="002C16CD" w:rsidP="008545DA">
      <w:pPr>
        <w:pStyle w:val="Paragraph"/>
        <w:spacing w:before="120" w:after="120"/>
      </w:pPr>
      <w:r w:rsidRPr="00DB483B">
        <w:t>The Australian Government Hearing Services Program provides eligible people with access to subsidised hearing services and products by an accredited hearing services provider</w:t>
      </w:r>
    </w:p>
    <w:p w14:paraId="709643F6" w14:textId="77777777" w:rsidR="002C16CD" w:rsidRPr="00EC48FA" w:rsidRDefault="002C16CD" w:rsidP="008545DA">
      <w:pPr>
        <w:pStyle w:val="Paragraph"/>
        <w:spacing w:before="120"/>
      </w:pPr>
      <w:r w:rsidRPr="001A3BDF">
        <w:t>Funded by the Department of Health, administered through accredited hearing providers</w:t>
      </w:r>
    </w:p>
    <w:p w14:paraId="468CA74F" w14:textId="77777777" w:rsidR="00CE0BF5" w:rsidRPr="00EC48FA" w:rsidRDefault="00CE0BF5" w:rsidP="00CE0BF5">
      <w:pPr>
        <w:pStyle w:val="Subhead1"/>
      </w:pPr>
      <w:r w:rsidRPr="00EC48FA">
        <w:t>AT provided</w:t>
      </w:r>
    </w:p>
    <w:p w14:paraId="4FBA20B6" w14:textId="77777777" w:rsidR="002C16CD" w:rsidRPr="005F7DA8" w:rsidRDefault="002C16CD" w:rsidP="005F7DA8">
      <w:pPr>
        <w:pStyle w:val="TableBullet1"/>
      </w:pPr>
      <w:r w:rsidRPr="005F7DA8">
        <w:t>Access to fully subsidised hearing aid devices</w:t>
      </w:r>
    </w:p>
    <w:p w14:paraId="3285D922" w14:textId="77777777" w:rsidR="002C16CD" w:rsidRPr="005F7DA8" w:rsidRDefault="002C16CD" w:rsidP="005F7DA8">
      <w:pPr>
        <w:pStyle w:val="TableBullet1"/>
      </w:pPr>
      <w:r w:rsidRPr="005F7DA8">
        <w:t>Advice on how to achieve maximum benefits from hearing aids</w:t>
      </w:r>
    </w:p>
    <w:p w14:paraId="53E7C039" w14:textId="77777777" w:rsidR="002C16CD" w:rsidRPr="0030147C" w:rsidRDefault="002C16CD" w:rsidP="00674058">
      <w:pPr>
        <w:pStyle w:val="ParaKeep"/>
      </w:pPr>
      <w:r w:rsidRPr="0030147C">
        <w:t>Types of hearing devices:</w:t>
      </w:r>
    </w:p>
    <w:p w14:paraId="7CC6207F" w14:textId="77777777" w:rsidR="002C16CD" w:rsidRPr="0030147C" w:rsidRDefault="002C16CD" w:rsidP="005F7DA8">
      <w:pPr>
        <w:pStyle w:val="TableBullet1"/>
      </w:pPr>
      <w:r w:rsidRPr="0030147C">
        <w:t xml:space="preserve"> Behind-the-ear (BTE)</w:t>
      </w:r>
    </w:p>
    <w:p w14:paraId="57D9A784" w14:textId="77777777" w:rsidR="002C16CD" w:rsidRPr="0030147C" w:rsidRDefault="002C16CD" w:rsidP="005F7DA8">
      <w:pPr>
        <w:pStyle w:val="TableBullet1"/>
      </w:pPr>
      <w:r w:rsidRPr="0030147C">
        <w:t>High powered BTE</w:t>
      </w:r>
    </w:p>
    <w:p w14:paraId="53FC44B3" w14:textId="77777777" w:rsidR="002C16CD" w:rsidRPr="0030147C" w:rsidRDefault="002C16CD" w:rsidP="005F7DA8">
      <w:pPr>
        <w:pStyle w:val="TableBullet1"/>
      </w:pPr>
      <w:r w:rsidRPr="0030147C">
        <w:t>Open fit BTE</w:t>
      </w:r>
    </w:p>
    <w:p w14:paraId="0FE46763" w14:textId="77777777" w:rsidR="002C16CD" w:rsidRPr="0030147C" w:rsidRDefault="002C16CD" w:rsidP="005F7DA8">
      <w:pPr>
        <w:pStyle w:val="TableBullet1"/>
      </w:pPr>
      <w:r w:rsidRPr="0030147C">
        <w:t>In-the-canal (ITC) and in-the-ear (ITE)</w:t>
      </w:r>
    </w:p>
    <w:p w14:paraId="485F0B12" w14:textId="77777777" w:rsidR="002C16CD" w:rsidRPr="0030147C" w:rsidRDefault="002C16CD" w:rsidP="005F7DA8">
      <w:pPr>
        <w:pStyle w:val="TableBullet1"/>
      </w:pPr>
      <w:r w:rsidRPr="0030147C">
        <w:t>Completely in the canal (CIC)</w:t>
      </w:r>
    </w:p>
    <w:p w14:paraId="01387DAC" w14:textId="77777777" w:rsidR="002C16CD" w:rsidRPr="0030147C" w:rsidRDefault="002C16CD" w:rsidP="005F7DA8">
      <w:pPr>
        <w:pStyle w:val="TableBullet1"/>
      </w:pPr>
      <w:r w:rsidRPr="0030147C">
        <w:t>Body aids</w:t>
      </w:r>
    </w:p>
    <w:p w14:paraId="6F39D193" w14:textId="77777777" w:rsidR="002C16CD" w:rsidRPr="0030147C" w:rsidRDefault="002C16CD" w:rsidP="005F7DA8">
      <w:pPr>
        <w:pStyle w:val="TableBullet1"/>
      </w:pPr>
      <w:r w:rsidRPr="0030147C">
        <w:t>Bone conduction hearing aids</w:t>
      </w:r>
    </w:p>
    <w:p w14:paraId="1829E70C" w14:textId="77777777" w:rsidR="002C16CD" w:rsidRPr="0030147C" w:rsidRDefault="002C16CD" w:rsidP="005F7DA8">
      <w:pPr>
        <w:pStyle w:val="TableBullet1"/>
      </w:pPr>
      <w:r w:rsidRPr="0030147C">
        <w:t>Spectacle aids</w:t>
      </w:r>
    </w:p>
    <w:p w14:paraId="1A9172EE" w14:textId="77777777" w:rsidR="002C16CD" w:rsidRPr="0030147C" w:rsidRDefault="002C16CD" w:rsidP="005F7DA8">
      <w:pPr>
        <w:pStyle w:val="TableBullet1"/>
      </w:pPr>
      <w:r w:rsidRPr="0030147C">
        <w:t>Contralateral routing of signal (CROS) aids</w:t>
      </w:r>
    </w:p>
    <w:p w14:paraId="58F2D772" w14:textId="77777777" w:rsidR="002C16CD" w:rsidRPr="00EC48FA" w:rsidRDefault="002C16CD" w:rsidP="005F7DA8">
      <w:pPr>
        <w:pStyle w:val="TableBullet1"/>
      </w:pPr>
      <w:r w:rsidRPr="0030147C">
        <w:t>Bilateral contralateral routing of signal (BiCROS) aids</w:t>
      </w:r>
    </w:p>
    <w:p w14:paraId="45496F15" w14:textId="77777777" w:rsidR="00CE0BF5" w:rsidRPr="00EC48FA" w:rsidRDefault="00CE0BF5" w:rsidP="00CE0BF5">
      <w:pPr>
        <w:pStyle w:val="Subhead1"/>
      </w:pPr>
      <w:r w:rsidRPr="00D06A61">
        <w:t>Information, assessment and provision</w:t>
      </w:r>
    </w:p>
    <w:p w14:paraId="77401916" w14:textId="77777777" w:rsidR="002C16CD" w:rsidRPr="00757DC7" w:rsidRDefault="002C16CD" w:rsidP="008545DA">
      <w:pPr>
        <w:pStyle w:val="Paragraph"/>
        <w:spacing w:before="120"/>
      </w:pPr>
      <w:r>
        <w:t>Consumers lodge an application form online, and if approved make an appointment with a registered hearing provider</w:t>
      </w:r>
    </w:p>
    <w:p w14:paraId="42A1F0C5" w14:textId="77777777" w:rsidR="00CE0BF5" w:rsidRPr="00EC48FA" w:rsidRDefault="00CE0BF5" w:rsidP="00CE0BF5">
      <w:pPr>
        <w:pStyle w:val="Subhead1"/>
      </w:pPr>
      <w:r w:rsidRPr="00EC48FA">
        <w:t>Key eligibility</w:t>
      </w:r>
      <w:r>
        <w:t xml:space="preserve"> and </w:t>
      </w:r>
      <w:r w:rsidRPr="00EC48FA">
        <w:t>exclusion criteria</w:t>
      </w:r>
    </w:p>
    <w:p w14:paraId="710F57AD" w14:textId="77777777" w:rsidR="002C16CD" w:rsidRPr="00EC48FA" w:rsidRDefault="002C16CD" w:rsidP="008545DA">
      <w:pPr>
        <w:pStyle w:val="ParaKeep"/>
        <w:spacing w:before="120"/>
        <w:rPr>
          <w:szCs w:val="20"/>
        </w:rPr>
      </w:pPr>
      <w:r w:rsidRPr="00EC48FA">
        <w:rPr>
          <w:szCs w:val="20"/>
        </w:rPr>
        <w:t>The Australian Government Hearing Services Program is open to Australian citizens or permanent residents 21 years or older who are:</w:t>
      </w:r>
    </w:p>
    <w:p w14:paraId="74A37D42" w14:textId="77777777" w:rsidR="002C16CD" w:rsidRPr="002532CF" w:rsidRDefault="002C16CD" w:rsidP="002532CF">
      <w:pPr>
        <w:pStyle w:val="TableBullet1"/>
      </w:pPr>
      <w:r w:rsidRPr="002532CF">
        <w:t>Pensioner Concession Card holders</w:t>
      </w:r>
    </w:p>
    <w:p w14:paraId="3F093F18" w14:textId="77777777" w:rsidR="002C16CD" w:rsidRPr="002532CF" w:rsidRDefault="002C16CD" w:rsidP="002532CF">
      <w:pPr>
        <w:pStyle w:val="TableBullet1"/>
      </w:pPr>
      <w:r w:rsidRPr="002532CF">
        <w:t>Department of Veterans’ Affairs Gold Card or White Card holders</w:t>
      </w:r>
    </w:p>
    <w:p w14:paraId="60C647C5" w14:textId="77777777" w:rsidR="002C16CD" w:rsidRPr="002532CF" w:rsidRDefault="002C16CD" w:rsidP="002532CF">
      <w:pPr>
        <w:pStyle w:val="TableBullet1"/>
      </w:pPr>
      <w:r w:rsidRPr="002532CF">
        <w:t>Members of the Australian Defence Force</w:t>
      </w:r>
    </w:p>
    <w:p w14:paraId="31BC386B" w14:textId="77777777" w:rsidR="002C16CD" w:rsidRPr="002532CF" w:rsidRDefault="002C16CD" w:rsidP="002532CF">
      <w:pPr>
        <w:pStyle w:val="TableBullet1"/>
      </w:pPr>
      <w:r w:rsidRPr="002532CF">
        <w:t>Referred by the Disability Employment Services</w:t>
      </w:r>
    </w:p>
    <w:p w14:paraId="1CCD3146" w14:textId="77777777" w:rsidR="002C16CD" w:rsidRPr="002532CF" w:rsidRDefault="002C16CD" w:rsidP="002532CF">
      <w:pPr>
        <w:pStyle w:val="TableBullet1"/>
      </w:pPr>
      <w:r w:rsidRPr="002532CF">
        <w:t>NDIS participants</w:t>
      </w:r>
    </w:p>
    <w:p w14:paraId="06E7FA17" w14:textId="77777777" w:rsidR="002C16CD" w:rsidRPr="00757DC7" w:rsidRDefault="002C16CD" w:rsidP="002532CF">
      <w:pPr>
        <w:pStyle w:val="TableBullet1"/>
      </w:pPr>
      <w:r w:rsidRPr="002532CF">
        <w:t>Receiving Sickness Allowance from Centrelink</w:t>
      </w:r>
    </w:p>
    <w:p w14:paraId="6878EAB8"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51E7CE23" w14:textId="77777777" w:rsidR="008545DA" w:rsidRDefault="002C16CD" w:rsidP="00B4797D">
      <w:pPr>
        <w:pStyle w:val="Archetype"/>
      </w:pPr>
      <w:r w:rsidRPr="00673864">
        <w:t>Stoma Appliance Scheme</w:t>
      </w:r>
      <w:r>
        <w:t xml:space="preserve"> (SAS)</w:t>
      </w:r>
    </w:p>
    <w:p w14:paraId="3E25BCC3" w14:textId="6C86BFD2" w:rsidR="002C16CD" w:rsidRPr="00723481" w:rsidRDefault="008545DA" w:rsidP="008545DA">
      <w:pPr>
        <w:pStyle w:val="Summary"/>
      </w:pPr>
      <w:r w:rsidRPr="008545DA">
        <w:rPr>
          <w:rStyle w:val="Bold"/>
        </w:rPr>
        <w:t>Funder/​Administrator:</w:t>
      </w:r>
      <w:r>
        <w:rPr>
          <w:rStyle w:val="Bold"/>
        </w:rPr>
        <w:t xml:space="preserve"> </w:t>
      </w:r>
      <w:r w:rsidRPr="00E129D9">
        <w:t xml:space="preserve">Australian Government </w:t>
      </w:r>
      <w:r w:rsidR="002C16CD">
        <w:t xml:space="preserve">Department of Health </w:t>
      </w:r>
    </w:p>
    <w:p w14:paraId="5F024E08"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48C755B0" w14:textId="01D18C5C" w:rsidR="002C16CD" w:rsidRPr="00EC48FA" w:rsidRDefault="002C16CD" w:rsidP="004C7E26">
      <w:pPr>
        <w:pStyle w:val="Paragraph"/>
      </w:pPr>
      <w:r w:rsidRPr="00E129D9">
        <w:t xml:space="preserve">The SAS is subsidised by the Australian Government </w:t>
      </w:r>
      <w:r>
        <w:t xml:space="preserve">Department of Health </w:t>
      </w:r>
      <w:r w:rsidRPr="00E129D9">
        <w:t>to provide stoma-related products free of charge to people with stomas.</w:t>
      </w:r>
    </w:p>
    <w:p w14:paraId="0C212B4E" w14:textId="77777777" w:rsidR="00CE0BF5" w:rsidRPr="00EC48FA" w:rsidRDefault="00CE0BF5" w:rsidP="00CE0BF5">
      <w:pPr>
        <w:pStyle w:val="Subhead1"/>
      </w:pPr>
      <w:r w:rsidRPr="00EC48FA">
        <w:t>AT provided</w:t>
      </w:r>
    </w:p>
    <w:p w14:paraId="222F1A67" w14:textId="5F1ADD4C" w:rsidR="002C16CD" w:rsidRPr="00EC48FA" w:rsidRDefault="002C16CD" w:rsidP="008545DA">
      <w:pPr>
        <w:pStyle w:val="Paragraph"/>
        <w:spacing w:before="120"/>
      </w:pPr>
      <w:r>
        <w:t xml:space="preserve">Consumers can access </w:t>
      </w:r>
      <w:r w:rsidRPr="00EC48FA">
        <w:rPr>
          <w:rFonts w:cs="Arial"/>
        </w:rPr>
        <w:t>Stoma-related products</w:t>
      </w:r>
      <w:r>
        <w:t xml:space="preserve"> through the scheme</w:t>
      </w:r>
      <w:r>
        <w:rPr>
          <w:rFonts w:cs="Arial"/>
        </w:rPr>
        <w:t xml:space="preserve">. </w:t>
      </w:r>
      <w:r w:rsidRPr="0030147C">
        <w:rPr>
          <w:rFonts w:cs="Arial"/>
        </w:rPr>
        <w:t xml:space="preserve">Full list of available products can be found </w:t>
      </w:r>
      <w:hyperlink r:id="rId142" w:history="1">
        <w:r w:rsidRPr="0028377C">
          <w:rPr>
            <w:rStyle w:val="Hyperlink"/>
            <w:rFonts w:cs="Arial"/>
            <w:noProof w:val="0"/>
            <w:szCs w:val="20"/>
          </w:rPr>
          <w:t>here</w:t>
        </w:r>
      </w:hyperlink>
      <w:r w:rsidR="008545DA">
        <w:rPr>
          <w:rStyle w:val="Hyperlink"/>
          <w:rFonts w:cs="Arial"/>
          <w:noProof w:val="0"/>
          <w:szCs w:val="20"/>
        </w:rPr>
        <w:t>.</w:t>
      </w:r>
    </w:p>
    <w:p w14:paraId="3023F0AC" w14:textId="77777777" w:rsidR="00CE0BF5" w:rsidRPr="00EC48FA" w:rsidRDefault="00CE0BF5" w:rsidP="00CE0BF5">
      <w:pPr>
        <w:pStyle w:val="Subhead1"/>
      </w:pPr>
      <w:r w:rsidRPr="00D06A61">
        <w:t>Information, assessment and provision</w:t>
      </w:r>
    </w:p>
    <w:p w14:paraId="0414B69E" w14:textId="77777777" w:rsidR="002C16CD" w:rsidRPr="00DA6BD5" w:rsidRDefault="002C16CD" w:rsidP="008545DA">
      <w:pPr>
        <w:pStyle w:val="ParaKeep"/>
        <w:spacing w:before="120"/>
        <w:ind w:right="-71"/>
        <w:rPr>
          <w:rFonts w:cs="Arial"/>
        </w:rPr>
      </w:pPr>
      <w:r>
        <w:rPr>
          <w:rFonts w:cs="Arial"/>
        </w:rPr>
        <w:t xml:space="preserve">Consumers </w:t>
      </w:r>
      <w:r w:rsidRPr="00DA6BD5">
        <w:rPr>
          <w:rFonts w:cs="Arial"/>
        </w:rPr>
        <w:t>pay a fee (the national access fee) to their chosen Stoma Association. The</w:t>
      </w:r>
      <w:r>
        <w:rPr>
          <w:rFonts w:cs="Arial"/>
        </w:rPr>
        <w:t xml:space="preserve"> </w:t>
      </w:r>
      <w:r w:rsidRPr="00DA6BD5">
        <w:rPr>
          <w:rFonts w:cs="Arial"/>
        </w:rPr>
        <w:t>2019-20 fee is:</w:t>
      </w:r>
    </w:p>
    <w:p w14:paraId="29AE6CAB" w14:textId="77777777" w:rsidR="002C16CD" w:rsidRPr="00DA6BD5" w:rsidRDefault="002C16CD" w:rsidP="0003608D">
      <w:pPr>
        <w:pStyle w:val="TableBullet1"/>
      </w:pPr>
      <w:r w:rsidRPr="00DA6BD5">
        <w:t>$50 for members who present a valid Commonwealth Concession Card; and</w:t>
      </w:r>
    </w:p>
    <w:p w14:paraId="238BA87A" w14:textId="77777777" w:rsidR="002C16CD" w:rsidRPr="00757DC7" w:rsidRDefault="002C16CD" w:rsidP="0003608D">
      <w:pPr>
        <w:pStyle w:val="TableBullet1"/>
      </w:pPr>
      <w:r w:rsidRPr="00DA6BD5">
        <w:t xml:space="preserve">$60 </w:t>
      </w:r>
      <w:r w:rsidRPr="0030147C">
        <w:t>for members who are not entitled to a Commonwealth Concession</w:t>
      </w:r>
    </w:p>
    <w:p w14:paraId="3A89A8BC" w14:textId="219B0BF2" w:rsidR="00CE0BF5" w:rsidRPr="00EC48FA" w:rsidRDefault="008545DA" w:rsidP="008545DA">
      <w:pPr>
        <w:pStyle w:val="Subhead1"/>
        <w:spacing w:before="0"/>
      </w:pPr>
      <w:r>
        <w:br w:type="column"/>
      </w:r>
      <w:r w:rsidR="00CE0BF5" w:rsidRPr="00EC48FA">
        <w:t>Key eligibility</w:t>
      </w:r>
      <w:r w:rsidR="00CE0BF5">
        <w:t xml:space="preserve"> and </w:t>
      </w:r>
      <w:r w:rsidR="00CE0BF5" w:rsidRPr="00EC48FA">
        <w:t>exclusion criteria</w:t>
      </w:r>
    </w:p>
    <w:p w14:paraId="3FCB0751" w14:textId="77777777" w:rsidR="002C16CD" w:rsidRPr="00EC48FA" w:rsidRDefault="002C16CD" w:rsidP="008545DA">
      <w:pPr>
        <w:pStyle w:val="ParaKeep"/>
        <w:spacing w:before="120"/>
      </w:pPr>
      <w:r w:rsidRPr="00EC48FA">
        <w:t>To access stoma</w:t>
      </w:r>
      <w:r>
        <w:t>-</w:t>
      </w:r>
      <w:r w:rsidRPr="00EC48FA">
        <w:t>related products under the Scheme, a person:</w:t>
      </w:r>
    </w:p>
    <w:p w14:paraId="6AE494B3" w14:textId="77777777" w:rsidR="002C16CD" w:rsidRPr="00EC48FA" w:rsidRDefault="002C16CD" w:rsidP="0003608D">
      <w:pPr>
        <w:pStyle w:val="TableBullet1"/>
      </w:pPr>
      <w:r w:rsidRPr="00EC48FA">
        <w:t>Must have a temporary or permanent stoma</w:t>
      </w:r>
    </w:p>
    <w:p w14:paraId="5E2994E8" w14:textId="77777777" w:rsidR="002C16CD" w:rsidRPr="00757DC7" w:rsidRDefault="002C16CD" w:rsidP="0003608D">
      <w:pPr>
        <w:pStyle w:val="TableBullet1"/>
      </w:pPr>
      <w:r w:rsidRPr="00EC48FA">
        <w:t>Be an Australian resident or an eligible overseas resident</w:t>
      </w:r>
    </w:p>
    <w:p w14:paraId="53C6DD34"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0C934D4E" w14:textId="77777777" w:rsidR="008545DA" w:rsidRDefault="002C16CD" w:rsidP="00B4797D">
      <w:pPr>
        <w:pStyle w:val="Archetype"/>
      </w:pPr>
      <w:r w:rsidRPr="00673864">
        <w:lastRenderedPageBreak/>
        <w:t>Essential Medical Equipment Payment</w:t>
      </w:r>
    </w:p>
    <w:p w14:paraId="45EF2EE1" w14:textId="6675AD65" w:rsidR="002C16CD" w:rsidRPr="007F4E3F" w:rsidRDefault="008545DA" w:rsidP="008545DA">
      <w:pPr>
        <w:pStyle w:val="Summary"/>
      </w:pPr>
      <w:r w:rsidRPr="008545DA">
        <w:rPr>
          <w:rStyle w:val="Bold"/>
        </w:rPr>
        <w:t>Funder/​Administrator:</w:t>
      </w:r>
      <w:r>
        <w:rPr>
          <w:rStyle w:val="Bold"/>
        </w:rPr>
        <w:t xml:space="preserve"> </w:t>
      </w:r>
      <w:r w:rsidR="00B457FA" w:rsidRPr="00E129D9">
        <w:t xml:space="preserve">Australian Government </w:t>
      </w:r>
      <w:r w:rsidR="002C16CD">
        <w:t>Department of Health</w:t>
      </w:r>
    </w:p>
    <w:p w14:paraId="006C0CA8"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03E6367F" w14:textId="0F210290" w:rsidR="002C16CD" w:rsidRPr="00673864" w:rsidRDefault="002C16CD" w:rsidP="004C7E26">
      <w:pPr>
        <w:pStyle w:val="Paragraph"/>
      </w:pPr>
      <w:r w:rsidRPr="00E4674B">
        <w:t>A yearly payment to help with energy costs to run medical equipment or medically required heating or cooling.</w:t>
      </w:r>
    </w:p>
    <w:p w14:paraId="329ABC58" w14:textId="77777777" w:rsidR="006B471B" w:rsidRPr="00EC48FA" w:rsidRDefault="006B471B" w:rsidP="006B471B">
      <w:pPr>
        <w:pStyle w:val="Subhead1"/>
      </w:pPr>
      <w:r w:rsidRPr="00EC48FA">
        <w:t>AT provided</w:t>
      </w:r>
    </w:p>
    <w:p w14:paraId="31C567ED" w14:textId="77777777" w:rsidR="002C16CD" w:rsidRPr="0030147C" w:rsidRDefault="002C16CD" w:rsidP="00674058">
      <w:pPr>
        <w:pStyle w:val="ParaKeep"/>
      </w:pPr>
      <w:r w:rsidRPr="0030147C">
        <w:t>Eligible equipment:</w:t>
      </w:r>
    </w:p>
    <w:p w14:paraId="7D30B501" w14:textId="77777777" w:rsidR="002C16CD" w:rsidRPr="0030147C" w:rsidRDefault="002C16CD" w:rsidP="0003608D">
      <w:pPr>
        <w:pStyle w:val="TableBullet1"/>
      </w:pPr>
      <w:r w:rsidRPr="0030147C">
        <w:t>dialysis machine</w:t>
      </w:r>
    </w:p>
    <w:p w14:paraId="509CD342" w14:textId="77777777" w:rsidR="002C16CD" w:rsidRPr="0030147C" w:rsidRDefault="002C16CD" w:rsidP="0003608D">
      <w:pPr>
        <w:pStyle w:val="TableBullet1"/>
      </w:pPr>
      <w:r w:rsidRPr="0030147C">
        <w:t>ventilator</w:t>
      </w:r>
    </w:p>
    <w:p w14:paraId="2B617A66" w14:textId="77777777" w:rsidR="002C16CD" w:rsidRPr="0030147C" w:rsidRDefault="002C16CD" w:rsidP="0003608D">
      <w:pPr>
        <w:pStyle w:val="TableBullet1"/>
      </w:pPr>
      <w:r w:rsidRPr="0030147C">
        <w:t>respirator</w:t>
      </w:r>
    </w:p>
    <w:p w14:paraId="55A1525A" w14:textId="77777777" w:rsidR="002C16CD" w:rsidRPr="0030147C" w:rsidRDefault="002C16CD" w:rsidP="0003608D">
      <w:pPr>
        <w:pStyle w:val="TableBullet1"/>
      </w:pPr>
      <w:r w:rsidRPr="0030147C">
        <w:t>parenteral or enteral feeding device</w:t>
      </w:r>
    </w:p>
    <w:p w14:paraId="28E1227C" w14:textId="77777777" w:rsidR="002C16CD" w:rsidRPr="0030147C" w:rsidRDefault="002C16CD" w:rsidP="0003608D">
      <w:pPr>
        <w:pStyle w:val="TableBullet1"/>
      </w:pPr>
      <w:r w:rsidRPr="0030147C">
        <w:t>oxygen concentrator</w:t>
      </w:r>
    </w:p>
    <w:p w14:paraId="5FF4B614" w14:textId="77777777" w:rsidR="002C16CD" w:rsidRPr="0030147C" w:rsidRDefault="002C16CD" w:rsidP="0003608D">
      <w:pPr>
        <w:pStyle w:val="TableBullet1"/>
      </w:pPr>
      <w:r w:rsidRPr="0030147C">
        <w:t>heart pump</w:t>
      </w:r>
    </w:p>
    <w:p w14:paraId="49F9FE99" w14:textId="77777777" w:rsidR="002C16CD" w:rsidRPr="0030147C" w:rsidRDefault="002C16CD" w:rsidP="0003608D">
      <w:pPr>
        <w:pStyle w:val="TableBullet1"/>
      </w:pPr>
      <w:r w:rsidRPr="0030147C">
        <w:t>suction pump</w:t>
      </w:r>
    </w:p>
    <w:p w14:paraId="16A90B8D" w14:textId="18267717" w:rsidR="002C16CD" w:rsidRPr="0030147C" w:rsidRDefault="002C16CD" w:rsidP="0003608D">
      <w:pPr>
        <w:pStyle w:val="TableBullet1"/>
      </w:pPr>
      <w:r w:rsidRPr="0030147C">
        <w:t>nebuliser</w:t>
      </w:r>
      <w:r w:rsidR="00861912">
        <w:t xml:space="preserve"> – </w:t>
      </w:r>
      <w:r w:rsidRPr="0030147C">
        <w:t>used daily</w:t>
      </w:r>
    </w:p>
    <w:p w14:paraId="6E2CDD23" w14:textId="77777777" w:rsidR="002C16CD" w:rsidRPr="0030147C" w:rsidRDefault="002C16CD" w:rsidP="0003608D">
      <w:pPr>
        <w:pStyle w:val="TableBullet1"/>
      </w:pPr>
      <w:r w:rsidRPr="0030147C">
        <w:t>positive airways pressure device</w:t>
      </w:r>
    </w:p>
    <w:p w14:paraId="4A2C7B67" w14:textId="77777777" w:rsidR="002C16CD" w:rsidRPr="0030147C" w:rsidRDefault="002C16CD" w:rsidP="0003608D">
      <w:pPr>
        <w:pStyle w:val="TableBullet1"/>
      </w:pPr>
      <w:r w:rsidRPr="0030147C">
        <w:t>phototherapy equipment</w:t>
      </w:r>
    </w:p>
    <w:p w14:paraId="278709A4" w14:textId="77777777" w:rsidR="002C16CD" w:rsidRPr="0030147C" w:rsidRDefault="002C16CD" w:rsidP="0003608D">
      <w:pPr>
        <w:pStyle w:val="TableBullet1"/>
      </w:pPr>
      <w:r w:rsidRPr="0030147C">
        <w:t>air bed vibrator</w:t>
      </w:r>
    </w:p>
    <w:p w14:paraId="0289AFA6" w14:textId="77777777" w:rsidR="002C16CD" w:rsidRPr="00BB00ED" w:rsidRDefault="002C16CD" w:rsidP="0003608D">
      <w:pPr>
        <w:pStyle w:val="TableBullet1"/>
        <w:rPr>
          <w:bCs/>
        </w:rPr>
      </w:pPr>
      <w:r w:rsidRPr="0030147C">
        <w:t>electric wheelchair</w:t>
      </w:r>
    </w:p>
    <w:p w14:paraId="77242953" w14:textId="77777777" w:rsidR="002C16CD" w:rsidRPr="00673864" w:rsidRDefault="002C16CD" w:rsidP="0003608D">
      <w:pPr>
        <w:pStyle w:val="TableBullet1"/>
      </w:pPr>
      <w:r w:rsidRPr="0030147C">
        <w:t>insulin pump.</w:t>
      </w:r>
    </w:p>
    <w:p w14:paraId="5D33F8C8" w14:textId="4349C6AF" w:rsidR="006B471B" w:rsidRPr="00EC48FA" w:rsidRDefault="008545DA" w:rsidP="008545DA">
      <w:pPr>
        <w:pStyle w:val="Subhead1"/>
        <w:spacing w:before="0"/>
      </w:pPr>
      <w:r>
        <w:br w:type="column"/>
      </w:r>
      <w:r w:rsidR="006B471B" w:rsidRPr="00D06A61">
        <w:t>Information, assessment and provision</w:t>
      </w:r>
    </w:p>
    <w:p w14:paraId="415253EF" w14:textId="77777777" w:rsidR="002C16CD" w:rsidRPr="00673864" w:rsidRDefault="002C16CD" w:rsidP="004C7E26">
      <w:pPr>
        <w:pStyle w:val="Paragraph"/>
      </w:pPr>
      <w:r>
        <w:t xml:space="preserve">Eligible consumers receive </w:t>
      </w:r>
      <w:r w:rsidRPr="00327E90">
        <w:t>$160 per year for medically required heating or cooling, and each piece of qualifying essential medical equipment.</w:t>
      </w:r>
    </w:p>
    <w:p w14:paraId="425D7705" w14:textId="77777777" w:rsidR="006B471B" w:rsidRPr="00EC48FA" w:rsidRDefault="006B471B" w:rsidP="006B471B">
      <w:pPr>
        <w:pStyle w:val="Subhead1"/>
      </w:pPr>
      <w:r w:rsidRPr="00EC48FA">
        <w:t>Key eligibility</w:t>
      </w:r>
      <w:r>
        <w:t xml:space="preserve"> and </w:t>
      </w:r>
      <w:r w:rsidRPr="00EC48FA">
        <w:t>exclusion criteria</w:t>
      </w:r>
    </w:p>
    <w:p w14:paraId="0E6ACF45" w14:textId="77777777" w:rsidR="002C16CD" w:rsidRPr="00636950" w:rsidRDefault="002C16CD" w:rsidP="00674058">
      <w:pPr>
        <w:pStyle w:val="ParaKeep"/>
        <w:rPr>
          <w:szCs w:val="20"/>
        </w:rPr>
      </w:pPr>
      <w:r>
        <w:rPr>
          <w:szCs w:val="20"/>
        </w:rPr>
        <w:t>People</w:t>
      </w:r>
      <w:r w:rsidRPr="00636950">
        <w:rPr>
          <w:szCs w:val="20"/>
        </w:rPr>
        <w:t xml:space="preserve"> can get this payment if </w:t>
      </w:r>
      <w:r>
        <w:rPr>
          <w:szCs w:val="20"/>
        </w:rPr>
        <w:t>they</w:t>
      </w:r>
      <w:r w:rsidRPr="00636950">
        <w:rPr>
          <w:szCs w:val="20"/>
        </w:rPr>
        <w:t xml:space="preserve"> or the person </w:t>
      </w:r>
      <w:r>
        <w:rPr>
          <w:szCs w:val="20"/>
        </w:rPr>
        <w:t>they</w:t>
      </w:r>
      <w:r w:rsidRPr="00636950">
        <w:rPr>
          <w:szCs w:val="20"/>
        </w:rPr>
        <w:t xml:space="preserve"> care for:</w:t>
      </w:r>
    </w:p>
    <w:p w14:paraId="329E3C92" w14:textId="77777777" w:rsidR="002C16CD" w:rsidRDefault="002C16CD" w:rsidP="0003608D">
      <w:pPr>
        <w:pStyle w:val="TableBullet1"/>
      </w:pPr>
      <w:r>
        <w:t>need heating, cooling or certain equipment for your medical needs</w:t>
      </w:r>
    </w:p>
    <w:p w14:paraId="7B8670D9" w14:textId="77777777" w:rsidR="002C16CD" w:rsidRDefault="002C16CD" w:rsidP="0003608D">
      <w:pPr>
        <w:pStyle w:val="TableBullet1"/>
      </w:pPr>
      <w:r>
        <w:t>have a Commonwealth Concession Card</w:t>
      </w:r>
    </w:p>
    <w:p w14:paraId="6FA41D6E" w14:textId="77777777" w:rsidR="002C16CD" w:rsidRPr="00636950" w:rsidRDefault="002C16CD" w:rsidP="0003608D">
      <w:pPr>
        <w:pStyle w:val="TableBullet1"/>
      </w:pPr>
      <w:r>
        <w:t>pay for the energy running costs</w:t>
      </w:r>
    </w:p>
    <w:p w14:paraId="0609F4AF" w14:textId="0CDF2685" w:rsidR="002C16CD" w:rsidRDefault="002C16CD" w:rsidP="0003608D">
      <w:pPr>
        <w:pStyle w:val="TableBullet1"/>
      </w:pPr>
      <w:r>
        <w:t>use an eligible piece of equipment.</w:t>
      </w:r>
    </w:p>
    <w:p w14:paraId="3B7D1011" w14:textId="1048504D" w:rsidR="00151BD5" w:rsidRDefault="00151BD5">
      <w:r>
        <w:br w:type="page"/>
      </w:r>
    </w:p>
    <w:p w14:paraId="413D565D" w14:textId="77777777" w:rsidR="00FF32F4" w:rsidRDefault="00FF32F4">
      <w:pPr>
        <w:sectPr w:rsidR="00FF32F4" w:rsidSect="008E2DD9">
          <w:type w:val="continuous"/>
          <w:pgSz w:w="11907" w:h="16840" w:code="9"/>
          <w:pgMar w:top="1134" w:right="851" w:bottom="1134" w:left="1134" w:header="567" w:footer="624" w:gutter="0"/>
          <w:cols w:num="2" w:space="708"/>
          <w:docGrid w:linePitch="360"/>
        </w:sectPr>
      </w:pPr>
    </w:p>
    <w:p w14:paraId="63BA063C" w14:textId="06BB8E89" w:rsidR="00F51097" w:rsidRDefault="00F51097" w:rsidP="00B4797D">
      <w:pPr>
        <w:pStyle w:val="Heading6"/>
      </w:pPr>
      <w:bookmarkStart w:id="192" w:name="_Toc60999867"/>
      <w:r>
        <w:lastRenderedPageBreak/>
        <w:t xml:space="preserve">State </w:t>
      </w:r>
      <w:r w:rsidRPr="004C7E26">
        <w:t>and</w:t>
      </w:r>
      <w:r>
        <w:t xml:space="preserve"> territory funded AT programs</w:t>
      </w:r>
      <w:bookmarkEnd w:id="192"/>
    </w:p>
    <w:p w14:paraId="798C89F4" w14:textId="24310139" w:rsidR="00555E31" w:rsidRDefault="006B471B" w:rsidP="0049384B">
      <w:pPr>
        <w:pStyle w:val="Paragraph"/>
        <w:rPr>
          <w:rStyle w:val="CrossReference"/>
          <w:i w:val="0"/>
          <w:iCs/>
        </w:rPr>
      </w:pPr>
      <w:r>
        <w:t>E</w:t>
      </w:r>
      <w:r w:rsidR="0049384B" w:rsidRPr="00EC48FA">
        <w:t xml:space="preserve">xisting </w:t>
      </w:r>
      <w:r w:rsidR="0049384B">
        <w:t xml:space="preserve">state and territory funded </w:t>
      </w:r>
      <w:r w:rsidR="0049384B" w:rsidRPr="00EC48FA">
        <w:t>AT programs</w:t>
      </w:r>
      <w:r>
        <w:t xml:space="preserve"> are profiled below</w:t>
      </w:r>
      <w:r w:rsidR="0049384B" w:rsidRPr="00EC48FA">
        <w:t>.</w:t>
      </w:r>
      <w:r w:rsidR="004511B3">
        <w:t xml:space="preserve"> </w:t>
      </w:r>
      <w:r w:rsidR="0049384B" w:rsidRPr="00EC48FA">
        <w:t>The profiles summarise each program, including funding source, categories of AT provided and eligibility criteria.</w:t>
      </w:r>
      <w:r w:rsidR="004511B3">
        <w:t xml:space="preserve"> </w:t>
      </w:r>
      <w:r w:rsidR="0049384B">
        <w:rPr>
          <w:rStyle w:val="CrossReference"/>
          <w:i w:val="0"/>
          <w:iCs/>
        </w:rPr>
        <w:t xml:space="preserve">Detailed profiles of each program </w:t>
      </w:r>
      <w:r w:rsidR="00C13FC5">
        <w:rPr>
          <w:rStyle w:val="CrossReference"/>
          <w:i w:val="0"/>
          <w:iCs/>
        </w:rPr>
        <w:t>are provided</w:t>
      </w:r>
      <w:r w:rsidR="0049384B">
        <w:rPr>
          <w:rStyle w:val="CrossReference"/>
          <w:i w:val="0"/>
          <w:iCs/>
        </w:rPr>
        <w:t xml:space="preserve"> in the Initial Report</w:t>
      </w:r>
      <w:r w:rsidR="002871F0">
        <w:rPr>
          <w:rStyle w:val="CrossReference"/>
          <w:i w:val="0"/>
          <w:iCs/>
        </w:rPr>
        <w:t>.</w:t>
      </w:r>
    </w:p>
    <w:p w14:paraId="41A92396" w14:textId="77777777" w:rsidR="00151BD5" w:rsidRPr="00223A9B" w:rsidRDefault="00151BD5" w:rsidP="00223A9B">
      <w:pPr>
        <w:rPr>
          <w:b/>
          <w:sz w:val="32"/>
          <w:szCs w:val="32"/>
        </w:rPr>
      </w:pPr>
      <w:r w:rsidRPr="00223A9B">
        <w:rPr>
          <w:b/>
          <w:sz w:val="32"/>
          <w:szCs w:val="32"/>
        </w:rPr>
        <w:t>ACT Equipment Scheme (ACTES)</w:t>
      </w:r>
    </w:p>
    <w:p w14:paraId="10C7160D" w14:textId="77777777" w:rsidR="00151BD5" w:rsidRPr="00223A9B" w:rsidRDefault="00151BD5" w:rsidP="00223A9B">
      <w:pPr>
        <w:rPr>
          <w:sz w:val="28"/>
          <w:szCs w:val="28"/>
        </w:rPr>
      </w:pPr>
      <w:r w:rsidRPr="00223A9B">
        <w:rPr>
          <w:rStyle w:val="Bold"/>
          <w:sz w:val="28"/>
          <w:szCs w:val="28"/>
        </w:rPr>
        <w:t xml:space="preserve">Funder: </w:t>
      </w:r>
      <w:r w:rsidRPr="00223A9B">
        <w:rPr>
          <w:sz w:val="28"/>
          <w:szCs w:val="28"/>
        </w:rPr>
        <w:t xml:space="preserve">ACT Government </w:t>
      </w:r>
      <w:r w:rsidRPr="00223A9B">
        <w:rPr>
          <w:rStyle w:val="Blue"/>
          <w:sz w:val="28"/>
          <w:szCs w:val="28"/>
        </w:rPr>
        <w:t>|</w:t>
      </w:r>
      <w:r w:rsidRPr="00223A9B">
        <w:rPr>
          <w:sz w:val="28"/>
          <w:szCs w:val="28"/>
        </w:rPr>
        <w:t xml:space="preserve"> </w:t>
      </w:r>
      <w:r w:rsidRPr="00223A9B">
        <w:rPr>
          <w:rStyle w:val="Bold"/>
          <w:sz w:val="28"/>
          <w:szCs w:val="28"/>
        </w:rPr>
        <w:t xml:space="preserve">Administrator: </w:t>
      </w:r>
      <w:r w:rsidRPr="00223A9B">
        <w:rPr>
          <w:sz w:val="28"/>
          <w:szCs w:val="28"/>
        </w:rPr>
        <w:t>Canberra Hospital and Health Services</w:t>
      </w:r>
    </w:p>
    <w:p w14:paraId="40A59B0F" w14:textId="77777777" w:rsidR="00151BD5" w:rsidRDefault="00151BD5" w:rsidP="00151BD5">
      <w:pPr>
        <w:pStyle w:val="Paragraph"/>
        <w:sectPr w:rsidR="00151BD5" w:rsidSect="004C7E26">
          <w:type w:val="continuous"/>
          <w:pgSz w:w="11907" w:h="16840" w:code="9"/>
          <w:pgMar w:top="1134" w:right="851" w:bottom="1134" w:left="1134" w:header="567" w:footer="624" w:gutter="0"/>
          <w:cols w:space="708"/>
          <w:docGrid w:linePitch="360"/>
        </w:sectPr>
      </w:pPr>
    </w:p>
    <w:p w14:paraId="55216DB4" w14:textId="77777777" w:rsidR="00223A9B" w:rsidRDefault="00223A9B" w:rsidP="00151BD5">
      <w:pPr>
        <w:pStyle w:val="Paragraph"/>
      </w:pPr>
    </w:p>
    <w:p w14:paraId="2C3A59FA" w14:textId="40108740" w:rsidR="00151BD5" w:rsidRPr="00EC48FA" w:rsidRDefault="00151BD5" w:rsidP="00151BD5">
      <w:pPr>
        <w:pStyle w:val="Paragraph"/>
      </w:pPr>
      <w:r w:rsidRPr="00573254">
        <w:t>ACTES assists eligible residents of the ACT who have a lifelong or long-term disability to live and participate in their community with the provision of appropriately prescribed equipment, aids and appliances.</w:t>
      </w:r>
    </w:p>
    <w:p w14:paraId="559AA941" w14:textId="77777777" w:rsidR="00151BD5" w:rsidRPr="00223A9B" w:rsidRDefault="00151BD5" w:rsidP="00223A9B">
      <w:pPr>
        <w:rPr>
          <w:b/>
          <w:sz w:val="28"/>
          <w:szCs w:val="28"/>
        </w:rPr>
      </w:pPr>
      <w:r w:rsidRPr="00223A9B">
        <w:rPr>
          <w:b/>
          <w:sz w:val="28"/>
          <w:szCs w:val="28"/>
        </w:rPr>
        <w:t>AT provided</w:t>
      </w:r>
    </w:p>
    <w:p w14:paraId="295C0FDC" w14:textId="77777777" w:rsidR="00151BD5" w:rsidRPr="00DD357F" w:rsidRDefault="00151BD5" w:rsidP="00151BD5">
      <w:pPr>
        <w:pStyle w:val="Paragraph"/>
      </w:pPr>
      <w:r w:rsidRPr="00DD357F">
        <w:t xml:space="preserve">All approved applications are fully funded by the ACTES, but ACTES does not fund low-cost </w:t>
      </w:r>
      <w:r>
        <w:t xml:space="preserve">items </w:t>
      </w:r>
      <w:r w:rsidRPr="00DD357F">
        <w:t>(less than $100) such as walking sticks, crutches and bed pans.</w:t>
      </w:r>
    </w:p>
    <w:p w14:paraId="4BD93E51" w14:textId="77777777" w:rsidR="00151BD5" w:rsidRPr="00EC48FA" w:rsidRDefault="00151BD5" w:rsidP="00151BD5">
      <w:pPr>
        <w:pStyle w:val="Paragraph"/>
      </w:pPr>
      <w:r w:rsidRPr="00DD357F">
        <w:t>The ACTES has a defined annual budget. The budget is allocated on an as-needs basis. This may mean that the full annual budget may be expended prior to the end of the financial year.</w:t>
      </w:r>
    </w:p>
    <w:p w14:paraId="59DFCEC1" w14:textId="77777777" w:rsidR="00223A9B" w:rsidRDefault="00151BD5" w:rsidP="00151BD5">
      <w:pPr>
        <w:pStyle w:val="Subhead1"/>
      </w:pPr>
      <w:r>
        <w:br w:type="column"/>
      </w:r>
    </w:p>
    <w:p w14:paraId="683889A2" w14:textId="3C59BE21" w:rsidR="00151BD5" w:rsidRPr="00223A9B" w:rsidRDefault="00151BD5" w:rsidP="00223A9B">
      <w:pPr>
        <w:rPr>
          <w:b/>
          <w:sz w:val="28"/>
          <w:szCs w:val="28"/>
        </w:rPr>
      </w:pPr>
      <w:r w:rsidRPr="00223A9B">
        <w:rPr>
          <w:b/>
          <w:sz w:val="28"/>
          <w:szCs w:val="28"/>
        </w:rPr>
        <w:t>Information, assessment and provision</w:t>
      </w:r>
    </w:p>
    <w:p w14:paraId="5C04EE62" w14:textId="77777777" w:rsidR="00151BD5" w:rsidRPr="005A2B12" w:rsidRDefault="00151BD5" w:rsidP="00151BD5">
      <w:pPr>
        <w:pStyle w:val="Paragraph"/>
      </w:pPr>
      <w:r w:rsidRPr="00FA4D60">
        <w:t>Assessment is carried out by authorised prescribers, who submit an application on behalf of the applicant. Authorised prescribers can be medical specialists (e.g. orthopaedic, neurological), GPs, allied health practitioners or nurses.</w:t>
      </w:r>
      <w:r>
        <w:t xml:space="preserve"> </w:t>
      </w:r>
      <w:r w:rsidRPr="007B45AA">
        <w:t>Prescribers are required to organise a post-delivery check to</w:t>
      </w:r>
      <w:r>
        <w:t xml:space="preserve"> e</w:t>
      </w:r>
      <w:r w:rsidRPr="007B45AA">
        <w:t>nsure the correct aids and equipment have been supplied and meet the consumer’s functional requirements</w:t>
      </w:r>
      <w:r>
        <w:t xml:space="preserve"> and make minor adjustments. </w:t>
      </w:r>
      <w:r w:rsidRPr="00A46950">
        <w:t>All equipment provided under the ACTES remains the property of the ACT Government. The repair and maintenance of ACTES-owned equipment is the responsibility of ACTES and is fully funded through the scheme</w:t>
      </w:r>
    </w:p>
    <w:p w14:paraId="4439F9F9" w14:textId="77777777" w:rsidR="00151BD5" w:rsidRPr="00EC48FA" w:rsidRDefault="00151BD5" w:rsidP="00151BD5">
      <w:pPr>
        <w:pStyle w:val="Subhead1"/>
      </w:pPr>
      <w:r w:rsidRPr="00EC48FA">
        <w:t>Key eligibility</w:t>
      </w:r>
      <w:r>
        <w:t xml:space="preserve"> and </w:t>
      </w:r>
      <w:r w:rsidRPr="00EC48FA">
        <w:t>exclusion criteria</w:t>
      </w:r>
    </w:p>
    <w:p w14:paraId="7F378D29" w14:textId="77777777" w:rsidR="00151BD5" w:rsidRPr="00F13EB5" w:rsidRDefault="00151BD5" w:rsidP="00151BD5">
      <w:pPr>
        <w:pStyle w:val="TableBullet1"/>
      </w:pPr>
      <w:r w:rsidRPr="00F13EB5">
        <w:t>Be a permanent resident of Australia and the ACT, with a minimum of 6 months’ residency</w:t>
      </w:r>
    </w:p>
    <w:p w14:paraId="112F5795" w14:textId="77777777" w:rsidR="00151BD5" w:rsidRPr="00F13EB5" w:rsidRDefault="00151BD5" w:rsidP="00151BD5">
      <w:pPr>
        <w:pStyle w:val="TableBullet1"/>
      </w:pPr>
      <w:r w:rsidRPr="00F13EB5">
        <w:t>Require assistance for a permanent disability or for a disability that has lasted for at least two years, or be a frail aged person</w:t>
      </w:r>
    </w:p>
    <w:p w14:paraId="603FA201" w14:textId="77777777" w:rsidR="00151BD5" w:rsidRPr="005A2B12" w:rsidRDefault="00151BD5" w:rsidP="00151BD5">
      <w:pPr>
        <w:pStyle w:val="TableBullet1"/>
      </w:pPr>
      <w:r w:rsidRPr="00F13EB5">
        <w:t>Hold a Centrelink Pensioner or Health Care Card.</w:t>
      </w:r>
    </w:p>
    <w:p w14:paraId="0436E705" w14:textId="77777777" w:rsidR="00151BD5" w:rsidRPr="00555E31" w:rsidRDefault="00151BD5" w:rsidP="00151BD5">
      <w:pPr>
        <w:rPr>
          <w:rFonts w:eastAsia="Arial Unicode MS"/>
        </w:rPr>
      </w:pPr>
      <w:r w:rsidRPr="00555E31">
        <w:br w:type="page"/>
      </w:r>
    </w:p>
    <w:p w14:paraId="49495873" w14:textId="77777777" w:rsidR="00151BD5" w:rsidRDefault="00151BD5" w:rsidP="00B4797D">
      <w:pPr>
        <w:pStyle w:val="Archetype"/>
        <w:sectPr w:rsidR="00151BD5" w:rsidSect="008E2DD9">
          <w:type w:val="continuous"/>
          <w:pgSz w:w="11907" w:h="16840" w:code="9"/>
          <w:pgMar w:top="1134" w:right="851" w:bottom="1134" w:left="1134" w:header="567" w:footer="624" w:gutter="0"/>
          <w:cols w:num="2" w:space="708"/>
          <w:docGrid w:linePitch="360"/>
        </w:sectPr>
      </w:pPr>
    </w:p>
    <w:p w14:paraId="7BA7CC39" w14:textId="0CE0A54E" w:rsidR="00923487" w:rsidRDefault="002C16CD" w:rsidP="00B4797D">
      <w:pPr>
        <w:pStyle w:val="Archetype"/>
      </w:pPr>
      <w:r w:rsidRPr="00A13B65">
        <w:lastRenderedPageBreak/>
        <w:t>Victorian Aids and Equipment Program (VA&amp;EP)</w:t>
      </w:r>
    </w:p>
    <w:p w14:paraId="340172D2" w14:textId="3A7AC8D5" w:rsidR="002C16CD" w:rsidRPr="00A13B65" w:rsidRDefault="008545DA" w:rsidP="008545DA">
      <w:pPr>
        <w:pStyle w:val="Summary"/>
      </w:pPr>
      <w:r w:rsidRPr="008545DA">
        <w:rPr>
          <w:rStyle w:val="Bold"/>
        </w:rPr>
        <w:t>Funder:</w:t>
      </w:r>
      <w:r>
        <w:rPr>
          <w:rStyle w:val="Bold"/>
        </w:rPr>
        <w:t xml:space="preserve"> </w:t>
      </w:r>
      <w:r w:rsidR="002C16CD">
        <w:t>Vic</w:t>
      </w:r>
      <w:r w:rsidR="00151BD5">
        <w:t>torian</w:t>
      </w:r>
      <w:r w:rsidR="002C16CD">
        <w:t xml:space="preserve"> Government</w:t>
      </w:r>
      <w:r w:rsidR="002C16CD" w:rsidRPr="00465EC2">
        <w:t xml:space="preserve"> </w:t>
      </w:r>
      <w:r w:rsidR="00151BD5" w:rsidRPr="00B457FA">
        <w:rPr>
          <w:rStyle w:val="Blue"/>
        </w:rPr>
        <w:t>|</w:t>
      </w:r>
      <w:r w:rsidR="00151BD5" w:rsidRPr="00B457FA">
        <w:t xml:space="preserve"> </w:t>
      </w:r>
      <w:r w:rsidR="00151BD5" w:rsidRPr="008545DA">
        <w:rPr>
          <w:rStyle w:val="Bold"/>
        </w:rPr>
        <w:t>Administrator:</w:t>
      </w:r>
      <w:r w:rsidR="00151BD5">
        <w:rPr>
          <w:rStyle w:val="Bold"/>
        </w:rPr>
        <w:t xml:space="preserve"> </w:t>
      </w:r>
      <w:r w:rsidR="002C16CD" w:rsidRPr="00465EC2">
        <w:t>six community-based organisations</w:t>
      </w:r>
    </w:p>
    <w:p w14:paraId="63E278CD" w14:textId="77777777" w:rsidR="004C7E26" w:rsidRDefault="004C7E26" w:rsidP="00923487">
      <w:pPr>
        <w:pStyle w:val="ParaKeep"/>
        <w:sectPr w:rsidR="004C7E26" w:rsidSect="004C7E26">
          <w:type w:val="continuous"/>
          <w:pgSz w:w="11907" w:h="16840" w:code="9"/>
          <w:pgMar w:top="1134" w:right="851" w:bottom="1134" w:left="1134" w:header="567" w:footer="624" w:gutter="0"/>
          <w:cols w:space="708"/>
          <w:docGrid w:linePitch="360"/>
        </w:sectPr>
      </w:pPr>
    </w:p>
    <w:p w14:paraId="369EAD4B" w14:textId="24B58CAC" w:rsidR="002C16CD" w:rsidRPr="00E558F0" w:rsidRDefault="002C16CD" w:rsidP="009D7084">
      <w:pPr>
        <w:pStyle w:val="ParaKeep"/>
        <w:spacing w:before="0"/>
      </w:pPr>
      <w:r w:rsidRPr="00E558F0">
        <w:t xml:space="preserve">The VA&amp;EP includes the following </w:t>
      </w:r>
      <w:r>
        <w:t xml:space="preserve">programs </w:t>
      </w:r>
      <w:r w:rsidRPr="00E558F0">
        <w:t>and schemes.</w:t>
      </w:r>
    </w:p>
    <w:p w14:paraId="006AE945" w14:textId="0B447CEB" w:rsidR="002C16CD" w:rsidRPr="00E558F0" w:rsidRDefault="002C16CD" w:rsidP="00923487">
      <w:pPr>
        <w:pStyle w:val="ParaKeep"/>
      </w:pPr>
      <w:r w:rsidRPr="00E558F0">
        <w:rPr>
          <w:b/>
          <w:bCs/>
        </w:rPr>
        <w:t>The State-wide Equipment Program (SWEP)</w:t>
      </w:r>
      <w:r w:rsidRPr="00E558F0">
        <w:t xml:space="preserve"> administer by Ballarat Health Services delivers the following sub-programs: </w:t>
      </w:r>
    </w:p>
    <w:p w14:paraId="2083B96F" w14:textId="77777777" w:rsidR="002C16CD" w:rsidRPr="00E558F0" w:rsidRDefault="002C16CD" w:rsidP="00C21FA6">
      <w:pPr>
        <w:pStyle w:val="TableBullet1"/>
      </w:pPr>
      <w:r w:rsidRPr="00E558F0">
        <w:t>Aids and Equipment Program</w:t>
      </w:r>
      <w:r>
        <w:t xml:space="preserve"> </w:t>
      </w:r>
    </w:p>
    <w:p w14:paraId="786DA818" w14:textId="77777777" w:rsidR="002C16CD" w:rsidRPr="00E558F0" w:rsidRDefault="002C16CD" w:rsidP="00C21FA6">
      <w:pPr>
        <w:pStyle w:val="TableBullet1"/>
      </w:pPr>
      <w:r w:rsidRPr="00E558F0">
        <w:t>Supported Accommodation Equipment Assistance Scheme</w:t>
      </w:r>
    </w:p>
    <w:p w14:paraId="21D6A515" w14:textId="77777777" w:rsidR="002C16CD" w:rsidRPr="00E558F0" w:rsidRDefault="002C16CD" w:rsidP="00C21FA6">
      <w:pPr>
        <w:pStyle w:val="TableBullet1"/>
      </w:pPr>
      <w:r w:rsidRPr="00E558F0">
        <w:t>Domiciliary Oxygen Program</w:t>
      </w:r>
      <w:r>
        <w:t xml:space="preserve"> </w:t>
      </w:r>
    </w:p>
    <w:p w14:paraId="4287D857" w14:textId="77777777" w:rsidR="002C16CD" w:rsidRPr="00E558F0" w:rsidRDefault="002C16CD" w:rsidP="00C21FA6">
      <w:pPr>
        <w:pStyle w:val="TableBullet1"/>
      </w:pPr>
      <w:r w:rsidRPr="00E558F0">
        <w:t xml:space="preserve">Continence Aids Program </w:t>
      </w:r>
    </w:p>
    <w:p w14:paraId="708366E8" w14:textId="77777777" w:rsidR="002C16CD" w:rsidRPr="00E558F0" w:rsidRDefault="002C16CD" w:rsidP="00C21FA6">
      <w:pPr>
        <w:pStyle w:val="TableBullet1"/>
      </w:pPr>
      <w:r w:rsidRPr="00E558F0">
        <w:t xml:space="preserve">Vehicle and home modification subsidy scheme </w:t>
      </w:r>
    </w:p>
    <w:p w14:paraId="7C0FC24C" w14:textId="77777777" w:rsidR="002C16CD" w:rsidRPr="00E558F0" w:rsidRDefault="002C16CD" w:rsidP="00C21FA6">
      <w:pPr>
        <w:pStyle w:val="TableBullet1"/>
      </w:pPr>
      <w:r w:rsidRPr="00E558F0">
        <w:t xml:space="preserve">Lymphoedema compression garments program </w:t>
      </w:r>
    </w:p>
    <w:p w14:paraId="039DCCBB" w14:textId="77777777" w:rsidR="002C16CD" w:rsidRPr="00E558F0" w:rsidRDefault="002C16CD" w:rsidP="00C21FA6">
      <w:pPr>
        <w:pStyle w:val="TableBullet1"/>
      </w:pPr>
      <w:r w:rsidRPr="00E558F0">
        <w:t xml:space="preserve">Laryngectomy Consumables Program </w:t>
      </w:r>
    </w:p>
    <w:p w14:paraId="57C3E3CB" w14:textId="77777777" w:rsidR="002C16CD" w:rsidRPr="00E558F0" w:rsidRDefault="002C16CD" w:rsidP="004C7E26">
      <w:pPr>
        <w:pStyle w:val="Paragraph"/>
      </w:pPr>
      <w:r w:rsidRPr="00E558F0">
        <w:rPr>
          <w:b/>
          <w:bCs/>
        </w:rPr>
        <w:t>Motor Neurone Disease Association</w:t>
      </w:r>
      <w:r w:rsidRPr="00E558F0">
        <w:t xml:space="preserve"> administers the Equipment Library, which loans equipment such as wheelchairs, to meet the needs of people with motor neurone disease.</w:t>
      </w:r>
    </w:p>
    <w:p w14:paraId="1106D5FD" w14:textId="77777777" w:rsidR="002C16CD" w:rsidRPr="00E558F0" w:rsidRDefault="002C16CD" w:rsidP="004C7E26">
      <w:pPr>
        <w:pStyle w:val="Paragraph"/>
      </w:pPr>
      <w:r w:rsidRPr="00E558F0">
        <w:rPr>
          <w:b/>
          <w:bCs/>
        </w:rPr>
        <w:t>Solve Disability Solutions</w:t>
      </w:r>
      <w:r w:rsidRPr="00E558F0">
        <w:t xml:space="preserve"> provides individual AT equipment or modification solutions not available commercially</w:t>
      </w:r>
    </w:p>
    <w:p w14:paraId="4E4C0C52" w14:textId="50A89CD6" w:rsidR="002C16CD" w:rsidRPr="00E558F0" w:rsidRDefault="002C16CD" w:rsidP="004C7E26">
      <w:pPr>
        <w:pStyle w:val="Paragraph"/>
      </w:pPr>
      <w:r w:rsidRPr="00E558F0">
        <w:rPr>
          <w:b/>
          <w:bCs/>
        </w:rPr>
        <w:t>Expression Australia</w:t>
      </w:r>
      <w:r w:rsidRPr="00E558F0">
        <w:t xml:space="preserve"> provides subsidised Smoke </w:t>
      </w:r>
      <w:r w:rsidR="0026393E">
        <w:t xml:space="preserve">Alarms </w:t>
      </w:r>
      <w:r w:rsidRPr="00E558F0">
        <w:t>for older people who are deaf or have significant hearing loss.</w:t>
      </w:r>
    </w:p>
    <w:p w14:paraId="56819595" w14:textId="77777777" w:rsidR="002C16CD" w:rsidRPr="00E558F0" w:rsidRDefault="002C16CD" w:rsidP="004C7E26">
      <w:pPr>
        <w:pStyle w:val="Paragraph"/>
      </w:pPr>
      <w:r w:rsidRPr="00E558F0">
        <w:rPr>
          <w:b/>
          <w:bCs/>
        </w:rPr>
        <w:t>Vision Australia</w:t>
      </w:r>
      <w:r w:rsidRPr="00E558F0">
        <w:t xml:space="preserve"> provides low cost </w:t>
      </w:r>
      <w:r>
        <w:t xml:space="preserve">items </w:t>
      </w:r>
      <w:r w:rsidRPr="00E558F0">
        <w:t>for older Victorians who are visually impaired.</w:t>
      </w:r>
    </w:p>
    <w:p w14:paraId="44544F45" w14:textId="77777777" w:rsidR="002C16CD" w:rsidRPr="00EC48FA" w:rsidRDefault="002C16CD" w:rsidP="004C7E26">
      <w:pPr>
        <w:pStyle w:val="Paragraph"/>
      </w:pPr>
      <w:r w:rsidRPr="00E558F0">
        <w:rPr>
          <w:b/>
          <w:bCs/>
        </w:rPr>
        <w:t>Yooralla</w:t>
      </w:r>
      <w:r w:rsidRPr="00E558F0">
        <w:t xml:space="preserve"> administers the Electronic Communication Devices Scheme, which provides subsidised electronic communications, switching and mounting devices, and software communication apps.</w:t>
      </w:r>
    </w:p>
    <w:p w14:paraId="64EE5A55" w14:textId="77777777" w:rsidR="006F5E4C" w:rsidRPr="00EC48FA" w:rsidRDefault="006F5E4C" w:rsidP="006F5E4C">
      <w:pPr>
        <w:pStyle w:val="Subhead1"/>
      </w:pPr>
      <w:r w:rsidRPr="00EC48FA">
        <w:t>AT provided</w:t>
      </w:r>
    </w:p>
    <w:p w14:paraId="7171D13F" w14:textId="77777777" w:rsidR="002C16CD" w:rsidRPr="00E558F0" w:rsidRDefault="002C16CD" w:rsidP="00923487">
      <w:pPr>
        <w:pStyle w:val="ParaKeep"/>
      </w:pPr>
      <w:r w:rsidRPr="00E558F0">
        <w:t>The SWEP provides subsidised aids and equipment such as:</w:t>
      </w:r>
    </w:p>
    <w:p w14:paraId="36754D28" w14:textId="77777777" w:rsidR="002C16CD" w:rsidRPr="00E558F0" w:rsidRDefault="002C16CD" w:rsidP="00C21FA6">
      <w:pPr>
        <w:pStyle w:val="TableBullet1"/>
      </w:pPr>
      <w:r w:rsidRPr="00E558F0">
        <w:t xml:space="preserve">walking frames and other mobility aids such as scooters and wheelchairs </w:t>
      </w:r>
    </w:p>
    <w:p w14:paraId="4D1DC754" w14:textId="77777777" w:rsidR="002C16CD" w:rsidRPr="00E558F0" w:rsidRDefault="002C16CD" w:rsidP="00C21FA6">
      <w:pPr>
        <w:pStyle w:val="TableBullet1"/>
      </w:pPr>
      <w:r>
        <w:t>E</w:t>
      </w:r>
      <w:r w:rsidRPr="00E558F0">
        <w:t xml:space="preserve">quipment such as shower chairs and hoists </w:t>
      </w:r>
    </w:p>
    <w:p w14:paraId="0A74CC84" w14:textId="77777777" w:rsidR="002C16CD" w:rsidRPr="00E558F0" w:rsidRDefault="002C16CD" w:rsidP="00C21FA6">
      <w:pPr>
        <w:pStyle w:val="TableBullet1"/>
      </w:pPr>
      <w:r w:rsidRPr="00E558F0">
        <w:t>continence aids for bowel or bladder control proble</w:t>
      </w:r>
      <w:r>
        <w:t>Ms </w:t>
      </w:r>
      <w:r w:rsidRPr="00E558F0">
        <w:t xml:space="preserve">(such as reusable pants and pads) </w:t>
      </w:r>
    </w:p>
    <w:p w14:paraId="3DD6A61E" w14:textId="77777777" w:rsidR="002C16CD" w:rsidRPr="005A2B12" w:rsidRDefault="002C16CD" w:rsidP="00C21FA6">
      <w:pPr>
        <w:pStyle w:val="TableBullet1"/>
      </w:pPr>
      <w:r w:rsidRPr="00E558F0">
        <w:t xml:space="preserve">a contribution to the cost of home or vehicle modifications. </w:t>
      </w:r>
    </w:p>
    <w:p w14:paraId="30237B5A" w14:textId="77777777" w:rsidR="006F5E4C" w:rsidRPr="00EC48FA" w:rsidRDefault="006F5E4C" w:rsidP="006F5E4C">
      <w:pPr>
        <w:pStyle w:val="Subhead1"/>
      </w:pPr>
      <w:r w:rsidRPr="00D06A61">
        <w:t>Information, assessment and provision</w:t>
      </w:r>
    </w:p>
    <w:p w14:paraId="6EAF8F48" w14:textId="77777777" w:rsidR="002C16CD" w:rsidRPr="00B87617" w:rsidRDefault="002C16CD" w:rsidP="004C7E26">
      <w:pPr>
        <w:pStyle w:val="Paragraph"/>
      </w:pPr>
      <w:r w:rsidRPr="00B87617">
        <w:t>Eligible applicants must be assessed by an appropriate health professional/</w:t>
      </w:r>
      <w:r>
        <w:t xml:space="preserve"> </w:t>
      </w:r>
      <w:r w:rsidRPr="00B87617">
        <w:t>AT Practitioner</w:t>
      </w:r>
      <w:r>
        <w:t xml:space="preserve">. </w:t>
      </w:r>
      <w:r w:rsidRPr="00B87617">
        <w:t>The AT practitioner is also responsible for recommending the most suitable AT item(s) or modification(s) needed and determining whether</w:t>
      </w:r>
      <w:r>
        <w:t xml:space="preserve"> the</w:t>
      </w:r>
      <w:r w:rsidRPr="00B87617">
        <w:t xml:space="preserve"> applicant or their or their carer can safely use the AT item.</w:t>
      </w:r>
    </w:p>
    <w:p w14:paraId="6018BACF" w14:textId="77777777" w:rsidR="002C16CD" w:rsidRPr="005A2B12" w:rsidRDefault="002C16CD" w:rsidP="004C7E26">
      <w:pPr>
        <w:pStyle w:val="Paragraph"/>
      </w:pPr>
      <w:r w:rsidRPr="00B87617">
        <w:t>Applicants are responsible for organising and paying for the assessment.</w:t>
      </w:r>
      <w:r>
        <w:t xml:space="preserve"> </w:t>
      </w:r>
      <w:r w:rsidRPr="00E558F0">
        <w:t>SWEP retains ownership of the AT item when it</w:t>
      </w:r>
      <w:r>
        <w:t xml:space="preserve"> </w:t>
      </w:r>
      <w:r w:rsidRPr="00E558F0">
        <w:t xml:space="preserve">has contributed more than 50% towards the cost of the AT item. Item are re-issued at no cost to the </w:t>
      </w:r>
      <w:r>
        <w:t>consumer</w:t>
      </w:r>
      <w:r w:rsidRPr="00E558F0">
        <w:t xml:space="preserve">. SWEP also provide an emergency 24/7 after-hours service repair service and an annual check of powered AT item used by paid support staff to meet OH&amp;S requirements </w:t>
      </w:r>
      <w:r>
        <w:t>(</w:t>
      </w:r>
      <w:r w:rsidRPr="00E558F0">
        <w:t>e.g</w:t>
      </w:r>
      <w:r>
        <w:t>.,</w:t>
      </w:r>
      <w:r w:rsidRPr="00E558F0">
        <w:t xml:space="preserve"> hoist used to deliver personal care</w:t>
      </w:r>
      <w:r>
        <w:t>)</w:t>
      </w:r>
      <w:r w:rsidRPr="00E558F0">
        <w:t>.</w:t>
      </w:r>
      <w:r>
        <w:t xml:space="preserve"> </w:t>
      </w:r>
      <w:r w:rsidRPr="00A11EE5">
        <w:t>There are maximum subsidy levels for each AT item category. If the subsidy does not cover the full cost of the AT item, the applicant or a third party will need to pay the remainder. Subsidies range from $80 for a shower seat to $10,000 for vehicle modifications.</w:t>
      </w:r>
    </w:p>
    <w:p w14:paraId="54A22499" w14:textId="77777777" w:rsidR="006F5E4C" w:rsidRPr="00EC48FA" w:rsidRDefault="006F5E4C" w:rsidP="006F5E4C">
      <w:pPr>
        <w:pStyle w:val="Subhead1"/>
      </w:pPr>
      <w:r w:rsidRPr="00EC48FA">
        <w:t>Key eligibility</w:t>
      </w:r>
      <w:r>
        <w:t xml:space="preserve"> and </w:t>
      </w:r>
      <w:r w:rsidRPr="00EC48FA">
        <w:t>exclusion criteria</w:t>
      </w:r>
    </w:p>
    <w:p w14:paraId="2FC38891" w14:textId="77777777" w:rsidR="002C16CD" w:rsidRPr="002A29BC" w:rsidRDefault="002C16CD" w:rsidP="00923487">
      <w:pPr>
        <w:pStyle w:val="ParaKeep"/>
      </w:pPr>
      <w:r w:rsidRPr="002A29BC">
        <w:t>VA&amp;EP provides subsidised aids and equipment for people:</w:t>
      </w:r>
    </w:p>
    <w:p w14:paraId="7B5AF5B1" w14:textId="77777777" w:rsidR="002C16CD" w:rsidRPr="002A29BC" w:rsidRDefault="002C16CD" w:rsidP="00B86F08">
      <w:pPr>
        <w:pStyle w:val="TableBullet1"/>
      </w:pPr>
      <w:r w:rsidRPr="002A29BC">
        <w:t>Of all ages where their needs relate to a health condition or where they do not meet NDIS access requirements</w:t>
      </w:r>
    </w:p>
    <w:p w14:paraId="6B909164" w14:textId="77777777" w:rsidR="002C16CD" w:rsidRPr="002A29BC" w:rsidRDefault="002C16CD" w:rsidP="00B86F08">
      <w:pPr>
        <w:pStyle w:val="TableBullet1"/>
      </w:pPr>
      <w:r w:rsidRPr="002A29BC">
        <w:t>Over 65 years with age- or disability-related aids or equipment needs.</w:t>
      </w:r>
    </w:p>
    <w:p w14:paraId="2426A08B" w14:textId="77777777" w:rsidR="002C16CD" w:rsidRPr="005A2B12" w:rsidRDefault="002C16CD" w:rsidP="00B86F08">
      <w:pPr>
        <w:pStyle w:val="TableBullet1"/>
      </w:pPr>
      <w:r w:rsidRPr="002A29BC">
        <w:t>VA&amp;EP has set subsidy levels for different aids and equipment items</w:t>
      </w:r>
    </w:p>
    <w:p w14:paraId="49ED0647"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2F32F635" w14:textId="77777777" w:rsidR="008545DA" w:rsidRDefault="002C16CD" w:rsidP="00B4797D">
      <w:pPr>
        <w:pStyle w:val="Archetype"/>
      </w:pPr>
      <w:r w:rsidRPr="00D95F91">
        <w:lastRenderedPageBreak/>
        <w:t>Department of Human Services Equipment Program</w:t>
      </w:r>
    </w:p>
    <w:p w14:paraId="64415C90" w14:textId="39C50C50" w:rsidR="002C16CD" w:rsidRPr="00EC48FA" w:rsidRDefault="008545DA" w:rsidP="008545DA">
      <w:pPr>
        <w:pStyle w:val="Summary"/>
      </w:pPr>
      <w:r w:rsidRPr="008545DA">
        <w:rPr>
          <w:rStyle w:val="Bold"/>
        </w:rPr>
        <w:t>Funder/​Administrator:</w:t>
      </w:r>
      <w:r>
        <w:rPr>
          <w:rStyle w:val="Bold"/>
        </w:rPr>
        <w:t xml:space="preserve"> </w:t>
      </w:r>
      <w:r w:rsidR="002C16CD" w:rsidRPr="00343BCB">
        <w:t>S</w:t>
      </w:r>
      <w:r w:rsidR="002C16CD">
        <w:t>A</w:t>
      </w:r>
      <w:r w:rsidR="002C16CD" w:rsidRPr="00343BCB">
        <w:t xml:space="preserve"> Gov</w:t>
      </w:r>
      <w:r w:rsidR="00151BD5">
        <w:t>ernment</w:t>
      </w:r>
    </w:p>
    <w:p w14:paraId="6089E161"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3A88F487" w14:textId="1BBDEF16" w:rsidR="002C16CD" w:rsidRPr="009E1FFB" w:rsidRDefault="002C16CD" w:rsidP="004C7E26">
      <w:pPr>
        <w:pStyle w:val="Paragraph"/>
      </w:pPr>
      <w:r w:rsidRPr="00AC36B5">
        <w:t>Domiciliary Equipment Service (DES) is a business unit of the South Australian Department of Human Services (DHS) and administers the DHS Equipment Program</w:t>
      </w:r>
      <w:r>
        <w:t xml:space="preserve">. </w:t>
      </w:r>
      <w:r w:rsidRPr="009E1FFB">
        <w:t xml:space="preserve">The DHS Equipment Program covers a number of different cohorts of </w:t>
      </w:r>
      <w:r>
        <w:t>consumer</w:t>
      </w:r>
      <w:r w:rsidRPr="009E1FFB">
        <w:t>s. Namely those who have significant functional needs requiring assistive technology solutions, but who are not eligible for NDIS or Aged Care Services.</w:t>
      </w:r>
      <w:r>
        <w:t xml:space="preserve"> </w:t>
      </w:r>
    </w:p>
    <w:p w14:paraId="3319AE51" w14:textId="77777777" w:rsidR="002C16CD" w:rsidRPr="00EC48FA" w:rsidRDefault="002C16CD" w:rsidP="004C7E26">
      <w:pPr>
        <w:pStyle w:val="Paragraph"/>
      </w:pPr>
      <w:r w:rsidRPr="009E1FFB">
        <w:t>Equipment and home modifications are provided to support people to live as independently as possible in the community and to reduce the risk of injury. To prevent hospitalisation or early entry to RACF</w:t>
      </w:r>
    </w:p>
    <w:p w14:paraId="416D1313" w14:textId="77777777" w:rsidR="006F5E4C" w:rsidRPr="00EC48FA" w:rsidRDefault="006F5E4C" w:rsidP="006F5E4C">
      <w:pPr>
        <w:pStyle w:val="Subhead1"/>
      </w:pPr>
      <w:r w:rsidRPr="00EC48FA">
        <w:t>AT provided</w:t>
      </w:r>
    </w:p>
    <w:p w14:paraId="7B413A01" w14:textId="77777777" w:rsidR="002C16CD" w:rsidRPr="00C448DD" w:rsidRDefault="002C16CD" w:rsidP="00923487">
      <w:pPr>
        <w:pStyle w:val="ParaKeep"/>
      </w:pPr>
      <w:r w:rsidRPr="00C448DD">
        <w:t>The DHS Equipment Program includes the following streams:</w:t>
      </w:r>
    </w:p>
    <w:p w14:paraId="105B3DBD" w14:textId="79ED04AE" w:rsidR="002C16CD" w:rsidRPr="00CA459F" w:rsidRDefault="002C16CD" w:rsidP="00B86F08">
      <w:pPr>
        <w:pStyle w:val="TableBullet1"/>
      </w:pPr>
      <w:r w:rsidRPr="00CA459F">
        <w:t>Disability Aged (grandfathered cohort</w:t>
      </w:r>
      <w:r w:rsidR="00861912">
        <w:t xml:space="preserve"> – </w:t>
      </w:r>
      <w:r w:rsidRPr="00CA459F">
        <w:t>either Commonwealth CoS or Equipment Only)</w:t>
      </w:r>
    </w:p>
    <w:p w14:paraId="175C3B6D" w14:textId="77777777" w:rsidR="002C16CD" w:rsidRPr="00CA459F" w:rsidRDefault="002C16CD" w:rsidP="00B86F08">
      <w:pPr>
        <w:pStyle w:val="TableBullet1"/>
      </w:pPr>
      <w:r w:rsidRPr="00CA459F">
        <w:t>Advanced Palliative Equipment Response (APER)</w:t>
      </w:r>
    </w:p>
    <w:p w14:paraId="48608E2D" w14:textId="77777777" w:rsidR="002C16CD" w:rsidRPr="00CA459F" w:rsidRDefault="002C16CD" w:rsidP="00B86F08">
      <w:pPr>
        <w:pStyle w:val="TableBullet1"/>
      </w:pPr>
      <w:r w:rsidRPr="00CA459F">
        <w:t>Adults with Chronic Conditions (ACC)</w:t>
      </w:r>
    </w:p>
    <w:p w14:paraId="3B3B3C6C" w14:textId="77777777" w:rsidR="002C16CD" w:rsidRPr="00CA459F" w:rsidRDefault="002C16CD" w:rsidP="00B86F08">
      <w:pPr>
        <w:pStyle w:val="TableBullet1"/>
      </w:pPr>
      <w:r w:rsidRPr="00CA459F">
        <w:t>Customised Mobility</w:t>
      </w:r>
    </w:p>
    <w:p w14:paraId="6A89E089" w14:textId="77777777" w:rsidR="002C16CD" w:rsidRPr="00CA459F" w:rsidRDefault="002C16CD" w:rsidP="00B86F08">
      <w:pPr>
        <w:pStyle w:val="TableBullet1"/>
      </w:pPr>
      <w:r w:rsidRPr="00CA459F">
        <w:t>Footwear and orthoses</w:t>
      </w:r>
    </w:p>
    <w:p w14:paraId="4677D7CA" w14:textId="77777777" w:rsidR="002C16CD" w:rsidRPr="00CA459F" w:rsidRDefault="002C16CD" w:rsidP="00B86F08">
      <w:pPr>
        <w:pStyle w:val="TableBullet1"/>
      </w:pPr>
      <w:r w:rsidRPr="00CA459F">
        <w:t>Wigs</w:t>
      </w:r>
    </w:p>
    <w:p w14:paraId="7E9E290F" w14:textId="77777777" w:rsidR="002C16CD" w:rsidRPr="00CA459F" w:rsidRDefault="002C16CD" w:rsidP="00923487">
      <w:pPr>
        <w:pStyle w:val="ParaKeep"/>
      </w:pPr>
      <w:r>
        <w:t xml:space="preserve">Programs </w:t>
      </w:r>
      <w:r w:rsidRPr="00CA459F">
        <w:t>serviced by DES include:</w:t>
      </w:r>
    </w:p>
    <w:p w14:paraId="149A2BFF" w14:textId="77777777" w:rsidR="002C16CD" w:rsidRPr="004708CA" w:rsidRDefault="002C16CD" w:rsidP="00B86F08">
      <w:pPr>
        <w:pStyle w:val="TableBullet1"/>
      </w:pPr>
      <w:r w:rsidRPr="004708CA">
        <w:t>DHS Equipment Program</w:t>
      </w:r>
    </w:p>
    <w:p w14:paraId="79969FBD" w14:textId="77777777" w:rsidR="002C16CD" w:rsidRPr="004708CA" w:rsidRDefault="002C16CD" w:rsidP="00B86F08">
      <w:pPr>
        <w:pStyle w:val="TableBullet1"/>
      </w:pPr>
      <w:r w:rsidRPr="004708CA">
        <w:t>NDIS (DES signed a working arrangement with the NDIA to continue providing AT including equipment and home modifications, to NDIS participants</w:t>
      </w:r>
    </w:p>
    <w:p w14:paraId="227B0827" w14:textId="77777777" w:rsidR="002C16CD" w:rsidRPr="00EC48FA" w:rsidRDefault="002C16CD" w:rsidP="00B86F08">
      <w:pPr>
        <w:pStyle w:val="TableBullet1"/>
      </w:pPr>
      <w:r w:rsidRPr="004708CA">
        <w:t>Private hire.</w:t>
      </w:r>
    </w:p>
    <w:p w14:paraId="5B420B30" w14:textId="62D37809" w:rsidR="006F5E4C" w:rsidRPr="00EC48FA" w:rsidRDefault="00555E31" w:rsidP="00555E31">
      <w:pPr>
        <w:pStyle w:val="Subhead1"/>
        <w:spacing w:before="0"/>
      </w:pPr>
      <w:r>
        <w:br w:type="column"/>
      </w:r>
      <w:r w:rsidR="006F5E4C" w:rsidRPr="00D06A61">
        <w:t>Information, assessment and provision</w:t>
      </w:r>
    </w:p>
    <w:p w14:paraId="64F4889F" w14:textId="77777777" w:rsidR="002C16CD" w:rsidRPr="005557F2" w:rsidRDefault="002C16CD" w:rsidP="004C7E26">
      <w:pPr>
        <w:pStyle w:val="Paragraph"/>
      </w:pPr>
      <w:r w:rsidRPr="005557F2">
        <w:t xml:space="preserve">Information regarding AT needs is provided from a variety of sources, typically via a clinician who is assessing an individual’s needs. The Independent Living Centre is currently funded by DHS and provides advice and resources to members of the public with AT needs. </w:t>
      </w:r>
    </w:p>
    <w:p w14:paraId="142A2E68" w14:textId="744D0BF2" w:rsidR="002C16CD" w:rsidRPr="005557F2" w:rsidRDefault="002C16CD" w:rsidP="004C7E26">
      <w:pPr>
        <w:pStyle w:val="Paragraph"/>
      </w:pPr>
      <w:r w:rsidRPr="005557F2">
        <w:t>Assessment is undertaken by a Health Professional appropriate to the AT need</w:t>
      </w:r>
      <w:r w:rsidR="00861912">
        <w:t xml:space="preserve"> – </w:t>
      </w:r>
      <w:r w:rsidRPr="005557F2">
        <w:t>e</w:t>
      </w:r>
      <w:r>
        <w:t>.</w:t>
      </w:r>
      <w:r w:rsidRPr="005557F2">
        <w:t>g</w:t>
      </w:r>
      <w:r>
        <w:t>.</w:t>
      </w:r>
      <w:r w:rsidRPr="005557F2">
        <w:t xml:space="preserve"> Podiatrists referring to the footwear program. The majority of assessment is undertaken by health professionals working in the Department of Health and Wellbeing, with the remainder undertaken by staff from the non-government sector.</w:t>
      </w:r>
    </w:p>
    <w:p w14:paraId="3142FBD0" w14:textId="2F4A6EA6" w:rsidR="002C16CD" w:rsidRPr="00497EF3" w:rsidRDefault="002C16CD" w:rsidP="004C7E26">
      <w:pPr>
        <w:pStyle w:val="Paragraph"/>
      </w:pPr>
      <w:r w:rsidRPr="005557F2">
        <w:t xml:space="preserve">Provision is via </w:t>
      </w:r>
      <w:r>
        <w:t>DES</w:t>
      </w:r>
      <w:r w:rsidR="00861912">
        <w:t xml:space="preserve"> – </w:t>
      </w:r>
      <w:r w:rsidRPr="005557F2">
        <w:t>a business unit of the Department of Human Services.</w:t>
      </w:r>
    </w:p>
    <w:p w14:paraId="1927A049" w14:textId="77777777" w:rsidR="006F5E4C" w:rsidRPr="00EC48FA" w:rsidRDefault="006F5E4C" w:rsidP="006F5E4C">
      <w:pPr>
        <w:pStyle w:val="Subhead1"/>
      </w:pPr>
      <w:r w:rsidRPr="00EC48FA">
        <w:t>Key eligibility</w:t>
      </w:r>
      <w:r>
        <w:t xml:space="preserve"> and </w:t>
      </w:r>
      <w:r w:rsidRPr="00EC48FA">
        <w:t>exclusion criteria</w:t>
      </w:r>
    </w:p>
    <w:p w14:paraId="71C31E98" w14:textId="77777777" w:rsidR="002C16CD" w:rsidRDefault="002C16CD" w:rsidP="00B86F08">
      <w:pPr>
        <w:pStyle w:val="TableBullet1"/>
      </w:pPr>
      <w:r w:rsidRPr="00D94C2F">
        <w:t>Permanent resident of SA</w:t>
      </w:r>
    </w:p>
    <w:p w14:paraId="6579AAB9" w14:textId="77777777" w:rsidR="002C16CD" w:rsidRDefault="002C16CD" w:rsidP="00B86F08">
      <w:pPr>
        <w:pStyle w:val="TableBullet1"/>
      </w:pPr>
      <w:r>
        <w:t>L</w:t>
      </w:r>
      <w:r w:rsidRPr="00D94C2F">
        <w:t xml:space="preserve">iving in the community </w:t>
      </w:r>
    </w:p>
    <w:p w14:paraId="07975EA4" w14:textId="77777777" w:rsidR="002C16CD" w:rsidRPr="005A2B12" w:rsidRDefault="002C16CD" w:rsidP="00923487">
      <w:pPr>
        <w:pStyle w:val="Paragraph"/>
      </w:pPr>
      <w:r w:rsidRPr="00CA459F">
        <w:t xml:space="preserve">DES provides services to a variety of programs, each of which has their own eligibility and assessment requirements to fund </w:t>
      </w:r>
      <w:r>
        <w:t>consumer</w:t>
      </w:r>
      <w:r w:rsidRPr="00CA459F">
        <w:t>s accessing equipment and home modification services</w:t>
      </w:r>
    </w:p>
    <w:p w14:paraId="3FEE1A1E" w14:textId="3C02E774" w:rsidR="00555E31" w:rsidRPr="00555E31" w:rsidRDefault="00555E31" w:rsidP="00555E31">
      <w:pPr>
        <w:rPr>
          <w:rFonts w:eastAsia="Arial Unicode MS"/>
        </w:rPr>
      </w:pPr>
      <w:r w:rsidRPr="00555E31">
        <w:br w:type="page"/>
      </w:r>
    </w:p>
    <w:p w14:paraId="56760E54"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5229D860" w14:textId="77777777" w:rsidR="008545DA" w:rsidRDefault="002C16CD" w:rsidP="00B4797D">
      <w:pPr>
        <w:pStyle w:val="Archetype"/>
      </w:pPr>
      <w:r w:rsidRPr="00A639D7">
        <w:lastRenderedPageBreak/>
        <w:t>Disability Equipment Program (DEP)</w:t>
      </w:r>
    </w:p>
    <w:p w14:paraId="7210DF3B" w14:textId="1F75819C" w:rsidR="002C16CD" w:rsidRPr="00A639D7" w:rsidRDefault="008545DA" w:rsidP="008545DA">
      <w:pPr>
        <w:pStyle w:val="Summary"/>
      </w:pPr>
      <w:r w:rsidRPr="008545DA">
        <w:rPr>
          <w:rStyle w:val="Bold"/>
        </w:rPr>
        <w:t>Funder/​Administrator:</w:t>
      </w:r>
      <w:r w:rsidR="002C16CD">
        <w:t xml:space="preserve"> NT</w:t>
      </w:r>
      <w:r w:rsidR="002C16CD" w:rsidRPr="00A639D7">
        <w:t xml:space="preserve"> Gov</w:t>
      </w:r>
      <w:r w:rsidR="00151BD5">
        <w:t>ernment</w:t>
      </w:r>
    </w:p>
    <w:p w14:paraId="65EF57B7"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0C50D399" w14:textId="2C6CD335" w:rsidR="002C16CD" w:rsidRPr="00EC48FA" w:rsidRDefault="002C16CD" w:rsidP="004C7E26">
      <w:pPr>
        <w:pStyle w:val="Paragraph"/>
      </w:pPr>
      <w:r w:rsidRPr="0058523B">
        <w:t>DEP ai</w:t>
      </w:r>
      <w:r>
        <w:t>Ms </w:t>
      </w:r>
      <w:r w:rsidRPr="0058523B">
        <w:t xml:space="preserve">to provide prescribed equipment, aids and appliances to assist eligible residents of the </w:t>
      </w:r>
      <w:r>
        <w:t>NT</w:t>
      </w:r>
      <w:r w:rsidRPr="0058523B">
        <w:t xml:space="preserve"> with a permanent or long-term disability, to enhance their safety and independence, and to assist them to live and participate in their community.</w:t>
      </w:r>
    </w:p>
    <w:p w14:paraId="4DCE0C52" w14:textId="77777777" w:rsidR="006F5E4C" w:rsidRPr="00EC48FA" w:rsidRDefault="006F5E4C" w:rsidP="006F5E4C">
      <w:pPr>
        <w:pStyle w:val="Subhead1"/>
      </w:pPr>
      <w:r w:rsidRPr="00EC48FA">
        <w:t>AT provided</w:t>
      </w:r>
    </w:p>
    <w:p w14:paraId="13D23D1F" w14:textId="77777777" w:rsidR="002C16CD" w:rsidRPr="00BF389B" w:rsidRDefault="002C16CD" w:rsidP="00923487">
      <w:pPr>
        <w:pStyle w:val="ParaKeep"/>
      </w:pPr>
      <w:r w:rsidRPr="00BF389B">
        <w:t>The DEP:</w:t>
      </w:r>
    </w:p>
    <w:p w14:paraId="037F8C02" w14:textId="77777777" w:rsidR="002C16CD" w:rsidRPr="00EC48FA" w:rsidRDefault="002C16CD" w:rsidP="00B86F08">
      <w:pPr>
        <w:pStyle w:val="TableBullet1"/>
      </w:pPr>
      <w:r w:rsidRPr="00EC48FA">
        <w:t xml:space="preserve">Provides access to appropriate equipment and appliances to meet the assessed needs of </w:t>
      </w:r>
      <w:r>
        <w:t>consumer</w:t>
      </w:r>
      <w:r w:rsidRPr="00EC48FA">
        <w:t>s</w:t>
      </w:r>
    </w:p>
    <w:p w14:paraId="4F2ACF9D" w14:textId="77777777" w:rsidR="002C16CD" w:rsidRPr="00EC48FA" w:rsidRDefault="002C16CD" w:rsidP="00B86F08">
      <w:pPr>
        <w:pStyle w:val="TableBullet1"/>
      </w:pPr>
      <w:r w:rsidRPr="00EC48FA">
        <w:t xml:space="preserve">Provides access to equipment that assists in maintaining and improving </w:t>
      </w:r>
      <w:r>
        <w:t>consumer</w:t>
      </w:r>
      <w:r w:rsidRPr="00EC48FA">
        <w:t xml:space="preserve"> capacity to remain in the community and to participate in social and community activities</w:t>
      </w:r>
    </w:p>
    <w:p w14:paraId="386B9E4A" w14:textId="77777777" w:rsidR="002C16CD" w:rsidRPr="00EC48FA" w:rsidRDefault="002C16CD" w:rsidP="00B86F08">
      <w:pPr>
        <w:pStyle w:val="TableBullet1"/>
      </w:pPr>
      <w:r w:rsidRPr="00EC48FA">
        <w:t>Has a consistent and equitable prioritisation process, targeted to people most in need.</w:t>
      </w:r>
    </w:p>
    <w:p w14:paraId="13A45813" w14:textId="77777777" w:rsidR="002C16CD" w:rsidRPr="005A2B12" w:rsidRDefault="002C16CD" w:rsidP="004C7E26">
      <w:pPr>
        <w:pStyle w:val="Paragraph"/>
      </w:pPr>
      <w:r w:rsidRPr="001221A8">
        <w:t>Maximum subsidies range from $60 for a grab rail to $7,200 for a powered wheelchair.</w:t>
      </w:r>
    </w:p>
    <w:p w14:paraId="5AB57C42" w14:textId="4E60F9A2" w:rsidR="006F5E4C" w:rsidRPr="00EC48FA" w:rsidRDefault="00555E31" w:rsidP="006F5E4C">
      <w:pPr>
        <w:pStyle w:val="Subhead1"/>
      </w:pPr>
      <w:r>
        <w:br w:type="column"/>
      </w:r>
      <w:r w:rsidR="006F5E4C" w:rsidRPr="00D06A61">
        <w:t>Information, assessment and provision</w:t>
      </w:r>
    </w:p>
    <w:p w14:paraId="22D3868E" w14:textId="77777777" w:rsidR="002C16CD" w:rsidRPr="00AF07CA" w:rsidRDefault="002C16CD" w:rsidP="00923487">
      <w:pPr>
        <w:pStyle w:val="ParaKeep"/>
      </w:pPr>
      <w:r w:rsidRPr="00AF07CA">
        <w:t>The DEP use a clinical framework for prescription of equipment that includes:</w:t>
      </w:r>
    </w:p>
    <w:p w14:paraId="27DDAB29" w14:textId="6CF16F85" w:rsidR="002C16CD" w:rsidRPr="00AF07CA" w:rsidRDefault="002C16CD" w:rsidP="00923487">
      <w:pPr>
        <w:pStyle w:val="TableBullet1"/>
      </w:pPr>
      <w:r w:rsidRPr="00AF07CA">
        <w:t>Clinical guidelines documenting criteria for the prescription of each equipment type</w:t>
      </w:r>
    </w:p>
    <w:p w14:paraId="7DFC18DC" w14:textId="0952918A" w:rsidR="002C16CD" w:rsidRPr="00AF07CA" w:rsidRDefault="002C16CD" w:rsidP="00923487">
      <w:pPr>
        <w:pStyle w:val="TableBullet1"/>
      </w:pPr>
      <w:r w:rsidRPr="00AF07CA">
        <w:t>Approved Prescriber Registration which requires prescribing therapists to be appropriately qualified and experienced to prescribe equipment items. Approved prescribers include allied health professionals and specialist nurses.</w:t>
      </w:r>
    </w:p>
    <w:p w14:paraId="4B52AF60" w14:textId="77777777" w:rsidR="002C16CD" w:rsidRPr="005A2B12" w:rsidRDefault="002C16CD" w:rsidP="004C7E26">
      <w:pPr>
        <w:pStyle w:val="Paragraph"/>
      </w:pPr>
      <w:r w:rsidRPr="00AF07CA">
        <w:t xml:space="preserve">DEP offer repairs and maintenance for AT </w:t>
      </w:r>
      <w:r>
        <w:t>and if</w:t>
      </w:r>
      <w:r w:rsidRPr="00AF07CA">
        <w:t xml:space="preserve"> equipment must be taken away for repair, DEP will provide alternative equipment. </w:t>
      </w:r>
    </w:p>
    <w:p w14:paraId="3B934F0E" w14:textId="77777777" w:rsidR="006F5E4C" w:rsidRPr="00EC48FA" w:rsidRDefault="006F5E4C" w:rsidP="006F5E4C">
      <w:pPr>
        <w:pStyle w:val="Subhead1"/>
      </w:pPr>
      <w:r w:rsidRPr="00EC48FA">
        <w:t>Key eligibility</w:t>
      </w:r>
      <w:r>
        <w:t xml:space="preserve"> and </w:t>
      </w:r>
      <w:r w:rsidRPr="00EC48FA">
        <w:t>exclusion criteria</w:t>
      </w:r>
    </w:p>
    <w:p w14:paraId="3E1ECEAA" w14:textId="77777777" w:rsidR="002C16CD" w:rsidRPr="00EC48FA" w:rsidRDefault="002C16CD" w:rsidP="00B86F08">
      <w:pPr>
        <w:pStyle w:val="TableBullet1"/>
      </w:pPr>
      <w:r w:rsidRPr="00EC48FA">
        <w:t>Have a disability of a permanent or long-term duration</w:t>
      </w:r>
    </w:p>
    <w:p w14:paraId="3EEB32F7" w14:textId="77777777" w:rsidR="002C16CD" w:rsidRPr="00EC48FA" w:rsidRDefault="002C16CD" w:rsidP="00B86F08">
      <w:pPr>
        <w:pStyle w:val="TableBullet1"/>
      </w:pPr>
      <w:r>
        <w:t>P</w:t>
      </w:r>
      <w:r w:rsidRPr="00EC48FA">
        <w:t>ermanent residents of the NT</w:t>
      </w:r>
    </w:p>
    <w:p w14:paraId="600EF416" w14:textId="77777777" w:rsidR="002C16CD" w:rsidRPr="00EC48FA" w:rsidRDefault="002C16CD" w:rsidP="00B86F08">
      <w:pPr>
        <w:pStyle w:val="TableBullet1"/>
      </w:pPr>
      <w:r>
        <w:t>L</w:t>
      </w:r>
      <w:r w:rsidRPr="00EC48FA">
        <w:t>iving in or returning to the community, and are not a High Care resident of a Residential Aged Care facility</w:t>
      </w:r>
    </w:p>
    <w:p w14:paraId="38B6DF56" w14:textId="77777777" w:rsidR="002C16CD" w:rsidRPr="00EC48FA" w:rsidRDefault="002C16CD" w:rsidP="00B86F08">
      <w:pPr>
        <w:pStyle w:val="TableBullet1"/>
      </w:pPr>
      <w:r>
        <w:t>N</w:t>
      </w:r>
      <w:r w:rsidRPr="00EC48FA">
        <w:t>ot eligible to receive the equipment under any other government-funded program</w:t>
      </w:r>
    </w:p>
    <w:p w14:paraId="5AA2BCEF" w14:textId="77777777" w:rsidR="002C16CD" w:rsidRPr="005A2B12" w:rsidRDefault="002C16CD" w:rsidP="00B86F08">
      <w:pPr>
        <w:pStyle w:val="TableBullet1"/>
      </w:pPr>
      <w:r>
        <w:t>B</w:t>
      </w:r>
      <w:r w:rsidRPr="00EC48FA">
        <w:t>eneficiaries of a full Centrelink Disability Support or Age Pension.</w:t>
      </w:r>
    </w:p>
    <w:p w14:paraId="19467E92" w14:textId="32617EC1" w:rsidR="00555E31" w:rsidRPr="00555E31" w:rsidRDefault="00555E31" w:rsidP="00555E31">
      <w:pPr>
        <w:rPr>
          <w:rFonts w:eastAsia="Arial Unicode MS"/>
        </w:rPr>
      </w:pPr>
      <w:r>
        <w:br w:type="page"/>
      </w:r>
    </w:p>
    <w:p w14:paraId="61488596"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34924A86" w14:textId="77777777" w:rsidR="008545DA" w:rsidRDefault="002C16CD" w:rsidP="00B4797D">
      <w:pPr>
        <w:pStyle w:val="Archetype"/>
      </w:pPr>
      <w:r w:rsidRPr="0091313B">
        <w:lastRenderedPageBreak/>
        <w:t>TasEquip</w:t>
      </w:r>
    </w:p>
    <w:p w14:paraId="0EB3DCF0" w14:textId="35B27678" w:rsidR="002C16CD" w:rsidRPr="0091313B" w:rsidRDefault="008545DA" w:rsidP="008545DA">
      <w:pPr>
        <w:pStyle w:val="Summary"/>
      </w:pPr>
      <w:r w:rsidRPr="008545DA">
        <w:rPr>
          <w:rStyle w:val="Bold"/>
        </w:rPr>
        <w:t>Funder/​Administrator:</w:t>
      </w:r>
      <w:r w:rsidR="002C16CD">
        <w:t xml:space="preserve"> Tasmanian Gov</w:t>
      </w:r>
      <w:r w:rsidR="00151BD5">
        <w:t>ernment</w:t>
      </w:r>
    </w:p>
    <w:p w14:paraId="7DB6CF3E"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252F8E59" w14:textId="4072586B" w:rsidR="002C16CD" w:rsidRPr="00EC48FA" w:rsidRDefault="002C16CD" w:rsidP="004C7E26">
      <w:pPr>
        <w:pStyle w:val="Paragraph"/>
      </w:pPr>
      <w:r w:rsidRPr="005861D8">
        <w:t xml:space="preserve">TasEquip is a state-wide equipment scheme that has warehouses in all regions. TasEquip provides equipment options for eligible consumers who require equipment to support basic, everyday tasks which cannot be met by a non-assistive equipment solution. TasEquip operate under a refurbishment model and not all </w:t>
      </w:r>
      <w:r>
        <w:t xml:space="preserve">items </w:t>
      </w:r>
      <w:r w:rsidRPr="005861D8">
        <w:t>are new when issued.</w:t>
      </w:r>
    </w:p>
    <w:p w14:paraId="602D44E7" w14:textId="77777777" w:rsidR="006F5E4C" w:rsidRPr="00EC48FA" w:rsidRDefault="006F5E4C" w:rsidP="006F5E4C">
      <w:pPr>
        <w:pStyle w:val="Subhead1"/>
      </w:pPr>
      <w:r w:rsidRPr="00EC48FA">
        <w:t>AT provided</w:t>
      </w:r>
    </w:p>
    <w:p w14:paraId="2C74B7C9" w14:textId="77777777" w:rsidR="002C16CD" w:rsidRPr="00EC48FA" w:rsidRDefault="002C16CD" w:rsidP="004C7E26">
      <w:pPr>
        <w:pStyle w:val="Paragraph"/>
      </w:pPr>
      <w:r w:rsidRPr="005861D8">
        <w:t>TasEquip provides a defined range of assistive technology to eligible Tasmanians to improve their capacity to safely engage in basic, everyday tasks.</w:t>
      </w:r>
      <w:r>
        <w:t xml:space="preserve"> There is n</w:t>
      </w:r>
      <w:r w:rsidRPr="00850BD5">
        <w:t xml:space="preserve">o publicly available list of AT products funded by </w:t>
      </w:r>
      <w:r>
        <w:t>TasEquip</w:t>
      </w:r>
      <w:r w:rsidRPr="00850BD5">
        <w:t>.</w:t>
      </w:r>
    </w:p>
    <w:p w14:paraId="64007249" w14:textId="1DBE6848" w:rsidR="006F5E4C" w:rsidRPr="00EC48FA" w:rsidRDefault="00555E31" w:rsidP="00555E31">
      <w:pPr>
        <w:pStyle w:val="Subhead1"/>
        <w:numPr>
          <w:ilvl w:val="0"/>
          <w:numId w:val="0"/>
        </w:numPr>
      </w:pPr>
      <w:r>
        <w:rPr>
          <w:highlight w:val="lightGray"/>
        </w:rPr>
        <w:br w:type="column"/>
      </w:r>
      <w:r w:rsidR="006F5E4C" w:rsidRPr="00D06A61">
        <w:t>Information, assessment and provision</w:t>
      </w:r>
    </w:p>
    <w:p w14:paraId="14BB707D" w14:textId="77777777" w:rsidR="002C16CD" w:rsidRPr="004C7E26" w:rsidRDefault="002C16CD" w:rsidP="004C7E26">
      <w:pPr>
        <w:pStyle w:val="Paragraph"/>
        <w:rPr>
          <w:rStyle w:val="ParagraphChar"/>
        </w:rPr>
      </w:pPr>
      <w:r w:rsidRPr="00A37269">
        <w:t>Access to TasEquip resources is only through prescription by an authorised prescriber.</w:t>
      </w:r>
      <w:r>
        <w:t xml:space="preserve"> </w:t>
      </w:r>
      <w:r w:rsidRPr="004C7E26">
        <w:rPr>
          <w:rStyle w:val="ParagraphChar"/>
        </w:rPr>
        <w:t>Authorised prescribers are health professionals who have undertaken the required TasEquip training, who prescribe within their professional scope.</w:t>
      </w:r>
    </w:p>
    <w:p w14:paraId="75D73669" w14:textId="77777777" w:rsidR="002C16CD" w:rsidRPr="00850BD5" w:rsidRDefault="002C16CD" w:rsidP="00923487">
      <w:pPr>
        <w:pStyle w:val="ParaKeep"/>
      </w:pPr>
      <w:r w:rsidRPr="00850BD5">
        <w:t>Consumers are required to pay the following fees:</w:t>
      </w:r>
    </w:p>
    <w:p w14:paraId="5C4F5387" w14:textId="363A81F0" w:rsidR="002C16CD" w:rsidRPr="00850BD5" w:rsidRDefault="002C16CD" w:rsidP="00B86F08">
      <w:pPr>
        <w:pStyle w:val="TableBullet1"/>
      </w:pPr>
      <w:r w:rsidRPr="00850BD5">
        <w:t>Loan fee</w:t>
      </w:r>
      <w:r w:rsidR="00861912">
        <w:t xml:space="preserve"> – </w:t>
      </w:r>
      <w:r w:rsidRPr="00850BD5">
        <w:t xml:space="preserve">$50 for one or more </w:t>
      </w:r>
      <w:r>
        <w:t xml:space="preserve">items </w:t>
      </w:r>
      <w:r w:rsidRPr="00850BD5">
        <w:t>for any period up to a year</w:t>
      </w:r>
    </w:p>
    <w:p w14:paraId="6A4445C5" w14:textId="3ADD23AE" w:rsidR="002C16CD" w:rsidRPr="00850BD5" w:rsidRDefault="002C16CD" w:rsidP="00B86F08">
      <w:pPr>
        <w:pStyle w:val="TableBullet1"/>
      </w:pPr>
      <w:r w:rsidRPr="00850BD5">
        <w:t>Repair fee</w:t>
      </w:r>
      <w:r w:rsidR="00861912">
        <w:t xml:space="preserve"> – </w:t>
      </w:r>
      <w:r w:rsidRPr="00850BD5">
        <w:t>a one-off $50 per year towards any new replacement part</w:t>
      </w:r>
    </w:p>
    <w:p w14:paraId="58358DB4" w14:textId="77777777" w:rsidR="002C16CD" w:rsidRPr="00A835C5" w:rsidRDefault="002C16CD" w:rsidP="00B86F08">
      <w:pPr>
        <w:pStyle w:val="TableBullet1"/>
      </w:pPr>
      <w:r w:rsidRPr="00850BD5">
        <w:t>Replacement cost of wheelchair batteries, tyres and tubes.</w:t>
      </w:r>
    </w:p>
    <w:p w14:paraId="3EB12948" w14:textId="77777777" w:rsidR="006F5E4C" w:rsidRPr="00EC48FA" w:rsidRDefault="006F5E4C" w:rsidP="006F5E4C">
      <w:pPr>
        <w:pStyle w:val="Subhead1"/>
      </w:pPr>
      <w:r w:rsidRPr="00EC48FA">
        <w:t>Key eligibility</w:t>
      </w:r>
      <w:r>
        <w:t xml:space="preserve"> and </w:t>
      </w:r>
      <w:r w:rsidRPr="00EC48FA">
        <w:t>exclusion criteria</w:t>
      </w:r>
    </w:p>
    <w:p w14:paraId="198A04E4" w14:textId="77777777" w:rsidR="002C16CD" w:rsidRPr="00A74F07" w:rsidRDefault="002C16CD" w:rsidP="00923487">
      <w:pPr>
        <w:pStyle w:val="ParaKeep"/>
      </w:pPr>
      <w:r w:rsidRPr="00A74F07">
        <w:t>To be eligible, consumers need to meet the following criteria:</w:t>
      </w:r>
    </w:p>
    <w:p w14:paraId="5EEA51C7" w14:textId="5D732AD1" w:rsidR="002C16CD" w:rsidRPr="00A74F07" w:rsidRDefault="002C16CD" w:rsidP="00923487">
      <w:pPr>
        <w:pStyle w:val="TableBullet1"/>
      </w:pPr>
      <w:r w:rsidRPr="00A74F07">
        <w:t>Permanent Tasmanian resident</w:t>
      </w:r>
    </w:p>
    <w:p w14:paraId="5E502CE9" w14:textId="5379FF31" w:rsidR="002C16CD" w:rsidRPr="00A74F07" w:rsidRDefault="002C16CD" w:rsidP="00923487">
      <w:pPr>
        <w:pStyle w:val="TableBullet1"/>
      </w:pPr>
      <w:r w:rsidRPr="00A74F07">
        <w:t>Centrelink benefit recipient</w:t>
      </w:r>
      <w:r w:rsidR="00861912">
        <w:t xml:space="preserve"> – </w:t>
      </w:r>
      <w:r w:rsidRPr="00A74F07">
        <w:t>Health Care, Pensioner Concession</w:t>
      </w:r>
    </w:p>
    <w:p w14:paraId="44D7DCE2" w14:textId="0F9DDBE3" w:rsidR="002C16CD" w:rsidRPr="00A74F07" w:rsidRDefault="002C16CD" w:rsidP="00923487">
      <w:pPr>
        <w:pStyle w:val="TableBullet1"/>
      </w:pPr>
      <w:r w:rsidRPr="00A74F07">
        <w:t>Living in the community</w:t>
      </w:r>
    </w:p>
    <w:p w14:paraId="284195B5" w14:textId="0A2CB35C" w:rsidR="002C16CD" w:rsidRPr="005A2B12" w:rsidRDefault="002C16CD" w:rsidP="00923487">
      <w:pPr>
        <w:pStyle w:val="TableBullet1"/>
      </w:pPr>
      <w:r w:rsidRPr="00A74F07">
        <w:t>Ineligible for home care package level 3 or 4, Workers Compensation, Motor Accident Insurance Board, DVA or NDIS.</w:t>
      </w:r>
    </w:p>
    <w:p w14:paraId="3632C21C" w14:textId="2129C925" w:rsidR="00555E31" w:rsidRPr="00555E31" w:rsidRDefault="00555E31" w:rsidP="00555E31">
      <w:pPr>
        <w:rPr>
          <w:rFonts w:eastAsia="Arial Unicode MS"/>
        </w:rPr>
      </w:pPr>
      <w:r w:rsidRPr="00555E31">
        <w:br w:type="page"/>
      </w:r>
    </w:p>
    <w:p w14:paraId="5B164A96" w14:textId="77777777" w:rsidR="004C7E26" w:rsidRDefault="004C7E26" w:rsidP="00B4797D">
      <w:pPr>
        <w:pStyle w:val="Archetype"/>
        <w:sectPr w:rsidR="004C7E26" w:rsidSect="008E2DD9">
          <w:type w:val="continuous"/>
          <w:pgSz w:w="11907" w:h="16840" w:code="9"/>
          <w:pgMar w:top="1134" w:right="851" w:bottom="1134" w:left="1134" w:header="567" w:footer="624" w:gutter="0"/>
          <w:cols w:num="2" w:space="708"/>
          <w:docGrid w:linePitch="360"/>
        </w:sectPr>
      </w:pPr>
    </w:p>
    <w:p w14:paraId="1A9FDACC" w14:textId="77777777" w:rsidR="008545DA" w:rsidRDefault="002C16CD" w:rsidP="00B4797D">
      <w:pPr>
        <w:pStyle w:val="Archetype"/>
      </w:pPr>
      <w:r w:rsidRPr="00506A90">
        <w:lastRenderedPageBreak/>
        <w:t>Medical Aids Subsidy Scheme (MASS)</w:t>
      </w:r>
    </w:p>
    <w:p w14:paraId="6674DF29" w14:textId="665C0695" w:rsidR="002C16CD" w:rsidRPr="006B7866" w:rsidRDefault="008545DA" w:rsidP="008545DA">
      <w:pPr>
        <w:pStyle w:val="Summary"/>
      </w:pPr>
      <w:r w:rsidRPr="008545DA">
        <w:rPr>
          <w:rStyle w:val="Bold"/>
        </w:rPr>
        <w:t>Funder/​Administrator:</w:t>
      </w:r>
      <w:r w:rsidR="002C16CD">
        <w:t xml:space="preserve"> Qld Gov</w:t>
      </w:r>
      <w:r w:rsidR="00151BD5">
        <w:t>ernment</w:t>
      </w:r>
    </w:p>
    <w:p w14:paraId="3E29269B"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2CA2149E" w14:textId="544D8D0E" w:rsidR="002C16CD" w:rsidRPr="00EC48FA" w:rsidRDefault="002C16CD" w:rsidP="004C7E26">
      <w:pPr>
        <w:pStyle w:val="Paragraph"/>
      </w:pPr>
      <w:r w:rsidRPr="0009329E">
        <w:t>MASS provides subsidy funding for medical aids and equipment to eligible Queensland residents who have a permanent and stabilised condition or a disability. The scheme helps people to live at home and avoid early or inappropriate residential care or hospitalisation.</w:t>
      </w:r>
    </w:p>
    <w:p w14:paraId="70847632" w14:textId="77777777" w:rsidR="006F5E4C" w:rsidRPr="00EC48FA" w:rsidRDefault="006F5E4C" w:rsidP="006F5E4C">
      <w:pPr>
        <w:pStyle w:val="Subhead1"/>
      </w:pPr>
      <w:r w:rsidRPr="00EC48FA">
        <w:t>AT provided</w:t>
      </w:r>
    </w:p>
    <w:p w14:paraId="60FDBA60" w14:textId="77777777" w:rsidR="002C16CD" w:rsidRPr="00CC6C60" w:rsidRDefault="002C16CD" w:rsidP="00923487">
      <w:pPr>
        <w:pStyle w:val="ParaKeep"/>
      </w:pPr>
      <w:r w:rsidRPr="00CC6C60">
        <w:t>Assistive technology areas covered by MASS are:</w:t>
      </w:r>
    </w:p>
    <w:p w14:paraId="00E3F1EF" w14:textId="77777777" w:rsidR="002C16CD" w:rsidRPr="00CC6C60" w:rsidRDefault="002C16CD" w:rsidP="00B86F08">
      <w:pPr>
        <w:pStyle w:val="TableBullet1"/>
      </w:pPr>
      <w:r w:rsidRPr="00CC6C60">
        <w:t>Daily Living &amp; Mobility Aids</w:t>
      </w:r>
    </w:p>
    <w:p w14:paraId="43C5175F" w14:textId="77777777" w:rsidR="002C16CD" w:rsidRPr="00CC6C60" w:rsidRDefault="002C16CD" w:rsidP="00B86F08">
      <w:pPr>
        <w:pStyle w:val="TableBullet1"/>
      </w:pPr>
      <w:r w:rsidRPr="00CC6C60">
        <w:t>Medical Grade Footwear</w:t>
      </w:r>
    </w:p>
    <w:p w14:paraId="7B1E5E2B" w14:textId="77777777" w:rsidR="002C16CD" w:rsidRDefault="002C16CD" w:rsidP="00B86F08">
      <w:pPr>
        <w:pStyle w:val="TableBullet1"/>
      </w:pPr>
      <w:r w:rsidRPr="00CC6C60">
        <w:t>Orthoses</w:t>
      </w:r>
    </w:p>
    <w:p w14:paraId="570F87F0" w14:textId="77777777" w:rsidR="002C16CD" w:rsidRPr="00CC6C60" w:rsidRDefault="002C16CD" w:rsidP="00B86F08">
      <w:pPr>
        <w:pStyle w:val="TableBullet1"/>
      </w:pPr>
      <w:r w:rsidRPr="00CC6C60">
        <w:t>Continence Aids</w:t>
      </w:r>
    </w:p>
    <w:p w14:paraId="09DEE6D2" w14:textId="77777777" w:rsidR="002C16CD" w:rsidRPr="00CC6C60" w:rsidRDefault="002C16CD" w:rsidP="00B86F08">
      <w:pPr>
        <w:pStyle w:val="TableBullet1"/>
      </w:pPr>
      <w:r w:rsidRPr="00CC6C60">
        <w:t>Communication Aids</w:t>
      </w:r>
    </w:p>
    <w:p w14:paraId="4749B797" w14:textId="77777777" w:rsidR="002C16CD" w:rsidRDefault="002C16CD" w:rsidP="00B86F08">
      <w:pPr>
        <w:pStyle w:val="TableBullet1"/>
      </w:pPr>
      <w:r w:rsidRPr="00CC6C60">
        <w:t>Home Oxygen</w:t>
      </w:r>
    </w:p>
    <w:p w14:paraId="7215099F" w14:textId="77777777" w:rsidR="002C16CD" w:rsidRPr="00EC48FA" w:rsidRDefault="002C16CD" w:rsidP="004C7E26">
      <w:pPr>
        <w:pStyle w:val="Paragraph"/>
      </w:pPr>
      <w:r w:rsidRPr="006B753B">
        <w:t xml:space="preserve">Aids and equipment are subsidy funded on a permanent loan basis, through private ownership or the purchase of consumables. If </w:t>
      </w:r>
      <w:r>
        <w:t>consumer</w:t>
      </w:r>
      <w:r w:rsidRPr="006B753B">
        <w:t xml:space="preserve">s pay for more than 50% of the cost for an item, they may choose to take ownership, rather than having a permanent loan. However, this means that </w:t>
      </w:r>
      <w:r>
        <w:t>consumer</w:t>
      </w:r>
      <w:r w:rsidRPr="006B753B">
        <w:t>s assume responsibly for all repairs to that item.</w:t>
      </w:r>
    </w:p>
    <w:p w14:paraId="2983E558" w14:textId="77777777" w:rsidR="006F5E4C" w:rsidRPr="00EC48FA" w:rsidRDefault="006F5E4C" w:rsidP="006F5E4C">
      <w:pPr>
        <w:pStyle w:val="Subhead1"/>
      </w:pPr>
      <w:r w:rsidRPr="00D06A61">
        <w:t>Information, assessment and provision</w:t>
      </w:r>
    </w:p>
    <w:p w14:paraId="2C1F1CF0" w14:textId="77777777" w:rsidR="002C16CD" w:rsidRPr="005A2B12" w:rsidRDefault="002C16CD" w:rsidP="004C7E26">
      <w:pPr>
        <w:pStyle w:val="Paragraph"/>
      </w:pPr>
      <w:r>
        <w:t>Consumer</w:t>
      </w:r>
      <w:r w:rsidRPr="00707D0C">
        <w:t xml:space="preserve">s must be assessed by a health professional approved by MASS, who will help </w:t>
      </w:r>
      <w:r w:rsidRPr="00707D0C">
        <w:t xml:space="preserve">complete an application form, in conjunction with the </w:t>
      </w:r>
      <w:r>
        <w:t>consumer</w:t>
      </w:r>
      <w:r w:rsidRPr="00707D0C">
        <w:t>, and forward it to MASS for approval. MASS will pay for repairs and maintenance arising from reasonable 'wear and tear' to aids on permanent loan.</w:t>
      </w:r>
      <w:r>
        <w:t xml:space="preserve"> </w:t>
      </w:r>
      <w:r w:rsidRPr="00332651">
        <w:t xml:space="preserve">The subsidy amount varies according to the item needed. If the item costs more than the subsidy amount, </w:t>
      </w:r>
      <w:r>
        <w:t>consumer</w:t>
      </w:r>
      <w:r w:rsidRPr="00332651">
        <w:t xml:space="preserve">s must pay the extra cost directly to the supplier. Subsidies are designed to be applied per modification when a standard “off the shelf” item is always suitable. This methodology enables the </w:t>
      </w:r>
      <w:r>
        <w:t>consumer</w:t>
      </w:r>
      <w:r w:rsidRPr="00332651">
        <w:t xml:space="preserve"> to receive greater benefit from the subsidy amount.</w:t>
      </w:r>
    </w:p>
    <w:p w14:paraId="331C1B24" w14:textId="77777777" w:rsidR="006F5E4C" w:rsidRPr="00EC48FA" w:rsidRDefault="006F5E4C" w:rsidP="006F5E4C">
      <w:pPr>
        <w:pStyle w:val="Subhead1"/>
      </w:pPr>
      <w:r w:rsidRPr="00EC48FA">
        <w:t>Key eligibility</w:t>
      </w:r>
      <w:r>
        <w:t xml:space="preserve"> and </w:t>
      </w:r>
      <w:r w:rsidRPr="00EC48FA">
        <w:t>exclusion criteria</w:t>
      </w:r>
    </w:p>
    <w:p w14:paraId="40A5E68C" w14:textId="77777777" w:rsidR="002C16CD" w:rsidRPr="000D6E6B" w:rsidRDefault="002C16CD" w:rsidP="00923487">
      <w:pPr>
        <w:pStyle w:val="ParaKeep"/>
        <w:rPr>
          <w:szCs w:val="20"/>
        </w:rPr>
      </w:pPr>
      <w:r w:rsidRPr="000D6E6B">
        <w:rPr>
          <w:szCs w:val="20"/>
        </w:rPr>
        <w:t>You may be eligible for assistance under MASS if you:</w:t>
      </w:r>
    </w:p>
    <w:p w14:paraId="378A6E03" w14:textId="77777777" w:rsidR="002C16CD" w:rsidRPr="000D6E6B" w:rsidRDefault="002C16CD" w:rsidP="00B86F08">
      <w:pPr>
        <w:pStyle w:val="TableBullet1"/>
      </w:pPr>
      <w:r w:rsidRPr="000D6E6B">
        <w:t>Are a permanent resident of Queensland</w:t>
      </w:r>
    </w:p>
    <w:p w14:paraId="54AB4B2C" w14:textId="77777777" w:rsidR="002C16CD" w:rsidRPr="000D6E6B" w:rsidRDefault="002C16CD" w:rsidP="00B86F08">
      <w:pPr>
        <w:pStyle w:val="TableBullet1"/>
      </w:pPr>
      <w:r w:rsidRPr="000D6E6B">
        <w:t>Have a permanent or stable condition or disability</w:t>
      </w:r>
    </w:p>
    <w:p w14:paraId="4A6FA7E8" w14:textId="77777777" w:rsidR="002C16CD" w:rsidRPr="000D6E6B" w:rsidRDefault="002C16CD" w:rsidP="00B86F08">
      <w:pPr>
        <w:pStyle w:val="TableBullet1"/>
      </w:pPr>
      <w:r w:rsidRPr="000D6E6B">
        <w:t>Hold a Pensioner Concession Card, Health Care Card or Queensland Government Seniors Card</w:t>
      </w:r>
    </w:p>
    <w:p w14:paraId="38894FB7" w14:textId="77777777" w:rsidR="002C16CD" w:rsidRPr="005A2B12" w:rsidRDefault="002C16CD" w:rsidP="00B86F08">
      <w:pPr>
        <w:pStyle w:val="TableBullet1"/>
        <w:rPr>
          <w:rFonts w:cs="Times New Roman"/>
          <w:color w:val="000000" w:themeColor="text1"/>
        </w:rPr>
      </w:pPr>
      <w:r w:rsidRPr="000D6E6B">
        <w:t>Meet the clinical criteria for each aid.</w:t>
      </w:r>
    </w:p>
    <w:p w14:paraId="5B5EFD7A" w14:textId="74903157" w:rsidR="00555E31" w:rsidRPr="00555E31" w:rsidRDefault="00555E31" w:rsidP="00555E31">
      <w:pPr>
        <w:rPr>
          <w:rFonts w:eastAsia="Arial Unicode MS"/>
        </w:rPr>
      </w:pPr>
      <w:r w:rsidRPr="00555E31">
        <w:br w:type="page"/>
      </w:r>
    </w:p>
    <w:p w14:paraId="5AC1CA12" w14:textId="77777777" w:rsidR="004C7E26" w:rsidRPr="00555E31" w:rsidRDefault="004C7E26" w:rsidP="00555E31">
      <w:pPr>
        <w:sectPr w:rsidR="004C7E26" w:rsidRPr="00555E31" w:rsidSect="008E2DD9">
          <w:type w:val="continuous"/>
          <w:pgSz w:w="11907" w:h="16840" w:code="9"/>
          <w:pgMar w:top="1134" w:right="851" w:bottom="1134" w:left="1134" w:header="567" w:footer="624" w:gutter="0"/>
          <w:cols w:num="2" w:space="708"/>
          <w:docGrid w:linePitch="360"/>
        </w:sectPr>
      </w:pPr>
    </w:p>
    <w:p w14:paraId="05DC4F31" w14:textId="77777777" w:rsidR="008545DA" w:rsidRDefault="002C16CD" w:rsidP="00B4797D">
      <w:pPr>
        <w:pStyle w:val="Archetype"/>
      </w:pPr>
      <w:r w:rsidRPr="00FF32F4">
        <w:lastRenderedPageBreak/>
        <w:t>EnableNSW</w:t>
      </w:r>
    </w:p>
    <w:p w14:paraId="2620767B" w14:textId="7A68A00D" w:rsidR="002C16CD" w:rsidRPr="008420E0" w:rsidRDefault="008545DA" w:rsidP="008545DA">
      <w:pPr>
        <w:pStyle w:val="Summary"/>
      </w:pPr>
      <w:r w:rsidRPr="008545DA">
        <w:rPr>
          <w:rStyle w:val="Bold"/>
        </w:rPr>
        <w:t>Funder</w:t>
      </w:r>
      <w:r w:rsidR="00555E31">
        <w:rPr>
          <w:rStyle w:val="Bold"/>
        </w:rPr>
        <w:t>:</w:t>
      </w:r>
      <w:r w:rsidR="00555E31" w:rsidRPr="00555E31">
        <w:t xml:space="preserve"> </w:t>
      </w:r>
      <w:r w:rsidR="002C16CD" w:rsidRPr="007C155A">
        <w:t xml:space="preserve">NSW </w:t>
      </w:r>
      <w:r w:rsidR="002C16CD">
        <w:t>Gov</w:t>
      </w:r>
      <w:r w:rsidR="00151BD5">
        <w:t>ernment</w:t>
      </w:r>
      <w:r w:rsidR="002C16CD" w:rsidRPr="007C155A">
        <w:t xml:space="preserve"> </w:t>
      </w:r>
      <w:r w:rsidR="00555E31" w:rsidRPr="00CE7950">
        <w:rPr>
          <w:rStyle w:val="Blue"/>
        </w:rPr>
        <w:t>|</w:t>
      </w:r>
      <w:r w:rsidR="00555E31" w:rsidRPr="00CE7950">
        <w:rPr>
          <w:rStyle w:val="Bold"/>
        </w:rPr>
        <w:t xml:space="preserve"> Administrator: </w:t>
      </w:r>
      <w:r w:rsidR="002C16CD" w:rsidRPr="007C155A">
        <w:t>NSW Health</w:t>
      </w:r>
    </w:p>
    <w:p w14:paraId="3A77BFC4" w14:textId="77777777" w:rsidR="004C7E26" w:rsidRDefault="004C7E26" w:rsidP="004C7E26">
      <w:pPr>
        <w:pStyle w:val="Paragraph"/>
        <w:sectPr w:rsidR="004C7E26" w:rsidSect="004C7E26">
          <w:type w:val="continuous"/>
          <w:pgSz w:w="11907" w:h="16840" w:code="9"/>
          <w:pgMar w:top="1134" w:right="851" w:bottom="1134" w:left="1134" w:header="567" w:footer="624" w:gutter="0"/>
          <w:cols w:space="708"/>
          <w:docGrid w:linePitch="360"/>
        </w:sectPr>
      </w:pPr>
    </w:p>
    <w:p w14:paraId="466E17E9" w14:textId="662F2A54" w:rsidR="002C16CD" w:rsidRDefault="002C16CD" w:rsidP="004C7E26">
      <w:pPr>
        <w:pStyle w:val="Paragraph"/>
      </w:pPr>
      <w:r w:rsidRPr="00C97FFD">
        <w:t>The Aids and Equipment Program is a NSW Government initiative to assist eligible residents of NSW</w:t>
      </w:r>
      <w:r>
        <w:t xml:space="preserve"> </w:t>
      </w:r>
      <w:r w:rsidRPr="00C97FFD">
        <w:t>to live and participate within their community by providing appropriate equipment, aids and appliances.</w:t>
      </w:r>
      <w:r>
        <w:t xml:space="preserve"> </w:t>
      </w:r>
      <w:r w:rsidRPr="00C97FFD">
        <w:t>EnableNSW provides equipment and services to people in NSW with chronic health conditions or disability to assist them with mobility, communication and self-care. They also provide financial assistance for people who have to travel significant distances to access specialist medical treatment which is not available locally.</w:t>
      </w:r>
    </w:p>
    <w:p w14:paraId="08982D93" w14:textId="77777777" w:rsidR="002C16CD" w:rsidRPr="001F5FFB" w:rsidRDefault="002C16CD" w:rsidP="00923487">
      <w:pPr>
        <w:pStyle w:val="ParaKeep"/>
      </w:pPr>
      <w:r w:rsidRPr="001F5FFB">
        <w:t xml:space="preserve">As part of HealthShare NSW, EnableNSW is responsible for the administration of NSW Health disability support and other assistance </w:t>
      </w:r>
      <w:r>
        <w:t xml:space="preserve">programs </w:t>
      </w:r>
      <w:r w:rsidRPr="001F5FFB">
        <w:t>including:</w:t>
      </w:r>
    </w:p>
    <w:p w14:paraId="51191168" w14:textId="77777777" w:rsidR="002C16CD" w:rsidRPr="00EC48FA" w:rsidRDefault="002C16CD" w:rsidP="00B86F08">
      <w:pPr>
        <w:pStyle w:val="TableBullet1"/>
      </w:pPr>
      <w:r w:rsidRPr="00EC48FA">
        <w:t>Aids and Equipment Program</w:t>
      </w:r>
    </w:p>
    <w:p w14:paraId="49BD94AD" w14:textId="77777777" w:rsidR="002C16CD" w:rsidRPr="00EC48FA" w:rsidRDefault="002C16CD" w:rsidP="00B86F08">
      <w:pPr>
        <w:pStyle w:val="TableBullet1"/>
      </w:pPr>
      <w:r w:rsidRPr="00EC48FA">
        <w:t>Continence Assistance</w:t>
      </w:r>
    </w:p>
    <w:p w14:paraId="08FD9F25" w14:textId="77777777" w:rsidR="002C16CD" w:rsidRPr="00EC48FA" w:rsidRDefault="002C16CD" w:rsidP="00B86F08">
      <w:pPr>
        <w:pStyle w:val="TableBullet1"/>
      </w:pPr>
      <w:r w:rsidRPr="00EC48FA">
        <w:t xml:space="preserve">Home Respiratory Program </w:t>
      </w:r>
    </w:p>
    <w:p w14:paraId="04CF104F" w14:textId="77777777" w:rsidR="002C16CD" w:rsidRPr="00EC48FA" w:rsidRDefault="002C16CD" w:rsidP="00B86F08">
      <w:pPr>
        <w:pStyle w:val="TableBullet1"/>
      </w:pPr>
      <w:r w:rsidRPr="00EC48FA">
        <w:t xml:space="preserve">Prosthetic Limb Service </w:t>
      </w:r>
    </w:p>
    <w:p w14:paraId="16B14D37" w14:textId="77777777" w:rsidR="002C16CD" w:rsidRDefault="002C16CD" w:rsidP="00B86F08">
      <w:pPr>
        <w:pStyle w:val="TableBullet1"/>
      </w:pPr>
      <w:r w:rsidRPr="00EC48FA">
        <w:t xml:space="preserve">Specialised Equipment Essential for Discharge </w:t>
      </w:r>
    </w:p>
    <w:p w14:paraId="2AEBF865" w14:textId="77777777" w:rsidR="002C16CD" w:rsidRPr="00EC48FA" w:rsidRDefault="002C16CD" w:rsidP="004C7E26">
      <w:pPr>
        <w:pStyle w:val="Paragraph"/>
      </w:pPr>
      <w:r w:rsidRPr="009A60AB">
        <w:t xml:space="preserve">NSW Health is currently finalising the review of the </w:t>
      </w:r>
      <w:r>
        <w:t>AT</w:t>
      </w:r>
      <w:r w:rsidRPr="009A60AB">
        <w:t xml:space="preserve"> Policy Directive to ensure currency with refor</w:t>
      </w:r>
      <w:r>
        <w:t>Ms </w:t>
      </w:r>
      <w:r w:rsidRPr="009A60AB">
        <w:t>in the disability and aged care spaces</w:t>
      </w:r>
      <w:r>
        <w:t xml:space="preserve">. </w:t>
      </w:r>
      <w:r w:rsidRPr="00BA1FEF">
        <w:t xml:space="preserve">NSW Health also provides short term </w:t>
      </w:r>
      <w:r>
        <w:t>AT</w:t>
      </w:r>
      <w:r w:rsidRPr="00BA1FEF">
        <w:t xml:space="preserve"> loans to ensure safe and timely discharge from hospital. This is done through 150 Equipment Loan Pools located within Local Health Districts and Specialty Health Networks.</w:t>
      </w:r>
    </w:p>
    <w:p w14:paraId="57655F13" w14:textId="4F0EF106" w:rsidR="00A06311" w:rsidRPr="00EC48FA" w:rsidRDefault="00555E31" w:rsidP="00A06311">
      <w:pPr>
        <w:pStyle w:val="Subhead1"/>
      </w:pPr>
      <w:r>
        <w:br w:type="column"/>
      </w:r>
      <w:r w:rsidR="00A06311" w:rsidRPr="00EC48FA">
        <w:t>AT provided</w:t>
      </w:r>
    </w:p>
    <w:p w14:paraId="39A5041F" w14:textId="77777777" w:rsidR="002C16CD" w:rsidRDefault="002C16CD" w:rsidP="004C7E26">
      <w:pPr>
        <w:pStyle w:val="Paragraph"/>
      </w:pPr>
      <w:r w:rsidRPr="00CF4047">
        <w:t>As a service directed to people who are financially disadvantaged, access to EnableNSW is means tested for adults for most categories of assistive technology.</w:t>
      </w:r>
    </w:p>
    <w:p w14:paraId="0A9BF367" w14:textId="77777777" w:rsidR="002C16CD" w:rsidRPr="00D121C4" w:rsidRDefault="002C16CD" w:rsidP="004C7E26">
      <w:pPr>
        <w:pStyle w:val="Paragraph"/>
      </w:pPr>
      <w:r w:rsidRPr="00D121C4">
        <w:rPr>
          <w:b/>
        </w:rPr>
        <w:t>Band 1:</w:t>
      </w:r>
      <w:r w:rsidRPr="00D121C4">
        <w:t xml:space="preserve"> Adults </w:t>
      </w:r>
      <w:r>
        <w:t>on</w:t>
      </w:r>
      <w:r w:rsidRPr="00D121C4">
        <w:t xml:space="preserve"> a full pension </w:t>
      </w:r>
      <w:r>
        <w:t>and</w:t>
      </w:r>
      <w:r w:rsidRPr="00D121C4">
        <w:t xml:space="preserve"> children &lt;16 years are eligible as Band 1 consumers. Consumers in Band 1 are eligible to receive assistance for all devices costing over $100 and are required to pay a $100 co-payment per annum</w:t>
      </w:r>
    </w:p>
    <w:p w14:paraId="1BD57D9A" w14:textId="77777777" w:rsidR="002C16CD" w:rsidRPr="00D121C4" w:rsidRDefault="002C16CD" w:rsidP="004C7E26">
      <w:pPr>
        <w:pStyle w:val="Paragraph"/>
      </w:pPr>
      <w:r w:rsidRPr="00D121C4">
        <w:rPr>
          <w:b/>
        </w:rPr>
        <w:t>Band 2:</w:t>
      </w:r>
      <w:r w:rsidRPr="00D121C4">
        <w:t xml:space="preserve"> Adults aged 16+ and above whose taxable income in the preceding financial year was less than or equal to $42,000 (single) or $70,000 (couple or family) are eligible as Band 2 consumers. Consumers in Band 2 are eligible to receive assistance for all devices costing over $100 and are required to pay a $100 co-payment per</w:t>
      </w:r>
    </w:p>
    <w:p w14:paraId="684045D9" w14:textId="77777777" w:rsidR="002C16CD" w:rsidRPr="00D121C4" w:rsidRDefault="002C16CD" w:rsidP="004C7E26">
      <w:pPr>
        <w:pStyle w:val="Paragraph"/>
      </w:pPr>
      <w:r w:rsidRPr="00D121C4">
        <w:rPr>
          <w:b/>
        </w:rPr>
        <w:t>Band 3:</w:t>
      </w:r>
      <w:r w:rsidRPr="00D121C4">
        <w:t xml:space="preserve"> Adults aged 16 years+ whose taxable income in the preceding financial year was above $42,000 (single) or $70,000 (couple or family) are eligible as Band 3 consumers. Consumers in Band 3 are eligible to receive assistance for high cost devices over $800 and are required to pay 20% of the cost of the device.</w:t>
      </w:r>
    </w:p>
    <w:p w14:paraId="04C48BEC" w14:textId="4F099B06" w:rsidR="002C16CD" w:rsidRPr="00D121C4" w:rsidRDefault="002C16CD" w:rsidP="004C7E26">
      <w:pPr>
        <w:pStyle w:val="Paragraph"/>
      </w:pPr>
      <w:r w:rsidRPr="00D121C4">
        <w:rPr>
          <w:b/>
        </w:rPr>
        <w:t>Prosthetic Limbs</w:t>
      </w:r>
      <w:r w:rsidR="00861912">
        <w:rPr>
          <w:b/>
        </w:rPr>
        <w:t xml:space="preserve"> – </w:t>
      </w:r>
      <w:r w:rsidRPr="00D121C4">
        <w:rPr>
          <w:b/>
        </w:rPr>
        <w:t>Band 1:</w:t>
      </w:r>
      <w:r w:rsidRPr="00D121C4">
        <w:t xml:space="preserve"> Consumers holding a valid Pensioner Concession Card, a valid Health Care Card or a valid Seniors Health Card. No co-payment is required for consumers in this band receiving prosthetic limbs.</w:t>
      </w:r>
    </w:p>
    <w:p w14:paraId="03389A68" w14:textId="4582F91C" w:rsidR="002C16CD" w:rsidRPr="00EC48FA" w:rsidRDefault="002C16CD" w:rsidP="004C7E26">
      <w:pPr>
        <w:pStyle w:val="Paragraph"/>
      </w:pPr>
      <w:r w:rsidRPr="00D121C4">
        <w:rPr>
          <w:b/>
        </w:rPr>
        <w:t>Prosthetic Limbs</w:t>
      </w:r>
      <w:r w:rsidR="00861912">
        <w:rPr>
          <w:b/>
        </w:rPr>
        <w:t xml:space="preserve"> – </w:t>
      </w:r>
      <w:r w:rsidRPr="00D121C4">
        <w:rPr>
          <w:b/>
        </w:rPr>
        <w:t>Band 2</w:t>
      </w:r>
      <w:r w:rsidRPr="00D121C4">
        <w:t xml:space="preserve">: All consumers who do not have a valid </w:t>
      </w:r>
      <w:r>
        <w:t>concession card</w:t>
      </w:r>
      <w:r w:rsidRPr="00D121C4">
        <w:t xml:space="preserve"> are assessed as Band 2. Consumers in Band 2 receiving prosthetic limbs are required to pay 15% of the scheduled cost of the provision, maintenance and repair of their prostheses up to a maximum of $200 per financial year.</w:t>
      </w:r>
    </w:p>
    <w:p w14:paraId="163D5C84" w14:textId="77777777" w:rsidR="00A06311" w:rsidRPr="00EC48FA" w:rsidRDefault="00A06311" w:rsidP="00A06311">
      <w:pPr>
        <w:pStyle w:val="Subhead1"/>
      </w:pPr>
      <w:r w:rsidRPr="00D06A61">
        <w:lastRenderedPageBreak/>
        <w:t>Information, assessment and provision</w:t>
      </w:r>
    </w:p>
    <w:p w14:paraId="2D8827B4" w14:textId="77777777" w:rsidR="002C16CD" w:rsidRPr="008F0CB7" w:rsidRDefault="002C16CD" w:rsidP="004C7E26">
      <w:pPr>
        <w:pStyle w:val="Paragraph"/>
      </w:pPr>
      <w:r w:rsidRPr="008F0CB7">
        <w:t>An Equipment Request Form, which describes the individual’s functional or clinical needs for the equipment, is required to be completed by an eligible prescriber. Completed applications and requests are assessed for eligibility and applicants are notified in writing of the outcome and expected timeframe for funding.</w:t>
      </w:r>
    </w:p>
    <w:p w14:paraId="5B67E667" w14:textId="77777777" w:rsidR="002C16CD" w:rsidRPr="00E20FCC" w:rsidRDefault="002C16CD" w:rsidP="00923487">
      <w:pPr>
        <w:pStyle w:val="ParaKeep"/>
        <w:rPr>
          <w:szCs w:val="20"/>
        </w:rPr>
      </w:pPr>
      <w:r w:rsidRPr="008F0CB7">
        <w:rPr>
          <w:szCs w:val="20"/>
        </w:rPr>
        <w:t>EnableNSW is responsible for maintenance and reasonable repairs to equipment it has funded and can be contacted via email or telephone to arrange this.</w:t>
      </w:r>
      <w:r>
        <w:rPr>
          <w:szCs w:val="20"/>
        </w:rPr>
        <w:t xml:space="preserve"> </w:t>
      </w:r>
      <w:r w:rsidRPr="008F0CB7">
        <w:rPr>
          <w:szCs w:val="20"/>
        </w:rPr>
        <w:t>Most devices issued through EnableNSW remain the property of NSW Health. Consumers are expected to return devices issued through EnableNSW when the devices are no longer required or being used.</w:t>
      </w:r>
      <w:r>
        <w:rPr>
          <w:szCs w:val="20"/>
        </w:rPr>
        <w:t xml:space="preserve"> </w:t>
      </w:r>
      <w:r w:rsidRPr="00E20FCC">
        <w:rPr>
          <w:szCs w:val="20"/>
        </w:rPr>
        <w:t>NSW Health may charge fees for equipment usage, loan, delivery and/or repairs and servicing. Fees are not charged to cover the full cost of equipment, but to ensure:</w:t>
      </w:r>
    </w:p>
    <w:p w14:paraId="3BFEEF3C" w14:textId="77777777" w:rsidR="002C16CD" w:rsidRPr="00E20FCC" w:rsidRDefault="002C16CD" w:rsidP="00B86F08">
      <w:pPr>
        <w:pStyle w:val="TableBullet1"/>
      </w:pPr>
      <w:r w:rsidRPr="00E20FCC">
        <w:t>Contributions to the cost of the equipment (such as purchasing, administration, staffing and storage costs).</w:t>
      </w:r>
    </w:p>
    <w:p w14:paraId="3E2CA744" w14:textId="77777777" w:rsidR="002C16CD" w:rsidRPr="00E20FCC" w:rsidRDefault="002C16CD" w:rsidP="00B86F08">
      <w:pPr>
        <w:pStyle w:val="TableBullet1"/>
      </w:pPr>
      <w:r w:rsidRPr="00E20FCC">
        <w:t xml:space="preserve">Equipment is returned as soon as it is no longer needed </w:t>
      </w:r>
    </w:p>
    <w:p w14:paraId="5219A6B5" w14:textId="77777777" w:rsidR="002C16CD" w:rsidRPr="005A2B12" w:rsidRDefault="002C16CD" w:rsidP="00B86F08">
      <w:pPr>
        <w:pStyle w:val="TableBullet1"/>
      </w:pPr>
      <w:r w:rsidRPr="00E20FCC">
        <w:t>Equipment is looked after while it is in use.</w:t>
      </w:r>
    </w:p>
    <w:p w14:paraId="394C217E" w14:textId="5991AC24" w:rsidR="00A06311" w:rsidRPr="00EC48FA" w:rsidRDefault="00555E31" w:rsidP="00A06311">
      <w:pPr>
        <w:pStyle w:val="Subhead1"/>
      </w:pPr>
      <w:r>
        <w:br w:type="column"/>
      </w:r>
      <w:r w:rsidR="00A06311" w:rsidRPr="00EC48FA">
        <w:t>Key eligibility</w:t>
      </w:r>
      <w:r w:rsidR="00A06311">
        <w:t xml:space="preserve"> and </w:t>
      </w:r>
      <w:r w:rsidR="00A06311" w:rsidRPr="00EC48FA">
        <w:t>exclusion criteria</w:t>
      </w:r>
    </w:p>
    <w:p w14:paraId="3D1D40C6" w14:textId="77777777" w:rsidR="002C16CD" w:rsidRPr="00EC48FA" w:rsidRDefault="002C16CD" w:rsidP="00B86F08">
      <w:pPr>
        <w:pStyle w:val="TableBullet1"/>
      </w:pPr>
      <w:r w:rsidRPr="00EC48FA">
        <w:t>The person is a permanent resident of NSW, or a refugee residing in NSW</w:t>
      </w:r>
    </w:p>
    <w:p w14:paraId="264ACFA9" w14:textId="77777777" w:rsidR="002C16CD" w:rsidRPr="00EC48FA" w:rsidRDefault="002C16CD" w:rsidP="00B86F08">
      <w:pPr>
        <w:pStyle w:val="TableBullet1"/>
      </w:pPr>
      <w:r w:rsidRPr="00EC48FA">
        <w:t>The person has a permanent or long-term disability</w:t>
      </w:r>
    </w:p>
    <w:p w14:paraId="1F0D572B" w14:textId="77777777" w:rsidR="002C16CD" w:rsidRPr="00EC48FA" w:rsidRDefault="002C16CD" w:rsidP="00B86F08">
      <w:pPr>
        <w:pStyle w:val="TableBullet1"/>
      </w:pPr>
      <w:r w:rsidRPr="00EC48FA">
        <w:t>The person has long-term assistive technology needs that have stabilised and allow them to remain in a community setting</w:t>
      </w:r>
    </w:p>
    <w:p w14:paraId="5DD5DF1E" w14:textId="77777777" w:rsidR="002C16CD" w:rsidRPr="00EC48FA" w:rsidRDefault="002C16CD" w:rsidP="00B86F08">
      <w:pPr>
        <w:pStyle w:val="TableBullet1"/>
      </w:pPr>
      <w:r w:rsidRPr="00EC48FA">
        <w:t>The person has not received compensation or damages in respect of the disability for which the assistive technology device or support is required</w:t>
      </w:r>
    </w:p>
    <w:p w14:paraId="70DD5B36" w14:textId="77777777" w:rsidR="002C16CD" w:rsidRPr="00EC48FA" w:rsidRDefault="002C16CD" w:rsidP="00B86F08">
      <w:pPr>
        <w:pStyle w:val="TableBullet1"/>
      </w:pPr>
      <w:r w:rsidRPr="00EC48FA">
        <w:t>The person is not eligible to receive the assistive technology under any other government-funded program.</w:t>
      </w:r>
    </w:p>
    <w:p w14:paraId="294B5F21" w14:textId="72185F35" w:rsidR="00D22358" w:rsidRDefault="00D22358">
      <w:pPr>
        <w:rPr>
          <w:color w:val="000000" w:themeColor="text1"/>
        </w:rPr>
      </w:pPr>
      <w:r>
        <w:br w:type="page"/>
      </w:r>
    </w:p>
    <w:p w14:paraId="566DD185" w14:textId="77777777" w:rsidR="002C16CD" w:rsidRDefault="002C16CD" w:rsidP="00B4797D">
      <w:pPr>
        <w:pStyle w:val="Heading6"/>
        <w:sectPr w:rsidR="002C16CD" w:rsidSect="008E2DD9">
          <w:type w:val="continuous"/>
          <w:pgSz w:w="11907" w:h="16840" w:code="9"/>
          <w:pgMar w:top="1134" w:right="851" w:bottom="1134" w:left="1134" w:header="567" w:footer="624" w:gutter="0"/>
          <w:cols w:num="2" w:space="708"/>
          <w:docGrid w:linePitch="360"/>
        </w:sectPr>
      </w:pPr>
    </w:p>
    <w:p w14:paraId="7EFD2E48" w14:textId="76131DDE" w:rsidR="00F51097" w:rsidRDefault="00F51097" w:rsidP="00B4797D">
      <w:pPr>
        <w:pStyle w:val="Heading6"/>
      </w:pPr>
      <w:bookmarkStart w:id="193" w:name="_Toc60999868"/>
      <w:r>
        <w:lastRenderedPageBreak/>
        <w:t>Other AT programs</w:t>
      </w:r>
      <w:bookmarkEnd w:id="193"/>
    </w:p>
    <w:p w14:paraId="080D8F92" w14:textId="50D806A0" w:rsidR="00F51097" w:rsidRDefault="00F51097" w:rsidP="004511B3">
      <w:pPr>
        <w:pStyle w:val="Paragraph"/>
        <w:spacing w:after="0"/>
      </w:pPr>
      <w:r w:rsidRPr="00EC48FA">
        <w:t>Th</w:t>
      </w:r>
      <w:r w:rsidR="00F20D62">
        <w:t>e list provided below is not</w:t>
      </w:r>
      <w:r w:rsidRPr="00EC48FA">
        <w:t xml:space="preserve"> an exhaustive list of AT </w:t>
      </w:r>
      <w:r w:rsidR="002C16CD">
        <w:t xml:space="preserve">programs </w:t>
      </w:r>
      <w:r w:rsidR="00F20D62">
        <w:t>(</w:t>
      </w:r>
      <w:r w:rsidR="00BD4E0F">
        <w:t xml:space="preserve">beyond national and state/territory funded programs) </w:t>
      </w:r>
      <w:r w:rsidRPr="00EC48FA">
        <w:t xml:space="preserve">within Australia, but instead profiles </w:t>
      </w:r>
      <w:r w:rsidR="002C16CD">
        <w:t xml:space="preserve">programs </w:t>
      </w:r>
      <w:r w:rsidRPr="00EC48FA">
        <w:t>that AHA has been made aware of during the rapid evidence and desktop reviews, and through consultations with state government representatives, peak bodies and consumer advocacy groups.</w:t>
      </w:r>
      <w:r w:rsidR="004511B3">
        <w:t xml:space="preserve"> </w:t>
      </w:r>
      <w:r w:rsidRPr="00EC48FA">
        <w:t xml:space="preserve">These </w:t>
      </w:r>
      <w:r w:rsidR="002C16CD">
        <w:t xml:space="preserve">programs </w:t>
      </w:r>
      <w:r w:rsidRPr="00EC48FA">
        <w:t>are different from the government in that</w:t>
      </w:r>
      <w:r>
        <w:t xml:space="preserve"> they can be funded and/or administered by many different organisations.</w:t>
      </w:r>
      <w:r w:rsidR="004511B3">
        <w:t xml:space="preserve"> </w:t>
      </w:r>
      <w:r w:rsidRPr="00EC48FA">
        <w:t xml:space="preserve">Together they demonstrate the breadth and complexity of the AT </w:t>
      </w:r>
      <w:r w:rsidR="002C16CD">
        <w:t xml:space="preserve">programs </w:t>
      </w:r>
      <w:r w:rsidRPr="00EC48FA">
        <w:t>that currently exist in Australia.</w:t>
      </w:r>
      <w:r w:rsidR="004511B3">
        <w:t xml:space="preserve"> </w:t>
      </w:r>
      <w:r>
        <w:t xml:space="preserve">In total, 57 AT </w:t>
      </w:r>
      <w:r w:rsidR="002C16CD">
        <w:t xml:space="preserve">programs </w:t>
      </w:r>
      <w:r>
        <w:t xml:space="preserve">are </w:t>
      </w:r>
      <w:r w:rsidR="001B30C4">
        <w:t>identified</w:t>
      </w:r>
      <w:r w:rsidR="004A4382">
        <w:t xml:space="preserve"> - </w:t>
      </w:r>
      <w:r w:rsidR="00F77FC9">
        <w:t>detailed summaries of th</w:t>
      </w:r>
      <w:r w:rsidR="004A4382">
        <w:t>es</w:t>
      </w:r>
      <w:r w:rsidR="00F77FC9">
        <w:t xml:space="preserve">e </w:t>
      </w:r>
      <w:r w:rsidR="002C16CD">
        <w:t xml:space="preserve">programs </w:t>
      </w:r>
      <w:r w:rsidR="004A4382">
        <w:t xml:space="preserve">are </w:t>
      </w:r>
      <w:r w:rsidR="00F77FC9">
        <w:t>provided in the Initial Report.</w:t>
      </w:r>
    </w:p>
    <w:p w14:paraId="362563AE" w14:textId="77777777" w:rsidR="002C16CD" w:rsidRDefault="002C16CD" w:rsidP="004511B3">
      <w:pPr>
        <w:pStyle w:val="Paragraph"/>
        <w:spacing w:after="0"/>
        <w:sectPr w:rsidR="002C16CD" w:rsidSect="002C16CD">
          <w:type w:val="continuous"/>
          <w:pgSz w:w="11907" w:h="16840" w:code="9"/>
          <w:pgMar w:top="1134" w:right="851" w:bottom="1134" w:left="1134" w:header="567" w:footer="624" w:gutter="0"/>
          <w:cols w:space="708"/>
          <w:docGrid w:linePitch="360"/>
        </w:sectPr>
      </w:pPr>
    </w:p>
    <w:p w14:paraId="16CB2272" w14:textId="77777777" w:rsidR="00223A9B" w:rsidRDefault="00223A9B" w:rsidP="00223A9B">
      <w:pPr>
        <w:rPr>
          <w:b/>
          <w:sz w:val="28"/>
          <w:szCs w:val="28"/>
        </w:rPr>
      </w:pPr>
    </w:p>
    <w:p w14:paraId="1DF4EF3B" w14:textId="355EF433" w:rsidR="00F51097" w:rsidRPr="00223A9B" w:rsidRDefault="00F51097" w:rsidP="00223A9B">
      <w:pPr>
        <w:rPr>
          <w:b/>
          <w:sz w:val="28"/>
          <w:szCs w:val="28"/>
        </w:rPr>
      </w:pPr>
      <w:r w:rsidRPr="00223A9B">
        <w:rPr>
          <w:b/>
          <w:sz w:val="28"/>
          <w:szCs w:val="28"/>
        </w:rPr>
        <w:t>ACT</w:t>
      </w:r>
    </w:p>
    <w:p w14:paraId="588A7C7B" w14:textId="77777777" w:rsidR="00F51097" w:rsidRPr="007F3A59" w:rsidRDefault="00F51097" w:rsidP="004511B3">
      <w:pPr>
        <w:pStyle w:val="TableText"/>
      </w:pPr>
      <w:r w:rsidRPr="007F3A59">
        <w:t>ACT Equipment Loan Service</w:t>
      </w:r>
    </w:p>
    <w:p w14:paraId="53D6508D" w14:textId="77777777" w:rsidR="00F51097" w:rsidRPr="007F3A59" w:rsidRDefault="00F51097" w:rsidP="004511B3">
      <w:pPr>
        <w:pStyle w:val="TableText"/>
      </w:pPr>
      <w:r w:rsidRPr="007F3A59">
        <w:t>ACT Artificial Limb Scheme (ACTALS)</w:t>
      </w:r>
    </w:p>
    <w:p w14:paraId="5FDD1134" w14:textId="77777777" w:rsidR="00F51097" w:rsidRPr="007F3A59" w:rsidRDefault="00F51097" w:rsidP="004511B3">
      <w:pPr>
        <w:pStyle w:val="TableText"/>
      </w:pPr>
      <w:r w:rsidRPr="007F3A59">
        <w:t>Clinical Technology Service (CTS)</w:t>
      </w:r>
    </w:p>
    <w:p w14:paraId="3EE9EBE1" w14:textId="77777777" w:rsidR="00F51097" w:rsidRPr="007F3A59" w:rsidRDefault="00F51097" w:rsidP="004511B3">
      <w:pPr>
        <w:pStyle w:val="TableText"/>
      </w:pPr>
      <w:r w:rsidRPr="007F3A59">
        <w:t>Domiciliary Oxygen and Respiratory Support Scheme (DORSS)</w:t>
      </w:r>
    </w:p>
    <w:p w14:paraId="2F0AF779" w14:textId="77777777" w:rsidR="00F51097" w:rsidRPr="007F3A59" w:rsidRDefault="00F51097" w:rsidP="004511B3">
      <w:pPr>
        <w:pStyle w:val="TableText"/>
      </w:pPr>
      <w:r w:rsidRPr="007F3A59">
        <w:t>Specialised Wheelchair and Posture Seating Service (SWAPS)</w:t>
      </w:r>
    </w:p>
    <w:p w14:paraId="52C4A38A" w14:textId="77777777" w:rsidR="00F51097" w:rsidRPr="007F3A59" w:rsidRDefault="00F51097" w:rsidP="004511B3">
      <w:pPr>
        <w:pStyle w:val="TableText"/>
      </w:pPr>
      <w:r w:rsidRPr="007F3A59">
        <w:t>Prosthetics and Orthotics (P&amp;O) Service</w:t>
      </w:r>
    </w:p>
    <w:p w14:paraId="5CC2C304" w14:textId="77777777" w:rsidR="00F51097" w:rsidRPr="007F3A59" w:rsidRDefault="00F51097" w:rsidP="004511B3">
      <w:pPr>
        <w:pStyle w:val="TableText"/>
      </w:pPr>
      <w:r w:rsidRPr="007F3A59">
        <w:t>Lifetime Care and Support Scheme</w:t>
      </w:r>
    </w:p>
    <w:p w14:paraId="0D5BA97A" w14:textId="5A0AC807" w:rsidR="00F51097" w:rsidRPr="007F3A59" w:rsidRDefault="00F51097" w:rsidP="004511B3">
      <w:pPr>
        <w:pStyle w:val="TableText"/>
        <w:rPr>
          <w:szCs w:val="20"/>
        </w:rPr>
      </w:pPr>
      <w:r w:rsidRPr="007F3A59">
        <w:t>TADACT</w:t>
      </w:r>
    </w:p>
    <w:p w14:paraId="646BB956" w14:textId="77777777" w:rsidR="00223A9B" w:rsidRDefault="00223A9B" w:rsidP="00223A9B">
      <w:pPr>
        <w:rPr>
          <w:b/>
          <w:sz w:val="28"/>
          <w:szCs w:val="28"/>
        </w:rPr>
      </w:pPr>
    </w:p>
    <w:p w14:paraId="1081696B" w14:textId="303B0CED" w:rsidR="00F51097" w:rsidRPr="00223A9B" w:rsidRDefault="00F51097" w:rsidP="00223A9B">
      <w:pPr>
        <w:rPr>
          <w:b/>
          <w:sz w:val="28"/>
          <w:szCs w:val="28"/>
        </w:rPr>
      </w:pPr>
      <w:r w:rsidRPr="00223A9B">
        <w:rPr>
          <w:b/>
          <w:sz w:val="28"/>
          <w:szCs w:val="28"/>
        </w:rPr>
        <w:t>New South Wales</w:t>
      </w:r>
    </w:p>
    <w:p w14:paraId="4FB5D4E8" w14:textId="77777777" w:rsidR="00F51097" w:rsidRPr="007F3A59" w:rsidRDefault="00F51097" w:rsidP="004511B3">
      <w:pPr>
        <w:pStyle w:val="TableText"/>
      </w:pPr>
      <w:r w:rsidRPr="007F3A59">
        <w:t>Equipment Loan Pools operated by Local Health Districts (LHDs)</w:t>
      </w:r>
    </w:p>
    <w:p w14:paraId="0DB5BA7A" w14:textId="77777777" w:rsidR="00F51097" w:rsidRPr="007F3A59" w:rsidRDefault="00F51097" w:rsidP="004511B3">
      <w:pPr>
        <w:pStyle w:val="TableText"/>
      </w:pPr>
      <w:r w:rsidRPr="007F3A59">
        <w:t>Aids &amp; Equipment in Supported Accommodation (AESA)</w:t>
      </w:r>
    </w:p>
    <w:p w14:paraId="0FBF86E8" w14:textId="77777777" w:rsidR="00F51097" w:rsidRPr="007F3A59" w:rsidRDefault="00F51097" w:rsidP="004511B3">
      <w:pPr>
        <w:pStyle w:val="TableText"/>
      </w:pPr>
      <w:r w:rsidRPr="007F3A59">
        <w:t>Lifetime Care and Support Scheme</w:t>
      </w:r>
    </w:p>
    <w:p w14:paraId="41A728AE" w14:textId="77777777" w:rsidR="00F51097" w:rsidRPr="007F3A59" w:rsidRDefault="00F51097" w:rsidP="004511B3">
      <w:pPr>
        <w:pStyle w:val="TableText"/>
      </w:pPr>
      <w:r w:rsidRPr="007F3A59">
        <w:t>Assistive Technology and Equipment Program (ATEP)</w:t>
      </w:r>
    </w:p>
    <w:p w14:paraId="44D0701B" w14:textId="77777777" w:rsidR="00F51097" w:rsidRPr="007F3A59" w:rsidRDefault="00F51097" w:rsidP="004511B3">
      <w:pPr>
        <w:pStyle w:val="TableText"/>
      </w:pPr>
      <w:r w:rsidRPr="007F3A59">
        <w:t>NSW Spectacle Program</w:t>
      </w:r>
    </w:p>
    <w:p w14:paraId="0B698DEF" w14:textId="77777777" w:rsidR="00F51097" w:rsidRPr="007F3A59" w:rsidRDefault="00F51097" w:rsidP="004511B3">
      <w:pPr>
        <w:pStyle w:val="TableText"/>
      </w:pPr>
      <w:r w:rsidRPr="007F3A59">
        <w:t>TAD</w:t>
      </w:r>
    </w:p>
    <w:p w14:paraId="6B76C04B" w14:textId="77777777" w:rsidR="00F51097" w:rsidRPr="007F3A59" w:rsidRDefault="00F51097" w:rsidP="004511B3">
      <w:pPr>
        <w:pStyle w:val="TableText"/>
      </w:pPr>
      <w:r w:rsidRPr="007F3A59">
        <w:t>Hearing Connections</w:t>
      </w:r>
    </w:p>
    <w:p w14:paraId="45BBFF79" w14:textId="77777777" w:rsidR="00F51097" w:rsidRPr="007F3A59" w:rsidRDefault="00F51097" w:rsidP="004511B3">
      <w:pPr>
        <w:pStyle w:val="TableText"/>
      </w:pPr>
      <w:r w:rsidRPr="007F3A59">
        <w:t>FlexEquip</w:t>
      </w:r>
    </w:p>
    <w:p w14:paraId="48266135" w14:textId="77777777" w:rsidR="00223A9B" w:rsidRDefault="00223A9B" w:rsidP="00223A9B">
      <w:pPr>
        <w:rPr>
          <w:b/>
          <w:sz w:val="28"/>
          <w:szCs w:val="28"/>
        </w:rPr>
      </w:pPr>
    </w:p>
    <w:p w14:paraId="59CC5DF4" w14:textId="30946654" w:rsidR="00F51097" w:rsidRPr="00223A9B" w:rsidRDefault="00F51097" w:rsidP="00223A9B">
      <w:pPr>
        <w:rPr>
          <w:b/>
          <w:sz w:val="28"/>
          <w:szCs w:val="28"/>
        </w:rPr>
      </w:pPr>
      <w:r w:rsidRPr="00223A9B">
        <w:rPr>
          <w:b/>
          <w:sz w:val="28"/>
          <w:szCs w:val="28"/>
        </w:rPr>
        <w:t>Northern Territory</w:t>
      </w:r>
    </w:p>
    <w:p w14:paraId="103D501B" w14:textId="7BE97795" w:rsidR="004511B3" w:rsidRDefault="00F51097" w:rsidP="004511B3">
      <w:pPr>
        <w:pStyle w:val="TableText"/>
      </w:pPr>
      <w:r w:rsidRPr="007F3A59">
        <w:t>Motor Accidents Compensation (MAC) Scheme</w:t>
      </w:r>
    </w:p>
    <w:p w14:paraId="21BAC9AF" w14:textId="1EAB45F1" w:rsidR="00F51097" w:rsidRPr="00D760BC" w:rsidRDefault="004511B3" w:rsidP="00223A9B">
      <w:r w:rsidRPr="00D760BC">
        <w:br w:type="column"/>
      </w:r>
      <w:r w:rsidR="00F51097" w:rsidRPr="00223A9B">
        <w:rPr>
          <w:b/>
          <w:sz w:val="28"/>
          <w:szCs w:val="28"/>
        </w:rPr>
        <w:t>Queensland</w:t>
      </w:r>
    </w:p>
    <w:p w14:paraId="15D80276" w14:textId="77777777" w:rsidR="00F51097" w:rsidRPr="007F3A59" w:rsidRDefault="00F51097" w:rsidP="004511B3">
      <w:pPr>
        <w:pStyle w:val="TableText"/>
      </w:pPr>
      <w:r w:rsidRPr="007F3A59">
        <w:t>Home Assist Secure</w:t>
      </w:r>
    </w:p>
    <w:p w14:paraId="1AE33213" w14:textId="77777777" w:rsidR="00F51097" w:rsidRPr="007F3A59" w:rsidRDefault="00F51097" w:rsidP="004511B3">
      <w:pPr>
        <w:pStyle w:val="TableText"/>
      </w:pPr>
      <w:r w:rsidRPr="007F3A59">
        <w:t>TADQ</w:t>
      </w:r>
    </w:p>
    <w:p w14:paraId="1904C824" w14:textId="77777777" w:rsidR="00F51097" w:rsidRPr="007F3A59" w:rsidRDefault="00F51097" w:rsidP="004511B3">
      <w:pPr>
        <w:pStyle w:val="TableText"/>
      </w:pPr>
      <w:r w:rsidRPr="007F3A59">
        <w:t>Queensland Artificial Limb Service</w:t>
      </w:r>
    </w:p>
    <w:p w14:paraId="677EBA42" w14:textId="77777777" w:rsidR="00F51097" w:rsidRPr="007F3A59" w:rsidRDefault="00F51097" w:rsidP="004511B3">
      <w:pPr>
        <w:pStyle w:val="TableText"/>
      </w:pPr>
      <w:r w:rsidRPr="007F3A59">
        <w:t>Motor Accident Insurance Commission (MAIc)</w:t>
      </w:r>
    </w:p>
    <w:p w14:paraId="03BC6420" w14:textId="77777777" w:rsidR="00F51097" w:rsidRPr="007F3A59" w:rsidRDefault="00F51097" w:rsidP="004511B3">
      <w:pPr>
        <w:pStyle w:val="TableText"/>
      </w:pPr>
      <w:r w:rsidRPr="007F3A59">
        <w:t xml:space="preserve">Sleep Disorders Program </w:t>
      </w:r>
    </w:p>
    <w:p w14:paraId="6D59D38C" w14:textId="77777777" w:rsidR="00F51097" w:rsidRPr="007F3A59" w:rsidRDefault="00F51097" w:rsidP="004511B3">
      <w:pPr>
        <w:pStyle w:val="TableText"/>
      </w:pPr>
      <w:r w:rsidRPr="007F3A59">
        <w:t>Rehabilitation Engineering Centre</w:t>
      </w:r>
    </w:p>
    <w:p w14:paraId="2A159D58" w14:textId="77777777" w:rsidR="00F51097" w:rsidRPr="007F3A59" w:rsidRDefault="00F51097" w:rsidP="004511B3">
      <w:pPr>
        <w:pStyle w:val="TableText"/>
      </w:pPr>
      <w:r w:rsidRPr="007F3A59">
        <w:t xml:space="preserve">Cystic Fibrosis Australia </w:t>
      </w:r>
    </w:p>
    <w:p w14:paraId="1A41F9A2" w14:textId="77777777" w:rsidR="00F51097" w:rsidRPr="007F3A59" w:rsidRDefault="00F51097" w:rsidP="004511B3">
      <w:pPr>
        <w:pStyle w:val="TableText"/>
      </w:pPr>
      <w:r w:rsidRPr="007F3A59">
        <w:t>LifeTec</w:t>
      </w:r>
    </w:p>
    <w:p w14:paraId="70128C52" w14:textId="77777777" w:rsidR="00F51097" w:rsidRPr="007F3A59" w:rsidRDefault="00F51097" w:rsidP="004511B3">
      <w:pPr>
        <w:pStyle w:val="TableText"/>
      </w:pPr>
      <w:r w:rsidRPr="007F3A59">
        <w:t>National Injury Insurance Agency, Queensland (NIISQ Agency)</w:t>
      </w:r>
    </w:p>
    <w:p w14:paraId="589D0D96" w14:textId="77777777" w:rsidR="00F51097" w:rsidRPr="00773ABB" w:rsidRDefault="00F51097" w:rsidP="00773ABB">
      <w:pPr>
        <w:rPr>
          <w:b/>
          <w:sz w:val="28"/>
          <w:szCs w:val="28"/>
        </w:rPr>
      </w:pPr>
      <w:r w:rsidRPr="00773ABB">
        <w:rPr>
          <w:b/>
          <w:sz w:val="28"/>
          <w:szCs w:val="28"/>
        </w:rPr>
        <w:t>South Australia</w:t>
      </w:r>
    </w:p>
    <w:p w14:paraId="1C1F2696" w14:textId="77777777" w:rsidR="00F51097" w:rsidRPr="007F3A59" w:rsidRDefault="00F51097" w:rsidP="004511B3">
      <w:pPr>
        <w:pStyle w:val="TableText"/>
      </w:pPr>
      <w:r w:rsidRPr="007F3A59">
        <w:t>Continence Resource Centre</w:t>
      </w:r>
    </w:p>
    <w:p w14:paraId="7217FBF7" w14:textId="77777777" w:rsidR="00F51097" w:rsidRPr="007F3A59" w:rsidRDefault="00F51097" w:rsidP="004511B3">
      <w:pPr>
        <w:pStyle w:val="TableText"/>
      </w:pPr>
      <w:r w:rsidRPr="007F3A59">
        <w:t>Orthotics and Prosthetics SA</w:t>
      </w:r>
    </w:p>
    <w:p w14:paraId="1D2A2AC5" w14:textId="77777777" w:rsidR="00F51097" w:rsidRPr="007F3A59" w:rsidRDefault="00F51097" w:rsidP="004511B3">
      <w:pPr>
        <w:pStyle w:val="TableText"/>
      </w:pPr>
      <w:r w:rsidRPr="007F3A59">
        <w:t>Lifetime Support Scheme</w:t>
      </w:r>
    </w:p>
    <w:p w14:paraId="75B77ABD" w14:textId="77777777" w:rsidR="00F51097" w:rsidRPr="007F3A59" w:rsidRDefault="00F51097" w:rsidP="004511B3">
      <w:pPr>
        <w:pStyle w:val="TableText"/>
      </w:pPr>
      <w:r w:rsidRPr="007F3A59">
        <w:t>Technology for Ageing and Disability (SA) Inc. (TASDA)</w:t>
      </w:r>
    </w:p>
    <w:p w14:paraId="1AECA730" w14:textId="77777777" w:rsidR="00F51097" w:rsidRPr="007F3A59" w:rsidRDefault="00F51097" w:rsidP="004511B3">
      <w:pPr>
        <w:pStyle w:val="TableText"/>
      </w:pPr>
      <w:r w:rsidRPr="007F3A59">
        <w:t>Royal Society for the Blind Adaptive Technology</w:t>
      </w:r>
    </w:p>
    <w:p w14:paraId="5BC8B9BE" w14:textId="63F72AFC" w:rsidR="00F51097" w:rsidRPr="00773ABB" w:rsidRDefault="004511B3" w:rsidP="00773ABB">
      <w:pPr>
        <w:rPr>
          <w:b/>
          <w:sz w:val="28"/>
          <w:szCs w:val="28"/>
        </w:rPr>
      </w:pPr>
      <w:r w:rsidRPr="00773ABB">
        <w:rPr>
          <w:b/>
          <w:sz w:val="28"/>
          <w:szCs w:val="28"/>
        </w:rPr>
        <w:t>Tasmania</w:t>
      </w:r>
    </w:p>
    <w:p w14:paraId="3E8AA5FC" w14:textId="77777777" w:rsidR="00F51097" w:rsidRPr="007F3A59" w:rsidRDefault="00F51097" w:rsidP="004511B3">
      <w:pPr>
        <w:pStyle w:val="TableText"/>
      </w:pPr>
      <w:r w:rsidRPr="007F3A59">
        <w:t>Community Continence Service</w:t>
      </w:r>
    </w:p>
    <w:p w14:paraId="680E86F7" w14:textId="77777777" w:rsidR="00F51097" w:rsidRPr="007F3A59" w:rsidRDefault="00F51097" w:rsidP="004511B3">
      <w:pPr>
        <w:pStyle w:val="TableText"/>
      </w:pPr>
      <w:r w:rsidRPr="007F3A59">
        <w:t>TADTas</w:t>
      </w:r>
    </w:p>
    <w:p w14:paraId="105CAA71" w14:textId="77777777" w:rsidR="00F51097" w:rsidRPr="007F3A59" w:rsidRDefault="00F51097" w:rsidP="004511B3">
      <w:pPr>
        <w:pStyle w:val="TableText"/>
      </w:pPr>
      <w:r w:rsidRPr="007F3A59">
        <w:t>Orthotics and Prosthetics Service Tasmania</w:t>
      </w:r>
    </w:p>
    <w:p w14:paraId="4E037C6E" w14:textId="77777777" w:rsidR="00F51097" w:rsidRPr="007F3A59" w:rsidRDefault="00F51097" w:rsidP="004511B3">
      <w:pPr>
        <w:pStyle w:val="TableText"/>
      </w:pPr>
      <w:r w:rsidRPr="007F3A59">
        <w:t>Tasmanian Artificial Limb Scheme (TALS)</w:t>
      </w:r>
    </w:p>
    <w:p w14:paraId="76C95775" w14:textId="77777777" w:rsidR="00F51097" w:rsidRPr="007F3A59" w:rsidRDefault="00F51097" w:rsidP="004511B3">
      <w:pPr>
        <w:pStyle w:val="TableText"/>
      </w:pPr>
      <w:r w:rsidRPr="007F3A59">
        <w:t>Fusion (Australia) Home Modifications and Maintenance</w:t>
      </w:r>
    </w:p>
    <w:p w14:paraId="05650E84" w14:textId="40992950" w:rsidR="00F51097" w:rsidRDefault="00F51097" w:rsidP="004511B3">
      <w:pPr>
        <w:pStyle w:val="TableText"/>
      </w:pPr>
      <w:r w:rsidRPr="007F3A59">
        <w:t>Community Based Support South Inc.</w:t>
      </w:r>
    </w:p>
    <w:p w14:paraId="753DD8FA" w14:textId="77777777" w:rsidR="00F51097" w:rsidRDefault="00F51097">
      <w:pPr>
        <w:sectPr w:rsidR="00F51097" w:rsidSect="002C16CD">
          <w:type w:val="continuous"/>
          <w:pgSz w:w="11907" w:h="16840" w:code="9"/>
          <w:pgMar w:top="1134" w:right="851" w:bottom="1134" w:left="1134" w:header="567" w:footer="624" w:gutter="0"/>
          <w:cols w:num="2" w:space="708"/>
          <w:docGrid w:linePitch="360"/>
        </w:sectPr>
      </w:pPr>
    </w:p>
    <w:p w14:paraId="5A281DDF" w14:textId="221AB5B4" w:rsidR="0031014A" w:rsidRDefault="0031014A" w:rsidP="00B95180">
      <w:pPr>
        <w:pStyle w:val="Paragraph"/>
        <w:rPr>
          <w:rFonts w:eastAsia="Arial Unicode MS"/>
        </w:rPr>
      </w:pPr>
    </w:p>
    <w:p w14:paraId="75B972F5" w14:textId="77777777" w:rsidR="00773ABB" w:rsidRPr="00636B05" w:rsidRDefault="00773ABB" w:rsidP="00B95180">
      <w:pPr>
        <w:pStyle w:val="Paragraph"/>
        <w:rPr>
          <w:rFonts w:eastAsia="Arial Unicode MS"/>
        </w:rPr>
      </w:pPr>
    </w:p>
    <w:p w14:paraId="7FEF72DC" w14:textId="2D1285BD" w:rsidR="00F17D83" w:rsidRPr="00636B05" w:rsidRDefault="00F17D83" w:rsidP="00E50153">
      <w:pPr>
        <w:pStyle w:val="Heading5"/>
        <w:tabs>
          <w:tab w:val="clear" w:pos="2977"/>
        </w:tabs>
      </w:pPr>
      <w:bookmarkStart w:id="194" w:name="_Ref42678270"/>
      <w:bookmarkStart w:id="195" w:name="_Toc60999869"/>
      <w:r>
        <w:lastRenderedPageBreak/>
        <w:t>AT information and advice resources</w:t>
      </w:r>
      <w:bookmarkEnd w:id="194"/>
      <w:bookmarkEnd w:id="195"/>
    </w:p>
    <w:p w14:paraId="59906E82" w14:textId="77777777" w:rsidR="00F17D83" w:rsidRPr="00805DBA" w:rsidRDefault="00F17D83" w:rsidP="00120921">
      <w:pPr>
        <w:pStyle w:val="Heading6"/>
        <w:tabs>
          <w:tab w:val="clear" w:pos="2977"/>
        </w:tabs>
      </w:pPr>
      <w:bookmarkStart w:id="196" w:name="_Toc60999870"/>
      <w:r w:rsidRPr="00805DBA">
        <w:t>AT information and advice resources</w:t>
      </w:r>
      <w:bookmarkEnd w:id="196"/>
    </w:p>
    <w:p w14:paraId="14EC4DEA" w14:textId="77777777" w:rsidR="00F17D83" w:rsidRPr="00EC48FA" w:rsidRDefault="00F17D83" w:rsidP="00B4797D">
      <w:pPr>
        <w:pStyle w:val="Heading7"/>
      </w:pPr>
      <w:r w:rsidRPr="00EC48FA">
        <w:t>Model examples</w:t>
      </w:r>
    </w:p>
    <w:p w14:paraId="4875D7EF" w14:textId="6CC5B56F" w:rsidR="00F17D83" w:rsidRDefault="00F17D83" w:rsidP="00F17D83">
      <w:pPr>
        <w:pStyle w:val="Paragraph"/>
      </w:pPr>
      <w:r w:rsidRPr="00EC48FA">
        <w:rPr>
          <w:lang w:eastAsia="en-AU"/>
        </w:rPr>
        <w:t>The review identified several exemplar models</w:t>
      </w:r>
      <w:r>
        <w:rPr>
          <w:lang w:eastAsia="en-AU"/>
        </w:rPr>
        <w:t xml:space="preserve"> of AT information provision</w:t>
      </w:r>
      <w:r w:rsidRPr="00EC48FA">
        <w:rPr>
          <w:lang w:eastAsia="en-AU"/>
        </w:rPr>
        <w:t xml:space="preserve"> </w:t>
      </w:r>
      <w:r>
        <w:t>and</w:t>
      </w:r>
      <w:r w:rsidR="004A4382">
        <w:t>,</w:t>
      </w:r>
      <w:r>
        <w:t xml:space="preserve"> whilst not exhaustive, the following provides a snapshot of existing information and advice resources.</w:t>
      </w:r>
    </w:p>
    <w:p w14:paraId="6BE9C210" w14:textId="2EFC6174" w:rsidR="00F17D83" w:rsidRPr="00773ABB" w:rsidRDefault="00F17D83" w:rsidP="00773ABB">
      <w:pPr>
        <w:rPr>
          <w:b/>
          <w:sz w:val="28"/>
          <w:szCs w:val="28"/>
        </w:rPr>
      </w:pPr>
      <w:r w:rsidRPr="00773ABB">
        <w:rPr>
          <w:b/>
          <w:sz w:val="28"/>
          <w:szCs w:val="28"/>
        </w:rPr>
        <w:t>Independent Living Centres</w:t>
      </w:r>
    </w:p>
    <w:p w14:paraId="01C6E2A4" w14:textId="008D6EBE" w:rsidR="00F17D83" w:rsidRPr="00EB2F1C" w:rsidRDefault="00F17D83" w:rsidP="00714686">
      <w:pPr>
        <w:pStyle w:val="Paragraph"/>
        <w:ind w:left="283" w:right="283"/>
        <w:rPr>
          <w:lang w:eastAsia="en-AU"/>
        </w:rPr>
      </w:pPr>
      <w:r>
        <w:rPr>
          <w:lang w:eastAsia="en-AU"/>
        </w:rPr>
        <w:t>Independent Living Centres (ILCs)</w:t>
      </w:r>
      <w:r w:rsidRPr="002C4894">
        <w:t xml:space="preserve"> </w:t>
      </w:r>
      <w:r w:rsidRPr="002C4894">
        <w:rPr>
          <w:lang w:eastAsia="en-AU"/>
        </w:rPr>
        <w:t xml:space="preserve">provide independent, commercially unbiased, information and advice to </w:t>
      </w:r>
      <w:r>
        <w:rPr>
          <w:lang w:eastAsia="en-AU"/>
        </w:rPr>
        <w:t xml:space="preserve">consumers </w:t>
      </w:r>
      <w:r w:rsidRPr="002C4894">
        <w:rPr>
          <w:lang w:eastAsia="en-AU"/>
        </w:rPr>
        <w:t xml:space="preserve">and raise awareness of the role that </w:t>
      </w:r>
      <w:r>
        <w:rPr>
          <w:lang w:eastAsia="en-AU"/>
        </w:rPr>
        <w:t>AT</w:t>
      </w:r>
      <w:r w:rsidRPr="002C4894">
        <w:rPr>
          <w:lang w:eastAsia="en-AU"/>
        </w:rPr>
        <w:t xml:space="preserve"> plays in enabling whole life participation in the broader community</w:t>
      </w:r>
      <w:r>
        <w:rPr>
          <w:lang w:eastAsia="en-AU"/>
        </w:rPr>
        <w:t>. ILCs currently operate under different models in NSW, Tasmania, WA, Queensland and the ACT.</w:t>
      </w:r>
      <w:r w:rsidR="004511B3">
        <w:rPr>
          <w:lang w:eastAsia="en-AU"/>
        </w:rPr>
        <w:t xml:space="preserve"> </w:t>
      </w:r>
      <w:r>
        <w:rPr>
          <w:lang w:eastAsia="en-AU"/>
        </w:rPr>
        <w:t xml:space="preserve">The South Australian and Victorian ILCs have closed. The ILCs are funded by the Australian Government, state government, donations and grants. Each ILC operates as an independent not-for-profit organisation. </w:t>
      </w:r>
    </w:p>
    <w:p w14:paraId="45F166C0" w14:textId="77777777" w:rsidR="00F17D83" w:rsidRDefault="00F17D83" w:rsidP="00714686">
      <w:pPr>
        <w:pStyle w:val="ParaKeep"/>
        <w:ind w:left="283" w:right="283"/>
      </w:pPr>
      <w:r>
        <w:t>Around Australia, ILCs provide a broad range of services including:</w:t>
      </w:r>
    </w:p>
    <w:p w14:paraId="615A9D8F" w14:textId="7A58E230" w:rsidR="00F17D83" w:rsidRDefault="00F17D83" w:rsidP="00714686">
      <w:pPr>
        <w:pStyle w:val="Bullet1"/>
        <w:ind w:left="927" w:right="283"/>
      </w:pPr>
      <w:bookmarkStart w:id="197" w:name="_Toc34991026"/>
      <w:bookmarkStart w:id="198" w:name="_Toc35011685"/>
      <w:r>
        <w:t>AT showrooms</w:t>
      </w:r>
    </w:p>
    <w:p w14:paraId="6C5B5894" w14:textId="77777777" w:rsidR="00F17D83" w:rsidRDefault="00F17D83" w:rsidP="00714686">
      <w:pPr>
        <w:pStyle w:val="Bullet1"/>
        <w:ind w:left="927" w:right="283"/>
      </w:pPr>
      <w:r>
        <w:t>AT Equipment Database such as NED</w:t>
      </w:r>
    </w:p>
    <w:p w14:paraId="0762199C" w14:textId="77777777" w:rsidR="00F17D83" w:rsidRDefault="00F17D83" w:rsidP="00714686">
      <w:pPr>
        <w:pStyle w:val="Bullet1"/>
        <w:ind w:left="927" w:right="283"/>
      </w:pPr>
      <w:r>
        <w:t>AT equipment hire</w:t>
      </w:r>
    </w:p>
    <w:p w14:paraId="597D2241" w14:textId="77777777" w:rsidR="00F17D83" w:rsidRDefault="00F17D83" w:rsidP="00714686">
      <w:pPr>
        <w:pStyle w:val="Bullet1"/>
        <w:ind w:left="927" w:right="283"/>
      </w:pPr>
      <w:r>
        <w:t>Home modifications</w:t>
      </w:r>
    </w:p>
    <w:p w14:paraId="3097F460" w14:textId="77777777" w:rsidR="00F17D83" w:rsidRDefault="00F17D83" w:rsidP="00714686">
      <w:pPr>
        <w:pStyle w:val="Bullet1"/>
        <w:ind w:left="927" w:right="283"/>
      </w:pPr>
      <w:r>
        <w:t>Vehicle modifications</w:t>
      </w:r>
    </w:p>
    <w:p w14:paraId="5086DBC5" w14:textId="77777777" w:rsidR="00F17D83" w:rsidRDefault="00F17D83" w:rsidP="00714686">
      <w:pPr>
        <w:pStyle w:val="Bullet1"/>
        <w:ind w:left="927" w:right="283"/>
      </w:pPr>
      <w:r>
        <w:t>Allied health professional advice</w:t>
      </w:r>
    </w:p>
    <w:p w14:paraId="60A9E6B0" w14:textId="77777777" w:rsidR="00F17D83" w:rsidRDefault="00F17D83" w:rsidP="00714686">
      <w:pPr>
        <w:pStyle w:val="Bullet1"/>
        <w:ind w:left="927" w:right="283"/>
      </w:pPr>
      <w:r>
        <w:t>AT training</w:t>
      </w:r>
    </w:p>
    <w:p w14:paraId="7103CAC5" w14:textId="77777777" w:rsidR="00F17D83" w:rsidRDefault="00F17D83" w:rsidP="00714686">
      <w:pPr>
        <w:pStyle w:val="Bullet1"/>
        <w:ind w:left="927" w:right="283"/>
      </w:pPr>
      <w:r>
        <w:t>National AT information phone line</w:t>
      </w:r>
    </w:p>
    <w:p w14:paraId="3986E9CB" w14:textId="77777777" w:rsidR="00F17D83" w:rsidRDefault="00F17D83" w:rsidP="00714686">
      <w:pPr>
        <w:pStyle w:val="Bullet1"/>
        <w:ind w:left="927" w:right="283"/>
      </w:pPr>
      <w:r>
        <w:t>Training for care workers</w:t>
      </w:r>
    </w:p>
    <w:p w14:paraId="07C3DEE6" w14:textId="77777777" w:rsidR="00F17D83" w:rsidRDefault="00F17D83" w:rsidP="00714686">
      <w:pPr>
        <w:pStyle w:val="Bullet1"/>
        <w:ind w:left="927" w:right="283"/>
      </w:pPr>
      <w:r>
        <w:t>AT roadshows</w:t>
      </w:r>
    </w:p>
    <w:p w14:paraId="004AE258" w14:textId="4634D491" w:rsidR="00F17D83" w:rsidRPr="00EB2F1C" w:rsidRDefault="00F17D83" w:rsidP="00714686">
      <w:pPr>
        <w:pStyle w:val="Bullet1"/>
        <w:ind w:left="927" w:right="283"/>
      </w:pPr>
      <w:r>
        <w:t>Virtual AT showroom</w:t>
      </w:r>
      <w:r w:rsidR="00FD5E41">
        <w:t>.</w:t>
      </w:r>
    </w:p>
    <w:p w14:paraId="740FBCAB" w14:textId="77777777" w:rsidR="008C2CFD" w:rsidRPr="008C2CFD" w:rsidRDefault="008C2CFD" w:rsidP="00714686">
      <w:pPr>
        <w:ind w:left="283" w:right="283"/>
      </w:pPr>
      <w:r w:rsidRPr="008C2CFD">
        <w:br w:type="page"/>
      </w:r>
    </w:p>
    <w:p w14:paraId="6B6720E6" w14:textId="3391B563" w:rsidR="00F17D83" w:rsidRPr="00773ABB" w:rsidRDefault="00F17D83" w:rsidP="00773ABB">
      <w:pPr>
        <w:rPr>
          <w:b/>
          <w:sz w:val="28"/>
          <w:szCs w:val="28"/>
        </w:rPr>
      </w:pPr>
      <w:r w:rsidRPr="00773ABB">
        <w:rPr>
          <w:b/>
          <w:sz w:val="28"/>
          <w:szCs w:val="28"/>
        </w:rPr>
        <w:lastRenderedPageBreak/>
        <w:t>ILC partnership with ADL SmartCare UK</w:t>
      </w:r>
    </w:p>
    <w:p w14:paraId="6E65FDFB" w14:textId="4099D9D2" w:rsidR="00F17D83" w:rsidRPr="00EC48FA" w:rsidRDefault="00F17D83" w:rsidP="00714686">
      <w:pPr>
        <w:pStyle w:val="Paragraph"/>
        <w:spacing w:before="120" w:after="120"/>
        <w:ind w:left="283" w:right="283"/>
        <w:rPr>
          <w:lang w:eastAsia="en-GB"/>
        </w:rPr>
      </w:pPr>
      <w:r w:rsidRPr="00EC48FA">
        <w:t xml:space="preserve">ADL SmartCare </w:t>
      </w:r>
      <w:r>
        <w:t>provides a</w:t>
      </w:r>
      <w:r w:rsidRPr="00EC48FA">
        <w:t xml:space="preserve"> one-stop online guide to self-management and AT.</w:t>
      </w:r>
      <w:r w:rsidR="004511B3">
        <w:t xml:space="preserve"> </w:t>
      </w:r>
      <w:r w:rsidRPr="00EC48FA">
        <w:rPr>
          <w:lang w:eastAsia="en-GB"/>
        </w:rPr>
        <w:t>ADL SmartCare is a private UK-based company who specialise in the provision of evidence-based data, research, knowledge and intelligence on age-related decline. ADL SmartCare provide</w:t>
      </w:r>
      <w:r>
        <w:rPr>
          <w:lang w:eastAsia="en-GB"/>
        </w:rPr>
        <w:t>s</w:t>
      </w:r>
      <w:r w:rsidRPr="00EC48FA">
        <w:rPr>
          <w:lang w:eastAsia="en-GB"/>
        </w:rPr>
        <w:t xml:space="preserve"> advice and research around independence-promoting interventions for older adults, aiming to reduce the cost of care for individuals, service providers and governments.</w:t>
      </w:r>
    </w:p>
    <w:p w14:paraId="59CD6BB6" w14:textId="2E5D8CAF" w:rsidR="00F17D83" w:rsidRPr="00EC48FA" w:rsidRDefault="00F17D83" w:rsidP="00714686">
      <w:pPr>
        <w:pStyle w:val="Paragraph"/>
        <w:spacing w:before="120" w:after="120"/>
        <w:ind w:left="283" w:right="283"/>
        <w:rPr>
          <w:lang w:eastAsia="en-GB"/>
        </w:rPr>
      </w:pPr>
      <w:r w:rsidRPr="00EC48FA">
        <w:rPr>
          <w:lang w:eastAsia="en-GB"/>
        </w:rPr>
        <w:t>ADL SmartCare in partnership with Newcastle University's Institute for Ageing have developed the LifeCurve app which maps individuals’ age-related functional decline</w:t>
      </w:r>
      <w:r>
        <w:rPr>
          <w:lang w:eastAsia="en-GB"/>
        </w:rPr>
        <w:t xml:space="preserve"> </w:t>
      </w:r>
      <w:r w:rsidRPr="00EC48FA">
        <w:rPr>
          <w:lang w:eastAsia="en-GB"/>
        </w:rPr>
        <w:t xml:space="preserve">and suggests interventions (such as simple exercises) and AT to help people maintain or regain independence and confidence. </w:t>
      </w:r>
    </w:p>
    <w:p w14:paraId="38AA03C1" w14:textId="531C8DAA" w:rsidR="00F17D83" w:rsidRPr="00EC48FA" w:rsidRDefault="00F17D83" w:rsidP="00714686">
      <w:pPr>
        <w:pStyle w:val="Paragraph"/>
        <w:spacing w:before="120" w:after="120"/>
        <w:ind w:left="283" w:right="283"/>
        <w:rPr>
          <w:lang w:eastAsia="en-GB"/>
        </w:rPr>
      </w:pPr>
      <w:r w:rsidRPr="00EC48FA">
        <w:rPr>
          <w:lang w:eastAsia="en-GB"/>
        </w:rPr>
        <w:t>ADL SmartCare has built a Health Ageing Virtual Assistant (HAVA) available on online that provides access to self-management information and advice.</w:t>
      </w:r>
      <w:r w:rsidR="004511B3">
        <w:rPr>
          <w:lang w:eastAsia="en-GB"/>
        </w:rPr>
        <w:t xml:space="preserve"> </w:t>
      </w:r>
      <w:r w:rsidRPr="00EC48FA">
        <w:rPr>
          <w:lang w:eastAsia="en-GB"/>
        </w:rPr>
        <w:t>Through questions it guides people to find services and AT that can meet their needs.</w:t>
      </w:r>
      <w:r w:rsidR="004511B3">
        <w:rPr>
          <w:lang w:eastAsia="en-GB"/>
        </w:rPr>
        <w:t xml:space="preserve"> </w:t>
      </w:r>
      <w:r w:rsidRPr="00EC48FA">
        <w:rPr>
          <w:lang w:eastAsia="en-GB"/>
        </w:rPr>
        <w:t>The advice provided is independent and evidence-based, and not tied to any equipment providers.</w:t>
      </w:r>
      <w:r w:rsidR="004511B3">
        <w:rPr>
          <w:lang w:eastAsia="en-GB"/>
        </w:rPr>
        <w:t xml:space="preserve"> </w:t>
      </w:r>
    </w:p>
    <w:p w14:paraId="6D5EC665" w14:textId="77777777" w:rsidR="00F17D83" w:rsidRPr="00EC48FA" w:rsidRDefault="00F17D83" w:rsidP="00714686">
      <w:pPr>
        <w:pStyle w:val="ParaKeep"/>
        <w:spacing w:before="120"/>
        <w:ind w:left="283" w:right="283"/>
        <w:rPr>
          <w:lang w:eastAsia="en-GB"/>
        </w:rPr>
      </w:pPr>
      <w:r w:rsidRPr="00EC48FA">
        <w:rPr>
          <w:lang w:eastAsia="en-GB"/>
        </w:rPr>
        <w:t>ADL SmartCare also provides a Health Ageing Digital Service for organisations that includes:</w:t>
      </w:r>
    </w:p>
    <w:p w14:paraId="67EE153D" w14:textId="77777777" w:rsidR="00F17D83" w:rsidRPr="00EC48FA" w:rsidRDefault="00F17D83" w:rsidP="00714686">
      <w:pPr>
        <w:pStyle w:val="Bullet1"/>
        <w:ind w:left="927" w:right="283"/>
      </w:pPr>
      <w:r w:rsidRPr="00EC48FA">
        <w:t>24/7 access to self-help for individuals</w:t>
      </w:r>
    </w:p>
    <w:p w14:paraId="33B1AB70" w14:textId="77777777" w:rsidR="00F17D83" w:rsidRPr="00EC48FA" w:rsidRDefault="00F17D83" w:rsidP="00714686">
      <w:pPr>
        <w:pStyle w:val="Bullet1"/>
        <w:ind w:left="927" w:right="283"/>
      </w:pPr>
      <w:r w:rsidRPr="00EC48FA">
        <w:t>Professional quality, self-help advice without service involvement, supporting a culture of self</w:t>
      </w:r>
      <w:r>
        <w:t>-</w:t>
      </w:r>
      <w:r w:rsidRPr="00EC48FA">
        <w:t>management</w:t>
      </w:r>
    </w:p>
    <w:p w14:paraId="420ABF34" w14:textId="77777777" w:rsidR="00F17D83" w:rsidRPr="00EC48FA" w:rsidRDefault="00F17D83" w:rsidP="00714686">
      <w:pPr>
        <w:pStyle w:val="Bullet1"/>
        <w:ind w:left="927" w:right="283"/>
      </w:pPr>
      <w:r w:rsidRPr="00EC48FA">
        <w:t>Mapping to help triage individuals into relevant services and to identify when an individual might need specialist services</w:t>
      </w:r>
    </w:p>
    <w:p w14:paraId="31560DBA" w14:textId="77777777" w:rsidR="00F17D83" w:rsidRDefault="00F17D83" w:rsidP="00714686">
      <w:pPr>
        <w:pStyle w:val="Bullet1"/>
        <w:ind w:left="927" w:right="283"/>
      </w:pPr>
      <w:r w:rsidRPr="00EC48FA">
        <w:t>Access to research around age-related decline and benchmarks and measures of the impact of early intervention and prevention</w:t>
      </w:r>
      <w:r>
        <w:t>.</w:t>
      </w:r>
    </w:p>
    <w:p w14:paraId="4D595842" w14:textId="40DBA57C" w:rsidR="00F17D83" w:rsidRPr="00EC48FA" w:rsidRDefault="00F17D83" w:rsidP="00714686">
      <w:pPr>
        <w:pStyle w:val="Bullet1"/>
        <w:numPr>
          <w:ilvl w:val="0"/>
          <w:numId w:val="0"/>
        </w:numPr>
        <w:ind w:left="283" w:right="283"/>
      </w:pPr>
      <w:r w:rsidRPr="00EC48FA">
        <w:t>For further information, see</w:t>
      </w:r>
      <w:r w:rsidR="002F65BC">
        <w:t xml:space="preserve"> </w:t>
      </w:r>
      <w:hyperlink r:id="rId143" w:history="1">
        <w:r w:rsidR="002F65BC" w:rsidRPr="002F65BC">
          <w:rPr>
            <w:rStyle w:val="Hyperlink"/>
            <w:noProof w:val="0"/>
          </w:rPr>
          <w:t>ADL smartcare</w:t>
        </w:r>
      </w:hyperlink>
    </w:p>
    <w:p w14:paraId="0A65A4D9" w14:textId="77777777" w:rsidR="00151BD5" w:rsidRDefault="00F17D83" w:rsidP="00714686">
      <w:pPr>
        <w:pStyle w:val="Paragraph"/>
        <w:spacing w:before="120" w:after="120"/>
        <w:ind w:left="283" w:right="283"/>
      </w:pPr>
      <w:r>
        <w:t>Independent Living Assessment Inc</w:t>
      </w:r>
      <w:r w:rsidR="004511B3">
        <w:t xml:space="preserve"> </w:t>
      </w:r>
      <w:r>
        <w:t>(a part of the WA ILC)</w:t>
      </w:r>
      <w:r w:rsidRPr="00EC48FA">
        <w:t xml:space="preserve"> ha</w:t>
      </w:r>
      <w:r>
        <w:t>s</w:t>
      </w:r>
      <w:r w:rsidRPr="00EC48FA">
        <w:t xml:space="preserve"> developed a partnership with ADL SmartCare to </w:t>
      </w:r>
      <w:r w:rsidRPr="00EC48FA">
        <w:rPr>
          <w:rFonts w:eastAsia="Calibri"/>
        </w:rPr>
        <w:t>explore their Healthy Ageing Digital Platform as it s</w:t>
      </w:r>
      <w:r w:rsidRPr="00EC48FA">
        <w:t>upports older people to manage their well</w:t>
      </w:r>
      <w:r>
        <w:t>being</w:t>
      </w:r>
      <w:r w:rsidRPr="00EC48FA">
        <w:t xml:space="preserve"> and independence and empowers people through knowledge to live better for longer.</w:t>
      </w:r>
    </w:p>
    <w:p w14:paraId="2DDF8A7A" w14:textId="68235A89" w:rsidR="00F17D83" w:rsidRDefault="00F17D83" w:rsidP="00714686">
      <w:pPr>
        <w:pStyle w:val="Paragraph"/>
        <w:spacing w:before="120" w:after="120"/>
        <w:ind w:left="283" w:right="283"/>
      </w:pPr>
      <w:r>
        <w:t>This</w:t>
      </w:r>
      <w:r w:rsidRPr="00EC48FA">
        <w:t xml:space="preserve"> platform </w:t>
      </w:r>
      <w:r>
        <w:t>has a</w:t>
      </w:r>
      <w:r w:rsidRPr="00EC48FA">
        <w:t xml:space="preserve"> broader prevention, self-management, health literacy and capacity building purposes with a focus on ageing well across the life course.</w:t>
      </w:r>
      <w:r w:rsidR="004511B3">
        <w:t xml:space="preserve"> </w:t>
      </w:r>
      <w:r w:rsidRPr="00EC48FA">
        <w:t xml:space="preserve">The ILC sees the potential for this product to be </w:t>
      </w:r>
      <w:r>
        <w:t>used</w:t>
      </w:r>
      <w:r w:rsidRPr="00EC48FA">
        <w:t xml:space="preserve"> as part of a broader preventative and reablement approach.</w:t>
      </w:r>
    </w:p>
    <w:p w14:paraId="2F552E82" w14:textId="32686089" w:rsidR="00151BD5" w:rsidRPr="00EC48FA" w:rsidRDefault="00151BD5" w:rsidP="00714686">
      <w:pPr>
        <w:ind w:left="283" w:right="283"/>
        <w:jc w:val="center"/>
      </w:pPr>
      <w:r w:rsidRPr="00EC48FA">
        <w:rPr>
          <w:noProof/>
          <w:lang w:val="en-AU" w:eastAsia="en-AU"/>
        </w:rPr>
        <w:drawing>
          <wp:inline distT="0" distB="0" distL="0" distR="0" wp14:anchorId="4200AF90" wp14:editId="06B72A5D">
            <wp:extent cx="1932695" cy="2664000"/>
            <wp:effectExtent l="0" t="0" r="0" b="3175"/>
            <wp:docPr id="915" name="Picture 915" descr="Partial screenshot of the LifeCurve smartphone app showing the start of a list of instructions on how to use Lif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Partial screenshot of the LifeCurve smartphone app showing the start of a list of instructions on how to use LifeCurv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32695" cy="2664000"/>
                    </a:xfrm>
                    <a:prstGeom prst="rect">
                      <a:avLst/>
                    </a:prstGeom>
                    <a:noFill/>
                    <a:ln>
                      <a:noFill/>
                    </a:ln>
                  </pic:spPr>
                </pic:pic>
              </a:graphicData>
            </a:graphic>
          </wp:inline>
        </w:drawing>
      </w:r>
    </w:p>
    <w:p w14:paraId="13BD59A5" w14:textId="136B508B" w:rsidR="00F17D83" w:rsidRPr="00773ABB" w:rsidRDefault="00F17D83" w:rsidP="00773ABB">
      <w:pPr>
        <w:rPr>
          <w:rStyle w:val="Bold"/>
          <w:sz w:val="28"/>
          <w:szCs w:val="28"/>
        </w:rPr>
      </w:pPr>
      <w:r w:rsidRPr="00773ABB">
        <w:rPr>
          <w:rStyle w:val="Bold"/>
          <w:sz w:val="28"/>
          <w:szCs w:val="28"/>
        </w:rPr>
        <w:lastRenderedPageBreak/>
        <w:t>Home Modification Information Clearinghouse fact sheets and application</w:t>
      </w:r>
    </w:p>
    <w:p w14:paraId="6224C603" w14:textId="6F8C49E8" w:rsidR="00F17D83" w:rsidRPr="00EC48FA" w:rsidRDefault="00F17D83" w:rsidP="00714686">
      <w:pPr>
        <w:pStyle w:val="Paragraph"/>
        <w:ind w:left="283" w:right="283"/>
        <w:rPr>
          <w:lang w:eastAsia="en-GB"/>
        </w:rPr>
      </w:pPr>
      <w:r w:rsidRPr="00EC48FA">
        <w:rPr>
          <w:lang w:eastAsia="en-GB"/>
        </w:rPr>
        <w:t>The Home Modification Information Clearinghouse (HMinfo) is located within the faculty of the Built Environment at the University of N</w:t>
      </w:r>
      <w:r>
        <w:rPr>
          <w:lang w:eastAsia="en-GB"/>
        </w:rPr>
        <w:t>ew South Wales</w:t>
      </w:r>
      <w:r w:rsidRPr="00EC48FA">
        <w:rPr>
          <w:lang w:eastAsia="en-GB"/>
        </w:rPr>
        <w:t>, Sydney. HMinfo is an information service that collates, reviews and builds the evidence base for best practice in modification of the home environment to support people with self-care, participation and autonomy. HMinfo produces factsheets which translate research evidence for home modification design and building practices into information to assist home modification prescribers, practitioners and consumers.</w:t>
      </w:r>
      <w:r w:rsidR="004511B3">
        <w:rPr>
          <w:lang w:eastAsia="en-GB"/>
        </w:rPr>
        <w:t xml:space="preserve"> </w:t>
      </w:r>
      <w:r w:rsidRPr="00EC48FA">
        <w:rPr>
          <w:lang w:eastAsia="en-GB"/>
        </w:rPr>
        <w:t>These include factsheets and guidance for DIY consumers.</w:t>
      </w:r>
    </w:p>
    <w:p w14:paraId="37CD4E56" w14:textId="77777777" w:rsidR="00F17D83" w:rsidRPr="00EC48FA" w:rsidRDefault="00F17D83" w:rsidP="00714686">
      <w:pPr>
        <w:pStyle w:val="ParaKeep"/>
        <w:ind w:left="283" w:right="283"/>
        <w:rPr>
          <w:lang w:eastAsia="en-GB"/>
        </w:rPr>
      </w:pPr>
      <w:r w:rsidRPr="00EC48FA">
        <w:rPr>
          <w:lang w:eastAsia="en-GB"/>
        </w:rPr>
        <w:t xml:space="preserve">Consumer factsheets cover range of topics, </w:t>
      </w:r>
      <w:r>
        <w:rPr>
          <w:lang w:eastAsia="en-GB"/>
        </w:rPr>
        <w:t>such as</w:t>
      </w:r>
      <w:r w:rsidRPr="00EC48FA">
        <w:rPr>
          <w:lang w:eastAsia="en-GB"/>
        </w:rPr>
        <w:t>:</w:t>
      </w:r>
    </w:p>
    <w:p w14:paraId="5A430CA3" w14:textId="77777777" w:rsidR="00F17D83" w:rsidRPr="00EC48FA" w:rsidRDefault="00F17D83" w:rsidP="00714686">
      <w:pPr>
        <w:pStyle w:val="Bullet1"/>
        <w:ind w:left="927" w:right="283"/>
      </w:pPr>
      <w:r w:rsidRPr="00EC48FA">
        <w:t>Selecting coating for tiled floors</w:t>
      </w:r>
    </w:p>
    <w:p w14:paraId="5948A96C" w14:textId="77777777" w:rsidR="00F17D83" w:rsidRPr="00EC48FA" w:rsidRDefault="00F17D83" w:rsidP="00714686">
      <w:pPr>
        <w:pStyle w:val="Bullet1"/>
        <w:ind w:left="927" w:right="283"/>
      </w:pPr>
      <w:r w:rsidRPr="00EC48FA">
        <w:t>How to arrange home modifications</w:t>
      </w:r>
    </w:p>
    <w:p w14:paraId="539876C4" w14:textId="0205008C" w:rsidR="00F17D83" w:rsidRPr="00EC48FA" w:rsidRDefault="00F17D83" w:rsidP="00714686">
      <w:pPr>
        <w:pStyle w:val="Bullet1"/>
        <w:ind w:left="927" w:right="283"/>
      </w:pPr>
      <w:r w:rsidRPr="00EC48FA">
        <w:t>Fire safety</w:t>
      </w:r>
      <w:r w:rsidR="00861912">
        <w:t xml:space="preserve"> – </w:t>
      </w:r>
      <w:r w:rsidRPr="00EC48FA">
        <w:t>smoke alarms</w:t>
      </w:r>
    </w:p>
    <w:p w14:paraId="1B111193" w14:textId="77777777" w:rsidR="00F17D83" w:rsidRPr="00EC48FA" w:rsidRDefault="00F17D83" w:rsidP="00714686">
      <w:pPr>
        <w:pStyle w:val="Bullet1"/>
        <w:ind w:left="927" w:right="283"/>
      </w:pPr>
      <w:r w:rsidRPr="00EC48FA">
        <w:t>Recommended grabrail diameters</w:t>
      </w:r>
    </w:p>
    <w:p w14:paraId="78DBFC1B" w14:textId="052074ED" w:rsidR="00F17D83" w:rsidRPr="00EC48FA" w:rsidRDefault="00F17D83" w:rsidP="00714686">
      <w:pPr>
        <w:pStyle w:val="Bullet1"/>
        <w:ind w:left="927" w:right="283"/>
      </w:pPr>
      <w:r w:rsidRPr="00EC48FA">
        <w:t>Selecting doorbells for people with hearing impairment.</w:t>
      </w:r>
    </w:p>
    <w:p w14:paraId="2A63917E" w14:textId="77777777" w:rsidR="00F17D83" w:rsidRPr="00EC48FA" w:rsidRDefault="00F17D83" w:rsidP="00714686">
      <w:pPr>
        <w:pStyle w:val="ParaKeep"/>
        <w:ind w:left="283" w:right="283"/>
        <w:rPr>
          <w:lang w:eastAsia="en-GB"/>
        </w:rPr>
      </w:pPr>
      <w:r w:rsidRPr="00EC48FA">
        <w:rPr>
          <w:lang w:eastAsia="en-GB"/>
        </w:rPr>
        <w:t>Industry factsheets provide similar information to consumer factsheets, often at a higher or more technical level, including:</w:t>
      </w:r>
    </w:p>
    <w:p w14:paraId="48D16803" w14:textId="77777777" w:rsidR="00F17D83" w:rsidRPr="00EC48FA" w:rsidRDefault="00F17D83" w:rsidP="00714686">
      <w:pPr>
        <w:pStyle w:val="Bullet1"/>
        <w:ind w:left="927" w:right="283"/>
      </w:pPr>
      <w:r w:rsidRPr="00EC48FA">
        <w:t>Cost–benefit factors when choosing between ramps and lifts</w:t>
      </w:r>
    </w:p>
    <w:p w14:paraId="249021BE" w14:textId="77777777" w:rsidR="00F17D83" w:rsidRPr="00EC48FA" w:rsidRDefault="00F17D83" w:rsidP="00714686">
      <w:pPr>
        <w:pStyle w:val="Bullet1"/>
        <w:ind w:left="927" w:right="283"/>
      </w:pPr>
      <w:r w:rsidRPr="00EC48FA">
        <w:t>Industry Checklist for Reeded (Ribbed) Timber for Decks, Ramps and Pathways</w:t>
      </w:r>
    </w:p>
    <w:p w14:paraId="486B4A05" w14:textId="60577913" w:rsidR="00F17D83" w:rsidRDefault="00F17D83" w:rsidP="00714686">
      <w:pPr>
        <w:pStyle w:val="Bullet1"/>
        <w:ind w:left="927" w:right="283"/>
      </w:pPr>
      <w:r w:rsidRPr="00EC48FA">
        <w:t>Slip resistance of ramps.</w:t>
      </w:r>
    </w:p>
    <w:p w14:paraId="4516AD8A" w14:textId="6FF2FA6E" w:rsidR="00151BD5" w:rsidRPr="00EC48FA" w:rsidRDefault="00151BD5" w:rsidP="00714686">
      <w:pPr>
        <w:tabs>
          <w:tab w:val="right" w:pos="9356"/>
        </w:tabs>
        <w:spacing w:before="480"/>
        <w:ind w:left="283" w:right="283"/>
      </w:pPr>
      <w:r w:rsidRPr="00EC48FA">
        <w:rPr>
          <w:noProof/>
          <w:lang w:val="en-AU" w:eastAsia="en-AU"/>
        </w:rPr>
        <w:drawing>
          <wp:inline distT="0" distB="0" distL="0" distR="0" wp14:anchorId="4E011961" wp14:editId="3BE0F0A7">
            <wp:extent cx="2842326" cy="3240000"/>
            <wp:effectExtent l="0" t="0" r="0" b="0"/>
            <wp:docPr id="936" name="Picture 936" descr="Consumer factsheet on selecting doorbells for people with hearing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icture 936" descr="Consumer factsheet on selecting doorbells for people with hearing impairment."/>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842326" cy="3240000"/>
                    </a:xfrm>
                    <a:prstGeom prst="rect">
                      <a:avLst/>
                    </a:prstGeom>
                  </pic:spPr>
                </pic:pic>
              </a:graphicData>
            </a:graphic>
          </wp:inline>
        </w:drawing>
      </w:r>
      <w:r w:rsidR="00714686">
        <w:tab/>
      </w:r>
      <w:r w:rsidRPr="00EC48FA">
        <w:rPr>
          <w:noProof/>
          <w:lang w:val="en-AU" w:eastAsia="en-AU"/>
        </w:rPr>
        <w:drawing>
          <wp:inline distT="0" distB="0" distL="0" distR="0" wp14:anchorId="58E385DC" wp14:editId="3F7CF95B">
            <wp:extent cx="2904345" cy="3240000"/>
            <wp:effectExtent l="0" t="0" r="0" b="0"/>
            <wp:docPr id="937" name="Picture 937" descr="Industry factsheet on selecting doorbells with hearing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Industry factsheet on selecting doorbells with hearing impairment."/>
                    <pic:cNvPicPr/>
                  </pic:nvPicPr>
                  <pic:blipFill rotWithShape="1">
                    <a:blip r:embed="rId146" cstate="print">
                      <a:extLst>
                        <a:ext uri="{28A0092B-C50C-407E-A947-70E740481C1C}">
                          <a14:useLocalDpi xmlns:a14="http://schemas.microsoft.com/office/drawing/2010/main" val="0"/>
                        </a:ext>
                      </a:extLst>
                    </a:blip>
                    <a:srcRect/>
                    <a:stretch/>
                  </pic:blipFill>
                  <pic:spPr bwMode="auto">
                    <a:xfrm>
                      <a:off x="0" y="0"/>
                      <a:ext cx="2904345" cy="3240000"/>
                    </a:xfrm>
                    <a:prstGeom prst="rect">
                      <a:avLst/>
                    </a:prstGeom>
                    <a:ln>
                      <a:noFill/>
                    </a:ln>
                    <a:extLst>
                      <a:ext uri="{53640926-AAD7-44D8-BBD7-CCE9431645EC}">
                        <a14:shadowObscured xmlns:a14="http://schemas.microsoft.com/office/drawing/2010/main"/>
                      </a:ext>
                    </a:extLst>
                  </pic:spPr>
                </pic:pic>
              </a:graphicData>
            </a:graphic>
          </wp:inline>
        </w:drawing>
      </w:r>
    </w:p>
    <w:p w14:paraId="57036D0B" w14:textId="77777777" w:rsidR="00F17D83" w:rsidRPr="00EC48FA" w:rsidRDefault="00F17D83" w:rsidP="00714686">
      <w:pPr>
        <w:ind w:left="283" w:right="283"/>
        <w:rPr>
          <w:rStyle w:val="Bold"/>
          <w:color w:val="000000" w:themeColor="text1"/>
        </w:rPr>
      </w:pPr>
      <w:r w:rsidRPr="00EC48FA">
        <w:rPr>
          <w:rStyle w:val="Bold"/>
        </w:rPr>
        <w:br w:type="page"/>
      </w:r>
    </w:p>
    <w:p w14:paraId="397B26EC" w14:textId="25AC341A" w:rsidR="00F17D83" w:rsidRPr="00773ABB" w:rsidRDefault="00F17D83" w:rsidP="00773ABB">
      <w:pPr>
        <w:rPr>
          <w:b/>
          <w:sz w:val="28"/>
          <w:szCs w:val="28"/>
        </w:rPr>
      </w:pPr>
      <w:r w:rsidRPr="00773ABB">
        <w:rPr>
          <w:b/>
          <w:sz w:val="28"/>
          <w:szCs w:val="28"/>
        </w:rPr>
        <w:lastRenderedPageBreak/>
        <w:t>Home Modification Information Clearinghouse applications</w:t>
      </w:r>
    </w:p>
    <w:p w14:paraId="4491031A" w14:textId="61BFF5F3" w:rsidR="00F17D83" w:rsidRPr="00EC48FA" w:rsidRDefault="00F17D83" w:rsidP="00714686">
      <w:pPr>
        <w:pStyle w:val="Paragraph"/>
        <w:ind w:left="283" w:right="283"/>
        <w:rPr>
          <w:lang w:eastAsia="en-GB"/>
        </w:rPr>
      </w:pPr>
      <w:r w:rsidRPr="00EC48FA">
        <w:rPr>
          <w:lang w:eastAsia="en-GB"/>
        </w:rPr>
        <w:t>HMinfo have also developed DIYmodify and Liveability apps that are available as free downloads for consumers.</w:t>
      </w:r>
      <w:r w:rsidR="004511B3">
        <w:rPr>
          <w:lang w:eastAsia="en-GB"/>
        </w:rPr>
        <w:t xml:space="preserve"> </w:t>
      </w:r>
      <w:r w:rsidRPr="00EC48FA">
        <w:rPr>
          <w:lang w:eastAsia="en-GB"/>
        </w:rPr>
        <w:t>These apps are free tools that facilitate ‘on the go’ assistance with assessing, planning, and undertaking modifications to the home and neighbourhood.</w:t>
      </w:r>
      <w:r w:rsidR="004511B3">
        <w:rPr>
          <w:lang w:eastAsia="en-GB"/>
        </w:rPr>
        <w:t xml:space="preserve"> </w:t>
      </w:r>
      <w:r w:rsidRPr="00EC48FA">
        <w:rPr>
          <w:lang w:eastAsia="en-GB"/>
        </w:rPr>
        <w:t>The apps can be used on mobile devices, such as iPads, iPhones and Android phones.</w:t>
      </w:r>
    </w:p>
    <w:p w14:paraId="0A30CE58" w14:textId="77777777" w:rsidR="00F17D83" w:rsidRPr="00EC48FA" w:rsidRDefault="00F17D83" w:rsidP="00714686">
      <w:pPr>
        <w:pStyle w:val="Paragraph"/>
        <w:ind w:left="283" w:right="283"/>
        <w:rPr>
          <w:lang w:eastAsia="en-GB"/>
        </w:rPr>
      </w:pPr>
      <w:r w:rsidRPr="00EC48FA">
        <w:rPr>
          <w:lang w:eastAsia="en-GB"/>
        </w:rPr>
        <w:t>The DIYmodify app is designed for people who wish to undertake their own home modification but are unsure how to start, as well as for those who are confident in DIY but unsure what kind of home modifications may be appropriate.</w:t>
      </w:r>
    </w:p>
    <w:p w14:paraId="0D68CDE7" w14:textId="745C6129" w:rsidR="00F17D83" w:rsidRDefault="00F17D83" w:rsidP="00714686">
      <w:pPr>
        <w:pStyle w:val="Paragraph"/>
        <w:ind w:left="283" w:right="283"/>
        <w:rPr>
          <w:lang w:eastAsia="en-GB"/>
        </w:rPr>
      </w:pPr>
      <w:r w:rsidRPr="00EC48FA">
        <w:rPr>
          <w:lang w:eastAsia="en-GB"/>
        </w:rPr>
        <w:t>The Liveability app actively engages community members in rating the liveability features and services of their neighbourhood.</w:t>
      </w:r>
      <w:r w:rsidR="004511B3">
        <w:rPr>
          <w:lang w:eastAsia="en-GB"/>
        </w:rPr>
        <w:t xml:space="preserve"> </w:t>
      </w:r>
      <w:r w:rsidRPr="00EC48FA">
        <w:rPr>
          <w:lang w:eastAsia="en-GB"/>
        </w:rPr>
        <w:t>The information collected by the app can be used by local councils, planners and other relevant authority groups to make improvements.</w:t>
      </w:r>
    </w:p>
    <w:p w14:paraId="1708603A" w14:textId="76C33558" w:rsidR="00714686" w:rsidRPr="00EC48FA" w:rsidRDefault="00714686" w:rsidP="00714686">
      <w:pPr>
        <w:pStyle w:val="Paragraph"/>
        <w:ind w:left="283" w:right="283"/>
        <w:rPr>
          <w:lang w:eastAsia="en-AU"/>
        </w:rPr>
      </w:pPr>
    </w:p>
    <w:p w14:paraId="5DD543A5" w14:textId="33B69366" w:rsidR="00714686" w:rsidRPr="00773ABB" w:rsidRDefault="00714686" w:rsidP="00773ABB">
      <w:pPr>
        <w:rPr>
          <w:b/>
          <w:sz w:val="28"/>
          <w:szCs w:val="28"/>
        </w:rPr>
      </w:pPr>
      <w:r w:rsidRPr="00773ABB">
        <w:rPr>
          <w:b/>
          <w:sz w:val="28"/>
          <w:szCs w:val="28"/>
        </w:rPr>
        <w:t>Bolton Clarke Easy Living Kit</w:t>
      </w:r>
    </w:p>
    <w:p w14:paraId="5990E6BC" w14:textId="77777777" w:rsidR="00714686" w:rsidRDefault="00714686" w:rsidP="00714686">
      <w:pPr>
        <w:pStyle w:val="ParaKeep"/>
        <w:ind w:left="283" w:right="283"/>
        <w:rPr>
          <w:lang w:eastAsia="en-GB"/>
        </w:rPr>
      </w:pPr>
      <w:r w:rsidRPr="00EC48FA">
        <w:rPr>
          <w:lang w:eastAsia="en-GB"/>
        </w:rPr>
        <w:t xml:space="preserve">Bolton Clarke offers services to support people across home care, retirement living and residential aged care around Australia. When undertaking home visits or assessments, Bolton Clarke personal care workers carry a standard AT kit to show </w:t>
      </w:r>
      <w:r>
        <w:rPr>
          <w:lang w:eastAsia="en-GB"/>
        </w:rPr>
        <w:t xml:space="preserve">activity of daily living </w:t>
      </w:r>
      <w:r w:rsidRPr="00EC48FA">
        <w:rPr>
          <w:lang w:eastAsia="en-GB"/>
        </w:rPr>
        <w:t xml:space="preserve">equipment to consumers </w:t>
      </w:r>
      <w:r>
        <w:rPr>
          <w:lang w:eastAsia="en-GB"/>
        </w:rPr>
        <w:t xml:space="preserve">that consumers can purchase </w:t>
      </w:r>
      <w:r w:rsidRPr="00EC48FA">
        <w:rPr>
          <w:lang w:eastAsia="en-GB"/>
        </w:rPr>
        <w:t>(care workers receive one hour of training on the equipment).</w:t>
      </w:r>
      <w:r>
        <w:rPr>
          <w:lang w:eastAsia="en-GB"/>
        </w:rPr>
        <w:t xml:space="preserve"> </w:t>
      </w:r>
    </w:p>
    <w:p w14:paraId="26F09350" w14:textId="77777777" w:rsidR="00714686" w:rsidRPr="00EC48FA" w:rsidRDefault="00714686" w:rsidP="00714686">
      <w:pPr>
        <w:pStyle w:val="ParaKeep"/>
        <w:ind w:left="283" w:right="283"/>
      </w:pPr>
      <w:r w:rsidRPr="00EC48FA">
        <w:rPr>
          <w:lang w:eastAsia="en-AU"/>
        </w:rPr>
        <w:t xml:space="preserve">The workers also carry a flip chart booklet which provides information on simple aids (which don’t require measurement or review) that a </w:t>
      </w:r>
      <w:r>
        <w:rPr>
          <w:lang w:eastAsia="en-AU"/>
        </w:rPr>
        <w:t>consumer</w:t>
      </w:r>
      <w:r w:rsidRPr="00EC48FA">
        <w:rPr>
          <w:lang w:eastAsia="en-AU"/>
        </w:rPr>
        <w:t xml:space="preserve"> may find useful. </w:t>
      </w:r>
      <w:r w:rsidRPr="00EC48FA">
        <w:rPr>
          <w:lang w:eastAsia="en-GB"/>
        </w:rPr>
        <w:t>Some of the equipment listed in Easy Living kit includes:</w:t>
      </w:r>
    </w:p>
    <w:p w14:paraId="765035CE" w14:textId="77777777" w:rsidR="00714686" w:rsidRPr="00EC48FA" w:rsidRDefault="00714686" w:rsidP="00714686">
      <w:pPr>
        <w:pStyle w:val="Bullet1"/>
        <w:ind w:left="927" w:right="283"/>
      </w:pPr>
      <w:r w:rsidRPr="00EC48FA">
        <w:t>Bottle cap opener</w:t>
      </w:r>
    </w:p>
    <w:p w14:paraId="7E2D268E" w14:textId="77777777" w:rsidR="00714686" w:rsidRPr="00EC48FA" w:rsidRDefault="00714686" w:rsidP="00714686">
      <w:pPr>
        <w:pStyle w:val="Bullet1"/>
        <w:ind w:left="927" w:right="283"/>
      </w:pPr>
      <w:r w:rsidRPr="00EC48FA">
        <w:t>Can opener/ring pull aid</w:t>
      </w:r>
    </w:p>
    <w:p w14:paraId="252D0635" w14:textId="77777777" w:rsidR="00714686" w:rsidRPr="00EC48FA" w:rsidRDefault="00714686" w:rsidP="00714686">
      <w:pPr>
        <w:pStyle w:val="Bullet1"/>
        <w:ind w:left="927" w:right="283"/>
      </w:pPr>
      <w:r w:rsidRPr="00EC48FA">
        <w:t>Handy bar for getting in/out of car</w:t>
      </w:r>
    </w:p>
    <w:p w14:paraId="4B53D307" w14:textId="77777777" w:rsidR="00714686" w:rsidRPr="00EC48FA" w:rsidRDefault="00714686" w:rsidP="00714686">
      <w:pPr>
        <w:pStyle w:val="Bullet1"/>
        <w:ind w:left="927" w:right="283"/>
      </w:pPr>
      <w:r w:rsidRPr="00EC48FA">
        <w:t>Jar opener</w:t>
      </w:r>
    </w:p>
    <w:p w14:paraId="69D3A116" w14:textId="77777777" w:rsidR="00714686" w:rsidRPr="00EC48FA" w:rsidRDefault="00714686" w:rsidP="00714686">
      <w:pPr>
        <w:pStyle w:val="Bullet1"/>
        <w:ind w:left="927" w:right="283"/>
      </w:pPr>
      <w:r w:rsidRPr="00EC48FA">
        <w:t>Key turner</w:t>
      </w:r>
    </w:p>
    <w:p w14:paraId="76D7B842" w14:textId="77777777" w:rsidR="00714686" w:rsidRPr="00EC48FA" w:rsidRDefault="00714686" w:rsidP="00714686">
      <w:pPr>
        <w:pStyle w:val="Bullet1"/>
        <w:ind w:left="927" w:right="283"/>
      </w:pPr>
      <w:r w:rsidRPr="00EC48FA">
        <w:t>Lotion applicator</w:t>
      </w:r>
    </w:p>
    <w:p w14:paraId="4CC4B210" w14:textId="77777777" w:rsidR="00714686" w:rsidRPr="00EC48FA" w:rsidRDefault="00714686" w:rsidP="00714686">
      <w:pPr>
        <w:pStyle w:val="Bullet1"/>
        <w:ind w:left="927" w:right="283"/>
      </w:pPr>
      <w:r w:rsidRPr="00EC48FA">
        <w:t xml:space="preserve">Long-handled reacher </w:t>
      </w:r>
    </w:p>
    <w:p w14:paraId="30EFF3D8" w14:textId="77777777" w:rsidR="00714686" w:rsidRPr="00EC48FA" w:rsidRDefault="00714686" w:rsidP="00714686">
      <w:pPr>
        <w:pStyle w:val="Bullet1"/>
        <w:ind w:left="927" w:right="283"/>
      </w:pPr>
      <w:r w:rsidRPr="00EC48FA">
        <w:t>Sock and stocking aid</w:t>
      </w:r>
    </w:p>
    <w:p w14:paraId="006A6BC1" w14:textId="77777777" w:rsidR="00714686" w:rsidRPr="00EC48FA" w:rsidRDefault="00714686" w:rsidP="00714686">
      <w:pPr>
        <w:pStyle w:val="Bullet1"/>
        <w:ind w:left="927" w:right="283"/>
      </w:pPr>
      <w:r w:rsidRPr="00EC48FA">
        <w:t>Tap turner</w:t>
      </w:r>
      <w:r>
        <w:t>.</w:t>
      </w:r>
    </w:p>
    <w:p w14:paraId="0D2DEB43" w14:textId="77777777" w:rsidR="00714686" w:rsidRDefault="00714686" w:rsidP="00714686">
      <w:pPr>
        <w:ind w:left="283" w:right="283"/>
        <w:rPr>
          <w:color w:val="000000" w:themeColor="text1"/>
          <w:lang w:eastAsia="en-US"/>
        </w:rPr>
      </w:pPr>
      <w:r>
        <w:br w:type="page"/>
      </w:r>
    </w:p>
    <w:p w14:paraId="5D1C3D88" w14:textId="3D3FCC5B" w:rsidR="00F17D83" w:rsidRPr="00773ABB" w:rsidRDefault="00F17D83" w:rsidP="00773ABB">
      <w:pPr>
        <w:rPr>
          <w:b/>
          <w:sz w:val="28"/>
          <w:szCs w:val="28"/>
        </w:rPr>
      </w:pPr>
      <w:r w:rsidRPr="00773ABB">
        <w:rPr>
          <w:b/>
          <w:sz w:val="28"/>
          <w:szCs w:val="28"/>
        </w:rPr>
        <w:lastRenderedPageBreak/>
        <w:t>Making Choices Finding Solutions Guide</w:t>
      </w:r>
    </w:p>
    <w:p w14:paraId="1F71722F" w14:textId="7345B43D" w:rsidR="00F17D83" w:rsidRPr="00EC48FA" w:rsidRDefault="00F17D83" w:rsidP="00714686">
      <w:pPr>
        <w:pStyle w:val="Paragraph"/>
        <w:ind w:left="283" w:right="283"/>
        <w:rPr>
          <w:lang w:eastAsia="en-AU"/>
        </w:rPr>
      </w:pPr>
      <w:r w:rsidRPr="00EC48FA">
        <w:rPr>
          <w:lang w:eastAsia="en-AU"/>
        </w:rPr>
        <w:t>Making Choices, Finding Solutions is a guide to assistive equipment and home modification options for consumers, focus</w:t>
      </w:r>
      <w:r>
        <w:rPr>
          <w:lang w:eastAsia="en-AU"/>
        </w:rPr>
        <w:t>ing</w:t>
      </w:r>
      <w:r w:rsidRPr="00EC48FA">
        <w:rPr>
          <w:lang w:eastAsia="en-AU"/>
        </w:rPr>
        <w:t xml:space="preserve"> on safety, independence and wellbeing. The guide has been developed by Indigo (formerly ILC WA) and HACC.</w:t>
      </w:r>
      <w:r w:rsidR="004511B3">
        <w:rPr>
          <w:lang w:eastAsia="en-AU"/>
        </w:rPr>
        <w:t xml:space="preserve"> </w:t>
      </w:r>
      <w:r>
        <w:t>S</w:t>
      </w:r>
      <w:r w:rsidRPr="00EC48FA">
        <w:t>ee</w:t>
      </w:r>
      <w:r w:rsidR="002F65BC">
        <w:t xml:space="preserve"> </w:t>
      </w:r>
      <w:hyperlink r:id="rId147" w:history="1">
        <w:r w:rsidR="002F65BC" w:rsidRPr="002F65BC">
          <w:rPr>
            <w:rStyle w:val="Hyperlink"/>
            <w:noProof w:val="0"/>
          </w:rPr>
          <w:t>ILC making choices finding solutions guide</w:t>
        </w:r>
      </w:hyperlink>
      <w:r w:rsidRPr="00EC48FA">
        <w:t xml:space="preserve"> </w:t>
      </w:r>
    </w:p>
    <w:p w14:paraId="10170D93" w14:textId="77777777" w:rsidR="004A4382" w:rsidRDefault="00F17D83" w:rsidP="00714686">
      <w:pPr>
        <w:pStyle w:val="Paragraph"/>
        <w:ind w:left="283" w:right="283"/>
        <w:rPr>
          <w:lang w:eastAsia="en-AU"/>
        </w:rPr>
      </w:pPr>
      <w:r w:rsidRPr="00EC48FA">
        <w:rPr>
          <w:lang w:eastAsia="en-AU"/>
        </w:rPr>
        <w:t>Making Choices, Finding Solutions is designed to put professionally-held knowledge about simple, low</w:t>
      </w:r>
      <w:r>
        <w:rPr>
          <w:lang w:eastAsia="en-AU"/>
        </w:rPr>
        <w:t>-</w:t>
      </w:r>
      <w:r w:rsidRPr="00EC48FA">
        <w:rPr>
          <w:lang w:eastAsia="en-AU"/>
        </w:rPr>
        <w:t>risk solutions and assistive technology into the hands of the consumer. Older people often experience common everyday frustrations like opening a jar, so the OT team decided to share their knowledge and experience of these common frustrations and the tips, tricks and solutions that help maintain independence.</w:t>
      </w:r>
      <w:r w:rsidR="004511B3">
        <w:rPr>
          <w:lang w:eastAsia="en-AU"/>
        </w:rPr>
        <w:t xml:space="preserve"> </w:t>
      </w:r>
    </w:p>
    <w:p w14:paraId="71EC3566" w14:textId="775D1C07" w:rsidR="00714686" w:rsidRDefault="00F17D83" w:rsidP="00714686">
      <w:pPr>
        <w:pStyle w:val="Paragraph"/>
        <w:ind w:left="283" w:right="283"/>
        <w:rPr>
          <w:lang w:eastAsia="en-AU"/>
        </w:rPr>
      </w:pPr>
      <w:r w:rsidRPr="00EC48FA">
        <w:rPr>
          <w:lang w:eastAsia="en-AU"/>
        </w:rPr>
        <w:t>The guide enables people to independently search through common frustrations and daily tasks to find simple everyday tips, tricks and solutions that can help someone change how they do that task, adapt their surroundings to make it easier, or from which familiar local stores (mainstream environment) they can buy a simple piece of assistive technology.</w:t>
      </w:r>
    </w:p>
    <w:p w14:paraId="4A093C44" w14:textId="77777777" w:rsidR="00714686" w:rsidRDefault="00714686" w:rsidP="00714686">
      <w:pPr>
        <w:pStyle w:val="Paragraph"/>
        <w:ind w:left="283" w:right="283"/>
        <w:rPr>
          <w:lang w:eastAsia="en-AU"/>
        </w:rPr>
      </w:pPr>
    </w:p>
    <w:p w14:paraId="5E363E81" w14:textId="689687FF" w:rsidR="00F17D83" w:rsidRPr="00EC48FA" w:rsidRDefault="00714686" w:rsidP="00714686">
      <w:pPr>
        <w:ind w:left="283" w:right="283"/>
        <w:jc w:val="center"/>
        <w:rPr>
          <w:lang w:eastAsia="en-AU"/>
        </w:rPr>
      </w:pPr>
      <w:r w:rsidRPr="00EC48FA">
        <w:rPr>
          <w:noProof/>
          <w:lang w:val="en-AU" w:eastAsia="en-AU"/>
        </w:rPr>
        <w:drawing>
          <wp:inline distT="0" distB="0" distL="0" distR="0" wp14:anchorId="707D66FF" wp14:editId="3876E4DC">
            <wp:extent cx="3265200" cy="4086000"/>
            <wp:effectExtent l="0" t="0" r="0" b="0"/>
            <wp:docPr id="938" name="Picture 938" descr="Everyday activities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descr="Everyday activities checklist"/>
                    <pic:cNvPicPr/>
                  </pic:nvPicPr>
                  <pic:blipFill>
                    <a:blip r:embed="rId148">
                      <a:extLst>
                        <a:ext uri="{28A0092B-C50C-407E-A947-70E740481C1C}">
                          <a14:useLocalDpi xmlns:a14="http://schemas.microsoft.com/office/drawing/2010/main" val="0"/>
                        </a:ext>
                      </a:extLst>
                    </a:blip>
                    <a:stretch>
                      <a:fillRect/>
                    </a:stretch>
                  </pic:blipFill>
                  <pic:spPr>
                    <a:xfrm>
                      <a:off x="0" y="0"/>
                      <a:ext cx="3265200" cy="4086000"/>
                    </a:xfrm>
                    <a:prstGeom prst="rect">
                      <a:avLst/>
                    </a:prstGeom>
                  </pic:spPr>
                </pic:pic>
              </a:graphicData>
            </a:graphic>
          </wp:inline>
        </w:drawing>
      </w:r>
    </w:p>
    <w:p w14:paraId="1E654C86" w14:textId="2B7EF604" w:rsidR="00F01448" w:rsidRDefault="00F17D83" w:rsidP="00F01448">
      <w:pPr>
        <w:pStyle w:val="Paragraph"/>
        <w:rPr>
          <w:rFonts w:eastAsia="Arial Unicode MS"/>
        </w:rPr>
      </w:pPr>
      <w:r>
        <w:br w:type="page"/>
      </w:r>
    </w:p>
    <w:p w14:paraId="466DA517" w14:textId="77777777" w:rsidR="00F01448" w:rsidRDefault="00F01448" w:rsidP="00F01448"/>
    <w:p w14:paraId="2F35788A" w14:textId="5DA2ED91" w:rsidR="00F01448" w:rsidRPr="00E50153" w:rsidRDefault="00F01448" w:rsidP="00B4797D">
      <w:pPr>
        <w:pStyle w:val="Heading5"/>
        <w:rPr>
          <w:color w:val="auto"/>
        </w:rPr>
      </w:pPr>
      <w:bookmarkStart w:id="199" w:name="_Alt_text_long"/>
      <w:bookmarkStart w:id="200" w:name="_Toc60999871"/>
      <w:bookmarkEnd w:id="199"/>
      <w:r w:rsidRPr="00E50153">
        <w:rPr>
          <w:color w:val="auto"/>
        </w:rPr>
        <w:t>Alt text long descriptions</w:t>
      </w:r>
      <w:bookmarkEnd w:id="200"/>
    </w:p>
    <w:p w14:paraId="7E5A3A89" w14:textId="40362890" w:rsidR="00F01448" w:rsidRPr="00773ABB" w:rsidRDefault="00F01448" w:rsidP="00773ABB">
      <w:pPr>
        <w:rPr>
          <w:b/>
          <w:noProof/>
          <w:sz w:val="28"/>
          <w:szCs w:val="28"/>
        </w:rPr>
      </w:pPr>
      <w:r w:rsidRPr="00773ABB">
        <w:rPr>
          <w:b/>
          <w:noProof/>
          <w:sz w:val="28"/>
          <w:szCs w:val="28"/>
        </w:rPr>
        <w:fldChar w:fldCharType="begin"/>
      </w:r>
      <w:r w:rsidRPr="00773ABB">
        <w:rPr>
          <w:b/>
          <w:noProof/>
          <w:sz w:val="28"/>
          <w:szCs w:val="28"/>
        </w:rPr>
        <w:instrText xml:space="preserve"> REF _Ref59363407 \h </w:instrText>
      </w:r>
      <w:r w:rsidR="00714686" w:rsidRPr="00773ABB">
        <w:rPr>
          <w:b/>
          <w:noProof/>
          <w:sz w:val="28"/>
          <w:szCs w:val="28"/>
        </w:rPr>
        <w:instrText xml:space="preserve"> \* MERGEFORMAT </w:instrText>
      </w:r>
      <w:r w:rsidRPr="00773ABB">
        <w:rPr>
          <w:b/>
          <w:noProof/>
          <w:sz w:val="28"/>
          <w:szCs w:val="28"/>
        </w:rPr>
      </w:r>
      <w:r w:rsidRPr="00773ABB">
        <w:rPr>
          <w:b/>
          <w:noProof/>
          <w:sz w:val="28"/>
          <w:szCs w:val="28"/>
        </w:rPr>
        <w:fldChar w:fldCharType="separate"/>
      </w:r>
      <w:r w:rsidR="00EB1774" w:rsidRPr="00773ABB">
        <w:rPr>
          <w:b/>
          <w:sz w:val="28"/>
          <w:szCs w:val="28"/>
        </w:rPr>
        <w:t>Figure A</w:t>
      </w:r>
      <w:r w:rsidR="00EB1774" w:rsidRPr="00773ABB">
        <w:rPr>
          <w:b/>
          <w:sz w:val="28"/>
          <w:szCs w:val="28"/>
        </w:rPr>
        <w:noBreakHyphen/>
        <w:t>1:</w:t>
      </w:r>
      <w:r w:rsidR="00EB1774" w:rsidRPr="00773ABB">
        <w:rPr>
          <w:b/>
          <w:sz w:val="28"/>
          <w:szCs w:val="28"/>
        </w:rPr>
        <w:tab/>
        <w:t>AT Review methodology</w:t>
      </w:r>
      <w:r w:rsidRPr="00773ABB">
        <w:rPr>
          <w:b/>
          <w:noProof/>
          <w:sz w:val="28"/>
          <w:szCs w:val="28"/>
        </w:rPr>
        <w:fldChar w:fldCharType="end"/>
      </w:r>
    </w:p>
    <w:p w14:paraId="70639726" w14:textId="77777777" w:rsidR="00F01448" w:rsidRDefault="00F01448" w:rsidP="00F01448">
      <w:pPr>
        <w:pStyle w:val="Paragraph"/>
      </w:pPr>
      <w:bookmarkStart w:id="201" w:name="_Hlk59363782"/>
      <w:r>
        <w:t>Gannt chart overview of the project activities in 4 phases: planning, mapping, modelling and reporting.</w:t>
      </w:r>
    </w:p>
    <w:p w14:paraId="37AA7422" w14:textId="54A4D3F4" w:rsidR="00F01448" w:rsidRDefault="00F01448" w:rsidP="00F01448">
      <w:pPr>
        <w:pStyle w:val="ParaKeep"/>
      </w:pPr>
      <w:r>
        <w:t>The chart is divided horizontally into 8 sections corresponding to the months of the project (from November 2019 to June 2020). The phases are shown in sequence, each covering approximately 2 months, as follows:</w:t>
      </w:r>
    </w:p>
    <w:p w14:paraId="21360269" w14:textId="77777777" w:rsidR="00F01448" w:rsidRDefault="00F01448" w:rsidP="00F01448">
      <w:pPr>
        <w:pStyle w:val="List1"/>
        <w:numPr>
          <w:ilvl w:val="0"/>
          <w:numId w:val="78"/>
        </w:numPr>
        <w:ind w:left="709"/>
      </w:pPr>
      <w:r>
        <w:t>Planning (11 November 2019 to 16 December 2019)</w:t>
      </w:r>
    </w:p>
    <w:p w14:paraId="3007499E" w14:textId="77777777" w:rsidR="00F01448" w:rsidRDefault="00F01448" w:rsidP="00F01448">
      <w:pPr>
        <w:pStyle w:val="List1"/>
        <w:ind w:left="709"/>
      </w:pPr>
      <w:r>
        <w:t>Mapping (17 December 2019 to 31 January 2020)</w:t>
      </w:r>
    </w:p>
    <w:p w14:paraId="229FF337" w14:textId="77777777" w:rsidR="00F01448" w:rsidRDefault="00F01448" w:rsidP="00F01448">
      <w:pPr>
        <w:pStyle w:val="List1"/>
        <w:ind w:left="709"/>
      </w:pPr>
      <w:r>
        <w:t>Modelling (1 February 2020 to 31 May 2020)</w:t>
      </w:r>
    </w:p>
    <w:p w14:paraId="6D423D06" w14:textId="77777777" w:rsidR="00F01448" w:rsidRDefault="00F01448" w:rsidP="00F01448">
      <w:pPr>
        <w:pStyle w:val="List1"/>
        <w:ind w:left="709"/>
      </w:pPr>
      <w:r>
        <w:t>Reporting (31 Jan 2020 to 9 June 2020).</w:t>
      </w:r>
    </w:p>
    <w:p w14:paraId="212C0A4A" w14:textId="29749C9F" w:rsidR="00F01448" w:rsidRDefault="00F01448" w:rsidP="00F01448">
      <w:pPr>
        <w:pStyle w:val="Paragraph"/>
      </w:pPr>
      <w:r>
        <w:t>The phases are also shown down the left side and divide the chart vertically into 4 sections. The tasks involved in each phase are shown under the corresponding phase and month.</w:t>
      </w:r>
    </w:p>
    <w:p w14:paraId="31937D25" w14:textId="77777777" w:rsidR="00F01448" w:rsidRDefault="00F01448" w:rsidP="00F01448">
      <w:pPr>
        <w:pStyle w:val="ParaKeep"/>
      </w:pPr>
      <w:r>
        <w:t>The tasks involved in the planning phase are:</w:t>
      </w:r>
    </w:p>
    <w:p w14:paraId="0234BA21" w14:textId="77777777" w:rsidR="00F01448" w:rsidRDefault="00F01448" w:rsidP="00F01448">
      <w:pPr>
        <w:pStyle w:val="Bullet1"/>
      </w:pPr>
      <w:r>
        <w:t>Project initiation meeting (November 2019)</w:t>
      </w:r>
    </w:p>
    <w:p w14:paraId="3BD5349E" w14:textId="77777777" w:rsidR="00F01448" w:rsidRDefault="00F01448" w:rsidP="00F01448">
      <w:pPr>
        <w:pStyle w:val="Bullet1"/>
      </w:pPr>
      <w:r>
        <w:t>Project plan (December 2019)</w:t>
      </w:r>
    </w:p>
    <w:p w14:paraId="7D5066D1" w14:textId="77777777" w:rsidR="00F01448" w:rsidRDefault="00F01448" w:rsidP="00F01448">
      <w:pPr>
        <w:pStyle w:val="ParaKeep"/>
      </w:pPr>
      <w:r>
        <w:t>The tasks involved in the mapping phase are:</w:t>
      </w:r>
    </w:p>
    <w:p w14:paraId="10855378" w14:textId="77777777" w:rsidR="00F01448" w:rsidRDefault="00F01448" w:rsidP="00F01448">
      <w:pPr>
        <w:pStyle w:val="Bullet1"/>
      </w:pPr>
      <w:r>
        <w:t>Desktop review of data and documentation (December 2019 to January 2020)</w:t>
      </w:r>
    </w:p>
    <w:p w14:paraId="65DFD9AA" w14:textId="77777777" w:rsidR="00F01448" w:rsidRDefault="00F01448" w:rsidP="00F01448">
      <w:pPr>
        <w:pStyle w:val="Bullet1"/>
      </w:pPr>
      <w:r>
        <w:t>Rapid evidence review (December 2019 to January 2020)</w:t>
      </w:r>
    </w:p>
    <w:p w14:paraId="57AE3C01" w14:textId="1A1C805C" w:rsidR="00F01448" w:rsidRDefault="00F01448" w:rsidP="00F01448">
      <w:pPr>
        <w:pStyle w:val="Bullet1"/>
      </w:pPr>
      <w:r>
        <w:t xml:space="preserve">Mapping current AT </w:t>
      </w:r>
      <w:r w:rsidR="002C16CD">
        <w:t xml:space="preserve">programs </w:t>
      </w:r>
      <w:r>
        <w:t>(December 2019 to January 2020)</w:t>
      </w:r>
    </w:p>
    <w:p w14:paraId="5240C5C2" w14:textId="77777777" w:rsidR="00F01448" w:rsidRDefault="00F01448" w:rsidP="00F01448">
      <w:pPr>
        <w:pStyle w:val="Bullet1"/>
      </w:pPr>
      <w:r>
        <w:t>Consultations (December 2019 to May 2020)</w:t>
      </w:r>
    </w:p>
    <w:p w14:paraId="19EF83B0" w14:textId="77777777" w:rsidR="00F01448" w:rsidRDefault="00F01448" w:rsidP="00F01448">
      <w:pPr>
        <w:pStyle w:val="ParaKeep"/>
      </w:pPr>
      <w:r>
        <w:t>The tasks involved in the modelling phase are:</w:t>
      </w:r>
    </w:p>
    <w:p w14:paraId="149BB31C" w14:textId="77777777" w:rsidR="00F01448" w:rsidRDefault="00F01448" w:rsidP="00F01448">
      <w:pPr>
        <w:pStyle w:val="Bullet1"/>
      </w:pPr>
      <w:r>
        <w:t>Cost-benefit analysis (February 2020 to May 2020)</w:t>
      </w:r>
    </w:p>
    <w:p w14:paraId="3432E72E" w14:textId="77777777" w:rsidR="00F01448" w:rsidRDefault="00F01448" w:rsidP="00F01448">
      <w:pPr>
        <w:pStyle w:val="Bullet1"/>
      </w:pPr>
      <w:r>
        <w:t>Model refinement (February 2020 to May 2020)</w:t>
      </w:r>
    </w:p>
    <w:p w14:paraId="1FDB976B" w14:textId="77777777" w:rsidR="00F01448" w:rsidRDefault="00F01448" w:rsidP="00F01448">
      <w:pPr>
        <w:pStyle w:val="Bullet1"/>
      </w:pPr>
      <w:r>
        <w:t>Options development (February 2020 to May 2020)</w:t>
      </w:r>
    </w:p>
    <w:p w14:paraId="464CB731" w14:textId="77777777" w:rsidR="00F01448" w:rsidRDefault="00F01448" w:rsidP="00F01448">
      <w:pPr>
        <w:pStyle w:val="Bullet1"/>
      </w:pPr>
      <w:r>
        <w:t>Delphi focus group (May 2020)</w:t>
      </w:r>
    </w:p>
    <w:p w14:paraId="081CAC0B" w14:textId="77777777" w:rsidR="00F01448" w:rsidRDefault="00F01448" w:rsidP="00F01448">
      <w:pPr>
        <w:pStyle w:val="ParaKeep"/>
      </w:pPr>
      <w:r>
        <w:t>The tasks involved in the mapping phase are:</w:t>
      </w:r>
    </w:p>
    <w:p w14:paraId="4F00E249" w14:textId="77777777" w:rsidR="00F01448" w:rsidRDefault="00F01448" w:rsidP="00F01448">
      <w:pPr>
        <w:pStyle w:val="Bullet1"/>
      </w:pPr>
      <w:r>
        <w:t>Report on Initial Findings (January 2020)</w:t>
      </w:r>
    </w:p>
    <w:p w14:paraId="6FF5DE83" w14:textId="77777777" w:rsidR="00F01448" w:rsidRDefault="00F01448" w:rsidP="00F01448">
      <w:pPr>
        <w:pStyle w:val="Bullet1"/>
      </w:pPr>
      <w:r>
        <w:t>Interim Report (March 2020)</w:t>
      </w:r>
    </w:p>
    <w:p w14:paraId="4666392E" w14:textId="77777777" w:rsidR="00F01448" w:rsidRDefault="00F01448" w:rsidP="00F01448">
      <w:pPr>
        <w:pStyle w:val="Bullet1"/>
      </w:pPr>
      <w:r>
        <w:t>Interim Report Workshop (April 2020)</w:t>
      </w:r>
    </w:p>
    <w:p w14:paraId="5AAC81A3" w14:textId="77777777" w:rsidR="00F01448" w:rsidRDefault="00F01448" w:rsidP="00F01448">
      <w:pPr>
        <w:pStyle w:val="Bullet1"/>
      </w:pPr>
      <w:r>
        <w:t>Options workshop with the Department of Health (May 2020)</w:t>
      </w:r>
    </w:p>
    <w:p w14:paraId="26F62195" w14:textId="77777777" w:rsidR="00F01448" w:rsidRDefault="00F01448" w:rsidP="00F01448">
      <w:pPr>
        <w:pStyle w:val="Bullet1"/>
      </w:pPr>
      <w:r>
        <w:lastRenderedPageBreak/>
        <w:t>Final Report (June 2020)</w:t>
      </w:r>
    </w:p>
    <w:p w14:paraId="4B732306" w14:textId="77777777" w:rsidR="00F01448" w:rsidRDefault="00F01448" w:rsidP="00F01448">
      <w:pPr>
        <w:pStyle w:val="Bullet1"/>
      </w:pPr>
      <w:r>
        <w:t>Regular project management updates with the Department (November 2019 to June 2020)</w:t>
      </w:r>
    </w:p>
    <w:bookmarkEnd w:id="201"/>
    <w:p w14:paraId="74945FC4" w14:textId="06678982" w:rsidR="00F01448" w:rsidRDefault="00F01448">
      <w:r>
        <w:br w:type="page"/>
      </w:r>
    </w:p>
    <w:p w14:paraId="46FD2311" w14:textId="71EB1D0B" w:rsidR="00F17D83" w:rsidRDefault="00F17D83" w:rsidP="00F17D83">
      <w:pPr>
        <w:pStyle w:val="Paragraph"/>
        <w:rPr>
          <w:rFonts w:eastAsia="Arial Unicode MS"/>
        </w:rPr>
      </w:pPr>
    </w:p>
    <w:p w14:paraId="12833E65" w14:textId="0A1F1507" w:rsidR="0031014A" w:rsidRPr="00636B05" w:rsidRDefault="00B92E42" w:rsidP="00E50153">
      <w:pPr>
        <w:pStyle w:val="Heading5"/>
        <w:tabs>
          <w:tab w:val="clear" w:pos="2977"/>
        </w:tabs>
      </w:pPr>
      <w:bookmarkStart w:id="202" w:name="_Ref42678324"/>
      <w:bookmarkStart w:id="203" w:name="_Toc60999872"/>
      <w:r>
        <w:t>R</w:t>
      </w:r>
      <w:r w:rsidR="0031014A" w:rsidRPr="00636B05">
        <w:t>eferences</w:t>
      </w:r>
      <w:bookmarkEnd w:id="197"/>
      <w:bookmarkEnd w:id="198"/>
      <w:bookmarkEnd w:id="202"/>
      <w:bookmarkEnd w:id="203"/>
    </w:p>
    <w:p w14:paraId="545194C2" w14:textId="711A372D" w:rsidR="00B92E42" w:rsidRPr="00773ABB" w:rsidRDefault="00B92E42" w:rsidP="00773ABB">
      <w:pPr>
        <w:rPr>
          <w:b/>
          <w:noProof/>
          <w:sz w:val="28"/>
          <w:szCs w:val="28"/>
        </w:rPr>
      </w:pPr>
      <w:r w:rsidRPr="00773ABB">
        <w:rPr>
          <w:b/>
          <w:noProof/>
          <w:sz w:val="28"/>
          <w:szCs w:val="28"/>
        </w:rPr>
        <w:t>Cited references</w:t>
      </w:r>
    </w:p>
    <w:p w14:paraId="13C3ED7E" w14:textId="05B7978E" w:rsidR="00BA0E0E" w:rsidRPr="00BA0E0E" w:rsidRDefault="00BA0E0E" w:rsidP="00714686">
      <w:pPr>
        <w:pStyle w:val="References"/>
        <w:rPr>
          <w:noProof/>
        </w:rPr>
      </w:pPr>
      <w:r>
        <w:fldChar w:fldCharType="begin" w:fldLock="1"/>
      </w:r>
      <w:r>
        <w:instrText xml:space="preserve">ADDIN Mendeley Bibliography CSL_BIBLIOGRAPHY </w:instrText>
      </w:r>
      <w:r>
        <w:fldChar w:fldCharType="separate"/>
      </w:r>
      <w:r w:rsidRPr="00BA0E0E">
        <w:rPr>
          <w:noProof/>
        </w:rPr>
        <w:t>Aged Care Guide n.d., Respite Care, , &lt;https://www.agedcareguide.com.au/information/respite-care&gt;.</w:t>
      </w:r>
    </w:p>
    <w:p w14:paraId="5E7AC95F" w14:textId="125A7BC4" w:rsidR="00BA0E0E" w:rsidRDefault="00BA0E0E" w:rsidP="00714686">
      <w:pPr>
        <w:pStyle w:val="References"/>
        <w:rPr>
          <w:rFonts w:ascii="Calibri" w:hAnsi="Calibri" w:cs="Calibri"/>
          <w:noProof/>
        </w:rPr>
      </w:pPr>
      <w:r w:rsidRPr="00BA0E0E">
        <w:rPr>
          <w:rFonts w:ascii="Calibri" w:hAnsi="Calibri" w:cs="Calibri"/>
          <w:noProof/>
        </w:rPr>
        <w:t>Alshabeb, A &amp; Abdulrahman, O 2019, Critical analysis of the benefits and drawbacks of assistive technology with special needs, , vol. 6, no. 8, pp. 210–215.</w:t>
      </w:r>
    </w:p>
    <w:p w14:paraId="344AB7B7" w14:textId="2FE4662B" w:rsidR="00A4214C" w:rsidRPr="00A4214C" w:rsidRDefault="00A4214C" w:rsidP="00714686">
      <w:pPr>
        <w:pStyle w:val="References"/>
        <w:rPr>
          <w:rFonts w:ascii="Calibri" w:hAnsi="Calibri" w:cs="Calibri"/>
          <w:noProof/>
          <w:szCs w:val="22"/>
        </w:rPr>
      </w:pPr>
      <w:r>
        <w:rPr>
          <w:rFonts w:ascii="Calibri" w:hAnsi="Calibri" w:cs="Calibri"/>
          <w:noProof/>
        </w:rPr>
        <w:t>Australian Association of Rehablitation and Assistive Technology, 2016.</w:t>
      </w:r>
      <w:r w:rsidRPr="00A4214C">
        <w:rPr>
          <w:rFonts w:ascii="Calibri" w:hAnsi="Calibri" w:cs="Calibri"/>
          <w:noProof/>
          <w:szCs w:val="22"/>
        </w:rPr>
        <w:t xml:space="preserve"> </w:t>
      </w:r>
      <w:r w:rsidRPr="00A4214C">
        <w:rPr>
          <w:szCs w:val="22"/>
        </w:rPr>
        <w:t>AATC 2016 Statement of Good Practice in Assistive Technology Provision in Australia</w:t>
      </w:r>
      <w:r>
        <w:rPr>
          <w:szCs w:val="22"/>
        </w:rPr>
        <w:t>.</w:t>
      </w:r>
    </w:p>
    <w:p w14:paraId="278C301C" w14:textId="77777777" w:rsidR="00BA0E0E" w:rsidRPr="00BA0E0E" w:rsidRDefault="00BA0E0E" w:rsidP="00714686">
      <w:pPr>
        <w:pStyle w:val="References"/>
        <w:rPr>
          <w:rFonts w:ascii="Calibri" w:hAnsi="Calibri" w:cs="Calibri"/>
          <w:noProof/>
        </w:rPr>
      </w:pPr>
      <w:r w:rsidRPr="00BA0E0E">
        <w:rPr>
          <w:rFonts w:ascii="Calibri" w:hAnsi="Calibri" w:cs="Calibri"/>
          <w:noProof/>
        </w:rPr>
        <w:t>Australian Bureau of Statistics 2019a, Disability, ageing and carers, Australia: Summary of findings 2018, viewed 14 January 2020, &lt;https://www.abs.gov.au/ausstats/abs@.nsf/mf/4430.0&gt;.</w:t>
      </w:r>
    </w:p>
    <w:p w14:paraId="481E598B" w14:textId="77777777" w:rsidR="00BA0E0E" w:rsidRPr="00BA0E0E" w:rsidRDefault="00BA0E0E" w:rsidP="00714686">
      <w:pPr>
        <w:pStyle w:val="References"/>
        <w:rPr>
          <w:rFonts w:ascii="Calibri" w:hAnsi="Calibri" w:cs="Calibri"/>
          <w:noProof/>
        </w:rPr>
      </w:pPr>
      <w:r w:rsidRPr="00BA0E0E">
        <w:rPr>
          <w:rFonts w:ascii="Calibri" w:hAnsi="Calibri" w:cs="Calibri"/>
          <w:noProof/>
        </w:rPr>
        <w:t>Australian Bureau of Statistics 2019b, National Aboriginal and Torres Strait Islander Health Survey 2018-19.</w:t>
      </w:r>
    </w:p>
    <w:p w14:paraId="4F5E0C40" w14:textId="77777777" w:rsidR="00BA0E0E" w:rsidRPr="00BA0E0E" w:rsidRDefault="00BA0E0E" w:rsidP="00714686">
      <w:pPr>
        <w:pStyle w:val="References"/>
        <w:rPr>
          <w:rFonts w:ascii="Calibri" w:hAnsi="Calibri" w:cs="Calibri"/>
          <w:noProof/>
        </w:rPr>
      </w:pPr>
      <w:r w:rsidRPr="00BA0E0E">
        <w:rPr>
          <w:rFonts w:ascii="Calibri" w:hAnsi="Calibri" w:cs="Calibri"/>
          <w:noProof/>
        </w:rPr>
        <w:t>Barnett, K, Livingstone, A, Margelis, G, Tomlins, G, &amp; Young, R 2019, Aged and community sector technology and innovative practice: Discussion paper 2019, Aged Care Industry Information Technology Council.</w:t>
      </w:r>
    </w:p>
    <w:p w14:paraId="6608DC86"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Carnemolla, P &amp; Bridge, C 2016, Accessible housing and health-related quality of life: Measurements of wellbeing outcomes following home modifications, </w:t>
      </w:r>
      <w:r w:rsidRPr="00BA0E0E">
        <w:rPr>
          <w:rFonts w:ascii="Calibri" w:hAnsi="Calibri" w:cs="Calibri"/>
          <w:i/>
          <w:iCs/>
          <w:noProof/>
        </w:rPr>
        <w:t>Archnet-IJAR</w:t>
      </w:r>
      <w:r w:rsidRPr="00BA0E0E">
        <w:rPr>
          <w:rFonts w:ascii="Calibri" w:hAnsi="Calibri" w:cs="Calibri"/>
          <w:noProof/>
        </w:rPr>
        <w:t>, vol. 10, no. 2, pp. 38–51.</w:t>
      </w:r>
    </w:p>
    <w:p w14:paraId="7D00E262"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Carnemolla, P &amp; Bridge, C 2018, A scoping review of home modification interventions – Mapping the evidence base, </w:t>
      </w:r>
      <w:r w:rsidRPr="00BA0E0E">
        <w:rPr>
          <w:rFonts w:ascii="Calibri" w:hAnsi="Calibri" w:cs="Calibri"/>
          <w:i/>
          <w:iCs/>
          <w:noProof/>
        </w:rPr>
        <w:t>Indoor and Built Environment</w:t>
      </w:r>
      <w:r w:rsidRPr="00BA0E0E">
        <w:rPr>
          <w:rFonts w:ascii="Calibri" w:hAnsi="Calibri" w:cs="Calibri"/>
          <w:noProof/>
        </w:rPr>
        <w:t>, vol. 0, no. 0, p. 1420326X1876111.</w:t>
      </w:r>
    </w:p>
    <w:p w14:paraId="25F9C469"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Carnemolla, P &amp; Bridge, C 2019, Housing design and community care: How home modifications reduce care needs of older people and people with disability, </w:t>
      </w:r>
      <w:r w:rsidRPr="00BA0E0E">
        <w:rPr>
          <w:rFonts w:ascii="Calibri" w:hAnsi="Calibri" w:cs="Calibri"/>
          <w:i/>
          <w:iCs/>
          <w:noProof/>
        </w:rPr>
        <w:t>International Journal of Environmental Research and Public Health</w:t>
      </w:r>
      <w:r w:rsidRPr="00BA0E0E">
        <w:rPr>
          <w:rFonts w:ascii="Calibri" w:hAnsi="Calibri" w:cs="Calibri"/>
          <w:noProof/>
        </w:rPr>
        <w:t>, vol. 16, no. 11.</w:t>
      </w:r>
    </w:p>
    <w:p w14:paraId="79F0BEE4"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Clay, S. &amp; Alston, R. 2016, The benefits of assistive technology use by persons with physical conditions: An examination of difficulty levels in areas of functioning, </w:t>
      </w:r>
      <w:r w:rsidRPr="00BA0E0E">
        <w:rPr>
          <w:rFonts w:ascii="Calibri" w:hAnsi="Calibri" w:cs="Calibri"/>
          <w:i/>
          <w:iCs/>
          <w:noProof/>
        </w:rPr>
        <w:t>Technology and Disability</w:t>
      </w:r>
      <w:r w:rsidRPr="00BA0E0E">
        <w:rPr>
          <w:rFonts w:ascii="Calibri" w:hAnsi="Calibri" w:cs="Calibri"/>
          <w:noProof/>
        </w:rPr>
        <w:t>, vol. 28, pp. 111–121.</w:t>
      </w:r>
    </w:p>
    <w:p w14:paraId="23D82D5C"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Coughlin, S, Peyerl, FW, Munson, SH, Ravindranath, AJ, &amp; Lee-Chiong, TL 2017, Cost savings from reduced hospitalizations with use of home noninvasive ventilation for COPD, </w:t>
      </w:r>
      <w:r w:rsidRPr="00BA0E0E">
        <w:rPr>
          <w:rFonts w:ascii="Calibri" w:hAnsi="Calibri" w:cs="Calibri"/>
          <w:i/>
          <w:iCs/>
          <w:noProof/>
        </w:rPr>
        <w:t>Value in Health</w:t>
      </w:r>
      <w:r w:rsidRPr="00BA0E0E">
        <w:rPr>
          <w:rFonts w:ascii="Calibri" w:hAnsi="Calibri" w:cs="Calibri"/>
          <w:noProof/>
        </w:rPr>
        <w:t>, vol. 20, pp. 379–387.</w:t>
      </w:r>
    </w:p>
    <w:p w14:paraId="3750F811" w14:textId="77777777" w:rsidR="00BA0E0E" w:rsidRPr="00BA0E0E" w:rsidRDefault="00BA0E0E" w:rsidP="00714686">
      <w:pPr>
        <w:pStyle w:val="References"/>
        <w:rPr>
          <w:rFonts w:ascii="Calibri" w:hAnsi="Calibri" w:cs="Calibri"/>
          <w:noProof/>
        </w:rPr>
      </w:pPr>
      <w:r w:rsidRPr="00BA0E0E">
        <w:rPr>
          <w:rFonts w:ascii="Calibri" w:hAnsi="Calibri" w:cs="Calibri"/>
          <w:noProof/>
        </w:rPr>
        <w:t>employsure n.d., Minimum Wage and Award Wages In Australia, , &lt;https://employsure.com.au/guides/wage-and-pay/minimum-wage-australia/&gt;.</w:t>
      </w:r>
    </w:p>
    <w:p w14:paraId="38496F41" w14:textId="77777777" w:rsidR="00BA0E0E" w:rsidRPr="00BA0E0E" w:rsidRDefault="00BA0E0E" w:rsidP="00714686">
      <w:pPr>
        <w:pStyle w:val="References"/>
        <w:rPr>
          <w:rFonts w:ascii="Calibri" w:hAnsi="Calibri" w:cs="Calibri"/>
          <w:noProof/>
        </w:rPr>
      </w:pPr>
      <w:r w:rsidRPr="00BA0E0E">
        <w:rPr>
          <w:rFonts w:ascii="Calibri" w:hAnsi="Calibri" w:cs="Calibri"/>
          <w:noProof/>
        </w:rPr>
        <w:t>Fair Work Commission 2016, Awards &amp; agreements, , &lt;https://www.fwc.gov.au/awards-and-agreements&gt;.</w:t>
      </w:r>
    </w:p>
    <w:p w14:paraId="743DEA99"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Fang, Y, Chau, AKC, Wong, A, Fung, HH, &amp; Woo, J 2018, Information and communicative technology use enhances psychological well-being of older adults: the roles of age, social connectedness, and frailty status, </w:t>
      </w:r>
      <w:r w:rsidRPr="00BA0E0E">
        <w:rPr>
          <w:rFonts w:ascii="Calibri" w:hAnsi="Calibri" w:cs="Calibri"/>
          <w:i/>
          <w:iCs/>
          <w:noProof/>
        </w:rPr>
        <w:t>Aging &amp; Mental Health</w:t>
      </w:r>
      <w:r w:rsidRPr="00BA0E0E">
        <w:rPr>
          <w:rFonts w:ascii="Calibri" w:hAnsi="Calibri" w:cs="Calibri"/>
          <w:noProof/>
        </w:rPr>
        <w:t>, vol. 22, no. 11, pp. 1516–1524.</w:t>
      </w:r>
    </w:p>
    <w:p w14:paraId="065DF58F"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Finch, M, Griffin, K, &amp; Pacala, James T 2017, Reduced Healthcare Use and Apparent Savings with Passive Home Monitoring Technology: A Pilot Study, </w:t>
      </w:r>
      <w:r w:rsidRPr="00BA0E0E">
        <w:rPr>
          <w:rFonts w:ascii="Calibri" w:hAnsi="Calibri" w:cs="Calibri"/>
          <w:i/>
          <w:iCs/>
          <w:noProof/>
        </w:rPr>
        <w:t>Journal of the American Geriatrics Society</w:t>
      </w:r>
      <w:r w:rsidRPr="00BA0E0E">
        <w:rPr>
          <w:rFonts w:ascii="Calibri" w:hAnsi="Calibri" w:cs="Calibri"/>
          <w:noProof/>
        </w:rPr>
        <w:t>, vol. 65, no. 6, pp. 1301–1305.</w:t>
      </w:r>
    </w:p>
    <w:p w14:paraId="5DA219BB"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Finch, M, Griffin, K, &amp; Pacala, James T. 2017, Reduced Healthcare Use and Apparent Savings with Passive Home Monitoring Technology: A Pilot Study, </w:t>
      </w:r>
      <w:r w:rsidRPr="00BA0E0E">
        <w:rPr>
          <w:rFonts w:ascii="Calibri" w:hAnsi="Calibri" w:cs="Calibri"/>
          <w:i/>
          <w:iCs/>
          <w:noProof/>
        </w:rPr>
        <w:t>Journal of the American Geriatrics Society</w:t>
      </w:r>
      <w:r w:rsidRPr="00BA0E0E">
        <w:rPr>
          <w:rFonts w:ascii="Calibri" w:hAnsi="Calibri" w:cs="Calibri"/>
          <w:noProof/>
        </w:rPr>
        <w:t>, vol. 65, no. 6, pp. 1301–1305.</w:t>
      </w:r>
    </w:p>
    <w:p w14:paraId="2EC21046" w14:textId="77777777" w:rsidR="00BA0E0E" w:rsidRPr="00BA0E0E" w:rsidRDefault="00BA0E0E" w:rsidP="00714686">
      <w:pPr>
        <w:pStyle w:val="References"/>
        <w:rPr>
          <w:rFonts w:ascii="Calibri" w:hAnsi="Calibri" w:cs="Calibri"/>
          <w:noProof/>
        </w:rPr>
      </w:pPr>
      <w:r w:rsidRPr="00BA0E0E">
        <w:rPr>
          <w:rFonts w:ascii="Calibri" w:hAnsi="Calibri" w:cs="Calibri"/>
          <w:noProof/>
        </w:rPr>
        <w:lastRenderedPageBreak/>
        <w:t xml:space="preserve">Gillespie, LD, Robertson, MC, Gillespie, WJ, Sherrington, C, Gates, S, Clemson, LM, &amp; Lamb, SE 2012, Environmental interventions for preventing falls in older people living in the community, </w:t>
      </w:r>
      <w:r w:rsidRPr="00BA0E0E">
        <w:rPr>
          <w:rFonts w:ascii="Calibri" w:hAnsi="Calibri" w:cs="Calibri"/>
          <w:i/>
          <w:iCs/>
          <w:noProof/>
        </w:rPr>
        <w:t>Cochrane Database of Systematic Reviews</w:t>
      </w:r>
      <w:r w:rsidRPr="00BA0E0E">
        <w:rPr>
          <w:rFonts w:ascii="Calibri" w:hAnsi="Calibri" w:cs="Calibri"/>
          <w:noProof/>
        </w:rPr>
        <w:t>, , no. 9.</w:t>
      </w:r>
    </w:p>
    <w:p w14:paraId="65F71223"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Goodacre, JKate, McCreadie, C, Flanagan, S, &amp; Lansley, P 2008, Enabling older people to stay at home: the costs of substituting and supplementing care with assistive technology, </w:t>
      </w:r>
      <w:r w:rsidRPr="00BA0E0E">
        <w:rPr>
          <w:rFonts w:ascii="Calibri" w:hAnsi="Calibri" w:cs="Calibri"/>
          <w:i/>
          <w:iCs/>
          <w:noProof/>
        </w:rPr>
        <w:t>British Journal of Occupational Therapy</w:t>
      </w:r>
      <w:r w:rsidRPr="00BA0E0E">
        <w:rPr>
          <w:rFonts w:ascii="Calibri" w:hAnsi="Calibri" w:cs="Calibri"/>
          <w:noProof/>
        </w:rPr>
        <w:t>, vol. 71, no. 4, pp. 130–140.</w:t>
      </w:r>
    </w:p>
    <w:p w14:paraId="527FB835"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Goodacre, Kate, McCreadie, C, Flanagan, S, &amp; Lansley, P 2008, Enabling older people to stay at home: the costs of substituting and supplementing care with assistive technology, </w:t>
      </w:r>
      <w:r w:rsidRPr="00BA0E0E">
        <w:rPr>
          <w:rFonts w:ascii="Calibri" w:hAnsi="Calibri" w:cs="Calibri"/>
          <w:i/>
          <w:iCs/>
          <w:noProof/>
        </w:rPr>
        <w:t>British Journal of Occupational Therapy</w:t>
      </w:r>
      <w:r w:rsidRPr="00BA0E0E">
        <w:rPr>
          <w:rFonts w:ascii="Calibri" w:hAnsi="Calibri" w:cs="Calibri"/>
          <w:noProof/>
        </w:rPr>
        <w:t>, vol. 71, no. 4, pp. 130–140.</w:t>
      </w:r>
    </w:p>
    <w:p w14:paraId="08CAADE3"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Gore, PG, Kingston, A, Johnson, GR, Kirkwood, TBL, &amp; Jagger, C 2018, New horizons in the compression of functional decline, </w:t>
      </w:r>
      <w:r w:rsidRPr="00BA0E0E">
        <w:rPr>
          <w:rFonts w:ascii="Calibri" w:hAnsi="Calibri" w:cs="Calibri"/>
          <w:i/>
          <w:iCs/>
          <w:noProof/>
        </w:rPr>
        <w:t>Age and Ageing</w:t>
      </w:r>
      <w:r w:rsidRPr="00BA0E0E">
        <w:rPr>
          <w:rFonts w:ascii="Calibri" w:hAnsi="Calibri" w:cs="Calibri"/>
          <w:noProof/>
        </w:rPr>
        <w:t>, vol. 47, pp. 764–768.</w:t>
      </w:r>
    </w:p>
    <w:p w14:paraId="627D8EC4"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Habibi, A, Sarafrazi, A, &amp; Izadyar, S 2014, Delphi Technique Theoretical Framework in Qualitative, </w:t>
      </w:r>
      <w:r w:rsidRPr="00BA0E0E">
        <w:rPr>
          <w:rFonts w:ascii="Calibri" w:hAnsi="Calibri" w:cs="Calibri"/>
          <w:i/>
          <w:iCs/>
          <w:noProof/>
        </w:rPr>
        <w:t>International Journal of Engineering Science</w:t>
      </w:r>
      <w:r w:rsidRPr="00BA0E0E">
        <w:rPr>
          <w:rFonts w:ascii="Calibri" w:hAnsi="Calibri" w:cs="Calibri"/>
          <w:noProof/>
        </w:rPr>
        <w:t>, vol. 3, pp. 8–13.</w:t>
      </w:r>
    </w:p>
    <w:p w14:paraId="05DAE2FA"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Hagberg, L, Hermansson, L, Fredriksson, C, &amp; Pettersson, I 2017, Cost-effectiveness of powered mobility devices for elderly people with disability, </w:t>
      </w:r>
      <w:r w:rsidRPr="00BA0E0E">
        <w:rPr>
          <w:rFonts w:ascii="Calibri" w:hAnsi="Calibri" w:cs="Calibri"/>
          <w:i/>
          <w:iCs/>
          <w:noProof/>
        </w:rPr>
        <w:t>Disability and Rehabilitation: Assistive Technology</w:t>
      </w:r>
      <w:r w:rsidRPr="00BA0E0E">
        <w:rPr>
          <w:rFonts w:ascii="Calibri" w:hAnsi="Calibri" w:cs="Calibri"/>
          <w:noProof/>
        </w:rPr>
        <w:t>, vol. 12, no. 2, pp. 115–120.</w:t>
      </w:r>
    </w:p>
    <w:p w14:paraId="39424845"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Healy, A, Farmer, S, Eddison, N, Allcock, J, Perry, T, Pandyan, A, &amp; Chockalingam, N 2020, A scoping literature review of studies assessing effectiveness and cost-effectiveness of prosthetic and orthotic interventions, </w:t>
      </w:r>
      <w:r w:rsidRPr="00BA0E0E">
        <w:rPr>
          <w:rFonts w:ascii="Calibri" w:hAnsi="Calibri" w:cs="Calibri"/>
          <w:i/>
          <w:iCs/>
          <w:noProof/>
        </w:rPr>
        <w:t>Disability and Rehabilitation: Assistive Technology</w:t>
      </w:r>
      <w:r w:rsidRPr="00BA0E0E">
        <w:rPr>
          <w:rFonts w:ascii="Calibri" w:hAnsi="Calibri" w:cs="Calibri"/>
          <w:noProof/>
        </w:rPr>
        <w:t>, vol. 15, no. 1, pp. 60–66.</w:t>
      </w:r>
    </w:p>
    <w:p w14:paraId="3EDB426D"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Hoenig, H, Taylor  Jr, DH, &amp; Sloan, FA 2003, Does assistive technology substitute for personal assistance among the disabled elderly?, </w:t>
      </w:r>
      <w:r w:rsidRPr="00BA0E0E">
        <w:rPr>
          <w:rFonts w:ascii="Calibri" w:hAnsi="Calibri" w:cs="Calibri"/>
          <w:i/>
          <w:iCs/>
          <w:noProof/>
        </w:rPr>
        <w:t>American journal of public health</w:t>
      </w:r>
      <w:r w:rsidRPr="00BA0E0E">
        <w:rPr>
          <w:rFonts w:ascii="Calibri" w:hAnsi="Calibri" w:cs="Calibri"/>
          <w:noProof/>
        </w:rPr>
        <w:t>, vol. 93, no. 2, pp. 330–337.</w:t>
      </w:r>
    </w:p>
    <w:p w14:paraId="7C9034BF"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Hutchinson, C, Berndt, A, Cleland, J, Gilbert-Hunt, S, George, S, &amp; Ratcliffe, J 2020, Using social return on investment analysis to calculate the social impact of modified vehicles for people with disability, </w:t>
      </w:r>
      <w:r w:rsidRPr="00BA0E0E">
        <w:rPr>
          <w:rFonts w:ascii="Calibri" w:hAnsi="Calibri" w:cs="Calibri"/>
          <w:i/>
          <w:iCs/>
          <w:noProof/>
        </w:rPr>
        <w:t>Australian Occupational Therapy Journal</w:t>
      </w:r>
      <w:r w:rsidRPr="00BA0E0E">
        <w:rPr>
          <w:rFonts w:ascii="Calibri" w:hAnsi="Calibri" w:cs="Calibri"/>
          <w:noProof/>
        </w:rPr>
        <w:t>, , no. January, pp. 1–10.</w:t>
      </w:r>
    </w:p>
    <w:p w14:paraId="43448BD5" w14:textId="77777777" w:rsidR="00BA0E0E" w:rsidRPr="00BA0E0E" w:rsidRDefault="00BA0E0E" w:rsidP="00714686">
      <w:pPr>
        <w:pStyle w:val="References"/>
        <w:rPr>
          <w:rFonts w:ascii="Calibri" w:hAnsi="Calibri" w:cs="Calibri"/>
          <w:noProof/>
        </w:rPr>
      </w:pPr>
      <w:r w:rsidRPr="00BA0E0E">
        <w:rPr>
          <w:rFonts w:ascii="Calibri" w:hAnsi="Calibri" w:cs="Calibri"/>
          <w:noProof/>
        </w:rPr>
        <w:t>Independent Hospital Pricing Authority 2020, National Hospital Cost Data Collection Report, , vol. 22, no. February.</w:t>
      </w:r>
    </w:p>
    <w:p w14:paraId="37B53B61"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Jutkowitz, E, Gitlin, LN, Pizzi, LT, Lee, E, &amp; Dennis, MP 2012, Cost effectiveness of a home-based intervention that helps functionally vulnerable older adults age in place at home., </w:t>
      </w:r>
      <w:r w:rsidRPr="00BA0E0E">
        <w:rPr>
          <w:rFonts w:ascii="Calibri" w:hAnsi="Calibri" w:cs="Calibri"/>
          <w:i/>
          <w:iCs/>
          <w:noProof/>
        </w:rPr>
        <w:t>Journal of aging research</w:t>
      </w:r>
      <w:r w:rsidRPr="00BA0E0E">
        <w:rPr>
          <w:rFonts w:ascii="Calibri" w:hAnsi="Calibri" w:cs="Calibri"/>
          <w:noProof/>
        </w:rPr>
        <w:t>, vol. 2012.</w:t>
      </w:r>
    </w:p>
    <w:p w14:paraId="3EB3B947"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Keall, MD, Pierse, N, Howden-Chapman, P, Guria, J, Cunningham, CW, &amp; Baker, MG 2017, Cost–benefit analysis of fall injuries prevented by a programme of home modifications: A cluster randomised controlled trial, </w:t>
      </w:r>
      <w:r w:rsidRPr="00BA0E0E">
        <w:rPr>
          <w:rFonts w:ascii="Calibri" w:hAnsi="Calibri" w:cs="Calibri"/>
          <w:i/>
          <w:iCs/>
          <w:noProof/>
        </w:rPr>
        <w:t>Injury Prevention</w:t>
      </w:r>
      <w:r w:rsidRPr="00BA0E0E">
        <w:rPr>
          <w:rFonts w:ascii="Calibri" w:hAnsi="Calibri" w:cs="Calibri"/>
          <w:noProof/>
        </w:rPr>
        <w:t>, vol. 23, no. 1, pp. 22–26.</w:t>
      </w:r>
    </w:p>
    <w:p w14:paraId="0FD7A5BF"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Khosravi, P &amp; Ghapanchi, AH 2016, Investigating the effectiveness of technologies applied to assist seniors: A systematic literature review, </w:t>
      </w:r>
      <w:r w:rsidRPr="00BA0E0E">
        <w:rPr>
          <w:rFonts w:ascii="Calibri" w:hAnsi="Calibri" w:cs="Calibri"/>
          <w:i/>
          <w:iCs/>
          <w:noProof/>
        </w:rPr>
        <w:t>Int J Med Inform</w:t>
      </w:r>
      <w:r w:rsidRPr="00BA0E0E">
        <w:rPr>
          <w:rFonts w:ascii="Calibri" w:hAnsi="Calibri" w:cs="Calibri"/>
          <w:noProof/>
        </w:rPr>
        <w:t>, vol. 85, no. 1, pp. 17–26.</w:t>
      </w:r>
    </w:p>
    <w:p w14:paraId="5EFE58C4"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Koopman-Boyden, PG &amp; Reid, SL 2009, Internet/e-mail usage and well-being among 65-84 year olds in new zealand: Policy implications, </w:t>
      </w:r>
      <w:r w:rsidRPr="00BA0E0E">
        <w:rPr>
          <w:rFonts w:ascii="Calibri" w:hAnsi="Calibri" w:cs="Calibri"/>
          <w:i/>
          <w:iCs/>
          <w:noProof/>
        </w:rPr>
        <w:t>Educational Gerontology</w:t>
      </w:r>
      <w:r w:rsidRPr="00BA0E0E">
        <w:rPr>
          <w:rFonts w:ascii="Calibri" w:hAnsi="Calibri" w:cs="Calibri"/>
          <w:noProof/>
        </w:rPr>
        <w:t>, vol. 35, no. 11, pp. 990–1007.</w:t>
      </w:r>
    </w:p>
    <w:p w14:paraId="5EA042E0"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Lansley, PR, McCreadie, C, &amp; Tinker, A 2004, Can adapting the homes of older people and providing assistive technology pay its way?, </w:t>
      </w:r>
      <w:r w:rsidRPr="00BA0E0E">
        <w:rPr>
          <w:rFonts w:ascii="Calibri" w:hAnsi="Calibri" w:cs="Calibri"/>
          <w:i/>
          <w:iCs/>
          <w:noProof/>
        </w:rPr>
        <w:t>Age and Ageing</w:t>
      </w:r>
      <w:r w:rsidRPr="00BA0E0E">
        <w:rPr>
          <w:rFonts w:ascii="Calibri" w:hAnsi="Calibri" w:cs="Calibri"/>
          <w:noProof/>
        </w:rPr>
        <w:t>, vol. 33, no. 6, pp. 571–576.</w:t>
      </w:r>
    </w:p>
    <w:p w14:paraId="453265E3" w14:textId="77777777" w:rsidR="00BA0E0E" w:rsidRPr="00BA0E0E" w:rsidRDefault="00BA0E0E" w:rsidP="00714686">
      <w:pPr>
        <w:pStyle w:val="References"/>
        <w:rPr>
          <w:rFonts w:ascii="Calibri" w:hAnsi="Calibri" w:cs="Calibri"/>
          <w:noProof/>
        </w:rPr>
      </w:pPr>
      <w:r w:rsidRPr="00BA0E0E">
        <w:rPr>
          <w:rFonts w:ascii="Calibri" w:hAnsi="Calibri" w:cs="Calibri"/>
          <w:noProof/>
        </w:rPr>
        <w:t>Layton, N &amp; Irlam, C 2018, Assistive technology for older Australians: Rapid evidence review and economic pathway analysis, National Aged Care Alliance, Canberra.</w:t>
      </w:r>
    </w:p>
    <w:p w14:paraId="397B9F7D" w14:textId="77777777" w:rsidR="00BA0E0E" w:rsidRPr="00BA0E0E" w:rsidRDefault="00BA0E0E" w:rsidP="00714686">
      <w:pPr>
        <w:pStyle w:val="References"/>
        <w:rPr>
          <w:rFonts w:ascii="Calibri" w:hAnsi="Calibri" w:cs="Calibri"/>
          <w:noProof/>
        </w:rPr>
      </w:pPr>
      <w:r w:rsidRPr="00BA0E0E">
        <w:rPr>
          <w:rFonts w:ascii="Calibri" w:hAnsi="Calibri" w:cs="Calibri"/>
          <w:noProof/>
        </w:rPr>
        <w:lastRenderedPageBreak/>
        <w:t xml:space="preserve">Mann, W, Ottenbacher, K, Frass, L, Tomita, M, &amp; Granger, C 1999, Effectiveness of assistive technology and environmental interventions in maintaining independence and reducing home care costs for the frail elderly: A randomized controlled trial, </w:t>
      </w:r>
      <w:r w:rsidRPr="00BA0E0E">
        <w:rPr>
          <w:rFonts w:ascii="Calibri" w:hAnsi="Calibri" w:cs="Calibri"/>
          <w:i/>
          <w:iCs/>
          <w:noProof/>
        </w:rPr>
        <w:t>Archives of Family Medicine</w:t>
      </w:r>
      <w:r w:rsidRPr="00BA0E0E">
        <w:rPr>
          <w:rFonts w:ascii="Calibri" w:hAnsi="Calibri" w:cs="Calibri"/>
          <w:noProof/>
        </w:rPr>
        <w:t>, vol. 8, no. 3, pp. 210–217.</w:t>
      </w:r>
    </w:p>
    <w:p w14:paraId="56A25913"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Mann, WC 1999, Effectiveness of assistive technology and environmental interventions in maintaining independence and reducing home care costs for the frail elderly a randomized controlled trial, </w:t>
      </w:r>
      <w:r w:rsidRPr="00BA0E0E">
        <w:rPr>
          <w:rFonts w:ascii="Calibri" w:hAnsi="Calibri" w:cs="Calibri"/>
          <w:i/>
          <w:iCs/>
          <w:noProof/>
        </w:rPr>
        <w:t>Archives of Family Medicine</w:t>
      </w:r>
      <w:r w:rsidRPr="00BA0E0E">
        <w:rPr>
          <w:rFonts w:ascii="Calibri" w:hAnsi="Calibri" w:cs="Calibri"/>
          <w:noProof/>
        </w:rPr>
        <w:t>, vol. 8, no. 3, pp. 210–217.</w:t>
      </w:r>
    </w:p>
    <w:p w14:paraId="2D3FFF80"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MBS online n.d., Medicare Benefits Schedule - Item 23, </w:t>
      </w:r>
      <w:r w:rsidRPr="00BA0E0E">
        <w:rPr>
          <w:rFonts w:ascii="Calibri" w:hAnsi="Calibri" w:cs="Calibri"/>
          <w:i/>
          <w:iCs/>
          <w:noProof/>
        </w:rPr>
        <w:t>Australian Government Department of Health</w:t>
      </w:r>
      <w:r w:rsidRPr="00BA0E0E">
        <w:rPr>
          <w:rFonts w:ascii="Calibri" w:hAnsi="Calibri" w:cs="Calibri"/>
          <w:noProof/>
        </w:rPr>
        <w:t>, , &lt;http://www9.health.gov.au/mbs/fullDisplay.cfm?type=item&amp;qt=ItemID&amp;q=23&gt;.</w:t>
      </w:r>
    </w:p>
    <w:p w14:paraId="0B39A3ED" w14:textId="77777777" w:rsidR="00BA0E0E" w:rsidRPr="00BA0E0E" w:rsidRDefault="00BA0E0E" w:rsidP="00714686">
      <w:pPr>
        <w:pStyle w:val="References"/>
        <w:rPr>
          <w:rFonts w:ascii="Calibri" w:hAnsi="Calibri" w:cs="Calibri"/>
          <w:noProof/>
        </w:rPr>
      </w:pPr>
      <w:r w:rsidRPr="00BA0E0E">
        <w:rPr>
          <w:rFonts w:ascii="Calibri" w:hAnsi="Calibri" w:cs="Calibri"/>
          <w:noProof/>
        </w:rPr>
        <w:t>McDonald, R, Thomacos, N, &amp; Inglis, K 2013, Review of current and emerging assistive technologies for the reduction of care attendant hours: cost effectiveness , decision making tools and emerging practices, Research report # 0413-022-026-RR1, Institute for Safety, Compensation and Recovery Research.</w:t>
      </w:r>
    </w:p>
    <w:p w14:paraId="3D526715" w14:textId="77777777" w:rsidR="00BA0E0E" w:rsidRPr="00BA0E0E" w:rsidRDefault="00BA0E0E" w:rsidP="00714686">
      <w:pPr>
        <w:pStyle w:val="References"/>
        <w:rPr>
          <w:rFonts w:ascii="Calibri" w:hAnsi="Calibri" w:cs="Calibri"/>
          <w:noProof/>
        </w:rPr>
      </w:pPr>
      <w:r w:rsidRPr="00BA0E0E">
        <w:rPr>
          <w:rFonts w:ascii="Calibri" w:hAnsi="Calibri" w:cs="Calibri"/>
          <w:noProof/>
        </w:rPr>
        <w:t>National Aged Care Alliance 2018, Position paper: Assistive technology for older Australians.</w:t>
      </w:r>
    </w:p>
    <w:p w14:paraId="1D495C02" w14:textId="77777777" w:rsidR="00BA0E0E" w:rsidRPr="00BA0E0E" w:rsidRDefault="00BA0E0E" w:rsidP="00714686">
      <w:pPr>
        <w:pStyle w:val="References"/>
        <w:rPr>
          <w:rFonts w:ascii="Calibri" w:hAnsi="Calibri" w:cs="Calibri"/>
          <w:noProof/>
        </w:rPr>
      </w:pPr>
      <w:r w:rsidRPr="00BA0E0E">
        <w:rPr>
          <w:rFonts w:ascii="Calibri" w:hAnsi="Calibri" w:cs="Calibri"/>
          <w:noProof/>
        </w:rPr>
        <w:t>National Disability Insurance Agency 2020, NDIS Price Guide 2019-20, , vol. 2.1, no. February, pp. 1–50.</w:t>
      </w:r>
    </w:p>
    <w:p w14:paraId="225B883A" w14:textId="629D8E79" w:rsidR="00BA0E0E" w:rsidRPr="00BA0E0E" w:rsidRDefault="00BA0E0E" w:rsidP="00714686">
      <w:pPr>
        <w:pStyle w:val="References"/>
        <w:rPr>
          <w:rFonts w:ascii="Calibri" w:hAnsi="Calibri" w:cs="Calibri"/>
          <w:noProof/>
        </w:rPr>
      </w:pPr>
      <w:r w:rsidRPr="00BA0E0E">
        <w:rPr>
          <w:rFonts w:ascii="Calibri" w:hAnsi="Calibri" w:cs="Calibri"/>
          <w:noProof/>
        </w:rPr>
        <w:t xml:space="preserve">Rowe, G &amp; Wright, G 2011, The Delphi technique: Past, present, and future prospects </w:t>
      </w:r>
      <w:r w:rsidR="00861912">
        <w:rPr>
          <w:rFonts w:ascii="Calibri" w:hAnsi="Calibri" w:cs="Calibri"/>
          <w:noProof/>
        </w:rPr>
        <w:t xml:space="preserve"> – </w:t>
      </w:r>
      <w:r w:rsidRPr="00BA0E0E">
        <w:rPr>
          <w:rFonts w:ascii="Calibri" w:hAnsi="Calibri" w:cs="Calibri"/>
          <w:noProof/>
        </w:rPr>
        <w:t xml:space="preserve"> Introduction to the special issue, </w:t>
      </w:r>
      <w:r w:rsidRPr="00BA0E0E">
        <w:rPr>
          <w:rFonts w:ascii="Calibri" w:hAnsi="Calibri" w:cs="Calibri"/>
          <w:i/>
          <w:iCs/>
          <w:noProof/>
        </w:rPr>
        <w:t>Technological Forecasting and Social Change</w:t>
      </w:r>
      <w:r w:rsidRPr="00BA0E0E">
        <w:rPr>
          <w:rFonts w:ascii="Calibri" w:hAnsi="Calibri" w:cs="Calibri"/>
          <w:noProof/>
        </w:rPr>
        <w:t>, vol. 78, no. 9, pp. 1487–1490.</w:t>
      </w:r>
    </w:p>
    <w:p w14:paraId="2C85E832"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Schneider, JE, Cooper, J, Scheibling, C, &amp; Parikh, A 2019, Economic evaluation of passive monitoring technology for seniors, </w:t>
      </w:r>
      <w:r w:rsidRPr="00BA0E0E">
        <w:rPr>
          <w:rFonts w:ascii="Calibri" w:hAnsi="Calibri" w:cs="Calibri"/>
          <w:i/>
          <w:iCs/>
          <w:noProof/>
        </w:rPr>
        <w:t>Aging Clinical and Experimental Research</w:t>
      </w:r>
      <w:r w:rsidRPr="00BA0E0E">
        <w:rPr>
          <w:rFonts w:ascii="Calibri" w:hAnsi="Calibri" w:cs="Calibri"/>
          <w:noProof/>
        </w:rPr>
        <w:t>, , no. 0123456789.</w:t>
      </w:r>
    </w:p>
    <w:p w14:paraId="282998D0"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Sheffield, C, Smith, CA, &amp; Becker, M 2013, Evaluation of an agency-based occupational therapy intervention to facilitate aging in place, </w:t>
      </w:r>
      <w:r w:rsidRPr="00BA0E0E">
        <w:rPr>
          <w:rFonts w:ascii="Calibri" w:hAnsi="Calibri" w:cs="Calibri"/>
          <w:i/>
          <w:iCs/>
          <w:noProof/>
        </w:rPr>
        <w:t>Gerontologist</w:t>
      </w:r>
      <w:r w:rsidRPr="00BA0E0E">
        <w:rPr>
          <w:rFonts w:ascii="Calibri" w:hAnsi="Calibri" w:cs="Calibri"/>
          <w:noProof/>
        </w:rPr>
        <w:t>, vol. 53, no. 6, pp. 907–918.</w:t>
      </w:r>
    </w:p>
    <w:p w14:paraId="5ED82473" w14:textId="5AFDABBF" w:rsidR="00BA0E0E" w:rsidRPr="00BA0E0E" w:rsidRDefault="00BA0E0E" w:rsidP="00714686">
      <w:pPr>
        <w:pStyle w:val="References"/>
        <w:rPr>
          <w:rFonts w:ascii="Calibri" w:hAnsi="Calibri" w:cs="Calibri"/>
          <w:noProof/>
        </w:rPr>
      </w:pPr>
      <w:r w:rsidRPr="00BA0E0E">
        <w:rPr>
          <w:rFonts w:ascii="Calibri" w:hAnsi="Calibri" w:cs="Calibri"/>
          <w:noProof/>
        </w:rPr>
        <w:t>Strasser, A 2017, Delphi method variants in information syste</w:t>
      </w:r>
      <w:r w:rsidR="00F33447">
        <w:rPr>
          <w:rFonts w:ascii="Calibri" w:hAnsi="Calibri" w:cs="Calibri"/>
          <w:noProof/>
        </w:rPr>
        <w:t>Ms </w:t>
      </w:r>
      <w:r w:rsidRPr="00BA0E0E">
        <w:rPr>
          <w:rFonts w:ascii="Calibri" w:hAnsi="Calibri" w:cs="Calibri"/>
          <w:noProof/>
        </w:rPr>
        <w:t xml:space="preserve">research: Taxonomy development and application, </w:t>
      </w:r>
      <w:r w:rsidRPr="00BA0E0E">
        <w:rPr>
          <w:rFonts w:ascii="Calibri" w:hAnsi="Calibri" w:cs="Calibri"/>
          <w:i/>
          <w:iCs/>
          <w:noProof/>
        </w:rPr>
        <w:t>Electronic Journal of Business Research Methods</w:t>
      </w:r>
      <w:r w:rsidRPr="00BA0E0E">
        <w:rPr>
          <w:rFonts w:ascii="Calibri" w:hAnsi="Calibri" w:cs="Calibri"/>
          <w:noProof/>
        </w:rPr>
        <w:t>, vol. 15, no. 2, pp. 120–133.</w:t>
      </w:r>
    </w:p>
    <w:p w14:paraId="24FB3528" w14:textId="77777777" w:rsidR="00BA0E0E" w:rsidRPr="00BA0E0E" w:rsidRDefault="00BA0E0E" w:rsidP="00714686">
      <w:pPr>
        <w:pStyle w:val="References"/>
        <w:rPr>
          <w:rFonts w:ascii="Calibri" w:hAnsi="Calibri" w:cs="Calibri"/>
          <w:noProof/>
        </w:rPr>
      </w:pPr>
      <w:r w:rsidRPr="00BA0E0E">
        <w:rPr>
          <w:rFonts w:ascii="Calibri" w:hAnsi="Calibri" w:cs="Calibri"/>
          <w:noProof/>
        </w:rPr>
        <w:t>Watson, W, Clapperton, A, &amp; Mitchell, R 2010, The incidence and cost of falls injury among older people in New South Wales 2006/07.</w:t>
      </w:r>
    </w:p>
    <w:p w14:paraId="54331027" w14:textId="77777777" w:rsidR="00BA0E0E" w:rsidRPr="00BA0E0E" w:rsidRDefault="00BA0E0E" w:rsidP="00714686">
      <w:pPr>
        <w:pStyle w:val="References"/>
        <w:rPr>
          <w:rFonts w:ascii="Calibri" w:hAnsi="Calibri" w:cs="Calibri"/>
          <w:noProof/>
        </w:rPr>
      </w:pPr>
      <w:r w:rsidRPr="00BA0E0E">
        <w:rPr>
          <w:rFonts w:ascii="Calibri" w:hAnsi="Calibri" w:cs="Calibri"/>
          <w:noProof/>
        </w:rPr>
        <w:t xml:space="preserve">Williamson, B, Aplin, T, de Jonge, D, &amp; Goyne, M 2017, Tracking down a solution: Exploring the acceptability and value of wearable GPS devices for older persons, individuals with a disability and their support persons, </w:t>
      </w:r>
      <w:r w:rsidRPr="00BA0E0E">
        <w:rPr>
          <w:rFonts w:ascii="Calibri" w:hAnsi="Calibri" w:cs="Calibri"/>
          <w:i/>
          <w:iCs/>
          <w:noProof/>
        </w:rPr>
        <w:t>Disability and Rehabilitation: Assistive Technology</w:t>
      </w:r>
      <w:r w:rsidRPr="00BA0E0E">
        <w:rPr>
          <w:rFonts w:ascii="Calibri" w:hAnsi="Calibri" w:cs="Calibri"/>
          <w:noProof/>
        </w:rPr>
        <w:t>, vol. 12, no. 8, pp. 822–831.</w:t>
      </w:r>
    </w:p>
    <w:p w14:paraId="45FF9317" w14:textId="77777777" w:rsidR="00BA0E0E" w:rsidRPr="00BA0E0E" w:rsidRDefault="00BA0E0E" w:rsidP="00714686">
      <w:pPr>
        <w:pStyle w:val="References"/>
        <w:rPr>
          <w:rFonts w:ascii="Calibri" w:hAnsi="Calibri" w:cs="Calibri"/>
          <w:noProof/>
        </w:rPr>
      </w:pPr>
      <w:r w:rsidRPr="00BA0E0E">
        <w:rPr>
          <w:rFonts w:ascii="Calibri" w:hAnsi="Calibri" w:cs="Calibri"/>
          <w:noProof/>
        </w:rPr>
        <w:t>XE 2020, XE - The World’s Trusted Currency Authority, viewed 9 June 2020, &lt;https://www.xe.com/&gt;.</w:t>
      </w:r>
    </w:p>
    <w:p w14:paraId="2F75C921" w14:textId="67E2E34B" w:rsidR="00BA0E0E" w:rsidRPr="00BA0E0E" w:rsidRDefault="00BA0E0E" w:rsidP="00714686">
      <w:pPr>
        <w:pStyle w:val="References"/>
      </w:pPr>
      <w:r>
        <w:fldChar w:fldCharType="end"/>
      </w:r>
    </w:p>
    <w:sectPr w:rsidR="00BA0E0E" w:rsidRPr="00BA0E0E" w:rsidSect="008C2CFD">
      <w:type w:val="continuous"/>
      <w:pgSz w:w="11907" w:h="16840" w:code="9"/>
      <w:pgMar w:top="1134" w:right="1134"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19787" w14:textId="77777777" w:rsidR="00223A9B" w:rsidRDefault="00223A9B" w:rsidP="0063537E">
      <w:r>
        <w:separator/>
      </w:r>
    </w:p>
  </w:endnote>
  <w:endnote w:type="continuationSeparator" w:id="0">
    <w:p w14:paraId="59890648" w14:textId="77777777" w:rsidR="00223A9B" w:rsidRDefault="00223A9B" w:rsidP="0063537E">
      <w:r>
        <w:continuationSeparator/>
      </w:r>
    </w:p>
  </w:endnote>
  <w:endnote w:type="continuationNotice" w:id="1">
    <w:p w14:paraId="655AF12B" w14:textId="77777777" w:rsidR="00223A9B" w:rsidRDefault="00223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Calibri"/>
    <w:charset w:val="00"/>
    <w:family w:val="auto"/>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8114" w14:textId="77777777" w:rsidR="00223A9B" w:rsidRDefault="00223A9B" w:rsidP="001D1370">
    <w:pPr>
      <w:pStyle w:val="Footer"/>
    </w:pPr>
    <w:r>
      <w:fldChar w:fldCharType="begin"/>
    </w:r>
    <w:r>
      <w:instrText xml:space="preserve">PAGE  </w:instrText>
    </w:r>
    <w:r>
      <w:fldChar w:fldCharType="separate"/>
    </w:r>
    <w:r>
      <w:t>64</w:t>
    </w:r>
    <w:r>
      <w:fldChar w:fldCharType="end"/>
    </w:r>
  </w:p>
  <w:p w14:paraId="3F32DA72" w14:textId="77777777" w:rsidR="00223A9B" w:rsidRDefault="00223A9B" w:rsidP="008E6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C548" w14:textId="5C039A89" w:rsidR="00223A9B" w:rsidRPr="000D185F" w:rsidRDefault="00223A9B" w:rsidP="008E6557">
    <w:pPr>
      <w:pStyle w:val="Footer"/>
    </w:pPr>
    <w:r w:rsidRPr="000D185F">
      <w:t xml:space="preserve">: </w:t>
    </w:r>
    <w:r w:rsidR="0017021F">
      <w:fldChar w:fldCharType="begin"/>
    </w:r>
    <w:r w:rsidR="0017021F">
      <w:instrText>STYLEREF Title \* MERGEFORMAT</w:instrText>
    </w:r>
    <w:r w:rsidR="0017021F">
      <w:fldChar w:fldCharType="separate"/>
    </w:r>
    <w:r>
      <w:t>Supplementary Technical Report</w:t>
    </w:r>
    <w:r w:rsidR="0017021F">
      <w:fldChar w:fldCharType="end"/>
    </w:r>
    <w:r w:rsidRPr="000D185F">
      <w:t xml:space="preserve"> |</w:t>
    </w:r>
    <w:r w:rsidRPr="000D185F">
      <w:rPr>
        <w:b/>
      </w:rPr>
      <w:t xml:space="preserve"> </w:t>
    </w:r>
    <w:r w:rsidRPr="000D185F">
      <w:fldChar w:fldCharType="begin"/>
    </w:r>
    <w:r w:rsidRPr="000D185F">
      <w:instrText xml:space="preserve"> PAGE   \* MERGEFORMAT </w:instrText>
    </w:r>
    <w:r w:rsidRPr="000D185F">
      <w:fldChar w:fldCharType="separate"/>
    </w:r>
    <w:r>
      <w:t>1</w:t>
    </w:r>
    <w:r w:rsidRPr="000D18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08350" w14:textId="02C26242" w:rsidR="00223A9B" w:rsidRPr="000D185F" w:rsidRDefault="00E50153" w:rsidP="000D185F">
    <w:pPr>
      <w:pStyle w:val="Footer"/>
    </w:pPr>
    <w:r>
      <w:rPr>
        <w:lang w:val="en-AU" w:eastAsia="en-AU"/>
      </w:rPr>
      <w:t xml:space="preserve">Australian Healthcare Associates </w:t>
    </w:r>
    <w:r w:rsidR="00223A9B">
      <w:rPr>
        <w:lang w:val="en-AU" w:eastAsia="en-AU"/>
      </w:rPr>
      <w:t>Review of AT Progra</w:t>
    </w:r>
    <w:r>
      <w:rPr>
        <w:lang w:val="en-AU" w:eastAsia="en-AU"/>
      </w:rPr>
      <w:t>m</w:t>
    </w:r>
    <w:r w:rsidR="00223A9B">
      <w:rPr>
        <w:lang w:val="en-AU" w:eastAsia="en-AU"/>
      </w:rPr>
      <w:t>s in Australia</w:t>
    </w:r>
    <w:r w:rsidR="00223A9B" w:rsidRPr="000D185F">
      <w:t xml:space="preserve">: </w:t>
    </w:r>
    <w:r w:rsidR="0017021F">
      <w:fldChar w:fldCharType="begin"/>
    </w:r>
    <w:r w:rsidR="0017021F">
      <w:instrText>STYLEREF Title \* MERGEFORMAT</w:instrText>
    </w:r>
    <w:r w:rsidR="0017021F">
      <w:fldChar w:fldCharType="separate"/>
    </w:r>
    <w:r w:rsidR="0017021F">
      <w:t>Supplementary Technical Report</w:t>
    </w:r>
    <w:r w:rsidR="0017021F">
      <w:fldChar w:fldCharType="end"/>
    </w:r>
    <w:r w:rsidR="00223A9B" w:rsidRPr="000D185F">
      <w:t xml:space="preserve"> </w:t>
    </w:r>
    <w:r w:rsidR="00223A9B" w:rsidRPr="00DC3960">
      <w:t xml:space="preserve">| </w:t>
    </w:r>
    <w:r w:rsidR="00223A9B" w:rsidRPr="00DC3960">
      <w:fldChar w:fldCharType="begin"/>
    </w:r>
    <w:r w:rsidR="00223A9B" w:rsidRPr="00DC3960">
      <w:instrText xml:space="preserve"> PAGE   \* MERGEFORMAT </w:instrText>
    </w:r>
    <w:r w:rsidR="00223A9B" w:rsidRPr="00DC3960">
      <w:fldChar w:fldCharType="separate"/>
    </w:r>
    <w:r w:rsidR="0017021F">
      <w:t>56</w:t>
    </w:r>
    <w:r w:rsidR="00223A9B" w:rsidRPr="00DC396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E94D5" w14:textId="595D9375" w:rsidR="00223A9B" w:rsidRDefault="00E50153" w:rsidP="00902000">
    <w:pPr>
      <w:pStyle w:val="Footer"/>
    </w:pPr>
    <w:r>
      <w:rPr>
        <w:lang w:val="en-AU" w:eastAsia="en-AU"/>
      </w:rPr>
      <w:t xml:space="preserve">Australian Healthcare Associates </w:t>
    </w:r>
    <w:r w:rsidR="00223A9B">
      <w:rPr>
        <w:lang w:val="en-AU" w:eastAsia="en-AU"/>
      </w:rPr>
      <w:t>Review of AT Programs in Australia</w:t>
    </w:r>
    <w:r w:rsidR="00223A9B" w:rsidRPr="000D185F">
      <w:t xml:space="preserve">: </w:t>
    </w:r>
    <w:r w:rsidR="0017021F">
      <w:fldChar w:fldCharType="begin"/>
    </w:r>
    <w:r w:rsidR="0017021F">
      <w:instrText>STYLEREF Title \* MERGEFORMAT</w:instrText>
    </w:r>
    <w:r w:rsidR="0017021F">
      <w:fldChar w:fldCharType="separate"/>
    </w:r>
    <w:r w:rsidR="0017021F">
      <w:t>Supplementary Technical Report</w:t>
    </w:r>
    <w:r w:rsidR="0017021F">
      <w:fldChar w:fldCharType="end"/>
    </w:r>
    <w:r w:rsidR="00223A9B" w:rsidRPr="000D185F">
      <w:t xml:space="preserve"> </w:t>
    </w:r>
    <w:r w:rsidR="00223A9B" w:rsidRPr="00DC3960">
      <w:t xml:space="preserve">| </w:t>
    </w:r>
    <w:r w:rsidR="00223A9B" w:rsidRPr="00DC3960">
      <w:fldChar w:fldCharType="begin"/>
    </w:r>
    <w:r w:rsidR="00223A9B" w:rsidRPr="00DC3960">
      <w:instrText xml:space="preserve"> PAGE   \* MERGEFORMAT </w:instrText>
    </w:r>
    <w:r w:rsidR="00223A9B" w:rsidRPr="00DC3960">
      <w:fldChar w:fldCharType="separate"/>
    </w:r>
    <w:r w:rsidR="0017021F">
      <w:t>vi</w:t>
    </w:r>
    <w:r w:rsidR="00223A9B" w:rsidRPr="00DC396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7304D" w14:textId="446223B7" w:rsidR="00223A9B" w:rsidRDefault="00223A9B">
    <w:pPr>
      <w:pStyle w:val="Footer"/>
    </w:pPr>
    <w:r w:rsidRPr="005D5206">
      <w:t xml:space="preserve"> |</w:t>
    </w:r>
    <w:r>
      <w:t xml:space="preserve"> </w:t>
    </w:r>
    <w:r w:rsidRPr="002E6DAF">
      <w:rPr>
        <w:rStyle w:val="Strong"/>
        <w:b w:val="0"/>
      </w:rPr>
      <w:fldChar w:fldCharType="begin"/>
    </w:r>
    <w:r w:rsidRPr="002E6DAF">
      <w:rPr>
        <w:rStyle w:val="Strong"/>
      </w:rPr>
      <w:instrText xml:space="preserve"> PAGE   \* MERGEFORMAT </w:instrText>
    </w:r>
    <w:r w:rsidRPr="002E6DAF">
      <w:rPr>
        <w:rStyle w:val="Strong"/>
        <w:b w:val="0"/>
      </w:rPr>
      <w:fldChar w:fldCharType="separate"/>
    </w:r>
    <w:r w:rsidRPr="00795D22">
      <w:rPr>
        <w:rStyle w:val="Strong"/>
        <w:b w:val="0"/>
        <w:noProof/>
      </w:rPr>
      <w:t>1</w:t>
    </w:r>
    <w:r w:rsidRPr="002E6DAF">
      <w:rPr>
        <w:rStyle w:val="Strong"/>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94112" w14:textId="77777777" w:rsidR="00223A9B" w:rsidRDefault="00223A9B" w:rsidP="0063537E">
      <w:r>
        <w:separator/>
      </w:r>
    </w:p>
  </w:footnote>
  <w:footnote w:type="continuationSeparator" w:id="0">
    <w:p w14:paraId="230755A4" w14:textId="77777777" w:rsidR="00223A9B" w:rsidRDefault="00223A9B" w:rsidP="0063537E">
      <w:r>
        <w:continuationSeparator/>
      </w:r>
    </w:p>
  </w:footnote>
  <w:footnote w:type="continuationNotice" w:id="1">
    <w:p w14:paraId="55DA306E" w14:textId="77777777" w:rsidR="00223A9B" w:rsidRDefault="00223A9B"/>
  </w:footnote>
  <w:footnote w:id="2">
    <w:p w14:paraId="4B5FD323" w14:textId="0D642625" w:rsidR="00223A9B" w:rsidRDefault="00223A9B" w:rsidP="00AD4A2E">
      <w:pPr>
        <w:pStyle w:val="FootnoteText"/>
      </w:pPr>
      <w:r>
        <w:rPr>
          <w:rStyle w:val="FootnoteReference"/>
        </w:rPr>
        <w:footnoteRef/>
      </w:r>
      <w:r>
        <w:t xml:space="preserve"> D</w:t>
      </w:r>
      <w:r w:rsidRPr="008E680E">
        <w:t>ue to the national COVID-19 restrictions in place at the time</w:t>
      </w:r>
      <w:r>
        <w:t>,</w:t>
      </w:r>
      <w:r w:rsidRPr="008E680E">
        <w:t xml:space="preserve"> </w:t>
      </w:r>
      <w:r>
        <w:t>t</w:t>
      </w:r>
      <w:r w:rsidRPr="008E680E">
        <w:t xml:space="preserve">he focus group was held via an on-line platform </w:t>
      </w:r>
      <w:r>
        <w:t>zoom</w:t>
      </w:r>
      <w:r w:rsidRPr="008E680E">
        <w:t>.</w:t>
      </w:r>
    </w:p>
  </w:footnote>
  <w:footnote w:id="3">
    <w:p w14:paraId="380710C9" w14:textId="77777777" w:rsidR="00223A9B" w:rsidRPr="002B08D0" w:rsidRDefault="00223A9B" w:rsidP="00F81E67">
      <w:pPr>
        <w:pStyle w:val="FootnoteText"/>
        <w:rPr>
          <w:szCs w:val="18"/>
          <w:lang w:val="en-AU"/>
        </w:rPr>
      </w:pPr>
      <w:r w:rsidRPr="002B08D0">
        <w:rPr>
          <w:rStyle w:val="FootnoteReference"/>
          <w:szCs w:val="18"/>
        </w:rPr>
        <w:footnoteRef/>
      </w:r>
      <w:r w:rsidRPr="002B08D0">
        <w:rPr>
          <w:szCs w:val="18"/>
        </w:rPr>
        <w:t xml:space="preserve"> Equipment OR device OR technology OR assistive technology OR assistive device OR assistive product OR (aids and equipment) OR independent living products OR medical devices OR medical appliances NOT surgery and medical devices.</w:t>
      </w:r>
    </w:p>
  </w:footnote>
  <w:footnote w:id="4">
    <w:p w14:paraId="021BB7A1" w14:textId="77777777" w:rsidR="00223A9B" w:rsidRPr="002B08D0" w:rsidRDefault="00223A9B" w:rsidP="00F81E67">
      <w:pPr>
        <w:pStyle w:val="FootnoteText"/>
        <w:rPr>
          <w:szCs w:val="18"/>
          <w:lang w:val="en-AU"/>
        </w:rPr>
      </w:pPr>
      <w:r w:rsidRPr="002B08D0">
        <w:rPr>
          <w:rStyle w:val="FootnoteReference"/>
          <w:szCs w:val="18"/>
        </w:rPr>
        <w:footnoteRef/>
      </w:r>
      <w:r w:rsidRPr="002B08D0">
        <w:rPr>
          <w:szCs w:val="18"/>
        </w:rPr>
        <w:t xml:space="preserve"> Age OR impairment OR older persons OR elders OR disability.</w:t>
      </w:r>
    </w:p>
  </w:footnote>
  <w:footnote w:id="5">
    <w:p w14:paraId="7C604F56" w14:textId="77777777" w:rsidR="00223A9B" w:rsidRPr="00390156" w:rsidRDefault="00223A9B" w:rsidP="00F81E67">
      <w:pPr>
        <w:pStyle w:val="FootnoteText"/>
        <w:rPr>
          <w:lang w:val="en-AU"/>
        </w:rPr>
      </w:pPr>
      <w:r w:rsidRPr="002B08D0">
        <w:rPr>
          <w:rStyle w:val="FootnoteReference"/>
          <w:szCs w:val="18"/>
        </w:rPr>
        <w:footnoteRef/>
      </w:r>
      <w:r w:rsidRPr="002B08D0">
        <w:rPr>
          <w:szCs w:val="18"/>
        </w:rPr>
        <w:t xml:space="preserve"> Cost OR cost-effectiveness OR cost-analysis OR cost-saving OR cost-minimisation OR cost-minimization OR cost-utility OR cost-benefit OR economic OR economy OR financial OR modelling OR modelling OR policy OR resource OR utilisation OR utilization OR allocation OR dollar cost.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9CE63" w14:textId="0DE2350F" w:rsidR="00223A9B" w:rsidRDefault="0017021F">
    <w:pPr>
      <w:pStyle w:val="Header"/>
    </w:pPr>
    <w:r>
      <w:fldChar w:fldCharType="begin"/>
    </w:r>
    <w:r>
      <w:instrText>STYLEREF  "TOC Heading"  \* MERG</w:instrText>
    </w:r>
    <w:r>
      <w:instrText>EFORMAT</w:instrText>
    </w:r>
    <w:r>
      <w:fldChar w:fldCharType="separate"/>
    </w:r>
    <w:r>
      <w:t>Abbreviations</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949F" w14:textId="6BB5C74E" w:rsidR="00223A9B" w:rsidRPr="004511B3" w:rsidRDefault="0017021F">
    <w:pPr>
      <w:pStyle w:val="Header"/>
    </w:pPr>
    <w:r>
      <w:fldChar w:fldCharType="begin"/>
    </w:r>
    <w:r>
      <w:instrText xml:space="preserve"> STYLEREF  "Heading 1,h1" \n  \* MERGEFORMAT </w:instrText>
    </w:r>
    <w:r>
      <w:fldChar w:fldCharType="separate"/>
    </w:r>
    <w:r>
      <w:t>A.1</w:t>
    </w:r>
    <w:r>
      <w:fldChar w:fldCharType="end"/>
    </w:r>
    <w:r w:rsidR="00223A9B" w:rsidRPr="004511B3">
      <w:t xml:space="preserve">. </w:t>
    </w:r>
    <w:r>
      <w:fldChar w:fldCharType="begin"/>
    </w:r>
    <w:r>
      <w:instrText xml:space="preserve"> STYLEREF  "Heading 1,h1"  \* MERGEFORMAT </w:instrText>
    </w:r>
    <w:r>
      <w:fldChar w:fldCharType="separate"/>
    </w:r>
    <w:r>
      <w:t>Introduction</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D62BB" w14:textId="77777777" w:rsidR="00223A9B" w:rsidRPr="00C6260E" w:rsidRDefault="00223A9B">
    <w:pPr>
      <w:pStyle w:val="Header"/>
      <w:rPr>
        <w:lang w:val="en-AU"/>
      </w:rPr>
    </w:pPr>
    <w:r>
      <w:rPr>
        <w:lang w:val="en-AU"/>
      </w:rPr>
      <w:t>Aged Care Quality Standards and Restraint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E70A1" w14:textId="77777777" w:rsidR="00223A9B" w:rsidRPr="004511B3" w:rsidRDefault="00223A9B" w:rsidP="004511B3">
    <w:pPr>
      <w:pStyle w:val="Header"/>
    </w:pPr>
    <w:r>
      <w:t>Appendix E</w:t>
    </w:r>
    <w:r w:rsidRPr="004511B3">
      <w:t xml:space="preserve">. </w:t>
    </w:r>
    <w:r>
      <w:t>Existing AT programs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04EC4" w14:textId="2D817380" w:rsidR="00223A9B" w:rsidRPr="004511B3" w:rsidRDefault="0017021F" w:rsidP="004511B3">
    <w:pPr>
      <w:pStyle w:val="Header"/>
    </w:pPr>
    <w:r>
      <w:fldChar w:fldCharType="begin"/>
    </w:r>
    <w:r>
      <w:instrText xml:space="preserve"> STYLEREF  "Heading 5,Apx H1" \n  \* MERGEFORMAT </w:instrText>
    </w:r>
    <w:r>
      <w:fldChar w:fldCharType="separate"/>
    </w:r>
    <w:r>
      <w:t>A.23</w:t>
    </w:r>
    <w:r>
      <w:fldChar w:fldCharType="end"/>
    </w:r>
    <w:r w:rsidR="00223A9B" w:rsidRPr="004511B3">
      <w:t xml:space="preserve">. </w:t>
    </w:r>
    <w:r>
      <w:fldChar w:fldCharType="begin"/>
    </w:r>
    <w:r>
      <w:instrText xml:space="preserve"> STYLEREF  "Heading 5,Apx H1"  \* MERGEFORMAT </w:instrText>
    </w:r>
    <w:r>
      <w:fldChar w:fldCharType="separate"/>
    </w:r>
    <w:r>
      <w:t>Existing AT programs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D78"/>
    <w:multiLevelType w:val="hybridMultilevel"/>
    <w:tmpl w:val="82AEF46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15:restartNumberingAfterBreak="0">
    <w:nsid w:val="02DF5936"/>
    <w:multiLevelType w:val="hybridMultilevel"/>
    <w:tmpl w:val="8AE0530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15:restartNumberingAfterBreak="0">
    <w:nsid w:val="05D56F60"/>
    <w:multiLevelType w:val="multilevel"/>
    <w:tmpl w:val="C7EE9A84"/>
    <w:lvl w:ilvl="0">
      <w:start w:val="1"/>
      <w:numFmt w:val="decimal"/>
      <w:lvlText w:val="%1"/>
      <w:lvlJc w:val="left"/>
      <w:pPr>
        <w:tabs>
          <w:tab w:val="num" w:pos="1418"/>
        </w:tabs>
        <w:ind w:left="851" w:hanging="851"/>
      </w:pPr>
      <w:rPr>
        <w:rFonts w:hint="default"/>
      </w:rPr>
    </w:lvl>
    <w:lvl w:ilvl="1">
      <w:start w:val="1"/>
      <w:numFmt w:val="decimal"/>
      <w:lvlText w:val="%1.%2"/>
      <w:lvlJc w:val="left"/>
      <w:pPr>
        <w:tabs>
          <w:tab w:val="num" w:pos="1418"/>
        </w:tabs>
        <w:ind w:left="851" w:hanging="851"/>
      </w:pPr>
      <w:rPr>
        <w:rFonts w:hint="default"/>
        <w:b/>
        <w:bCs w:val="0"/>
        <w:sz w:val="40"/>
        <w:szCs w:val="40"/>
      </w:rPr>
    </w:lvl>
    <w:lvl w:ilvl="2">
      <w:start w:val="1"/>
      <w:numFmt w:val="decimal"/>
      <w:lvlText w:val="%1.%2.%3"/>
      <w:lvlJc w:val="left"/>
      <w:pPr>
        <w:ind w:left="851" w:hanging="851"/>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851" w:hanging="851"/>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upperLetter"/>
      <w:lvlRestart w:val="1"/>
      <w:lvlText w:val="Appendix %5"/>
      <w:lvlJc w:val="left"/>
      <w:pPr>
        <w:tabs>
          <w:tab w:val="num" w:pos="851"/>
        </w:tabs>
        <w:ind w:left="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ind w:left="851" w:hanging="851"/>
      </w:pPr>
      <w:rPr>
        <w:rFonts w:hint="default"/>
      </w:rPr>
    </w:lvl>
    <w:lvl w:ilvl="6">
      <w:start w:val="1"/>
      <w:numFmt w:val="decimal"/>
      <w:lvlText w:val="%5.%6.%7"/>
      <w:lvlJc w:val="left"/>
      <w:pPr>
        <w:tabs>
          <w:tab w:val="num" w:pos="2269"/>
        </w:tabs>
        <w:ind w:left="1702"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3" w15:restartNumberingAfterBreak="0">
    <w:nsid w:val="060E7E0E"/>
    <w:multiLevelType w:val="hybridMultilevel"/>
    <w:tmpl w:val="E4CAD7D2"/>
    <w:lvl w:ilvl="0" w:tplc="3B88590C">
      <w:start w:val="1"/>
      <w:numFmt w:val="decimal"/>
      <w:pStyle w:val="TableList1"/>
      <w:lvlText w:val="%1."/>
      <w:lvlJc w:val="left"/>
      <w:pPr>
        <w:ind w:left="284" w:hanging="284"/>
      </w:pPr>
      <w:rPr>
        <w:rFonts w:hint="default"/>
      </w:rPr>
    </w:lvl>
    <w:lvl w:ilvl="1" w:tplc="F626CB2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912AD4"/>
    <w:multiLevelType w:val="hybridMultilevel"/>
    <w:tmpl w:val="99DE3F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98562A1"/>
    <w:multiLevelType w:val="hybridMultilevel"/>
    <w:tmpl w:val="AB4872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7964C9"/>
    <w:multiLevelType w:val="hybridMultilevel"/>
    <w:tmpl w:val="9BA82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36B35"/>
    <w:multiLevelType w:val="hybridMultilevel"/>
    <w:tmpl w:val="6ABC2546"/>
    <w:lvl w:ilvl="0" w:tplc="6FBE3C1C">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8" w15:restartNumberingAfterBreak="0">
    <w:nsid w:val="105839F7"/>
    <w:multiLevelType w:val="multilevel"/>
    <w:tmpl w:val="C8142CA2"/>
    <w:styleLink w:val="Bullets"/>
    <w:lvl w:ilvl="0">
      <w:start w:val="1"/>
      <w:numFmt w:val="bullet"/>
      <w:lvlText w:val=""/>
      <w:lvlJc w:val="left"/>
      <w:pPr>
        <w:tabs>
          <w:tab w:val="num" w:pos="680"/>
        </w:tabs>
        <w:ind w:left="680" w:hanging="680"/>
      </w:pPr>
      <w:rPr>
        <w:rFonts w:ascii="Wingdings" w:hAnsi="Wingdings" w:hint="default"/>
      </w:rPr>
    </w:lvl>
    <w:lvl w:ilvl="1">
      <w:start w:val="1"/>
      <w:numFmt w:val="none"/>
      <w:lvlText w:val="-"/>
      <w:lvlJc w:val="left"/>
      <w:pPr>
        <w:tabs>
          <w:tab w:val="num" w:pos="1361"/>
        </w:tabs>
        <w:ind w:left="1361" w:hanging="681"/>
      </w:pPr>
      <w:rPr>
        <w:rFonts w:hint="default"/>
      </w:rPr>
    </w:lvl>
    <w:lvl w:ilvl="2">
      <w:start w:val="1"/>
      <w:numFmt w:val="bullet"/>
      <w:lvlText w:val=""/>
      <w:lvlJc w:val="left"/>
      <w:pPr>
        <w:tabs>
          <w:tab w:val="num" w:pos="2041"/>
        </w:tabs>
        <w:ind w:left="2041" w:hanging="68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3280AB5"/>
    <w:multiLevelType w:val="hybridMultilevel"/>
    <w:tmpl w:val="CF601642"/>
    <w:lvl w:ilvl="0" w:tplc="0C090015">
      <w:start w:val="1"/>
      <w:numFmt w:val="upp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035FB5"/>
    <w:multiLevelType w:val="hybridMultilevel"/>
    <w:tmpl w:val="CFC2BB4A"/>
    <w:lvl w:ilvl="0" w:tplc="FCACF8B2">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493CD5C2">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784BB3"/>
    <w:multiLevelType w:val="hybridMultilevel"/>
    <w:tmpl w:val="BBA8D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13" w15:restartNumberingAfterBreak="0">
    <w:nsid w:val="1DF45497"/>
    <w:multiLevelType w:val="hybridMultilevel"/>
    <w:tmpl w:val="8CC4D44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45F0DCA"/>
    <w:multiLevelType w:val="multilevel"/>
    <w:tmpl w:val="4176B3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suff w:val="nothing"/>
      <w:lvlText w:val=""/>
      <w:lvlJc w:val="left"/>
      <w:pPr>
        <w:ind w:left="0" w:firstLine="0"/>
      </w:pPr>
      <w:rPr>
        <w:rFonts w:hint="default"/>
      </w:rPr>
    </w:lvl>
    <w:lvl w:ilvl="4">
      <w:start w:val="1"/>
      <w:numFmt w:val="upperLetter"/>
      <w:lvlText w:val="Appendix %5"/>
      <w:lvlJc w:val="left"/>
      <w:pPr>
        <w:tabs>
          <w:tab w:val="num" w:pos="1701"/>
        </w:tabs>
        <w:ind w:left="1701" w:hanging="1701"/>
      </w:pPr>
      <w:rPr>
        <w:rFonts w:hint="default"/>
      </w:rPr>
    </w:lvl>
    <w:lvl w:ilvl="5">
      <w:start w:val="1"/>
      <w:numFmt w:val="decimal"/>
      <w:lvlText w:val="%5.%6"/>
      <w:lvlJc w:val="left"/>
      <w:pPr>
        <w:ind w:left="567" w:hanging="567"/>
      </w:pPr>
      <w:rPr>
        <w:rFonts w:hint="default"/>
      </w:rPr>
    </w:lvl>
    <w:lvl w:ilvl="6">
      <w:start w:val="1"/>
      <w:numFmt w:val="decimal"/>
      <w:lvlText w:val="%5.%6.%7"/>
      <w:lvlJc w:val="left"/>
      <w:pPr>
        <w:ind w:left="1296" w:hanging="1296"/>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4D54216"/>
    <w:multiLevelType w:val="hybridMultilevel"/>
    <w:tmpl w:val="F6F6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DC4609"/>
    <w:multiLevelType w:val="hybridMultilevel"/>
    <w:tmpl w:val="6A3858C4"/>
    <w:lvl w:ilvl="0" w:tplc="0DA85982">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889515A"/>
    <w:multiLevelType w:val="hybridMultilevel"/>
    <w:tmpl w:val="862489B2"/>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29765831"/>
    <w:multiLevelType w:val="hybridMultilevel"/>
    <w:tmpl w:val="0C36D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55AA5"/>
    <w:multiLevelType w:val="hybridMultilevel"/>
    <w:tmpl w:val="CA34AB14"/>
    <w:lvl w:ilvl="0" w:tplc="FCACF8B2">
      <w:start w:val="1"/>
      <w:numFmt w:val="bullet"/>
      <w:lvlText w:val=""/>
      <w:lvlJc w:val="left"/>
      <w:pPr>
        <w:ind w:left="720" w:hanging="360"/>
      </w:pPr>
      <w:rPr>
        <w:rFonts w:ascii="Symbol" w:hAnsi="Symbol" w:hint="default"/>
      </w:rPr>
    </w:lvl>
    <w:lvl w:ilvl="1" w:tplc="A83ED2D2">
      <w:start w:val="1"/>
      <w:numFmt w:val="bullet"/>
      <w:pStyle w:val="Bullet2"/>
      <w:lvlText w:val=""/>
      <w:lvlJc w:val="left"/>
      <w:pPr>
        <w:ind w:left="1440" w:hanging="360"/>
      </w:pPr>
      <w:rPr>
        <w:rFonts w:ascii="Symbol" w:hAnsi="Symbol" w:hint="default"/>
      </w:rPr>
    </w:lvl>
    <w:lvl w:ilvl="2" w:tplc="493CD5C2">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F2050A"/>
    <w:multiLevelType w:val="hybridMultilevel"/>
    <w:tmpl w:val="E006F9B4"/>
    <w:lvl w:ilvl="0" w:tplc="02B07F3E">
      <w:start w:val="1"/>
      <w:numFmt w:val="bullet"/>
      <w:pStyle w:val="Bullet3"/>
      <w:lvlText w:val="o"/>
      <w:lvlJc w:val="left"/>
      <w:pPr>
        <w:ind w:left="1494" w:hanging="360"/>
      </w:pPr>
      <w:rPr>
        <w:rFonts w:ascii="Courier New" w:hAnsi="Courier New" w:cs="Courier New" w:hint="default"/>
      </w:rPr>
    </w:lvl>
    <w:lvl w:ilvl="1" w:tplc="C3AE677E">
      <w:start w:val="1"/>
      <w:numFmt w:val="bullet"/>
      <w:lvlText w:val=""/>
      <w:lvlJc w:val="left"/>
      <w:pPr>
        <w:ind w:left="1298" w:hanging="360"/>
      </w:pPr>
      <w:rPr>
        <w:rFonts w:ascii="Symbol" w:hAnsi="Symbol" w:hint="default"/>
      </w:rPr>
    </w:lvl>
    <w:lvl w:ilvl="2" w:tplc="3500B6E2">
      <w:start w:val="1"/>
      <w:numFmt w:val="bullet"/>
      <w:lvlText w:val="•"/>
      <w:lvlJc w:val="left"/>
      <w:pPr>
        <w:ind w:left="2018" w:hanging="360"/>
      </w:pPr>
      <w:rPr>
        <w:rFonts w:ascii="Arial" w:hAnsi="Arial"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2" w15:restartNumberingAfterBreak="0">
    <w:nsid w:val="304B57D9"/>
    <w:multiLevelType w:val="multilevel"/>
    <w:tmpl w:val="9AFAFC2A"/>
    <w:lvl w:ilvl="0">
      <w:start w:val="1"/>
      <w:numFmt w:val="decimal"/>
      <w:lvlText w:val="%1"/>
      <w:lvlJc w:val="left"/>
      <w:pPr>
        <w:ind w:left="1277" w:hanging="1277"/>
      </w:pPr>
      <w:rPr>
        <w:rFonts w:hint="default"/>
      </w:rPr>
    </w:lvl>
    <w:lvl w:ilvl="1">
      <w:start w:val="1"/>
      <w:numFmt w:val="decimal"/>
      <w:lvlText w:val="%1.%2"/>
      <w:lvlJc w:val="left"/>
      <w:pPr>
        <w:ind w:left="851" w:hanging="851"/>
      </w:pPr>
      <w:rPr>
        <w:rFonts w:hint="default"/>
        <w:b/>
        <w:bCs w:val="0"/>
        <w:sz w:val="40"/>
        <w:szCs w:val="40"/>
      </w:rPr>
    </w:lvl>
    <w:lvl w:ilvl="2">
      <w:start w:val="1"/>
      <w:numFmt w:val="decimal"/>
      <w:lvlText w:val="%1.%2.%3"/>
      <w:lvlJc w:val="left"/>
      <w:pPr>
        <w:ind w:left="851" w:hanging="851"/>
      </w:pPr>
      <w:rPr>
        <w:rFonts w:hint="default"/>
      </w:rPr>
    </w:lvl>
    <w:lvl w:ilvl="3">
      <w:start w:val="1"/>
      <w:numFmt w:val="none"/>
      <w:lvlText w:val=""/>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4%5"/>
      <w:lvlJc w:val="left"/>
      <w:pPr>
        <w:ind w:left="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4%5.%6"/>
      <w:lvlJc w:val="left"/>
      <w:pPr>
        <w:ind w:left="0" w:firstLine="0"/>
      </w:pPr>
      <w:rPr>
        <w:rFonts w:hint="default"/>
      </w:rPr>
    </w:lvl>
    <w:lvl w:ilvl="6">
      <w:start w:val="1"/>
      <w:numFmt w:val="decimal"/>
      <w:lvlText w:val="%5.%6.%7"/>
      <w:lvlJc w:val="left"/>
      <w:pPr>
        <w:ind w:left="-32767" w:firstLine="32767"/>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30696FFC"/>
    <w:multiLevelType w:val="multilevel"/>
    <w:tmpl w:val="EA068396"/>
    <w:lvl w:ilvl="0">
      <w:start w:val="1"/>
      <w:numFmt w:val="lowerLetter"/>
      <w:lvlText w:val="%1)"/>
      <w:lvlJc w:val="left"/>
      <w:pPr>
        <w:tabs>
          <w:tab w:val="num" w:pos="6946"/>
        </w:tabs>
        <w:ind w:left="1276" w:hanging="425"/>
      </w:pPr>
      <w:rPr>
        <w:rFonts w:hint="default"/>
      </w:rPr>
    </w:lvl>
    <w:lvl w:ilvl="1">
      <w:start w:val="1"/>
      <w:numFmt w:val="lowerLetter"/>
      <w:lvlText w:val="%2."/>
      <w:lvlJc w:val="left"/>
      <w:pPr>
        <w:tabs>
          <w:tab w:val="num" w:pos="1701"/>
        </w:tabs>
        <w:ind w:left="1276" w:firstLine="425"/>
      </w:pPr>
      <w:rPr>
        <w:rFonts w:hint="default"/>
      </w:rPr>
    </w:lvl>
    <w:lvl w:ilvl="2">
      <w:start w:val="1"/>
      <w:numFmt w:val="lowerRoman"/>
      <w:lvlText w:val="%3."/>
      <w:lvlJc w:val="left"/>
      <w:pPr>
        <w:ind w:left="1701" w:firstLine="426"/>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4" w15:restartNumberingAfterBreak="0">
    <w:nsid w:val="32440790"/>
    <w:multiLevelType w:val="hybridMultilevel"/>
    <w:tmpl w:val="996E883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5" w15:restartNumberingAfterBreak="0">
    <w:nsid w:val="357F7B1E"/>
    <w:multiLevelType w:val="hybridMultilevel"/>
    <w:tmpl w:val="FFFFFFFF"/>
    <w:lvl w:ilvl="0" w:tplc="25BE4BD0">
      <w:start w:val="1"/>
      <w:numFmt w:val="bullet"/>
      <w:lvlText w:val=""/>
      <w:lvlJc w:val="left"/>
      <w:pPr>
        <w:ind w:left="720" w:hanging="360"/>
      </w:pPr>
      <w:rPr>
        <w:rFonts w:ascii="Symbol" w:hAnsi="Symbol" w:hint="default"/>
      </w:rPr>
    </w:lvl>
    <w:lvl w:ilvl="1" w:tplc="E550EE74">
      <w:start w:val="1"/>
      <w:numFmt w:val="bullet"/>
      <w:lvlText w:val=""/>
      <w:lvlJc w:val="left"/>
      <w:pPr>
        <w:ind w:left="1440" w:hanging="360"/>
      </w:pPr>
      <w:rPr>
        <w:rFonts w:ascii="Symbol" w:hAnsi="Symbol" w:hint="default"/>
      </w:rPr>
    </w:lvl>
    <w:lvl w:ilvl="2" w:tplc="7270A38E">
      <w:start w:val="1"/>
      <w:numFmt w:val="bullet"/>
      <w:lvlText w:val=""/>
      <w:lvlJc w:val="left"/>
      <w:pPr>
        <w:ind w:left="2160" w:hanging="360"/>
      </w:pPr>
      <w:rPr>
        <w:rFonts w:ascii="Wingdings" w:hAnsi="Wingdings" w:hint="default"/>
      </w:rPr>
    </w:lvl>
    <w:lvl w:ilvl="3" w:tplc="0D00372C">
      <w:start w:val="1"/>
      <w:numFmt w:val="bullet"/>
      <w:lvlText w:val=""/>
      <w:lvlJc w:val="left"/>
      <w:pPr>
        <w:ind w:left="2880" w:hanging="360"/>
      </w:pPr>
      <w:rPr>
        <w:rFonts w:ascii="Symbol" w:hAnsi="Symbol" w:hint="default"/>
      </w:rPr>
    </w:lvl>
    <w:lvl w:ilvl="4" w:tplc="D99E002A">
      <w:start w:val="1"/>
      <w:numFmt w:val="bullet"/>
      <w:lvlText w:val="o"/>
      <w:lvlJc w:val="left"/>
      <w:pPr>
        <w:ind w:left="3600" w:hanging="360"/>
      </w:pPr>
      <w:rPr>
        <w:rFonts w:ascii="Courier New" w:hAnsi="Courier New" w:hint="default"/>
      </w:rPr>
    </w:lvl>
    <w:lvl w:ilvl="5" w:tplc="A18C011E">
      <w:start w:val="1"/>
      <w:numFmt w:val="bullet"/>
      <w:lvlText w:val=""/>
      <w:lvlJc w:val="left"/>
      <w:pPr>
        <w:ind w:left="4320" w:hanging="360"/>
      </w:pPr>
      <w:rPr>
        <w:rFonts w:ascii="Wingdings" w:hAnsi="Wingdings" w:hint="default"/>
      </w:rPr>
    </w:lvl>
    <w:lvl w:ilvl="6" w:tplc="56649770">
      <w:start w:val="1"/>
      <w:numFmt w:val="bullet"/>
      <w:lvlText w:val=""/>
      <w:lvlJc w:val="left"/>
      <w:pPr>
        <w:ind w:left="5040" w:hanging="360"/>
      </w:pPr>
      <w:rPr>
        <w:rFonts w:ascii="Symbol" w:hAnsi="Symbol" w:hint="default"/>
      </w:rPr>
    </w:lvl>
    <w:lvl w:ilvl="7" w:tplc="098807CA">
      <w:start w:val="1"/>
      <w:numFmt w:val="bullet"/>
      <w:lvlText w:val="o"/>
      <w:lvlJc w:val="left"/>
      <w:pPr>
        <w:ind w:left="5760" w:hanging="360"/>
      </w:pPr>
      <w:rPr>
        <w:rFonts w:ascii="Courier New" w:hAnsi="Courier New" w:hint="default"/>
      </w:rPr>
    </w:lvl>
    <w:lvl w:ilvl="8" w:tplc="24BE1326">
      <w:start w:val="1"/>
      <w:numFmt w:val="bullet"/>
      <w:lvlText w:val=""/>
      <w:lvlJc w:val="left"/>
      <w:pPr>
        <w:ind w:left="6480" w:hanging="360"/>
      </w:pPr>
      <w:rPr>
        <w:rFonts w:ascii="Wingdings" w:hAnsi="Wingdings" w:hint="default"/>
      </w:rPr>
    </w:lvl>
  </w:abstractNum>
  <w:abstractNum w:abstractNumId="26" w15:restartNumberingAfterBreak="0">
    <w:nsid w:val="36812DAC"/>
    <w:multiLevelType w:val="hybridMultilevel"/>
    <w:tmpl w:val="949CB5C8"/>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7" w15:restartNumberingAfterBreak="0">
    <w:nsid w:val="36DB1BFD"/>
    <w:multiLevelType w:val="hybridMultilevel"/>
    <w:tmpl w:val="BDFCDF1E"/>
    <w:lvl w:ilvl="0" w:tplc="41746A54">
      <w:start w:val="1"/>
      <w:numFmt w:val="bullet"/>
      <w:lvlText w:val="•"/>
      <w:lvlJc w:val="left"/>
      <w:pPr>
        <w:tabs>
          <w:tab w:val="num" w:pos="720"/>
        </w:tabs>
        <w:ind w:left="720" w:hanging="360"/>
      </w:pPr>
      <w:rPr>
        <w:rFonts w:ascii="Times New Roman" w:hAnsi="Times New Roman" w:hint="default"/>
      </w:rPr>
    </w:lvl>
    <w:lvl w:ilvl="1" w:tplc="88B63DCE">
      <w:numFmt w:val="bullet"/>
      <w:lvlText w:val="•"/>
      <w:lvlJc w:val="left"/>
      <w:pPr>
        <w:tabs>
          <w:tab w:val="num" w:pos="1440"/>
        </w:tabs>
        <w:ind w:left="1440" w:hanging="360"/>
      </w:pPr>
      <w:rPr>
        <w:rFonts w:ascii="Times New Roman" w:hAnsi="Times New Roman" w:hint="default"/>
      </w:rPr>
    </w:lvl>
    <w:lvl w:ilvl="2" w:tplc="75468B32" w:tentative="1">
      <w:start w:val="1"/>
      <w:numFmt w:val="bullet"/>
      <w:lvlText w:val="•"/>
      <w:lvlJc w:val="left"/>
      <w:pPr>
        <w:tabs>
          <w:tab w:val="num" w:pos="2160"/>
        </w:tabs>
        <w:ind w:left="2160" w:hanging="360"/>
      </w:pPr>
      <w:rPr>
        <w:rFonts w:ascii="Times New Roman" w:hAnsi="Times New Roman" w:hint="default"/>
      </w:rPr>
    </w:lvl>
    <w:lvl w:ilvl="3" w:tplc="71AA1C38" w:tentative="1">
      <w:start w:val="1"/>
      <w:numFmt w:val="bullet"/>
      <w:lvlText w:val="•"/>
      <w:lvlJc w:val="left"/>
      <w:pPr>
        <w:tabs>
          <w:tab w:val="num" w:pos="2880"/>
        </w:tabs>
        <w:ind w:left="2880" w:hanging="360"/>
      </w:pPr>
      <w:rPr>
        <w:rFonts w:ascii="Times New Roman" w:hAnsi="Times New Roman" w:hint="default"/>
      </w:rPr>
    </w:lvl>
    <w:lvl w:ilvl="4" w:tplc="1862C5A6" w:tentative="1">
      <w:start w:val="1"/>
      <w:numFmt w:val="bullet"/>
      <w:lvlText w:val="•"/>
      <w:lvlJc w:val="left"/>
      <w:pPr>
        <w:tabs>
          <w:tab w:val="num" w:pos="3600"/>
        </w:tabs>
        <w:ind w:left="3600" w:hanging="360"/>
      </w:pPr>
      <w:rPr>
        <w:rFonts w:ascii="Times New Roman" w:hAnsi="Times New Roman" w:hint="default"/>
      </w:rPr>
    </w:lvl>
    <w:lvl w:ilvl="5" w:tplc="0F00BDB0" w:tentative="1">
      <w:start w:val="1"/>
      <w:numFmt w:val="bullet"/>
      <w:lvlText w:val="•"/>
      <w:lvlJc w:val="left"/>
      <w:pPr>
        <w:tabs>
          <w:tab w:val="num" w:pos="4320"/>
        </w:tabs>
        <w:ind w:left="4320" w:hanging="360"/>
      </w:pPr>
      <w:rPr>
        <w:rFonts w:ascii="Times New Roman" w:hAnsi="Times New Roman" w:hint="default"/>
      </w:rPr>
    </w:lvl>
    <w:lvl w:ilvl="6" w:tplc="91A4EA48" w:tentative="1">
      <w:start w:val="1"/>
      <w:numFmt w:val="bullet"/>
      <w:lvlText w:val="•"/>
      <w:lvlJc w:val="left"/>
      <w:pPr>
        <w:tabs>
          <w:tab w:val="num" w:pos="5040"/>
        </w:tabs>
        <w:ind w:left="5040" w:hanging="360"/>
      </w:pPr>
      <w:rPr>
        <w:rFonts w:ascii="Times New Roman" w:hAnsi="Times New Roman" w:hint="default"/>
      </w:rPr>
    </w:lvl>
    <w:lvl w:ilvl="7" w:tplc="70A27F96" w:tentative="1">
      <w:start w:val="1"/>
      <w:numFmt w:val="bullet"/>
      <w:lvlText w:val="•"/>
      <w:lvlJc w:val="left"/>
      <w:pPr>
        <w:tabs>
          <w:tab w:val="num" w:pos="5760"/>
        </w:tabs>
        <w:ind w:left="5760" w:hanging="360"/>
      </w:pPr>
      <w:rPr>
        <w:rFonts w:ascii="Times New Roman" w:hAnsi="Times New Roman" w:hint="default"/>
      </w:rPr>
    </w:lvl>
    <w:lvl w:ilvl="8" w:tplc="21AAF9E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84D1F1F"/>
    <w:multiLevelType w:val="hybridMultilevel"/>
    <w:tmpl w:val="68BA178A"/>
    <w:lvl w:ilvl="0" w:tplc="E21CD096">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C36066"/>
    <w:multiLevelType w:val="hybridMultilevel"/>
    <w:tmpl w:val="3B42B8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A34E19"/>
    <w:multiLevelType w:val="hybridMultilevel"/>
    <w:tmpl w:val="F65A7BFC"/>
    <w:lvl w:ilvl="0" w:tplc="1F58E3DA">
      <w:start w:val="1"/>
      <w:numFmt w:val="bullet"/>
      <w:pStyle w:val="TableBullet1"/>
      <w:lvlText w:val=""/>
      <w:lvlJc w:val="left"/>
      <w:pPr>
        <w:ind w:left="473" w:hanging="360"/>
      </w:pPr>
      <w:rPr>
        <w:rFonts w:ascii="Symbol" w:hAnsi="Symbol" w:hint="default"/>
        <w:caps w:val="0"/>
        <w:strike w:val="0"/>
        <w:dstrike w:val="0"/>
        <w:vanish w:val="0"/>
        <w:sz w:val="20"/>
        <w:vertAlign w:val="baseline"/>
      </w:rPr>
    </w:lvl>
    <w:lvl w:ilvl="1" w:tplc="08090003">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31" w15:restartNumberingAfterBreak="0">
    <w:nsid w:val="423D514F"/>
    <w:multiLevelType w:val="hybridMultilevel"/>
    <w:tmpl w:val="37B0B37C"/>
    <w:lvl w:ilvl="0" w:tplc="910C0BA2">
      <w:start w:val="1"/>
      <w:numFmt w:val="decimal"/>
      <w:pStyle w:val="Tablelistindented"/>
      <w:lvlText w:val="%1."/>
      <w:lvlJc w:val="left"/>
      <w:pPr>
        <w:ind w:left="6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9296207"/>
    <w:multiLevelType w:val="hybridMultilevel"/>
    <w:tmpl w:val="031A4B7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3" w15:restartNumberingAfterBreak="0">
    <w:nsid w:val="4ABE133F"/>
    <w:multiLevelType w:val="hybridMultilevel"/>
    <w:tmpl w:val="27D44B42"/>
    <w:lvl w:ilvl="0" w:tplc="B7EC4D28">
      <w:start w:val="1"/>
      <w:numFmt w:val="bullet"/>
      <w:pStyle w:val="Bullet1Inden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4"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35" w15:restartNumberingAfterBreak="0">
    <w:nsid w:val="4BA24A4F"/>
    <w:multiLevelType w:val="hybridMultilevel"/>
    <w:tmpl w:val="E7AC470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6" w15:restartNumberingAfterBreak="0">
    <w:nsid w:val="4C16233D"/>
    <w:multiLevelType w:val="hybridMultilevel"/>
    <w:tmpl w:val="04544DC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4D1562F4"/>
    <w:multiLevelType w:val="hybridMultilevel"/>
    <w:tmpl w:val="E482FE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D6E474F"/>
    <w:multiLevelType w:val="hybridMultilevel"/>
    <w:tmpl w:val="B380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745B57"/>
    <w:multiLevelType w:val="multilevel"/>
    <w:tmpl w:val="EA068396"/>
    <w:lvl w:ilvl="0">
      <w:start w:val="1"/>
      <w:numFmt w:val="lowerLetter"/>
      <w:lvlText w:val="%1)"/>
      <w:lvlJc w:val="left"/>
      <w:pPr>
        <w:tabs>
          <w:tab w:val="num" w:pos="6946"/>
        </w:tabs>
        <w:ind w:left="1276" w:hanging="425"/>
      </w:pPr>
      <w:rPr>
        <w:rFonts w:hint="default"/>
      </w:rPr>
    </w:lvl>
    <w:lvl w:ilvl="1">
      <w:start w:val="1"/>
      <w:numFmt w:val="lowerLetter"/>
      <w:lvlText w:val="%2."/>
      <w:lvlJc w:val="left"/>
      <w:pPr>
        <w:tabs>
          <w:tab w:val="num" w:pos="1701"/>
        </w:tabs>
        <w:ind w:left="1276" w:firstLine="425"/>
      </w:pPr>
      <w:rPr>
        <w:rFonts w:hint="default"/>
      </w:rPr>
    </w:lvl>
    <w:lvl w:ilvl="2">
      <w:start w:val="1"/>
      <w:numFmt w:val="lowerRoman"/>
      <w:lvlText w:val="%3."/>
      <w:lvlJc w:val="left"/>
      <w:pPr>
        <w:ind w:left="1701" w:firstLine="426"/>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40" w15:restartNumberingAfterBreak="0">
    <w:nsid w:val="54BA1E5A"/>
    <w:multiLevelType w:val="multilevel"/>
    <w:tmpl w:val="BFDAA252"/>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563B6550"/>
    <w:multiLevelType w:val="hybridMultilevel"/>
    <w:tmpl w:val="D8561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C50403"/>
    <w:multiLevelType w:val="hybridMultilevel"/>
    <w:tmpl w:val="35845FD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5A8C7948"/>
    <w:multiLevelType w:val="multilevel"/>
    <w:tmpl w:val="06E837F4"/>
    <w:lvl w:ilvl="0">
      <w:start w:val="1"/>
      <w:numFmt w:val="decimal"/>
      <w:lvlText w:val="%1"/>
      <w:lvlJc w:val="left"/>
      <w:pPr>
        <w:ind w:left="567" w:hanging="567"/>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pStyle w:val="Heading4"/>
      <w:lvlText w:val=""/>
      <w:lvlJc w:val="left"/>
      <w:pPr>
        <w:ind w:left="864" w:hanging="864"/>
      </w:pPr>
      <w:rPr>
        <w:rFonts w:hint="default"/>
      </w:rPr>
    </w:lvl>
    <w:lvl w:ilvl="4">
      <w:start w:val="1"/>
      <w:numFmt w:val="upperLetter"/>
      <w:lvlRestart w:val="1"/>
      <w:lvlText w:val="Appendix %5"/>
      <w:lvlJc w:val="left"/>
      <w:pPr>
        <w:ind w:left="2552" w:firstLine="0"/>
      </w:pPr>
      <w:rPr>
        <w:rFonts w:hint="default"/>
      </w:rPr>
    </w:lvl>
    <w:lvl w:ilvl="5">
      <w:start w:val="1"/>
      <w:numFmt w:val="decimal"/>
      <w:pStyle w:val="Heading5"/>
      <w:lvlText w:val="%5.%6"/>
      <w:lvlJc w:val="left"/>
      <w:pPr>
        <w:ind w:left="851" w:hanging="709"/>
      </w:pPr>
      <w:rPr>
        <w:rFonts w:hint="default"/>
        <w:color w:val="auto"/>
      </w:rPr>
    </w:lvl>
    <w:lvl w:ilvl="6">
      <w:start w:val="1"/>
      <w:numFmt w:val="decimal"/>
      <w:pStyle w:val="Heading7"/>
      <w:lvlText w:val="%5.%6.%7"/>
      <w:lvlJc w:val="left"/>
      <w:pPr>
        <w:ind w:left="1702" w:hanging="99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5.%6.%7.%8"/>
      <w:lvlJc w:val="left"/>
      <w:pPr>
        <w:ind w:left="992" w:hanging="992"/>
      </w:pPr>
      <w:rPr>
        <w:rFonts w:hint="default"/>
      </w:rPr>
    </w:lvl>
    <w:lvl w:ilvl="8">
      <w:start w:val="1"/>
      <w:numFmt w:val="none"/>
      <w:pStyle w:val="Heading9"/>
      <w:lvlText w:val=""/>
      <w:lvlJc w:val="left"/>
      <w:pPr>
        <w:ind w:left="1584" w:hanging="1584"/>
      </w:pPr>
      <w:rPr>
        <w:rFonts w:hint="default"/>
      </w:rPr>
    </w:lvl>
  </w:abstractNum>
  <w:abstractNum w:abstractNumId="44" w15:restartNumberingAfterBreak="0">
    <w:nsid w:val="5D7F257E"/>
    <w:multiLevelType w:val="hybridMultilevel"/>
    <w:tmpl w:val="F4F4E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220B38"/>
    <w:multiLevelType w:val="hybridMultilevel"/>
    <w:tmpl w:val="20DC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053269F"/>
    <w:multiLevelType w:val="hybridMultilevel"/>
    <w:tmpl w:val="CAC68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764796"/>
    <w:multiLevelType w:val="multilevel"/>
    <w:tmpl w:val="71B22226"/>
    <w:lvl w:ilvl="0">
      <w:start w:val="1"/>
      <w:numFmt w:val="none"/>
      <w:suff w:val="nothing"/>
      <w:lvlText w:val=""/>
      <w:lvlJc w:val="left"/>
      <w:pPr>
        <w:ind w:left="0" w:firstLine="0"/>
      </w:pPr>
      <w:rPr>
        <w:rFonts w:hint="default"/>
      </w:rPr>
    </w:lvl>
    <w:lvl w:ilvl="1">
      <w:start w:val="1"/>
      <w:numFmt w:val="decimal"/>
      <w:lvlText w:val="%2."/>
      <w:lvlJc w:val="left"/>
      <w:pPr>
        <w:tabs>
          <w:tab w:val="num" w:pos="720"/>
        </w:tabs>
        <w:ind w:left="720" w:hanging="720"/>
      </w:pPr>
      <w:rPr>
        <w:rFonts w:hint="default"/>
        <w:i w:val="0"/>
      </w:rPr>
    </w:lvl>
    <w:lvl w:ilvl="2">
      <w:start w:val="1"/>
      <w:numFmt w:val="decimal"/>
      <w:lvlText w:val="%2.%3"/>
      <w:lvlJc w:val="left"/>
      <w:pPr>
        <w:tabs>
          <w:tab w:val="num" w:pos="720"/>
        </w:tabs>
        <w:ind w:left="720" w:hanging="720"/>
      </w:pPr>
      <w:rPr>
        <w:rFonts w:ascii="Times New Roman" w:hAnsi="Times New Roman" w:cs="Times New Roman" w:hint="default"/>
        <w:color w:val="auto"/>
        <w:sz w:val="22"/>
        <w:szCs w:val="22"/>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upperRoman"/>
      <w:pStyle w:val="ListNumber2"/>
      <w:lvlText w:val="(%7)"/>
      <w:lvlJc w:val="left"/>
      <w:pPr>
        <w:tabs>
          <w:tab w:val="num" w:pos="3600"/>
        </w:tabs>
        <w:ind w:left="3600" w:hanging="72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61E13F3E"/>
    <w:multiLevelType w:val="hybridMultilevel"/>
    <w:tmpl w:val="B51693A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0" w15:restartNumberingAfterBreak="0">
    <w:nsid w:val="63B44E30"/>
    <w:multiLevelType w:val="hybridMultilevel"/>
    <w:tmpl w:val="FF48FEE2"/>
    <w:lvl w:ilvl="0" w:tplc="97064B24">
      <w:start w:val="3"/>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1" w15:restartNumberingAfterBreak="0">
    <w:nsid w:val="641D717D"/>
    <w:multiLevelType w:val="hybridMultilevel"/>
    <w:tmpl w:val="456E21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4655053"/>
    <w:multiLevelType w:val="hybridMultilevel"/>
    <w:tmpl w:val="86C83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DFF1054"/>
    <w:multiLevelType w:val="hybridMultilevel"/>
    <w:tmpl w:val="04544DC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15:restartNumberingAfterBreak="0">
    <w:nsid w:val="6F247E41"/>
    <w:multiLevelType w:val="hybridMultilevel"/>
    <w:tmpl w:val="AE80E3C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6" w15:restartNumberingAfterBreak="0">
    <w:nsid w:val="6F876FF7"/>
    <w:multiLevelType w:val="hybridMultilevel"/>
    <w:tmpl w:val="32DC7AD2"/>
    <w:lvl w:ilvl="0" w:tplc="119497BC">
      <w:start w:val="1"/>
      <w:numFmt w:val="bullet"/>
      <w:pStyle w:val="Pullquotem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32940E2"/>
    <w:multiLevelType w:val="hybridMultilevel"/>
    <w:tmpl w:val="DEC23A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74B80613"/>
    <w:multiLevelType w:val="hybridMultilevel"/>
    <w:tmpl w:val="63367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FF1FE5"/>
    <w:multiLevelType w:val="hybridMultilevel"/>
    <w:tmpl w:val="FFFFFFFF"/>
    <w:lvl w:ilvl="0" w:tplc="8D9C336A">
      <w:start w:val="1"/>
      <w:numFmt w:val="bullet"/>
      <w:lvlText w:val=""/>
      <w:lvlJc w:val="left"/>
      <w:pPr>
        <w:ind w:left="720" w:hanging="360"/>
      </w:pPr>
      <w:rPr>
        <w:rFonts w:ascii="Symbol" w:hAnsi="Symbol" w:hint="default"/>
      </w:rPr>
    </w:lvl>
    <w:lvl w:ilvl="1" w:tplc="F92CD336">
      <w:start w:val="1"/>
      <w:numFmt w:val="bullet"/>
      <w:lvlText w:val="o"/>
      <w:lvlJc w:val="left"/>
      <w:pPr>
        <w:ind w:left="1440" w:hanging="360"/>
      </w:pPr>
      <w:rPr>
        <w:rFonts w:ascii="Courier New" w:hAnsi="Courier New" w:hint="default"/>
      </w:rPr>
    </w:lvl>
    <w:lvl w:ilvl="2" w:tplc="593E00F6">
      <w:start w:val="1"/>
      <w:numFmt w:val="bullet"/>
      <w:lvlText w:val=""/>
      <w:lvlJc w:val="left"/>
      <w:pPr>
        <w:ind w:left="2160" w:hanging="360"/>
      </w:pPr>
      <w:rPr>
        <w:rFonts w:ascii="Wingdings" w:hAnsi="Wingdings" w:hint="default"/>
      </w:rPr>
    </w:lvl>
    <w:lvl w:ilvl="3" w:tplc="4D7CDDFA">
      <w:start w:val="1"/>
      <w:numFmt w:val="bullet"/>
      <w:lvlText w:val=""/>
      <w:lvlJc w:val="left"/>
      <w:pPr>
        <w:ind w:left="2880" w:hanging="360"/>
      </w:pPr>
      <w:rPr>
        <w:rFonts w:ascii="Symbol" w:hAnsi="Symbol" w:hint="default"/>
      </w:rPr>
    </w:lvl>
    <w:lvl w:ilvl="4" w:tplc="45C03A9C">
      <w:start w:val="1"/>
      <w:numFmt w:val="bullet"/>
      <w:lvlText w:val="o"/>
      <w:lvlJc w:val="left"/>
      <w:pPr>
        <w:ind w:left="3600" w:hanging="360"/>
      </w:pPr>
      <w:rPr>
        <w:rFonts w:ascii="Courier New" w:hAnsi="Courier New" w:hint="default"/>
      </w:rPr>
    </w:lvl>
    <w:lvl w:ilvl="5" w:tplc="DCA66578">
      <w:start w:val="1"/>
      <w:numFmt w:val="bullet"/>
      <w:lvlText w:val=""/>
      <w:lvlJc w:val="left"/>
      <w:pPr>
        <w:ind w:left="4320" w:hanging="360"/>
      </w:pPr>
      <w:rPr>
        <w:rFonts w:ascii="Wingdings" w:hAnsi="Wingdings" w:hint="default"/>
      </w:rPr>
    </w:lvl>
    <w:lvl w:ilvl="6" w:tplc="016CC644">
      <w:start w:val="1"/>
      <w:numFmt w:val="bullet"/>
      <w:lvlText w:val=""/>
      <w:lvlJc w:val="left"/>
      <w:pPr>
        <w:ind w:left="5040" w:hanging="360"/>
      </w:pPr>
      <w:rPr>
        <w:rFonts w:ascii="Symbol" w:hAnsi="Symbol" w:hint="default"/>
      </w:rPr>
    </w:lvl>
    <w:lvl w:ilvl="7" w:tplc="C2E0819E">
      <w:start w:val="1"/>
      <w:numFmt w:val="bullet"/>
      <w:lvlText w:val="o"/>
      <w:lvlJc w:val="left"/>
      <w:pPr>
        <w:ind w:left="5760" w:hanging="360"/>
      </w:pPr>
      <w:rPr>
        <w:rFonts w:ascii="Courier New" w:hAnsi="Courier New" w:hint="default"/>
      </w:rPr>
    </w:lvl>
    <w:lvl w:ilvl="8" w:tplc="F3A486E2">
      <w:start w:val="1"/>
      <w:numFmt w:val="bullet"/>
      <w:lvlText w:val=""/>
      <w:lvlJc w:val="left"/>
      <w:pPr>
        <w:ind w:left="6480" w:hanging="360"/>
      </w:pPr>
      <w:rPr>
        <w:rFonts w:ascii="Wingdings" w:hAnsi="Wingdings" w:hint="default"/>
      </w:rPr>
    </w:lvl>
  </w:abstractNum>
  <w:abstractNum w:abstractNumId="60" w15:restartNumberingAfterBreak="0">
    <w:nsid w:val="751906A0"/>
    <w:multiLevelType w:val="multilevel"/>
    <w:tmpl w:val="5C2C9CE6"/>
    <w:lvl w:ilvl="0">
      <w:start w:val="1"/>
      <w:numFmt w:val="decimal"/>
      <w:pStyle w:val="List1"/>
      <w:lvlText w:val="%1."/>
      <w:lvlJc w:val="left"/>
      <w:pPr>
        <w:tabs>
          <w:tab w:val="num" w:pos="6095"/>
        </w:tabs>
        <w:ind w:left="425" w:hanging="425"/>
      </w:pPr>
      <w:rPr>
        <w:rFonts w:hint="default"/>
      </w:rPr>
    </w:lvl>
    <w:lvl w:ilvl="1">
      <w:start w:val="1"/>
      <w:numFmt w:val="lowerLetter"/>
      <w:lvlText w:val="%2."/>
      <w:lvlJc w:val="left"/>
      <w:pPr>
        <w:tabs>
          <w:tab w:val="num" w:pos="850"/>
        </w:tabs>
        <w:ind w:left="425" w:firstLine="425"/>
      </w:pPr>
      <w:rPr>
        <w:rFonts w:hint="default"/>
      </w:rPr>
    </w:lvl>
    <w:lvl w:ilvl="2">
      <w:start w:val="1"/>
      <w:numFmt w:val="lowerRoman"/>
      <w:lvlText w:val="%3."/>
      <w:lvlJc w:val="left"/>
      <w:pPr>
        <w:ind w:left="850" w:firstLine="426"/>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61" w15:restartNumberingAfterBreak="0">
    <w:nsid w:val="77BE0A3C"/>
    <w:multiLevelType w:val="hybridMultilevel"/>
    <w:tmpl w:val="FBF6C6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79F03C58"/>
    <w:multiLevelType w:val="hybridMultilevel"/>
    <w:tmpl w:val="3800E934"/>
    <w:lvl w:ilvl="0" w:tplc="215E7012">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5820C2"/>
    <w:multiLevelType w:val="hybridMultilevel"/>
    <w:tmpl w:val="CEFC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CEB133E"/>
    <w:multiLevelType w:val="multilevel"/>
    <w:tmpl w:val="4320B390"/>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abstractNum w:abstractNumId="65" w15:restartNumberingAfterBreak="0">
    <w:nsid w:val="7FF125A5"/>
    <w:multiLevelType w:val="multilevel"/>
    <w:tmpl w:val="EA068396"/>
    <w:lvl w:ilvl="0">
      <w:start w:val="1"/>
      <w:numFmt w:val="lowerLetter"/>
      <w:lvlText w:val="%1)"/>
      <w:lvlJc w:val="left"/>
      <w:pPr>
        <w:tabs>
          <w:tab w:val="num" w:pos="6946"/>
        </w:tabs>
        <w:ind w:left="1276" w:hanging="425"/>
      </w:pPr>
      <w:rPr>
        <w:rFonts w:hint="default"/>
      </w:rPr>
    </w:lvl>
    <w:lvl w:ilvl="1">
      <w:start w:val="1"/>
      <w:numFmt w:val="lowerLetter"/>
      <w:lvlText w:val="%2."/>
      <w:lvlJc w:val="left"/>
      <w:pPr>
        <w:tabs>
          <w:tab w:val="num" w:pos="1701"/>
        </w:tabs>
        <w:ind w:left="1276" w:firstLine="425"/>
      </w:pPr>
      <w:rPr>
        <w:rFonts w:hint="default"/>
      </w:rPr>
    </w:lvl>
    <w:lvl w:ilvl="2">
      <w:start w:val="1"/>
      <w:numFmt w:val="lowerRoman"/>
      <w:lvlText w:val="%3."/>
      <w:lvlJc w:val="left"/>
      <w:pPr>
        <w:ind w:left="1701" w:firstLine="426"/>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num w:numId="1">
    <w:abstractNumId w:val="28"/>
  </w:num>
  <w:num w:numId="2">
    <w:abstractNumId w:val="20"/>
  </w:num>
  <w:num w:numId="3">
    <w:abstractNumId w:val="60"/>
  </w:num>
  <w:num w:numId="4">
    <w:abstractNumId w:val="46"/>
  </w:num>
  <w:num w:numId="5">
    <w:abstractNumId w:val="17"/>
  </w:num>
  <w:num w:numId="6">
    <w:abstractNumId w:val="12"/>
  </w:num>
  <w:num w:numId="7">
    <w:abstractNumId w:val="62"/>
  </w:num>
  <w:num w:numId="8">
    <w:abstractNumId w:val="30"/>
  </w:num>
  <w:num w:numId="9">
    <w:abstractNumId w:val="7"/>
  </w:num>
  <w:num w:numId="10">
    <w:abstractNumId w:val="21"/>
  </w:num>
  <w:num w:numId="11">
    <w:abstractNumId w:val="64"/>
  </w:num>
  <w:num w:numId="12">
    <w:abstractNumId w:val="22"/>
  </w:num>
  <w:num w:numId="13">
    <w:abstractNumId w:val="3"/>
  </w:num>
  <w:num w:numId="14">
    <w:abstractNumId w:val="8"/>
  </w:num>
  <w:num w:numId="15">
    <w:abstractNumId w:val="40"/>
  </w:num>
  <w:num w:numId="16">
    <w:abstractNumId w:val="31"/>
  </w:num>
  <w:num w:numId="17">
    <w:abstractNumId w:val="33"/>
  </w:num>
  <w:num w:numId="18">
    <w:abstractNumId w:val="53"/>
  </w:num>
  <w:num w:numId="19">
    <w:abstractNumId w:val="18"/>
  </w:num>
  <w:num w:numId="20">
    <w:abstractNumId w:val="9"/>
  </w:num>
  <w:num w:numId="21">
    <w:abstractNumId w:val="56"/>
  </w:num>
  <w:num w:numId="22">
    <w:abstractNumId w:val="48"/>
  </w:num>
  <w:num w:numId="23">
    <w:abstractNumId w:val="41"/>
  </w:num>
  <w:num w:numId="24">
    <w:abstractNumId w:val="39"/>
  </w:num>
  <w:num w:numId="25">
    <w:abstractNumId w:val="10"/>
  </w:num>
  <w:num w:numId="26">
    <w:abstractNumId w:val="36"/>
  </w:num>
  <w:num w:numId="27">
    <w:abstractNumId w:val="57"/>
  </w:num>
  <w:num w:numId="28">
    <w:abstractNumId w:val="4"/>
  </w:num>
  <w:num w:numId="29">
    <w:abstractNumId w:val="37"/>
  </w:num>
  <w:num w:numId="30">
    <w:abstractNumId w:val="61"/>
  </w:num>
  <w:num w:numId="31">
    <w:abstractNumId w:val="51"/>
  </w:num>
  <w:num w:numId="32">
    <w:abstractNumId w:val="6"/>
  </w:num>
  <w:num w:numId="33">
    <w:abstractNumId w:val="26"/>
  </w:num>
  <w:num w:numId="34">
    <w:abstractNumId w:val="49"/>
  </w:num>
  <w:num w:numId="35">
    <w:abstractNumId w:val="0"/>
  </w:num>
  <w:num w:numId="36">
    <w:abstractNumId w:val="1"/>
  </w:num>
  <w:num w:numId="37">
    <w:abstractNumId w:val="32"/>
  </w:num>
  <w:num w:numId="38">
    <w:abstractNumId w:val="55"/>
  </w:num>
  <w:num w:numId="39">
    <w:abstractNumId w:val="24"/>
  </w:num>
  <w:num w:numId="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1"/>
  </w:num>
  <w:num w:numId="45">
    <w:abstractNumId w:val="15"/>
  </w:num>
  <w:num w:numId="46">
    <w:abstractNumId w:val="63"/>
  </w:num>
  <w:num w:numId="47">
    <w:abstractNumId w:val="13"/>
  </w:num>
  <w:num w:numId="48">
    <w:abstractNumId w:val="54"/>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num>
  <w:num w:numId="53">
    <w:abstractNumId w:val="25"/>
  </w:num>
  <w:num w:numId="54">
    <w:abstractNumId w:val="59"/>
  </w:num>
  <w:num w:numId="55">
    <w:abstractNumId w:val="29"/>
  </w:num>
  <w:num w:numId="56">
    <w:abstractNumId w:val="50"/>
  </w:num>
  <w:num w:numId="57">
    <w:abstractNumId w:val="52"/>
  </w:num>
  <w:num w:numId="58">
    <w:abstractNumId w:val="47"/>
  </w:num>
  <w:num w:numId="59">
    <w:abstractNumId w:val="19"/>
  </w:num>
  <w:num w:numId="60">
    <w:abstractNumId w:val="45"/>
  </w:num>
  <w:num w:numId="61">
    <w:abstractNumId w:val="2"/>
  </w:num>
  <w:num w:numId="62">
    <w:abstractNumId w:val="2"/>
  </w:num>
  <w:num w:numId="63">
    <w:abstractNumId w:val="2"/>
  </w:num>
  <w:num w:numId="64">
    <w:abstractNumId w:val="2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num>
  <w:num w:numId="66">
    <w:abstractNumId w:val="2"/>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42"/>
  </w:num>
  <w:num w:numId="70">
    <w:abstractNumId w:val="5"/>
  </w:num>
  <w:num w:numId="71">
    <w:abstractNumId w:val="28"/>
  </w:num>
  <w:num w:numId="72">
    <w:abstractNumId w:val="28"/>
  </w:num>
  <w:num w:numId="73">
    <w:abstractNumId w:val="2"/>
  </w:num>
  <w:num w:numId="74">
    <w:abstractNumId w:val="2"/>
  </w:num>
  <w:num w:numId="75">
    <w:abstractNumId w:val="58"/>
  </w:num>
  <w:num w:numId="76">
    <w:abstractNumId w:val="44"/>
  </w:num>
  <w:num w:numId="77">
    <w:abstractNumId w:val="16"/>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num>
  <w:num w:numId="80">
    <w:abstractNumId w:val="3"/>
    <w:lvlOverride w:ilvl="0">
      <w:startOverride w:val="1"/>
    </w:lvlOverride>
  </w:num>
  <w:num w:numId="81">
    <w:abstractNumId w:val="43"/>
  </w:num>
  <w:num w:numId="82">
    <w:abstractNumId w:val="35"/>
  </w:num>
  <w:num w:numId="83">
    <w:abstractNumId w:val="30"/>
  </w:num>
  <w:num w:numId="84">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CA"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en-AU"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0F"/>
    <w:rsid w:val="000007F7"/>
    <w:rsid w:val="000008BC"/>
    <w:rsid w:val="000009F9"/>
    <w:rsid w:val="000011FA"/>
    <w:rsid w:val="000011FD"/>
    <w:rsid w:val="0000123D"/>
    <w:rsid w:val="0000129B"/>
    <w:rsid w:val="000014D4"/>
    <w:rsid w:val="0000151B"/>
    <w:rsid w:val="00001931"/>
    <w:rsid w:val="0000195D"/>
    <w:rsid w:val="00002A15"/>
    <w:rsid w:val="00002C7F"/>
    <w:rsid w:val="00002F6A"/>
    <w:rsid w:val="000030BC"/>
    <w:rsid w:val="000033AC"/>
    <w:rsid w:val="00003678"/>
    <w:rsid w:val="00003724"/>
    <w:rsid w:val="0000383F"/>
    <w:rsid w:val="00003FEE"/>
    <w:rsid w:val="0000437C"/>
    <w:rsid w:val="000044C9"/>
    <w:rsid w:val="00004606"/>
    <w:rsid w:val="00004B50"/>
    <w:rsid w:val="00004B7C"/>
    <w:rsid w:val="00004C32"/>
    <w:rsid w:val="00004F8F"/>
    <w:rsid w:val="000051A2"/>
    <w:rsid w:val="00005228"/>
    <w:rsid w:val="00005437"/>
    <w:rsid w:val="0000546E"/>
    <w:rsid w:val="0000550E"/>
    <w:rsid w:val="000056D4"/>
    <w:rsid w:val="00005BA4"/>
    <w:rsid w:val="00005C07"/>
    <w:rsid w:val="00005D16"/>
    <w:rsid w:val="00005D91"/>
    <w:rsid w:val="00005DBA"/>
    <w:rsid w:val="0000626B"/>
    <w:rsid w:val="00006333"/>
    <w:rsid w:val="0000673D"/>
    <w:rsid w:val="000069EE"/>
    <w:rsid w:val="00006DE8"/>
    <w:rsid w:val="0000706B"/>
    <w:rsid w:val="00007225"/>
    <w:rsid w:val="00007408"/>
    <w:rsid w:val="00007713"/>
    <w:rsid w:val="00007981"/>
    <w:rsid w:val="00007E19"/>
    <w:rsid w:val="00010199"/>
    <w:rsid w:val="0001022E"/>
    <w:rsid w:val="000104A6"/>
    <w:rsid w:val="00010616"/>
    <w:rsid w:val="00010653"/>
    <w:rsid w:val="0001069F"/>
    <w:rsid w:val="00010704"/>
    <w:rsid w:val="000109B8"/>
    <w:rsid w:val="000109D6"/>
    <w:rsid w:val="00010A36"/>
    <w:rsid w:val="00010A99"/>
    <w:rsid w:val="00010BAE"/>
    <w:rsid w:val="00010F78"/>
    <w:rsid w:val="000110E8"/>
    <w:rsid w:val="000111B0"/>
    <w:rsid w:val="00011206"/>
    <w:rsid w:val="000115F8"/>
    <w:rsid w:val="00011A9D"/>
    <w:rsid w:val="00011AF4"/>
    <w:rsid w:val="00011E1C"/>
    <w:rsid w:val="0001216E"/>
    <w:rsid w:val="0001217C"/>
    <w:rsid w:val="0001228C"/>
    <w:rsid w:val="0001233A"/>
    <w:rsid w:val="000123CF"/>
    <w:rsid w:val="0001286B"/>
    <w:rsid w:val="000129F0"/>
    <w:rsid w:val="00012A7D"/>
    <w:rsid w:val="00012D70"/>
    <w:rsid w:val="00012ED9"/>
    <w:rsid w:val="00012F1D"/>
    <w:rsid w:val="0001345E"/>
    <w:rsid w:val="00013483"/>
    <w:rsid w:val="00013A59"/>
    <w:rsid w:val="00013FD1"/>
    <w:rsid w:val="00014AA7"/>
    <w:rsid w:val="00014C6B"/>
    <w:rsid w:val="00014F0C"/>
    <w:rsid w:val="00015197"/>
    <w:rsid w:val="0001575A"/>
    <w:rsid w:val="00015A4F"/>
    <w:rsid w:val="00015AC3"/>
    <w:rsid w:val="00015AD1"/>
    <w:rsid w:val="00015B49"/>
    <w:rsid w:val="00015FA4"/>
    <w:rsid w:val="000162B7"/>
    <w:rsid w:val="0001641E"/>
    <w:rsid w:val="00016940"/>
    <w:rsid w:val="00016BC0"/>
    <w:rsid w:val="000170A1"/>
    <w:rsid w:val="00017306"/>
    <w:rsid w:val="00017605"/>
    <w:rsid w:val="000178FA"/>
    <w:rsid w:val="00017934"/>
    <w:rsid w:val="00017D62"/>
    <w:rsid w:val="00017DF5"/>
    <w:rsid w:val="00017FE0"/>
    <w:rsid w:val="00020083"/>
    <w:rsid w:val="000200CA"/>
    <w:rsid w:val="000200E3"/>
    <w:rsid w:val="0002030F"/>
    <w:rsid w:val="0002058E"/>
    <w:rsid w:val="000206BE"/>
    <w:rsid w:val="00020799"/>
    <w:rsid w:val="00020C25"/>
    <w:rsid w:val="00020DFB"/>
    <w:rsid w:val="00020F9A"/>
    <w:rsid w:val="0002168F"/>
    <w:rsid w:val="00021A1E"/>
    <w:rsid w:val="00021BE8"/>
    <w:rsid w:val="00021E60"/>
    <w:rsid w:val="00022027"/>
    <w:rsid w:val="0002256D"/>
    <w:rsid w:val="000228A7"/>
    <w:rsid w:val="00022AD3"/>
    <w:rsid w:val="00022B1F"/>
    <w:rsid w:val="00022C06"/>
    <w:rsid w:val="00022E71"/>
    <w:rsid w:val="000236A0"/>
    <w:rsid w:val="00023C90"/>
    <w:rsid w:val="00023E71"/>
    <w:rsid w:val="00023E95"/>
    <w:rsid w:val="0002418D"/>
    <w:rsid w:val="000241F5"/>
    <w:rsid w:val="00024B22"/>
    <w:rsid w:val="00024BFB"/>
    <w:rsid w:val="00024E15"/>
    <w:rsid w:val="000250E6"/>
    <w:rsid w:val="00025231"/>
    <w:rsid w:val="000254E1"/>
    <w:rsid w:val="00025553"/>
    <w:rsid w:val="00025834"/>
    <w:rsid w:val="00025853"/>
    <w:rsid w:val="000258B3"/>
    <w:rsid w:val="00025D5A"/>
    <w:rsid w:val="000263F4"/>
    <w:rsid w:val="0002645C"/>
    <w:rsid w:val="0002693A"/>
    <w:rsid w:val="00026A43"/>
    <w:rsid w:val="00026EFE"/>
    <w:rsid w:val="00026F5A"/>
    <w:rsid w:val="0002703A"/>
    <w:rsid w:val="00027399"/>
    <w:rsid w:val="0002752C"/>
    <w:rsid w:val="000275EF"/>
    <w:rsid w:val="00027CDB"/>
    <w:rsid w:val="000303EE"/>
    <w:rsid w:val="00030E3E"/>
    <w:rsid w:val="00031068"/>
    <w:rsid w:val="000310F0"/>
    <w:rsid w:val="0003110B"/>
    <w:rsid w:val="00031286"/>
    <w:rsid w:val="00031364"/>
    <w:rsid w:val="00031A27"/>
    <w:rsid w:val="00031B97"/>
    <w:rsid w:val="000320F3"/>
    <w:rsid w:val="00032BFD"/>
    <w:rsid w:val="00033068"/>
    <w:rsid w:val="0003306D"/>
    <w:rsid w:val="00033A66"/>
    <w:rsid w:val="00033AA7"/>
    <w:rsid w:val="00033E0B"/>
    <w:rsid w:val="00033E44"/>
    <w:rsid w:val="000341DA"/>
    <w:rsid w:val="00034328"/>
    <w:rsid w:val="00034431"/>
    <w:rsid w:val="000344AF"/>
    <w:rsid w:val="000346DA"/>
    <w:rsid w:val="00034851"/>
    <w:rsid w:val="00034CA9"/>
    <w:rsid w:val="00034D15"/>
    <w:rsid w:val="00034D54"/>
    <w:rsid w:val="00034D71"/>
    <w:rsid w:val="00034F4E"/>
    <w:rsid w:val="00034FDF"/>
    <w:rsid w:val="0003519D"/>
    <w:rsid w:val="00035677"/>
    <w:rsid w:val="00035ED1"/>
    <w:rsid w:val="0003608D"/>
    <w:rsid w:val="000361A4"/>
    <w:rsid w:val="000361C4"/>
    <w:rsid w:val="000364F7"/>
    <w:rsid w:val="00036503"/>
    <w:rsid w:val="000368C4"/>
    <w:rsid w:val="00036D7A"/>
    <w:rsid w:val="00037143"/>
    <w:rsid w:val="00037402"/>
    <w:rsid w:val="00037ABE"/>
    <w:rsid w:val="00037FBC"/>
    <w:rsid w:val="000400C2"/>
    <w:rsid w:val="0004022E"/>
    <w:rsid w:val="000407BE"/>
    <w:rsid w:val="00040924"/>
    <w:rsid w:val="00041199"/>
    <w:rsid w:val="0004132D"/>
    <w:rsid w:val="00041787"/>
    <w:rsid w:val="00041930"/>
    <w:rsid w:val="00041DB8"/>
    <w:rsid w:val="00041EFB"/>
    <w:rsid w:val="000424FF"/>
    <w:rsid w:val="00042503"/>
    <w:rsid w:val="0004287C"/>
    <w:rsid w:val="000429C9"/>
    <w:rsid w:val="000429F1"/>
    <w:rsid w:val="00042A57"/>
    <w:rsid w:val="00042A59"/>
    <w:rsid w:val="00042B44"/>
    <w:rsid w:val="00042C18"/>
    <w:rsid w:val="00042DC2"/>
    <w:rsid w:val="00042EE2"/>
    <w:rsid w:val="00043357"/>
    <w:rsid w:val="00043520"/>
    <w:rsid w:val="000435F7"/>
    <w:rsid w:val="000437DF"/>
    <w:rsid w:val="00043A96"/>
    <w:rsid w:val="00043B97"/>
    <w:rsid w:val="00043C9B"/>
    <w:rsid w:val="00043DC0"/>
    <w:rsid w:val="00043F0A"/>
    <w:rsid w:val="00043F59"/>
    <w:rsid w:val="000447BE"/>
    <w:rsid w:val="000447D2"/>
    <w:rsid w:val="000449D3"/>
    <w:rsid w:val="000449EE"/>
    <w:rsid w:val="00044A38"/>
    <w:rsid w:val="00044DCF"/>
    <w:rsid w:val="00044EC4"/>
    <w:rsid w:val="000451AA"/>
    <w:rsid w:val="000451DB"/>
    <w:rsid w:val="000452C1"/>
    <w:rsid w:val="00045D6F"/>
    <w:rsid w:val="00045E3C"/>
    <w:rsid w:val="00045ECB"/>
    <w:rsid w:val="00045FC8"/>
    <w:rsid w:val="0004663D"/>
    <w:rsid w:val="00046B85"/>
    <w:rsid w:val="000471B0"/>
    <w:rsid w:val="0004725D"/>
    <w:rsid w:val="00047352"/>
    <w:rsid w:val="00047A27"/>
    <w:rsid w:val="00047DA0"/>
    <w:rsid w:val="0005010D"/>
    <w:rsid w:val="00050171"/>
    <w:rsid w:val="000509DF"/>
    <w:rsid w:val="00050A4C"/>
    <w:rsid w:val="0005102C"/>
    <w:rsid w:val="00051176"/>
    <w:rsid w:val="000511FF"/>
    <w:rsid w:val="000512E3"/>
    <w:rsid w:val="00051C49"/>
    <w:rsid w:val="00051E0D"/>
    <w:rsid w:val="00051F21"/>
    <w:rsid w:val="00052708"/>
    <w:rsid w:val="00052829"/>
    <w:rsid w:val="00052B44"/>
    <w:rsid w:val="00052D8B"/>
    <w:rsid w:val="00052DD0"/>
    <w:rsid w:val="00052FA9"/>
    <w:rsid w:val="00053100"/>
    <w:rsid w:val="00053237"/>
    <w:rsid w:val="000532C1"/>
    <w:rsid w:val="0005344A"/>
    <w:rsid w:val="00053505"/>
    <w:rsid w:val="00053597"/>
    <w:rsid w:val="000537DF"/>
    <w:rsid w:val="00053CE4"/>
    <w:rsid w:val="00054053"/>
    <w:rsid w:val="00054078"/>
    <w:rsid w:val="00054340"/>
    <w:rsid w:val="000543A4"/>
    <w:rsid w:val="0005472B"/>
    <w:rsid w:val="00054736"/>
    <w:rsid w:val="00054780"/>
    <w:rsid w:val="00054831"/>
    <w:rsid w:val="00054986"/>
    <w:rsid w:val="00054BAE"/>
    <w:rsid w:val="00054C8D"/>
    <w:rsid w:val="0005502C"/>
    <w:rsid w:val="000551A0"/>
    <w:rsid w:val="000554A5"/>
    <w:rsid w:val="000556CF"/>
    <w:rsid w:val="0005573A"/>
    <w:rsid w:val="00055E19"/>
    <w:rsid w:val="0005623E"/>
    <w:rsid w:val="00056555"/>
    <w:rsid w:val="00056AAA"/>
    <w:rsid w:val="00056C94"/>
    <w:rsid w:val="00057556"/>
    <w:rsid w:val="000575E5"/>
    <w:rsid w:val="00057B0A"/>
    <w:rsid w:val="00057BA3"/>
    <w:rsid w:val="00057D3E"/>
    <w:rsid w:val="0006060D"/>
    <w:rsid w:val="00060765"/>
    <w:rsid w:val="000607CE"/>
    <w:rsid w:val="00060907"/>
    <w:rsid w:val="00060D1D"/>
    <w:rsid w:val="00060E1F"/>
    <w:rsid w:val="00060F70"/>
    <w:rsid w:val="00060FA6"/>
    <w:rsid w:val="00061437"/>
    <w:rsid w:val="0006181D"/>
    <w:rsid w:val="00061842"/>
    <w:rsid w:val="00061A43"/>
    <w:rsid w:val="00061ABB"/>
    <w:rsid w:val="00061C28"/>
    <w:rsid w:val="00061CD1"/>
    <w:rsid w:val="00061DF0"/>
    <w:rsid w:val="0006205C"/>
    <w:rsid w:val="000626BA"/>
    <w:rsid w:val="0006281E"/>
    <w:rsid w:val="00062AD5"/>
    <w:rsid w:val="00062CF6"/>
    <w:rsid w:val="000632AF"/>
    <w:rsid w:val="00063CF6"/>
    <w:rsid w:val="00063D66"/>
    <w:rsid w:val="00063F46"/>
    <w:rsid w:val="00063F92"/>
    <w:rsid w:val="00064251"/>
    <w:rsid w:val="0006491D"/>
    <w:rsid w:val="00064F9E"/>
    <w:rsid w:val="00065337"/>
    <w:rsid w:val="00065733"/>
    <w:rsid w:val="0006577F"/>
    <w:rsid w:val="0006578E"/>
    <w:rsid w:val="0006581E"/>
    <w:rsid w:val="00065929"/>
    <w:rsid w:val="000659F1"/>
    <w:rsid w:val="00065DAC"/>
    <w:rsid w:val="00065E7C"/>
    <w:rsid w:val="0006651C"/>
    <w:rsid w:val="00066D34"/>
    <w:rsid w:val="000670F8"/>
    <w:rsid w:val="0006725F"/>
    <w:rsid w:val="00067276"/>
    <w:rsid w:val="000675DA"/>
    <w:rsid w:val="00067895"/>
    <w:rsid w:val="00067A90"/>
    <w:rsid w:val="0007020B"/>
    <w:rsid w:val="000709D8"/>
    <w:rsid w:val="00070AD6"/>
    <w:rsid w:val="00070FAA"/>
    <w:rsid w:val="00071752"/>
    <w:rsid w:val="00071D1D"/>
    <w:rsid w:val="0007248C"/>
    <w:rsid w:val="00072807"/>
    <w:rsid w:val="000728B4"/>
    <w:rsid w:val="00072A6B"/>
    <w:rsid w:val="00072B77"/>
    <w:rsid w:val="0007323F"/>
    <w:rsid w:val="00073547"/>
    <w:rsid w:val="00073E4B"/>
    <w:rsid w:val="000741E4"/>
    <w:rsid w:val="00074516"/>
    <w:rsid w:val="00074532"/>
    <w:rsid w:val="000745F7"/>
    <w:rsid w:val="00075161"/>
    <w:rsid w:val="0007540E"/>
    <w:rsid w:val="00075780"/>
    <w:rsid w:val="00075CF0"/>
    <w:rsid w:val="00075F82"/>
    <w:rsid w:val="00075F8B"/>
    <w:rsid w:val="000763AA"/>
    <w:rsid w:val="00076558"/>
    <w:rsid w:val="000766A1"/>
    <w:rsid w:val="00076752"/>
    <w:rsid w:val="00076810"/>
    <w:rsid w:val="00076B11"/>
    <w:rsid w:val="00076FAC"/>
    <w:rsid w:val="00077007"/>
    <w:rsid w:val="0007704A"/>
    <w:rsid w:val="00077074"/>
    <w:rsid w:val="00077370"/>
    <w:rsid w:val="00077455"/>
    <w:rsid w:val="00077575"/>
    <w:rsid w:val="000776D5"/>
    <w:rsid w:val="000776DB"/>
    <w:rsid w:val="000778CA"/>
    <w:rsid w:val="00077B44"/>
    <w:rsid w:val="00077CAB"/>
    <w:rsid w:val="00077DB8"/>
    <w:rsid w:val="00080132"/>
    <w:rsid w:val="00080334"/>
    <w:rsid w:val="0008044D"/>
    <w:rsid w:val="0008076A"/>
    <w:rsid w:val="000808B1"/>
    <w:rsid w:val="00080B78"/>
    <w:rsid w:val="00080C17"/>
    <w:rsid w:val="00080C5F"/>
    <w:rsid w:val="00080CFE"/>
    <w:rsid w:val="00080FDC"/>
    <w:rsid w:val="0008143C"/>
    <w:rsid w:val="00081BCE"/>
    <w:rsid w:val="0008220A"/>
    <w:rsid w:val="00082F41"/>
    <w:rsid w:val="000831C3"/>
    <w:rsid w:val="000836E7"/>
    <w:rsid w:val="000838FC"/>
    <w:rsid w:val="000839A6"/>
    <w:rsid w:val="00083BDB"/>
    <w:rsid w:val="00083D88"/>
    <w:rsid w:val="0008466E"/>
    <w:rsid w:val="00084A09"/>
    <w:rsid w:val="00084B85"/>
    <w:rsid w:val="00084C2F"/>
    <w:rsid w:val="00084CE6"/>
    <w:rsid w:val="00084D8C"/>
    <w:rsid w:val="00085201"/>
    <w:rsid w:val="00085470"/>
    <w:rsid w:val="000854ED"/>
    <w:rsid w:val="00085AA9"/>
    <w:rsid w:val="00085BBA"/>
    <w:rsid w:val="00085C63"/>
    <w:rsid w:val="000862F0"/>
    <w:rsid w:val="00086411"/>
    <w:rsid w:val="0008660C"/>
    <w:rsid w:val="000866BA"/>
    <w:rsid w:val="00086B29"/>
    <w:rsid w:val="00086BA9"/>
    <w:rsid w:val="00086C10"/>
    <w:rsid w:val="00086D52"/>
    <w:rsid w:val="0008706C"/>
    <w:rsid w:val="00087427"/>
    <w:rsid w:val="00087D8E"/>
    <w:rsid w:val="0009019B"/>
    <w:rsid w:val="00090280"/>
    <w:rsid w:val="000907A9"/>
    <w:rsid w:val="00090999"/>
    <w:rsid w:val="0009104A"/>
    <w:rsid w:val="00091219"/>
    <w:rsid w:val="000915C3"/>
    <w:rsid w:val="00091AF2"/>
    <w:rsid w:val="00091BAE"/>
    <w:rsid w:val="00091E0B"/>
    <w:rsid w:val="00091F78"/>
    <w:rsid w:val="0009228D"/>
    <w:rsid w:val="000922FB"/>
    <w:rsid w:val="000927CC"/>
    <w:rsid w:val="00092EA4"/>
    <w:rsid w:val="00092FE1"/>
    <w:rsid w:val="0009315C"/>
    <w:rsid w:val="0009329E"/>
    <w:rsid w:val="000935E1"/>
    <w:rsid w:val="00093BC9"/>
    <w:rsid w:val="00094206"/>
    <w:rsid w:val="000946EA"/>
    <w:rsid w:val="00094A0B"/>
    <w:rsid w:val="00094EF5"/>
    <w:rsid w:val="00094F78"/>
    <w:rsid w:val="00094F99"/>
    <w:rsid w:val="00095200"/>
    <w:rsid w:val="000956E4"/>
    <w:rsid w:val="00095BBF"/>
    <w:rsid w:val="00095ECD"/>
    <w:rsid w:val="00095FC4"/>
    <w:rsid w:val="000964D8"/>
    <w:rsid w:val="00096609"/>
    <w:rsid w:val="00096698"/>
    <w:rsid w:val="0009672A"/>
    <w:rsid w:val="00096837"/>
    <w:rsid w:val="00096A98"/>
    <w:rsid w:val="00096C6F"/>
    <w:rsid w:val="00097378"/>
    <w:rsid w:val="00097400"/>
    <w:rsid w:val="0009789A"/>
    <w:rsid w:val="00097D13"/>
    <w:rsid w:val="00097D4E"/>
    <w:rsid w:val="00097D81"/>
    <w:rsid w:val="00097DBC"/>
    <w:rsid w:val="00097EBE"/>
    <w:rsid w:val="000A0096"/>
    <w:rsid w:val="000A02FF"/>
    <w:rsid w:val="000A0316"/>
    <w:rsid w:val="000A0389"/>
    <w:rsid w:val="000A0406"/>
    <w:rsid w:val="000A0618"/>
    <w:rsid w:val="000A0A6A"/>
    <w:rsid w:val="000A11BE"/>
    <w:rsid w:val="000A1891"/>
    <w:rsid w:val="000A1EE8"/>
    <w:rsid w:val="000A2083"/>
    <w:rsid w:val="000A2810"/>
    <w:rsid w:val="000A2B28"/>
    <w:rsid w:val="000A2B63"/>
    <w:rsid w:val="000A3031"/>
    <w:rsid w:val="000A328D"/>
    <w:rsid w:val="000A3572"/>
    <w:rsid w:val="000A36A9"/>
    <w:rsid w:val="000A384C"/>
    <w:rsid w:val="000A3FDD"/>
    <w:rsid w:val="000A404C"/>
    <w:rsid w:val="000A40C4"/>
    <w:rsid w:val="000A41AB"/>
    <w:rsid w:val="000A4A7E"/>
    <w:rsid w:val="000A52C5"/>
    <w:rsid w:val="000A540A"/>
    <w:rsid w:val="000A590B"/>
    <w:rsid w:val="000A590E"/>
    <w:rsid w:val="000A596A"/>
    <w:rsid w:val="000A59D2"/>
    <w:rsid w:val="000A5A8B"/>
    <w:rsid w:val="000A5B21"/>
    <w:rsid w:val="000A6135"/>
    <w:rsid w:val="000A62B1"/>
    <w:rsid w:val="000A6337"/>
    <w:rsid w:val="000A679E"/>
    <w:rsid w:val="000A6B51"/>
    <w:rsid w:val="000A6BEF"/>
    <w:rsid w:val="000A6EAD"/>
    <w:rsid w:val="000A7180"/>
    <w:rsid w:val="000A7184"/>
    <w:rsid w:val="000A7A43"/>
    <w:rsid w:val="000A7D2B"/>
    <w:rsid w:val="000A7DBC"/>
    <w:rsid w:val="000B07A3"/>
    <w:rsid w:val="000B0C5F"/>
    <w:rsid w:val="000B0E50"/>
    <w:rsid w:val="000B10CE"/>
    <w:rsid w:val="000B11CB"/>
    <w:rsid w:val="000B1244"/>
    <w:rsid w:val="000B199B"/>
    <w:rsid w:val="000B1EEF"/>
    <w:rsid w:val="000B2168"/>
    <w:rsid w:val="000B247B"/>
    <w:rsid w:val="000B27DB"/>
    <w:rsid w:val="000B27E9"/>
    <w:rsid w:val="000B2E66"/>
    <w:rsid w:val="000B2F59"/>
    <w:rsid w:val="000B31C1"/>
    <w:rsid w:val="000B3A0F"/>
    <w:rsid w:val="000B4102"/>
    <w:rsid w:val="000B4371"/>
    <w:rsid w:val="000B47F5"/>
    <w:rsid w:val="000B48DD"/>
    <w:rsid w:val="000B4E25"/>
    <w:rsid w:val="000B4EDD"/>
    <w:rsid w:val="000B4F06"/>
    <w:rsid w:val="000B5151"/>
    <w:rsid w:val="000B51FC"/>
    <w:rsid w:val="000B577A"/>
    <w:rsid w:val="000B59A8"/>
    <w:rsid w:val="000B5D9C"/>
    <w:rsid w:val="000B61A8"/>
    <w:rsid w:val="000B63CE"/>
    <w:rsid w:val="000B655B"/>
    <w:rsid w:val="000B6812"/>
    <w:rsid w:val="000B6AEC"/>
    <w:rsid w:val="000B6E8F"/>
    <w:rsid w:val="000B70A1"/>
    <w:rsid w:val="000B73DB"/>
    <w:rsid w:val="000B7401"/>
    <w:rsid w:val="000B7C74"/>
    <w:rsid w:val="000B7DB0"/>
    <w:rsid w:val="000B7E23"/>
    <w:rsid w:val="000B7ED4"/>
    <w:rsid w:val="000B7F87"/>
    <w:rsid w:val="000C0153"/>
    <w:rsid w:val="000C057F"/>
    <w:rsid w:val="000C068C"/>
    <w:rsid w:val="000C0E17"/>
    <w:rsid w:val="000C13E2"/>
    <w:rsid w:val="000C156D"/>
    <w:rsid w:val="000C1A62"/>
    <w:rsid w:val="000C1ECC"/>
    <w:rsid w:val="000C2691"/>
    <w:rsid w:val="000C29B4"/>
    <w:rsid w:val="000C2CE5"/>
    <w:rsid w:val="000C2D71"/>
    <w:rsid w:val="000C302E"/>
    <w:rsid w:val="000C3116"/>
    <w:rsid w:val="000C31B3"/>
    <w:rsid w:val="000C34F4"/>
    <w:rsid w:val="000C3A88"/>
    <w:rsid w:val="000C3B85"/>
    <w:rsid w:val="000C3EF2"/>
    <w:rsid w:val="000C3F57"/>
    <w:rsid w:val="000C419E"/>
    <w:rsid w:val="000C4932"/>
    <w:rsid w:val="000C4B30"/>
    <w:rsid w:val="000C51D6"/>
    <w:rsid w:val="000C5226"/>
    <w:rsid w:val="000C5256"/>
    <w:rsid w:val="000C554C"/>
    <w:rsid w:val="000C5850"/>
    <w:rsid w:val="000C5C78"/>
    <w:rsid w:val="000C602E"/>
    <w:rsid w:val="000C62E5"/>
    <w:rsid w:val="000C63E0"/>
    <w:rsid w:val="000C66DD"/>
    <w:rsid w:val="000C68D4"/>
    <w:rsid w:val="000C7258"/>
    <w:rsid w:val="000C7312"/>
    <w:rsid w:val="000C73D3"/>
    <w:rsid w:val="000C7AA7"/>
    <w:rsid w:val="000C7EEC"/>
    <w:rsid w:val="000D0073"/>
    <w:rsid w:val="000D00B4"/>
    <w:rsid w:val="000D066A"/>
    <w:rsid w:val="000D0D12"/>
    <w:rsid w:val="000D1147"/>
    <w:rsid w:val="000D1305"/>
    <w:rsid w:val="000D1387"/>
    <w:rsid w:val="000D1523"/>
    <w:rsid w:val="000D185F"/>
    <w:rsid w:val="000D191F"/>
    <w:rsid w:val="000D19A7"/>
    <w:rsid w:val="000D1C97"/>
    <w:rsid w:val="000D1CA3"/>
    <w:rsid w:val="000D1D3A"/>
    <w:rsid w:val="000D28A1"/>
    <w:rsid w:val="000D2995"/>
    <w:rsid w:val="000D2BB3"/>
    <w:rsid w:val="000D3410"/>
    <w:rsid w:val="000D380F"/>
    <w:rsid w:val="000D414E"/>
    <w:rsid w:val="000D436A"/>
    <w:rsid w:val="000D4900"/>
    <w:rsid w:val="000D4A6C"/>
    <w:rsid w:val="000D4AC7"/>
    <w:rsid w:val="000D4D8B"/>
    <w:rsid w:val="000D4D93"/>
    <w:rsid w:val="000D51CC"/>
    <w:rsid w:val="000D51F1"/>
    <w:rsid w:val="000D5E03"/>
    <w:rsid w:val="000D65BC"/>
    <w:rsid w:val="000D6B1B"/>
    <w:rsid w:val="000D6B2E"/>
    <w:rsid w:val="000D6BB4"/>
    <w:rsid w:val="000D6E6B"/>
    <w:rsid w:val="000D6F19"/>
    <w:rsid w:val="000D6FB2"/>
    <w:rsid w:val="000D7B0D"/>
    <w:rsid w:val="000D7E04"/>
    <w:rsid w:val="000D7E98"/>
    <w:rsid w:val="000E0465"/>
    <w:rsid w:val="000E0663"/>
    <w:rsid w:val="000E091F"/>
    <w:rsid w:val="000E09EC"/>
    <w:rsid w:val="000E0F0B"/>
    <w:rsid w:val="000E1289"/>
    <w:rsid w:val="000E12EB"/>
    <w:rsid w:val="000E1386"/>
    <w:rsid w:val="000E1A2B"/>
    <w:rsid w:val="000E1AD4"/>
    <w:rsid w:val="000E1C26"/>
    <w:rsid w:val="000E1E41"/>
    <w:rsid w:val="000E2654"/>
    <w:rsid w:val="000E26E2"/>
    <w:rsid w:val="000E2E25"/>
    <w:rsid w:val="000E2FF8"/>
    <w:rsid w:val="000E30B0"/>
    <w:rsid w:val="000E31F2"/>
    <w:rsid w:val="000E3348"/>
    <w:rsid w:val="000E36E2"/>
    <w:rsid w:val="000E3ACA"/>
    <w:rsid w:val="000E3EF6"/>
    <w:rsid w:val="000E41CD"/>
    <w:rsid w:val="000E41EA"/>
    <w:rsid w:val="000E41FF"/>
    <w:rsid w:val="000E42B6"/>
    <w:rsid w:val="000E440F"/>
    <w:rsid w:val="000E47B8"/>
    <w:rsid w:val="000E4C8C"/>
    <w:rsid w:val="000E531D"/>
    <w:rsid w:val="000E5A04"/>
    <w:rsid w:val="000E5F47"/>
    <w:rsid w:val="000E5F6E"/>
    <w:rsid w:val="000E5F77"/>
    <w:rsid w:val="000E60EC"/>
    <w:rsid w:val="000E65C6"/>
    <w:rsid w:val="000E67AB"/>
    <w:rsid w:val="000E6B25"/>
    <w:rsid w:val="000E6E00"/>
    <w:rsid w:val="000E7A6B"/>
    <w:rsid w:val="000E7D25"/>
    <w:rsid w:val="000F0180"/>
    <w:rsid w:val="000F0426"/>
    <w:rsid w:val="000F05E8"/>
    <w:rsid w:val="000F09BD"/>
    <w:rsid w:val="000F0F9E"/>
    <w:rsid w:val="000F1071"/>
    <w:rsid w:val="000F13C1"/>
    <w:rsid w:val="000F151B"/>
    <w:rsid w:val="000F18F5"/>
    <w:rsid w:val="000F1914"/>
    <w:rsid w:val="000F2002"/>
    <w:rsid w:val="000F2AEA"/>
    <w:rsid w:val="000F2D61"/>
    <w:rsid w:val="000F2E18"/>
    <w:rsid w:val="000F2E47"/>
    <w:rsid w:val="000F32C4"/>
    <w:rsid w:val="000F3335"/>
    <w:rsid w:val="000F33E3"/>
    <w:rsid w:val="000F3446"/>
    <w:rsid w:val="000F3543"/>
    <w:rsid w:val="000F3835"/>
    <w:rsid w:val="000F3900"/>
    <w:rsid w:val="000F3AD3"/>
    <w:rsid w:val="000F3CB7"/>
    <w:rsid w:val="000F421C"/>
    <w:rsid w:val="000F4404"/>
    <w:rsid w:val="000F4A1E"/>
    <w:rsid w:val="000F4A3A"/>
    <w:rsid w:val="000F4A71"/>
    <w:rsid w:val="000F4D22"/>
    <w:rsid w:val="000F502A"/>
    <w:rsid w:val="000F5201"/>
    <w:rsid w:val="000F521C"/>
    <w:rsid w:val="000F53A7"/>
    <w:rsid w:val="000F575A"/>
    <w:rsid w:val="000F5A31"/>
    <w:rsid w:val="000F5C8C"/>
    <w:rsid w:val="000F5F16"/>
    <w:rsid w:val="000F6750"/>
    <w:rsid w:val="000F69BD"/>
    <w:rsid w:val="000F6BFE"/>
    <w:rsid w:val="000F7600"/>
    <w:rsid w:val="000F7B2D"/>
    <w:rsid w:val="000F7E27"/>
    <w:rsid w:val="000F7E42"/>
    <w:rsid w:val="000F7F72"/>
    <w:rsid w:val="000F7FD1"/>
    <w:rsid w:val="0010000F"/>
    <w:rsid w:val="00100162"/>
    <w:rsid w:val="001004E1"/>
    <w:rsid w:val="00100A0F"/>
    <w:rsid w:val="00100BAC"/>
    <w:rsid w:val="00100CEC"/>
    <w:rsid w:val="001010B0"/>
    <w:rsid w:val="00101219"/>
    <w:rsid w:val="001014D0"/>
    <w:rsid w:val="001014FD"/>
    <w:rsid w:val="0010174B"/>
    <w:rsid w:val="0010177C"/>
    <w:rsid w:val="00101E55"/>
    <w:rsid w:val="001029D5"/>
    <w:rsid w:val="00102B05"/>
    <w:rsid w:val="00102F4D"/>
    <w:rsid w:val="00102F96"/>
    <w:rsid w:val="00102FE2"/>
    <w:rsid w:val="00103042"/>
    <w:rsid w:val="001031D2"/>
    <w:rsid w:val="001031FA"/>
    <w:rsid w:val="001037B0"/>
    <w:rsid w:val="0010382C"/>
    <w:rsid w:val="001039EC"/>
    <w:rsid w:val="00103B96"/>
    <w:rsid w:val="00103C45"/>
    <w:rsid w:val="00103D5E"/>
    <w:rsid w:val="00103E75"/>
    <w:rsid w:val="001041D8"/>
    <w:rsid w:val="0010447E"/>
    <w:rsid w:val="00104585"/>
    <w:rsid w:val="0010475E"/>
    <w:rsid w:val="00104FA1"/>
    <w:rsid w:val="0010502B"/>
    <w:rsid w:val="00105134"/>
    <w:rsid w:val="00105219"/>
    <w:rsid w:val="0010540F"/>
    <w:rsid w:val="00105A77"/>
    <w:rsid w:val="00105ACA"/>
    <w:rsid w:val="00105ACD"/>
    <w:rsid w:val="00105C45"/>
    <w:rsid w:val="00105D89"/>
    <w:rsid w:val="00105DE2"/>
    <w:rsid w:val="00105EE3"/>
    <w:rsid w:val="00106002"/>
    <w:rsid w:val="001060AA"/>
    <w:rsid w:val="001062DC"/>
    <w:rsid w:val="0010697B"/>
    <w:rsid w:val="00106D34"/>
    <w:rsid w:val="001071BD"/>
    <w:rsid w:val="001072EA"/>
    <w:rsid w:val="0010737B"/>
    <w:rsid w:val="0010739B"/>
    <w:rsid w:val="00107964"/>
    <w:rsid w:val="001079E2"/>
    <w:rsid w:val="00107B7A"/>
    <w:rsid w:val="00107C1C"/>
    <w:rsid w:val="00107EC0"/>
    <w:rsid w:val="0011029C"/>
    <w:rsid w:val="00110329"/>
    <w:rsid w:val="00110418"/>
    <w:rsid w:val="0011047E"/>
    <w:rsid w:val="00110493"/>
    <w:rsid w:val="0011086B"/>
    <w:rsid w:val="00110FE9"/>
    <w:rsid w:val="001113AA"/>
    <w:rsid w:val="001113D8"/>
    <w:rsid w:val="00111B2C"/>
    <w:rsid w:val="00111DF8"/>
    <w:rsid w:val="0011228C"/>
    <w:rsid w:val="00112865"/>
    <w:rsid w:val="00113424"/>
    <w:rsid w:val="00113B1C"/>
    <w:rsid w:val="00113C11"/>
    <w:rsid w:val="00113EA6"/>
    <w:rsid w:val="00114125"/>
    <w:rsid w:val="00114134"/>
    <w:rsid w:val="00114706"/>
    <w:rsid w:val="0011487B"/>
    <w:rsid w:val="001149AC"/>
    <w:rsid w:val="00114E05"/>
    <w:rsid w:val="00114E0E"/>
    <w:rsid w:val="00114F86"/>
    <w:rsid w:val="001154CE"/>
    <w:rsid w:val="00115BC1"/>
    <w:rsid w:val="00115BC3"/>
    <w:rsid w:val="0011600F"/>
    <w:rsid w:val="00116016"/>
    <w:rsid w:val="0011602B"/>
    <w:rsid w:val="00116310"/>
    <w:rsid w:val="00116383"/>
    <w:rsid w:val="001163E6"/>
    <w:rsid w:val="00116694"/>
    <w:rsid w:val="0011684D"/>
    <w:rsid w:val="0011691C"/>
    <w:rsid w:val="00116B91"/>
    <w:rsid w:val="00116DF9"/>
    <w:rsid w:val="00117572"/>
    <w:rsid w:val="00117918"/>
    <w:rsid w:val="00117A31"/>
    <w:rsid w:val="00117D9F"/>
    <w:rsid w:val="00120461"/>
    <w:rsid w:val="001205D9"/>
    <w:rsid w:val="0012060F"/>
    <w:rsid w:val="001207BD"/>
    <w:rsid w:val="00120921"/>
    <w:rsid w:val="00120BC5"/>
    <w:rsid w:val="00121D45"/>
    <w:rsid w:val="00121ECD"/>
    <w:rsid w:val="001221A8"/>
    <w:rsid w:val="00122655"/>
    <w:rsid w:val="001229AB"/>
    <w:rsid w:val="00122C10"/>
    <w:rsid w:val="00122F87"/>
    <w:rsid w:val="00123058"/>
    <w:rsid w:val="00123282"/>
    <w:rsid w:val="00123536"/>
    <w:rsid w:val="00123A77"/>
    <w:rsid w:val="00123E17"/>
    <w:rsid w:val="00123F85"/>
    <w:rsid w:val="0012445B"/>
    <w:rsid w:val="001245C0"/>
    <w:rsid w:val="00124897"/>
    <w:rsid w:val="001249EB"/>
    <w:rsid w:val="00124E7E"/>
    <w:rsid w:val="001255E2"/>
    <w:rsid w:val="00125D3D"/>
    <w:rsid w:val="00126074"/>
    <w:rsid w:val="001260C5"/>
    <w:rsid w:val="0012615B"/>
    <w:rsid w:val="00126818"/>
    <w:rsid w:val="00126A80"/>
    <w:rsid w:val="00126EC5"/>
    <w:rsid w:val="00126ED8"/>
    <w:rsid w:val="0012714D"/>
    <w:rsid w:val="001272C0"/>
    <w:rsid w:val="001272DB"/>
    <w:rsid w:val="00127763"/>
    <w:rsid w:val="001279A2"/>
    <w:rsid w:val="00127ABB"/>
    <w:rsid w:val="00130088"/>
    <w:rsid w:val="0013018C"/>
    <w:rsid w:val="00130229"/>
    <w:rsid w:val="001305DC"/>
    <w:rsid w:val="00130C98"/>
    <w:rsid w:val="00130F19"/>
    <w:rsid w:val="00131089"/>
    <w:rsid w:val="0013114A"/>
    <w:rsid w:val="00131341"/>
    <w:rsid w:val="001315FC"/>
    <w:rsid w:val="00131A68"/>
    <w:rsid w:val="00131DF0"/>
    <w:rsid w:val="00131E23"/>
    <w:rsid w:val="00132146"/>
    <w:rsid w:val="001328A7"/>
    <w:rsid w:val="00132E17"/>
    <w:rsid w:val="00132F96"/>
    <w:rsid w:val="00133851"/>
    <w:rsid w:val="00133AE3"/>
    <w:rsid w:val="00133DC4"/>
    <w:rsid w:val="001340CB"/>
    <w:rsid w:val="001341A3"/>
    <w:rsid w:val="00134BAC"/>
    <w:rsid w:val="00134F35"/>
    <w:rsid w:val="0013503A"/>
    <w:rsid w:val="001351BF"/>
    <w:rsid w:val="00135551"/>
    <w:rsid w:val="00135AB0"/>
    <w:rsid w:val="00135C33"/>
    <w:rsid w:val="00135F87"/>
    <w:rsid w:val="00136179"/>
    <w:rsid w:val="00136727"/>
    <w:rsid w:val="00136734"/>
    <w:rsid w:val="00136885"/>
    <w:rsid w:val="00136C0B"/>
    <w:rsid w:val="00137198"/>
    <w:rsid w:val="00137322"/>
    <w:rsid w:val="001377C3"/>
    <w:rsid w:val="001379D3"/>
    <w:rsid w:val="00137B1E"/>
    <w:rsid w:val="00137EBD"/>
    <w:rsid w:val="00140428"/>
    <w:rsid w:val="0014076A"/>
    <w:rsid w:val="001408A9"/>
    <w:rsid w:val="00140CB6"/>
    <w:rsid w:val="00140F4C"/>
    <w:rsid w:val="001410DB"/>
    <w:rsid w:val="0014129F"/>
    <w:rsid w:val="00141344"/>
    <w:rsid w:val="00141553"/>
    <w:rsid w:val="001416F9"/>
    <w:rsid w:val="00141E21"/>
    <w:rsid w:val="001420D1"/>
    <w:rsid w:val="001421A5"/>
    <w:rsid w:val="0014258E"/>
    <w:rsid w:val="00142796"/>
    <w:rsid w:val="00142BD7"/>
    <w:rsid w:val="00142CD2"/>
    <w:rsid w:val="00142D11"/>
    <w:rsid w:val="00142DDB"/>
    <w:rsid w:val="00142E7D"/>
    <w:rsid w:val="00143135"/>
    <w:rsid w:val="00143287"/>
    <w:rsid w:val="001434D3"/>
    <w:rsid w:val="00143D6E"/>
    <w:rsid w:val="00144088"/>
    <w:rsid w:val="0014409E"/>
    <w:rsid w:val="001440B7"/>
    <w:rsid w:val="0014450B"/>
    <w:rsid w:val="001449CF"/>
    <w:rsid w:val="00144D8D"/>
    <w:rsid w:val="00144DBC"/>
    <w:rsid w:val="0014511E"/>
    <w:rsid w:val="001454CA"/>
    <w:rsid w:val="00145B5D"/>
    <w:rsid w:val="00145BD5"/>
    <w:rsid w:val="00145DA2"/>
    <w:rsid w:val="001469A6"/>
    <w:rsid w:val="001469E1"/>
    <w:rsid w:val="0014711B"/>
    <w:rsid w:val="001474B0"/>
    <w:rsid w:val="0014784C"/>
    <w:rsid w:val="00147961"/>
    <w:rsid w:val="0014DB45"/>
    <w:rsid w:val="001502E3"/>
    <w:rsid w:val="001503F0"/>
    <w:rsid w:val="00150730"/>
    <w:rsid w:val="00150E8B"/>
    <w:rsid w:val="00150E91"/>
    <w:rsid w:val="00150F24"/>
    <w:rsid w:val="00150F9F"/>
    <w:rsid w:val="0015109E"/>
    <w:rsid w:val="00151719"/>
    <w:rsid w:val="00151881"/>
    <w:rsid w:val="0015192B"/>
    <w:rsid w:val="00151B7A"/>
    <w:rsid w:val="00151BD5"/>
    <w:rsid w:val="00151BE2"/>
    <w:rsid w:val="00151F31"/>
    <w:rsid w:val="00152162"/>
    <w:rsid w:val="0015221B"/>
    <w:rsid w:val="001522EB"/>
    <w:rsid w:val="0015254C"/>
    <w:rsid w:val="001525EB"/>
    <w:rsid w:val="001526F6"/>
    <w:rsid w:val="001527B3"/>
    <w:rsid w:val="00152965"/>
    <w:rsid w:val="00152BDB"/>
    <w:rsid w:val="00152C35"/>
    <w:rsid w:val="001530AF"/>
    <w:rsid w:val="0015313F"/>
    <w:rsid w:val="0015344B"/>
    <w:rsid w:val="00153633"/>
    <w:rsid w:val="0015395E"/>
    <w:rsid w:val="00153A57"/>
    <w:rsid w:val="00153B5A"/>
    <w:rsid w:val="00154819"/>
    <w:rsid w:val="00154EEE"/>
    <w:rsid w:val="00155402"/>
    <w:rsid w:val="0015548E"/>
    <w:rsid w:val="001557B1"/>
    <w:rsid w:val="00155835"/>
    <w:rsid w:val="00155D4F"/>
    <w:rsid w:val="00156277"/>
    <w:rsid w:val="001564C8"/>
    <w:rsid w:val="00157BB0"/>
    <w:rsid w:val="00157C09"/>
    <w:rsid w:val="0016047F"/>
    <w:rsid w:val="00160A35"/>
    <w:rsid w:val="00160DFA"/>
    <w:rsid w:val="001612D3"/>
    <w:rsid w:val="0016145C"/>
    <w:rsid w:val="001614F7"/>
    <w:rsid w:val="00161611"/>
    <w:rsid w:val="00161778"/>
    <w:rsid w:val="001617CF"/>
    <w:rsid w:val="001619DE"/>
    <w:rsid w:val="001623C7"/>
    <w:rsid w:val="001624EF"/>
    <w:rsid w:val="00162A0B"/>
    <w:rsid w:val="00162A4E"/>
    <w:rsid w:val="00162CE2"/>
    <w:rsid w:val="00162F9E"/>
    <w:rsid w:val="00163201"/>
    <w:rsid w:val="0016326C"/>
    <w:rsid w:val="00163273"/>
    <w:rsid w:val="00163550"/>
    <w:rsid w:val="0016357A"/>
    <w:rsid w:val="00163BA9"/>
    <w:rsid w:val="00163D24"/>
    <w:rsid w:val="0016440D"/>
    <w:rsid w:val="001646E9"/>
    <w:rsid w:val="001649E9"/>
    <w:rsid w:val="00164AFB"/>
    <w:rsid w:val="00164E3E"/>
    <w:rsid w:val="0016501D"/>
    <w:rsid w:val="001652A6"/>
    <w:rsid w:val="0016569B"/>
    <w:rsid w:val="0016594C"/>
    <w:rsid w:val="0016597E"/>
    <w:rsid w:val="001659FD"/>
    <w:rsid w:val="00165B40"/>
    <w:rsid w:val="001661B7"/>
    <w:rsid w:val="0016634F"/>
    <w:rsid w:val="001663A1"/>
    <w:rsid w:val="00166923"/>
    <w:rsid w:val="00166D2E"/>
    <w:rsid w:val="00166E46"/>
    <w:rsid w:val="00167C72"/>
    <w:rsid w:val="00170082"/>
    <w:rsid w:val="0017021F"/>
    <w:rsid w:val="00170380"/>
    <w:rsid w:val="001705C4"/>
    <w:rsid w:val="00170E69"/>
    <w:rsid w:val="00170FF8"/>
    <w:rsid w:val="001712B2"/>
    <w:rsid w:val="001712F4"/>
    <w:rsid w:val="00171E3D"/>
    <w:rsid w:val="00171FA9"/>
    <w:rsid w:val="0017202E"/>
    <w:rsid w:val="00172C9A"/>
    <w:rsid w:val="00172E6D"/>
    <w:rsid w:val="00172EF9"/>
    <w:rsid w:val="00173518"/>
    <w:rsid w:val="00173A3D"/>
    <w:rsid w:val="00173AA2"/>
    <w:rsid w:val="00174097"/>
    <w:rsid w:val="001740D6"/>
    <w:rsid w:val="0017462D"/>
    <w:rsid w:val="00174977"/>
    <w:rsid w:val="00174B76"/>
    <w:rsid w:val="00175002"/>
    <w:rsid w:val="001751E1"/>
    <w:rsid w:val="0017564D"/>
    <w:rsid w:val="00175B85"/>
    <w:rsid w:val="00175D09"/>
    <w:rsid w:val="00175D2C"/>
    <w:rsid w:val="00175D6D"/>
    <w:rsid w:val="00175FEF"/>
    <w:rsid w:val="00175FFB"/>
    <w:rsid w:val="001761F7"/>
    <w:rsid w:val="0017634C"/>
    <w:rsid w:val="00176358"/>
    <w:rsid w:val="0017639A"/>
    <w:rsid w:val="00176511"/>
    <w:rsid w:val="0017669F"/>
    <w:rsid w:val="001766B5"/>
    <w:rsid w:val="001767B3"/>
    <w:rsid w:val="00176887"/>
    <w:rsid w:val="0017689C"/>
    <w:rsid w:val="00176A7D"/>
    <w:rsid w:val="00177656"/>
    <w:rsid w:val="00177A73"/>
    <w:rsid w:val="00177B96"/>
    <w:rsid w:val="00177C68"/>
    <w:rsid w:val="00177D52"/>
    <w:rsid w:val="00177E54"/>
    <w:rsid w:val="00177E98"/>
    <w:rsid w:val="00177F37"/>
    <w:rsid w:val="00180365"/>
    <w:rsid w:val="00180E05"/>
    <w:rsid w:val="00180F8D"/>
    <w:rsid w:val="001814A7"/>
    <w:rsid w:val="00181985"/>
    <w:rsid w:val="00181FFE"/>
    <w:rsid w:val="00182165"/>
    <w:rsid w:val="00182295"/>
    <w:rsid w:val="001825D1"/>
    <w:rsid w:val="001825F8"/>
    <w:rsid w:val="00182945"/>
    <w:rsid w:val="001829E0"/>
    <w:rsid w:val="00182D7A"/>
    <w:rsid w:val="00182F97"/>
    <w:rsid w:val="00183861"/>
    <w:rsid w:val="00183961"/>
    <w:rsid w:val="00183AE4"/>
    <w:rsid w:val="00184335"/>
    <w:rsid w:val="0018434E"/>
    <w:rsid w:val="00184354"/>
    <w:rsid w:val="001843CE"/>
    <w:rsid w:val="0018493D"/>
    <w:rsid w:val="00184ADC"/>
    <w:rsid w:val="00184EED"/>
    <w:rsid w:val="00184F23"/>
    <w:rsid w:val="00184FBE"/>
    <w:rsid w:val="00185000"/>
    <w:rsid w:val="001851B2"/>
    <w:rsid w:val="001857A3"/>
    <w:rsid w:val="00185F04"/>
    <w:rsid w:val="00186172"/>
    <w:rsid w:val="001865BD"/>
    <w:rsid w:val="0018672D"/>
    <w:rsid w:val="0018699B"/>
    <w:rsid w:val="00186B44"/>
    <w:rsid w:val="00186FA2"/>
    <w:rsid w:val="00187007"/>
    <w:rsid w:val="0018749E"/>
    <w:rsid w:val="00187853"/>
    <w:rsid w:val="00187BA0"/>
    <w:rsid w:val="00187BC0"/>
    <w:rsid w:val="00187C3D"/>
    <w:rsid w:val="00190061"/>
    <w:rsid w:val="001900BD"/>
    <w:rsid w:val="00190CB2"/>
    <w:rsid w:val="00190CD0"/>
    <w:rsid w:val="0019150C"/>
    <w:rsid w:val="00191538"/>
    <w:rsid w:val="001915F8"/>
    <w:rsid w:val="001918D8"/>
    <w:rsid w:val="00191C39"/>
    <w:rsid w:val="0019223D"/>
    <w:rsid w:val="001922C3"/>
    <w:rsid w:val="0019231B"/>
    <w:rsid w:val="001923D9"/>
    <w:rsid w:val="0019260B"/>
    <w:rsid w:val="00192713"/>
    <w:rsid w:val="00192DDD"/>
    <w:rsid w:val="00192F07"/>
    <w:rsid w:val="001931E5"/>
    <w:rsid w:val="00193837"/>
    <w:rsid w:val="001938C5"/>
    <w:rsid w:val="00193E46"/>
    <w:rsid w:val="00193F21"/>
    <w:rsid w:val="001940AC"/>
    <w:rsid w:val="0019432E"/>
    <w:rsid w:val="0019457E"/>
    <w:rsid w:val="001945B2"/>
    <w:rsid w:val="0019485B"/>
    <w:rsid w:val="00194C14"/>
    <w:rsid w:val="00194E1B"/>
    <w:rsid w:val="00194FDE"/>
    <w:rsid w:val="001956AA"/>
    <w:rsid w:val="001956FB"/>
    <w:rsid w:val="00195E42"/>
    <w:rsid w:val="00196546"/>
    <w:rsid w:val="0019655C"/>
    <w:rsid w:val="001968C9"/>
    <w:rsid w:val="00196967"/>
    <w:rsid w:val="00196B26"/>
    <w:rsid w:val="00196B42"/>
    <w:rsid w:val="00196C27"/>
    <w:rsid w:val="00196C59"/>
    <w:rsid w:val="00196EAD"/>
    <w:rsid w:val="00196EE0"/>
    <w:rsid w:val="00196FA6"/>
    <w:rsid w:val="001971B2"/>
    <w:rsid w:val="00197338"/>
    <w:rsid w:val="0019771E"/>
    <w:rsid w:val="00197CEA"/>
    <w:rsid w:val="001A0022"/>
    <w:rsid w:val="001A015C"/>
    <w:rsid w:val="001A04E3"/>
    <w:rsid w:val="001A05BD"/>
    <w:rsid w:val="001A0C45"/>
    <w:rsid w:val="001A0E9C"/>
    <w:rsid w:val="001A1300"/>
    <w:rsid w:val="001A1381"/>
    <w:rsid w:val="001A145E"/>
    <w:rsid w:val="001A14FF"/>
    <w:rsid w:val="001A1652"/>
    <w:rsid w:val="001A18B4"/>
    <w:rsid w:val="001A1AFB"/>
    <w:rsid w:val="001A1D18"/>
    <w:rsid w:val="001A224E"/>
    <w:rsid w:val="001A2477"/>
    <w:rsid w:val="001A2EF7"/>
    <w:rsid w:val="001A37E3"/>
    <w:rsid w:val="001A38A5"/>
    <w:rsid w:val="001A39D8"/>
    <w:rsid w:val="001A3A04"/>
    <w:rsid w:val="001A3BDF"/>
    <w:rsid w:val="001A3C7C"/>
    <w:rsid w:val="001A3F36"/>
    <w:rsid w:val="001A46FA"/>
    <w:rsid w:val="001A48E6"/>
    <w:rsid w:val="001A4AE1"/>
    <w:rsid w:val="001A4B1D"/>
    <w:rsid w:val="001A4E9F"/>
    <w:rsid w:val="001A530E"/>
    <w:rsid w:val="001A56A0"/>
    <w:rsid w:val="001A58F2"/>
    <w:rsid w:val="001A5943"/>
    <w:rsid w:val="001A5A4D"/>
    <w:rsid w:val="001A5B42"/>
    <w:rsid w:val="001A5E8E"/>
    <w:rsid w:val="001A5F72"/>
    <w:rsid w:val="001A6506"/>
    <w:rsid w:val="001A67C3"/>
    <w:rsid w:val="001A6C1A"/>
    <w:rsid w:val="001A6FA7"/>
    <w:rsid w:val="001A7627"/>
    <w:rsid w:val="001A7A5D"/>
    <w:rsid w:val="001A7C33"/>
    <w:rsid w:val="001A7C6A"/>
    <w:rsid w:val="001A7C9C"/>
    <w:rsid w:val="001A7DDD"/>
    <w:rsid w:val="001B027C"/>
    <w:rsid w:val="001B0293"/>
    <w:rsid w:val="001B038F"/>
    <w:rsid w:val="001B040D"/>
    <w:rsid w:val="001B0431"/>
    <w:rsid w:val="001B0602"/>
    <w:rsid w:val="001B0710"/>
    <w:rsid w:val="001B0B32"/>
    <w:rsid w:val="001B0C6F"/>
    <w:rsid w:val="001B0D7B"/>
    <w:rsid w:val="001B0FAD"/>
    <w:rsid w:val="001B15EB"/>
    <w:rsid w:val="001B1ABD"/>
    <w:rsid w:val="001B1AEC"/>
    <w:rsid w:val="001B1BC9"/>
    <w:rsid w:val="001B1E83"/>
    <w:rsid w:val="001B2391"/>
    <w:rsid w:val="001B243F"/>
    <w:rsid w:val="001B244E"/>
    <w:rsid w:val="001B279C"/>
    <w:rsid w:val="001B29A0"/>
    <w:rsid w:val="001B2CEF"/>
    <w:rsid w:val="001B2E01"/>
    <w:rsid w:val="001B30C4"/>
    <w:rsid w:val="001B3192"/>
    <w:rsid w:val="001B3384"/>
    <w:rsid w:val="001B36AB"/>
    <w:rsid w:val="001B36C1"/>
    <w:rsid w:val="001B3816"/>
    <w:rsid w:val="001B3F6B"/>
    <w:rsid w:val="001B418D"/>
    <w:rsid w:val="001B4410"/>
    <w:rsid w:val="001B4AB2"/>
    <w:rsid w:val="001B4EC2"/>
    <w:rsid w:val="001B5312"/>
    <w:rsid w:val="001B53CD"/>
    <w:rsid w:val="001B59C2"/>
    <w:rsid w:val="001B5A7B"/>
    <w:rsid w:val="001B5BEA"/>
    <w:rsid w:val="001B65EE"/>
    <w:rsid w:val="001B680E"/>
    <w:rsid w:val="001B6833"/>
    <w:rsid w:val="001B691A"/>
    <w:rsid w:val="001B6A16"/>
    <w:rsid w:val="001B6C5B"/>
    <w:rsid w:val="001B73C7"/>
    <w:rsid w:val="001B7573"/>
    <w:rsid w:val="001B7780"/>
    <w:rsid w:val="001B77CF"/>
    <w:rsid w:val="001B7B6B"/>
    <w:rsid w:val="001B7CC3"/>
    <w:rsid w:val="001B7D6D"/>
    <w:rsid w:val="001B7FF0"/>
    <w:rsid w:val="001C01A0"/>
    <w:rsid w:val="001C0558"/>
    <w:rsid w:val="001C0956"/>
    <w:rsid w:val="001C0973"/>
    <w:rsid w:val="001C0C3A"/>
    <w:rsid w:val="001C0CBD"/>
    <w:rsid w:val="001C0DB7"/>
    <w:rsid w:val="001C12ED"/>
    <w:rsid w:val="001C14C2"/>
    <w:rsid w:val="001C172C"/>
    <w:rsid w:val="001C1C51"/>
    <w:rsid w:val="001C1E65"/>
    <w:rsid w:val="001C1F1C"/>
    <w:rsid w:val="001C1F2C"/>
    <w:rsid w:val="001C2B28"/>
    <w:rsid w:val="001C2B53"/>
    <w:rsid w:val="001C2F3B"/>
    <w:rsid w:val="001C325B"/>
    <w:rsid w:val="001C33AF"/>
    <w:rsid w:val="001C3ABA"/>
    <w:rsid w:val="001C3F3E"/>
    <w:rsid w:val="001C3FA3"/>
    <w:rsid w:val="001C4401"/>
    <w:rsid w:val="001C4A24"/>
    <w:rsid w:val="001C4C6B"/>
    <w:rsid w:val="001C4F61"/>
    <w:rsid w:val="001C4F9B"/>
    <w:rsid w:val="001C5CD7"/>
    <w:rsid w:val="001C5D43"/>
    <w:rsid w:val="001C5D63"/>
    <w:rsid w:val="001C5E54"/>
    <w:rsid w:val="001C5FA1"/>
    <w:rsid w:val="001C60EE"/>
    <w:rsid w:val="001C6125"/>
    <w:rsid w:val="001C68A9"/>
    <w:rsid w:val="001C6983"/>
    <w:rsid w:val="001C71A0"/>
    <w:rsid w:val="001C72E2"/>
    <w:rsid w:val="001C73E4"/>
    <w:rsid w:val="001C75BB"/>
    <w:rsid w:val="001D00D4"/>
    <w:rsid w:val="001D0221"/>
    <w:rsid w:val="001D039E"/>
    <w:rsid w:val="001D0865"/>
    <w:rsid w:val="001D0EC7"/>
    <w:rsid w:val="001D1134"/>
    <w:rsid w:val="001D1370"/>
    <w:rsid w:val="001D1382"/>
    <w:rsid w:val="001D182E"/>
    <w:rsid w:val="001D18CD"/>
    <w:rsid w:val="001D18F6"/>
    <w:rsid w:val="001D1B09"/>
    <w:rsid w:val="001D1EBD"/>
    <w:rsid w:val="001D2231"/>
    <w:rsid w:val="001D3116"/>
    <w:rsid w:val="001D3B2E"/>
    <w:rsid w:val="001D3DDD"/>
    <w:rsid w:val="001D3FCF"/>
    <w:rsid w:val="001D4045"/>
    <w:rsid w:val="001D4F10"/>
    <w:rsid w:val="001D5503"/>
    <w:rsid w:val="001D5587"/>
    <w:rsid w:val="001D587F"/>
    <w:rsid w:val="001D5952"/>
    <w:rsid w:val="001D5CD6"/>
    <w:rsid w:val="001D61EE"/>
    <w:rsid w:val="001D653F"/>
    <w:rsid w:val="001D6560"/>
    <w:rsid w:val="001D6BC4"/>
    <w:rsid w:val="001D6C66"/>
    <w:rsid w:val="001D7282"/>
    <w:rsid w:val="001D73E6"/>
    <w:rsid w:val="001D73E7"/>
    <w:rsid w:val="001D74CA"/>
    <w:rsid w:val="001D754C"/>
    <w:rsid w:val="001D76EC"/>
    <w:rsid w:val="001D77B3"/>
    <w:rsid w:val="001D7A86"/>
    <w:rsid w:val="001E0290"/>
    <w:rsid w:val="001E06B2"/>
    <w:rsid w:val="001E06E2"/>
    <w:rsid w:val="001E075A"/>
    <w:rsid w:val="001E0A63"/>
    <w:rsid w:val="001E1157"/>
    <w:rsid w:val="001E15E3"/>
    <w:rsid w:val="001E1623"/>
    <w:rsid w:val="001E1C2B"/>
    <w:rsid w:val="001E1F23"/>
    <w:rsid w:val="001E1F80"/>
    <w:rsid w:val="001E206F"/>
    <w:rsid w:val="001E2152"/>
    <w:rsid w:val="001E2974"/>
    <w:rsid w:val="001E2B60"/>
    <w:rsid w:val="001E2E72"/>
    <w:rsid w:val="001E2FEF"/>
    <w:rsid w:val="001E33AB"/>
    <w:rsid w:val="001E37D6"/>
    <w:rsid w:val="001E42D7"/>
    <w:rsid w:val="001E45C9"/>
    <w:rsid w:val="001E4947"/>
    <w:rsid w:val="001E4ECD"/>
    <w:rsid w:val="001E507C"/>
    <w:rsid w:val="001E5441"/>
    <w:rsid w:val="001E587A"/>
    <w:rsid w:val="001E5ADB"/>
    <w:rsid w:val="001E5ADC"/>
    <w:rsid w:val="001E60A5"/>
    <w:rsid w:val="001E61A7"/>
    <w:rsid w:val="001E624F"/>
    <w:rsid w:val="001E6282"/>
    <w:rsid w:val="001E6312"/>
    <w:rsid w:val="001E6F44"/>
    <w:rsid w:val="001E7285"/>
    <w:rsid w:val="001E796D"/>
    <w:rsid w:val="001E79A1"/>
    <w:rsid w:val="001E7D68"/>
    <w:rsid w:val="001E7DE7"/>
    <w:rsid w:val="001E7F8E"/>
    <w:rsid w:val="001F0090"/>
    <w:rsid w:val="001F021A"/>
    <w:rsid w:val="001F06AB"/>
    <w:rsid w:val="001F096A"/>
    <w:rsid w:val="001F0B81"/>
    <w:rsid w:val="001F170B"/>
    <w:rsid w:val="001F1830"/>
    <w:rsid w:val="001F1ADF"/>
    <w:rsid w:val="001F1DE9"/>
    <w:rsid w:val="001F295A"/>
    <w:rsid w:val="001F2AD9"/>
    <w:rsid w:val="001F2AE4"/>
    <w:rsid w:val="001F2D03"/>
    <w:rsid w:val="001F2E5D"/>
    <w:rsid w:val="001F2F2C"/>
    <w:rsid w:val="001F2F2E"/>
    <w:rsid w:val="001F3098"/>
    <w:rsid w:val="001F3183"/>
    <w:rsid w:val="001F345C"/>
    <w:rsid w:val="001F36C9"/>
    <w:rsid w:val="001F3704"/>
    <w:rsid w:val="001F3779"/>
    <w:rsid w:val="001F3829"/>
    <w:rsid w:val="001F3A4F"/>
    <w:rsid w:val="001F3E7B"/>
    <w:rsid w:val="001F3ED5"/>
    <w:rsid w:val="001F4339"/>
    <w:rsid w:val="001F45D2"/>
    <w:rsid w:val="001F467A"/>
    <w:rsid w:val="001F4712"/>
    <w:rsid w:val="001F4907"/>
    <w:rsid w:val="001F4BB5"/>
    <w:rsid w:val="001F5005"/>
    <w:rsid w:val="001F52DC"/>
    <w:rsid w:val="001F535B"/>
    <w:rsid w:val="001F53AB"/>
    <w:rsid w:val="001F55CC"/>
    <w:rsid w:val="001F56C9"/>
    <w:rsid w:val="001F5AB0"/>
    <w:rsid w:val="001F5B10"/>
    <w:rsid w:val="001F5B6A"/>
    <w:rsid w:val="001F5FFB"/>
    <w:rsid w:val="001F64B9"/>
    <w:rsid w:val="001F6675"/>
    <w:rsid w:val="001F6903"/>
    <w:rsid w:val="001F6980"/>
    <w:rsid w:val="001F754C"/>
    <w:rsid w:val="001F75CE"/>
    <w:rsid w:val="001F7B35"/>
    <w:rsid w:val="001F7B5D"/>
    <w:rsid w:val="001F7B94"/>
    <w:rsid w:val="001F7DD9"/>
    <w:rsid w:val="002003BB"/>
    <w:rsid w:val="00200A89"/>
    <w:rsid w:val="00200C2C"/>
    <w:rsid w:val="00200EB7"/>
    <w:rsid w:val="00200F89"/>
    <w:rsid w:val="00200FDC"/>
    <w:rsid w:val="002013CE"/>
    <w:rsid w:val="002014D0"/>
    <w:rsid w:val="002018A5"/>
    <w:rsid w:val="002019A0"/>
    <w:rsid w:val="002021EA"/>
    <w:rsid w:val="002025E7"/>
    <w:rsid w:val="002027A1"/>
    <w:rsid w:val="002035FD"/>
    <w:rsid w:val="0020372C"/>
    <w:rsid w:val="00203E31"/>
    <w:rsid w:val="00203EFA"/>
    <w:rsid w:val="00204064"/>
    <w:rsid w:val="00204651"/>
    <w:rsid w:val="0020498D"/>
    <w:rsid w:val="0020503A"/>
    <w:rsid w:val="0020509F"/>
    <w:rsid w:val="00205336"/>
    <w:rsid w:val="00205725"/>
    <w:rsid w:val="0020573C"/>
    <w:rsid w:val="002060BD"/>
    <w:rsid w:val="002061C7"/>
    <w:rsid w:val="00206341"/>
    <w:rsid w:val="002065E1"/>
    <w:rsid w:val="00206693"/>
    <w:rsid w:val="002066D5"/>
    <w:rsid w:val="00206A38"/>
    <w:rsid w:val="00206AB6"/>
    <w:rsid w:val="00206E9E"/>
    <w:rsid w:val="00206EB2"/>
    <w:rsid w:val="002070F6"/>
    <w:rsid w:val="002071CA"/>
    <w:rsid w:val="00207230"/>
    <w:rsid w:val="002072AD"/>
    <w:rsid w:val="00207787"/>
    <w:rsid w:val="00207DF2"/>
    <w:rsid w:val="00207EB7"/>
    <w:rsid w:val="00210074"/>
    <w:rsid w:val="0021015B"/>
    <w:rsid w:val="002102E5"/>
    <w:rsid w:val="00210335"/>
    <w:rsid w:val="00210585"/>
    <w:rsid w:val="0021069C"/>
    <w:rsid w:val="00210709"/>
    <w:rsid w:val="0021076D"/>
    <w:rsid w:val="002107B8"/>
    <w:rsid w:val="002107C3"/>
    <w:rsid w:val="00210A15"/>
    <w:rsid w:val="00211253"/>
    <w:rsid w:val="00211365"/>
    <w:rsid w:val="00211FE9"/>
    <w:rsid w:val="002121F0"/>
    <w:rsid w:val="00212369"/>
    <w:rsid w:val="002124CD"/>
    <w:rsid w:val="00212789"/>
    <w:rsid w:val="00212B14"/>
    <w:rsid w:val="00212C84"/>
    <w:rsid w:val="00212CE3"/>
    <w:rsid w:val="00212D04"/>
    <w:rsid w:val="0021329D"/>
    <w:rsid w:val="00213953"/>
    <w:rsid w:val="00213B0D"/>
    <w:rsid w:val="0021407C"/>
    <w:rsid w:val="002144F7"/>
    <w:rsid w:val="00215234"/>
    <w:rsid w:val="002153E8"/>
    <w:rsid w:val="002155B6"/>
    <w:rsid w:val="002155EE"/>
    <w:rsid w:val="00215C5E"/>
    <w:rsid w:val="00215DDE"/>
    <w:rsid w:val="00215EEE"/>
    <w:rsid w:val="00216003"/>
    <w:rsid w:val="002165A8"/>
    <w:rsid w:val="00216F12"/>
    <w:rsid w:val="00217036"/>
    <w:rsid w:val="00217053"/>
    <w:rsid w:val="002175AA"/>
    <w:rsid w:val="002176B5"/>
    <w:rsid w:val="002176E6"/>
    <w:rsid w:val="002176EA"/>
    <w:rsid w:val="00217A59"/>
    <w:rsid w:val="00217AC5"/>
    <w:rsid w:val="00217BCC"/>
    <w:rsid w:val="00217F27"/>
    <w:rsid w:val="0022001B"/>
    <w:rsid w:val="002203D5"/>
    <w:rsid w:val="0022047B"/>
    <w:rsid w:val="0022076D"/>
    <w:rsid w:val="002207BC"/>
    <w:rsid w:val="002208AE"/>
    <w:rsid w:val="00220A66"/>
    <w:rsid w:val="0022118C"/>
    <w:rsid w:val="00221D44"/>
    <w:rsid w:val="00222054"/>
    <w:rsid w:val="002222C4"/>
    <w:rsid w:val="00222362"/>
    <w:rsid w:val="00222403"/>
    <w:rsid w:val="002226FC"/>
    <w:rsid w:val="00222AE0"/>
    <w:rsid w:val="00223034"/>
    <w:rsid w:val="002234AA"/>
    <w:rsid w:val="00223544"/>
    <w:rsid w:val="00223762"/>
    <w:rsid w:val="00223A50"/>
    <w:rsid w:val="00223A9B"/>
    <w:rsid w:val="00223AB7"/>
    <w:rsid w:val="00223CEA"/>
    <w:rsid w:val="00223D23"/>
    <w:rsid w:val="00223D80"/>
    <w:rsid w:val="00223DB4"/>
    <w:rsid w:val="00223EDF"/>
    <w:rsid w:val="0022431C"/>
    <w:rsid w:val="0022431F"/>
    <w:rsid w:val="002244A6"/>
    <w:rsid w:val="002244B2"/>
    <w:rsid w:val="0022450C"/>
    <w:rsid w:val="00224DD9"/>
    <w:rsid w:val="00224EA7"/>
    <w:rsid w:val="00224FF6"/>
    <w:rsid w:val="0022502E"/>
    <w:rsid w:val="00225307"/>
    <w:rsid w:val="002254E8"/>
    <w:rsid w:val="0022562D"/>
    <w:rsid w:val="00226159"/>
    <w:rsid w:val="00226271"/>
    <w:rsid w:val="002262AF"/>
    <w:rsid w:val="00226729"/>
    <w:rsid w:val="00226A25"/>
    <w:rsid w:val="00226D55"/>
    <w:rsid w:val="00226F9A"/>
    <w:rsid w:val="00227340"/>
    <w:rsid w:val="002273F1"/>
    <w:rsid w:val="00227CF2"/>
    <w:rsid w:val="002300AB"/>
    <w:rsid w:val="002300C4"/>
    <w:rsid w:val="00230153"/>
    <w:rsid w:val="0023049D"/>
    <w:rsid w:val="002312FA"/>
    <w:rsid w:val="002313DF"/>
    <w:rsid w:val="00231B64"/>
    <w:rsid w:val="00231C25"/>
    <w:rsid w:val="00232032"/>
    <w:rsid w:val="0023207B"/>
    <w:rsid w:val="00232215"/>
    <w:rsid w:val="0023270A"/>
    <w:rsid w:val="0023295D"/>
    <w:rsid w:val="002335B8"/>
    <w:rsid w:val="00233D5B"/>
    <w:rsid w:val="00233F08"/>
    <w:rsid w:val="002343A8"/>
    <w:rsid w:val="002344D1"/>
    <w:rsid w:val="002345AB"/>
    <w:rsid w:val="0023472E"/>
    <w:rsid w:val="00234EBB"/>
    <w:rsid w:val="00235406"/>
    <w:rsid w:val="002355EB"/>
    <w:rsid w:val="002357C2"/>
    <w:rsid w:val="00235974"/>
    <w:rsid w:val="00235AD0"/>
    <w:rsid w:val="00236086"/>
    <w:rsid w:val="002365E7"/>
    <w:rsid w:val="00236625"/>
    <w:rsid w:val="00236A27"/>
    <w:rsid w:val="00236A3D"/>
    <w:rsid w:val="00236D43"/>
    <w:rsid w:val="00236DD5"/>
    <w:rsid w:val="00236E23"/>
    <w:rsid w:val="00236FC9"/>
    <w:rsid w:val="002372DD"/>
    <w:rsid w:val="00237595"/>
    <w:rsid w:val="00237E11"/>
    <w:rsid w:val="00240523"/>
    <w:rsid w:val="00240718"/>
    <w:rsid w:val="00240B2C"/>
    <w:rsid w:val="00240BE2"/>
    <w:rsid w:val="00240E8B"/>
    <w:rsid w:val="002411A0"/>
    <w:rsid w:val="00241549"/>
    <w:rsid w:val="00241550"/>
    <w:rsid w:val="0024160A"/>
    <w:rsid w:val="002418AE"/>
    <w:rsid w:val="0024206A"/>
    <w:rsid w:val="002436E7"/>
    <w:rsid w:val="002438AA"/>
    <w:rsid w:val="002439AF"/>
    <w:rsid w:val="002444A2"/>
    <w:rsid w:val="002444E0"/>
    <w:rsid w:val="00244773"/>
    <w:rsid w:val="0024484E"/>
    <w:rsid w:val="00244F36"/>
    <w:rsid w:val="002451EE"/>
    <w:rsid w:val="0024531F"/>
    <w:rsid w:val="00245742"/>
    <w:rsid w:val="00245A1A"/>
    <w:rsid w:val="00245B85"/>
    <w:rsid w:val="00245E02"/>
    <w:rsid w:val="00245F07"/>
    <w:rsid w:val="00246388"/>
    <w:rsid w:val="00246538"/>
    <w:rsid w:val="00246563"/>
    <w:rsid w:val="00246EE9"/>
    <w:rsid w:val="00246F0C"/>
    <w:rsid w:val="00247321"/>
    <w:rsid w:val="002476B2"/>
    <w:rsid w:val="00247740"/>
    <w:rsid w:val="002479A1"/>
    <w:rsid w:val="00247C4E"/>
    <w:rsid w:val="00247FAA"/>
    <w:rsid w:val="002501A7"/>
    <w:rsid w:val="002503EC"/>
    <w:rsid w:val="002505B9"/>
    <w:rsid w:val="00250B40"/>
    <w:rsid w:val="00250B87"/>
    <w:rsid w:val="00251023"/>
    <w:rsid w:val="00251324"/>
    <w:rsid w:val="002513B1"/>
    <w:rsid w:val="00251456"/>
    <w:rsid w:val="002519A2"/>
    <w:rsid w:val="00251E66"/>
    <w:rsid w:val="00251EDD"/>
    <w:rsid w:val="00252025"/>
    <w:rsid w:val="002520F4"/>
    <w:rsid w:val="00252435"/>
    <w:rsid w:val="002527EB"/>
    <w:rsid w:val="00252903"/>
    <w:rsid w:val="002529A5"/>
    <w:rsid w:val="00252B05"/>
    <w:rsid w:val="00252C48"/>
    <w:rsid w:val="00252D8C"/>
    <w:rsid w:val="00252F35"/>
    <w:rsid w:val="002532CF"/>
    <w:rsid w:val="00253390"/>
    <w:rsid w:val="00253814"/>
    <w:rsid w:val="002540E5"/>
    <w:rsid w:val="002540EB"/>
    <w:rsid w:val="0025467E"/>
    <w:rsid w:val="002547C3"/>
    <w:rsid w:val="00254A1A"/>
    <w:rsid w:val="00254B6E"/>
    <w:rsid w:val="00254D17"/>
    <w:rsid w:val="0025551C"/>
    <w:rsid w:val="00255865"/>
    <w:rsid w:val="002558B9"/>
    <w:rsid w:val="0025603C"/>
    <w:rsid w:val="00256282"/>
    <w:rsid w:val="00256952"/>
    <w:rsid w:val="002569E0"/>
    <w:rsid w:val="00257C1A"/>
    <w:rsid w:val="00260E40"/>
    <w:rsid w:val="00260E4D"/>
    <w:rsid w:val="00261029"/>
    <w:rsid w:val="00261131"/>
    <w:rsid w:val="00261539"/>
    <w:rsid w:val="0026153F"/>
    <w:rsid w:val="002616E4"/>
    <w:rsid w:val="002616EF"/>
    <w:rsid w:val="00261878"/>
    <w:rsid w:val="00261B14"/>
    <w:rsid w:val="002621FA"/>
    <w:rsid w:val="00262364"/>
    <w:rsid w:val="00262563"/>
    <w:rsid w:val="002625D7"/>
    <w:rsid w:val="0026260A"/>
    <w:rsid w:val="002635F2"/>
    <w:rsid w:val="00263683"/>
    <w:rsid w:val="0026393E"/>
    <w:rsid w:val="00263959"/>
    <w:rsid w:val="002639AB"/>
    <w:rsid w:val="002639DD"/>
    <w:rsid w:val="002639F8"/>
    <w:rsid w:val="00263B74"/>
    <w:rsid w:val="00263E85"/>
    <w:rsid w:val="0026404E"/>
    <w:rsid w:val="0026424F"/>
    <w:rsid w:val="0026431E"/>
    <w:rsid w:val="002645DF"/>
    <w:rsid w:val="002645FB"/>
    <w:rsid w:val="002646B0"/>
    <w:rsid w:val="00264988"/>
    <w:rsid w:val="002649A2"/>
    <w:rsid w:val="00264F87"/>
    <w:rsid w:val="00265C2C"/>
    <w:rsid w:val="00265FD7"/>
    <w:rsid w:val="00266240"/>
    <w:rsid w:val="0026646C"/>
    <w:rsid w:val="002666F9"/>
    <w:rsid w:val="00266E28"/>
    <w:rsid w:val="002671D5"/>
    <w:rsid w:val="00267224"/>
    <w:rsid w:val="002674CA"/>
    <w:rsid w:val="00267742"/>
    <w:rsid w:val="002677B1"/>
    <w:rsid w:val="00267D42"/>
    <w:rsid w:val="0027018A"/>
    <w:rsid w:val="0027028C"/>
    <w:rsid w:val="002703BC"/>
    <w:rsid w:val="002704D5"/>
    <w:rsid w:val="0027081C"/>
    <w:rsid w:val="002709FE"/>
    <w:rsid w:val="00270AC8"/>
    <w:rsid w:val="00270D37"/>
    <w:rsid w:val="002712D4"/>
    <w:rsid w:val="00271438"/>
    <w:rsid w:val="0027169B"/>
    <w:rsid w:val="00271DBA"/>
    <w:rsid w:val="0027225E"/>
    <w:rsid w:val="00272342"/>
    <w:rsid w:val="00272AB5"/>
    <w:rsid w:val="00272E8F"/>
    <w:rsid w:val="0027324D"/>
    <w:rsid w:val="002735CF"/>
    <w:rsid w:val="00273AB4"/>
    <w:rsid w:val="00273C72"/>
    <w:rsid w:val="00273CB5"/>
    <w:rsid w:val="00273D9D"/>
    <w:rsid w:val="00273DA4"/>
    <w:rsid w:val="00274076"/>
    <w:rsid w:val="002741AA"/>
    <w:rsid w:val="002741CC"/>
    <w:rsid w:val="00274291"/>
    <w:rsid w:val="00274B18"/>
    <w:rsid w:val="00274DD6"/>
    <w:rsid w:val="00274E90"/>
    <w:rsid w:val="00275226"/>
    <w:rsid w:val="0027553E"/>
    <w:rsid w:val="002759AB"/>
    <w:rsid w:val="00275A85"/>
    <w:rsid w:val="00275A86"/>
    <w:rsid w:val="00275E42"/>
    <w:rsid w:val="00275FAF"/>
    <w:rsid w:val="0027625F"/>
    <w:rsid w:val="002768F6"/>
    <w:rsid w:val="00276BCB"/>
    <w:rsid w:val="00276C4B"/>
    <w:rsid w:val="00277220"/>
    <w:rsid w:val="00277227"/>
    <w:rsid w:val="0027724F"/>
    <w:rsid w:val="0027733E"/>
    <w:rsid w:val="002775D3"/>
    <w:rsid w:val="00277C42"/>
    <w:rsid w:val="00277C5D"/>
    <w:rsid w:val="0028001F"/>
    <w:rsid w:val="00280448"/>
    <w:rsid w:val="00280884"/>
    <w:rsid w:val="00281266"/>
    <w:rsid w:val="00281460"/>
    <w:rsid w:val="00281853"/>
    <w:rsid w:val="00281BC7"/>
    <w:rsid w:val="00281C5A"/>
    <w:rsid w:val="00281C97"/>
    <w:rsid w:val="00281F05"/>
    <w:rsid w:val="00282791"/>
    <w:rsid w:val="00282B58"/>
    <w:rsid w:val="00282BE2"/>
    <w:rsid w:val="00282C19"/>
    <w:rsid w:val="00282E26"/>
    <w:rsid w:val="002831D8"/>
    <w:rsid w:val="00283345"/>
    <w:rsid w:val="0028377C"/>
    <w:rsid w:val="002837A8"/>
    <w:rsid w:val="00283E5C"/>
    <w:rsid w:val="00284F2A"/>
    <w:rsid w:val="00285183"/>
    <w:rsid w:val="00285289"/>
    <w:rsid w:val="0028571A"/>
    <w:rsid w:val="00285A1A"/>
    <w:rsid w:val="0028600A"/>
    <w:rsid w:val="00286081"/>
    <w:rsid w:val="002862FB"/>
    <w:rsid w:val="0028696F"/>
    <w:rsid w:val="00286A17"/>
    <w:rsid w:val="00286A53"/>
    <w:rsid w:val="002871F0"/>
    <w:rsid w:val="002875CC"/>
    <w:rsid w:val="002877E5"/>
    <w:rsid w:val="002877F7"/>
    <w:rsid w:val="0028780F"/>
    <w:rsid w:val="00290461"/>
    <w:rsid w:val="0029054E"/>
    <w:rsid w:val="00291204"/>
    <w:rsid w:val="0029142C"/>
    <w:rsid w:val="002915E6"/>
    <w:rsid w:val="00291D0D"/>
    <w:rsid w:val="0029237A"/>
    <w:rsid w:val="002923C9"/>
    <w:rsid w:val="0029258A"/>
    <w:rsid w:val="00292794"/>
    <w:rsid w:val="0029292C"/>
    <w:rsid w:val="00292D9E"/>
    <w:rsid w:val="00293580"/>
    <w:rsid w:val="00293605"/>
    <w:rsid w:val="002937F7"/>
    <w:rsid w:val="00293BCF"/>
    <w:rsid w:val="00294283"/>
    <w:rsid w:val="002942FC"/>
    <w:rsid w:val="00294652"/>
    <w:rsid w:val="002949B0"/>
    <w:rsid w:val="002949D3"/>
    <w:rsid w:val="00294B6D"/>
    <w:rsid w:val="002950D2"/>
    <w:rsid w:val="00295420"/>
    <w:rsid w:val="0029606B"/>
    <w:rsid w:val="0029610D"/>
    <w:rsid w:val="00296329"/>
    <w:rsid w:val="00296418"/>
    <w:rsid w:val="00296B0B"/>
    <w:rsid w:val="00296CAD"/>
    <w:rsid w:val="00296D6C"/>
    <w:rsid w:val="002973E0"/>
    <w:rsid w:val="0029799D"/>
    <w:rsid w:val="00297F94"/>
    <w:rsid w:val="002A011A"/>
    <w:rsid w:val="002A0505"/>
    <w:rsid w:val="002A07AB"/>
    <w:rsid w:val="002A1028"/>
    <w:rsid w:val="002A1180"/>
    <w:rsid w:val="002A1314"/>
    <w:rsid w:val="002A1786"/>
    <w:rsid w:val="002A1880"/>
    <w:rsid w:val="002A1ED7"/>
    <w:rsid w:val="002A213E"/>
    <w:rsid w:val="002A2200"/>
    <w:rsid w:val="002A2384"/>
    <w:rsid w:val="002A23C5"/>
    <w:rsid w:val="002A249F"/>
    <w:rsid w:val="002A255F"/>
    <w:rsid w:val="002A2704"/>
    <w:rsid w:val="002A27E2"/>
    <w:rsid w:val="002A2889"/>
    <w:rsid w:val="002A29BC"/>
    <w:rsid w:val="002A2AFB"/>
    <w:rsid w:val="002A2B1B"/>
    <w:rsid w:val="002A30F5"/>
    <w:rsid w:val="002A30FC"/>
    <w:rsid w:val="002A3163"/>
    <w:rsid w:val="002A3949"/>
    <w:rsid w:val="002A399F"/>
    <w:rsid w:val="002A3D31"/>
    <w:rsid w:val="002A3EE6"/>
    <w:rsid w:val="002A4052"/>
    <w:rsid w:val="002A41B2"/>
    <w:rsid w:val="002A42B6"/>
    <w:rsid w:val="002A4519"/>
    <w:rsid w:val="002A4614"/>
    <w:rsid w:val="002A4638"/>
    <w:rsid w:val="002A46B6"/>
    <w:rsid w:val="002A49A1"/>
    <w:rsid w:val="002A4B3B"/>
    <w:rsid w:val="002A4E63"/>
    <w:rsid w:val="002A5014"/>
    <w:rsid w:val="002A51AF"/>
    <w:rsid w:val="002A56A2"/>
    <w:rsid w:val="002A586C"/>
    <w:rsid w:val="002A5945"/>
    <w:rsid w:val="002A634A"/>
    <w:rsid w:val="002A6479"/>
    <w:rsid w:val="002A6585"/>
    <w:rsid w:val="002A6AAE"/>
    <w:rsid w:val="002A6B52"/>
    <w:rsid w:val="002A6C87"/>
    <w:rsid w:val="002A6DB9"/>
    <w:rsid w:val="002A7282"/>
    <w:rsid w:val="002A77CA"/>
    <w:rsid w:val="002A791D"/>
    <w:rsid w:val="002A79D8"/>
    <w:rsid w:val="002A7C52"/>
    <w:rsid w:val="002A7DDD"/>
    <w:rsid w:val="002A7E36"/>
    <w:rsid w:val="002A7F32"/>
    <w:rsid w:val="002B0370"/>
    <w:rsid w:val="002B0674"/>
    <w:rsid w:val="002B1052"/>
    <w:rsid w:val="002B11C5"/>
    <w:rsid w:val="002B13E3"/>
    <w:rsid w:val="002B1611"/>
    <w:rsid w:val="002B177E"/>
    <w:rsid w:val="002B1A50"/>
    <w:rsid w:val="002B1A5C"/>
    <w:rsid w:val="002B1B27"/>
    <w:rsid w:val="002B1C75"/>
    <w:rsid w:val="002B1F81"/>
    <w:rsid w:val="002B226E"/>
    <w:rsid w:val="002B272A"/>
    <w:rsid w:val="002B2BAE"/>
    <w:rsid w:val="002B33F6"/>
    <w:rsid w:val="002B3507"/>
    <w:rsid w:val="002B3528"/>
    <w:rsid w:val="002B3628"/>
    <w:rsid w:val="002B3836"/>
    <w:rsid w:val="002B3DB2"/>
    <w:rsid w:val="002B4343"/>
    <w:rsid w:val="002B45E5"/>
    <w:rsid w:val="002B47AA"/>
    <w:rsid w:val="002B498C"/>
    <w:rsid w:val="002B55B8"/>
    <w:rsid w:val="002B55F5"/>
    <w:rsid w:val="002B5A32"/>
    <w:rsid w:val="002B5C1A"/>
    <w:rsid w:val="002B5ED9"/>
    <w:rsid w:val="002B6375"/>
    <w:rsid w:val="002B6593"/>
    <w:rsid w:val="002B699F"/>
    <w:rsid w:val="002B6E0B"/>
    <w:rsid w:val="002B7173"/>
    <w:rsid w:val="002B7854"/>
    <w:rsid w:val="002B78E3"/>
    <w:rsid w:val="002B790F"/>
    <w:rsid w:val="002B7A29"/>
    <w:rsid w:val="002C01E2"/>
    <w:rsid w:val="002C0303"/>
    <w:rsid w:val="002C06B5"/>
    <w:rsid w:val="002C083A"/>
    <w:rsid w:val="002C08C0"/>
    <w:rsid w:val="002C0C65"/>
    <w:rsid w:val="002C1034"/>
    <w:rsid w:val="002C10F4"/>
    <w:rsid w:val="002C11A6"/>
    <w:rsid w:val="002C1641"/>
    <w:rsid w:val="002C16CD"/>
    <w:rsid w:val="002C1756"/>
    <w:rsid w:val="002C19CD"/>
    <w:rsid w:val="002C22D7"/>
    <w:rsid w:val="002C25AF"/>
    <w:rsid w:val="002C263A"/>
    <w:rsid w:val="002C28E2"/>
    <w:rsid w:val="002C2DAF"/>
    <w:rsid w:val="002C32D5"/>
    <w:rsid w:val="002C3382"/>
    <w:rsid w:val="002C33D8"/>
    <w:rsid w:val="002C347C"/>
    <w:rsid w:val="002C358C"/>
    <w:rsid w:val="002C3714"/>
    <w:rsid w:val="002C37BA"/>
    <w:rsid w:val="002C3AA2"/>
    <w:rsid w:val="002C3F4D"/>
    <w:rsid w:val="002C3F50"/>
    <w:rsid w:val="002C473A"/>
    <w:rsid w:val="002C4754"/>
    <w:rsid w:val="002C4894"/>
    <w:rsid w:val="002C4A46"/>
    <w:rsid w:val="002C4D45"/>
    <w:rsid w:val="002C4F1A"/>
    <w:rsid w:val="002C4FEB"/>
    <w:rsid w:val="002C54A5"/>
    <w:rsid w:val="002C57A8"/>
    <w:rsid w:val="002C5948"/>
    <w:rsid w:val="002C5B48"/>
    <w:rsid w:val="002C5D3B"/>
    <w:rsid w:val="002C5D3D"/>
    <w:rsid w:val="002C5EF5"/>
    <w:rsid w:val="002C5FB1"/>
    <w:rsid w:val="002C6125"/>
    <w:rsid w:val="002C63ED"/>
    <w:rsid w:val="002C6454"/>
    <w:rsid w:val="002C6657"/>
    <w:rsid w:val="002C66F4"/>
    <w:rsid w:val="002C6FA7"/>
    <w:rsid w:val="002C7050"/>
    <w:rsid w:val="002C72DC"/>
    <w:rsid w:val="002C7303"/>
    <w:rsid w:val="002C78DD"/>
    <w:rsid w:val="002C7E13"/>
    <w:rsid w:val="002D0AA4"/>
    <w:rsid w:val="002D0FCE"/>
    <w:rsid w:val="002D1148"/>
    <w:rsid w:val="002D149B"/>
    <w:rsid w:val="002D15BE"/>
    <w:rsid w:val="002D25CA"/>
    <w:rsid w:val="002D2678"/>
    <w:rsid w:val="002D2881"/>
    <w:rsid w:val="002D29ED"/>
    <w:rsid w:val="002D2D80"/>
    <w:rsid w:val="002D2F49"/>
    <w:rsid w:val="002D2F74"/>
    <w:rsid w:val="002D31E3"/>
    <w:rsid w:val="002D3884"/>
    <w:rsid w:val="002D3BF8"/>
    <w:rsid w:val="002D42C6"/>
    <w:rsid w:val="002D464A"/>
    <w:rsid w:val="002D48F4"/>
    <w:rsid w:val="002D4F62"/>
    <w:rsid w:val="002D4FEF"/>
    <w:rsid w:val="002D5283"/>
    <w:rsid w:val="002D52D5"/>
    <w:rsid w:val="002D53AD"/>
    <w:rsid w:val="002D5C12"/>
    <w:rsid w:val="002D5CDB"/>
    <w:rsid w:val="002D601B"/>
    <w:rsid w:val="002D66EE"/>
    <w:rsid w:val="002D6845"/>
    <w:rsid w:val="002D6DC8"/>
    <w:rsid w:val="002D760F"/>
    <w:rsid w:val="002D7A14"/>
    <w:rsid w:val="002D7C8F"/>
    <w:rsid w:val="002D7F57"/>
    <w:rsid w:val="002E0049"/>
    <w:rsid w:val="002E02BE"/>
    <w:rsid w:val="002E077C"/>
    <w:rsid w:val="002E07EA"/>
    <w:rsid w:val="002E0C12"/>
    <w:rsid w:val="002E0CED"/>
    <w:rsid w:val="002E0DD0"/>
    <w:rsid w:val="002E11E6"/>
    <w:rsid w:val="002E1AF2"/>
    <w:rsid w:val="002E1C78"/>
    <w:rsid w:val="002E1E7F"/>
    <w:rsid w:val="002E2034"/>
    <w:rsid w:val="002E21CB"/>
    <w:rsid w:val="002E223E"/>
    <w:rsid w:val="002E282C"/>
    <w:rsid w:val="002E287A"/>
    <w:rsid w:val="002E2915"/>
    <w:rsid w:val="002E29A8"/>
    <w:rsid w:val="002E2B41"/>
    <w:rsid w:val="002E2EDE"/>
    <w:rsid w:val="002E2F79"/>
    <w:rsid w:val="002E32FE"/>
    <w:rsid w:val="002E3400"/>
    <w:rsid w:val="002E3679"/>
    <w:rsid w:val="002E3EDC"/>
    <w:rsid w:val="002E4339"/>
    <w:rsid w:val="002E4984"/>
    <w:rsid w:val="002E4A00"/>
    <w:rsid w:val="002E4FA9"/>
    <w:rsid w:val="002E5257"/>
    <w:rsid w:val="002E5476"/>
    <w:rsid w:val="002E5522"/>
    <w:rsid w:val="002E553D"/>
    <w:rsid w:val="002E5660"/>
    <w:rsid w:val="002E57AC"/>
    <w:rsid w:val="002E586F"/>
    <w:rsid w:val="002E5C9B"/>
    <w:rsid w:val="002E607D"/>
    <w:rsid w:val="002E6296"/>
    <w:rsid w:val="002E66D0"/>
    <w:rsid w:val="002E680A"/>
    <w:rsid w:val="002E684C"/>
    <w:rsid w:val="002E68E5"/>
    <w:rsid w:val="002E6DAF"/>
    <w:rsid w:val="002E6F2C"/>
    <w:rsid w:val="002E71F6"/>
    <w:rsid w:val="002E7351"/>
    <w:rsid w:val="002E7755"/>
    <w:rsid w:val="002E77E7"/>
    <w:rsid w:val="002E78E0"/>
    <w:rsid w:val="002E7AED"/>
    <w:rsid w:val="002E7CAB"/>
    <w:rsid w:val="002E7EB2"/>
    <w:rsid w:val="002E7EBC"/>
    <w:rsid w:val="002F02C6"/>
    <w:rsid w:val="002F0381"/>
    <w:rsid w:val="002F08DA"/>
    <w:rsid w:val="002F0B4C"/>
    <w:rsid w:val="002F0DCD"/>
    <w:rsid w:val="002F0DE2"/>
    <w:rsid w:val="002F1274"/>
    <w:rsid w:val="002F1288"/>
    <w:rsid w:val="002F14D8"/>
    <w:rsid w:val="002F14FB"/>
    <w:rsid w:val="002F21BF"/>
    <w:rsid w:val="002F2235"/>
    <w:rsid w:val="002F241C"/>
    <w:rsid w:val="002F2AC0"/>
    <w:rsid w:val="002F2E47"/>
    <w:rsid w:val="002F3495"/>
    <w:rsid w:val="002F394F"/>
    <w:rsid w:val="002F3966"/>
    <w:rsid w:val="002F39DA"/>
    <w:rsid w:val="002F3B5C"/>
    <w:rsid w:val="002F3BAE"/>
    <w:rsid w:val="002F3BED"/>
    <w:rsid w:val="002F3BF3"/>
    <w:rsid w:val="002F4286"/>
    <w:rsid w:val="002F42A6"/>
    <w:rsid w:val="002F4583"/>
    <w:rsid w:val="002F4D83"/>
    <w:rsid w:val="002F52D8"/>
    <w:rsid w:val="002F5658"/>
    <w:rsid w:val="002F5675"/>
    <w:rsid w:val="002F5717"/>
    <w:rsid w:val="002F579A"/>
    <w:rsid w:val="002F5C57"/>
    <w:rsid w:val="002F601B"/>
    <w:rsid w:val="002F6179"/>
    <w:rsid w:val="002F65BC"/>
    <w:rsid w:val="002F6B66"/>
    <w:rsid w:val="002F6B73"/>
    <w:rsid w:val="002F71C6"/>
    <w:rsid w:val="002F7216"/>
    <w:rsid w:val="002F7454"/>
    <w:rsid w:val="002F78F5"/>
    <w:rsid w:val="002F7C0D"/>
    <w:rsid w:val="002F7C32"/>
    <w:rsid w:val="00300128"/>
    <w:rsid w:val="00300567"/>
    <w:rsid w:val="003008E1"/>
    <w:rsid w:val="00300AAE"/>
    <w:rsid w:val="00300D15"/>
    <w:rsid w:val="00300E32"/>
    <w:rsid w:val="00301916"/>
    <w:rsid w:val="00301D69"/>
    <w:rsid w:val="0030222A"/>
    <w:rsid w:val="00302480"/>
    <w:rsid w:val="00302519"/>
    <w:rsid w:val="0030260F"/>
    <w:rsid w:val="003027E6"/>
    <w:rsid w:val="003028C2"/>
    <w:rsid w:val="00303600"/>
    <w:rsid w:val="0030376E"/>
    <w:rsid w:val="00303CF2"/>
    <w:rsid w:val="00303D57"/>
    <w:rsid w:val="0030402A"/>
    <w:rsid w:val="0030457B"/>
    <w:rsid w:val="00304CF5"/>
    <w:rsid w:val="0030502F"/>
    <w:rsid w:val="0030520F"/>
    <w:rsid w:val="00305550"/>
    <w:rsid w:val="00305CFA"/>
    <w:rsid w:val="003061F8"/>
    <w:rsid w:val="003065E3"/>
    <w:rsid w:val="003067E2"/>
    <w:rsid w:val="00306AF6"/>
    <w:rsid w:val="00307047"/>
    <w:rsid w:val="00307067"/>
    <w:rsid w:val="0030721A"/>
    <w:rsid w:val="003074CC"/>
    <w:rsid w:val="0030784F"/>
    <w:rsid w:val="00307B5A"/>
    <w:rsid w:val="00307B62"/>
    <w:rsid w:val="00307D9B"/>
    <w:rsid w:val="00307E14"/>
    <w:rsid w:val="00307E94"/>
    <w:rsid w:val="00307F7A"/>
    <w:rsid w:val="003100A9"/>
    <w:rsid w:val="003100CA"/>
    <w:rsid w:val="00310137"/>
    <w:rsid w:val="00310141"/>
    <w:rsid w:val="0031014A"/>
    <w:rsid w:val="003101CD"/>
    <w:rsid w:val="003106FC"/>
    <w:rsid w:val="0031090C"/>
    <w:rsid w:val="00310981"/>
    <w:rsid w:val="00310DD5"/>
    <w:rsid w:val="00310E58"/>
    <w:rsid w:val="0031108A"/>
    <w:rsid w:val="003113B6"/>
    <w:rsid w:val="003117CC"/>
    <w:rsid w:val="0031194B"/>
    <w:rsid w:val="00311EF2"/>
    <w:rsid w:val="00312877"/>
    <w:rsid w:val="00312E8B"/>
    <w:rsid w:val="00312EC9"/>
    <w:rsid w:val="00312F1B"/>
    <w:rsid w:val="00313484"/>
    <w:rsid w:val="003134A9"/>
    <w:rsid w:val="00313605"/>
    <w:rsid w:val="003136D0"/>
    <w:rsid w:val="003138CC"/>
    <w:rsid w:val="00313927"/>
    <w:rsid w:val="00313CC4"/>
    <w:rsid w:val="00313F7E"/>
    <w:rsid w:val="003140B9"/>
    <w:rsid w:val="003141D2"/>
    <w:rsid w:val="0031420C"/>
    <w:rsid w:val="003143F1"/>
    <w:rsid w:val="00314679"/>
    <w:rsid w:val="00314AA6"/>
    <w:rsid w:val="00314C68"/>
    <w:rsid w:val="00315162"/>
    <w:rsid w:val="0031532F"/>
    <w:rsid w:val="00316C75"/>
    <w:rsid w:val="00316D93"/>
    <w:rsid w:val="0031713B"/>
    <w:rsid w:val="00317416"/>
    <w:rsid w:val="00317B66"/>
    <w:rsid w:val="00317E71"/>
    <w:rsid w:val="00317EAE"/>
    <w:rsid w:val="00317F17"/>
    <w:rsid w:val="0032058A"/>
    <w:rsid w:val="0032081C"/>
    <w:rsid w:val="0032156D"/>
    <w:rsid w:val="003219E9"/>
    <w:rsid w:val="00321AB4"/>
    <w:rsid w:val="003221B6"/>
    <w:rsid w:val="00322805"/>
    <w:rsid w:val="00322A67"/>
    <w:rsid w:val="00322C71"/>
    <w:rsid w:val="00323126"/>
    <w:rsid w:val="003231B3"/>
    <w:rsid w:val="003231B5"/>
    <w:rsid w:val="00323428"/>
    <w:rsid w:val="00323813"/>
    <w:rsid w:val="00324374"/>
    <w:rsid w:val="00324B7B"/>
    <w:rsid w:val="00324D23"/>
    <w:rsid w:val="003251EF"/>
    <w:rsid w:val="003255D3"/>
    <w:rsid w:val="0032562D"/>
    <w:rsid w:val="003256E3"/>
    <w:rsid w:val="0032576B"/>
    <w:rsid w:val="0032596C"/>
    <w:rsid w:val="00325BCC"/>
    <w:rsid w:val="00325E14"/>
    <w:rsid w:val="00326111"/>
    <w:rsid w:val="003263F4"/>
    <w:rsid w:val="003265C2"/>
    <w:rsid w:val="003268FA"/>
    <w:rsid w:val="0032694E"/>
    <w:rsid w:val="00326D63"/>
    <w:rsid w:val="00326F96"/>
    <w:rsid w:val="00327029"/>
    <w:rsid w:val="00327133"/>
    <w:rsid w:val="00327339"/>
    <w:rsid w:val="0032791C"/>
    <w:rsid w:val="00327949"/>
    <w:rsid w:val="00327C20"/>
    <w:rsid w:val="00327DC5"/>
    <w:rsid w:val="00327E39"/>
    <w:rsid w:val="00327E90"/>
    <w:rsid w:val="0033009D"/>
    <w:rsid w:val="00330214"/>
    <w:rsid w:val="003307E3"/>
    <w:rsid w:val="0033099A"/>
    <w:rsid w:val="0033159F"/>
    <w:rsid w:val="0033163A"/>
    <w:rsid w:val="0033182D"/>
    <w:rsid w:val="00331832"/>
    <w:rsid w:val="00331BAE"/>
    <w:rsid w:val="00331BFB"/>
    <w:rsid w:val="00331E03"/>
    <w:rsid w:val="00331FAA"/>
    <w:rsid w:val="00331FE4"/>
    <w:rsid w:val="003320CB"/>
    <w:rsid w:val="00332651"/>
    <w:rsid w:val="003327A8"/>
    <w:rsid w:val="00332838"/>
    <w:rsid w:val="00332929"/>
    <w:rsid w:val="00333768"/>
    <w:rsid w:val="00333A7B"/>
    <w:rsid w:val="00333B9B"/>
    <w:rsid w:val="003345E0"/>
    <w:rsid w:val="00334C30"/>
    <w:rsid w:val="0033501B"/>
    <w:rsid w:val="0033550C"/>
    <w:rsid w:val="00335571"/>
    <w:rsid w:val="00335A82"/>
    <w:rsid w:val="00335E1A"/>
    <w:rsid w:val="0033604A"/>
    <w:rsid w:val="00336BED"/>
    <w:rsid w:val="00336F5D"/>
    <w:rsid w:val="00337A1D"/>
    <w:rsid w:val="00340176"/>
    <w:rsid w:val="00340A88"/>
    <w:rsid w:val="0034112E"/>
    <w:rsid w:val="003417DB"/>
    <w:rsid w:val="00341815"/>
    <w:rsid w:val="0034210D"/>
    <w:rsid w:val="003423B2"/>
    <w:rsid w:val="00342502"/>
    <w:rsid w:val="003427EB"/>
    <w:rsid w:val="00342843"/>
    <w:rsid w:val="003428D9"/>
    <w:rsid w:val="00342D7F"/>
    <w:rsid w:val="00342E7B"/>
    <w:rsid w:val="00342E7C"/>
    <w:rsid w:val="00342F83"/>
    <w:rsid w:val="00343071"/>
    <w:rsid w:val="003434F7"/>
    <w:rsid w:val="003435C7"/>
    <w:rsid w:val="00343850"/>
    <w:rsid w:val="0034393B"/>
    <w:rsid w:val="00343BCB"/>
    <w:rsid w:val="003441E2"/>
    <w:rsid w:val="003442C2"/>
    <w:rsid w:val="003443B1"/>
    <w:rsid w:val="003445EC"/>
    <w:rsid w:val="00344867"/>
    <w:rsid w:val="00344CFE"/>
    <w:rsid w:val="00344DEC"/>
    <w:rsid w:val="003460E3"/>
    <w:rsid w:val="003461A0"/>
    <w:rsid w:val="00346247"/>
    <w:rsid w:val="003469D2"/>
    <w:rsid w:val="003469E2"/>
    <w:rsid w:val="00346AD9"/>
    <w:rsid w:val="00346D9F"/>
    <w:rsid w:val="003472F1"/>
    <w:rsid w:val="0034750F"/>
    <w:rsid w:val="00347515"/>
    <w:rsid w:val="00347549"/>
    <w:rsid w:val="0034768C"/>
    <w:rsid w:val="00347A0D"/>
    <w:rsid w:val="00347E9F"/>
    <w:rsid w:val="00347F56"/>
    <w:rsid w:val="00350F18"/>
    <w:rsid w:val="00350FE9"/>
    <w:rsid w:val="00351018"/>
    <w:rsid w:val="00351718"/>
    <w:rsid w:val="00351E81"/>
    <w:rsid w:val="00351F5C"/>
    <w:rsid w:val="00352016"/>
    <w:rsid w:val="0035255D"/>
    <w:rsid w:val="003526B7"/>
    <w:rsid w:val="003529E2"/>
    <w:rsid w:val="00352AF3"/>
    <w:rsid w:val="00352DE3"/>
    <w:rsid w:val="00352EC7"/>
    <w:rsid w:val="00353246"/>
    <w:rsid w:val="003532F9"/>
    <w:rsid w:val="003536C7"/>
    <w:rsid w:val="003537D5"/>
    <w:rsid w:val="00353AB7"/>
    <w:rsid w:val="00353D33"/>
    <w:rsid w:val="00353F8C"/>
    <w:rsid w:val="0035400B"/>
    <w:rsid w:val="0035424F"/>
    <w:rsid w:val="003542A6"/>
    <w:rsid w:val="00354878"/>
    <w:rsid w:val="00354D22"/>
    <w:rsid w:val="00354EAE"/>
    <w:rsid w:val="00354FE5"/>
    <w:rsid w:val="003552D3"/>
    <w:rsid w:val="003556A2"/>
    <w:rsid w:val="00355757"/>
    <w:rsid w:val="0035596D"/>
    <w:rsid w:val="00355A30"/>
    <w:rsid w:val="00355BA1"/>
    <w:rsid w:val="00355C5D"/>
    <w:rsid w:val="00356033"/>
    <w:rsid w:val="003560D8"/>
    <w:rsid w:val="00356260"/>
    <w:rsid w:val="00356A55"/>
    <w:rsid w:val="00356B66"/>
    <w:rsid w:val="00356C30"/>
    <w:rsid w:val="00356C7B"/>
    <w:rsid w:val="00356D0A"/>
    <w:rsid w:val="0035713D"/>
    <w:rsid w:val="003571AF"/>
    <w:rsid w:val="00357929"/>
    <w:rsid w:val="00357F73"/>
    <w:rsid w:val="003600B7"/>
    <w:rsid w:val="003606F6"/>
    <w:rsid w:val="00360718"/>
    <w:rsid w:val="00360A45"/>
    <w:rsid w:val="00360C25"/>
    <w:rsid w:val="003612C5"/>
    <w:rsid w:val="00361399"/>
    <w:rsid w:val="003614DE"/>
    <w:rsid w:val="0036153A"/>
    <w:rsid w:val="003615C8"/>
    <w:rsid w:val="00362118"/>
    <w:rsid w:val="0036256A"/>
    <w:rsid w:val="00362575"/>
    <w:rsid w:val="0036268F"/>
    <w:rsid w:val="003628A6"/>
    <w:rsid w:val="00362C22"/>
    <w:rsid w:val="00362C90"/>
    <w:rsid w:val="00362D5A"/>
    <w:rsid w:val="00363C67"/>
    <w:rsid w:val="00363F8F"/>
    <w:rsid w:val="00364276"/>
    <w:rsid w:val="003643D4"/>
    <w:rsid w:val="00364B49"/>
    <w:rsid w:val="00364D8E"/>
    <w:rsid w:val="00364DA8"/>
    <w:rsid w:val="00364ED2"/>
    <w:rsid w:val="00364EF1"/>
    <w:rsid w:val="0036503A"/>
    <w:rsid w:val="00365335"/>
    <w:rsid w:val="003657B2"/>
    <w:rsid w:val="00366087"/>
    <w:rsid w:val="00366339"/>
    <w:rsid w:val="0036657E"/>
    <w:rsid w:val="00366980"/>
    <w:rsid w:val="00366F52"/>
    <w:rsid w:val="003673E4"/>
    <w:rsid w:val="00367746"/>
    <w:rsid w:val="003677E9"/>
    <w:rsid w:val="00367918"/>
    <w:rsid w:val="00367940"/>
    <w:rsid w:val="00367BD2"/>
    <w:rsid w:val="00367CCA"/>
    <w:rsid w:val="003703F1"/>
    <w:rsid w:val="00370419"/>
    <w:rsid w:val="00370455"/>
    <w:rsid w:val="003704BD"/>
    <w:rsid w:val="003704E7"/>
    <w:rsid w:val="003709BF"/>
    <w:rsid w:val="00370A4E"/>
    <w:rsid w:val="00370B41"/>
    <w:rsid w:val="003718A2"/>
    <w:rsid w:val="00371E50"/>
    <w:rsid w:val="00372181"/>
    <w:rsid w:val="003724D6"/>
    <w:rsid w:val="00372F10"/>
    <w:rsid w:val="00373662"/>
    <w:rsid w:val="00373737"/>
    <w:rsid w:val="003737D5"/>
    <w:rsid w:val="00373966"/>
    <w:rsid w:val="00374001"/>
    <w:rsid w:val="0037417D"/>
    <w:rsid w:val="003741B7"/>
    <w:rsid w:val="0037422B"/>
    <w:rsid w:val="0037458D"/>
    <w:rsid w:val="00374753"/>
    <w:rsid w:val="0037493F"/>
    <w:rsid w:val="00374BEE"/>
    <w:rsid w:val="003750C2"/>
    <w:rsid w:val="003751DC"/>
    <w:rsid w:val="00375316"/>
    <w:rsid w:val="00375819"/>
    <w:rsid w:val="003758A1"/>
    <w:rsid w:val="00375AB0"/>
    <w:rsid w:val="00375E92"/>
    <w:rsid w:val="00375F9D"/>
    <w:rsid w:val="0037624C"/>
    <w:rsid w:val="0037693B"/>
    <w:rsid w:val="003769CE"/>
    <w:rsid w:val="00376B92"/>
    <w:rsid w:val="00376D82"/>
    <w:rsid w:val="00376F03"/>
    <w:rsid w:val="00377D9F"/>
    <w:rsid w:val="00377DB6"/>
    <w:rsid w:val="00377F61"/>
    <w:rsid w:val="00377FD9"/>
    <w:rsid w:val="003805B6"/>
    <w:rsid w:val="00380E4F"/>
    <w:rsid w:val="0038103B"/>
    <w:rsid w:val="0038119D"/>
    <w:rsid w:val="00381275"/>
    <w:rsid w:val="0038144F"/>
    <w:rsid w:val="003814DE"/>
    <w:rsid w:val="00381677"/>
    <w:rsid w:val="00381C86"/>
    <w:rsid w:val="00381F6A"/>
    <w:rsid w:val="003822D2"/>
    <w:rsid w:val="00382436"/>
    <w:rsid w:val="00382989"/>
    <w:rsid w:val="00382DDC"/>
    <w:rsid w:val="00382F11"/>
    <w:rsid w:val="0038320D"/>
    <w:rsid w:val="0038322C"/>
    <w:rsid w:val="00383575"/>
    <w:rsid w:val="003838EE"/>
    <w:rsid w:val="00383B05"/>
    <w:rsid w:val="00383B82"/>
    <w:rsid w:val="00384583"/>
    <w:rsid w:val="003848E0"/>
    <w:rsid w:val="00384DD1"/>
    <w:rsid w:val="003850F1"/>
    <w:rsid w:val="00385146"/>
    <w:rsid w:val="003851DE"/>
    <w:rsid w:val="00385486"/>
    <w:rsid w:val="0038595A"/>
    <w:rsid w:val="00385D2C"/>
    <w:rsid w:val="00386471"/>
    <w:rsid w:val="003869D2"/>
    <w:rsid w:val="00386A37"/>
    <w:rsid w:val="00386A3E"/>
    <w:rsid w:val="00386C4E"/>
    <w:rsid w:val="00386CF8"/>
    <w:rsid w:val="00386D07"/>
    <w:rsid w:val="00386F88"/>
    <w:rsid w:val="00387C6D"/>
    <w:rsid w:val="00387D70"/>
    <w:rsid w:val="003900DD"/>
    <w:rsid w:val="00390194"/>
    <w:rsid w:val="0039034E"/>
    <w:rsid w:val="00390429"/>
    <w:rsid w:val="00390713"/>
    <w:rsid w:val="00390ACD"/>
    <w:rsid w:val="00391878"/>
    <w:rsid w:val="00391DA8"/>
    <w:rsid w:val="003920FE"/>
    <w:rsid w:val="00392375"/>
    <w:rsid w:val="0039238B"/>
    <w:rsid w:val="00392397"/>
    <w:rsid w:val="00392F93"/>
    <w:rsid w:val="003931CE"/>
    <w:rsid w:val="0039383B"/>
    <w:rsid w:val="00393A76"/>
    <w:rsid w:val="00393DAE"/>
    <w:rsid w:val="00394143"/>
    <w:rsid w:val="0039443D"/>
    <w:rsid w:val="00394688"/>
    <w:rsid w:val="00394769"/>
    <w:rsid w:val="00394B97"/>
    <w:rsid w:val="00394CC6"/>
    <w:rsid w:val="00394D0D"/>
    <w:rsid w:val="00395302"/>
    <w:rsid w:val="00395BFE"/>
    <w:rsid w:val="00395D28"/>
    <w:rsid w:val="00395D7E"/>
    <w:rsid w:val="0039649D"/>
    <w:rsid w:val="003966EF"/>
    <w:rsid w:val="00397501"/>
    <w:rsid w:val="00397650"/>
    <w:rsid w:val="00397A9B"/>
    <w:rsid w:val="00397E56"/>
    <w:rsid w:val="00397E7B"/>
    <w:rsid w:val="003A0369"/>
    <w:rsid w:val="003A05CD"/>
    <w:rsid w:val="003A07C3"/>
    <w:rsid w:val="003A0B3B"/>
    <w:rsid w:val="003A1068"/>
    <w:rsid w:val="003A1325"/>
    <w:rsid w:val="003A197F"/>
    <w:rsid w:val="003A19C8"/>
    <w:rsid w:val="003A1D64"/>
    <w:rsid w:val="003A2535"/>
    <w:rsid w:val="003A26A8"/>
    <w:rsid w:val="003A279E"/>
    <w:rsid w:val="003A2821"/>
    <w:rsid w:val="003A2841"/>
    <w:rsid w:val="003A2ABF"/>
    <w:rsid w:val="003A2DE6"/>
    <w:rsid w:val="003A30BB"/>
    <w:rsid w:val="003A32AA"/>
    <w:rsid w:val="003A32B5"/>
    <w:rsid w:val="003A3323"/>
    <w:rsid w:val="003A3763"/>
    <w:rsid w:val="003A399B"/>
    <w:rsid w:val="003A3F5E"/>
    <w:rsid w:val="003A4120"/>
    <w:rsid w:val="003A414C"/>
    <w:rsid w:val="003A420D"/>
    <w:rsid w:val="003A4589"/>
    <w:rsid w:val="003A472E"/>
    <w:rsid w:val="003A4765"/>
    <w:rsid w:val="003A47A0"/>
    <w:rsid w:val="003A4D33"/>
    <w:rsid w:val="003A4E06"/>
    <w:rsid w:val="003A54CC"/>
    <w:rsid w:val="003A566A"/>
    <w:rsid w:val="003A5BE8"/>
    <w:rsid w:val="003A5E37"/>
    <w:rsid w:val="003A60C2"/>
    <w:rsid w:val="003A6371"/>
    <w:rsid w:val="003A671A"/>
    <w:rsid w:val="003A6CD8"/>
    <w:rsid w:val="003A73E0"/>
    <w:rsid w:val="003A78A1"/>
    <w:rsid w:val="003A795F"/>
    <w:rsid w:val="003A7CF1"/>
    <w:rsid w:val="003A7ECB"/>
    <w:rsid w:val="003B0189"/>
    <w:rsid w:val="003B0695"/>
    <w:rsid w:val="003B0884"/>
    <w:rsid w:val="003B0FBC"/>
    <w:rsid w:val="003B12BC"/>
    <w:rsid w:val="003B1369"/>
    <w:rsid w:val="003B1457"/>
    <w:rsid w:val="003B1C78"/>
    <w:rsid w:val="003B1E63"/>
    <w:rsid w:val="003B2047"/>
    <w:rsid w:val="003B226C"/>
    <w:rsid w:val="003B24AE"/>
    <w:rsid w:val="003B26B8"/>
    <w:rsid w:val="003B2877"/>
    <w:rsid w:val="003B2AB1"/>
    <w:rsid w:val="003B2E18"/>
    <w:rsid w:val="003B3271"/>
    <w:rsid w:val="003B3539"/>
    <w:rsid w:val="003B3CE4"/>
    <w:rsid w:val="003B471E"/>
    <w:rsid w:val="003B4C31"/>
    <w:rsid w:val="003B5008"/>
    <w:rsid w:val="003B575C"/>
    <w:rsid w:val="003B5A9D"/>
    <w:rsid w:val="003B5BDE"/>
    <w:rsid w:val="003B5DDC"/>
    <w:rsid w:val="003B6217"/>
    <w:rsid w:val="003B6C94"/>
    <w:rsid w:val="003B6E85"/>
    <w:rsid w:val="003B707B"/>
    <w:rsid w:val="003B73F3"/>
    <w:rsid w:val="003B7A64"/>
    <w:rsid w:val="003C0046"/>
    <w:rsid w:val="003C00D7"/>
    <w:rsid w:val="003C0387"/>
    <w:rsid w:val="003C06A6"/>
    <w:rsid w:val="003C0858"/>
    <w:rsid w:val="003C0C4A"/>
    <w:rsid w:val="003C0CE4"/>
    <w:rsid w:val="003C0FE6"/>
    <w:rsid w:val="003C16EF"/>
    <w:rsid w:val="003C1A4A"/>
    <w:rsid w:val="003C1CE4"/>
    <w:rsid w:val="003C2153"/>
    <w:rsid w:val="003C22C0"/>
    <w:rsid w:val="003C2A82"/>
    <w:rsid w:val="003C2DFD"/>
    <w:rsid w:val="003C2E10"/>
    <w:rsid w:val="003C2F31"/>
    <w:rsid w:val="003C2F51"/>
    <w:rsid w:val="003C3346"/>
    <w:rsid w:val="003C350D"/>
    <w:rsid w:val="003C3706"/>
    <w:rsid w:val="003C3BE8"/>
    <w:rsid w:val="003C413B"/>
    <w:rsid w:val="003C4252"/>
    <w:rsid w:val="003C4716"/>
    <w:rsid w:val="003C49CF"/>
    <w:rsid w:val="003C4D40"/>
    <w:rsid w:val="003C4FC6"/>
    <w:rsid w:val="003C50F4"/>
    <w:rsid w:val="003C519A"/>
    <w:rsid w:val="003C5933"/>
    <w:rsid w:val="003C594A"/>
    <w:rsid w:val="003C5AD1"/>
    <w:rsid w:val="003C5B45"/>
    <w:rsid w:val="003C5E7A"/>
    <w:rsid w:val="003C5E85"/>
    <w:rsid w:val="003C6348"/>
    <w:rsid w:val="003C65EA"/>
    <w:rsid w:val="003C66D3"/>
    <w:rsid w:val="003C66E8"/>
    <w:rsid w:val="003C6816"/>
    <w:rsid w:val="003C6AE4"/>
    <w:rsid w:val="003C6D66"/>
    <w:rsid w:val="003C6DC4"/>
    <w:rsid w:val="003C6EF8"/>
    <w:rsid w:val="003C7B46"/>
    <w:rsid w:val="003C7FF9"/>
    <w:rsid w:val="003D0600"/>
    <w:rsid w:val="003D0966"/>
    <w:rsid w:val="003D0ABF"/>
    <w:rsid w:val="003D0BC0"/>
    <w:rsid w:val="003D0E8C"/>
    <w:rsid w:val="003D0F72"/>
    <w:rsid w:val="003D164C"/>
    <w:rsid w:val="003D16E2"/>
    <w:rsid w:val="003D1860"/>
    <w:rsid w:val="003D2601"/>
    <w:rsid w:val="003D2AE4"/>
    <w:rsid w:val="003D2CC0"/>
    <w:rsid w:val="003D2D54"/>
    <w:rsid w:val="003D326C"/>
    <w:rsid w:val="003D36F4"/>
    <w:rsid w:val="003D37DF"/>
    <w:rsid w:val="003D3EE5"/>
    <w:rsid w:val="003D3F75"/>
    <w:rsid w:val="003D437B"/>
    <w:rsid w:val="003D4419"/>
    <w:rsid w:val="003D4B26"/>
    <w:rsid w:val="003D4B6C"/>
    <w:rsid w:val="003D4E94"/>
    <w:rsid w:val="003D500C"/>
    <w:rsid w:val="003D52A7"/>
    <w:rsid w:val="003D52CD"/>
    <w:rsid w:val="003D55B1"/>
    <w:rsid w:val="003D56D0"/>
    <w:rsid w:val="003D59A6"/>
    <w:rsid w:val="003D5ECC"/>
    <w:rsid w:val="003D628E"/>
    <w:rsid w:val="003D673D"/>
    <w:rsid w:val="003D6C78"/>
    <w:rsid w:val="003D6DAC"/>
    <w:rsid w:val="003D6F79"/>
    <w:rsid w:val="003E028C"/>
    <w:rsid w:val="003E032D"/>
    <w:rsid w:val="003E0CFA"/>
    <w:rsid w:val="003E100B"/>
    <w:rsid w:val="003E11F3"/>
    <w:rsid w:val="003E11F4"/>
    <w:rsid w:val="003E135A"/>
    <w:rsid w:val="003E1BD8"/>
    <w:rsid w:val="003E1EE9"/>
    <w:rsid w:val="003E2362"/>
    <w:rsid w:val="003E2439"/>
    <w:rsid w:val="003E24E6"/>
    <w:rsid w:val="003E263E"/>
    <w:rsid w:val="003E267F"/>
    <w:rsid w:val="003E273F"/>
    <w:rsid w:val="003E279D"/>
    <w:rsid w:val="003E29A9"/>
    <w:rsid w:val="003E2D89"/>
    <w:rsid w:val="003E2E88"/>
    <w:rsid w:val="003E315C"/>
    <w:rsid w:val="003E3805"/>
    <w:rsid w:val="003E39FE"/>
    <w:rsid w:val="003E3A08"/>
    <w:rsid w:val="003E3E52"/>
    <w:rsid w:val="003E4196"/>
    <w:rsid w:val="003E4542"/>
    <w:rsid w:val="003E46D6"/>
    <w:rsid w:val="003E48FD"/>
    <w:rsid w:val="003E4A14"/>
    <w:rsid w:val="003E4B3A"/>
    <w:rsid w:val="003E5209"/>
    <w:rsid w:val="003E5652"/>
    <w:rsid w:val="003E5BA7"/>
    <w:rsid w:val="003E5C24"/>
    <w:rsid w:val="003E5ED6"/>
    <w:rsid w:val="003E60B2"/>
    <w:rsid w:val="003E6E0A"/>
    <w:rsid w:val="003E7208"/>
    <w:rsid w:val="003E73F7"/>
    <w:rsid w:val="003E7460"/>
    <w:rsid w:val="003E74D0"/>
    <w:rsid w:val="003E76BF"/>
    <w:rsid w:val="003E7809"/>
    <w:rsid w:val="003E7866"/>
    <w:rsid w:val="003E7A07"/>
    <w:rsid w:val="003E7B08"/>
    <w:rsid w:val="003E7B8E"/>
    <w:rsid w:val="003F02ED"/>
    <w:rsid w:val="003F062F"/>
    <w:rsid w:val="003F0915"/>
    <w:rsid w:val="003F0974"/>
    <w:rsid w:val="003F10F5"/>
    <w:rsid w:val="003F1172"/>
    <w:rsid w:val="003F14D3"/>
    <w:rsid w:val="003F18F2"/>
    <w:rsid w:val="003F1A38"/>
    <w:rsid w:val="003F1A90"/>
    <w:rsid w:val="003F1CD1"/>
    <w:rsid w:val="003F1D21"/>
    <w:rsid w:val="003F1E94"/>
    <w:rsid w:val="003F24CF"/>
    <w:rsid w:val="003F2700"/>
    <w:rsid w:val="003F2C16"/>
    <w:rsid w:val="003F32C7"/>
    <w:rsid w:val="003F3C56"/>
    <w:rsid w:val="003F419D"/>
    <w:rsid w:val="003F4B95"/>
    <w:rsid w:val="003F4DB0"/>
    <w:rsid w:val="003F4F38"/>
    <w:rsid w:val="003F54A5"/>
    <w:rsid w:val="003F5955"/>
    <w:rsid w:val="003F5B26"/>
    <w:rsid w:val="003F5DA5"/>
    <w:rsid w:val="003F5ECB"/>
    <w:rsid w:val="003F7677"/>
    <w:rsid w:val="003F7D30"/>
    <w:rsid w:val="00400349"/>
    <w:rsid w:val="00400434"/>
    <w:rsid w:val="004007E4"/>
    <w:rsid w:val="00400F6C"/>
    <w:rsid w:val="00401199"/>
    <w:rsid w:val="0040192E"/>
    <w:rsid w:val="00401DD6"/>
    <w:rsid w:val="00401FBD"/>
    <w:rsid w:val="0040244D"/>
    <w:rsid w:val="00402BEF"/>
    <w:rsid w:val="00402ED6"/>
    <w:rsid w:val="004036A1"/>
    <w:rsid w:val="0040378C"/>
    <w:rsid w:val="00403A49"/>
    <w:rsid w:val="00403B5E"/>
    <w:rsid w:val="00403D53"/>
    <w:rsid w:val="0040402C"/>
    <w:rsid w:val="00404043"/>
    <w:rsid w:val="004047E6"/>
    <w:rsid w:val="004048E2"/>
    <w:rsid w:val="00404B2F"/>
    <w:rsid w:val="00404B46"/>
    <w:rsid w:val="00404FED"/>
    <w:rsid w:val="00405128"/>
    <w:rsid w:val="00405521"/>
    <w:rsid w:val="004055F0"/>
    <w:rsid w:val="0040597F"/>
    <w:rsid w:val="00406088"/>
    <w:rsid w:val="004064C7"/>
    <w:rsid w:val="004067D8"/>
    <w:rsid w:val="00406A47"/>
    <w:rsid w:val="00406B5B"/>
    <w:rsid w:val="00406E25"/>
    <w:rsid w:val="00407292"/>
    <w:rsid w:val="004072A9"/>
    <w:rsid w:val="00407426"/>
    <w:rsid w:val="0040756B"/>
    <w:rsid w:val="0040774A"/>
    <w:rsid w:val="004079CF"/>
    <w:rsid w:val="00407C45"/>
    <w:rsid w:val="00407DE0"/>
    <w:rsid w:val="00407EDF"/>
    <w:rsid w:val="00407F71"/>
    <w:rsid w:val="0041035F"/>
    <w:rsid w:val="00410738"/>
    <w:rsid w:val="004113CB"/>
    <w:rsid w:val="00411553"/>
    <w:rsid w:val="00411914"/>
    <w:rsid w:val="00411A4E"/>
    <w:rsid w:val="00411C9D"/>
    <w:rsid w:val="00411DBA"/>
    <w:rsid w:val="00411DCE"/>
    <w:rsid w:val="00411E28"/>
    <w:rsid w:val="00411F10"/>
    <w:rsid w:val="00412152"/>
    <w:rsid w:val="0041219E"/>
    <w:rsid w:val="00412670"/>
    <w:rsid w:val="00412C0F"/>
    <w:rsid w:val="00412CB4"/>
    <w:rsid w:val="00413003"/>
    <w:rsid w:val="004130B7"/>
    <w:rsid w:val="004134BB"/>
    <w:rsid w:val="00413907"/>
    <w:rsid w:val="00413AB6"/>
    <w:rsid w:val="00413F87"/>
    <w:rsid w:val="0041440C"/>
    <w:rsid w:val="00414DDA"/>
    <w:rsid w:val="00414E1E"/>
    <w:rsid w:val="004150D1"/>
    <w:rsid w:val="004157C9"/>
    <w:rsid w:val="00415BC1"/>
    <w:rsid w:val="00415BD2"/>
    <w:rsid w:val="00416018"/>
    <w:rsid w:val="0041605C"/>
    <w:rsid w:val="00416144"/>
    <w:rsid w:val="0041628F"/>
    <w:rsid w:val="00416539"/>
    <w:rsid w:val="004165D6"/>
    <w:rsid w:val="0041680E"/>
    <w:rsid w:val="00416994"/>
    <w:rsid w:val="00416B46"/>
    <w:rsid w:val="004175E2"/>
    <w:rsid w:val="00417AD2"/>
    <w:rsid w:val="00420209"/>
    <w:rsid w:val="00420269"/>
    <w:rsid w:val="00420917"/>
    <w:rsid w:val="00420BF8"/>
    <w:rsid w:val="00420FB6"/>
    <w:rsid w:val="00421150"/>
    <w:rsid w:val="0042163E"/>
    <w:rsid w:val="0042165C"/>
    <w:rsid w:val="004216B1"/>
    <w:rsid w:val="00421947"/>
    <w:rsid w:val="00421962"/>
    <w:rsid w:val="00421A41"/>
    <w:rsid w:val="00421A4A"/>
    <w:rsid w:val="00421BC2"/>
    <w:rsid w:val="00421BD3"/>
    <w:rsid w:val="004225B8"/>
    <w:rsid w:val="00422738"/>
    <w:rsid w:val="004228A5"/>
    <w:rsid w:val="00422ECB"/>
    <w:rsid w:val="004231AF"/>
    <w:rsid w:val="004233DE"/>
    <w:rsid w:val="004238D7"/>
    <w:rsid w:val="00423908"/>
    <w:rsid w:val="00423BC1"/>
    <w:rsid w:val="00423C22"/>
    <w:rsid w:val="00423E5A"/>
    <w:rsid w:val="00423FC8"/>
    <w:rsid w:val="004242B3"/>
    <w:rsid w:val="0042434F"/>
    <w:rsid w:val="00424488"/>
    <w:rsid w:val="004245F5"/>
    <w:rsid w:val="00424BA3"/>
    <w:rsid w:val="00424F9E"/>
    <w:rsid w:val="00424FEA"/>
    <w:rsid w:val="004250E2"/>
    <w:rsid w:val="004251F1"/>
    <w:rsid w:val="0042567A"/>
    <w:rsid w:val="004257EC"/>
    <w:rsid w:val="00425861"/>
    <w:rsid w:val="004259A1"/>
    <w:rsid w:val="00425A0E"/>
    <w:rsid w:val="00425B39"/>
    <w:rsid w:val="00425C08"/>
    <w:rsid w:val="004260F8"/>
    <w:rsid w:val="004263EB"/>
    <w:rsid w:val="00426431"/>
    <w:rsid w:val="00426455"/>
    <w:rsid w:val="0042676D"/>
    <w:rsid w:val="004268C4"/>
    <w:rsid w:val="004277A8"/>
    <w:rsid w:val="004278E9"/>
    <w:rsid w:val="00427BB6"/>
    <w:rsid w:val="00427DAB"/>
    <w:rsid w:val="00427E28"/>
    <w:rsid w:val="00427FF6"/>
    <w:rsid w:val="00430023"/>
    <w:rsid w:val="004304DF"/>
    <w:rsid w:val="00430B34"/>
    <w:rsid w:val="00430BC6"/>
    <w:rsid w:val="00430D88"/>
    <w:rsid w:val="00430DFF"/>
    <w:rsid w:val="00430E20"/>
    <w:rsid w:val="00430F50"/>
    <w:rsid w:val="00430FA2"/>
    <w:rsid w:val="00431B65"/>
    <w:rsid w:val="00431FF0"/>
    <w:rsid w:val="00432123"/>
    <w:rsid w:val="00432390"/>
    <w:rsid w:val="004328C4"/>
    <w:rsid w:val="004328D5"/>
    <w:rsid w:val="004329AC"/>
    <w:rsid w:val="004329B7"/>
    <w:rsid w:val="00432B9A"/>
    <w:rsid w:val="0043306C"/>
    <w:rsid w:val="00433104"/>
    <w:rsid w:val="00433B01"/>
    <w:rsid w:val="00433E54"/>
    <w:rsid w:val="004347F9"/>
    <w:rsid w:val="00434C03"/>
    <w:rsid w:val="00434C74"/>
    <w:rsid w:val="00435294"/>
    <w:rsid w:val="004352B5"/>
    <w:rsid w:val="00435566"/>
    <w:rsid w:val="00435A84"/>
    <w:rsid w:val="00435CF8"/>
    <w:rsid w:val="004362B1"/>
    <w:rsid w:val="0043659B"/>
    <w:rsid w:val="00436919"/>
    <w:rsid w:val="00436DB5"/>
    <w:rsid w:val="00436DCA"/>
    <w:rsid w:val="004372F7"/>
    <w:rsid w:val="004373FE"/>
    <w:rsid w:val="00437537"/>
    <w:rsid w:val="0043755C"/>
    <w:rsid w:val="004379A3"/>
    <w:rsid w:val="00437C2D"/>
    <w:rsid w:val="00437C5C"/>
    <w:rsid w:val="0044070E"/>
    <w:rsid w:val="00440B3D"/>
    <w:rsid w:val="00440F99"/>
    <w:rsid w:val="0044130C"/>
    <w:rsid w:val="00441566"/>
    <w:rsid w:val="004419BD"/>
    <w:rsid w:val="004419DB"/>
    <w:rsid w:val="00441D4D"/>
    <w:rsid w:val="00441DA0"/>
    <w:rsid w:val="004426BD"/>
    <w:rsid w:val="00442BB9"/>
    <w:rsid w:val="00442C50"/>
    <w:rsid w:val="004430B9"/>
    <w:rsid w:val="004431EB"/>
    <w:rsid w:val="004432C3"/>
    <w:rsid w:val="0044339A"/>
    <w:rsid w:val="004434F7"/>
    <w:rsid w:val="00443881"/>
    <w:rsid w:val="0044389B"/>
    <w:rsid w:val="004438BD"/>
    <w:rsid w:val="00444551"/>
    <w:rsid w:val="004449B7"/>
    <w:rsid w:val="00444BB9"/>
    <w:rsid w:val="00445728"/>
    <w:rsid w:val="00445A97"/>
    <w:rsid w:val="00445C02"/>
    <w:rsid w:val="00445DD0"/>
    <w:rsid w:val="00446341"/>
    <w:rsid w:val="00446A77"/>
    <w:rsid w:val="00446ACC"/>
    <w:rsid w:val="00446B4B"/>
    <w:rsid w:val="00447062"/>
    <w:rsid w:val="004472DC"/>
    <w:rsid w:val="0044732B"/>
    <w:rsid w:val="00447E57"/>
    <w:rsid w:val="00447E9E"/>
    <w:rsid w:val="0045007E"/>
    <w:rsid w:val="004501DD"/>
    <w:rsid w:val="00450254"/>
    <w:rsid w:val="0045046B"/>
    <w:rsid w:val="0045069A"/>
    <w:rsid w:val="00450EE2"/>
    <w:rsid w:val="0045102D"/>
    <w:rsid w:val="004511AA"/>
    <w:rsid w:val="004511B3"/>
    <w:rsid w:val="004512F3"/>
    <w:rsid w:val="004513AA"/>
    <w:rsid w:val="00451418"/>
    <w:rsid w:val="00451693"/>
    <w:rsid w:val="00451820"/>
    <w:rsid w:val="00451AA2"/>
    <w:rsid w:val="00451BBA"/>
    <w:rsid w:val="00451DF6"/>
    <w:rsid w:val="00451F0D"/>
    <w:rsid w:val="00451F7A"/>
    <w:rsid w:val="004520AE"/>
    <w:rsid w:val="00452670"/>
    <w:rsid w:val="0045314F"/>
    <w:rsid w:val="00453593"/>
    <w:rsid w:val="004537A2"/>
    <w:rsid w:val="00453C2D"/>
    <w:rsid w:val="0045445B"/>
    <w:rsid w:val="00454609"/>
    <w:rsid w:val="004549DE"/>
    <w:rsid w:val="00454AAD"/>
    <w:rsid w:val="00454B3D"/>
    <w:rsid w:val="00454F9F"/>
    <w:rsid w:val="00454FD8"/>
    <w:rsid w:val="004552D5"/>
    <w:rsid w:val="00455B48"/>
    <w:rsid w:val="00455C7F"/>
    <w:rsid w:val="00455D47"/>
    <w:rsid w:val="0045614F"/>
    <w:rsid w:val="004565AF"/>
    <w:rsid w:val="004565B5"/>
    <w:rsid w:val="00456849"/>
    <w:rsid w:val="00456A6C"/>
    <w:rsid w:val="00456B8E"/>
    <w:rsid w:val="00456F82"/>
    <w:rsid w:val="00457349"/>
    <w:rsid w:val="00457393"/>
    <w:rsid w:val="004577D6"/>
    <w:rsid w:val="004579CE"/>
    <w:rsid w:val="00457A81"/>
    <w:rsid w:val="00457D27"/>
    <w:rsid w:val="00457EE2"/>
    <w:rsid w:val="00460056"/>
    <w:rsid w:val="0046018A"/>
    <w:rsid w:val="0046035A"/>
    <w:rsid w:val="004604D5"/>
    <w:rsid w:val="00460633"/>
    <w:rsid w:val="00460647"/>
    <w:rsid w:val="00460F2E"/>
    <w:rsid w:val="004611E7"/>
    <w:rsid w:val="004613B4"/>
    <w:rsid w:val="00461791"/>
    <w:rsid w:val="00461BC4"/>
    <w:rsid w:val="00461C49"/>
    <w:rsid w:val="00461EBB"/>
    <w:rsid w:val="00461F65"/>
    <w:rsid w:val="00461FE1"/>
    <w:rsid w:val="0046275A"/>
    <w:rsid w:val="004634E1"/>
    <w:rsid w:val="004635F4"/>
    <w:rsid w:val="00463B51"/>
    <w:rsid w:val="00463C7C"/>
    <w:rsid w:val="004644FF"/>
    <w:rsid w:val="00464505"/>
    <w:rsid w:val="0046496D"/>
    <w:rsid w:val="00465390"/>
    <w:rsid w:val="004657DB"/>
    <w:rsid w:val="0046593F"/>
    <w:rsid w:val="00465EC2"/>
    <w:rsid w:val="00465F0C"/>
    <w:rsid w:val="004665A5"/>
    <w:rsid w:val="004667D0"/>
    <w:rsid w:val="0046683B"/>
    <w:rsid w:val="0046697E"/>
    <w:rsid w:val="0046712F"/>
    <w:rsid w:val="004672BE"/>
    <w:rsid w:val="004676E6"/>
    <w:rsid w:val="0046779F"/>
    <w:rsid w:val="004677B0"/>
    <w:rsid w:val="00467AAF"/>
    <w:rsid w:val="00467C3C"/>
    <w:rsid w:val="00467C87"/>
    <w:rsid w:val="00470601"/>
    <w:rsid w:val="00470E6A"/>
    <w:rsid w:val="00470EBF"/>
    <w:rsid w:val="004713BC"/>
    <w:rsid w:val="00471556"/>
    <w:rsid w:val="00471596"/>
    <w:rsid w:val="00471637"/>
    <w:rsid w:val="004716E8"/>
    <w:rsid w:val="004716F9"/>
    <w:rsid w:val="00471752"/>
    <w:rsid w:val="00471796"/>
    <w:rsid w:val="0047193A"/>
    <w:rsid w:val="00471C61"/>
    <w:rsid w:val="00471C90"/>
    <w:rsid w:val="00472184"/>
    <w:rsid w:val="00472602"/>
    <w:rsid w:val="0047264D"/>
    <w:rsid w:val="00472C4C"/>
    <w:rsid w:val="00472FA5"/>
    <w:rsid w:val="004731F8"/>
    <w:rsid w:val="004733A9"/>
    <w:rsid w:val="00473CEC"/>
    <w:rsid w:val="004742DB"/>
    <w:rsid w:val="004743D5"/>
    <w:rsid w:val="004744B8"/>
    <w:rsid w:val="0047483D"/>
    <w:rsid w:val="00474CD7"/>
    <w:rsid w:val="00474E1F"/>
    <w:rsid w:val="004750A9"/>
    <w:rsid w:val="004753CB"/>
    <w:rsid w:val="00475B34"/>
    <w:rsid w:val="00475C41"/>
    <w:rsid w:val="0047634D"/>
    <w:rsid w:val="00476735"/>
    <w:rsid w:val="00476817"/>
    <w:rsid w:val="004769C6"/>
    <w:rsid w:val="00476AD6"/>
    <w:rsid w:val="00477194"/>
    <w:rsid w:val="00477584"/>
    <w:rsid w:val="004775A0"/>
    <w:rsid w:val="00477611"/>
    <w:rsid w:val="0047761D"/>
    <w:rsid w:val="00477BEA"/>
    <w:rsid w:val="00477F57"/>
    <w:rsid w:val="004801C6"/>
    <w:rsid w:val="0048025B"/>
    <w:rsid w:val="004802AF"/>
    <w:rsid w:val="0048038D"/>
    <w:rsid w:val="00480450"/>
    <w:rsid w:val="0048085F"/>
    <w:rsid w:val="004808C9"/>
    <w:rsid w:val="00480C24"/>
    <w:rsid w:val="00481033"/>
    <w:rsid w:val="004810CF"/>
    <w:rsid w:val="0048190D"/>
    <w:rsid w:val="00481B98"/>
    <w:rsid w:val="00481F08"/>
    <w:rsid w:val="0048250F"/>
    <w:rsid w:val="00482519"/>
    <w:rsid w:val="0048263D"/>
    <w:rsid w:val="0048276B"/>
    <w:rsid w:val="00482B65"/>
    <w:rsid w:val="00483201"/>
    <w:rsid w:val="00483726"/>
    <w:rsid w:val="00483877"/>
    <w:rsid w:val="00483A62"/>
    <w:rsid w:val="00483AB8"/>
    <w:rsid w:val="00483E84"/>
    <w:rsid w:val="00483EF3"/>
    <w:rsid w:val="00484226"/>
    <w:rsid w:val="004844D6"/>
    <w:rsid w:val="0048464C"/>
    <w:rsid w:val="0048476C"/>
    <w:rsid w:val="00484898"/>
    <w:rsid w:val="00484C51"/>
    <w:rsid w:val="004850D5"/>
    <w:rsid w:val="004850F2"/>
    <w:rsid w:val="0048527B"/>
    <w:rsid w:val="0048531B"/>
    <w:rsid w:val="0048684B"/>
    <w:rsid w:val="00486B43"/>
    <w:rsid w:val="00486C00"/>
    <w:rsid w:val="004874A0"/>
    <w:rsid w:val="004876CE"/>
    <w:rsid w:val="004878C1"/>
    <w:rsid w:val="0048796F"/>
    <w:rsid w:val="00487D61"/>
    <w:rsid w:val="00487DEB"/>
    <w:rsid w:val="004900F0"/>
    <w:rsid w:val="00490345"/>
    <w:rsid w:val="004904C8"/>
    <w:rsid w:val="004908F3"/>
    <w:rsid w:val="0049098C"/>
    <w:rsid w:val="0049160A"/>
    <w:rsid w:val="004918D9"/>
    <w:rsid w:val="00491FAA"/>
    <w:rsid w:val="00492042"/>
    <w:rsid w:val="0049205C"/>
    <w:rsid w:val="00492087"/>
    <w:rsid w:val="004922BF"/>
    <w:rsid w:val="004922F3"/>
    <w:rsid w:val="0049253E"/>
    <w:rsid w:val="00492D25"/>
    <w:rsid w:val="004931D6"/>
    <w:rsid w:val="00493343"/>
    <w:rsid w:val="00493366"/>
    <w:rsid w:val="00493619"/>
    <w:rsid w:val="0049384B"/>
    <w:rsid w:val="00493D40"/>
    <w:rsid w:val="0049409D"/>
    <w:rsid w:val="004941BB"/>
    <w:rsid w:val="004942B7"/>
    <w:rsid w:val="004943BB"/>
    <w:rsid w:val="0049447F"/>
    <w:rsid w:val="004946B9"/>
    <w:rsid w:val="00494B73"/>
    <w:rsid w:val="00494C45"/>
    <w:rsid w:val="00494E1C"/>
    <w:rsid w:val="00495049"/>
    <w:rsid w:val="0049520A"/>
    <w:rsid w:val="00495FE4"/>
    <w:rsid w:val="0049673A"/>
    <w:rsid w:val="00496DF4"/>
    <w:rsid w:val="00496FB4"/>
    <w:rsid w:val="00497808"/>
    <w:rsid w:val="00497EF3"/>
    <w:rsid w:val="004A03A3"/>
    <w:rsid w:val="004A0BBA"/>
    <w:rsid w:val="004A112F"/>
    <w:rsid w:val="004A148E"/>
    <w:rsid w:val="004A1AA5"/>
    <w:rsid w:val="004A1D82"/>
    <w:rsid w:val="004A1DB3"/>
    <w:rsid w:val="004A1E99"/>
    <w:rsid w:val="004A2023"/>
    <w:rsid w:val="004A2385"/>
    <w:rsid w:val="004A23CB"/>
    <w:rsid w:val="004A2E9B"/>
    <w:rsid w:val="004A2ED2"/>
    <w:rsid w:val="004A3662"/>
    <w:rsid w:val="004A3C62"/>
    <w:rsid w:val="004A3F18"/>
    <w:rsid w:val="004A4178"/>
    <w:rsid w:val="004A4197"/>
    <w:rsid w:val="004A42AF"/>
    <w:rsid w:val="004A4382"/>
    <w:rsid w:val="004A4419"/>
    <w:rsid w:val="004A47F2"/>
    <w:rsid w:val="004A4817"/>
    <w:rsid w:val="004A4977"/>
    <w:rsid w:val="004A4CDA"/>
    <w:rsid w:val="004A5312"/>
    <w:rsid w:val="004A573D"/>
    <w:rsid w:val="004A5972"/>
    <w:rsid w:val="004A5BE7"/>
    <w:rsid w:val="004A63B4"/>
    <w:rsid w:val="004A6901"/>
    <w:rsid w:val="004A6A97"/>
    <w:rsid w:val="004A6CAC"/>
    <w:rsid w:val="004A6CAE"/>
    <w:rsid w:val="004A70E7"/>
    <w:rsid w:val="004A7345"/>
    <w:rsid w:val="004A7A1B"/>
    <w:rsid w:val="004A7A22"/>
    <w:rsid w:val="004A7BAA"/>
    <w:rsid w:val="004A7C71"/>
    <w:rsid w:val="004A7DFA"/>
    <w:rsid w:val="004A7EC4"/>
    <w:rsid w:val="004B0305"/>
    <w:rsid w:val="004B03EA"/>
    <w:rsid w:val="004B03FA"/>
    <w:rsid w:val="004B060B"/>
    <w:rsid w:val="004B0882"/>
    <w:rsid w:val="004B0CD2"/>
    <w:rsid w:val="004B0FF9"/>
    <w:rsid w:val="004B11F0"/>
    <w:rsid w:val="004B20F4"/>
    <w:rsid w:val="004B2625"/>
    <w:rsid w:val="004B2721"/>
    <w:rsid w:val="004B28A4"/>
    <w:rsid w:val="004B2B7C"/>
    <w:rsid w:val="004B2B96"/>
    <w:rsid w:val="004B2C5D"/>
    <w:rsid w:val="004B2CD5"/>
    <w:rsid w:val="004B30FF"/>
    <w:rsid w:val="004B3F8E"/>
    <w:rsid w:val="004B41BE"/>
    <w:rsid w:val="004B544D"/>
    <w:rsid w:val="004B54A8"/>
    <w:rsid w:val="004B555A"/>
    <w:rsid w:val="004B5931"/>
    <w:rsid w:val="004B6257"/>
    <w:rsid w:val="004B62B8"/>
    <w:rsid w:val="004B6474"/>
    <w:rsid w:val="004B6491"/>
    <w:rsid w:val="004B67D5"/>
    <w:rsid w:val="004B6C3A"/>
    <w:rsid w:val="004B716C"/>
    <w:rsid w:val="004B7430"/>
    <w:rsid w:val="004B7534"/>
    <w:rsid w:val="004B7A05"/>
    <w:rsid w:val="004B7CBC"/>
    <w:rsid w:val="004C0488"/>
    <w:rsid w:val="004C06AC"/>
    <w:rsid w:val="004C0E45"/>
    <w:rsid w:val="004C130A"/>
    <w:rsid w:val="004C1503"/>
    <w:rsid w:val="004C153A"/>
    <w:rsid w:val="004C161D"/>
    <w:rsid w:val="004C1657"/>
    <w:rsid w:val="004C1860"/>
    <w:rsid w:val="004C1CA8"/>
    <w:rsid w:val="004C1D68"/>
    <w:rsid w:val="004C234F"/>
    <w:rsid w:val="004C23FC"/>
    <w:rsid w:val="004C283F"/>
    <w:rsid w:val="004C3036"/>
    <w:rsid w:val="004C32DD"/>
    <w:rsid w:val="004C3875"/>
    <w:rsid w:val="004C3B33"/>
    <w:rsid w:val="004C3CF9"/>
    <w:rsid w:val="004C3F90"/>
    <w:rsid w:val="004C416C"/>
    <w:rsid w:val="004C4222"/>
    <w:rsid w:val="004C4533"/>
    <w:rsid w:val="004C45E4"/>
    <w:rsid w:val="004C47AB"/>
    <w:rsid w:val="004C490C"/>
    <w:rsid w:val="004C4AE6"/>
    <w:rsid w:val="004C4ECC"/>
    <w:rsid w:val="004C4FF9"/>
    <w:rsid w:val="004C5285"/>
    <w:rsid w:val="004C5413"/>
    <w:rsid w:val="004C557B"/>
    <w:rsid w:val="004C5BA6"/>
    <w:rsid w:val="004C6137"/>
    <w:rsid w:val="004C6351"/>
    <w:rsid w:val="004C6568"/>
    <w:rsid w:val="004C6660"/>
    <w:rsid w:val="004C6B66"/>
    <w:rsid w:val="004C7229"/>
    <w:rsid w:val="004C733B"/>
    <w:rsid w:val="004C73F2"/>
    <w:rsid w:val="004C7873"/>
    <w:rsid w:val="004C7A6F"/>
    <w:rsid w:val="004C7E26"/>
    <w:rsid w:val="004D010C"/>
    <w:rsid w:val="004D0AEF"/>
    <w:rsid w:val="004D0B50"/>
    <w:rsid w:val="004D0F16"/>
    <w:rsid w:val="004D1AE9"/>
    <w:rsid w:val="004D280D"/>
    <w:rsid w:val="004D2AD6"/>
    <w:rsid w:val="004D2E49"/>
    <w:rsid w:val="004D3050"/>
    <w:rsid w:val="004D3065"/>
    <w:rsid w:val="004D3096"/>
    <w:rsid w:val="004D3151"/>
    <w:rsid w:val="004D3189"/>
    <w:rsid w:val="004D31E9"/>
    <w:rsid w:val="004D35B8"/>
    <w:rsid w:val="004D3611"/>
    <w:rsid w:val="004D37B6"/>
    <w:rsid w:val="004D3CC4"/>
    <w:rsid w:val="004D3D43"/>
    <w:rsid w:val="004D3EC5"/>
    <w:rsid w:val="004D3F55"/>
    <w:rsid w:val="004D4413"/>
    <w:rsid w:val="004D4920"/>
    <w:rsid w:val="004D4948"/>
    <w:rsid w:val="004D4DB9"/>
    <w:rsid w:val="004D4FBA"/>
    <w:rsid w:val="004D53C1"/>
    <w:rsid w:val="004D557D"/>
    <w:rsid w:val="004D5A3B"/>
    <w:rsid w:val="004D5DA9"/>
    <w:rsid w:val="004D5E63"/>
    <w:rsid w:val="004D5EBF"/>
    <w:rsid w:val="004D60F5"/>
    <w:rsid w:val="004D635C"/>
    <w:rsid w:val="004D6767"/>
    <w:rsid w:val="004D68CE"/>
    <w:rsid w:val="004D698B"/>
    <w:rsid w:val="004D6A0F"/>
    <w:rsid w:val="004D6CFB"/>
    <w:rsid w:val="004D6DA1"/>
    <w:rsid w:val="004D6E53"/>
    <w:rsid w:val="004D70DE"/>
    <w:rsid w:val="004D718A"/>
    <w:rsid w:val="004D785B"/>
    <w:rsid w:val="004D7CA8"/>
    <w:rsid w:val="004E027C"/>
    <w:rsid w:val="004E0349"/>
    <w:rsid w:val="004E077F"/>
    <w:rsid w:val="004E078A"/>
    <w:rsid w:val="004E0831"/>
    <w:rsid w:val="004E0878"/>
    <w:rsid w:val="004E0C6D"/>
    <w:rsid w:val="004E0CB3"/>
    <w:rsid w:val="004E0F92"/>
    <w:rsid w:val="004E112E"/>
    <w:rsid w:val="004E14C2"/>
    <w:rsid w:val="004E159A"/>
    <w:rsid w:val="004E173E"/>
    <w:rsid w:val="004E18C1"/>
    <w:rsid w:val="004E1FD0"/>
    <w:rsid w:val="004E2105"/>
    <w:rsid w:val="004E2649"/>
    <w:rsid w:val="004E2680"/>
    <w:rsid w:val="004E269D"/>
    <w:rsid w:val="004E2881"/>
    <w:rsid w:val="004E2A0B"/>
    <w:rsid w:val="004E2BF2"/>
    <w:rsid w:val="004E2BFE"/>
    <w:rsid w:val="004E2C10"/>
    <w:rsid w:val="004E2F56"/>
    <w:rsid w:val="004E2F68"/>
    <w:rsid w:val="004E3144"/>
    <w:rsid w:val="004E3334"/>
    <w:rsid w:val="004E34E9"/>
    <w:rsid w:val="004E3505"/>
    <w:rsid w:val="004E35AE"/>
    <w:rsid w:val="004E35DB"/>
    <w:rsid w:val="004E3790"/>
    <w:rsid w:val="004E395D"/>
    <w:rsid w:val="004E3A78"/>
    <w:rsid w:val="004E3ACA"/>
    <w:rsid w:val="004E3CA3"/>
    <w:rsid w:val="004E3E6A"/>
    <w:rsid w:val="004E3E8A"/>
    <w:rsid w:val="004E4254"/>
    <w:rsid w:val="004E4287"/>
    <w:rsid w:val="004E481D"/>
    <w:rsid w:val="004E498E"/>
    <w:rsid w:val="004E4B2C"/>
    <w:rsid w:val="004E4D15"/>
    <w:rsid w:val="004E5026"/>
    <w:rsid w:val="004E568C"/>
    <w:rsid w:val="004E6011"/>
    <w:rsid w:val="004E6136"/>
    <w:rsid w:val="004E628F"/>
    <w:rsid w:val="004E62B8"/>
    <w:rsid w:val="004E69AB"/>
    <w:rsid w:val="004E6D6A"/>
    <w:rsid w:val="004E6E4B"/>
    <w:rsid w:val="004E711A"/>
    <w:rsid w:val="004E7652"/>
    <w:rsid w:val="004E7697"/>
    <w:rsid w:val="004E7719"/>
    <w:rsid w:val="004E7A03"/>
    <w:rsid w:val="004E7E4A"/>
    <w:rsid w:val="004F0031"/>
    <w:rsid w:val="004F00EB"/>
    <w:rsid w:val="004F0133"/>
    <w:rsid w:val="004F0565"/>
    <w:rsid w:val="004F0A10"/>
    <w:rsid w:val="004F0B06"/>
    <w:rsid w:val="004F1566"/>
    <w:rsid w:val="004F17CA"/>
    <w:rsid w:val="004F17D0"/>
    <w:rsid w:val="004F1C8D"/>
    <w:rsid w:val="004F1CAE"/>
    <w:rsid w:val="004F260B"/>
    <w:rsid w:val="004F2C15"/>
    <w:rsid w:val="004F2CD0"/>
    <w:rsid w:val="004F2FB7"/>
    <w:rsid w:val="004F3104"/>
    <w:rsid w:val="004F3261"/>
    <w:rsid w:val="004F3625"/>
    <w:rsid w:val="004F3798"/>
    <w:rsid w:val="004F3FB7"/>
    <w:rsid w:val="004F42C1"/>
    <w:rsid w:val="004F4414"/>
    <w:rsid w:val="004F491C"/>
    <w:rsid w:val="004F4E27"/>
    <w:rsid w:val="004F4E95"/>
    <w:rsid w:val="004F52F9"/>
    <w:rsid w:val="004F55D4"/>
    <w:rsid w:val="004F5731"/>
    <w:rsid w:val="004F58AE"/>
    <w:rsid w:val="004F615C"/>
    <w:rsid w:val="004F635E"/>
    <w:rsid w:val="004F65CF"/>
    <w:rsid w:val="004F67FE"/>
    <w:rsid w:val="004F6EF9"/>
    <w:rsid w:val="004F76D1"/>
    <w:rsid w:val="004F771D"/>
    <w:rsid w:val="004F7771"/>
    <w:rsid w:val="004F7D9D"/>
    <w:rsid w:val="005000D5"/>
    <w:rsid w:val="0050025C"/>
    <w:rsid w:val="005009A0"/>
    <w:rsid w:val="00501659"/>
    <w:rsid w:val="00501B7E"/>
    <w:rsid w:val="00501F69"/>
    <w:rsid w:val="005021D5"/>
    <w:rsid w:val="005021DC"/>
    <w:rsid w:val="00502445"/>
    <w:rsid w:val="0050245F"/>
    <w:rsid w:val="00502720"/>
    <w:rsid w:val="00502A57"/>
    <w:rsid w:val="00502EA1"/>
    <w:rsid w:val="00502FF2"/>
    <w:rsid w:val="00503242"/>
    <w:rsid w:val="00503252"/>
    <w:rsid w:val="005037B7"/>
    <w:rsid w:val="00503D1B"/>
    <w:rsid w:val="005041DD"/>
    <w:rsid w:val="005041E7"/>
    <w:rsid w:val="00504B21"/>
    <w:rsid w:val="00504C04"/>
    <w:rsid w:val="00504DFD"/>
    <w:rsid w:val="005054B7"/>
    <w:rsid w:val="00505E48"/>
    <w:rsid w:val="005063AF"/>
    <w:rsid w:val="00506577"/>
    <w:rsid w:val="00506A90"/>
    <w:rsid w:val="00506FB9"/>
    <w:rsid w:val="005072A6"/>
    <w:rsid w:val="00507348"/>
    <w:rsid w:val="00507659"/>
    <w:rsid w:val="0050772F"/>
    <w:rsid w:val="00507E4F"/>
    <w:rsid w:val="00510476"/>
    <w:rsid w:val="00510785"/>
    <w:rsid w:val="005109BA"/>
    <w:rsid w:val="00510A58"/>
    <w:rsid w:val="00510C58"/>
    <w:rsid w:val="00511027"/>
    <w:rsid w:val="00511339"/>
    <w:rsid w:val="0051186B"/>
    <w:rsid w:val="00511C52"/>
    <w:rsid w:val="00511CFB"/>
    <w:rsid w:val="00511E1D"/>
    <w:rsid w:val="00511F81"/>
    <w:rsid w:val="005122A7"/>
    <w:rsid w:val="005123F2"/>
    <w:rsid w:val="0051257F"/>
    <w:rsid w:val="00512A02"/>
    <w:rsid w:val="00512E4A"/>
    <w:rsid w:val="00512E5A"/>
    <w:rsid w:val="005132B2"/>
    <w:rsid w:val="005134A6"/>
    <w:rsid w:val="00513818"/>
    <w:rsid w:val="00513912"/>
    <w:rsid w:val="00513B42"/>
    <w:rsid w:val="00513CC3"/>
    <w:rsid w:val="00513E43"/>
    <w:rsid w:val="00513EA8"/>
    <w:rsid w:val="00514118"/>
    <w:rsid w:val="005144E6"/>
    <w:rsid w:val="005145E8"/>
    <w:rsid w:val="005145F4"/>
    <w:rsid w:val="005145F7"/>
    <w:rsid w:val="00514B85"/>
    <w:rsid w:val="00514ED8"/>
    <w:rsid w:val="005153C2"/>
    <w:rsid w:val="00515416"/>
    <w:rsid w:val="00515554"/>
    <w:rsid w:val="005156F5"/>
    <w:rsid w:val="0051588E"/>
    <w:rsid w:val="005159E2"/>
    <w:rsid w:val="00515B96"/>
    <w:rsid w:val="005162E6"/>
    <w:rsid w:val="0051634D"/>
    <w:rsid w:val="0051668E"/>
    <w:rsid w:val="005169C4"/>
    <w:rsid w:val="00516A43"/>
    <w:rsid w:val="00516A69"/>
    <w:rsid w:val="00516B4E"/>
    <w:rsid w:val="00516F5E"/>
    <w:rsid w:val="00517229"/>
    <w:rsid w:val="005175CC"/>
    <w:rsid w:val="005176A2"/>
    <w:rsid w:val="005177C0"/>
    <w:rsid w:val="005179DE"/>
    <w:rsid w:val="005179F5"/>
    <w:rsid w:val="00517A4A"/>
    <w:rsid w:val="00517BD5"/>
    <w:rsid w:val="005207E2"/>
    <w:rsid w:val="00520F40"/>
    <w:rsid w:val="0052110B"/>
    <w:rsid w:val="005214AF"/>
    <w:rsid w:val="00521735"/>
    <w:rsid w:val="005217DB"/>
    <w:rsid w:val="00521C84"/>
    <w:rsid w:val="0052248E"/>
    <w:rsid w:val="00522711"/>
    <w:rsid w:val="00522805"/>
    <w:rsid w:val="00522EF9"/>
    <w:rsid w:val="00523036"/>
    <w:rsid w:val="005232D6"/>
    <w:rsid w:val="0052347A"/>
    <w:rsid w:val="0052396B"/>
    <w:rsid w:val="00523B98"/>
    <w:rsid w:val="00523C2D"/>
    <w:rsid w:val="00523DB3"/>
    <w:rsid w:val="00524437"/>
    <w:rsid w:val="0052472A"/>
    <w:rsid w:val="005247D7"/>
    <w:rsid w:val="00524804"/>
    <w:rsid w:val="00524988"/>
    <w:rsid w:val="00524B1F"/>
    <w:rsid w:val="00524DAC"/>
    <w:rsid w:val="00524E6D"/>
    <w:rsid w:val="00524FAF"/>
    <w:rsid w:val="005250E7"/>
    <w:rsid w:val="00525A32"/>
    <w:rsid w:val="00525B8C"/>
    <w:rsid w:val="00525DBE"/>
    <w:rsid w:val="00525E28"/>
    <w:rsid w:val="00525F52"/>
    <w:rsid w:val="00526105"/>
    <w:rsid w:val="00526765"/>
    <w:rsid w:val="005268D2"/>
    <w:rsid w:val="00526978"/>
    <w:rsid w:val="00526B81"/>
    <w:rsid w:val="00526C92"/>
    <w:rsid w:val="00526FBE"/>
    <w:rsid w:val="0052714A"/>
    <w:rsid w:val="00527232"/>
    <w:rsid w:val="005272BA"/>
    <w:rsid w:val="00527481"/>
    <w:rsid w:val="00527E82"/>
    <w:rsid w:val="00530073"/>
    <w:rsid w:val="00530219"/>
    <w:rsid w:val="0053024E"/>
    <w:rsid w:val="00530625"/>
    <w:rsid w:val="005307AD"/>
    <w:rsid w:val="0053087E"/>
    <w:rsid w:val="00530B17"/>
    <w:rsid w:val="00530E69"/>
    <w:rsid w:val="00530F3B"/>
    <w:rsid w:val="005310F2"/>
    <w:rsid w:val="005317F6"/>
    <w:rsid w:val="00531D22"/>
    <w:rsid w:val="00531D50"/>
    <w:rsid w:val="005320E7"/>
    <w:rsid w:val="00532465"/>
    <w:rsid w:val="00532689"/>
    <w:rsid w:val="00532EF6"/>
    <w:rsid w:val="0053302C"/>
    <w:rsid w:val="00533068"/>
    <w:rsid w:val="005333F8"/>
    <w:rsid w:val="005334D0"/>
    <w:rsid w:val="0053363B"/>
    <w:rsid w:val="00533866"/>
    <w:rsid w:val="00533B61"/>
    <w:rsid w:val="00533FBD"/>
    <w:rsid w:val="00534211"/>
    <w:rsid w:val="0053462E"/>
    <w:rsid w:val="0053490B"/>
    <w:rsid w:val="00534AC4"/>
    <w:rsid w:val="00534D05"/>
    <w:rsid w:val="005354B6"/>
    <w:rsid w:val="005361A5"/>
    <w:rsid w:val="0053655C"/>
    <w:rsid w:val="005368FC"/>
    <w:rsid w:val="00536B20"/>
    <w:rsid w:val="00536D6D"/>
    <w:rsid w:val="005371D8"/>
    <w:rsid w:val="005372E6"/>
    <w:rsid w:val="00537615"/>
    <w:rsid w:val="00537F64"/>
    <w:rsid w:val="00540D7C"/>
    <w:rsid w:val="00541026"/>
    <w:rsid w:val="005413D7"/>
    <w:rsid w:val="00541785"/>
    <w:rsid w:val="00541A48"/>
    <w:rsid w:val="00541AD8"/>
    <w:rsid w:val="00541AE8"/>
    <w:rsid w:val="00541E6E"/>
    <w:rsid w:val="00541EE0"/>
    <w:rsid w:val="005421CA"/>
    <w:rsid w:val="00542465"/>
    <w:rsid w:val="00542A14"/>
    <w:rsid w:val="00542A22"/>
    <w:rsid w:val="00542BE1"/>
    <w:rsid w:val="00542C12"/>
    <w:rsid w:val="0054357E"/>
    <w:rsid w:val="005437FC"/>
    <w:rsid w:val="00543829"/>
    <w:rsid w:val="00543A65"/>
    <w:rsid w:val="00543AC8"/>
    <w:rsid w:val="00543D67"/>
    <w:rsid w:val="00543DA3"/>
    <w:rsid w:val="00543F1F"/>
    <w:rsid w:val="00543F48"/>
    <w:rsid w:val="00544253"/>
    <w:rsid w:val="0054433F"/>
    <w:rsid w:val="0054437F"/>
    <w:rsid w:val="00544423"/>
    <w:rsid w:val="005445C2"/>
    <w:rsid w:val="00544F14"/>
    <w:rsid w:val="005450CB"/>
    <w:rsid w:val="00545945"/>
    <w:rsid w:val="005460FD"/>
    <w:rsid w:val="005463F0"/>
    <w:rsid w:val="00546410"/>
    <w:rsid w:val="0054652D"/>
    <w:rsid w:val="00546A95"/>
    <w:rsid w:val="00546F89"/>
    <w:rsid w:val="00547407"/>
    <w:rsid w:val="00547786"/>
    <w:rsid w:val="005479DB"/>
    <w:rsid w:val="00547C3B"/>
    <w:rsid w:val="00550108"/>
    <w:rsid w:val="00550847"/>
    <w:rsid w:val="00550BBB"/>
    <w:rsid w:val="00550C1C"/>
    <w:rsid w:val="00550D0B"/>
    <w:rsid w:val="0055148D"/>
    <w:rsid w:val="005515D5"/>
    <w:rsid w:val="00551AEE"/>
    <w:rsid w:val="00551DC7"/>
    <w:rsid w:val="005520D0"/>
    <w:rsid w:val="00552166"/>
    <w:rsid w:val="005521D8"/>
    <w:rsid w:val="0055226E"/>
    <w:rsid w:val="00552688"/>
    <w:rsid w:val="00552C35"/>
    <w:rsid w:val="00552DD3"/>
    <w:rsid w:val="0055311A"/>
    <w:rsid w:val="0055335A"/>
    <w:rsid w:val="005536DA"/>
    <w:rsid w:val="0055381A"/>
    <w:rsid w:val="005539CB"/>
    <w:rsid w:val="00553E8D"/>
    <w:rsid w:val="00553F11"/>
    <w:rsid w:val="00553F1B"/>
    <w:rsid w:val="00554429"/>
    <w:rsid w:val="00554786"/>
    <w:rsid w:val="00554960"/>
    <w:rsid w:val="00554C17"/>
    <w:rsid w:val="00554D80"/>
    <w:rsid w:val="00554EFF"/>
    <w:rsid w:val="0055547E"/>
    <w:rsid w:val="00555627"/>
    <w:rsid w:val="005557F2"/>
    <w:rsid w:val="005559E7"/>
    <w:rsid w:val="00555C73"/>
    <w:rsid w:val="00555DAC"/>
    <w:rsid w:val="00555E31"/>
    <w:rsid w:val="00555E39"/>
    <w:rsid w:val="00555FF1"/>
    <w:rsid w:val="005566A5"/>
    <w:rsid w:val="005566C5"/>
    <w:rsid w:val="00556C81"/>
    <w:rsid w:val="00556DBD"/>
    <w:rsid w:val="00556EAE"/>
    <w:rsid w:val="00556EEF"/>
    <w:rsid w:val="00557363"/>
    <w:rsid w:val="005573A2"/>
    <w:rsid w:val="00557444"/>
    <w:rsid w:val="0055764D"/>
    <w:rsid w:val="00557DF3"/>
    <w:rsid w:val="00557E1F"/>
    <w:rsid w:val="00557F99"/>
    <w:rsid w:val="0056050B"/>
    <w:rsid w:val="00560751"/>
    <w:rsid w:val="00560B3F"/>
    <w:rsid w:val="005615E0"/>
    <w:rsid w:val="00561BDC"/>
    <w:rsid w:val="0056204A"/>
    <w:rsid w:val="005620CA"/>
    <w:rsid w:val="005620F4"/>
    <w:rsid w:val="00562410"/>
    <w:rsid w:val="005625C3"/>
    <w:rsid w:val="00562631"/>
    <w:rsid w:val="0056270D"/>
    <w:rsid w:val="00562D07"/>
    <w:rsid w:val="00563075"/>
    <w:rsid w:val="0056316F"/>
    <w:rsid w:val="0056381F"/>
    <w:rsid w:val="00563B2D"/>
    <w:rsid w:val="00563BA8"/>
    <w:rsid w:val="00563C12"/>
    <w:rsid w:val="00563D07"/>
    <w:rsid w:val="0056403B"/>
    <w:rsid w:val="00564101"/>
    <w:rsid w:val="005644D5"/>
    <w:rsid w:val="00564704"/>
    <w:rsid w:val="00564773"/>
    <w:rsid w:val="0056477C"/>
    <w:rsid w:val="0056481B"/>
    <w:rsid w:val="005648C7"/>
    <w:rsid w:val="0056490C"/>
    <w:rsid w:val="00564B7C"/>
    <w:rsid w:val="00564D93"/>
    <w:rsid w:val="00565094"/>
    <w:rsid w:val="0056509B"/>
    <w:rsid w:val="005650C1"/>
    <w:rsid w:val="0056525F"/>
    <w:rsid w:val="0056526D"/>
    <w:rsid w:val="0056528C"/>
    <w:rsid w:val="005655A9"/>
    <w:rsid w:val="00565793"/>
    <w:rsid w:val="00565D23"/>
    <w:rsid w:val="005664AD"/>
    <w:rsid w:val="0056697A"/>
    <w:rsid w:val="00566A82"/>
    <w:rsid w:val="00566AAE"/>
    <w:rsid w:val="00566E50"/>
    <w:rsid w:val="00566F25"/>
    <w:rsid w:val="00566FAA"/>
    <w:rsid w:val="00567177"/>
    <w:rsid w:val="00567265"/>
    <w:rsid w:val="005676FB"/>
    <w:rsid w:val="00567B38"/>
    <w:rsid w:val="00567EF7"/>
    <w:rsid w:val="0057002E"/>
    <w:rsid w:val="005704C7"/>
    <w:rsid w:val="005707B6"/>
    <w:rsid w:val="00570B51"/>
    <w:rsid w:val="00570DE0"/>
    <w:rsid w:val="00570F49"/>
    <w:rsid w:val="00570FDE"/>
    <w:rsid w:val="0057110D"/>
    <w:rsid w:val="005717EF"/>
    <w:rsid w:val="005718CB"/>
    <w:rsid w:val="00571AEA"/>
    <w:rsid w:val="0057219D"/>
    <w:rsid w:val="0057243B"/>
    <w:rsid w:val="005725DD"/>
    <w:rsid w:val="00572725"/>
    <w:rsid w:val="00572866"/>
    <w:rsid w:val="005728C8"/>
    <w:rsid w:val="00572A41"/>
    <w:rsid w:val="00572A7B"/>
    <w:rsid w:val="00572D3F"/>
    <w:rsid w:val="00572FB2"/>
    <w:rsid w:val="00573254"/>
    <w:rsid w:val="00573282"/>
    <w:rsid w:val="00573450"/>
    <w:rsid w:val="005734EA"/>
    <w:rsid w:val="00573540"/>
    <w:rsid w:val="005737E0"/>
    <w:rsid w:val="005739F2"/>
    <w:rsid w:val="00573B33"/>
    <w:rsid w:val="00573E0C"/>
    <w:rsid w:val="0057422A"/>
    <w:rsid w:val="00574321"/>
    <w:rsid w:val="0057466C"/>
    <w:rsid w:val="0057479C"/>
    <w:rsid w:val="005748D4"/>
    <w:rsid w:val="00574A1C"/>
    <w:rsid w:val="00574E50"/>
    <w:rsid w:val="00575834"/>
    <w:rsid w:val="00575AAC"/>
    <w:rsid w:val="00576262"/>
    <w:rsid w:val="00576621"/>
    <w:rsid w:val="00576751"/>
    <w:rsid w:val="00576A83"/>
    <w:rsid w:val="00576F43"/>
    <w:rsid w:val="00577318"/>
    <w:rsid w:val="00577936"/>
    <w:rsid w:val="00577F88"/>
    <w:rsid w:val="00580029"/>
    <w:rsid w:val="00580035"/>
    <w:rsid w:val="0058006C"/>
    <w:rsid w:val="005806F3"/>
    <w:rsid w:val="00580711"/>
    <w:rsid w:val="00580966"/>
    <w:rsid w:val="00580D54"/>
    <w:rsid w:val="00581742"/>
    <w:rsid w:val="00581B4C"/>
    <w:rsid w:val="00581BD5"/>
    <w:rsid w:val="00581C88"/>
    <w:rsid w:val="00582194"/>
    <w:rsid w:val="00582724"/>
    <w:rsid w:val="0058274A"/>
    <w:rsid w:val="005827F2"/>
    <w:rsid w:val="00583105"/>
    <w:rsid w:val="005832D6"/>
    <w:rsid w:val="005836BB"/>
    <w:rsid w:val="00583A5C"/>
    <w:rsid w:val="0058403E"/>
    <w:rsid w:val="005843D0"/>
    <w:rsid w:val="005848D1"/>
    <w:rsid w:val="00584A52"/>
    <w:rsid w:val="00585212"/>
    <w:rsid w:val="0058523B"/>
    <w:rsid w:val="005856EE"/>
    <w:rsid w:val="00585923"/>
    <w:rsid w:val="005859B6"/>
    <w:rsid w:val="00585BAB"/>
    <w:rsid w:val="00585DCE"/>
    <w:rsid w:val="005861D8"/>
    <w:rsid w:val="00586634"/>
    <w:rsid w:val="00586839"/>
    <w:rsid w:val="005876AB"/>
    <w:rsid w:val="005876BE"/>
    <w:rsid w:val="0058779B"/>
    <w:rsid w:val="00587C10"/>
    <w:rsid w:val="00587E20"/>
    <w:rsid w:val="00587F67"/>
    <w:rsid w:val="005903B4"/>
    <w:rsid w:val="0059083D"/>
    <w:rsid w:val="00590921"/>
    <w:rsid w:val="00590957"/>
    <w:rsid w:val="00590E76"/>
    <w:rsid w:val="00590F5B"/>
    <w:rsid w:val="005911E3"/>
    <w:rsid w:val="005917CB"/>
    <w:rsid w:val="0059187B"/>
    <w:rsid w:val="00591B48"/>
    <w:rsid w:val="005921CE"/>
    <w:rsid w:val="0059242F"/>
    <w:rsid w:val="00592896"/>
    <w:rsid w:val="00593139"/>
    <w:rsid w:val="005932BA"/>
    <w:rsid w:val="00593382"/>
    <w:rsid w:val="0059349A"/>
    <w:rsid w:val="0059375C"/>
    <w:rsid w:val="0059385A"/>
    <w:rsid w:val="00593ABB"/>
    <w:rsid w:val="00593F0D"/>
    <w:rsid w:val="00593F37"/>
    <w:rsid w:val="00593F99"/>
    <w:rsid w:val="0059412F"/>
    <w:rsid w:val="0059478C"/>
    <w:rsid w:val="00594BEA"/>
    <w:rsid w:val="005950E5"/>
    <w:rsid w:val="005951F2"/>
    <w:rsid w:val="00595552"/>
    <w:rsid w:val="0059556F"/>
    <w:rsid w:val="0059567E"/>
    <w:rsid w:val="005956AA"/>
    <w:rsid w:val="005958B5"/>
    <w:rsid w:val="00595B6A"/>
    <w:rsid w:val="00595C9B"/>
    <w:rsid w:val="00596843"/>
    <w:rsid w:val="00596898"/>
    <w:rsid w:val="00596ACF"/>
    <w:rsid w:val="005972A1"/>
    <w:rsid w:val="005972B1"/>
    <w:rsid w:val="005974AE"/>
    <w:rsid w:val="005974BE"/>
    <w:rsid w:val="00597529"/>
    <w:rsid w:val="00597548"/>
    <w:rsid w:val="00597636"/>
    <w:rsid w:val="00597861"/>
    <w:rsid w:val="005A0187"/>
    <w:rsid w:val="005A044D"/>
    <w:rsid w:val="005A0593"/>
    <w:rsid w:val="005A07BD"/>
    <w:rsid w:val="005A0949"/>
    <w:rsid w:val="005A0B86"/>
    <w:rsid w:val="005A0C92"/>
    <w:rsid w:val="005A0CBE"/>
    <w:rsid w:val="005A13C1"/>
    <w:rsid w:val="005A19E1"/>
    <w:rsid w:val="005A1AF9"/>
    <w:rsid w:val="005A1D68"/>
    <w:rsid w:val="005A1E06"/>
    <w:rsid w:val="005A1F71"/>
    <w:rsid w:val="005A20DE"/>
    <w:rsid w:val="005A269E"/>
    <w:rsid w:val="005A26AE"/>
    <w:rsid w:val="005A2A22"/>
    <w:rsid w:val="005A2B12"/>
    <w:rsid w:val="005A2D30"/>
    <w:rsid w:val="005A318A"/>
    <w:rsid w:val="005A31B2"/>
    <w:rsid w:val="005A3322"/>
    <w:rsid w:val="005A344B"/>
    <w:rsid w:val="005A349B"/>
    <w:rsid w:val="005A3988"/>
    <w:rsid w:val="005A3B2B"/>
    <w:rsid w:val="005A3EA6"/>
    <w:rsid w:val="005A4019"/>
    <w:rsid w:val="005A424D"/>
    <w:rsid w:val="005A4356"/>
    <w:rsid w:val="005A43CF"/>
    <w:rsid w:val="005A46A6"/>
    <w:rsid w:val="005A49CC"/>
    <w:rsid w:val="005A4B2A"/>
    <w:rsid w:val="005A4BF4"/>
    <w:rsid w:val="005A50FE"/>
    <w:rsid w:val="005A51CD"/>
    <w:rsid w:val="005A5694"/>
    <w:rsid w:val="005A5964"/>
    <w:rsid w:val="005A5F46"/>
    <w:rsid w:val="005A609D"/>
    <w:rsid w:val="005A60ED"/>
    <w:rsid w:val="005A639F"/>
    <w:rsid w:val="005A69AD"/>
    <w:rsid w:val="005A6A06"/>
    <w:rsid w:val="005A6AD3"/>
    <w:rsid w:val="005A7343"/>
    <w:rsid w:val="005A7E5F"/>
    <w:rsid w:val="005B00F5"/>
    <w:rsid w:val="005B047F"/>
    <w:rsid w:val="005B07AC"/>
    <w:rsid w:val="005B0F68"/>
    <w:rsid w:val="005B12A1"/>
    <w:rsid w:val="005B1CE0"/>
    <w:rsid w:val="005B1F42"/>
    <w:rsid w:val="005B1FAE"/>
    <w:rsid w:val="005B21B8"/>
    <w:rsid w:val="005B26B0"/>
    <w:rsid w:val="005B299C"/>
    <w:rsid w:val="005B29F5"/>
    <w:rsid w:val="005B29FE"/>
    <w:rsid w:val="005B2A51"/>
    <w:rsid w:val="005B2A60"/>
    <w:rsid w:val="005B2A6F"/>
    <w:rsid w:val="005B2BBF"/>
    <w:rsid w:val="005B2C09"/>
    <w:rsid w:val="005B2F31"/>
    <w:rsid w:val="005B3028"/>
    <w:rsid w:val="005B31F3"/>
    <w:rsid w:val="005B3444"/>
    <w:rsid w:val="005B35C2"/>
    <w:rsid w:val="005B378B"/>
    <w:rsid w:val="005B37AF"/>
    <w:rsid w:val="005B3CFF"/>
    <w:rsid w:val="005B3D5D"/>
    <w:rsid w:val="005B3FCF"/>
    <w:rsid w:val="005B4A32"/>
    <w:rsid w:val="005B4C4F"/>
    <w:rsid w:val="005B5669"/>
    <w:rsid w:val="005B60DE"/>
    <w:rsid w:val="005B6887"/>
    <w:rsid w:val="005B6AD2"/>
    <w:rsid w:val="005B6D85"/>
    <w:rsid w:val="005B6E6A"/>
    <w:rsid w:val="005B6F9C"/>
    <w:rsid w:val="005B7668"/>
    <w:rsid w:val="005B7835"/>
    <w:rsid w:val="005B7A0F"/>
    <w:rsid w:val="005B7CB8"/>
    <w:rsid w:val="005B7CE6"/>
    <w:rsid w:val="005B7E9E"/>
    <w:rsid w:val="005C049D"/>
    <w:rsid w:val="005C05C9"/>
    <w:rsid w:val="005C0981"/>
    <w:rsid w:val="005C0A86"/>
    <w:rsid w:val="005C0C29"/>
    <w:rsid w:val="005C0CBE"/>
    <w:rsid w:val="005C0DC4"/>
    <w:rsid w:val="005C1107"/>
    <w:rsid w:val="005C1246"/>
    <w:rsid w:val="005C157A"/>
    <w:rsid w:val="005C1817"/>
    <w:rsid w:val="005C1BD4"/>
    <w:rsid w:val="005C1EB1"/>
    <w:rsid w:val="005C2034"/>
    <w:rsid w:val="005C242E"/>
    <w:rsid w:val="005C24B0"/>
    <w:rsid w:val="005C2E76"/>
    <w:rsid w:val="005C317A"/>
    <w:rsid w:val="005C33AB"/>
    <w:rsid w:val="005C33AC"/>
    <w:rsid w:val="005C379D"/>
    <w:rsid w:val="005C38FF"/>
    <w:rsid w:val="005C3CE3"/>
    <w:rsid w:val="005C4350"/>
    <w:rsid w:val="005C4821"/>
    <w:rsid w:val="005C48FF"/>
    <w:rsid w:val="005C4C2F"/>
    <w:rsid w:val="005C4D39"/>
    <w:rsid w:val="005C4DB9"/>
    <w:rsid w:val="005C50CB"/>
    <w:rsid w:val="005C558A"/>
    <w:rsid w:val="005C5616"/>
    <w:rsid w:val="005C58F0"/>
    <w:rsid w:val="005C5B17"/>
    <w:rsid w:val="005C61C6"/>
    <w:rsid w:val="005C6B00"/>
    <w:rsid w:val="005C70B4"/>
    <w:rsid w:val="005C737B"/>
    <w:rsid w:val="005C7454"/>
    <w:rsid w:val="005C74E2"/>
    <w:rsid w:val="005C7A49"/>
    <w:rsid w:val="005C7B39"/>
    <w:rsid w:val="005D02DF"/>
    <w:rsid w:val="005D04BA"/>
    <w:rsid w:val="005D051A"/>
    <w:rsid w:val="005D086D"/>
    <w:rsid w:val="005D0E13"/>
    <w:rsid w:val="005D0ECB"/>
    <w:rsid w:val="005D13F4"/>
    <w:rsid w:val="005D18F3"/>
    <w:rsid w:val="005D1A21"/>
    <w:rsid w:val="005D21BC"/>
    <w:rsid w:val="005D2732"/>
    <w:rsid w:val="005D28D8"/>
    <w:rsid w:val="005D368A"/>
    <w:rsid w:val="005D38E1"/>
    <w:rsid w:val="005D3966"/>
    <w:rsid w:val="005D39A1"/>
    <w:rsid w:val="005D4035"/>
    <w:rsid w:val="005D4360"/>
    <w:rsid w:val="005D45E8"/>
    <w:rsid w:val="005D4FB4"/>
    <w:rsid w:val="005D5206"/>
    <w:rsid w:val="005D5585"/>
    <w:rsid w:val="005D5A50"/>
    <w:rsid w:val="005D5AC9"/>
    <w:rsid w:val="005D6107"/>
    <w:rsid w:val="005D627F"/>
    <w:rsid w:val="005D6354"/>
    <w:rsid w:val="005D63EE"/>
    <w:rsid w:val="005D6453"/>
    <w:rsid w:val="005D6598"/>
    <w:rsid w:val="005D6E4D"/>
    <w:rsid w:val="005D6FC2"/>
    <w:rsid w:val="005D72C9"/>
    <w:rsid w:val="005D7546"/>
    <w:rsid w:val="005D7AE2"/>
    <w:rsid w:val="005D7D6D"/>
    <w:rsid w:val="005D7E2A"/>
    <w:rsid w:val="005E047B"/>
    <w:rsid w:val="005E0904"/>
    <w:rsid w:val="005E0DF6"/>
    <w:rsid w:val="005E1049"/>
    <w:rsid w:val="005E1359"/>
    <w:rsid w:val="005E1461"/>
    <w:rsid w:val="005E1554"/>
    <w:rsid w:val="005E1769"/>
    <w:rsid w:val="005E1B8D"/>
    <w:rsid w:val="005E1CBF"/>
    <w:rsid w:val="005E1F09"/>
    <w:rsid w:val="005E1F84"/>
    <w:rsid w:val="005E2344"/>
    <w:rsid w:val="005E2512"/>
    <w:rsid w:val="005E2750"/>
    <w:rsid w:val="005E2CFE"/>
    <w:rsid w:val="005E2D0B"/>
    <w:rsid w:val="005E3091"/>
    <w:rsid w:val="005E36AD"/>
    <w:rsid w:val="005E36FE"/>
    <w:rsid w:val="005E379D"/>
    <w:rsid w:val="005E387D"/>
    <w:rsid w:val="005E3937"/>
    <w:rsid w:val="005E3B8F"/>
    <w:rsid w:val="005E3C8C"/>
    <w:rsid w:val="005E3F2C"/>
    <w:rsid w:val="005E3F94"/>
    <w:rsid w:val="005E3FF9"/>
    <w:rsid w:val="005E4113"/>
    <w:rsid w:val="005E4781"/>
    <w:rsid w:val="005E4AEB"/>
    <w:rsid w:val="005E4CA6"/>
    <w:rsid w:val="005E4FB0"/>
    <w:rsid w:val="005E5631"/>
    <w:rsid w:val="005E57F9"/>
    <w:rsid w:val="005E580B"/>
    <w:rsid w:val="005E5B87"/>
    <w:rsid w:val="005E6175"/>
    <w:rsid w:val="005E6C78"/>
    <w:rsid w:val="005E6FD3"/>
    <w:rsid w:val="005E7096"/>
    <w:rsid w:val="005E77A8"/>
    <w:rsid w:val="005E7808"/>
    <w:rsid w:val="005E7A60"/>
    <w:rsid w:val="005F02DB"/>
    <w:rsid w:val="005F059D"/>
    <w:rsid w:val="005F0D33"/>
    <w:rsid w:val="005F0DD9"/>
    <w:rsid w:val="005F0ED2"/>
    <w:rsid w:val="005F0F90"/>
    <w:rsid w:val="005F1132"/>
    <w:rsid w:val="005F1559"/>
    <w:rsid w:val="005F17F2"/>
    <w:rsid w:val="005F1A6E"/>
    <w:rsid w:val="005F1F53"/>
    <w:rsid w:val="005F2693"/>
    <w:rsid w:val="005F2902"/>
    <w:rsid w:val="005F2D9F"/>
    <w:rsid w:val="005F3207"/>
    <w:rsid w:val="005F32AF"/>
    <w:rsid w:val="005F3695"/>
    <w:rsid w:val="005F36B0"/>
    <w:rsid w:val="005F37AF"/>
    <w:rsid w:val="005F3E2F"/>
    <w:rsid w:val="005F3E93"/>
    <w:rsid w:val="005F47FC"/>
    <w:rsid w:val="005F4D40"/>
    <w:rsid w:val="005F4DFF"/>
    <w:rsid w:val="005F53E7"/>
    <w:rsid w:val="005F5489"/>
    <w:rsid w:val="005F5CD2"/>
    <w:rsid w:val="005F6454"/>
    <w:rsid w:val="005F68B0"/>
    <w:rsid w:val="005F6B51"/>
    <w:rsid w:val="005F749E"/>
    <w:rsid w:val="005F77E4"/>
    <w:rsid w:val="005F7C38"/>
    <w:rsid w:val="005F7DA8"/>
    <w:rsid w:val="005F7F96"/>
    <w:rsid w:val="00600179"/>
    <w:rsid w:val="0060096F"/>
    <w:rsid w:val="00600C18"/>
    <w:rsid w:val="00600E5E"/>
    <w:rsid w:val="006011B4"/>
    <w:rsid w:val="00601420"/>
    <w:rsid w:val="00601A12"/>
    <w:rsid w:val="00601CFD"/>
    <w:rsid w:val="006020B3"/>
    <w:rsid w:val="0060217A"/>
    <w:rsid w:val="00602723"/>
    <w:rsid w:val="00602C93"/>
    <w:rsid w:val="00603262"/>
    <w:rsid w:val="0060367D"/>
    <w:rsid w:val="00603C44"/>
    <w:rsid w:val="0060455A"/>
    <w:rsid w:val="006046A6"/>
    <w:rsid w:val="006046E1"/>
    <w:rsid w:val="00604727"/>
    <w:rsid w:val="00604998"/>
    <w:rsid w:val="00604C3C"/>
    <w:rsid w:val="00604D2F"/>
    <w:rsid w:val="00605101"/>
    <w:rsid w:val="006051F7"/>
    <w:rsid w:val="00605224"/>
    <w:rsid w:val="00605295"/>
    <w:rsid w:val="006055FF"/>
    <w:rsid w:val="00605864"/>
    <w:rsid w:val="006059EB"/>
    <w:rsid w:val="00606213"/>
    <w:rsid w:val="006064AB"/>
    <w:rsid w:val="00606672"/>
    <w:rsid w:val="00606E7F"/>
    <w:rsid w:val="006075DC"/>
    <w:rsid w:val="00607886"/>
    <w:rsid w:val="00607C0D"/>
    <w:rsid w:val="00607E94"/>
    <w:rsid w:val="00607EE5"/>
    <w:rsid w:val="00607EF4"/>
    <w:rsid w:val="00607FE7"/>
    <w:rsid w:val="006103EC"/>
    <w:rsid w:val="00610A13"/>
    <w:rsid w:val="00610A1F"/>
    <w:rsid w:val="00611174"/>
    <w:rsid w:val="0061134B"/>
    <w:rsid w:val="006116BD"/>
    <w:rsid w:val="006116D1"/>
    <w:rsid w:val="0061181E"/>
    <w:rsid w:val="00611875"/>
    <w:rsid w:val="00611F76"/>
    <w:rsid w:val="00611F82"/>
    <w:rsid w:val="0061201F"/>
    <w:rsid w:val="006120B0"/>
    <w:rsid w:val="006121A7"/>
    <w:rsid w:val="006121D3"/>
    <w:rsid w:val="006121E9"/>
    <w:rsid w:val="0061245A"/>
    <w:rsid w:val="006126D6"/>
    <w:rsid w:val="0061291D"/>
    <w:rsid w:val="00612939"/>
    <w:rsid w:val="00612A59"/>
    <w:rsid w:val="00612F29"/>
    <w:rsid w:val="00613208"/>
    <w:rsid w:val="006137B2"/>
    <w:rsid w:val="006139A1"/>
    <w:rsid w:val="00613A1D"/>
    <w:rsid w:val="00613AA3"/>
    <w:rsid w:val="00613D1F"/>
    <w:rsid w:val="00613D2D"/>
    <w:rsid w:val="00613E15"/>
    <w:rsid w:val="00614281"/>
    <w:rsid w:val="0061457F"/>
    <w:rsid w:val="0061472D"/>
    <w:rsid w:val="00614E7F"/>
    <w:rsid w:val="00614E9F"/>
    <w:rsid w:val="00614EBC"/>
    <w:rsid w:val="006152A7"/>
    <w:rsid w:val="00615524"/>
    <w:rsid w:val="00615572"/>
    <w:rsid w:val="006155DD"/>
    <w:rsid w:val="00615608"/>
    <w:rsid w:val="00615762"/>
    <w:rsid w:val="006158FB"/>
    <w:rsid w:val="006159F3"/>
    <w:rsid w:val="00615A35"/>
    <w:rsid w:val="0061634F"/>
    <w:rsid w:val="006168AA"/>
    <w:rsid w:val="00616AAD"/>
    <w:rsid w:val="00616C4F"/>
    <w:rsid w:val="00616D1B"/>
    <w:rsid w:val="00616F0A"/>
    <w:rsid w:val="0061742B"/>
    <w:rsid w:val="006174FC"/>
    <w:rsid w:val="00617512"/>
    <w:rsid w:val="0061757B"/>
    <w:rsid w:val="006175F1"/>
    <w:rsid w:val="0061797E"/>
    <w:rsid w:val="00617A6D"/>
    <w:rsid w:val="00617D42"/>
    <w:rsid w:val="00617E44"/>
    <w:rsid w:val="006206D7"/>
    <w:rsid w:val="006206E7"/>
    <w:rsid w:val="006208F7"/>
    <w:rsid w:val="00620927"/>
    <w:rsid w:val="00620C70"/>
    <w:rsid w:val="0062114C"/>
    <w:rsid w:val="00621513"/>
    <w:rsid w:val="0062160B"/>
    <w:rsid w:val="006221EE"/>
    <w:rsid w:val="0062236B"/>
    <w:rsid w:val="006224B4"/>
    <w:rsid w:val="00622E5E"/>
    <w:rsid w:val="00623154"/>
    <w:rsid w:val="006234EE"/>
    <w:rsid w:val="00623552"/>
    <w:rsid w:val="006236CF"/>
    <w:rsid w:val="00623854"/>
    <w:rsid w:val="00623D57"/>
    <w:rsid w:val="00624028"/>
    <w:rsid w:val="00624054"/>
    <w:rsid w:val="006241FD"/>
    <w:rsid w:val="00624C97"/>
    <w:rsid w:val="00624FCE"/>
    <w:rsid w:val="0062568D"/>
    <w:rsid w:val="006257BC"/>
    <w:rsid w:val="00625968"/>
    <w:rsid w:val="00626025"/>
    <w:rsid w:val="00626189"/>
    <w:rsid w:val="00626489"/>
    <w:rsid w:val="006265BD"/>
    <w:rsid w:val="006266AE"/>
    <w:rsid w:val="0062718F"/>
    <w:rsid w:val="00627460"/>
    <w:rsid w:val="00627AC8"/>
    <w:rsid w:val="0063021D"/>
    <w:rsid w:val="00630846"/>
    <w:rsid w:val="00630A79"/>
    <w:rsid w:val="00630E22"/>
    <w:rsid w:val="00630E37"/>
    <w:rsid w:val="00630EE9"/>
    <w:rsid w:val="006310F5"/>
    <w:rsid w:val="0063169A"/>
    <w:rsid w:val="00631A57"/>
    <w:rsid w:val="00631B42"/>
    <w:rsid w:val="00631C3E"/>
    <w:rsid w:val="00631EE6"/>
    <w:rsid w:val="006325D7"/>
    <w:rsid w:val="0063276F"/>
    <w:rsid w:val="00632C69"/>
    <w:rsid w:val="00632F85"/>
    <w:rsid w:val="00633A59"/>
    <w:rsid w:val="00633CA8"/>
    <w:rsid w:val="006340BB"/>
    <w:rsid w:val="0063451E"/>
    <w:rsid w:val="006347B0"/>
    <w:rsid w:val="00634834"/>
    <w:rsid w:val="00634A96"/>
    <w:rsid w:val="00634C41"/>
    <w:rsid w:val="00634D7B"/>
    <w:rsid w:val="0063508E"/>
    <w:rsid w:val="0063513E"/>
    <w:rsid w:val="006351CA"/>
    <w:rsid w:val="0063537E"/>
    <w:rsid w:val="00635934"/>
    <w:rsid w:val="00635E6A"/>
    <w:rsid w:val="0063604E"/>
    <w:rsid w:val="00636539"/>
    <w:rsid w:val="006366DA"/>
    <w:rsid w:val="006369E4"/>
    <w:rsid w:val="00636AF9"/>
    <w:rsid w:val="00636B05"/>
    <w:rsid w:val="00636B08"/>
    <w:rsid w:val="006370DD"/>
    <w:rsid w:val="00637237"/>
    <w:rsid w:val="00637BDD"/>
    <w:rsid w:val="00637C0A"/>
    <w:rsid w:val="00637D5A"/>
    <w:rsid w:val="00637FE4"/>
    <w:rsid w:val="006401F2"/>
    <w:rsid w:val="00640347"/>
    <w:rsid w:val="006403CB"/>
    <w:rsid w:val="00640420"/>
    <w:rsid w:val="006409CB"/>
    <w:rsid w:val="00640D56"/>
    <w:rsid w:val="00640F72"/>
    <w:rsid w:val="0064126D"/>
    <w:rsid w:val="006414AE"/>
    <w:rsid w:val="006415A0"/>
    <w:rsid w:val="00641A49"/>
    <w:rsid w:val="00641A64"/>
    <w:rsid w:val="00641DB4"/>
    <w:rsid w:val="0064206D"/>
    <w:rsid w:val="0064230B"/>
    <w:rsid w:val="00642423"/>
    <w:rsid w:val="00642F1D"/>
    <w:rsid w:val="00642F5C"/>
    <w:rsid w:val="006430CA"/>
    <w:rsid w:val="0064325D"/>
    <w:rsid w:val="00643522"/>
    <w:rsid w:val="00643902"/>
    <w:rsid w:val="00643AB4"/>
    <w:rsid w:val="00643C96"/>
    <w:rsid w:val="006442B8"/>
    <w:rsid w:val="00644511"/>
    <w:rsid w:val="00644E8D"/>
    <w:rsid w:val="00645052"/>
    <w:rsid w:val="00645060"/>
    <w:rsid w:val="0064520B"/>
    <w:rsid w:val="0064542C"/>
    <w:rsid w:val="00645469"/>
    <w:rsid w:val="00645659"/>
    <w:rsid w:val="006457B1"/>
    <w:rsid w:val="00645B2A"/>
    <w:rsid w:val="00645CDD"/>
    <w:rsid w:val="00645EB8"/>
    <w:rsid w:val="00645FB3"/>
    <w:rsid w:val="006460C3"/>
    <w:rsid w:val="006460CE"/>
    <w:rsid w:val="00646403"/>
    <w:rsid w:val="00646462"/>
    <w:rsid w:val="00646853"/>
    <w:rsid w:val="00646A8C"/>
    <w:rsid w:val="00646E80"/>
    <w:rsid w:val="0064708D"/>
    <w:rsid w:val="00647348"/>
    <w:rsid w:val="0064764D"/>
    <w:rsid w:val="006478BF"/>
    <w:rsid w:val="00647DF6"/>
    <w:rsid w:val="00647EB3"/>
    <w:rsid w:val="00647EE9"/>
    <w:rsid w:val="00647F19"/>
    <w:rsid w:val="006500F7"/>
    <w:rsid w:val="00650B8E"/>
    <w:rsid w:val="00650C39"/>
    <w:rsid w:val="00650D17"/>
    <w:rsid w:val="00650D8D"/>
    <w:rsid w:val="0065114D"/>
    <w:rsid w:val="00651518"/>
    <w:rsid w:val="0065152B"/>
    <w:rsid w:val="006516B9"/>
    <w:rsid w:val="0065186B"/>
    <w:rsid w:val="00651922"/>
    <w:rsid w:val="00651B4E"/>
    <w:rsid w:val="00651EC7"/>
    <w:rsid w:val="0065202F"/>
    <w:rsid w:val="0065246C"/>
    <w:rsid w:val="00652745"/>
    <w:rsid w:val="0065281F"/>
    <w:rsid w:val="00652987"/>
    <w:rsid w:val="00652C64"/>
    <w:rsid w:val="00652E35"/>
    <w:rsid w:val="006532CA"/>
    <w:rsid w:val="006534BF"/>
    <w:rsid w:val="00653A97"/>
    <w:rsid w:val="006542EE"/>
    <w:rsid w:val="00654A90"/>
    <w:rsid w:val="00654BE9"/>
    <w:rsid w:val="00654EA6"/>
    <w:rsid w:val="00654FC8"/>
    <w:rsid w:val="006551F0"/>
    <w:rsid w:val="006556C8"/>
    <w:rsid w:val="006557BF"/>
    <w:rsid w:val="00655E7B"/>
    <w:rsid w:val="00655FE1"/>
    <w:rsid w:val="006561F6"/>
    <w:rsid w:val="006562A1"/>
    <w:rsid w:val="006562A7"/>
    <w:rsid w:val="00656383"/>
    <w:rsid w:val="0065638D"/>
    <w:rsid w:val="00656B1F"/>
    <w:rsid w:val="0065704C"/>
    <w:rsid w:val="00657110"/>
    <w:rsid w:val="006572AC"/>
    <w:rsid w:val="0065747C"/>
    <w:rsid w:val="0065760B"/>
    <w:rsid w:val="00657E35"/>
    <w:rsid w:val="0066026F"/>
    <w:rsid w:val="006603BC"/>
    <w:rsid w:val="006608C8"/>
    <w:rsid w:val="0066109D"/>
    <w:rsid w:val="006613D8"/>
    <w:rsid w:val="006614B9"/>
    <w:rsid w:val="00661A0E"/>
    <w:rsid w:val="00662194"/>
    <w:rsid w:val="006621DA"/>
    <w:rsid w:val="006623DA"/>
    <w:rsid w:val="0066245D"/>
    <w:rsid w:val="00662668"/>
    <w:rsid w:val="006628E3"/>
    <w:rsid w:val="00662A29"/>
    <w:rsid w:val="00662B48"/>
    <w:rsid w:val="00662E31"/>
    <w:rsid w:val="006630D7"/>
    <w:rsid w:val="00663184"/>
    <w:rsid w:val="0066358A"/>
    <w:rsid w:val="00663641"/>
    <w:rsid w:val="006636C6"/>
    <w:rsid w:val="006636FE"/>
    <w:rsid w:val="00663D47"/>
    <w:rsid w:val="006640DB"/>
    <w:rsid w:val="0066411E"/>
    <w:rsid w:val="006642E3"/>
    <w:rsid w:val="00664486"/>
    <w:rsid w:val="00664859"/>
    <w:rsid w:val="00665163"/>
    <w:rsid w:val="0066549C"/>
    <w:rsid w:val="00665B96"/>
    <w:rsid w:val="00665C8D"/>
    <w:rsid w:val="00665DB5"/>
    <w:rsid w:val="006662B3"/>
    <w:rsid w:val="0066632A"/>
    <w:rsid w:val="006664EB"/>
    <w:rsid w:val="006665B3"/>
    <w:rsid w:val="00667668"/>
    <w:rsid w:val="00667B90"/>
    <w:rsid w:val="00667BC6"/>
    <w:rsid w:val="00667BFC"/>
    <w:rsid w:val="00667E77"/>
    <w:rsid w:val="006700BE"/>
    <w:rsid w:val="006702BC"/>
    <w:rsid w:val="0067047D"/>
    <w:rsid w:val="00670517"/>
    <w:rsid w:val="00670899"/>
    <w:rsid w:val="00671495"/>
    <w:rsid w:val="006714AF"/>
    <w:rsid w:val="00671741"/>
    <w:rsid w:val="006717BC"/>
    <w:rsid w:val="0067183A"/>
    <w:rsid w:val="00671AA0"/>
    <w:rsid w:val="0067211F"/>
    <w:rsid w:val="006727B1"/>
    <w:rsid w:val="006728C7"/>
    <w:rsid w:val="00672F9A"/>
    <w:rsid w:val="00673424"/>
    <w:rsid w:val="00673864"/>
    <w:rsid w:val="00673BD8"/>
    <w:rsid w:val="00673CC0"/>
    <w:rsid w:val="00673D4B"/>
    <w:rsid w:val="00673DEE"/>
    <w:rsid w:val="00674015"/>
    <w:rsid w:val="00674058"/>
    <w:rsid w:val="00674090"/>
    <w:rsid w:val="006744AB"/>
    <w:rsid w:val="00674A2E"/>
    <w:rsid w:val="00674DCE"/>
    <w:rsid w:val="0067544D"/>
    <w:rsid w:val="0067551F"/>
    <w:rsid w:val="00675778"/>
    <w:rsid w:val="006758A9"/>
    <w:rsid w:val="00675A00"/>
    <w:rsid w:val="00675BCD"/>
    <w:rsid w:val="00675C29"/>
    <w:rsid w:val="0067620C"/>
    <w:rsid w:val="00676302"/>
    <w:rsid w:val="00676412"/>
    <w:rsid w:val="00676693"/>
    <w:rsid w:val="006768E7"/>
    <w:rsid w:val="00676BBD"/>
    <w:rsid w:val="00676BF1"/>
    <w:rsid w:val="00676C72"/>
    <w:rsid w:val="00676D1C"/>
    <w:rsid w:val="00676D3C"/>
    <w:rsid w:val="00677040"/>
    <w:rsid w:val="006774A1"/>
    <w:rsid w:val="0067781E"/>
    <w:rsid w:val="00677FEF"/>
    <w:rsid w:val="006804AD"/>
    <w:rsid w:val="00680579"/>
    <w:rsid w:val="006805C2"/>
    <w:rsid w:val="0068061C"/>
    <w:rsid w:val="00680A0F"/>
    <w:rsid w:val="0068119B"/>
    <w:rsid w:val="00681444"/>
    <w:rsid w:val="006814D8"/>
    <w:rsid w:val="006814DB"/>
    <w:rsid w:val="006815A4"/>
    <w:rsid w:val="006816E4"/>
    <w:rsid w:val="00681737"/>
    <w:rsid w:val="00681A60"/>
    <w:rsid w:val="00681C7B"/>
    <w:rsid w:val="00681E89"/>
    <w:rsid w:val="00681F7C"/>
    <w:rsid w:val="006821E9"/>
    <w:rsid w:val="00682951"/>
    <w:rsid w:val="00683503"/>
    <w:rsid w:val="0068396C"/>
    <w:rsid w:val="00683A4E"/>
    <w:rsid w:val="00683D49"/>
    <w:rsid w:val="00683DA1"/>
    <w:rsid w:val="0068486E"/>
    <w:rsid w:val="00684BAE"/>
    <w:rsid w:val="00684CD7"/>
    <w:rsid w:val="00684CE9"/>
    <w:rsid w:val="00684D2D"/>
    <w:rsid w:val="00684EB8"/>
    <w:rsid w:val="00685322"/>
    <w:rsid w:val="00685482"/>
    <w:rsid w:val="006854C9"/>
    <w:rsid w:val="006857C1"/>
    <w:rsid w:val="0068584B"/>
    <w:rsid w:val="00685869"/>
    <w:rsid w:val="0068589E"/>
    <w:rsid w:val="00685A4E"/>
    <w:rsid w:val="00685FC8"/>
    <w:rsid w:val="00686084"/>
    <w:rsid w:val="006867A6"/>
    <w:rsid w:val="00686885"/>
    <w:rsid w:val="006868AA"/>
    <w:rsid w:val="00686AE4"/>
    <w:rsid w:val="00686B12"/>
    <w:rsid w:val="00687444"/>
    <w:rsid w:val="00687559"/>
    <w:rsid w:val="006876A0"/>
    <w:rsid w:val="00687B60"/>
    <w:rsid w:val="00687C80"/>
    <w:rsid w:val="006901B7"/>
    <w:rsid w:val="00690545"/>
    <w:rsid w:val="0069066A"/>
    <w:rsid w:val="00690762"/>
    <w:rsid w:val="00690853"/>
    <w:rsid w:val="00690B42"/>
    <w:rsid w:val="00690C0A"/>
    <w:rsid w:val="00690DCF"/>
    <w:rsid w:val="00690DF4"/>
    <w:rsid w:val="00690E70"/>
    <w:rsid w:val="006911A5"/>
    <w:rsid w:val="00691245"/>
    <w:rsid w:val="006915DC"/>
    <w:rsid w:val="00691B3D"/>
    <w:rsid w:val="00691E4A"/>
    <w:rsid w:val="006925FB"/>
    <w:rsid w:val="00692BE4"/>
    <w:rsid w:val="00692D44"/>
    <w:rsid w:val="006930C1"/>
    <w:rsid w:val="00693490"/>
    <w:rsid w:val="006937CE"/>
    <w:rsid w:val="00693815"/>
    <w:rsid w:val="00693835"/>
    <w:rsid w:val="00693A1F"/>
    <w:rsid w:val="006940FE"/>
    <w:rsid w:val="006942EC"/>
    <w:rsid w:val="00694314"/>
    <w:rsid w:val="00694445"/>
    <w:rsid w:val="006945A9"/>
    <w:rsid w:val="00694B05"/>
    <w:rsid w:val="00694B69"/>
    <w:rsid w:val="00694BD3"/>
    <w:rsid w:val="00694CD2"/>
    <w:rsid w:val="00694CE6"/>
    <w:rsid w:val="006950A6"/>
    <w:rsid w:val="00695113"/>
    <w:rsid w:val="0069528D"/>
    <w:rsid w:val="006957C4"/>
    <w:rsid w:val="00695824"/>
    <w:rsid w:val="00695C44"/>
    <w:rsid w:val="00696561"/>
    <w:rsid w:val="00697939"/>
    <w:rsid w:val="00697B27"/>
    <w:rsid w:val="00697B8C"/>
    <w:rsid w:val="00697BE0"/>
    <w:rsid w:val="00697F8B"/>
    <w:rsid w:val="00697FFE"/>
    <w:rsid w:val="006A0068"/>
    <w:rsid w:val="006A0116"/>
    <w:rsid w:val="006A0615"/>
    <w:rsid w:val="006A0684"/>
    <w:rsid w:val="006A0725"/>
    <w:rsid w:val="006A0B25"/>
    <w:rsid w:val="006A0FFD"/>
    <w:rsid w:val="006A12A7"/>
    <w:rsid w:val="006A1339"/>
    <w:rsid w:val="006A1595"/>
    <w:rsid w:val="006A18B1"/>
    <w:rsid w:val="006A19DA"/>
    <w:rsid w:val="006A1BAE"/>
    <w:rsid w:val="006A1EB4"/>
    <w:rsid w:val="006A1FD0"/>
    <w:rsid w:val="006A22DD"/>
    <w:rsid w:val="006A23A9"/>
    <w:rsid w:val="006A2522"/>
    <w:rsid w:val="006A2A82"/>
    <w:rsid w:val="006A2F81"/>
    <w:rsid w:val="006A2FF9"/>
    <w:rsid w:val="006A3120"/>
    <w:rsid w:val="006A321B"/>
    <w:rsid w:val="006A3531"/>
    <w:rsid w:val="006A381D"/>
    <w:rsid w:val="006A3A7D"/>
    <w:rsid w:val="006A3C0E"/>
    <w:rsid w:val="006A4084"/>
    <w:rsid w:val="006A4128"/>
    <w:rsid w:val="006A412D"/>
    <w:rsid w:val="006A4217"/>
    <w:rsid w:val="006A4299"/>
    <w:rsid w:val="006A437B"/>
    <w:rsid w:val="006A533E"/>
    <w:rsid w:val="006A582F"/>
    <w:rsid w:val="006A59AE"/>
    <w:rsid w:val="006A5B18"/>
    <w:rsid w:val="006A5B2F"/>
    <w:rsid w:val="006A5BAB"/>
    <w:rsid w:val="006A5D48"/>
    <w:rsid w:val="006A5E1A"/>
    <w:rsid w:val="006A5FED"/>
    <w:rsid w:val="006A604F"/>
    <w:rsid w:val="006A617E"/>
    <w:rsid w:val="006A645C"/>
    <w:rsid w:val="006A65ED"/>
    <w:rsid w:val="006A6718"/>
    <w:rsid w:val="006A6890"/>
    <w:rsid w:val="006A68BB"/>
    <w:rsid w:val="006A68EA"/>
    <w:rsid w:val="006A6AAC"/>
    <w:rsid w:val="006A6BA3"/>
    <w:rsid w:val="006A6BCC"/>
    <w:rsid w:val="006A6C83"/>
    <w:rsid w:val="006A77C5"/>
    <w:rsid w:val="006A7B90"/>
    <w:rsid w:val="006A7CB2"/>
    <w:rsid w:val="006A7D38"/>
    <w:rsid w:val="006B01D2"/>
    <w:rsid w:val="006B0928"/>
    <w:rsid w:val="006B0BD2"/>
    <w:rsid w:val="006B0DBA"/>
    <w:rsid w:val="006B0EB8"/>
    <w:rsid w:val="006B0EC8"/>
    <w:rsid w:val="006B0F4B"/>
    <w:rsid w:val="006B125D"/>
    <w:rsid w:val="006B1586"/>
    <w:rsid w:val="006B16E1"/>
    <w:rsid w:val="006B18F9"/>
    <w:rsid w:val="006B1F21"/>
    <w:rsid w:val="006B1FD3"/>
    <w:rsid w:val="006B2310"/>
    <w:rsid w:val="006B2944"/>
    <w:rsid w:val="006B2C26"/>
    <w:rsid w:val="006B2DF0"/>
    <w:rsid w:val="006B2FC0"/>
    <w:rsid w:val="006B3090"/>
    <w:rsid w:val="006B36E0"/>
    <w:rsid w:val="006B37D8"/>
    <w:rsid w:val="006B39B9"/>
    <w:rsid w:val="006B42B7"/>
    <w:rsid w:val="006B4376"/>
    <w:rsid w:val="006B46BE"/>
    <w:rsid w:val="006B471B"/>
    <w:rsid w:val="006B47C2"/>
    <w:rsid w:val="006B4A46"/>
    <w:rsid w:val="006B4B7F"/>
    <w:rsid w:val="006B4C49"/>
    <w:rsid w:val="006B4CA0"/>
    <w:rsid w:val="006B4F04"/>
    <w:rsid w:val="006B5473"/>
    <w:rsid w:val="006B5CF1"/>
    <w:rsid w:val="006B5E69"/>
    <w:rsid w:val="006B622E"/>
    <w:rsid w:val="006B63C2"/>
    <w:rsid w:val="006B6790"/>
    <w:rsid w:val="006B68C2"/>
    <w:rsid w:val="006B6E1D"/>
    <w:rsid w:val="006B753B"/>
    <w:rsid w:val="006B7866"/>
    <w:rsid w:val="006B7BDA"/>
    <w:rsid w:val="006B7F4E"/>
    <w:rsid w:val="006C008F"/>
    <w:rsid w:val="006C04AE"/>
    <w:rsid w:val="006C07E4"/>
    <w:rsid w:val="006C08FB"/>
    <w:rsid w:val="006C0B77"/>
    <w:rsid w:val="006C0CAF"/>
    <w:rsid w:val="006C11BB"/>
    <w:rsid w:val="006C12ED"/>
    <w:rsid w:val="006C13EA"/>
    <w:rsid w:val="006C1416"/>
    <w:rsid w:val="006C1522"/>
    <w:rsid w:val="006C17B3"/>
    <w:rsid w:val="006C20D6"/>
    <w:rsid w:val="006C2107"/>
    <w:rsid w:val="006C31B2"/>
    <w:rsid w:val="006C3376"/>
    <w:rsid w:val="006C3446"/>
    <w:rsid w:val="006C3662"/>
    <w:rsid w:val="006C3A4A"/>
    <w:rsid w:val="006C3ED7"/>
    <w:rsid w:val="006C4171"/>
    <w:rsid w:val="006C482F"/>
    <w:rsid w:val="006C49AC"/>
    <w:rsid w:val="006C4B33"/>
    <w:rsid w:val="006C4E3A"/>
    <w:rsid w:val="006C53B0"/>
    <w:rsid w:val="006C54C8"/>
    <w:rsid w:val="006C54F3"/>
    <w:rsid w:val="006C58FE"/>
    <w:rsid w:val="006C5E77"/>
    <w:rsid w:val="006C5EBD"/>
    <w:rsid w:val="006C608B"/>
    <w:rsid w:val="006C642D"/>
    <w:rsid w:val="006C65B7"/>
    <w:rsid w:val="006C6825"/>
    <w:rsid w:val="006C69FB"/>
    <w:rsid w:val="006C6A50"/>
    <w:rsid w:val="006C6CAF"/>
    <w:rsid w:val="006C7032"/>
    <w:rsid w:val="006C76D3"/>
    <w:rsid w:val="006C7791"/>
    <w:rsid w:val="006C7DB2"/>
    <w:rsid w:val="006D0068"/>
    <w:rsid w:val="006D0195"/>
    <w:rsid w:val="006D07B2"/>
    <w:rsid w:val="006D0973"/>
    <w:rsid w:val="006D0A3C"/>
    <w:rsid w:val="006D0E05"/>
    <w:rsid w:val="006D104D"/>
    <w:rsid w:val="006D1120"/>
    <w:rsid w:val="006D1137"/>
    <w:rsid w:val="006D1606"/>
    <w:rsid w:val="006D1A31"/>
    <w:rsid w:val="006D1C35"/>
    <w:rsid w:val="006D206D"/>
    <w:rsid w:val="006D20CD"/>
    <w:rsid w:val="006D2228"/>
    <w:rsid w:val="006D2691"/>
    <w:rsid w:val="006D2A58"/>
    <w:rsid w:val="006D2A70"/>
    <w:rsid w:val="006D2AC3"/>
    <w:rsid w:val="006D2AF2"/>
    <w:rsid w:val="006D2B74"/>
    <w:rsid w:val="006D2C6D"/>
    <w:rsid w:val="006D2DE8"/>
    <w:rsid w:val="006D3390"/>
    <w:rsid w:val="006D3728"/>
    <w:rsid w:val="006D384E"/>
    <w:rsid w:val="006D4560"/>
    <w:rsid w:val="006D4620"/>
    <w:rsid w:val="006D46F6"/>
    <w:rsid w:val="006D48B5"/>
    <w:rsid w:val="006D4AF4"/>
    <w:rsid w:val="006D4B2C"/>
    <w:rsid w:val="006D4BB4"/>
    <w:rsid w:val="006D50A6"/>
    <w:rsid w:val="006D50E2"/>
    <w:rsid w:val="006D511D"/>
    <w:rsid w:val="006D5358"/>
    <w:rsid w:val="006D536A"/>
    <w:rsid w:val="006D58EA"/>
    <w:rsid w:val="006D5F72"/>
    <w:rsid w:val="006D5FB7"/>
    <w:rsid w:val="006D6695"/>
    <w:rsid w:val="006D675F"/>
    <w:rsid w:val="006D69DF"/>
    <w:rsid w:val="006D6AA1"/>
    <w:rsid w:val="006D7123"/>
    <w:rsid w:val="006D7909"/>
    <w:rsid w:val="006D7D75"/>
    <w:rsid w:val="006E0489"/>
    <w:rsid w:val="006E080A"/>
    <w:rsid w:val="006E09AF"/>
    <w:rsid w:val="006E0F6A"/>
    <w:rsid w:val="006E1788"/>
    <w:rsid w:val="006E18A5"/>
    <w:rsid w:val="006E1B02"/>
    <w:rsid w:val="006E1F78"/>
    <w:rsid w:val="006E20EB"/>
    <w:rsid w:val="006E25ED"/>
    <w:rsid w:val="006E27E3"/>
    <w:rsid w:val="006E32E8"/>
    <w:rsid w:val="006E33EF"/>
    <w:rsid w:val="006E34A6"/>
    <w:rsid w:val="006E357E"/>
    <w:rsid w:val="006E3713"/>
    <w:rsid w:val="006E4951"/>
    <w:rsid w:val="006E4A94"/>
    <w:rsid w:val="006E4F5F"/>
    <w:rsid w:val="006E4F63"/>
    <w:rsid w:val="006E4FD0"/>
    <w:rsid w:val="006E52AB"/>
    <w:rsid w:val="006E5469"/>
    <w:rsid w:val="006E58F6"/>
    <w:rsid w:val="006E5C59"/>
    <w:rsid w:val="006E5D54"/>
    <w:rsid w:val="006E5F3D"/>
    <w:rsid w:val="006E5FEE"/>
    <w:rsid w:val="006E607F"/>
    <w:rsid w:val="006E6639"/>
    <w:rsid w:val="006E6648"/>
    <w:rsid w:val="006E67B4"/>
    <w:rsid w:val="006E683C"/>
    <w:rsid w:val="006E6CC7"/>
    <w:rsid w:val="006E6ED8"/>
    <w:rsid w:val="006E71D1"/>
    <w:rsid w:val="006E7B9E"/>
    <w:rsid w:val="006E7DC0"/>
    <w:rsid w:val="006F0429"/>
    <w:rsid w:val="006F063F"/>
    <w:rsid w:val="006F08BB"/>
    <w:rsid w:val="006F09F1"/>
    <w:rsid w:val="006F0B12"/>
    <w:rsid w:val="006F1537"/>
    <w:rsid w:val="006F17B5"/>
    <w:rsid w:val="006F1885"/>
    <w:rsid w:val="006F18F7"/>
    <w:rsid w:val="006F19C4"/>
    <w:rsid w:val="006F1ED9"/>
    <w:rsid w:val="006F2115"/>
    <w:rsid w:val="006F28B1"/>
    <w:rsid w:val="006F2901"/>
    <w:rsid w:val="006F295F"/>
    <w:rsid w:val="006F316A"/>
    <w:rsid w:val="006F34E6"/>
    <w:rsid w:val="006F3C80"/>
    <w:rsid w:val="006F3D72"/>
    <w:rsid w:val="006F4106"/>
    <w:rsid w:val="006F4368"/>
    <w:rsid w:val="006F43DC"/>
    <w:rsid w:val="006F4BB0"/>
    <w:rsid w:val="006F4DF3"/>
    <w:rsid w:val="006F5564"/>
    <w:rsid w:val="006F5BFB"/>
    <w:rsid w:val="006F5C1B"/>
    <w:rsid w:val="006F5C2C"/>
    <w:rsid w:val="006F5E4C"/>
    <w:rsid w:val="006F600B"/>
    <w:rsid w:val="006F637D"/>
    <w:rsid w:val="006F63DE"/>
    <w:rsid w:val="006F6506"/>
    <w:rsid w:val="006F65BC"/>
    <w:rsid w:val="006F6937"/>
    <w:rsid w:val="006F6BBA"/>
    <w:rsid w:val="006F70D3"/>
    <w:rsid w:val="006F7536"/>
    <w:rsid w:val="006F7551"/>
    <w:rsid w:val="006F758D"/>
    <w:rsid w:val="006F75FB"/>
    <w:rsid w:val="006F7A9B"/>
    <w:rsid w:val="006F7C39"/>
    <w:rsid w:val="00700A22"/>
    <w:rsid w:val="00700AD2"/>
    <w:rsid w:val="00700B2A"/>
    <w:rsid w:val="007011FC"/>
    <w:rsid w:val="00701241"/>
    <w:rsid w:val="00701244"/>
    <w:rsid w:val="007012AA"/>
    <w:rsid w:val="00701665"/>
    <w:rsid w:val="00701AEE"/>
    <w:rsid w:val="00701FD5"/>
    <w:rsid w:val="00702115"/>
    <w:rsid w:val="0070214C"/>
    <w:rsid w:val="00702789"/>
    <w:rsid w:val="00702905"/>
    <w:rsid w:val="0070299F"/>
    <w:rsid w:val="00702BBB"/>
    <w:rsid w:val="00702C14"/>
    <w:rsid w:val="00702FC8"/>
    <w:rsid w:val="007033B5"/>
    <w:rsid w:val="007034B1"/>
    <w:rsid w:val="0070355C"/>
    <w:rsid w:val="00703588"/>
    <w:rsid w:val="00703716"/>
    <w:rsid w:val="007037EA"/>
    <w:rsid w:val="0070380E"/>
    <w:rsid w:val="0070404B"/>
    <w:rsid w:val="00704196"/>
    <w:rsid w:val="00704581"/>
    <w:rsid w:val="007045DF"/>
    <w:rsid w:val="0070481D"/>
    <w:rsid w:val="007048CD"/>
    <w:rsid w:val="00704D26"/>
    <w:rsid w:val="007050DB"/>
    <w:rsid w:val="007057CB"/>
    <w:rsid w:val="007059DD"/>
    <w:rsid w:val="00705A32"/>
    <w:rsid w:val="00705B28"/>
    <w:rsid w:val="00705CC3"/>
    <w:rsid w:val="00705F36"/>
    <w:rsid w:val="00705F8A"/>
    <w:rsid w:val="00705F90"/>
    <w:rsid w:val="00705FB4"/>
    <w:rsid w:val="00706110"/>
    <w:rsid w:val="00706140"/>
    <w:rsid w:val="00706687"/>
    <w:rsid w:val="00706D44"/>
    <w:rsid w:val="00707392"/>
    <w:rsid w:val="00707D0C"/>
    <w:rsid w:val="007100E1"/>
    <w:rsid w:val="0071029C"/>
    <w:rsid w:val="00710964"/>
    <w:rsid w:val="00710DE6"/>
    <w:rsid w:val="00710F35"/>
    <w:rsid w:val="00711373"/>
    <w:rsid w:val="007117AC"/>
    <w:rsid w:val="00711AC1"/>
    <w:rsid w:val="00711CA1"/>
    <w:rsid w:val="00711DFC"/>
    <w:rsid w:val="0071200A"/>
    <w:rsid w:val="00712023"/>
    <w:rsid w:val="007121A4"/>
    <w:rsid w:val="0071226B"/>
    <w:rsid w:val="0071240B"/>
    <w:rsid w:val="007126B0"/>
    <w:rsid w:val="007128DF"/>
    <w:rsid w:val="00712BE3"/>
    <w:rsid w:val="00712D68"/>
    <w:rsid w:val="00713064"/>
    <w:rsid w:val="00713112"/>
    <w:rsid w:val="00713320"/>
    <w:rsid w:val="0071359D"/>
    <w:rsid w:val="00713782"/>
    <w:rsid w:val="00713EE3"/>
    <w:rsid w:val="00713FEF"/>
    <w:rsid w:val="0071408F"/>
    <w:rsid w:val="007140EB"/>
    <w:rsid w:val="00714121"/>
    <w:rsid w:val="00714274"/>
    <w:rsid w:val="007145A1"/>
    <w:rsid w:val="007145CB"/>
    <w:rsid w:val="00714686"/>
    <w:rsid w:val="00714C43"/>
    <w:rsid w:val="00714FC6"/>
    <w:rsid w:val="007150D9"/>
    <w:rsid w:val="00715104"/>
    <w:rsid w:val="0071514A"/>
    <w:rsid w:val="0071542E"/>
    <w:rsid w:val="007154AB"/>
    <w:rsid w:val="00715678"/>
    <w:rsid w:val="00715899"/>
    <w:rsid w:val="00715C1E"/>
    <w:rsid w:val="007160BC"/>
    <w:rsid w:val="007161AD"/>
    <w:rsid w:val="00716634"/>
    <w:rsid w:val="00716B07"/>
    <w:rsid w:val="00716D2B"/>
    <w:rsid w:val="00716DF9"/>
    <w:rsid w:val="00716F1C"/>
    <w:rsid w:val="007171A9"/>
    <w:rsid w:val="007175FD"/>
    <w:rsid w:val="00717B68"/>
    <w:rsid w:val="0072076E"/>
    <w:rsid w:val="007207C5"/>
    <w:rsid w:val="007208BF"/>
    <w:rsid w:val="00720A55"/>
    <w:rsid w:val="00720B32"/>
    <w:rsid w:val="00720F01"/>
    <w:rsid w:val="00720FB2"/>
    <w:rsid w:val="00720FE6"/>
    <w:rsid w:val="0072111B"/>
    <w:rsid w:val="00721446"/>
    <w:rsid w:val="00721C54"/>
    <w:rsid w:val="00721D30"/>
    <w:rsid w:val="0072207B"/>
    <w:rsid w:val="007222BB"/>
    <w:rsid w:val="007225F3"/>
    <w:rsid w:val="007226EC"/>
    <w:rsid w:val="0072282D"/>
    <w:rsid w:val="007229C7"/>
    <w:rsid w:val="00722AB6"/>
    <w:rsid w:val="00722C2F"/>
    <w:rsid w:val="00723054"/>
    <w:rsid w:val="0072328E"/>
    <w:rsid w:val="00723481"/>
    <w:rsid w:val="007236C0"/>
    <w:rsid w:val="00723E78"/>
    <w:rsid w:val="00723F13"/>
    <w:rsid w:val="00724039"/>
    <w:rsid w:val="00724108"/>
    <w:rsid w:val="00724278"/>
    <w:rsid w:val="0072428F"/>
    <w:rsid w:val="00724387"/>
    <w:rsid w:val="00724910"/>
    <w:rsid w:val="0072493D"/>
    <w:rsid w:val="00724AA0"/>
    <w:rsid w:val="00724C11"/>
    <w:rsid w:val="00724C50"/>
    <w:rsid w:val="00724E41"/>
    <w:rsid w:val="007255E2"/>
    <w:rsid w:val="00725632"/>
    <w:rsid w:val="00725758"/>
    <w:rsid w:val="00725824"/>
    <w:rsid w:val="00725C82"/>
    <w:rsid w:val="00725CB1"/>
    <w:rsid w:val="007264B4"/>
    <w:rsid w:val="0072650B"/>
    <w:rsid w:val="007265DC"/>
    <w:rsid w:val="00726A3D"/>
    <w:rsid w:val="0072704E"/>
    <w:rsid w:val="007271B8"/>
    <w:rsid w:val="00727CE4"/>
    <w:rsid w:val="00727D00"/>
    <w:rsid w:val="00727DEC"/>
    <w:rsid w:val="007300F8"/>
    <w:rsid w:val="007305B2"/>
    <w:rsid w:val="00730A98"/>
    <w:rsid w:val="00730C4C"/>
    <w:rsid w:val="00731126"/>
    <w:rsid w:val="007311DD"/>
    <w:rsid w:val="007312AA"/>
    <w:rsid w:val="0073172D"/>
    <w:rsid w:val="0073190D"/>
    <w:rsid w:val="00731965"/>
    <w:rsid w:val="00731B84"/>
    <w:rsid w:val="00731C12"/>
    <w:rsid w:val="00731FA4"/>
    <w:rsid w:val="00732552"/>
    <w:rsid w:val="0073258D"/>
    <w:rsid w:val="00732692"/>
    <w:rsid w:val="007327BB"/>
    <w:rsid w:val="00732E4A"/>
    <w:rsid w:val="00732EAF"/>
    <w:rsid w:val="00733544"/>
    <w:rsid w:val="00733633"/>
    <w:rsid w:val="00733690"/>
    <w:rsid w:val="0073398D"/>
    <w:rsid w:val="0073411B"/>
    <w:rsid w:val="00734183"/>
    <w:rsid w:val="007342B6"/>
    <w:rsid w:val="007343B8"/>
    <w:rsid w:val="00734419"/>
    <w:rsid w:val="0073468C"/>
    <w:rsid w:val="007348D7"/>
    <w:rsid w:val="00734A50"/>
    <w:rsid w:val="00734D02"/>
    <w:rsid w:val="00734FCA"/>
    <w:rsid w:val="0073508F"/>
    <w:rsid w:val="00735215"/>
    <w:rsid w:val="00735569"/>
    <w:rsid w:val="00735893"/>
    <w:rsid w:val="00735905"/>
    <w:rsid w:val="007359E5"/>
    <w:rsid w:val="00735AB3"/>
    <w:rsid w:val="00735D3C"/>
    <w:rsid w:val="00735F3F"/>
    <w:rsid w:val="00735FDB"/>
    <w:rsid w:val="00736028"/>
    <w:rsid w:val="00736034"/>
    <w:rsid w:val="007360C5"/>
    <w:rsid w:val="007360FC"/>
    <w:rsid w:val="00736235"/>
    <w:rsid w:val="0073660E"/>
    <w:rsid w:val="0073685D"/>
    <w:rsid w:val="00736B20"/>
    <w:rsid w:val="00736EB9"/>
    <w:rsid w:val="00737155"/>
    <w:rsid w:val="00737268"/>
    <w:rsid w:val="0073776B"/>
    <w:rsid w:val="00737885"/>
    <w:rsid w:val="007378D0"/>
    <w:rsid w:val="00737EA8"/>
    <w:rsid w:val="00737FEC"/>
    <w:rsid w:val="00740531"/>
    <w:rsid w:val="00740963"/>
    <w:rsid w:val="007409EB"/>
    <w:rsid w:val="007409F9"/>
    <w:rsid w:val="00740BA7"/>
    <w:rsid w:val="00740BD5"/>
    <w:rsid w:val="00740EA5"/>
    <w:rsid w:val="007413C0"/>
    <w:rsid w:val="0074173E"/>
    <w:rsid w:val="0074178E"/>
    <w:rsid w:val="00741828"/>
    <w:rsid w:val="007418D8"/>
    <w:rsid w:val="00741B2D"/>
    <w:rsid w:val="00741C98"/>
    <w:rsid w:val="00741F76"/>
    <w:rsid w:val="00742214"/>
    <w:rsid w:val="0074253F"/>
    <w:rsid w:val="0074316B"/>
    <w:rsid w:val="00743253"/>
    <w:rsid w:val="00743441"/>
    <w:rsid w:val="007438CD"/>
    <w:rsid w:val="00743A94"/>
    <w:rsid w:val="00743B24"/>
    <w:rsid w:val="0074442E"/>
    <w:rsid w:val="00744742"/>
    <w:rsid w:val="00744916"/>
    <w:rsid w:val="00744B84"/>
    <w:rsid w:val="00744C35"/>
    <w:rsid w:val="00744FF6"/>
    <w:rsid w:val="007454BF"/>
    <w:rsid w:val="007459C9"/>
    <w:rsid w:val="00746203"/>
    <w:rsid w:val="007464E3"/>
    <w:rsid w:val="00746830"/>
    <w:rsid w:val="007468BD"/>
    <w:rsid w:val="00746AB6"/>
    <w:rsid w:val="0074719A"/>
    <w:rsid w:val="007472A7"/>
    <w:rsid w:val="00747AA1"/>
    <w:rsid w:val="00747F57"/>
    <w:rsid w:val="00747FB0"/>
    <w:rsid w:val="007504FC"/>
    <w:rsid w:val="0075060F"/>
    <w:rsid w:val="00750A22"/>
    <w:rsid w:val="00750B05"/>
    <w:rsid w:val="00750B34"/>
    <w:rsid w:val="007511F4"/>
    <w:rsid w:val="007513EC"/>
    <w:rsid w:val="0075181D"/>
    <w:rsid w:val="00751AA6"/>
    <w:rsid w:val="00751B1F"/>
    <w:rsid w:val="00751FAB"/>
    <w:rsid w:val="007521B0"/>
    <w:rsid w:val="00752992"/>
    <w:rsid w:val="00752DE0"/>
    <w:rsid w:val="007530A7"/>
    <w:rsid w:val="00753243"/>
    <w:rsid w:val="00753B00"/>
    <w:rsid w:val="00754374"/>
    <w:rsid w:val="007543CA"/>
    <w:rsid w:val="00754522"/>
    <w:rsid w:val="007547B9"/>
    <w:rsid w:val="007547D8"/>
    <w:rsid w:val="00754960"/>
    <w:rsid w:val="00754CC8"/>
    <w:rsid w:val="00754D2C"/>
    <w:rsid w:val="00754E82"/>
    <w:rsid w:val="007550C9"/>
    <w:rsid w:val="007552EE"/>
    <w:rsid w:val="0075539C"/>
    <w:rsid w:val="0075580A"/>
    <w:rsid w:val="00755D5E"/>
    <w:rsid w:val="00756042"/>
    <w:rsid w:val="007565E3"/>
    <w:rsid w:val="00756640"/>
    <w:rsid w:val="007567E8"/>
    <w:rsid w:val="007568C2"/>
    <w:rsid w:val="00756C32"/>
    <w:rsid w:val="00756ED2"/>
    <w:rsid w:val="007575C1"/>
    <w:rsid w:val="00757DC7"/>
    <w:rsid w:val="007602EE"/>
    <w:rsid w:val="00760374"/>
    <w:rsid w:val="00760880"/>
    <w:rsid w:val="00760DC2"/>
    <w:rsid w:val="00760E51"/>
    <w:rsid w:val="007617D5"/>
    <w:rsid w:val="0076238E"/>
    <w:rsid w:val="00762DB9"/>
    <w:rsid w:val="007633B5"/>
    <w:rsid w:val="00763443"/>
    <w:rsid w:val="00763861"/>
    <w:rsid w:val="007639E8"/>
    <w:rsid w:val="00763AC4"/>
    <w:rsid w:val="00763EB4"/>
    <w:rsid w:val="00763FF7"/>
    <w:rsid w:val="007640C6"/>
    <w:rsid w:val="0076461D"/>
    <w:rsid w:val="00764848"/>
    <w:rsid w:val="00764924"/>
    <w:rsid w:val="00764C04"/>
    <w:rsid w:val="00765683"/>
    <w:rsid w:val="007656F7"/>
    <w:rsid w:val="0076570B"/>
    <w:rsid w:val="007658D7"/>
    <w:rsid w:val="00766017"/>
    <w:rsid w:val="0076615C"/>
    <w:rsid w:val="0076673E"/>
    <w:rsid w:val="00766965"/>
    <w:rsid w:val="00766EDE"/>
    <w:rsid w:val="00767220"/>
    <w:rsid w:val="00767221"/>
    <w:rsid w:val="00767386"/>
    <w:rsid w:val="00767413"/>
    <w:rsid w:val="00767474"/>
    <w:rsid w:val="00767515"/>
    <w:rsid w:val="0076789D"/>
    <w:rsid w:val="00767B5F"/>
    <w:rsid w:val="00767C59"/>
    <w:rsid w:val="00767E24"/>
    <w:rsid w:val="007703C7"/>
    <w:rsid w:val="00770A03"/>
    <w:rsid w:val="00770A51"/>
    <w:rsid w:val="00770BFB"/>
    <w:rsid w:val="00770CB7"/>
    <w:rsid w:val="00770CFF"/>
    <w:rsid w:val="00771128"/>
    <w:rsid w:val="00771313"/>
    <w:rsid w:val="007714D7"/>
    <w:rsid w:val="007715B8"/>
    <w:rsid w:val="007718C5"/>
    <w:rsid w:val="00771A15"/>
    <w:rsid w:val="00771E37"/>
    <w:rsid w:val="007721A8"/>
    <w:rsid w:val="007727DD"/>
    <w:rsid w:val="00772A17"/>
    <w:rsid w:val="00772A43"/>
    <w:rsid w:val="00772C17"/>
    <w:rsid w:val="00772D9A"/>
    <w:rsid w:val="00772E4F"/>
    <w:rsid w:val="007731A8"/>
    <w:rsid w:val="00773337"/>
    <w:rsid w:val="007734C3"/>
    <w:rsid w:val="0077376F"/>
    <w:rsid w:val="00773ABB"/>
    <w:rsid w:val="007740E0"/>
    <w:rsid w:val="00774304"/>
    <w:rsid w:val="00774D0F"/>
    <w:rsid w:val="00774DA0"/>
    <w:rsid w:val="00774E03"/>
    <w:rsid w:val="00775062"/>
    <w:rsid w:val="007750A7"/>
    <w:rsid w:val="0077531C"/>
    <w:rsid w:val="00775337"/>
    <w:rsid w:val="00775E30"/>
    <w:rsid w:val="0077620F"/>
    <w:rsid w:val="007764CC"/>
    <w:rsid w:val="00776A82"/>
    <w:rsid w:val="00776AD4"/>
    <w:rsid w:val="00776AE2"/>
    <w:rsid w:val="00776C52"/>
    <w:rsid w:val="00776E35"/>
    <w:rsid w:val="00776F83"/>
    <w:rsid w:val="00777614"/>
    <w:rsid w:val="0077793C"/>
    <w:rsid w:val="00777968"/>
    <w:rsid w:val="00777D48"/>
    <w:rsid w:val="007803B4"/>
    <w:rsid w:val="007804DC"/>
    <w:rsid w:val="00780779"/>
    <w:rsid w:val="00780C8B"/>
    <w:rsid w:val="00780DD6"/>
    <w:rsid w:val="00781003"/>
    <w:rsid w:val="00781218"/>
    <w:rsid w:val="00781399"/>
    <w:rsid w:val="0078142A"/>
    <w:rsid w:val="00781644"/>
    <w:rsid w:val="00781873"/>
    <w:rsid w:val="00781A0D"/>
    <w:rsid w:val="00781FED"/>
    <w:rsid w:val="00782AAF"/>
    <w:rsid w:val="00782C3E"/>
    <w:rsid w:val="00782DAB"/>
    <w:rsid w:val="0078370D"/>
    <w:rsid w:val="00783A2C"/>
    <w:rsid w:val="00783B87"/>
    <w:rsid w:val="00783E0C"/>
    <w:rsid w:val="0078415C"/>
    <w:rsid w:val="00784282"/>
    <w:rsid w:val="007842C9"/>
    <w:rsid w:val="0078431A"/>
    <w:rsid w:val="0078491B"/>
    <w:rsid w:val="00784C66"/>
    <w:rsid w:val="00784C74"/>
    <w:rsid w:val="007850BE"/>
    <w:rsid w:val="007851F9"/>
    <w:rsid w:val="007852A4"/>
    <w:rsid w:val="007852B5"/>
    <w:rsid w:val="00785920"/>
    <w:rsid w:val="00785C42"/>
    <w:rsid w:val="00786050"/>
    <w:rsid w:val="007863AB"/>
    <w:rsid w:val="007868DF"/>
    <w:rsid w:val="0078696A"/>
    <w:rsid w:val="00786B97"/>
    <w:rsid w:val="0078727D"/>
    <w:rsid w:val="00787521"/>
    <w:rsid w:val="007875A5"/>
    <w:rsid w:val="00787662"/>
    <w:rsid w:val="0078791B"/>
    <w:rsid w:val="00787A4F"/>
    <w:rsid w:val="00787E1E"/>
    <w:rsid w:val="00787E70"/>
    <w:rsid w:val="00790116"/>
    <w:rsid w:val="00790129"/>
    <w:rsid w:val="0079044F"/>
    <w:rsid w:val="00790596"/>
    <w:rsid w:val="00790722"/>
    <w:rsid w:val="0079076B"/>
    <w:rsid w:val="00790AE6"/>
    <w:rsid w:val="00790BC8"/>
    <w:rsid w:val="00790C58"/>
    <w:rsid w:val="0079110B"/>
    <w:rsid w:val="00791202"/>
    <w:rsid w:val="00791328"/>
    <w:rsid w:val="007916D5"/>
    <w:rsid w:val="00791B89"/>
    <w:rsid w:val="00791D33"/>
    <w:rsid w:val="0079238F"/>
    <w:rsid w:val="007924C3"/>
    <w:rsid w:val="00792926"/>
    <w:rsid w:val="00792BCA"/>
    <w:rsid w:val="00792C35"/>
    <w:rsid w:val="007932D6"/>
    <w:rsid w:val="0079380B"/>
    <w:rsid w:val="00793951"/>
    <w:rsid w:val="00793D2B"/>
    <w:rsid w:val="00793E59"/>
    <w:rsid w:val="007940D1"/>
    <w:rsid w:val="00794320"/>
    <w:rsid w:val="00794870"/>
    <w:rsid w:val="007948F5"/>
    <w:rsid w:val="00794925"/>
    <w:rsid w:val="007949A2"/>
    <w:rsid w:val="00794C57"/>
    <w:rsid w:val="00794E84"/>
    <w:rsid w:val="00794EF4"/>
    <w:rsid w:val="00794F38"/>
    <w:rsid w:val="00794FCE"/>
    <w:rsid w:val="00795096"/>
    <w:rsid w:val="00795726"/>
    <w:rsid w:val="0079591D"/>
    <w:rsid w:val="00795AA0"/>
    <w:rsid w:val="00795B0D"/>
    <w:rsid w:val="00795BF7"/>
    <w:rsid w:val="00795D22"/>
    <w:rsid w:val="00795DB5"/>
    <w:rsid w:val="00796069"/>
    <w:rsid w:val="007960BA"/>
    <w:rsid w:val="0079657D"/>
    <w:rsid w:val="00796590"/>
    <w:rsid w:val="007966C4"/>
    <w:rsid w:val="007968FF"/>
    <w:rsid w:val="00796F67"/>
    <w:rsid w:val="0079791B"/>
    <w:rsid w:val="007A01A5"/>
    <w:rsid w:val="007A033E"/>
    <w:rsid w:val="007A069C"/>
    <w:rsid w:val="007A06F9"/>
    <w:rsid w:val="007A075C"/>
    <w:rsid w:val="007A0D07"/>
    <w:rsid w:val="007A0DEC"/>
    <w:rsid w:val="007A0F2E"/>
    <w:rsid w:val="007A0FCC"/>
    <w:rsid w:val="007A1290"/>
    <w:rsid w:val="007A1BEE"/>
    <w:rsid w:val="007A244C"/>
    <w:rsid w:val="007A2AAB"/>
    <w:rsid w:val="007A2D6E"/>
    <w:rsid w:val="007A2EE0"/>
    <w:rsid w:val="007A31FD"/>
    <w:rsid w:val="007A3543"/>
    <w:rsid w:val="007A3BBC"/>
    <w:rsid w:val="007A3C7F"/>
    <w:rsid w:val="007A4299"/>
    <w:rsid w:val="007A4807"/>
    <w:rsid w:val="007A4ADC"/>
    <w:rsid w:val="007A4B61"/>
    <w:rsid w:val="007A4D97"/>
    <w:rsid w:val="007A4DAA"/>
    <w:rsid w:val="007A4DD1"/>
    <w:rsid w:val="007A4F7B"/>
    <w:rsid w:val="007A51BB"/>
    <w:rsid w:val="007A5401"/>
    <w:rsid w:val="007A5770"/>
    <w:rsid w:val="007A5800"/>
    <w:rsid w:val="007A5836"/>
    <w:rsid w:val="007A5BA2"/>
    <w:rsid w:val="007A5EB1"/>
    <w:rsid w:val="007A6310"/>
    <w:rsid w:val="007A64C4"/>
    <w:rsid w:val="007A66BA"/>
    <w:rsid w:val="007A6751"/>
    <w:rsid w:val="007A6BE3"/>
    <w:rsid w:val="007A6F95"/>
    <w:rsid w:val="007A7223"/>
    <w:rsid w:val="007A7239"/>
    <w:rsid w:val="007A7437"/>
    <w:rsid w:val="007A746B"/>
    <w:rsid w:val="007A7A4A"/>
    <w:rsid w:val="007A7BA5"/>
    <w:rsid w:val="007B0473"/>
    <w:rsid w:val="007B0BF9"/>
    <w:rsid w:val="007B0E04"/>
    <w:rsid w:val="007B0FAD"/>
    <w:rsid w:val="007B1035"/>
    <w:rsid w:val="007B109F"/>
    <w:rsid w:val="007B1140"/>
    <w:rsid w:val="007B1470"/>
    <w:rsid w:val="007B190B"/>
    <w:rsid w:val="007B1B54"/>
    <w:rsid w:val="007B1CF7"/>
    <w:rsid w:val="007B1D40"/>
    <w:rsid w:val="007B1D90"/>
    <w:rsid w:val="007B2978"/>
    <w:rsid w:val="007B2DF5"/>
    <w:rsid w:val="007B2EE2"/>
    <w:rsid w:val="007B3233"/>
    <w:rsid w:val="007B3291"/>
    <w:rsid w:val="007B364A"/>
    <w:rsid w:val="007B3A5F"/>
    <w:rsid w:val="007B3BF4"/>
    <w:rsid w:val="007B3EF3"/>
    <w:rsid w:val="007B3F6F"/>
    <w:rsid w:val="007B4541"/>
    <w:rsid w:val="007B45AA"/>
    <w:rsid w:val="007B4BAC"/>
    <w:rsid w:val="007B4EA7"/>
    <w:rsid w:val="007B5022"/>
    <w:rsid w:val="007B5417"/>
    <w:rsid w:val="007B54E0"/>
    <w:rsid w:val="007B558D"/>
    <w:rsid w:val="007B55AA"/>
    <w:rsid w:val="007B5682"/>
    <w:rsid w:val="007B5934"/>
    <w:rsid w:val="007B5BAF"/>
    <w:rsid w:val="007B5C5C"/>
    <w:rsid w:val="007B5F5D"/>
    <w:rsid w:val="007B618C"/>
    <w:rsid w:val="007B6225"/>
    <w:rsid w:val="007B63BC"/>
    <w:rsid w:val="007B63DD"/>
    <w:rsid w:val="007B697D"/>
    <w:rsid w:val="007B6F50"/>
    <w:rsid w:val="007B7328"/>
    <w:rsid w:val="007B7381"/>
    <w:rsid w:val="007B7499"/>
    <w:rsid w:val="007C010E"/>
    <w:rsid w:val="007C02B8"/>
    <w:rsid w:val="007C0656"/>
    <w:rsid w:val="007C06E6"/>
    <w:rsid w:val="007C09E7"/>
    <w:rsid w:val="007C0FE4"/>
    <w:rsid w:val="007C1245"/>
    <w:rsid w:val="007C14F0"/>
    <w:rsid w:val="007C152E"/>
    <w:rsid w:val="007C155A"/>
    <w:rsid w:val="007C1881"/>
    <w:rsid w:val="007C1D93"/>
    <w:rsid w:val="007C1F31"/>
    <w:rsid w:val="007C1F6B"/>
    <w:rsid w:val="007C20D3"/>
    <w:rsid w:val="007C26F5"/>
    <w:rsid w:val="007C2AC6"/>
    <w:rsid w:val="007C2B22"/>
    <w:rsid w:val="007C3753"/>
    <w:rsid w:val="007C3849"/>
    <w:rsid w:val="007C42FC"/>
    <w:rsid w:val="007C457C"/>
    <w:rsid w:val="007C45CB"/>
    <w:rsid w:val="007C4F08"/>
    <w:rsid w:val="007C56D7"/>
    <w:rsid w:val="007C5734"/>
    <w:rsid w:val="007C5AA8"/>
    <w:rsid w:val="007C5F7A"/>
    <w:rsid w:val="007C6010"/>
    <w:rsid w:val="007C6311"/>
    <w:rsid w:val="007C68CD"/>
    <w:rsid w:val="007C788E"/>
    <w:rsid w:val="007C79AD"/>
    <w:rsid w:val="007C7A4B"/>
    <w:rsid w:val="007C7F38"/>
    <w:rsid w:val="007C7FA7"/>
    <w:rsid w:val="007D03A1"/>
    <w:rsid w:val="007D0826"/>
    <w:rsid w:val="007D08C5"/>
    <w:rsid w:val="007D1044"/>
    <w:rsid w:val="007D1308"/>
    <w:rsid w:val="007D1443"/>
    <w:rsid w:val="007D1549"/>
    <w:rsid w:val="007D15F4"/>
    <w:rsid w:val="007D19F0"/>
    <w:rsid w:val="007D1BC9"/>
    <w:rsid w:val="007D24FB"/>
    <w:rsid w:val="007D2609"/>
    <w:rsid w:val="007D267C"/>
    <w:rsid w:val="007D2B59"/>
    <w:rsid w:val="007D2E16"/>
    <w:rsid w:val="007D2F1E"/>
    <w:rsid w:val="007D2FAF"/>
    <w:rsid w:val="007D2FB1"/>
    <w:rsid w:val="007D3109"/>
    <w:rsid w:val="007D3396"/>
    <w:rsid w:val="007D349D"/>
    <w:rsid w:val="007D355C"/>
    <w:rsid w:val="007D3659"/>
    <w:rsid w:val="007D36D6"/>
    <w:rsid w:val="007D3727"/>
    <w:rsid w:val="007D37B8"/>
    <w:rsid w:val="007D3AB9"/>
    <w:rsid w:val="007D3CEE"/>
    <w:rsid w:val="007D3E7B"/>
    <w:rsid w:val="007D446F"/>
    <w:rsid w:val="007D44EF"/>
    <w:rsid w:val="007D4807"/>
    <w:rsid w:val="007D49DA"/>
    <w:rsid w:val="007D4FA8"/>
    <w:rsid w:val="007D52DA"/>
    <w:rsid w:val="007D5ACB"/>
    <w:rsid w:val="007D5B89"/>
    <w:rsid w:val="007D5B93"/>
    <w:rsid w:val="007D5EEA"/>
    <w:rsid w:val="007D5F84"/>
    <w:rsid w:val="007D60B2"/>
    <w:rsid w:val="007D6417"/>
    <w:rsid w:val="007D6671"/>
    <w:rsid w:val="007D67B7"/>
    <w:rsid w:val="007D6940"/>
    <w:rsid w:val="007D6B8B"/>
    <w:rsid w:val="007D7269"/>
    <w:rsid w:val="007D7933"/>
    <w:rsid w:val="007D79E3"/>
    <w:rsid w:val="007D7B4F"/>
    <w:rsid w:val="007E0351"/>
    <w:rsid w:val="007E0B90"/>
    <w:rsid w:val="007E1557"/>
    <w:rsid w:val="007E1567"/>
    <w:rsid w:val="007E156C"/>
    <w:rsid w:val="007E15E7"/>
    <w:rsid w:val="007E1949"/>
    <w:rsid w:val="007E1961"/>
    <w:rsid w:val="007E19C1"/>
    <w:rsid w:val="007E1F64"/>
    <w:rsid w:val="007E21FC"/>
    <w:rsid w:val="007E241B"/>
    <w:rsid w:val="007E2535"/>
    <w:rsid w:val="007E290D"/>
    <w:rsid w:val="007E29FE"/>
    <w:rsid w:val="007E2D4B"/>
    <w:rsid w:val="007E33E8"/>
    <w:rsid w:val="007E3906"/>
    <w:rsid w:val="007E3964"/>
    <w:rsid w:val="007E3DCE"/>
    <w:rsid w:val="007E44C6"/>
    <w:rsid w:val="007E4735"/>
    <w:rsid w:val="007E48AE"/>
    <w:rsid w:val="007E4A05"/>
    <w:rsid w:val="007E4F73"/>
    <w:rsid w:val="007E5203"/>
    <w:rsid w:val="007E52D6"/>
    <w:rsid w:val="007E633B"/>
    <w:rsid w:val="007E6DB5"/>
    <w:rsid w:val="007E6F33"/>
    <w:rsid w:val="007E7416"/>
    <w:rsid w:val="007E77A3"/>
    <w:rsid w:val="007E77AD"/>
    <w:rsid w:val="007E7F4E"/>
    <w:rsid w:val="007F01B2"/>
    <w:rsid w:val="007F03AE"/>
    <w:rsid w:val="007F04B3"/>
    <w:rsid w:val="007F04BC"/>
    <w:rsid w:val="007F04C6"/>
    <w:rsid w:val="007F050D"/>
    <w:rsid w:val="007F0510"/>
    <w:rsid w:val="007F0707"/>
    <w:rsid w:val="007F09ED"/>
    <w:rsid w:val="007F0A0D"/>
    <w:rsid w:val="007F0C64"/>
    <w:rsid w:val="007F1803"/>
    <w:rsid w:val="007F1E82"/>
    <w:rsid w:val="007F1E88"/>
    <w:rsid w:val="007F202A"/>
    <w:rsid w:val="007F219E"/>
    <w:rsid w:val="007F2281"/>
    <w:rsid w:val="007F2394"/>
    <w:rsid w:val="007F2548"/>
    <w:rsid w:val="007F266B"/>
    <w:rsid w:val="007F278D"/>
    <w:rsid w:val="007F289C"/>
    <w:rsid w:val="007F2B54"/>
    <w:rsid w:val="007F2BF1"/>
    <w:rsid w:val="007F2EAD"/>
    <w:rsid w:val="007F34D1"/>
    <w:rsid w:val="007F35A3"/>
    <w:rsid w:val="007F399B"/>
    <w:rsid w:val="007F3A59"/>
    <w:rsid w:val="007F425F"/>
    <w:rsid w:val="007F428C"/>
    <w:rsid w:val="007F4E3F"/>
    <w:rsid w:val="007F4EEE"/>
    <w:rsid w:val="007F5441"/>
    <w:rsid w:val="007F5655"/>
    <w:rsid w:val="007F5839"/>
    <w:rsid w:val="007F59DF"/>
    <w:rsid w:val="007F63DE"/>
    <w:rsid w:val="007F696E"/>
    <w:rsid w:val="007F6D3A"/>
    <w:rsid w:val="007F6D7D"/>
    <w:rsid w:val="007F7407"/>
    <w:rsid w:val="007F7458"/>
    <w:rsid w:val="007F7738"/>
    <w:rsid w:val="007F7767"/>
    <w:rsid w:val="007F7BC7"/>
    <w:rsid w:val="007F7F6D"/>
    <w:rsid w:val="008000DB"/>
    <w:rsid w:val="008000DD"/>
    <w:rsid w:val="00800430"/>
    <w:rsid w:val="00800568"/>
    <w:rsid w:val="00800965"/>
    <w:rsid w:val="00800AB4"/>
    <w:rsid w:val="00800B65"/>
    <w:rsid w:val="008011C3"/>
    <w:rsid w:val="00801608"/>
    <w:rsid w:val="0080199D"/>
    <w:rsid w:val="00801E6B"/>
    <w:rsid w:val="00801FDF"/>
    <w:rsid w:val="0080202A"/>
    <w:rsid w:val="0080221F"/>
    <w:rsid w:val="008023B1"/>
    <w:rsid w:val="00802516"/>
    <w:rsid w:val="00802822"/>
    <w:rsid w:val="00802C60"/>
    <w:rsid w:val="00802DA5"/>
    <w:rsid w:val="00802EBF"/>
    <w:rsid w:val="00802ECD"/>
    <w:rsid w:val="0080308E"/>
    <w:rsid w:val="008033A6"/>
    <w:rsid w:val="00803402"/>
    <w:rsid w:val="008039EB"/>
    <w:rsid w:val="00803CAF"/>
    <w:rsid w:val="00804635"/>
    <w:rsid w:val="008049E4"/>
    <w:rsid w:val="00804CDA"/>
    <w:rsid w:val="00805228"/>
    <w:rsid w:val="00805245"/>
    <w:rsid w:val="008052DF"/>
    <w:rsid w:val="008052E0"/>
    <w:rsid w:val="00805471"/>
    <w:rsid w:val="008057A0"/>
    <w:rsid w:val="008057B8"/>
    <w:rsid w:val="00805A6D"/>
    <w:rsid w:val="00805B83"/>
    <w:rsid w:val="00805B90"/>
    <w:rsid w:val="00805DBA"/>
    <w:rsid w:val="00806013"/>
    <w:rsid w:val="0080620A"/>
    <w:rsid w:val="00806481"/>
    <w:rsid w:val="00806547"/>
    <w:rsid w:val="00806A39"/>
    <w:rsid w:val="00806ADA"/>
    <w:rsid w:val="00806BD3"/>
    <w:rsid w:val="00806CF8"/>
    <w:rsid w:val="00806E47"/>
    <w:rsid w:val="008076A1"/>
    <w:rsid w:val="00807710"/>
    <w:rsid w:val="00807E71"/>
    <w:rsid w:val="008101C0"/>
    <w:rsid w:val="0081034F"/>
    <w:rsid w:val="0081045B"/>
    <w:rsid w:val="00810478"/>
    <w:rsid w:val="0081059A"/>
    <w:rsid w:val="00810654"/>
    <w:rsid w:val="008106D9"/>
    <w:rsid w:val="00810911"/>
    <w:rsid w:val="00810B12"/>
    <w:rsid w:val="00811287"/>
    <w:rsid w:val="00811731"/>
    <w:rsid w:val="0081192F"/>
    <w:rsid w:val="00811CA2"/>
    <w:rsid w:val="00811DA0"/>
    <w:rsid w:val="0081212C"/>
    <w:rsid w:val="008121EC"/>
    <w:rsid w:val="008122C9"/>
    <w:rsid w:val="00812992"/>
    <w:rsid w:val="00812A68"/>
    <w:rsid w:val="00812B32"/>
    <w:rsid w:val="00812DB5"/>
    <w:rsid w:val="00812E83"/>
    <w:rsid w:val="008130FE"/>
    <w:rsid w:val="008133F1"/>
    <w:rsid w:val="00813458"/>
    <w:rsid w:val="00813882"/>
    <w:rsid w:val="008138EE"/>
    <w:rsid w:val="00813A7D"/>
    <w:rsid w:val="00813A9A"/>
    <w:rsid w:val="00813B31"/>
    <w:rsid w:val="00813BF2"/>
    <w:rsid w:val="00813DEB"/>
    <w:rsid w:val="00814169"/>
    <w:rsid w:val="008141FE"/>
    <w:rsid w:val="0081431B"/>
    <w:rsid w:val="00814499"/>
    <w:rsid w:val="0081453B"/>
    <w:rsid w:val="00814616"/>
    <w:rsid w:val="0081461D"/>
    <w:rsid w:val="008146C9"/>
    <w:rsid w:val="008146F2"/>
    <w:rsid w:val="008148FE"/>
    <w:rsid w:val="00814BFD"/>
    <w:rsid w:val="00814CA8"/>
    <w:rsid w:val="00814D4E"/>
    <w:rsid w:val="00814E08"/>
    <w:rsid w:val="008152B9"/>
    <w:rsid w:val="008155B7"/>
    <w:rsid w:val="008158BB"/>
    <w:rsid w:val="008159E8"/>
    <w:rsid w:val="00815BA8"/>
    <w:rsid w:val="00815CA5"/>
    <w:rsid w:val="00815DE4"/>
    <w:rsid w:val="00816255"/>
    <w:rsid w:val="008165F3"/>
    <w:rsid w:val="008166DF"/>
    <w:rsid w:val="00816EA3"/>
    <w:rsid w:val="0081708E"/>
    <w:rsid w:val="00817091"/>
    <w:rsid w:val="008171BD"/>
    <w:rsid w:val="00820056"/>
    <w:rsid w:val="008201FF"/>
    <w:rsid w:val="008202AD"/>
    <w:rsid w:val="0082079F"/>
    <w:rsid w:val="0082102B"/>
    <w:rsid w:val="0082122D"/>
    <w:rsid w:val="00821AB0"/>
    <w:rsid w:val="00821AC1"/>
    <w:rsid w:val="00821B94"/>
    <w:rsid w:val="00821D40"/>
    <w:rsid w:val="00821E43"/>
    <w:rsid w:val="0082209B"/>
    <w:rsid w:val="008220EE"/>
    <w:rsid w:val="008221C4"/>
    <w:rsid w:val="00822511"/>
    <w:rsid w:val="008227D8"/>
    <w:rsid w:val="00822961"/>
    <w:rsid w:val="00822D98"/>
    <w:rsid w:val="00822DD5"/>
    <w:rsid w:val="00822F28"/>
    <w:rsid w:val="008231E9"/>
    <w:rsid w:val="00823508"/>
    <w:rsid w:val="00823587"/>
    <w:rsid w:val="008239C4"/>
    <w:rsid w:val="00823AAB"/>
    <w:rsid w:val="00823B32"/>
    <w:rsid w:val="00823C49"/>
    <w:rsid w:val="00823E1C"/>
    <w:rsid w:val="00823F9E"/>
    <w:rsid w:val="00824FE2"/>
    <w:rsid w:val="008250D5"/>
    <w:rsid w:val="00825125"/>
    <w:rsid w:val="00825C1F"/>
    <w:rsid w:val="00825D20"/>
    <w:rsid w:val="0082601A"/>
    <w:rsid w:val="008261AF"/>
    <w:rsid w:val="008262FB"/>
    <w:rsid w:val="00826334"/>
    <w:rsid w:val="00826580"/>
    <w:rsid w:val="00826CD6"/>
    <w:rsid w:val="00827381"/>
    <w:rsid w:val="00827488"/>
    <w:rsid w:val="008274E2"/>
    <w:rsid w:val="00827544"/>
    <w:rsid w:val="008278F3"/>
    <w:rsid w:val="00827947"/>
    <w:rsid w:val="00827964"/>
    <w:rsid w:val="00827AB8"/>
    <w:rsid w:val="00827BCB"/>
    <w:rsid w:val="00827C7D"/>
    <w:rsid w:val="00827ED5"/>
    <w:rsid w:val="00830540"/>
    <w:rsid w:val="0083066E"/>
    <w:rsid w:val="00830A93"/>
    <w:rsid w:val="00830CDA"/>
    <w:rsid w:val="0083111B"/>
    <w:rsid w:val="008313BB"/>
    <w:rsid w:val="00831691"/>
    <w:rsid w:val="00831864"/>
    <w:rsid w:val="008318E6"/>
    <w:rsid w:val="008319C1"/>
    <w:rsid w:val="00832464"/>
    <w:rsid w:val="00832880"/>
    <w:rsid w:val="00832B4D"/>
    <w:rsid w:val="00832CBA"/>
    <w:rsid w:val="00833469"/>
    <w:rsid w:val="00833AB7"/>
    <w:rsid w:val="00833C95"/>
    <w:rsid w:val="00833E3B"/>
    <w:rsid w:val="00833E8E"/>
    <w:rsid w:val="00834167"/>
    <w:rsid w:val="00834401"/>
    <w:rsid w:val="008344AA"/>
    <w:rsid w:val="0083485E"/>
    <w:rsid w:val="00834B43"/>
    <w:rsid w:val="00834BB5"/>
    <w:rsid w:val="00835726"/>
    <w:rsid w:val="008357DD"/>
    <w:rsid w:val="00835CD8"/>
    <w:rsid w:val="00835D25"/>
    <w:rsid w:val="00836006"/>
    <w:rsid w:val="008364D8"/>
    <w:rsid w:val="008364F7"/>
    <w:rsid w:val="0083652D"/>
    <w:rsid w:val="008369D3"/>
    <w:rsid w:val="00836E52"/>
    <w:rsid w:val="00836FA0"/>
    <w:rsid w:val="008372BA"/>
    <w:rsid w:val="00837B56"/>
    <w:rsid w:val="00840113"/>
    <w:rsid w:val="008402F1"/>
    <w:rsid w:val="00840495"/>
    <w:rsid w:val="008405B6"/>
    <w:rsid w:val="00840AC9"/>
    <w:rsid w:val="00840E70"/>
    <w:rsid w:val="008412D1"/>
    <w:rsid w:val="008413C8"/>
    <w:rsid w:val="008416AE"/>
    <w:rsid w:val="00841B71"/>
    <w:rsid w:val="00841FC6"/>
    <w:rsid w:val="008420E0"/>
    <w:rsid w:val="00842598"/>
    <w:rsid w:val="0084265F"/>
    <w:rsid w:val="00842825"/>
    <w:rsid w:val="00842A34"/>
    <w:rsid w:val="00842E67"/>
    <w:rsid w:val="0084327D"/>
    <w:rsid w:val="008434F1"/>
    <w:rsid w:val="008435B7"/>
    <w:rsid w:val="00843816"/>
    <w:rsid w:val="00843BB1"/>
    <w:rsid w:val="00843C9C"/>
    <w:rsid w:val="00844892"/>
    <w:rsid w:val="00844EBA"/>
    <w:rsid w:val="0084545D"/>
    <w:rsid w:val="00845501"/>
    <w:rsid w:val="0084560C"/>
    <w:rsid w:val="00845BFB"/>
    <w:rsid w:val="00845F15"/>
    <w:rsid w:val="0084638D"/>
    <w:rsid w:val="00846575"/>
    <w:rsid w:val="00846664"/>
    <w:rsid w:val="008466CB"/>
    <w:rsid w:val="00846719"/>
    <w:rsid w:val="00846896"/>
    <w:rsid w:val="0084696D"/>
    <w:rsid w:val="00846976"/>
    <w:rsid w:val="00847518"/>
    <w:rsid w:val="0084769F"/>
    <w:rsid w:val="008478CC"/>
    <w:rsid w:val="00847A63"/>
    <w:rsid w:val="00850125"/>
    <w:rsid w:val="008504CE"/>
    <w:rsid w:val="0085054D"/>
    <w:rsid w:val="008505F3"/>
    <w:rsid w:val="00850AB0"/>
    <w:rsid w:val="00850BD5"/>
    <w:rsid w:val="00851115"/>
    <w:rsid w:val="008514EA"/>
    <w:rsid w:val="00851665"/>
    <w:rsid w:val="00851755"/>
    <w:rsid w:val="008517F1"/>
    <w:rsid w:val="00851B64"/>
    <w:rsid w:val="00851B7B"/>
    <w:rsid w:val="0085221B"/>
    <w:rsid w:val="00852B97"/>
    <w:rsid w:val="00853221"/>
    <w:rsid w:val="0085368C"/>
    <w:rsid w:val="0085376B"/>
    <w:rsid w:val="00853E94"/>
    <w:rsid w:val="00853EF8"/>
    <w:rsid w:val="008540CC"/>
    <w:rsid w:val="00854518"/>
    <w:rsid w:val="008545DA"/>
    <w:rsid w:val="00854610"/>
    <w:rsid w:val="0085471C"/>
    <w:rsid w:val="00854C85"/>
    <w:rsid w:val="00855230"/>
    <w:rsid w:val="008557FF"/>
    <w:rsid w:val="0085594F"/>
    <w:rsid w:val="00855B0B"/>
    <w:rsid w:val="00855B4B"/>
    <w:rsid w:val="0085613C"/>
    <w:rsid w:val="00856211"/>
    <w:rsid w:val="0085665B"/>
    <w:rsid w:val="00856695"/>
    <w:rsid w:val="00856A04"/>
    <w:rsid w:val="00856A6C"/>
    <w:rsid w:val="00856C7A"/>
    <w:rsid w:val="00857103"/>
    <w:rsid w:val="0085724F"/>
    <w:rsid w:val="008574FE"/>
    <w:rsid w:val="008575FA"/>
    <w:rsid w:val="008576E1"/>
    <w:rsid w:val="00857854"/>
    <w:rsid w:val="00857A40"/>
    <w:rsid w:val="00857B34"/>
    <w:rsid w:val="00857B52"/>
    <w:rsid w:val="00857C3A"/>
    <w:rsid w:val="00857E2D"/>
    <w:rsid w:val="00860057"/>
    <w:rsid w:val="0086019F"/>
    <w:rsid w:val="008602DC"/>
    <w:rsid w:val="00860A43"/>
    <w:rsid w:val="00860A7F"/>
    <w:rsid w:val="00860C26"/>
    <w:rsid w:val="00861091"/>
    <w:rsid w:val="00861912"/>
    <w:rsid w:val="00861A7C"/>
    <w:rsid w:val="00862696"/>
    <w:rsid w:val="0086278E"/>
    <w:rsid w:val="00862BF8"/>
    <w:rsid w:val="00862C53"/>
    <w:rsid w:val="00862DC5"/>
    <w:rsid w:val="00862DF4"/>
    <w:rsid w:val="0086330F"/>
    <w:rsid w:val="0086335E"/>
    <w:rsid w:val="0086351B"/>
    <w:rsid w:val="008637A7"/>
    <w:rsid w:val="00863BCB"/>
    <w:rsid w:val="00863C9E"/>
    <w:rsid w:val="00863E46"/>
    <w:rsid w:val="00864334"/>
    <w:rsid w:val="008645D0"/>
    <w:rsid w:val="00865208"/>
    <w:rsid w:val="00865278"/>
    <w:rsid w:val="00865538"/>
    <w:rsid w:val="00865D87"/>
    <w:rsid w:val="00865DE2"/>
    <w:rsid w:val="00866312"/>
    <w:rsid w:val="00866BCC"/>
    <w:rsid w:val="00866F3D"/>
    <w:rsid w:val="0086718A"/>
    <w:rsid w:val="008675DA"/>
    <w:rsid w:val="008676AE"/>
    <w:rsid w:val="00867747"/>
    <w:rsid w:val="00867BD7"/>
    <w:rsid w:val="00867F47"/>
    <w:rsid w:val="00870666"/>
    <w:rsid w:val="008706E4"/>
    <w:rsid w:val="008714AB"/>
    <w:rsid w:val="00871536"/>
    <w:rsid w:val="00871784"/>
    <w:rsid w:val="00871BAB"/>
    <w:rsid w:val="00871CE2"/>
    <w:rsid w:val="00871D39"/>
    <w:rsid w:val="00871E99"/>
    <w:rsid w:val="00871F6D"/>
    <w:rsid w:val="00872828"/>
    <w:rsid w:val="00872ABF"/>
    <w:rsid w:val="00872BA1"/>
    <w:rsid w:val="00872C7A"/>
    <w:rsid w:val="00872EE6"/>
    <w:rsid w:val="00872F63"/>
    <w:rsid w:val="0087326D"/>
    <w:rsid w:val="008733B9"/>
    <w:rsid w:val="0087360F"/>
    <w:rsid w:val="0087382B"/>
    <w:rsid w:val="00873C7F"/>
    <w:rsid w:val="008740A9"/>
    <w:rsid w:val="008743A2"/>
    <w:rsid w:val="00874A5D"/>
    <w:rsid w:val="00874DE8"/>
    <w:rsid w:val="00874F0F"/>
    <w:rsid w:val="00875130"/>
    <w:rsid w:val="00875204"/>
    <w:rsid w:val="00875230"/>
    <w:rsid w:val="00875BEC"/>
    <w:rsid w:val="00875D57"/>
    <w:rsid w:val="00875FA3"/>
    <w:rsid w:val="00875FAD"/>
    <w:rsid w:val="008761F7"/>
    <w:rsid w:val="00876508"/>
    <w:rsid w:val="008765AD"/>
    <w:rsid w:val="0087673B"/>
    <w:rsid w:val="00876C11"/>
    <w:rsid w:val="00876FBA"/>
    <w:rsid w:val="00876FD3"/>
    <w:rsid w:val="00877183"/>
    <w:rsid w:val="0087730F"/>
    <w:rsid w:val="00877446"/>
    <w:rsid w:val="008774B9"/>
    <w:rsid w:val="00877774"/>
    <w:rsid w:val="00877B1E"/>
    <w:rsid w:val="00877B92"/>
    <w:rsid w:val="00877B9A"/>
    <w:rsid w:val="00877C2E"/>
    <w:rsid w:val="00877DAD"/>
    <w:rsid w:val="00880040"/>
    <w:rsid w:val="008804E9"/>
    <w:rsid w:val="0088097F"/>
    <w:rsid w:val="00880E0A"/>
    <w:rsid w:val="00881148"/>
    <w:rsid w:val="008812EC"/>
    <w:rsid w:val="008814AB"/>
    <w:rsid w:val="008814D6"/>
    <w:rsid w:val="00881506"/>
    <w:rsid w:val="008818A4"/>
    <w:rsid w:val="00881F62"/>
    <w:rsid w:val="00882DB5"/>
    <w:rsid w:val="00883247"/>
    <w:rsid w:val="00883C12"/>
    <w:rsid w:val="00883EC5"/>
    <w:rsid w:val="00883EF1"/>
    <w:rsid w:val="00883F27"/>
    <w:rsid w:val="00884557"/>
    <w:rsid w:val="00884A81"/>
    <w:rsid w:val="00885765"/>
    <w:rsid w:val="0088579A"/>
    <w:rsid w:val="00885DF4"/>
    <w:rsid w:val="0088605A"/>
    <w:rsid w:val="0088625C"/>
    <w:rsid w:val="00886CB4"/>
    <w:rsid w:val="00886D0D"/>
    <w:rsid w:val="00886DCA"/>
    <w:rsid w:val="00886F9B"/>
    <w:rsid w:val="0088709E"/>
    <w:rsid w:val="008872FB"/>
    <w:rsid w:val="00887372"/>
    <w:rsid w:val="008874EE"/>
    <w:rsid w:val="00887806"/>
    <w:rsid w:val="00887EE3"/>
    <w:rsid w:val="00890414"/>
    <w:rsid w:val="008906FB"/>
    <w:rsid w:val="00890789"/>
    <w:rsid w:val="00890FAE"/>
    <w:rsid w:val="008913D0"/>
    <w:rsid w:val="008913F6"/>
    <w:rsid w:val="00891518"/>
    <w:rsid w:val="00891681"/>
    <w:rsid w:val="008917B0"/>
    <w:rsid w:val="00891833"/>
    <w:rsid w:val="008918A3"/>
    <w:rsid w:val="00891991"/>
    <w:rsid w:val="00891C75"/>
    <w:rsid w:val="008921BC"/>
    <w:rsid w:val="00892326"/>
    <w:rsid w:val="0089246E"/>
    <w:rsid w:val="00892472"/>
    <w:rsid w:val="008925BA"/>
    <w:rsid w:val="0089261F"/>
    <w:rsid w:val="0089292C"/>
    <w:rsid w:val="008935D0"/>
    <w:rsid w:val="008935ED"/>
    <w:rsid w:val="008938CB"/>
    <w:rsid w:val="008945F1"/>
    <w:rsid w:val="00894701"/>
    <w:rsid w:val="00895D2C"/>
    <w:rsid w:val="008961DC"/>
    <w:rsid w:val="008964C1"/>
    <w:rsid w:val="00896699"/>
    <w:rsid w:val="008966DB"/>
    <w:rsid w:val="008975C1"/>
    <w:rsid w:val="00897A37"/>
    <w:rsid w:val="00897CB5"/>
    <w:rsid w:val="008A0292"/>
    <w:rsid w:val="008A0298"/>
    <w:rsid w:val="008A0922"/>
    <w:rsid w:val="008A0E26"/>
    <w:rsid w:val="008A0F4B"/>
    <w:rsid w:val="008A12A4"/>
    <w:rsid w:val="008A190C"/>
    <w:rsid w:val="008A1A3F"/>
    <w:rsid w:val="008A1A41"/>
    <w:rsid w:val="008A1A86"/>
    <w:rsid w:val="008A2DDD"/>
    <w:rsid w:val="008A2E9E"/>
    <w:rsid w:val="008A306F"/>
    <w:rsid w:val="008A3448"/>
    <w:rsid w:val="008A36B4"/>
    <w:rsid w:val="008A3857"/>
    <w:rsid w:val="008A38DC"/>
    <w:rsid w:val="008A39D7"/>
    <w:rsid w:val="008A3A15"/>
    <w:rsid w:val="008A3BD9"/>
    <w:rsid w:val="008A3C32"/>
    <w:rsid w:val="008A433C"/>
    <w:rsid w:val="008A448D"/>
    <w:rsid w:val="008A4801"/>
    <w:rsid w:val="008A483D"/>
    <w:rsid w:val="008A4AD6"/>
    <w:rsid w:val="008A4C43"/>
    <w:rsid w:val="008A57ED"/>
    <w:rsid w:val="008A5A99"/>
    <w:rsid w:val="008A5C76"/>
    <w:rsid w:val="008A5ED7"/>
    <w:rsid w:val="008A6515"/>
    <w:rsid w:val="008A665B"/>
    <w:rsid w:val="008A69F2"/>
    <w:rsid w:val="008A6BBB"/>
    <w:rsid w:val="008A6BE6"/>
    <w:rsid w:val="008A6C24"/>
    <w:rsid w:val="008A7B12"/>
    <w:rsid w:val="008A7B8B"/>
    <w:rsid w:val="008A7FC6"/>
    <w:rsid w:val="008A7FCC"/>
    <w:rsid w:val="008B008B"/>
    <w:rsid w:val="008B00C7"/>
    <w:rsid w:val="008B0660"/>
    <w:rsid w:val="008B0A7B"/>
    <w:rsid w:val="008B0AF1"/>
    <w:rsid w:val="008B0DF0"/>
    <w:rsid w:val="008B1BCF"/>
    <w:rsid w:val="008B1CC3"/>
    <w:rsid w:val="008B1E2F"/>
    <w:rsid w:val="008B1F00"/>
    <w:rsid w:val="008B1F8F"/>
    <w:rsid w:val="008B1FE0"/>
    <w:rsid w:val="008B243E"/>
    <w:rsid w:val="008B27B5"/>
    <w:rsid w:val="008B2835"/>
    <w:rsid w:val="008B2B38"/>
    <w:rsid w:val="008B2C79"/>
    <w:rsid w:val="008B2D60"/>
    <w:rsid w:val="008B3012"/>
    <w:rsid w:val="008B327B"/>
    <w:rsid w:val="008B36D8"/>
    <w:rsid w:val="008B37F1"/>
    <w:rsid w:val="008B3A37"/>
    <w:rsid w:val="008B3BB0"/>
    <w:rsid w:val="008B4043"/>
    <w:rsid w:val="008B4567"/>
    <w:rsid w:val="008B45D0"/>
    <w:rsid w:val="008B4A8C"/>
    <w:rsid w:val="008B4F25"/>
    <w:rsid w:val="008B5032"/>
    <w:rsid w:val="008B5573"/>
    <w:rsid w:val="008B560E"/>
    <w:rsid w:val="008B583E"/>
    <w:rsid w:val="008B5C4E"/>
    <w:rsid w:val="008B5E9D"/>
    <w:rsid w:val="008B5F66"/>
    <w:rsid w:val="008B6129"/>
    <w:rsid w:val="008B64C0"/>
    <w:rsid w:val="008B66E6"/>
    <w:rsid w:val="008B6ABD"/>
    <w:rsid w:val="008B72E1"/>
    <w:rsid w:val="008B7875"/>
    <w:rsid w:val="008B7958"/>
    <w:rsid w:val="008B7B00"/>
    <w:rsid w:val="008B7B34"/>
    <w:rsid w:val="008C015A"/>
    <w:rsid w:val="008C015E"/>
    <w:rsid w:val="008C02F9"/>
    <w:rsid w:val="008C0E61"/>
    <w:rsid w:val="008C1A04"/>
    <w:rsid w:val="008C1A58"/>
    <w:rsid w:val="008C1F8F"/>
    <w:rsid w:val="008C2003"/>
    <w:rsid w:val="008C223F"/>
    <w:rsid w:val="008C23E8"/>
    <w:rsid w:val="008C2743"/>
    <w:rsid w:val="008C2A9C"/>
    <w:rsid w:val="008C2B6B"/>
    <w:rsid w:val="008C2CFD"/>
    <w:rsid w:val="008C2EAF"/>
    <w:rsid w:val="008C2EEF"/>
    <w:rsid w:val="008C32BD"/>
    <w:rsid w:val="008C362E"/>
    <w:rsid w:val="008C440B"/>
    <w:rsid w:val="008C4530"/>
    <w:rsid w:val="008C4923"/>
    <w:rsid w:val="008C4B41"/>
    <w:rsid w:val="008C5823"/>
    <w:rsid w:val="008C5B5A"/>
    <w:rsid w:val="008C60AB"/>
    <w:rsid w:val="008C616E"/>
    <w:rsid w:val="008C6201"/>
    <w:rsid w:val="008C6A66"/>
    <w:rsid w:val="008C6C8F"/>
    <w:rsid w:val="008C71BA"/>
    <w:rsid w:val="008C7A78"/>
    <w:rsid w:val="008C7D18"/>
    <w:rsid w:val="008D0330"/>
    <w:rsid w:val="008D0451"/>
    <w:rsid w:val="008D08F9"/>
    <w:rsid w:val="008D0B04"/>
    <w:rsid w:val="008D0BE6"/>
    <w:rsid w:val="008D0F80"/>
    <w:rsid w:val="008D0FB3"/>
    <w:rsid w:val="008D10C8"/>
    <w:rsid w:val="008D1192"/>
    <w:rsid w:val="008D1A9F"/>
    <w:rsid w:val="008D1EBC"/>
    <w:rsid w:val="008D1F18"/>
    <w:rsid w:val="008D21E2"/>
    <w:rsid w:val="008D2614"/>
    <w:rsid w:val="008D2648"/>
    <w:rsid w:val="008D2A2D"/>
    <w:rsid w:val="008D2E5E"/>
    <w:rsid w:val="008D2EDD"/>
    <w:rsid w:val="008D2EFC"/>
    <w:rsid w:val="008D3272"/>
    <w:rsid w:val="008D34EA"/>
    <w:rsid w:val="008D377E"/>
    <w:rsid w:val="008D392D"/>
    <w:rsid w:val="008D3A22"/>
    <w:rsid w:val="008D3ECC"/>
    <w:rsid w:val="008D3FE0"/>
    <w:rsid w:val="008D41CF"/>
    <w:rsid w:val="008D4204"/>
    <w:rsid w:val="008D47C0"/>
    <w:rsid w:val="008D4F90"/>
    <w:rsid w:val="008D526B"/>
    <w:rsid w:val="008D5745"/>
    <w:rsid w:val="008D5EEB"/>
    <w:rsid w:val="008D5F91"/>
    <w:rsid w:val="008D6165"/>
    <w:rsid w:val="008D6233"/>
    <w:rsid w:val="008D6421"/>
    <w:rsid w:val="008D64AC"/>
    <w:rsid w:val="008D6B64"/>
    <w:rsid w:val="008D6FE5"/>
    <w:rsid w:val="008D7117"/>
    <w:rsid w:val="008D7382"/>
    <w:rsid w:val="008D73FE"/>
    <w:rsid w:val="008D7843"/>
    <w:rsid w:val="008D7D25"/>
    <w:rsid w:val="008D7D6F"/>
    <w:rsid w:val="008D7D99"/>
    <w:rsid w:val="008D7DD1"/>
    <w:rsid w:val="008D7F92"/>
    <w:rsid w:val="008D7FB8"/>
    <w:rsid w:val="008E0B1E"/>
    <w:rsid w:val="008E0D65"/>
    <w:rsid w:val="008E0F39"/>
    <w:rsid w:val="008E0FB4"/>
    <w:rsid w:val="008E14AB"/>
    <w:rsid w:val="008E173E"/>
    <w:rsid w:val="008E1E03"/>
    <w:rsid w:val="008E2157"/>
    <w:rsid w:val="008E245E"/>
    <w:rsid w:val="008E25C4"/>
    <w:rsid w:val="008E261F"/>
    <w:rsid w:val="008E26C0"/>
    <w:rsid w:val="008E27AA"/>
    <w:rsid w:val="008E2AD4"/>
    <w:rsid w:val="008E2C60"/>
    <w:rsid w:val="008E2DD9"/>
    <w:rsid w:val="008E2E5A"/>
    <w:rsid w:val="008E30A7"/>
    <w:rsid w:val="008E32EB"/>
    <w:rsid w:val="008E3961"/>
    <w:rsid w:val="008E3B8D"/>
    <w:rsid w:val="008E3BCD"/>
    <w:rsid w:val="008E3D67"/>
    <w:rsid w:val="008E3F0D"/>
    <w:rsid w:val="008E3F1C"/>
    <w:rsid w:val="008E43B6"/>
    <w:rsid w:val="008E43E8"/>
    <w:rsid w:val="008E45DC"/>
    <w:rsid w:val="008E461D"/>
    <w:rsid w:val="008E4C75"/>
    <w:rsid w:val="008E5051"/>
    <w:rsid w:val="008E55DF"/>
    <w:rsid w:val="008E5600"/>
    <w:rsid w:val="008E5A52"/>
    <w:rsid w:val="008E5AE8"/>
    <w:rsid w:val="008E6240"/>
    <w:rsid w:val="008E6407"/>
    <w:rsid w:val="008E6557"/>
    <w:rsid w:val="008E6750"/>
    <w:rsid w:val="008E71D4"/>
    <w:rsid w:val="008E76AC"/>
    <w:rsid w:val="008F00B4"/>
    <w:rsid w:val="008F01C8"/>
    <w:rsid w:val="008F022D"/>
    <w:rsid w:val="008F0B6A"/>
    <w:rsid w:val="008F0BD1"/>
    <w:rsid w:val="008F0BE1"/>
    <w:rsid w:val="008F0CB7"/>
    <w:rsid w:val="008F1123"/>
    <w:rsid w:val="008F147A"/>
    <w:rsid w:val="008F1667"/>
    <w:rsid w:val="008F1C56"/>
    <w:rsid w:val="008F2059"/>
    <w:rsid w:val="008F26F5"/>
    <w:rsid w:val="008F27BE"/>
    <w:rsid w:val="008F285B"/>
    <w:rsid w:val="008F2E41"/>
    <w:rsid w:val="008F353A"/>
    <w:rsid w:val="008F38AF"/>
    <w:rsid w:val="008F3AED"/>
    <w:rsid w:val="008F3CE0"/>
    <w:rsid w:val="008F3E92"/>
    <w:rsid w:val="008F43FC"/>
    <w:rsid w:val="008F4527"/>
    <w:rsid w:val="008F4AE9"/>
    <w:rsid w:val="008F4C48"/>
    <w:rsid w:val="008F4CFC"/>
    <w:rsid w:val="008F5A5F"/>
    <w:rsid w:val="008F5F9F"/>
    <w:rsid w:val="008F6184"/>
    <w:rsid w:val="008F63A8"/>
    <w:rsid w:val="008F7130"/>
    <w:rsid w:val="008F7264"/>
    <w:rsid w:val="008F72B4"/>
    <w:rsid w:val="008F7694"/>
    <w:rsid w:val="008F7892"/>
    <w:rsid w:val="00900077"/>
    <w:rsid w:val="00900520"/>
    <w:rsid w:val="00900C98"/>
    <w:rsid w:val="00900DB3"/>
    <w:rsid w:val="00901162"/>
    <w:rsid w:val="00901455"/>
    <w:rsid w:val="0090145C"/>
    <w:rsid w:val="009014E4"/>
    <w:rsid w:val="009017A8"/>
    <w:rsid w:val="00902000"/>
    <w:rsid w:val="00902628"/>
    <w:rsid w:val="0090294D"/>
    <w:rsid w:val="00902BED"/>
    <w:rsid w:val="009032CD"/>
    <w:rsid w:val="00903686"/>
    <w:rsid w:val="009038BE"/>
    <w:rsid w:val="00903D25"/>
    <w:rsid w:val="00903D3A"/>
    <w:rsid w:val="00904095"/>
    <w:rsid w:val="00904F38"/>
    <w:rsid w:val="00905066"/>
    <w:rsid w:val="009050CA"/>
    <w:rsid w:val="0090541A"/>
    <w:rsid w:val="00905697"/>
    <w:rsid w:val="00905927"/>
    <w:rsid w:val="00905BFB"/>
    <w:rsid w:val="00905DC6"/>
    <w:rsid w:val="009061E8"/>
    <w:rsid w:val="00906343"/>
    <w:rsid w:val="0090654C"/>
    <w:rsid w:val="00906933"/>
    <w:rsid w:val="00906942"/>
    <w:rsid w:val="00906B61"/>
    <w:rsid w:val="00906FAF"/>
    <w:rsid w:val="0090713E"/>
    <w:rsid w:val="00907169"/>
    <w:rsid w:val="00907440"/>
    <w:rsid w:val="00907493"/>
    <w:rsid w:val="00907CB2"/>
    <w:rsid w:val="00907D70"/>
    <w:rsid w:val="00910175"/>
    <w:rsid w:val="009102E0"/>
    <w:rsid w:val="009102F5"/>
    <w:rsid w:val="00910CD7"/>
    <w:rsid w:val="009112B7"/>
    <w:rsid w:val="009114B3"/>
    <w:rsid w:val="00911F1E"/>
    <w:rsid w:val="00911F77"/>
    <w:rsid w:val="00912077"/>
    <w:rsid w:val="0091234B"/>
    <w:rsid w:val="0091242F"/>
    <w:rsid w:val="00912632"/>
    <w:rsid w:val="009127A7"/>
    <w:rsid w:val="00912E71"/>
    <w:rsid w:val="009130C9"/>
    <w:rsid w:val="0091313B"/>
    <w:rsid w:val="009132E3"/>
    <w:rsid w:val="00913AF4"/>
    <w:rsid w:val="00913C66"/>
    <w:rsid w:val="00913EAB"/>
    <w:rsid w:val="00913F6A"/>
    <w:rsid w:val="009140DC"/>
    <w:rsid w:val="00914505"/>
    <w:rsid w:val="00914609"/>
    <w:rsid w:val="00914641"/>
    <w:rsid w:val="00915527"/>
    <w:rsid w:val="0091555F"/>
    <w:rsid w:val="009155BA"/>
    <w:rsid w:val="0091582D"/>
    <w:rsid w:val="00915AD2"/>
    <w:rsid w:val="00916022"/>
    <w:rsid w:val="0091644B"/>
    <w:rsid w:val="00916550"/>
    <w:rsid w:val="0091660D"/>
    <w:rsid w:val="00916667"/>
    <w:rsid w:val="00916753"/>
    <w:rsid w:val="00916EAF"/>
    <w:rsid w:val="00916EF6"/>
    <w:rsid w:val="00917063"/>
    <w:rsid w:val="0091720F"/>
    <w:rsid w:val="00917278"/>
    <w:rsid w:val="00917794"/>
    <w:rsid w:val="00917C6C"/>
    <w:rsid w:val="00917FDB"/>
    <w:rsid w:val="009203D8"/>
    <w:rsid w:val="009208AF"/>
    <w:rsid w:val="0092115A"/>
    <w:rsid w:val="0092128C"/>
    <w:rsid w:val="009214AC"/>
    <w:rsid w:val="009218E2"/>
    <w:rsid w:val="00921BAC"/>
    <w:rsid w:val="00921C23"/>
    <w:rsid w:val="00921E91"/>
    <w:rsid w:val="00921EB0"/>
    <w:rsid w:val="009220EA"/>
    <w:rsid w:val="0092216D"/>
    <w:rsid w:val="009222D5"/>
    <w:rsid w:val="0092266A"/>
    <w:rsid w:val="009229A5"/>
    <w:rsid w:val="00922C14"/>
    <w:rsid w:val="00922E7C"/>
    <w:rsid w:val="00923038"/>
    <w:rsid w:val="0092317A"/>
    <w:rsid w:val="009233CF"/>
    <w:rsid w:val="00923487"/>
    <w:rsid w:val="009239E4"/>
    <w:rsid w:val="0092421D"/>
    <w:rsid w:val="00924374"/>
    <w:rsid w:val="0092443B"/>
    <w:rsid w:val="009245FA"/>
    <w:rsid w:val="00924FD2"/>
    <w:rsid w:val="0092539A"/>
    <w:rsid w:val="009256F5"/>
    <w:rsid w:val="00925710"/>
    <w:rsid w:val="00925751"/>
    <w:rsid w:val="009257EB"/>
    <w:rsid w:val="00925833"/>
    <w:rsid w:val="009258DF"/>
    <w:rsid w:val="009259B9"/>
    <w:rsid w:val="00925A34"/>
    <w:rsid w:val="00925B1C"/>
    <w:rsid w:val="00925C60"/>
    <w:rsid w:val="00926045"/>
    <w:rsid w:val="00926233"/>
    <w:rsid w:val="009264B8"/>
    <w:rsid w:val="0092715A"/>
    <w:rsid w:val="0092717A"/>
    <w:rsid w:val="00927B6E"/>
    <w:rsid w:val="00927EA9"/>
    <w:rsid w:val="00930117"/>
    <w:rsid w:val="009303CD"/>
    <w:rsid w:val="00930D97"/>
    <w:rsid w:val="00931035"/>
    <w:rsid w:val="0093183C"/>
    <w:rsid w:val="00931EE2"/>
    <w:rsid w:val="0093211C"/>
    <w:rsid w:val="009324CE"/>
    <w:rsid w:val="00932BCB"/>
    <w:rsid w:val="0093368A"/>
    <w:rsid w:val="00933830"/>
    <w:rsid w:val="00933B7D"/>
    <w:rsid w:val="00933BF7"/>
    <w:rsid w:val="00933DFC"/>
    <w:rsid w:val="00934990"/>
    <w:rsid w:val="009349D0"/>
    <w:rsid w:val="00934EAE"/>
    <w:rsid w:val="0093599B"/>
    <w:rsid w:val="00935A03"/>
    <w:rsid w:val="00935C6D"/>
    <w:rsid w:val="00935CD5"/>
    <w:rsid w:val="00935D30"/>
    <w:rsid w:val="00935FD2"/>
    <w:rsid w:val="00936300"/>
    <w:rsid w:val="009363A8"/>
    <w:rsid w:val="00936C1F"/>
    <w:rsid w:val="00937304"/>
    <w:rsid w:val="00937510"/>
    <w:rsid w:val="009377BA"/>
    <w:rsid w:val="00937864"/>
    <w:rsid w:val="00937C32"/>
    <w:rsid w:val="00937C56"/>
    <w:rsid w:val="00937CA7"/>
    <w:rsid w:val="00937E8B"/>
    <w:rsid w:val="009400F7"/>
    <w:rsid w:val="00940474"/>
    <w:rsid w:val="00940774"/>
    <w:rsid w:val="00940CB0"/>
    <w:rsid w:val="00940CD5"/>
    <w:rsid w:val="00940E17"/>
    <w:rsid w:val="00940F47"/>
    <w:rsid w:val="009413B9"/>
    <w:rsid w:val="00941610"/>
    <w:rsid w:val="00941860"/>
    <w:rsid w:val="00941DF9"/>
    <w:rsid w:val="009420D7"/>
    <w:rsid w:val="009421C4"/>
    <w:rsid w:val="0094222A"/>
    <w:rsid w:val="009423D0"/>
    <w:rsid w:val="00942432"/>
    <w:rsid w:val="00942D94"/>
    <w:rsid w:val="00942E07"/>
    <w:rsid w:val="009430C6"/>
    <w:rsid w:val="00943727"/>
    <w:rsid w:val="00943B27"/>
    <w:rsid w:val="00943BEB"/>
    <w:rsid w:val="00943E91"/>
    <w:rsid w:val="00944B58"/>
    <w:rsid w:val="00944D40"/>
    <w:rsid w:val="00944E71"/>
    <w:rsid w:val="00944F1A"/>
    <w:rsid w:val="00945510"/>
    <w:rsid w:val="00945B97"/>
    <w:rsid w:val="00945BDD"/>
    <w:rsid w:val="009460AB"/>
    <w:rsid w:val="009460F4"/>
    <w:rsid w:val="00946370"/>
    <w:rsid w:val="0094675F"/>
    <w:rsid w:val="0094683F"/>
    <w:rsid w:val="00946D41"/>
    <w:rsid w:val="00946E13"/>
    <w:rsid w:val="00947170"/>
    <w:rsid w:val="009472E1"/>
    <w:rsid w:val="009473D8"/>
    <w:rsid w:val="009474A3"/>
    <w:rsid w:val="009476FD"/>
    <w:rsid w:val="00947B11"/>
    <w:rsid w:val="00950104"/>
    <w:rsid w:val="0095015E"/>
    <w:rsid w:val="0095077F"/>
    <w:rsid w:val="009509F8"/>
    <w:rsid w:val="00950EC7"/>
    <w:rsid w:val="00950F01"/>
    <w:rsid w:val="00950FBE"/>
    <w:rsid w:val="00951005"/>
    <w:rsid w:val="00951088"/>
    <w:rsid w:val="009515A2"/>
    <w:rsid w:val="0095191E"/>
    <w:rsid w:val="00951BA9"/>
    <w:rsid w:val="00951F54"/>
    <w:rsid w:val="0095217E"/>
    <w:rsid w:val="00952B70"/>
    <w:rsid w:val="00952BE4"/>
    <w:rsid w:val="00952BFB"/>
    <w:rsid w:val="00953065"/>
    <w:rsid w:val="009530CC"/>
    <w:rsid w:val="009533DA"/>
    <w:rsid w:val="00953709"/>
    <w:rsid w:val="0095393C"/>
    <w:rsid w:val="00953F06"/>
    <w:rsid w:val="00954520"/>
    <w:rsid w:val="0095498B"/>
    <w:rsid w:val="00954B22"/>
    <w:rsid w:val="00954B3C"/>
    <w:rsid w:val="00954B80"/>
    <w:rsid w:val="00954C73"/>
    <w:rsid w:val="00955134"/>
    <w:rsid w:val="0095542A"/>
    <w:rsid w:val="009554A3"/>
    <w:rsid w:val="0095591B"/>
    <w:rsid w:val="00955E13"/>
    <w:rsid w:val="0095650D"/>
    <w:rsid w:val="009566B2"/>
    <w:rsid w:val="009567AD"/>
    <w:rsid w:val="00956C9B"/>
    <w:rsid w:val="009570FB"/>
    <w:rsid w:val="00957307"/>
    <w:rsid w:val="00957804"/>
    <w:rsid w:val="009579C9"/>
    <w:rsid w:val="00957B85"/>
    <w:rsid w:val="00960138"/>
    <w:rsid w:val="009605CF"/>
    <w:rsid w:val="0096066E"/>
    <w:rsid w:val="00960AA1"/>
    <w:rsid w:val="00960BC1"/>
    <w:rsid w:val="00960D12"/>
    <w:rsid w:val="00960D45"/>
    <w:rsid w:val="009614EE"/>
    <w:rsid w:val="00961923"/>
    <w:rsid w:val="009619E6"/>
    <w:rsid w:val="00962033"/>
    <w:rsid w:val="00962057"/>
    <w:rsid w:val="0096221A"/>
    <w:rsid w:val="009623CC"/>
    <w:rsid w:val="00962428"/>
    <w:rsid w:val="0096289B"/>
    <w:rsid w:val="00962C40"/>
    <w:rsid w:val="00962C6C"/>
    <w:rsid w:val="0096357B"/>
    <w:rsid w:val="00963881"/>
    <w:rsid w:val="009638DC"/>
    <w:rsid w:val="0096396B"/>
    <w:rsid w:val="00963A76"/>
    <w:rsid w:val="00963E20"/>
    <w:rsid w:val="00963FC9"/>
    <w:rsid w:val="0096429A"/>
    <w:rsid w:val="009643C2"/>
    <w:rsid w:val="009644BD"/>
    <w:rsid w:val="00964562"/>
    <w:rsid w:val="0096474E"/>
    <w:rsid w:val="00964D43"/>
    <w:rsid w:val="00964EDA"/>
    <w:rsid w:val="00965031"/>
    <w:rsid w:val="00965076"/>
    <w:rsid w:val="00965238"/>
    <w:rsid w:val="009652F9"/>
    <w:rsid w:val="00965586"/>
    <w:rsid w:val="00965A27"/>
    <w:rsid w:val="00965CCC"/>
    <w:rsid w:val="00965DCF"/>
    <w:rsid w:val="00965DD9"/>
    <w:rsid w:val="00965E1D"/>
    <w:rsid w:val="00965F2C"/>
    <w:rsid w:val="00966139"/>
    <w:rsid w:val="0096619B"/>
    <w:rsid w:val="00966257"/>
    <w:rsid w:val="00966629"/>
    <w:rsid w:val="009667FE"/>
    <w:rsid w:val="00966ACC"/>
    <w:rsid w:val="00967304"/>
    <w:rsid w:val="00970021"/>
    <w:rsid w:val="00970105"/>
    <w:rsid w:val="009701E6"/>
    <w:rsid w:val="0097036C"/>
    <w:rsid w:val="00970A2D"/>
    <w:rsid w:val="00970D03"/>
    <w:rsid w:val="00971858"/>
    <w:rsid w:val="009718D5"/>
    <w:rsid w:val="00971BAC"/>
    <w:rsid w:val="00971FF7"/>
    <w:rsid w:val="009720AF"/>
    <w:rsid w:val="00972315"/>
    <w:rsid w:val="0097238C"/>
    <w:rsid w:val="009723CC"/>
    <w:rsid w:val="00972470"/>
    <w:rsid w:val="00972A32"/>
    <w:rsid w:val="00972A5C"/>
    <w:rsid w:val="00973373"/>
    <w:rsid w:val="009738EA"/>
    <w:rsid w:val="00973991"/>
    <w:rsid w:val="00973ADC"/>
    <w:rsid w:val="00973B06"/>
    <w:rsid w:val="00973F17"/>
    <w:rsid w:val="00973F96"/>
    <w:rsid w:val="00973FDE"/>
    <w:rsid w:val="00974223"/>
    <w:rsid w:val="0097433E"/>
    <w:rsid w:val="00974372"/>
    <w:rsid w:val="00974891"/>
    <w:rsid w:val="00974BBB"/>
    <w:rsid w:val="00974C31"/>
    <w:rsid w:val="0097575F"/>
    <w:rsid w:val="0097579F"/>
    <w:rsid w:val="00975A78"/>
    <w:rsid w:val="00975ACC"/>
    <w:rsid w:val="00975B65"/>
    <w:rsid w:val="009763ED"/>
    <w:rsid w:val="009764BA"/>
    <w:rsid w:val="00976616"/>
    <w:rsid w:val="0097672E"/>
    <w:rsid w:val="00976874"/>
    <w:rsid w:val="00976B37"/>
    <w:rsid w:val="0097730C"/>
    <w:rsid w:val="00977342"/>
    <w:rsid w:val="009776B3"/>
    <w:rsid w:val="0097792F"/>
    <w:rsid w:val="00977C18"/>
    <w:rsid w:val="00977DA2"/>
    <w:rsid w:val="00977F48"/>
    <w:rsid w:val="009805D4"/>
    <w:rsid w:val="0098072D"/>
    <w:rsid w:val="00980835"/>
    <w:rsid w:val="009810E1"/>
    <w:rsid w:val="00981282"/>
    <w:rsid w:val="00981560"/>
    <w:rsid w:val="009817A2"/>
    <w:rsid w:val="00981B2D"/>
    <w:rsid w:val="00981BF4"/>
    <w:rsid w:val="00981E7F"/>
    <w:rsid w:val="009823EC"/>
    <w:rsid w:val="009824DA"/>
    <w:rsid w:val="0098252A"/>
    <w:rsid w:val="009825C1"/>
    <w:rsid w:val="0098327B"/>
    <w:rsid w:val="009833BA"/>
    <w:rsid w:val="009835D0"/>
    <w:rsid w:val="00983984"/>
    <w:rsid w:val="00983D63"/>
    <w:rsid w:val="00984254"/>
    <w:rsid w:val="009842C8"/>
    <w:rsid w:val="0098449D"/>
    <w:rsid w:val="00984AED"/>
    <w:rsid w:val="00984B2B"/>
    <w:rsid w:val="00985542"/>
    <w:rsid w:val="009857B8"/>
    <w:rsid w:val="00985848"/>
    <w:rsid w:val="009858D5"/>
    <w:rsid w:val="009858FC"/>
    <w:rsid w:val="00985952"/>
    <w:rsid w:val="00985D97"/>
    <w:rsid w:val="0098603D"/>
    <w:rsid w:val="00986195"/>
    <w:rsid w:val="009861A6"/>
    <w:rsid w:val="0098673E"/>
    <w:rsid w:val="009869E9"/>
    <w:rsid w:val="009871FF"/>
    <w:rsid w:val="00987206"/>
    <w:rsid w:val="00987629"/>
    <w:rsid w:val="009876B3"/>
    <w:rsid w:val="00987882"/>
    <w:rsid w:val="00987F42"/>
    <w:rsid w:val="0099013E"/>
    <w:rsid w:val="0099042A"/>
    <w:rsid w:val="0099092F"/>
    <w:rsid w:val="009909C7"/>
    <w:rsid w:val="00990AF0"/>
    <w:rsid w:val="00990C19"/>
    <w:rsid w:val="00990DED"/>
    <w:rsid w:val="00990E23"/>
    <w:rsid w:val="00991148"/>
    <w:rsid w:val="00991727"/>
    <w:rsid w:val="009917CD"/>
    <w:rsid w:val="00991AC8"/>
    <w:rsid w:val="00991D27"/>
    <w:rsid w:val="00992178"/>
    <w:rsid w:val="0099238C"/>
    <w:rsid w:val="009923FA"/>
    <w:rsid w:val="00992860"/>
    <w:rsid w:val="00992920"/>
    <w:rsid w:val="00992B44"/>
    <w:rsid w:val="00992DA3"/>
    <w:rsid w:val="00992FFB"/>
    <w:rsid w:val="00993226"/>
    <w:rsid w:val="009933D5"/>
    <w:rsid w:val="009935A7"/>
    <w:rsid w:val="009936A1"/>
    <w:rsid w:val="009938B3"/>
    <w:rsid w:val="009939D6"/>
    <w:rsid w:val="00993C5F"/>
    <w:rsid w:val="00993D6F"/>
    <w:rsid w:val="009940CC"/>
    <w:rsid w:val="0099430C"/>
    <w:rsid w:val="00994329"/>
    <w:rsid w:val="009944EC"/>
    <w:rsid w:val="00994642"/>
    <w:rsid w:val="0099483F"/>
    <w:rsid w:val="00994857"/>
    <w:rsid w:val="00994C27"/>
    <w:rsid w:val="00994CF9"/>
    <w:rsid w:val="00994F9C"/>
    <w:rsid w:val="0099548C"/>
    <w:rsid w:val="009959A5"/>
    <w:rsid w:val="00995A6F"/>
    <w:rsid w:val="009960ED"/>
    <w:rsid w:val="00996241"/>
    <w:rsid w:val="00996292"/>
    <w:rsid w:val="009965EA"/>
    <w:rsid w:val="00996604"/>
    <w:rsid w:val="0099687E"/>
    <w:rsid w:val="00996C17"/>
    <w:rsid w:val="00996FD6"/>
    <w:rsid w:val="009972B4"/>
    <w:rsid w:val="00997D88"/>
    <w:rsid w:val="009A001E"/>
    <w:rsid w:val="009A04B4"/>
    <w:rsid w:val="009A0777"/>
    <w:rsid w:val="009A100C"/>
    <w:rsid w:val="009A1860"/>
    <w:rsid w:val="009A1932"/>
    <w:rsid w:val="009A1E7B"/>
    <w:rsid w:val="009A20E7"/>
    <w:rsid w:val="009A2B0B"/>
    <w:rsid w:val="009A2C56"/>
    <w:rsid w:val="009A3160"/>
    <w:rsid w:val="009A32C0"/>
    <w:rsid w:val="009A3424"/>
    <w:rsid w:val="009A344A"/>
    <w:rsid w:val="009A35C7"/>
    <w:rsid w:val="009A38A5"/>
    <w:rsid w:val="009A38B5"/>
    <w:rsid w:val="009A3AD0"/>
    <w:rsid w:val="009A3CB8"/>
    <w:rsid w:val="009A3EFC"/>
    <w:rsid w:val="009A5129"/>
    <w:rsid w:val="009A56A9"/>
    <w:rsid w:val="009A5952"/>
    <w:rsid w:val="009A5B69"/>
    <w:rsid w:val="009A5E26"/>
    <w:rsid w:val="009A5F48"/>
    <w:rsid w:val="009A60AB"/>
    <w:rsid w:val="009A60E9"/>
    <w:rsid w:val="009A60F2"/>
    <w:rsid w:val="009A6314"/>
    <w:rsid w:val="009A6AC0"/>
    <w:rsid w:val="009A6D14"/>
    <w:rsid w:val="009A6D86"/>
    <w:rsid w:val="009A6D99"/>
    <w:rsid w:val="009A70A8"/>
    <w:rsid w:val="009A72D9"/>
    <w:rsid w:val="009B0332"/>
    <w:rsid w:val="009B0443"/>
    <w:rsid w:val="009B04D9"/>
    <w:rsid w:val="009B0590"/>
    <w:rsid w:val="009B0600"/>
    <w:rsid w:val="009B08FF"/>
    <w:rsid w:val="009B123C"/>
    <w:rsid w:val="009B129F"/>
    <w:rsid w:val="009B1323"/>
    <w:rsid w:val="009B133E"/>
    <w:rsid w:val="009B1727"/>
    <w:rsid w:val="009B184C"/>
    <w:rsid w:val="009B186F"/>
    <w:rsid w:val="009B1D00"/>
    <w:rsid w:val="009B2172"/>
    <w:rsid w:val="009B223E"/>
    <w:rsid w:val="009B22EB"/>
    <w:rsid w:val="009B2707"/>
    <w:rsid w:val="009B2742"/>
    <w:rsid w:val="009B283C"/>
    <w:rsid w:val="009B2961"/>
    <w:rsid w:val="009B2AAB"/>
    <w:rsid w:val="009B2CB7"/>
    <w:rsid w:val="009B2EAF"/>
    <w:rsid w:val="009B306A"/>
    <w:rsid w:val="009B3143"/>
    <w:rsid w:val="009B3194"/>
    <w:rsid w:val="009B32AC"/>
    <w:rsid w:val="009B332A"/>
    <w:rsid w:val="009B3493"/>
    <w:rsid w:val="009B34AA"/>
    <w:rsid w:val="009B3504"/>
    <w:rsid w:val="009B3D75"/>
    <w:rsid w:val="009B403F"/>
    <w:rsid w:val="009B4455"/>
    <w:rsid w:val="009B4854"/>
    <w:rsid w:val="009B4BA4"/>
    <w:rsid w:val="009B4CE9"/>
    <w:rsid w:val="009B4D60"/>
    <w:rsid w:val="009B5084"/>
    <w:rsid w:val="009B50EA"/>
    <w:rsid w:val="009B56D0"/>
    <w:rsid w:val="009B5BE2"/>
    <w:rsid w:val="009B5C8C"/>
    <w:rsid w:val="009B6026"/>
    <w:rsid w:val="009B6066"/>
    <w:rsid w:val="009B63B5"/>
    <w:rsid w:val="009B64BB"/>
    <w:rsid w:val="009B69C9"/>
    <w:rsid w:val="009B7011"/>
    <w:rsid w:val="009B7249"/>
    <w:rsid w:val="009C0189"/>
    <w:rsid w:val="009C02FF"/>
    <w:rsid w:val="009C04F3"/>
    <w:rsid w:val="009C0B9F"/>
    <w:rsid w:val="009C0C42"/>
    <w:rsid w:val="009C0D19"/>
    <w:rsid w:val="009C0D66"/>
    <w:rsid w:val="009C0F37"/>
    <w:rsid w:val="009C17EF"/>
    <w:rsid w:val="009C1874"/>
    <w:rsid w:val="009C190A"/>
    <w:rsid w:val="009C1C2A"/>
    <w:rsid w:val="009C1DF3"/>
    <w:rsid w:val="009C1E27"/>
    <w:rsid w:val="009C20C8"/>
    <w:rsid w:val="009C21E4"/>
    <w:rsid w:val="009C2767"/>
    <w:rsid w:val="009C291D"/>
    <w:rsid w:val="009C2A3F"/>
    <w:rsid w:val="009C2A85"/>
    <w:rsid w:val="009C2D81"/>
    <w:rsid w:val="009C2DCC"/>
    <w:rsid w:val="009C2FB6"/>
    <w:rsid w:val="009C3276"/>
    <w:rsid w:val="009C3522"/>
    <w:rsid w:val="009C354B"/>
    <w:rsid w:val="009C365F"/>
    <w:rsid w:val="009C3869"/>
    <w:rsid w:val="009C3A6D"/>
    <w:rsid w:val="009C3C31"/>
    <w:rsid w:val="009C3C92"/>
    <w:rsid w:val="009C3D27"/>
    <w:rsid w:val="009C3E43"/>
    <w:rsid w:val="009C3E9B"/>
    <w:rsid w:val="009C3F2A"/>
    <w:rsid w:val="009C419D"/>
    <w:rsid w:val="009C45CC"/>
    <w:rsid w:val="009C4717"/>
    <w:rsid w:val="009C4B25"/>
    <w:rsid w:val="009C4B4E"/>
    <w:rsid w:val="009C51C6"/>
    <w:rsid w:val="009C54AA"/>
    <w:rsid w:val="009C5597"/>
    <w:rsid w:val="009C57EE"/>
    <w:rsid w:val="009C5AA3"/>
    <w:rsid w:val="009C5F1D"/>
    <w:rsid w:val="009C604A"/>
    <w:rsid w:val="009C608E"/>
    <w:rsid w:val="009C639D"/>
    <w:rsid w:val="009C6C41"/>
    <w:rsid w:val="009C7020"/>
    <w:rsid w:val="009C74E9"/>
    <w:rsid w:val="009C7974"/>
    <w:rsid w:val="009C7B65"/>
    <w:rsid w:val="009C7C3B"/>
    <w:rsid w:val="009C7CDB"/>
    <w:rsid w:val="009C7D3F"/>
    <w:rsid w:val="009D064D"/>
    <w:rsid w:val="009D07AA"/>
    <w:rsid w:val="009D0FDD"/>
    <w:rsid w:val="009D1337"/>
    <w:rsid w:val="009D1408"/>
    <w:rsid w:val="009D1490"/>
    <w:rsid w:val="009D1632"/>
    <w:rsid w:val="009D16B7"/>
    <w:rsid w:val="009D180A"/>
    <w:rsid w:val="009D1954"/>
    <w:rsid w:val="009D19A0"/>
    <w:rsid w:val="009D1E26"/>
    <w:rsid w:val="009D1F71"/>
    <w:rsid w:val="009D208E"/>
    <w:rsid w:val="009D2756"/>
    <w:rsid w:val="009D2F77"/>
    <w:rsid w:val="009D32EC"/>
    <w:rsid w:val="009D3300"/>
    <w:rsid w:val="009D3748"/>
    <w:rsid w:val="009D377A"/>
    <w:rsid w:val="009D3AAF"/>
    <w:rsid w:val="009D3DA1"/>
    <w:rsid w:val="009D4047"/>
    <w:rsid w:val="009D4326"/>
    <w:rsid w:val="009D480E"/>
    <w:rsid w:val="009D499B"/>
    <w:rsid w:val="009D4A4C"/>
    <w:rsid w:val="009D51E2"/>
    <w:rsid w:val="009D51FD"/>
    <w:rsid w:val="009D520D"/>
    <w:rsid w:val="009D5507"/>
    <w:rsid w:val="009D55CF"/>
    <w:rsid w:val="009D59CD"/>
    <w:rsid w:val="009D5C1A"/>
    <w:rsid w:val="009D611E"/>
    <w:rsid w:val="009D61F7"/>
    <w:rsid w:val="009D7084"/>
    <w:rsid w:val="009D713A"/>
    <w:rsid w:val="009D76B0"/>
    <w:rsid w:val="009D7997"/>
    <w:rsid w:val="009D7A35"/>
    <w:rsid w:val="009D7C9D"/>
    <w:rsid w:val="009D7CE1"/>
    <w:rsid w:val="009D7E31"/>
    <w:rsid w:val="009D7FCF"/>
    <w:rsid w:val="009E001F"/>
    <w:rsid w:val="009E0269"/>
    <w:rsid w:val="009E0347"/>
    <w:rsid w:val="009E03A2"/>
    <w:rsid w:val="009E0429"/>
    <w:rsid w:val="009E06CE"/>
    <w:rsid w:val="009E07CF"/>
    <w:rsid w:val="009E0BBA"/>
    <w:rsid w:val="009E113E"/>
    <w:rsid w:val="009E1788"/>
    <w:rsid w:val="009E1B1B"/>
    <w:rsid w:val="009E1ECC"/>
    <w:rsid w:val="009E1FFB"/>
    <w:rsid w:val="009E200E"/>
    <w:rsid w:val="009E2104"/>
    <w:rsid w:val="009E22C3"/>
    <w:rsid w:val="009E2544"/>
    <w:rsid w:val="009E25EF"/>
    <w:rsid w:val="009E2815"/>
    <w:rsid w:val="009E2C68"/>
    <w:rsid w:val="009E30CA"/>
    <w:rsid w:val="009E31D6"/>
    <w:rsid w:val="009E3303"/>
    <w:rsid w:val="009E3346"/>
    <w:rsid w:val="009E34E5"/>
    <w:rsid w:val="009E3825"/>
    <w:rsid w:val="009E3D35"/>
    <w:rsid w:val="009E4212"/>
    <w:rsid w:val="009E42F9"/>
    <w:rsid w:val="009E47DD"/>
    <w:rsid w:val="009E483F"/>
    <w:rsid w:val="009E49CE"/>
    <w:rsid w:val="009E4B70"/>
    <w:rsid w:val="009E51DA"/>
    <w:rsid w:val="009E51E9"/>
    <w:rsid w:val="009E53F7"/>
    <w:rsid w:val="009E583C"/>
    <w:rsid w:val="009E5A18"/>
    <w:rsid w:val="009E5BBA"/>
    <w:rsid w:val="009E5D88"/>
    <w:rsid w:val="009E600B"/>
    <w:rsid w:val="009E61CA"/>
    <w:rsid w:val="009E6248"/>
    <w:rsid w:val="009E6592"/>
    <w:rsid w:val="009E65A2"/>
    <w:rsid w:val="009E66C0"/>
    <w:rsid w:val="009E69D4"/>
    <w:rsid w:val="009E69F5"/>
    <w:rsid w:val="009E6AE5"/>
    <w:rsid w:val="009E6AF3"/>
    <w:rsid w:val="009E6BA4"/>
    <w:rsid w:val="009E6FF1"/>
    <w:rsid w:val="009E6FF5"/>
    <w:rsid w:val="009E721D"/>
    <w:rsid w:val="009E752C"/>
    <w:rsid w:val="009E7BD9"/>
    <w:rsid w:val="009E7C05"/>
    <w:rsid w:val="009F0746"/>
    <w:rsid w:val="009F08F6"/>
    <w:rsid w:val="009F0997"/>
    <w:rsid w:val="009F0B03"/>
    <w:rsid w:val="009F0CA7"/>
    <w:rsid w:val="009F0D55"/>
    <w:rsid w:val="009F0FB6"/>
    <w:rsid w:val="009F1105"/>
    <w:rsid w:val="009F1490"/>
    <w:rsid w:val="009F152B"/>
    <w:rsid w:val="009F15A2"/>
    <w:rsid w:val="009F17D0"/>
    <w:rsid w:val="009F1907"/>
    <w:rsid w:val="009F208E"/>
    <w:rsid w:val="009F239E"/>
    <w:rsid w:val="009F259C"/>
    <w:rsid w:val="009F279A"/>
    <w:rsid w:val="009F2C33"/>
    <w:rsid w:val="009F2CB0"/>
    <w:rsid w:val="009F2CB9"/>
    <w:rsid w:val="009F35F1"/>
    <w:rsid w:val="009F38CC"/>
    <w:rsid w:val="009F3C78"/>
    <w:rsid w:val="009F3C7D"/>
    <w:rsid w:val="009F3D11"/>
    <w:rsid w:val="009F3DCD"/>
    <w:rsid w:val="009F434E"/>
    <w:rsid w:val="009F4B46"/>
    <w:rsid w:val="009F4D2F"/>
    <w:rsid w:val="009F4F8C"/>
    <w:rsid w:val="009F5060"/>
    <w:rsid w:val="009F53A5"/>
    <w:rsid w:val="009F566D"/>
    <w:rsid w:val="009F5739"/>
    <w:rsid w:val="009F5AC6"/>
    <w:rsid w:val="009F5BA9"/>
    <w:rsid w:val="009F5FF4"/>
    <w:rsid w:val="009F6311"/>
    <w:rsid w:val="009F6352"/>
    <w:rsid w:val="009F67E1"/>
    <w:rsid w:val="009F6AAB"/>
    <w:rsid w:val="009F6ABA"/>
    <w:rsid w:val="009F6D27"/>
    <w:rsid w:val="009F6EC9"/>
    <w:rsid w:val="009F7415"/>
    <w:rsid w:val="009F75EA"/>
    <w:rsid w:val="009F7776"/>
    <w:rsid w:val="009F7A7C"/>
    <w:rsid w:val="009F7A9E"/>
    <w:rsid w:val="009F7B59"/>
    <w:rsid w:val="009F7C17"/>
    <w:rsid w:val="009F7E2F"/>
    <w:rsid w:val="00A0020C"/>
    <w:rsid w:val="00A00271"/>
    <w:rsid w:val="00A002A7"/>
    <w:rsid w:val="00A002C4"/>
    <w:rsid w:val="00A004F1"/>
    <w:rsid w:val="00A0076C"/>
    <w:rsid w:val="00A008FC"/>
    <w:rsid w:val="00A009EB"/>
    <w:rsid w:val="00A016B7"/>
    <w:rsid w:val="00A019F4"/>
    <w:rsid w:val="00A01A52"/>
    <w:rsid w:val="00A01C65"/>
    <w:rsid w:val="00A01EB9"/>
    <w:rsid w:val="00A020FE"/>
    <w:rsid w:val="00A02A30"/>
    <w:rsid w:val="00A03573"/>
    <w:rsid w:val="00A03914"/>
    <w:rsid w:val="00A03C5E"/>
    <w:rsid w:val="00A03C7E"/>
    <w:rsid w:val="00A045A0"/>
    <w:rsid w:val="00A04609"/>
    <w:rsid w:val="00A04D72"/>
    <w:rsid w:val="00A04F2F"/>
    <w:rsid w:val="00A05135"/>
    <w:rsid w:val="00A05475"/>
    <w:rsid w:val="00A0555B"/>
    <w:rsid w:val="00A05AB3"/>
    <w:rsid w:val="00A05CC0"/>
    <w:rsid w:val="00A05FDA"/>
    <w:rsid w:val="00A06014"/>
    <w:rsid w:val="00A0628A"/>
    <w:rsid w:val="00A06311"/>
    <w:rsid w:val="00A06322"/>
    <w:rsid w:val="00A068B0"/>
    <w:rsid w:val="00A07235"/>
    <w:rsid w:val="00A07527"/>
    <w:rsid w:val="00A077C9"/>
    <w:rsid w:val="00A07AD6"/>
    <w:rsid w:val="00A07EBA"/>
    <w:rsid w:val="00A10183"/>
    <w:rsid w:val="00A1042F"/>
    <w:rsid w:val="00A10B78"/>
    <w:rsid w:val="00A11151"/>
    <w:rsid w:val="00A111BA"/>
    <w:rsid w:val="00A11E41"/>
    <w:rsid w:val="00A11EE5"/>
    <w:rsid w:val="00A12497"/>
    <w:rsid w:val="00A1260F"/>
    <w:rsid w:val="00A12CAD"/>
    <w:rsid w:val="00A12E01"/>
    <w:rsid w:val="00A12E9F"/>
    <w:rsid w:val="00A12FC2"/>
    <w:rsid w:val="00A1320E"/>
    <w:rsid w:val="00A13231"/>
    <w:rsid w:val="00A1360E"/>
    <w:rsid w:val="00A1360F"/>
    <w:rsid w:val="00A13997"/>
    <w:rsid w:val="00A13B65"/>
    <w:rsid w:val="00A13BC0"/>
    <w:rsid w:val="00A13F42"/>
    <w:rsid w:val="00A13FE2"/>
    <w:rsid w:val="00A13FF6"/>
    <w:rsid w:val="00A1404E"/>
    <w:rsid w:val="00A14417"/>
    <w:rsid w:val="00A14FCE"/>
    <w:rsid w:val="00A1515D"/>
    <w:rsid w:val="00A1549B"/>
    <w:rsid w:val="00A1557E"/>
    <w:rsid w:val="00A155CD"/>
    <w:rsid w:val="00A159F7"/>
    <w:rsid w:val="00A15E39"/>
    <w:rsid w:val="00A15F0F"/>
    <w:rsid w:val="00A16320"/>
    <w:rsid w:val="00A1666C"/>
    <w:rsid w:val="00A166DA"/>
    <w:rsid w:val="00A16B57"/>
    <w:rsid w:val="00A16C43"/>
    <w:rsid w:val="00A16D5D"/>
    <w:rsid w:val="00A16E66"/>
    <w:rsid w:val="00A16FAE"/>
    <w:rsid w:val="00A16FB0"/>
    <w:rsid w:val="00A170C2"/>
    <w:rsid w:val="00A1710B"/>
    <w:rsid w:val="00A1752A"/>
    <w:rsid w:val="00A17D36"/>
    <w:rsid w:val="00A20678"/>
    <w:rsid w:val="00A2070D"/>
    <w:rsid w:val="00A20990"/>
    <w:rsid w:val="00A20B22"/>
    <w:rsid w:val="00A20C52"/>
    <w:rsid w:val="00A20F40"/>
    <w:rsid w:val="00A20F61"/>
    <w:rsid w:val="00A21270"/>
    <w:rsid w:val="00A21463"/>
    <w:rsid w:val="00A216E6"/>
    <w:rsid w:val="00A21B8E"/>
    <w:rsid w:val="00A21F1C"/>
    <w:rsid w:val="00A21F60"/>
    <w:rsid w:val="00A2201E"/>
    <w:rsid w:val="00A2228F"/>
    <w:rsid w:val="00A2230F"/>
    <w:rsid w:val="00A2232B"/>
    <w:rsid w:val="00A224FF"/>
    <w:rsid w:val="00A226D9"/>
    <w:rsid w:val="00A229F2"/>
    <w:rsid w:val="00A22E8B"/>
    <w:rsid w:val="00A23061"/>
    <w:rsid w:val="00A2332F"/>
    <w:rsid w:val="00A238E4"/>
    <w:rsid w:val="00A23967"/>
    <w:rsid w:val="00A23C84"/>
    <w:rsid w:val="00A2407E"/>
    <w:rsid w:val="00A2412B"/>
    <w:rsid w:val="00A24225"/>
    <w:rsid w:val="00A2441F"/>
    <w:rsid w:val="00A2476C"/>
    <w:rsid w:val="00A2497D"/>
    <w:rsid w:val="00A2498A"/>
    <w:rsid w:val="00A249E8"/>
    <w:rsid w:val="00A24EE9"/>
    <w:rsid w:val="00A24FFC"/>
    <w:rsid w:val="00A253A9"/>
    <w:rsid w:val="00A25EF1"/>
    <w:rsid w:val="00A261E4"/>
    <w:rsid w:val="00A26605"/>
    <w:rsid w:val="00A266A6"/>
    <w:rsid w:val="00A2697B"/>
    <w:rsid w:val="00A26A73"/>
    <w:rsid w:val="00A26CDC"/>
    <w:rsid w:val="00A26CE3"/>
    <w:rsid w:val="00A274F1"/>
    <w:rsid w:val="00A27872"/>
    <w:rsid w:val="00A302F1"/>
    <w:rsid w:val="00A30487"/>
    <w:rsid w:val="00A30C39"/>
    <w:rsid w:val="00A30FF7"/>
    <w:rsid w:val="00A30FF8"/>
    <w:rsid w:val="00A3153B"/>
    <w:rsid w:val="00A318A7"/>
    <w:rsid w:val="00A3196A"/>
    <w:rsid w:val="00A31DC3"/>
    <w:rsid w:val="00A31F80"/>
    <w:rsid w:val="00A33181"/>
    <w:rsid w:val="00A336F8"/>
    <w:rsid w:val="00A33844"/>
    <w:rsid w:val="00A33909"/>
    <w:rsid w:val="00A339B1"/>
    <w:rsid w:val="00A33BA1"/>
    <w:rsid w:val="00A33BCF"/>
    <w:rsid w:val="00A33CB7"/>
    <w:rsid w:val="00A33E66"/>
    <w:rsid w:val="00A3458F"/>
    <w:rsid w:val="00A345A8"/>
    <w:rsid w:val="00A34A0A"/>
    <w:rsid w:val="00A35161"/>
    <w:rsid w:val="00A3554C"/>
    <w:rsid w:val="00A35A7E"/>
    <w:rsid w:val="00A35B9B"/>
    <w:rsid w:val="00A35EF7"/>
    <w:rsid w:val="00A362C0"/>
    <w:rsid w:val="00A36A90"/>
    <w:rsid w:val="00A37269"/>
    <w:rsid w:val="00A375D1"/>
    <w:rsid w:val="00A3791C"/>
    <w:rsid w:val="00A37C9A"/>
    <w:rsid w:val="00A37ED9"/>
    <w:rsid w:val="00A37F43"/>
    <w:rsid w:val="00A40384"/>
    <w:rsid w:val="00A40793"/>
    <w:rsid w:val="00A40804"/>
    <w:rsid w:val="00A408E3"/>
    <w:rsid w:val="00A40A26"/>
    <w:rsid w:val="00A40C70"/>
    <w:rsid w:val="00A40CEA"/>
    <w:rsid w:val="00A411C0"/>
    <w:rsid w:val="00A413A9"/>
    <w:rsid w:val="00A41820"/>
    <w:rsid w:val="00A41AA1"/>
    <w:rsid w:val="00A4214C"/>
    <w:rsid w:val="00A421B9"/>
    <w:rsid w:val="00A42E3C"/>
    <w:rsid w:val="00A42F04"/>
    <w:rsid w:val="00A43004"/>
    <w:rsid w:val="00A43310"/>
    <w:rsid w:val="00A43CAB"/>
    <w:rsid w:val="00A43D8B"/>
    <w:rsid w:val="00A4408F"/>
    <w:rsid w:val="00A44A0B"/>
    <w:rsid w:val="00A44B2E"/>
    <w:rsid w:val="00A44DDD"/>
    <w:rsid w:val="00A4527B"/>
    <w:rsid w:val="00A45755"/>
    <w:rsid w:val="00A45875"/>
    <w:rsid w:val="00A45CA0"/>
    <w:rsid w:val="00A46249"/>
    <w:rsid w:val="00A4670B"/>
    <w:rsid w:val="00A468DE"/>
    <w:rsid w:val="00A46950"/>
    <w:rsid w:val="00A4699F"/>
    <w:rsid w:val="00A46F0C"/>
    <w:rsid w:val="00A47C4A"/>
    <w:rsid w:val="00A47CEC"/>
    <w:rsid w:val="00A5032E"/>
    <w:rsid w:val="00A5086E"/>
    <w:rsid w:val="00A50910"/>
    <w:rsid w:val="00A50B58"/>
    <w:rsid w:val="00A50D17"/>
    <w:rsid w:val="00A50EF8"/>
    <w:rsid w:val="00A50FBA"/>
    <w:rsid w:val="00A511F2"/>
    <w:rsid w:val="00A512C5"/>
    <w:rsid w:val="00A512DE"/>
    <w:rsid w:val="00A51551"/>
    <w:rsid w:val="00A5171F"/>
    <w:rsid w:val="00A51897"/>
    <w:rsid w:val="00A519AB"/>
    <w:rsid w:val="00A51DF9"/>
    <w:rsid w:val="00A52079"/>
    <w:rsid w:val="00A52694"/>
    <w:rsid w:val="00A52CC2"/>
    <w:rsid w:val="00A531FD"/>
    <w:rsid w:val="00A533D4"/>
    <w:rsid w:val="00A5363A"/>
    <w:rsid w:val="00A539A2"/>
    <w:rsid w:val="00A53C4D"/>
    <w:rsid w:val="00A53DA5"/>
    <w:rsid w:val="00A53ED6"/>
    <w:rsid w:val="00A5413E"/>
    <w:rsid w:val="00A54299"/>
    <w:rsid w:val="00A54507"/>
    <w:rsid w:val="00A5484D"/>
    <w:rsid w:val="00A548A5"/>
    <w:rsid w:val="00A54923"/>
    <w:rsid w:val="00A54DF1"/>
    <w:rsid w:val="00A5554F"/>
    <w:rsid w:val="00A55784"/>
    <w:rsid w:val="00A55B36"/>
    <w:rsid w:val="00A55C99"/>
    <w:rsid w:val="00A55FBE"/>
    <w:rsid w:val="00A560B7"/>
    <w:rsid w:val="00A563CD"/>
    <w:rsid w:val="00A5647D"/>
    <w:rsid w:val="00A565B8"/>
    <w:rsid w:val="00A565F9"/>
    <w:rsid w:val="00A56793"/>
    <w:rsid w:val="00A567F3"/>
    <w:rsid w:val="00A56E08"/>
    <w:rsid w:val="00A57731"/>
    <w:rsid w:val="00A5782E"/>
    <w:rsid w:val="00A57DD0"/>
    <w:rsid w:val="00A57E12"/>
    <w:rsid w:val="00A60254"/>
    <w:rsid w:val="00A602A8"/>
    <w:rsid w:val="00A60888"/>
    <w:rsid w:val="00A61307"/>
    <w:rsid w:val="00A613AF"/>
    <w:rsid w:val="00A61528"/>
    <w:rsid w:val="00A619D5"/>
    <w:rsid w:val="00A61E53"/>
    <w:rsid w:val="00A61F4C"/>
    <w:rsid w:val="00A6221B"/>
    <w:rsid w:val="00A6233D"/>
    <w:rsid w:val="00A625AD"/>
    <w:rsid w:val="00A62862"/>
    <w:rsid w:val="00A62895"/>
    <w:rsid w:val="00A6341C"/>
    <w:rsid w:val="00A636D0"/>
    <w:rsid w:val="00A639D7"/>
    <w:rsid w:val="00A63C65"/>
    <w:rsid w:val="00A63C78"/>
    <w:rsid w:val="00A63CFE"/>
    <w:rsid w:val="00A63D2C"/>
    <w:rsid w:val="00A640E9"/>
    <w:rsid w:val="00A641BC"/>
    <w:rsid w:val="00A64243"/>
    <w:rsid w:val="00A6442B"/>
    <w:rsid w:val="00A64632"/>
    <w:rsid w:val="00A65006"/>
    <w:rsid w:val="00A65033"/>
    <w:rsid w:val="00A65219"/>
    <w:rsid w:val="00A655C5"/>
    <w:rsid w:val="00A657A0"/>
    <w:rsid w:val="00A659EC"/>
    <w:rsid w:val="00A65F44"/>
    <w:rsid w:val="00A66152"/>
    <w:rsid w:val="00A661A9"/>
    <w:rsid w:val="00A661CE"/>
    <w:rsid w:val="00A66722"/>
    <w:rsid w:val="00A669FE"/>
    <w:rsid w:val="00A66BD0"/>
    <w:rsid w:val="00A66E82"/>
    <w:rsid w:val="00A66EE0"/>
    <w:rsid w:val="00A67271"/>
    <w:rsid w:val="00A673ED"/>
    <w:rsid w:val="00A67454"/>
    <w:rsid w:val="00A675E1"/>
    <w:rsid w:val="00A677EC"/>
    <w:rsid w:val="00A67B32"/>
    <w:rsid w:val="00A67ECB"/>
    <w:rsid w:val="00A70042"/>
    <w:rsid w:val="00A70428"/>
    <w:rsid w:val="00A706C5"/>
    <w:rsid w:val="00A7075D"/>
    <w:rsid w:val="00A709F1"/>
    <w:rsid w:val="00A70DC6"/>
    <w:rsid w:val="00A71160"/>
    <w:rsid w:val="00A716A3"/>
    <w:rsid w:val="00A7201B"/>
    <w:rsid w:val="00A72189"/>
    <w:rsid w:val="00A72907"/>
    <w:rsid w:val="00A72C5D"/>
    <w:rsid w:val="00A73064"/>
    <w:rsid w:val="00A73080"/>
    <w:rsid w:val="00A7349E"/>
    <w:rsid w:val="00A7354E"/>
    <w:rsid w:val="00A737F0"/>
    <w:rsid w:val="00A7383E"/>
    <w:rsid w:val="00A73D99"/>
    <w:rsid w:val="00A73DA1"/>
    <w:rsid w:val="00A740AB"/>
    <w:rsid w:val="00A7451C"/>
    <w:rsid w:val="00A748CD"/>
    <w:rsid w:val="00A74B0A"/>
    <w:rsid w:val="00A74F07"/>
    <w:rsid w:val="00A7530A"/>
    <w:rsid w:val="00A75417"/>
    <w:rsid w:val="00A7583E"/>
    <w:rsid w:val="00A75A1B"/>
    <w:rsid w:val="00A75A88"/>
    <w:rsid w:val="00A75C76"/>
    <w:rsid w:val="00A7676A"/>
    <w:rsid w:val="00A76A92"/>
    <w:rsid w:val="00A76F48"/>
    <w:rsid w:val="00A772FC"/>
    <w:rsid w:val="00A7750A"/>
    <w:rsid w:val="00A77D4E"/>
    <w:rsid w:val="00A801FC"/>
    <w:rsid w:val="00A803B5"/>
    <w:rsid w:val="00A8079A"/>
    <w:rsid w:val="00A80CD9"/>
    <w:rsid w:val="00A80EA0"/>
    <w:rsid w:val="00A80EE0"/>
    <w:rsid w:val="00A8122B"/>
    <w:rsid w:val="00A81397"/>
    <w:rsid w:val="00A8153D"/>
    <w:rsid w:val="00A81934"/>
    <w:rsid w:val="00A81938"/>
    <w:rsid w:val="00A819AD"/>
    <w:rsid w:val="00A81EA1"/>
    <w:rsid w:val="00A82170"/>
    <w:rsid w:val="00A82BA6"/>
    <w:rsid w:val="00A83099"/>
    <w:rsid w:val="00A830E0"/>
    <w:rsid w:val="00A83579"/>
    <w:rsid w:val="00A835C5"/>
    <w:rsid w:val="00A83828"/>
    <w:rsid w:val="00A83898"/>
    <w:rsid w:val="00A838EF"/>
    <w:rsid w:val="00A83AFD"/>
    <w:rsid w:val="00A83B2E"/>
    <w:rsid w:val="00A83E15"/>
    <w:rsid w:val="00A8407A"/>
    <w:rsid w:val="00A8408B"/>
    <w:rsid w:val="00A8416A"/>
    <w:rsid w:val="00A84790"/>
    <w:rsid w:val="00A84A45"/>
    <w:rsid w:val="00A84EED"/>
    <w:rsid w:val="00A84F2A"/>
    <w:rsid w:val="00A85190"/>
    <w:rsid w:val="00A85429"/>
    <w:rsid w:val="00A856EE"/>
    <w:rsid w:val="00A85714"/>
    <w:rsid w:val="00A8578B"/>
    <w:rsid w:val="00A85B3B"/>
    <w:rsid w:val="00A85C0C"/>
    <w:rsid w:val="00A85C1A"/>
    <w:rsid w:val="00A8611F"/>
    <w:rsid w:val="00A86314"/>
    <w:rsid w:val="00A8638B"/>
    <w:rsid w:val="00A866FA"/>
    <w:rsid w:val="00A869E9"/>
    <w:rsid w:val="00A86A22"/>
    <w:rsid w:val="00A86C86"/>
    <w:rsid w:val="00A86CF4"/>
    <w:rsid w:val="00A873F5"/>
    <w:rsid w:val="00A876D3"/>
    <w:rsid w:val="00A87E12"/>
    <w:rsid w:val="00A87F19"/>
    <w:rsid w:val="00A9017D"/>
    <w:rsid w:val="00A904F5"/>
    <w:rsid w:val="00A9051C"/>
    <w:rsid w:val="00A9061A"/>
    <w:rsid w:val="00A90943"/>
    <w:rsid w:val="00A90F35"/>
    <w:rsid w:val="00A91905"/>
    <w:rsid w:val="00A91AC1"/>
    <w:rsid w:val="00A91CF7"/>
    <w:rsid w:val="00A926C6"/>
    <w:rsid w:val="00A92781"/>
    <w:rsid w:val="00A928A1"/>
    <w:rsid w:val="00A92992"/>
    <w:rsid w:val="00A92E10"/>
    <w:rsid w:val="00A93674"/>
    <w:rsid w:val="00A93A0B"/>
    <w:rsid w:val="00A93AAA"/>
    <w:rsid w:val="00A93AC8"/>
    <w:rsid w:val="00A93CFA"/>
    <w:rsid w:val="00A93E52"/>
    <w:rsid w:val="00A9412B"/>
    <w:rsid w:val="00A941C2"/>
    <w:rsid w:val="00A947F5"/>
    <w:rsid w:val="00A94D49"/>
    <w:rsid w:val="00A95604"/>
    <w:rsid w:val="00A95916"/>
    <w:rsid w:val="00A959B9"/>
    <w:rsid w:val="00A95EA3"/>
    <w:rsid w:val="00A95EE3"/>
    <w:rsid w:val="00A96054"/>
    <w:rsid w:val="00A9612F"/>
    <w:rsid w:val="00A96412"/>
    <w:rsid w:val="00A964F2"/>
    <w:rsid w:val="00A967EE"/>
    <w:rsid w:val="00A96885"/>
    <w:rsid w:val="00A96CF6"/>
    <w:rsid w:val="00A96EF6"/>
    <w:rsid w:val="00A9702B"/>
    <w:rsid w:val="00A973B1"/>
    <w:rsid w:val="00A9741F"/>
    <w:rsid w:val="00A97D14"/>
    <w:rsid w:val="00A97D47"/>
    <w:rsid w:val="00A97ECC"/>
    <w:rsid w:val="00A97F43"/>
    <w:rsid w:val="00AA0117"/>
    <w:rsid w:val="00AA065B"/>
    <w:rsid w:val="00AA0A12"/>
    <w:rsid w:val="00AA0A86"/>
    <w:rsid w:val="00AA0D03"/>
    <w:rsid w:val="00AA145E"/>
    <w:rsid w:val="00AA1AB2"/>
    <w:rsid w:val="00AA1F8C"/>
    <w:rsid w:val="00AA2334"/>
    <w:rsid w:val="00AA2340"/>
    <w:rsid w:val="00AA2426"/>
    <w:rsid w:val="00AA2490"/>
    <w:rsid w:val="00AA34D7"/>
    <w:rsid w:val="00AA357E"/>
    <w:rsid w:val="00AA36A6"/>
    <w:rsid w:val="00AA3B9B"/>
    <w:rsid w:val="00AA3C0D"/>
    <w:rsid w:val="00AA3C46"/>
    <w:rsid w:val="00AA3DB6"/>
    <w:rsid w:val="00AA3F0F"/>
    <w:rsid w:val="00AA418A"/>
    <w:rsid w:val="00AA4502"/>
    <w:rsid w:val="00AA48C1"/>
    <w:rsid w:val="00AA4A3D"/>
    <w:rsid w:val="00AA4AB9"/>
    <w:rsid w:val="00AA50A5"/>
    <w:rsid w:val="00AA5165"/>
    <w:rsid w:val="00AA5184"/>
    <w:rsid w:val="00AA5419"/>
    <w:rsid w:val="00AA5903"/>
    <w:rsid w:val="00AA5955"/>
    <w:rsid w:val="00AA5F3E"/>
    <w:rsid w:val="00AA67E0"/>
    <w:rsid w:val="00AA69D6"/>
    <w:rsid w:val="00AA69F0"/>
    <w:rsid w:val="00AA6BCF"/>
    <w:rsid w:val="00AA6F63"/>
    <w:rsid w:val="00AA716E"/>
    <w:rsid w:val="00AA7265"/>
    <w:rsid w:val="00AA7426"/>
    <w:rsid w:val="00AA7494"/>
    <w:rsid w:val="00AA7B01"/>
    <w:rsid w:val="00AA7C67"/>
    <w:rsid w:val="00AA7D56"/>
    <w:rsid w:val="00AA7D75"/>
    <w:rsid w:val="00AB0126"/>
    <w:rsid w:val="00AB019D"/>
    <w:rsid w:val="00AB0815"/>
    <w:rsid w:val="00AB0A36"/>
    <w:rsid w:val="00AB0A57"/>
    <w:rsid w:val="00AB0B7E"/>
    <w:rsid w:val="00AB0C23"/>
    <w:rsid w:val="00AB0D2E"/>
    <w:rsid w:val="00AB1299"/>
    <w:rsid w:val="00AB14B7"/>
    <w:rsid w:val="00AB175B"/>
    <w:rsid w:val="00AB1971"/>
    <w:rsid w:val="00AB1E18"/>
    <w:rsid w:val="00AB1EE5"/>
    <w:rsid w:val="00AB222D"/>
    <w:rsid w:val="00AB236C"/>
    <w:rsid w:val="00AB254F"/>
    <w:rsid w:val="00AB2601"/>
    <w:rsid w:val="00AB291E"/>
    <w:rsid w:val="00AB2BC3"/>
    <w:rsid w:val="00AB3094"/>
    <w:rsid w:val="00AB3150"/>
    <w:rsid w:val="00AB3676"/>
    <w:rsid w:val="00AB3DA8"/>
    <w:rsid w:val="00AB403D"/>
    <w:rsid w:val="00AB442C"/>
    <w:rsid w:val="00AB4603"/>
    <w:rsid w:val="00AB4716"/>
    <w:rsid w:val="00AB4782"/>
    <w:rsid w:val="00AB48AC"/>
    <w:rsid w:val="00AB4A62"/>
    <w:rsid w:val="00AB4CB2"/>
    <w:rsid w:val="00AB4CB3"/>
    <w:rsid w:val="00AB4E71"/>
    <w:rsid w:val="00AB4EC0"/>
    <w:rsid w:val="00AB55BB"/>
    <w:rsid w:val="00AB56EE"/>
    <w:rsid w:val="00AB5CD3"/>
    <w:rsid w:val="00AB5E98"/>
    <w:rsid w:val="00AB602C"/>
    <w:rsid w:val="00AB617F"/>
    <w:rsid w:val="00AB6243"/>
    <w:rsid w:val="00AB630F"/>
    <w:rsid w:val="00AB6454"/>
    <w:rsid w:val="00AB65B3"/>
    <w:rsid w:val="00AB65DA"/>
    <w:rsid w:val="00AB6704"/>
    <w:rsid w:val="00AB6748"/>
    <w:rsid w:val="00AB68EC"/>
    <w:rsid w:val="00AB6B0C"/>
    <w:rsid w:val="00AB707F"/>
    <w:rsid w:val="00AB756C"/>
    <w:rsid w:val="00AB77C7"/>
    <w:rsid w:val="00AB7845"/>
    <w:rsid w:val="00AB79FB"/>
    <w:rsid w:val="00AB7B31"/>
    <w:rsid w:val="00AB7DBA"/>
    <w:rsid w:val="00AC05CC"/>
    <w:rsid w:val="00AC065D"/>
    <w:rsid w:val="00AC0841"/>
    <w:rsid w:val="00AC1795"/>
    <w:rsid w:val="00AC1CFD"/>
    <w:rsid w:val="00AC1D6C"/>
    <w:rsid w:val="00AC2365"/>
    <w:rsid w:val="00AC2426"/>
    <w:rsid w:val="00AC2597"/>
    <w:rsid w:val="00AC272A"/>
    <w:rsid w:val="00AC2C1E"/>
    <w:rsid w:val="00AC3078"/>
    <w:rsid w:val="00AC31B9"/>
    <w:rsid w:val="00AC36B5"/>
    <w:rsid w:val="00AC3CA7"/>
    <w:rsid w:val="00AC403B"/>
    <w:rsid w:val="00AC4154"/>
    <w:rsid w:val="00AC4225"/>
    <w:rsid w:val="00AC4895"/>
    <w:rsid w:val="00AC4B11"/>
    <w:rsid w:val="00AC4E65"/>
    <w:rsid w:val="00AC53CB"/>
    <w:rsid w:val="00AC5417"/>
    <w:rsid w:val="00AC6091"/>
    <w:rsid w:val="00AC6136"/>
    <w:rsid w:val="00AC63C9"/>
    <w:rsid w:val="00AC6970"/>
    <w:rsid w:val="00AC6DB3"/>
    <w:rsid w:val="00AC6F52"/>
    <w:rsid w:val="00AC6FA6"/>
    <w:rsid w:val="00AC74E2"/>
    <w:rsid w:val="00AC7780"/>
    <w:rsid w:val="00AC7817"/>
    <w:rsid w:val="00AC7892"/>
    <w:rsid w:val="00AC78D2"/>
    <w:rsid w:val="00AC7A69"/>
    <w:rsid w:val="00AC7D3C"/>
    <w:rsid w:val="00AC7D85"/>
    <w:rsid w:val="00AC7E64"/>
    <w:rsid w:val="00AC7E82"/>
    <w:rsid w:val="00AC7F43"/>
    <w:rsid w:val="00AD01FC"/>
    <w:rsid w:val="00AD0211"/>
    <w:rsid w:val="00AD0292"/>
    <w:rsid w:val="00AD04FB"/>
    <w:rsid w:val="00AD0797"/>
    <w:rsid w:val="00AD07F7"/>
    <w:rsid w:val="00AD08C9"/>
    <w:rsid w:val="00AD0AF2"/>
    <w:rsid w:val="00AD0DC6"/>
    <w:rsid w:val="00AD10E9"/>
    <w:rsid w:val="00AD12AE"/>
    <w:rsid w:val="00AD1391"/>
    <w:rsid w:val="00AD175E"/>
    <w:rsid w:val="00AD17C7"/>
    <w:rsid w:val="00AD1857"/>
    <w:rsid w:val="00AD19B4"/>
    <w:rsid w:val="00AD1FB3"/>
    <w:rsid w:val="00AD23E3"/>
    <w:rsid w:val="00AD2468"/>
    <w:rsid w:val="00AD273B"/>
    <w:rsid w:val="00AD2865"/>
    <w:rsid w:val="00AD2A63"/>
    <w:rsid w:val="00AD2B3F"/>
    <w:rsid w:val="00AD33EA"/>
    <w:rsid w:val="00AD3938"/>
    <w:rsid w:val="00AD3BCB"/>
    <w:rsid w:val="00AD3FBA"/>
    <w:rsid w:val="00AD4060"/>
    <w:rsid w:val="00AD4131"/>
    <w:rsid w:val="00AD4884"/>
    <w:rsid w:val="00AD48E0"/>
    <w:rsid w:val="00AD49C3"/>
    <w:rsid w:val="00AD49D8"/>
    <w:rsid w:val="00AD4A2E"/>
    <w:rsid w:val="00AD4C58"/>
    <w:rsid w:val="00AD50B7"/>
    <w:rsid w:val="00AD52A9"/>
    <w:rsid w:val="00AD55B3"/>
    <w:rsid w:val="00AD5C96"/>
    <w:rsid w:val="00AD5D1B"/>
    <w:rsid w:val="00AD5FB4"/>
    <w:rsid w:val="00AD61C3"/>
    <w:rsid w:val="00AD6208"/>
    <w:rsid w:val="00AD65C6"/>
    <w:rsid w:val="00AD67EB"/>
    <w:rsid w:val="00AD67FC"/>
    <w:rsid w:val="00AD68C6"/>
    <w:rsid w:val="00AD6979"/>
    <w:rsid w:val="00AD6A1C"/>
    <w:rsid w:val="00AD6C7A"/>
    <w:rsid w:val="00AD70A2"/>
    <w:rsid w:val="00AD740B"/>
    <w:rsid w:val="00AD75D2"/>
    <w:rsid w:val="00AD7C8E"/>
    <w:rsid w:val="00AD7D2A"/>
    <w:rsid w:val="00AD7D65"/>
    <w:rsid w:val="00AD7F2F"/>
    <w:rsid w:val="00AE008E"/>
    <w:rsid w:val="00AE01B6"/>
    <w:rsid w:val="00AE028A"/>
    <w:rsid w:val="00AE07F5"/>
    <w:rsid w:val="00AE0ACF"/>
    <w:rsid w:val="00AE0E48"/>
    <w:rsid w:val="00AE1330"/>
    <w:rsid w:val="00AE1648"/>
    <w:rsid w:val="00AE184D"/>
    <w:rsid w:val="00AE19F9"/>
    <w:rsid w:val="00AE20C6"/>
    <w:rsid w:val="00AE240E"/>
    <w:rsid w:val="00AE2839"/>
    <w:rsid w:val="00AE2A0B"/>
    <w:rsid w:val="00AE2C8A"/>
    <w:rsid w:val="00AE2CC0"/>
    <w:rsid w:val="00AE2F11"/>
    <w:rsid w:val="00AE3070"/>
    <w:rsid w:val="00AE34F4"/>
    <w:rsid w:val="00AE3541"/>
    <w:rsid w:val="00AE384D"/>
    <w:rsid w:val="00AE38E8"/>
    <w:rsid w:val="00AE4357"/>
    <w:rsid w:val="00AE44DA"/>
    <w:rsid w:val="00AE492F"/>
    <w:rsid w:val="00AE5268"/>
    <w:rsid w:val="00AE54F4"/>
    <w:rsid w:val="00AE58A7"/>
    <w:rsid w:val="00AE5C31"/>
    <w:rsid w:val="00AE5C47"/>
    <w:rsid w:val="00AE5CB7"/>
    <w:rsid w:val="00AE5D01"/>
    <w:rsid w:val="00AE607F"/>
    <w:rsid w:val="00AE62CD"/>
    <w:rsid w:val="00AE66FF"/>
    <w:rsid w:val="00AE6DD5"/>
    <w:rsid w:val="00AE6F1E"/>
    <w:rsid w:val="00AE7750"/>
    <w:rsid w:val="00AE7D3D"/>
    <w:rsid w:val="00AF020D"/>
    <w:rsid w:val="00AF03C9"/>
    <w:rsid w:val="00AF0581"/>
    <w:rsid w:val="00AF07CA"/>
    <w:rsid w:val="00AF092A"/>
    <w:rsid w:val="00AF0F0A"/>
    <w:rsid w:val="00AF1EE1"/>
    <w:rsid w:val="00AF2053"/>
    <w:rsid w:val="00AF2286"/>
    <w:rsid w:val="00AF23AE"/>
    <w:rsid w:val="00AF25C3"/>
    <w:rsid w:val="00AF2B7B"/>
    <w:rsid w:val="00AF2E66"/>
    <w:rsid w:val="00AF2EB5"/>
    <w:rsid w:val="00AF2F34"/>
    <w:rsid w:val="00AF2F56"/>
    <w:rsid w:val="00AF2F67"/>
    <w:rsid w:val="00AF30BB"/>
    <w:rsid w:val="00AF344A"/>
    <w:rsid w:val="00AF3BE9"/>
    <w:rsid w:val="00AF3CA2"/>
    <w:rsid w:val="00AF3DD2"/>
    <w:rsid w:val="00AF4078"/>
    <w:rsid w:val="00AF42F6"/>
    <w:rsid w:val="00AF44B9"/>
    <w:rsid w:val="00AF4B1F"/>
    <w:rsid w:val="00AF4B4C"/>
    <w:rsid w:val="00AF4EF4"/>
    <w:rsid w:val="00AF4EFA"/>
    <w:rsid w:val="00AF5319"/>
    <w:rsid w:val="00AF5478"/>
    <w:rsid w:val="00AF59AA"/>
    <w:rsid w:val="00AF5A92"/>
    <w:rsid w:val="00AF5BBE"/>
    <w:rsid w:val="00AF5D0B"/>
    <w:rsid w:val="00AF696D"/>
    <w:rsid w:val="00AF6B9A"/>
    <w:rsid w:val="00AF6C8A"/>
    <w:rsid w:val="00AF7162"/>
    <w:rsid w:val="00AF7480"/>
    <w:rsid w:val="00AF7798"/>
    <w:rsid w:val="00AF7934"/>
    <w:rsid w:val="00B00D05"/>
    <w:rsid w:val="00B00F8C"/>
    <w:rsid w:val="00B012B7"/>
    <w:rsid w:val="00B012FF"/>
    <w:rsid w:val="00B016D5"/>
    <w:rsid w:val="00B01BF0"/>
    <w:rsid w:val="00B021ED"/>
    <w:rsid w:val="00B022E9"/>
    <w:rsid w:val="00B028E2"/>
    <w:rsid w:val="00B02950"/>
    <w:rsid w:val="00B029C0"/>
    <w:rsid w:val="00B02DC4"/>
    <w:rsid w:val="00B0300C"/>
    <w:rsid w:val="00B03422"/>
    <w:rsid w:val="00B03529"/>
    <w:rsid w:val="00B036E5"/>
    <w:rsid w:val="00B03C78"/>
    <w:rsid w:val="00B041D5"/>
    <w:rsid w:val="00B0424C"/>
    <w:rsid w:val="00B04A8E"/>
    <w:rsid w:val="00B04BAB"/>
    <w:rsid w:val="00B050B8"/>
    <w:rsid w:val="00B05246"/>
    <w:rsid w:val="00B05298"/>
    <w:rsid w:val="00B05312"/>
    <w:rsid w:val="00B05863"/>
    <w:rsid w:val="00B05CB5"/>
    <w:rsid w:val="00B05D97"/>
    <w:rsid w:val="00B062CB"/>
    <w:rsid w:val="00B075D5"/>
    <w:rsid w:val="00B076F4"/>
    <w:rsid w:val="00B07896"/>
    <w:rsid w:val="00B07B50"/>
    <w:rsid w:val="00B07D93"/>
    <w:rsid w:val="00B101FC"/>
    <w:rsid w:val="00B1023B"/>
    <w:rsid w:val="00B10836"/>
    <w:rsid w:val="00B10CF4"/>
    <w:rsid w:val="00B11100"/>
    <w:rsid w:val="00B11219"/>
    <w:rsid w:val="00B1146A"/>
    <w:rsid w:val="00B115F9"/>
    <w:rsid w:val="00B11628"/>
    <w:rsid w:val="00B11704"/>
    <w:rsid w:val="00B117AA"/>
    <w:rsid w:val="00B11879"/>
    <w:rsid w:val="00B11934"/>
    <w:rsid w:val="00B11CE4"/>
    <w:rsid w:val="00B11E4E"/>
    <w:rsid w:val="00B11F1D"/>
    <w:rsid w:val="00B1203A"/>
    <w:rsid w:val="00B1256F"/>
    <w:rsid w:val="00B12D6A"/>
    <w:rsid w:val="00B1390B"/>
    <w:rsid w:val="00B13AA1"/>
    <w:rsid w:val="00B13EBF"/>
    <w:rsid w:val="00B13F8C"/>
    <w:rsid w:val="00B14659"/>
    <w:rsid w:val="00B152B0"/>
    <w:rsid w:val="00B15376"/>
    <w:rsid w:val="00B156C9"/>
    <w:rsid w:val="00B15B51"/>
    <w:rsid w:val="00B15E56"/>
    <w:rsid w:val="00B164FD"/>
    <w:rsid w:val="00B1674D"/>
    <w:rsid w:val="00B16B2B"/>
    <w:rsid w:val="00B16C12"/>
    <w:rsid w:val="00B16D71"/>
    <w:rsid w:val="00B16EE5"/>
    <w:rsid w:val="00B16FDA"/>
    <w:rsid w:val="00B1709D"/>
    <w:rsid w:val="00B171C9"/>
    <w:rsid w:val="00B17371"/>
    <w:rsid w:val="00B17642"/>
    <w:rsid w:val="00B1773F"/>
    <w:rsid w:val="00B17D13"/>
    <w:rsid w:val="00B201C8"/>
    <w:rsid w:val="00B2022D"/>
    <w:rsid w:val="00B205F5"/>
    <w:rsid w:val="00B20620"/>
    <w:rsid w:val="00B207B3"/>
    <w:rsid w:val="00B20835"/>
    <w:rsid w:val="00B208BE"/>
    <w:rsid w:val="00B209F5"/>
    <w:rsid w:val="00B20D83"/>
    <w:rsid w:val="00B20F13"/>
    <w:rsid w:val="00B21142"/>
    <w:rsid w:val="00B21DFC"/>
    <w:rsid w:val="00B21E2D"/>
    <w:rsid w:val="00B21F00"/>
    <w:rsid w:val="00B2257C"/>
    <w:rsid w:val="00B22625"/>
    <w:rsid w:val="00B22A9A"/>
    <w:rsid w:val="00B22AC1"/>
    <w:rsid w:val="00B22D4B"/>
    <w:rsid w:val="00B22F7C"/>
    <w:rsid w:val="00B2364C"/>
    <w:rsid w:val="00B236EB"/>
    <w:rsid w:val="00B23787"/>
    <w:rsid w:val="00B23828"/>
    <w:rsid w:val="00B23AF0"/>
    <w:rsid w:val="00B23B1C"/>
    <w:rsid w:val="00B240BA"/>
    <w:rsid w:val="00B2461E"/>
    <w:rsid w:val="00B2490B"/>
    <w:rsid w:val="00B24BE4"/>
    <w:rsid w:val="00B2525C"/>
    <w:rsid w:val="00B2534F"/>
    <w:rsid w:val="00B25472"/>
    <w:rsid w:val="00B25AE7"/>
    <w:rsid w:val="00B25CB1"/>
    <w:rsid w:val="00B264BA"/>
    <w:rsid w:val="00B2686E"/>
    <w:rsid w:val="00B26A59"/>
    <w:rsid w:val="00B26B79"/>
    <w:rsid w:val="00B2788F"/>
    <w:rsid w:val="00B27AAA"/>
    <w:rsid w:val="00B27D83"/>
    <w:rsid w:val="00B27FD5"/>
    <w:rsid w:val="00B3010B"/>
    <w:rsid w:val="00B303B3"/>
    <w:rsid w:val="00B3063A"/>
    <w:rsid w:val="00B30657"/>
    <w:rsid w:val="00B307B4"/>
    <w:rsid w:val="00B30819"/>
    <w:rsid w:val="00B3104D"/>
    <w:rsid w:val="00B31121"/>
    <w:rsid w:val="00B31C0F"/>
    <w:rsid w:val="00B31F89"/>
    <w:rsid w:val="00B323F0"/>
    <w:rsid w:val="00B3257E"/>
    <w:rsid w:val="00B32A89"/>
    <w:rsid w:val="00B32C8B"/>
    <w:rsid w:val="00B32E7D"/>
    <w:rsid w:val="00B330ED"/>
    <w:rsid w:val="00B332FE"/>
    <w:rsid w:val="00B338CA"/>
    <w:rsid w:val="00B339EC"/>
    <w:rsid w:val="00B33B94"/>
    <w:rsid w:val="00B34204"/>
    <w:rsid w:val="00B34892"/>
    <w:rsid w:val="00B34C26"/>
    <w:rsid w:val="00B34CD9"/>
    <w:rsid w:val="00B34ED5"/>
    <w:rsid w:val="00B34FB5"/>
    <w:rsid w:val="00B34FEA"/>
    <w:rsid w:val="00B3562A"/>
    <w:rsid w:val="00B35948"/>
    <w:rsid w:val="00B35A94"/>
    <w:rsid w:val="00B35AA4"/>
    <w:rsid w:val="00B35ACF"/>
    <w:rsid w:val="00B35F96"/>
    <w:rsid w:val="00B3604D"/>
    <w:rsid w:val="00B365FE"/>
    <w:rsid w:val="00B36625"/>
    <w:rsid w:val="00B36D53"/>
    <w:rsid w:val="00B36DB5"/>
    <w:rsid w:val="00B36DEC"/>
    <w:rsid w:val="00B3717C"/>
    <w:rsid w:val="00B37725"/>
    <w:rsid w:val="00B37C29"/>
    <w:rsid w:val="00B37D5E"/>
    <w:rsid w:val="00B37D65"/>
    <w:rsid w:val="00B37F29"/>
    <w:rsid w:val="00B4010C"/>
    <w:rsid w:val="00B402B7"/>
    <w:rsid w:val="00B40406"/>
    <w:rsid w:val="00B405FE"/>
    <w:rsid w:val="00B4078D"/>
    <w:rsid w:val="00B407CE"/>
    <w:rsid w:val="00B40978"/>
    <w:rsid w:val="00B4130D"/>
    <w:rsid w:val="00B4135E"/>
    <w:rsid w:val="00B4160C"/>
    <w:rsid w:val="00B41C7A"/>
    <w:rsid w:val="00B420D4"/>
    <w:rsid w:val="00B4225B"/>
    <w:rsid w:val="00B426D4"/>
    <w:rsid w:val="00B42719"/>
    <w:rsid w:val="00B42BF2"/>
    <w:rsid w:val="00B42F4F"/>
    <w:rsid w:val="00B4301F"/>
    <w:rsid w:val="00B430FA"/>
    <w:rsid w:val="00B431A6"/>
    <w:rsid w:val="00B432B2"/>
    <w:rsid w:val="00B4373F"/>
    <w:rsid w:val="00B438C0"/>
    <w:rsid w:val="00B43987"/>
    <w:rsid w:val="00B44101"/>
    <w:rsid w:val="00B444EB"/>
    <w:rsid w:val="00B44647"/>
    <w:rsid w:val="00B44739"/>
    <w:rsid w:val="00B44918"/>
    <w:rsid w:val="00B44972"/>
    <w:rsid w:val="00B451F2"/>
    <w:rsid w:val="00B4568F"/>
    <w:rsid w:val="00B457FA"/>
    <w:rsid w:val="00B45C39"/>
    <w:rsid w:val="00B45CB0"/>
    <w:rsid w:val="00B45CFD"/>
    <w:rsid w:val="00B45DB2"/>
    <w:rsid w:val="00B4601D"/>
    <w:rsid w:val="00B46069"/>
    <w:rsid w:val="00B46331"/>
    <w:rsid w:val="00B46707"/>
    <w:rsid w:val="00B46B07"/>
    <w:rsid w:val="00B4702F"/>
    <w:rsid w:val="00B472CE"/>
    <w:rsid w:val="00B475B4"/>
    <w:rsid w:val="00B47878"/>
    <w:rsid w:val="00B4797D"/>
    <w:rsid w:val="00B47A24"/>
    <w:rsid w:val="00B47EF3"/>
    <w:rsid w:val="00B50311"/>
    <w:rsid w:val="00B506C5"/>
    <w:rsid w:val="00B509FF"/>
    <w:rsid w:val="00B50BB0"/>
    <w:rsid w:val="00B5143F"/>
    <w:rsid w:val="00B514AF"/>
    <w:rsid w:val="00B51944"/>
    <w:rsid w:val="00B51AA9"/>
    <w:rsid w:val="00B51AD2"/>
    <w:rsid w:val="00B51DD5"/>
    <w:rsid w:val="00B51E4C"/>
    <w:rsid w:val="00B51F44"/>
    <w:rsid w:val="00B521E4"/>
    <w:rsid w:val="00B52A41"/>
    <w:rsid w:val="00B52D27"/>
    <w:rsid w:val="00B53305"/>
    <w:rsid w:val="00B53327"/>
    <w:rsid w:val="00B5337D"/>
    <w:rsid w:val="00B53547"/>
    <w:rsid w:val="00B5360A"/>
    <w:rsid w:val="00B536DD"/>
    <w:rsid w:val="00B537A0"/>
    <w:rsid w:val="00B539F0"/>
    <w:rsid w:val="00B53C4D"/>
    <w:rsid w:val="00B53D15"/>
    <w:rsid w:val="00B53DE8"/>
    <w:rsid w:val="00B540A4"/>
    <w:rsid w:val="00B54284"/>
    <w:rsid w:val="00B5430C"/>
    <w:rsid w:val="00B5455C"/>
    <w:rsid w:val="00B546FE"/>
    <w:rsid w:val="00B54710"/>
    <w:rsid w:val="00B5492F"/>
    <w:rsid w:val="00B549B1"/>
    <w:rsid w:val="00B555B7"/>
    <w:rsid w:val="00B55B86"/>
    <w:rsid w:val="00B56188"/>
    <w:rsid w:val="00B56262"/>
    <w:rsid w:val="00B562A2"/>
    <w:rsid w:val="00B56B2B"/>
    <w:rsid w:val="00B56BAD"/>
    <w:rsid w:val="00B56D09"/>
    <w:rsid w:val="00B574CB"/>
    <w:rsid w:val="00B579AF"/>
    <w:rsid w:val="00B57A3A"/>
    <w:rsid w:val="00B57C97"/>
    <w:rsid w:val="00B60B66"/>
    <w:rsid w:val="00B60B76"/>
    <w:rsid w:val="00B61141"/>
    <w:rsid w:val="00B613D7"/>
    <w:rsid w:val="00B6228A"/>
    <w:rsid w:val="00B622D2"/>
    <w:rsid w:val="00B62EF0"/>
    <w:rsid w:val="00B633A8"/>
    <w:rsid w:val="00B63419"/>
    <w:rsid w:val="00B63539"/>
    <w:rsid w:val="00B63892"/>
    <w:rsid w:val="00B6389A"/>
    <w:rsid w:val="00B639E4"/>
    <w:rsid w:val="00B63A95"/>
    <w:rsid w:val="00B63F3B"/>
    <w:rsid w:val="00B64212"/>
    <w:rsid w:val="00B648D0"/>
    <w:rsid w:val="00B64F6C"/>
    <w:rsid w:val="00B652C9"/>
    <w:rsid w:val="00B652D4"/>
    <w:rsid w:val="00B653C2"/>
    <w:rsid w:val="00B6554E"/>
    <w:rsid w:val="00B65659"/>
    <w:rsid w:val="00B65EA2"/>
    <w:rsid w:val="00B66C2A"/>
    <w:rsid w:val="00B6714D"/>
    <w:rsid w:val="00B671DD"/>
    <w:rsid w:val="00B67438"/>
    <w:rsid w:val="00B702B0"/>
    <w:rsid w:val="00B7049C"/>
    <w:rsid w:val="00B704E3"/>
    <w:rsid w:val="00B705B1"/>
    <w:rsid w:val="00B70839"/>
    <w:rsid w:val="00B70A0F"/>
    <w:rsid w:val="00B70AD8"/>
    <w:rsid w:val="00B70B97"/>
    <w:rsid w:val="00B70C0E"/>
    <w:rsid w:val="00B70CA4"/>
    <w:rsid w:val="00B70D84"/>
    <w:rsid w:val="00B70FF7"/>
    <w:rsid w:val="00B71014"/>
    <w:rsid w:val="00B711B7"/>
    <w:rsid w:val="00B71651"/>
    <w:rsid w:val="00B71941"/>
    <w:rsid w:val="00B71A07"/>
    <w:rsid w:val="00B71D6B"/>
    <w:rsid w:val="00B71F54"/>
    <w:rsid w:val="00B7203A"/>
    <w:rsid w:val="00B7222D"/>
    <w:rsid w:val="00B72282"/>
    <w:rsid w:val="00B72293"/>
    <w:rsid w:val="00B72475"/>
    <w:rsid w:val="00B72AF8"/>
    <w:rsid w:val="00B72C32"/>
    <w:rsid w:val="00B72D52"/>
    <w:rsid w:val="00B730A5"/>
    <w:rsid w:val="00B7347D"/>
    <w:rsid w:val="00B73E7C"/>
    <w:rsid w:val="00B73E92"/>
    <w:rsid w:val="00B73F58"/>
    <w:rsid w:val="00B73FE7"/>
    <w:rsid w:val="00B7455C"/>
    <w:rsid w:val="00B748D4"/>
    <w:rsid w:val="00B74B6C"/>
    <w:rsid w:val="00B759F8"/>
    <w:rsid w:val="00B76480"/>
    <w:rsid w:val="00B7692A"/>
    <w:rsid w:val="00B77247"/>
    <w:rsid w:val="00B772BA"/>
    <w:rsid w:val="00B774D5"/>
    <w:rsid w:val="00B779B8"/>
    <w:rsid w:val="00B800CD"/>
    <w:rsid w:val="00B8014A"/>
    <w:rsid w:val="00B8017C"/>
    <w:rsid w:val="00B8075B"/>
    <w:rsid w:val="00B80C08"/>
    <w:rsid w:val="00B80FAE"/>
    <w:rsid w:val="00B80FD6"/>
    <w:rsid w:val="00B8134B"/>
    <w:rsid w:val="00B8149A"/>
    <w:rsid w:val="00B81763"/>
    <w:rsid w:val="00B81782"/>
    <w:rsid w:val="00B818A8"/>
    <w:rsid w:val="00B81BEB"/>
    <w:rsid w:val="00B81BEE"/>
    <w:rsid w:val="00B81DFA"/>
    <w:rsid w:val="00B822CA"/>
    <w:rsid w:val="00B82728"/>
    <w:rsid w:val="00B827D1"/>
    <w:rsid w:val="00B82CEE"/>
    <w:rsid w:val="00B82D5B"/>
    <w:rsid w:val="00B83464"/>
    <w:rsid w:val="00B83753"/>
    <w:rsid w:val="00B83DBB"/>
    <w:rsid w:val="00B842ED"/>
    <w:rsid w:val="00B84EEF"/>
    <w:rsid w:val="00B852A1"/>
    <w:rsid w:val="00B85522"/>
    <w:rsid w:val="00B85565"/>
    <w:rsid w:val="00B855F5"/>
    <w:rsid w:val="00B85639"/>
    <w:rsid w:val="00B85FCB"/>
    <w:rsid w:val="00B8610D"/>
    <w:rsid w:val="00B865DC"/>
    <w:rsid w:val="00B86902"/>
    <w:rsid w:val="00B86A8C"/>
    <w:rsid w:val="00B86EB7"/>
    <w:rsid w:val="00B86F08"/>
    <w:rsid w:val="00B87279"/>
    <w:rsid w:val="00B873CE"/>
    <w:rsid w:val="00B87492"/>
    <w:rsid w:val="00B87617"/>
    <w:rsid w:val="00B8767E"/>
    <w:rsid w:val="00B877C6"/>
    <w:rsid w:val="00B8785A"/>
    <w:rsid w:val="00B87C84"/>
    <w:rsid w:val="00B87F1C"/>
    <w:rsid w:val="00B9033A"/>
    <w:rsid w:val="00B90850"/>
    <w:rsid w:val="00B90861"/>
    <w:rsid w:val="00B90A40"/>
    <w:rsid w:val="00B90C55"/>
    <w:rsid w:val="00B9102C"/>
    <w:rsid w:val="00B91C9F"/>
    <w:rsid w:val="00B91D61"/>
    <w:rsid w:val="00B91E83"/>
    <w:rsid w:val="00B91F25"/>
    <w:rsid w:val="00B9245C"/>
    <w:rsid w:val="00B92A7E"/>
    <w:rsid w:val="00B92C93"/>
    <w:rsid w:val="00B92D9E"/>
    <w:rsid w:val="00B92E42"/>
    <w:rsid w:val="00B9312D"/>
    <w:rsid w:val="00B9329B"/>
    <w:rsid w:val="00B9355A"/>
    <w:rsid w:val="00B937D9"/>
    <w:rsid w:val="00B93800"/>
    <w:rsid w:val="00B93961"/>
    <w:rsid w:val="00B93AA7"/>
    <w:rsid w:val="00B93B75"/>
    <w:rsid w:val="00B93FB4"/>
    <w:rsid w:val="00B942B2"/>
    <w:rsid w:val="00B948E2"/>
    <w:rsid w:val="00B94B6B"/>
    <w:rsid w:val="00B94CBC"/>
    <w:rsid w:val="00B94DE9"/>
    <w:rsid w:val="00B95180"/>
    <w:rsid w:val="00B95508"/>
    <w:rsid w:val="00B95520"/>
    <w:rsid w:val="00B955A0"/>
    <w:rsid w:val="00B95884"/>
    <w:rsid w:val="00B9590C"/>
    <w:rsid w:val="00B95996"/>
    <w:rsid w:val="00B95F0E"/>
    <w:rsid w:val="00B96101"/>
    <w:rsid w:val="00B961CB"/>
    <w:rsid w:val="00B96A98"/>
    <w:rsid w:val="00B973CD"/>
    <w:rsid w:val="00B974BB"/>
    <w:rsid w:val="00B975DE"/>
    <w:rsid w:val="00B97745"/>
    <w:rsid w:val="00B97E35"/>
    <w:rsid w:val="00BA0301"/>
    <w:rsid w:val="00BA0449"/>
    <w:rsid w:val="00BA0617"/>
    <w:rsid w:val="00BA0691"/>
    <w:rsid w:val="00BA098C"/>
    <w:rsid w:val="00BA0E0E"/>
    <w:rsid w:val="00BA1B07"/>
    <w:rsid w:val="00BA1C41"/>
    <w:rsid w:val="00BA1C4B"/>
    <w:rsid w:val="00BA1C66"/>
    <w:rsid w:val="00BA1FCA"/>
    <w:rsid w:val="00BA1FEF"/>
    <w:rsid w:val="00BA2149"/>
    <w:rsid w:val="00BA2345"/>
    <w:rsid w:val="00BA25A9"/>
    <w:rsid w:val="00BA25BA"/>
    <w:rsid w:val="00BA2B91"/>
    <w:rsid w:val="00BA305C"/>
    <w:rsid w:val="00BA32C5"/>
    <w:rsid w:val="00BA34AA"/>
    <w:rsid w:val="00BA396A"/>
    <w:rsid w:val="00BA43F0"/>
    <w:rsid w:val="00BA4A79"/>
    <w:rsid w:val="00BA4DD4"/>
    <w:rsid w:val="00BA5467"/>
    <w:rsid w:val="00BA563F"/>
    <w:rsid w:val="00BA59CB"/>
    <w:rsid w:val="00BA5AEE"/>
    <w:rsid w:val="00BA5EB6"/>
    <w:rsid w:val="00BA5EE2"/>
    <w:rsid w:val="00BA6627"/>
    <w:rsid w:val="00BA6A59"/>
    <w:rsid w:val="00BA6B34"/>
    <w:rsid w:val="00BA7021"/>
    <w:rsid w:val="00BA7147"/>
    <w:rsid w:val="00BA7166"/>
    <w:rsid w:val="00BA7246"/>
    <w:rsid w:val="00BA7803"/>
    <w:rsid w:val="00BA79C0"/>
    <w:rsid w:val="00BA7E81"/>
    <w:rsid w:val="00BB00ED"/>
    <w:rsid w:val="00BB07A4"/>
    <w:rsid w:val="00BB0B61"/>
    <w:rsid w:val="00BB0C1F"/>
    <w:rsid w:val="00BB0CD6"/>
    <w:rsid w:val="00BB0CDC"/>
    <w:rsid w:val="00BB1251"/>
    <w:rsid w:val="00BB12AA"/>
    <w:rsid w:val="00BB163C"/>
    <w:rsid w:val="00BB17C5"/>
    <w:rsid w:val="00BB1812"/>
    <w:rsid w:val="00BB201A"/>
    <w:rsid w:val="00BB2462"/>
    <w:rsid w:val="00BB24C3"/>
    <w:rsid w:val="00BB28D7"/>
    <w:rsid w:val="00BB2A08"/>
    <w:rsid w:val="00BB2DCE"/>
    <w:rsid w:val="00BB2FDB"/>
    <w:rsid w:val="00BB3179"/>
    <w:rsid w:val="00BB321F"/>
    <w:rsid w:val="00BB33A6"/>
    <w:rsid w:val="00BB371E"/>
    <w:rsid w:val="00BB39ED"/>
    <w:rsid w:val="00BB423B"/>
    <w:rsid w:val="00BB48BB"/>
    <w:rsid w:val="00BB4DC5"/>
    <w:rsid w:val="00BB4DD8"/>
    <w:rsid w:val="00BB4F98"/>
    <w:rsid w:val="00BB5030"/>
    <w:rsid w:val="00BB5099"/>
    <w:rsid w:val="00BB532B"/>
    <w:rsid w:val="00BB536F"/>
    <w:rsid w:val="00BB55DA"/>
    <w:rsid w:val="00BB5746"/>
    <w:rsid w:val="00BB5877"/>
    <w:rsid w:val="00BB5BB7"/>
    <w:rsid w:val="00BB62C3"/>
    <w:rsid w:val="00BB6569"/>
    <w:rsid w:val="00BB68A1"/>
    <w:rsid w:val="00BB6EA2"/>
    <w:rsid w:val="00BB72B9"/>
    <w:rsid w:val="00BB72D6"/>
    <w:rsid w:val="00BB757E"/>
    <w:rsid w:val="00BB7721"/>
    <w:rsid w:val="00BB7957"/>
    <w:rsid w:val="00BB7DDD"/>
    <w:rsid w:val="00BB7EDE"/>
    <w:rsid w:val="00BC0217"/>
    <w:rsid w:val="00BC03AA"/>
    <w:rsid w:val="00BC041C"/>
    <w:rsid w:val="00BC0D94"/>
    <w:rsid w:val="00BC0E84"/>
    <w:rsid w:val="00BC1021"/>
    <w:rsid w:val="00BC12BE"/>
    <w:rsid w:val="00BC14D8"/>
    <w:rsid w:val="00BC1D27"/>
    <w:rsid w:val="00BC1DCD"/>
    <w:rsid w:val="00BC20F5"/>
    <w:rsid w:val="00BC2523"/>
    <w:rsid w:val="00BC2571"/>
    <w:rsid w:val="00BC2ADA"/>
    <w:rsid w:val="00BC2B7D"/>
    <w:rsid w:val="00BC2BD6"/>
    <w:rsid w:val="00BC2C2E"/>
    <w:rsid w:val="00BC2D6E"/>
    <w:rsid w:val="00BC341A"/>
    <w:rsid w:val="00BC3542"/>
    <w:rsid w:val="00BC36D2"/>
    <w:rsid w:val="00BC38C4"/>
    <w:rsid w:val="00BC3C7A"/>
    <w:rsid w:val="00BC3D95"/>
    <w:rsid w:val="00BC3ED8"/>
    <w:rsid w:val="00BC3F7D"/>
    <w:rsid w:val="00BC48CA"/>
    <w:rsid w:val="00BC4998"/>
    <w:rsid w:val="00BC523C"/>
    <w:rsid w:val="00BC5669"/>
    <w:rsid w:val="00BC5EAA"/>
    <w:rsid w:val="00BC6267"/>
    <w:rsid w:val="00BC694B"/>
    <w:rsid w:val="00BC6AA8"/>
    <w:rsid w:val="00BC6EAA"/>
    <w:rsid w:val="00BC7569"/>
    <w:rsid w:val="00BC7875"/>
    <w:rsid w:val="00BC7C0D"/>
    <w:rsid w:val="00BC7DC0"/>
    <w:rsid w:val="00BC7E02"/>
    <w:rsid w:val="00BC7E14"/>
    <w:rsid w:val="00BD01AA"/>
    <w:rsid w:val="00BD0253"/>
    <w:rsid w:val="00BD031E"/>
    <w:rsid w:val="00BD099B"/>
    <w:rsid w:val="00BD0A16"/>
    <w:rsid w:val="00BD0E11"/>
    <w:rsid w:val="00BD0FF7"/>
    <w:rsid w:val="00BD12B3"/>
    <w:rsid w:val="00BD1370"/>
    <w:rsid w:val="00BD139E"/>
    <w:rsid w:val="00BD140B"/>
    <w:rsid w:val="00BD19C4"/>
    <w:rsid w:val="00BD1A0C"/>
    <w:rsid w:val="00BD1B4F"/>
    <w:rsid w:val="00BD1F0F"/>
    <w:rsid w:val="00BD2008"/>
    <w:rsid w:val="00BD266C"/>
    <w:rsid w:val="00BD28D0"/>
    <w:rsid w:val="00BD2C35"/>
    <w:rsid w:val="00BD31EC"/>
    <w:rsid w:val="00BD342F"/>
    <w:rsid w:val="00BD3D5D"/>
    <w:rsid w:val="00BD3D8B"/>
    <w:rsid w:val="00BD3FCD"/>
    <w:rsid w:val="00BD41A5"/>
    <w:rsid w:val="00BD45E1"/>
    <w:rsid w:val="00BD4864"/>
    <w:rsid w:val="00BD4875"/>
    <w:rsid w:val="00BD4DB5"/>
    <w:rsid w:val="00BD4E0F"/>
    <w:rsid w:val="00BD5495"/>
    <w:rsid w:val="00BD5718"/>
    <w:rsid w:val="00BD5B48"/>
    <w:rsid w:val="00BD5BE2"/>
    <w:rsid w:val="00BD5D52"/>
    <w:rsid w:val="00BD6289"/>
    <w:rsid w:val="00BD631C"/>
    <w:rsid w:val="00BD63AD"/>
    <w:rsid w:val="00BD6428"/>
    <w:rsid w:val="00BD68E6"/>
    <w:rsid w:val="00BD690F"/>
    <w:rsid w:val="00BD6964"/>
    <w:rsid w:val="00BD6973"/>
    <w:rsid w:val="00BD6E81"/>
    <w:rsid w:val="00BD6EF2"/>
    <w:rsid w:val="00BD6F71"/>
    <w:rsid w:val="00BD738B"/>
    <w:rsid w:val="00BD75E4"/>
    <w:rsid w:val="00BD78A2"/>
    <w:rsid w:val="00BD79BC"/>
    <w:rsid w:val="00BD7AF9"/>
    <w:rsid w:val="00BD7BCC"/>
    <w:rsid w:val="00BD7C16"/>
    <w:rsid w:val="00BE03D6"/>
    <w:rsid w:val="00BE07D4"/>
    <w:rsid w:val="00BE0834"/>
    <w:rsid w:val="00BE09AC"/>
    <w:rsid w:val="00BE0CDF"/>
    <w:rsid w:val="00BE0E9B"/>
    <w:rsid w:val="00BE101A"/>
    <w:rsid w:val="00BE12AB"/>
    <w:rsid w:val="00BE15F1"/>
    <w:rsid w:val="00BE177F"/>
    <w:rsid w:val="00BE1A58"/>
    <w:rsid w:val="00BE1FDC"/>
    <w:rsid w:val="00BE2078"/>
    <w:rsid w:val="00BE20E8"/>
    <w:rsid w:val="00BE2133"/>
    <w:rsid w:val="00BE2174"/>
    <w:rsid w:val="00BE2235"/>
    <w:rsid w:val="00BE253A"/>
    <w:rsid w:val="00BE2692"/>
    <w:rsid w:val="00BE2946"/>
    <w:rsid w:val="00BE2965"/>
    <w:rsid w:val="00BE43A3"/>
    <w:rsid w:val="00BE4586"/>
    <w:rsid w:val="00BE5AC3"/>
    <w:rsid w:val="00BE61B1"/>
    <w:rsid w:val="00BE66A9"/>
    <w:rsid w:val="00BE67A9"/>
    <w:rsid w:val="00BE6A1A"/>
    <w:rsid w:val="00BE6E20"/>
    <w:rsid w:val="00BE6FE8"/>
    <w:rsid w:val="00BE7148"/>
    <w:rsid w:val="00BE716F"/>
    <w:rsid w:val="00BE72D1"/>
    <w:rsid w:val="00BE7594"/>
    <w:rsid w:val="00BE7D2D"/>
    <w:rsid w:val="00BE7E6E"/>
    <w:rsid w:val="00BE7F26"/>
    <w:rsid w:val="00BF13C8"/>
    <w:rsid w:val="00BF1624"/>
    <w:rsid w:val="00BF19A7"/>
    <w:rsid w:val="00BF1A7D"/>
    <w:rsid w:val="00BF1C06"/>
    <w:rsid w:val="00BF206E"/>
    <w:rsid w:val="00BF23F2"/>
    <w:rsid w:val="00BF255C"/>
    <w:rsid w:val="00BF27EC"/>
    <w:rsid w:val="00BF2830"/>
    <w:rsid w:val="00BF29D0"/>
    <w:rsid w:val="00BF2ABE"/>
    <w:rsid w:val="00BF2BBC"/>
    <w:rsid w:val="00BF2D09"/>
    <w:rsid w:val="00BF2D20"/>
    <w:rsid w:val="00BF3283"/>
    <w:rsid w:val="00BF331E"/>
    <w:rsid w:val="00BF33E8"/>
    <w:rsid w:val="00BF36E7"/>
    <w:rsid w:val="00BF3775"/>
    <w:rsid w:val="00BF389B"/>
    <w:rsid w:val="00BF3A49"/>
    <w:rsid w:val="00BF3ECC"/>
    <w:rsid w:val="00BF42EF"/>
    <w:rsid w:val="00BF455E"/>
    <w:rsid w:val="00BF457B"/>
    <w:rsid w:val="00BF481D"/>
    <w:rsid w:val="00BF53AF"/>
    <w:rsid w:val="00BF629F"/>
    <w:rsid w:val="00BF6AC9"/>
    <w:rsid w:val="00BF6B33"/>
    <w:rsid w:val="00BF6FCB"/>
    <w:rsid w:val="00BF705D"/>
    <w:rsid w:val="00BF72CB"/>
    <w:rsid w:val="00BF72E5"/>
    <w:rsid w:val="00BF7A34"/>
    <w:rsid w:val="00BF7B31"/>
    <w:rsid w:val="00BF7F8E"/>
    <w:rsid w:val="00BF7FA4"/>
    <w:rsid w:val="00C001EA"/>
    <w:rsid w:val="00C003A3"/>
    <w:rsid w:val="00C0053B"/>
    <w:rsid w:val="00C00850"/>
    <w:rsid w:val="00C008F1"/>
    <w:rsid w:val="00C00957"/>
    <w:rsid w:val="00C00B9B"/>
    <w:rsid w:val="00C010C3"/>
    <w:rsid w:val="00C01245"/>
    <w:rsid w:val="00C014F5"/>
    <w:rsid w:val="00C01785"/>
    <w:rsid w:val="00C0192A"/>
    <w:rsid w:val="00C01A42"/>
    <w:rsid w:val="00C01D1C"/>
    <w:rsid w:val="00C02095"/>
    <w:rsid w:val="00C022A1"/>
    <w:rsid w:val="00C023BC"/>
    <w:rsid w:val="00C02449"/>
    <w:rsid w:val="00C024C0"/>
    <w:rsid w:val="00C025EA"/>
    <w:rsid w:val="00C02613"/>
    <w:rsid w:val="00C029E3"/>
    <w:rsid w:val="00C02A03"/>
    <w:rsid w:val="00C02C7E"/>
    <w:rsid w:val="00C0320D"/>
    <w:rsid w:val="00C032F2"/>
    <w:rsid w:val="00C034E7"/>
    <w:rsid w:val="00C03900"/>
    <w:rsid w:val="00C0393D"/>
    <w:rsid w:val="00C03AE7"/>
    <w:rsid w:val="00C041B2"/>
    <w:rsid w:val="00C046BB"/>
    <w:rsid w:val="00C04C8E"/>
    <w:rsid w:val="00C05072"/>
    <w:rsid w:val="00C05304"/>
    <w:rsid w:val="00C05726"/>
    <w:rsid w:val="00C05B73"/>
    <w:rsid w:val="00C05BC7"/>
    <w:rsid w:val="00C05D15"/>
    <w:rsid w:val="00C05FB9"/>
    <w:rsid w:val="00C06380"/>
    <w:rsid w:val="00C06395"/>
    <w:rsid w:val="00C06604"/>
    <w:rsid w:val="00C066C9"/>
    <w:rsid w:val="00C06A87"/>
    <w:rsid w:val="00C06C77"/>
    <w:rsid w:val="00C06CDE"/>
    <w:rsid w:val="00C071D6"/>
    <w:rsid w:val="00C07231"/>
    <w:rsid w:val="00C0750E"/>
    <w:rsid w:val="00C07827"/>
    <w:rsid w:val="00C07987"/>
    <w:rsid w:val="00C07A3E"/>
    <w:rsid w:val="00C07C8B"/>
    <w:rsid w:val="00C07D53"/>
    <w:rsid w:val="00C07E31"/>
    <w:rsid w:val="00C100F4"/>
    <w:rsid w:val="00C106B3"/>
    <w:rsid w:val="00C106C8"/>
    <w:rsid w:val="00C10B18"/>
    <w:rsid w:val="00C10D07"/>
    <w:rsid w:val="00C112A9"/>
    <w:rsid w:val="00C11654"/>
    <w:rsid w:val="00C11DE3"/>
    <w:rsid w:val="00C122B1"/>
    <w:rsid w:val="00C12571"/>
    <w:rsid w:val="00C1300B"/>
    <w:rsid w:val="00C130BF"/>
    <w:rsid w:val="00C13716"/>
    <w:rsid w:val="00C13894"/>
    <w:rsid w:val="00C139C1"/>
    <w:rsid w:val="00C13EB8"/>
    <w:rsid w:val="00C13FC5"/>
    <w:rsid w:val="00C14096"/>
    <w:rsid w:val="00C1470B"/>
    <w:rsid w:val="00C148B6"/>
    <w:rsid w:val="00C14E16"/>
    <w:rsid w:val="00C14EF2"/>
    <w:rsid w:val="00C156EF"/>
    <w:rsid w:val="00C158BB"/>
    <w:rsid w:val="00C15DF8"/>
    <w:rsid w:val="00C16208"/>
    <w:rsid w:val="00C1667C"/>
    <w:rsid w:val="00C16E1E"/>
    <w:rsid w:val="00C16E3A"/>
    <w:rsid w:val="00C170DB"/>
    <w:rsid w:val="00C17644"/>
    <w:rsid w:val="00C17E31"/>
    <w:rsid w:val="00C200E1"/>
    <w:rsid w:val="00C2014A"/>
    <w:rsid w:val="00C20188"/>
    <w:rsid w:val="00C20493"/>
    <w:rsid w:val="00C20929"/>
    <w:rsid w:val="00C20A32"/>
    <w:rsid w:val="00C20CA0"/>
    <w:rsid w:val="00C20DBD"/>
    <w:rsid w:val="00C2148B"/>
    <w:rsid w:val="00C21C5F"/>
    <w:rsid w:val="00C21FA5"/>
    <w:rsid w:val="00C21FA6"/>
    <w:rsid w:val="00C22438"/>
    <w:rsid w:val="00C227A3"/>
    <w:rsid w:val="00C2378D"/>
    <w:rsid w:val="00C2391E"/>
    <w:rsid w:val="00C23B57"/>
    <w:rsid w:val="00C23CB4"/>
    <w:rsid w:val="00C23E4F"/>
    <w:rsid w:val="00C23E6C"/>
    <w:rsid w:val="00C241AB"/>
    <w:rsid w:val="00C242E1"/>
    <w:rsid w:val="00C2453D"/>
    <w:rsid w:val="00C24BAF"/>
    <w:rsid w:val="00C24C88"/>
    <w:rsid w:val="00C24CAA"/>
    <w:rsid w:val="00C24FC6"/>
    <w:rsid w:val="00C253AC"/>
    <w:rsid w:val="00C25CDD"/>
    <w:rsid w:val="00C2608E"/>
    <w:rsid w:val="00C26305"/>
    <w:rsid w:val="00C2637A"/>
    <w:rsid w:val="00C26727"/>
    <w:rsid w:val="00C268EE"/>
    <w:rsid w:val="00C26DF9"/>
    <w:rsid w:val="00C26FF9"/>
    <w:rsid w:val="00C26FFC"/>
    <w:rsid w:val="00C27020"/>
    <w:rsid w:val="00C272F8"/>
    <w:rsid w:val="00C27B15"/>
    <w:rsid w:val="00C27BA5"/>
    <w:rsid w:val="00C30394"/>
    <w:rsid w:val="00C304BF"/>
    <w:rsid w:val="00C305F3"/>
    <w:rsid w:val="00C305FA"/>
    <w:rsid w:val="00C3099D"/>
    <w:rsid w:val="00C30D44"/>
    <w:rsid w:val="00C311FB"/>
    <w:rsid w:val="00C3133F"/>
    <w:rsid w:val="00C314DE"/>
    <w:rsid w:val="00C3161D"/>
    <w:rsid w:val="00C318A5"/>
    <w:rsid w:val="00C318A7"/>
    <w:rsid w:val="00C32018"/>
    <w:rsid w:val="00C32E7E"/>
    <w:rsid w:val="00C3315E"/>
    <w:rsid w:val="00C3331A"/>
    <w:rsid w:val="00C3370C"/>
    <w:rsid w:val="00C338E5"/>
    <w:rsid w:val="00C3394B"/>
    <w:rsid w:val="00C33FF0"/>
    <w:rsid w:val="00C3414D"/>
    <w:rsid w:val="00C34231"/>
    <w:rsid w:val="00C346C0"/>
    <w:rsid w:val="00C3478E"/>
    <w:rsid w:val="00C34805"/>
    <w:rsid w:val="00C34833"/>
    <w:rsid w:val="00C34855"/>
    <w:rsid w:val="00C3501B"/>
    <w:rsid w:val="00C35183"/>
    <w:rsid w:val="00C35827"/>
    <w:rsid w:val="00C35DB2"/>
    <w:rsid w:val="00C3645D"/>
    <w:rsid w:val="00C366BC"/>
    <w:rsid w:val="00C36854"/>
    <w:rsid w:val="00C36A86"/>
    <w:rsid w:val="00C36BE2"/>
    <w:rsid w:val="00C36F32"/>
    <w:rsid w:val="00C3723E"/>
    <w:rsid w:val="00C37335"/>
    <w:rsid w:val="00C37451"/>
    <w:rsid w:val="00C37493"/>
    <w:rsid w:val="00C375CA"/>
    <w:rsid w:val="00C376F4"/>
    <w:rsid w:val="00C3778B"/>
    <w:rsid w:val="00C37A0D"/>
    <w:rsid w:val="00C37C24"/>
    <w:rsid w:val="00C37C97"/>
    <w:rsid w:val="00C37DA9"/>
    <w:rsid w:val="00C37FCD"/>
    <w:rsid w:val="00C400E7"/>
    <w:rsid w:val="00C40267"/>
    <w:rsid w:val="00C40345"/>
    <w:rsid w:val="00C403A1"/>
    <w:rsid w:val="00C40548"/>
    <w:rsid w:val="00C414C2"/>
    <w:rsid w:val="00C41635"/>
    <w:rsid w:val="00C41F2E"/>
    <w:rsid w:val="00C41FD1"/>
    <w:rsid w:val="00C42231"/>
    <w:rsid w:val="00C4229E"/>
    <w:rsid w:val="00C423C1"/>
    <w:rsid w:val="00C4251F"/>
    <w:rsid w:val="00C4276D"/>
    <w:rsid w:val="00C428A6"/>
    <w:rsid w:val="00C429C9"/>
    <w:rsid w:val="00C42D4D"/>
    <w:rsid w:val="00C42DCF"/>
    <w:rsid w:val="00C42FE6"/>
    <w:rsid w:val="00C431BB"/>
    <w:rsid w:val="00C43413"/>
    <w:rsid w:val="00C43AE0"/>
    <w:rsid w:val="00C43F97"/>
    <w:rsid w:val="00C4402B"/>
    <w:rsid w:val="00C441D0"/>
    <w:rsid w:val="00C445BB"/>
    <w:rsid w:val="00C4478A"/>
    <w:rsid w:val="00C448DD"/>
    <w:rsid w:val="00C44D52"/>
    <w:rsid w:val="00C45392"/>
    <w:rsid w:val="00C4550B"/>
    <w:rsid w:val="00C45952"/>
    <w:rsid w:val="00C4633A"/>
    <w:rsid w:val="00C464C8"/>
    <w:rsid w:val="00C4655C"/>
    <w:rsid w:val="00C46572"/>
    <w:rsid w:val="00C4671D"/>
    <w:rsid w:val="00C46A90"/>
    <w:rsid w:val="00C46EB3"/>
    <w:rsid w:val="00C47081"/>
    <w:rsid w:val="00C47100"/>
    <w:rsid w:val="00C47107"/>
    <w:rsid w:val="00C47B92"/>
    <w:rsid w:val="00C50101"/>
    <w:rsid w:val="00C507C8"/>
    <w:rsid w:val="00C508E3"/>
    <w:rsid w:val="00C50C3E"/>
    <w:rsid w:val="00C5163B"/>
    <w:rsid w:val="00C51646"/>
    <w:rsid w:val="00C51736"/>
    <w:rsid w:val="00C51B67"/>
    <w:rsid w:val="00C51F69"/>
    <w:rsid w:val="00C52255"/>
    <w:rsid w:val="00C5281D"/>
    <w:rsid w:val="00C52DEA"/>
    <w:rsid w:val="00C52F8E"/>
    <w:rsid w:val="00C53173"/>
    <w:rsid w:val="00C531C7"/>
    <w:rsid w:val="00C53363"/>
    <w:rsid w:val="00C53567"/>
    <w:rsid w:val="00C53CF3"/>
    <w:rsid w:val="00C54002"/>
    <w:rsid w:val="00C540E1"/>
    <w:rsid w:val="00C54308"/>
    <w:rsid w:val="00C543B3"/>
    <w:rsid w:val="00C54481"/>
    <w:rsid w:val="00C546CE"/>
    <w:rsid w:val="00C54A5B"/>
    <w:rsid w:val="00C54B60"/>
    <w:rsid w:val="00C54CD7"/>
    <w:rsid w:val="00C54D0C"/>
    <w:rsid w:val="00C54FFD"/>
    <w:rsid w:val="00C55241"/>
    <w:rsid w:val="00C55932"/>
    <w:rsid w:val="00C55980"/>
    <w:rsid w:val="00C55AB1"/>
    <w:rsid w:val="00C56312"/>
    <w:rsid w:val="00C56395"/>
    <w:rsid w:val="00C5643D"/>
    <w:rsid w:val="00C56566"/>
    <w:rsid w:val="00C56E8F"/>
    <w:rsid w:val="00C572B3"/>
    <w:rsid w:val="00C572FA"/>
    <w:rsid w:val="00C574F6"/>
    <w:rsid w:val="00C57959"/>
    <w:rsid w:val="00C57DAD"/>
    <w:rsid w:val="00C57F30"/>
    <w:rsid w:val="00C608DA"/>
    <w:rsid w:val="00C60F49"/>
    <w:rsid w:val="00C61159"/>
    <w:rsid w:val="00C61807"/>
    <w:rsid w:val="00C61A89"/>
    <w:rsid w:val="00C61B68"/>
    <w:rsid w:val="00C61CD3"/>
    <w:rsid w:val="00C61E7F"/>
    <w:rsid w:val="00C621F2"/>
    <w:rsid w:val="00C62291"/>
    <w:rsid w:val="00C62348"/>
    <w:rsid w:val="00C62AC4"/>
    <w:rsid w:val="00C62DBC"/>
    <w:rsid w:val="00C62E03"/>
    <w:rsid w:val="00C63465"/>
    <w:rsid w:val="00C634AD"/>
    <w:rsid w:val="00C637BB"/>
    <w:rsid w:val="00C63E84"/>
    <w:rsid w:val="00C63F4A"/>
    <w:rsid w:val="00C64406"/>
    <w:rsid w:val="00C6469D"/>
    <w:rsid w:val="00C646CE"/>
    <w:rsid w:val="00C647F0"/>
    <w:rsid w:val="00C648FD"/>
    <w:rsid w:val="00C64A4C"/>
    <w:rsid w:val="00C65074"/>
    <w:rsid w:val="00C652BB"/>
    <w:rsid w:val="00C65392"/>
    <w:rsid w:val="00C656B9"/>
    <w:rsid w:val="00C659BA"/>
    <w:rsid w:val="00C66692"/>
    <w:rsid w:val="00C66A58"/>
    <w:rsid w:val="00C66B06"/>
    <w:rsid w:val="00C66D0A"/>
    <w:rsid w:val="00C67131"/>
    <w:rsid w:val="00C6745F"/>
    <w:rsid w:val="00C67681"/>
    <w:rsid w:val="00C679CF"/>
    <w:rsid w:val="00C67A76"/>
    <w:rsid w:val="00C67A8C"/>
    <w:rsid w:val="00C67ECC"/>
    <w:rsid w:val="00C67F1E"/>
    <w:rsid w:val="00C702A7"/>
    <w:rsid w:val="00C70732"/>
    <w:rsid w:val="00C708C2"/>
    <w:rsid w:val="00C70952"/>
    <w:rsid w:val="00C70E66"/>
    <w:rsid w:val="00C713A5"/>
    <w:rsid w:val="00C713F9"/>
    <w:rsid w:val="00C7177D"/>
    <w:rsid w:val="00C71866"/>
    <w:rsid w:val="00C718E0"/>
    <w:rsid w:val="00C71A48"/>
    <w:rsid w:val="00C71A8C"/>
    <w:rsid w:val="00C71BDE"/>
    <w:rsid w:val="00C71FBB"/>
    <w:rsid w:val="00C725C5"/>
    <w:rsid w:val="00C72B50"/>
    <w:rsid w:val="00C72F8E"/>
    <w:rsid w:val="00C73593"/>
    <w:rsid w:val="00C73688"/>
    <w:rsid w:val="00C738B1"/>
    <w:rsid w:val="00C73B75"/>
    <w:rsid w:val="00C73E0C"/>
    <w:rsid w:val="00C73FE6"/>
    <w:rsid w:val="00C74096"/>
    <w:rsid w:val="00C74848"/>
    <w:rsid w:val="00C749A6"/>
    <w:rsid w:val="00C74AB6"/>
    <w:rsid w:val="00C74B83"/>
    <w:rsid w:val="00C74C56"/>
    <w:rsid w:val="00C74EF9"/>
    <w:rsid w:val="00C74F46"/>
    <w:rsid w:val="00C75E96"/>
    <w:rsid w:val="00C7639C"/>
    <w:rsid w:val="00C767D1"/>
    <w:rsid w:val="00C76B06"/>
    <w:rsid w:val="00C76CC7"/>
    <w:rsid w:val="00C772E4"/>
    <w:rsid w:val="00C774A6"/>
    <w:rsid w:val="00C776D1"/>
    <w:rsid w:val="00C77725"/>
    <w:rsid w:val="00C77B9D"/>
    <w:rsid w:val="00C77E40"/>
    <w:rsid w:val="00C80024"/>
    <w:rsid w:val="00C80488"/>
    <w:rsid w:val="00C80B9D"/>
    <w:rsid w:val="00C80D34"/>
    <w:rsid w:val="00C80D4F"/>
    <w:rsid w:val="00C8128C"/>
    <w:rsid w:val="00C81607"/>
    <w:rsid w:val="00C81A01"/>
    <w:rsid w:val="00C81B75"/>
    <w:rsid w:val="00C81B81"/>
    <w:rsid w:val="00C822B6"/>
    <w:rsid w:val="00C82416"/>
    <w:rsid w:val="00C8243C"/>
    <w:rsid w:val="00C82651"/>
    <w:rsid w:val="00C8279D"/>
    <w:rsid w:val="00C82ADB"/>
    <w:rsid w:val="00C82BD3"/>
    <w:rsid w:val="00C82CA4"/>
    <w:rsid w:val="00C83054"/>
    <w:rsid w:val="00C83104"/>
    <w:rsid w:val="00C832D1"/>
    <w:rsid w:val="00C83A57"/>
    <w:rsid w:val="00C83ADF"/>
    <w:rsid w:val="00C83B1E"/>
    <w:rsid w:val="00C83B9B"/>
    <w:rsid w:val="00C83C37"/>
    <w:rsid w:val="00C83D42"/>
    <w:rsid w:val="00C83FD8"/>
    <w:rsid w:val="00C84188"/>
    <w:rsid w:val="00C8454B"/>
    <w:rsid w:val="00C8470C"/>
    <w:rsid w:val="00C84A25"/>
    <w:rsid w:val="00C84A33"/>
    <w:rsid w:val="00C84C01"/>
    <w:rsid w:val="00C84CAD"/>
    <w:rsid w:val="00C84D2B"/>
    <w:rsid w:val="00C84D94"/>
    <w:rsid w:val="00C84F02"/>
    <w:rsid w:val="00C856F5"/>
    <w:rsid w:val="00C85702"/>
    <w:rsid w:val="00C8580F"/>
    <w:rsid w:val="00C8590D"/>
    <w:rsid w:val="00C85940"/>
    <w:rsid w:val="00C85EA9"/>
    <w:rsid w:val="00C8618F"/>
    <w:rsid w:val="00C8656F"/>
    <w:rsid w:val="00C86A68"/>
    <w:rsid w:val="00C86E5F"/>
    <w:rsid w:val="00C86F72"/>
    <w:rsid w:val="00C86F7B"/>
    <w:rsid w:val="00C87645"/>
    <w:rsid w:val="00C87B23"/>
    <w:rsid w:val="00C87E5A"/>
    <w:rsid w:val="00C9000B"/>
    <w:rsid w:val="00C90182"/>
    <w:rsid w:val="00C907F8"/>
    <w:rsid w:val="00C90BD9"/>
    <w:rsid w:val="00C913EB"/>
    <w:rsid w:val="00C919A5"/>
    <w:rsid w:val="00C91F14"/>
    <w:rsid w:val="00C9217A"/>
    <w:rsid w:val="00C924E2"/>
    <w:rsid w:val="00C924EC"/>
    <w:rsid w:val="00C92507"/>
    <w:rsid w:val="00C929C8"/>
    <w:rsid w:val="00C92BFD"/>
    <w:rsid w:val="00C92E8C"/>
    <w:rsid w:val="00C93776"/>
    <w:rsid w:val="00C938D6"/>
    <w:rsid w:val="00C93941"/>
    <w:rsid w:val="00C93AC2"/>
    <w:rsid w:val="00C93E33"/>
    <w:rsid w:val="00C9436B"/>
    <w:rsid w:val="00C9457F"/>
    <w:rsid w:val="00C946F5"/>
    <w:rsid w:val="00C9494A"/>
    <w:rsid w:val="00C94C29"/>
    <w:rsid w:val="00C94EFE"/>
    <w:rsid w:val="00C950A8"/>
    <w:rsid w:val="00C951DE"/>
    <w:rsid w:val="00C95348"/>
    <w:rsid w:val="00C9540F"/>
    <w:rsid w:val="00C95694"/>
    <w:rsid w:val="00C95BE6"/>
    <w:rsid w:val="00C95C7C"/>
    <w:rsid w:val="00C964C3"/>
    <w:rsid w:val="00C96870"/>
    <w:rsid w:val="00C96881"/>
    <w:rsid w:val="00C96B5F"/>
    <w:rsid w:val="00C96F8F"/>
    <w:rsid w:val="00C97258"/>
    <w:rsid w:val="00C97703"/>
    <w:rsid w:val="00C97896"/>
    <w:rsid w:val="00C97D88"/>
    <w:rsid w:val="00C97ECE"/>
    <w:rsid w:val="00C97FFD"/>
    <w:rsid w:val="00CA0030"/>
    <w:rsid w:val="00CA004E"/>
    <w:rsid w:val="00CA0235"/>
    <w:rsid w:val="00CA076C"/>
    <w:rsid w:val="00CA0836"/>
    <w:rsid w:val="00CA0EE2"/>
    <w:rsid w:val="00CA12A2"/>
    <w:rsid w:val="00CA184D"/>
    <w:rsid w:val="00CA19AC"/>
    <w:rsid w:val="00CA1D7E"/>
    <w:rsid w:val="00CA1F70"/>
    <w:rsid w:val="00CA1FC8"/>
    <w:rsid w:val="00CA2566"/>
    <w:rsid w:val="00CA258C"/>
    <w:rsid w:val="00CA27B5"/>
    <w:rsid w:val="00CA2908"/>
    <w:rsid w:val="00CA2CE6"/>
    <w:rsid w:val="00CA303D"/>
    <w:rsid w:val="00CA3530"/>
    <w:rsid w:val="00CA3699"/>
    <w:rsid w:val="00CA375D"/>
    <w:rsid w:val="00CA3988"/>
    <w:rsid w:val="00CA3A7F"/>
    <w:rsid w:val="00CA3FB9"/>
    <w:rsid w:val="00CA43FC"/>
    <w:rsid w:val="00CA459F"/>
    <w:rsid w:val="00CA4924"/>
    <w:rsid w:val="00CA4939"/>
    <w:rsid w:val="00CA4EC0"/>
    <w:rsid w:val="00CA5231"/>
    <w:rsid w:val="00CA56BE"/>
    <w:rsid w:val="00CA5782"/>
    <w:rsid w:val="00CA5AE4"/>
    <w:rsid w:val="00CA5DAA"/>
    <w:rsid w:val="00CA5E94"/>
    <w:rsid w:val="00CA5F40"/>
    <w:rsid w:val="00CA6126"/>
    <w:rsid w:val="00CA64AD"/>
    <w:rsid w:val="00CA6ECE"/>
    <w:rsid w:val="00CA6EF8"/>
    <w:rsid w:val="00CA7498"/>
    <w:rsid w:val="00CA7623"/>
    <w:rsid w:val="00CA76B0"/>
    <w:rsid w:val="00CA7971"/>
    <w:rsid w:val="00CA7A20"/>
    <w:rsid w:val="00CA7B40"/>
    <w:rsid w:val="00CA7EC4"/>
    <w:rsid w:val="00CB037B"/>
    <w:rsid w:val="00CB038A"/>
    <w:rsid w:val="00CB0D6B"/>
    <w:rsid w:val="00CB136C"/>
    <w:rsid w:val="00CB1379"/>
    <w:rsid w:val="00CB157C"/>
    <w:rsid w:val="00CB1612"/>
    <w:rsid w:val="00CB1803"/>
    <w:rsid w:val="00CB1D4C"/>
    <w:rsid w:val="00CB2696"/>
    <w:rsid w:val="00CB2733"/>
    <w:rsid w:val="00CB2B70"/>
    <w:rsid w:val="00CB302B"/>
    <w:rsid w:val="00CB43D7"/>
    <w:rsid w:val="00CB43EF"/>
    <w:rsid w:val="00CB4587"/>
    <w:rsid w:val="00CB4B6C"/>
    <w:rsid w:val="00CB5227"/>
    <w:rsid w:val="00CB5667"/>
    <w:rsid w:val="00CB5746"/>
    <w:rsid w:val="00CB599A"/>
    <w:rsid w:val="00CB5A89"/>
    <w:rsid w:val="00CB5B5D"/>
    <w:rsid w:val="00CB6034"/>
    <w:rsid w:val="00CB6202"/>
    <w:rsid w:val="00CB6378"/>
    <w:rsid w:val="00CB639C"/>
    <w:rsid w:val="00CB6414"/>
    <w:rsid w:val="00CB6624"/>
    <w:rsid w:val="00CB66E0"/>
    <w:rsid w:val="00CB69D4"/>
    <w:rsid w:val="00CB6B64"/>
    <w:rsid w:val="00CB6D37"/>
    <w:rsid w:val="00CB6D6E"/>
    <w:rsid w:val="00CB72FB"/>
    <w:rsid w:val="00CB7C20"/>
    <w:rsid w:val="00CC04E0"/>
    <w:rsid w:val="00CC05BB"/>
    <w:rsid w:val="00CC06CE"/>
    <w:rsid w:val="00CC0CC4"/>
    <w:rsid w:val="00CC0F30"/>
    <w:rsid w:val="00CC0F59"/>
    <w:rsid w:val="00CC11C2"/>
    <w:rsid w:val="00CC13FF"/>
    <w:rsid w:val="00CC140C"/>
    <w:rsid w:val="00CC143E"/>
    <w:rsid w:val="00CC155F"/>
    <w:rsid w:val="00CC1A47"/>
    <w:rsid w:val="00CC1FEA"/>
    <w:rsid w:val="00CC2529"/>
    <w:rsid w:val="00CC2821"/>
    <w:rsid w:val="00CC294F"/>
    <w:rsid w:val="00CC2FA6"/>
    <w:rsid w:val="00CC3596"/>
    <w:rsid w:val="00CC3636"/>
    <w:rsid w:val="00CC38EE"/>
    <w:rsid w:val="00CC3A06"/>
    <w:rsid w:val="00CC4138"/>
    <w:rsid w:val="00CC422B"/>
    <w:rsid w:val="00CC4361"/>
    <w:rsid w:val="00CC446A"/>
    <w:rsid w:val="00CC49D9"/>
    <w:rsid w:val="00CC51F1"/>
    <w:rsid w:val="00CC5344"/>
    <w:rsid w:val="00CC535A"/>
    <w:rsid w:val="00CC53CE"/>
    <w:rsid w:val="00CC54DD"/>
    <w:rsid w:val="00CC5684"/>
    <w:rsid w:val="00CC56C2"/>
    <w:rsid w:val="00CC59E6"/>
    <w:rsid w:val="00CC5D30"/>
    <w:rsid w:val="00CC5ED4"/>
    <w:rsid w:val="00CC60BC"/>
    <w:rsid w:val="00CC66B3"/>
    <w:rsid w:val="00CC6783"/>
    <w:rsid w:val="00CC68A6"/>
    <w:rsid w:val="00CC6C60"/>
    <w:rsid w:val="00CC6D79"/>
    <w:rsid w:val="00CC701B"/>
    <w:rsid w:val="00CC7319"/>
    <w:rsid w:val="00CC75C0"/>
    <w:rsid w:val="00CC7D04"/>
    <w:rsid w:val="00CC7D6D"/>
    <w:rsid w:val="00CD042B"/>
    <w:rsid w:val="00CD07DC"/>
    <w:rsid w:val="00CD0850"/>
    <w:rsid w:val="00CD0B31"/>
    <w:rsid w:val="00CD0BE1"/>
    <w:rsid w:val="00CD0C2A"/>
    <w:rsid w:val="00CD0CF0"/>
    <w:rsid w:val="00CD100D"/>
    <w:rsid w:val="00CD15C7"/>
    <w:rsid w:val="00CD18E8"/>
    <w:rsid w:val="00CD1EE2"/>
    <w:rsid w:val="00CD2553"/>
    <w:rsid w:val="00CD279F"/>
    <w:rsid w:val="00CD2D2F"/>
    <w:rsid w:val="00CD2DFD"/>
    <w:rsid w:val="00CD3400"/>
    <w:rsid w:val="00CD3940"/>
    <w:rsid w:val="00CD3B8E"/>
    <w:rsid w:val="00CD3C46"/>
    <w:rsid w:val="00CD3E1A"/>
    <w:rsid w:val="00CD4263"/>
    <w:rsid w:val="00CD43E8"/>
    <w:rsid w:val="00CD4A81"/>
    <w:rsid w:val="00CD4B20"/>
    <w:rsid w:val="00CD4B85"/>
    <w:rsid w:val="00CD4DC1"/>
    <w:rsid w:val="00CD54E2"/>
    <w:rsid w:val="00CD5EDD"/>
    <w:rsid w:val="00CD5FAB"/>
    <w:rsid w:val="00CD60E7"/>
    <w:rsid w:val="00CD619B"/>
    <w:rsid w:val="00CD6217"/>
    <w:rsid w:val="00CD665E"/>
    <w:rsid w:val="00CD66B5"/>
    <w:rsid w:val="00CD6784"/>
    <w:rsid w:val="00CD7271"/>
    <w:rsid w:val="00CD7526"/>
    <w:rsid w:val="00CD76A9"/>
    <w:rsid w:val="00CD7AC1"/>
    <w:rsid w:val="00CD7DEE"/>
    <w:rsid w:val="00CD7ED4"/>
    <w:rsid w:val="00CE0BC4"/>
    <w:rsid w:val="00CE0BF5"/>
    <w:rsid w:val="00CE0EEA"/>
    <w:rsid w:val="00CE1010"/>
    <w:rsid w:val="00CE11C1"/>
    <w:rsid w:val="00CE1287"/>
    <w:rsid w:val="00CE183C"/>
    <w:rsid w:val="00CE1C63"/>
    <w:rsid w:val="00CE1CD5"/>
    <w:rsid w:val="00CE1EF2"/>
    <w:rsid w:val="00CE1F1C"/>
    <w:rsid w:val="00CE1F27"/>
    <w:rsid w:val="00CE201C"/>
    <w:rsid w:val="00CE20ED"/>
    <w:rsid w:val="00CE2931"/>
    <w:rsid w:val="00CE2D2A"/>
    <w:rsid w:val="00CE2F15"/>
    <w:rsid w:val="00CE2F6C"/>
    <w:rsid w:val="00CE30FF"/>
    <w:rsid w:val="00CE3C44"/>
    <w:rsid w:val="00CE4238"/>
    <w:rsid w:val="00CE460A"/>
    <w:rsid w:val="00CE4786"/>
    <w:rsid w:val="00CE48A9"/>
    <w:rsid w:val="00CE4B22"/>
    <w:rsid w:val="00CE4D21"/>
    <w:rsid w:val="00CE4DF4"/>
    <w:rsid w:val="00CE5252"/>
    <w:rsid w:val="00CE560F"/>
    <w:rsid w:val="00CE5663"/>
    <w:rsid w:val="00CE5A05"/>
    <w:rsid w:val="00CE5E7A"/>
    <w:rsid w:val="00CE5FEF"/>
    <w:rsid w:val="00CE60CC"/>
    <w:rsid w:val="00CE60F8"/>
    <w:rsid w:val="00CE616F"/>
    <w:rsid w:val="00CE6180"/>
    <w:rsid w:val="00CE61E1"/>
    <w:rsid w:val="00CE640B"/>
    <w:rsid w:val="00CE6A06"/>
    <w:rsid w:val="00CE6C3F"/>
    <w:rsid w:val="00CE701B"/>
    <w:rsid w:val="00CE76A3"/>
    <w:rsid w:val="00CE788D"/>
    <w:rsid w:val="00CE789B"/>
    <w:rsid w:val="00CE7950"/>
    <w:rsid w:val="00CE7A7C"/>
    <w:rsid w:val="00CE7ACB"/>
    <w:rsid w:val="00CE7DB2"/>
    <w:rsid w:val="00CF0053"/>
    <w:rsid w:val="00CF02AF"/>
    <w:rsid w:val="00CF09BC"/>
    <w:rsid w:val="00CF108B"/>
    <w:rsid w:val="00CF1666"/>
    <w:rsid w:val="00CF195F"/>
    <w:rsid w:val="00CF1969"/>
    <w:rsid w:val="00CF19FC"/>
    <w:rsid w:val="00CF1BA0"/>
    <w:rsid w:val="00CF1E9A"/>
    <w:rsid w:val="00CF21C8"/>
    <w:rsid w:val="00CF266B"/>
    <w:rsid w:val="00CF2B47"/>
    <w:rsid w:val="00CF2BD4"/>
    <w:rsid w:val="00CF2CCD"/>
    <w:rsid w:val="00CF2DE0"/>
    <w:rsid w:val="00CF3038"/>
    <w:rsid w:val="00CF3169"/>
    <w:rsid w:val="00CF317F"/>
    <w:rsid w:val="00CF33A2"/>
    <w:rsid w:val="00CF3463"/>
    <w:rsid w:val="00CF387F"/>
    <w:rsid w:val="00CF39AE"/>
    <w:rsid w:val="00CF3A1B"/>
    <w:rsid w:val="00CF3B94"/>
    <w:rsid w:val="00CF3BCE"/>
    <w:rsid w:val="00CF3E50"/>
    <w:rsid w:val="00CF4047"/>
    <w:rsid w:val="00CF45FD"/>
    <w:rsid w:val="00CF46D3"/>
    <w:rsid w:val="00CF4792"/>
    <w:rsid w:val="00CF49CD"/>
    <w:rsid w:val="00CF4B1C"/>
    <w:rsid w:val="00CF4D4D"/>
    <w:rsid w:val="00CF5106"/>
    <w:rsid w:val="00CF5229"/>
    <w:rsid w:val="00CF56A2"/>
    <w:rsid w:val="00CF57BC"/>
    <w:rsid w:val="00CF5AFF"/>
    <w:rsid w:val="00CF5BA7"/>
    <w:rsid w:val="00CF6582"/>
    <w:rsid w:val="00CF6B33"/>
    <w:rsid w:val="00CF6FEF"/>
    <w:rsid w:val="00CF709F"/>
    <w:rsid w:val="00CF748B"/>
    <w:rsid w:val="00CF74AB"/>
    <w:rsid w:val="00CF74BE"/>
    <w:rsid w:val="00CF74FA"/>
    <w:rsid w:val="00CF755B"/>
    <w:rsid w:val="00CF77CC"/>
    <w:rsid w:val="00CF78CA"/>
    <w:rsid w:val="00CF7E4D"/>
    <w:rsid w:val="00D00608"/>
    <w:rsid w:val="00D00661"/>
    <w:rsid w:val="00D0088A"/>
    <w:rsid w:val="00D00935"/>
    <w:rsid w:val="00D00AA8"/>
    <w:rsid w:val="00D00E7E"/>
    <w:rsid w:val="00D00F4B"/>
    <w:rsid w:val="00D010ED"/>
    <w:rsid w:val="00D014FA"/>
    <w:rsid w:val="00D01B06"/>
    <w:rsid w:val="00D01DF6"/>
    <w:rsid w:val="00D0230C"/>
    <w:rsid w:val="00D02496"/>
    <w:rsid w:val="00D02AC1"/>
    <w:rsid w:val="00D02C2D"/>
    <w:rsid w:val="00D02E14"/>
    <w:rsid w:val="00D03070"/>
    <w:rsid w:val="00D030D6"/>
    <w:rsid w:val="00D033DE"/>
    <w:rsid w:val="00D03422"/>
    <w:rsid w:val="00D03479"/>
    <w:rsid w:val="00D0363F"/>
    <w:rsid w:val="00D038FE"/>
    <w:rsid w:val="00D03978"/>
    <w:rsid w:val="00D03B61"/>
    <w:rsid w:val="00D040C2"/>
    <w:rsid w:val="00D04118"/>
    <w:rsid w:val="00D04292"/>
    <w:rsid w:val="00D0434B"/>
    <w:rsid w:val="00D049D4"/>
    <w:rsid w:val="00D04ED8"/>
    <w:rsid w:val="00D05208"/>
    <w:rsid w:val="00D052C5"/>
    <w:rsid w:val="00D0532E"/>
    <w:rsid w:val="00D0533C"/>
    <w:rsid w:val="00D0537C"/>
    <w:rsid w:val="00D05797"/>
    <w:rsid w:val="00D05F6C"/>
    <w:rsid w:val="00D06068"/>
    <w:rsid w:val="00D06175"/>
    <w:rsid w:val="00D063E5"/>
    <w:rsid w:val="00D064E3"/>
    <w:rsid w:val="00D06782"/>
    <w:rsid w:val="00D06A61"/>
    <w:rsid w:val="00D06BCE"/>
    <w:rsid w:val="00D06C7E"/>
    <w:rsid w:val="00D06EE9"/>
    <w:rsid w:val="00D07120"/>
    <w:rsid w:val="00D075DE"/>
    <w:rsid w:val="00D07601"/>
    <w:rsid w:val="00D079B2"/>
    <w:rsid w:val="00D07B12"/>
    <w:rsid w:val="00D07B8A"/>
    <w:rsid w:val="00D07F27"/>
    <w:rsid w:val="00D10076"/>
    <w:rsid w:val="00D10080"/>
    <w:rsid w:val="00D10109"/>
    <w:rsid w:val="00D109AF"/>
    <w:rsid w:val="00D10AFD"/>
    <w:rsid w:val="00D10D23"/>
    <w:rsid w:val="00D10DEE"/>
    <w:rsid w:val="00D10FEA"/>
    <w:rsid w:val="00D110F5"/>
    <w:rsid w:val="00D110FD"/>
    <w:rsid w:val="00D11311"/>
    <w:rsid w:val="00D11B73"/>
    <w:rsid w:val="00D121C4"/>
    <w:rsid w:val="00D12381"/>
    <w:rsid w:val="00D1245C"/>
    <w:rsid w:val="00D12917"/>
    <w:rsid w:val="00D12A49"/>
    <w:rsid w:val="00D132D4"/>
    <w:rsid w:val="00D135BA"/>
    <w:rsid w:val="00D13719"/>
    <w:rsid w:val="00D13B09"/>
    <w:rsid w:val="00D13B47"/>
    <w:rsid w:val="00D13D61"/>
    <w:rsid w:val="00D13E7B"/>
    <w:rsid w:val="00D13F21"/>
    <w:rsid w:val="00D141ED"/>
    <w:rsid w:val="00D1496F"/>
    <w:rsid w:val="00D14C90"/>
    <w:rsid w:val="00D14CB4"/>
    <w:rsid w:val="00D14E42"/>
    <w:rsid w:val="00D14EA8"/>
    <w:rsid w:val="00D153E7"/>
    <w:rsid w:val="00D155C0"/>
    <w:rsid w:val="00D15A13"/>
    <w:rsid w:val="00D15E95"/>
    <w:rsid w:val="00D170EA"/>
    <w:rsid w:val="00D1750F"/>
    <w:rsid w:val="00D1760E"/>
    <w:rsid w:val="00D178EB"/>
    <w:rsid w:val="00D1793F"/>
    <w:rsid w:val="00D17D32"/>
    <w:rsid w:val="00D17DEF"/>
    <w:rsid w:val="00D17FE5"/>
    <w:rsid w:val="00D204DB"/>
    <w:rsid w:val="00D20946"/>
    <w:rsid w:val="00D209E2"/>
    <w:rsid w:val="00D20BB3"/>
    <w:rsid w:val="00D20BB6"/>
    <w:rsid w:val="00D20EE5"/>
    <w:rsid w:val="00D20FA9"/>
    <w:rsid w:val="00D2197A"/>
    <w:rsid w:val="00D21AAE"/>
    <w:rsid w:val="00D21E5E"/>
    <w:rsid w:val="00D21EC7"/>
    <w:rsid w:val="00D22301"/>
    <w:rsid w:val="00D22358"/>
    <w:rsid w:val="00D22360"/>
    <w:rsid w:val="00D223DC"/>
    <w:rsid w:val="00D225FF"/>
    <w:rsid w:val="00D23049"/>
    <w:rsid w:val="00D239C6"/>
    <w:rsid w:val="00D23BD4"/>
    <w:rsid w:val="00D23C1E"/>
    <w:rsid w:val="00D2455D"/>
    <w:rsid w:val="00D245D3"/>
    <w:rsid w:val="00D249B0"/>
    <w:rsid w:val="00D24D08"/>
    <w:rsid w:val="00D251A8"/>
    <w:rsid w:val="00D2548E"/>
    <w:rsid w:val="00D25996"/>
    <w:rsid w:val="00D26555"/>
    <w:rsid w:val="00D26786"/>
    <w:rsid w:val="00D26931"/>
    <w:rsid w:val="00D2695F"/>
    <w:rsid w:val="00D26B1F"/>
    <w:rsid w:val="00D26EA2"/>
    <w:rsid w:val="00D2719F"/>
    <w:rsid w:val="00D27CEE"/>
    <w:rsid w:val="00D27F2D"/>
    <w:rsid w:val="00D27F6C"/>
    <w:rsid w:val="00D3015F"/>
    <w:rsid w:val="00D301A2"/>
    <w:rsid w:val="00D30349"/>
    <w:rsid w:val="00D3045B"/>
    <w:rsid w:val="00D30715"/>
    <w:rsid w:val="00D30BBC"/>
    <w:rsid w:val="00D30C42"/>
    <w:rsid w:val="00D30DC7"/>
    <w:rsid w:val="00D3150D"/>
    <w:rsid w:val="00D31B9B"/>
    <w:rsid w:val="00D31CE2"/>
    <w:rsid w:val="00D32556"/>
    <w:rsid w:val="00D326C3"/>
    <w:rsid w:val="00D32F8A"/>
    <w:rsid w:val="00D3301F"/>
    <w:rsid w:val="00D3313B"/>
    <w:rsid w:val="00D337AA"/>
    <w:rsid w:val="00D34463"/>
    <w:rsid w:val="00D344ED"/>
    <w:rsid w:val="00D3451C"/>
    <w:rsid w:val="00D3469F"/>
    <w:rsid w:val="00D3473E"/>
    <w:rsid w:val="00D34824"/>
    <w:rsid w:val="00D34BC4"/>
    <w:rsid w:val="00D3506E"/>
    <w:rsid w:val="00D3517B"/>
    <w:rsid w:val="00D35824"/>
    <w:rsid w:val="00D35AB1"/>
    <w:rsid w:val="00D36401"/>
    <w:rsid w:val="00D36E8A"/>
    <w:rsid w:val="00D370C4"/>
    <w:rsid w:val="00D3738D"/>
    <w:rsid w:val="00D402F1"/>
    <w:rsid w:val="00D407BC"/>
    <w:rsid w:val="00D40829"/>
    <w:rsid w:val="00D40AFA"/>
    <w:rsid w:val="00D40F5E"/>
    <w:rsid w:val="00D4161E"/>
    <w:rsid w:val="00D4192D"/>
    <w:rsid w:val="00D42191"/>
    <w:rsid w:val="00D4239D"/>
    <w:rsid w:val="00D4252E"/>
    <w:rsid w:val="00D4257B"/>
    <w:rsid w:val="00D427D2"/>
    <w:rsid w:val="00D42AC7"/>
    <w:rsid w:val="00D42BAF"/>
    <w:rsid w:val="00D42C5B"/>
    <w:rsid w:val="00D42C80"/>
    <w:rsid w:val="00D42CD1"/>
    <w:rsid w:val="00D42F56"/>
    <w:rsid w:val="00D43085"/>
    <w:rsid w:val="00D4350F"/>
    <w:rsid w:val="00D43B80"/>
    <w:rsid w:val="00D442FF"/>
    <w:rsid w:val="00D44313"/>
    <w:rsid w:val="00D446DB"/>
    <w:rsid w:val="00D447FB"/>
    <w:rsid w:val="00D44AB3"/>
    <w:rsid w:val="00D45089"/>
    <w:rsid w:val="00D4560C"/>
    <w:rsid w:val="00D457A2"/>
    <w:rsid w:val="00D458CD"/>
    <w:rsid w:val="00D45F35"/>
    <w:rsid w:val="00D4619D"/>
    <w:rsid w:val="00D4624D"/>
    <w:rsid w:val="00D463BD"/>
    <w:rsid w:val="00D46406"/>
    <w:rsid w:val="00D466F1"/>
    <w:rsid w:val="00D467D0"/>
    <w:rsid w:val="00D468A3"/>
    <w:rsid w:val="00D46BEA"/>
    <w:rsid w:val="00D47460"/>
    <w:rsid w:val="00D47722"/>
    <w:rsid w:val="00D4776E"/>
    <w:rsid w:val="00D478A7"/>
    <w:rsid w:val="00D47CD1"/>
    <w:rsid w:val="00D47D0F"/>
    <w:rsid w:val="00D47FBA"/>
    <w:rsid w:val="00D5041B"/>
    <w:rsid w:val="00D50465"/>
    <w:rsid w:val="00D50473"/>
    <w:rsid w:val="00D50474"/>
    <w:rsid w:val="00D508B9"/>
    <w:rsid w:val="00D50B13"/>
    <w:rsid w:val="00D50D86"/>
    <w:rsid w:val="00D50E15"/>
    <w:rsid w:val="00D50FDB"/>
    <w:rsid w:val="00D5134C"/>
    <w:rsid w:val="00D514A1"/>
    <w:rsid w:val="00D5157A"/>
    <w:rsid w:val="00D517C6"/>
    <w:rsid w:val="00D51C32"/>
    <w:rsid w:val="00D51DC7"/>
    <w:rsid w:val="00D51F09"/>
    <w:rsid w:val="00D522C1"/>
    <w:rsid w:val="00D523BE"/>
    <w:rsid w:val="00D524DA"/>
    <w:rsid w:val="00D525E1"/>
    <w:rsid w:val="00D53295"/>
    <w:rsid w:val="00D535B7"/>
    <w:rsid w:val="00D53739"/>
    <w:rsid w:val="00D538C6"/>
    <w:rsid w:val="00D53AB2"/>
    <w:rsid w:val="00D53B4B"/>
    <w:rsid w:val="00D53F69"/>
    <w:rsid w:val="00D54536"/>
    <w:rsid w:val="00D54BAC"/>
    <w:rsid w:val="00D54EB8"/>
    <w:rsid w:val="00D54F97"/>
    <w:rsid w:val="00D55078"/>
    <w:rsid w:val="00D55185"/>
    <w:rsid w:val="00D55357"/>
    <w:rsid w:val="00D55757"/>
    <w:rsid w:val="00D55ED5"/>
    <w:rsid w:val="00D56167"/>
    <w:rsid w:val="00D561CE"/>
    <w:rsid w:val="00D5668A"/>
    <w:rsid w:val="00D56E27"/>
    <w:rsid w:val="00D57166"/>
    <w:rsid w:val="00D57409"/>
    <w:rsid w:val="00D57925"/>
    <w:rsid w:val="00D57D95"/>
    <w:rsid w:val="00D6040C"/>
    <w:rsid w:val="00D60492"/>
    <w:rsid w:val="00D60893"/>
    <w:rsid w:val="00D611C4"/>
    <w:rsid w:val="00D61282"/>
    <w:rsid w:val="00D61402"/>
    <w:rsid w:val="00D61464"/>
    <w:rsid w:val="00D61925"/>
    <w:rsid w:val="00D61A8B"/>
    <w:rsid w:val="00D62169"/>
    <w:rsid w:val="00D62B96"/>
    <w:rsid w:val="00D62EF9"/>
    <w:rsid w:val="00D62F98"/>
    <w:rsid w:val="00D6348F"/>
    <w:rsid w:val="00D6376B"/>
    <w:rsid w:val="00D639AA"/>
    <w:rsid w:val="00D639FA"/>
    <w:rsid w:val="00D63C30"/>
    <w:rsid w:val="00D63EE9"/>
    <w:rsid w:val="00D64969"/>
    <w:rsid w:val="00D64B10"/>
    <w:rsid w:val="00D64C01"/>
    <w:rsid w:val="00D64CB7"/>
    <w:rsid w:val="00D64FAF"/>
    <w:rsid w:val="00D6503B"/>
    <w:rsid w:val="00D650D5"/>
    <w:rsid w:val="00D65267"/>
    <w:rsid w:val="00D65AFB"/>
    <w:rsid w:val="00D65D7A"/>
    <w:rsid w:val="00D65EFD"/>
    <w:rsid w:val="00D65F1F"/>
    <w:rsid w:val="00D65FBD"/>
    <w:rsid w:val="00D66196"/>
    <w:rsid w:val="00D666B4"/>
    <w:rsid w:val="00D669A7"/>
    <w:rsid w:val="00D66A69"/>
    <w:rsid w:val="00D6744F"/>
    <w:rsid w:val="00D67ACE"/>
    <w:rsid w:val="00D67FE2"/>
    <w:rsid w:val="00D7018C"/>
    <w:rsid w:val="00D70381"/>
    <w:rsid w:val="00D70571"/>
    <w:rsid w:val="00D70857"/>
    <w:rsid w:val="00D708CB"/>
    <w:rsid w:val="00D70A16"/>
    <w:rsid w:val="00D70CC6"/>
    <w:rsid w:val="00D710AA"/>
    <w:rsid w:val="00D71388"/>
    <w:rsid w:val="00D714E6"/>
    <w:rsid w:val="00D71CA6"/>
    <w:rsid w:val="00D72064"/>
    <w:rsid w:val="00D721FE"/>
    <w:rsid w:val="00D7221D"/>
    <w:rsid w:val="00D72294"/>
    <w:rsid w:val="00D725F2"/>
    <w:rsid w:val="00D726C0"/>
    <w:rsid w:val="00D7270D"/>
    <w:rsid w:val="00D72BBE"/>
    <w:rsid w:val="00D73155"/>
    <w:rsid w:val="00D731CA"/>
    <w:rsid w:val="00D734A8"/>
    <w:rsid w:val="00D7355C"/>
    <w:rsid w:val="00D73AE4"/>
    <w:rsid w:val="00D73D83"/>
    <w:rsid w:val="00D73F58"/>
    <w:rsid w:val="00D74367"/>
    <w:rsid w:val="00D7436F"/>
    <w:rsid w:val="00D745E5"/>
    <w:rsid w:val="00D74A49"/>
    <w:rsid w:val="00D74E07"/>
    <w:rsid w:val="00D74EE4"/>
    <w:rsid w:val="00D750A5"/>
    <w:rsid w:val="00D75108"/>
    <w:rsid w:val="00D7527C"/>
    <w:rsid w:val="00D75736"/>
    <w:rsid w:val="00D75A61"/>
    <w:rsid w:val="00D760BC"/>
    <w:rsid w:val="00D76245"/>
    <w:rsid w:val="00D763CF"/>
    <w:rsid w:val="00D766F8"/>
    <w:rsid w:val="00D76B00"/>
    <w:rsid w:val="00D76D50"/>
    <w:rsid w:val="00D76FE4"/>
    <w:rsid w:val="00D77059"/>
    <w:rsid w:val="00D77073"/>
    <w:rsid w:val="00D771FB"/>
    <w:rsid w:val="00D77453"/>
    <w:rsid w:val="00D778D1"/>
    <w:rsid w:val="00D77AB1"/>
    <w:rsid w:val="00D77BE1"/>
    <w:rsid w:val="00D80063"/>
    <w:rsid w:val="00D80119"/>
    <w:rsid w:val="00D80408"/>
    <w:rsid w:val="00D8057F"/>
    <w:rsid w:val="00D8058F"/>
    <w:rsid w:val="00D8089A"/>
    <w:rsid w:val="00D80B99"/>
    <w:rsid w:val="00D813BF"/>
    <w:rsid w:val="00D816D1"/>
    <w:rsid w:val="00D8205B"/>
    <w:rsid w:val="00D82107"/>
    <w:rsid w:val="00D82ADF"/>
    <w:rsid w:val="00D82D61"/>
    <w:rsid w:val="00D82DEE"/>
    <w:rsid w:val="00D82F91"/>
    <w:rsid w:val="00D82FEA"/>
    <w:rsid w:val="00D83676"/>
    <w:rsid w:val="00D8385E"/>
    <w:rsid w:val="00D838AB"/>
    <w:rsid w:val="00D83D81"/>
    <w:rsid w:val="00D83E8B"/>
    <w:rsid w:val="00D8412D"/>
    <w:rsid w:val="00D84BDD"/>
    <w:rsid w:val="00D84EA6"/>
    <w:rsid w:val="00D84EC1"/>
    <w:rsid w:val="00D85036"/>
    <w:rsid w:val="00D853F4"/>
    <w:rsid w:val="00D8547B"/>
    <w:rsid w:val="00D859ED"/>
    <w:rsid w:val="00D85A21"/>
    <w:rsid w:val="00D85E15"/>
    <w:rsid w:val="00D86060"/>
    <w:rsid w:val="00D86229"/>
    <w:rsid w:val="00D8647B"/>
    <w:rsid w:val="00D867A9"/>
    <w:rsid w:val="00D868E9"/>
    <w:rsid w:val="00D86C8D"/>
    <w:rsid w:val="00D86D02"/>
    <w:rsid w:val="00D86FAF"/>
    <w:rsid w:val="00D8756B"/>
    <w:rsid w:val="00D875E9"/>
    <w:rsid w:val="00D87C33"/>
    <w:rsid w:val="00D90040"/>
    <w:rsid w:val="00D90573"/>
    <w:rsid w:val="00D9090E"/>
    <w:rsid w:val="00D90D0E"/>
    <w:rsid w:val="00D90FE1"/>
    <w:rsid w:val="00D914C8"/>
    <w:rsid w:val="00D91557"/>
    <w:rsid w:val="00D917B5"/>
    <w:rsid w:val="00D919D4"/>
    <w:rsid w:val="00D91CD6"/>
    <w:rsid w:val="00D92515"/>
    <w:rsid w:val="00D928FF"/>
    <w:rsid w:val="00D92A80"/>
    <w:rsid w:val="00D92C5E"/>
    <w:rsid w:val="00D92D26"/>
    <w:rsid w:val="00D92DCA"/>
    <w:rsid w:val="00D92FAB"/>
    <w:rsid w:val="00D930C7"/>
    <w:rsid w:val="00D931AC"/>
    <w:rsid w:val="00D9372F"/>
    <w:rsid w:val="00D937C0"/>
    <w:rsid w:val="00D938C8"/>
    <w:rsid w:val="00D93BBC"/>
    <w:rsid w:val="00D94198"/>
    <w:rsid w:val="00D943E9"/>
    <w:rsid w:val="00D945A6"/>
    <w:rsid w:val="00D947B9"/>
    <w:rsid w:val="00D949FC"/>
    <w:rsid w:val="00D94A83"/>
    <w:rsid w:val="00D94B63"/>
    <w:rsid w:val="00D94C2F"/>
    <w:rsid w:val="00D94C6C"/>
    <w:rsid w:val="00D94FD6"/>
    <w:rsid w:val="00D9512D"/>
    <w:rsid w:val="00D95375"/>
    <w:rsid w:val="00D957F8"/>
    <w:rsid w:val="00D95E44"/>
    <w:rsid w:val="00D95F91"/>
    <w:rsid w:val="00D961A4"/>
    <w:rsid w:val="00D9683E"/>
    <w:rsid w:val="00D96841"/>
    <w:rsid w:val="00D96BC6"/>
    <w:rsid w:val="00D96C02"/>
    <w:rsid w:val="00D96CEF"/>
    <w:rsid w:val="00D97428"/>
    <w:rsid w:val="00D975E3"/>
    <w:rsid w:val="00D97BBF"/>
    <w:rsid w:val="00D97DD1"/>
    <w:rsid w:val="00DA0051"/>
    <w:rsid w:val="00DA0797"/>
    <w:rsid w:val="00DA0BC4"/>
    <w:rsid w:val="00DA16D7"/>
    <w:rsid w:val="00DA1889"/>
    <w:rsid w:val="00DA1C72"/>
    <w:rsid w:val="00DA1FEC"/>
    <w:rsid w:val="00DA20B8"/>
    <w:rsid w:val="00DA2114"/>
    <w:rsid w:val="00DA243F"/>
    <w:rsid w:val="00DA24D8"/>
    <w:rsid w:val="00DA253A"/>
    <w:rsid w:val="00DA291C"/>
    <w:rsid w:val="00DA2C19"/>
    <w:rsid w:val="00DA31CE"/>
    <w:rsid w:val="00DA33E6"/>
    <w:rsid w:val="00DA3557"/>
    <w:rsid w:val="00DA3BB0"/>
    <w:rsid w:val="00DA4442"/>
    <w:rsid w:val="00DA46A3"/>
    <w:rsid w:val="00DA46B6"/>
    <w:rsid w:val="00DA46B7"/>
    <w:rsid w:val="00DA48BC"/>
    <w:rsid w:val="00DA49D2"/>
    <w:rsid w:val="00DA4A22"/>
    <w:rsid w:val="00DA4D60"/>
    <w:rsid w:val="00DA4E0A"/>
    <w:rsid w:val="00DA4F14"/>
    <w:rsid w:val="00DA4FE6"/>
    <w:rsid w:val="00DA5182"/>
    <w:rsid w:val="00DA534F"/>
    <w:rsid w:val="00DA5599"/>
    <w:rsid w:val="00DA5640"/>
    <w:rsid w:val="00DA5AF4"/>
    <w:rsid w:val="00DA5B1F"/>
    <w:rsid w:val="00DA5B42"/>
    <w:rsid w:val="00DA5BE9"/>
    <w:rsid w:val="00DA637B"/>
    <w:rsid w:val="00DA6ED1"/>
    <w:rsid w:val="00DA75EC"/>
    <w:rsid w:val="00DA7D7E"/>
    <w:rsid w:val="00DA7DB6"/>
    <w:rsid w:val="00DA7DF3"/>
    <w:rsid w:val="00DB02A7"/>
    <w:rsid w:val="00DB0BA2"/>
    <w:rsid w:val="00DB0C73"/>
    <w:rsid w:val="00DB0DE4"/>
    <w:rsid w:val="00DB1700"/>
    <w:rsid w:val="00DB183D"/>
    <w:rsid w:val="00DB184B"/>
    <w:rsid w:val="00DB197C"/>
    <w:rsid w:val="00DB19AC"/>
    <w:rsid w:val="00DB19EE"/>
    <w:rsid w:val="00DB1A21"/>
    <w:rsid w:val="00DB1BCD"/>
    <w:rsid w:val="00DB1D06"/>
    <w:rsid w:val="00DB20CA"/>
    <w:rsid w:val="00DB23A5"/>
    <w:rsid w:val="00DB2D19"/>
    <w:rsid w:val="00DB2D8D"/>
    <w:rsid w:val="00DB3079"/>
    <w:rsid w:val="00DB3183"/>
    <w:rsid w:val="00DB33C0"/>
    <w:rsid w:val="00DB3A07"/>
    <w:rsid w:val="00DB4313"/>
    <w:rsid w:val="00DB434A"/>
    <w:rsid w:val="00DB483B"/>
    <w:rsid w:val="00DB4CBB"/>
    <w:rsid w:val="00DB549B"/>
    <w:rsid w:val="00DB597D"/>
    <w:rsid w:val="00DB59DD"/>
    <w:rsid w:val="00DB5A6A"/>
    <w:rsid w:val="00DB5AE0"/>
    <w:rsid w:val="00DB5EDE"/>
    <w:rsid w:val="00DB5FC1"/>
    <w:rsid w:val="00DB6428"/>
    <w:rsid w:val="00DB656C"/>
    <w:rsid w:val="00DB66D5"/>
    <w:rsid w:val="00DB6950"/>
    <w:rsid w:val="00DB697E"/>
    <w:rsid w:val="00DB6992"/>
    <w:rsid w:val="00DB6A17"/>
    <w:rsid w:val="00DB6BAF"/>
    <w:rsid w:val="00DB6F26"/>
    <w:rsid w:val="00DB7056"/>
    <w:rsid w:val="00DB72EB"/>
    <w:rsid w:val="00DB7414"/>
    <w:rsid w:val="00DB7B1D"/>
    <w:rsid w:val="00DB7B21"/>
    <w:rsid w:val="00DB7B59"/>
    <w:rsid w:val="00DB7C29"/>
    <w:rsid w:val="00DC01A3"/>
    <w:rsid w:val="00DC04D5"/>
    <w:rsid w:val="00DC073E"/>
    <w:rsid w:val="00DC079D"/>
    <w:rsid w:val="00DC0B27"/>
    <w:rsid w:val="00DC0C73"/>
    <w:rsid w:val="00DC0EC8"/>
    <w:rsid w:val="00DC11E2"/>
    <w:rsid w:val="00DC1255"/>
    <w:rsid w:val="00DC1614"/>
    <w:rsid w:val="00DC1709"/>
    <w:rsid w:val="00DC1723"/>
    <w:rsid w:val="00DC1782"/>
    <w:rsid w:val="00DC1880"/>
    <w:rsid w:val="00DC2078"/>
    <w:rsid w:val="00DC22C4"/>
    <w:rsid w:val="00DC2453"/>
    <w:rsid w:val="00DC2635"/>
    <w:rsid w:val="00DC3960"/>
    <w:rsid w:val="00DC44E8"/>
    <w:rsid w:val="00DC4602"/>
    <w:rsid w:val="00DC4800"/>
    <w:rsid w:val="00DC49D1"/>
    <w:rsid w:val="00DC4C7D"/>
    <w:rsid w:val="00DC4DA8"/>
    <w:rsid w:val="00DC50F9"/>
    <w:rsid w:val="00DC547C"/>
    <w:rsid w:val="00DC5581"/>
    <w:rsid w:val="00DC56F0"/>
    <w:rsid w:val="00DC59E8"/>
    <w:rsid w:val="00DC5B84"/>
    <w:rsid w:val="00DC604B"/>
    <w:rsid w:val="00DC6264"/>
    <w:rsid w:val="00DC64D8"/>
    <w:rsid w:val="00DC66A2"/>
    <w:rsid w:val="00DC66D9"/>
    <w:rsid w:val="00DC6B1E"/>
    <w:rsid w:val="00DC6BE7"/>
    <w:rsid w:val="00DC6E3B"/>
    <w:rsid w:val="00DC7263"/>
    <w:rsid w:val="00DC732D"/>
    <w:rsid w:val="00DC73DE"/>
    <w:rsid w:val="00DC7AEF"/>
    <w:rsid w:val="00DC7BAF"/>
    <w:rsid w:val="00DC7E43"/>
    <w:rsid w:val="00DD0013"/>
    <w:rsid w:val="00DD01D7"/>
    <w:rsid w:val="00DD0229"/>
    <w:rsid w:val="00DD03A9"/>
    <w:rsid w:val="00DD04FC"/>
    <w:rsid w:val="00DD07ED"/>
    <w:rsid w:val="00DD0832"/>
    <w:rsid w:val="00DD0B15"/>
    <w:rsid w:val="00DD0CA2"/>
    <w:rsid w:val="00DD0D05"/>
    <w:rsid w:val="00DD0EB4"/>
    <w:rsid w:val="00DD115C"/>
    <w:rsid w:val="00DD11A4"/>
    <w:rsid w:val="00DD126E"/>
    <w:rsid w:val="00DD1380"/>
    <w:rsid w:val="00DD1428"/>
    <w:rsid w:val="00DD1454"/>
    <w:rsid w:val="00DD169A"/>
    <w:rsid w:val="00DD170E"/>
    <w:rsid w:val="00DD21BF"/>
    <w:rsid w:val="00DD292F"/>
    <w:rsid w:val="00DD2D75"/>
    <w:rsid w:val="00DD306A"/>
    <w:rsid w:val="00DD357F"/>
    <w:rsid w:val="00DD366F"/>
    <w:rsid w:val="00DD3826"/>
    <w:rsid w:val="00DD3BD3"/>
    <w:rsid w:val="00DD3C27"/>
    <w:rsid w:val="00DD3C9B"/>
    <w:rsid w:val="00DD3E99"/>
    <w:rsid w:val="00DD40B8"/>
    <w:rsid w:val="00DD5023"/>
    <w:rsid w:val="00DD513F"/>
    <w:rsid w:val="00DD515D"/>
    <w:rsid w:val="00DD5290"/>
    <w:rsid w:val="00DD5341"/>
    <w:rsid w:val="00DD57E0"/>
    <w:rsid w:val="00DD5D80"/>
    <w:rsid w:val="00DD6357"/>
    <w:rsid w:val="00DD679C"/>
    <w:rsid w:val="00DD69A0"/>
    <w:rsid w:val="00DD6C7A"/>
    <w:rsid w:val="00DD6E55"/>
    <w:rsid w:val="00DD74A0"/>
    <w:rsid w:val="00DD79AF"/>
    <w:rsid w:val="00DD7A48"/>
    <w:rsid w:val="00DD7E13"/>
    <w:rsid w:val="00DD7EC7"/>
    <w:rsid w:val="00DD7EED"/>
    <w:rsid w:val="00DE0414"/>
    <w:rsid w:val="00DE04D1"/>
    <w:rsid w:val="00DE0622"/>
    <w:rsid w:val="00DE06D8"/>
    <w:rsid w:val="00DE06FA"/>
    <w:rsid w:val="00DE1122"/>
    <w:rsid w:val="00DE14AB"/>
    <w:rsid w:val="00DE1C55"/>
    <w:rsid w:val="00DE1CE6"/>
    <w:rsid w:val="00DE25D0"/>
    <w:rsid w:val="00DE2821"/>
    <w:rsid w:val="00DE2DAB"/>
    <w:rsid w:val="00DE2E73"/>
    <w:rsid w:val="00DE2FB8"/>
    <w:rsid w:val="00DE3607"/>
    <w:rsid w:val="00DE39B2"/>
    <w:rsid w:val="00DE3CCD"/>
    <w:rsid w:val="00DE3CEA"/>
    <w:rsid w:val="00DE3FF1"/>
    <w:rsid w:val="00DE4B61"/>
    <w:rsid w:val="00DE4B72"/>
    <w:rsid w:val="00DE4BBE"/>
    <w:rsid w:val="00DE5069"/>
    <w:rsid w:val="00DE51B7"/>
    <w:rsid w:val="00DE54D1"/>
    <w:rsid w:val="00DE5689"/>
    <w:rsid w:val="00DE57AF"/>
    <w:rsid w:val="00DE5920"/>
    <w:rsid w:val="00DE5BC3"/>
    <w:rsid w:val="00DE5C80"/>
    <w:rsid w:val="00DE6562"/>
    <w:rsid w:val="00DE667B"/>
    <w:rsid w:val="00DE67E5"/>
    <w:rsid w:val="00DE7105"/>
    <w:rsid w:val="00DE7111"/>
    <w:rsid w:val="00DE7238"/>
    <w:rsid w:val="00DE7543"/>
    <w:rsid w:val="00DE778D"/>
    <w:rsid w:val="00DE7A66"/>
    <w:rsid w:val="00DF0088"/>
    <w:rsid w:val="00DF02AF"/>
    <w:rsid w:val="00DF032D"/>
    <w:rsid w:val="00DF05D4"/>
    <w:rsid w:val="00DF0B8A"/>
    <w:rsid w:val="00DF1868"/>
    <w:rsid w:val="00DF1908"/>
    <w:rsid w:val="00DF1ADE"/>
    <w:rsid w:val="00DF1C17"/>
    <w:rsid w:val="00DF244A"/>
    <w:rsid w:val="00DF29FE"/>
    <w:rsid w:val="00DF2B4E"/>
    <w:rsid w:val="00DF2F73"/>
    <w:rsid w:val="00DF32EF"/>
    <w:rsid w:val="00DF36E3"/>
    <w:rsid w:val="00DF3879"/>
    <w:rsid w:val="00DF387A"/>
    <w:rsid w:val="00DF38EA"/>
    <w:rsid w:val="00DF3D94"/>
    <w:rsid w:val="00DF40E8"/>
    <w:rsid w:val="00DF44CF"/>
    <w:rsid w:val="00DF4867"/>
    <w:rsid w:val="00DF4AE1"/>
    <w:rsid w:val="00DF4C2A"/>
    <w:rsid w:val="00DF51CD"/>
    <w:rsid w:val="00DF5678"/>
    <w:rsid w:val="00DF56C5"/>
    <w:rsid w:val="00DF5852"/>
    <w:rsid w:val="00DF595E"/>
    <w:rsid w:val="00DF59F0"/>
    <w:rsid w:val="00DF5DDF"/>
    <w:rsid w:val="00DF6158"/>
    <w:rsid w:val="00DF626A"/>
    <w:rsid w:val="00DF63E3"/>
    <w:rsid w:val="00DF64F6"/>
    <w:rsid w:val="00DF666C"/>
    <w:rsid w:val="00DF69D7"/>
    <w:rsid w:val="00DF6B93"/>
    <w:rsid w:val="00DF6C35"/>
    <w:rsid w:val="00DF6EB2"/>
    <w:rsid w:val="00DF72AF"/>
    <w:rsid w:val="00DF7423"/>
    <w:rsid w:val="00DF763F"/>
    <w:rsid w:val="00DF794F"/>
    <w:rsid w:val="00DF7A0A"/>
    <w:rsid w:val="00DF7A69"/>
    <w:rsid w:val="00E0021C"/>
    <w:rsid w:val="00E00456"/>
    <w:rsid w:val="00E005A2"/>
    <w:rsid w:val="00E0065C"/>
    <w:rsid w:val="00E0082E"/>
    <w:rsid w:val="00E00B9A"/>
    <w:rsid w:val="00E0190C"/>
    <w:rsid w:val="00E01D79"/>
    <w:rsid w:val="00E02831"/>
    <w:rsid w:val="00E02921"/>
    <w:rsid w:val="00E031D3"/>
    <w:rsid w:val="00E037FB"/>
    <w:rsid w:val="00E03BF7"/>
    <w:rsid w:val="00E03FE1"/>
    <w:rsid w:val="00E0425A"/>
    <w:rsid w:val="00E04410"/>
    <w:rsid w:val="00E048A7"/>
    <w:rsid w:val="00E04D5B"/>
    <w:rsid w:val="00E050BF"/>
    <w:rsid w:val="00E050D4"/>
    <w:rsid w:val="00E050D9"/>
    <w:rsid w:val="00E052C0"/>
    <w:rsid w:val="00E0544B"/>
    <w:rsid w:val="00E054AF"/>
    <w:rsid w:val="00E056CB"/>
    <w:rsid w:val="00E057D1"/>
    <w:rsid w:val="00E05B99"/>
    <w:rsid w:val="00E06072"/>
    <w:rsid w:val="00E060B0"/>
    <w:rsid w:val="00E0635C"/>
    <w:rsid w:val="00E063FD"/>
    <w:rsid w:val="00E06AE7"/>
    <w:rsid w:val="00E06CE0"/>
    <w:rsid w:val="00E06E8F"/>
    <w:rsid w:val="00E07007"/>
    <w:rsid w:val="00E07319"/>
    <w:rsid w:val="00E07579"/>
    <w:rsid w:val="00E07610"/>
    <w:rsid w:val="00E101C8"/>
    <w:rsid w:val="00E10234"/>
    <w:rsid w:val="00E10458"/>
    <w:rsid w:val="00E105B6"/>
    <w:rsid w:val="00E106D0"/>
    <w:rsid w:val="00E10CB9"/>
    <w:rsid w:val="00E10E02"/>
    <w:rsid w:val="00E11273"/>
    <w:rsid w:val="00E11359"/>
    <w:rsid w:val="00E116D7"/>
    <w:rsid w:val="00E11724"/>
    <w:rsid w:val="00E11DB7"/>
    <w:rsid w:val="00E11F48"/>
    <w:rsid w:val="00E12229"/>
    <w:rsid w:val="00E12696"/>
    <w:rsid w:val="00E127B6"/>
    <w:rsid w:val="00E1282B"/>
    <w:rsid w:val="00E12852"/>
    <w:rsid w:val="00E129D9"/>
    <w:rsid w:val="00E13293"/>
    <w:rsid w:val="00E13372"/>
    <w:rsid w:val="00E13810"/>
    <w:rsid w:val="00E138BB"/>
    <w:rsid w:val="00E13BEC"/>
    <w:rsid w:val="00E13E81"/>
    <w:rsid w:val="00E14795"/>
    <w:rsid w:val="00E14890"/>
    <w:rsid w:val="00E14A2C"/>
    <w:rsid w:val="00E14CB7"/>
    <w:rsid w:val="00E1520B"/>
    <w:rsid w:val="00E157E6"/>
    <w:rsid w:val="00E15C24"/>
    <w:rsid w:val="00E15C7E"/>
    <w:rsid w:val="00E162B7"/>
    <w:rsid w:val="00E164F2"/>
    <w:rsid w:val="00E16E4F"/>
    <w:rsid w:val="00E16FA0"/>
    <w:rsid w:val="00E171DD"/>
    <w:rsid w:val="00E1777C"/>
    <w:rsid w:val="00E1785F"/>
    <w:rsid w:val="00E17A4A"/>
    <w:rsid w:val="00E17B08"/>
    <w:rsid w:val="00E17E71"/>
    <w:rsid w:val="00E200AA"/>
    <w:rsid w:val="00E2011E"/>
    <w:rsid w:val="00E20763"/>
    <w:rsid w:val="00E2087D"/>
    <w:rsid w:val="00E20ACE"/>
    <w:rsid w:val="00E20E23"/>
    <w:rsid w:val="00E20FCC"/>
    <w:rsid w:val="00E212DF"/>
    <w:rsid w:val="00E213A3"/>
    <w:rsid w:val="00E214B6"/>
    <w:rsid w:val="00E214D5"/>
    <w:rsid w:val="00E21A94"/>
    <w:rsid w:val="00E21E22"/>
    <w:rsid w:val="00E21FC6"/>
    <w:rsid w:val="00E2217A"/>
    <w:rsid w:val="00E2225C"/>
    <w:rsid w:val="00E2239B"/>
    <w:rsid w:val="00E22798"/>
    <w:rsid w:val="00E228E6"/>
    <w:rsid w:val="00E23017"/>
    <w:rsid w:val="00E23A09"/>
    <w:rsid w:val="00E23A10"/>
    <w:rsid w:val="00E23C2C"/>
    <w:rsid w:val="00E24322"/>
    <w:rsid w:val="00E24529"/>
    <w:rsid w:val="00E2463E"/>
    <w:rsid w:val="00E24818"/>
    <w:rsid w:val="00E25057"/>
    <w:rsid w:val="00E255B2"/>
    <w:rsid w:val="00E256D9"/>
    <w:rsid w:val="00E25B6A"/>
    <w:rsid w:val="00E26191"/>
    <w:rsid w:val="00E2650B"/>
    <w:rsid w:val="00E26773"/>
    <w:rsid w:val="00E26930"/>
    <w:rsid w:val="00E269E9"/>
    <w:rsid w:val="00E26A1A"/>
    <w:rsid w:val="00E26DBD"/>
    <w:rsid w:val="00E26DCC"/>
    <w:rsid w:val="00E3018B"/>
    <w:rsid w:val="00E3056F"/>
    <w:rsid w:val="00E30815"/>
    <w:rsid w:val="00E30AC5"/>
    <w:rsid w:val="00E30B2F"/>
    <w:rsid w:val="00E31056"/>
    <w:rsid w:val="00E312B9"/>
    <w:rsid w:val="00E31366"/>
    <w:rsid w:val="00E3170F"/>
    <w:rsid w:val="00E31740"/>
    <w:rsid w:val="00E31938"/>
    <w:rsid w:val="00E319E5"/>
    <w:rsid w:val="00E31D67"/>
    <w:rsid w:val="00E31E3F"/>
    <w:rsid w:val="00E32229"/>
    <w:rsid w:val="00E3288D"/>
    <w:rsid w:val="00E32D8F"/>
    <w:rsid w:val="00E32DBA"/>
    <w:rsid w:val="00E32F1F"/>
    <w:rsid w:val="00E3317F"/>
    <w:rsid w:val="00E332ED"/>
    <w:rsid w:val="00E33A16"/>
    <w:rsid w:val="00E33C9E"/>
    <w:rsid w:val="00E33D07"/>
    <w:rsid w:val="00E34521"/>
    <w:rsid w:val="00E3465A"/>
    <w:rsid w:val="00E348FE"/>
    <w:rsid w:val="00E34BAD"/>
    <w:rsid w:val="00E34F80"/>
    <w:rsid w:val="00E35108"/>
    <w:rsid w:val="00E353F4"/>
    <w:rsid w:val="00E35583"/>
    <w:rsid w:val="00E35AA6"/>
    <w:rsid w:val="00E35AFF"/>
    <w:rsid w:val="00E35DE8"/>
    <w:rsid w:val="00E3612C"/>
    <w:rsid w:val="00E3621A"/>
    <w:rsid w:val="00E362B0"/>
    <w:rsid w:val="00E363CB"/>
    <w:rsid w:val="00E3652F"/>
    <w:rsid w:val="00E36A56"/>
    <w:rsid w:val="00E36A71"/>
    <w:rsid w:val="00E36FEF"/>
    <w:rsid w:val="00E37188"/>
    <w:rsid w:val="00E37245"/>
    <w:rsid w:val="00E37871"/>
    <w:rsid w:val="00E37AAD"/>
    <w:rsid w:val="00E4002B"/>
    <w:rsid w:val="00E400BC"/>
    <w:rsid w:val="00E400E1"/>
    <w:rsid w:val="00E4019B"/>
    <w:rsid w:val="00E4024A"/>
    <w:rsid w:val="00E40434"/>
    <w:rsid w:val="00E407F6"/>
    <w:rsid w:val="00E40837"/>
    <w:rsid w:val="00E40F30"/>
    <w:rsid w:val="00E41640"/>
    <w:rsid w:val="00E4176F"/>
    <w:rsid w:val="00E417C1"/>
    <w:rsid w:val="00E41FE5"/>
    <w:rsid w:val="00E41FF3"/>
    <w:rsid w:val="00E42050"/>
    <w:rsid w:val="00E422CF"/>
    <w:rsid w:val="00E423BB"/>
    <w:rsid w:val="00E42482"/>
    <w:rsid w:val="00E424CF"/>
    <w:rsid w:val="00E4258C"/>
    <w:rsid w:val="00E4278E"/>
    <w:rsid w:val="00E42B17"/>
    <w:rsid w:val="00E42D85"/>
    <w:rsid w:val="00E42EC5"/>
    <w:rsid w:val="00E433B3"/>
    <w:rsid w:val="00E434DF"/>
    <w:rsid w:val="00E4351A"/>
    <w:rsid w:val="00E43610"/>
    <w:rsid w:val="00E439AD"/>
    <w:rsid w:val="00E44450"/>
    <w:rsid w:val="00E44748"/>
    <w:rsid w:val="00E448C5"/>
    <w:rsid w:val="00E4498B"/>
    <w:rsid w:val="00E4502F"/>
    <w:rsid w:val="00E4508E"/>
    <w:rsid w:val="00E453A1"/>
    <w:rsid w:val="00E454CC"/>
    <w:rsid w:val="00E45525"/>
    <w:rsid w:val="00E458B3"/>
    <w:rsid w:val="00E458CD"/>
    <w:rsid w:val="00E461DF"/>
    <w:rsid w:val="00E46530"/>
    <w:rsid w:val="00E46570"/>
    <w:rsid w:val="00E4674B"/>
    <w:rsid w:val="00E46916"/>
    <w:rsid w:val="00E46B73"/>
    <w:rsid w:val="00E46E06"/>
    <w:rsid w:val="00E47063"/>
    <w:rsid w:val="00E47064"/>
    <w:rsid w:val="00E479C8"/>
    <w:rsid w:val="00E47A17"/>
    <w:rsid w:val="00E50153"/>
    <w:rsid w:val="00E50275"/>
    <w:rsid w:val="00E50455"/>
    <w:rsid w:val="00E505ED"/>
    <w:rsid w:val="00E5088A"/>
    <w:rsid w:val="00E50A13"/>
    <w:rsid w:val="00E50AB1"/>
    <w:rsid w:val="00E50DFE"/>
    <w:rsid w:val="00E50E60"/>
    <w:rsid w:val="00E51156"/>
    <w:rsid w:val="00E5148F"/>
    <w:rsid w:val="00E5189B"/>
    <w:rsid w:val="00E51AFA"/>
    <w:rsid w:val="00E525EF"/>
    <w:rsid w:val="00E52E7B"/>
    <w:rsid w:val="00E53389"/>
    <w:rsid w:val="00E534C1"/>
    <w:rsid w:val="00E53BC4"/>
    <w:rsid w:val="00E53EA3"/>
    <w:rsid w:val="00E53F36"/>
    <w:rsid w:val="00E54046"/>
    <w:rsid w:val="00E544BD"/>
    <w:rsid w:val="00E545C2"/>
    <w:rsid w:val="00E5490E"/>
    <w:rsid w:val="00E54A92"/>
    <w:rsid w:val="00E54AA3"/>
    <w:rsid w:val="00E54DEA"/>
    <w:rsid w:val="00E553B1"/>
    <w:rsid w:val="00E558F0"/>
    <w:rsid w:val="00E55B13"/>
    <w:rsid w:val="00E55C16"/>
    <w:rsid w:val="00E55D86"/>
    <w:rsid w:val="00E55FFF"/>
    <w:rsid w:val="00E5626B"/>
    <w:rsid w:val="00E562CE"/>
    <w:rsid w:val="00E56B97"/>
    <w:rsid w:val="00E56C06"/>
    <w:rsid w:val="00E56FD9"/>
    <w:rsid w:val="00E570F3"/>
    <w:rsid w:val="00E57230"/>
    <w:rsid w:val="00E5769D"/>
    <w:rsid w:val="00E600D8"/>
    <w:rsid w:val="00E60405"/>
    <w:rsid w:val="00E606E8"/>
    <w:rsid w:val="00E611CE"/>
    <w:rsid w:val="00E6123E"/>
    <w:rsid w:val="00E618C7"/>
    <w:rsid w:val="00E61A1E"/>
    <w:rsid w:val="00E62033"/>
    <w:rsid w:val="00E622CB"/>
    <w:rsid w:val="00E624D2"/>
    <w:rsid w:val="00E62B52"/>
    <w:rsid w:val="00E62C84"/>
    <w:rsid w:val="00E62F84"/>
    <w:rsid w:val="00E630DF"/>
    <w:rsid w:val="00E631E8"/>
    <w:rsid w:val="00E637DF"/>
    <w:rsid w:val="00E638CF"/>
    <w:rsid w:val="00E6393A"/>
    <w:rsid w:val="00E63A13"/>
    <w:rsid w:val="00E63A47"/>
    <w:rsid w:val="00E63EAF"/>
    <w:rsid w:val="00E642F0"/>
    <w:rsid w:val="00E64698"/>
    <w:rsid w:val="00E6478F"/>
    <w:rsid w:val="00E64A1C"/>
    <w:rsid w:val="00E64AC5"/>
    <w:rsid w:val="00E64AEF"/>
    <w:rsid w:val="00E64B40"/>
    <w:rsid w:val="00E64B74"/>
    <w:rsid w:val="00E64DA9"/>
    <w:rsid w:val="00E65271"/>
    <w:rsid w:val="00E654AB"/>
    <w:rsid w:val="00E656F1"/>
    <w:rsid w:val="00E65743"/>
    <w:rsid w:val="00E65A9B"/>
    <w:rsid w:val="00E6687D"/>
    <w:rsid w:val="00E66DD6"/>
    <w:rsid w:val="00E66E9F"/>
    <w:rsid w:val="00E6701D"/>
    <w:rsid w:val="00E67889"/>
    <w:rsid w:val="00E67A49"/>
    <w:rsid w:val="00E67BD0"/>
    <w:rsid w:val="00E67E13"/>
    <w:rsid w:val="00E67F06"/>
    <w:rsid w:val="00E7016E"/>
    <w:rsid w:val="00E701B3"/>
    <w:rsid w:val="00E704B9"/>
    <w:rsid w:val="00E704DE"/>
    <w:rsid w:val="00E704F7"/>
    <w:rsid w:val="00E70510"/>
    <w:rsid w:val="00E706B1"/>
    <w:rsid w:val="00E70B2A"/>
    <w:rsid w:val="00E71669"/>
    <w:rsid w:val="00E71970"/>
    <w:rsid w:val="00E7243C"/>
    <w:rsid w:val="00E72441"/>
    <w:rsid w:val="00E72B2B"/>
    <w:rsid w:val="00E732D4"/>
    <w:rsid w:val="00E735D6"/>
    <w:rsid w:val="00E73A63"/>
    <w:rsid w:val="00E73ACC"/>
    <w:rsid w:val="00E73D28"/>
    <w:rsid w:val="00E73EAE"/>
    <w:rsid w:val="00E74C24"/>
    <w:rsid w:val="00E74D35"/>
    <w:rsid w:val="00E751D6"/>
    <w:rsid w:val="00E75208"/>
    <w:rsid w:val="00E75272"/>
    <w:rsid w:val="00E75549"/>
    <w:rsid w:val="00E758CA"/>
    <w:rsid w:val="00E7593E"/>
    <w:rsid w:val="00E759B2"/>
    <w:rsid w:val="00E75A57"/>
    <w:rsid w:val="00E75F60"/>
    <w:rsid w:val="00E7637A"/>
    <w:rsid w:val="00E76539"/>
    <w:rsid w:val="00E767EA"/>
    <w:rsid w:val="00E76B2A"/>
    <w:rsid w:val="00E76B4C"/>
    <w:rsid w:val="00E76E48"/>
    <w:rsid w:val="00E779F3"/>
    <w:rsid w:val="00E80382"/>
    <w:rsid w:val="00E80659"/>
    <w:rsid w:val="00E80901"/>
    <w:rsid w:val="00E8090A"/>
    <w:rsid w:val="00E80B87"/>
    <w:rsid w:val="00E80D3B"/>
    <w:rsid w:val="00E80F0C"/>
    <w:rsid w:val="00E8120D"/>
    <w:rsid w:val="00E814DA"/>
    <w:rsid w:val="00E819EE"/>
    <w:rsid w:val="00E81CAB"/>
    <w:rsid w:val="00E81D4E"/>
    <w:rsid w:val="00E81E50"/>
    <w:rsid w:val="00E81E79"/>
    <w:rsid w:val="00E81E90"/>
    <w:rsid w:val="00E823BF"/>
    <w:rsid w:val="00E823D8"/>
    <w:rsid w:val="00E82802"/>
    <w:rsid w:val="00E82837"/>
    <w:rsid w:val="00E82879"/>
    <w:rsid w:val="00E82B61"/>
    <w:rsid w:val="00E83017"/>
    <w:rsid w:val="00E830F0"/>
    <w:rsid w:val="00E83203"/>
    <w:rsid w:val="00E83406"/>
    <w:rsid w:val="00E83429"/>
    <w:rsid w:val="00E834C1"/>
    <w:rsid w:val="00E83795"/>
    <w:rsid w:val="00E837E0"/>
    <w:rsid w:val="00E83A18"/>
    <w:rsid w:val="00E840AD"/>
    <w:rsid w:val="00E840ED"/>
    <w:rsid w:val="00E84123"/>
    <w:rsid w:val="00E845CC"/>
    <w:rsid w:val="00E84705"/>
    <w:rsid w:val="00E84B47"/>
    <w:rsid w:val="00E851A2"/>
    <w:rsid w:val="00E8543C"/>
    <w:rsid w:val="00E8552A"/>
    <w:rsid w:val="00E85789"/>
    <w:rsid w:val="00E85B39"/>
    <w:rsid w:val="00E8608B"/>
    <w:rsid w:val="00E86306"/>
    <w:rsid w:val="00E86A57"/>
    <w:rsid w:val="00E86A64"/>
    <w:rsid w:val="00E8786F"/>
    <w:rsid w:val="00E90179"/>
    <w:rsid w:val="00E90481"/>
    <w:rsid w:val="00E904EE"/>
    <w:rsid w:val="00E905B0"/>
    <w:rsid w:val="00E90657"/>
    <w:rsid w:val="00E90C2B"/>
    <w:rsid w:val="00E917BC"/>
    <w:rsid w:val="00E91F40"/>
    <w:rsid w:val="00E91FD5"/>
    <w:rsid w:val="00E9207E"/>
    <w:rsid w:val="00E921B3"/>
    <w:rsid w:val="00E92575"/>
    <w:rsid w:val="00E9276C"/>
    <w:rsid w:val="00E928E6"/>
    <w:rsid w:val="00E92A33"/>
    <w:rsid w:val="00E92ACC"/>
    <w:rsid w:val="00E92C71"/>
    <w:rsid w:val="00E92F78"/>
    <w:rsid w:val="00E9303C"/>
    <w:rsid w:val="00E93401"/>
    <w:rsid w:val="00E9344B"/>
    <w:rsid w:val="00E93640"/>
    <w:rsid w:val="00E93A1B"/>
    <w:rsid w:val="00E93AE7"/>
    <w:rsid w:val="00E93C8B"/>
    <w:rsid w:val="00E93CB5"/>
    <w:rsid w:val="00E93CF4"/>
    <w:rsid w:val="00E93DF0"/>
    <w:rsid w:val="00E93ECA"/>
    <w:rsid w:val="00E942D2"/>
    <w:rsid w:val="00E9483F"/>
    <w:rsid w:val="00E9487C"/>
    <w:rsid w:val="00E949E2"/>
    <w:rsid w:val="00E94CB2"/>
    <w:rsid w:val="00E95308"/>
    <w:rsid w:val="00E9530F"/>
    <w:rsid w:val="00E95315"/>
    <w:rsid w:val="00E9550A"/>
    <w:rsid w:val="00E95703"/>
    <w:rsid w:val="00E9619A"/>
    <w:rsid w:val="00E962E4"/>
    <w:rsid w:val="00E964C9"/>
    <w:rsid w:val="00E96578"/>
    <w:rsid w:val="00E96653"/>
    <w:rsid w:val="00E9668B"/>
    <w:rsid w:val="00E96FE5"/>
    <w:rsid w:val="00E97476"/>
    <w:rsid w:val="00E97593"/>
    <w:rsid w:val="00E978ED"/>
    <w:rsid w:val="00E97A8D"/>
    <w:rsid w:val="00E97AAA"/>
    <w:rsid w:val="00E97E24"/>
    <w:rsid w:val="00E97EB7"/>
    <w:rsid w:val="00EA0058"/>
    <w:rsid w:val="00EA0409"/>
    <w:rsid w:val="00EA05A9"/>
    <w:rsid w:val="00EA09A1"/>
    <w:rsid w:val="00EA0F65"/>
    <w:rsid w:val="00EA1008"/>
    <w:rsid w:val="00EA1138"/>
    <w:rsid w:val="00EA19C3"/>
    <w:rsid w:val="00EA2034"/>
    <w:rsid w:val="00EA2118"/>
    <w:rsid w:val="00EA2B9B"/>
    <w:rsid w:val="00EA31B8"/>
    <w:rsid w:val="00EA3322"/>
    <w:rsid w:val="00EA35E8"/>
    <w:rsid w:val="00EA37DA"/>
    <w:rsid w:val="00EA3ADB"/>
    <w:rsid w:val="00EA3EA4"/>
    <w:rsid w:val="00EA4A2D"/>
    <w:rsid w:val="00EA4A9A"/>
    <w:rsid w:val="00EA4B1E"/>
    <w:rsid w:val="00EA4F9E"/>
    <w:rsid w:val="00EA4FC7"/>
    <w:rsid w:val="00EA503A"/>
    <w:rsid w:val="00EA5670"/>
    <w:rsid w:val="00EA5713"/>
    <w:rsid w:val="00EA5870"/>
    <w:rsid w:val="00EA590D"/>
    <w:rsid w:val="00EA59D0"/>
    <w:rsid w:val="00EA5E4D"/>
    <w:rsid w:val="00EA5E8E"/>
    <w:rsid w:val="00EA5EB6"/>
    <w:rsid w:val="00EA6306"/>
    <w:rsid w:val="00EA641B"/>
    <w:rsid w:val="00EA644D"/>
    <w:rsid w:val="00EA6950"/>
    <w:rsid w:val="00EA6AC2"/>
    <w:rsid w:val="00EA6BEF"/>
    <w:rsid w:val="00EA6D52"/>
    <w:rsid w:val="00EA7407"/>
    <w:rsid w:val="00EA7626"/>
    <w:rsid w:val="00EA7CCF"/>
    <w:rsid w:val="00EB0114"/>
    <w:rsid w:val="00EB02D9"/>
    <w:rsid w:val="00EB056E"/>
    <w:rsid w:val="00EB08A6"/>
    <w:rsid w:val="00EB091F"/>
    <w:rsid w:val="00EB09E3"/>
    <w:rsid w:val="00EB0B92"/>
    <w:rsid w:val="00EB12F7"/>
    <w:rsid w:val="00EB1774"/>
    <w:rsid w:val="00EB181C"/>
    <w:rsid w:val="00EB1836"/>
    <w:rsid w:val="00EB1BD9"/>
    <w:rsid w:val="00EB23E4"/>
    <w:rsid w:val="00EB26BD"/>
    <w:rsid w:val="00EB27AA"/>
    <w:rsid w:val="00EB2815"/>
    <w:rsid w:val="00EB29E7"/>
    <w:rsid w:val="00EB2A43"/>
    <w:rsid w:val="00EB2A69"/>
    <w:rsid w:val="00EB2B15"/>
    <w:rsid w:val="00EB2F1C"/>
    <w:rsid w:val="00EB3D13"/>
    <w:rsid w:val="00EB3D6F"/>
    <w:rsid w:val="00EB3DAA"/>
    <w:rsid w:val="00EB40EC"/>
    <w:rsid w:val="00EB4780"/>
    <w:rsid w:val="00EB4F8D"/>
    <w:rsid w:val="00EB5186"/>
    <w:rsid w:val="00EB5195"/>
    <w:rsid w:val="00EB5393"/>
    <w:rsid w:val="00EB53F5"/>
    <w:rsid w:val="00EB5873"/>
    <w:rsid w:val="00EB5F5C"/>
    <w:rsid w:val="00EB5F6A"/>
    <w:rsid w:val="00EB5F78"/>
    <w:rsid w:val="00EB6770"/>
    <w:rsid w:val="00EB68DE"/>
    <w:rsid w:val="00EB6B53"/>
    <w:rsid w:val="00EB6CA5"/>
    <w:rsid w:val="00EB6F99"/>
    <w:rsid w:val="00EB71D2"/>
    <w:rsid w:val="00EB72D8"/>
    <w:rsid w:val="00EB7308"/>
    <w:rsid w:val="00EB73D1"/>
    <w:rsid w:val="00EB77FE"/>
    <w:rsid w:val="00EB7F02"/>
    <w:rsid w:val="00EC000F"/>
    <w:rsid w:val="00EC0189"/>
    <w:rsid w:val="00EC04FD"/>
    <w:rsid w:val="00EC062D"/>
    <w:rsid w:val="00EC07DB"/>
    <w:rsid w:val="00EC0AE7"/>
    <w:rsid w:val="00EC0BE0"/>
    <w:rsid w:val="00EC0F97"/>
    <w:rsid w:val="00EC16C0"/>
    <w:rsid w:val="00EC17AA"/>
    <w:rsid w:val="00EC19B9"/>
    <w:rsid w:val="00EC1B11"/>
    <w:rsid w:val="00EC1B75"/>
    <w:rsid w:val="00EC1DBA"/>
    <w:rsid w:val="00EC228A"/>
    <w:rsid w:val="00EC2673"/>
    <w:rsid w:val="00EC2712"/>
    <w:rsid w:val="00EC2FEF"/>
    <w:rsid w:val="00EC3107"/>
    <w:rsid w:val="00EC3552"/>
    <w:rsid w:val="00EC373C"/>
    <w:rsid w:val="00EC3C59"/>
    <w:rsid w:val="00EC3DBE"/>
    <w:rsid w:val="00EC3E62"/>
    <w:rsid w:val="00EC3F96"/>
    <w:rsid w:val="00EC401D"/>
    <w:rsid w:val="00EC419D"/>
    <w:rsid w:val="00EC43DF"/>
    <w:rsid w:val="00EC4492"/>
    <w:rsid w:val="00EC48FA"/>
    <w:rsid w:val="00EC4C18"/>
    <w:rsid w:val="00EC4E44"/>
    <w:rsid w:val="00EC5535"/>
    <w:rsid w:val="00EC5C73"/>
    <w:rsid w:val="00EC5F25"/>
    <w:rsid w:val="00EC6210"/>
    <w:rsid w:val="00EC6CD9"/>
    <w:rsid w:val="00EC6CF7"/>
    <w:rsid w:val="00EC6E6A"/>
    <w:rsid w:val="00EC6ECF"/>
    <w:rsid w:val="00EC6EE5"/>
    <w:rsid w:val="00EC6FE5"/>
    <w:rsid w:val="00EC70FF"/>
    <w:rsid w:val="00EC72C6"/>
    <w:rsid w:val="00EC73C9"/>
    <w:rsid w:val="00EC75C9"/>
    <w:rsid w:val="00ED0469"/>
    <w:rsid w:val="00ED0B26"/>
    <w:rsid w:val="00ED0B35"/>
    <w:rsid w:val="00ED0EDD"/>
    <w:rsid w:val="00ED1242"/>
    <w:rsid w:val="00ED15B6"/>
    <w:rsid w:val="00ED1641"/>
    <w:rsid w:val="00ED1B13"/>
    <w:rsid w:val="00ED1F43"/>
    <w:rsid w:val="00ED219D"/>
    <w:rsid w:val="00ED23DC"/>
    <w:rsid w:val="00ED245F"/>
    <w:rsid w:val="00ED2477"/>
    <w:rsid w:val="00ED2510"/>
    <w:rsid w:val="00ED316F"/>
    <w:rsid w:val="00ED31C4"/>
    <w:rsid w:val="00ED3722"/>
    <w:rsid w:val="00ED3A83"/>
    <w:rsid w:val="00ED3BB6"/>
    <w:rsid w:val="00ED3D90"/>
    <w:rsid w:val="00ED418C"/>
    <w:rsid w:val="00ED4288"/>
    <w:rsid w:val="00ED4AAC"/>
    <w:rsid w:val="00ED524D"/>
    <w:rsid w:val="00ED5556"/>
    <w:rsid w:val="00ED56C4"/>
    <w:rsid w:val="00ED57E2"/>
    <w:rsid w:val="00ED5802"/>
    <w:rsid w:val="00ED5CDC"/>
    <w:rsid w:val="00ED5DD4"/>
    <w:rsid w:val="00ED61A6"/>
    <w:rsid w:val="00ED6710"/>
    <w:rsid w:val="00ED6ACE"/>
    <w:rsid w:val="00ED6D27"/>
    <w:rsid w:val="00ED6D42"/>
    <w:rsid w:val="00ED6D4A"/>
    <w:rsid w:val="00ED6E70"/>
    <w:rsid w:val="00ED74AE"/>
    <w:rsid w:val="00ED763D"/>
    <w:rsid w:val="00ED7743"/>
    <w:rsid w:val="00ED7CDF"/>
    <w:rsid w:val="00EE0337"/>
    <w:rsid w:val="00EE08B1"/>
    <w:rsid w:val="00EE0ACC"/>
    <w:rsid w:val="00EE0D1B"/>
    <w:rsid w:val="00EE0DF8"/>
    <w:rsid w:val="00EE1118"/>
    <w:rsid w:val="00EE1AA8"/>
    <w:rsid w:val="00EE1B8E"/>
    <w:rsid w:val="00EE2029"/>
    <w:rsid w:val="00EE20A1"/>
    <w:rsid w:val="00EE28EC"/>
    <w:rsid w:val="00EE2F39"/>
    <w:rsid w:val="00EE2FE9"/>
    <w:rsid w:val="00EE3084"/>
    <w:rsid w:val="00EE371E"/>
    <w:rsid w:val="00EE375F"/>
    <w:rsid w:val="00EE3A5A"/>
    <w:rsid w:val="00EE3A73"/>
    <w:rsid w:val="00EE3CDE"/>
    <w:rsid w:val="00EE3F52"/>
    <w:rsid w:val="00EE40EE"/>
    <w:rsid w:val="00EE4732"/>
    <w:rsid w:val="00EE4854"/>
    <w:rsid w:val="00EE4C94"/>
    <w:rsid w:val="00EE4EAC"/>
    <w:rsid w:val="00EE511B"/>
    <w:rsid w:val="00EE57D2"/>
    <w:rsid w:val="00EE5BFE"/>
    <w:rsid w:val="00EE5D9F"/>
    <w:rsid w:val="00EE60DC"/>
    <w:rsid w:val="00EE63CA"/>
    <w:rsid w:val="00EE6656"/>
    <w:rsid w:val="00EE6725"/>
    <w:rsid w:val="00EE6791"/>
    <w:rsid w:val="00EE67F6"/>
    <w:rsid w:val="00EE6A0D"/>
    <w:rsid w:val="00EE6E67"/>
    <w:rsid w:val="00EE7206"/>
    <w:rsid w:val="00EE7AE6"/>
    <w:rsid w:val="00EE7C6B"/>
    <w:rsid w:val="00EF007D"/>
    <w:rsid w:val="00EF06D1"/>
    <w:rsid w:val="00EF082D"/>
    <w:rsid w:val="00EF0B98"/>
    <w:rsid w:val="00EF0F25"/>
    <w:rsid w:val="00EF1532"/>
    <w:rsid w:val="00EF19E5"/>
    <w:rsid w:val="00EF1B98"/>
    <w:rsid w:val="00EF1BDB"/>
    <w:rsid w:val="00EF1D3A"/>
    <w:rsid w:val="00EF21E9"/>
    <w:rsid w:val="00EF22E2"/>
    <w:rsid w:val="00EF2712"/>
    <w:rsid w:val="00EF29C2"/>
    <w:rsid w:val="00EF2CC3"/>
    <w:rsid w:val="00EF2D4E"/>
    <w:rsid w:val="00EF2F1A"/>
    <w:rsid w:val="00EF2F75"/>
    <w:rsid w:val="00EF31C6"/>
    <w:rsid w:val="00EF34E5"/>
    <w:rsid w:val="00EF371B"/>
    <w:rsid w:val="00EF3AD4"/>
    <w:rsid w:val="00EF4489"/>
    <w:rsid w:val="00EF4A96"/>
    <w:rsid w:val="00EF4D3F"/>
    <w:rsid w:val="00EF4D4D"/>
    <w:rsid w:val="00EF4E5C"/>
    <w:rsid w:val="00EF5412"/>
    <w:rsid w:val="00EF55C6"/>
    <w:rsid w:val="00EF56E8"/>
    <w:rsid w:val="00EF5D2C"/>
    <w:rsid w:val="00EF607E"/>
    <w:rsid w:val="00EF6229"/>
    <w:rsid w:val="00EF630F"/>
    <w:rsid w:val="00EF63D2"/>
    <w:rsid w:val="00EF6683"/>
    <w:rsid w:val="00EF674F"/>
    <w:rsid w:val="00EF68D2"/>
    <w:rsid w:val="00EF69D1"/>
    <w:rsid w:val="00EF6FA5"/>
    <w:rsid w:val="00EF72E1"/>
    <w:rsid w:val="00EF7617"/>
    <w:rsid w:val="00EF78B5"/>
    <w:rsid w:val="00EF7AA5"/>
    <w:rsid w:val="00EF7C98"/>
    <w:rsid w:val="00F006C6"/>
    <w:rsid w:val="00F00AC0"/>
    <w:rsid w:val="00F00E63"/>
    <w:rsid w:val="00F00F13"/>
    <w:rsid w:val="00F01448"/>
    <w:rsid w:val="00F01C15"/>
    <w:rsid w:val="00F02496"/>
    <w:rsid w:val="00F0255F"/>
    <w:rsid w:val="00F02703"/>
    <w:rsid w:val="00F02A3D"/>
    <w:rsid w:val="00F02AA4"/>
    <w:rsid w:val="00F02C79"/>
    <w:rsid w:val="00F0333B"/>
    <w:rsid w:val="00F03DB4"/>
    <w:rsid w:val="00F048E2"/>
    <w:rsid w:val="00F05AAB"/>
    <w:rsid w:val="00F05CC6"/>
    <w:rsid w:val="00F05D13"/>
    <w:rsid w:val="00F05EFA"/>
    <w:rsid w:val="00F06282"/>
    <w:rsid w:val="00F064E2"/>
    <w:rsid w:val="00F06554"/>
    <w:rsid w:val="00F067EC"/>
    <w:rsid w:val="00F069EF"/>
    <w:rsid w:val="00F078F9"/>
    <w:rsid w:val="00F07C71"/>
    <w:rsid w:val="00F07EE8"/>
    <w:rsid w:val="00F101F5"/>
    <w:rsid w:val="00F10639"/>
    <w:rsid w:val="00F108EB"/>
    <w:rsid w:val="00F108ED"/>
    <w:rsid w:val="00F10F73"/>
    <w:rsid w:val="00F112E9"/>
    <w:rsid w:val="00F1147F"/>
    <w:rsid w:val="00F11CCB"/>
    <w:rsid w:val="00F11E4A"/>
    <w:rsid w:val="00F11FA1"/>
    <w:rsid w:val="00F1225D"/>
    <w:rsid w:val="00F127ED"/>
    <w:rsid w:val="00F12D65"/>
    <w:rsid w:val="00F13231"/>
    <w:rsid w:val="00F139F1"/>
    <w:rsid w:val="00F13C93"/>
    <w:rsid w:val="00F13D1A"/>
    <w:rsid w:val="00F13DAC"/>
    <w:rsid w:val="00F13EB5"/>
    <w:rsid w:val="00F1441E"/>
    <w:rsid w:val="00F1492F"/>
    <w:rsid w:val="00F14CAD"/>
    <w:rsid w:val="00F14CD5"/>
    <w:rsid w:val="00F14F2A"/>
    <w:rsid w:val="00F14FDB"/>
    <w:rsid w:val="00F152C8"/>
    <w:rsid w:val="00F15757"/>
    <w:rsid w:val="00F15928"/>
    <w:rsid w:val="00F15993"/>
    <w:rsid w:val="00F15CC3"/>
    <w:rsid w:val="00F15F10"/>
    <w:rsid w:val="00F15F27"/>
    <w:rsid w:val="00F16095"/>
    <w:rsid w:val="00F1626E"/>
    <w:rsid w:val="00F164BA"/>
    <w:rsid w:val="00F17051"/>
    <w:rsid w:val="00F172F5"/>
    <w:rsid w:val="00F1750E"/>
    <w:rsid w:val="00F17878"/>
    <w:rsid w:val="00F17A98"/>
    <w:rsid w:val="00F17AB6"/>
    <w:rsid w:val="00F17C4A"/>
    <w:rsid w:val="00F17CD6"/>
    <w:rsid w:val="00F17D83"/>
    <w:rsid w:val="00F17E8C"/>
    <w:rsid w:val="00F201D9"/>
    <w:rsid w:val="00F2021F"/>
    <w:rsid w:val="00F205BB"/>
    <w:rsid w:val="00F20674"/>
    <w:rsid w:val="00F20A8C"/>
    <w:rsid w:val="00F20AA2"/>
    <w:rsid w:val="00F20B2C"/>
    <w:rsid w:val="00F20D62"/>
    <w:rsid w:val="00F20DF3"/>
    <w:rsid w:val="00F2112A"/>
    <w:rsid w:val="00F2157C"/>
    <w:rsid w:val="00F2188C"/>
    <w:rsid w:val="00F21C38"/>
    <w:rsid w:val="00F21E2B"/>
    <w:rsid w:val="00F21F55"/>
    <w:rsid w:val="00F21F5F"/>
    <w:rsid w:val="00F220DA"/>
    <w:rsid w:val="00F224A8"/>
    <w:rsid w:val="00F22895"/>
    <w:rsid w:val="00F2340A"/>
    <w:rsid w:val="00F235A6"/>
    <w:rsid w:val="00F2395B"/>
    <w:rsid w:val="00F240E1"/>
    <w:rsid w:val="00F2437F"/>
    <w:rsid w:val="00F243C7"/>
    <w:rsid w:val="00F2444A"/>
    <w:rsid w:val="00F249E2"/>
    <w:rsid w:val="00F24A7E"/>
    <w:rsid w:val="00F24E15"/>
    <w:rsid w:val="00F24E69"/>
    <w:rsid w:val="00F24FE0"/>
    <w:rsid w:val="00F25007"/>
    <w:rsid w:val="00F25CDA"/>
    <w:rsid w:val="00F25D79"/>
    <w:rsid w:val="00F25FEF"/>
    <w:rsid w:val="00F260B9"/>
    <w:rsid w:val="00F26408"/>
    <w:rsid w:val="00F26576"/>
    <w:rsid w:val="00F265DE"/>
    <w:rsid w:val="00F268E3"/>
    <w:rsid w:val="00F26940"/>
    <w:rsid w:val="00F26D7F"/>
    <w:rsid w:val="00F27010"/>
    <w:rsid w:val="00F2710F"/>
    <w:rsid w:val="00F2717B"/>
    <w:rsid w:val="00F272AE"/>
    <w:rsid w:val="00F276C3"/>
    <w:rsid w:val="00F27851"/>
    <w:rsid w:val="00F27905"/>
    <w:rsid w:val="00F27AD9"/>
    <w:rsid w:val="00F27C02"/>
    <w:rsid w:val="00F27D78"/>
    <w:rsid w:val="00F27E2C"/>
    <w:rsid w:val="00F30066"/>
    <w:rsid w:val="00F303D4"/>
    <w:rsid w:val="00F3054F"/>
    <w:rsid w:val="00F3072E"/>
    <w:rsid w:val="00F30D6A"/>
    <w:rsid w:val="00F30F4B"/>
    <w:rsid w:val="00F31646"/>
    <w:rsid w:val="00F31A32"/>
    <w:rsid w:val="00F31AFA"/>
    <w:rsid w:val="00F31F2F"/>
    <w:rsid w:val="00F32143"/>
    <w:rsid w:val="00F325C7"/>
    <w:rsid w:val="00F32CD7"/>
    <w:rsid w:val="00F3310E"/>
    <w:rsid w:val="00F33249"/>
    <w:rsid w:val="00F332C0"/>
    <w:rsid w:val="00F333BF"/>
    <w:rsid w:val="00F33447"/>
    <w:rsid w:val="00F3370D"/>
    <w:rsid w:val="00F33770"/>
    <w:rsid w:val="00F33E4A"/>
    <w:rsid w:val="00F342D1"/>
    <w:rsid w:val="00F34556"/>
    <w:rsid w:val="00F3485B"/>
    <w:rsid w:val="00F34C3A"/>
    <w:rsid w:val="00F351EE"/>
    <w:rsid w:val="00F3520A"/>
    <w:rsid w:val="00F3521F"/>
    <w:rsid w:val="00F354AD"/>
    <w:rsid w:val="00F35A7D"/>
    <w:rsid w:val="00F35D31"/>
    <w:rsid w:val="00F36399"/>
    <w:rsid w:val="00F366E3"/>
    <w:rsid w:val="00F36C57"/>
    <w:rsid w:val="00F36DDE"/>
    <w:rsid w:val="00F36F91"/>
    <w:rsid w:val="00F372DD"/>
    <w:rsid w:val="00F3738A"/>
    <w:rsid w:val="00F3758D"/>
    <w:rsid w:val="00F376C9"/>
    <w:rsid w:val="00F40366"/>
    <w:rsid w:val="00F405DB"/>
    <w:rsid w:val="00F4069B"/>
    <w:rsid w:val="00F40ADC"/>
    <w:rsid w:val="00F40D06"/>
    <w:rsid w:val="00F4112C"/>
    <w:rsid w:val="00F41550"/>
    <w:rsid w:val="00F41897"/>
    <w:rsid w:val="00F41A64"/>
    <w:rsid w:val="00F41D44"/>
    <w:rsid w:val="00F420F3"/>
    <w:rsid w:val="00F423D4"/>
    <w:rsid w:val="00F426CF"/>
    <w:rsid w:val="00F42A6E"/>
    <w:rsid w:val="00F42B3F"/>
    <w:rsid w:val="00F42DB2"/>
    <w:rsid w:val="00F431A9"/>
    <w:rsid w:val="00F4343D"/>
    <w:rsid w:val="00F4362C"/>
    <w:rsid w:val="00F43A3C"/>
    <w:rsid w:val="00F43C6E"/>
    <w:rsid w:val="00F44021"/>
    <w:rsid w:val="00F442FB"/>
    <w:rsid w:val="00F44731"/>
    <w:rsid w:val="00F449D6"/>
    <w:rsid w:val="00F44A89"/>
    <w:rsid w:val="00F44DC6"/>
    <w:rsid w:val="00F44E14"/>
    <w:rsid w:val="00F45321"/>
    <w:rsid w:val="00F455E5"/>
    <w:rsid w:val="00F45797"/>
    <w:rsid w:val="00F458C4"/>
    <w:rsid w:val="00F45911"/>
    <w:rsid w:val="00F45AB9"/>
    <w:rsid w:val="00F45AF8"/>
    <w:rsid w:val="00F45B02"/>
    <w:rsid w:val="00F45EFF"/>
    <w:rsid w:val="00F45F17"/>
    <w:rsid w:val="00F463B8"/>
    <w:rsid w:val="00F464F2"/>
    <w:rsid w:val="00F467A4"/>
    <w:rsid w:val="00F46ABC"/>
    <w:rsid w:val="00F46F7B"/>
    <w:rsid w:val="00F47441"/>
    <w:rsid w:val="00F47498"/>
    <w:rsid w:val="00F475E6"/>
    <w:rsid w:val="00F4783A"/>
    <w:rsid w:val="00F47DBE"/>
    <w:rsid w:val="00F47F91"/>
    <w:rsid w:val="00F47FB3"/>
    <w:rsid w:val="00F503F9"/>
    <w:rsid w:val="00F50699"/>
    <w:rsid w:val="00F50808"/>
    <w:rsid w:val="00F5089C"/>
    <w:rsid w:val="00F50A70"/>
    <w:rsid w:val="00F50D45"/>
    <w:rsid w:val="00F51015"/>
    <w:rsid w:val="00F51097"/>
    <w:rsid w:val="00F512B7"/>
    <w:rsid w:val="00F51445"/>
    <w:rsid w:val="00F5174C"/>
    <w:rsid w:val="00F517DD"/>
    <w:rsid w:val="00F51B38"/>
    <w:rsid w:val="00F51F15"/>
    <w:rsid w:val="00F52022"/>
    <w:rsid w:val="00F5267D"/>
    <w:rsid w:val="00F52A09"/>
    <w:rsid w:val="00F52DDD"/>
    <w:rsid w:val="00F52EAB"/>
    <w:rsid w:val="00F52F06"/>
    <w:rsid w:val="00F5346D"/>
    <w:rsid w:val="00F5354E"/>
    <w:rsid w:val="00F53A17"/>
    <w:rsid w:val="00F53E2D"/>
    <w:rsid w:val="00F54252"/>
    <w:rsid w:val="00F5426D"/>
    <w:rsid w:val="00F54B2D"/>
    <w:rsid w:val="00F5520F"/>
    <w:rsid w:val="00F55626"/>
    <w:rsid w:val="00F55C8A"/>
    <w:rsid w:val="00F55F04"/>
    <w:rsid w:val="00F55F7E"/>
    <w:rsid w:val="00F560E7"/>
    <w:rsid w:val="00F56558"/>
    <w:rsid w:val="00F56788"/>
    <w:rsid w:val="00F56B22"/>
    <w:rsid w:val="00F56BDB"/>
    <w:rsid w:val="00F56C7A"/>
    <w:rsid w:val="00F56CEF"/>
    <w:rsid w:val="00F56DE7"/>
    <w:rsid w:val="00F56DF7"/>
    <w:rsid w:val="00F56F5D"/>
    <w:rsid w:val="00F5729E"/>
    <w:rsid w:val="00F5792B"/>
    <w:rsid w:val="00F57C79"/>
    <w:rsid w:val="00F6003A"/>
    <w:rsid w:val="00F60224"/>
    <w:rsid w:val="00F60FE2"/>
    <w:rsid w:val="00F612F8"/>
    <w:rsid w:val="00F61341"/>
    <w:rsid w:val="00F61FC2"/>
    <w:rsid w:val="00F62236"/>
    <w:rsid w:val="00F625D9"/>
    <w:rsid w:val="00F626C5"/>
    <w:rsid w:val="00F626FC"/>
    <w:rsid w:val="00F627C3"/>
    <w:rsid w:val="00F62929"/>
    <w:rsid w:val="00F629B7"/>
    <w:rsid w:val="00F62E8B"/>
    <w:rsid w:val="00F630BC"/>
    <w:rsid w:val="00F630DC"/>
    <w:rsid w:val="00F63209"/>
    <w:rsid w:val="00F633BB"/>
    <w:rsid w:val="00F637BB"/>
    <w:rsid w:val="00F63A5D"/>
    <w:rsid w:val="00F63D4E"/>
    <w:rsid w:val="00F640A9"/>
    <w:rsid w:val="00F64540"/>
    <w:rsid w:val="00F64AAD"/>
    <w:rsid w:val="00F65156"/>
    <w:rsid w:val="00F6567C"/>
    <w:rsid w:val="00F659F5"/>
    <w:rsid w:val="00F65EE8"/>
    <w:rsid w:val="00F65FC5"/>
    <w:rsid w:val="00F663C4"/>
    <w:rsid w:val="00F66766"/>
    <w:rsid w:val="00F66BD4"/>
    <w:rsid w:val="00F66D90"/>
    <w:rsid w:val="00F67165"/>
    <w:rsid w:val="00F671F4"/>
    <w:rsid w:val="00F67C44"/>
    <w:rsid w:val="00F67D8B"/>
    <w:rsid w:val="00F70990"/>
    <w:rsid w:val="00F70CB4"/>
    <w:rsid w:val="00F715F1"/>
    <w:rsid w:val="00F71764"/>
    <w:rsid w:val="00F7176F"/>
    <w:rsid w:val="00F718AE"/>
    <w:rsid w:val="00F71B4A"/>
    <w:rsid w:val="00F71BEF"/>
    <w:rsid w:val="00F723AD"/>
    <w:rsid w:val="00F72526"/>
    <w:rsid w:val="00F725F7"/>
    <w:rsid w:val="00F727DA"/>
    <w:rsid w:val="00F72999"/>
    <w:rsid w:val="00F72A16"/>
    <w:rsid w:val="00F72A70"/>
    <w:rsid w:val="00F72B7D"/>
    <w:rsid w:val="00F72CD1"/>
    <w:rsid w:val="00F73441"/>
    <w:rsid w:val="00F734FC"/>
    <w:rsid w:val="00F73761"/>
    <w:rsid w:val="00F73EAA"/>
    <w:rsid w:val="00F74315"/>
    <w:rsid w:val="00F7443D"/>
    <w:rsid w:val="00F74BDF"/>
    <w:rsid w:val="00F74F04"/>
    <w:rsid w:val="00F74F72"/>
    <w:rsid w:val="00F752A5"/>
    <w:rsid w:val="00F753B0"/>
    <w:rsid w:val="00F755EA"/>
    <w:rsid w:val="00F7563A"/>
    <w:rsid w:val="00F75649"/>
    <w:rsid w:val="00F757A2"/>
    <w:rsid w:val="00F759A4"/>
    <w:rsid w:val="00F75A90"/>
    <w:rsid w:val="00F75D8D"/>
    <w:rsid w:val="00F75E28"/>
    <w:rsid w:val="00F75E3C"/>
    <w:rsid w:val="00F7617A"/>
    <w:rsid w:val="00F76935"/>
    <w:rsid w:val="00F76AC2"/>
    <w:rsid w:val="00F76D77"/>
    <w:rsid w:val="00F771BE"/>
    <w:rsid w:val="00F77733"/>
    <w:rsid w:val="00F77F4D"/>
    <w:rsid w:val="00F77FC9"/>
    <w:rsid w:val="00F80395"/>
    <w:rsid w:val="00F803CD"/>
    <w:rsid w:val="00F80539"/>
    <w:rsid w:val="00F8097F"/>
    <w:rsid w:val="00F80D47"/>
    <w:rsid w:val="00F80DBD"/>
    <w:rsid w:val="00F813B0"/>
    <w:rsid w:val="00F81E67"/>
    <w:rsid w:val="00F81FA6"/>
    <w:rsid w:val="00F81FAA"/>
    <w:rsid w:val="00F8214B"/>
    <w:rsid w:val="00F8227E"/>
    <w:rsid w:val="00F825A3"/>
    <w:rsid w:val="00F8271B"/>
    <w:rsid w:val="00F82919"/>
    <w:rsid w:val="00F82C48"/>
    <w:rsid w:val="00F83645"/>
    <w:rsid w:val="00F8364A"/>
    <w:rsid w:val="00F83708"/>
    <w:rsid w:val="00F839A3"/>
    <w:rsid w:val="00F83C2B"/>
    <w:rsid w:val="00F83F72"/>
    <w:rsid w:val="00F83F9F"/>
    <w:rsid w:val="00F8429D"/>
    <w:rsid w:val="00F846AD"/>
    <w:rsid w:val="00F8495B"/>
    <w:rsid w:val="00F84CD2"/>
    <w:rsid w:val="00F85272"/>
    <w:rsid w:val="00F85677"/>
    <w:rsid w:val="00F85907"/>
    <w:rsid w:val="00F85C03"/>
    <w:rsid w:val="00F85C95"/>
    <w:rsid w:val="00F85E61"/>
    <w:rsid w:val="00F85EFF"/>
    <w:rsid w:val="00F85F00"/>
    <w:rsid w:val="00F8644B"/>
    <w:rsid w:val="00F86532"/>
    <w:rsid w:val="00F865D9"/>
    <w:rsid w:val="00F86825"/>
    <w:rsid w:val="00F86858"/>
    <w:rsid w:val="00F86A55"/>
    <w:rsid w:val="00F875EC"/>
    <w:rsid w:val="00F876A8"/>
    <w:rsid w:val="00F876B5"/>
    <w:rsid w:val="00F87829"/>
    <w:rsid w:val="00F87DA4"/>
    <w:rsid w:val="00F909FF"/>
    <w:rsid w:val="00F90E70"/>
    <w:rsid w:val="00F913EC"/>
    <w:rsid w:val="00F91F01"/>
    <w:rsid w:val="00F91F86"/>
    <w:rsid w:val="00F922D5"/>
    <w:rsid w:val="00F923EB"/>
    <w:rsid w:val="00F923F2"/>
    <w:rsid w:val="00F92531"/>
    <w:rsid w:val="00F93162"/>
    <w:rsid w:val="00F93576"/>
    <w:rsid w:val="00F939B2"/>
    <w:rsid w:val="00F93C74"/>
    <w:rsid w:val="00F93CBB"/>
    <w:rsid w:val="00F93D67"/>
    <w:rsid w:val="00F93ED2"/>
    <w:rsid w:val="00F94066"/>
    <w:rsid w:val="00F940E3"/>
    <w:rsid w:val="00F9470F"/>
    <w:rsid w:val="00F94A1E"/>
    <w:rsid w:val="00F94B51"/>
    <w:rsid w:val="00F94CDC"/>
    <w:rsid w:val="00F95B26"/>
    <w:rsid w:val="00F95B5A"/>
    <w:rsid w:val="00F96269"/>
    <w:rsid w:val="00F965E2"/>
    <w:rsid w:val="00F9666D"/>
    <w:rsid w:val="00F968F4"/>
    <w:rsid w:val="00F96EA9"/>
    <w:rsid w:val="00F96FE9"/>
    <w:rsid w:val="00F973DF"/>
    <w:rsid w:val="00F973F9"/>
    <w:rsid w:val="00F9777F"/>
    <w:rsid w:val="00F97887"/>
    <w:rsid w:val="00F97AA1"/>
    <w:rsid w:val="00F97AA2"/>
    <w:rsid w:val="00FA0161"/>
    <w:rsid w:val="00FA0841"/>
    <w:rsid w:val="00FA0ABC"/>
    <w:rsid w:val="00FA0D33"/>
    <w:rsid w:val="00FA0F1A"/>
    <w:rsid w:val="00FA0F84"/>
    <w:rsid w:val="00FA115B"/>
    <w:rsid w:val="00FA124A"/>
    <w:rsid w:val="00FA12CE"/>
    <w:rsid w:val="00FA1598"/>
    <w:rsid w:val="00FA15D2"/>
    <w:rsid w:val="00FA1E3B"/>
    <w:rsid w:val="00FA1F52"/>
    <w:rsid w:val="00FA20D6"/>
    <w:rsid w:val="00FA20FC"/>
    <w:rsid w:val="00FA2B0A"/>
    <w:rsid w:val="00FA2F62"/>
    <w:rsid w:val="00FA3423"/>
    <w:rsid w:val="00FA3941"/>
    <w:rsid w:val="00FA3E6C"/>
    <w:rsid w:val="00FA3F69"/>
    <w:rsid w:val="00FA417C"/>
    <w:rsid w:val="00FA4378"/>
    <w:rsid w:val="00FA4694"/>
    <w:rsid w:val="00FA47E2"/>
    <w:rsid w:val="00FA480B"/>
    <w:rsid w:val="00FA4D60"/>
    <w:rsid w:val="00FA4EB9"/>
    <w:rsid w:val="00FA5435"/>
    <w:rsid w:val="00FA5705"/>
    <w:rsid w:val="00FA5771"/>
    <w:rsid w:val="00FA5D00"/>
    <w:rsid w:val="00FA62B1"/>
    <w:rsid w:val="00FA6336"/>
    <w:rsid w:val="00FA68C2"/>
    <w:rsid w:val="00FA742C"/>
    <w:rsid w:val="00FA75AD"/>
    <w:rsid w:val="00FA75C6"/>
    <w:rsid w:val="00FB02A1"/>
    <w:rsid w:val="00FB0880"/>
    <w:rsid w:val="00FB0D75"/>
    <w:rsid w:val="00FB0F6D"/>
    <w:rsid w:val="00FB1473"/>
    <w:rsid w:val="00FB1941"/>
    <w:rsid w:val="00FB1A75"/>
    <w:rsid w:val="00FB1AA5"/>
    <w:rsid w:val="00FB1B80"/>
    <w:rsid w:val="00FB1ED2"/>
    <w:rsid w:val="00FB1F9E"/>
    <w:rsid w:val="00FB2388"/>
    <w:rsid w:val="00FB2445"/>
    <w:rsid w:val="00FB2B2E"/>
    <w:rsid w:val="00FB2B5C"/>
    <w:rsid w:val="00FB2E2A"/>
    <w:rsid w:val="00FB2F79"/>
    <w:rsid w:val="00FB2FD3"/>
    <w:rsid w:val="00FB30DA"/>
    <w:rsid w:val="00FB31B4"/>
    <w:rsid w:val="00FB3273"/>
    <w:rsid w:val="00FB3BFA"/>
    <w:rsid w:val="00FB4630"/>
    <w:rsid w:val="00FB47DB"/>
    <w:rsid w:val="00FB4D24"/>
    <w:rsid w:val="00FB4D53"/>
    <w:rsid w:val="00FB503C"/>
    <w:rsid w:val="00FB534F"/>
    <w:rsid w:val="00FB5665"/>
    <w:rsid w:val="00FB576B"/>
    <w:rsid w:val="00FB5E09"/>
    <w:rsid w:val="00FB5E66"/>
    <w:rsid w:val="00FB5EFF"/>
    <w:rsid w:val="00FB62FF"/>
    <w:rsid w:val="00FB645B"/>
    <w:rsid w:val="00FB67DF"/>
    <w:rsid w:val="00FB682B"/>
    <w:rsid w:val="00FB6C00"/>
    <w:rsid w:val="00FB6FA5"/>
    <w:rsid w:val="00FB7036"/>
    <w:rsid w:val="00FB7221"/>
    <w:rsid w:val="00FB769A"/>
    <w:rsid w:val="00FB782A"/>
    <w:rsid w:val="00FB7C47"/>
    <w:rsid w:val="00FC04FC"/>
    <w:rsid w:val="00FC0668"/>
    <w:rsid w:val="00FC0C4F"/>
    <w:rsid w:val="00FC0E31"/>
    <w:rsid w:val="00FC150B"/>
    <w:rsid w:val="00FC17CA"/>
    <w:rsid w:val="00FC202A"/>
    <w:rsid w:val="00FC2107"/>
    <w:rsid w:val="00FC2144"/>
    <w:rsid w:val="00FC2410"/>
    <w:rsid w:val="00FC2551"/>
    <w:rsid w:val="00FC2868"/>
    <w:rsid w:val="00FC2A59"/>
    <w:rsid w:val="00FC2AB2"/>
    <w:rsid w:val="00FC2E3F"/>
    <w:rsid w:val="00FC2E77"/>
    <w:rsid w:val="00FC302A"/>
    <w:rsid w:val="00FC324D"/>
    <w:rsid w:val="00FC3412"/>
    <w:rsid w:val="00FC35F6"/>
    <w:rsid w:val="00FC3B78"/>
    <w:rsid w:val="00FC3D68"/>
    <w:rsid w:val="00FC3F44"/>
    <w:rsid w:val="00FC4350"/>
    <w:rsid w:val="00FC4652"/>
    <w:rsid w:val="00FC4AAF"/>
    <w:rsid w:val="00FC4C06"/>
    <w:rsid w:val="00FC4DDD"/>
    <w:rsid w:val="00FC4EA2"/>
    <w:rsid w:val="00FC4FCE"/>
    <w:rsid w:val="00FC503D"/>
    <w:rsid w:val="00FC51DC"/>
    <w:rsid w:val="00FC52CA"/>
    <w:rsid w:val="00FC5457"/>
    <w:rsid w:val="00FC595F"/>
    <w:rsid w:val="00FC5B19"/>
    <w:rsid w:val="00FC5CE4"/>
    <w:rsid w:val="00FC5D21"/>
    <w:rsid w:val="00FC6191"/>
    <w:rsid w:val="00FC6867"/>
    <w:rsid w:val="00FC6A34"/>
    <w:rsid w:val="00FC6B56"/>
    <w:rsid w:val="00FC6DDD"/>
    <w:rsid w:val="00FC6EA3"/>
    <w:rsid w:val="00FC6F08"/>
    <w:rsid w:val="00FC6F2C"/>
    <w:rsid w:val="00FC6F66"/>
    <w:rsid w:val="00FC748E"/>
    <w:rsid w:val="00FC7502"/>
    <w:rsid w:val="00FC779A"/>
    <w:rsid w:val="00FC7851"/>
    <w:rsid w:val="00FC7889"/>
    <w:rsid w:val="00FC7D26"/>
    <w:rsid w:val="00FC7F41"/>
    <w:rsid w:val="00FD0202"/>
    <w:rsid w:val="00FD11AA"/>
    <w:rsid w:val="00FD140E"/>
    <w:rsid w:val="00FD1674"/>
    <w:rsid w:val="00FD19C6"/>
    <w:rsid w:val="00FD1A19"/>
    <w:rsid w:val="00FD216B"/>
    <w:rsid w:val="00FD256A"/>
    <w:rsid w:val="00FD292D"/>
    <w:rsid w:val="00FD2B56"/>
    <w:rsid w:val="00FD2BD2"/>
    <w:rsid w:val="00FD2D77"/>
    <w:rsid w:val="00FD310F"/>
    <w:rsid w:val="00FD31C6"/>
    <w:rsid w:val="00FD31E7"/>
    <w:rsid w:val="00FD3613"/>
    <w:rsid w:val="00FD3731"/>
    <w:rsid w:val="00FD3806"/>
    <w:rsid w:val="00FD3862"/>
    <w:rsid w:val="00FD3958"/>
    <w:rsid w:val="00FD3D17"/>
    <w:rsid w:val="00FD41FE"/>
    <w:rsid w:val="00FD46F7"/>
    <w:rsid w:val="00FD47A8"/>
    <w:rsid w:val="00FD4B5E"/>
    <w:rsid w:val="00FD4CFA"/>
    <w:rsid w:val="00FD4D33"/>
    <w:rsid w:val="00FD5718"/>
    <w:rsid w:val="00FD5AF9"/>
    <w:rsid w:val="00FD5E41"/>
    <w:rsid w:val="00FD5F2C"/>
    <w:rsid w:val="00FD6433"/>
    <w:rsid w:val="00FD7235"/>
    <w:rsid w:val="00FD77BD"/>
    <w:rsid w:val="00FD7844"/>
    <w:rsid w:val="00FD78AC"/>
    <w:rsid w:val="00FD7C6E"/>
    <w:rsid w:val="00FE027A"/>
    <w:rsid w:val="00FE0749"/>
    <w:rsid w:val="00FE08E4"/>
    <w:rsid w:val="00FE09C6"/>
    <w:rsid w:val="00FE0BCB"/>
    <w:rsid w:val="00FE0FDF"/>
    <w:rsid w:val="00FE1309"/>
    <w:rsid w:val="00FE141C"/>
    <w:rsid w:val="00FE1482"/>
    <w:rsid w:val="00FE1733"/>
    <w:rsid w:val="00FE17EA"/>
    <w:rsid w:val="00FE1F14"/>
    <w:rsid w:val="00FE2863"/>
    <w:rsid w:val="00FE2A67"/>
    <w:rsid w:val="00FE2C27"/>
    <w:rsid w:val="00FE2C60"/>
    <w:rsid w:val="00FE2CBA"/>
    <w:rsid w:val="00FE2CC5"/>
    <w:rsid w:val="00FE2E37"/>
    <w:rsid w:val="00FE2FCC"/>
    <w:rsid w:val="00FE2FE7"/>
    <w:rsid w:val="00FE30D5"/>
    <w:rsid w:val="00FE3139"/>
    <w:rsid w:val="00FE3356"/>
    <w:rsid w:val="00FE35F0"/>
    <w:rsid w:val="00FE3994"/>
    <w:rsid w:val="00FE3A29"/>
    <w:rsid w:val="00FE3A9B"/>
    <w:rsid w:val="00FE40B3"/>
    <w:rsid w:val="00FE41BE"/>
    <w:rsid w:val="00FE44E3"/>
    <w:rsid w:val="00FE4759"/>
    <w:rsid w:val="00FE47B0"/>
    <w:rsid w:val="00FE47B6"/>
    <w:rsid w:val="00FE480E"/>
    <w:rsid w:val="00FE4A80"/>
    <w:rsid w:val="00FE4DEA"/>
    <w:rsid w:val="00FE50E2"/>
    <w:rsid w:val="00FE51FE"/>
    <w:rsid w:val="00FE5335"/>
    <w:rsid w:val="00FE53C3"/>
    <w:rsid w:val="00FE553F"/>
    <w:rsid w:val="00FE55B4"/>
    <w:rsid w:val="00FE55BC"/>
    <w:rsid w:val="00FE5A79"/>
    <w:rsid w:val="00FE5DCB"/>
    <w:rsid w:val="00FE5FEA"/>
    <w:rsid w:val="00FE6369"/>
    <w:rsid w:val="00FE64D9"/>
    <w:rsid w:val="00FE66F0"/>
    <w:rsid w:val="00FE69FA"/>
    <w:rsid w:val="00FE6A03"/>
    <w:rsid w:val="00FE6C62"/>
    <w:rsid w:val="00FE6DDC"/>
    <w:rsid w:val="00FE6FB5"/>
    <w:rsid w:val="00FE71D8"/>
    <w:rsid w:val="00FE7273"/>
    <w:rsid w:val="00FE7892"/>
    <w:rsid w:val="00FE7F68"/>
    <w:rsid w:val="00FF011B"/>
    <w:rsid w:val="00FF0525"/>
    <w:rsid w:val="00FF0677"/>
    <w:rsid w:val="00FF070F"/>
    <w:rsid w:val="00FF0BDF"/>
    <w:rsid w:val="00FF0EB7"/>
    <w:rsid w:val="00FF1251"/>
    <w:rsid w:val="00FF1684"/>
    <w:rsid w:val="00FF193C"/>
    <w:rsid w:val="00FF1AAA"/>
    <w:rsid w:val="00FF1C34"/>
    <w:rsid w:val="00FF1C81"/>
    <w:rsid w:val="00FF1EFB"/>
    <w:rsid w:val="00FF2074"/>
    <w:rsid w:val="00FF25B6"/>
    <w:rsid w:val="00FF265B"/>
    <w:rsid w:val="00FF2A55"/>
    <w:rsid w:val="00FF2BF7"/>
    <w:rsid w:val="00FF2D16"/>
    <w:rsid w:val="00FF3248"/>
    <w:rsid w:val="00FF32F4"/>
    <w:rsid w:val="00FF361E"/>
    <w:rsid w:val="00FF395F"/>
    <w:rsid w:val="00FF3A2E"/>
    <w:rsid w:val="00FF3FD8"/>
    <w:rsid w:val="00FF495C"/>
    <w:rsid w:val="00FF4C0D"/>
    <w:rsid w:val="00FF525C"/>
    <w:rsid w:val="00FF5C71"/>
    <w:rsid w:val="00FF63E1"/>
    <w:rsid w:val="00FF64B1"/>
    <w:rsid w:val="00FF6587"/>
    <w:rsid w:val="00FF6BAD"/>
    <w:rsid w:val="00FF6C37"/>
    <w:rsid w:val="00FF6E1D"/>
    <w:rsid w:val="00FF6E67"/>
    <w:rsid w:val="00FF7010"/>
    <w:rsid w:val="00FF7077"/>
    <w:rsid w:val="00FF7116"/>
    <w:rsid w:val="00FF7244"/>
    <w:rsid w:val="00FF75FB"/>
    <w:rsid w:val="00FF77BB"/>
    <w:rsid w:val="00FF7999"/>
    <w:rsid w:val="00FF7B1B"/>
    <w:rsid w:val="0180E795"/>
    <w:rsid w:val="032423F4"/>
    <w:rsid w:val="038CD2D2"/>
    <w:rsid w:val="0423F3A0"/>
    <w:rsid w:val="06FE0A49"/>
    <w:rsid w:val="076A8206"/>
    <w:rsid w:val="097FAD5E"/>
    <w:rsid w:val="09EC81C9"/>
    <w:rsid w:val="0A0EFE3D"/>
    <w:rsid w:val="0A46EBF6"/>
    <w:rsid w:val="0B9C278B"/>
    <w:rsid w:val="0CD2E26A"/>
    <w:rsid w:val="0D68D3B6"/>
    <w:rsid w:val="10C7F221"/>
    <w:rsid w:val="1134A42A"/>
    <w:rsid w:val="124D6BBF"/>
    <w:rsid w:val="12F387AE"/>
    <w:rsid w:val="133B8EB1"/>
    <w:rsid w:val="13BDC7F5"/>
    <w:rsid w:val="141CB41F"/>
    <w:rsid w:val="14543BBF"/>
    <w:rsid w:val="145F7085"/>
    <w:rsid w:val="151F11F7"/>
    <w:rsid w:val="156EB151"/>
    <w:rsid w:val="15ACE2C4"/>
    <w:rsid w:val="18CFA393"/>
    <w:rsid w:val="195FC9DE"/>
    <w:rsid w:val="19E6FAC7"/>
    <w:rsid w:val="19F27C3F"/>
    <w:rsid w:val="1A5867B3"/>
    <w:rsid w:val="1BA24AB3"/>
    <w:rsid w:val="1BC7DA16"/>
    <w:rsid w:val="1C6FC40D"/>
    <w:rsid w:val="1E352D2E"/>
    <w:rsid w:val="1EBE3972"/>
    <w:rsid w:val="1F60A762"/>
    <w:rsid w:val="1F78191D"/>
    <w:rsid w:val="205C5B64"/>
    <w:rsid w:val="20D4BFCD"/>
    <w:rsid w:val="21A184DE"/>
    <w:rsid w:val="2224CE9D"/>
    <w:rsid w:val="22958C33"/>
    <w:rsid w:val="2443671A"/>
    <w:rsid w:val="2482BE11"/>
    <w:rsid w:val="25F74664"/>
    <w:rsid w:val="264D02FE"/>
    <w:rsid w:val="269A7A4A"/>
    <w:rsid w:val="28B360DB"/>
    <w:rsid w:val="2BAD359D"/>
    <w:rsid w:val="2C0495A9"/>
    <w:rsid w:val="3557DB80"/>
    <w:rsid w:val="35D8907D"/>
    <w:rsid w:val="360B7659"/>
    <w:rsid w:val="37BB0B37"/>
    <w:rsid w:val="3906C132"/>
    <w:rsid w:val="390BB448"/>
    <w:rsid w:val="39765F29"/>
    <w:rsid w:val="3B549B65"/>
    <w:rsid w:val="3D5BDE3F"/>
    <w:rsid w:val="3EB5BF47"/>
    <w:rsid w:val="3EE16E37"/>
    <w:rsid w:val="3F1984CD"/>
    <w:rsid w:val="3FD0E9EE"/>
    <w:rsid w:val="3FF78E45"/>
    <w:rsid w:val="41B228C1"/>
    <w:rsid w:val="43EAB9A8"/>
    <w:rsid w:val="4454C3B2"/>
    <w:rsid w:val="450020C4"/>
    <w:rsid w:val="4712D9B4"/>
    <w:rsid w:val="47438C16"/>
    <w:rsid w:val="48DF86B4"/>
    <w:rsid w:val="4A34B809"/>
    <w:rsid w:val="4EE88E43"/>
    <w:rsid w:val="4F4D6B74"/>
    <w:rsid w:val="501F04E7"/>
    <w:rsid w:val="504331CE"/>
    <w:rsid w:val="50EEC322"/>
    <w:rsid w:val="510A7D34"/>
    <w:rsid w:val="516752C7"/>
    <w:rsid w:val="5253E49D"/>
    <w:rsid w:val="52B24525"/>
    <w:rsid w:val="52C2C3FE"/>
    <w:rsid w:val="542139D2"/>
    <w:rsid w:val="54A1C9EC"/>
    <w:rsid w:val="55DBF8D5"/>
    <w:rsid w:val="561292A3"/>
    <w:rsid w:val="57905263"/>
    <w:rsid w:val="59CAD297"/>
    <w:rsid w:val="5AE9115B"/>
    <w:rsid w:val="5B3082E5"/>
    <w:rsid w:val="5B5FBCDE"/>
    <w:rsid w:val="5B9C4D65"/>
    <w:rsid w:val="5D238067"/>
    <w:rsid w:val="5D3C4C51"/>
    <w:rsid w:val="5D73F8B9"/>
    <w:rsid w:val="5DB2519B"/>
    <w:rsid w:val="5F176D37"/>
    <w:rsid w:val="603E8FE0"/>
    <w:rsid w:val="6336C93F"/>
    <w:rsid w:val="64ADCAFB"/>
    <w:rsid w:val="65BD4F03"/>
    <w:rsid w:val="665D7473"/>
    <w:rsid w:val="6B7CE44C"/>
    <w:rsid w:val="6BA9B958"/>
    <w:rsid w:val="6C71FD5B"/>
    <w:rsid w:val="6D6CBF5B"/>
    <w:rsid w:val="6D7D0550"/>
    <w:rsid w:val="6F356B49"/>
    <w:rsid w:val="6F531884"/>
    <w:rsid w:val="73A6FB36"/>
    <w:rsid w:val="74E8481C"/>
    <w:rsid w:val="74F86533"/>
    <w:rsid w:val="75713E49"/>
    <w:rsid w:val="75EA10D8"/>
    <w:rsid w:val="75F2B036"/>
    <w:rsid w:val="76C965EF"/>
    <w:rsid w:val="7706650C"/>
    <w:rsid w:val="7715F7BF"/>
    <w:rsid w:val="7873482E"/>
    <w:rsid w:val="7884773E"/>
    <w:rsid w:val="78B31241"/>
    <w:rsid w:val="795DA1D7"/>
    <w:rsid w:val="796216C1"/>
    <w:rsid w:val="7AE20FBD"/>
    <w:rsid w:val="7BA925E7"/>
    <w:rsid w:val="7BF0E7A4"/>
    <w:rsid w:val="7C8AA115"/>
    <w:rsid w:val="7CC0871F"/>
    <w:rsid w:val="7CD533A4"/>
    <w:rsid w:val="7D39EF7C"/>
    <w:rsid w:val="7D41E9FD"/>
    <w:rsid w:val="7EBAD7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63F8060"/>
  <w14:discardImageEditingData/>
  <w15:docId w15:val="{2F6B4127-8049-4CAE-894D-7B960B85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271"/>
    <w:rPr>
      <w:rFonts w:asciiTheme="minorHAnsi" w:eastAsia="Times New Roman" w:hAnsiTheme="minorHAnsi"/>
      <w:sz w:val="22"/>
      <w:szCs w:val="24"/>
      <w:lang w:val="en-GB" w:eastAsia="en-GB"/>
    </w:rPr>
  </w:style>
  <w:style w:type="paragraph" w:styleId="Heading1">
    <w:name w:val="heading 1"/>
    <w:aliases w:val="h1"/>
    <w:basedOn w:val="Heading5"/>
    <w:next w:val="Paragraph"/>
    <w:link w:val="Heading1Char"/>
    <w:uiPriority w:val="9"/>
    <w:qFormat/>
    <w:rsid w:val="00B4797D"/>
    <w:pPr>
      <w:outlineLvl w:val="0"/>
    </w:pPr>
  </w:style>
  <w:style w:type="paragraph" w:styleId="Heading2">
    <w:name w:val="heading 2"/>
    <w:aliases w:val="h2"/>
    <w:basedOn w:val="Heading7"/>
    <w:next w:val="Paragraph"/>
    <w:link w:val="Heading2Char"/>
    <w:uiPriority w:val="9"/>
    <w:qFormat/>
    <w:rsid w:val="004E2A0B"/>
    <w:pPr>
      <w:outlineLvl w:val="1"/>
    </w:pPr>
  </w:style>
  <w:style w:type="paragraph" w:styleId="Heading3">
    <w:name w:val="heading 3"/>
    <w:aliases w:val="h3"/>
    <w:basedOn w:val="Heading8"/>
    <w:next w:val="Paragraph"/>
    <w:link w:val="Heading3Char"/>
    <w:uiPriority w:val="9"/>
    <w:qFormat/>
    <w:rsid w:val="004E2A0B"/>
    <w:pPr>
      <w:outlineLvl w:val="2"/>
    </w:pPr>
  </w:style>
  <w:style w:type="paragraph" w:styleId="Heading4">
    <w:name w:val="heading 4"/>
    <w:aliases w:val="h4"/>
    <w:basedOn w:val="Heading6"/>
    <w:next w:val="Paragraph"/>
    <w:link w:val="Heading4Char"/>
    <w:uiPriority w:val="9"/>
    <w:qFormat/>
    <w:rsid w:val="00014F0C"/>
    <w:pPr>
      <w:numPr>
        <w:ilvl w:val="3"/>
      </w:numPr>
      <w:outlineLvl w:val="3"/>
    </w:pPr>
    <w:rPr>
      <w:sz w:val="28"/>
    </w:rPr>
  </w:style>
  <w:style w:type="paragraph" w:styleId="Heading5">
    <w:name w:val="heading 5"/>
    <w:aliases w:val="Apx H1"/>
    <w:basedOn w:val="Normal"/>
    <w:next w:val="Paragraph"/>
    <w:link w:val="Heading5Char"/>
    <w:uiPriority w:val="9"/>
    <w:qFormat/>
    <w:rsid w:val="00B4797D"/>
    <w:pPr>
      <w:keepNext/>
      <w:keepLines/>
      <w:numPr>
        <w:ilvl w:val="5"/>
        <w:numId w:val="81"/>
      </w:numPr>
      <w:tabs>
        <w:tab w:val="left" w:pos="2977"/>
      </w:tabs>
      <w:spacing w:before="360" w:after="240" w:line="264" w:lineRule="auto"/>
      <w:ind w:left="709"/>
      <w:outlineLvl w:val="4"/>
    </w:pPr>
    <w:rPr>
      <w:rFonts w:eastAsia="Arial Unicode MS" w:cs="Calibri"/>
      <w:b/>
      <w:bCs/>
      <w:color w:val="0079C1" w:themeColor="text2"/>
      <w:sz w:val="40"/>
      <w:szCs w:val="32"/>
    </w:rPr>
  </w:style>
  <w:style w:type="paragraph" w:styleId="Heading6">
    <w:name w:val="heading 6"/>
    <w:aliases w:val="Apx H2"/>
    <w:basedOn w:val="Heading5"/>
    <w:next w:val="Paragraph"/>
    <w:link w:val="Heading6Char"/>
    <w:uiPriority w:val="9"/>
    <w:qFormat/>
    <w:rsid w:val="0074719A"/>
    <w:pPr>
      <w:outlineLvl w:val="5"/>
    </w:pPr>
  </w:style>
  <w:style w:type="paragraph" w:styleId="Heading7">
    <w:name w:val="heading 7"/>
    <w:aliases w:val="Apx H3"/>
    <w:basedOn w:val="Heading6"/>
    <w:next w:val="Paragraph"/>
    <w:link w:val="Heading7Char"/>
    <w:qFormat/>
    <w:rsid w:val="00555E31"/>
    <w:pPr>
      <w:numPr>
        <w:ilvl w:val="6"/>
      </w:numPr>
      <w:tabs>
        <w:tab w:val="left" w:pos="851"/>
        <w:tab w:val="left" w:pos="993"/>
        <w:tab w:val="num" w:pos="1418"/>
      </w:tabs>
      <w:ind w:left="851" w:hanging="851"/>
      <w:outlineLvl w:val="6"/>
    </w:pPr>
    <w:rPr>
      <w:sz w:val="32"/>
    </w:rPr>
  </w:style>
  <w:style w:type="paragraph" w:styleId="Heading8">
    <w:name w:val="heading 8"/>
    <w:aliases w:val="Apx H4"/>
    <w:basedOn w:val="Heading4"/>
    <w:next w:val="Paragraph"/>
    <w:link w:val="Heading8Char"/>
    <w:uiPriority w:val="9"/>
    <w:qFormat/>
    <w:rsid w:val="007305B2"/>
    <w:pPr>
      <w:numPr>
        <w:ilvl w:val="0"/>
        <w:numId w:val="0"/>
      </w:numPr>
      <w:spacing w:before="240" w:after="0"/>
      <w:outlineLvl w:val="7"/>
    </w:pPr>
  </w:style>
  <w:style w:type="paragraph" w:styleId="Heading9">
    <w:name w:val="heading 9"/>
    <w:aliases w:val="h9"/>
    <w:basedOn w:val="Normal"/>
    <w:next w:val="Paragraph"/>
    <w:link w:val="Heading9Char"/>
    <w:uiPriority w:val="9"/>
    <w:rsid w:val="00833469"/>
    <w:pPr>
      <w:keepNext/>
      <w:keepLines/>
      <w:numPr>
        <w:ilvl w:val="8"/>
        <w:numId w:val="81"/>
      </w:numPr>
      <w:spacing w:before="360"/>
      <w:outlineLvl w:val="8"/>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Para"/>
    <w:basedOn w:val="Normal"/>
    <w:link w:val="ParagraphChar"/>
    <w:qFormat/>
    <w:rsid w:val="00DB5A6A"/>
    <w:pPr>
      <w:spacing w:before="240" w:after="240" w:line="264" w:lineRule="auto"/>
    </w:pPr>
    <w:rPr>
      <w:color w:val="000000" w:themeColor="text1"/>
      <w:lang w:eastAsia="en-US"/>
    </w:rPr>
  </w:style>
  <w:style w:type="character" w:customStyle="1" w:styleId="ParagraphChar">
    <w:name w:val="Paragraph Char"/>
    <w:aliases w:val="p Char,Para Char"/>
    <w:basedOn w:val="DefaultParagraphFont"/>
    <w:link w:val="Paragraph"/>
    <w:rsid w:val="00DB5A6A"/>
    <w:rPr>
      <w:rFonts w:asciiTheme="minorHAnsi" w:eastAsia="Times New Roman" w:hAnsiTheme="minorHAnsi"/>
      <w:color w:val="000000" w:themeColor="text1"/>
      <w:sz w:val="22"/>
      <w:szCs w:val="24"/>
      <w:lang w:val="en-GB" w:eastAsia="en-US"/>
    </w:rPr>
  </w:style>
  <w:style w:type="character" w:customStyle="1" w:styleId="Heading1Char">
    <w:name w:val="Heading 1 Char"/>
    <w:aliases w:val="h1 Char"/>
    <w:basedOn w:val="DefaultParagraphFont"/>
    <w:link w:val="Heading1"/>
    <w:uiPriority w:val="9"/>
    <w:rsid w:val="00B4797D"/>
    <w:rPr>
      <w:rFonts w:asciiTheme="minorHAnsi" w:eastAsia="Arial Unicode MS" w:hAnsiTheme="minorHAnsi" w:cs="Calibri"/>
      <w:b/>
      <w:bCs/>
      <w:color w:val="0079C1" w:themeColor="text2"/>
      <w:sz w:val="40"/>
      <w:szCs w:val="32"/>
      <w:lang w:val="en-GB" w:eastAsia="en-GB"/>
    </w:rPr>
  </w:style>
  <w:style w:type="character" w:customStyle="1" w:styleId="Heading2Char">
    <w:name w:val="Heading 2 Char"/>
    <w:aliases w:val="h2 Char"/>
    <w:basedOn w:val="DefaultParagraphFont"/>
    <w:link w:val="Heading2"/>
    <w:uiPriority w:val="9"/>
    <w:rsid w:val="004E2A0B"/>
    <w:rPr>
      <w:rFonts w:asciiTheme="minorHAnsi" w:eastAsia="Arial Unicode MS" w:hAnsiTheme="minorHAnsi" w:cs="Calibri"/>
      <w:b/>
      <w:bCs/>
      <w:color w:val="0079C1" w:themeColor="text2"/>
      <w:sz w:val="32"/>
      <w:szCs w:val="32"/>
      <w:lang w:val="en-GB" w:eastAsia="en-GB"/>
    </w:rPr>
  </w:style>
  <w:style w:type="character" w:customStyle="1" w:styleId="Heading3Char">
    <w:name w:val="Heading 3 Char"/>
    <w:aliases w:val="h3 Char"/>
    <w:basedOn w:val="DefaultParagraphFont"/>
    <w:link w:val="Heading3"/>
    <w:uiPriority w:val="9"/>
    <w:rsid w:val="004E2A0B"/>
    <w:rPr>
      <w:rFonts w:asciiTheme="minorHAnsi" w:eastAsia="Arial Unicode MS" w:hAnsiTheme="minorHAnsi" w:cs="Calibri"/>
      <w:b/>
      <w:bCs/>
      <w:color w:val="0079C1" w:themeColor="text2"/>
      <w:sz w:val="28"/>
      <w:szCs w:val="32"/>
      <w:lang w:val="en-GB" w:eastAsia="en-GB"/>
    </w:rPr>
  </w:style>
  <w:style w:type="character" w:customStyle="1" w:styleId="Heading4Char">
    <w:name w:val="Heading 4 Char"/>
    <w:aliases w:val="h4 Char"/>
    <w:basedOn w:val="DefaultParagraphFont"/>
    <w:link w:val="Heading4"/>
    <w:uiPriority w:val="9"/>
    <w:rsid w:val="00014F0C"/>
    <w:rPr>
      <w:rFonts w:asciiTheme="minorHAnsi" w:eastAsia="Arial Unicode MS" w:hAnsiTheme="minorHAnsi" w:cs="Calibri"/>
      <w:b/>
      <w:bCs/>
      <w:color w:val="0079C1" w:themeColor="text2"/>
      <w:sz w:val="28"/>
      <w:szCs w:val="32"/>
      <w:lang w:val="en-GB" w:eastAsia="en-GB"/>
    </w:rPr>
  </w:style>
  <w:style w:type="character" w:customStyle="1" w:styleId="Heading5Char">
    <w:name w:val="Heading 5 Char"/>
    <w:aliases w:val="Apx H1 Char"/>
    <w:basedOn w:val="DefaultParagraphFont"/>
    <w:link w:val="Heading5"/>
    <w:uiPriority w:val="9"/>
    <w:rsid w:val="00B4797D"/>
    <w:rPr>
      <w:rFonts w:asciiTheme="minorHAnsi" w:eastAsia="Arial Unicode MS" w:hAnsiTheme="minorHAnsi" w:cs="Calibri"/>
      <w:b/>
      <w:bCs/>
      <w:color w:val="0079C1" w:themeColor="text2"/>
      <w:sz w:val="40"/>
      <w:szCs w:val="32"/>
      <w:lang w:val="en-GB" w:eastAsia="en-GB"/>
    </w:rPr>
  </w:style>
  <w:style w:type="character" w:customStyle="1" w:styleId="Heading6Char">
    <w:name w:val="Heading 6 Char"/>
    <w:aliases w:val="Apx H2 Char"/>
    <w:link w:val="Heading6"/>
    <w:uiPriority w:val="9"/>
    <w:rsid w:val="0074719A"/>
    <w:rPr>
      <w:rFonts w:asciiTheme="minorHAnsi" w:eastAsia="Arial Unicode MS" w:hAnsiTheme="minorHAnsi" w:cs="Calibri"/>
      <w:b/>
      <w:bCs/>
      <w:color w:val="0079C1" w:themeColor="text2"/>
      <w:sz w:val="40"/>
      <w:szCs w:val="32"/>
      <w:lang w:val="en-GB" w:eastAsia="en-GB"/>
    </w:rPr>
  </w:style>
  <w:style w:type="character" w:customStyle="1" w:styleId="Heading7Char">
    <w:name w:val="Heading 7 Char"/>
    <w:aliases w:val="Apx H3 Char"/>
    <w:link w:val="Heading7"/>
    <w:rsid w:val="00555E31"/>
    <w:rPr>
      <w:rFonts w:asciiTheme="minorHAnsi" w:eastAsia="Arial Unicode MS" w:hAnsiTheme="minorHAnsi" w:cs="Calibri"/>
      <w:b/>
      <w:bCs/>
      <w:color w:val="0079C1" w:themeColor="text2"/>
      <w:sz w:val="32"/>
      <w:szCs w:val="32"/>
      <w:lang w:val="en-GB" w:eastAsia="en-GB"/>
    </w:rPr>
  </w:style>
  <w:style w:type="character" w:customStyle="1" w:styleId="Heading8Char">
    <w:name w:val="Heading 8 Char"/>
    <w:aliases w:val="Apx H4 Char"/>
    <w:link w:val="Heading8"/>
    <w:uiPriority w:val="9"/>
    <w:rsid w:val="007305B2"/>
    <w:rPr>
      <w:rFonts w:asciiTheme="minorHAnsi" w:eastAsia="Arial Unicode MS" w:hAnsiTheme="minorHAnsi" w:cs="Calibri"/>
      <w:b/>
      <w:bCs/>
      <w:color w:val="0079C1" w:themeColor="text2"/>
      <w:sz w:val="28"/>
      <w:szCs w:val="32"/>
      <w:lang w:val="en-GB" w:eastAsia="en-GB"/>
    </w:rPr>
  </w:style>
  <w:style w:type="character" w:customStyle="1" w:styleId="Heading9Char">
    <w:name w:val="Heading 9 Char"/>
    <w:aliases w:val="h9 Char"/>
    <w:link w:val="Heading9"/>
    <w:uiPriority w:val="9"/>
    <w:rsid w:val="00833469"/>
    <w:rPr>
      <w:rFonts w:asciiTheme="minorHAnsi" w:eastAsia="Times New Roman" w:hAnsiTheme="minorHAnsi"/>
      <w:b/>
      <w:sz w:val="22"/>
      <w:szCs w:val="24"/>
      <w:lang w:val="en-GB" w:eastAsia="en-US"/>
    </w:rPr>
  </w:style>
  <w:style w:type="paragraph" w:styleId="Header">
    <w:name w:val="header"/>
    <w:basedOn w:val="Normal"/>
    <w:link w:val="HeaderChar"/>
    <w:uiPriority w:val="99"/>
    <w:unhideWhenUsed/>
    <w:qFormat/>
    <w:rsid w:val="00F139F1"/>
    <w:pPr>
      <w:pBdr>
        <w:bottom w:val="single" w:sz="4" w:space="1" w:color="0079C1" w:themeColor="text2"/>
      </w:pBdr>
      <w:tabs>
        <w:tab w:val="left" w:pos="284"/>
        <w:tab w:val="left" w:pos="1276"/>
      </w:tabs>
      <w:spacing w:after="240"/>
    </w:pPr>
    <w:rPr>
      <w:noProof/>
      <w:color w:val="0079C1" w:themeColor="text2"/>
      <w:lang w:val="en-US" w:eastAsia="en-US"/>
    </w:rPr>
  </w:style>
  <w:style w:type="character" w:customStyle="1" w:styleId="HeaderChar">
    <w:name w:val="Header Char"/>
    <w:basedOn w:val="DefaultParagraphFont"/>
    <w:link w:val="Header"/>
    <w:uiPriority w:val="99"/>
    <w:rsid w:val="00F139F1"/>
    <w:rPr>
      <w:rFonts w:asciiTheme="minorHAnsi" w:eastAsia="Times New Roman" w:hAnsiTheme="minorHAnsi"/>
      <w:noProof/>
      <w:color w:val="0079C1" w:themeColor="text2"/>
      <w:sz w:val="22"/>
      <w:szCs w:val="24"/>
      <w:lang w:val="en-US" w:eastAsia="en-US"/>
    </w:rPr>
  </w:style>
  <w:style w:type="paragraph" w:styleId="Footer">
    <w:name w:val="footer"/>
    <w:basedOn w:val="Normal"/>
    <w:link w:val="FooterChar"/>
    <w:uiPriority w:val="99"/>
    <w:unhideWhenUsed/>
    <w:qFormat/>
    <w:rsid w:val="000D185F"/>
    <w:pPr>
      <w:pBdr>
        <w:top w:val="single" w:sz="4" w:space="6" w:color="0079C1" w:themeColor="text2"/>
      </w:pBdr>
      <w:spacing w:before="120"/>
      <w:jc w:val="right"/>
    </w:pPr>
    <w:rPr>
      <w:rFonts w:eastAsiaTheme="minorHAnsi" w:cs="Calibri"/>
      <w:bCs/>
      <w:noProof/>
      <w:color w:val="0079C1" w:themeColor="text2"/>
      <w:sz w:val="18"/>
      <w:szCs w:val="28"/>
      <w:lang w:eastAsia="en-US"/>
    </w:rPr>
  </w:style>
  <w:style w:type="character" w:customStyle="1" w:styleId="FooterChar">
    <w:name w:val="Footer Char"/>
    <w:basedOn w:val="DefaultParagraphFont"/>
    <w:link w:val="Footer"/>
    <w:uiPriority w:val="99"/>
    <w:rsid w:val="000D185F"/>
    <w:rPr>
      <w:rFonts w:asciiTheme="minorHAnsi" w:eastAsiaTheme="minorHAnsi" w:hAnsiTheme="minorHAnsi" w:cs="Calibri"/>
      <w:bCs/>
      <w:noProof/>
      <w:color w:val="0079C1" w:themeColor="text2"/>
      <w:sz w:val="18"/>
      <w:szCs w:val="28"/>
      <w:lang w:val="en-GB" w:eastAsia="en-US"/>
    </w:rPr>
  </w:style>
  <w:style w:type="paragraph" w:styleId="BalloonText">
    <w:name w:val="Balloon Text"/>
    <w:basedOn w:val="Normal"/>
    <w:link w:val="BalloonTextChar"/>
    <w:uiPriority w:val="99"/>
    <w:semiHidden/>
    <w:unhideWhenUsed/>
    <w:rsid w:val="00D51DC7"/>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51DC7"/>
    <w:rPr>
      <w:rFonts w:ascii="Tahoma" w:hAnsi="Tahoma" w:cs="Tahoma"/>
      <w:sz w:val="16"/>
      <w:szCs w:val="16"/>
      <w:lang w:val="en-GB" w:eastAsia="en-GB"/>
    </w:rPr>
  </w:style>
  <w:style w:type="paragraph" w:styleId="TOCHeading">
    <w:name w:val="TOC Heading"/>
    <w:basedOn w:val="Heading2"/>
    <w:next w:val="Normal"/>
    <w:uiPriority w:val="39"/>
    <w:qFormat/>
    <w:rsid w:val="00F40366"/>
    <w:pPr>
      <w:numPr>
        <w:ilvl w:val="0"/>
        <w:numId w:val="0"/>
      </w:numPr>
      <w:spacing w:before="0"/>
      <w:outlineLvl w:val="0"/>
    </w:pPr>
    <w:rPr>
      <w:sz w:val="48"/>
    </w:rPr>
  </w:style>
  <w:style w:type="paragraph" w:styleId="TOC2">
    <w:name w:val="toc 2"/>
    <w:basedOn w:val="TOC1"/>
    <w:next w:val="Normal"/>
    <w:autoRedefine/>
    <w:uiPriority w:val="39"/>
    <w:unhideWhenUsed/>
    <w:qFormat/>
    <w:rsid w:val="0073411B"/>
    <w:pPr>
      <w:keepNext w:val="0"/>
      <w:spacing w:line="240" w:lineRule="auto"/>
      <w:ind w:left="1276"/>
    </w:pPr>
    <w:rPr>
      <w:b w:val="0"/>
      <w:color w:val="auto"/>
    </w:rPr>
  </w:style>
  <w:style w:type="paragraph" w:styleId="TOC1">
    <w:name w:val="toc 1"/>
    <w:basedOn w:val="Paragraph"/>
    <w:next w:val="Normal"/>
    <w:autoRedefine/>
    <w:uiPriority w:val="39"/>
    <w:unhideWhenUsed/>
    <w:qFormat/>
    <w:rsid w:val="0073411B"/>
    <w:pPr>
      <w:keepNext/>
      <w:tabs>
        <w:tab w:val="left" w:pos="1276"/>
        <w:tab w:val="right" w:leader="dot" w:pos="9356"/>
      </w:tabs>
      <w:spacing w:before="120" w:after="120"/>
      <w:ind w:left="567" w:hanging="567"/>
    </w:pPr>
    <w:rPr>
      <w:rFonts w:eastAsia="Arial Unicode MS" w:cs="Calibri"/>
      <w:b/>
      <w:noProof/>
      <w:color w:val="0079C1" w:themeColor="text2"/>
      <w:lang w:val="en-AU" w:eastAsia="en-AU"/>
    </w:rPr>
  </w:style>
  <w:style w:type="character" w:styleId="Hyperlink">
    <w:name w:val="Hyperlink"/>
    <w:uiPriority w:val="99"/>
    <w:unhideWhenUsed/>
    <w:rsid w:val="00D51DC7"/>
    <w:rPr>
      <w:noProof/>
      <w:color w:val="0000FF"/>
      <w:u w:val="single"/>
      <w:lang w:val="en-GB"/>
    </w:rPr>
  </w:style>
  <w:style w:type="paragraph" w:styleId="Caption">
    <w:name w:val="caption"/>
    <w:basedOn w:val="Normal"/>
    <w:next w:val="Normal"/>
    <w:link w:val="CaptionChar"/>
    <w:uiPriority w:val="35"/>
    <w:qFormat/>
    <w:rsid w:val="00FD216B"/>
    <w:pPr>
      <w:keepNext/>
      <w:keepLines/>
      <w:tabs>
        <w:tab w:val="left" w:pos="993"/>
        <w:tab w:val="left" w:pos="1134"/>
        <w:tab w:val="left" w:pos="1276"/>
      </w:tabs>
      <w:spacing w:before="240" w:after="40"/>
      <w:outlineLvl w:val="8"/>
    </w:pPr>
    <w:rPr>
      <w:rFonts w:ascii="Calibri Light" w:hAnsi="Calibri Light"/>
      <w:bCs/>
      <w:color w:val="404142" w:themeColor="background2" w:themeShade="80"/>
      <w:szCs w:val="18"/>
      <w:lang w:eastAsia="en-US"/>
    </w:rPr>
  </w:style>
  <w:style w:type="character" w:customStyle="1" w:styleId="CaptionChar">
    <w:name w:val="Caption Char"/>
    <w:basedOn w:val="DefaultParagraphFont"/>
    <w:link w:val="Caption"/>
    <w:uiPriority w:val="35"/>
    <w:rsid w:val="00FD216B"/>
    <w:rPr>
      <w:rFonts w:ascii="Calibri Light" w:eastAsia="Times New Roman" w:hAnsi="Calibri Light"/>
      <w:bCs/>
      <w:color w:val="404142" w:themeColor="background2" w:themeShade="80"/>
      <w:szCs w:val="18"/>
      <w:lang w:val="en-GB" w:eastAsia="en-US"/>
    </w:rPr>
  </w:style>
  <w:style w:type="paragraph" w:styleId="TableofFigures">
    <w:name w:val="table of figures"/>
    <w:basedOn w:val="Paragraph"/>
    <w:next w:val="Normal"/>
    <w:uiPriority w:val="99"/>
    <w:unhideWhenUsed/>
    <w:rsid w:val="00277C5D"/>
    <w:pPr>
      <w:tabs>
        <w:tab w:val="left" w:pos="1134"/>
        <w:tab w:val="right" w:leader="dot" w:pos="9356"/>
      </w:tabs>
      <w:spacing w:before="120" w:after="120" w:line="240" w:lineRule="auto"/>
      <w:ind w:left="1134" w:hanging="1134"/>
    </w:pPr>
  </w:style>
  <w:style w:type="paragraph" w:styleId="Title">
    <w:name w:val="Title"/>
    <w:basedOn w:val="Normal"/>
    <w:next w:val="Heading1"/>
    <w:link w:val="TitleChar"/>
    <w:uiPriority w:val="10"/>
    <w:qFormat/>
    <w:rsid w:val="0074178E"/>
    <w:pPr>
      <w:spacing w:before="8280"/>
      <w:ind w:left="1701" w:right="112"/>
      <w:contextualSpacing/>
    </w:pPr>
    <w:rPr>
      <w:rFonts w:ascii="Segoe UI" w:eastAsia="Calibri" w:hAnsi="Segoe UI" w:cs="Segoe UI"/>
      <w:b/>
      <w:bCs/>
      <w:noProof/>
      <w:color w:val="FFFFFF" w:themeColor="background1"/>
      <w:spacing w:val="5"/>
      <w:kern w:val="28"/>
      <w:sz w:val="56"/>
      <w:szCs w:val="44"/>
      <w:lang w:val="en-AU" w:eastAsia="en-US"/>
    </w:rPr>
  </w:style>
  <w:style w:type="character" w:customStyle="1" w:styleId="TitleChar">
    <w:name w:val="Title Char"/>
    <w:basedOn w:val="DefaultParagraphFont"/>
    <w:link w:val="Title"/>
    <w:uiPriority w:val="10"/>
    <w:rsid w:val="00D51DC7"/>
    <w:rPr>
      <w:rFonts w:ascii="Segoe UI" w:hAnsi="Segoe UI" w:cs="Segoe UI"/>
      <w:b/>
      <w:bCs/>
      <w:noProof/>
      <w:color w:val="FFFFFF" w:themeColor="background1"/>
      <w:spacing w:val="5"/>
      <w:kern w:val="28"/>
      <w:sz w:val="56"/>
      <w:szCs w:val="44"/>
      <w:lang w:eastAsia="en-US"/>
    </w:rPr>
  </w:style>
  <w:style w:type="character" w:styleId="Strong">
    <w:name w:val="Strong"/>
    <w:uiPriority w:val="22"/>
    <w:qFormat/>
    <w:rsid w:val="00D51DC7"/>
    <w:rPr>
      <w:b/>
      <w:bCs/>
      <w:noProof w:val="0"/>
      <w:lang w:val="en-GB"/>
    </w:rPr>
  </w:style>
  <w:style w:type="character" w:styleId="Emphasis">
    <w:name w:val="Emphasis"/>
    <w:uiPriority w:val="20"/>
    <w:qFormat/>
    <w:rsid w:val="00D51DC7"/>
    <w:rPr>
      <w:i/>
      <w:iCs/>
      <w:noProof w:val="0"/>
      <w:lang w:val="en-GB"/>
    </w:rPr>
  </w:style>
  <w:style w:type="paragraph" w:styleId="DocumentMap">
    <w:name w:val="Document Map"/>
    <w:basedOn w:val="Normal"/>
    <w:link w:val="DocumentMapChar"/>
    <w:uiPriority w:val="99"/>
    <w:semiHidden/>
    <w:unhideWhenUsed/>
    <w:rsid w:val="00D51DC7"/>
    <w:rPr>
      <w:rFonts w:ascii="Tahoma" w:hAnsi="Tahoma" w:cs="Tahoma"/>
      <w:sz w:val="16"/>
      <w:szCs w:val="16"/>
    </w:rPr>
  </w:style>
  <w:style w:type="character" w:customStyle="1" w:styleId="DocumentMapChar">
    <w:name w:val="Document Map Char"/>
    <w:basedOn w:val="DefaultParagraphFont"/>
    <w:link w:val="DocumentMap"/>
    <w:uiPriority w:val="99"/>
    <w:semiHidden/>
    <w:rsid w:val="00D51DC7"/>
    <w:rPr>
      <w:rFonts w:ascii="Tahoma" w:hAnsi="Tahoma" w:cs="Tahoma"/>
      <w:sz w:val="16"/>
      <w:szCs w:val="16"/>
      <w:lang w:val="en-GB" w:eastAsia="en-GB"/>
    </w:rPr>
  </w:style>
  <w:style w:type="character" w:styleId="CommentReference">
    <w:name w:val="annotation reference"/>
    <w:basedOn w:val="DefaultParagraphFont"/>
    <w:uiPriority w:val="99"/>
    <w:semiHidden/>
    <w:rsid w:val="00D51DC7"/>
    <w:rPr>
      <w:sz w:val="16"/>
      <w:szCs w:val="16"/>
    </w:rPr>
  </w:style>
  <w:style w:type="paragraph" w:styleId="CommentText">
    <w:name w:val="annotation text"/>
    <w:basedOn w:val="Normal"/>
    <w:link w:val="CommentTextChar"/>
    <w:uiPriority w:val="99"/>
    <w:rsid w:val="00D51DC7"/>
    <w:rPr>
      <w:szCs w:val="20"/>
      <w:lang w:eastAsia="en-US"/>
    </w:rPr>
  </w:style>
  <w:style w:type="character" w:customStyle="1" w:styleId="CommentTextChar">
    <w:name w:val="Comment Text Char"/>
    <w:basedOn w:val="DefaultParagraphFont"/>
    <w:link w:val="CommentText"/>
    <w:uiPriority w:val="99"/>
    <w:rsid w:val="00D51DC7"/>
    <w:rPr>
      <w:rFonts w:ascii="Times New Roman" w:eastAsia="Times New Roman" w:hAnsi="Times New Roman"/>
      <w:lang w:val="en-GB" w:eastAsia="en-GB"/>
    </w:rPr>
  </w:style>
  <w:style w:type="paragraph" w:styleId="CommentSubject">
    <w:name w:val="annotation subject"/>
    <w:basedOn w:val="CommentText"/>
    <w:next w:val="CommentText"/>
    <w:link w:val="CommentSubjectChar"/>
    <w:uiPriority w:val="99"/>
    <w:semiHidden/>
    <w:rsid w:val="00D51DC7"/>
    <w:rPr>
      <w:b/>
      <w:bCs/>
    </w:rPr>
  </w:style>
  <w:style w:type="character" w:customStyle="1" w:styleId="CommentSubjectChar">
    <w:name w:val="Comment Subject Char"/>
    <w:basedOn w:val="CommentTextChar"/>
    <w:link w:val="CommentSubject"/>
    <w:uiPriority w:val="99"/>
    <w:semiHidden/>
    <w:rsid w:val="00D51DC7"/>
    <w:rPr>
      <w:rFonts w:ascii="Times New Roman" w:eastAsia="Times New Roman" w:hAnsi="Times New Roman"/>
      <w:b/>
      <w:bCs/>
      <w:lang w:val="en-GB" w:eastAsia="en-GB"/>
    </w:rPr>
  </w:style>
  <w:style w:type="paragraph" w:customStyle="1" w:styleId="References">
    <w:name w:val="References"/>
    <w:basedOn w:val="Paragraph"/>
    <w:qFormat/>
    <w:rsid w:val="00B92E42"/>
    <w:pPr>
      <w:spacing w:before="120" w:after="120"/>
      <w:ind w:left="720" w:hanging="720"/>
    </w:pPr>
  </w:style>
  <w:style w:type="paragraph" w:customStyle="1" w:styleId="TableText">
    <w:name w:val="Table Text"/>
    <w:basedOn w:val="Paragraph"/>
    <w:link w:val="TableTextChar"/>
    <w:qFormat/>
    <w:rsid w:val="00127ABB"/>
    <w:pPr>
      <w:spacing w:before="60" w:after="60" w:line="240" w:lineRule="auto"/>
    </w:pPr>
  </w:style>
  <w:style w:type="paragraph" w:customStyle="1" w:styleId="TableList1">
    <w:name w:val="Table_List 1"/>
    <w:basedOn w:val="TableBullet1"/>
    <w:qFormat/>
    <w:rsid w:val="006B0BD2"/>
    <w:pPr>
      <w:numPr>
        <w:numId w:val="13"/>
      </w:numPr>
      <w:ind w:left="397" w:hanging="397"/>
    </w:pPr>
    <w:rPr>
      <w:rFonts w:eastAsia="Calibri"/>
    </w:rPr>
  </w:style>
  <w:style w:type="character" w:styleId="FollowedHyperlink">
    <w:name w:val="FollowedHyperlink"/>
    <w:basedOn w:val="DefaultParagraphFont"/>
    <w:rsid w:val="00D51DC7"/>
    <w:rPr>
      <w:color w:val="606420"/>
      <w:u w:val="single"/>
    </w:rPr>
  </w:style>
  <w:style w:type="paragraph" w:styleId="FootnoteText">
    <w:name w:val="footnote text"/>
    <w:basedOn w:val="Normal"/>
    <w:link w:val="FootnoteTextChar"/>
    <w:uiPriority w:val="99"/>
    <w:qFormat/>
    <w:rsid w:val="002768F6"/>
    <w:pPr>
      <w:spacing w:before="60" w:after="60"/>
    </w:pPr>
    <w:rPr>
      <w:sz w:val="18"/>
      <w:szCs w:val="20"/>
      <w:lang w:eastAsia="en-US"/>
    </w:rPr>
  </w:style>
  <w:style w:type="character" w:customStyle="1" w:styleId="FootnoteTextChar">
    <w:name w:val="Footnote Text Char"/>
    <w:basedOn w:val="DefaultParagraphFont"/>
    <w:link w:val="FootnoteText"/>
    <w:uiPriority w:val="99"/>
    <w:rsid w:val="002768F6"/>
    <w:rPr>
      <w:rFonts w:asciiTheme="minorHAnsi" w:eastAsia="Times New Roman" w:hAnsiTheme="minorHAnsi"/>
      <w:sz w:val="18"/>
      <w:lang w:val="en-GB" w:eastAsia="en-US"/>
    </w:rPr>
  </w:style>
  <w:style w:type="character" w:styleId="FootnoteReference">
    <w:name w:val="footnote reference"/>
    <w:basedOn w:val="DefaultParagraphFont"/>
    <w:uiPriority w:val="99"/>
    <w:rsid w:val="00D51DC7"/>
    <w:rPr>
      <w:noProof w:val="0"/>
      <w:vertAlign w:val="superscript"/>
      <w:lang w:val="en-GB"/>
    </w:rPr>
  </w:style>
  <w:style w:type="paragraph" w:styleId="Quote">
    <w:name w:val="Quote"/>
    <w:aliases w:val="q"/>
    <w:basedOn w:val="Paragraph"/>
    <w:next w:val="Normal"/>
    <w:link w:val="QuoteChar"/>
    <w:uiPriority w:val="29"/>
    <w:qFormat/>
    <w:rsid w:val="003C66D3"/>
    <w:pPr>
      <w:spacing w:before="120"/>
      <w:ind w:left="608" w:right="709"/>
    </w:pPr>
    <w:rPr>
      <w:iCs/>
    </w:rPr>
  </w:style>
  <w:style w:type="character" w:customStyle="1" w:styleId="QuoteChar">
    <w:name w:val="Quote Char"/>
    <w:aliases w:val="q Char"/>
    <w:basedOn w:val="DefaultParagraphFont"/>
    <w:link w:val="Quote"/>
    <w:uiPriority w:val="29"/>
    <w:rsid w:val="00833469"/>
    <w:rPr>
      <w:rFonts w:asciiTheme="minorHAnsi" w:eastAsia="Times New Roman" w:hAnsiTheme="minorHAnsi"/>
      <w:iCs/>
      <w:color w:val="000000" w:themeColor="text1"/>
      <w:sz w:val="22"/>
      <w:szCs w:val="24"/>
      <w:lang w:val="en-GB" w:eastAsia="en-US"/>
    </w:rPr>
  </w:style>
  <w:style w:type="paragraph" w:styleId="Revision">
    <w:name w:val="Revision"/>
    <w:hidden/>
    <w:uiPriority w:val="99"/>
    <w:semiHidden/>
    <w:rsid w:val="003769CE"/>
    <w:rPr>
      <w:rFonts w:eastAsiaTheme="minorHAnsi" w:cs="Calibri"/>
      <w:sz w:val="22"/>
      <w:szCs w:val="22"/>
    </w:rPr>
  </w:style>
  <w:style w:type="paragraph" w:customStyle="1" w:styleId="Note">
    <w:name w:val="Note"/>
    <w:basedOn w:val="FootnoteText"/>
    <w:link w:val="NoteChar"/>
    <w:rsid w:val="00CE2F6C"/>
    <w:pPr>
      <w:keepLines/>
      <w:spacing w:before="40" w:after="120"/>
      <w:ind w:left="142" w:right="566"/>
      <w:contextualSpacing/>
    </w:pPr>
    <w:rPr>
      <w:color w:val="404142" w:themeColor="background2" w:themeShade="80"/>
      <w:lang w:val="en-CA"/>
    </w:rPr>
  </w:style>
  <w:style w:type="character" w:customStyle="1" w:styleId="NoteChar">
    <w:name w:val="Note Char"/>
    <w:link w:val="Note"/>
    <w:rsid w:val="00CE2F6C"/>
    <w:rPr>
      <w:rFonts w:asciiTheme="minorHAnsi" w:eastAsia="Times New Roman" w:hAnsiTheme="minorHAnsi"/>
      <w:color w:val="404142" w:themeColor="background2" w:themeShade="80"/>
      <w:sz w:val="18"/>
      <w:lang w:val="en-CA" w:eastAsia="en-US"/>
    </w:rPr>
  </w:style>
  <w:style w:type="paragraph" w:customStyle="1" w:styleId="TableHeading1">
    <w:name w:val="Table Heading 1"/>
    <w:aliases w:val="th1"/>
    <w:basedOn w:val="TableText"/>
    <w:link w:val="TableHeading1Char"/>
    <w:qFormat/>
    <w:rsid w:val="004E5026"/>
    <w:pPr>
      <w:keepNext/>
      <w:keepLines/>
      <w:spacing w:before="120" w:after="0"/>
    </w:pPr>
    <w:rPr>
      <w:color w:val="0079C1" w:themeColor="text2"/>
    </w:rPr>
  </w:style>
  <w:style w:type="paragraph" w:customStyle="1" w:styleId="TableHeading2">
    <w:name w:val="Table Heading 2"/>
    <w:aliases w:val="th2"/>
    <w:basedOn w:val="TableHeading1"/>
    <w:qFormat/>
    <w:rsid w:val="0056526D"/>
    <w:pPr>
      <w:spacing w:after="60"/>
    </w:pPr>
    <w:rPr>
      <w:b/>
      <w:color w:val="404142" w:themeColor="background2" w:themeShade="80"/>
    </w:rPr>
  </w:style>
  <w:style w:type="paragraph" w:customStyle="1" w:styleId="Insidecover">
    <w:name w:val="Inside cover"/>
    <w:basedOn w:val="Normal"/>
    <w:qFormat/>
    <w:rsid w:val="000B10CE"/>
    <w:pPr>
      <w:ind w:left="57"/>
    </w:pPr>
    <w:rPr>
      <w:color w:val="5F6163" w:themeColor="background2" w:themeShade="BF"/>
      <w:lang w:eastAsia="en-US"/>
    </w:rPr>
  </w:style>
  <w:style w:type="paragraph" w:customStyle="1" w:styleId="TableBullet2">
    <w:name w:val="Table Bullet 2"/>
    <w:aliases w:val="tb2"/>
    <w:basedOn w:val="TableBullet1"/>
    <w:qFormat/>
    <w:rsid w:val="00BE1A58"/>
    <w:pPr>
      <w:numPr>
        <w:numId w:val="9"/>
      </w:numPr>
      <w:spacing w:before="0"/>
      <w:ind w:left="549" w:hanging="283"/>
    </w:pPr>
  </w:style>
  <w:style w:type="paragraph" w:customStyle="1" w:styleId="TableBullet1">
    <w:name w:val="Table Bullet 1"/>
    <w:aliases w:val="tb1"/>
    <w:basedOn w:val="TableText"/>
    <w:qFormat/>
    <w:rsid w:val="00F34556"/>
    <w:pPr>
      <w:numPr>
        <w:numId w:val="8"/>
      </w:numPr>
    </w:pPr>
    <w:rPr>
      <w:rFonts w:cs="Arial"/>
      <w:color w:val="auto"/>
      <w:szCs w:val="20"/>
    </w:rPr>
  </w:style>
  <w:style w:type="paragraph" w:customStyle="1" w:styleId="Bullet1">
    <w:name w:val="Bullet 1"/>
    <w:aliases w:val="b1"/>
    <w:basedOn w:val="Normal"/>
    <w:link w:val="Bullet1Char"/>
    <w:qFormat/>
    <w:rsid w:val="005F17F2"/>
    <w:pPr>
      <w:numPr>
        <w:numId w:val="1"/>
      </w:numPr>
      <w:spacing w:before="120" w:after="120" w:line="264" w:lineRule="auto"/>
    </w:pPr>
    <w:rPr>
      <w:lang w:eastAsia="en-AU"/>
    </w:rPr>
  </w:style>
  <w:style w:type="character" w:customStyle="1" w:styleId="Bullet1Char">
    <w:name w:val="Bullet 1 Char"/>
    <w:aliases w:val="b1 Char"/>
    <w:basedOn w:val="DefaultParagraphFont"/>
    <w:link w:val="Bullet1"/>
    <w:rsid w:val="005F17F2"/>
    <w:rPr>
      <w:rFonts w:asciiTheme="minorHAnsi" w:eastAsia="Times New Roman" w:hAnsiTheme="minorHAnsi"/>
      <w:sz w:val="22"/>
      <w:szCs w:val="24"/>
      <w:lang w:val="en-GB"/>
    </w:rPr>
  </w:style>
  <w:style w:type="paragraph" w:customStyle="1" w:styleId="Bullet2">
    <w:name w:val="Bullet 2"/>
    <w:aliases w:val="b2"/>
    <w:basedOn w:val="Bullet1"/>
    <w:qFormat/>
    <w:rsid w:val="00971FF7"/>
    <w:pPr>
      <w:numPr>
        <w:ilvl w:val="1"/>
        <w:numId w:val="2"/>
      </w:numPr>
      <w:spacing w:before="60" w:after="60" w:line="240" w:lineRule="auto"/>
      <w:ind w:left="1134"/>
    </w:pPr>
    <w:rPr>
      <w:rFonts w:eastAsia="Arial Unicode MS"/>
      <w:lang w:val="en-AU"/>
    </w:rPr>
  </w:style>
  <w:style w:type="character" w:styleId="EndnoteReference">
    <w:name w:val="endnote reference"/>
    <w:basedOn w:val="DefaultParagraphFont"/>
    <w:semiHidden/>
    <w:rsid w:val="00D51DC7"/>
    <w:rPr>
      <w:vertAlign w:val="superscript"/>
    </w:rPr>
  </w:style>
  <w:style w:type="paragraph" w:customStyle="1" w:styleId="NoteBullet">
    <w:name w:val="Note Bullet"/>
    <w:basedOn w:val="Note"/>
    <w:rsid w:val="00861912"/>
    <w:pPr>
      <w:numPr>
        <w:numId w:val="7"/>
      </w:numPr>
      <w:spacing w:before="0"/>
      <w:ind w:left="340" w:right="567" w:hanging="113"/>
    </w:pPr>
  </w:style>
  <w:style w:type="paragraph" w:styleId="EndnoteText">
    <w:name w:val="endnote text"/>
    <w:basedOn w:val="Normal"/>
    <w:link w:val="EndnoteTextChar"/>
    <w:semiHidden/>
    <w:rsid w:val="00D51DC7"/>
    <w:rPr>
      <w:szCs w:val="20"/>
      <w:lang w:val="en-AU"/>
    </w:rPr>
  </w:style>
  <w:style w:type="character" w:customStyle="1" w:styleId="EndnoteTextChar">
    <w:name w:val="Endnote Text Char"/>
    <w:basedOn w:val="DefaultParagraphFont"/>
    <w:link w:val="EndnoteText"/>
    <w:semiHidden/>
    <w:rsid w:val="00D51DC7"/>
    <w:rPr>
      <w:rFonts w:ascii="Times New Roman" w:eastAsia="Times New Roman" w:hAnsi="Times New Roman"/>
      <w:lang w:eastAsia="en-GB"/>
    </w:rPr>
  </w:style>
  <w:style w:type="character" w:styleId="PlaceholderText">
    <w:name w:val="Placeholder Text"/>
    <w:basedOn w:val="DefaultParagraphFont"/>
    <w:uiPriority w:val="99"/>
    <w:semiHidden/>
    <w:rsid w:val="00976616"/>
    <w:rPr>
      <w:color w:val="808080"/>
    </w:rPr>
  </w:style>
  <w:style w:type="paragraph" w:customStyle="1" w:styleId="ParaKeep">
    <w:name w:val="Para_Keep"/>
    <w:basedOn w:val="Paragraph"/>
    <w:qFormat/>
    <w:rsid w:val="001A6C1A"/>
    <w:pPr>
      <w:keepNext/>
      <w:keepLines/>
      <w:spacing w:after="120"/>
    </w:pPr>
  </w:style>
  <w:style w:type="table" w:styleId="TableGrid">
    <w:name w:val="Table Grid"/>
    <w:basedOn w:val="TableNormal"/>
    <w:uiPriority w:val="59"/>
    <w:rsid w:val="00DB5A6A"/>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Title"/>
    <w:qFormat/>
    <w:rsid w:val="00D9090E"/>
    <w:pPr>
      <w:ind w:left="2268"/>
    </w:pPr>
    <w:rPr>
      <w:b w:val="0"/>
      <w:bCs w:val="0"/>
      <w:sz w:val="48"/>
      <w:szCs w:val="36"/>
    </w:rPr>
  </w:style>
  <w:style w:type="paragraph" w:styleId="TOC4">
    <w:name w:val="toc 4"/>
    <w:basedOn w:val="Normal"/>
    <w:semiHidden/>
    <w:rsid w:val="00E0065C"/>
    <w:pPr>
      <w:tabs>
        <w:tab w:val="left" w:pos="1230"/>
        <w:tab w:val="left" w:pos="1276"/>
        <w:tab w:val="left" w:pos="1418"/>
        <w:tab w:val="left" w:pos="1560"/>
        <w:tab w:val="left" w:pos="1701"/>
        <w:tab w:val="right" w:pos="7938"/>
        <w:tab w:val="right" w:leader="dot" w:pos="9356"/>
      </w:tabs>
      <w:spacing w:before="120" w:after="60" w:line="264" w:lineRule="auto"/>
      <w:ind w:left="1418" w:right="567" w:hanging="1418"/>
    </w:pPr>
    <w:rPr>
      <w:rFonts w:ascii="Univers 45 Light" w:eastAsia="Arial Unicode MS" w:hAnsi="Univers 45 Light" w:cs="Calibri"/>
      <w:i/>
      <w:noProof/>
      <w:color w:val="003366"/>
      <w:szCs w:val="20"/>
      <w:lang w:val="en-AU" w:eastAsia="en-AU"/>
    </w:rPr>
  </w:style>
  <w:style w:type="paragraph" w:customStyle="1" w:styleId="TOCHeading2">
    <w:name w:val="TOC Heading 2"/>
    <w:basedOn w:val="TOCHeading"/>
    <w:next w:val="Normal"/>
    <w:qFormat/>
    <w:rsid w:val="00D51DC7"/>
    <w:pPr>
      <w:spacing w:before="240"/>
      <w:outlineLvl w:val="1"/>
    </w:pPr>
    <w:rPr>
      <w:sz w:val="36"/>
    </w:rPr>
  </w:style>
  <w:style w:type="character" w:styleId="IntenseEmphasis">
    <w:name w:val="Intense Emphasis"/>
    <w:uiPriority w:val="21"/>
    <w:qFormat/>
    <w:rsid w:val="00D51DC7"/>
    <w:rPr>
      <w:b/>
      <w:bCs/>
      <w:i/>
      <w:iCs/>
      <w:noProof w:val="0"/>
      <w:color w:val="auto"/>
      <w:lang w:val="en-GB"/>
    </w:rPr>
  </w:style>
  <w:style w:type="paragraph" w:customStyle="1" w:styleId="Indent1">
    <w:name w:val="Indent 1"/>
    <w:aliases w:val="i1"/>
    <w:basedOn w:val="Paragraph"/>
    <w:rsid w:val="00353D33"/>
    <w:pPr>
      <w:spacing w:before="120" w:after="0"/>
      <w:ind w:left="709"/>
    </w:pPr>
    <w:rPr>
      <w:rFonts w:eastAsia="Arial Unicode MS"/>
      <w:bCs/>
      <w:lang w:eastAsia="en-AU"/>
    </w:rPr>
  </w:style>
  <w:style w:type="paragraph" w:customStyle="1" w:styleId="Bullet3">
    <w:name w:val="Bullet 3"/>
    <w:aliases w:val="b3"/>
    <w:basedOn w:val="Bullet2"/>
    <w:rsid w:val="00187BC0"/>
    <w:pPr>
      <w:numPr>
        <w:ilvl w:val="0"/>
        <w:numId w:val="10"/>
      </w:numPr>
      <w:ind w:left="1276" w:hanging="283"/>
    </w:pPr>
  </w:style>
  <w:style w:type="paragraph" w:customStyle="1" w:styleId="Indent2">
    <w:name w:val="Indent 2"/>
    <w:aliases w:val="i2"/>
    <w:basedOn w:val="Paragraph"/>
    <w:rsid w:val="00353D33"/>
    <w:pPr>
      <w:spacing w:before="120" w:after="60"/>
      <w:ind w:left="1134"/>
    </w:pPr>
    <w:rPr>
      <w:lang w:val="en-AU" w:eastAsia="en-AU"/>
    </w:rPr>
  </w:style>
  <w:style w:type="paragraph" w:styleId="List3">
    <w:name w:val="List 3"/>
    <w:basedOn w:val="List2"/>
    <w:uiPriority w:val="99"/>
    <w:unhideWhenUsed/>
    <w:qFormat/>
    <w:rsid w:val="00D51DC7"/>
    <w:pPr>
      <w:numPr>
        <w:ilvl w:val="2"/>
        <w:numId w:val="5"/>
      </w:numPr>
    </w:pPr>
  </w:style>
  <w:style w:type="paragraph" w:customStyle="1" w:styleId="List1">
    <w:name w:val="List 1"/>
    <w:aliases w:val="l1,list 1"/>
    <w:basedOn w:val="Normal"/>
    <w:qFormat/>
    <w:rsid w:val="0074719A"/>
    <w:pPr>
      <w:keepNext/>
      <w:keepLines/>
      <w:numPr>
        <w:numId w:val="3"/>
      </w:numPr>
      <w:spacing w:before="120" w:after="120" w:line="264" w:lineRule="auto"/>
    </w:pPr>
    <w:rPr>
      <w:lang w:eastAsia="en-AU"/>
    </w:rPr>
  </w:style>
  <w:style w:type="paragraph" w:styleId="List2">
    <w:name w:val="List 2"/>
    <w:basedOn w:val="List1"/>
    <w:uiPriority w:val="99"/>
    <w:unhideWhenUsed/>
    <w:qFormat/>
    <w:rsid w:val="0074719A"/>
    <w:pPr>
      <w:keepNext w:val="0"/>
      <w:numPr>
        <w:ilvl w:val="1"/>
        <w:numId w:val="4"/>
      </w:numPr>
    </w:pPr>
  </w:style>
  <w:style w:type="paragraph" w:customStyle="1" w:styleId="Client">
    <w:name w:val="Client"/>
    <w:basedOn w:val="Title"/>
    <w:rsid w:val="00EC3E62"/>
    <w:pPr>
      <w:spacing w:before="120"/>
      <w:ind w:right="113"/>
    </w:pPr>
    <w:rPr>
      <w:sz w:val="28"/>
      <w:szCs w:val="40"/>
    </w:rPr>
  </w:style>
  <w:style w:type="character" w:customStyle="1" w:styleId="Bold">
    <w:name w:val="Bold"/>
    <w:aliases w:val="b"/>
    <w:uiPriority w:val="1"/>
    <w:qFormat/>
    <w:rsid w:val="00D51DC7"/>
    <w:rPr>
      <w:b/>
    </w:rPr>
  </w:style>
  <w:style w:type="paragraph" w:customStyle="1" w:styleId="Pullquote">
    <w:name w:val="Pull quote"/>
    <w:basedOn w:val="Quote"/>
    <w:qFormat/>
    <w:rsid w:val="00D170EA"/>
    <w:pPr>
      <w:keepLines/>
      <w:pBdr>
        <w:top w:val="single" w:sz="48" w:space="9" w:color="80CFFF" w:themeColor="text2" w:themeTint="66"/>
        <w:bottom w:val="single" w:sz="48" w:space="8" w:color="80CFFF" w:themeColor="text2" w:themeTint="66"/>
      </w:pBdr>
      <w:spacing w:before="360" w:after="360" w:line="288" w:lineRule="auto"/>
      <w:ind w:left="607"/>
      <w:jc w:val="center"/>
    </w:pPr>
    <w:rPr>
      <w:color w:val="595959" w:themeColor="text1" w:themeTint="A6"/>
      <w:sz w:val="28"/>
    </w:rPr>
  </w:style>
  <w:style w:type="paragraph" w:customStyle="1" w:styleId="Image">
    <w:name w:val="Image"/>
    <w:basedOn w:val="Normal"/>
    <w:rsid w:val="00D51DC7"/>
    <w:pPr>
      <w:widowControl w:val="0"/>
    </w:pPr>
    <w:rPr>
      <w:lang w:eastAsia="en-AU"/>
    </w:rPr>
  </w:style>
  <w:style w:type="paragraph" w:customStyle="1" w:styleId="ListAlpha">
    <w:name w:val="List Alpha"/>
    <w:aliases w:val="LA"/>
    <w:basedOn w:val="List1"/>
    <w:rsid w:val="0018672D"/>
    <w:pPr>
      <w:numPr>
        <w:numId w:val="6"/>
      </w:numPr>
      <w:ind w:left="1035" w:hanging="425"/>
    </w:pPr>
  </w:style>
  <w:style w:type="paragraph" w:styleId="Date">
    <w:name w:val="Date"/>
    <w:basedOn w:val="Client"/>
    <w:next w:val="Normal"/>
    <w:link w:val="DateChar"/>
    <w:uiPriority w:val="99"/>
    <w:unhideWhenUsed/>
    <w:rsid w:val="00EC3E62"/>
    <w:pPr>
      <w:spacing w:before="360"/>
    </w:pPr>
    <w:rPr>
      <w:color w:val="E2F4FF" w:themeColor="accent1" w:themeTint="33"/>
    </w:rPr>
  </w:style>
  <w:style w:type="character" w:customStyle="1" w:styleId="DateChar">
    <w:name w:val="Date Char"/>
    <w:basedOn w:val="DefaultParagraphFont"/>
    <w:link w:val="Date"/>
    <w:uiPriority w:val="99"/>
    <w:rsid w:val="00D51DC7"/>
    <w:rPr>
      <w:rFonts w:ascii="Segoe UI" w:hAnsi="Segoe UI" w:cs="Segoe UI"/>
      <w:b/>
      <w:bCs/>
      <w:noProof/>
      <w:color w:val="E2F4FF" w:themeColor="accent1" w:themeTint="33"/>
      <w:spacing w:val="5"/>
      <w:kern w:val="28"/>
      <w:sz w:val="28"/>
      <w:szCs w:val="40"/>
      <w:lang w:eastAsia="en-US"/>
    </w:rPr>
  </w:style>
  <w:style w:type="character" w:customStyle="1" w:styleId="Italic">
    <w:name w:val="Italic"/>
    <w:uiPriority w:val="1"/>
    <w:qFormat/>
    <w:rsid w:val="00D51DC7"/>
    <w:rPr>
      <w:b w:val="0"/>
      <w:i/>
    </w:rPr>
  </w:style>
  <w:style w:type="paragraph" w:customStyle="1" w:styleId="Bullet1Keep">
    <w:name w:val="Bullet 1_Keep"/>
    <w:aliases w:val="b1k,Bullet 1 Keep"/>
    <w:basedOn w:val="Bullet1"/>
    <w:qFormat/>
    <w:rsid w:val="00884A81"/>
    <w:pPr>
      <w:keepNext/>
      <w:keepLines/>
      <w:spacing w:after="0"/>
    </w:pPr>
    <w:rPr>
      <w:lang w:val="en-AU"/>
    </w:rPr>
  </w:style>
  <w:style w:type="character" w:customStyle="1" w:styleId="CrossReference">
    <w:name w:val="Cross Reference"/>
    <w:uiPriority w:val="1"/>
    <w:rsid w:val="009C3A6D"/>
    <w:rPr>
      <w:i/>
      <w:noProof w:val="0"/>
      <w:bdr w:val="none" w:sz="0" w:space="0" w:color="auto"/>
      <w:shd w:val="clear" w:color="auto" w:fill="auto"/>
      <w:lang w:val="en-GB"/>
    </w:rPr>
  </w:style>
  <w:style w:type="paragraph" w:customStyle="1" w:styleId="Tiny">
    <w:name w:val="Tiny"/>
    <w:basedOn w:val="Normal"/>
    <w:qFormat/>
    <w:rsid w:val="00731FA4"/>
    <w:rPr>
      <w:noProof/>
      <w:sz w:val="2"/>
      <w:szCs w:val="2"/>
    </w:rPr>
  </w:style>
  <w:style w:type="paragraph" w:customStyle="1" w:styleId="Pullquotecompact">
    <w:name w:val="Pull quote_compact"/>
    <w:basedOn w:val="Pullquote"/>
    <w:rsid w:val="004A3F18"/>
    <w:pPr>
      <w:pBdr>
        <w:top w:val="single" w:sz="24" w:space="9" w:color="80CFFF" w:themeColor="text2" w:themeTint="66"/>
        <w:bottom w:val="single" w:sz="24" w:space="8" w:color="80CFFF" w:themeColor="text2" w:themeTint="66"/>
      </w:pBdr>
      <w:spacing w:before="240" w:after="240" w:line="264" w:lineRule="auto"/>
      <w:ind w:left="0" w:right="0"/>
    </w:pPr>
    <w:rPr>
      <w:sz w:val="24"/>
    </w:rPr>
  </w:style>
  <w:style w:type="paragraph" w:customStyle="1" w:styleId="Boxed">
    <w:name w:val="Boxed"/>
    <w:basedOn w:val="Paragraph"/>
    <w:rsid w:val="00A4408F"/>
    <w:pPr>
      <w:pBdr>
        <w:top w:val="single" w:sz="6" w:space="1" w:color="003C60" w:themeColor="text2" w:themeShade="80"/>
        <w:left w:val="single" w:sz="6" w:space="4" w:color="003C60" w:themeColor="text2" w:themeShade="80"/>
        <w:bottom w:val="single" w:sz="6" w:space="1" w:color="003C60" w:themeColor="text2" w:themeShade="80"/>
        <w:right w:val="single" w:sz="6" w:space="4" w:color="003C60" w:themeColor="text2" w:themeShade="80"/>
      </w:pBdr>
      <w:spacing w:before="120"/>
      <w:ind w:left="567" w:right="423"/>
    </w:pPr>
    <w:rPr>
      <w:b/>
      <w:color w:val="003C60" w:themeColor="text2" w:themeShade="80"/>
    </w:rPr>
  </w:style>
  <w:style w:type="table" w:customStyle="1" w:styleId="AHALight">
    <w:name w:val="AHA Light"/>
    <w:basedOn w:val="TableNormal"/>
    <w:uiPriority w:val="99"/>
    <w:rsid w:val="00655FE1"/>
    <w:pPr>
      <w:spacing w:before="60" w:after="60"/>
    </w:pPr>
    <w:rPr>
      <w:rFonts w:asciiTheme="minorHAnsi" w:eastAsia="Calibri" w:hAnsiTheme="minorHAnsi"/>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numbering" w:customStyle="1" w:styleId="CurrentList1">
    <w:name w:val="Current List1"/>
    <w:uiPriority w:val="99"/>
    <w:rsid w:val="002E0C12"/>
    <w:pPr>
      <w:numPr>
        <w:numId w:val="11"/>
      </w:numPr>
    </w:pPr>
  </w:style>
  <w:style w:type="character" w:customStyle="1" w:styleId="Bolditalic">
    <w:name w:val="Bold italic"/>
    <w:basedOn w:val="DefaultParagraphFont"/>
    <w:uiPriority w:val="1"/>
    <w:qFormat/>
    <w:rsid w:val="00556C81"/>
    <w:rPr>
      <w:b/>
      <w:i/>
    </w:rPr>
  </w:style>
  <w:style w:type="paragraph" w:customStyle="1" w:styleId="Bullet2Keep">
    <w:name w:val="Bullet 2_Keep"/>
    <w:basedOn w:val="Bullet2"/>
    <w:next w:val="Bullet2"/>
    <w:rsid w:val="00187BC0"/>
    <w:pPr>
      <w:keepNext/>
      <w:keepLines/>
      <w:spacing w:after="0"/>
      <w:ind w:left="998" w:hanging="221"/>
    </w:pPr>
  </w:style>
  <w:style w:type="paragraph" w:customStyle="1" w:styleId="Subhead1">
    <w:name w:val="Subhead 1"/>
    <w:basedOn w:val="Heading9"/>
    <w:next w:val="Paragraph"/>
    <w:qFormat/>
    <w:rsid w:val="00996C17"/>
    <w:pPr>
      <w:spacing w:before="240" w:after="120" w:line="264" w:lineRule="auto"/>
      <w:ind w:left="0" w:firstLine="0"/>
    </w:pPr>
    <w:rPr>
      <w:color w:val="404040" w:themeColor="text1" w:themeTint="BF"/>
      <w:sz w:val="28"/>
    </w:rPr>
  </w:style>
  <w:style w:type="paragraph" w:customStyle="1" w:styleId="Subhead2">
    <w:name w:val="Subhead 2"/>
    <w:basedOn w:val="Subhead1"/>
    <w:qFormat/>
    <w:rsid w:val="00EE2F39"/>
    <w:rPr>
      <w:bCs/>
      <w:i/>
      <w:sz w:val="24"/>
      <w:szCs w:val="22"/>
    </w:rPr>
  </w:style>
  <w:style w:type="paragraph" w:customStyle="1" w:styleId="Subhead3">
    <w:name w:val="Subhead 3"/>
    <w:basedOn w:val="Subhead2"/>
    <w:qFormat/>
    <w:rsid w:val="00663184"/>
    <w:rPr>
      <w:i w:val="0"/>
      <w:color w:val="auto"/>
      <w:sz w:val="22"/>
      <w:szCs w:val="20"/>
    </w:rPr>
  </w:style>
  <w:style w:type="character" w:customStyle="1" w:styleId="UnresolvedMention1">
    <w:name w:val="Unresolved Mention1"/>
    <w:basedOn w:val="DefaultParagraphFont"/>
    <w:uiPriority w:val="99"/>
    <w:rsid w:val="00817091"/>
    <w:rPr>
      <w:color w:val="605E5C"/>
      <w:shd w:val="clear" w:color="auto" w:fill="E1DFDD"/>
    </w:rPr>
  </w:style>
  <w:style w:type="character" w:customStyle="1" w:styleId="TableTextChar">
    <w:name w:val="Table Text Char"/>
    <w:link w:val="TableText"/>
    <w:rsid w:val="00127ABB"/>
    <w:rPr>
      <w:rFonts w:asciiTheme="minorHAnsi" w:eastAsia="Times New Roman" w:hAnsiTheme="minorHAnsi"/>
      <w:color w:val="000000" w:themeColor="text1"/>
      <w:sz w:val="22"/>
      <w:szCs w:val="24"/>
      <w:lang w:val="en-GB" w:eastAsia="en-US"/>
    </w:rPr>
  </w:style>
  <w:style w:type="character" w:customStyle="1" w:styleId="TableHeading1Char">
    <w:name w:val="Table Heading 1 Char"/>
    <w:aliases w:val="th1 Char"/>
    <w:basedOn w:val="DefaultParagraphFont"/>
    <w:link w:val="TableHeading1"/>
    <w:rsid w:val="004E5026"/>
    <w:rPr>
      <w:rFonts w:asciiTheme="minorHAnsi" w:eastAsia="Times New Roman" w:hAnsiTheme="minorHAnsi"/>
      <w:color w:val="0079C1" w:themeColor="text2"/>
      <w:szCs w:val="24"/>
      <w:lang w:val="en-GB" w:eastAsia="en-US"/>
    </w:rPr>
  </w:style>
  <w:style w:type="character" w:customStyle="1" w:styleId="UnresolvedMention2">
    <w:name w:val="Unresolved Mention2"/>
    <w:basedOn w:val="DefaultParagraphFont"/>
    <w:uiPriority w:val="99"/>
    <w:semiHidden/>
    <w:unhideWhenUsed/>
    <w:rsid w:val="0005472B"/>
    <w:rPr>
      <w:color w:val="605E5C"/>
      <w:shd w:val="clear" w:color="auto" w:fill="E1DFDD"/>
    </w:rPr>
  </w:style>
  <w:style w:type="numbering" w:customStyle="1" w:styleId="Bullets">
    <w:name w:val="Bullets"/>
    <w:uiPriority w:val="99"/>
    <w:rsid w:val="0005472B"/>
    <w:pPr>
      <w:numPr>
        <w:numId w:val="14"/>
      </w:numPr>
    </w:pPr>
  </w:style>
  <w:style w:type="numbering" w:customStyle="1" w:styleId="ZZBullets">
    <w:name w:val="ZZ Bullets"/>
    <w:rsid w:val="001E507C"/>
    <w:pPr>
      <w:numPr>
        <w:numId w:val="15"/>
      </w:numPr>
    </w:pPr>
  </w:style>
  <w:style w:type="character" w:customStyle="1" w:styleId="UnresolvedMention3">
    <w:name w:val="Unresolved Mention3"/>
    <w:basedOn w:val="DefaultParagraphFont"/>
    <w:uiPriority w:val="99"/>
    <w:semiHidden/>
    <w:unhideWhenUsed/>
    <w:rsid w:val="009C2DCC"/>
    <w:rPr>
      <w:color w:val="605E5C"/>
      <w:shd w:val="clear" w:color="auto" w:fill="E1DFDD"/>
    </w:rPr>
  </w:style>
  <w:style w:type="character" w:customStyle="1" w:styleId="UnresolvedMention4">
    <w:name w:val="Unresolved Mention4"/>
    <w:basedOn w:val="DefaultParagraphFont"/>
    <w:uiPriority w:val="99"/>
    <w:semiHidden/>
    <w:unhideWhenUsed/>
    <w:rsid w:val="00236A27"/>
    <w:rPr>
      <w:color w:val="605E5C"/>
      <w:shd w:val="clear" w:color="auto" w:fill="E1DFDD"/>
    </w:rPr>
  </w:style>
  <w:style w:type="character" w:customStyle="1" w:styleId="UnresolvedMention5">
    <w:name w:val="Unresolved Mention5"/>
    <w:basedOn w:val="DefaultParagraphFont"/>
    <w:uiPriority w:val="99"/>
    <w:semiHidden/>
    <w:unhideWhenUsed/>
    <w:rsid w:val="007C7F38"/>
    <w:rPr>
      <w:color w:val="605E5C"/>
      <w:shd w:val="clear" w:color="auto" w:fill="E1DFDD"/>
    </w:rPr>
  </w:style>
  <w:style w:type="paragraph" w:customStyle="1" w:styleId="TableHeading1Rows">
    <w:name w:val="Table Heading 1_Rows"/>
    <w:basedOn w:val="TableHeading1"/>
    <w:qFormat/>
    <w:rsid w:val="00F70CB4"/>
    <w:pPr>
      <w:keepNext w:val="0"/>
      <w:keepLines w:val="0"/>
      <w:spacing w:before="60"/>
    </w:pPr>
  </w:style>
  <w:style w:type="paragraph" w:customStyle="1" w:styleId="TableHeading3">
    <w:name w:val="Table Heading 3"/>
    <w:basedOn w:val="Paragraph"/>
    <w:qFormat/>
    <w:rsid w:val="00F426CF"/>
    <w:pPr>
      <w:spacing w:before="120" w:after="60" w:line="240" w:lineRule="auto"/>
    </w:pPr>
    <w:rPr>
      <w:b/>
      <w:sz w:val="20"/>
    </w:rPr>
  </w:style>
  <w:style w:type="paragraph" w:customStyle="1" w:styleId="TablePara">
    <w:name w:val="Table Para"/>
    <w:basedOn w:val="Paragraph"/>
    <w:qFormat/>
    <w:rsid w:val="00C06C77"/>
    <w:pPr>
      <w:spacing w:before="120" w:after="60" w:line="240" w:lineRule="auto"/>
    </w:pPr>
    <w:rPr>
      <w:sz w:val="20"/>
    </w:rPr>
  </w:style>
  <w:style w:type="paragraph" w:customStyle="1" w:styleId="Tablelistindented">
    <w:name w:val="Table list_indented"/>
    <w:basedOn w:val="Normal"/>
    <w:qFormat/>
    <w:rsid w:val="00C06C77"/>
    <w:pPr>
      <w:numPr>
        <w:numId w:val="16"/>
      </w:numPr>
      <w:spacing w:before="60" w:after="120"/>
      <w:ind w:left="2280"/>
      <w:contextualSpacing/>
    </w:pPr>
    <w:rPr>
      <w:rFonts w:cs="Arial"/>
      <w:szCs w:val="20"/>
      <w:lang w:eastAsia="en-US"/>
    </w:rPr>
  </w:style>
  <w:style w:type="paragraph" w:customStyle="1" w:styleId="TableHeading2Row">
    <w:name w:val="Table Heading 2_Row"/>
    <w:basedOn w:val="TableHeading2"/>
    <w:qFormat/>
    <w:rsid w:val="00100162"/>
    <w:pPr>
      <w:keepNext w:val="0"/>
    </w:pPr>
    <w:rPr>
      <w:b w:val="0"/>
    </w:rPr>
  </w:style>
  <w:style w:type="paragraph" w:customStyle="1" w:styleId="Bullet1Indent">
    <w:name w:val="Bullet 1_Indent"/>
    <w:basedOn w:val="Bullet2"/>
    <w:rsid w:val="007A4B61"/>
    <w:pPr>
      <w:numPr>
        <w:ilvl w:val="0"/>
        <w:numId w:val="17"/>
      </w:numPr>
      <w:spacing w:before="0" w:after="0"/>
      <w:ind w:left="1843" w:hanging="283"/>
    </w:pPr>
  </w:style>
  <w:style w:type="paragraph" w:styleId="ListParagraph">
    <w:name w:val="List Paragraph"/>
    <w:basedOn w:val="Normal"/>
    <w:link w:val="ListParagraphChar"/>
    <w:uiPriority w:val="34"/>
    <w:qFormat/>
    <w:rsid w:val="00CA7B40"/>
    <w:pPr>
      <w:spacing w:line="264" w:lineRule="auto"/>
      <w:ind w:left="720"/>
      <w:contextualSpacing/>
    </w:pPr>
    <w:rPr>
      <w:lang w:eastAsia="en-US"/>
    </w:rPr>
  </w:style>
  <w:style w:type="paragraph" w:customStyle="1" w:styleId="Tabletextsmall">
    <w:name w:val="Table text small"/>
    <w:basedOn w:val="Normal"/>
    <w:qFormat/>
    <w:rsid w:val="00127ABB"/>
    <w:pPr>
      <w:tabs>
        <w:tab w:val="left" w:pos="856"/>
      </w:tabs>
      <w:spacing w:before="60" w:after="60"/>
    </w:pPr>
    <w:rPr>
      <w:color w:val="000000" w:themeColor="text1"/>
      <w:sz w:val="20"/>
      <w:lang w:eastAsia="en-AU"/>
    </w:rPr>
  </w:style>
  <w:style w:type="paragraph" w:styleId="NormalWeb">
    <w:name w:val="Normal (Web)"/>
    <w:basedOn w:val="Normal"/>
    <w:uiPriority w:val="99"/>
    <w:unhideWhenUsed/>
    <w:rsid w:val="000B27E9"/>
    <w:pPr>
      <w:spacing w:before="100" w:beforeAutospacing="1" w:after="100" w:afterAutospacing="1"/>
      <w:jc w:val="both"/>
    </w:pPr>
    <w:rPr>
      <w:rFonts w:eastAsiaTheme="minorEastAsia"/>
      <w:color w:val="515151"/>
      <w:lang w:val="en-AU" w:eastAsia="en-AU"/>
    </w:rPr>
  </w:style>
  <w:style w:type="character" w:customStyle="1" w:styleId="ListParagraphChar">
    <w:name w:val="List Paragraph Char"/>
    <w:basedOn w:val="DefaultParagraphFont"/>
    <w:link w:val="ListParagraph"/>
    <w:uiPriority w:val="34"/>
    <w:rsid w:val="000B27E9"/>
    <w:rPr>
      <w:rFonts w:asciiTheme="minorHAnsi" w:eastAsia="Times New Roman" w:hAnsiTheme="minorHAnsi"/>
      <w:sz w:val="22"/>
      <w:szCs w:val="24"/>
      <w:lang w:val="en-GB" w:eastAsia="en-US"/>
    </w:rPr>
  </w:style>
  <w:style w:type="paragraph" w:customStyle="1" w:styleId="EndNoteBibliography">
    <w:name w:val="EndNote Bibliography"/>
    <w:basedOn w:val="References"/>
    <w:link w:val="EndNoteBibliographyChar"/>
    <w:rsid w:val="00D0537C"/>
  </w:style>
  <w:style w:type="character" w:customStyle="1" w:styleId="EndNoteBibliographyChar">
    <w:name w:val="EndNote Bibliography Char"/>
    <w:basedOn w:val="DefaultParagraphFont"/>
    <w:link w:val="EndNoteBibliography"/>
    <w:rsid w:val="00D0537C"/>
    <w:rPr>
      <w:rFonts w:asciiTheme="minorHAnsi" w:eastAsia="Times New Roman" w:hAnsiTheme="minorHAnsi"/>
      <w:color w:val="000000" w:themeColor="text1"/>
      <w:sz w:val="22"/>
      <w:szCs w:val="24"/>
      <w:lang w:val="en-GB" w:eastAsia="en-US"/>
    </w:rPr>
  </w:style>
  <w:style w:type="character" w:customStyle="1" w:styleId="UnresolvedMention6">
    <w:name w:val="Unresolved Mention6"/>
    <w:basedOn w:val="DefaultParagraphFont"/>
    <w:uiPriority w:val="99"/>
    <w:semiHidden/>
    <w:unhideWhenUsed/>
    <w:rsid w:val="00D4192D"/>
    <w:rPr>
      <w:color w:val="605E5C"/>
      <w:shd w:val="clear" w:color="auto" w:fill="E1DFDD"/>
    </w:rPr>
  </w:style>
  <w:style w:type="character" w:customStyle="1" w:styleId="descriptionclass">
    <w:name w:val="descriptionclass"/>
    <w:basedOn w:val="DefaultParagraphFont"/>
    <w:rsid w:val="00801608"/>
  </w:style>
  <w:style w:type="paragraph" w:customStyle="1" w:styleId="TextBoxList">
    <w:name w:val="Text Box List"/>
    <w:basedOn w:val="Normal"/>
    <w:rsid w:val="00A2476C"/>
    <w:pPr>
      <w:numPr>
        <w:numId w:val="18"/>
      </w:numPr>
      <w:pBdr>
        <w:top w:val="single" w:sz="24" w:space="3" w:color="71C9FF" w:themeColor="accent1"/>
        <w:bottom w:val="single" w:sz="24" w:space="3" w:color="71C9FF" w:themeColor="accent1"/>
      </w:pBdr>
      <w:spacing w:before="240" w:after="240" w:line="264" w:lineRule="auto"/>
      <w:ind w:left="360"/>
      <w:jc w:val="center"/>
    </w:pPr>
    <w:rPr>
      <w:i/>
      <w:color w:val="000000"/>
      <w:lang w:eastAsia="en-US"/>
      <w14:textFill>
        <w14:solidFill>
          <w14:srgbClr w14:val="000000">
            <w14:lumMod w14:val="65000"/>
            <w14:lumOff w14:val="35000"/>
          </w14:srgbClr>
        </w14:solidFill>
      </w14:textFill>
    </w:rPr>
  </w:style>
  <w:style w:type="paragraph" w:customStyle="1" w:styleId="Normal0">
    <w:name w:val="[Normal]"/>
    <w:rsid w:val="008913F6"/>
    <w:pPr>
      <w:widowControl w:val="0"/>
      <w:autoSpaceDE w:val="0"/>
      <w:autoSpaceDN w:val="0"/>
      <w:adjustRightInd w:val="0"/>
    </w:pPr>
    <w:rPr>
      <w:rFonts w:ascii="Arial" w:hAnsi="Arial" w:cs="Arial"/>
      <w:sz w:val="24"/>
      <w:szCs w:val="24"/>
    </w:rPr>
  </w:style>
  <w:style w:type="table" w:styleId="GridTable4">
    <w:name w:val="Grid Table 4"/>
    <w:basedOn w:val="TableNormal"/>
    <w:uiPriority w:val="49"/>
    <w:rsid w:val="000F7F7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0F7F72"/>
    <w:pPr>
      <w:spacing w:line="259" w:lineRule="auto"/>
      <w:jc w:val="center"/>
    </w:pPr>
    <w:rPr>
      <w:rFonts w:ascii="Calibri" w:eastAsiaTheme="minorHAnsi" w:hAnsi="Calibri" w:cs="Calibri"/>
      <w:noProof/>
      <w:szCs w:val="22"/>
      <w:lang w:val="en-US" w:eastAsia="en-US"/>
    </w:rPr>
  </w:style>
  <w:style w:type="character" w:customStyle="1" w:styleId="EndNoteBibliographyTitleChar">
    <w:name w:val="EndNote Bibliography Title Char"/>
    <w:basedOn w:val="DefaultParagraphFont"/>
    <w:link w:val="EndNoteBibliographyTitle"/>
    <w:rsid w:val="000F7F72"/>
    <w:rPr>
      <w:rFonts w:eastAsiaTheme="minorHAnsi" w:cs="Calibri"/>
      <w:noProof/>
      <w:sz w:val="22"/>
      <w:szCs w:val="22"/>
      <w:lang w:val="en-US" w:eastAsia="en-US"/>
    </w:rPr>
  </w:style>
  <w:style w:type="character" w:customStyle="1" w:styleId="UnresolvedMention">
    <w:name w:val="Unresolved Mention"/>
    <w:basedOn w:val="DefaultParagraphFont"/>
    <w:uiPriority w:val="99"/>
    <w:unhideWhenUsed/>
    <w:rsid w:val="000F7F72"/>
    <w:rPr>
      <w:color w:val="605E5C"/>
      <w:shd w:val="clear" w:color="auto" w:fill="E1DFDD"/>
    </w:rPr>
  </w:style>
  <w:style w:type="table" w:styleId="ListTable3">
    <w:name w:val="List Table 3"/>
    <w:basedOn w:val="TableNormal"/>
    <w:uiPriority w:val="48"/>
    <w:rsid w:val="000F7F72"/>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arahanging">
    <w:name w:val="Para_hanging"/>
    <w:basedOn w:val="Paragraph"/>
    <w:qFormat/>
    <w:rsid w:val="00501F69"/>
    <w:pPr>
      <w:ind w:left="720" w:hanging="720"/>
    </w:pPr>
    <w:rPr>
      <w:lang w:val="en-US"/>
    </w:rPr>
  </w:style>
  <w:style w:type="character" w:customStyle="1" w:styleId="txt-white">
    <w:name w:val="txt-white"/>
    <w:basedOn w:val="DefaultParagraphFont"/>
    <w:rsid w:val="00BB1251"/>
  </w:style>
  <w:style w:type="paragraph" w:customStyle="1" w:styleId="TableTextKeep">
    <w:name w:val="Table Text Keep"/>
    <w:basedOn w:val="TableText"/>
    <w:qFormat/>
    <w:rsid w:val="00353F8C"/>
    <w:pPr>
      <w:keepNext/>
    </w:pPr>
  </w:style>
  <w:style w:type="paragraph" w:customStyle="1" w:styleId="TableSubhead">
    <w:name w:val="Table Subhead"/>
    <w:basedOn w:val="Subhead1"/>
    <w:qFormat/>
    <w:rsid w:val="00D301A2"/>
    <w:pPr>
      <w:numPr>
        <w:ilvl w:val="0"/>
        <w:numId w:val="0"/>
      </w:numPr>
      <w:spacing w:after="60" w:line="240" w:lineRule="auto"/>
    </w:pPr>
    <w:rPr>
      <w:color w:val="0079C1" w:themeColor="text2"/>
      <w:sz w:val="20"/>
    </w:rPr>
  </w:style>
  <w:style w:type="paragraph" w:customStyle="1" w:styleId="IndentHanging">
    <w:name w:val="Indent_Hanging"/>
    <w:basedOn w:val="Parahanging"/>
    <w:qFormat/>
    <w:rsid w:val="00774E03"/>
    <w:pPr>
      <w:tabs>
        <w:tab w:val="left" w:pos="1560"/>
      </w:tabs>
      <w:ind w:left="1560" w:hanging="1134"/>
    </w:pPr>
  </w:style>
  <w:style w:type="paragraph" w:customStyle="1" w:styleId="Pullquotemed">
    <w:name w:val="Pull quote_med"/>
    <w:basedOn w:val="Pullquotecompact"/>
    <w:qFormat/>
    <w:rsid w:val="00B25CB1"/>
    <w:pPr>
      <w:numPr>
        <w:numId w:val="21"/>
      </w:numPr>
      <w:tabs>
        <w:tab w:val="num" w:pos="6095"/>
      </w:tabs>
      <w:ind w:left="425" w:hanging="425"/>
      <w:jc w:val="left"/>
    </w:pPr>
    <w:rPr>
      <w:color w:val="404040" w:themeColor="text1" w:themeTint="BF"/>
      <w:sz w:val="28"/>
    </w:rPr>
  </w:style>
  <w:style w:type="paragraph" w:styleId="ListNumber2">
    <w:name w:val="List Number 2"/>
    <w:basedOn w:val="Normal"/>
    <w:rsid w:val="0056509B"/>
    <w:pPr>
      <w:numPr>
        <w:ilvl w:val="6"/>
        <w:numId w:val="22"/>
      </w:numPr>
      <w:tabs>
        <w:tab w:val="clear" w:pos="3600"/>
        <w:tab w:val="num" w:pos="360"/>
      </w:tabs>
      <w:spacing w:before="200" w:line="240" w:lineRule="atLeast"/>
      <w:ind w:left="0" w:firstLine="0"/>
    </w:pPr>
    <w:rPr>
      <w:rFonts w:ascii="Arial" w:eastAsia="SimSun" w:hAnsi="Arial"/>
      <w:szCs w:val="20"/>
      <w:lang w:val="en-AU" w:eastAsia="zh-CN"/>
    </w:rPr>
  </w:style>
  <w:style w:type="paragraph" w:customStyle="1" w:styleId="TextBoxHeading">
    <w:name w:val="Text Box Heading"/>
    <w:basedOn w:val="Normal"/>
    <w:qFormat/>
    <w:rsid w:val="004801C6"/>
    <w:pPr>
      <w:spacing w:before="120" w:after="120" w:line="264" w:lineRule="auto"/>
      <w:jc w:val="center"/>
    </w:pPr>
    <w:rPr>
      <w:rFonts w:ascii="Calibri" w:eastAsia="Calibri" w:hAnsi="Calibri"/>
      <w:color w:val="0079C1" w:themeColor="text2"/>
      <w:sz w:val="32"/>
      <w:szCs w:val="32"/>
      <w:lang w:val="en-AU"/>
    </w:rPr>
  </w:style>
  <w:style w:type="paragraph" w:customStyle="1" w:styleId="TextBox">
    <w:name w:val="Text Box"/>
    <w:basedOn w:val="Normal"/>
    <w:rsid w:val="001F3ED5"/>
    <w:pPr>
      <w:spacing w:before="120" w:after="120"/>
    </w:pPr>
    <w:rPr>
      <w:rFonts w:ascii="Calibri" w:eastAsia="Calibri" w:hAnsi="Calibri"/>
    </w:rPr>
  </w:style>
  <w:style w:type="table" w:styleId="GridTable5Dark-Accent1">
    <w:name w:val="Grid Table 5 Dark Accent 1"/>
    <w:basedOn w:val="TableNormal"/>
    <w:uiPriority w:val="50"/>
    <w:rsid w:val="0031014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9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9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9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9FF" w:themeFill="accent1"/>
      </w:tcPr>
    </w:tblStylePr>
    <w:tblStylePr w:type="band1Vert">
      <w:tblPr/>
      <w:tcPr>
        <w:shd w:val="clear" w:color="auto" w:fill="C6E9FF" w:themeFill="accent1" w:themeFillTint="66"/>
      </w:tcPr>
    </w:tblStylePr>
    <w:tblStylePr w:type="band1Horz">
      <w:tblPr/>
      <w:tcPr>
        <w:shd w:val="clear" w:color="auto" w:fill="C6E9FF" w:themeFill="accent1" w:themeFillTint="66"/>
      </w:tcPr>
    </w:tblStylePr>
  </w:style>
  <w:style w:type="table" w:styleId="ListTable4-Accent1">
    <w:name w:val="List Table 4 Accent 1"/>
    <w:basedOn w:val="TableNormal"/>
    <w:uiPriority w:val="49"/>
    <w:rsid w:val="0031014A"/>
    <w:rPr>
      <w:rFonts w:asciiTheme="minorHAnsi" w:eastAsiaTheme="minorHAnsi" w:hAnsiTheme="minorHAnsi" w:cstheme="minorBidi"/>
      <w:sz w:val="22"/>
      <w:szCs w:val="22"/>
      <w:lang w:eastAsia="en-US"/>
    </w:rPr>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tcBorders>
        <w:shd w:val="clear" w:color="auto" w:fill="71C9FF" w:themeFill="accent1"/>
      </w:tcPr>
    </w:tblStylePr>
    <w:tblStylePr w:type="lastRow">
      <w:rPr>
        <w:b/>
        <w:bCs/>
      </w:rPr>
      <w:tblPr/>
      <w:tcPr>
        <w:tcBorders>
          <w:top w:val="double" w:sz="4" w:space="0" w:color="A9DEFF" w:themeColor="accent1" w:themeTint="99"/>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AHAPlain">
    <w:name w:val="AHA Plain"/>
    <w:basedOn w:val="TableNormal"/>
    <w:uiPriority w:val="99"/>
    <w:rsid w:val="00F81E67"/>
    <w:pPr>
      <w:spacing w:before="60" w:after="60"/>
    </w:pPr>
    <w:rPr>
      <w:rFonts w:asciiTheme="minorHAnsi" w:hAnsiTheme="minorHAnsi"/>
      <w:sz w:val="18"/>
    </w:rPr>
    <w:tblPr>
      <w:tblStyleRowBandSize w:val="1"/>
    </w:tblPr>
    <w:trPr>
      <w:cantSplit/>
    </w:trPr>
    <w:tblStylePr w:type="firstRow">
      <w:pPr>
        <w:keepNext/>
        <w:keepLines/>
        <w:pageBreakBefore w:val="0"/>
        <w:widowControl w:val="0"/>
        <w:wordWrap/>
        <w:spacing w:beforeLines="0" w:before="120" w:beforeAutospacing="0" w:afterLines="0" w:after="60" w:afterAutospacing="0" w:line="240" w:lineRule="auto"/>
        <w:contextualSpacing w:val="0"/>
        <w:mirrorIndents w:val="0"/>
      </w:pPr>
      <w:rPr>
        <w:b/>
      </w:rPr>
      <w:tblPr/>
      <w:trPr>
        <w:tblHeader/>
      </w:trPr>
      <w:tcPr>
        <w:tcBorders>
          <w:top w:val="nil"/>
          <w:left w:val="nil"/>
          <w:bottom w:val="nil"/>
          <w:right w:val="nil"/>
          <w:insideH w:val="nil"/>
          <w:insideV w:val="nil"/>
          <w:tl2br w:val="nil"/>
          <w:tr2bl w:val="nil"/>
        </w:tcBorders>
        <w:vAlign w:val="bottom"/>
      </w:tcPr>
    </w:tblStylePr>
    <w:tblStylePr w:type="lastRow">
      <w:rPr>
        <w:b/>
      </w:rPr>
      <w:tblPr/>
      <w:tcPr>
        <w:tcBorders>
          <w:top w:val="single" w:sz="4" w:space="0" w:color="E5E5E6" w:themeColor="background2" w:themeTint="33"/>
          <w:left w:val="nil"/>
          <w:bottom w:val="single" w:sz="4" w:space="0" w:color="E5E5E6" w:themeColor="background2" w:themeTint="33"/>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E5E5E6" w:themeColor="background2" w:themeTint="33"/>
          <w:left w:val="nil"/>
          <w:bottom w:val="single" w:sz="4" w:space="0" w:color="E5E5E6" w:themeColor="background2" w:themeTint="33"/>
          <w:right w:val="nil"/>
          <w:insideH w:val="nil"/>
          <w:insideV w:val="nil"/>
          <w:tl2br w:val="nil"/>
          <w:tr2bl w:val="nil"/>
        </w:tcBorders>
      </w:tcPr>
    </w:tblStylePr>
  </w:style>
  <w:style w:type="table" w:customStyle="1" w:styleId="AHAHeavy11">
    <w:name w:val="AHA Heavy11"/>
    <w:basedOn w:val="TableNormal"/>
    <w:uiPriority w:val="99"/>
    <w:rsid w:val="00F81E67"/>
    <w:pPr>
      <w:spacing w:before="60" w:after="60"/>
    </w:pPr>
    <w:rPr>
      <w:rFonts w:asciiTheme="minorHAnsi" w:hAnsiTheme="minorHAnsi"/>
      <w:sz w:val="18"/>
    </w:rPr>
    <w:tblPr>
      <w:tblStyleRowBandSize w:val="1"/>
      <w:tblStyleColBandSize w:val="1"/>
      <w:tblBorders>
        <w:top w:val="single" w:sz="4" w:space="0" w:color="0079C1"/>
        <w:bottom w:val="single" w:sz="4" w:space="0" w:color="0079C1"/>
        <w:insideH w:val="single" w:sz="4" w:space="0" w:color="BFE7FF"/>
        <w:insideV w:val="single" w:sz="4" w:space="0" w:color="BFE7FF"/>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rPr>
      <w:tblPr/>
      <w:tcPr>
        <w:tcBorders>
          <w:top w:val="single" w:sz="4" w:space="0" w:color="0079C1"/>
          <w:left w:val="nil"/>
          <w:bottom w:val="single" w:sz="4" w:space="0" w:color="0079C1"/>
          <w:right w:val="nil"/>
          <w:insideV w:val="single" w:sz="4" w:space="0" w:color="BFE7FF"/>
        </w:tcBorders>
        <w:shd w:val="clear" w:color="auto" w:fill="0079C1"/>
        <w:vAlign w:val="center"/>
      </w:tcPr>
    </w:tblStylePr>
    <w:tblStylePr w:type="lastRow">
      <w:rPr>
        <w:b/>
      </w:rPr>
      <w:tblPr/>
      <w:tcPr>
        <w:tcBorders>
          <w:top w:val="single" w:sz="4" w:space="0" w:color="0079C1"/>
          <w:left w:val="nil"/>
          <w:bottom w:val="single" w:sz="4" w:space="0" w:color="0079C1"/>
          <w:right w:val="nil"/>
          <w:insideV w:val="single" w:sz="4" w:space="0" w:color="BFE7FF"/>
        </w:tcBorders>
      </w:tcPr>
    </w:tblStylePr>
    <w:tblStylePr w:type="firstCol">
      <w:rPr>
        <w:b/>
        <w:color w:val="0079C1"/>
      </w:rPr>
      <w:tblPr/>
      <w:tcPr>
        <w:tcBorders>
          <w:top w:val="nil"/>
          <w:left w:val="nil"/>
          <w:bottom w:val="single" w:sz="4" w:space="0" w:color="0079C1"/>
          <w:right w:val="single" w:sz="4" w:space="0" w:color="0079C1"/>
          <w:insideH w:val="single" w:sz="4" w:space="0" w:color="BFE7FF"/>
          <w:insideV w:val="nil"/>
          <w:tl2br w:val="nil"/>
          <w:tr2bl w:val="nil"/>
        </w:tcBorders>
      </w:tcPr>
    </w:tblStylePr>
    <w:tblStylePr w:type="lastCol">
      <w:rPr>
        <w:b/>
      </w:rPr>
      <w:tblPr/>
      <w:tcPr>
        <w:tcBorders>
          <w:top w:val="single" w:sz="4" w:space="0" w:color="0079C1"/>
          <w:left w:val="single" w:sz="4" w:space="0" w:color="0079C1"/>
          <w:bottom w:val="single" w:sz="4" w:space="0" w:color="0079C1"/>
          <w:right w:val="nil"/>
          <w:insideH w:val="single" w:sz="4" w:space="0" w:color="BFE7FF"/>
          <w:insideV w:val="nil"/>
          <w:tl2br w:val="nil"/>
          <w:tr2bl w:val="nil"/>
        </w:tcBorders>
      </w:tcPr>
    </w:tblStylePr>
    <w:tblStylePr w:type="band1Vert">
      <w:tblPr/>
      <w:tcPr>
        <w:shd w:val="clear" w:color="auto" w:fill="E2F4FF"/>
      </w:tcPr>
    </w:tblStylePr>
    <w:tblStylePr w:type="band2Horz">
      <w:tblPr/>
      <w:tcPr>
        <w:shd w:val="clear" w:color="auto" w:fill="E2F4FF"/>
      </w:tcPr>
    </w:tblStylePr>
    <w:tblStylePr w:type="seCell">
      <w:tblPr/>
      <w:tcPr>
        <w:tcBorders>
          <w:top w:val="single" w:sz="4" w:space="0" w:color="0079C1"/>
          <w:left w:val="single" w:sz="4" w:space="0" w:color="0079C1"/>
          <w:bottom w:val="single" w:sz="4" w:space="0" w:color="0079C1"/>
          <w:right w:val="nil"/>
          <w:insideH w:val="nil"/>
          <w:insideV w:val="nil"/>
          <w:tl2br w:val="nil"/>
          <w:tr2bl w:val="nil"/>
        </w:tcBorders>
      </w:tcPr>
    </w:tblStylePr>
    <w:tblStylePr w:type="swCell">
      <w:tblPr/>
      <w:tcPr>
        <w:tcBorders>
          <w:top w:val="single" w:sz="4" w:space="0" w:color="0079C1"/>
          <w:left w:val="nil"/>
          <w:bottom w:val="single" w:sz="4" w:space="0" w:color="0079C1"/>
          <w:right w:val="single" w:sz="4" w:space="0" w:color="0079C1"/>
          <w:insideH w:val="nil"/>
          <w:insideV w:val="nil"/>
          <w:tl2br w:val="nil"/>
          <w:tr2bl w:val="nil"/>
        </w:tcBorders>
      </w:tcPr>
    </w:tblStylePr>
  </w:style>
  <w:style w:type="table" w:customStyle="1" w:styleId="AHAHeavy1">
    <w:name w:val="AHA Heavy1"/>
    <w:basedOn w:val="TableNormal"/>
    <w:uiPriority w:val="99"/>
    <w:rsid w:val="00FA12CE"/>
    <w:pPr>
      <w:spacing w:before="60" w:after="60"/>
    </w:pPr>
    <w:rPr>
      <w:rFonts w:asciiTheme="minorHAnsi" w:hAnsiTheme="minorHAnsi"/>
      <w:sz w:val="18"/>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9C1" w:themeColor="text2"/>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Heavy">
    <w:name w:val="AHA Heavy"/>
    <w:basedOn w:val="TableNormal"/>
    <w:uiPriority w:val="99"/>
    <w:rsid w:val="00EA09A1"/>
    <w:pPr>
      <w:spacing w:before="60" w:after="60"/>
    </w:pPr>
    <w:rPr>
      <w:rFonts w:asciiTheme="minorHAnsi" w:hAnsiTheme="minorHAnsi"/>
      <w:sz w:val="18"/>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9C1" w:themeColor="text2"/>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character" w:customStyle="1" w:styleId="Mention">
    <w:name w:val="Mention"/>
    <w:basedOn w:val="DefaultParagraphFont"/>
    <w:uiPriority w:val="99"/>
    <w:unhideWhenUsed/>
    <w:rsid w:val="0047761D"/>
    <w:rPr>
      <w:color w:val="2B579A"/>
      <w:shd w:val="clear" w:color="auto" w:fill="E1DFDD"/>
    </w:rPr>
  </w:style>
  <w:style w:type="table" w:customStyle="1" w:styleId="ListTable6Colorful-Accent11">
    <w:name w:val="List Table 6 Colorful - Accent 11"/>
    <w:basedOn w:val="TableNormal"/>
    <w:uiPriority w:val="51"/>
    <w:rsid w:val="00517BD5"/>
    <w:rPr>
      <w:color w:val="14A5FF" w:themeColor="accent1" w:themeShade="BF"/>
    </w:rPr>
    <w:tblPr>
      <w:tblStyleRowBandSize w:val="1"/>
      <w:tblStyleColBandSize w:val="1"/>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ListTable6Colorful-Accent12">
    <w:name w:val="List Table 6 Colorful - Accent 12"/>
    <w:basedOn w:val="TableNormal"/>
    <w:uiPriority w:val="51"/>
    <w:rsid w:val="00517BD5"/>
    <w:rPr>
      <w:color w:val="14A5FF" w:themeColor="accent1" w:themeShade="BF"/>
    </w:rPr>
    <w:tblPr>
      <w:tblStyleRowBandSize w:val="1"/>
      <w:tblStyleColBandSize w:val="1"/>
      <w:tblBorders>
        <w:top w:val="single" w:sz="4" w:space="0" w:color="71C9FF" w:themeColor="accent1"/>
        <w:bottom w:val="single" w:sz="4" w:space="0" w:color="71C9FF" w:themeColor="accent1"/>
      </w:tblBorders>
    </w:tblPr>
    <w:tblStylePr w:type="firstRow">
      <w:rPr>
        <w:b/>
        <w:bCs/>
      </w:rPr>
      <w:tblPr/>
      <w:tcPr>
        <w:tcBorders>
          <w:bottom w:val="single" w:sz="4" w:space="0" w:color="71C9FF" w:themeColor="accent1"/>
        </w:tcBorders>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GridTable1Light-Accent11">
    <w:name w:val="Grid Table 1 Light - Accent 11"/>
    <w:basedOn w:val="TableNormal"/>
    <w:uiPriority w:val="46"/>
    <w:rsid w:val="00517BD5"/>
    <w:tblPr>
      <w:tblStyleRowBandSize w:val="1"/>
      <w:tblStyleColBandSize w:val="1"/>
      <w:tblBorders>
        <w:top w:val="single" w:sz="4" w:space="0" w:color="C6E9FF" w:themeColor="accent1" w:themeTint="66"/>
        <w:left w:val="single" w:sz="4" w:space="0" w:color="C6E9FF" w:themeColor="accent1" w:themeTint="66"/>
        <w:bottom w:val="single" w:sz="4" w:space="0" w:color="C6E9FF" w:themeColor="accent1" w:themeTint="66"/>
        <w:right w:val="single" w:sz="4" w:space="0" w:color="C6E9FF" w:themeColor="accent1" w:themeTint="66"/>
        <w:insideH w:val="single" w:sz="4" w:space="0" w:color="C6E9FF" w:themeColor="accent1" w:themeTint="66"/>
        <w:insideV w:val="single" w:sz="4" w:space="0" w:color="C6E9FF" w:themeColor="accent1" w:themeTint="66"/>
      </w:tblBorders>
    </w:tblPr>
    <w:tblStylePr w:type="firstRow">
      <w:rPr>
        <w:b/>
        <w:bCs/>
      </w:rPr>
      <w:tblPr/>
      <w:tcPr>
        <w:tcBorders>
          <w:bottom w:val="single" w:sz="12" w:space="0" w:color="A9DEFF" w:themeColor="accent1" w:themeTint="99"/>
        </w:tcBorders>
      </w:tcPr>
    </w:tblStylePr>
    <w:tblStylePr w:type="lastRow">
      <w:rPr>
        <w:b/>
        <w:bCs/>
      </w:rPr>
      <w:tblPr/>
      <w:tcPr>
        <w:tcBorders>
          <w:top w:val="double" w:sz="2" w:space="0" w:color="A9DEFF" w:themeColor="accent1" w:themeTint="99"/>
        </w:tcBorders>
      </w:tcPr>
    </w:tblStylePr>
    <w:tblStylePr w:type="firstCol">
      <w:rPr>
        <w:b/>
        <w:bCs/>
      </w:rPr>
    </w:tblStylePr>
    <w:tblStylePr w:type="lastCol">
      <w:rPr>
        <w:b/>
        <w:bCs/>
      </w:rPr>
    </w:tblStylePr>
  </w:style>
  <w:style w:type="table" w:customStyle="1" w:styleId="Banded1">
    <w:name w:val="Banded1"/>
    <w:basedOn w:val="TableNormal"/>
    <w:rsid w:val="00517BD5"/>
    <w:rPr>
      <w:sz w:val="22"/>
      <w:szCs w:val="22"/>
    </w:rPr>
    <w:tblPr>
      <w:tblStyleRowBandSize w:val="1"/>
      <w:tblBorders>
        <w:top w:val="single" w:sz="4" w:space="0" w:color="00A2C1" w:themeColor="accent3"/>
        <w:bottom w:val="single" w:sz="4" w:space="0" w:color="00A2C1" w:themeColor="accent3"/>
        <w:insideH w:val="single" w:sz="4" w:space="0" w:color="BFE7FF" w:themeColor="text2" w:themeTint="33"/>
        <w:insideV w:val="single" w:sz="4" w:space="0" w:color="E2F4FF" w:themeColor="accent1" w:themeTint="33"/>
      </w:tblBorders>
    </w:tblPr>
    <w:tblStylePr w:type="firstRow">
      <w:tblPr/>
      <w:tcPr>
        <w:tcBorders>
          <w:top w:val="single" w:sz="4" w:space="0" w:color="00A2C1" w:themeColor="accent3"/>
          <w:bottom w:val="single" w:sz="4" w:space="0" w:color="00A2C1" w:themeColor="accent3"/>
        </w:tcBorders>
        <w:shd w:val="clear" w:color="auto" w:fill="00A2C1" w:themeFill="accent3"/>
      </w:tcPr>
    </w:tblStylePr>
    <w:tblStylePr w:type="firstCol">
      <w:tblPr/>
      <w:tcPr>
        <w:shd w:val="clear" w:color="auto" w:fill="E2F4FF" w:themeFill="accent1" w:themeFillTint="33"/>
      </w:tcPr>
    </w:tblStylePr>
    <w:tblStylePr w:type="band1Horz">
      <w:tblPr/>
      <w:tcPr>
        <w:tcBorders>
          <w:top w:val="nil"/>
          <w:left w:val="nil"/>
          <w:bottom w:val="nil"/>
          <w:right w:val="nil"/>
          <w:insideH w:val="nil"/>
          <w:insideV w:val="nil"/>
        </w:tcBorders>
        <w:shd w:val="clear" w:color="auto" w:fill="E2F4FF" w:themeFill="accent1" w:themeFillTint="33"/>
      </w:tcPr>
    </w:tblStylePr>
  </w:style>
  <w:style w:type="table" w:customStyle="1" w:styleId="TableGrid1">
    <w:name w:val="Table Grid1"/>
    <w:basedOn w:val="TableNormal"/>
    <w:next w:val="TableGrid"/>
    <w:uiPriority w:val="59"/>
    <w:rsid w:val="008A344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B6C3A"/>
  </w:style>
  <w:style w:type="character" w:customStyle="1" w:styleId="eop">
    <w:name w:val="eop"/>
    <w:basedOn w:val="DefaultParagraphFont"/>
    <w:rsid w:val="004B6C3A"/>
  </w:style>
  <w:style w:type="character" w:customStyle="1" w:styleId="contextualspellingandgrammarerror">
    <w:name w:val="contextualspellingandgrammarerror"/>
    <w:basedOn w:val="DefaultParagraphFont"/>
    <w:rsid w:val="004B6C3A"/>
  </w:style>
  <w:style w:type="character" w:customStyle="1" w:styleId="advancedproofingissue">
    <w:name w:val="advancedproofingissue"/>
    <w:basedOn w:val="DefaultParagraphFont"/>
    <w:rsid w:val="004B6C3A"/>
  </w:style>
  <w:style w:type="paragraph" w:customStyle="1" w:styleId="th1small">
    <w:name w:val="th1_small"/>
    <w:basedOn w:val="TableHeading1"/>
    <w:qFormat/>
    <w:rsid w:val="00127ABB"/>
    <w:rPr>
      <w:sz w:val="20"/>
    </w:rPr>
  </w:style>
  <w:style w:type="paragraph" w:customStyle="1" w:styleId="Archetype">
    <w:name w:val="Archetype"/>
    <w:basedOn w:val="Heading8"/>
    <w:qFormat/>
    <w:rsid w:val="00CA184D"/>
    <w:pPr>
      <w:pBdr>
        <w:top w:val="single" w:sz="24" w:space="1" w:color="E2F4FF" w:themeColor="accent1" w:themeTint="33"/>
        <w:left w:val="single" w:sz="24" w:space="4" w:color="E2F4FF" w:themeColor="accent1" w:themeTint="33"/>
        <w:bottom w:val="single" w:sz="24" w:space="1" w:color="E2F4FF" w:themeColor="accent1" w:themeTint="33"/>
        <w:right w:val="single" w:sz="24" w:space="4" w:color="E2F4FF" w:themeColor="accent1" w:themeTint="33"/>
      </w:pBdr>
      <w:shd w:val="clear" w:color="auto" w:fill="E2F4FF" w:themeFill="accent1" w:themeFillTint="33"/>
      <w:tabs>
        <w:tab w:val="clear" w:pos="2977"/>
        <w:tab w:val="left" w:pos="993"/>
      </w:tabs>
      <w:spacing w:before="0" w:after="120"/>
    </w:pPr>
    <w:rPr>
      <w:sz w:val="32"/>
      <w:szCs w:val="22"/>
    </w:rPr>
  </w:style>
  <w:style w:type="paragraph" w:customStyle="1" w:styleId="CBsummary">
    <w:name w:val="CB summary"/>
    <w:basedOn w:val="Subhead1"/>
    <w:qFormat/>
    <w:rsid w:val="00CE7950"/>
    <w:pPr>
      <w:tabs>
        <w:tab w:val="left" w:pos="1134"/>
        <w:tab w:val="left" w:pos="2410"/>
      </w:tabs>
      <w:spacing w:before="120"/>
    </w:pPr>
    <w:rPr>
      <w:b w:val="0"/>
      <w:sz w:val="24"/>
    </w:rPr>
  </w:style>
  <w:style w:type="paragraph" w:customStyle="1" w:styleId="Summary">
    <w:name w:val="Summary"/>
    <w:basedOn w:val="CBsummary"/>
    <w:qFormat/>
    <w:rsid w:val="008545DA"/>
    <w:pPr>
      <w:pBdr>
        <w:top w:val="single" w:sz="24" w:space="1" w:color="E2F4FF" w:themeColor="accent1" w:themeTint="33"/>
        <w:left w:val="single" w:sz="24" w:space="4" w:color="E2F4FF" w:themeColor="accent1" w:themeTint="33"/>
        <w:bottom w:val="single" w:sz="24" w:space="1" w:color="E2F4FF" w:themeColor="accent1" w:themeTint="33"/>
        <w:right w:val="single" w:sz="24" w:space="4" w:color="E2F4FF" w:themeColor="accent1" w:themeTint="33"/>
      </w:pBdr>
      <w:shd w:val="clear" w:color="auto" w:fill="E2F4FF" w:themeFill="accent1" w:themeFillTint="33"/>
      <w:spacing w:before="0"/>
    </w:pPr>
  </w:style>
  <w:style w:type="character" w:customStyle="1" w:styleId="Blue">
    <w:name w:val="Blue"/>
    <w:uiPriority w:val="1"/>
    <w:qFormat/>
    <w:rsid w:val="00CE7950"/>
    <w:rPr>
      <w:color w:val="0079C1" w:themeColor="text2"/>
    </w:rPr>
  </w:style>
  <w:style w:type="character" w:customStyle="1" w:styleId="Invisible">
    <w:name w:val="Invisible"/>
    <w:uiPriority w:val="1"/>
    <w:qFormat/>
    <w:rsid w:val="00A60254"/>
    <w:rPr>
      <w:b/>
      <w:color w:val="FFFFFF" w:themeColor="background1"/>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9705">
      <w:bodyDiv w:val="1"/>
      <w:marLeft w:val="0"/>
      <w:marRight w:val="0"/>
      <w:marTop w:val="0"/>
      <w:marBottom w:val="0"/>
      <w:divBdr>
        <w:top w:val="none" w:sz="0" w:space="0" w:color="auto"/>
        <w:left w:val="none" w:sz="0" w:space="0" w:color="auto"/>
        <w:bottom w:val="none" w:sz="0" w:space="0" w:color="auto"/>
        <w:right w:val="none" w:sz="0" w:space="0" w:color="auto"/>
      </w:divBdr>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48847075">
      <w:bodyDiv w:val="1"/>
      <w:marLeft w:val="0"/>
      <w:marRight w:val="0"/>
      <w:marTop w:val="0"/>
      <w:marBottom w:val="0"/>
      <w:divBdr>
        <w:top w:val="none" w:sz="0" w:space="0" w:color="auto"/>
        <w:left w:val="none" w:sz="0" w:space="0" w:color="auto"/>
        <w:bottom w:val="none" w:sz="0" w:space="0" w:color="auto"/>
        <w:right w:val="none" w:sz="0" w:space="0" w:color="auto"/>
      </w:divBdr>
    </w:div>
    <w:div w:id="58678791">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1510642">
      <w:bodyDiv w:val="1"/>
      <w:marLeft w:val="0"/>
      <w:marRight w:val="0"/>
      <w:marTop w:val="0"/>
      <w:marBottom w:val="0"/>
      <w:divBdr>
        <w:top w:val="none" w:sz="0" w:space="0" w:color="auto"/>
        <w:left w:val="none" w:sz="0" w:space="0" w:color="auto"/>
        <w:bottom w:val="none" w:sz="0" w:space="0" w:color="auto"/>
        <w:right w:val="none" w:sz="0" w:space="0" w:color="auto"/>
      </w:divBdr>
    </w:div>
    <w:div w:id="97255642">
      <w:bodyDiv w:val="1"/>
      <w:marLeft w:val="0"/>
      <w:marRight w:val="0"/>
      <w:marTop w:val="0"/>
      <w:marBottom w:val="0"/>
      <w:divBdr>
        <w:top w:val="none" w:sz="0" w:space="0" w:color="auto"/>
        <w:left w:val="none" w:sz="0" w:space="0" w:color="auto"/>
        <w:bottom w:val="none" w:sz="0" w:space="0" w:color="auto"/>
        <w:right w:val="none" w:sz="0" w:space="0" w:color="auto"/>
      </w:divBdr>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43084733">
      <w:bodyDiv w:val="1"/>
      <w:marLeft w:val="0"/>
      <w:marRight w:val="0"/>
      <w:marTop w:val="0"/>
      <w:marBottom w:val="0"/>
      <w:divBdr>
        <w:top w:val="none" w:sz="0" w:space="0" w:color="auto"/>
        <w:left w:val="none" w:sz="0" w:space="0" w:color="auto"/>
        <w:bottom w:val="none" w:sz="0" w:space="0" w:color="auto"/>
        <w:right w:val="none" w:sz="0" w:space="0" w:color="auto"/>
      </w:divBdr>
    </w:div>
    <w:div w:id="148133196">
      <w:bodyDiv w:val="1"/>
      <w:marLeft w:val="0"/>
      <w:marRight w:val="0"/>
      <w:marTop w:val="0"/>
      <w:marBottom w:val="0"/>
      <w:divBdr>
        <w:top w:val="none" w:sz="0" w:space="0" w:color="auto"/>
        <w:left w:val="none" w:sz="0" w:space="0" w:color="auto"/>
        <w:bottom w:val="none" w:sz="0" w:space="0" w:color="auto"/>
        <w:right w:val="none" w:sz="0" w:space="0" w:color="auto"/>
      </w:divBdr>
      <w:divsChild>
        <w:div w:id="803352294">
          <w:marLeft w:val="547"/>
          <w:marRight w:val="0"/>
          <w:marTop w:val="0"/>
          <w:marBottom w:val="0"/>
          <w:divBdr>
            <w:top w:val="none" w:sz="0" w:space="0" w:color="auto"/>
            <w:left w:val="none" w:sz="0" w:space="0" w:color="auto"/>
            <w:bottom w:val="none" w:sz="0" w:space="0" w:color="auto"/>
            <w:right w:val="none" w:sz="0" w:space="0" w:color="auto"/>
          </w:divBdr>
        </w:div>
        <w:div w:id="1891309560">
          <w:marLeft w:val="1166"/>
          <w:marRight w:val="0"/>
          <w:marTop w:val="0"/>
          <w:marBottom w:val="0"/>
          <w:divBdr>
            <w:top w:val="none" w:sz="0" w:space="0" w:color="auto"/>
            <w:left w:val="none" w:sz="0" w:space="0" w:color="auto"/>
            <w:bottom w:val="none" w:sz="0" w:space="0" w:color="auto"/>
            <w:right w:val="none" w:sz="0" w:space="0" w:color="auto"/>
          </w:divBdr>
        </w:div>
        <w:div w:id="645160373">
          <w:marLeft w:val="547"/>
          <w:marRight w:val="0"/>
          <w:marTop w:val="0"/>
          <w:marBottom w:val="0"/>
          <w:divBdr>
            <w:top w:val="none" w:sz="0" w:space="0" w:color="auto"/>
            <w:left w:val="none" w:sz="0" w:space="0" w:color="auto"/>
            <w:bottom w:val="none" w:sz="0" w:space="0" w:color="auto"/>
            <w:right w:val="none" w:sz="0" w:space="0" w:color="auto"/>
          </w:divBdr>
        </w:div>
        <w:div w:id="856306812">
          <w:marLeft w:val="1166"/>
          <w:marRight w:val="0"/>
          <w:marTop w:val="0"/>
          <w:marBottom w:val="0"/>
          <w:divBdr>
            <w:top w:val="none" w:sz="0" w:space="0" w:color="auto"/>
            <w:left w:val="none" w:sz="0" w:space="0" w:color="auto"/>
            <w:bottom w:val="none" w:sz="0" w:space="0" w:color="auto"/>
            <w:right w:val="none" w:sz="0" w:space="0" w:color="auto"/>
          </w:divBdr>
        </w:div>
        <w:div w:id="1410812639">
          <w:marLeft w:val="547"/>
          <w:marRight w:val="0"/>
          <w:marTop w:val="0"/>
          <w:marBottom w:val="0"/>
          <w:divBdr>
            <w:top w:val="none" w:sz="0" w:space="0" w:color="auto"/>
            <w:left w:val="none" w:sz="0" w:space="0" w:color="auto"/>
            <w:bottom w:val="none" w:sz="0" w:space="0" w:color="auto"/>
            <w:right w:val="none" w:sz="0" w:space="0" w:color="auto"/>
          </w:divBdr>
        </w:div>
        <w:div w:id="166293857">
          <w:marLeft w:val="1166"/>
          <w:marRight w:val="0"/>
          <w:marTop w:val="0"/>
          <w:marBottom w:val="0"/>
          <w:divBdr>
            <w:top w:val="none" w:sz="0" w:space="0" w:color="auto"/>
            <w:left w:val="none" w:sz="0" w:space="0" w:color="auto"/>
            <w:bottom w:val="none" w:sz="0" w:space="0" w:color="auto"/>
            <w:right w:val="none" w:sz="0" w:space="0" w:color="auto"/>
          </w:divBdr>
        </w:div>
        <w:div w:id="1344162626">
          <w:marLeft w:val="547"/>
          <w:marRight w:val="0"/>
          <w:marTop w:val="0"/>
          <w:marBottom w:val="0"/>
          <w:divBdr>
            <w:top w:val="none" w:sz="0" w:space="0" w:color="auto"/>
            <w:left w:val="none" w:sz="0" w:space="0" w:color="auto"/>
            <w:bottom w:val="none" w:sz="0" w:space="0" w:color="auto"/>
            <w:right w:val="none" w:sz="0" w:space="0" w:color="auto"/>
          </w:divBdr>
        </w:div>
        <w:div w:id="629744642">
          <w:marLeft w:val="1166"/>
          <w:marRight w:val="0"/>
          <w:marTop w:val="0"/>
          <w:marBottom w:val="0"/>
          <w:divBdr>
            <w:top w:val="none" w:sz="0" w:space="0" w:color="auto"/>
            <w:left w:val="none" w:sz="0" w:space="0" w:color="auto"/>
            <w:bottom w:val="none" w:sz="0" w:space="0" w:color="auto"/>
            <w:right w:val="none" w:sz="0" w:space="0" w:color="auto"/>
          </w:divBdr>
        </w:div>
        <w:div w:id="2112897575">
          <w:marLeft w:val="547"/>
          <w:marRight w:val="0"/>
          <w:marTop w:val="0"/>
          <w:marBottom w:val="0"/>
          <w:divBdr>
            <w:top w:val="none" w:sz="0" w:space="0" w:color="auto"/>
            <w:left w:val="none" w:sz="0" w:space="0" w:color="auto"/>
            <w:bottom w:val="none" w:sz="0" w:space="0" w:color="auto"/>
            <w:right w:val="none" w:sz="0" w:space="0" w:color="auto"/>
          </w:divBdr>
        </w:div>
        <w:div w:id="902369658">
          <w:marLeft w:val="1166"/>
          <w:marRight w:val="0"/>
          <w:marTop w:val="0"/>
          <w:marBottom w:val="0"/>
          <w:divBdr>
            <w:top w:val="none" w:sz="0" w:space="0" w:color="auto"/>
            <w:left w:val="none" w:sz="0" w:space="0" w:color="auto"/>
            <w:bottom w:val="none" w:sz="0" w:space="0" w:color="auto"/>
            <w:right w:val="none" w:sz="0" w:space="0" w:color="auto"/>
          </w:divBdr>
        </w:div>
        <w:div w:id="1940676404">
          <w:marLeft w:val="547"/>
          <w:marRight w:val="0"/>
          <w:marTop w:val="0"/>
          <w:marBottom w:val="0"/>
          <w:divBdr>
            <w:top w:val="none" w:sz="0" w:space="0" w:color="auto"/>
            <w:left w:val="none" w:sz="0" w:space="0" w:color="auto"/>
            <w:bottom w:val="none" w:sz="0" w:space="0" w:color="auto"/>
            <w:right w:val="none" w:sz="0" w:space="0" w:color="auto"/>
          </w:divBdr>
        </w:div>
        <w:div w:id="1011224313">
          <w:marLeft w:val="1166"/>
          <w:marRight w:val="0"/>
          <w:marTop w:val="0"/>
          <w:marBottom w:val="0"/>
          <w:divBdr>
            <w:top w:val="none" w:sz="0" w:space="0" w:color="auto"/>
            <w:left w:val="none" w:sz="0" w:space="0" w:color="auto"/>
            <w:bottom w:val="none" w:sz="0" w:space="0" w:color="auto"/>
            <w:right w:val="none" w:sz="0" w:space="0" w:color="auto"/>
          </w:divBdr>
        </w:div>
        <w:div w:id="33506006">
          <w:marLeft w:val="547"/>
          <w:marRight w:val="0"/>
          <w:marTop w:val="0"/>
          <w:marBottom w:val="0"/>
          <w:divBdr>
            <w:top w:val="none" w:sz="0" w:space="0" w:color="auto"/>
            <w:left w:val="none" w:sz="0" w:space="0" w:color="auto"/>
            <w:bottom w:val="none" w:sz="0" w:space="0" w:color="auto"/>
            <w:right w:val="none" w:sz="0" w:space="0" w:color="auto"/>
          </w:divBdr>
        </w:div>
        <w:div w:id="181089157">
          <w:marLeft w:val="1166"/>
          <w:marRight w:val="0"/>
          <w:marTop w:val="0"/>
          <w:marBottom w:val="0"/>
          <w:divBdr>
            <w:top w:val="none" w:sz="0" w:space="0" w:color="auto"/>
            <w:left w:val="none" w:sz="0" w:space="0" w:color="auto"/>
            <w:bottom w:val="none" w:sz="0" w:space="0" w:color="auto"/>
            <w:right w:val="none" w:sz="0" w:space="0" w:color="auto"/>
          </w:divBdr>
        </w:div>
      </w:divsChild>
    </w:div>
    <w:div w:id="156772848">
      <w:bodyDiv w:val="1"/>
      <w:marLeft w:val="0"/>
      <w:marRight w:val="0"/>
      <w:marTop w:val="0"/>
      <w:marBottom w:val="0"/>
      <w:divBdr>
        <w:top w:val="none" w:sz="0" w:space="0" w:color="auto"/>
        <w:left w:val="none" w:sz="0" w:space="0" w:color="auto"/>
        <w:bottom w:val="none" w:sz="0" w:space="0" w:color="auto"/>
        <w:right w:val="none" w:sz="0" w:space="0" w:color="auto"/>
      </w:divBdr>
    </w:div>
    <w:div w:id="164248138">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88105059">
      <w:bodyDiv w:val="1"/>
      <w:marLeft w:val="0"/>
      <w:marRight w:val="0"/>
      <w:marTop w:val="0"/>
      <w:marBottom w:val="0"/>
      <w:divBdr>
        <w:top w:val="none" w:sz="0" w:space="0" w:color="auto"/>
        <w:left w:val="none" w:sz="0" w:space="0" w:color="auto"/>
        <w:bottom w:val="none" w:sz="0" w:space="0" w:color="auto"/>
        <w:right w:val="none" w:sz="0" w:space="0" w:color="auto"/>
      </w:divBdr>
    </w:div>
    <w:div w:id="191261862">
      <w:bodyDiv w:val="1"/>
      <w:marLeft w:val="0"/>
      <w:marRight w:val="0"/>
      <w:marTop w:val="0"/>
      <w:marBottom w:val="0"/>
      <w:divBdr>
        <w:top w:val="none" w:sz="0" w:space="0" w:color="auto"/>
        <w:left w:val="none" w:sz="0" w:space="0" w:color="auto"/>
        <w:bottom w:val="none" w:sz="0" w:space="0" w:color="auto"/>
        <w:right w:val="none" w:sz="0" w:space="0" w:color="auto"/>
      </w:divBdr>
    </w:div>
    <w:div w:id="192379596">
      <w:bodyDiv w:val="1"/>
      <w:marLeft w:val="0"/>
      <w:marRight w:val="0"/>
      <w:marTop w:val="0"/>
      <w:marBottom w:val="0"/>
      <w:divBdr>
        <w:top w:val="none" w:sz="0" w:space="0" w:color="auto"/>
        <w:left w:val="none" w:sz="0" w:space="0" w:color="auto"/>
        <w:bottom w:val="none" w:sz="0" w:space="0" w:color="auto"/>
        <w:right w:val="none" w:sz="0" w:space="0" w:color="auto"/>
      </w:divBdr>
    </w:div>
    <w:div w:id="193735828">
      <w:bodyDiv w:val="1"/>
      <w:marLeft w:val="0"/>
      <w:marRight w:val="0"/>
      <w:marTop w:val="0"/>
      <w:marBottom w:val="0"/>
      <w:divBdr>
        <w:top w:val="none" w:sz="0" w:space="0" w:color="auto"/>
        <w:left w:val="none" w:sz="0" w:space="0" w:color="auto"/>
        <w:bottom w:val="none" w:sz="0" w:space="0" w:color="auto"/>
        <w:right w:val="none" w:sz="0" w:space="0" w:color="auto"/>
      </w:divBdr>
    </w:div>
    <w:div w:id="197161101">
      <w:bodyDiv w:val="1"/>
      <w:marLeft w:val="0"/>
      <w:marRight w:val="0"/>
      <w:marTop w:val="0"/>
      <w:marBottom w:val="0"/>
      <w:divBdr>
        <w:top w:val="none" w:sz="0" w:space="0" w:color="auto"/>
        <w:left w:val="none" w:sz="0" w:space="0" w:color="auto"/>
        <w:bottom w:val="none" w:sz="0" w:space="0" w:color="auto"/>
        <w:right w:val="none" w:sz="0" w:space="0" w:color="auto"/>
      </w:divBdr>
    </w:div>
    <w:div w:id="204949817">
      <w:bodyDiv w:val="1"/>
      <w:marLeft w:val="0"/>
      <w:marRight w:val="0"/>
      <w:marTop w:val="0"/>
      <w:marBottom w:val="0"/>
      <w:divBdr>
        <w:top w:val="none" w:sz="0" w:space="0" w:color="auto"/>
        <w:left w:val="none" w:sz="0" w:space="0" w:color="auto"/>
        <w:bottom w:val="none" w:sz="0" w:space="0" w:color="auto"/>
        <w:right w:val="none" w:sz="0" w:space="0" w:color="auto"/>
      </w:divBdr>
    </w:div>
    <w:div w:id="20580056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300978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311606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008">
          <w:marLeft w:val="547"/>
          <w:marRight w:val="0"/>
          <w:marTop w:val="0"/>
          <w:marBottom w:val="0"/>
          <w:divBdr>
            <w:top w:val="none" w:sz="0" w:space="0" w:color="auto"/>
            <w:left w:val="none" w:sz="0" w:space="0" w:color="auto"/>
            <w:bottom w:val="none" w:sz="0" w:space="0" w:color="auto"/>
            <w:right w:val="none" w:sz="0" w:space="0" w:color="auto"/>
          </w:divBdr>
        </w:div>
      </w:divsChild>
    </w:div>
    <w:div w:id="251862960">
      <w:bodyDiv w:val="1"/>
      <w:marLeft w:val="0"/>
      <w:marRight w:val="0"/>
      <w:marTop w:val="0"/>
      <w:marBottom w:val="0"/>
      <w:divBdr>
        <w:top w:val="none" w:sz="0" w:space="0" w:color="auto"/>
        <w:left w:val="none" w:sz="0" w:space="0" w:color="auto"/>
        <w:bottom w:val="none" w:sz="0" w:space="0" w:color="auto"/>
        <w:right w:val="none" w:sz="0" w:space="0" w:color="auto"/>
      </w:divBdr>
    </w:div>
    <w:div w:id="252059378">
      <w:bodyDiv w:val="1"/>
      <w:marLeft w:val="0"/>
      <w:marRight w:val="0"/>
      <w:marTop w:val="0"/>
      <w:marBottom w:val="0"/>
      <w:divBdr>
        <w:top w:val="none" w:sz="0" w:space="0" w:color="auto"/>
        <w:left w:val="none" w:sz="0" w:space="0" w:color="auto"/>
        <w:bottom w:val="none" w:sz="0" w:space="0" w:color="auto"/>
        <w:right w:val="none" w:sz="0" w:space="0" w:color="auto"/>
      </w:divBdr>
    </w:div>
    <w:div w:id="296375276">
      <w:bodyDiv w:val="1"/>
      <w:marLeft w:val="0"/>
      <w:marRight w:val="0"/>
      <w:marTop w:val="0"/>
      <w:marBottom w:val="0"/>
      <w:divBdr>
        <w:top w:val="none" w:sz="0" w:space="0" w:color="auto"/>
        <w:left w:val="none" w:sz="0" w:space="0" w:color="auto"/>
        <w:bottom w:val="none" w:sz="0" w:space="0" w:color="auto"/>
        <w:right w:val="none" w:sz="0" w:space="0" w:color="auto"/>
      </w:divBdr>
    </w:div>
    <w:div w:id="345251591">
      <w:bodyDiv w:val="1"/>
      <w:marLeft w:val="0"/>
      <w:marRight w:val="0"/>
      <w:marTop w:val="0"/>
      <w:marBottom w:val="0"/>
      <w:divBdr>
        <w:top w:val="none" w:sz="0" w:space="0" w:color="auto"/>
        <w:left w:val="none" w:sz="0" w:space="0" w:color="auto"/>
        <w:bottom w:val="none" w:sz="0" w:space="0" w:color="auto"/>
        <w:right w:val="none" w:sz="0" w:space="0" w:color="auto"/>
      </w:divBdr>
    </w:div>
    <w:div w:id="346830103">
      <w:bodyDiv w:val="1"/>
      <w:marLeft w:val="0"/>
      <w:marRight w:val="0"/>
      <w:marTop w:val="0"/>
      <w:marBottom w:val="0"/>
      <w:divBdr>
        <w:top w:val="none" w:sz="0" w:space="0" w:color="auto"/>
        <w:left w:val="none" w:sz="0" w:space="0" w:color="auto"/>
        <w:bottom w:val="none" w:sz="0" w:space="0" w:color="auto"/>
        <w:right w:val="none" w:sz="0" w:space="0" w:color="auto"/>
      </w:divBdr>
    </w:div>
    <w:div w:id="358431355">
      <w:bodyDiv w:val="1"/>
      <w:marLeft w:val="0"/>
      <w:marRight w:val="0"/>
      <w:marTop w:val="0"/>
      <w:marBottom w:val="0"/>
      <w:divBdr>
        <w:top w:val="none" w:sz="0" w:space="0" w:color="auto"/>
        <w:left w:val="none" w:sz="0" w:space="0" w:color="auto"/>
        <w:bottom w:val="none" w:sz="0" w:space="0" w:color="auto"/>
        <w:right w:val="none" w:sz="0" w:space="0" w:color="auto"/>
      </w:divBdr>
    </w:div>
    <w:div w:id="361444981">
      <w:bodyDiv w:val="1"/>
      <w:marLeft w:val="0"/>
      <w:marRight w:val="0"/>
      <w:marTop w:val="0"/>
      <w:marBottom w:val="0"/>
      <w:divBdr>
        <w:top w:val="none" w:sz="0" w:space="0" w:color="auto"/>
        <w:left w:val="none" w:sz="0" w:space="0" w:color="auto"/>
        <w:bottom w:val="none" w:sz="0" w:space="0" w:color="auto"/>
        <w:right w:val="none" w:sz="0" w:space="0" w:color="auto"/>
      </w:divBdr>
    </w:div>
    <w:div w:id="368529056">
      <w:bodyDiv w:val="1"/>
      <w:marLeft w:val="0"/>
      <w:marRight w:val="0"/>
      <w:marTop w:val="0"/>
      <w:marBottom w:val="0"/>
      <w:divBdr>
        <w:top w:val="none" w:sz="0" w:space="0" w:color="auto"/>
        <w:left w:val="none" w:sz="0" w:space="0" w:color="auto"/>
        <w:bottom w:val="none" w:sz="0" w:space="0" w:color="auto"/>
        <w:right w:val="none" w:sz="0" w:space="0" w:color="auto"/>
      </w:divBdr>
    </w:div>
    <w:div w:id="385225416">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395519955">
      <w:bodyDiv w:val="1"/>
      <w:marLeft w:val="0"/>
      <w:marRight w:val="0"/>
      <w:marTop w:val="0"/>
      <w:marBottom w:val="0"/>
      <w:divBdr>
        <w:top w:val="none" w:sz="0" w:space="0" w:color="auto"/>
        <w:left w:val="none" w:sz="0" w:space="0" w:color="auto"/>
        <w:bottom w:val="none" w:sz="0" w:space="0" w:color="auto"/>
        <w:right w:val="none" w:sz="0" w:space="0" w:color="auto"/>
      </w:divBdr>
    </w:div>
    <w:div w:id="400912395">
      <w:bodyDiv w:val="1"/>
      <w:marLeft w:val="0"/>
      <w:marRight w:val="0"/>
      <w:marTop w:val="0"/>
      <w:marBottom w:val="0"/>
      <w:divBdr>
        <w:top w:val="none" w:sz="0" w:space="0" w:color="auto"/>
        <w:left w:val="none" w:sz="0" w:space="0" w:color="auto"/>
        <w:bottom w:val="none" w:sz="0" w:space="0" w:color="auto"/>
        <w:right w:val="none" w:sz="0" w:space="0" w:color="auto"/>
      </w:divBdr>
    </w:div>
    <w:div w:id="424426631">
      <w:bodyDiv w:val="1"/>
      <w:marLeft w:val="0"/>
      <w:marRight w:val="0"/>
      <w:marTop w:val="0"/>
      <w:marBottom w:val="0"/>
      <w:divBdr>
        <w:top w:val="none" w:sz="0" w:space="0" w:color="auto"/>
        <w:left w:val="none" w:sz="0" w:space="0" w:color="auto"/>
        <w:bottom w:val="none" w:sz="0" w:space="0" w:color="auto"/>
        <w:right w:val="none" w:sz="0" w:space="0" w:color="auto"/>
      </w:divBdr>
    </w:div>
    <w:div w:id="430053519">
      <w:bodyDiv w:val="1"/>
      <w:marLeft w:val="0"/>
      <w:marRight w:val="0"/>
      <w:marTop w:val="0"/>
      <w:marBottom w:val="0"/>
      <w:divBdr>
        <w:top w:val="none" w:sz="0" w:space="0" w:color="auto"/>
        <w:left w:val="none" w:sz="0" w:space="0" w:color="auto"/>
        <w:bottom w:val="none" w:sz="0" w:space="0" w:color="auto"/>
        <w:right w:val="none" w:sz="0" w:space="0" w:color="auto"/>
      </w:divBdr>
      <w:divsChild>
        <w:div w:id="1684431943">
          <w:marLeft w:val="0"/>
          <w:marRight w:val="0"/>
          <w:marTop w:val="0"/>
          <w:marBottom w:val="0"/>
          <w:divBdr>
            <w:top w:val="none" w:sz="0" w:space="0" w:color="auto"/>
            <w:left w:val="none" w:sz="0" w:space="0" w:color="auto"/>
            <w:bottom w:val="none" w:sz="0" w:space="0" w:color="auto"/>
            <w:right w:val="none" w:sz="0" w:space="0" w:color="auto"/>
          </w:divBdr>
        </w:div>
      </w:divsChild>
    </w:div>
    <w:div w:id="445465334">
      <w:bodyDiv w:val="1"/>
      <w:marLeft w:val="0"/>
      <w:marRight w:val="0"/>
      <w:marTop w:val="0"/>
      <w:marBottom w:val="0"/>
      <w:divBdr>
        <w:top w:val="none" w:sz="0" w:space="0" w:color="auto"/>
        <w:left w:val="none" w:sz="0" w:space="0" w:color="auto"/>
        <w:bottom w:val="none" w:sz="0" w:space="0" w:color="auto"/>
        <w:right w:val="none" w:sz="0" w:space="0" w:color="auto"/>
      </w:divBdr>
    </w:div>
    <w:div w:id="453646086">
      <w:bodyDiv w:val="1"/>
      <w:marLeft w:val="0"/>
      <w:marRight w:val="0"/>
      <w:marTop w:val="0"/>
      <w:marBottom w:val="0"/>
      <w:divBdr>
        <w:top w:val="none" w:sz="0" w:space="0" w:color="auto"/>
        <w:left w:val="none" w:sz="0" w:space="0" w:color="auto"/>
        <w:bottom w:val="none" w:sz="0" w:space="0" w:color="auto"/>
        <w:right w:val="none" w:sz="0" w:space="0" w:color="auto"/>
      </w:divBdr>
    </w:div>
    <w:div w:id="460074149">
      <w:bodyDiv w:val="1"/>
      <w:marLeft w:val="0"/>
      <w:marRight w:val="0"/>
      <w:marTop w:val="0"/>
      <w:marBottom w:val="0"/>
      <w:divBdr>
        <w:top w:val="none" w:sz="0" w:space="0" w:color="auto"/>
        <w:left w:val="none" w:sz="0" w:space="0" w:color="auto"/>
        <w:bottom w:val="none" w:sz="0" w:space="0" w:color="auto"/>
        <w:right w:val="none" w:sz="0" w:space="0" w:color="auto"/>
      </w:divBdr>
    </w:div>
    <w:div w:id="506211291">
      <w:bodyDiv w:val="1"/>
      <w:marLeft w:val="0"/>
      <w:marRight w:val="0"/>
      <w:marTop w:val="0"/>
      <w:marBottom w:val="0"/>
      <w:divBdr>
        <w:top w:val="none" w:sz="0" w:space="0" w:color="auto"/>
        <w:left w:val="none" w:sz="0" w:space="0" w:color="auto"/>
        <w:bottom w:val="none" w:sz="0" w:space="0" w:color="auto"/>
        <w:right w:val="none" w:sz="0" w:space="0" w:color="auto"/>
      </w:divBdr>
      <w:divsChild>
        <w:div w:id="87771411">
          <w:marLeft w:val="0"/>
          <w:marRight w:val="0"/>
          <w:marTop w:val="0"/>
          <w:marBottom w:val="0"/>
          <w:divBdr>
            <w:top w:val="none" w:sz="0" w:space="0" w:color="auto"/>
            <w:left w:val="none" w:sz="0" w:space="0" w:color="auto"/>
            <w:bottom w:val="none" w:sz="0" w:space="0" w:color="auto"/>
            <w:right w:val="none" w:sz="0" w:space="0" w:color="auto"/>
          </w:divBdr>
          <w:divsChild>
            <w:div w:id="1399015232">
              <w:marLeft w:val="0"/>
              <w:marRight w:val="0"/>
              <w:marTop w:val="0"/>
              <w:marBottom w:val="0"/>
              <w:divBdr>
                <w:top w:val="none" w:sz="0" w:space="0" w:color="auto"/>
                <w:left w:val="none" w:sz="0" w:space="0" w:color="auto"/>
                <w:bottom w:val="none" w:sz="0" w:space="0" w:color="auto"/>
                <w:right w:val="none" w:sz="0" w:space="0" w:color="auto"/>
              </w:divBdr>
            </w:div>
          </w:divsChild>
        </w:div>
        <w:div w:id="255554092">
          <w:marLeft w:val="0"/>
          <w:marRight w:val="0"/>
          <w:marTop w:val="0"/>
          <w:marBottom w:val="0"/>
          <w:divBdr>
            <w:top w:val="none" w:sz="0" w:space="0" w:color="auto"/>
            <w:left w:val="none" w:sz="0" w:space="0" w:color="auto"/>
            <w:bottom w:val="none" w:sz="0" w:space="0" w:color="auto"/>
            <w:right w:val="none" w:sz="0" w:space="0" w:color="auto"/>
          </w:divBdr>
          <w:divsChild>
            <w:div w:id="101148873">
              <w:marLeft w:val="0"/>
              <w:marRight w:val="0"/>
              <w:marTop w:val="0"/>
              <w:marBottom w:val="0"/>
              <w:divBdr>
                <w:top w:val="none" w:sz="0" w:space="0" w:color="auto"/>
                <w:left w:val="none" w:sz="0" w:space="0" w:color="auto"/>
                <w:bottom w:val="none" w:sz="0" w:space="0" w:color="auto"/>
                <w:right w:val="none" w:sz="0" w:space="0" w:color="auto"/>
              </w:divBdr>
            </w:div>
          </w:divsChild>
        </w:div>
        <w:div w:id="530190292">
          <w:marLeft w:val="0"/>
          <w:marRight w:val="0"/>
          <w:marTop w:val="0"/>
          <w:marBottom w:val="0"/>
          <w:divBdr>
            <w:top w:val="none" w:sz="0" w:space="0" w:color="auto"/>
            <w:left w:val="none" w:sz="0" w:space="0" w:color="auto"/>
            <w:bottom w:val="none" w:sz="0" w:space="0" w:color="auto"/>
            <w:right w:val="none" w:sz="0" w:space="0" w:color="auto"/>
          </w:divBdr>
          <w:divsChild>
            <w:div w:id="413624415">
              <w:marLeft w:val="0"/>
              <w:marRight w:val="0"/>
              <w:marTop w:val="0"/>
              <w:marBottom w:val="0"/>
              <w:divBdr>
                <w:top w:val="none" w:sz="0" w:space="0" w:color="auto"/>
                <w:left w:val="none" w:sz="0" w:space="0" w:color="auto"/>
                <w:bottom w:val="none" w:sz="0" w:space="0" w:color="auto"/>
                <w:right w:val="none" w:sz="0" w:space="0" w:color="auto"/>
              </w:divBdr>
            </w:div>
          </w:divsChild>
        </w:div>
        <w:div w:id="554967677">
          <w:marLeft w:val="0"/>
          <w:marRight w:val="0"/>
          <w:marTop w:val="0"/>
          <w:marBottom w:val="0"/>
          <w:divBdr>
            <w:top w:val="none" w:sz="0" w:space="0" w:color="auto"/>
            <w:left w:val="none" w:sz="0" w:space="0" w:color="auto"/>
            <w:bottom w:val="none" w:sz="0" w:space="0" w:color="auto"/>
            <w:right w:val="none" w:sz="0" w:space="0" w:color="auto"/>
          </w:divBdr>
          <w:divsChild>
            <w:div w:id="2053462387">
              <w:marLeft w:val="0"/>
              <w:marRight w:val="0"/>
              <w:marTop w:val="0"/>
              <w:marBottom w:val="0"/>
              <w:divBdr>
                <w:top w:val="none" w:sz="0" w:space="0" w:color="auto"/>
                <w:left w:val="none" w:sz="0" w:space="0" w:color="auto"/>
                <w:bottom w:val="none" w:sz="0" w:space="0" w:color="auto"/>
                <w:right w:val="none" w:sz="0" w:space="0" w:color="auto"/>
              </w:divBdr>
            </w:div>
          </w:divsChild>
        </w:div>
        <w:div w:id="586501818">
          <w:marLeft w:val="0"/>
          <w:marRight w:val="0"/>
          <w:marTop w:val="0"/>
          <w:marBottom w:val="0"/>
          <w:divBdr>
            <w:top w:val="none" w:sz="0" w:space="0" w:color="auto"/>
            <w:left w:val="none" w:sz="0" w:space="0" w:color="auto"/>
            <w:bottom w:val="none" w:sz="0" w:space="0" w:color="auto"/>
            <w:right w:val="none" w:sz="0" w:space="0" w:color="auto"/>
          </w:divBdr>
          <w:divsChild>
            <w:div w:id="214588203">
              <w:marLeft w:val="0"/>
              <w:marRight w:val="0"/>
              <w:marTop w:val="0"/>
              <w:marBottom w:val="0"/>
              <w:divBdr>
                <w:top w:val="none" w:sz="0" w:space="0" w:color="auto"/>
                <w:left w:val="none" w:sz="0" w:space="0" w:color="auto"/>
                <w:bottom w:val="none" w:sz="0" w:space="0" w:color="auto"/>
                <w:right w:val="none" w:sz="0" w:space="0" w:color="auto"/>
              </w:divBdr>
            </w:div>
          </w:divsChild>
        </w:div>
        <w:div w:id="639193811">
          <w:marLeft w:val="0"/>
          <w:marRight w:val="0"/>
          <w:marTop w:val="0"/>
          <w:marBottom w:val="0"/>
          <w:divBdr>
            <w:top w:val="none" w:sz="0" w:space="0" w:color="auto"/>
            <w:left w:val="none" w:sz="0" w:space="0" w:color="auto"/>
            <w:bottom w:val="none" w:sz="0" w:space="0" w:color="auto"/>
            <w:right w:val="none" w:sz="0" w:space="0" w:color="auto"/>
          </w:divBdr>
          <w:divsChild>
            <w:div w:id="1909685224">
              <w:marLeft w:val="0"/>
              <w:marRight w:val="0"/>
              <w:marTop w:val="0"/>
              <w:marBottom w:val="0"/>
              <w:divBdr>
                <w:top w:val="none" w:sz="0" w:space="0" w:color="auto"/>
                <w:left w:val="none" w:sz="0" w:space="0" w:color="auto"/>
                <w:bottom w:val="none" w:sz="0" w:space="0" w:color="auto"/>
                <w:right w:val="none" w:sz="0" w:space="0" w:color="auto"/>
              </w:divBdr>
            </w:div>
          </w:divsChild>
        </w:div>
        <w:div w:id="689457086">
          <w:marLeft w:val="0"/>
          <w:marRight w:val="0"/>
          <w:marTop w:val="0"/>
          <w:marBottom w:val="0"/>
          <w:divBdr>
            <w:top w:val="none" w:sz="0" w:space="0" w:color="auto"/>
            <w:left w:val="none" w:sz="0" w:space="0" w:color="auto"/>
            <w:bottom w:val="none" w:sz="0" w:space="0" w:color="auto"/>
            <w:right w:val="none" w:sz="0" w:space="0" w:color="auto"/>
          </w:divBdr>
          <w:divsChild>
            <w:div w:id="110511587">
              <w:marLeft w:val="0"/>
              <w:marRight w:val="0"/>
              <w:marTop w:val="0"/>
              <w:marBottom w:val="0"/>
              <w:divBdr>
                <w:top w:val="none" w:sz="0" w:space="0" w:color="auto"/>
                <w:left w:val="none" w:sz="0" w:space="0" w:color="auto"/>
                <w:bottom w:val="none" w:sz="0" w:space="0" w:color="auto"/>
                <w:right w:val="none" w:sz="0" w:space="0" w:color="auto"/>
              </w:divBdr>
            </w:div>
          </w:divsChild>
        </w:div>
        <w:div w:id="720978233">
          <w:marLeft w:val="0"/>
          <w:marRight w:val="0"/>
          <w:marTop w:val="0"/>
          <w:marBottom w:val="0"/>
          <w:divBdr>
            <w:top w:val="none" w:sz="0" w:space="0" w:color="auto"/>
            <w:left w:val="none" w:sz="0" w:space="0" w:color="auto"/>
            <w:bottom w:val="none" w:sz="0" w:space="0" w:color="auto"/>
            <w:right w:val="none" w:sz="0" w:space="0" w:color="auto"/>
          </w:divBdr>
          <w:divsChild>
            <w:div w:id="1078749953">
              <w:marLeft w:val="0"/>
              <w:marRight w:val="0"/>
              <w:marTop w:val="0"/>
              <w:marBottom w:val="0"/>
              <w:divBdr>
                <w:top w:val="none" w:sz="0" w:space="0" w:color="auto"/>
                <w:left w:val="none" w:sz="0" w:space="0" w:color="auto"/>
                <w:bottom w:val="none" w:sz="0" w:space="0" w:color="auto"/>
                <w:right w:val="none" w:sz="0" w:space="0" w:color="auto"/>
              </w:divBdr>
            </w:div>
          </w:divsChild>
        </w:div>
        <w:div w:id="816146191">
          <w:marLeft w:val="0"/>
          <w:marRight w:val="0"/>
          <w:marTop w:val="0"/>
          <w:marBottom w:val="0"/>
          <w:divBdr>
            <w:top w:val="none" w:sz="0" w:space="0" w:color="auto"/>
            <w:left w:val="none" w:sz="0" w:space="0" w:color="auto"/>
            <w:bottom w:val="none" w:sz="0" w:space="0" w:color="auto"/>
            <w:right w:val="none" w:sz="0" w:space="0" w:color="auto"/>
          </w:divBdr>
          <w:divsChild>
            <w:div w:id="522986209">
              <w:marLeft w:val="0"/>
              <w:marRight w:val="0"/>
              <w:marTop w:val="0"/>
              <w:marBottom w:val="0"/>
              <w:divBdr>
                <w:top w:val="none" w:sz="0" w:space="0" w:color="auto"/>
                <w:left w:val="none" w:sz="0" w:space="0" w:color="auto"/>
                <w:bottom w:val="none" w:sz="0" w:space="0" w:color="auto"/>
                <w:right w:val="none" w:sz="0" w:space="0" w:color="auto"/>
              </w:divBdr>
            </w:div>
          </w:divsChild>
        </w:div>
        <w:div w:id="826290737">
          <w:marLeft w:val="0"/>
          <w:marRight w:val="0"/>
          <w:marTop w:val="0"/>
          <w:marBottom w:val="0"/>
          <w:divBdr>
            <w:top w:val="none" w:sz="0" w:space="0" w:color="auto"/>
            <w:left w:val="none" w:sz="0" w:space="0" w:color="auto"/>
            <w:bottom w:val="none" w:sz="0" w:space="0" w:color="auto"/>
            <w:right w:val="none" w:sz="0" w:space="0" w:color="auto"/>
          </w:divBdr>
          <w:divsChild>
            <w:div w:id="239802351">
              <w:marLeft w:val="0"/>
              <w:marRight w:val="0"/>
              <w:marTop w:val="0"/>
              <w:marBottom w:val="0"/>
              <w:divBdr>
                <w:top w:val="none" w:sz="0" w:space="0" w:color="auto"/>
                <w:left w:val="none" w:sz="0" w:space="0" w:color="auto"/>
                <w:bottom w:val="none" w:sz="0" w:space="0" w:color="auto"/>
                <w:right w:val="none" w:sz="0" w:space="0" w:color="auto"/>
              </w:divBdr>
            </w:div>
            <w:div w:id="390351068">
              <w:marLeft w:val="0"/>
              <w:marRight w:val="0"/>
              <w:marTop w:val="0"/>
              <w:marBottom w:val="0"/>
              <w:divBdr>
                <w:top w:val="none" w:sz="0" w:space="0" w:color="auto"/>
                <w:left w:val="none" w:sz="0" w:space="0" w:color="auto"/>
                <w:bottom w:val="none" w:sz="0" w:space="0" w:color="auto"/>
                <w:right w:val="none" w:sz="0" w:space="0" w:color="auto"/>
              </w:divBdr>
            </w:div>
            <w:div w:id="1355572993">
              <w:marLeft w:val="0"/>
              <w:marRight w:val="0"/>
              <w:marTop w:val="0"/>
              <w:marBottom w:val="0"/>
              <w:divBdr>
                <w:top w:val="none" w:sz="0" w:space="0" w:color="auto"/>
                <w:left w:val="none" w:sz="0" w:space="0" w:color="auto"/>
                <w:bottom w:val="none" w:sz="0" w:space="0" w:color="auto"/>
                <w:right w:val="none" w:sz="0" w:space="0" w:color="auto"/>
              </w:divBdr>
            </w:div>
            <w:div w:id="1594974904">
              <w:marLeft w:val="0"/>
              <w:marRight w:val="0"/>
              <w:marTop w:val="0"/>
              <w:marBottom w:val="0"/>
              <w:divBdr>
                <w:top w:val="none" w:sz="0" w:space="0" w:color="auto"/>
                <w:left w:val="none" w:sz="0" w:space="0" w:color="auto"/>
                <w:bottom w:val="none" w:sz="0" w:space="0" w:color="auto"/>
                <w:right w:val="none" w:sz="0" w:space="0" w:color="auto"/>
              </w:divBdr>
            </w:div>
          </w:divsChild>
        </w:div>
        <w:div w:id="887914379">
          <w:marLeft w:val="0"/>
          <w:marRight w:val="0"/>
          <w:marTop w:val="0"/>
          <w:marBottom w:val="0"/>
          <w:divBdr>
            <w:top w:val="none" w:sz="0" w:space="0" w:color="auto"/>
            <w:left w:val="none" w:sz="0" w:space="0" w:color="auto"/>
            <w:bottom w:val="none" w:sz="0" w:space="0" w:color="auto"/>
            <w:right w:val="none" w:sz="0" w:space="0" w:color="auto"/>
          </w:divBdr>
          <w:divsChild>
            <w:div w:id="280232418">
              <w:marLeft w:val="0"/>
              <w:marRight w:val="0"/>
              <w:marTop w:val="0"/>
              <w:marBottom w:val="0"/>
              <w:divBdr>
                <w:top w:val="none" w:sz="0" w:space="0" w:color="auto"/>
                <w:left w:val="none" w:sz="0" w:space="0" w:color="auto"/>
                <w:bottom w:val="none" w:sz="0" w:space="0" w:color="auto"/>
                <w:right w:val="none" w:sz="0" w:space="0" w:color="auto"/>
              </w:divBdr>
            </w:div>
          </w:divsChild>
        </w:div>
        <w:div w:id="980571303">
          <w:marLeft w:val="0"/>
          <w:marRight w:val="0"/>
          <w:marTop w:val="0"/>
          <w:marBottom w:val="0"/>
          <w:divBdr>
            <w:top w:val="none" w:sz="0" w:space="0" w:color="auto"/>
            <w:left w:val="none" w:sz="0" w:space="0" w:color="auto"/>
            <w:bottom w:val="none" w:sz="0" w:space="0" w:color="auto"/>
            <w:right w:val="none" w:sz="0" w:space="0" w:color="auto"/>
          </w:divBdr>
          <w:divsChild>
            <w:div w:id="1352148906">
              <w:marLeft w:val="0"/>
              <w:marRight w:val="0"/>
              <w:marTop w:val="0"/>
              <w:marBottom w:val="0"/>
              <w:divBdr>
                <w:top w:val="none" w:sz="0" w:space="0" w:color="auto"/>
                <w:left w:val="none" w:sz="0" w:space="0" w:color="auto"/>
                <w:bottom w:val="none" w:sz="0" w:space="0" w:color="auto"/>
                <w:right w:val="none" w:sz="0" w:space="0" w:color="auto"/>
              </w:divBdr>
            </w:div>
          </w:divsChild>
        </w:div>
        <w:div w:id="1021931110">
          <w:marLeft w:val="0"/>
          <w:marRight w:val="0"/>
          <w:marTop w:val="0"/>
          <w:marBottom w:val="0"/>
          <w:divBdr>
            <w:top w:val="none" w:sz="0" w:space="0" w:color="auto"/>
            <w:left w:val="none" w:sz="0" w:space="0" w:color="auto"/>
            <w:bottom w:val="none" w:sz="0" w:space="0" w:color="auto"/>
            <w:right w:val="none" w:sz="0" w:space="0" w:color="auto"/>
          </w:divBdr>
          <w:divsChild>
            <w:div w:id="1942496026">
              <w:marLeft w:val="0"/>
              <w:marRight w:val="0"/>
              <w:marTop w:val="0"/>
              <w:marBottom w:val="0"/>
              <w:divBdr>
                <w:top w:val="none" w:sz="0" w:space="0" w:color="auto"/>
                <w:left w:val="none" w:sz="0" w:space="0" w:color="auto"/>
                <w:bottom w:val="none" w:sz="0" w:space="0" w:color="auto"/>
                <w:right w:val="none" w:sz="0" w:space="0" w:color="auto"/>
              </w:divBdr>
            </w:div>
          </w:divsChild>
        </w:div>
        <w:div w:id="1232423049">
          <w:marLeft w:val="0"/>
          <w:marRight w:val="0"/>
          <w:marTop w:val="0"/>
          <w:marBottom w:val="0"/>
          <w:divBdr>
            <w:top w:val="none" w:sz="0" w:space="0" w:color="auto"/>
            <w:left w:val="none" w:sz="0" w:space="0" w:color="auto"/>
            <w:bottom w:val="none" w:sz="0" w:space="0" w:color="auto"/>
            <w:right w:val="none" w:sz="0" w:space="0" w:color="auto"/>
          </w:divBdr>
          <w:divsChild>
            <w:div w:id="1524634000">
              <w:marLeft w:val="0"/>
              <w:marRight w:val="0"/>
              <w:marTop w:val="0"/>
              <w:marBottom w:val="0"/>
              <w:divBdr>
                <w:top w:val="none" w:sz="0" w:space="0" w:color="auto"/>
                <w:left w:val="none" w:sz="0" w:space="0" w:color="auto"/>
                <w:bottom w:val="none" w:sz="0" w:space="0" w:color="auto"/>
                <w:right w:val="none" w:sz="0" w:space="0" w:color="auto"/>
              </w:divBdr>
            </w:div>
          </w:divsChild>
        </w:div>
        <w:div w:id="1355351375">
          <w:marLeft w:val="0"/>
          <w:marRight w:val="0"/>
          <w:marTop w:val="0"/>
          <w:marBottom w:val="0"/>
          <w:divBdr>
            <w:top w:val="none" w:sz="0" w:space="0" w:color="auto"/>
            <w:left w:val="none" w:sz="0" w:space="0" w:color="auto"/>
            <w:bottom w:val="none" w:sz="0" w:space="0" w:color="auto"/>
            <w:right w:val="none" w:sz="0" w:space="0" w:color="auto"/>
          </w:divBdr>
          <w:divsChild>
            <w:div w:id="1571424909">
              <w:marLeft w:val="0"/>
              <w:marRight w:val="0"/>
              <w:marTop w:val="0"/>
              <w:marBottom w:val="0"/>
              <w:divBdr>
                <w:top w:val="none" w:sz="0" w:space="0" w:color="auto"/>
                <w:left w:val="none" w:sz="0" w:space="0" w:color="auto"/>
                <w:bottom w:val="none" w:sz="0" w:space="0" w:color="auto"/>
                <w:right w:val="none" w:sz="0" w:space="0" w:color="auto"/>
              </w:divBdr>
            </w:div>
          </w:divsChild>
        </w:div>
        <w:div w:id="1456558250">
          <w:marLeft w:val="0"/>
          <w:marRight w:val="0"/>
          <w:marTop w:val="0"/>
          <w:marBottom w:val="0"/>
          <w:divBdr>
            <w:top w:val="none" w:sz="0" w:space="0" w:color="auto"/>
            <w:left w:val="none" w:sz="0" w:space="0" w:color="auto"/>
            <w:bottom w:val="none" w:sz="0" w:space="0" w:color="auto"/>
            <w:right w:val="none" w:sz="0" w:space="0" w:color="auto"/>
          </w:divBdr>
          <w:divsChild>
            <w:div w:id="753432513">
              <w:marLeft w:val="0"/>
              <w:marRight w:val="0"/>
              <w:marTop w:val="0"/>
              <w:marBottom w:val="0"/>
              <w:divBdr>
                <w:top w:val="none" w:sz="0" w:space="0" w:color="auto"/>
                <w:left w:val="none" w:sz="0" w:space="0" w:color="auto"/>
                <w:bottom w:val="none" w:sz="0" w:space="0" w:color="auto"/>
                <w:right w:val="none" w:sz="0" w:space="0" w:color="auto"/>
              </w:divBdr>
            </w:div>
            <w:div w:id="2116360646">
              <w:marLeft w:val="0"/>
              <w:marRight w:val="0"/>
              <w:marTop w:val="0"/>
              <w:marBottom w:val="0"/>
              <w:divBdr>
                <w:top w:val="none" w:sz="0" w:space="0" w:color="auto"/>
                <w:left w:val="none" w:sz="0" w:space="0" w:color="auto"/>
                <w:bottom w:val="none" w:sz="0" w:space="0" w:color="auto"/>
                <w:right w:val="none" w:sz="0" w:space="0" w:color="auto"/>
              </w:divBdr>
            </w:div>
          </w:divsChild>
        </w:div>
        <w:div w:id="1652635138">
          <w:marLeft w:val="0"/>
          <w:marRight w:val="0"/>
          <w:marTop w:val="0"/>
          <w:marBottom w:val="0"/>
          <w:divBdr>
            <w:top w:val="none" w:sz="0" w:space="0" w:color="auto"/>
            <w:left w:val="none" w:sz="0" w:space="0" w:color="auto"/>
            <w:bottom w:val="none" w:sz="0" w:space="0" w:color="auto"/>
            <w:right w:val="none" w:sz="0" w:space="0" w:color="auto"/>
          </w:divBdr>
          <w:divsChild>
            <w:div w:id="1837071051">
              <w:marLeft w:val="0"/>
              <w:marRight w:val="0"/>
              <w:marTop w:val="0"/>
              <w:marBottom w:val="0"/>
              <w:divBdr>
                <w:top w:val="none" w:sz="0" w:space="0" w:color="auto"/>
                <w:left w:val="none" w:sz="0" w:space="0" w:color="auto"/>
                <w:bottom w:val="none" w:sz="0" w:space="0" w:color="auto"/>
                <w:right w:val="none" w:sz="0" w:space="0" w:color="auto"/>
              </w:divBdr>
            </w:div>
          </w:divsChild>
        </w:div>
        <w:div w:id="1664698105">
          <w:marLeft w:val="0"/>
          <w:marRight w:val="0"/>
          <w:marTop w:val="0"/>
          <w:marBottom w:val="0"/>
          <w:divBdr>
            <w:top w:val="none" w:sz="0" w:space="0" w:color="auto"/>
            <w:left w:val="none" w:sz="0" w:space="0" w:color="auto"/>
            <w:bottom w:val="none" w:sz="0" w:space="0" w:color="auto"/>
            <w:right w:val="none" w:sz="0" w:space="0" w:color="auto"/>
          </w:divBdr>
          <w:divsChild>
            <w:div w:id="404451095">
              <w:marLeft w:val="0"/>
              <w:marRight w:val="0"/>
              <w:marTop w:val="0"/>
              <w:marBottom w:val="0"/>
              <w:divBdr>
                <w:top w:val="none" w:sz="0" w:space="0" w:color="auto"/>
                <w:left w:val="none" w:sz="0" w:space="0" w:color="auto"/>
                <w:bottom w:val="none" w:sz="0" w:space="0" w:color="auto"/>
                <w:right w:val="none" w:sz="0" w:space="0" w:color="auto"/>
              </w:divBdr>
            </w:div>
          </w:divsChild>
        </w:div>
        <w:div w:id="1720398594">
          <w:marLeft w:val="0"/>
          <w:marRight w:val="0"/>
          <w:marTop w:val="0"/>
          <w:marBottom w:val="0"/>
          <w:divBdr>
            <w:top w:val="none" w:sz="0" w:space="0" w:color="auto"/>
            <w:left w:val="none" w:sz="0" w:space="0" w:color="auto"/>
            <w:bottom w:val="none" w:sz="0" w:space="0" w:color="auto"/>
            <w:right w:val="none" w:sz="0" w:space="0" w:color="auto"/>
          </w:divBdr>
          <w:divsChild>
            <w:div w:id="997267871">
              <w:marLeft w:val="0"/>
              <w:marRight w:val="0"/>
              <w:marTop w:val="0"/>
              <w:marBottom w:val="0"/>
              <w:divBdr>
                <w:top w:val="none" w:sz="0" w:space="0" w:color="auto"/>
                <w:left w:val="none" w:sz="0" w:space="0" w:color="auto"/>
                <w:bottom w:val="none" w:sz="0" w:space="0" w:color="auto"/>
                <w:right w:val="none" w:sz="0" w:space="0" w:color="auto"/>
              </w:divBdr>
            </w:div>
          </w:divsChild>
        </w:div>
        <w:div w:id="1778014516">
          <w:marLeft w:val="0"/>
          <w:marRight w:val="0"/>
          <w:marTop w:val="0"/>
          <w:marBottom w:val="0"/>
          <w:divBdr>
            <w:top w:val="none" w:sz="0" w:space="0" w:color="auto"/>
            <w:left w:val="none" w:sz="0" w:space="0" w:color="auto"/>
            <w:bottom w:val="none" w:sz="0" w:space="0" w:color="auto"/>
            <w:right w:val="none" w:sz="0" w:space="0" w:color="auto"/>
          </w:divBdr>
          <w:divsChild>
            <w:div w:id="929579569">
              <w:marLeft w:val="0"/>
              <w:marRight w:val="0"/>
              <w:marTop w:val="0"/>
              <w:marBottom w:val="0"/>
              <w:divBdr>
                <w:top w:val="none" w:sz="0" w:space="0" w:color="auto"/>
                <w:left w:val="none" w:sz="0" w:space="0" w:color="auto"/>
                <w:bottom w:val="none" w:sz="0" w:space="0" w:color="auto"/>
                <w:right w:val="none" w:sz="0" w:space="0" w:color="auto"/>
              </w:divBdr>
            </w:div>
          </w:divsChild>
        </w:div>
        <w:div w:id="1880507043">
          <w:marLeft w:val="0"/>
          <w:marRight w:val="0"/>
          <w:marTop w:val="0"/>
          <w:marBottom w:val="0"/>
          <w:divBdr>
            <w:top w:val="none" w:sz="0" w:space="0" w:color="auto"/>
            <w:left w:val="none" w:sz="0" w:space="0" w:color="auto"/>
            <w:bottom w:val="none" w:sz="0" w:space="0" w:color="auto"/>
            <w:right w:val="none" w:sz="0" w:space="0" w:color="auto"/>
          </w:divBdr>
          <w:divsChild>
            <w:div w:id="862668287">
              <w:marLeft w:val="0"/>
              <w:marRight w:val="0"/>
              <w:marTop w:val="0"/>
              <w:marBottom w:val="0"/>
              <w:divBdr>
                <w:top w:val="none" w:sz="0" w:space="0" w:color="auto"/>
                <w:left w:val="none" w:sz="0" w:space="0" w:color="auto"/>
                <w:bottom w:val="none" w:sz="0" w:space="0" w:color="auto"/>
                <w:right w:val="none" w:sz="0" w:space="0" w:color="auto"/>
              </w:divBdr>
            </w:div>
          </w:divsChild>
        </w:div>
        <w:div w:id="1939017840">
          <w:marLeft w:val="0"/>
          <w:marRight w:val="0"/>
          <w:marTop w:val="0"/>
          <w:marBottom w:val="0"/>
          <w:divBdr>
            <w:top w:val="none" w:sz="0" w:space="0" w:color="auto"/>
            <w:left w:val="none" w:sz="0" w:space="0" w:color="auto"/>
            <w:bottom w:val="none" w:sz="0" w:space="0" w:color="auto"/>
            <w:right w:val="none" w:sz="0" w:space="0" w:color="auto"/>
          </w:divBdr>
          <w:divsChild>
            <w:div w:id="1639994317">
              <w:marLeft w:val="0"/>
              <w:marRight w:val="0"/>
              <w:marTop w:val="0"/>
              <w:marBottom w:val="0"/>
              <w:divBdr>
                <w:top w:val="none" w:sz="0" w:space="0" w:color="auto"/>
                <w:left w:val="none" w:sz="0" w:space="0" w:color="auto"/>
                <w:bottom w:val="none" w:sz="0" w:space="0" w:color="auto"/>
                <w:right w:val="none" w:sz="0" w:space="0" w:color="auto"/>
              </w:divBdr>
            </w:div>
          </w:divsChild>
        </w:div>
        <w:div w:id="1985313205">
          <w:marLeft w:val="0"/>
          <w:marRight w:val="0"/>
          <w:marTop w:val="0"/>
          <w:marBottom w:val="0"/>
          <w:divBdr>
            <w:top w:val="none" w:sz="0" w:space="0" w:color="auto"/>
            <w:left w:val="none" w:sz="0" w:space="0" w:color="auto"/>
            <w:bottom w:val="none" w:sz="0" w:space="0" w:color="auto"/>
            <w:right w:val="none" w:sz="0" w:space="0" w:color="auto"/>
          </w:divBdr>
          <w:divsChild>
            <w:div w:id="844589707">
              <w:marLeft w:val="0"/>
              <w:marRight w:val="0"/>
              <w:marTop w:val="0"/>
              <w:marBottom w:val="0"/>
              <w:divBdr>
                <w:top w:val="none" w:sz="0" w:space="0" w:color="auto"/>
                <w:left w:val="none" w:sz="0" w:space="0" w:color="auto"/>
                <w:bottom w:val="none" w:sz="0" w:space="0" w:color="auto"/>
                <w:right w:val="none" w:sz="0" w:space="0" w:color="auto"/>
              </w:divBdr>
            </w:div>
          </w:divsChild>
        </w:div>
        <w:div w:id="2032104764">
          <w:marLeft w:val="0"/>
          <w:marRight w:val="0"/>
          <w:marTop w:val="0"/>
          <w:marBottom w:val="0"/>
          <w:divBdr>
            <w:top w:val="none" w:sz="0" w:space="0" w:color="auto"/>
            <w:left w:val="none" w:sz="0" w:space="0" w:color="auto"/>
            <w:bottom w:val="none" w:sz="0" w:space="0" w:color="auto"/>
            <w:right w:val="none" w:sz="0" w:space="0" w:color="auto"/>
          </w:divBdr>
          <w:divsChild>
            <w:div w:id="852495417">
              <w:marLeft w:val="0"/>
              <w:marRight w:val="0"/>
              <w:marTop w:val="0"/>
              <w:marBottom w:val="0"/>
              <w:divBdr>
                <w:top w:val="none" w:sz="0" w:space="0" w:color="auto"/>
                <w:left w:val="none" w:sz="0" w:space="0" w:color="auto"/>
                <w:bottom w:val="none" w:sz="0" w:space="0" w:color="auto"/>
                <w:right w:val="none" w:sz="0" w:space="0" w:color="auto"/>
              </w:divBdr>
            </w:div>
          </w:divsChild>
        </w:div>
        <w:div w:id="2052336119">
          <w:marLeft w:val="0"/>
          <w:marRight w:val="0"/>
          <w:marTop w:val="0"/>
          <w:marBottom w:val="0"/>
          <w:divBdr>
            <w:top w:val="none" w:sz="0" w:space="0" w:color="auto"/>
            <w:left w:val="none" w:sz="0" w:space="0" w:color="auto"/>
            <w:bottom w:val="none" w:sz="0" w:space="0" w:color="auto"/>
            <w:right w:val="none" w:sz="0" w:space="0" w:color="auto"/>
          </w:divBdr>
          <w:divsChild>
            <w:div w:id="7795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564029132">
      <w:bodyDiv w:val="1"/>
      <w:marLeft w:val="0"/>
      <w:marRight w:val="0"/>
      <w:marTop w:val="0"/>
      <w:marBottom w:val="0"/>
      <w:divBdr>
        <w:top w:val="none" w:sz="0" w:space="0" w:color="auto"/>
        <w:left w:val="none" w:sz="0" w:space="0" w:color="auto"/>
        <w:bottom w:val="none" w:sz="0" w:space="0" w:color="auto"/>
        <w:right w:val="none" w:sz="0" w:space="0" w:color="auto"/>
      </w:divBdr>
      <w:divsChild>
        <w:div w:id="2007585749">
          <w:marLeft w:val="144"/>
          <w:marRight w:val="0"/>
          <w:marTop w:val="240"/>
          <w:marBottom w:val="40"/>
          <w:divBdr>
            <w:top w:val="none" w:sz="0" w:space="0" w:color="auto"/>
            <w:left w:val="none" w:sz="0" w:space="0" w:color="auto"/>
            <w:bottom w:val="none" w:sz="0" w:space="0" w:color="auto"/>
            <w:right w:val="none" w:sz="0" w:space="0" w:color="auto"/>
          </w:divBdr>
        </w:div>
      </w:divsChild>
    </w:div>
    <w:div w:id="597909467">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32252991">
      <w:bodyDiv w:val="1"/>
      <w:marLeft w:val="0"/>
      <w:marRight w:val="0"/>
      <w:marTop w:val="0"/>
      <w:marBottom w:val="0"/>
      <w:divBdr>
        <w:top w:val="none" w:sz="0" w:space="0" w:color="auto"/>
        <w:left w:val="none" w:sz="0" w:space="0" w:color="auto"/>
        <w:bottom w:val="none" w:sz="0" w:space="0" w:color="auto"/>
        <w:right w:val="none" w:sz="0" w:space="0" w:color="auto"/>
      </w:divBdr>
    </w:div>
    <w:div w:id="652297688">
      <w:bodyDiv w:val="1"/>
      <w:marLeft w:val="0"/>
      <w:marRight w:val="0"/>
      <w:marTop w:val="0"/>
      <w:marBottom w:val="0"/>
      <w:divBdr>
        <w:top w:val="none" w:sz="0" w:space="0" w:color="auto"/>
        <w:left w:val="none" w:sz="0" w:space="0" w:color="auto"/>
        <w:bottom w:val="none" w:sz="0" w:space="0" w:color="auto"/>
        <w:right w:val="none" w:sz="0" w:space="0" w:color="auto"/>
      </w:divBdr>
    </w:div>
    <w:div w:id="658072768">
      <w:bodyDiv w:val="1"/>
      <w:marLeft w:val="0"/>
      <w:marRight w:val="0"/>
      <w:marTop w:val="0"/>
      <w:marBottom w:val="0"/>
      <w:divBdr>
        <w:top w:val="none" w:sz="0" w:space="0" w:color="auto"/>
        <w:left w:val="none" w:sz="0" w:space="0" w:color="auto"/>
        <w:bottom w:val="none" w:sz="0" w:space="0" w:color="auto"/>
        <w:right w:val="none" w:sz="0" w:space="0" w:color="auto"/>
      </w:divBdr>
      <w:divsChild>
        <w:div w:id="399063569">
          <w:marLeft w:val="0"/>
          <w:marRight w:val="0"/>
          <w:marTop w:val="0"/>
          <w:marBottom w:val="0"/>
          <w:divBdr>
            <w:top w:val="none" w:sz="0" w:space="0" w:color="auto"/>
            <w:left w:val="none" w:sz="0" w:space="0" w:color="auto"/>
            <w:bottom w:val="none" w:sz="0" w:space="0" w:color="auto"/>
            <w:right w:val="none" w:sz="0" w:space="0" w:color="auto"/>
          </w:divBdr>
        </w:div>
      </w:divsChild>
    </w:div>
    <w:div w:id="668604977">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1166"/>
          <w:marRight w:val="0"/>
          <w:marTop w:val="0"/>
          <w:marBottom w:val="0"/>
          <w:divBdr>
            <w:top w:val="none" w:sz="0" w:space="0" w:color="auto"/>
            <w:left w:val="none" w:sz="0" w:space="0" w:color="auto"/>
            <w:bottom w:val="none" w:sz="0" w:space="0" w:color="auto"/>
            <w:right w:val="none" w:sz="0" w:space="0" w:color="auto"/>
          </w:divBdr>
        </w:div>
        <w:div w:id="1483812689">
          <w:marLeft w:val="1166"/>
          <w:marRight w:val="0"/>
          <w:marTop w:val="0"/>
          <w:marBottom w:val="0"/>
          <w:divBdr>
            <w:top w:val="none" w:sz="0" w:space="0" w:color="auto"/>
            <w:left w:val="none" w:sz="0" w:space="0" w:color="auto"/>
            <w:bottom w:val="none" w:sz="0" w:space="0" w:color="auto"/>
            <w:right w:val="none" w:sz="0" w:space="0" w:color="auto"/>
          </w:divBdr>
        </w:div>
        <w:div w:id="1509950918">
          <w:marLeft w:val="547"/>
          <w:marRight w:val="0"/>
          <w:marTop w:val="0"/>
          <w:marBottom w:val="0"/>
          <w:divBdr>
            <w:top w:val="none" w:sz="0" w:space="0" w:color="auto"/>
            <w:left w:val="none" w:sz="0" w:space="0" w:color="auto"/>
            <w:bottom w:val="none" w:sz="0" w:space="0" w:color="auto"/>
            <w:right w:val="none" w:sz="0" w:space="0" w:color="auto"/>
          </w:divBdr>
        </w:div>
        <w:div w:id="1886864613">
          <w:marLeft w:val="547"/>
          <w:marRight w:val="0"/>
          <w:marTop w:val="0"/>
          <w:marBottom w:val="0"/>
          <w:divBdr>
            <w:top w:val="none" w:sz="0" w:space="0" w:color="auto"/>
            <w:left w:val="none" w:sz="0" w:space="0" w:color="auto"/>
            <w:bottom w:val="none" w:sz="0" w:space="0" w:color="auto"/>
            <w:right w:val="none" w:sz="0" w:space="0" w:color="auto"/>
          </w:divBdr>
        </w:div>
      </w:divsChild>
    </w:div>
    <w:div w:id="668794952">
      <w:bodyDiv w:val="1"/>
      <w:marLeft w:val="0"/>
      <w:marRight w:val="0"/>
      <w:marTop w:val="0"/>
      <w:marBottom w:val="0"/>
      <w:divBdr>
        <w:top w:val="none" w:sz="0" w:space="0" w:color="auto"/>
        <w:left w:val="none" w:sz="0" w:space="0" w:color="auto"/>
        <w:bottom w:val="none" w:sz="0" w:space="0" w:color="auto"/>
        <w:right w:val="none" w:sz="0" w:space="0" w:color="auto"/>
      </w:divBdr>
    </w:div>
    <w:div w:id="673843776">
      <w:bodyDiv w:val="1"/>
      <w:marLeft w:val="0"/>
      <w:marRight w:val="0"/>
      <w:marTop w:val="0"/>
      <w:marBottom w:val="0"/>
      <w:divBdr>
        <w:top w:val="none" w:sz="0" w:space="0" w:color="auto"/>
        <w:left w:val="none" w:sz="0" w:space="0" w:color="auto"/>
        <w:bottom w:val="none" w:sz="0" w:space="0" w:color="auto"/>
        <w:right w:val="none" w:sz="0" w:space="0" w:color="auto"/>
      </w:divBdr>
    </w:div>
    <w:div w:id="678000703">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37824528">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65423974">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832378281">
      <w:bodyDiv w:val="1"/>
      <w:marLeft w:val="0"/>
      <w:marRight w:val="0"/>
      <w:marTop w:val="0"/>
      <w:marBottom w:val="0"/>
      <w:divBdr>
        <w:top w:val="none" w:sz="0" w:space="0" w:color="auto"/>
        <w:left w:val="none" w:sz="0" w:space="0" w:color="auto"/>
        <w:bottom w:val="none" w:sz="0" w:space="0" w:color="auto"/>
        <w:right w:val="none" w:sz="0" w:space="0" w:color="auto"/>
      </w:divBdr>
    </w:div>
    <w:div w:id="834493438">
      <w:bodyDiv w:val="1"/>
      <w:marLeft w:val="0"/>
      <w:marRight w:val="0"/>
      <w:marTop w:val="0"/>
      <w:marBottom w:val="0"/>
      <w:divBdr>
        <w:top w:val="none" w:sz="0" w:space="0" w:color="auto"/>
        <w:left w:val="none" w:sz="0" w:space="0" w:color="auto"/>
        <w:bottom w:val="none" w:sz="0" w:space="0" w:color="auto"/>
        <w:right w:val="none" w:sz="0" w:space="0" w:color="auto"/>
      </w:divBdr>
    </w:div>
    <w:div w:id="868182431">
      <w:bodyDiv w:val="1"/>
      <w:marLeft w:val="0"/>
      <w:marRight w:val="0"/>
      <w:marTop w:val="0"/>
      <w:marBottom w:val="0"/>
      <w:divBdr>
        <w:top w:val="none" w:sz="0" w:space="0" w:color="auto"/>
        <w:left w:val="none" w:sz="0" w:space="0" w:color="auto"/>
        <w:bottom w:val="none" w:sz="0" w:space="0" w:color="auto"/>
        <w:right w:val="none" w:sz="0" w:space="0" w:color="auto"/>
      </w:divBdr>
    </w:div>
    <w:div w:id="908275235">
      <w:bodyDiv w:val="1"/>
      <w:marLeft w:val="0"/>
      <w:marRight w:val="0"/>
      <w:marTop w:val="0"/>
      <w:marBottom w:val="0"/>
      <w:divBdr>
        <w:top w:val="none" w:sz="0" w:space="0" w:color="auto"/>
        <w:left w:val="none" w:sz="0" w:space="0" w:color="auto"/>
        <w:bottom w:val="none" w:sz="0" w:space="0" w:color="auto"/>
        <w:right w:val="none" w:sz="0" w:space="0" w:color="auto"/>
      </w:divBdr>
    </w:div>
    <w:div w:id="913512329">
      <w:bodyDiv w:val="1"/>
      <w:marLeft w:val="0"/>
      <w:marRight w:val="0"/>
      <w:marTop w:val="0"/>
      <w:marBottom w:val="0"/>
      <w:divBdr>
        <w:top w:val="none" w:sz="0" w:space="0" w:color="auto"/>
        <w:left w:val="none" w:sz="0" w:space="0" w:color="auto"/>
        <w:bottom w:val="none" w:sz="0" w:space="0" w:color="auto"/>
        <w:right w:val="none" w:sz="0" w:space="0" w:color="auto"/>
      </w:divBdr>
    </w:div>
    <w:div w:id="920990270">
      <w:bodyDiv w:val="1"/>
      <w:marLeft w:val="0"/>
      <w:marRight w:val="0"/>
      <w:marTop w:val="0"/>
      <w:marBottom w:val="0"/>
      <w:divBdr>
        <w:top w:val="none" w:sz="0" w:space="0" w:color="auto"/>
        <w:left w:val="none" w:sz="0" w:space="0" w:color="auto"/>
        <w:bottom w:val="none" w:sz="0" w:space="0" w:color="auto"/>
        <w:right w:val="none" w:sz="0" w:space="0" w:color="auto"/>
      </w:divBdr>
    </w:div>
    <w:div w:id="1010914468">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60396975">
      <w:bodyDiv w:val="1"/>
      <w:marLeft w:val="0"/>
      <w:marRight w:val="0"/>
      <w:marTop w:val="0"/>
      <w:marBottom w:val="0"/>
      <w:divBdr>
        <w:top w:val="none" w:sz="0" w:space="0" w:color="auto"/>
        <w:left w:val="none" w:sz="0" w:space="0" w:color="auto"/>
        <w:bottom w:val="none" w:sz="0" w:space="0" w:color="auto"/>
        <w:right w:val="none" w:sz="0" w:space="0" w:color="auto"/>
      </w:divBdr>
    </w:div>
    <w:div w:id="1065906819">
      <w:bodyDiv w:val="1"/>
      <w:marLeft w:val="0"/>
      <w:marRight w:val="0"/>
      <w:marTop w:val="0"/>
      <w:marBottom w:val="0"/>
      <w:divBdr>
        <w:top w:val="none" w:sz="0" w:space="0" w:color="auto"/>
        <w:left w:val="none" w:sz="0" w:space="0" w:color="auto"/>
        <w:bottom w:val="none" w:sz="0" w:space="0" w:color="auto"/>
        <w:right w:val="none" w:sz="0" w:space="0" w:color="auto"/>
      </w:divBdr>
    </w:div>
    <w:div w:id="1089543779">
      <w:bodyDiv w:val="1"/>
      <w:marLeft w:val="0"/>
      <w:marRight w:val="0"/>
      <w:marTop w:val="0"/>
      <w:marBottom w:val="0"/>
      <w:divBdr>
        <w:top w:val="none" w:sz="0" w:space="0" w:color="auto"/>
        <w:left w:val="none" w:sz="0" w:space="0" w:color="auto"/>
        <w:bottom w:val="none" w:sz="0" w:space="0" w:color="auto"/>
        <w:right w:val="none" w:sz="0" w:space="0" w:color="auto"/>
      </w:divBdr>
    </w:div>
    <w:div w:id="1100638387">
      <w:bodyDiv w:val="1"/>
      <w:marLeft w:val="0"/>
      <w:marRight w:val="0"/>
      <w:marTop w:val="0"/>
      <w:marBottom w:val="0"/>
      <w:divBdr>
        <w:top w:val="none" w:sz="0" w:space="0" w:color="auto"/>
        <w:left w:val="none" w:sz="0" w:space="0" w:color="auto"/>
        <w:bottom w:val="none" w:sz="0" w:space="0" w:color="auto"/>
        <w:right w:val="none" w:sz="0" w:space="0" w:color="auto"/>
      </w:divBdr>
    </w:div>
    <w:div w:id="1136217782">
      <w:bodyDiv w:val="1"/>
      <w:marLeft w:val="0"/>
      <w:marRight w:val="0"/>
      <w:marTop w:val="0"/>
      <w:marBottom w:val="0"/>
      <w:divBdr>
        <w:top w:val="none" w:sz="0" w:space="0" w:color="auto"/>
        <w:left w:val="none" w:sz="0" w:space="0" w:color="auto"/>
        <w:bottom w:val="none" w:sz="0" w:space="0" w:color="auto"/>
        <w:right w:val="none" w:sz="0" w:space="0" w:color="auto"/>
      </w:divBdr>
    </w:div>
    <w:div w:id="1143035996">
      <w:bodyDiv w:val="1"/>
      <w:marLeft w:val="0"/>
      <w:marRight w:val="0"/>
      <w:marTop w:val="0"/>
      <w:marBottom w:val="0"/>
      <w:divBdr>
        <w:top w:val="none" w:sz="0" w:space="0" w:color="auto"/>
        <w:left w:val="none" w:sz="0" w:space="0" w:color="auto"/>
        <w:bottom w:val="none" w:sz="0" w:space="0" w:color="auto"/>
        <w:right w:val="none" w:sz="0" w:space="0" w:color="auto"/>
      </w:divBdr>
    </w:div>
    <w:div w:id="1145901331">
      <w:bodyDiv w:val="1"/>
      <w:marLeft w:val="0"/>
      <w:marRight w:val="0"/>
      <w:marTop w:val="0"/>
      <w:marBottom w:val="0"/>
      <w:divBdr>
        <w:top w:val="none" w:sz="0" w:space="0" w:color="auto"/>
        <w:left w:val="none" w:sz="0" w:space="0" w:color="auto"/>
        <w:bottom w:val="none" w:sz="0" w:space="0" w:color="auto"/>
        <w:right w:val="none" w:sz="0" w:space="0" w:color="auto"/>
      </w:divBdr>
    </w:div>
    <w:div w:id="1178422481">
      <w:bodyDiv w:val="1"/>
      <w:marLeft w:val="0"/>
      <w:marRight w:val="0"/>
      <w:marTop w:val="0"/>
      <w:marBottom w:val="0"/>
      <w:divBdr>
        <w:top w:val="none" w:sz="0" w:space="0" w:color="auto"/>
        <w:left w:val="none" w:sz="0" w:space="0" w:color="auto"/>
        <w:bottom w:val="none" w:sz="0" w:space="0" w:color="auto"/>
        <w:right w:val="none" w:sz="0" w:space="0" w:color="auto"/>
      </w:divBdr>
    </w:div>
    <w:div w:id="1182432274">
      <w:bodyDiv w:val="1"/>
      <w:marLeft w:val="0"/>
      <w:marRight w:val="0"/>
      <w:marTop w:val="0"/>
      <w:marBottom w:val="0"/>
      <w:divBdr>
        <w:top w:val="none" w:sz="0" w:space="0" w:color="auto"/>
        <w:left w:val="none" w:sz="0" w:space="0" w:color="auto"/>
        <w:bottom w:val="none" w:sz="0" w:space="0" w:color="auto"/>
        <w:right w:val="none" w:sz="0" w:space="0" w:color="auto"/>
      </w:divBdr>
    </w:div>
    <w:div w:id="1192769208">
      <w:bodyDiv w:val="1"/>
      <w:marLeft w:val="0"/>
      <w:marRight w:val="0"/>
      <w:marTop w:val="0"/>
      <w:marBottom w:val="0"/>
      <w:divBdr>
        <w:top w:val="none" w:sz="0" w:space="0" w:color="auto"/>
        <w:left w:val="none" w:sz="0" w:space="0" w:color="auto"/>
        <w:bottom w:val="none" w:sz="0" w:space="0" w:color="auto"/>
        <w:right w:val="none" w:sz="0" w:space="0" w:color="auto"/>
      </w:divBdr>
    </w:div>
    <w:div w:id="1201166676">
      <w:bodyDiv w:val="1"/>
      <w:marLeft w:val="0"/>
      <w:marRight w:val="0"/>
      <w:marTop w:val="0"/>
      <w:marBottom w:val="0"/>
      <w:divBdr>
        <w:top w:val="none" w:sz="0" w:space="0" w:color="auto"/>
        <w:left w:val="none" w:sz="0" w:space="0" w:color="auto"/>
        <w:bottom w:val="none" w:sz="0" w:space="0" w:color="auto"/>
        <w:right w:val="none" w:sz="0" w:space="0" w:color="auto"/>
      </w:divBdr>
    </w:div>
    <w:div w:id="1235161447">
      <w:bodyDiv w:val="1"/>
      <w:marLeft w:val="0"/>
      <w:marRight w:val="0"/>
      <w:marTop w:val="0"/>
      <w:marBottom w:val="0"/>
      <w:divBdr>
        <w:top w:val="none" w:sz="0" w:space="0" w:color="auto"/>
        <w:left w:val="none" w:sz="0" w:space="0" w:color="auto"/>
        <w:bottom w:val="none" w:sz="0" w:space="0" w:color="auto"/>
        <w:right w:val="none" w:sz="0" w:space="0" w:color="auto"/>
      </w:divBdr>
    </w:div>
    <w:div w:id="1251085716">
      <w:bodyDiv w:val="1"/>
      <w:marLeft w:val="0"/>
      <w:marRight w:val="0"/>
      <w:marTop w:val="0"/>
      <w:marBottom w:val="0"/>
      <w:divBdr>
        <w:top w:val="none" w:sz="0" w:space="0" w:color="auto"/>
        <w:left w:val="none" w:sz="0" w:space="0" w:color="auto"/>
        <w:bottom w:val="none" w:sz="0" w:space="0" w:color="auto"/>
        <w:right w:val="none" w:sz="0" w:space="0" w:color="auto"/>
      </w:divBdr>
    </w:div>
    <w:div w:id="1272277016">
      <w:bodyDiv w:val="1"/>
      <w:marLeft w:val="0"/>
      <w:marRight w:val="0"/>
      <w:marTop w:val="0"/>
      <w:marBottom w:val="0"/>
      <w:divBdr>
        <w:top w:val="none" w:sz="0" w:space="0" w:color="auto"/>
        <w:left w:val="none" w:sz="0" w:space="0" w:color="auto"/>
        <w:bottom w:val="none" w:sz="0" w:space="0" w:color="auto"/>
        <w:right w:val="none" w:sz="0" w:space="0" w:color="auto"/>
      </w:divBdr>
    </w:div>
    <w:div w:id="1302542671">
      <w:bodyDiv w:val="1"/>
      <w:marLeft w:val="0"/>
      <w:marRight w:val="0"/>
      <w:marTop w:val="0"/>
      <w:marBottom w:val="0"/>
      <w:divBdr>
        <w:top w:val="none" w:sz="0" w:space="0" w:color="auto"/>
        <w:left w:val="none" w:sz="0" w:space="0" w:color="auto"/>
        <w:bottom w:val="none" w:sz="0" w:space="0" w:color="auto"/>
        <w:right w:val="none" w:sz="0" w:space="0" w:color="auto"/>
      </w:divBdr>
    </w:div>
    <w:div w:id="1316030707">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9980584">
      <w:bodyDiv w:val="1"/>
      <w:marLeft w:val="0"/>
      <w:marRight w:val="0"/>
      <w:marTop w:val="0"/>
      <w:marBottom w:val="0"/>
      <w:divBdr>
        <w:top w:val="none" w:sz="0" w:space="0" w:color="auto"/>
        <w:left w:val="none" w:sz="0" w:space="0" w:color="auto"/>
        <w:bottom w:val="none" w:sz="0" w:space="0" w:color="auto"/>
        <w:right w:val="none" w:sz="0" w:space="0" w:color="auto"/>
      </w:divBdr>
    </w:div>
    <w:div w:id="1430809307">
      <w:bodyDiv w:val="1"/>
      <w:marLeft w:val="0"/>
      <w:marRight w:val="0"/>
      <w:marTop w:val="0"/>
      <w:marBottom w:val="0"/>
      <w:divBdr>
        <w:top w:val="none" w:sz="0" w:space="0" w:color="auto"/>
        <w:left w:val="none" w:sz="0" w:space="0" w:color="auto"/>
        <w:bottom w:val="none" w:sz="0" w:space="0" w:color="auto"/>
        <w:right w:val="none" w:sz="0" w:space="0" w:color="auto"/>
      </w:divBdr>
    </w:div>
    <w:div w:id="1433938905">
      <w:bodyDiv w:val="1"/>
      <w:marLeft w:val="0"/>
      <w:marRight w:val="0"/>
      <w:marTop w:val="0"/>
      <w:marBottom w:val="0"/>
      <w:divBdr>
        <w:top w:val="none" w:sz="0" w:space="0" w:color="auto"/>
        <w:left w:val="none" w:sz="0" w:space="0" w:color="auto"/>
        <w:bottom w:val="none" w:sz="0" w:space="0" w:color="auto"/>
        <w:right w:val="none" w:sz="0" w:space="0" w:color="auto"/>
      </w:divBdr>
    </w:div>
    <w:div w:id="1434739572">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67624125">
      <w:bodyDiv w:val="1"/>
      <w:marLeft w:val="0"/>
      <w:marRight w:val="0"/>
      <w:marTop w:val="0"/>
      <w:marBottom w:val="0"/>
      <w:divBdr>
        <w:top w:val="none" w:sz="0" w:space="0" w:color="auto"/>
        <w:left w:val="none" w:sz="0" w:space="0" w:color="auto"/>
        <w:bottom w:val="none" w:sz="0" w:space="0" w:color="auto"/>
        <w:right w:val="none" w:sz="0" w:space="0" w:color="auto"/>
      </w:divBdr>
    </w:div>
    <w:div w:id="1489708157">
      <w:bodyDiv w:val="1"/>
      <w:marLeft w:val="0"/>
      <w:marRight w:val="0"/>
      <w:marTop w:val="0"/>
      <w:marBottom w:val="0"/>
      <w:divBdr>
        <w:top w:val="none" w:sz="0" w:space="0" w:color="auto"/>
        <w:left w:val="none" w:sz="0" w:space="0" w:color="auto"/>
        <w:bottom w:val="none" w:sz="0" w:space="0" w:color="auto"/>
        <w:right w:val="none" w:sz="0" w:space="0" w:color="auto"/>
      </w:divBdr>
    </w:div>
    <w:div w:id="1498423896">
      <w:bodyDiv w:val="1"/>
      <w:marLeft w:val="0"/>
      <w:marRight w:val="0"/>
      <w:marTop w:val="0"/>
      <w:marBottom w:val="0"/>
      <w:divBdr>
        <w:top w:val="none" w:sz="0" w:space="0" w:color="auto"/>
        <w:left w:val="none" w:sz="0" w:space="0" w:color="auto"/>
        <w:bottom w:val="none" w:sz="0" w:space="0" w:color="auto"/>
        <w:right w:val="none" w:sz="0" w:space="0" w:color="auto"/>
      </w:divBdr>
    </w:div>
    <w:div w:id="1515345426">
      <w:bodyDiv w:val="1"/>
      <w:marLeft w:val="0"/>
      <w:marRight w:val="0"/>
      <w:marTop w:val="0"/>
      <w:marBottom w:val="0"/>
      <w:divBdr>
        <w:top w:val="none" w:sz="0" w:space="0" w:color="auto"/>
        <w:left w:val="none" w:sz="0" w:space="0" w:color="auto"/>
        <w:bottom w:val="none" w:sz="0" w:space="0" w:color="auto"/>
        <w:right w:val="none" w:sz="0" w:space="0" w:color="auto"/>
      </w:divBdr>
    </w:div>
    <w:div w:id="1528444662">
      <w:bodyDiv w:val="1"/>
      <w:marLeft w:val="0"/>
      <w:marRight w:val="0"/>
      <w:marTop w:val="0"/>
      <w:marBottom w:val="0"/>
      <w:divBdr>
        <w:top w:val="none" w:sz="0" w:space="0" w:color="auto"/>
        <w:left w:val="none" w:sz="0" w:space="0" w:color="auto"/>
        <w:bottom w:val="none" w:sz="0" w:space="0" w:color="auto"/>
        <w:right w:val="none" w:sz="0" w:space="0" w:color="auto"/>
      </w:divBdr>
    </w:div>
    <w:div w:id="1534998986">
      <w:bodyDiv w:val="1"/>
      <w:marLeft w:val="0"/>
      <w:marRight w:val="0"/>
      <w:marTop w:val="0"/>
      <w:marBottom w:val="0"/>
      <w:divBdr>
        <w:top w:val="none" w:sz="0" w:space="0" w:color="auto"/>
        <w:left w:val="none" w:sz="0" w:space="0" w:color="auto"/>
        <w:bottom w:val="none" w:sz="0" w:space="0" w:color="auto"/>
        <w:right w:val="none" w:sz="0" w:space="0" w:color="auto"/>
      </w:divBdr>
    </w:div>
    <w:div w:id="1548108316">
      <w:bodyDiv w:val="1"/>
      <w:marLeft w:val="0"/>
      <w:marRight w:val="0"/>
      <w:marTop w:val="0"/>
      <w:marBottom w:val="0"/>
      <w:divBdr>
        <w:top w:val="none" w:sz="0" w:space="0" w:color="auto"/>
        <w:left w:val="none" w:sz="0" w:space="0" w:color="auto"/>
        <w:bottom w:val="none" w:sz="0" w:space="0" w:color="auto"/>
        <w:right w:val="none" w:sz="0" w:space="0" w:color="auto"/>
      </w:divBdr>
    </w:div>
    <w:div w:id="1548881115">
      <w:bodyDiv w:val="1"/>
      <w:marLeft w:val="0"/>
      <w:marRight w:val="0"/>
      <w:marTop w:val="0"/>
      <w:marBottom w:val="0"/>
      <w:divBdr>
        <w:top w:val="none" w:sz="0" w:space="0" w:color="auto"/>
        <w:left w:val="none" w:sz="0" w:space="0" w:color="auto"/>
        <w:bottom w:val="none" w:sz="0" w:space="0" w:color="auto"/>
        <w:right w:val="none" w:sz="0" w:space="0" w:color="auto"/>
      </w:divBdr>
    </w:div>
    <w:div w:id="1555312668">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10507561">
      <w:bodyDiv w:val="1"/>
      <w:marLeft w:val="0"/>
      <w:marRight w:val="0"/>
      <w:marTop w:val="0"/>
      <w:marBottom w:val="0"/>
      <w:divBdr>
        <w:top w:val="none" w:sz="0" w:space="0" w:color="auto"/>
        <w:left w:val="none" w:sz="0" w:space="0" w:color="auto"/>
        <w:bottom w:val="none" w:sz="0" w:space="0" w:color="auto"/>
        <w:right w:val="none" w:sz="0" w:space="0" w:color="auto"/>
      </w:divBdr>
    </w:div>
    <w:div w:id="1615987539">
      <w:bodyDiv w:val="1"/>
      <w:marLeft w:val="0"/>
      <w:marRight w:val="0"/>
      <w:marTop w:val="0"/>
      <w:marBottom w:val="0"/>
      <w:divBdr>
        <w:top w:val="none" w:sz="0" w:space="0" w:color="auto"/>
        <w:left w:val="none" w:sz="0" w:space="0" w:color="auto"/>
        <w:bottom w:val="none" w:sz="0" w:space="0" w:color="auto"/>
        <w:right w:val="none" w:sz="0" w:space="0" w:color="auto"/>
      </w:divBdr>
    </w:div>
    <w:div w:id="1648314411">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53756222">
      <w:bodyDiv w:val="1"/>
      <w:marLeft w:val="0"/>
      <w:marRight w:val="0"/>
      <w:marTop w:val="0"/>
      <w:marBottom w:val="0"/>
      <w:divBdr>
        <w:top w:val="none" w:sz="0" w:space="0" w:color="auto"/>
        <w:left w:val="none" w:sz="0" w:space="0" w:color="auto"/>
        <w:bottom w:val="none" w:sz="0" w:space="0" w:color="auto"/>
        <w:right w:val="none" w:sz="0" w:space="0" w:color="auto"/>
      </w:divBdr>
      <w:divsChild>
        <w:div w:id="1237399955">
          <w:marLeft w:val="0"/>
          <w:marRight w:val="0"/>
          <w:marTop w:val="0"/>
          <w:marBottom w:val="0"/>
          <w:divBdr>
            <w:top w:val="none" w:sz="0" w:space="0" w:color="auto"/>
            <w:left w:val="none" w:sz="0" w:space="0" w:color="auto"/>
            <w:bottom w:val="none" w:sz="0" w:space="0" w:color="auto"/>
            <w:right w:val="none" w:sz="0" w:space="0" w:color="auto"/>
          </w:divBdr>
        </w:div>
      </w:divsChild>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691762355">
      <w:bodyDiv w:val="1"/>
      <w:marLeft w:val="0"/>
      <w:marRight w:val="0"/>
      <w:marTop w:val="0"/>
      <w:marBottom w:val="0"/>
      <w:divBdr>
        <w:top w:val="none" w:sz="0" w:space="0" w:color="auto"/>
        <w:left w:val="none" w:sz="0" w:space="0" w:color="auto"/>
        <w:bottom w:val="none" w:sz="0" w:space="0" w:color="auto"/>
        <w:right w:val="none" w:sz="0" w:space="0" w:color="auto"/>
      </w:divBdr>
    </w:div>
    <w:div w:id="1698115369">
      <w:bodyDiv w:val="1"/>
      <w:marLeft w:val="0"/>
      <w:marRight w:val="0"/>
      <w:marTop w:val="0"/>
      <w:marBottom w:val="0"/>
      <w:divBdr>
        <w:top w:val="none" w:sz="0" w:space="0" w:color="auto"/>
        <w:left w:val="none" w:sz="0" w:space="0" w:color="auto"/>
        <w:bottom w:val="none" w:sz="0" w:space="0" w:color="auto"/>
        <w:right w:val="none" w:sz="0" w:space="0" w:color="auto"/>
      </w:divBdr>
    </w:div>
    <w:div w:id="169846079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3117924">
      <w:bodyDiv w:val="1"/>
      <w:marLeft w:val="0"/>
      <w:marRight w:val="0"/>
      <w:marTop w:val="0"/>
      <w:marBottom w:val="0"/>
      <w:divBdr>
        <w:top w:val="none" w:sz="0" w:space="0" w:color="auto"/>
        <w:left w:val="none" w:sz="0" w:space="0" w:color="auto"/>
        <w:bottom w:val="none" w:sz="0" w:space="0" w:color="auto"/>
        <w:right w:val="none" w:sz="0" w:space="0" w:color="auto"/>
      </w:divBdr>
    </w:div>
    <w:div w:id="1760445824">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94857879">
      <w:bodyDiv w:val="1"/>
      <w:marLeft w:val="0"/>
      <w:marRight w:val="0"/>
      <w:marTop w:val="0"/>
      <w:marBottom w:val="0"/>
      <w:divBdr>
        <w:top w:val="none" w:sz="0" w:space="0" w:color="auto"/>
        <w:left w:val="none" w:sz="0" w:space="0" w:color="auto"/>
        <w:bottom w:val="none" w:sz="0" w:space="0" w:color="auto"/>
        <w:right w:val="none" w:sz="0" w:space="0" w:color="auto"/>
      </w:divBdr>
    </w:div>
    <w:div w:id="1808278190">
      <w:bodyDiv w:val="1"/>
      <w:marLeft w:val="0"/>
      <w:marRight w:val="0"/>
      <w:marTop w:val="0"/>
      <w:marBottom w:val="0"/>
      <w:divBdr>
        <w:top w:val="none" w:sz="0" w:space="0" w:color="auto"/>
        <w:left w:val="none" w:sz="0" w:space="0" w:color="auto"/>
        <w:bottom w:val="none" w:sz="0" w:space="0" w:color="auto"/>
        <w:right w:val="none" w:sz="0" w:space="0" w:color="auto"/>
      </w:divBdr>
    </w:div>
    <w:div w:id="1811364494">
      <w:bodyDiv w:val="1"/>
      <w:marLeft w:val="0"/>
      <w:marRight w:val="0"/>
      <w:marTop w:val="0"/>
      <w:marBottom w:val="0"/>
      <w:divBdr>
        <w:top w:val="none" w:sz="0" w:space="0" w:color="auto"/>
        <w:left w:val="none" w:sz="0" w:space="0" w:color="auto"/>
        <w:bottom w:val="none" w:sz="0" w:space="0" w:color="auto"/>
        <w:right w:val="none" w:sz="0" w:space="0" w:color="auto"/>
      </w:divBdr>
    </w:div>
    <w:div w:id="1833372485">
      <w:bodyDiv w:val="1"/>
      <w:marLeft w:val="0"/>
      <w:marRight w:val="0"/>
      <w:marTop w:val="0"/>
      <w:marBottom w:val="0"/>
      <w:divBdr>
        <w:top w:val="none" w:sz="0" w:space="0" w:color="auto"/>
        <w:left w:val="none" w:sz="0" w:space="0" w:color="auto"/>
        <w:bottom w:val="none" w:sz="0" w:space="0" w:color="auto"/>
        <w:right w:val="none" w:sz="0" w:space="0" w:color="auto"/>
      </w:divBdr>
    </w:div>
    <w:div w:id="1833834029">
      <w:bodyDiv w:val="1"/>
      <w:marLeft w:val="0"/>
      <w:marRight w:val="0"/>
      <w:marTop w:val="0"/>
      <w:marBottom w:val="0"/>
      <w:divBdr>
        <w:top w:val="none" w:sz="0" w:space="0" w:color="auto"/>
        <w:left w:val="none" w:sz="0" w:space="0" w:color="auto"/>
        <w:bottom w:val="none" w:sz="0" w:space="0" w:color="auto"/>
        <w:right w:val="none" w:sz="0" w:space="0" w:color="auto"/>
      </w:divBdr>
    </w:div>
    <w:div w:id="1844931819">
      <w:bodyDiv w:val="1"/>
      <w:marLeft w:val="0"/>
      <w:marRight w:val="0"/>
      <w:marTop w:val="0"/>
      <w:marBottom w:val="0"/>
      <w:divBdr>
        <w:top w:val="none" w:sz="0" w:space="0" w:color="auto"/>
        <w:left w:val="none" w:sz="0" w:space="0" w:color="auto"/>
        <w:bottom w:val="none" w:sz="0" w:space="0" w:color="auto"/>
        <w:right w:val="none" w:sz="0" w:space="0" w:color="auto"/>
      </w:divBdr>
    </w:div>
    <w:div w:id="1849443328">
      <w:bodyDiv w:val="1"/>
      <w:marLeft w:val="0"/>
      <w:marRight w:val="0"/>
      <w:marTop w:val="0"/>
      <w:marBottom w:val="0"/>
      <w:divBdr>
        <w:top w:val="none" w:sz="0" w:space="0" w:color="auto"/>
        <w:left w:val="none" w:sz="0" w:space="0" w:color="auto"/>
        <w:bottom w:val="none" w:sz="0" w:space="0" w:color="auto"/>
        <w:right w:val="none" w:sz="0" w:space="0" w:color="auto"/>
      </w:divBdr>
    </w:div>
    <w:div w:id="1883050606">
      <w:bodyDiv w:val="1"/>
      <w:marLeft w:val="0"/>
      <w:marRight w:val="0"/>
      <w:marTop w:val="0"/>
      <w:marBottom w:val="0"/>
      <w:divBdr>
        <w:top w:val="none" w:sz="0" w:space="0" w:color="auto"/>
        <w:left w:val="none" w:sz="0" w:space="0" w:color="auto"/>
        <w:bottom w:val="none" w:sz="0" w:space="0" w:color="auto"/>
        <w:right w:val="none" w:sz="0" w:space="0" w:color="auto"/>
      </w:divBdr>
    </w:div>
    <w:div w:id="1912427280">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62880112">
      <w:bodyDiv w:val="1"/>
      <w:marLeft w:val="0"/>
      <w:marRight w:val="0"/>
      <w:marTop w:val="0"/>
      <w:marBottom w:val="0"/>
      <w:divBdr>
        <w:top w:val="none" w:sz="0" w:space="0" w:color="auto"/>
        <w:left w:val="none" w:sz="0" w:space="0" w:color="auto"/>
        <w:bottom w:val="none" w:sz="0" w:space="0" w:color="auto"/>
        <w:right w:val="none" w:sz="0" w:space="0" w:color="auto"/>
      </w:divBdr>
    </w:div>
    <w:div w:id="1997175664">
      <w:bodyDiv w:val="1"/>
      <w:marLeft w:val="0"/>
      <w:marRight w:val="0"/>
      <w:marTop w:val="0"/>
      <w:marBottom w:val="0"/>
      <w:divBdr>
        <w:top w:val="none" w:sz="0" w:space="0" w:color="auto"/>
        <w:left w:val="none" w:sz="0" w:space="0" w:color="auto"/>
        <w:bottom w:val="none" w:sz="0" w:space="0" w:color="auto"/>
        <w:right w:val="none" w:sz="0" w:space="0" w:color="auto"/>
      </w:divBdr>
    </w:div>
    <w:div w:id="2023900143">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40465799">
      <w:bodyDiv w:val="1"/>
      <w:marLeft w:val="0"/>
      <w:marRight w:val="0"/>
      <w:marTop w:val="0"/>
      <w:marBottom w:val="0"/>
      <w:divBdr>
        <w:top w:val="none" w:sz="0" w:space="0" w:color="auto"/>
        <w:left w:val="none" w:sz="0" w:space="0" w:color="auto"/>
        <w:bottom w:val="none" w:sz="0" w:space="0" w:color="auto"/>
        <w:right w:val="none" w:sz="0" w:space="0" w:color="auto"/>
      </w:divBdr>
    </w:div>
    <w:div w:id="2091804555">
      <w:bodyDiv w:val="1"/>
      <w:marLeft w:val="0"/>
      <w:marRight w:val="0"/>
      <w:marTop w:val="0"/>
      <w:marBottom w:val="0"/>
      <w:divBdr>
        <w:top w:val="none" w:sz="0" w:space="0" w:color="auto"/>
        <w:left w:val="none" w:sz="0" w:space="0" w:color="auto"/>
        <w:bottom w:val="none" w:sz="0" w:space="0" w:color="auto"/>
        <w:right w:val="none" w:sz="0" w:space="0" w:color="auto"/>
      </w:divBdr>
    </w:div>
    <w:div w:id="2102986983">
      <w:bodyDiv w:val="1"/>
      <w:marLeft w:val="0"/>
      <w:marRight w:val="0"/>
      <w:marTop w:val="0"/>
      <w:marBottom w:val="0"/>
      <w:divBdr>
        <w:top w:val="none" w:sz="0" w:space="0" w:color="auto"/>
        <w:left w:val="none" w:sz="0" w:space="0" w:color="auto"/>
        <w:bottom w:val="none" w:sz="0" w:space="0" w:color="auto"/>
        <w:right w:val="none" w:sz="0" w:space="0" w:color="auto"/>
      </w:divBdr>
      <w:divsChild>
        <w:div w:id="934479325">
          <w:marLeft w:val="0"/>
          <w:marRight w:val="0"/>
          <w:marTop w:val="0"/>
          <w:marBottom w:val="0"/>
          <w:divBdr>
            <w:top w:val="none" w:sz="0" w:space="0" w:color="auto"/>
            <w:left w:val="none" w:sz="0" w:space="0" w:color="auto"/>
            <w:bottom w:val="none" w:sz="0" w:space="0" w:color="auto"/>
            <w:right w:val="none" w:sz="0" w:space="0" w:color="auto"/>
          </w:divBdr>
          <w:divsChild>
            <w:div w:id="363096706">
              <w:marLeft w:val="0"/>
              <w:marRight w:val="0"/>
              <w:marTop w:val="0"/>
              <w:marBottom w:val="0"/>
              <w:divBdr>
                <w:top w:val="none" w:sz="0" w:space="0" w:color="auto"/>
                <w:left w:val="none" w:sz="0" w:space="0" w:color="auto"/>
                <w:bottom w:val="none" w:sz="0" w:space="0" w:color="auto"/>
                <w:right w:val="none" w:sz="0" w:space="0" w:color="auto"/>
              </w:divBdr>
              <w:divsChild>
                <w:div w:id="2092845785">
                  <w:marLeft w:val="0"/>
                  <w:marRight w:val="0"/>
                  <w:marTop w:val="0"/>
                  <w:marBottom w:val="0"/>
                  <w:divBdr>
                    <w:top w:val="none" w:sz="0" w:space="0" w:color="auto"/>
                    <w:left w:val="none" w:sz="0" w:space="0" w:color="auto"/>
                    <w:bottom w:val="none" w:sz="0" w:space="0" w:color="auto"/>
                    <w:right w:val="none" w:sz="0" w:space="0" w:color="auto"/>
                  </w:divBdr>
                  <w:divsChild>
                    <w:div w:id="1468355443">
                      <w:marLeft w:val="0"/>
                      <w:marRight w:val="0"/>
                      <w:marTop w:val="0"/>
                      <w:marBottom w:val="0"/>
                      <w:divBdr>
                        <w:top w:val="none" w:sz="0" w:space="0" w:color="auto"/>
                        <w:left w:val="none" w:sz="0" w:space="0" w:color="auto"/>
                        <w:bottom w:val="none" w:sz="0" w:space="0" w:color="auto"/>
                        <w:right w:val="none" w:sz="0" w:space="0" w:color="auto"/>
                      </w:divBdr>
                      <w:divsChild>
                        <w:div w:id="1103381921">
                          <w:marLeft w:val="0"/>
                          <w:marRight w:val="0"/>
                          <w:marTop w:val="0"/>
                          <w:marBottom w:val="0"/>
                          <w:divBdr>
                            <w:top w:val="none" w:sz="0" w:space="0" w:color="auto"/>
                            <w:left w:val="none" w:sz="0" w:space="0" w:color="auto"/>
                            <w:bottom w:val="none" w:sz="0" w:space="0" w:color="auto"/>
                            <w:right w:val="none" w:sz="0" w:space="0" w:color="auto"/>
                          </w:divBdr>
                          <w:divsChild>
                            <w:div w:id="2026057252">
                              <w:marLeft w:val="0"/>
                              <w:marRight w:val="0"/>
                              <w:marTop w:val="0"/>
                              <w:marBottom w:val="0"/>
                              <w:divBdr>
                                <w:top w:val="none" w:sz="0" w:space="0" w:color="auto"/>
                                <w:left w:val="none" w:sz="0" w:space="0" w:color="auto"/>
                                <w:bottom w:val="none" w:sz="0" w:space="0" w:color="auto"/>
                                <w:right w:val="none" w:sz="0" w:space="0" w:color="auto"/>
                              </w:divBdr>
                              <w:divsChild>
                                <w:div w:id="15275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273901">
      <w:bodyDiv w:val="1"/>
      <w:marLeft w:val="0"/>
      <w:marRight w:val="0"/>
      <w:marTop w:val="0"/>
      <w:marBottom w:val="0"/>
      <w:divBdr>
        <w:top w:val="none" w:sz="0" w:space="0" w:color="auto"/>
        <w:left w:val="none" w:sz="0" w:space="0" w:color="auto"/>
        <w:bottom w:val="none" w:sz="0" w:space="0" w:color="auto"/>
        <w:right w:val="none" w:sz="0" w:space="0" w:color="auto"/>
      </w:divBdr>
    </w:div>
    <w:div w:id="2123574952">
      <w:bodyDiv w:val="1"/>
      <w:marLeft w:val="0"/>
      <w:marRight w:val="0"/>
      <w:marTop w:val="0"/>
      <w:marBottom w:val="0"/>
      <w:divBdr>
        <w:top w:val="none" w:sz="0" w:space="0" w:color="auto"/>
        <w:left w:val="none" w:sz="0" w:space="0" w:color="auto"/>
        <w:bottom w:val="none" w:sz="0" w:space="0" w:color="auto"/>
        <w:right w:val="none" w:sz="0" w:space="0" w:color="auto"/>
      </w:divBdr>
      <w:divsChild>
        <w:div w:id="1392145816">
          <w:marLeft w:val="547"/>
          <w:marRight w:val="0"/>
          <w:marTop w:val="0"/>
          <w:marBottom w:val="0"/>
          <w:divBdr>
            <w:top w:val="none" w:sz="0" w:space="0" w:color="auto"/>
            <w:left w:val="none" w:sz="0" w:space="0" w:color="auto"/>
            <w:bottom w:val="none" w:sz="0" w:space="0" w:color="auto"/>
            <w:right w:val="none" w:sz="0" w:space="0" w:color="auto"/>
          </w:divBdr>
        </w:div>
      </w:divsChild>
    </w:div>
    <w:div w:id="213243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chart" Target="charts/chart62.xml"/><Relationship Id="rId21" Type="http://schemas.openxmlformats.org/officeDocument/2006/relationships/hyperlink" Target="#_Alt_text_long"/><Relationship Id="rId42" Type="http://schemas.openxmlformats.org/officeDocument/2006/relationships/hyperlink" Target="https://www.xe.com/" TargetMode="External"/><Relationship Id="rId47" Type="http://schemas.openxmlformats.org/officeDocument/2006/relationships/diagramQuickStyle" Target="diagrams/quickStyle4.xml"/><Relationship Id="rId63" Type="http://schemas.openxmlformats.org/officeDocument/2006/relationships/chart" Target="charts/chart8.xml"/><Relationship Id="rId68" Type="http://schemas.openxmlformats.org/officeDocument/2006/relationships/chart" Target="charts/chart13.xml"/><Relationship Id="rId84" Type="http://schemas.openxmlformats.org/officeDocument/2006/relationships/chart" Target="charts/chart29.xml"/><Relationship Id="rId89" Type="http://schemas.openxmlformats.org/officeDocument/2006/relationships/chart" Target="charts/chart34.xml"/><Relationship Id="rId112" Type="http://schemas.openxmlformats.org/officeDocument/2006/relationships/chart" Target="charts/chart57.xml"/><Relationship Id="rId133" Type="http://schemas.openxmlformats.org/officeDocument/2006/relationships/chart" Target="charts/chart78.xml"/><Relationship Id="rId138" Type="http://schemas.openxmlformats.org/officeDocument/2006/relationships/chart" Target="charts/chart83.xml"/><Relationship Id="rId16" Type="http://schemas.openxmlformats.org/officeDocument/2006/relationships/header" Target="header2.xml"/><Relationship Id="rId107" Type="http://schemas.openxmlformats.org/officeDocument/2006/relationships/chart" Target="charts/chart52.xml"/><Relationship Id="rId11" Type="http://schemas.openxmlformats.org/officeDocument/2006/relationships/footer" Target="footer1.xm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image" Target="media/image5.png"/><Relationship Id="rId58" Type="http://schemas.openxmlformats.org/officeDocument/2006/relationships/chart" Target="charts/chart3.xml"/><Relationship Id="rId74" Type="http://schemas.openxmlformats.org/officeDocument/2006/relationships/chart" Target="charts/chart19.xml"/><Relationship Id="rId79" Type="http://schemas.openxmlformats.org/officeDocument/2006/relationships/chart" Target="charts/chart24.xml"/><Relationship Id="rId102" Type="http://schemas.openxmlformats.org/officeDocument/2006/relationships/chart" Target="charts/chart47.xml"/><Relationship Id="rId123" Type="http://schemas.openxmlformats.org/officeDocument/2006/relationships/chart" Target="charts/chart68.xml"/><Relationship Id="rId128" Type="http://schemas.openxmlformats.org/officeDocument/2006/relationships/chart" Target="charts/chart73.xml"/><Relationship Id="rId144" Type="http://schemas.openxmlformats.org/officeDocument/2006/relationships/image" Target="media/image12.png"/><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chart" Target="charts/chart35.xml"/><Relationship Id="rId95" Type="http://schemas.openxmlformats.org/officeDocument/2006/relationships/chart" Target="charts/chart40.xml"/><Relationship Id="rId22" Type="http://schemas.openxmlformats.org/officeDocument/2006/relationships/image" Target="media/image1.png"/><Relationship Id="rId27" Type="http://schemas.microsoft.com/office/2007/relationships/diagramDrawing" Target="diagrams/drawing1.xml"/><Relationship Id="rId43" Type="http://schemas.openxmlformats.org/officeDocument/2006/relationships/hyperlink" Target="https://www.xe.com/" TargetMode="External"/><Relationship Id="rId48" Type="http://schemas.openxmlformats.org/officeDocument/2006/relationships/diagramColors" Target="diagrams/colors4.xml"/><Relationship Id="rId64" Type="http://schemas.openxmlformats.org/officeDocument/2006/relationships/chart" Target="charts/chart9.xml"/><Relationship Id="rId69" Type="http://schemas.openxmlformats.org/officeDocument/2006/relationships/chart" Target="charts/chart14.xml"/><Relationship Id="rId113" Type="http://schemas.openxmlformats.org/officeDocument/2006/relationships/chart" Target="charts/chart58.xml"/><Relationship Id="rId118" Type="http://schemas.openxmlformats.org/officeDocument/2006/relationships/chart" Target="charts/chart63.xml"/><Relationship Id="rId134" Type="http://schemas.openxmlformats.org/officeDocument/2006/relationships/chart" Target="charts/chart79.xml"/><Relationship Id="rId139" Type="http://schemas.openxmlformats.org/officeDocument/2006/relationships/chart" Target="charts/chart84.xml"/><Relationship Id="rId80" Type="http://schemas.openxmlformats.org/officeDocument/2006/relationships/chart" Target="charts/chart25.xml"/><Relationship Id="rId85" Type="http://schemas.openxmlformats.org/officeDocument/2006/relationships/chart" Target="charts/chart30.xml"/><Relationship Id="rId150" Type="http://schemas.openxmlformats.org/officeDocument/2006/relationships/glossaryDocument" Target="glossary/document.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Layout" Target="diagrams/layout4.xml"/><Relationship Id="rId59" Type="http://schemas.openxmlformats.org/officeDocument/2006/relationships/chart" Target="charts/chart4.xml"/><Relationship Id="rId67" Type="http://schemas.openxmlformats.org/officeDocument/2006/relationships/chart" Target="charts/chart12.xml"/><Relationship Id="rId103" Type="http://schemas.openxmlformats.org/officeDocument/2006/relationships/chart" Target="charts/chart48.xml"/><Relationship Id="rId108" Type="http://schemas.openxmlformats.org/officeDocument/2006/relationships/chart" Target="charts/chart53.xml"/><Relationship Id="rId116" Type="http://schemas.openxmlformats.org/officeDocument/2006/relationships/chart" Target="charts/chart61.xml"/><Relationship Id="rId124" Type="http://schemas.openxmlformats.org/officeDocument/2006/relationships/chart" Target="charts/chart69.xml"/><Relationship Id="rId129" Type="http://schemas.openxmlformats.org/officeDocument/2006/relationships/chart" Target="charts/chart74.xml"/><Relationship Id="rId137" Type="http://schemas.openxmlformats.org/officeDocument/2006/relationships/chart" Target="charts/chart82.xml"/><Relationship Id="rId20" Type="http://schemas.openxmlformats.org/officeDocument/2006/relationships/header" Target="header5.xml"/><Relationship Id="rId41" Type="http://schemas.openxmlformats.org/officeDocument/2006/relationships/image" Target="media/image2.png"/><Relationship Id="rId54" Type="http://schemas.openxmlformats.org/officeDocument/2006/relationships/image" Target="media/image6.png"/><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chart" Target="charts/chart28.xml"/><Relationship Id="rId88" Type="http://schemas.openxmlformats.org/officeDocument/2006/relationships/chart" Target="charts/chart33.xml"/><Relationship Id="rId91" Type="http://schemas.openxmlformats.org/officeDocument/2006/relationships/chart" Target="charts/chart36.xml"/><Relationship Id="rId96" Type="http://schemas.openxmlformats.org/officeDocument/2006/relationships/chart" Target="charts/chart41.xml"/><Relationship Id="rId111" Type="http://schemas.openxmlformats.org/officeDocument/2006/relationships/chart" Target="charts/chart56.xml"/><Relationship Id="rId132" Type="http://schemas.openxmlformats.org/officeDocument/2006/relationships/chart" Target="charts/chart77.xml"/><Relationship Id="rId140" Type="http://schemas.openxmlformats.org/officeDocument/2006/relationships/image" Target="media/image10.png"/><Relationship Id="rId14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diagramQuickStyle" Target="diagrams/quickStyle3.xml"/><Relationship Id="rId49" Type="http://schemas.microsoft.com/office/2007/relationships/diagramDrawing" Target="diagrams/drawing4.xml"/><Relationship Id="rId57" Type="http://schemas.openxmlformats.org/officeDocument/2006/relationships/image" Target="media/image9.png"/><Relationship Id="rId106" Type="http://schemas.openxmlformats.org/officeDocument/2006/relationships/chart" Target="charts/chart51.xml"/><Relationship Id="rId114" Type="http://schemas.openxmlformats.org/officeDocument/2006/relationships/chart" Target="charts/chart59.xml"/><Relationship Id="rId119" Type="http://schemas.openxmlformats.org/officeDocument/2006/relationships/chart" Target="charts/chart64.xml"/><Relationship Id="rId127" Type="http://schemas.openxmlformats.org/officeDocument/2006/relationships/chart" Target="charts/chart72.xml"/><Relationship Id="rId10" Type="http://schemas.openxmlformats.org/officeDocument/2006/relationships/endnotes" Target="endnotes.xml"/><Relationship Id="rId31" Type="http://schemas.openxmlformats.org/officeDocument/2006/relationships/diagramQuickStyle" Target="diagrams/quickStyle2.xml"/><Relationship Id="rId44" Type="http://schemas.openxmlformats.org/officeDocument/2006/relationships/hyperlink" Target="https://www.abs.gov.au/ausstats/abs@.nsf/mf/6401.0" TargetMode="External"/><Relationship Id="rId52" Type="http://schemas.openxmlformats.org/officeDocument/2006/relationships/image" Target="media/image4.png"/><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chart" Target="charts/chart23.xml"/><Relationship Id="rId81" Type="http://schemas.openxmlformats.org/officeDocument/2006/relationships/chart" Target="charts/chart26.xml"/><Relationship Id="rId86" Type="http://schemas.openxmlformats.org/officeDocument/2006/relationships/chart" Target="charts/chart31.xml"/><Relationship Id="rId94" Type="http://schemas.openxmlformats.org/officeDocument/2006/relationships/chart" Target="charts/chart39.xml"/><Relationship Id="rId99" Type="http://schemas.openxmlformats.org/officeDocument/2006/relationships/chart" Target="charts/chart44.xml"/><Relationship Id="rId101" Type="http://schemas.openxmlformats.org/officeDocument/2006/relationships/chart" Target="charts/chart46.xml"/><Relationship Id="rId122" Type="http://schemas.openxmlformats.org/officeDocument/2006/relationships/chart" Target="charts/chart67.xml"/><Relationship Id="rId130" Type="http://schemas.openxmlformats.org/officeDocument/2006/relationships/chart" Target="charts/chart75.xml"/><Relationship Id="rId135" Type="http://schemas.openxmlformats.org/officeDocument/2006/relationships/chart" Target="charts/chart80.xml"/><Relationship Id="rId143" Type="http://schemas.openxmlformats.org/officeDocument/2006/relationships/hyperlink" Target="https://www.adlsmartcare.com" TargetMode="External"/><Relationship Id="rId148" Type="http://schemas.openxmlformats.org/officeDocument/2006/relationships/image" Target="media/image15.tmp"/><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yperlink" Target="https://www.abs.gov.au/ausstats/abs@.nsf/mf/6401.0" TargetMode="External"/><Relationship Id="rId109" Type="http://schemas.openxmlformats.org/officeDocument/2006/relationships/chart" Target="charts/chart54.xml"/><Relationship Id="rId34" Type="http://schemas.openxmlformats.org/officeDocument/2006/relationships/diagramData" Target="diagrams/data3.xml"/><Relationship Id="rId50" Type="http://schemas.openxmlformats.org/officeDocument/2006/relationships/hyperlink" Target="https://monkeylearn.com/word-cloud/result" TargetMode="External"/><Relationship Id="rId55" Type="http://schemas.openxmlformats.org/officeDocument/2006/relationships/image" Target="media/image7.png"/><Relationship Id="rId76" Type="http://schemas.openxmlformats.org/officeDocument/2006/relationships/chart" Target="charts/chart21.xml"/><Relationship Id="rId97" Type="http://schemas.openxmlformats.org/officeDocument/2006/relationships/chart" Target="charts/chart42.xml"/><Relationship Id="rId104" Type="http://schemas.openxmlformats.org/officeDocument/2006/relationships/chart" Target="charts/chart49.xml"/><Relationship Id="rId120" Type="http://schemas.openxmlformats.org/officeDocument/2006/relationships/chart" Target="charts/chart65.xml"/><Relationship Id="rId125" Type="http://schemas.openxmlformats.org/officeDocument/2006/relationships/chart" Target="charts/chart70.xml"/><Relationship Id="rId141" Type="http://schemas.openxmlformats.org/officeDocument/2006/relationships/image" Target="media/image11.png"/><Relationship Id="rId146"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chart" Target="charts/chart16.xml"/><Relationship Id="rId92" Type="http://schemas.openxmlformats.org/officeDocument/2006/relationships/chart" Target="charts/chart37.xm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Layout" Target="diagrams/layout1.xml"/><Relationship Id="rId40" Type="http://schemas.openxmlformats.org/officeDocument/2006/relationships/chart" Target="charts/chart2.xml"/><Relationship Id="rId45" Type="http://schemas.openxmlformats.org/officeDocument/2006/relationships/diagramData" Target="diagrams/data4.xml"/><Relationship Id="rId66" Type="http://schemas.openxmlformats.org/officeDocument/2006/relationships/chart" Target="charts/chart11.xml"/><Relationship Id="rId87" Type="http://schemas.openxmlformats.org/officeDocument/2006/relationships/chart" Target="charts/chart32.xml"/><Relationship Id="rId110" Type="http://schemas.openxmlformats.org/officeDocument/2006/relationships/chart" Target="charts/chart55.xml"/><Relationship Id="rId115" Type="http://schemas.openxmlformats.org/officeDocument/2006/relationships/chart" Target="charts/chart60.xml"/><Relationship Id="rId131" Type="http://schemas.openxmlformats.org/officeDocument/2006/relationships/chart" Target="charts/chart76.xml"/><Relationship Id="rId136" Type="http://schemas.openxmlformats.org/officeDocument/2006/relationships/chart" Target="charts/chart81.xml"/><Relationship Id="rId61" Type="http://schemas.openxmlformats.org/officeDocument/2006/relationships/chart" Target="charts/chart6.xml"/><Relationship Id="rId82" Type="http://schemas.openxmlformats.org/officeDocument/2006/relationships/chart" Target="charts/chart27.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image" Target="media/image8.png"/><Relationship Id="rId77" Type="http://schemas.openxmlformats.org/officeDocument/2006/relationships/chart" Target="charts/chart22.xml"/><Relationship Id="rId100" Type="http://schemas.openxmlformats.org/officeDocument/2006/relationships/chart" Target="charts/chart45.xml"/><Relationship Id="rId105" Type="http://schemas.openxmlformats.org/officeDocument/2006/relationships/chart" Target="charts/chart50.xml"/><Relationship Id="rId126" Type="http://schemas.openxmlformats.org/officeDocument/2006/relationships/chart" Target="charts/chart71.xml"/><Relationship Id="rId147" Type="http://schemas.openxmlformats.org/officeDocument/2006/relationships/hyperlink" Target="https://ilc.com.au/making-choices-finding-solutions-guide/" TargetMode="Externa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chart" Target="charts/chart17.xml"/><Relationship Id="rId93" Type="http://schemas.openxmlformats.org/officeDocument/2006/relationships/chart" Target="charts/chart38.xml"/><Relationship Id="rId98" Type="http://schemas.openxmlformats.org/officeDocument/2006/relationships/chart" Target="charts/chart43.xml"/><Relationship Id="rId121" Type="http://schemas.openxmlformats.org/officeDocument/2006/relationships/chart" Target="charts/chart66.xml"/><Relationship Id="rId142" Type="http://schemas.openxmlformats.org/officeDocument/2006/relationships/hyperlink" Target="https://www1.health.gov.au/internet/main/publishing.nsf/Content/AB1C0973EEA98E14CA257BF0001E01C4/$File/sas-schedule-1-april-2020-full.pdf"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jacki\Dropbox\Work\Freelance\Clients\AHA\AHA%20Projects\Assistive%20Technology%20Review\AT%20Review%20-%20Accessible\Figures\Charts%20in%20Microsoft%20Wo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1200" b="1"/>
              <a:t>Older Australians</a:t>
            </a:r>
          </a:p>
          <a:p>
            <a:pPr>
              <a:defRPr sz="900"/>
            </a:pPr>
            <a:r>
              <a:rPr lang="en-US" sz="900"/>
              <a:t>4,126,300</a:t>
            </a:r>
          </a:p>
        </c:rich>
      </c:tx>
      <c:layout>
        <c:manualLayout>
          <c:xMode val="edge"/>
          <c:yMode val="edge"/>
          <c:x val="0.22331613964877819"/>
          <c:y val="3.108768616240635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
          <c:y val="0.11428813139858482"/>
          <c:w val="1"/>
          <c:h val="0.84081129130827859"/>
        </c:manualLayout>
      </c:layout>
      <c:ofPieChart>
        <c:ofPieType val="bar"/>
        <c:varyColors val="1"/>
        <c:ser>
          <c:idx val="0"/>
          <c:order val="0"/>
          <c:tx>
            <c:strRef>
              <c:f>Sheet1!$B$1</c:f>
              <c:strCache>
                <c:ptCount val="1"/>
                <c:pt idx="0">
                  <c:v>Number</c:v>
                </c:pt>
              </c:strCache>
            </c:strRef>
          </c:tx>
          <c:spPr>
            <a:solidFill>
              <a:schemeClr val="bg1">
                <a:lumMod val="85000"/>
              </a:schemeClr>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20F1-48D8-A3F0-0887CB85C3C5}"/>
              </c:ext>
            </c:extLst>
          </c:dPt>
          <c:dPt>
            <c:idx val="1"/>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3-20F1-48D8-A3F0-0887CB85C3C5}"/>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0F1-48D8-A3F0-0887CB85C3C5}"/>
              </c:ext>
            </c:extLst>
          </c:dPt>
          <c:dPt>
            <c:idx val="3"/>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7-20F1-48D8-A3F0-0887CB85C3C5}"/>
              </c:ext>
            </c:extLst>
          </c:dPt>
          <c:dPt>
            <c:idx val="4"/>
            <c:bubble3D val="0"/>
            <c:spPr>
              <a:solidFill>
                <a:schemeClr val="tx2">
                  <a:lumMod val="50000"/>
                </a:schemeClr>
              </a:solidFill>
              <a:ln w="19050">
                <a:solidFill>
                  <a:schemeClr val="lt1"/>
                </a:solidFill>
              </a:ln>
              <a:effectLst/>
            </c:spPr>
            <c:extLst>
              <c:ext xmlns:c16="http://schemas.microsoft.com/office/drawing/2014/chart" uri="{C3380CC4-5D6E-409C-BE32-E72D297353CC}">
                <c16:uniqueId val="{00000009-20F1-48D8-A3F0-0887CB85C3C5}"/>
              </c:ext>
            </c:extLst>
          </c:dPt>
          <c:dPt>
            <c:idx val="5"/>
            <c:bubble3D val="0"/>
            <c:spPr>
              <a:solidFill>
                <a:schemeClr val="tx2"/>
              </a:solidFill>
              <a:ln w="19050">
                <a:solidFill>
                  <a:schemeClr val="lt1"/>
                </a:solidFill>
              </a:ln>
              <a:effectLst/>
            </c:spPr>
            <c:extLst>
              <c:ext xmlns:c16="http://schemas.microsoft.com/office/drawing/2014/chart" uri="{C3380CC4-5D6E-409C-BE32-E72D297353CC}">
                <c16:uniqueId val="{0000000B-20F1-48D8-A3F0-0887CB85C3C5}"/>
              </c:ext>
            </c:extLst>
          </c:dPt>
          <c:dLbls>
            <c:dLbl>
              <c:idx val="0"/>
              <c:layout/>
              <c:tx>
                <c:rich>
                  <a:bodyPr/>
                  <a:lstStyle/>
                  <a:p>
                    <a:fld id="{2EB24E5B-7FD6-4CC2-BE53-8909EEEDE2B5}" type="CATEGORYNAME">
                      <a:rPr lang="en-US" sz="1200" b="1"/>
                      <a:pPr/>
                      <a:t>[CATEGORY NAME]</a:t>
                    </a:fld>
                    <a:endParaRPr lang="en-US" sz="1100" b="1" baseline="0"/>
                  </a:p>
                  <a:p>
                    <a:fld id="{AA52D5AB-D701-42AA-A277-DA2380CAD1BA}" type="VALUE">
                      <a:rPr lang="en-US"/>
                      <a:pPr/>
                      <a:t>[VALUE]</a:t>
                    </a:fld>
                    <a:endParaRPr lang="en-US" baseline="0"/>
                  </a:p>
                  <a:p>
                    <a:fld id="{B92A14FE-E9FC-4DBE-8C75-2E6231199F2E}" type="PERCENTAGE">
                      <a:rPr lang="en-US"/>
                      <a:pPr/>
                      <a:t>[PERCENTAGE]</a:t>
                    </a:fld>
                    <a:endParaRPr lang="en-AU"/>
                  </a:p>
                </c:rich>
              </c:tx>
              <c:dLblPos val="ctr"/>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0F1-48D8-A3F0-0887CB85C3C5}"/>
                </c:ext>
              </c:extLst>
            </c:dLbl>
            <c:dLbl>
              <c:idx val="1"/>
              <c:layout/>
              <c:tx>
                <c:rich>
                  <a:bodyPr/>
                  <a:lstStyle/>
                  <a:p>
                    <a:fld id="{27223824-CA7D-4922-98F9-86808636D8BF}" type="CATEGORYNAME">
                      <a:rPr lang="en-US" sz="1100" b="1"/>
                      <a:pPr/>
                      <a:t>[CATEGORY NAME]</a:t>
                    </a:fld>
                    <a:endParaRPr lang="en-US" sz="1100" b="1" baseline="0"/>
                  </a:p>
                  <a:p>
                    <a:fld id="{E91DB1A8-959F-451A-AA24-B5482F438DC2}" type="VALUE">
                      <a:rPr lang="en-US"/>
                      <a:pPr/>
                      <a:t>[VALUE]</a:t>
                    </a:fld>
                    <a:endParaRPr lang="en-US" baseline="0"/>
                  </a:p>
                  <a:p>
                    <a:fld id="{8EF043B2-2BF5-4CAF-89FA-6207DAFDE29F}" type="CELLREF">
                      <a:rPr lang="en-US"/>
                      <a:pPr/>
                      <a:t>[CELLREF]</a:t>
                    </a:fld>
                    <a:endParaRPr lang="en-AU"/>
                  </a:p>
                </c:rich>
              </c:tx>
              <c:dLblPos val="ctr"/>
              <c:showLegendKey val="0"/>
              <c:showVal val="1"/>
              <c:showCatName val="1"/>
              <c:showSerName val="0"/>
              <c:showPercent val="0"/>
              <c:showBubbleSize val="0"/>
              <c:separator>
</c:separator>
              <c:extLst>
                <c:ext xmlns:c15="http://schemas.microsoft.com/office/drawing/2012/chart" uri="{CE6537A1-D6FC-4f65-9D91-7224C49458BB}">
                  <c15:layout/>
                  <c15:dlblFieldTable>
                    <c15:dlblFTEntry>
                      <c15:txfldGUID>{8EF043B2-2BF5-4CAF-89FA-6207DAFDE29F}</c15:txfldGUID>
                      <c15:f>Sheet1!$D$3</c15:f>
                      <c15:dlblFieldTableCache>
                        <c:ptCount val="1"/>
                        <c:pt idx="0">
                          <c:v>47%</c:v>
                        </c:pt>
                      </c15:dlblFieldTableCache>
                    </c15:dlblFTEntry>
                  </c15:dlblFieldTable>
                  <c15:showDataLabelsRange val="0"/>
                </c:ext>
                <c:ext xmlns:c16="http://schemas.microsoft.com/office/drawing/2014/chart" uri="{C3380CC4-5D6E-409C-BE32-E72D297353CC}">
                  <c16:uniqueId val="{00000003-20F1-48D8-A3F0-0887CB85C3C5}"/>
                </c:ext>
              </c:extLst>
            </c:dLbl>
            <c:dLbl>
              <c:idx val="2"/>
              <c:layout/>
              <c:tx>
                <c:rich>
                  <a:bodyPr/>
                  <a:lstStyle/>
                  <a:p>
                    <a:fld id="{516B61D7-CB8F-47F4-B7E2-12698A6558A6}" type="CATEGORYNAME">
                      <a:rPr lang="en-US" sz="1100" b="1"/>
                      <a:pPr/>
                      <a:t>[CATEGORY NAME]</a:t>
                    </a:fld>
                    <a:endParaRPr lang="en-US" sz="1100" b="1" baseline="0"/>
                  </a:p>
                  <a:p>
                    <a:fld id="{80A5FA5C-AA4F-4549-9542-9A1562A5D76B}" type="VALUE">
                      <a:rPr lang="en-US"/>
                      <a:pPr/>
                      <a:t>[VALUE]</a:t>
                    </a:fld>
                    <a:endParaRPr lang="en-US" baseline="0"/>
                  </a:p>
                  <a:p>
                    <a:fld id="{AF030A16-20A0-4B3B-8E41-5A7FDFAC3114}" type="CELLREF">
                      <a:rPr lang="en-US"/>
                      <a:pPr/>
                      <a:t>[CELLREF]</a:t>
                    </a:fld>
                    <a:endParaRPr lang="en-AU"/>
                  </a:p>
                </c:rich>
              </c:tx>
              <c:dLblPos val="ctr"/>
              <c:showLegendKey val="0"/>
              <c:showVal val="1"/>
              <c:showCatName val="1"/>
              <c:showSerName val="0"/>
              <c:showPercent val="0"/>
              <c:showBubbleSize val="0"/>
              <c:separator>
</c:separator>
              <c:extLst>
                <c:ext xmlns:c15="http://schemas.microsoft.com/office/drawing/2012/chart" uri="{CE6537A1-D6FC-4f65-9D91-7224C49458BB}">
                  <c15:layout/>
                  <c15:dlblFieldTable>
                    <c15:dlblFTEntry>
                      <c15:txfldGUID>{AF030A16-20A0-4B3B-8E41-5A7FDFAC3114}</c15:txfldGUID>
                      <c15:f>Sheet1!$D$4</c15:f>
                      <c15:dlblFieldTableCache>
                        <c:ptCount val="1"/>
                        <c:pt idx="0">
                          <c:v>20%</c:v>
                        </c:pt>
                      </c15:dlblFieldTableCache>
                    </c15:dlblFTEntry>
                  </c15:dlblFieldTable>
                  <c15:showDataLabelsRange val="0"/>
                </c:ext>
                <c:ext xmlns:c16="http://schemas.microsoft.com/office/drawing/2014/chart" uri="{C3380CC4-5D6E-409C-BE32-E72D297353CC}">
                  <c16:uniqueId val="{00000005-20F1-48D8-A3F0-0887CB85C3C5}"/>
                </c:ext>
              </c:extLst>
            </c:dLbl>
            <c:dLbl>
              <c:idx val="3"/>
              <c:layout/>
              <c:tx>
                <c:rich>
                  <a:bodyPr/>
                  <a:lstStyle/>
                  <a:p>
                    <a:fld id="{41A591D4-2C66-42E1-A79B-952AA7974754}" type="CATEGORYNAME">
                      <a:rPr lang="en-US" sz="1100" b="1"/>
                      <a:pPr/>
                      <a:t>[CATEGORY NAME]</a:t>
                    </a:fld>
                    <a:endParaRPr lang="en-US" sz="1100" b="1" baseline="0"/>
                  </a:p>
                  <a:p>
                    <a:fld id="{EDE1EFEB-0E8C-4E89-99C7-464CDE49C4AC}" type="VALUE">
                      <a:rPr lang="en-US"/>
                      <a:pPr/>
                      <a:t>[VALUE]</a:t>
                    </a:fld>
                    <a:endParaRPr lang="en-US" baseline="0"/>
                  </a:p>
                  <a:p>
                    <a:fld id="{8016A51D-7002-4256-A575-FF5CC70979FA}" type="CELLREF">
                      <a:rPr lang="en-US"/>
                      <a:pPr/>
                      <a:t>[CELLREF]</a:t>
                    </a:fld>
                    <a:endParaRPr lang="en-AU"/>
                  </a:p>
                </c:rich>
              </c:tx>
              <c:dLblPos val="ctr"/>
              <c:showLegendKey val="0"/>
              <c:showVal val="1"/>
              <c:showCatName val="1"/>
              <c:showSerName val="0"/>
              <c:showPercent val="0"/>
              <c:showBubbleSize val="0"/>
              <c:separator>
</c:separator>
              <c:extLst>
                <c:ext xmlns:c15="http://schemas.microsoft.com/office/drawing/2012/chart" uri="{CE6537A1-D6FC-4f65-9D91-7224C49458BB}">
                  <c15:layout/>
                  <c15:dlblFieldTable>
                    <c15:dlblFTEntry>
                      <c15:txfldGUID>{8016A51D-7002-4256-A575-FF5CC70979FA}</c15:txfldGUID>
                      <c15:f>Sheet1!$D$5</c15:f>
                      <c15:dlblFieldTableCache>
                        <c:ptCount val="1"/>
                        <c:pt idx="0">
                          <c:v>13%</c:v>
                        </c:pt>
                      </c15:dlblFieldTableCache>
                    </c15:dlblFTEntry>
                  </c15:dlblFieldTable>
                  <c15:showDataLabelsRange val="0"/>
                </c:ext>
                <c:ext xmlns:c16="http://schemas.microsoft.com/office/drawing/2014/chart" uri="{C3380CC4-5D6E-409C-BE32-E72D297353CC}">
                  <c16:uniqueId val="{00000007-20F1-48D8-A3F0-0887CB85C3C5}"/>
                </c:ext>
              </c:extLst>
            </c:dLbl>
            <c:dLbl>
              <c:idx val="4"/>
              <c:layout/>
              <c:tx>
                <c:rich>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fld id="{B7CC2D5A-592B-4D03-B96B-C11175F1B220}" type="CATEGORYNAME">
                      <a:rPr lang="en-US" sz="1100" b="1">
                        <a:solidFill>
                          <a:schemeClr val="bg1"/>
                        </a:solidFill>
                      </a:rPr>
                      <a:pPr>
                        <a:defRPr>
                          <a:solidFill>
                            <a:schemeClr val="bg1"/>
                          </a:solidFill>
                        </a:defRPr>
                      </a:pPr>
                      <a:t>[CATEGORY NAME]</a:t>
                    </a:fld>
                    <a:endParaRPr lang="en-US" sz="1100" b="1">
                      <a:solidFill>
                        <a:schemeClr val="bg1"/>
                      </a:solidFill>
                    </a:endParaRPr>
                  </a:p>
                  <a:p>
                    <a:pPr>
                      <a:defRPr>
                        <a:solidFill>
                          <a:schemeClr val="bg1"/>
                        </a:solidFill>
                      </a:defRPr>
                    </a:pPr>
                    <a:fld id="{CA2B6960-2AF6-40AE-8C2D-D5C6FE76279F}" type="VALUE">
                      <a:rPr lang="en-US">
                        <a:solidFill>
                          <a:schemeClr val="bg1"/>
                        </a:solidFill>
                      </a:rPr>
                      <a:pPr>
                        <a:defRPr>
                          <a:solidFill>
                            <a:schemeClr val="bg1"/>
                          </a:solidFill>
                        </a:defRPr>
                      </a:pPr>
                      <a:t>[VALUE]</a:t>
                    </a:fld>
                    <a:endParaRPr lang="en-US">
                      <a:solidFill>
                        <a:schemeClr val="bg1"/>
                      </a:solidFill>
                    </a:endParaRPr>
                  </a:p>
                  <a:p>
                    <a:pPr>
                      <a:defRPr>
                        <a:solidFill>
                          <a:schemeClr val="bg1"/>
                        </a:solidFill>
                      </a:defRPr>
                    </a:pPr>
                    <a:fld id="{F202F55E-A805-47A7-B32F-06FE9CBEF589}" type="CELLREF">
                      <a:rPr lang="en-US">
                        <a:solidFill>
                          <a:schemeClr val="bg1"/>
                        </a:solidFill>
                      </a:rPr>
                      <a:pPr>
                        <a:defRPr>
                          <a:solidFill>
                            <a:schemeClr val="bg1"/>
                          </a:solidFill>
                        </a:defRPr>
                      </a:pPr>
                      <a:t>[CELLREF]</a:t>
                    </a:fld>
                    <a:endParaRPr lang="en-AU"/>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15:dlblFieldTable>
                    <c15:dlblFTEntry>
                      <c15:txfldGUID>{F202F55E-A805-47A7-B32F-06FE9CBEF589}</c15:txfldGUID>
                      <c15:f>Sheet1!$D$6</c15:f>
                      <c15:dlblFieldTableCache>
                        <c:ptCount val="1"/>
                        <c:pt idx="0">
                          <c:v>19%</c:v>
                        </c:pt>
                      </c15:dlblFieldTableCache>
                    </c15:dlblFTEntry>
                  </c15:dlblFieldTable>
                  <c15:showDataLabelsRange val="0"/>
                </c:ext>
                <c:ext xmlns:c16="http://schemas.microsoft.com/office/drawing/2014/chart" uri="{C3380CC4-5D6E-409C-BE32-E72D297353CC}">
                  <c16:uniqueId val="{00000009-20F1-48D8-A3F0-0887CB85C3C5}"/>
                </c:ext>
              </c:extLst>
            </c:dLbl>
            <c:dLbl>
              <c:idx val="5"/>
              <c:layout/>
              <c:tx>
                <c:rich>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fld id="{296EAEF8-24F8-4B93-A26A-77411C9CEAEB}" type="CELLREF">
                      <a:rPr lang="en-US" sz="1200" b="1">
                        <a:solidFill>
                          <a:schemeClr val="bg1"/>
                        </a:solidFill>
                      </a:rPr>
                      <a:pPr>
                        <a:defRPr>
                          <a:solidFill>
                            <a:schemeClr val="bg1"/>
                          </a:solidFill>
                        </a:defRPr>
                      </a:pPr>
                      <a:t>[CELLREF]</a:t>
                    </a:fld>
                    <a:endParaRPr lang="en-US" sz="1100" b="1">
                      <a:solidFill>
                        <a:schemeClr val="bg1"/>
                      </a:solidFill>
                    </a:endParaRPr>
                  </a:p>
                  <a:p>
                    <a:pPr>
                      <a:defRPr>
                        <a:solidFill>
                          <a:schemeClr val="bg1"/>
                        </a:solidFill>
                      </a:defRPr>
                    </a:pPr>
                    <a:fld id="{2025E019-7A7C-47FA-A81C-5570080D6A58}" type="VALUE">
                      <a:rPr lang="en-US">
                        <a:solidFill>
                          <a:schemeClr val="bg1"/>
                        </a:solidFill>
                      </a:rPr>
                      <a:pPr>
                        <a:defRPr>
                          <a:solidFill>
                            <a:schemeClr val="bg1"/>
                          </a:solidFill>
                        </a:defRPr>
                      </a:pPr>
                      <a:t>[VALUE]</a:t>
                    </a:fld>
                    <a:endParaRPr lang="en-US">
                      <a:solidFill>
                        <a:schemeClr val="bg1"/>
                      </a:solidFill>
                    </a:endParaRPr>
                  </a:p>
                  <a:p>
                    <a:pPr>
                      <a:defRPr>
                        <a:solidFill>
                          <a:schemeClr val="bg1"/>
                        </a:solidFill>
                      </a:defRPr>
                    </a:pPr>
                    <a:fld id="{5AAF6963-1DCA-40ED-8CDB-98675B39E785}" type="PERCENTAGE">
                      <a:rPr lang="en-US">
                        <a:solidFill>
                          <a:schemeClr val="bg1"/>
                        </a:solidFill>
                      </a:rPr>
                      <a:pPr>
                        <a:defRPr>
                          <a:solidFill>
                            <a:schemeClr val="bg1"/>
                          </a:solidFill>
                        </a:defRPr>
                      </a:pPr>
                      <a:t>[PERCENTAGE]</a:t>
                    </a:fld>
                    <a:endParaRPr lang="en-AU"/>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extLst>
                <c:ext xmlns:c15="http://schemas.microsoft.com/office/drawing/2012/chart" uri="{CE6537A1-D6FC-4f65-9D91-7224C49458BB}">
                  <c15:layout/>
                  <c15:dlblFieldTable>
                    <c15:dlblFTEntry>
                      <c15:txfldGUID>{296EAEF8-24F8-4B93-A26A-77411C9CEAEB}</c15:txfldGUID>
                      <c15:f>Sheet1!$A$7</c15:f>
                      <c15:dlblFieldTableCache>
                        <c:ptCount val="1"/>
                        <c:pt idx="0">
                          <c:v>With core activity limitation</c:v>
                        </c:pt>
                      </c15:dlblFieldTableCache>
                    </c15:dlblFTEntry>
                  </c15:dlblFieldTable>
                  <c15:showDataLabelsRange val="0"/>
                </c:ext>
                <c:ext xmlns:c16="http://schemas.microsoft.com/office/drawing/2014/chart" uri="{C3380CC4-5D6E-409C-BE32-E72D297353CC}">
                  <c16:uniqueId val="{0000000B-20F1-48D8-A3F0-0887CB85C3C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Sheet1!$A$2:$A$6</c:f>
              <c:strCache>
                <c:ptCount val="5"/>
                <c:pt idx="0">
                  <c:v>No core activity limitation</c:v>
                </c:pt>
                <c:pt idx="1">
                  <c:v>Mild</c:v>
                </c:pt>
                <c:pt idx="2">
                  <c:v>Moderate</c:v>
                </c:pt>
                <c:pt idx="3">
                  <c:v>Severe</c:v>
                </c:pt>
                <c:pt idx="4">
                  <c:v>Profound</c:v>
                </c:pt>
              </c:strCache>
            </c:strRef>
          </c:cat>
          <c:val>
            <c:numRef>
              <c:f>Sheet1!$B$2:$B$6</c:f>
              <c:numCache>
                <c:formatCode>_-* #,##0_-;\-* #,##0_-;_-* "-"??_-;_-@_-</c:formatCode>
                <c:ptCount val="5"/>
                <c:pt idx="0">
                  <c:v>2466064</c:v>
                </c:pt>
                <c:pt idx="1">
                  <c:v>777600</c:v>
                </c:pt>
                <c:pt idx="2">
                  <c:v>339396</c:v>
                </c:pt>
                <c:pt idx="3">
                  <c:v>223700</c:v>
                </c:pt>
                <c:pt idx="4">
                  <c:v>319540</c:v>
                </c:pt>
              </c:numCache>
            </c:numRef>
          </c:val>
          <c:extLst>
            <c:ext xmlns:c16="http://schemas.microsoft.com/office/drawing/2014/chart" uri="{C3380CC4-5D6E-409C-BE32-E72D297353CC}">
              <c16:uniqueId val="{0000000C-20F1-48D8-A3F0-0887CB85C3C5}"/>
            </c:ext>
          </c:extLst>
        </c:ser>
        <c:dLbls>
          <c:showLegendKey val="0"/>
          <c:showVal val="0"/>
          <c:showCatName val="0"/>
          <c:showSerName val="0"/>
          <c:showPercent val="0"/>
          <c:showBubbleSize val="0"/>
          <c:showLeaderLines val="0"/>
        </c:dLbls>
        <c:gapWidth val="50"/>
        <c:splitType val="cust"/>
        <c:custSplit>
          <c:secondPiePt val="1"/>
          <c:secondPiePt val="2"/>
          <c:secondPiePt val="3"/>
          <c:secondPiePt val="4"/>
        </c:custSplit>
        <c:secondPieSize val="10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Reduced user risks</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'Post-survey'!$A$5</c:f>
              <c:strCache>
                <c:ptCount val="1"/>
                <c:pt idx="0">
                  <c:v>Reduced user risks</c:v>
                </c:pt>
              </c:strCache>
              <c:extLst xmlns:c15="http://schemas.microsoft.com/office/drawing/2012/chart"/>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74C0-4426-9916-BA08BBCBAB48}"/>
                </c:ext>
              </c:extLst>
            </c:dLbl>
            <c:dLbl>
              <c:idx val="4"/>
              <c:delete val="1"/>
              <c:extLst>
                <c:ext xmlns:c15="http://schemas.microsoft.com/office/drawing/2012/chart" uri="{CE6537A1-D6FC-4f65-9D91-7224C49458BB}"/>
                <c:ext xmlns:c16="http://schemas.microsoft.com/office/drawing/2014/chart" uri="{C3380CC4-5D6E-409C-BE32-E72D297353CC}">
                  <c16:uniqueId val="{00000001-74C0-4426-9916-BA08BBCBAB48}"/>
                </c:ext>
              </c:extLst>
            </c:dLbl>
            <c:dLbl>
              <c:idx val="5"/>
              <c:delete val="1"/>
              <c:extLst>
                <c:ext xmlns:c15="http://schemas.microsoft.com/office/drawing/2012/chart" uri="{CE6537A1-D6FC-4f65-9D91-7224C49458BB}"/>
                <c:ext xmlns:c16="http://schemas.microsoft.com/office/drawing/2014/chart" uri="{C3380CC4-5D6E-409C-BE32-E72D297353CC}">
                  <c16:uniqueId val="{00000002-74C0-4426-9916-BA08BBCBAB48}"/>
                </c:ext>
              </c:extLst>
            </c:dLbl>
            <c:dLbl>
              <c:idx val="6"/>
              <c:delete val="1"/>
              <c:extLst>
                <c:ext xmlns:c15="http://schemas.microsoft.com/office/drawing/2012/chart" uri="{CE6537A1-D6FC-4f65-9D91-7224C49458BB}"/>
                <c:ext xmlns:c16="http://schemas.microsoft.com/office/drawing/2014/chart" uri="{C3380CC4-5D6E-409C-BE32-E72D297353CC}">
                  <c16:uniqueId val="{00000003-74C0-4426-9916-BA08BBCBAB48}"/>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'Post-survey'!$B$5:$H$5</c:f>
              <c:numCache>
                <c:formatCode>General</c:formatCode>
                <c:ptCount val="7"/>
                <c:pt idx="0">
                  <c:v>4</c:v>
                </c:pt>
                <c:pt idx="1">
                  <c:v>3</c:v>
                </c:pt>
                <c:pt idx="2">
                  <c:v>2</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B975-4748-9A2B-0DB7C892DFBF}"/>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'Post-survey'!$A$2</c15:sqref>
                        </c15:formulaRef>
                      </c:ext>
                    </c:extLst>
                    <c:strCache>
                      <c:ptCount val="1"/>
                      <c:pt idx="0">
                        <c:v>Improved user wellbeing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'Post-survey'!$B$2:$H$2</c15:sqref>
                        </c15:formulaRef>
                      </c:ext>
                    </c:extLst>
                    <c:numCache>
                      <c:formatCode>General</c:formatCode>
                      <c:ptCount val="7"/>
                      <c:pt idx="0">
                        <c:v>6</c:v>
                      </c:pt>
                      <c:pt idx="1">
                        <c:v>3</c:v>
                      </c:pt>
                      <c:pt idx="2">
                        <c:v>0</c:v>
                      </c:pt>
                      <c:pt idx="3">
                        <c:v>0</c:v>
                      </c:pt>
                      <c:pt idx="4">
                        <c:v>0</c:v>
                      </c:pt>
                      <c:pt idx="5">
                        <c:v>0</c:v>
                      </c:pt>
                      <c:pt idx="6">
                        <c:v>0</c:v>
                      </c:pt>
                    </c:numCache>
                  </c:numRef>
                </c:val>
                <c:extLst>
                  <c:ext xmlns:c16="http://schemas.microsoft.com/office/drawing/2014/chart" uri="{C3380CC4-5D6E-409C-BE32-E72D297353CC}">
                    <c16:uniqueId val="{00000001-B975-4748-9A2B-0DB7C892DFB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'Post-survey'!$A$3</c15:sqref>
                        </c15:formulaRef>
                      </c:ext>
                    </c:extLst>
                    <c:strCache>
                      <c:ptCount val="1"/>
                      <c:pt idx="0">
                        <c:v>Improved user independence and participation in activities in the home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'Post-survey'!$B$3:$H$3</c15:sqref>
                        </c15:formulaRef>
                      </c:ext>
                    </c:extLst>
                    <c:numCache>
                      <c:formatCode>General</c:formatCode>
                      <c:ptCount val="7"/>
                      <c:pt idx="0">
                        <c:v>6</c:v>
                      </c:pt>
                      <c:pt idx="1">
                        <c:v>3</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2-B975-4748-9A2B-0DB7C892DFB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'Post-survey'!$A$4</c15:sqref>
                        </c15:formulaRef>
                      </c:ext>
                    </c:extLst>
                    <c:strCache>
                      <c:ptCount val="1"/>
                      <c:pt idx="0">
                        <c:v>Improved user independence and participation in activities in the community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'Post-survey'!$B$4:$H$4</c15:sqref>
                        </c15:formulaRef>
                      </c:ext>
                    </c:extLst>
                    <c:numCache>
                      <c:formatCode>General</c:formatCode>
                      <c:ptCount val="7"/>
                      <c:pt idx="0">
                        <c:v>7</c:v>
                      </c:pt>
                      <c:pt idx="1">
                        <c:v>2</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B975-4748-9A2B-0DB7C892DFB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safety risks for </a:t>
            </a:r>
            <a:br>
              <a:rPr lang="en-GB" sz="1050"/>
            </a:br>
            <a:r>
              <a:rPr lang="en-GB" sz="1050"/>
              <a:t>informal care and unpaid support workers</a:t>
            </a:r>
            <a:br>
              <a:rPr lang="en-GB" sz="1050"/>
            </a:br>
            <a:r>
              <a:rPr lang="en-GB" sz="1050" b="0" i="0" u="none" strike="noStrike" baseline="0">
                <a:effectLst/>
              </a:rPr>
              <a:t>(pre-survey)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'Pre-survey'!$A$8</c:f>
              <c:strCache>
                <c:ptCount val="1"/>
                <c:pt idx="0">
                  <c:v>Reducing safety risks for informal care and unpaid support workers</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75-45D4-A946-87DC8CDF964B}"/>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75-45D4-A946-87DC8CDF964B}"/>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75-45D4-A946-87DC8CDF964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lumMod val="7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'Pre-survey'!$B$7:$H$7</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'Pre-survey'!$B$8:$H$8</c:f>
              <c:numCache>
                <c:formatCode>General</c:formatCode>
                <c:ptCount val="7"/>
                <c:pt idx="0">
                  <c:v>7</c:v>
                </c:pt>
                <c:pt idx="1">
                  <c:v>1</c:v>
                </c:pt>
                <c:pt idx="2">
                  <c:v>0</c:v>
                </c:pt>
                <c:pt idx="3">
                  <c:v>1</c:v>
                </c:pt>
                <c:pt idx="4">
                  <c:v>0</c:v>
                </c:pt>
                <c:pt idx="5">
                  <c:v>0</c:v>
                </c:pt>
                <c:pt idx="6">
                  <c:v>0</c:v>
                </c:pt>
              </c:numCache>
            </c:numRef>
          </c:val>
          <c:extLst>
            <c:ext xmlns:c16="http://schemas.microsoft.com/office/drawing/2014/chart" uri="{C3380CC4-5D6E-409C-BE32-E72D297353CC}">
              <c16:uniqueId val="{00000003-5575-45D4-A946-87DC8CDF964B}"/>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1"/>
                <c:order val="1"/>
                <c:tx>
                  <c:strRef>
                    <c:extLst>
                      <c:ext uri="{02D57815-91ED-43cb-92C2-25804820EDAC}">
                        <c15:formulaRef>
                          <c15:sqref>'Pre-survey'!$A$9</c15:sqref>
                        </c15:formulaRef>
                      </c:ext>
                    </c:extLst>
                    <c:strCache>
                      <c:ptCount val="1"/>
                      <c:pt idx="0">
                        <c:v>Improving carer satisfaction</c:v>
                      </c:pt>
                    </c:strCache>
                  </c:strRef>
                </c:tx>
                <c:spPr>
                  <a:solidFill>
                    <a:schemeClr val="accent2"/>
                  </a:solidFill>
                  <a:ln>
                    <a:noFill/>
                  </a:ln>
                  <a:effectLst/>
                </c:spPr>
                <c:invertIfNegative val="0"/>
                <c:cat>
                  <c:strRef>
                    <c:extLst>
                      <c:ext uri="{02D57815-91ED-43cb-92C2-25804820EDAC}">
                        <c15:formulaRef>
                          <c15:sqref>'Pre-survey'!$B$7:$H$7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'Pre-survey'!$B$9:$H$9</c15:sqref>
                        </c15:formulaRef>
                      </c:ext>
                    </c:extLst>
                    <c:numCache>
                      <c:formatCode>General</c:formatCode>
                      <c:ptCount val="7"/>
                      <c:pt idx="0">
                        <c:v>4</c:v>
                      </c:pt>
                      <c:pt idx="1">
                        <c:v>4</c:v>
                      </c:pt>
                      <c:pt idx="2">
                        <c:v>1</c:v>
                      </c:pt>
                      <c:pt idx="3">
                        <c:v>0</c:v>
                      </c:pt>
                      <c:pt idx="4">
                        <c:v>0</c:v>
                      </c:pt>
                      <c:pt idx="5">
                        <c:v>0</c:v>
                      </c:pt>
                      <c:pt idx="6">
                        <c:v>0</c:v>
                      </c:pt>
                    </c:numCache>
                  </c:numRef>
                </c:val>
                <c:extLst>
                  <c:ext xmlns:c16="http://schemas.microsoft.com/office/drawing/2014/chart" uri="{C3380CC4-5D6E-409C-BE32-E72D297353CC}">
                    <c16:uniqueId val="{00000004-5575-45D4-A946-87DC8CDF964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'Pre-survey'!$A$10</c15:sqref>
                        </c15:formulaRef>
                      </c:ext>
                    </c:extLst>
                    <c:strCache>
                      <c:ptCount val="1"/>
                      <c:pt idx="0">
                        <c:v>Reduce the hours for unpaid informal care support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'Pre-survey'!$B$7:$H$7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'Pre-survey'!$B$10:$H$10</c15:sqref>
                        </c15:formulaRef>
                      </c:ext>
                    </c:extLst>
                    <c:numCache>
                      <c:formatCode>General</c:formatCode>
                      <c:ptCount val="7"/>
                      <c:pt idx="0">
                        <c:v>4</c:v>
                      </c:pt>
                      <c:pt idx="1">
                        <c:v>4</c:v>
                      </c:pt>
                      <c:pt idx="2">
                        <c:v>0</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5-5575-45D4-A946-87DC8CDF964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safety risks for </a:t>
            </a:r>
            <a:br>
              <a:rPr lang="en-GB" sz="1050"/>
            </a:br>
            <a:r>
              <a:rPr lang="en-GB" sz="1050"/>
              <a:t>informal care and unpaid support workers</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'Post-survey'!$A$8</c:f>
              <c:strCache>
                <c:ptCount val="1"/>
                <c:pt idx="0">
                  <c:v>Reducing safety risks for informal care and unpaid support workers</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2965-4470-B10D-E2D967E561AC}"/>
                </c:ext>
              </c:extLst>
            </c:dLbl>
            <c:dLbl>
              <c:idx val="4"/>
              <c:delete val="1"/>
              <c:extLst>
                <c:ext xmlns:c15="http://schemas.microsoft.com/office/drawing/2012/chart" uri="{CE6537A1-D6FC-4f65-9D91-7224C49458BB}"/>
                <c:ext xmlns:c16="http://schemas.microsoft.com/office/drawing/2014/chart" uri="{C3380CC4-5D6E-409C-BE32-E72D297353CC}">
                  <c16:uniqueId val="{00000001-2965-4470-B10D-E2D967E561AC}"/>
                </c:ext>
              </c:extLst>
            </c:dLbl>
            <c:dLbl>
              <c:idx val="5"/>
              <c:delete val="1"/>
              <c:extLst>
                <c:ext xmlns:c15="http://schemas.microsoft.com/office/drawing/2012/chart" uri="{CE6537A1-D6FC-4f65-9D91-7224C49458BB}"/>
                <c:ext xmlns:c16="http://schemas.microsoft.com/office/drawing/2014/chart" uri="{C3380CC4-5D6E-409C-BE32-E72D297353CC}">
                  <c16:uniqueId val="{00000002-2965-4470-B10D-E2D967E561AC}"/>
                </c:ext>
              </c:extLst>
            </c:dLbl>
            <c:dLbl>
              <c:idx val="6"/>
              <c:delete val="1"/>
              <c:extLst>
                <c:ext xmlns:c15="http://schemas.microsoft.com/office/drawing/2012/chart" uri="{CE6537A1-D6FC-4f65-9D91-7224C49458BB}"/>
                <c:ext xmlns:c16="http://schemas.microsoft.com/office/drawing/2014/chart" uri="{C3380CC4-5D6E-409C-BE32-E72D297353CC}">
                  <c16:uniqueId val="{00000003-2965-4470-B10D-E2D967E561A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'Post-survey'!$B$7:$H$7</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'Post-survey'!$B$8:$H$8</c:f>
              <c:numCache>
                <c:formatCode>General</c:formatCode>
                <c:ptCount val="7"/>
                <c:pt idx="0">
                  <c:v>6</c:v>
                </c:pt>
                <c:pt idx="1">
                  <c:v>2</c:v>
                </c:pt>
                <c:pt idx="2">
                  <c:v>1</c:v>
                </c:pt>
                <c:pt idx="3">
                  <c:v>0</c:v>
                </c:pt>
                <c:pt idx="4">
                  <c:v>0</c:v>
                </c:pt>
                <c:pt idx="5">
                  <c:v>0</c:v>
                </c:pt>
                <c:pt idx="6">
                  <c:v>0</c:v>
                </c:pt>
              </c:numCache>
            </c:numRef>
          </c:val>
          <c:extLst>
            <c:ext xmlns:c16="http://schemas.microsoft.com/office/drawing/2014/chart" uri="{C3380CC4-5D6E-409C-BE32-E72D297353CC}">
              <c16:uniqueId val="{00000001-C1FC-42E0-8059-26939112BD19}"/>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'Post-survey'!$A$9</c15:sqref>
                        </c15:formulaRef>
                      </c:ext>
                    </c:extLst>
                    <c:strCache>
                      <c:ptCount val="1"/>
                      <c:pt idx="0">
                        <c:v>Improving carer satisfaction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'Post-survey'!$B$9:$H$9</c15:sqref>
                        </c15:formulaRef>
                      </c:ext>
                    </c:extLst>
                    <c:numCache>
                      <c:formatCode>General</c:formatCode>
                      <c:ptCount val="7"/>
                      <c:pt idx="0">
                        <c:v>5</c:v>
                      </c:pt>
                      <c:pt idx="1">
                        <c:v>3</c:v>
                      </c:pt>
                      <c:pt idx="2">
                        <c:v>1</c:v>
                      </c:pt>
                      <c:pt idx="3">
                        <c:v>0</c:v>
                      </c:pt>
                      <c:pt idx="4">
                        <c:v>0</c:v>
                      </c:pt>
                      <c:pt idx="5">
                        <c:v>0</c:v>
                      </c:pt>
                      <c:pt idx="6">
                        <c:v>0</c:v>
                      </c:pt>
                    </c:numCache>
                  </c:numRef>
                </c:val>
                <c:extLst>
                  <c:ext xmlns:c16="http://schemas.microsoft.com/office/drawing/2014/chart" uri="{C3380CC4-5D6E-409C-BE32-E72D297353CC}">
                    <c16:uniqueId val="{00000002-C1FC-42E0-8059-26939112BD1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'Post-survey'!$A$10</c15:sqref>
                        </c15:formulaRef>
                      </c:ext>
                    </c:extLst>
                    <c:strCache>
                      <c:ptCount val="1"/>
                      <c:pt idx="0">
                        <c:v>Reduce the hours for unpaid informal care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'Post-survey'!$B$10:$H$10</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C1FC-42E0-8059-26939112BD19}"/>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Improving carer satisfaction</a:t>
            </a:r>
            <a:br>
              <a:rPr lang="en-GB" sz="1100"/>
            </a:br>
            <a:r>
              <a:rPr lang="en-GB" sz="1100" b="0" i="0" u="none" strike="noStrike" baseline="0">
                <a:effectLst/>
              </a:rPr>
              <a:t>(pre-survey)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'Pre-survey'!$A$9</c:f>
              <c:strCache>
                <c:ptCount val="1"/>
                <c:pt idx="0">
                  <c:v>Improving carer satisfaction</c:v>
                </c:pt>
              </c:strCache>
              <c:extLst xmlns:c15="http://schemas.microsoft.com/office/drawing/2012/chart"/>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B36A-41B0-AEB6-91634E311580}"/>
                </c:ext>
              </c:extLst>
            </c:dLbl>
            <c:dLbl>
              <c:idx val="4"/>
              <c:delete val="1"/>
              <c:extLst>
                <c:ext xmlns:c15="http://schemas.microsoft.com/office/drawing/2012/chart" uri="{CE6537A1-D6FC-4f65-9D91-7224C49458BB}"/>
                <c:ext xmlns:c16="http://schemas.microsoft.com/office/drawing/2014/chart" uri="{C3380CC4-5D6E-409C-BE32-E72D297353CC}">
                  <c16:uniqueId val="{00000001-B36A-41B0-AEB6-91634E311580}"/>
                </c:ext>
              </c:extLst>
            </c:dLbl>
            <c:dLbl>
              <c:idx val="5"/>
              <c:delete val="1"/>
              <c:extLst>
                <c:ext xmlns:c15="http://schemas.microsoft.com/office/drawing/2012/chart" uri="{CE6537A1-D6FC-4f65-9D91-7224C49458BB}"/>
                <c:ext xmlns:c16="http://schemas.microsoft.com/office/drawing/2014/chart" uri="{C3380CC4-5D6E-409C-BE32-E72D297353CC}">
                  <c16:uniqueId val="{00000002-B36A-41B0-AEB6-91634E311580}"/>
                </c:ext>
              </c:extLst>
            </c:dLbl>
            <c:dLbl>
              <c:idx val="6"/>
              <c:delete val="1"/>
              <c:extLst>
                <c:ext xmlns:c15="http://schemas.microsoft.com/office/drawing/2012/chart" uri="{CE6537A1-D6FC-4f65-9D91-7224C49458BB}"/>
                <c:ext xmlns:c16="http://schemas.microsoft.com/office/drawing/2014/chart" uri="{C3380CC4-5D6E-409C-BE32-E72D297353CC}">
                  <c16:uniqueId val="{00000003-B36A-41B0-AEB6-91634E31158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'Pre-survey'!$B$7:$H$7</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'Pre-survey'!$B$9:$H$9</c:f>
              <c:numCache>
                <c:formatCode>General</c:formatCode>
                <c:ptCount val="7"/>
                <c:pt idx="0">
                  <c:v>4</c:v>
                </c:pt>
                <c:pt idx="1">
                  <c:v>4</c:v>
                </c:pt>
                <c:pt idx="2">
                  <c:v>1</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27C7-4043-9AF9-55E314F58A34}"/>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'Pre-survey'!$A$8</c15:sqref>
                        </c15:formulaRef>
                      </c:ext>
                    </c:extLst>
                    <c:strCache>
                      <c:ptCount val="1"/>
                      <c:pt idx="0">
                        <c:v>Reducing safety risks for informal care and unpaid support workers</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27C7-4043-9AF9-55E314F58A34}"/>
                      </c:ext>
                    </c:extLst>
                  </c:dLbl>
                  <c:dLbl>
                    <c:idx val="1"/>
                    <c:showLegendKey val="0"/>
                    <c:showVal val="1"/>
                    <c:showCatName val="0"/>
                    <c:showSerName val="0"/>
                    <c:showPercent val="0"/>
                    <c:showBubbleSize val="0"/>
                    <c:extLst>
                      <c:ext uri="{CE6537A1-D6FC-4f65-9D91-7224C49458BB}"/>
                      <c:ext xmlns:c16="http://schemas.microsoft.com/office/drawing/2014/chart" uri="{C3380CC4-5D6E-409C-BE32-E72D297353CC}">
                        <c16:uniqueId val="{00000003-27C7-4043-9AF9-55E314F58A34}"/>
                      </c:ext>
                    </c:extLst>
                  </c:dLbl>
                  <c:dLbl>
                    <c:idx val="3"/>
                    <c:showLegendKey val="0"/>
                    <c:showVal val="1"/>
                    <c:showCatName val="0"/>
                    <c:showSerName val="0"/>
                    <c:showPercent val="0"/>
                    <c:showBubbleSize val="0"/>
                    <c:extLst>
                      <c:ext uri="{CE6537A1-D6FC-4f65-9D91-7224C49458BB}"/>
                      <c:ext xmlns:c16="http://schemas.microsoft.com/office/drawing/2014/chart" uri="{C3380CC4-5D6E-409C-BE32-E72D297353CC}">
                        <c16:uniqueId val="{00000004-27C7-4043-9AF9-55E314F58A3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'Pre-survey'!$B$8:$H$8</c15:sqref>
                        </c15:formulaRef>
                      </c:ext>
                    </c:extLst>
                    <c:numCache>
                      <c:formatCode>General</c:formatCode>
                      <c:ptCount val="7"/>
                      <c:pt idx="0">
                        <c:v>7</c:v>
                      </c:pt>
                      <c:pt idx="1">
                        <c:v>1</c:v>
                      </c:pt>
                      <c:pt idx="2">
                        <c:v>0</c:v>
                      </c:pt>
                      <c:pt idx="3">
                        <c:v>1</c:v>
                      </c:pt>
                      <c:pt idx="4">
                        <c:v>0</c:v>
                      </c:pt>
                      <c:pt idx="5">
                        <c:v>0</c:v>
                      </c:pt>
                      <c:pt idx="6">
                        <c:v>0</c:v>
                      </c:pt>
                    </c:numCache>
                  </c:numRef>
                </c:val>
                <c:extLst>
                  <c:ext xmlns:c16="http://schemas.microsoft.com/office/drawing/2014/chart" uri="{C3380CC4-5D6E-409C-BE32-E72D297353CC}">
                    <c16:uniqueId val="{00000005-27C7-4043-9AF9-55E314F58A3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'Pre-survey'!$A$10</c15:sqref>
                        </c15:formulaRef>
                      </c:ext>
                    </c:extLst>
                    <c:strCache>
                      <c:ptCount val="1"/>
                      <c:pt idx="0">
                        <c:v>Reduce the hours for unpaid informal care support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'Pre-survey'!$B$7:$H$7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'Pre-survey'!$B$10:$H$10</c15:sqref>
                        </c15:formulaRef>
                      </c:ext>
                    </c:extLst>
                    <c:numCache>
                      <c:formatCode>General</c:formatCode>
                      <c:ptCount val="7"/>
                      <c:pt idx="0">
                        <c:v>4</c:v>
                      </c:pt>
                      <c:pt idx="1">
                        <c:v>4</c:v>
                      </c:pt>
                      <c:pt idx="2">
                        <c:v>0</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6-27C7-4043-9AF9-55E314F58A3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Improving carer satisfaction</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'Post-survey'!$A$9</c:f>
              <c:strCache>
                <c:ptCount val="1"/>
                <c:pt idx="0">
                  <c:v>Improving carer satisfaction</c:v>
                </c:pt>
              </c:strCache>
              <c:extLst xmlns:c15="http://schemas.microsoft.com/office/drawing/2012/chart"/>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C7-494A-8391-216EBF37874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C7-494A-8391-216EBF37874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98-4637-888F-58F5D468D6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'Post-survey'!$B$7:$H$7</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'Post-survey'!$B$9:$H$9</c:f>
              <c:numCache>
                <c:formatCode>General</c:formatCode>
                <c:ptCount val="7"/>
                <c:pt idx="0">
                  <c:v>5</c:v>
                </c:pt>
                <c:pt idx="1">
                  <c:v>3</c:v>
                </c:pt>
                <c:pt idx="2">
                  <c:v>1</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A898-4637-888F-58F5D468D623}"/>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'Post-survey'!$A$8</c15:sqref>
                        </c15:formulaRef>
                      </c:ext>
                    </c:extLst>
                    <c:strCache>
                      <c:ptCount val="1"/>
                      <c:pt idx="0">
                        <c:v>Reducing safety risks for informal care and unpaid support workers</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A898-4637-888F-58F5D468D62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'Post-survey'!$B$8:$H$8</c15:sqref>
                        </c15:formulaRef>
                      </c:ext>
                    </c:extLst>
                    <c:numCache>
                      <c:formatCode>General</c:formatCode>
                      <c:ptCount val="7"/>
                      <c:pt idx="0">
                        <c:v>6</c:v>
                      </c:pt>
                      <c:pt idx="1">
                        <c:v>2</c:v>
                      </c:pt>
                      <c:pt idx="2">
                        <c:v>1</c:v>
                      </c:pt>
                      <c:pt idx="3">
                        <c:v>0</c:v>
                      </c:pt>
                      <c:pt idx="4">
                        <c:v>0</c:v>
                      </c:pt>
                      <c:pt idx="5">
                        <c:v>0</c:v>
                      </c:pt>
                      <c:pt idx="6">
                        <c:v>0</c:v>
                      </c:pt>
                    </c:numCache>
                  </c:numRef>
                </c:val>
                <c:extLst>
                  <c:ext xmlns:c16="http://schemas.microsoft.com/office/drawing/2014/chart" uri="{C3380CC4-5D6E-409C-BE32-E72D297353CC}">
                    <c16:uniqueId val="{00000003-A898-4637-888F-58F5D468D62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'Post-survey'!$A$10</c15:sqref>
                        </c15:formulaRef>
                      </c:ext>
                    </c:extLst>
                    <c:strCache>
                      <c:ptCount val="1"/>
                      <c:pt idx="0">
                        <c:v>Reduce the hours for unpaid informal care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'Post-survey'!$B$10:$H$10</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A898-4637-888F-58F5D468D623}"/>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for </a:t>
            </a:r>
            <a:br>
              <a:rPr lang="en-GB" sz="1100"/>
            </a:br>
            <a:r>
              <a:rPr lang="en-GB" sz="1100"/>
              <a:t>unpaid informal care support</a:t>
            </a:r>
            <a:br>
              <a:rPr lang="en-GB" sz="1100"/>
            </a:br>
            <a:r>
              <a:rPr lang="en-GB" sz="1100" b="0" i="0" u="none" strike="noStrike" baseline="0">
                <a:effectLst/>
              </a:rPr>
              <a:t>(pre-survey)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'Pre-survey'!$A$10</c:f>
              <c:strCache>
                <c:ptCount val="1"/>
                <c:pt idx="0">
                  <c:v>Reduce the hours for unpaid informal care support</c:v>
                </c:pt>
              </c:strCache>
              <c:extLst xmlns:c15="http://schemas.microsoft.com/office/drawing/2012/chart"/>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02D7-41D4-BCC0-CC72A0CDAAEA}"/>
                </c:ext>
              </c:extLst>
            </c:dLbl>
            <c:dLbl>
              <c:idx val="4"/>
              <c:delete val="1"/>
              <c:extLst>
                <c:ext xmlns:c15="http://schemas.microsoft.com/office/drawing/2012/chart" uri="{CE6537A1-D6FC-4f65-9D91-7224C49458BB}"/>
                <c:ext xmlns:c16="http://schemas.microsoft.com/office/drawing/2014/chart" uri="{C3380CC4-5D6E-409C-BE32-E72D297353CC}">
                  <c16:uniqueId val="{00000001-02D7-41D4-BCC0-CC72A0CDAAEA}"/>
                </c:ext>
              </c:extLst>
            </c:dLbl>
            <c:dLbl>
              <c:idx val="5"/>
              <c:delete val="1"/>
              <c:extLst>
                <c:ext xmlns:c15="http://schemas.microsoft.com/office/drawing/2012/chart" uri="{CE6537A1-D6FC-4f65-9D91-7224C49458BB}"/>
                <c:ext xmlns:c16="http://schemas.microsoft.com/office/drawing/2014/chart" uri="{C3380CC4-5D6E-409C-BE32-E72D297353CC}">
                  <c16:uniqueId val="{00000002-02D7-41D4-BCC0-CC72A0CDAAEA}"/>
                </c:ext>
              </c:extLst>
            </c:dLbl>
            <c:dLbl>
              <c:idx val="6"/>
              <c:delete val="1"/>
              <c:extLst>
                <c:ext xmlns:c15="http://schemas.microsoft.com/office/drawing/2012/chart" uri="{CE6537A1-D6FC-4f65-9D91-7224C49458BB}"/>
                <c:ext xmlns:c16="http://schemas.microsoft.com/office/drawing/2014/chart" uri="{C3380CC4-5D6E-409C-BE32-E72D297353CC}">
                  <c16:uniqueId val="{00000003-02D7-41D4-BCC0-CC72A0CDAAE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'Pre-survey'!$B$7:$H$7</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'Pre-survey'!$B$10:$H$10</c:f>
              <c:numCache>
                <c:formatCode>General</c:formatCode>
                <c:ptCount val="7"/>
                <c:pt idx="0">
                  <c:v>4</c:v>
                </c:pt>
                <c:pt idx="1">
                  <c:v>4</c:v>
                </c:pt>
                <c:pt idx="2">
                  <c:v>0</c:v>
                </c:pt>
                <c:pt idx="3">
                  <c:v>1</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36C8-4BB2-85F0-04622769E788}"/>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'Pre-survey'!$A$8</c15:sqref>
                        </c15:formulaRef>
                      </c:ext>
                    </c:extLst>
                    <c:strCache>
                      <c:ptCount val="1"/>
                      <c:pt idx="0">
                        <c:v>Reducing safety risks for informal care and unpaid support workers</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36C8-4BB2-85F0-04622769E788}"/>
                      </c:ext>
                    </c:extLst>
                  </c:dLbl>
                  <c:dLbl>
                    <c:idx val="1"/>
                    <c:showLegendKey val="0"/>
                    <c:showVal val="1"/>
                    <c:showCatName val="0"/>
                    <c:showSerName val="0"/>
                    <c:showPercent val="0"/>
                    <c:showBubbleSize val="0"/>
                    <c:extLst>
                      <c:ext uri="{CE6537A1-D6FC-4f65-9D91-7224C49458BB}"/>
                      <c:ext xmlns:c16="http://schemas.microsoft.com/office/drawing/2014/chart" uri="{C3380CC4-5D6E-409C-BE32-E72D297353CC}">
                        <c16:uniqueId val="{00000003-36C8-4BB2-85F0-04622769E788}"/>
                      </c:ext>
                    </c:extLst>
                  </c:dLbl>
                  <c:dLbl>
                    <c:idx val="3"/>
                    <c:showLegendKey val="0"/>
                    <c:showVal val="1"/>
                    <c:showCatName val="0"/>
                    <c:showSerName val="0"/>
                    <c:showPercent val="0"/>
                    <c:showBubbleSize val="0"/>
                    <c:extLst>
                      <c:ext uri="{CE6537A1-D6FC-4f65-9D91-7224C49458BB}"/>
                      <c:ext xmlns:c16="http://schemas.microsoft.com/office/drawing/2014/chart" uri="{C3380CC4-5D6E-409C-BE32-E72D297353CC}">
                        <c16:uniqueId val="{00000004-36C8-4BB2-85F0-04622769E78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'Pre-survey'!$B$8:$H$8</c15:sqref>
                        </c15:formulaRef>
                      </c:ext>
                    </c:extLst>
                    <c:numCache>
                      <c:formatCode>General</c:formatCode>
                      <c:ptCount val="7"/>
                      <c:pt idx="0">
                        <c:v>7</c:v>
                      </c:pt>
                      <c:pt idx="1">
                        <c:v>1</c:v>
                      </c:pt>
                      <c:pt idx="2">
                        <c:v>0</c:v>
                      </c:pt>
                      <c:pt idx="3">
                        <c:v>1</c:v>
                      </c:pt>
                      <c:pt idx="4">
                        <c:v>0</c:v>
                      </c:pt>
                      <c:pt idx="5">
                        <c:v>0</c:v>
                      </c:pt>
                      <c:pt idx="6">
                        <c:v>0</c:v>
                      </c:pt>
                    </c:numCache>
                  </c:numRef>
                </c:val>
                <c:extLst>
                  <c:ext xmlns:c16="http://schemas.microsoft.com/office/drawing/2014/chart" uri="{C3380CC4-5D6E-409C-BE32-E72D297353CC}">
                    <c16:uniqueId val="{00000005-36C8-4BB2-85F0-04622769E78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'Pre-survey'!$A$9</c15:sqref>
                        </c15:formulaRef>
                      </c:ext>
                    </c:extLst>
                    <c:strCache>
                      <c:ptCount val="1"/>
                      <c:pt idx="0">
                        <c:v>Improving carer satisfaction</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36C8-4BB2-85F0-04622769E78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'Pre-survey'!$B$9:$H$9</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36C8-4BB2-85F0-04622769E788}"/>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the hours for </a:t>
            </a:r>
            <a:br>
              <a:rPr lang="en-GB" sz="1050"/>
            </a:br>
            <a:r>
              <a:rPr lang="en-GB" sz="1050"/>
              <a:t>unpaid informal care support</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'Post-survey'!$A$10</c:f>
              <c:strCache>
                <c:ptCount val="1"/>
                <c:pt idx="0">
                  <c:v>Reduce the hours for unpaid informal care support</c:v>
                </c:pt>
              </c:strCache>
              <c:extLst xmlns:c15="http://schemas.microsoft.com/office/drawing/2012/chart"/>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63E5-446E-AB03-F2B577F7C6C6}"/>
                </c:ext>
              </c:extLst>
            </c:dLbl>
            <c:dLbl>
              <c:idx val="4"/>
              <c:delete val="1"/>
              <c:extLst>
                <c:ext xmlns:c15="http://schemas.microsoft.com/office/drawing/2012/chart" uri="{CE6537A1-D6FC-4f65-9D91-7224C49458BB}"/>
                <c:ext xmlns:c16="http://schemas.microsoft.com/office/drawing/2014/chart" uri="{C3380CC4-5D6E-409C-BE32-E72D297353CC}">
                  <c16:uniqueId val="{00000001-63E5-446E-AB03-F2B577F7C6C6}"/>
                </c:ext>
              </c:extLst>
            </c:dLbl>
            <c:dLbl>
              <c:idx val="5"/>
              <c:delete val="1"/>
              <c:extLst>
                <c:ext xmlns:c15="http://schemas.microsoft.com/office/drawing/2012/chart" uri="{CE6537A1-D6FC-4f65-9D91-7224C49458BB}"/>
                <c:ext xmlns:c16="http://schemas.microsoft.com/office/drawing/2014/chart" uri="{C3380CC4-5D6E-409C-BE32-E72D297353CC}">
                  <c16:uniqueId val="{00000002-63E5-446E-AB03-F2B577F7C6C6}"/>
                </c:ext>
              </c:extLst>
            </c:dLbl>
            <c:dLbl>
              <c:idx val="6"/>
              <c:delete val="1"/>
              <c:extLst>
                <c:ext xmlns:c15="http://schemas.microsoft.com/office/drawing/2012/chart" uri="{CE6537A1-D6FC-4f65-9D91-7224C49458BB}"/>
                <c:ext xmlns:c16="http://schemas.microsoft.com/office/drawing/2014/chart" uri="{C3380CC4-5D6E-409C-BE32-E72D297353CC}">
                  <c16:uniqueId val="{00000003-63E5-446E-AB03-F2B577F7C6C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'Post-survey'!$B$7:$H$7</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'Post-survey'!$B$10:$H$10</c:f>
              <c:numCache>
                <c:formatCode>General</c:formatCode>
                <c:ptCount val="7"/>
                <c:pt idx="0">
                  <c:v>4</c:v>
                </c:pt>
                <c:pt idx="1">
                  <c:v>3</c:v>
                </c:pt>
                <c:pt idx="2">
                  <c:v>2</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C833-491B-A385-A7E1F8A69FB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'Post-survey'!$A$8</c15:sqref>
                        </c15:formulaRef>
                      </c:ext>
                    </c:extLst>
                    <c:strCache>
                      <c:ptCount val="1"/>
                      <c:pt idx="0">
                        <c:v>Reducing safety risks for informal care and unpaid support workers</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1-C833-491B-A385-A7E1F8A69FB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'Post-survey'!$B$8:$H$8</c15:sqref>
                        </c15:formulaRef>
                      </c:ext>
                    </c:extLst>
                    <c:numCache>
                      <c:formatCode>General</c:formatCode>
                      <c:ptCount val="7"/>
                      <c:pt idx="0">
                        <c:v>6</c:v>
                      </c:pt>
                      <c:pt idx="1">
                        <c:v>2</c:v>
                      </c:pt>
                      <c:pt idx="2">
                        <c:v>1</c:v>
                      </c:pt>
                      <c:pt idx="3">
                        <c:v>0</c:v>
                      </c:pt>
                      <c:pt idx="4">
                        <c:v>0</c:v>
                      </c:pt>
                      <c:pt idx="5">
                        <c:v>0</c:v>
                      </c:pt>
                      <c:pt idx="6">
                        <c:v>0</c:v>
                      </c:pt>
                    </c:numCache>
                  </c:numRef>
                </c:val>
                <c:extLst>
                  <c:ext xmlns:c16="http://schemas.microsoft.com/office/drawing/2014/chart" uri="{C3380CC4-5D6E-409C-BE32-E72D297353CC}">
                    <c16:uniqueId val="{00000002-C833-491B-A385-A7E1F8A69FB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'Post-survey'!$A$9</c15:sqref>
                        </c15:formulaRef>
                      </c:ext>
                    </c:extLst>
                    <c:strCache>
                      <c:ptCount val="1"/>
                      <c:pt idx="0">
                        <c:v>Improving carer satisfaction</c:v>
                      </c:pt>
                    </c:strCache>
                  </c:strRef>
                </c:tx>
                <c:spPr>
                  <a:solidFill>
                    <a:schemeClr val="accent2"/>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C833-491B-A385-A7E1F8A69FB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'Post-survey'!$B$7:$H$7</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'Post-survey'!$B$9:$H$9</c15:sqref>
                        </c15:formulaRef>
                      </c:ext>
                    </c:extLst>
                    <c:numCache>
                      <c:formatCode>General</c:formatCode>
                      <c:ptCount val="7"/>
                      <c:pt idx="0">
                        <c:v>5</c:v>
                      </c:pt>
                      <c:pt idx="1">
                        <c:v>3</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C833-491B-A385-A7E1F8A69FB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i="0" u="none" strike="noStrike" baseline="0">
                <a:effectLst/>
              </a:rPr>
              <a:t>(pre-survey)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'Pre-survey'!$A$13</c:f>
              <c:strCache>
                <c:ptCount val="1"/>
                <c:pt idx="0">
                  <c:v>Reducing the hours required for paid carer support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E6-45FA-87D9-85E7ECEE651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E6-45FA-87D9-85E7ECEE651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E6-45FA-87D9-85E7ECEE65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'Pre-survey'!$B$12:$H$12</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'Pre-survey'!$B$13:$H$13</c:f>
              <c:numCache>
                <c:formatCode>General</c:formatCode>
                <c:ptCount val="7"/>
                <c:pt idx="0">
                  <c:v>5</c:v>
                </c:pt>
                <c:pt idx="1">
                  <c:v>2</c:v>
                </c:pt>
                <c:pt idx="2">
                  <c:v>2</c:v>
                </c:pt>
                <c:pt idx="3">
                  <c:v>0</c:v>
                </c:pt>
                <c:pt idx="4">
                  <c:v>0</c:v>
                </c:pt>
                <c:pt idx="5">
                  <c:v>0</c:v>
                </c:pt>
                <c:pt idx="6">
                  <c:v>0</c:v>
                </c:pt>
              </c:numCache>
            </c:numRef>
          </c:val>
          <c:extLst>
            <c:ext xmlns:c16="http://schemas.microsoft.com/office/drawing/2014/chart" uri="{C3380CC4-5D6E-409C-BE32-E72D297353CC}">
              <c16:uniqueId val="{00000000-2525-4941-9288-568A6674EE8F}"/>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1"/>
                <c:order val="1"/>
                <c:tx>
                  <c:strRef>
                    <c:extLst>
                      <c:ext uri="{02D57815-91ED-43cb-92C2-25804820EDAC}">
                        <c15:formulaRef>
                          <c15:sqref>'Pre-survey'!$A$14</c15:sqref>
                        </c15:formulaRef>
                      </c:ext>
                    </c:extLst>
                    <c:strCache>
                      <c:ptCount val="1"/>
                      <c:pt idx="0">
                        <c:v>Reducing the hours required for paid formal care and support</c:v>
                      </c:pt>
                    </c:strCache>
                  </c:strRef>
                </c:tx>
                <c:spPr>
                  <a:solidFill>
                    <a:schemeClr val="accent2"/>
                  </a:solidFill>
                  <a:ln>
                    <a:noFill/>
                  </a:ln>
                  <a:effectLst/>
                </c:spPr>
                <c:invertIfNegative val="0"/>
                <c:cat>
                  <c:strRef>
                    <c:extLst>
                      <c:ex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'Pre-survey'!$B$14:$H$14</c15:sqref>
                        </c15:formulaRef>
                      </c:ext>
                    </c:extLst>
                    <c:numCache>
                      <c:formatCode>General</c:formatCode>
                      <c:ptCount val="7"/>
                      <c:pt idx="0">
                        <c:v>5</c:v>
                      </c:pt>
                      <c:pt idx="1">
                        <c:v>1</c:v>
                      </c:pt>
                      <c:pt idx="2">
                        <c:v>3</c:v>
                      </c:pt>
                      <c:pt idx="3">
                        <c:v>0</c:v>
                      </c:pt>
                      <c:pt idx="4">
                        <c:v>0</c:v>
                      </c:pt>
                      <c:pt idx="5">
                        <c:v>0</c:v>
                      </c:pt>
                      <c:pt idx="6">
                        <c:v>0</c:v>
                      </c:pt>
                    </c:numCache>
                  </c:numRef>
                </c:val>
                <c:extLst>
                  <c:ext xmlns:c16="http://schemas.microsoft.com/office/drawing/2014/chart" uri="{C3380CC4-5D6E-409C-BE32-E72D297353CC}">
                    <c16:uniqueId val="{00000001-2525-4941-9288-568A6674EE8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'Pre-survey'!$A$15</c15:sqref>
                        </c15:formulaRef>
                      </c:ext>
                    </c:extLst>
                    <c:strCache>
                      <c:ptCount val="1"/>
                      <c:pt idx="0">
                        <c:v>Reducing the number of GP visits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'Pre-survey'!$B$15:$H$15</c15:sqref>
                        </c15:formulaRef>
                      </c:ext>
                    </c:extLst>
                    <c:numCache>
                      <c:formatCode>General</c:formatCode>
                      <c:ptCount val="7"/>
                      <c:pt idx="0">
                        <c:v>2</c:v>
                      </c:pt>
                      <c:pt idx="1">
                        <c:v>2</c:v>
                      </c:pt>
                      <c:pt idx="2">
                        <c:v>3</c:v>
                      </c:pt>
                      <c:pt idx="3">
                        <c:v>1</c:v>
                      </c:pt>
                      <c:pt idx="4">
                        <c:v>0</c:v>
                      </c:pt>
                      <c:pt idx="5">
                        <c:v>1</c:v>
                      </c:pt>
                      <c:pt idx="6">
                        <c:v>0</c:v>
                      </c:pt>
                    </c:numCache>
                  </c:numRef>
                </c:val>
                <c:extLst xmlns:c15="http://schemas.microsoft.com/office/drawing/2012/chart">
                  <c:ext xmlns:c16="http://schemas.microsoft.com/office/drawing/2014/chart" uri="{C3380CC4-5D6E-409C-BE32-E72D297353CC}">
                    <c16:uniqueId val="{00000002-2525-4941-9288-568A6674EE8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'Pre-survey'!$B$16:$H$16</c15:sqref>
                        </c15:formulaRef>
                      </c:ext>
                    </c:extLst>
                    <c:numCache>
                      <c:formatCode>General</c:formatCode>
                      <c:ptCount val="7"/>
                      <c:pt idx="0">
                        <c:v>3</c:v>
                      </c:pt>
                      <c:pt idx="1">
                        <c:v>3</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3-2525-4941-9288-568A6674EE8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'Pre-survey'!$A$17</c15:sqref>
                        </c15:formulaRef>
                      </c:ext>
                    </c:extLst>
                    <c:strCache>
                      <c:ptCount val="1"/>
                      <c:pt idx="0">
                        <c:v>Reducing days spent in respite care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'Pre-survey'!$B$17:$H$17</c15:sqref>
                        </c15:formulaRef>
                      </c:ext>
                    </c:extLst>
                    <c:numCache>
                      <c:formatCode>General</c:formatCode>
                      <c:ptCount val="7"/>
                      <c:pt idx="0">
                        <c:v>2</c:v>
                      </c:pt>
                      <c:pt idx="1">
                        <c:v>2</c:v>
                      </c:pt>
                      <c:pt idx="2">
                        <c:v>2</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4-2525-4941-9288-568A6674EE8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'Pre-survey'!$A$18</c15:sqref>
                        </c15:formulaRef>
                      </c:ext>
                    </c:extLst>
                    <c:strCache>
                      <c:ptCount val="1"/>
                      <c:pt idx="0">
                        <c:v>Reducing or delaying the need for residential aged care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'Pre-survey'!$B$18:$H$18</c15:sqref>
                        </c15:formulaRef>
                      </c:ext>
                    </c:extLst>
                    <c:numCache>
                      <c:formatCode>General</c:formatCode>
                      <c:ptCount val="7"/>
                      <c:pt idx="0">
                        <c:v>5</c:v>
                      </c:pt>
                      <c:pt idx="1">
                        <c:v>1</c:v>
                      </c:pt>
                      <c:pt idx="2">
                        <c:v>1</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5-2525-4941-9288-568A6674EE8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the hours required for </a:t>
            </a:r>
            <a:br>
              <a:rPr lang="en-GB" sz="1050"/>
            </a:br>
            <a:r>
              <a:rPr lang="en-GB" sz="1050"/>
              <a:t>paid carer support</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'Post-survey'!$A$13</c:f>
              <c:strCache>
                <c:ptCount val="1"/>
                <c:pt idx="0">
                  <c:v>Reducing the hours required for paid carer support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B-4F27-B0A8-7F02A27FA7C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B-4F27-B0A8-7F02A27FA7C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C-443B-B99A-F7A22EEADD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'Post-survey'!$B$12:$H$12</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'Post-survey'!$B$13:$H$13</c:f>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1-A9DC-443B-B99A-F7A22EEADD27}"/>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'Post-survey'!$A$14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'Post-survey'!$B$14:$H$14</c15:sqref>
                        </c15:formulaRef>
                      </c:ext>
                    </c:extLst>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2-A9DC-443B-B99A-F7A22EEADD2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'Post-survey'!$A$15</c15:sqref>
                        </c15:formulaRef>
                      </c:ext>
                    </c:extLst>
                    <c:strCache>
                      <c:ptCount val="1"/>
                      <c:pt idx="0">
                        <c:v>Reducing the number of GP visits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'Post-survey'!$B$15:$H$15</c15:sqref>
                        </c15:formulaRef>
                      </c:ext>
                    </c:extLst>
                    <c:numCache>
                      <c:formatCode>General</c:formatCode>
                      <c:ptCount val="7"/>
                      <c:pt idx="0">
                        <c:v>1</c:v>
                      </c:pt>
                      <c:pt idx="1">
                        <c:v>3</c:v>
                      </c:pt>
                      <c:pt idx="2">
                        <c:v>1</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3-A9DC-443B-B99A-F7A22EEADD2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'Post-survey'!$B$16:$H$16</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4-A9DC-443B-B99A-F7A22EEADD2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'Post-survey'!$A$17</c15:sqref>
                        </c15:formulaRef>
                      </c:ext>
                    </c:extLst>
                    <c:strCache>
                      <c:ptCount val="1"/>
                      <c:pt idx="0">
                        <c:v>Reducing days spent in respite care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'Post-survey'!$B$17:$H$17</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5-A9DC-443B-B99A-F7A22EEADD2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'Post-survey'!$A$18</c15:sqref>
                        </c15:formulaRef>
                      </c:ext>
                    </c:extLst>
                    <c:strCache>
                      <c:ptCount val="1"/>
                      <c:pt idx="0">
                        <c:v>Reducing or delaying the need for residential aged care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'Post-survey'!$B$18:$H$18</c15:sqref>
                        </c15:formulaRef>
                      </c:ext>
                    </c:extLst>
                    <c:numCache>
                      <c:formatCode>General</c:formatCode>
                      <c:ptCount val="7"/>
                      <c:pt idx="0">
                        <c:v>6</c:v>
                      </c:pt>
                      <c:pt idx="1">
                        <c:v>1</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6-A9DC-443B-B99A-F7A22EEADD2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the hours required for </a:t>
            </a:r>
            <a:br>
              <a:rPr lang="en-GB" sz="1050"/>
            </a:br>
            <a:r>
              <a:rPr lang="en-GB" sz="1050"/>
              <a:t>paid formal care and support</a:t>
            </a:r>
            <a:br>
              <a:rPr lang="en-GB" sz="1050"/>
            </a:br>
            <a:r>
              <a:rPr lang="en-GB" sz="1050" b="0" i="0" u="none" strike="noStrike" baseline="0">
                <a:effectLst/>
              </a:rPr>
              <a:t>(pre-survey)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'Pre-survey'!$A$14</c:f>
              <c:strCache>
                <c:ptCount val="1"/>
                <c:pt idx="0">
                  <c:v>Reducing the hours required for paid formal care and support</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8-469E-B77A-42CA23E7B1C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D-448B-9696-FB2AAE111C2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8-469E-B77A-42CA23E7B1C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'Pre-survey'!$B$12:$H$12</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'Pre-survey'!$B$14:$H$14</c:f>
              <c:numCache>
                <c:formatCode>General</c:formatCode>
                <c:ptCount val="7"/>
                <c:pt idx="0">
                  <c:v>5</c:v>
                </c:pt>
                <c:pt idx="1">
                  <c:v>1</c:v>
                </c:pt>
                <c:pt idx="2">
                  <c:v>3</c:v>
                </c:pt>
                <c:pt idx="3">
                  <c:v>0</c:v>
                </c:pt>
                <c:pt idx="4">
                  <c:v>0</c:v>
                </c:pt>
                <c:pt idx="5">
                  <c:v>0</c:v>
                </c:pt>
                <c:pt idx="6">
                  <c:v>0</c:v>
                </c:pt>
              </c:numCache>
            </c:numRef>
          </c:val>
          <c:extLst>
            <c:ext xmlns:c16="http://schemas.microsoft.com/office/drawing/2014/chart" uri="{C3380CC4-5D6E-409C-BE32-E72D297353CC}">
              <c16:uniqueId val="{00000001-508D-448B-9696-FB2AAE111C2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'Pre-survey'!$A$13</c15:sqref>
                        </c15:formulaRef>
                      </c:ext>
                    </c:extLst>
                    <c:strCache>
                      <c:ptCount val="1"/>
                      <c:pt idx="0">
                        <c:v>Reducing the hours required for paid carer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'Pre-survey'!$B$13:$H$13</c15:sqref>
                        </c15:formulaRef>
                      </c:ext>
                    </c:extLst>
                    <c:numCache>
                      <c:formatCode>General</c:formatCode>
                      <c:ptCount val="7"/>
                      <c:pt idx="0">
                        <c:v>5</c:v>
                      </c:pt>
                      <c:pt idx="1">
                        <c:v>2</c:v>
                      </c:pt>
                      <c:pt idx="2">
                        <c:v>2</c:v>
                      </c:pt>
                      <c:pt idx="3">
                        <c:v>0</c:v>
                      </c:pt>
                      <c:pt idx="4">
                        <c:v>0</c:v>
                      </c:pt>
                      <c:pt idx="5">
                        <c:v>0</c:v>
                      </c:pt>
                      <c:pt idx="6">
                        <c:v>0</c:v>
                      </c:pt>
                    </c:numCache>
                  </c:numRef>
                </c:val>
                <c:extLst>
                  <c:ext xmlns:c16="http://schemas.microsoft.com/office/drawing/2014/chart" uri="{C3380CC4-5D6E-409C-BE32-E72D297353CC}">
                    <c16:uniqueId val="{00000002-508D-448B-9696-FB2AAE111C2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'Pre-survey'!$A$15</c15:sqref>
                        </c15:formulaRef>
                      </c:ext>
                    </c:extLst>
                    <c:strCache>
                      <c:ptCount val="1"/>
                      <c:pt idx="0">
                        <c:v>Reducing the number of GP visits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'Pre-survey'!$B$15:$H$15</c15:sqref>
                        </c15:formulaRef>
                      </c:ext>
                    </c:extLst>
                    <c:numCache>
                      <c:formatCode>General</c:formatCode>
                      <c:ptCount val="7"/>
                      <c:pt idx="0">
                        <c:v>2</c:v>
                      </c:pt>
                      <c:pt idx="1">
                        <c:v>2</c:v>
                      </c:pt>
                      <c:pt idx="2">
                        <c:v>3</c:v>
                      </c:pt>
                      <c:pt idx="3">
                        <c:v>1</c:v>
                      </c:pt>
                      <c:pt idx="4">
                        <c:v>0</c:v>
                      </c:pt>
                      <c:pt idx="5">
                        <c:v>1</c:v>
                      </c:pt>
                      <c:pt idx="6">
                        <c:v>0</c:v>
                      </c:pt>
                    </c:numCache>
                  </c:numRef>
                </c:val>
                <c:extLst xmlns:c15="http://schemas.microsoft.com/office/drawing/2012/chart">
                  <c:ext xmlns:c16="http://schemas.microsoft.com/office/drawing/2014/chart" uri="{C3380CC4-5D6E-409C-BE32-E72D297353CC}">
                    <c16:uniqueId val="{00000003-508D-448B-9696-FB2AAE111C2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'Pre-survey'!$B$16:$H$16</c15:sqref>
                        </c15:formulaRef>
                      </c:ext>
                    </c:extLst>
                    <c:numCache>
                      <c:formatCode>General</c:formatCode>
                      <c:ptCount val="7"/>
                      <c:pt idx="0">
                        <c:v>3</c:v>
                      </c:pt>
                      <c:pt idx="1">
                        <c:v>3</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4-508D-448B-9696-FB2AAE111C2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'Pre-survey'!$A$17</c15:sqref>
                        </c15:formulaRef>
                      </c:ext>
                    </c:extLst>
                    <c:strCache>
                      <c:ptCount val="1"/>
                      <c:pt idx="0">
                        <c:v>Reducing days spent in respite care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'Pre-survey'!$B$17:$H$17</c15:sqref>
                        </c15:formulaRef>
                      </c:ext>
                    </c:extLst>
                    <c:numCache>
                      <c:formatCode>General</c:formatCode>
                      <c:ptCount val="7"/>
                      <c:pt idx="0">
                        <c:v>2</c:v>
                      </c:pt>
                      <c:pt idx="1">
                        <c:v>2</c:v>
                      </c:pt>
                      <c:pt idx="2">
                        <c:v>2</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5-508D-448B-9696-FB2AAE111C2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'Pre-survey'!$A$18</c15:sqref>
                        </c15:formulaRef>
                      </c:ext>
                    </c:extLst>
                    <c:strCache>
                      <c:ptCount val="1"/>
                      <c:pt idx="0">
                        <c:v>Reducing or delaying the need for residential aged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'Pre-survey'!$B$18:$H$18</c15:sqref>
                        </c15:formulaRef>
                      </c:ext>
                    </c:extLst>
                    <c:numCache>
                      <c:formatCode>General</c:formatCode>
                      <c:ptCount val="7"/>
                      <c:pt idx="0">
                        <c:v>5</c:v>
                      </c:pt>
                      <c:pt idx="1">
                        <c:v>1</c:v>
                      </c:pt>
                      <c:pt idx="2">
                        <c:v>1</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6-508D-448B-9696-FB2AAE111C2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Number</c:v>
                </c:pt>
              </c:strCache>
            </c:strRef>
          </c:tx>
          <c:explosion val="2"/>
          <c:dPt>
            <c:idx val="0"/>
            <c:bubble3D val="0"/>
            <c:explosion val="1"/>
            <c:spPr>
              <a:solidFill>
                <a:schemeClr val="tx2">
                  <a:lumMod val="75000"/>
                </a:schemeClr>
              </a:solidFill>
              <a:ln w="19050">
                <a:solidFill>
                  <a:schemeClr val="lt1"/>
                </a:solidFill>
              </a:ln>
              <a:effectLst/>
            </c:spPr>
            <c:extLst>
              <c:ext xmlns:c16="http://schemas.microsoft.com/office/drawing/2014/chart" uri="{C3380CC4-5D6E-409C-BE32-E72D297353CC}">
                <c16:uniqueId val="{00000002-3994-4D4D-BC09-66EC466F129A}"/>
              </c:ext>
            </c:extLst>
          </c:dPt>
          <c:dPt>
            <c:idx val="1"/>
            <c:bubble3D val="0"/>
            <c:explosion val="1"/>
            <c:spPr>
              <a:solidFill>
                <a:schemeClr val="tx2"/>
              </a:solidFill>
              <a:ln w="19050">
                <a:solidFill>
                  <a:schemeClr val="lt1"/>
                </a:solidFill>
              </a:ln>
              <a:effectLst/>
            </c:spPr>
            <c:extLst>
              <c:ext xmlns:c16="http://schemas.microsoft.com/office/drawing/2014/chart" uri="{C3380CC4-5D6E-409C-BE32-E72D297353CC}">
                <c16:uniqueId val="{00000003-3994-4D4D-BC09-66EC466F129A}"/>
              </c:ext>
            </c:extLst>
          </c:dPt>
          <c:dPt>
            <c:idx val="2"/>
            <c:bubble3D val="0"/>
            <c:explosion val="1"/>
            <c:spPr>
              <a:solidFill>
                <a:schemeClr val="bg2">
                  <a:lumMod val="60000"/>
                  <a:lumOff val="40000"/>
                </a:schemeClr>
              </a:solidFill>
              <a:ln w="19050">
                <a:solidFill>
                  <a:schemeClr val="lt1"/>
                </a:solidFill>
              </a:ln>
              <a:effectLst/>
            </c:spPr>
            <c:extLst>
              <c:ext xmlns:c16="http://schemas.microsoft.com/office/drawing/2014/chart" uri="{C3380CC4-5D6E-409C-BE32-E72D297353CC}">
                <c16:uniqueId val="{00000004-3994-4D4D-BC09-66EC466F129A}"/>
              </c:ext>
            </c:extLst>
          </c:dPt>
          <c:dPt>
            <c:idx val="3"/>
            <c:bubble3D val="0"/>
            <c:explosion val="1"/>
            <c:spPr>
              <a:solidFill>
                <a:schemeClr val="bg2">
                  <a:lumMod val="20000"/>
                  <a:lumOff val="80000"/>
                </a:schemeClr>
              </a:solidFill>
              <a:ln w="19050">
                <a:solidFill>
                  <a:schemeClr val="lt1"/>
                </a:solidFill>
              </a:ln>
              <a:effectLst/>
            </c:spPr>
            <c:extLst>
              <c:ext xmlns:c16="http://schemas.microsoft.com/office/drawing/2014/chart" uri="{C3380CC4-5D6E-409C-BE32-E72D297353CC}">
                <c16:uniqueId val="{00000005-3994-4D4D-BC09-66EC466F129A}"/>
              </c:ext>
            </c:extLst>
          </c:dPt>
          <c:dLbls>
            <c:dLbl>
              <c:idx val="0"/>
              <c:tx>
                <c:rich>
                  <a:bodyPr/>
                  <a:lstStyle/>
                  <a:p>
                    <a:fld id="{BA9EE0FF-8E34-45A8-BCD5-AE6CF934A7DC}" type="CATEGORYNAME">
                      <a:rPr lang="en-US" sz="1600" b="1"/>
                      <a:pPr/>
                      <a:t>[CATEGORY NAME]</a:t>
                    </a:fld>
                    <a:endParaRPr lang="en-US" b="1" baseline="0"/>
                  </a:p>
                  <a:p>
                    <a:fld id="{3090763D-E32D-48D4-9FD8-AAB098A7EC0B}" type="VALUE">
                      <a:rPr lang="en-US"/>
                      <a:pPr/>
                      <a:t>[VALUE]</a:t>
                    </a:fld>
                    <a:endParaRPr lang="en-US" baseline="0"/>
                  </a:p>
                  <a:p>
                    <a:fld id="{500CFE44-09AE-40FF-9EA9-B3B8CCC71834}" type="PERCENTAGE">
                      <a:rPr lang="en-US"/>
                      <a:pPr/>
                      <a:t>[PERCENTAGE]</a:t>
                    </a:fld>
                    <a:endParaRPr lang="en-AU"/>
                  </a:p>
                </c:rich>
              </c:tx>
              <c:dLblPos val="ct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3994-4D4D-BC09-66EC466F129A}"/>
                </c:ext>
              </c:extLst>
            </c:dLbl>
            <c:dLbl>
              <c:idx val="1"/>
              <c:tx>
                <c:rich>
                  <a:bodyPr/>
                  <a:lstStyle/>
                  <a:p>
                    <a:fld id="{6DBD676A-B422-43BE-8B8A-400F99313BE3}" type="CATEGORYNAME">
                      <a:rPr lang="en-US" sz="1600" b="1"/>
                      <a:pPr/>
                      <a:t>[CATEGORY NAME]</a:t>
                    </a:fld>
                    <a:endParaRPr lang="en-US" b="1" baseline="0"/>
                  </a:p>
                  <a:p>
                    <a:fld id="{E631E7EA-4D0C-46C7-B9D8-B30B7BC02934}" type="VALUE">
                      <a:rPr lang="en-US"/>
                      <a:pPr/>
                      <a:t>[VALUE]</a:t>
                    </a:fld>
                    <a:endParaRPr lang="en-US" baseline="0"/>
                  </a:p>
                  <a:p>
                    <a:fld id="{C8EF2E90-2795-42A2-8DF3-29CE2D017656}" type="PERCENTAGE">
                      <a:rPr lang="en-US"/>
                      <a:pPr/>
                      <a:t>[PERCENTAGE]</a:t>
                    </a:fld>
                    <a:endParaRPr lang="en-AU"/>
                  </a:p>
                </c:rich>
              </c:tx>
              <c:dLblPos val="ct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994-4D4D-BC09-66EC466F129A}"/>
                </c:ext>
              </c:extLst>
            </c:dLbl>
            <c:dLbl>
              <c:idx val="2"/>
              <c:tx>
                <c:rich>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fld id="{74CCB6B6-CC71-42F0-A54A-42EC157F92FC}" type="CATEGORYNAME">
                      <a:rPr lang="en-US" sz="1600" b="1">
                        <a:solidFill>
                          <a:sysClr val="windowText" lastClr="000000"/>
                        </a:solidFill>
                      </a:rPr>
                      <a:pPr>
                        <a:defRPr sz="1100">
                          <a:solidFill>
                            <a:sysClr val="windowText" lastClr="000000"/>
                          </a:solidFill>
                        </a:defRPr>
                      </a:pPr>
                      <a:t>[CATEGORY NAME]</a:t>
                    </a:fld>
                    <a:endParaRPr lang="en-US" b="1" baseline="0">
                      <a:solidFill>
                        <a:sysClr val="windowText" lastClr="000000"/>
                      </a:solidFill>
                    </a:endParaRPr>
                  </a:p>
                  <a:p>
                    <a:pPr>
                      <a:defRPr sz="1100">
                        <a:solidFill>
                          <a:sysClr val="windowText" lastClr="000000"/>
                        </a:solidFill>
                      </a:defRPr>
                    </a:pPr>
                    <a:fld id="{1A3C3825-9C4F-41C4-8FC3-85A2ADD96D63}" type="VALUE">
                      <a:rPr lang="en-US">
                        <a:solidFill>
                          <a:sysClr val="windowText" lastClr="000000"/>
                        </a:solidFill>
                      </a:rPr>
                      <a:pPr>
                        <a:defRPr sz="1100">
                          <a:solidFill>
                            <a:sysClr val="windowText" lastClr="000000"/>
                          </a:solidFill>
                        </a:defRPr>
                      </a:pPr>
                      <a:t>[VALUE]</a:t>
                    </a:fld>
                    <a:endParaRPr lang="en-US" baseline="0">
                      <a:solidFill>
                        <a:sysClr val="windowText" lastClr="000000"/>
                      </a:solidFill>
                    </a:endParaRPr>
                  </a:p>
                  <a:p>
                    <a:pPr>
                      <a:defRPr sz="1100">
                        <a:solidFill>
                          <a:sysClr val="windowText" lastClr="000000"/>
                        </a:solidFill>
                      </a:defRPr>
                    </a:pPr>
                    <a:fld id="{2A88173A-99E5-47A8-AC6C-AEC2FA700F2F}" type="PERCENTAGE">
                      <a:rPr lang="en-US">
                        <a:solidFill>
                          <a:sysClr val="windowText" lastClr="000000"/>
                        </a:solidFill>
                      </a:rPr>
                      <a:pPr>
                        <a:defRPr sz="1100">
                          <a:solidFill>
                            <a:sysClr val="windowText" lastClr="000000"/>
                          </a:solidFil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3994-4D4D-BC09-66EC466F129A}"/>
                </c:ext>
              </c:extLst>
            </c:dLbl>
            <c:dLbl>
              <c:idx val="3"/>
              <c:tx>
                <c:rich>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fld id="{00828367-7CA5-4ACD-B507-823598D21D30}" type="CATEGORYNAME">
                      <a:rPr lang="en-US" sz="1600" b="1">
                        <a:solidFill>
                          <a:sysClr val="windowText" lastClr="000000"/>
                        </a:solidFill>
                      </a:rPr>
                      <a:pPr>
                        <a:defRPr sz="1100">
                          <a:solidFill>
                            <a:sysClr val="windowText" lastClr="000000"/>
                          </a:solidFill>
                        </a:defRPr>
                      </a:pPr>
                      <a:t>[CATEGORY NAME]</a:t>
                    </a:fld>
                    <a:endParaRPr lang="en-US" b="1" baseline="0">
                      <a:solidFill>
                        <a:sysClr val="windowText" lastClr="000000"/>
                      </a:solidFill>
                    </a:endParaRPr>
                  </a:p>
                  <a:p>
                    <a:pPr>
                      <a:defRPr sz="1100">
                        <a:solidFill>
                          <a:sysClr val="windowText" lastClr="000000"/>
                        </a:solidFill>
                      </a:defRPr>
                    </a:pPr>
                    <a:fld id="{D12ECFD4-98D4-444B-A178-1A733411798F}" type="VALUE">
                      <a:rPr lang="en-US">
                        <a:solidFill>
                          <a:sysClr val="windowText" lastClr="000000"/>
                        </a:solidFill>
                      </a:rPr>
                      <a:pPr>
                        <a:defRPr sz="1100">
                          <a:solidFill>
                            <a:sysClr val="windowText" lastClr="000000"/>
                          </a:solidFill>
                        </a:defRPr>
                      </a:pPr>
                      <a:t>[VALUE]</a:t>
                    </a:fld>
                    <a:endParaRPr lang="en-US" baseline="0">
                      <a:solidFill>
                        <a:sysClr val="windowText" lastClr="000000"/>
                      </a:solidFill>
                    </a:endParaRPr>
                  </a:p>
                  <a:p>
                    <a:pPr>
                      <a:defRPr sz="1100">
                        <a:solidFill>
                          <a:sysClr val="windowText" lastClr="000000"/>
                        </a:solidFill>
                      </a:defRPr>
                    </a:pPr>
                    <a:fld id="{CBCAF75E-CF56-4C3C-8B79-558C3FF2C417}" type="PERCENTAGE">
                      <a:rPr lang="en-US">
                        <a:solidFill>
                          <a:sysClr val="windowText" lastClr="000000"/>
                        </a:solidFill>
                      </a:rPr>
                      <a:pPr>
                        <a:defRPr sz="1100">
                          <a:solidFill>
                            <a:sysClr val="windowText" lastClr="000000"/>
                          </a:solidFill>
                        </a:defRPr>
                      </a:pPr>
                      <a:t>[PERCENTAGE]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ctr"/>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994-4D4D-BC09-66EC466F129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Level 1</c:v>
                </c:pt>
                <c:pt idx="1">
                  <c:v>Level 2</c:v>
                </c:pt>
                <c:pt idx="2">
                  <c:v>Level 3</c:v>
                </c:pt>
                <c:pt idx="3">
                  <c:v>Level 4</c:v>
                </c:pt>
              </c:strCache>
            </c:strRef>
          </c:cat>
          <c:val>
            <c:numRef>
              <c:f>Sheet1!$B$2:$B$5</c:f>
              <c:numCache>
                <c:formatCode>General</c:formatCode>
                <c:ptCount val="4"/>
                <c:pt idx="0">
                  <c:v>4</c:v>
                </c:pt>
                <c:pt idx="1">
                  <c:v>4</c:v>
                </c:pt>
                <c:pt idx="2">
                  <c:v>7</c:v>
                </c:pt>
                <c:pt idx="3">
                  <c:v>5</c:v>
                </c:pt>
              </c:numCache>
            </c:numRef>
          </c:val>
          <c:extLst>
            <c:ext xmlns:c16="http://schemas.microsoft.com/office/drawing/2014/chart" uri="{C3380CC4-5D6E-409C-BE32-E72D297353CC}">
              <c16:uniqueId val="{00000000-3994-4D4D-BC09-66EC466F129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the hours required for </a:t>
            </a:r>
            <a:br>
              <a:rPr lang="en-GB" sz="1050"/>
            </a:br>
            <a:r>
              <a:rPr lang="en-GB" sz="1050"/>
              <a:t>paid formal care and support</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'Post-survey'!$A$14</c:f>
              <c:strCache>
                <c:ptCount val="1"/>
                <c:pt idx="0">
                  <c:v>Reducing the hours required for paid formal care and support</c:v>
                </c:pt>
              </c:strCache>
              <c:extLst xmlns:c15="http://schemas.microsoft.com/office/drawing/2012/chart"/>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5477-40C0-AC99-D84A17AFA5C1}"/>
                </c:ext>
              </c:extLst>
            </c:dLbl>
            <c:dLbl>
              <c:idx val="4"/>
              <c:delete val="1"/>
              <c:extLst>
                <c:ext xmlns:c15="http://schemas.microsoft.com/office/drawing/2012/chart" uri="{CE6537A1-D6FC-4f65-9D91-7224C49458BB}"/>
                <c:ext xmlns:c16="http://schemas.microsoft.com/office/drawing/2014/chart" uri="{C3380CC4-5D6E-409C-BE32-E72D297353CC}">
                  <c16:uniqueId val="{00000001-5477-40C0-AC99-D84A17AFA5C1}"/>
                </c:ext>
              </c:extLst>
            </c:dLbl>
            <c:dLbl>
              <c:idx val="5"/>
              <c:delete val="1"/>
              <c:extLst>
                <c:ext xmlns:c15="http://schemas.microsoft.com/office/drawing/2012/chart" uri="{CE6537A1-D6FC-4f65-9D91-7224C49458BB}"/>
                <c:ext xmlns:c16="http://schemas.microsoft.com/office/drawing/2014/chart" uri="{C3380CC4-5D6E-409C-BE32-E72D297353CC}">
                  <c16:uniqueId val="{00000002-5477-40C0-AC99-D84A17AFA5C1}"/>
                </c:ext>
              </c:extLst>
            </c:dLbl>
            <c:dLbl>
              <c:idx val="6"/>
              <c:delete val="1"/>
              <c:extLst>
                <c:ext xmlns:c15="http://schemas.microsoft.com/office/drawing/2012/chart" uri="{CE6537A1-D6FC-4f65-9D91-7224C49458BB}"/>
                <c:ext xmlns:c16="http://schemas.microsoft.com/office/drawing/2014/chart" uri="{C3380CC4-5D6E-409C-BE32-E72D297353CC}">
                  <c16:uniqueId val="{00000003-5477-40C0-AC99-D84A17AFA5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'Post-survey'!$B$14:$H$14</c:f>
              <c:numCache>
                <c:formatCode>General</c:formatCode>
                <c:ptCount val="7"/>
                <c:pt idx="0">
                  <c:v>4</c:v>
                </c:pt>
                <c:pt idx="1">
                  <c:v>3</c:v>
                </c:pt>
                <c:pt idx="2">
                  <c:v>2</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2803-4924-B52A-D6DCD579C054}"/>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'Post-survey'!$A$13</c15:sqref>
                        </c15:formulaRef>
                      </c:ext>
                    </c:extLst>
                    <c:strCache>
                      <c:ptCount val="1"/>
                      <c:pt idx="0">
                        <c:v>Reducing the hours required for paid carer support</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1-2803-4924-B52A-D6DCD579C05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'Post-survey'!$B$13:$H$13</c15:sqref>
                        </c15:formulaRef>
                      </c:ext>
                    </c:extLst>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2-2803-4924-B52A-D6DCD579C05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'Post-survey'!$A$15</c15:sqref>
                        </c15:formulaRef>
                      </c:ext>
                    </c:extLst>
                    <c:strCache>
                      <c:ptCount val="1"/>
                      <c:pt idx="0">
                        <c:v>Reducing the number of GP visits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'Post-survey'!$B$15:$H$15</c15:sqref>
                        </c15:formulaRef>
                      </c:ext>
                    </c:extLst>
                    <c:numCache>
                      <c:formatCode>General</c:formatCode>
                      <c:ptCount val="7"/>
                      <c:pt idx="0">
                        <c:v>1</c:v>
                      </c:pt>
                      <c:pt idx="1">
                        <c:v>3</c:v>
                      </c:pt>
                      <c:pt idx="2">
                        <c:v>1</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3-2803-4924-B52A-D6DCD579C05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'Post-survey'!$B$16:$H$16</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4-2803-4924-B52A-D6DCD579C05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'Post-survey'!$A$17</c15:sqref>
                        </c15:formulaRef>
                      </c:ext>
                    </c:extLst>
                    <c:strCache>
                      <c:ptCount val="1"/>
                      <c:pt idx="0">
                        <c:v>Reducing days spent in respite care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'Post-survey'!$B$17:$H$17</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5-2803-4924-B52A-D6DCD579C05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'Post-survey'!$A$18</c15:sqref>
                        </c15:formulaRef>
                      </c:ext>
                    </c:extLst>
                    <c:strCache>
                      <c:ptCount val="1"/>
                      <c:pt idx="0">
                        <c:v>Reducing or delaying the need for residential aged care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'Post-survey'!$B$18:$H$18</c15:sqref>
                        </c15:formulaRef>
                      </c:ext>
                    </c:extLst>
                    <c:numCache>
                      <c:formatCode>General</c:formatCode>
                      <c:ptCount val="7"/>
                      <c:pt idx="0">
                        <c:v>6</c:v>
                      </c:pt>
                      <c:pt idx="1">
                        <c:v>1</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6-2803-4924-B52A-D6DCD579C05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the number of GP visits</a:t>
            </a:r>
            <a:br>
              <a:rPr lang="en-GB" sz="1050"/>
            </a:br>
            <a:r>
              <a:rPr lang="en-GB" sz="1050" b="0" i="0" u="none" strike="noStrike" baseline="0">
                <a:effectLst/>
              </a:rPr>
              <a:t>(pre-survey)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'Pre-survey'!$A$15</c:f>
              <c:strCache>
                <c:ptCount val="1"/>
                <c:pt idx="0">
                  <c:v>Reducing the number of GP visits</c:v>
                </c:pt>
              </c:strCache>
              <c:extLst xmlns:c15="http://schemas.microsoft.com/office/drawing/2012/chart"/>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AF63-4CB6-A643-1ADDE55B664F}"/>
                </c:ext>
              </c:extLst>
            </c:dLbl>
            <c:dLbl>
              <c:idx val="6"/>
              <c:delete val="1"/>
              <c:extLst>
                <c:ext xmlns:c15="http://schemas.microsoft.com/office/drawing/2012/chart" uri="{CE6537A1-D6FC-4f65-9D91-7224C49458BB}"/>
                <c:ext xmlns:c16="http://schemas.microsoft.com/office/drawing/2014/chart" uri="{C3380CC4-5D6E-409C-BE32-E72D297353CC}">
                  <c16:uniqueId val="{00000001-AF63-4CB6-A643-1ADDE55B66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'Pre-survey'!$B$15:$H$15</c:f>
              <c:numCache>
                <c:formatCode>General</c:formatCode>
                <c:ptCount val="7"/>
                <c:pt idx="0">
                  <c:v>2</c:v>
                </c:pt>
                <c:pt idx="1">
                  <c:v>2</c:v>
                </c:pt>
                <c:pt idx="2">
                  <c:v>3</c:v>
                </c:pt>
                <c:pt idx="3">
                  <c:v>1</c:v>
                </c:pt>
                <c:pt idx="4">
                  <c:v>0</c:v>
                </c:pt>
                <c:pt idx="5">
                  <c:v>1</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2-3338-4993-B3BC-BF5BDDEF7E7C}"/>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'Pre-survey'!$A$13</c15:sqref>
                        </c15:formulaRef>
                      </c:ext>
                    </c:extLst>
                    <c:strCache>
                      <c:ptCount val="1"/>
                      <c:pt idx="0">
                        <c:v>Reducing the hours required for paid carer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'Pre-survey'!$B$13:$H$13</c15:sqref>
                        </c15:formulaRef>
                      </c:ext>
                    </c:extLst>
                    <c:numCache>
                      <c:formatCode>General</c:formatCode>
                      <c:ptCount val="7"/>
                      <c:pt idx="0">
                        <c:v>5</c:v>
                      </c:pt>
                      <c:pt idx="1">
                        <c:v>2</c:v>
                      </c:pt>
                      <c:pt idx="2">
                        <c:v>2</c:v>
                      </c:pt>
                      <c:pt idx="3">
                        <c:v>0</c:v>
                      </c:pt>
                      <c:pt idx="4">
                        <c:v>0</c:v>
                      </c:pt>
                      <c:pt idx="5">
                        <c:v>0</c:v>
                      </c:pt>
                      <c:pt idx="6">
                        <c:v>0</c:v>
                      </c:pt>
                    </c:numCache>
                  </c:numRef>
                </c:val>
                <c:extLst>
                  <c:ext xmlns:c16="http://schemas.microsoft.com/office/drawing/2014/chart" uri="{C3380CC4-5D6E-409C-BE32-E72D297353CC}">
                    <c16:uniqueId val="{00000003-3338-4993-B3BC-BF5BDDEF7E7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3338-4993-B3BC-BF5BDDEF7E7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'Pre-survey'!$B$14:$H$14</c15:sqref>
                        </c15:formulaRef>
                      </c:ext>
                    </c:extLst>
                    <c:numCache>
                      <c:formatCode>General</c:formatCode>
                      <c:ptCount val="7"/>
                      <c:pt idx="0">
                        <c:v>5</c:v>
                      </c:pt>
                      <c:pt idx="1">
                        <c:v>1</c:v>
                      </c:pt>
                      <c:pt idx="2">
                        <c:v>3</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5-3338-4993-B3BC-BF5BDDEF7E7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'Pre-survey'!$B$16:$H$16</c15:sqref>
                        </c15:formulaRef>
                      </c:ext>
                    </c:extLst>
                    <c:numCache>
                      <c:formatCode>General</c:formatCode>
                      <c:ptCount val="7"/>
                      <c:pt idx="0">
                        <c:v>3</c:v>
                      </c:pt>
                      <c:pt idx="1">
                        <c:v>3</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3338-4993-B3BC-BF5BDDEF7E7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'Pre-survey'!$A$17</c15:sqref>
                        </c15:formulaRef>
                      </c:ext>
                    </c:extLst>
                    <c:strCache>
                      <c:ptCount val="1"/>
                      <c:pt idx="0">
                        <c:v>Reducing days spent in respite care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'Pre-survey'!$B$17:$H$17</c15:sqref>
                        </c15:formulaRef>
                      </c:ext>
                    </c:extLst>
                    <c:numCache>
                      <c:formatCode>General</c:formatCode>
                      <c:ptCount val="7"/>
                      <c:pt idx="0">
                        <c:v>2</c:v>
                      </c:pt>
                      <c:pt idx="1">
                        <c:v>2</c:v>
                      </c:pt>
                      <c:pt idx="2">
                        <c:v>2</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7-3338-4993-B3BC-BF5BDDEF7E7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'Pre-survey'!$A$18</c15:sqref>
                        </c15:formulaRef>
                      </c:ext>
                    </c:extLst>
                    <c:strCache>
                      <c:ptCount val="1"/>
                      <c:pt idx="0">
                        <c:v>Reducing or delaying the need for residential aged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'Pre-survey'!$B$18:$H$18</c15:sqref>
                        </c15:formulaRef>
                      </c:ext>
                    </c:extLst>
                    <c:numCache>
                      <c:formatCode>General</c:formatCode>
                      <c:ptCount val="7"/>
                      <c:pt idx="0">
                        <c:v>5</c:v>
                      </c:pt>
                      <c:pt idx="1">
                        <c:v>1</c:v>
                      </c:pt>
                      <c:pt idx="2">
                        <c:v>1</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8-3338-4993-B3BC-BF5BDDEF7E7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the number of GP visits</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'Post-survey'!$A$15</c:f>
              <c:strCache>
                <c:ptCount val="1"/>
                <c:pt idx="0">
                  <c:v>Reducing the number of GP visits</c:v>
                </c:pt>
              </c:strCache>
              <c:extLst xmlns:c15="http://schemas.microsoft.com/office/drawing/2012/chart"/>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E4E9-41D5-82E0-EDB057E00190}"/>
                </c:ext>
              </c:extLst>
            </c:dLbl>
            <c:dLbl>
              <c:idx val="5"/>
              <c:delete val="1"/>
              <c:extLst>
                <c:ext xmlns:c15="http://schemas.microsoft.com/office/drawing/2012/chart" uri="{CE6537A1-D6FC-4f65-9D91-7224C49458BB}"/>
                <c:ext xmlns:c16="http://schemas.microsoft.com/office/drawing/2014/chart" uri="{C3380CC4-5D6E-409C-BE32-E72D297353CC}">
                  <c16:uniqueId val="{00000001-E4E9-41D5-82E0-EDB057E00190}"/>
                </c:ext>
              </c:extLst>
            </c:dLbl>
            <c:dLbl>
              <c:idx val="6"/>
              <c:delete val="1"/>
              <c:extLst>
                <c:ext xmlns:c15="http://schemas.microsoft.com/office/drawing/2012/chart" uri="{CE6537A1-D6FC-4f65-9D91-7224C49458BB}"/>
                <c:ext xmlns:c16="http://schemas.microsoft.com/office/drawing/2014/chart" uri="{C3380CC4-5D6E-409C-BE32-E72D297353CC}">
                  <c16:uniqueId val="{00000002-E4E9-41D5-82E0-EDB057E0019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'Post-survey'!$B$15:$H$15</c:f>
              <c:numCache>
                <c:formatCode>General</c:formatCode>
                <c:ptCount val="7"/>
                <c:pt idx="0">
                  <c:v>1</c:v>
                </c:pt>
                <c:pt idx="1">
                  <c:v>3</c:v>
                </c:pt>
                <c:pt idx="2">
                  <c:v>1</c:v>
                </c:pt>
                <c:pt idx="3">
                  <c:v>4</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2-3D46-4F70-8EDA-8AE0F50D9A86}"/>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'Post-survey'!$A$13</c15:sqref>
                        </c15:formulaRef>
                      </c:ext>
                    </c:extLst>
                    <c:strCache>
                      <c:ptCount val="1"/>
                      <c:pt idx="0">
                        <c:v>Reducing the hours required for paid carer support</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3-3D46-4F70-8EDA-8AE0F50D9A8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'Post-survey'!$B$13:$H$13</c15:sqref>
                        </c15:formulaRef>
                      </c:ext>
                    </c:extLst>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4-3D46-4F70-8EDA-8AE0F50D9A8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'Post-survey'!$B$14:$H$14</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5-3D46-4F70-8EDA-8AE0F50D9A8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'Post-survey'!$B$16:$H$16</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3D46-4F70-8EDA-8AE0F50D9A8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'Post-survey'!$A$17</c15:sqref>
                        </c15:formulaRef>
                      </c:ext>
                    </c:extLst>
                    <c:strCache>
                      <c:ptCount val="1"/>
                      <c:pt idx="0">
                        <c:v>Reducing days spent in respite care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'Post-survey'!$B$17:$H$17</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7-3D46-4F70-8EDA-8AE0F50D9A8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'Post-survey'!$A$18</c15:sqref>
                        </c15:formulaRef>
                      </c:ext>
                    </c:extLst>
                    <c:strCache>
                      <c:ptCount val="1"/>
                      <c:pt idx="0">
                        <c:v>Reducing or delaying the need for residential aged care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'Post-survey'!$B$18:$H$18</c15:sqref>
                        </c15:formulaRef>
                      </c:ext>
                    </c:extLst>
                    <c:numCache>
                      <c:formatCode>General</c:formatCode>
                      <c:ptCount val="7"/>
                      <c:pt idx="0">
                        <c:v>6</c:v>
                      </c:pt>
                      <c:pt idx="1">
                        <c:v>1</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3D46-4F70-8EDA-8AE0F50D9A86}"/>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i="0" u="none" strike="noStrike" baseline="0">
                <a:effectLst/>
              </a:rPr>
              <a:t>(pre-survey)</a:t>
            </a:r>
            <a:endParaRPr lang="en-GB" sz="1000"/>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'Pre-survey'!$A$16</c:f>
              <c:strCache>
                <c:ptCount val="1"/>
                <c:pt idx="0">
                  <c:v>Reducing the number of hospital admissions through the emergency department</c:v>
                </c:pt>
              </c:strCache>
              <c:extLst xmlns:c15="http://schemas.microsoft.com/office/drawing/2012/chart"/>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EC40-4B66-9356-E1BD1E6782D4}"/>
                </c:ext>
              </c:extLst>
            </c:dLbl>
            <c:dLbl>
              <c:idx val="4"/>
              <c:delete val="1"/>
              <c:extLst>
                <c:ext xmlns:c15="http://schemas.microsoft.com/office/drawing/2012/chart" uri="{CE6537A1-D6FC-4f65-9D91-7224C49458BB}"/>
                <c:ext xmlns:c16="http://schemas.microsoft.com/office/drawing/2014/chart" uri="{C3380CC4-5D6E-409C-BE32-E72D297353CC}">
                  <c16:uniqueId val="{00000002-EC40-4B66-9356-E1BD1E6782D4}"/>
                </c:ext>
              </c:extLst>
            </c:dLbl>
            <c:dLbl>
              <c:idx val="5"/>
              <c:delete val="1"/>
              <c:extLst>
                <c:ext xmlns:c15="http://schemas.microsoft.com/office/drawing/2012/chart" uri="{CE6537A1-D6FC-4f65-9D91-7224C49458BB}"/>
                <c:ext xmlns:c16="http://schemas.microsoft.com/office/drawing/2014/chart" uri="{C3380CC4-5D6E-409C-BE32-E72D297353CC}">
                  <c16:uniqueId val="{00000001-EC40-4B66-9356-E1BD1E6782D4}"/>
                </c:ext>
              </c:extLst>
            </c:dLbl>
            <c:dLbl>
              <c:idx val="6"/>
              <c:delete val="1"/>
              <c:extLst>
                <c:ext xmlns:c15="http://schemas.microsoft.com/office/drawing/2012/chart" uri="{CE6537A1-D6FC-4f65-9D91-7224C49458BB}"/>
                <c:ext xmlns:c16="http://schemas.microsoft.com/office/drawing/2014/chart" uri="{C3380CC4-5D6E-409C-BE32-E72D297353CC}">
                  <c16:uniqueId val="{00000000-EC40-4B66-9356-E1BD1E6782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'Pre-survey'!$B$16:$H$16</c:f>
              <c:numCache>
                <c:formatCode>General</c:formatCode>
                <c:ptCount val="7"/>
                <c:pt idx="0">
                  <c:v>3</c:v>
                </c:pt>
                <c:pt idx="1">
                  <c:v>3</c:v>
                </c:pt>
                <c:pt idx="2">
                  <c:v>0</c:v>
                </c:pt>
                <c:pt idx="3">
                  <c:v>3</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7256-422F-BF02-08FFCB15E08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'Pre-survey'!$A$13</c15:sqref>
                        </c15:formulaRef>
                      </c:ext>
                    </c:extLst>
                    <c:strCache>
                      <c:ptCount val="1"/>
                      <c:pt idx="0">
                        <c:v>Reducing the hours required for paid carer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'Pre-survey'!$B$13:$H$13</c15:sqref>
                        </c15:formulaRef>
                      </c:ext>
                    </c:extLst>
                    <c:numCache>
                      <c:formatCode>General</c:formatCode>
                      <c:ptCount val="7"/>
                      <c:pt idx="0">
                        <c:v>5</c:v>
                      </c:pt>
                      <c:pt idx="1">
                        <c:v>2</c:v>
                      </c:pt>
                      <c:pt idx="2">
                        <c:v>2</c:v>
                      </c:pt>
                      <c:pt idx="3">
                        <c:v>0</c:v>
                      </c:pt>
                      <c:pt idx="4">
                        <c:v>0</c:v>
                      </c:pt>
                      <c:pt idx="5">
                        <c:v>0</c:v>
                      </c:pt>
                      <c:pt idx="6">
                        <c:v>0</c:v>
                      </c:pt>
                    </c:numCache>
                  </c:numRef>
                </c:val>
                <c:extLst>
                  <c:ext xmlns:c16="http://schemas.microsoft.com/office/drawing/2014/chart" uri="{C3380CC4-5D6E-409C-BE32-E72D297353CC}">
                    <c16:uniqueId val="{00000001-7256-422F-BF02-08FFCB15E08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7256-422F-BF02-08FFCB15E08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'Pre-survey'!$B$14:$H$14</c15:sqref>
                        </c15:formulaRef>
                      </c:ext>
                    </c:extLst>
                    <c:numCache>
                      <c:formatCode>General</c:formatCode>
                      <c:ptCount val="7"/>
                      <c:pt idx="0">
                        <c:v>5</c:v>
                      </c:pt>
                      <c:pt idx="1">
                        <c:v>1</c:v>
                      </c:pt>
                      <c:pt idx="2">
                        <c:v>3</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7256-422F-BF02-08FFCB15E08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'Pre-survey'!$A$15</c15:sqref>
                        </c15:formulaRef>
                      </c:ext>
                    </c:extLst>
                    <c:strCache>
                      <c:ptCount val="1"/>
                      <c:pt idx="0">
                        <c:v>Reducing the number of GP visits</c:v>
                      </c:pt>
                    </c:strCache>
                  </c:strRef>
                </c:tx>
                <c:spPr>
                  <a:solidFill>
                    <a:schemeClr val="accent3"/>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7256-422F-BF02-08FFCB15E08E}"/>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7256-422F-BF02-08FFCB15E08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'Pre-survey'!$B$15:$H$15</c15:sqref>
                        </c15:formulaRef>
                      </c:ext>
                    </c:extLst>
                    <c:numCache>
                      <c:formatCode>General</c:formatCode>
                      <c:ptCount val="7"/>
                      <c:pt idx="0">
                        <c:v>2</c:v>
                      </c:pt>
                      <c:pt idx="1">
                        <c:v>2</c:v>
                      </c:pt>
                      <c:pt idx="2">
                        <c:v>3</c:v>
                      </c:pt>
                      <c:pt idx="3">
                        <c:v>1</c:v>
                      </c:pt>
                      <c:pt idx="4">
                        <c:v>0</c:v>
                      </c:pt>
                      <c:pt idx="5">
                        <c:v>1</c:v>
                      </c:pt>
                      <c:pt idx="6">
                        <c:v>0</c:v>
                      </c:pt>
                    </c:numCache>
                  </c:numRef>
                </c:val>
                <c:extLst xmlns:c15="http://schemas.microsoft.com/office/drawing/2012/chart">
                  <c:ext xmlns:c16="http://schemas.microsoft.com/office/drawing/2014/chart" uri="{C3380CC4-5D6E-409C-BE32-E72D297353CC}">
                    <c16:uniqueId val="{00000006-7256-422F-BF02-08FFCB15E08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'Pre-survey'!$A$17</c15:sqref>
                        </c15:formulaRef>
                      </c:ext>
                    </c:extLst>
                    <c:strCache>
                      <c:ptCount val="1"/>
                      <c:pt idx="0">
                        <c:v>Reducing days spent in respite care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'Pre-survey'!$B$17:$H$17</c15:sqref>
                        </c15:formulaRef>
                      </c:ext>
                    </c:extLst>
                    <c:numCache>
                      <c:formatCode>General</c:formatCode>
                      <c:ptCount val="7"/>
                      <c:pt idx="0">
                        <c:v>2</c:v>
                      </c:pt>
                      <c:pt idx="1">
                        <c:v>2</c:v>
                      </c:pt>
                      <c:pt idx="2">
                        <c:v>2</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7-7256-422F-BF02-08FFCB15E08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'Pre-survey'!$A$18</c15:sqref>
                        </c15:formulaRef>
                      </c:ext>
                    </c:extLst>
                    <c:strCache>
                      <c:ptCount val="1"/>
                      <c:pt idx="0">
                        <c:v>Reducing or delaying the need for residential aged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'Pre-survey'!$B$18:$H$18</c15:sqref>
                        </c15:formulaRef>
                      </c:ext>
                    </c:extLst>
                    <c:numCache>
                      <c:formatCode>General</c:formatCode>
                      <c:ptCount val="7"/>
                      <c:pt idx="0">
                        <c:v>5</c:v>
                      </c:pt>
                      <c:pt idx="1">
                        <c:v>1</c:v>
                      </c:pt>
                      <c:pt idx="2">
                        <c:v>1</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8-7256-422F-BF02-08FFCB15E08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i="0" u="none" strike="noStrike" baseline="0">
                <a:effectLst/>
              </a:rPr>
              <a:t>(post-survey)</a:t>
            </a:r>
            <a:endParaRPr lang="en-GB" sz="1000"/>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'Post-survey'!$A$16</c:f>
              <c:strCache>
                <c:ptCount val="1"/>
                <c:pt idx="0">
                  <c:v>Reducing the number of hospital admissions through the emergency department</c:v>
                </c:pt>
              </c:strCache>
              <c:extLst xmlns:c15="http://schemas.microsoft.com/office/drawing/2012/chart"/>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8AB1-4D50-836F-27C5D581DD20}"/>
                </c:ext>
              </c:extLst>
            </c:dLbl>
            <c:dLbl>
              <c:idx val="5"/>
              <c:delete val="1"/>
              <c:extLst>
                <c:ext xmlns:c15="http://schemas.microsoft.com/office/drawing/2012/chart" uri="{CE6537A1-D6FC-4f65-9D91-7224C49458BB}"/>
                <c:ext xmlns:c16="http://schemas.microsoft.com/office/drawing/2014/chart" uri="{C3380CC4-5D6E-409C-BE32-E72D297353CC}">
                  <c16:uniqueId val="{00000001-8AB1-4D50-836F-27C5D581DD20}"/>
                </c:ext>
              </c:extLst>
            </c:dLbl>
            <c:dLbl>
              <c:idx val="6"/>
              <c:delete val="1"/>
              <c:extLst>
                <c:ext xmlns:c15="http://schemas.microsoft.com/office/drawing/2012/chart" uri="{CE6537A1-D6FC-4f65-9D91-7224C49458BB}"/>
                <c:ext xmlns:c16="http://schemas.microsoft.com/office/drawing/2014/chart" uri="{C3380CC4-5D6E-409C-BE32-E72D297353CC}">
                  <c16:uniqueId val="{00000002-8AB1-4D50-836F-27C5D581DD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'Post-survey'!$B$16:$H$16</c:f>
              <c:numCache>
                <c:formatCode>General</c:formatCode>
                <c:ptCount val="7"/>
                <c:pt idx="0">
                  <c:v>2</c:v>
                </c:pt>
                <c:pt idx="1">
                  <c:v>3</c:v>
                </c:pt>
                <c:pt idx="2">
                  <c:v>1</c:v>
                </c:pt>
                <c:pt idx="3">
                  <c:v>3</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AAAC-4F7F-949C-066D92743CD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'Post-survey'!$A$13</c15:sqref>
                        </c15:formulaRef>
                      </c:ext>
                    </c:extLst>
                    <c:strCache>
                      <c:ptCount val="1"/>
                      <c:pt idx="0">
                        <c:v>Reducing the hours required for paid carer support</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AAAC-4F7F-949C-066D92743CD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'Post-survey'!$B$13:$H$13</c15:sqref>
                        </c15:formulaRef>
                      </c:ext>
                    </c:extLst>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3-AAAC-4F7F-949C-066D92743CD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'Post-survey'!$B$14:$H$14</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AAAC-4F7F-949C-066D92743CD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'Post-survey'!$A$15</c15:sqref>
                        </c15:formulaRef>
                      </c:ext>
                    </c:extLst>
                    <c:strCache>
                      <c:ptCount val="1"/>
                      <c:pt idx="0">
                        <c:v>Reducing the number of GP visits</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AAAC-4F7F-949C-066D92743CD2}"/>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AAAC-4F7F-949C-066D92743CD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'Post-survey'!$B$15:$H$15</c15:sqref>
                        </c15:formulaRef>
                      </c:ext>
                    </c:extLst>
                    <c:numCache>
                      <c:formatCode>General</c:formatCode>
                      <c:ptCount val="7"/>
                      <c:pt idx="0">
                        <c:v>1</c:v>
                      </c:pt>
                      <c:pt idx="1">
                        <c:v>3</c:v>
                      </c:pt>
                      <c:pt idx="2">
                        <c:v>1</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7-AAAC-4F7F-949C-066D92743CD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'Post-survey'!$A$17</c15:sqref>
                        </c15:formulaRef>
                      </c:ext>
                    </c:extLst>
                    <c:strCache>
                      <c:ptCount val="1"/>
                      <c:pt idx="0">
                        <c:v>Reducing days spent in respite care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'Post-survey'!$B$17:$H$17</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8-AAAC-4F7F-949C-066D92743CD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'Post-survey'!$A$18</c15:sqref>
                        </c15:formulaRef>
                      </c:ext>
                    </c:extLst>
                    <c:strCache>
                      <c:ptCount val="1"/>
                      <c:pt idx="0">
                        <c:v>Reducing or delaying the need for residential aged care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'Post-survey'!$B$18:$H$18</c15:sqref>
                        </c15:formulaRef>
                      </c:ext>
                    </c:extLst>
                    <c:numCache>
                      <c:formatCode>General</c:formatCode>
                      <c:ptCount val="7"/>
                      <c:pt idx="0">
                        <c:v>6</c:v>
                      </c:pt>
                      <c:pt idx="1">
                        <c:v>1</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9-AAAC-4F7F-949C-066D92743CD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days spent in respite care</a:t>
            </a:r>
            <a:br>
              <a:rPr lang="en-GB" sz="1050"/>
            </a:br>
            <a:r>
              <a:rPr lang="en-GB" sz="1050" b="0" i="0" u="none" strike="noStrike" baseline="0">
                <a:effectLst/>
              </a:rPr>
              <a:t>(pre-survey)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'Pre-survey'!$A$17</c:f>
              <c:strCache>
                <c:ptCount val="1"/>
                <c:pt idx="0">
                  <c:v>Reducing days spent in respite care</c:v>
                </c:pt>
              </c:strCache>
              <c:extLst xmlns:c15="http://schemas.microsoft.com/office/drawing/2012/chart"/>
            </c:strRef>
          </c:tx>
          <c:spPr>
            <a:solidFill>
              <a:schemeClr val="accent5"/>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07F5-4308-BE5B-5799B1C5AD9B}"/>
                </c:ext>
              </c:extLst>
            </c:dLbl>
            <c:dLbl>
              <c:idx val="6"/>
              <c:delete val="1"/>
              <c:extLst>
                <c:ext xmlns:c15="http://schemas.microsoft.com/office/drawing/2012/chart" uri="{CE6537A1-D6FC-4f65-9D91-7224C49458BB}"/>
                <c:ext xmlns:c16="http://schemas.microsoft.com/office/drawing/2014/chart" uri="{C3380CC4-5D6E-409C-BE32-E72D297353CC}">
                  <c16:uniqueId val="{00000000-07F5-4308-BE5B-5799B1C5AD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'Pre-survey'!$B$17:$H$17</c:f>
              <c:numCache>
                <c:formatCode>General</c:formatCode>
                <c:ptCount val="7"/>
                <c:pt idx="0">
                  <c:v>2</c:v>
                </c:pt>
                <c:pt idx="1">
                  <c:v>2</c:v>
                </c:pt>
                <c:pt idx="2">
                  <c:v>2</c:v>
                </c:pt>
                <c:pt idx="3">
                  <c:v>2</c:v>
                </c:pt>
                <c:pt idx="4">
                  <c:v>1</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DDE6-45D5-900E-1092D3A7C14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'Pre-survey'!$A$13</c15:sqref>
                        </c15:formulaRef>
                      </c:ext>
                    </c:extLst>
                    <c:strCache>
                      <c:ptCount val="1"/>
                      <c:pt idx="0">
                        <c:v>Reducing the hours required for paid carer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'Pre-survey'!$B$13:$H$13</c15:sqref>
                        </c15:formulaRef>
                      </c:ext>
                    </c:extLst>
                    <c:numCache>
                      <c:formatCode>General</c:formatCode>
                      <c:ptCount val="7"/>
                      <c:pt idx="0">
                        <c:v>5</c:v>
                      </c:pt>
                      <c:pt idx="1">
                        <c:v>2</c:v>
                      </c:pt>
                      <c:pt idx="2">
                        <c:v>2</c:v>
                      </c:pt>
                      <c:pt idx="3">
                        <c:v>0</c:v>
                      </c:pt>
                      <c:pt idx="4">
                        <c:v>0</c:v>
                      </c:pt>
                      <c:pt idx="5">
                        <c:v>0</c:v>
                      </c:pt>
                      <c:pt idx="6">
                        <c:v>0</c:v>
                      </c:pt>
                    </c:numCache>
                  </c:numRef>
                </c:val>
                <c:extLst>
                  <c:ext xmlns:c16="http://schemas.microsoft.com/office/drawing/2014/chart" uri="{C3380CC4-5D6E-409C-BE32-E72D297353CC}">
                    <c16:uniqueId val="{00000002-DDE6-45D5-900E-1092D3A7C14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DDE6-45D5-900E-1092D3A7C1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'Pre-survey'!$B$14:$H$14</c15:sqref>
                        </c15:formulaRef>
                      </c:ext>
                    </c:extLst>
                    <c:numCache>
                      <c:formatCode>General</c:formatCode>
                      <c:ptCount val="7"/>
                      <c:pt idx="0">
                        <c:v>5</c:v>
                      </c:pt>
                      <c:pt idx="1">
                        <c:v>1</c:v>
                      </c:pt>
                      <c:pt idx="2">
                        <c:v>3</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DDE6-45D5-900E-1092D3A7C14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'Pre-survey'!$A$15</c15:sqref>
                        </c15:formulaRef>
                      </c:ext>
                    </c:extLst>
                    <c:strCache>
                      <c:ptCount val="1"/>
                      <c:pt idx="0">
                        <c:v>Reducing the number of GP visits</c:v>
                      </c:pt>
                    </c:strCache>
                  </c:strRef>
                </c:tx>
                <c:spPr>
                  <a:solidFill>
                    <a:schemeClr val="accent3"/>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DDE6-45D5-900E-1092D3A7C14D}"/>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DDE6-45D5-900E-1092D3A7C1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'Pre-survey'!$B$15:$H$15</c15:sqref>
                        </c15:formulaRef>
                      </c:ext>
                    </c:extLst>
                    <c:numCache>
                      <c:formatCode>General</c:formatCode>
                      <c:ptCount val="7"/>
                      <c:pt idx="0">
                        <c:v>2</c:v>
                      </c:pt>
                      <c:pt idx="1">
                        <c:v>2</c:v>
                      </c:pt>
                      <c:pt idx="2">
                        <c:v>3</c:v>
                      </c:pt>
                      <c:pt idx="3">
                        <c:v>1</c:v>
                      </c:pt>
                      <c:pt idx="4">
                        <c:v>0</c:v>
                      </c:pt>
                      <c:pt idx="5">
                        <c:v>1</c:v>
                      </c:pt>
                      <c:pt idx="6">
                        <c:v>0</c:v>
                      </c:pt>
                    </c:numCache>
                  </c:numRef>
                </c:val>
                <c:extLst xmlns:c15="http://schemas.microsoft.com/office/drawing/2012/chart">
                  <c:ext xmlns:c16="http://schemas.microsoft.com/office/drawing/2014/chart" uri="{C3380CC4-5D6E-409C-BE32-E72D297353CC}">
                    <c16:uniqueId val="{00000007-DDE6-45D5-900E-1092D3A7C14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'Pre-survey'!$B$16:$H$16</c15:sqref>
                        </c15:formulaRef>
                      </c:ext>
                    </c:extLst>
                    <c:numCache>
                      <c:formatCode>General</c:formatCode>
                      <c:ptCount val="7"/>
                      <c:pt idx="0">
                        <c:v>3</c:v>
                      </c:pt>
                      <c:pt idx="1">
                        <c:v>3</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8-DDE6-45D5-900E-1092D3A7C14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'Pre-survey'!$A$18</c15:sqref>
                        </c15:formulaRef>
                      </c:ext>
                    </c:extLst>
                    <c:strCache>
                      <c:ptCount val="1"/>
                      <c:pt idx="0">
                        <c:v>Reducing or delaying the need for residential aged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'Pre-survey'!$B$18:$H$18</c15:sqref>
                        </c15:formulaRef>
                      </c:ext>
                    </c:extLst>
                    <c:numCache>
                      <c:formatCode>General</c:formatCode>
                      <c:ptCount val="7"/>
                      <c:pt idx="0">
                        <c:v>5</c:v>
                      </c:pt>
                      <c:pt idx="1">
                        <c:v>1</c:v>
                      </c:pt>
                      <c:pt idx="2">
                        <c:v>1</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9-DDE6-45D5-900E-1092D3A7C14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days spent in respite care</a:t>
            </a:r>
            <a:br>
              <a:rPr lang="en-GB" sz="1050"/>
            </a:br>
            <a:r>
              <a:rPr lang="en-GB" sz="1050" b="0"/>
              <a:t>(</a:t>
            </a:r>
            <a:r>
              <a:rPr lang="en-GB" sz="1050" b="0" i="0" u="none" strike="noStrike" baseline="0">
                <a:effectLst/>
              </a:rPr>
              <a:t>post-survey)</a:t>
            </a:r>
            <a:endParaRPr lang="en-GB" sz="1050" b="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'Post-survey'!$A$17</c:f>
              <c:strCache>
                <c:ptCount val="1"/>
                <c:pt idx="0">
                  <c:v>Reducing days spent in respite care</c:v>
                </c:pt>
              </c:strCache>
              <c:extLst xmlns:c15="http://schemas.microsoft.com/office/drawing/2012/chart"/>
            </c:strRef>
          </c:tx>
          <c:spPr>
            <a:solidFill>
              <a:schemeClr val="accent5"/>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4B05-48AA-8F1D-1038DE795408}"/>
                </c:ext>
              </c:extLst>
            </c:dLbl>
            <c:dLbl>
              <c:idx val="5"/>
              <c:delete val="1"/>
              <c:extLst>
                <c:ext xmlns:c15="http://schemas.microsoft.com/office/drawing/2012/chart" uri="{CE6537A1-D6FC-4f65-9D91-7224C49458BB}"/>
                <c:ext xmlns:c16="http://schemas.microsoft.com/office/drawing/2014/chart" uri="{C3380CC4-5D6E-409C-BE32-E72D297353CC}">
                  <c16:uniqueId val="{00000001-4B05-48AA-8F1D-1038DE795408}"/>
                </c:ext>
              </c:extLst>
            </c:dLbl>
            <c:dLbl>
              <c:idx val="6"/>
              <c:delete val="1"/>
              <c:extLst>
                <c:ext xmlns:c15="http://schemas.microsoft.com/office/drawing/2012/chart" uri="{CE6537A1-D6FC-4f65-9D91-7224C49458BB}"/>
                <c:ext xmlns:c16="http://schemas.microsoft.com/office/drawing/2014/chart" uri="{C3380CC4-5D6E-409C-BE32-E72D297353CC}">
                  <c16:uniqueId val="{00000000-4B05-48AA-8F1D-1038DE7954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'Post-survey'!$B$17:$H$17</c:f>
              <c:numCache>
                <c:formatCode>General</c:formatCode>
                <c:ptCount val="7"/>
                <c:pt idx="0">
                  <c:v>2</c:v>
                </c:pt>
                <c:pt idx="1">
                  <c:v>3</c:v>
                </c:pt>
                <c:pt idx="2">
                  <c:v>1</c:v>
                </c:pt>
                <c:pt idx="3">
                  <c:v>3</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573D-494E-AEF7-A4C87EA4FDB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'Post-survey'!$A$13</c15:sqref>
                        </c15:formulaRef>
                      </c:ext>
                    </c:extLst>
                    <c:strCache>
                      <c:ptCount val="1"/>
                      <c:pt idx="0">
                        <c:v>Reducing the hours required for paid carer support</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573D-494E-AEF7-A4C87EA4FDB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'Post-survey'!$B$13:$H$13</c15:sqref>
                        </c15:formulaRef>
                      </c:ext>
                    </c:extLst>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3-573D-494E-AEF7-A4C87EA4FDB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'Post-survey'!$B$14:$H$14</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573D-494E-AEF7-A4C87EA4FDB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'Post-survey'!$A$15</c15:sqref>
                        </c15:formulaRef>
                      </c:ext>
                    </c:extLst>
                    <c:strCache>
                      <c:ptCount val="1"/>
                      <c:pt idx="0">
                        <c:v>Reducing the number of GP visits</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573D-494E-AEF7-A4C87EA4FDBE}"/>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573D-494E-AEF7-A4C87EA4FDB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'Post-survey'!$B$15:$H$15</c15:sqref>
                        </c15:formulaRef>
                      </c:ext>
                    </c:extLst>
                    <c:numCache>
                      <c:formatCode>General</c:formatCode>
                      <c:ptCount val="7"/>
                      <c:pt idx="0">
                        <c:v>1</c:v>
                      </c:pt>
                      <c:pt idx="1">
                        <c:v>3</c:v>
                      </c:pt>
                      <c:pt idx="2">
                        <c:v>1</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7-573D-494E-AEF7-A4C87EA4FDB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573D-494E-AEF7-A4C87EA4FDB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'Post-survey'!$B$16:$H$16</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9-573D-494E-AEF7-A4C87EA4FDB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'Post-survey'!$A$18</c15:sqref>
                        </c15:formulaRef>
                      </c:ext>
                    </c:extLst>
                    <c:strCache>
                      <c:ptCount val="1"/>
                      <c:pt idx="0">
                        <c:v>Reducing or delaying the need for residential aged care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'Post-survey'!$B$18:$H$18</c15:sqref>
                        </c15:formulaRef>
                      </c:ext>
                    </c:extLst>
                    <c:numCache>
                      <c:formatCode>General</c:formatCode>
                      <c:ptCount val="7"/>
                      <c:pt idx="0">
                        <c:v>6</c:v>
                      </c:pt>
                      <c:pt idx="1">
                        <c:v>1</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A-573D-494E-AEF7-A4C87EA4FDB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or delaying the need for residential aged care</a:t>
            </a:r>
            <a:br>
              <a:rPr lang="en-GB" sz="1050"/>
            </a:br>
            <a:r>
              <a:rPr lang="en-GB" sz="1050" b="0" i="0" u="none" strike="noStrike" baseline="0">
                <a:effectLst/>
              </a:rPr>
              <a:t>(pre-survey)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'Pre-survey'!$A$18</c:f>
              <c:strCache>
                <c:ptCount val="1"/>
                <c:pt idx="0">
                  <c:v>Reducing or delaying the need for residential aged care</c:v>
                </c:pt>
              </c:strCache>
              <c:extLst xmlns:c15="http://schemas.microsoft.com/office/drawing/2012/chart"/>
            </c:strRef>
          </c:tx>
          <c:spPr>
            <a:solidFill>
              <a:schemeClr val="accent6"/>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FE12-4C97-9780-721F7AAED55D}"/>
                </c:ext>
              </c:extLst>
            </c:dLbl>
            <c:dLbl>
              <c:idx val="6"/>
              <c:delete val="1"/>
              <c:extLst>
                <c:ext xmlns:c15="http://schemas.microsoft.com/office/drawing/2012/chart" uri="{CE6537A1-D6FC-4f65-9D91-7224C49458BB}"/>
                <c:ext xmlns:c16="http://schemas.microsoft.com/office/drawing/2014/chart" uri="{C3380CC4-5D6E-409C-BE32-E72D297353CC}">
                  <c16:uniqueId val="{00000001-FE12-4C97-9780-721F7AAED55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'Pre-survey'!$B$18:$H$18</c:f>
              <c:numCache>
                <c:formatCode>General</c:formatCode>
                <c:ptCount val="7"/>
                <c:pt idx="0">
                  <c:v>5</c:v>
                </c:pt>
                <c:pt idx="1">
                  <c:v>1</c:v>
                </c:pt>
                <c:pt idx="2">
                  <c:v>1</c:v>
                </c:pt>
                <c:pt idx="3">
                  <c:v>1</c:v>
                </c:pt>
                <c:pt idx="4">
                  <c:v>1</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4-1DC5-4463-9C34-1C98DF6EAFB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'Pre-survey'!$A$13</c15:sqref>
                        </c15:formulaRef>
                      </c:ext>
                    </c:extLst>
                    <c:strCache>
                      <c:ptCount val="1"/>
                      <c:pt idx="0">
                        <c:v>Reducing the hours required for paid carer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'Pre-survey'!$B$13:$H$13</c15:sqref>
                        </c15:formulaRef>
                      </c:ext>
                    </c:extLst>
                    <c:numCache>
                      <c:formatCode>General</c:formatCode>
                      <c:ptCount val="7"/>
                      <c:pt idx="0">
                        <c:v>5</c:v>
                      </c:pt>
                      <c:pt idx="1">
                        <c:v>2</c:v>
                      </c:pt>
                      <c:pt idx="2">
                        <c:v>2</c:v>
                      </c:pt>
                      <c:pt idx="3">
                        <c:v>0</c:v>
                      </c:pt>
                      <c:pt idx="4">
                        <c:v>0</c:v>
                      </c:pt>
                      <c:pt idx="5">
                        <c:v>0</c:v>
                      </c:pt>
                      <c:pt idx="6">
                        <c:v>0</c:v>
                      </c:pt>
                    </c:numCache>
                  </c:numRef>
                </c:val>
                <c:extLst>
                  <c:ext xmlns:c16="http://schemas.microsoft.com/office/drawing/2014/chart" uri="{C3380CC4-5D6E-409C-BE32-E72D297353CC}">
                    <c16:uniqueId val="{00000005-1DC5-4463-9C34-1C98DF6EAFB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2">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1DC5-4463-9C34-1C98DF6EAF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'Pre-survey'!$B$14:$H$14</c15:sqref>
                        </c15:formulaRef>
                      </c:ext>
                    </c:extLst>
                    <c:numCache>
                      <c:formatCode>General</c:formatCode>
                      <c:ptCount val="7"/>
                      <c:pt idx="0">
                        <c:v>5</c:v>
                      </c:pt>
                      <c:pt idx="1">
                        <c:v>1</c:v>
                      </c:pt>
                      <c:pt idx="2">
                        <c:v>3</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1DC5-4463-9C34-1C98DF6EAFB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'Pre-survey'!$A$15</c15:sqref>
                        </c15:formulaRef>
                      </c:ext>
                    </c:extLst>
                    <c:strCache>
                      <c:ptCount val="1"/>
                      <c:pt idx="0">
                        <c:v>Reducing the number of GP visits</c:v>
                      </c:pt>
                    </c:strCache>
                  </c:strRef>
                </c:tx>
                <c:spPr>
                  <a:solidFill>
                    <a:schemeClr val="accent3"/>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1DC5-4463-9C34-1C98DF6EAFB2}"/>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1DC5-4463-9C34-1C98DF6EAF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'Pre-survey'!$B$15:$H$15</c15:sqref>
                        </c15:formulaRef>
                      </c:ext>
                    </c:extLst>
                    <c:numCache>
                      <c:formatCode>General</c:formatCode>
                      <c:ptCount val="7"/>
                      <c:pt idx="0">
                        <c:v>2</c:v>
                      </c:pt>
                      <c:pt idx="1">
                        <c:v>2</c:v>
                      </c:pt>
                      <c:pt idx="2">
                        <c:v>3</c:v>
                      </c:pt>
                      <c:pt idx="3">
                        <c:v>1</c:v>
                      </c:pt>
                      <c:pt idx="4">
                        <c:v>0</c:v>
                      </c:pt>
                      <c:pt idx="5">
                        <c:v>1</c:v>
                      </c:pt>
                      <c:pt idx="6">
                        <c:v>0</c:v>
                      </c:pt>
                    </c:numCache>
                  </c:numRef>
                </c:val>
                <c:extLst xmlns:c15="http://schemas.microsoft.com/office/drawing/2012/chart">
                  <c:ext xmlns:c16="http://schemas.microsoft.com/office/drawing/2014/chart" uri="{C3380CC4-5D6E-409C-BE32-E72D297353CC}">
                    <c16:uniqueId val="{0000000A-1DC5-4463-9C34-1C98DF6EAFB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'Pre-survey'!$B$16:$H$16</c15:sqref>
                        </c15:formulaRef>
                      </c:ext>
                    </c:extLst>
                    <c:numCache>
                      <c:formatCode>General</c:formatCode>
                      <c:ptCount val="7"/>
                      <c:pt idx="0">
                        <c:v>3</c:v>
                      </c:pt>
                      <c:pt idx="1">
                        <c:v>3</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B-1DC5-4463-9C34-1C98DF6EAFB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'Pre-survey'!$A$17</c15:sqref>
                        </c15:formulaRef>
                      </c:ext>
                    </c:extLst>
                    <c:strCache>
                      <c:ptCount val="1"/>
                      <c:pt idx="0">
                        <c:v>Reducing days spent in respite care</c:v>
                      </c:pt>
                    </c:strCache>
                  </c:strRef>
                </c:tx>
                <c:spPr>
                  <a:solidFill>
                    <a:schemeClr val="accent5"/>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1DC5-4463-9C34-1C98DF6EAF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'Pre-survey'!$B$17:$H$17</c15:sqref>
                        </c15:formulaRef>
                      </c:ext>
                    </c:extLst>
                    <c:numCache>
                      <c:formatCode>General</c:formatCode>
                      <c:ptCount val="7"/>
                      <c:pt idx="0">
                        <c:v>2</c:v>
                      </c:pt>
                      <c:pt idx="1">
                        <c:v>2</c:v>
                      </c:pt>
                      <c:pt idx="2">
                        <c:v>2</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D-1DC5-4463-9C34-1C98DF6EAFB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Reducing or delaying the need for residential aged care</a:t>
            </a:r>
            <a:br>
              <a:rPr lang="en-GB" sz="1050"/>
            </a:br>
            <a:r>
              <a:rPr lang="en-GB" sz="1050" b="0"/>
              <a:t>(p</a:t>
            </a:r>
            <a:r>
              <a:rPr lang="en-GB" sz="1050" b="0" i="0" u="none" strike="noStrike" baseline="0">
                <a:effectLst/>
              </a:rPr>
              <a:t>ost-survey)</a:t>
            </a:r>
            <a:endParaRPr lang="en-GB" sz="1050" b="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'Post-survey'!$A$18</c:f>
              <c:strCache>
                <c:ptCount val="1"/>
                <c:pt idx="0">
                  <c:v>Reducing or delaying the need for residential aged care</c:v>
                </c:pt>
              </c:strCache>
              <c:extLst xmlns:c15="http://schemas.microsoft.com/office/drawing/2012/chart"/>
            </c:strRef>
          </c:tx>
          <c:spPr>
            <a:solidFill>
              <a:schemeClr val="accent6"/>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9B32-4498-995A-93379600750C}"/>
                </c:ext>
              </c:extLst>
            </c:dLbl>
            <c:dLbl>
              <c:idx val="5"/>
              <c:delete val="1"/>
              <c:extLst>
                <c:ext xmlns:c15="http://schemas.microsoft.com/office/drawing/2012/chart" uri="{CE6537A1-D6FC-4f65-9D91-7224C49458BB}"/>
                <c:ext xmlns:c16="http://schemas.microsoft.com/office/drawing/2014/chart" uri="{C3380CC4-5D6E-409C-BE32-E72D297353CC}">
                  <c16:uniqueId val="{00000001-9B32-4498-995A-93379600750C}"/>
                </c:ext>
              </c:extLst>
            </c:dLbl>
            <c:dLbl>
              <c:idx val="6"/>
              <c:delete val="1"/>
              <c:extLst>
                <c:ext xmlns:c15="http://schemas.microsoft.com/office/drawing/2012/chart" uri="{CE6537A1-D6FC-4f65-9D91-7224C49458BB}"/>
                <c:ext xmlns:c16="http://schemas.microsoft.com/office/drawing/2014/chart" uri="{C3380CC4-5D6E-409C-BE32-E72D297353CC}">
                  <c16:uniqueId val="{00000002-9B32-4498-995A-9337960075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'Post-survey'!$B$12:$H$12</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'Post-survey'!$B$18:$H$18</c:f>
              <c:numCache>
                <c:formatCode>General</c:formatCode>
                <c:ptCount val="7"/>
                <c:pt idx="0">
                  <c:v>6</c:v>
                </c:pt>
                <c:pt idx="1">
                  <c:v>1</c:v>
                </c:pt>
                <c:pt idx="2">
                  <c:v>1</c:v>
                </c:pt>
                <c:pt idx="3">
                  <c:v>1</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3-45DF-43D0-9642-A65A56AE2195}"/>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'Post-survey'!$A$13</c15:sqref>
                        </c15:formulaRef>
                      </c:ext>
                    </c:extLst>
                    <c:strCache>
                      <c:ptCount val="1"/>
                      <c:pt idx="0">
                        <c:v>Reducing the hours required for paid carer support</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4-45DF-43D0-9642-A65A56AE21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'Post-survey'!$B$13:$H$13</c15:sqref>
                        </c15:formulaRef>
                      </c:ext>
                    </c:extLst>
                    <c:numCache>
                      <c:formatCode>General</c:formatCode>
                      <c:ptCount val="7"/>
                      <c:pt idx="0">
                        <c:v>4</c:v>
                      </c:pt>
                      <c:pt idx="1">
                        <c:v>3</c:v>
                      </c:pt>
                      <c:pt idx="2">
                        <c:v>2</c:v>
                      </c:pt>
                      <c:pt idx="3">
                        <c:v>0</c:v>
                      </c:pt>
                      <c:pt idx="4">
                        <c:v>0</c:v>
                      </c:pt>
                      <c:pt idx="5">
                        <c:v>0</c:v>
                      </c:pt>
                      <c:pt idx="6">
                        <c:v>0</c:v>
                      </c:pt>
                    </c:numCache>
                  </c:numRef>
                </c:val>
                <c:extLst>
                  <c:ext xmlns:c16="http://schemas.microsoft.com/office/drawing/2014/chart" uri="{C3380CC4-5D6E-409C-BE32-E72D297353CC}">
                    <c16:uniqueId val="{00000005-45DF-43D0-9642-A65A56AE219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'Post-survey'!$A$14</c15:sqref>
                        </c15:formulaRef>
                      </c:ext>
                    </c:extLst>
                    <c:strCache>
                      <c:ptCount val="1"/>
                      <c:pt idx="0">
                        <c:v>Reducing the hours required for paid formal care and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'Post-survey'!$B$14:$H$14</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6-45DF-43D0-9642-A65A56AE219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'Post-survey'!$A$15</c15:sqref>
                        </c15:formulaRef>
                      </c:ext>
                    </c:extLst>
                    <c:strCache>
                      <c:ptCount val="1"/>
                      <c:pt idx="0">
                        <c:v>Reducing the number of GP visits</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45DF-43D0-9642-A65A56AE2195}"/>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3">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45DF-43D0-9642-A65A56AE21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'Post-survey'!$B$15:$H$15</c15:sqref>
                        </c15:formulaRef>
                      </c:ext>
                    </c:extLst>
                    <c:numCache>
                      <c:formatCode>General</c:formatCode>
                      <c:ptCount val="7"/>
                      <c:pt idx="0">
                        <c:v>1</c:v>
                      </c:pt>
                      <c:pt idx="1">
                        <c:v>3</c:v>
                      </c:pt>
                      <c:pt idx="2">
                        <c:v>1</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9-45DF-43D0-9642-A65A56AE219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'Post-survey'!$A$16</c15:sqref>
                        </c15:formulaRef>
                      </c:ext>
                    </c:extLst>
                    <c:strCache>
                      <c:ptCount val="1"/>
                      <c:pt idx="0">
                        <c:v>Reducing the number of hospital admissions through the emergency department</c:v>
                      </c:pt>
                    </c:strCache>
                  </c:strRef>
                </c:tx>
                <c:spPr>
                  <a:solidFill>
                    <a:schemeClr val="accent4"/>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45DF-43D0-9642-A65A56AE21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'Post-survey'!$B$16:$H$16</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B-45DF-43D0-9642-A65A56AE219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'Post-survey'!$A$17</c15:sqref>
                        </c15:formulaRef>
                      </c:ext>
                    </c:extLst>
                    <c:strCache>
                      <c:ptCount val="1"/>
                      <c:pt idx="0">
                        <c:v>Reducing days spent in respite care</c:v>
                      </c:pt>
                    </c:strCache>
                  </c:strRef>
                </c:tx>
                <c:spPr>
                  <a:solidFill>
                    <a:schemeClr val="accent5"/>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lumMod val="75000"/>
                              </a:schemeClr>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45DF-43D0-9642-A65A56AE21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'Post-survey'!$B$12:$H$12</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'Post-survey'!$B$17:$H$17</c15:sqref>
                        </c15:formulaRef>
                      </c:ext>
                    </c:extLst>
                    <c:numCache>
                      <c:formatCode>General</c:formatCode>
                      <c:ptCount val="7"/>
                      <c:pt idx="0">
                        <c:v>2</c:v>
                      </c:pt>
                      <c:pt idx="1">
                        <c:v>3</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D-45DF-43D0-9642-A65A56AE2195}"/>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'Mrs A'!$A$2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40-449E-8950-996B46118174}"/>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40-449E-8950-996B4611817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A'!$B$2:$H$2</c:f>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0-E340-449E-8950-996B46118174}"/>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'Mrs A'!$A$3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A'!$B$3:$H$3</c15:sqref>
                        </c15:formulaRef>
                      </c:ext>
                    </c:extLst>
                    <c:numCache>
                      <c:formatCode>General</c:formatCode>
                      <c:ptCount val="7"/>
                      <c:pt idx="0">
                        <c:v>4</c:v>
                      </c:pt>
                      <c:pt idx="1">
                        <c:v>4</c:v>
                      </c:pt>
                      <c:pt idx="2">
                        <c:v>1</c:v>
                      </c:pt>
                      <c:pt idx="3">
                        <c:v>0</c:v>
                      </c:pt>
                      <c:pt idx="4">
                        <c:v>0</c:v>
                      </c:pt>
                      <c:pt idx="5">
                        <c:v>0</c:v>
                      </c:pt>
                      <c:pt idx="6">
                        <c:v>0</c:v>
                      </c:pt>
                    </c:numCache>
                  </c:numRef>
                </c:val>
                <c:extLst>
                  <c:ext xmlns:c16="http://schemas.microsoft.com/office/drawing/2014/chart" uri="{C3380CC4-5D6E-409C-BE32-E72D297353CC}">
                    <c16:uniqueId val="{00000001-E340-449E-8950-996B4611817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A'!$B$4:$H$4</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2-E340-449E-8950-996B4611817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A'!$B$5:$H$5</c15:sqref>
                        </c15:formulaRef>
                      </c:ext>
                    </c:extLst>
                    <c:numCache>
                      <c:formatCode>General</c:formatCode>
                      <c:ptCount val="7"/>
                      <c:pt idx="0">
                        <c:v>1</c:v>
                      </c:pt>
                      <c:pt idx="1">
                        <c:v>2</c:v>
                      </c:pt>
                      <c:pt idx="2">
                        <c:v>2</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3-E340-449E-8950-996B4611817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A'!$B$6:$H$6</c15:sqref>
                        </c15:formulaRef>
                      </c:ext>
                    </c:extLst>
                    <c:numCache>
                      <c:formatCode>General</c:formatCode>
                      <c:ptCount val="7"/>
                      <c:pt idx="0">
                        <c:v>1</c:v>
                      </c:pt>
                      <c:pt idx="1">
                        <c:v>3</c:v>
                      </c:pt>
                      <c:pt idx="2">
                        <c:v>1</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4-E340-449E-8950-996B4611817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A'!$B$7:$H$7</c15:sqref>
                        </c15:formulaRef>
                      </c:ext>
                    </c:extLst>
                    <c:numCache>
                      <c:formatCode>General</c:formatCode>
                      <c:ptCount val="7"/>
                      <c:pt idx="0">
                        <c:v>2</c:v>
                      </c:pt>
                      <c:pt idx="1">
                        <c:v>3</c:v>
                      </c:pt>
                      <c:pt idx="2">
                        <c:v>0</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5-E340-449E-8950-996B4611817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A'!$B$8:$H$8</c15:sqref>
                        </c15:formulaRef>
                      </c:ext>
                    </c:extLst>
                    <c:numCache>
                      <c:formatCode>General</c:formatCode>
                      <c:ptCount val="7"/>
                      <c:pt idx="0">
                        <c:v>2</c:v>
                      </c:pt>
                      <c:pt idx="1">
                        <c:v>2</c:v>
                      </c:pt>
                      <c:pt idx="2">
                        <c:v>4</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6-E340-449E-8950-996B4611817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Improved user wellbeing</a:t>
            </a:r>
            <a:r>
              <a:rPr lang="en-GB" sz="1100" b="1" i="0" u="none" strike="noStrike" baseline="0">
                <a:effectLst/>
              </a:rPr>
              <a:t/>
            </a:r>
            <a:br>
              <a:rPr lang="en-GB" sz="1100" b="1" i="0" u="none" strike="noStrike" baseline="0">
                <a:effectLst/>
              </a:rPr>
            </a:br>
            <a:r>
              <a:rPr lang="en-GB" sz="1100" b="0" i="0" u="none" strike="noStrike" baseline="0">
                <a:effectLst/>
              </a:rPr>
              <a:t>(pre-survey)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'Pre-survey'!$A$2</c:f>
              <c:strCache>
                <c:ptCount val="1"/>
                <c:pt idx="0">
                  <c:v>Improved user wellbeing</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32-4495-8F79-EE1E49A93FF4}"/>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2-4495-8F79-EE1E49A93FF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'Pre-survey'!$B$2:$H$2</c:f>
              <c:numCache>
                <c:formatCode>General</c:formatCode>
                <c:ptCount val="7"/>
                <c:pt idx="0">
                  <c:v>8</c:v>
                </c:pt>
                <c:pt idx="1">
                  <c:v>1</c:v>
                </c:pt>
                <c:pt idx="2">
                  <c:v>0</c:v>
                </c:pt>
                <c:pt idx="3">
                  <c:v>0</c:v>
                </c:pt>
                <c:pt idx="4">
                  <c:v>0</c:v>
                </c:pt>
                <c:pt idx="5">
                  <c:v>0</c:v>
                </c:pt>
                <c:pt idx="6">
                  <c:v>0</c:v>
                </c:pt>
              </c:numCache>
            </c:numRef>
          </c:val>
          <c:extLst>
            <c:ext xmlns:c16="http://schemas.microsoft.com/office/drawing/2014/chart" uri="{C3380CC4-5D6E-409C-BE32-E72D297353CC}">
              <c16:uniqueId val="{00000002-1C32-4495-8F79-EE1E49A93FF4}"/>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1"/>
                <c:order val="1"/>
                <c:tx>
                  <c:strRef>
                    <c:extLst>
                      <c:ext uri="{02D57815-91ED-43cb-92C2-25804820EDAC}">
                        <c15:formulaRef>
                          <c15:sqref>'Pre-survey'!$A$3</c15:sqref>
                        </c15:formulaRef>
                      </c:ext>
                    </c:extLst>
                    <c:strCache>
                      <c:ptCount val="1"/>
                      <c:pt idx="0">
                        <c:v>Improved user independence and participation in activities in the home</c:v>
                      </c:pt>
                    </c:strCache>
                  </c:strRef>
                </c:tx>
                <c:spPr>
                  <a:solidFill>
                    <a:schemeClr val="accent2"/>
                  </a:solidFill>
                  <a:ln>
                    <a:noFill/>
                  </a:ln>
                  <a:effectLst/>
                </c:spPr>
                <c:invertIfNegative val="0"/>
                <c:cat>
                  <c:strRef>
                    <c:extLst>
                      <c:ex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'Pre-survey'!$B$3:$H$3</c15:sqref>
                        </c15:formulaRef>
                      </c:ext>
                    </c:extLst>
                    <c:numCache>
                      <c:formatCode>General</c:formatCode>
                      <c:ptCount val="7"/>
                      <c:pt idx="0">
                        <c:v>7</c:v>
                      </c:pt>
                      <c:pt idx="1">
                        <c:v>2</c:v>
                      </c:pt>
                      <c:pt idx="2">
                        <c:v>0</c:v>
                      </c:pt>
                      <c:pt idx="3">
                        <c:v>0</c:v>
                      </c:pt>
                      <c:pt idx="4">
                        <c:v>0</c:v>
                      </c:pt>
                      <c:pt idx="5">
                        <c:v>0</c:v>
                      </c:pt>
                      <c:pt idx="6">
                        <c:v>0</c:v>
                      </c:pt>
                    </c:numCache>
                  </c:numRef>
                </c:val>
                <c:extLst>
                  <c:ext xmlns:c16="http://schemas.microsoft.com/office/drawing/2014/chart" uri="{C3380CC4-5D6E-409C-BE32-E72D297353CC}">
                    <c16:uniqueId val="{00000003-1C32-4495-8F79-EE1E49A93FF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'Pre-survey'!$A$4</c15:sqref>
                        </c15:formulaRef>
                      </c:ext>
                    </c:extLst>
                    <c:strCache>
                      <c:ptCount val="1"/>
                      <c:pt idx="0">
                        <c:v>Improved user independence and participation in activities in the community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'Pre-survey'!$B$4:$H$4</c15:sqref>
                        </c15:formulaRef>
                      </c:ext>
                    </c:extLst>
                    <c:numCache>
                      <c:formatCode>General</c:formatCode>
                      <c:ptCount val="7"/>
                      <c:pt idx="0">
                        <c:v>6</c:v>
                      </c:pt>
                      <c:pt idx="1">
                        <c:v>3</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1C32-4495-8F79-EE1E49A93FF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'Pre-survey'!$A$5</c15:sqref>
                        </c15:formulaRef>
                      </c:ext>
                    </c:extLst>
                    <c:strCache>
                      <c:ptCount val="1"/>
                      <c:pt idx="0">
                        <c:v>Reduced user risks</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'Pre-survey'!$B$5:$H$5</c15:sqref>
                        </c15:formulaRef>
                      </c:ext>
                    </c:extLst>
                    <c:numCache>
                      <c:formatCode>General</c:formatCode>
                      <c:ptCount val="7"/>
                      <c:pt idx="0">
                        <c:v>7</c:v>
                      </c:pt>
                      <c:pt idx="1">
                        <c:v>1</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5-1C32-4495-8F79-EE1E49A93FF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'Mrs A - post'!$A$2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CEE9-4737-9C0F-90D5D8299607}"/>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CEE9-4737-9C0F-90D5D8299607}"/>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CEE9-4737-9C0F-90D5D829960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post'!$B$2:$H$2</c:f>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1-CEE9-4737-9C0F-90D5D8299607}"/>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'Mrs A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post'!$B$3:$H$3</c15:sqref>
                        </c15:formulaRef>
                      </c:ext>
                    </c:extLst>
                    <c:numCache>
                      <c:formatCode>General</c:formatCode>
                      <c:ptCount val="7"/>
                      <c:pt idx="0">
                        <c:v>6</c:v>
                      </c:pt>
                      <c:pt idx="1">
                        <c:v>1</c:v>
                      </c:pt>
                      <c:pt idx="2">
                        <c:v>0</c:v>
                      </c:pt>
                      <c:pt idx="3">
                        <c:v>1</c:v>
                      </c:pt>
                      <c:pt idx="4">
                        <c:v>1</c:v>
                      </c:pt>
                      <c:pt idx="5">
                        <c:v>0</c:v>
                      </c:pt>
                      <c:pt idx="6">
                        <c:v>0</c:v>
                      </c:pt>
                    </c:numCache>
                  </c:numRef>
                </c:val>
                <c:extLst>
                  <c:ext xmlns:c16="http://schemas.microsoft.com/office/drawing/2014/chart" uri="{C3380CC4-5D6E-409C-BE32-E72D297353CC}">
                    <c16:uniqueId val="{00000002-CEE9-4737-9C0F-90D5D829960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post'!$B$4:$H$4</c15:sqref>
                        </c15:formulaRef>
                      </c:ext>
                    </c:extLst>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3-CEE9-4737-9C0F-90D5D829960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post'!$B$5:$H$5</c15:sqref>
                        </c15:formulaRef>
                      </c:ext>
                    </c:extLst>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4-CEE9-4737-9C0F-90D5D829960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post'!$B$6:$H$6</c15:sqref>
                        </c15:formulaRef>
                      </c:ext>
                    </c:extLst>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5-CEE9-4737-9C0F-90D5D829960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post'!$B$7:$H$7</c15:sqref>
                        </c15:formulaRef>
                      </c:ext>
                    </c:extLst>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6-CEE9-4737-9C0F-90D5D829960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post'!$B$8:$H$8</c15:sqref>
                        </c15:formulaRef>
                      </c:ext>
                    </c:extLst>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7-CEE9-4737-9C0F-90D5D829960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'Mrs A'!$A$3</c:f>
              <c:strCache>
                <c:ptCount val="1"/>
                <c:pt idx="0">
                  <c:v>Reducing the hours required for paid carer support</c:v>
                </c:pt>
              </c:strCache>
              <c:extLst xmlns:c15="http://schemas.microsoft.com/office/drawing/2012/chart"/>
            </c:strRef>
          </c:tx>
          <c:spPr>
            <a:solidFill>
              <a:srgbClr val="009DD9"/>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EBB-46F4-AA01-3C1F7320E922}"/>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BEBB-46F4-AA01-3C1F7320E922}"/>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BEBB-46F4-AA01-3C1F7320E922}"/>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BEBB-46F4-AA01-3C1F7320E92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'Mrs A'!$B$3:$H$3</c:f>
              <c:numCache>
                <c:formatCode>General</c:formatCode>
                <c:ptCount val="7"/>
                <c:pt idx="0">
                  <c:v>4</c:v>
                </c:pt>
                <c:pt idx="1">
                  <c:v>4</c:v>
                </c:pt>
                <c:pt idx="2">
                  <c:v>1</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5-BEBB-46F4-AA01-3C1F7320E92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A'!$B$2:$H$2</c15:sqref>
                        </c15:formulaRef>
                      </c:ext>
                    </c:extLst>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6-BEBB-46F4-AA01-3C1F7320E92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A'!$B$4:$H$4</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BEBB-46F4-AA01-3C1F7320E92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A'!$B$5:$H$5</c15:sqref>
                        </c15:formulaRef>
                      </c:ext>
                    </c:extLst>
                    <c:numCache>
                      <c:formatCode>General</c:formatCode>
                      <c:ptCount val="7"/>
                      <c:pt idx="0">
                        <c:v>1</c:v>
                      </c:pt>
                      <c:pt idx="1">
                        <c:v>2</c:v>
                      </c:pt>
                      <c:pt idx="2">
                        <c:v>2</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8-BEBB-46F4-AA01-3C1F7320E92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A'!$B$6:$H$6</c15:sqref>
                        </c15:formulaRef>
                      </c:ext>
                    </c:extLst>
                    <c:numCache>
                      <c:formatCode>General</c:formatCode>
                      <c:ptCount val="7"/>
                      <c:pt idx="0">
                        <c:v>1</c:v>
                      </c:pt>
                      <c:pt idx="1">
                        <c:v>3</c:v>
                      </c:pt>
                      <c:pt idx="2">
                        <c:v>1</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9-BEBB-46F4-AA01-3C1F7320E92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A'!$B$7:$H$7</c15:sqref>
                        </c15:formulaRef>
                      </c:ext>
                    </c:extLst>
                    <c:numCache>
                      <c:formatCode>General</c:formatCode>
                      <c:ptCount val="7"/>
                      <c:pt idx="0">
                        <c:v>2</c:v>
                      </c:pt>
                      <c:pt idx="1">
                        <c:v>3</c:v>
                      </c:pt>
                      <c:pt idx="2">
                        <c:v>0</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A-BEBB-46F4-AA01-3C1F7320E92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A'!$B$8:$H$8</c15:sqref>
                        </c15:formulaRef>
                      </c:ext>
                    </c:extLst>
                    <c:numCache>
                      <c:formatCode>General</c:formatCode>
                      <c:ptCount val="7"/>
                      <c:pt idx="0">
                        <c:v>2</c:v>
                      </c:pt>
                      <c:pt idx="1">
                        <c:v>2</c:v>
                      </c:pt>
                      <c:pt idx="2">
                        <c:v>4</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B-BEBB-46F4-AA01-3C1F7320E92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'Mrs A - post'!$A$3</c:f>
              <c:strCache>
                <c:ptCount val="1"/>
                <c:pt idx="0">
                  <c:v>Reducing the hours required for paid carer support</c:v>
                </c:pt>
              </c:strCache>
            </c:strRef>
          </c:tx>
          <c:spPr>
            <a:solidFill>
              <a:srgbClr val="009DD9"/>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847-4D99-9F75-1A2A7E2AE7C7}"/>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7847-4D99-9F75-1A2A7E2AE7C7}"/>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7847-4D99-9F75-1A2A7E2AE7C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post'!$B$3:$H$3</c:f>
              <c:numCache>
                <c:formatCode>General</c:formatCode>
                <c:ptCount val="7"/>
                <c:pt idx="0">
                  <c:v>6</c:v>
                </c:pt>
                <c:pt idx="1">
                  <c:v>1</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6-7847-4D99-9F75-1A2A7E2AE7C7}"/>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post'!$B$2:$H$2</c15:sqref>
                        </c15:formulaRef>
                      </c:ext>
                    </c:extLst>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7-7847-4D99-9F75-1A2A7E2AE7C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post'!$B$4:$H$4</c15:sqref>
                        </c15:formulaRef>
                      </c:ext>
                    </c:extLst>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8-7847-4D99-9F75-1A2A7E2AE7C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post'!$B$5:$H$5</c15:sqref>
                        </c15:formulaRef>
                      </c:ext>
                    </c:extLst>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9-7847-4D99-9F75-1A2A7E2AE7C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post'!$B$6:$H$6</c15:sqref>
                        </c15:formulaRef>
                      </c:ext>
                    </c:extLst>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A-7847-4D99-9F75-1A2A7E2AE7C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post'!$B$7:$H$7</c15:sqref>
                        </c15:formulaRef>
                      </c:ext>
                    </c:extLst>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B-7847-4D99-9F75-1A2A7E2AE7C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post'!$B$8:$H$8</c15:sqref>
                        </c15:formulaRef>
                      </c:ext>
                    </c:extLst>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C-7847-4D99-9F75-1A2A7E2AE7C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'Mrs A'!$A$4</c:f>
              <c:strCache>
                <c:ptCount val="1"/>
                <c:pt idx="0">
                  <c:v>Reducing the hours required for paid formal care and support</c:v>
                </c:pt>
              </c:strCache>
              <c:extLst xmlns:c15="http://schemas.microsoft.com/office/drawing/2012/chart"/>
            </c:strRef>
          </c:tx>
          <c:spPr>
            <a:solidFill>
              <a:srgbClr val="0BD0D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420B-47D2-8837-6F06B79EA743}"/>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420B-47D2-8837-6F06B79EA743}"/>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420B-47D2-8837-6F06B79EA74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'Mrs A'!$B$4:$H$4</c:f>
              <c:numCache>
                <c:formatCode>General</c:formatCode>
                <c:ptCount val="7"/>
                <c:pt idx="0">
                  <c:v>4</c:v>
                </c:pt>
                <c:pt idx="1">
                  <c:v>4</c:v>
                </c:pt>
                <c:pt idx="2">
                  <c:v>1</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3-420B-47D2-8837-6F06B79EA743}"/>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A'!$B$2:$H$2</c15:sqref>
                        </c15:formulaRef>
                      </c:ext>
                    </c:extLst>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4-420B-47D2-8837-6F06B79EA74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A'!$B$3:$H$3</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5-420B-47D2-8837-6F06B79EA74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A'!$B$5:$H$5</c15:sqref>
                        </c15:formulaRef>
                      </c:ext>
                    </c:extLst>
                    <c:numCache>
                      <c:formatCode>General</c:formatCode>
                      <c:ptCount val="7"/>
                      <c:pt idx="0">
                        <c:v>1</c:v>
                      </c:pt>
                      <c:pt idx="1">
                        <c:v>2</c:v>
                      </c:pt>
                      <c:pt idx="2">
                        <c:v>2</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6-420B-47D2-8837-6F06B79EA74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A'!$B$6:$H$6</c15:sqref>
                        </c15:formulaRef>
                      </c:ext>
                    </c:extLst>
                    <c:numCache>
                      <c:formatCode>General</c:formatCode>
                      <c:ptCount val="7"/>
                      <c:pt idx="0">
                        <c:v>1</c:v>
                      </c:pt>
                      <c:pt idx="1">
                        <c:v>3</c:v>
                      </c:pt>
                      <c:pt idx="2">
                        <c:v>1</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7-420B-47D2-8837-6F06B79EA74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A'!$B$7:$H$7</c15:sqref>
                        </c15:formulaRef>
                      </c:ext>
                    </c:extLst>
                    <c:numCache>
                      <c:formatCode>General</c:formatCode>
                      <c:ptCount val="7"/>
                      <c:pt idx="0">
                        <c:v>2</c:v>
                      </c:pt>
                      <c:pt idx="1">
                        <c:v>3</c:v>
                      </c:pt>
                      <c:pt idx="2">
                        <c:v>0</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8-420B-47D2-8837-6F06B79EA74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A'!$B$8:$H$8</c15:sqref>
                        </c15:formulaRef>
                      </c:ext>
                    </c:extLst>
                    <c:numCache>
                      <c:formatCode>General</c:formatCode>
                      <c:ptCount val="7"/>
                      <c:pt idx="0">
                        <c:v>2</c:v>
                      </c:pt>
                      <c:pt idx="1">
                        <c:v>2</c:v>
                      </c:pt>
                      <c:pt idx="2">
                        <c:v>4</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9-420B-47D2-8837-6F06B79EA743}"/>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'Mrs A - post'!$A$4</c:f>
              <c:strCache>
                <c:ptCount val="1"/>
                <c:pt idx="0">
                  <c:v>Reducing the hours required for paid formal care and support</c:v>
                </c:pt>
              </c:strCache>
            </c:strRef>
          </c:tx>
          <c:spPr>
            <a:solidFill>
              <a:schemeClr val="accent3"/>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BAC3-4FAB-BA9A-28AF746F54BF}"/>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BAC3-4FAB-BA9A-28AF746F54BF}"/>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BAC3-4FAB-BA9A-28AF746F54B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post'!$B$4:$H$4</c:f>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5-BAC3-4FAB-BA9A-28AF746F54BF}"/>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post'!$B$2:$H$2</c15:sqref>
                        </c15:formulaRef>
                      </c:ext>
                    </c:extLst>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6-BAC3-4FAB-BA9A-28AF746F54B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post'!$B$3:$H$3</c15:sqref>
                        </c15:formulaRef>
                      </c:ext>
                    </c:extLst>
                    <c:numCache>
                      <c:formatCode>General</c:formatCode>
                      <c:ptCount val="7"/>
                      <c:pt idx="0">
                        <c:v>6</c:v>
                      </c:pt>
                      <c:pt idx="1">
                        <c:v>1</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BAC3-4FAB-BA9A-28AF746F54B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post'!$B$5:$H$5</c15:sqref>
                        </c15:formulaRef>
                      </c:ext>
                    </c:extLst>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8-BAC3-4FAB-BA9A-28AF746F54B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post'!$B$6:$H$6</c15:sqref>
                        </c15:formulaRef>
                      </c:ext>
                    </c:extLst>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9-BAC3-4FAB-BA9A-28AF746F54B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post'!$B$7:$H$7</c15:sqref>
                        </c15:formulaRef>
                      </c:ext>
                    </c:extLst>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A-BAC3-4FAB-BA9A-28AF746F54B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post'!$B$8:$H$8</c15:sqref>
                        </c15:formulaRef>
                      </c:ext>
                    </c:extLst>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B-BAC3-4FAB-BA9A-28AF746F54B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'Mrs A'!$A$5</c:f>
              <c:strCache>
                <c:ptCount val="1"/>
                <c:pt idx="0">
                  <c:v>Reducing the number of GP visits</c:v>
                </c:pt>
              </c:strCache>
              <c:extLst xmlns:c15="http://schemas.microsoft.com/office/drawing/2012/chart"/>
            </c:strRef>
          </c:tx>
          <c:spPr>
            <a:solidFill>
              <a:schemeClr val="accent4"/>
            </a:solidFill>
            <a:ln>
              <a:noFill/>
            </a:ln>
            <a:effectLst/>
          </c:spPr>
          <c:invertIfNegative val="0"/>
          <c:dLbls>
            <c:dLbl>
              <c:idx val="5"/>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D367-453B-840E-13B15A0BFAEB}"/>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D367-453B-840E-13B15A0BFAEB}"/>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'Mrs A'!$B$5:$H$5</c:f>
              <c:numCache>
                <c:formatCode>General</c:formatCode>
                <c:ptCount val="7"/>
                <c:pt idx="0">
                  <c:v>1</c:v>
                </c:pt>
                <c:pt idx="1">
                  <c:v>2</c:v>
                </c:pt>
                <c:pt idx="2">
                  <c:v>2</c:v>
                </c:pt>
                <c:pt idx="3">
                  <c:v>2</c:v>
                </c:pt>
                <c:pt idx="4">
                  <c:v>2</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3-D367-453B-840E-13B15A0BFAEB}"/>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A'!$B$2:$H$2</c15:sqref>
                        </c15:formulaRef>
                      </c:ext>
                    </c:extLst>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4-D367-453B-840E-13B15A0BFAE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A'!$B$3:$H$3</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5-D367-453B-840E-13B15A0BFAE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A'!$B$4:$H$4</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6-D367-453B-840E-13B15A0BFAE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A'!$B$6:$H$6</c15:sqref>
                        </c15:formulaRef>
                      </c:ext>
                    </c:extLst>
                    <c:numCache>
                      <c:formatCode>General</c:formatCode>
                      <c:ptCount val="7"/>
                      <c:pt idx="0">
                        <c:v>1</c:v>
                      </c:pt>
                      <c:pt idx="1">
                        <c:v>3</c:v>
                      </c:pt>
                      <c:pt idx="2">
                        <c:v>1</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7-D367-453B-840E-13B15A0BFAE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A'!$B$7:$H$7</c15:sqref>
                        </c15:formulaRef>
                      </c:ext>
                    </c:extLst>
                    <c:numCache>
                      <c:formatCode>General</c:formatCode>
                      <c:ptCount val="7"/>
                      <c:pt idx="0">
                        <c:v>2</c:v>
                      </c:pt>
                      <c:pt idx="1">
                        <c:v>3</c:v>
                      </c:pt>
                      <c:pt idx="2">
                        <c:v>0</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8-D367-453B-840E-13B15A0BFAE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A'!$B$8:$H$8</c15:sqref>
                        </c15:formulaRef>
                      </c:ext>
                    </c:extLst>
                    <c:numCache>
                      <c:formatCode>General</c:formatCode>
                      <c:ptCount val="7"/>
                      <c:pt idx="0">
                        <c:v>2</c:v>
                      </c:pt>
                      <c:pt idx="1">
                        <c:v>2</c:v>
                      </c:pt>
                      <c:pt idx="2">
                        <c:v>4</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9-D367-453B-840E-13B15A0BFAE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'Mrs A - post'!$A$5</c:f>
              <c:strCache>
                <c:ptCount val="1"/>
                <c:pt idx="0">
                  <c:v>Reducing the number of GP visits</c:v>
                </c:pt>
              </c:strCache>
            </c:strRef>
          </c:tx>
          <c:spPr>
            <a:solidFill>
              <a:srgbClr val="10CF9B"/>
            </a:solidFill>
            <a:ln>
              <a:noFill/>
            </a:ln>
            <a:effectLst/>
          </c:spPr>
          <c:invertIfNegative val="0"/>
          <c:dLbls>
            <c:dLbl>
              <c:idx val="5"/>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EAE3-4854-8991-E52637EDDE4B}"/>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EAE3-4854-8991-E52637EDDE4B}"/>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post'!$B$5:$H$5</c:f>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5-EAE3-4854-8991-E52637EDDE4B}"/>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post'!$B$2:$H$2</c15:sqref>
                        </c15:formulaRef>
                      </c:ext>
                    </c:extLst>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6-EAE3-4854-8991-E52637EDDE4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post'!$B$3:$H$3</c15:sqref>
                        </c15:formulaRef>
                      </c:ext>
                    </c:extLst>
                    <c:numCache>
                      <c:formatCode>General</c:formatCode>
                      <c:ptCount val="7"/>
                      <c:pt idx="0">
                        <c:v>6</c:v>
                      </c:pt>
                      <c:pt idx="1">
                        <c:v>1</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EAE3-4854-8991-E52637EDDE4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post'!$B$4:$H$4</c15:sqref>
                        </c15:formulaRef>
                      </c:ext>
                    </c:extLst>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8-EAE3-4854-8991-E52637EDDE4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post'!$B$6:$H$6</c15:sqref>
                        </c15:formulaRef>
                      </c:ext>
                    </c:extLst>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9-EAE3-4854-8991-E52637EDDE4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post'!$B$7:$H$7</c15:sqref>
                        </c15:formulaRef>
                      </c:ext>
                    </c:extLst>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A-EAE3-4854-8991-E52637EDDE4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post'!$B$8:$H$8</c15:sqref>
                        </c15:formulaRef>
                      </c:ext>
                    </c:extLst>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B-EAE3-4854-8991-E52637EDDE4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(pre-survey)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'Mrs A'!$A$6</c:f>
              <c:strCache>
                <c:ptCount val="1"/>
                <c:pt idx="0">
                  <c:v>Reducing the number of hospital admissions through the emergency department</c:v>
                </c:pt>
              </c:strCache>
              <c:extLst xmlns:c15="http://schemas.microsoft.com/office/drawing/2012/chart"/>
            </c:strRef>
          </c:tx>
          <c:spPr>
            <a:solidFill>
              <a:schemeClr val="accent5"/>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DB87-4548-BB49-90F14529212F}"/>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DB87-4548-BB49-90F14529212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'Mrs A'!$B$6:$H$6</c:f>
              <c:numCache>
                <c:formatCode>General</c:formatCode>
                <c:ptCount val="7"/>
                <c:pt idx="0">
                  <c:v>1</c:v>
                </c:pt>
                <c:pt idx="1">
                  <c:v>3</c:v>
                </c:pt>
                <c:pt idx="2">
                  <c:v>1</c:v>
                </c:pt>
                <c:pt idx="3">
                  <c:v>3</c:v>
                </c:pt>
                <c:pt idx="4">
                  <c:v>1</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5-DB87-4548-BB49-90F14529212F}"/>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A'!$B$2:$H$2</c15:sqref>
                        </c15:formulaRef>
                      </c:ext>
                    </c:extLst>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6-DB87-4548-BB49-90F14529212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A'!$B$3:$H$3</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DB87-4548-BB49-90F14529212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A'!$B$4:$H$4</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8-DB87-4548-BB49-90F14529212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A'!$B$5:$H$5</c15:sqref>
                        </c15:formulaRef>
                      </c:ext>
                    </c:extLst>
                    <c:numCache>
                      <c:formatCode>General</c:formatCode>
                      <c:ptCount val="7"/>
                      <c:pt idx="0">
                        <c:v>1</c:v>
                      </c:pt>
                      <c:pt idx="1">
                        <c:v>2</c:v>
                      </c:pt>
                      <c:pt idx="2">
                        <c:v>2</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9-DB87-4548-BB49-90F14529212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A'!$B$7:$H$7</c15:sqref>
                        </c15:formulaRef>
                      </c:ext>
                    </c:extLst>
                    <c:numCache>
                      <c:formatCode>General</c:formatCode>
                      <c:ptCount val="7"/>
                      <c:pt idx="0">
                        <c:v>2</c:v>
                      </c:pt>
                      <c:pt idx="1">
                        <c:v>3</c:v>
                      </c:pt>
                      <c:pt idx="2">
                        <c:v>0</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A-DB87-4548-BB49-90F14529212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A'!$B$8:$H$8</c15:sqref>
                        </c15:formulaRef>
                      </c:ext>
                    </c:extLst>
                    <c:numCache>
                      <c:formatCode>General</c:formatCode>
                      <c:ptCount val="7"/>
                      <c:pt idx="0">
                        <c:v>2</c:v>
                      </c:pt>
                      <c:pt idx="1">
                        <c:v>2</c:v>
                      </c:pt>
                      <c:pt idx="2">
                        <c:v>4</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B-DB87-4548-BB49-90F14529212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(post-survey)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'Mrs A - post'!$A$6</c:f>
              <c:strCache>
                <c:ptCount val="1"/>
                <c:pt idx="0">
                  <c:v>Reducing the number of hospital admissions through the emergency department</c:v>
                </c:pt>
              </c:strCache>
            </c:strRef>
          </c:tx>
          <c:spPr>
            <a:solidFill>
              <a:schemeClr val="accent5"/>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EF2D-4245-ADD6-49DB04E9DAD4}"/>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F2D-4245-ADD6-49DB04E9DAD4}"/>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EF2D-4245-ADD6-49DB04E9DAD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post'!$B$6:$H$6</c:f>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4-EF2D-4245-ADD6-49DB04E9DAD4}"/>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post'!$B$2:$H$2</c15:sqref>
                        </c15:formulaRef>
                      </c:ext>
                    </c:extLst>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5-EF2D-4245-ADD6-49DB04E9DAD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post'!$B$3:$H$3</c15:sqref>
                        </c15:formulaRef>
                      </c:ext>
                    </c:extLst>
                    <c:numCache>
                      <c:formatCode>General</c:formatCode>
                      <c:ptCount val="7"/>
                      <c:pt idx="0">
                        <c:v>6</c:v>
                      </c:pt>
                      <c:pt idx="1">
                        <c:v>1</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6-EF2D-4245-ADD6-49DB04E9DAD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post'!$B$4:$H$4</c15:sqref>
                        </c15:formulaRef>
                      </c:ext>
                    </c:extLst>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EF2D-4245-ADD6-49DB04E9DAD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post'!$B$5:$H$5</c15:sqref>
                        </c15:formulaRef>
                      </c:ext>
                    </c:extLst>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8-EF2D-4245-ADD6-49DB04E9DAD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post'!$B$7:$H$7</c15:sqref>
                        </c15:formulaRef>
                      </c:ext>
                    </c:extLst>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9-EF2D-4245-ADD6-49DB04E9DAD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post'!$B$8:$H$8</c15:sqref>
                        </c15:formulaRef>
                      </c:ext>
                    </c:extLst>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A-EF2D-4245-ADD6-49DB04E9DAD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'Mrs A'!$A$7</c:f>
              <c:strCache>
                <c:ptCount val="1"/>
                <c:pt idx="0">
                  <c:v>Reducing days spent in respite care</c:v>
                </c:pt>
              </c:strCache>
              <c:extLst xmlns:c15="http://schemas.microsoft.com/office/drawing/2012/chart"/>
            </c:strRef>
          </c:tx>
          <c:spPr>
            <a:solidFill>
              <a:schemeClr val="accent6"/>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E95-48EC-BD3F-18327847AF1F}"/>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E95-48EC-BD3F-18327847AF1F}"/>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2E95-48EC-BD3F-18327847AF1F}"/>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2E95-48EC-BD3F-18327847AF1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'Mrs A'!$B$7:$H$7</c:f>
              <c:numCache>
                <c:formatCode>General</c:formatCode>
                <c:ptCount val="7"/>
                <c:pt idx="0">
                  <c:v>2</c:v>
                </c:pt>
                <c:pt idx="1">
                  <c:v>3</c:v>
                </c:pt>
                <c:pt idx="2">
                  <c:v>0</c:v>
                </c:pt>
                <c:pt idx="3">
                  <c:v>4</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4-2E95-48EC-BD3F-18327847AF1F}"/>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A'!$B$2:$H$2</c15:sqref>
                        </c15:formulaRef>
                      </c:ext>
                    </c:extLst>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5-2E95-48EC-BD3F-18327847AF1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A'!$B$3:$H$3</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6-2E95-48EC-BD3F-18327847AF1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A'!$B$4:$H$4</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2E95-48EC-BD3F-18327847AF1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A'!$B$5:$H$5</c15:sqref>
                        </c15:formulaRef>
                      </c:ext>
                    </c:extLst>
                    <c:numCache>
                      <c:formatCode>General</c:formatCode>
                      <c:ptCount val="7"/>
                      <c:pt idx="0">
                        <c:v>1</c:v>
                      </c:pt>
                      <c:pt idx="1">
                        <c:v>2</c:v>
                      </c:pt>
                      <c:pt idx="2">
                        <c:v>2</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8-2E95-48EC-BD3F-18327847AF1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A'!$B$6:$H$6</c15:sqref>
                        </c15:formulaRef>
                      </c:ext>
                    </c:extLst>
                    <c:numCache>
                      <c:formatCode>General</c:formatCode>
                      <c:ptCount val="7"/>
                      <c:pt idx="0">
                        <c:v>1</c:v>
                      </c:pt>
                      <c:pt idx="1">
                        <c:v>3</c:v>
                      </c:pt>
                      <c:pt idx="2">
                        <c:v>1</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9-2E95-48EC-BD3F-18327847AF1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A'!$B$8:$H$8</c15:sqref>
                        </c15:formulaRef>
                      </c:ext>
                    </c:extLst>
                    <c:numCache>
                      <c:formatCode>General</c:formatCode>
                      <c:ptCount val="7"/>
                      <c:pt idx="0">
                        <c:v>2</c:v>
                      </c:pt>
                      <c:pt idx="1">
                        <c:v>2</c:v>
                      </c:pt>
                      <c:pt idx="2">
                        <c:v>4</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A-2E95-48EC-BD3F-18327847AF1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GB" sz="1050"/>
              <a:t>Improved user wellbeing</a:t>
            </a:r>
            <a:br>
              <a:rPr lang="en-GB" sz="1050"/>
            </a:br>
            <a:r>
              <a:rPr lang="en-GB" sz="1050" b="0" i="0" u="none" strike="noStrike" baseline="0">
                <a:effectLst/>
              </a:rPr>
              <a:t>(post-survey)</a:t>
            </a:r>
            <a:endParaRPr lang="en-GB" sz="1050"/>
          </a:p>
        </c:rich>
      </c:tx>
      <c:overlay val="1"/>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'Post-survey'!$A$2</c:f>
              <c:strCache>
                <c:ptCount val="1"/>
                <c:pt idx="0">
                  <c:v>Improved user wellbeing</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E97A-4C71-B885-F72A94E6892A}"/>
                </c:ext>
              </c:extLst>
            </c:dLbl>
            <c:dLbl>
              <c:idx val="3"/>
              <c:delete val="1"/>
              <c:extLst>
                <c:ext xmlns:c15="http://schemas.microsoft.com/office/drawing/2012/chart" uri="{CE6537A1-D6FC-4f65-9D91-7224C49458BB}"/>
                <c:ext xmlns:c16="http://schemas.microsoft.com/office/drawing/2014/chart" uri="{C3380CC4-5D6E-409C-BE32-E72D297353CC}">
                  <c16:uniqueId val="{00000003-E97A-4C71-B885-F72A94E6892A}"/>
                </c:ext>
              </c:extLst>
            </c:dLbl>
            <c:dLbl>
              <c:idx val="4"/>
              <c:delete val="1"/>
              <c:extLst>
                <c:ext xmlns:c15="http://schemas.microsoft.com/office/drawing/2012/chart" uri="{CE6537A1-D6FC-4f65-9D91-7224C49458BB}"/>
                <c:ext xmlns:c16="http://schemas.microsoft.com/office/drawing/2014/chart" uri="{C3380CC4-5D6E-409C-BE32-E72D297353CC}">
                  <c16:uniqueId val="{00000004-E97A-4C71-B885-F72A94E6892A}"/>
                </c:ext>
              </c:extLst>
            </c:dLbl>
            <c:dLbl>
              <c:idx val="5"/>
              <c:delete val="1"/>
              <c:extLst>
                <c:ext xmlns:c15="http://schemas.microsoft.com/office/drawing/2012/chart" uri="{CE6537A1-D6FC-4f65-9D91-7224C49458BB}"/>
                <c:ext xmlns:c16="http://schemas.microsoft.com/office/drawing/2014/chart" uri="{C3380CC4-5D6E-409C-BE32-E72D297353CC}">
                  <c16:uniqueId val="{00000005-E97A-4C71-B885-F72A94E6892A}"/>
                </c:ext>
              </c:extLst>
            </c:dLbl>
            <c:dLbl>
              <c:idx val="6"/>
              <c:delete val="1"/>
              <c:extLst>
                <c:ext xmlns:c15="http://schemas.microsoft.com/office/drawing/2012/chart" uri="{CE6537A1-D6FC-4f65-9D91-7224C49458BB}"/>
                <c:ext xmlns:c16="http://schemas.microsoft.com/office/drawing/2014/chart" uri="{C3380CC4-5D6E-409C-BE32-E72D297353CC}">
                  <c16:uniqueId val="{00000006-E97A-4C71-B885-F72A94E6892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'Post-survey'!$B$2:$H$2</c:f>
              <c:numCache>
                <c:formatCode>General</c:formatCode>
                <c:ptCount val="7"/>
                <c:pt idx="0">
                  <c:v>6</c:v>
                </c:pt>
                <c:pt idx="1">
                  <c:v>3</c:v>
                </c:pt>
                <c:pt idx="2">
                  <c:v>0</c:v>
                </c:pt>
                <c:pt idx="3">
                  <c:v>0</c:v>
                </c:pt>
                <c:pt idx="4">
                  <c:v>0</c:v>
                </c:pt>
                <c:pt idx="5">
                  <c:v>0</c:v>
                </c:pt>
                <c:pt idx="6">
                  <c:v>0</c:v>
                </c:pt>
              </c:numCache>
            </c:numRef>
          </c:val>
          <c:extLst>
            <c:ext xmlns:c16="http://schemas.microsoft.com/office/drawing/2014/chart" uri="{C3380CC4-5D6E-409C-BE32-E72D297353CC}">
              <c16:uniqueId val="{00000000-8AF5-4464-BAE8-350995A2A4DF}"/>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'Post-survey'!$A$3</c15:sqref>
                        </c15:formulaRef>
                      </c:ext>
                    </c:extLst>
                    <c:strCache>
                      <c:ptCount val="1"/>
                      <c:pt idx="0">
                        <c:v>Improved user independence and participation in activities in the home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'Post-survey'!$B$3:$H$3</c15:sqref>
                        </c15:formulaRef>
                      </c:ext>
                    </c:extLst>
                    <c:numCache>
                      <c:formatCode>General</c:formatCode>
                      <c:ptCount val="7"/>
                      <c:pt idx="0">
                        <c:v>6</c:v>
                      </c:pt>
                      <c:pt idx="1">
                        <c:v>3</c:v>
                      </c:pt>
                      <c:pt idx="2">
                        <c:v>0</c:v>
                      </c:pt>
                      <c:pt idx="3">
                        <c:v>0</c:v>
                      </c:pt>
                      <c:pt idx="4">
                        <c:v>0</c:v>
                      </c:pt>
                      <c:pt idx="5">
                        <c:v>0</c:v>
                      </c:pt>
                      <c:pt idx="6">
                        <c:v>0</c:v>
                      </c:pt>
                    </c:numCache>
                  </c:numRef>
                </c:val>
                <c:extLst>
                  <c:ext xmlns:c16="http://schemas.microsoft.com/office/drawing/2014/chart" uri="{C3380CC4-5D6E-409C-BE32-E72D297353CC}">
                    <c16:uniqueId val="{00000001-8AF5-4464-BAE8-350995A2A4D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'Post-survey'!$A$4</c15:sqref>
                        </c15:formulaRef>
                      </c:ext>
                    </c:extLst>
                    <c:strCache>
                      <c:ptCount val="1"/>
                      <c:pt idx="0">
                        <c:v>Improved user independence and participation in activities in the community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'Post-survey'!$B$4:$H$4</c15:sqref>
                        </c15:formulaRef>
                      </c:ext>
                    </c:extLst>
                    <c:numCache>
                      <c:formatCode>General</c:formatCode>
                      <c:ptCount val="7"/>
                      <c:pt idx="0">
                        <c:v>7</c:v>
                      </c:pt>
                      <c:pt idx="1">
                        <c:v>2</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2-8AF5-4464-BAE8-350995A2A4D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'Post-survey'!$A$5</c15:sqref>
                        </c15:formulaRef>
                      </c:ext>
                    </c:extLst>
                    <c:strCache>
                      <c:ptCount val="1"/>
                      <c:pt idx="0">
                        <c:v>Reduced user risks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'Post-survey'!$B$5:$H$5</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8AF5-4464-BAE8-350995A2A4D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'Mrs A - post'!$A$7</c:f>
              <c:strCache>
                <c:ptCount val="1"/>
                <c:pt idx="0">
                  <c:v>Reducing days spent in respite care</c:v>
                </c:pt>
              </c:strCache>
            </c:strRef>
          </c:tx>
          <c:spPr>
            <a:solidFill>
              <a:schemeClr val="accent6"/>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7C83-4C21-848A-100D779F1D42}"/>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C83-4C21-848A-100D779F1D42}"/>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7C83-4C21-848A-100D779F1D42}"/>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7C83-4C21-848A-100D779F1D4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post'!$B$7:$H$7</c:f>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5-7C83-4C21-848A-100D779F1D4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post'!$B$2:$H$2</c15:sqref>
                        </c15:formulaRef>
                      </c:ext>
                    </c:extLst>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6-7C83-4C21-848A-100D779F1D4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post'!$B$3:$H$3</c15:sqref>
                        </c15:formulaRef>
                      </c:ext>
                    </c:extLst>
                    <c:numCache>
                      <c:formatCode>General</c:formatCode>
                      <c:ptCount val="7"/>
                      <c:pt idx="0">
                        <c:v>6</c:v>
                      </c:pt>
                      <c:pt idx="1">
                        <c:v>1</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7C83-4C21-848A-100D779F1D4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post'!$B$4:$H$4</c15:sqref>
                        </c15:formulaRef>
                      </c:ext>
                    </c:extLst>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8-7C83-4C21-848A-100D779F1D4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post'!$B$5:$H$5</c15:sqref>
                        </c15:formulaRef>
                      </c:ext>
                    </c:extLst>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9-7C83-4C21-848A-100D779F1D4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post'!$B$6:$H$6</c15:sqref>
                        </c15:formulaRef>
                      </c:ext>
                    </c:extLst>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A-7C83-4C21-848A-100D779F1D4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'Mrs A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post'!$B$8:$H$8</c15:sqref>
                        </c15:formulaRef>
                      </c:ext>
                    </c:extLst>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B-7C83-4C21-848A-100D779F1D4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a:t>
            </a:r>
            <a:br>
              <a:rPr lang="en-GB" sz="1100"/>
            </a:br>
            <a:r>
              <a:rPr lang="en-GB" sz="1100"/>
              <a:t>residential aged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'Mrs A'!$A$8</c:f>
              <c:strCache>
                <c:ptCount val="1"/>
                <c:pt idx="0">
                  <c:v>Reducing or delaying the need for residential aged care</c:v>
                </c:pt>
              </c:strCache>
              <c:extLst xmlns:c15="http://schemas.microsoft.com/office/drawing/2012/chart"/>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E92A-4F91-979A-4BDC442108E4}"/>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E92A-4F91-979A-4BDC442108E4}"/>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E92A-4F91-979A-4BDC442108E4}"/>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E92A-4F91-979A-4BDC442108E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'Mrs A'!$B$8:$H$8</c:f>
              <c:numCache>
                <c:formatCode>General</c:formatCode>
                <c:ptCount val="7"/>
                <c:pt idx="0">
                  <c:v>2</c:v>
                </c:pt>
                <c:pt idx="1">
                  <c:v>2</c:v>
                </c:pt>
                <c:pt idx="2">
                  <c:v>4</c:v>
                </c:pt>
                <c:pt idx="3">
                  <c:v>1</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1-E92A-4F91-979A-4BDC442108E4}"/>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A'!$B$2:$H$2</c15:sqref>
                        </c15:formulaRef>
                      </c:ext>
                    </c:extLst>
                    <c:numCache>
                      <c:formatCode>General</c:formatCode>
                      <c:ptCount val="7"/>
                      <c:pt idx="0">
                        <c:v>4</c:v>
                      </c:pt>
                      <c:pt idx="1">
                        <c:v>5</c:v>
                      </c:pt>
                      <c:pt idx="2">
                        <c:v>0</c:v>
                      </c:pt>
                      <c:pt idx="3">
                        <c:v>0</c:v>
                      </c:pt>
                      <c:pt idx="4">
                        <c:v>0</c:v>
                      </c:pt>
                      <c:pt idx="5">
                        <c:v>0</c:v>
                      </c:pt>
                      <c:pt idx="6">
                        <c:v>0</c:v>
                      </c:pt>
                    </c:numCache>
                  </c:numRef>
                </c:val>
                <c:extLst>
                  <c:ext xmlns:c16="http://schemas.microsoft.com/office/drawing/2014/chart" uri="{C3380CC4-5D6E-409C-BE32-E72D297353CC}">
                    <c16:uniqueId val="{00000002-E92A-4F91-979A-4BDC442108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A'!$B$3:$H$3</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E92A-4F91-979A-4BDC442108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A'!$B$4:$H$4</c15:sqref>
                        </c15:formulaRef>
                      </c:ext>
                    </c:extLst>
                    <c:numCache>
                      <c:formatCode>General</c:formatCode>
                      <c:ptCount val="7"/>
                      <c:pt idx="0">
                        <c:v>4</c:v>
                      </c:pt>
                      <c:pt idx="1">
                        <c:v>4</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4-E92A-4F91-979A-4BDC442108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A'!$B$5:$H$5</c15:sqref>
                        </c15:formulaRef>
                      </c:ext>
                    </c:extLst>
                    <c:numCache>
                      <c:formatCode>General</c:formatCode>
                      <c:ptCount val="7"/>
                      <c:pt idx="0">
                        <c:v>1</c:v>
                      </c:pt>
                      <c:pt idx="1">
                        <c:v>2</c:v>
                      </c:pt>
                      <c:pt idx="2">
                        <c:v>2</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5-E92A-4F91-979A-4BDC442108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A'!$B$6:$H$6</c15:sqref>
                        </c15:formulaRef>
                      </c:ext>
                    </c:extLst>
                    <c:numCache>
                      <c:formatCode>General</c:formatCode>
                      <c:ptCount val="7"/>
                      <c:pt idx="0">
                        <c:v>1</c:v>
                      </c:pt>
                      <c:pt idx="1">
                        <c:v>3</c:v>
                      </c:pt>
                      <c:pt idx="2">
                        <c:v>1</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6-E92A-4F91-979A-4BDC442108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A'!$B$7:$H$7</c15:sqref>
                        </c15:formulaRef>
                      </c:ext>
                    </c:extLst>
                    <c:numCache>
                      <c:formatCode>General</c:formatCode>
                      <c:ptCount val="7"/>
                      <c:pt idx="0">
                        <c:v>2</c:v>
                      </c:pt>
                      <c:pt idx="1">
                        <c:v>3</c:v>
                      </c:pt>
                      <c:pt idx="2">
                        <c:v>0</c:v>
                      </c:pt>
                      <c:pt idx="3">
                        <c:v>4</c:v>
                      </c:pt>
                      <c:pt idx="4">
                        <c:v>0</c:v>
                      </c:pt>
                      <c:pt idx="5">
                        <c:v>0</c:v>
                      </c:pt>
                      <c:pt idx="6">
                        <c:v>0</c:v>
                      </c:pt>
                    </c:numCache>
                  </c:numRef>
                </c:val>
                <c:extLst xmlns:c15="http://schemas.microsoft.com/office/drawing/2012/chart">
                  <c:ext xmlns:c16="http://schemas.microsoft.com/office/drawing/2014/chart" uri="{C3380CC4-5D6E-409C-BE32-E72D297353CC}">
                    <c16:uniqueId val="{00000007-E92A-4F91-979A-4BDC442108E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a:t>
            </a:r>
            <a:br>
              <a:rPr lang="en-GB" sz="1100"/>
            </a:br>
            <a:r>
              <a:rPr lang="en-GB" sz="1100"/>
              <a:t>residential aged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'Mrs A - post'!$A$8</c:f>
              <c:strCache>
                <c:ptCount val="1"/>
                <c:pt idx="0">
                  <c:v>Reducing or delaying the need for residential aged care</c:v>
                </c:pt>
              </c:strCache>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FED0-4BEC-B556-0910BFA2F99C}"/>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FED0-4BEC-B556-0910BFA2F99C}"/>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FED0-4BEC-B556-0910BFA2F99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'Mrs A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'Mrs A - post'!$B$8:$H$8</c:f>
              <c:numCache>
                <c:formatCode>General</c:formatCode>
                <c:ptCount val="7"/>
                <c:pt idx="0">
                  <c:v>5</c:v>
                </c:pt>
                <c:pt idx="1">
                  <c:v>0</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1-FED0-4BEC-B556-0910BFA2F99C}"/>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'Mrs A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'Mrs A - post'!$B$2:$H$2</c15:sqref>
                        </c15:formulaRef>
                      </c:ext>
                    </c:extLst>
                    <c:numCache>
                      <c:formatCode>General</c:formatCode>
                      <c:ptCount val="7"/>
                      <c:pt idx="0">
                        <c:v>6</c:v>
                      </c:pt>
                      <c:pt idx="1">
                        <c:v>0</c:v>
                      </c:pt>
                      <c:pt idx="2">
                        <c:v>2</c:v>
                      </c:pt>
                      <c:pt idx="3">
                        <c:v>1</c:v>
                      </c:pt>
                      <c:pt idx="4">
                        <c:v>0</c:v>
                      </c:pt>
                      <c:pt idx="5">
                        <c:v>0</c:v>
                      </c:pt>
                      <c:pt idx="6">
                        <c:v>0</c:v>
                      </c:pt>
                    </c:numCache>
                  </c:numRef>
                </c:val>
                <c:extLst>
                  <c:ext xmlns:c16="http://schemas.microsoft.com/office/drawing/2014/chart" uri="{C3380CC4-5D6E-409C-BE32-E72D297353CC}">
                    <c16:uniqueId val="{00000002-FED0-4BEC-B556-0910BFA2F9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'Mrs A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post'!$B$3:$H$3</c15:sqref>
                        </c15:formulaRef>
                      </c:ext>
                    </c:extLst>
                    <c:numCache>
                      <c:formatCode>General</c:formatCode>
                      <c:ptCount val="7"/>
                      <c:pt idx="0">
                        <c:v>6</c:v>
                      </c:pt>
                      <c:pt idx="1">
                        <c:v>1</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3-FED0-4BEC-B556-0910BFA2F9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'Mrs A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post'!$B$4:$H$4</c15:sqref>
                        </c15:formulaRef>
                      </c:ext>
                    </c:extLst>
                    <c:numCache>
                      <c:formatCode>General</c:formatCode>
                      <c:ptCount val="7"/>
                      <c:pt idx="0">
                        <c:v>5</c:v>
                      </c:pt>
                      <c:pt idx="1">
                        <c:v>2</c:v>
                      </c:pt>
                      <c:pt idx="2">
                        <c:v>0</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4-FED0-4BEC-B556-0910BFA2F99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'Mrs A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post'!$B$5:$H$5</c15:sqref>
                        </c15:formulaRef>
                      </c:ext>
                    </c:extLst>
                    <c:numCache>
                      <c:formatCode>General</c:formatCode>
                      <c:ptCount val="7"/>
                      <c:pt idx="0">
                        <c:v>1</c:v>
                      </c:pt>
                      <c:pt idx="1">
                        <c:v>1</c:v>
                      </c:pt>
                      <c:pt idx="2">
                        <c:v>2</c:v>
                      </c:pt>
                      <c:pt idx="3">
                        <c:v>4</c:v>
                      </c:pt>
                      <c:pt idx="4">
                        <c:v>1</c:v>
                      </c:pt>
                      <c:pt idx="5">
                        <c:v>0</c:v>
                      </c:pt>
                      <c:pt idx="6">
                        <c:v>0</c:v>
                      </c:pt>
                    </c:numCache>
                  </c:numRef>
                </c:val>
                <c:extLst xmlns:c15="http://schemas.microsoft.com/office/drawing/2012/chart">
                  <c:ext xmlns:c16="http://schemas.microsoft.com/office/drawing/2014/chart" uri="{C3380CC4-5D6E-409C-BE32-E72D297353CC}">
                    <c16:uniqueId val="{00000005-FED0-4BEC-B556-0910BFA2F99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'Mrs A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post'!$B$6:$H$6</c15:sqref>
                        </c15:formulaRef>
                      </c:ext>
                    </c:extLst>
                    <c:numCache>
                      <c:formatCode>General</c:formatCode>
                      <c:ptCount val="7"/>
                      <c:pt idx="0">
                        <c:v>3</c:v>
                      </c:pt>
                      <c:pt idx="1">
                        <c:v>0</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6-FED0-4BEC-B556-0910BFA2F99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'Mrs A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'Mrs A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'Mrs A - post'!$B$7:$H$7</c15:sqref>
                        </c15:formulaRef>
                      </c:ext>
                    </c:extLst>
                    <c:numCache>
                      <c:formatCode>General</c:formatCode>
                      <c:ptCount val="7"/>
                      <c:pt idx="0">
                        <c:v>5</c:v>
                      </c:pt>
                      <c:pt idx="1">
                        <c:v>0</c:v>
                      </c:pt>
                      <c:pt idx="2">
                        <c:v>0</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7-FED0-4BEC-B556-0910BFA2F99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 B'!$A$2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B8DC-4247-8E64-BF778A9B2F29}"/>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B8DC-4247-8E64-BF778A9B2F29}"/>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B8DC-4247-8E64-BF778A9B2F29}"/>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B8DC-4247-8E64-BF778A9B2F2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B'!$B$2:$H$2</c:f>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1-B8DC-4247-8E64-BF778A9B2F29}"/>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'Mr B'!$A$3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B'!$B$3:$H$3</c15:sqref>
                        </c15:formulaRef>
                      </c:ext>
                    </c:extLst>
                    <c:numCache>
                      <c:formatCode>General</c:formatCode>
                      <c:ptCount val="7"/>
                      <c:pt idx="0">
                        <c:v>2</c:v>
                      </c:pt>
                      <c:pt idx="1">
                        <c:v>3</c:v>
                      </c:pt>
                      <c:pt idx="2">
                        <c:v>3</c:v>
                      </c:pt>
                      <c:pt idx="3">
                        <c:v>0</c:v>
                      </c:pt>
                      <c:pt idx="4">
                        <c:v>1</c:v>
                      </c:pt>
                      <c:pt idx="5">
                        <c:v>0</c:v>
                      </c:pt>
                      <c:pt idx="6">
                        <c:v>0</c:v>
                      </c:pt>
                    </c:numCache>
                  </c:numRef>
                </c:val>
                <c:extLst>
                  <c:ext xmlns:c16="http://schemas.microsoft.com/office/drawing/2014/chart" uri="{C3380CC4-5D6E-409C-BE32-E72D297353CC}">
                    <c16:uniqueId val="{00000002-B8DC-4247-8E64-BF778A9B2F2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B'!$B$4:$H$4</c15:sqref>
                        </c15:formulaRef>
                      </c:ext>
                    </c:extLst>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3-B8DC-4247-8E64-BF778A9B2F2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B'!$B$5:$H$5</c15:sqref>
                        </c15:formulaRef>
                      </c:ext>
                    </c:extLst>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4-B8DC-4247-8E64-BF778A9B2F2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B'!$B$6:$H$6</c15:sqref>
                        </c15:formulaRef>
                      </c:ext>
                    </c:extLst>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5-B8DC-4247-8E64-BF778A9B2F2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B'!$B$7:$H$7</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6-B8DC-4247-8E64-BF778A9B2F2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B'!$B$8:$H$8</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7-B8DC-4247-8E64-BF778A9B2F29}"/>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 B - post'!$A$2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2003-43A5-AA11-A9D0D5404A8C}"/>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2003-43A5-AA11-A9D0D5404A8C}"/>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2003-43A5-AA11-A9D0D5404A8C}"/>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003-43A5-AA11-A9D0D5404A8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post'!$B$2:$H$2</c:f>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1-2003-43A5-AA11-A9D0D5404A8C}"/>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'Mr B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post'!$B$3:$H$3</c15:sqref>
                        </c15:formulaRef>
                      </c:ext>
                    </c:extLst>
                    <c:numCache>
                      <c:formatCode>General</c:formatCode>
                      <c:ptCount val="7"/>
                      <c:pt idx="0">
                        <c:v>5</c:v>
                      </c:pt>
                      <c:pt idx="1">
                        <c:v>1</c:v>
                      </c:pt>
                      <c:pt idx="2">
                        <c:v>0</c:v>
                      </c:pt>
                      <c:pt idx="3">
                        <c:v>3</c:v>
                      </c:pt>
                      <c:pt idx="4">
                        <c:v>0</c:v>
                      </c:pt>
                      <c:pt idx="5">
                        <c:v>0</c:v>
                      </c:pt>
                      <c:pt idx="6">
                        <c:v>0</c:v>
                      </c:pt>
                    </c:numCache>
                  </c:numRef>
                </c:val>
                <c:extLst>
                  <c:ext xmlns:c16="http://schemas.microsoft.com/office/drawing/2014/chart" uri="{C3380CC4-5D6E-409C-BE32-E72D297353CC}">
                    <c16:uniqueId val="{00000002-2003-43A5-AA11-A9D0D5404A8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post'!$B$4:$H$4</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3-2003-43A5-AA11-A9D0D5404A8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post'!$B$5:$H$5</c15:sqref>
                        </c15:formulaRef>
                      </c:ext>
                    </c:extLst>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4-2003-43A5-AA11-A9D0D5404A8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post'!$B$6:$H$6</c15:sqref>
                        </c15:formulaRef>
                      </c:ext>
                    </c:extLst>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5-2003-43A5-AA11-A9D0D5404A8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post'!$B$7:$H$7</c15:sqref>
                        </c15:formulaRef>
                      </c:ext>
                    </c:extLst>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6-2003-43A5-AA11-A9D0D5404A8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post'!$B$8:$H$8</c15:sqref>
                        </c15:formulaRef>
                      </c:ext>
                    </c:extLst>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2003-43A5-AA11-A9D0D5404A8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'Mr B'!$A$3</c:f>
              <c:strCache>
                <c:ptCount val="1"/>
                <c:pt idx="0">
                  <c:v>Reducing the hours required for paid carer support</c:v>
                </c:pt>
              </c:strCache>
            </c:strRef>
          </c:tx>
          <c:spPr>
            <a:solidFill>
              <a:srgbClr val="009DD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383F-448A-A25E-880E0E20B187}"/>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383F-448A-A25E-880E0E20B187}"/>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383F-448A-A25E-880E0E20B187}"/>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383F-448A-A25E-880E0E20B18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B'!$B$3:$H$3</c:f>
              <c:numCache>
                <c:formatCode>General</c:formatCode>
                <c:ptCount val="7"/>
                <c:pt idx="0">
                  <c:v>2</c:v>
                </c:pt>
                <c:pt idx="1">
                  <c:v>3</c:v>
                </c:pt>
                <c:pt idx="2">
                  <c:v>3</c:v>
                </c:pt>
                <c:pt idx="3">
                  <c:v>0</c:v>
                </c:pt>
                <c:pt idx="4">
                  <c:v>1</c:v>
                </c:pt>
                <c:pt idx="5">
                  <c:v>0</c:v>
                </c:pt>
                <c:pt idx="6">
                  <c:v>0</c:v>
                </c:pt>
              </c:numCache>
            </c:numRef>
          </c:val>
          <c:extLst xmlns:c15="http://schemas.microsoft.com/office/drawing/2012/chart">
            <c:ext xmlns:c16="http://schemas.microsoft.com/office/drawing/2014/chart" uri="{C3380CC4-5D6E-409C-BE32-E72D297353CC}">
              <c16:uniqueId val="{00000004-383F-448A-A25E-880E0E20B187}"/>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B'!$B$2:$H$2</c15:sqref>
                        </c15:formulaRef>
                      </c:ext>
                    </c:extLst>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5-383F-448A-A25E-880E0E20B18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B'!$B$4:$H$4</c15:sqref>
                        </c15:formulaRef>
                      </c:ext>
                    </c:extLst>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6-383F-448A-A25E-880E0E20B18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B'!$B$5:$H$5</c15:sqref>
                        </c15:formulaRef>
                      </c:ext>
                    </c:extLst>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7-383F-448A-A25E-880E0E20B18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B'!$B$6:$H$6</c15:sqref>
                        </c15:formulaRef>
                      </c:ext>
                    </c:extLst>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8-383F-448A-A25E-880E0E20B18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B'!$B$7:$H$7</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9-383F-448A-A25E-880E0E20B18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B'!$B$8:$H$8</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A-383F-448A-A25E-880E0E20B18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'Mr B - post'!$A$3</c:f>
              <c:strCache>
                <c:ptCount val="1"/>
                <c:pt idx="0">
                  <c:v>Reducing the hours required for paid carer support</c:v>
                </c:pt>
              </c:strCache>
            </c:strRef>
          </c:tx>
          <c:spPr>
            <a:solidFill>
              <a:srgbClr val="009DD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3FE1-45B8-8000-6C8AB5B1FCF2}"/>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3FE1-45B8-8000-6C8AB5B1FCF2}"/>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3FE1-45B8-8000-6C8AB5B1FCF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post'!$B$3:$H$3</c:f>
              <c:numCache>
                <c:formatCode>General</c:formatCode>
                <c:ptCount val="7"/>
                <c:pt idx="0">
                  <c:v>5</c:v>
                </c:pt>
                <c:pt idx="1">
                  <c:v>1</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3-3FE1-45B8-8000-6C8AB5B1FCF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post'!$B$2:$H$2</c15:sqref>
                        </c15:formulaRef>
                      </c:ext>
                    </c:extLst>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4-3FE1-45B8-8000-6C8AB5B1FCF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post'!$B$4:$H$4</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5-3FE1-45B8-8000-6C8AB5B1FCF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post'!$B$5:$H$5</c15:sqref>
                        </c15:formulaRef>
                      </c:ext>
                    </c:extLst>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6-3FE1-45B8-8000-6C8AB5B1FCF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post'!$B$6:$H$6</c15:sqref>
                        </c15:formulaRef>
                      </c:ext>
                    </c:extLst>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3FE1-45B8-8000-6C8AB5B1FCF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post'!$B$7:$H$7</c15:sqref>
                        </c15:formulaRef>
                      </c:ext>
                    </c:extLst>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8-3FE1-45B8-8000-6C8AB5B1FCF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post'!$B$8:$H$8</c15:sqref>
                        </c15:formulaRef>
                      </c:ext>
                    </c:extLst>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3FE1-45B8-8000-6C8AB5B1FCF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'Mr B'!$A$4</c:f>
              <c:strCache>
                <c:ptCount val="1"/>
                <c:pt idx="0">
                  <c:v>Reducing the hours required for paid formal care and support</c:v>
                </c:pt>
              </c:strCache>
            </c:strRef>
          </c:tx>
          <c:spPr>
            <a:solidFill>
              <a:schemeClr val="accent3"/>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4D7-4CE0-B6D3-A120814B3873}"/>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B4D7-4CE0-B6D3-A120814B387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B'!$B$4:$H$4</c:f>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4-B4D7-4CE0-B6D3-A120814B3873}"/>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B'!$B$2:$H$2</c15:sqref>
                        </c15:formulaRef>
                      </c:ext>
                    </c:extLst>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5-B4D7-4CE0-B6D3-A120814B387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B'!$B$3:$H$3</c15:sqref>
                        </c15:formulaRef>
                      </c:ext>
                    </c:extLst>
                    <c:numCache>
                      <c:formatCode>General</c:formatCode>
                      <c:ptCount val="7"/>
                      <c:pt idx="0">
                        <c:v>2</c:v>
                      </c:pt>
                      <c:pt idx="1">
                        <c:v>3</c:v>
                      </c:pt>
                      <c:pt idx="2">
                        <c:v>3</c:v>
                      </c:pt>
                      <c:pt idx="3">
                        <c:v>0</c:v>
                      </c:pt>
                      <c:pt idx="4">
                        <c:v>1</c:v>
                      </c:pt>
                      <c:pt idx="5">
                        <c:v>0</c:v>
                      </c:pt>
                      <c:pt idx="6">
                        <c:v>0</c:v>
                      </c:pt>
                    </c:numCache>
                  </c:numRef>
                </c:val>
                <c:extLst xmlns:c15="http://schemas.microsoft.com/office/drawing/2012/chart">
                  <c:ext xmlns:c16="http://schemas.microsoft.com/office/drawing/2014/chart" uri="{C3380CC4-5D6E-409C-BE32-E72D297353CC}">
                    <c16:uniqueId val="{00000006-B4D7-4CE0-B6D3-A120814B387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B'!$B$5:$H$5</c15:sqref>
                        </c15:formulaRef>
                      </c:ext>
                    </c:extLst>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7-B4D7-4CE0-B6D3-A120814B387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B'!$B$6:$H$6</c15:sqref>
                        </c15:formulaRef>
                      </c:ext>
                    </c:extLst>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8-B4D7-4CE0-B6D3-A120814B387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B'!$B$7:$H$7</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9-B4D7-4CE0-B6D3-A120814B387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B'!$B$8:$H$8</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A-B4D7-4CE0-B6D3-A120814B3873}"/>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'Mr B - post'!$A$4</c:f>
              <c:strCache>
                <c:ptCount val="1"/>
                <c:pt idx="0">
                  <c:v>Reducing the hours required for paid formal care and support</c:v>
                </c:pt>
              </c:strCache>
            </c:strRef>
          </c:tx>
          <c:spPr>
            <a:solidFill>
              <a:schemeClr val="accent3"/>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64ED-45DA-BA02-0B95D6147025}"/>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64ED-45DA-BA02-0B95D6147025}"/>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64ED-45DA-BA02-0B95D614702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post'!$B$4:$H$4</c:f>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4-64ED-45DA-BA02-0B95D6147025}"/>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post'!$B$2:$H$2</c15:sqref>
                        </c15:formulaRef>
                      </c:ext>
                    </c:extLst>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5-64ED-45DA-BA02-0B95D614702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post'!$B$3:$H$3</c15:sqref>
                        </c15:formulaRef>
                      </c:ext>
                    </c:extLst>
                    <c:numCache>
                      <c:formatCode>General</c:formatCode>
                      <c:ptCount val="7"/>
                      <c:pt idx="0">
                        <c:v>5</c:v>
                      </c:pt>
                      <c:pt idx="1">
                        <c:v>1</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64ED-45DA-BA02-0B95D614702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post'!$B$5:$H$5</c15:sqref>
                        </c15:formulaRef>
                      </c:ext>
                    </c:extLst>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7-64ED-45DA-BA02-0B95D614702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post'!$B$6:$H$6</c15:sqref>
                        </c15:formulaRef>
                      </c:ext>
                    </c:extLst>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8-64ED-45DA-BA02-0B95D614702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post'!$B$7:$H$7</c15:sqref>
                        </c15:formulaRef>
                      </c:ext>
                    </c:extLst>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64ED-45DA-BA02-0B95D614702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post'!$B$8:$H$8</c15:sqref>
                        </c15:formulaRef>
                      </c:ext>
                    </c:extLst>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A-64ED-45DA-BA02-0B95D6147025}"/>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'Mr B'!$A$5</c:f>
              <c:strCache>
                <c:ptCount val="1"/>
                <c:pt idx="0">
                  <c:v>Reducing the number of GP visits</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3A2-46D8-B99F-863CE899FFDC}"/>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3A2-46D8-B99F-863CE899FFDC}"/>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3A2-46D8-B99F-863CE899FFDC}"/>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B'!$B$5:$H$5</c:f>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4-53A2-46D8-B99F-863CE899FFDC}"/>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B'!$B$2:$H$2</c15:sqref>
                        </c15:formulaRef>
                      </c:ext>
                    </c:extLst>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5-53A2-46D8-B99F-863CE899FFD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B'!$B$3:$H$3</c15:sqref>
                        </c15:formulaRef>
                      </c:ext>
                    </c:extLst>
                    <c:numCache>
                      <c:formatCode>General</c:formatCode>
                      <c:ptCount val="7"/>
                      <c:pt idx="0">
                        <c:v>2</c:v>
                      </c:pt>
                      <c:pt idx="1">
                        <c:v>3</c:v>
                      </c:pt>
                      <c:pt idx="2">
                        <c:v>3</c:v>
                      </c:pt>
                      <c:pt idx="3">
                        <c:v>0</c:v>
                      </c:pt>
                      <c:pt idx="4">
                        <c:v>1</c:v>
                      </c:pt>
                      <c:pt idx="5">
                        <c:v>0</c:v>
                      </c:pt>
                      <c:pt idx="6">
                        <c:v>0</c:v>
                      </c:pt>
                    </c:numCache>
                  </c:numRef>
                </c:val>
                <c:extLst xmlns:c15="http://schemas.microsoft.com/office/drawing/2012/chart">
                  <c:ext xmlns:c16="http://schemas.microsoft.com/office/drawing/2014/chart" uri="{C3380CC4-5D6E-409C-BE32-E72D297353CC}">
                    <c16:uniqueId val="{00000006-53A2-46D8-B99F-863CE899FFD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B'!$B$4:$H$4</c15:sqref>
                        </c15:formulaRef>
                      </c:ext>
                    </c:extLst>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7-53A2-46D8-B99F-863CE899FF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B'!$B$6:$H$6</c15:sqref>
                        </c15:formulaRef>
                      </c:ext>
                    </c:extLst>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8-53A2-46D8-B99F-863CE899FFD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B'!$B$7:$H$7</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9-53A2-46D8-B99F-863CE899FFD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B'!$B$8:$H$8</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A-53A2-46D8-B99F-863CE899FFD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Improved user independence and participation in activities in the home</a:t>
            </a:r>
            <a:br>
              <a:rPr lang="en-GB" sz="1100"/>
            </a:br>
            <a:r>
              <a:rPr lang="en-GB" sz="1100" b="0" i="0" u="none" strike="noStrike" baseline="0">
                <a:effectLst/>
              </a:rPr>
              <a:t>(pre-survey)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'Pre-survey'!$A$3</c:f>
              <c:strCache>
                <c:ptCount val="1"/>
                <c:pt idx="0">
                  <c:v>Improved user independence and participation in activities in the home</c:v>
                </c:pt>
              </c:strCache>
              <c:extLst xmlns:c15="http://schemas.microsoft.com/office/drawing/2012/chart"/>
            </c:strRef>
          </c:tx>
          <c:spPr>
            <a:solidFill>
              <a:schemeClr val="accent2"/>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DB-44D9-8B31-6E1C4BE1F4B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DB-44D9-8B31-6E1C4BE1F4B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'Pre-survey'!$B$3:$H$3</c:f>
              <c:numCache>
                <c:formatCode>General</c:formatCode>
                <c:ptCount val="7"/>
                <c:pt idx="0">
                  <c:v>7</c:v>
                </c:pt>
                <c:pt idx="1">
                  <c:v>2</c:v>
                </c:pt>
                <c:pt idx="2">
                  <c:v>0</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2-8BDB-44D9-8B31-6E1C4BE1F4BC}"/>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'Pre-survey'!$A$2</c15:sqref>
                        </c15:formulaRef>
                      </c:ext>
                    </c:extLst>
                    <c:strCache>
                      <c:ptCount val="1"/>
                      <c:pt idx="0">
                        <c:v>Improved user wellbeing</c:v>
                      </c:pt>
                    </c:strCache>
                  </c:strRef>
                </c:tx>
                <c:spPr>
                  <a:solidFill>
                    <a:schemeClr val="accent1"/>
                  </a:solidFill>
                  <a:ln>
                    <a:noFill/>
                  </a:ln>
                  <a:effectLst/>
                </c:spPr>
                <c:invertIfNegative val="0"/>
                <c:dLbls>
                  <c:dLbl>
                    <c:idx val="0"/>
                    <c:dLblPos val="inEnd"/>
                    <c:showLegendKey val="0"/>
                    <c:showVal val="1"/>
                    <c:showCatName val="0"/>
                    <c:showSerName val="0"/>
                    <c:showPercent val="0"/>
                    <c:showBubbleSize val="0"/>
                    <c:extLst>
                      <c:ext uri="{CE6537A1-D6FC-4f65-9D91-7224C49458BB}"/>
                      <c:ext xmlns:c16="http://schemas.microsoft.com/office/drawing/2014/chart" uri="{C3380CC4-5D6E-409C-BE32-E72D297353CC}">
                        <c16:uniqueId val="{00000003-8BDB-44D9-8B31-6E1C4BE1F4BC}"/>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4-8BDB-44D9-8B31-6E1C4BE1F4B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'Pre-survey'!$B$2:$H$2</c15:sqref>
                        </c15:formulaRef>
                      </c:ext>
                    </c:extLst>
                    <c:numCache>
                      <c:formatCode>General</c:formatCode>
                      <c:ptCount val="7"/>
                      <c:pt idx="0">
                        <c:v>8</c:v>
                      </c:pt>
                      <c:pt idx="1">
                        <c:v>1</c:v>
                      </c:pt>
                      <c:pt idx="2">
                        <c:v>0</c:v>
                      </c:pt>
                      <c:pt idx="3">
                        <c:v>0</c:v>
                      </c:pt>
                      <c:pt idx="4">
                        <c:v>0</c:v>
                      </c:pt>
                      <c:pt idx="5">
                        <c:v>0</c:v>
                      </c:pt>
                      <c:pt idx="6">
                        <c:v>0</c:v>
                      </c:pt>
                    </c:numCache>
                  </c:numRef>
                </c:val>
                <c:extLst>
                  <c:ext xmlns:c16="http://schemas.microsoft.com/office/drawing/2014/chart" uri="{C3380CC4-5D6E-409C-BE32-E72D297353CC}">
                    <c16:uniqueId val="{00000005-8BDB-44D9-8B31-6E1C4BE1F4B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'Pre-survey'!$A$4</c15:sqref>
                        </c15:formulaRef>
                      </c:ext>
                    </c:extLst>
                    <c:strCache>
                      <c:ptCount val="1"/>
                      <c:pt idx="0">
                        <c:v>Improved user independence and participation in activities in the community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'Pre-survey'!$B$4:$H$4</c15:sqref>
                        </c15:formulaRef>
                      </c:ext>
                    </c:extLst>
                    <c:numCache>
                      <c:formatCode>General</c:formatCode>
                      <c:ptCount val="7"/>
                      <c:pt idx="0">
                        <c:v>6</c:v>
                      </c:pt>
                      <c:pt idx="1">
                        <c:v>3</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6-8BDB-44D9-8B31-6E1C4BE1F4B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'Pre-survey'!$A$5</c15:sqref>
                        </c15:formulaRef>
                      </c:ext>
                    </c:extLst>
                    <c:strCache>
                      <c:ptCount val="1"/>
                      <c:pt idx="0">
                        <c:v>Reduced user risks</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'Pre-survey'!$B$5:$H$5</c15:sqref>
                        </c15:formulaRef>
                      </c:ext>
                    </c:extLst>
                    <c:numCache>
                      <c:formatCode>General</c:formatCode>
                      <c:ptCount val="7"/>
                      <c:pt idx="0">
                        <c:v>7</c:v>
                      </c:pt>
                      <c:pt idx="1">
                        <c:v>1</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8BDB-44D9-8B31-6E1C4BE1F4B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'Mr B - post'!$A$5</c:f>
              <c:strCache>
                <c:ptCount val="1"/>
                <c:pt idx="0">
                  <c:v>Reducing the number of GP visits</c:v>
                </c:pt>
              </c:strCache>
            </c:strRef>
          </c:tx>
          <c:spPr>
            <a:solidFill>
              <a:schemeClr val="accent4"/>
            </a:solidFill>
            <a:ln>
              <a:noFill/>
            </a:ln>
            <a:effectLst/>
          </c:spPr>
          <c:invertIfNegative val="0"/>
          <c:dLbls>
            <c:dLbl>
              <c:idx val="5"/>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34FD-43C1-B0DA-9921667C8B59}"/>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34FD-43C1-B0DA-9921667C8B59}"/>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post'!$B$5:$H$5</c:f>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4-34FD-43C1-B0DA-9921667C8B59}"/>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post'!$B$2:$H$2</c15:sqref>
                        </c15:formulaRef>
                      </c:ext>
                    </c:extLst>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5-34FD-43C1-B0DA-9921667C8B5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post'!$B$3:$H$3</c15:sqref>
                        </c15:formulaRef>
                      </c:ext>
                    </c:extLst>
                    <c:numCache>
                      <c:formatCode>General</c:formatCode>
                      <c:ptCount val="7"/>
                      <c:pt idx="0">
                        <c:v>5</c:v>
                      </c:pt>
                      <c:pt idx="1">
                        <c:v>1</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34FD-43C1-B0DA-9921667C8B5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post'!$B$4:$H$4</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7-34FD-43C1-B0DA-9921667C8B5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post'!$B$6:$H$6</c15:sqref>
                        </c15:formulaRef>
                      </c:ext>
                    </c:extLst>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8-34FD-43C1-B0DA-9921667C8B5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post'!$B$7:$H$7</c15:sqref>
                        </c15:formulaRef>
                      </c:ext>
                    </c:extLst>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34FD-43C1-B0DA-9921667C8B5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post'!$B$8:$H$8</c15:sqref>
                        </c15:formulaRef>
                      </c:ext>
                    </c:extLst>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A-34FD-43C1-B0DA-9921667C8B59}"/>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(pre-survey)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'Mr B'!$A$6</c:f>
              <c:strCache>
                <c:ptCount val="1"/>
                <c:pt idx="0">
                  <c:v>Reducing the number of hospital admissions through the emergency department</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CA36-47E3-AD29-DFBAD448610E}"/>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CA36-47E3-AD29-DFBAD448610E}"/>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CA36-47E3-AD29-DFBAD448610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B'!$B$6:$H$6</c:f>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5-CA36-47E3-AD29-DFBAD448610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B'!$B$2:$H$2</c15:sqref>
                        </c15:formulaRef>
                      </c:ext>
                    </c:extLst>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6-CA36-47E3-AD29-DFBAD448610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B'!$B$3:$H$3</c15:sqref>
                        </c15:formulaRef>
                      </c:ext>
                    </c:extLst>
                    <c:numCache>
                      <c:formatCode>General</c:formatCode>
                      <c:ptCount val="7"/>
                      <c:pt idx="0">
                        <c:v>2</c:v>
                      </c:pt>
                      <c:pt idx="1">
                        <c:v>3</c:v>
                      </c:pt>
                      <c:pt idx="2">
                        <c:v>3</c:v>
                      </c:pt>
                      <c:pt idx="3">
                        <c:v>0</c:v>
                      </c:pt>
                      <c:pt idx="4">
                        <c:v>1</c:v>
                      </c:pt>
                      <c:pt idx="5">
                        <c:v>0</c:v>
                      </c:pt>
                      <c:pt idx="6">
                        <c:v>0</c:v>
                      </c:pt>
                    </c:numCache>
                  </c:numRef>
                </c:val>
                <c:extLst xmlns:c15="http://schemas.microsoft.com/office/drawing/2012/chart">
                  <c:ext xmlns:c16="http://schemas.microsoft.com/office/drawing/2014/chart" uri="{C3380CC4-5D6E-409C-BE32-E72D297353CC}">
                    <c16:uniqueId val="{00000007-CA36-47E3-AD29-DFBAD448610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B'!$B$4:$H$4</c15:sqref>
                        </c15:formulaRef>
                      </c:ext>
                    </c:extLst>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8-CA36-47E3-AD29-DFBAD448610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B'!$B$5:$H$5</c15:sqref>
                        </c15:formulaRef>
                      </c:ext>
                    </c:extLst>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9-CA36-47E3-AD29-DFBAD448610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B'!$B$7:$H$7</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A-CA36-47E3-AD29-DFBAD448610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B'!$B$8:$H$8</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B-CA36-47E3-AD29-DFBAD448610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(post-survey)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'Mr B - post'!$A$6</c:f>
              <c:strCache>
                <c:ptCount val="1"/>
                <c:pt idx="0">
                  <c:v>Reducing the number of hospital admissions through the emergency department</c:v>
                </c:pt>
              </c:strCache>
            </c:strRef>
          </c:tx>
          <c:spPr>
            <a:solidFill>
              <a:schemeClr val="accent5"/>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1FD-405F-9B3B-1364EF32BBD7}"/>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1FD-405F-9B3B-1364EF32BBD7}"/>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1FD-405F-9B3B-1364EF32BBD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post'!$B$6:$H$6</c:f>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4-81FD-405F-9B3B-1364EF32BBD7}"/>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post'!$B$2:$H$2</c15:sqref>
                        </c15:formulaRef>
                      </c:ext>
                    </c:extLst>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5-81FD-405F-9B3B-1364EF32BBD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post'!$B$3:$H$3</c15:sqref>
                        </c15:formulaRef>
                      </c:ext>
                    </c:extLst>
                    <c:numCache>
                      <c:formatCode>General</c:formatCode>
                      <c:ptCount val="7"/>
                      <c:pt idx="0">
                        <c:v>5</c:v>
                      </c:pt>
                      <c:pt idx="1">
                        <c:v>1</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81FD-405F-9B3B-1364EF32BBD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post'!$B$4:$H$4</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7-81FD-405F-9B3B-1364EF32BBD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post'!$B$5:$H$5</c15:sqref>
                        </c15:formulaRef>
                      </c:ext>
                    </c:extLst>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8-81FD-405F-9B3B-1364EF32BBD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post'!$B$7:$H$7</c15:sqref>
                        </c15:formulaRef>
                      </c:ext>
                    </c:extLst>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81FD-405F-9B3B-1364EF32BBD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post'!$B$8:$H$8</c15:sqref>
                        </c15:formulaRef>
                      </c:ext>
                    </c:extLst>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A-81FD-405F-9B3B-1364EF32BBD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'Mr B'!$A$7</c:f>
              <c:strCache>
                <c:ptCount val="1"/>
                <c:pt idx="0">
                  <c:v>Reducing days spent in respite care</c:v>
                </c:pt>
              </c:strCache>
            </c:strRef>
          </c:tx>
          <c:spPr>
            <a:solidFill>
              <a:schemeClr val="accent6"/>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1AD3-40ED-BE2D-62DB8E11A94B}"/>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1AD3-40ED-BE2D-62DB8E11A94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B'!$B$7:$H$7</c:f>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5-1AD3-40ED-BE2D-62DB8E11A94B}"/>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B'!$B$2:$H$2</c15:sqref>
                        </c15:formulaRef>
                      </c:ext>
                    </c:extLst>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6-1AD3-40ED-BE2D-62DB8E11A94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B'!$B$3:$H$3</c15:sqref>
                        </c15:formulaRef>
                      </c:ext>
                    </c:extLst>
                    <c:numCache>
                      <c:formatCode>General</c:formatCode>
                      <c:ptCount val="7"/>
                      <c:pt idx="0">
                        <c:v>2</c:v>
                      </c:pt>
                      <c:pt idx="1">
                        <c:v>3</c:v>
                      </c:pt>
                      <c:pt idx="2">
                        <c:v>3</c:v>
                      </c:pt>
                      <c:pt idx="3">
                        <c:v>0</c:v>
                      </c:pt>
                      <c:pt idx="4">
                        <c:v>1</c:v>
                      </c:pt>
                      <c:pt idx="5">
                        <c:v>0</c:v>
                      </c:pt>
                      <c:pt idx="6">
                        <c:v>0</c:v>
                      </c:pt>
                    </c:numCache>
                  </c:numRef>
                </c:val>
                <c:extLst xmlns:c15="http://schemas.microsoft.com/office/drawing/2012/chart">
                  <c:ext xmlns:c16="http://schemas.microsoft.com/office/drawing/2014/chart" uri="{C3380CC4-5D6E-409C-BE32-E72D297353CC}">
                    <c16:uniqueId val="{00000007-1AD3-40ED-BE2D-62DB8E11A94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B'!$B$4:$H$4</c15:sqref>
                        </c15:formulaRef>
                      </c:ext>
                    </c:extLst>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8-1AD3-40ED-BE2D-62DB8E11A94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B'!$B$5:$H$5</c15:sqref>
                        </c15:formulaRef>
                      </c:ext>
                    </c:extLst>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9-1AD3-40ED-BE2D-62DB8E11A94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B'!$B$6:$H$6</c15:sqref>
                        </c15:formulaRef>
                      </c:ext>
                    </c:extLst>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A-1AD3-40ED-BE2D-62DB8E11A94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B'!$B$8:$H$8</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B-1AD3-40ED-BE2D-62DB8E11A94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'Mr B - post'!$A$7</c:f>
              <c:strCache>
                <c:ptCount val="1"/>
                <c:pt idx="0">
                  <c:v>Reducing days spent in respite care</c:v>
                </c:pt>
              </c:strCache>
            </c:strRef>
          </c:tx>
          <c:spPr>
            <a:solidFill>
              <a:schemeClr val="accent6"/>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E50F-4DE1-92A8-3FD389D64DBD}"/>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50F-4DE1-92A8-3FD389D64DBD}"/>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E50F-4DE1-92A8-3FD389D64DB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post'!$B$7:$H$7</c:f>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3-E50F-4DE1-92A8-3FD389D64DB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post'!$B$2:$H$2</c15:sqref>
                        </c15:formulaRef>
                      </c:ext>
                    </c:extLst>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4-E50F-4DE1-92A8-3FD389D64DB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post'!$B$3:$H$3</c15:sqref>
                        </c15:formulaRef>
                      </c:ext>
                    </c:extLst>
                    <c:numCache>
                      <c:formatCode>General</c:formatCode>
                      <c:ptCount val="7"/>
                      <c:pt idx="0">
                        <c:v>5</c:v>
                      </c:pt>
                      <c:pt idx="1">
                        <c:v>1</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5-E50F-4DE1-92A8-3FD389D64DB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post'!$B$4:$H$4</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E50F-4DE1-92A8-3FD389D64DB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post'!$B$5:$H$5</c15:sqref>
                        </c15:formulaRef>
                      </c:ext>
                    </c:extLst>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7-E50F-4DE1-92A8-3FD389D64DB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post'!$B$6:$H$6</c15:sqref>
                        </c15:formulaRef>
                      </c:ext>
                    </c:extLst>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8-E50F-4DE1-92A8-3FD389D64DB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B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post'!$B$8:$H$8</c15:sqref>
                        </c15:formulaRef>
                      </c:ext>
                    </c:extLst>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E50F-4DE1-92A8-3FD389D64DB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a:t>
            </a:r>
            <a:br>
              <a:rPr lang="en-GB" sz="1100"/>
            </a:br>
            <a:r>
              <a:rPr lang="en-GB" sz="1100"/>
              <a:t>residential aged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'Mr B'!$A$8</c:f>
              <c:strCache>
                <c:ptCount val="1"/>
                <c:pt idx="0">
                  <c:v>Reducing or delaying the need for residential aged care</c:v>
                </c:pt>
              </c:strCache>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219F-43EF-B637-8CDB676EBED5}"/>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219F-43EF-B637-8CDB676EBED5}"/>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19F-43EF-B637-8CDB676EBED5}"/>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219F-43EF-B637-8CDB676EBED5}"/>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219F-43EF-B637-8CDB676EBED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B'!$B$8:$H$8</c:f>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3-219F-43EF-B637-8CDB676EBED5}"/>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B'!$B$2:$H$2</c15:sqref>
                        </c15:formulaRef>
                      </c:ext>
                    </c:extLst>
                    <c:numCache>
                      <c:formatCode>General</c:formatCode>
                      <c:ptCount val="7"/>
                      <c:pt idx="0">
                        <c:v>3</c:v>
                      </c:pt>
                      <c:pt idx="1">
                        <c:v>3</c:v>
                      </c:pt>
                      <c:pt idx="2">
                        <c:v>2</c:v>
                      </c:pt>
                      <c:pt idx="3">
                        <c:v>1</c:v>
                      </c:pt>
                      <c:pt idx="4">
                        <c:v>0</c:v>
                      </c:pt>
                      <c:pt idx="5">
                        <c:v>0</c:v>
                      </c:pt>
                      <c:pt idx="6">
                        <c:v>0</c:v>
                      </c:pt>
                    </c:numCache>
                  </c:numRef>
                </c:val>
                <c:extLst>
                  <c:ext xmlns:c16="http://schemas.microsoft.com/office/drawing/2014/chart" uri="{C3380CC4-5D6E-409C-BE32-E72D297353CC}">
                    <c16:uniqueId val="{00000004-219F-43EF-B637-8CDB676EBED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B'!$B$3:$H$3</c15:sqref>
                        </c15:formulaRef>
                      </c:ext>
                    </c:extLst>
                    <c:numCache>
                      <c:formatCode>General</c:formatCode>
                      <c:ptCount val="7"/>
                      <c:pt idx="0">
                        <c:v>2</c:v>
                      </c:pt>
                      <c:pt idx="1">
                        <c:v>3</c:v>
                      </c:pt>
                      <c:pt idx="2">
                        <c:v>3</c:v>
                      </c:pt>
                      <c:pt idx="3">
                        <c:v>0</c:v>
                      </c:pt>
                      <c:pt idx="4">
                        <c:v>1</c:v>
                      </c:pt>
                      <c:pt idx="5">
                        <c:v>0</c:v>
                      </c:pt>
                      <c:pt idx="6">
                        <c:v>0</c:v>
                      </c:pt>
                    </c:numCache>
                  </c:numRef>
                </c:val>
                <c:extLst xmlns:c15="http://schemas.microsoft.com/office/drawing/2012/chart">
                  <c:ext xmlns:c16="http://schemas.microsoft.com/office/drawing/2014/chart" uri="{C3380CC4-5D6E-409C-BE32-E72D297353CC}">
                    <c16:uniqueId val="{00000005-219F-43EF-B637-8CDB676EBED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B'!$B$4:$H$4</c15:sqref>
                        </c15:formulaRef>
                      </c:ext>
                    </c:extLst>
                    <c:numCache>
                      <c:formatCode>General</c:formatCode>
                      <c:ptCount val="7"/>
                      <c:pt idx="0">
                        <c:v>1</c:v>
                      </c:pt>
                      <c:pt idx="1">
                        <c:v>3</c:v>
                      </c:pt>
                      <c:pt idx="2">
                        <c:v>2</c:v>
                      </c:pt>
                      <c:pt idx="3">
                        <c:v>2</c:v>
                      </c:pt>
                      <c:pt idx="4">
                        <c:v>0</c:v>
                      </c:pt>
                      <c:pt idx="5">
                        <c:v>1</c:v>
                      </c:pt>
                      <c:pt idx="6">
                        <c:v>0</c:v>
                      </c:pt>
                    </c:numCache>
                  </c:numRef>
                </c:val>
                <c:extLst xmlns:c15="http://schemas.microsoft.com/office/drawing/2012/chart">
                  <c:ext xmlns:c16="http://schemas.microsoft.com/office/drawing/2014/chart" uri="{C3380CC4-5D6E-409C-BE32-E72D297353CC}">
                    <c16:uniqueId val="{00000006-219F-43EF-B637-8CDB676EBED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B'!$B$5:$H$5</c15:sqref>
                        </c15:formulaRef>
                      </c:ext>
                    </c:extLst>
                    <c:numCache>
                      <c:formatCode>General</c:formatCode>
                      <c:ptCount val="7"/>
                      <c:pt idx="0">
                        <c:v>0</c:v>
                      </c:pt>
                      <c:pt idx="1">
                        <c:v>4</c:v>
                      </c:pt>
                      <c:pt idx="2">
                        <c:v>2</c:v>
                      </c:pt>
                      <c:pt idx="3">
                        <c:v>1</c:v>
                      </c:pt>
                      <c:pt idx="4">
                        <c:v>0</c:v>
                      </c:pt>
                      <c:pt idx="5">
                        <c:v>2</c:v>
                      </c:pt>
                      <c:pt idx="6">
                        <c:v>0</c:v>
                      </c:pt>
                    </c:numCache>
                  </c:numRef>
                </c:val>
                <c:extLst xmlns:c15="http://schemas.microsoft.com/office/drawing/2012/chart">
                  <c:ext xmlns:c16="http://schemas.microsoft.com/office/drawing/2014/chart" uri="{C3380CC4-5D6E-409C-BE32-E72D297353CC}">
                    <c16:uniqueId val="{00000007-219F-43EF-B637-8CDB676EBED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B'!$B$6:$H$6</c15:sqref>
                        </c15:formulaRef>
                      </c:ext>
                    </c:extLst>
                    <c:numCache>
                      <c:formatCode>General</c:formatCode>
                      <c:ptCount val="7"/>
                      <c:pt idx="0">
                        <c:v>0</c:v>
                      </c:pt>
                      <c:pt idx="1">
                        <c:v>5</c:v>
                      </c:pt>
                      <c:pt idx="2">
                        <c:v>1</c:v>
                      </c:pt>
                      <c:pt idx="3">
                        <c:v>2</c:v>
                      </c:pt>
                      <c:pt idx="4">
                        <c:v>0</c:v>
                      </c:pt>
                      <c:pt idx="5">
                        <c:v>0</c:v>
                      </c:pt>
                      <c:pt idx="6">
                        <c:v>1</c:v>
                      </c:pt>
                    </c:numCache>
                  </c:numRef>
                </c:val>
                <c:extLst xmlns:c15="http://schemas.microsoft.com/office/drawing/2012/chart">
                  <c:ext xmlns:c16="http://schemas.microsoft.com/office/drawing/2014/chart" uri="{C3380CC4-5D6E-409C-BE32-E72D297353CC}">
                    <c16:uniqueId val="{00000008-219F-43EF-B637-8CDB676EBED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B'!$B$7:$H$7</c15:sqref>
                        </c15:formulaRef>
                      </c:ext>
                    </c:extLst>
                    <c:numCache>
                      <c:formatCode>General</c:formatCode>
                      <c:ptCount val="7"/>
                      <c:pt idx="0">
                        <c:v>1</c:v>
                      </c:pt>
                      <c:pt idx="1">
                        <c:v>4</c:v>
                      </c:pt>
                      <c:pt idx="2">
                        <c:v>1</c:v>
                      </c:pt>
                      <c:pt idx="3">
                        <c:v>2</c:v>
                      </c:pt>
                      <c:pt idx="4">
                        <c:v>1</c:v>
                      </c:pt>
                      <c:pt idx="5">
                        <c:v>0</c:v>
                      </c:pt>
                      <c:pt idx="6">
                        <c:v>0</c:v>
                      </c:pt>
                    </c:numCache>
                  </c:numRef>
                </c:val>
                <c:extLst xmlns:c15="http://schemas.microsoft.com/office/drawing/2012/chart">
                  <c:ext xmlns:c16="http://schemas.microsoft.com/office/drawing/2014/chart" uri="{C3380CC4-5D6E-409C-BE32-E72D297353CC}">
                    <c16:uniqueId val="{00000009-219F-43EF-B637-8CDB676EBED5}"/>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a:t>
            </a:r>
            <a:br>
              <a:rPr lang="en-GB" sz="1100"/>
            </a:br>
            <a:r>
              <a:rPr lang="en-GB" sz="1100"/>
              <a:t>residential aged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'Mr B - post'!$A$8</c:f>
              <c:strCache>
                <c:ptCount val="1"/>
                <c:pt idx="0">
                  <c:v>Reducing or delaying the need for residential aged care</c:v>
                </c:pt>
              </c:strCache>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0C2B-47A3-9C0F-F8D10237D7DC}"/>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0C2B-47A3-9C0F-F8D10237D7DC}"/>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C2B-47A3-9C0F-F8D10237D7DC}"/>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C2B-47A3-9C0F-F8D10237D7D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B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B - post'!$B$8:$H$8</c:f>
              <c:numCache>
                <c:formatCode>General</c:formatCode>
                <c:ptCount val="7"/>
                <c:pt idx="0">
                  <c:v>5</c:v>
                </c:pt>
                <c:pt idx="1">
                  <c:v>1</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2-0C2B-47A3-9C0F-F8D10237D7DC}"/>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B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B - post'!$B$2:$H$2</c15:sqref>
                        </c15:formulaRef>
                      </c:ext>
                    </c:extLst>
                    <c:numCache>
                      <c:formatCode>General</c:formatCode>
                      <c:ptCount val="7"/>
                      <c:pt idx="0">
                        <c:v>4</c:v>
                      </c:pt>
                      <c:pt idx="1">
                        <c:v>2</c:v>
                      </c:pt>
                      <c:pt idx="2">
                        <c:v>2</c:v>
                      </c:pt>
                      <c:pt idx="3">
                        <c:v>1</c:v>
                      </c:pt>
                      <c:pt idx="4">
                        <c:v>0</c:v>
                      </c:pt>
                      <c:pt idx="5">
                        <c:v>0</c:v>
                      </c:pt>
                      <c:pt idx="6">
                        <c:v>0</c:v>
                      </c:pt>
                    </c:numCache>
                  </c:numRef>
                </c:val>
                <c:extLst>
                  <c:ext xmlns:c16="http://schemas.microsoft.com/office/drawing/2014/chart" uri="{C3380CC4-5D6E-409C-BE32-E72D297353CC}">
                    <c16:uniqueId val="{00000003-0C2B-47A3-9C0F-F8D10237D7D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B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post'!$B$3:$H$3</c15:sqref>
                        </c15:formulaRef>
                      </c:ext>
                    </c:extLst>
                    <c:numCache>
                      <c:formatCode>General</c:formatCode>
                      <c:ptCount val="7"/>
                      <c:pt idx="0">
                        <c:v>5</c:v>
                      </c:pt>
                      <c:pt idx="1">
                        <c:v>1</c:v>
                      </c:pt>
                      <c:pt idx="2">
                        <c:v>0</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4-0C2B-47A3-9C0F-F8D10237D7D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B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post'!$B$4:$H$4</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5-0C2B-47A3-9C0F-F8D10237D7D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B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post'!$B$5:$H$5</c15:sqref>
                        </c15:formulaRef>
                      </c:ext>
                    </c:extLst>
                    <c:numCache>
                      <c:formatCode>General</c:formatCode>
                      <c:ptCount val="7"/>
                      <c:pt idx="0">
                        <c:v>1</c:v>
                      </c:pt>
                      <c:pt idx="1">
                        <c:v>2</c:v>
                      </c:pt>
                      <c:pt idx="2">
                        <c:v>2</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6-0C2B-47A3-9C0F-F8D10237D7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B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post'!$B$6:$H$6</c15:sqref>
                        </c15:formulaRef>
                      </c:ext>
                    </c:extLst>
                    <c:numCache>
                      <c:formatCode>General</c:formatCode>
                      <c:ptCount val="7"/>
                      <c:pt idx="0">
                        <c:v>4</c:v>
                      </c:pt>
                      <c:pt idx="1">
                        <c:v>2</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0C2B-47A3-9C0F-F8D10237D7D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B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B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B - post'!$B$7:$H$7</c15:sqref>
                        </c15:formulaRef>
                      </c:ext>
                    </c:extLst>
                    <c:numCache>
                      <c:formatCode>General</c:formatCode>
                      <c:ptCount val="7"/>
                      <c:pt idx="0">
                        <c:v>3</c:v>
                      </c:pt>
                      <c:pt idx="1">
                        <c:v>2</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8-0C2B-47A3-9C0F-F8D10237D7D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'Ms C'!$A$2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0C7E-4B18-8663-E9D2C54E67DB}"/>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C7E-4B18-8663-E9D2C54E67DB}"/>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0C7E-4B18-8663-E9D2C54E67DB}"/>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C7E-4B18-8663-E9D2C54E67D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C'!$B$2:$H$2</c:f>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2-0C7E-4B18-8663-E9D2C54E67DB}"/>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'Ms C'!$A$3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C'!$B$3:$H$3</c15:sqref>
                        </c15:formulaRef>
                      </c:ext>
                    </c:extLst>
                    <c:numCache>
                      <c:formatCode>General</c:formatCode>
                      <c:ptCount val="7"/>
                      <c:pt idx="0">
                        <c:v>4</c:v>
                      </c:pt>
                      <c:pt idx="1">
                        <c:v>3</c:v>
                      </c:pt>
                      <c:pt idx="2">
                        <c:v>0</c:v>
                      </c:pt>
                      <c:pt idx="3">
                        <c:v>2</c:v>
                      </c:pt>
                      <c:pt idx="4">
                        <c:v>0</c:v>
                      </c:pt>
                      <c:pt idx="5">
                        <c:v>0</c:v>
                      </c:pt>
                      <c:pt idx="6">
                        <c:v>0</c:v>
                      </c:pt>
                    </c:numCache>
                  </c:numRef>
                </c:val>
                <c:extLst>
                  <c:ext xmlns:c16="http://schemas.microsoft.com/office/drawing/2014/chart" uri="{C3380CC4-5D6E-409C-BE32-E72D297353CC}">
                    <c16:uniqueId val="{00000003-0C7E-4B18-8663-E9D2C54E67D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C'!$B$4:$H$4</c15:sqref>
                        </c15:formulaRef>
                      </c:ext>
                    </c:extLst>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4-0C7E-4B18-8663-E9D2C54E67D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C'!$B$5:$H$5</c15:sqref>
                        </c15:formulaRef>
                      </c:ext>
                    </c:extLst>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5-0C7E-4B18-8663-E9D2C54E67D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C'!$B$6:$H$6</c15:sqref>
                        </c15:formulaRef>
                      </c:ext>
                    </c:extLst>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6-0C7E-4B18-8663-E9D2C54E67D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C'!$B$7:$H$7</c15:sqref>
                        </c15:formulaRef>
                      </c:ext>
                    </c:extLst>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7-0C7E-4B18-8663-E9D2C54E67D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C'!$B$8:$H$8</c15:sqref>
                        </c15:formulaRef>
                      </c:ext>
                    </c:extLst>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8-0C7E-4B18-8663-E9D2C54E67D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'Ms C - post'!$A$2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1146-459E-8073-A695C01749E1}"/>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1146-459E-8073-A695C01749E1}"/>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1146-459E-8073-A695C01749E1}"/>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1146-459E-8073-A695C01749E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post'!$B$2:$H$2</c:f>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2-1146-459E-8073-A695C01749E1}"/>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'Ms C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post'!$B$3:$H$3</c15:sqref>
                        </c15:formulaRef>
                      </c:ext>
                    </c:extLst>
                    <c:numCache>
                      <c:formatCode>General</c:formatCode>
                      <c:ptCount val="7"/>
                      <c:pt idx="0">
                        <c:v>4</c:v>
                      </c:pt>
                      <c:pt idx="1">
                        <c:v>1</c:v>
                      </c:pt>
                      <c:pt idx="2">
                        <c:v>3</c:v>
                      </c:pt>
                      <c:pt idx="3">
                        <c:v>1</c:v>
                      </c:pt>
                      <c:pt idx="4">
                        <c:v>0</c:v>
                      </c:pt>
                      <c:pt idx="5">
                        <c:v>0</c:v>
                      </c:pt>
                      <c:pt idx="6">
                        <c:v>0</c:v>
                      </c:pt>
                    </c:numCache>
                  </c:numRef>
                </c:val>
                <c:extLst>
                  <c:ext xmlns:c16="http://schemas.microsoft.com/office/drawing/2014/chart" uri="{C3380CC4-5D6E-409C-BE32-E72D297353CC}">
                    <c16:uniqueId val="{00000003-1146-459E-8073-A695C01749E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post'!$B$4:$H$4</c15:sqref>
                        </c15:formulaRef>
                      </c:ext>
                    </c:extLst>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4-1146-459E-8073-A695C01749E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post'!$B$5:$H$5</c15:sqref>
                        </c15:formulaRef>
                      </c:ext>
                    </c:extLst>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5-1146-459E-8073-A695C01749E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post'!$B$6:$H$6</c15:sqref>
                        </c15:formulaRef>
                      </c:ext>
                    </c:extLst>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6-1146-459E-8073-A695C01749E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post'!$B$7:$H$7</c15:sqref>
                        </c15:formulaRef>
                      </c:ext>
                    </c:extLst>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1146-459E-8073-A695C01749E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1146-459E-8073-A695C01749E1}"/>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'Ms C'!$A$3</c:f>
              <c:strCache>
                <c:ptCount val="1"/>
                <c:pt idx="0">
                  <c:v>Reducing the hours required for paid carer support</c:v>
                </c:pt>
              </c:strCache>
            </c:strRef>
          </c:tx>
          <c:spPr>
            <a:solidFill>
              <a:srgbClr val="009DD9"/>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72B-4672-8773-A4EAE303ED18}"/>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72B-4672-8773-A4EAE303ED18}"/>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72B-4672-8773-A4EAE303ED18}"/>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72B-4672-8773-A4EAE303ED1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C'!$B$3:$H$3</c:f>
              <c:numCache>
                <c:formatCode>General</c:formatCode>
                <c:ptCount val="7"/>
                <c:pt idx="0">
                  <c:v>4</c:v>
                </c:pt>
                <c:pt idx="1">
                  <c:v>3</c:v>
                </c:pt>
                <c:pt idx="2">
                  <c:v>0</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4-572B-4672-8773-A4EAE303ED18}"/>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C'!$B$2:$H$2</c15:sqref>
                        </c15:formulaRef>
                      </c:ext>
                    </c:extLst>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5-572B-4672-8773-A4EAE303ED1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C'!$B$4:$H$4</c15:sqref>
                        </c15:formulaRef>
                      </c:ext>
                    </c:extLst>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6-572B-4672-8773-A4EAE303ED1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C'!$B$5:$H$5</c15:sqref>
                        </c15:formulaRef>
                      </c:ext>
                    </c:extLst>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7-572B-4672-8773-A4EAE303ED1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C'!$B$6:$H$6</c15:sqref>
                        </c15:formulaRef>
                      </c:ext>
                    </c:extLst>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8-572B-4672-8773-A4EAE303ED1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C'!$B$7:$H$7</c15:sqref>
                        </c15:formulaRef>
                      </c:ext>
                    </c:extLst>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9-572B-4672-8773-A4EAE303ED1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C'!$B$8:$H$8</c15:sqref>
                        </c15:formulaRef>
                      </c:ext>
                    </c:extLst>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A-572B-4672-8773-A4EAE303ED18}"/>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Improved user independence and participation in activities in the home</a:t>
            </a:r>
            <a:br>
              <a:rPr lang="en-GB" sz="1100"/>
            </a:br>
            <a:r>
              <a:rPr lang="en-GB" sz="1100" b="0" i="0" u="none" strike="noStrike" baseline="0">
                <a:effectLst/>
              </a:rPr>
              <a:t>(post-survey)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'Post-survey'!$A$3</c:f>
              <c:strCache>
                <c:ptCount val="1"/>
                <c:pt idx="0">
                  <c:v>Improved user independence and participation in activities in the home</c:v>
                </c:pt>
              </c:strCache>
              <c:extLst xmlns:c15="http://schemas.microsoft.com/office/drawing/2012/chart"/>
            </c:strRef>
          </c:tx>
          <c:spPr>
            <a:solidFill>
              <a:schemeClr val="accent2"/>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5A-4FAB-AB7E-0DBBF6B1C99F}"/>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5A-4FAB-AB7E-0DBBF6B1C99F}"/>
                </c:ext>
              </c:extLst>
            </c:dLbl>
            <c:dLbl>
              <c:idx val="2"/>
              <c:delete val="1"/>
              <c:extLst>
                <c:ext xmlns:c15="http://schemas.microsoft.com/office/drawing/2012/chart" uri="{CE6537A1-D6FC-4f65-9D91-7224C49458BB}"/>
                <c:ext xmlns:c16="http://schemas.microsoft.com/office/drawing/2014/chart" uri="{C3380CC4-5D6E-409C-BE32-E72D297353CC}">
                  <c16:uniqueId val="{00000002-F05A-4FAB-AB7E-0DBBF6B1C99F}"/>
                </c:ext>
              </c:extLst>
            </c:dLbl>
            <c:dLbl>
              <c:idx val="3"/>
              <c:delete val="1"/>
              <c:extLst>
                <c:ext xmlns:c15="http://schemas.microsoft.com/office/drawing/2012/chart" uri="{CE6537A1-D6FC-4f65-9D91-7224C49458BB}"/>
                <c:ext xmlns:c16="http://schemas.microsoft.com/office/drawing/2014/chart" uri="{C3380CC4-5D6E-409C-BE32-E72D297353CC}">
                  <c16:uniqueId val="{00000003-F05A-4FAB-AB7E-0DBBF6B1C99F}"/>
                </c:ext>
              </c:extLst>
            </c:dLbl>
            <c:dLbl>
              <c:idx val="4"/>
              <c:delete val="1"/>
              <c:extLst>
                <c:ext xmlns:c15="http://schemas.microsoft.com/office/drawing/2012/chart" uri="{CE6537A1-D6FC-4f65-9D91-7224C49458BB}"/>
                <c:ext xmlns:c16="http://schemas.microsoft.com/office/drawing/2014/chart" uri="{C3380CC4-5D6E-409C-BE32-E72D297353CC}">
                  <c16:uniqueId val="{00000004-F05A-4FAB-AB7E-0DBBF6B1C99F}"/>
                </c:ext>
              </c:extLst>
            </c:dLbl>
            <c:dLbl>
              <c:idx val="5"/>
              <c:delete val="1"/>
              <c:extLst>
                <c:ext xmlns:c15="http://schemas.microsoft.com/office/drawing/2012/chart" uri="{CE6537A1-D6FC-4f65-9D91-7224C49458BB}"/>
                <c:ext xmlns:c16="http://schemas.microsoft.com/office/drawing/2014/chart" uri="{C3380CC4-5D6E-409C-BE32-E72D297353CC}">
                  <c16:uniqueId val="{00000005-F05A-4FAB-AB7E-0DBBF6B1C99F}"/>
                </c:ext>
              </c:extLst>
            </c:dLbl>
            <c:dLbl>
              <c:idx val="6"/>
              <c:delete val="1"/>
              <c:extLst>
                <c:ext xmlns:c15="http://schemas.microsoft.com/office/drawing/2012/chart" uri="{CE6537A1-D6FC-4f65-9D91-7224C49458BB}"/>
                <c:ext xmlns:c16="http://schemas.microsoft.com/office/drawing/2014/chart" uri="{C3380CC4-5D6E-409C-BE32-E72D297353CC}">
                  <c16:uniqueId val="{00000006-F05A-4FAB-AB7E-0DBBF6B1C99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'Post-survey'!$B$3:$H$3</c:f>
              <c:numCache>
                <c:formatCode>General</c:formatCode>
                <c:ptCount val="7"/>
                <c:pt idx="0">
                  <c:v>6</c:v>
                </c:pt>
                <c:pt idx="1">
                  <c:v>3</c:v>
                </c:pt>
                <c:pt idx="2">
                  <c:v>0</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335D-4E09-B883-D51E9694B21A}"/>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'Post-survey'!$A$2</c15:sqref>
                        </c15:formulaRef>
                      </c:ext>
                    </c:extLst>
                    <c:strCache>
                      <c:ptCount val="1"/>
                      <c:pt idx="0">
                        <c:v>Improved user wellbeing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'Post-survey'!$B$2:$H$2</c15:sqref>
                        </c15:formulaRef>
                      </c:ext>
                    </c:extLst>
                    <c:numCache>
                      <c:formatCode>General</c:formatCode>
                      <c:ptCount val="7"/>
                      <c:pt idx="0">
                        <c:v>6</c:v>
                      </c:pt>
                      <c:pt idx="1">
                        <c:v>3</c:v>
                      </c:pt>
                      <c:pt idx="2">
                        <c:v>0</c:v>
                      </c:pt>
                      <c:pt idx="3">
                        <c:v>0</c:v>
                      </c:pt>
                      <c:pt idx="4">
                        <c:v>0</c:v>
                      </c:pt>
                      <c:pt idx="5">
                        <c:v>0</c:v>
                      </c:pt>
                      <c:pt idx="6">
                        <c:v>0</c:v>
                      </c:pt>
                    </c:numCache>
                  </c:numRef>
                </c:val>
                <c:extLst>
                  <c:ext xmlns:c16="http://schemas.microsoft.com/office/drawing/2014/chart" uri="{C3380CC4-5D6E-409C-BE32-E72D297353CC}">
                    <c16:uniqueId val="{00000001-335D-4E09-B883-D51E9694B21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'Post-survey'!$A$4</c15:sqref>
                        </c15:formulaRef>
                      </c:ext>
                    </c:extLst>
                    <c:strCache>
                      <c:ptCount val="1"/>
                      <c:pt idx="0">
                        <c:v>Improved user independence and participation in activities in the community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'Post-survey'!$B$4:$H$4</c15:sqref>
                        </c15:formulaRef>
                      </c:ext>
                    </c:extLst>
                    <c:numCache>
                      <c:formatCode>General</c:formatCode>
                      <c:ptCount val="7"/>
                      <c:pt idx="0">
                        <c:v>7</c:v>
                      </c:pt>
                      <c:pt idx="1">
                        <c:v>2</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2-335D-4E09-B883-D51E9694B21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'Post-survey'!$A$5</c15:sqref>
                        </c15:formulaRef>
                      </c:ext>
                    </c:extLst>
                    <c:strCache>
                      <c:ptCount val="1"/>
                      <c:pt idx="0">
                        <c:v>Reduced user risks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'Post-survey'!$B$5:$H$5</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335D-4E09-B883-D51E9694B21A}"/>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'Ms C - post'!$A$3</c:f>
              <c:strCache>
                <c:ptCount val="1"/>
                <c:pt idx="0">
                  <c:v>Reducing the hours required for paid carer support</c:v>
                </c:pt>
              </c:strCache>
            </c:strRef>
          </c:tx>
          <c:spPr>
            <a:solidFill>
              <a:srgbClr val="009DD9"/>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DC6-4159-B2E1-E4978959A2DB}"/>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DC6-4159-B2E1-E4978959A2DB}"/>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5DC6-4159-B2E1-E4978959A2D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post'!$B$3:$H$3</c:f>
              <c:numCache>
                <c:formatCode>General</c:formatCode>
                <c:ptCount val="7"/>
                <c:pt idx="0">
                  <c:v>4</c:v>
                </c:pt>
                <c:pt idx="1">
                  <c:v>1</c:v>
                </c:pt>
                <c:pt idx="2">
                  <c:v>3</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5-5DC6-4159-B2E1-E4978959A2DB}"/>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post'!$B$2:$H$2</c15:sqref>
                        </c15:formulaRef>
                      </c:ext>
                    </c:extLst>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6-5DC6-4159-B2E1-E4978959A2D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post'!$B$4:$H$4</c15:sqref>
                        </c15:formulaRef>
                      </c:ext>
                    </c:extLst>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5DC6-4159-B2E1-E4978959A2D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post'!$B$5:$H$5</c15:sqref>
                        </c15:formulaRef>
                      </c:ext>
                    </c:extLst>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8-5DC6-4159-B2E1-E4978959A2D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post'!$B$6:$H$6</c15:sqref>
                        </c15:formulaRef>
                      </c:ext>
                    </c:extLst>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5DC6-4159-B2E1-E4978959A2D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post'!$B$7:$H$7</c15:sqref>
                        </c15:formulaRef>
                      </c:ext>
                    </c:extLst>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A-5DC6-4159-B2E1-E4978959A2D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B-5DC6-4159-B2E1-E4978959A2D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'Ms C'!$A$4</c:f>
              <c:strCache>
                <c:ptCount val="1"/>
                <c:pt idx="0">
                  <c:v>Reducing the hours required for paid formal care and support</c:v>
                </c:pt>
              </c:strCache>
            </c:strRef>
          </c:tx>
          <c:spPr>
            <a:solidFill>
              <a:schemeClr val="accent3"/>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0F47-4D6C-AB34-A09D70CCD048}"/>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0F47-4D6C-AB34-A09D70CCD04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C'!$B$4:$H$4</c:f>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4-0F47-4D6C-AB34-A09D70CCD048}"/>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C'!$B$2:$H$2</c15:sqref>
                        </c15:formulaRef>
                      </c:ext>
                    </c:extLst>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5-0F47-4D6C-AB34-A09D70CCD04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C'!$B$3:$H$3</c15:sqref>
                        </c15:formulaRef>
                      </c:ext>
                    </c:extLst>
                    <c:numCache>
                      <c:formatCode>General</c:formatCode>
                      <c:ptCount val="7"/>
                      <c:pt idx="0">
                        <c:v>4</c:v>
                      </c:pt>
                      <c:pt idx="1">
                        <c:v>3</c:v>
                      </c:pt>
                      <c:pt idx="2">
                        <c:v>0</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6-0F47-4D6C-AB34-A09D70CCD04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C'!$B$5:$H$5</c15:sqref>
                        </c15:formulaRef>
                      </c:ext>
                    </c:extLst>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7-0F47-4D6C-AB34-A09D70CCD04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C'!$B$6:$H$6</c15:sqref>
                        </c15:formulaRef>
                      </c:ext>
                    </c:extLst>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8-0F47-4D6C-AB34-A09D70CCD04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C'!$B$7:$H$7</c15:sqref>
                        </c15:formulaRef>
                      </c:ext>
                    </c:extLst>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9-0F47-4D6C-AB34-A09D70CCD04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C'!$B$8:$H$8</c15:sqref>
                        </c15:formulaRef>
                      </c:ext>
                    </c:extLst>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A-0F47-4D6C-AB34-A09D70CCD048}"/>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'Ms C - post'!$A$4</c:f>
              <c:strCache>
                <c:ptCount val="1"/>
                <c:pt idx="0">
                  <c:v>Reducing the hours required for paid formal care and support</c:v>
                </c:pt>
              </c:strCache>
            </c:strRef>
          </c:tx>
          <c:spPr>
            <a:solidFill>
              <a:schemeClr val="accent3"/>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0712-4057-B6D8-B572D7CD5B41}"/>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0712-4057-B6D8-B572D7CD5B4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post'!$B$4:$H$4</c:f>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5-0712-4057-B6D8-B572D7CD5B41}"/>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post'!$B$2:$H$2</c15:sqref>
                        </c15:formulaRef>
                      </c:ext>
                    </c:extLst>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6-0712-4057-B6D8-B572D7CD5B4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post'!$B$3:$H$3</c15:sqref>
                        </c15:formulaRef>
                      </c:ext>
                    </c:extLst>
                    <c:numCache>
                      <c:formatCode>General</c:formatCode>
                      <c:ptCount val="7"/>
                      <c:pt idx="0">
                        <c:v>4</c:v>
                      </c:pt>
                      <c:pt idx="1">
                        <c:v>1</c:v>
                      </c:pt>
                      <c:pt idx="2">
                        <c:v>3</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7-0712-4057-B6D8-B572D7CD5B4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post'!$B$5:$H$5</c15:sqref>
                        </c15:formulaRef>
                      </c:ext>
                    </c:extLst>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8-0712-4057-B6D8-B572D7CD5B4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post'!$B$6:$H$6</c15:sqref>
                        </c15:formulaRef>
                      </c:ext>
                    </c:extLst>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0712-4057-B6D8-B572D7CD5B4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post'!$B$7:$H$7</c15:sqref>
                        </c15:formulaRef>
                      </c:ext>
                    </c:extLst>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A-0712-4057-B6D8-B572D7CD5B4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B-0712-4057-B6D8-B572D7CD5B41}"/>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'Ms C'!$A$5</c:f>
              <c:strCache>
                <c:ptCount val="1"/>
                <c:pt idx="0">
                  <c:v>Reducing the number of GP visits</c:v>
                </c:pt>
              </c:strCache>
            </c:strRef>
          </c:tx>
          <c:spPr>
            <a:solidFill>
              <a:schemeClr val="accent4"/>
            </a:solidFill>
            <a:ln>
              <a:noFill/>
            </a:ln>
            <a:effectLst/>
          </c:spPr>
          <c:invertIfNegative val="0"/>
          <c:dLbls>
            <c:dLbl>
              <c:idx val="4"/>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C4FA-4BD8-AC55-EF9EA4DC7A2E}"/>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C'!$B$5:$H$5</c:f>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3-C4FA-4BD8-AC55-EF9EA4DC7A2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C'!$B$2:$H$2</c15:sqref>
                        </c15:formulaRef>
                      </c:ext>
                    </c:extLst>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4-C4FA-4BD8-AC55-EF9EA4DC7A2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C'!$B$3:$H$3</c15:sqref>
                        </c15:formulaRef>
                      </c:ext>
                    </c:extLst>
                    <c:numCache>
                      <c:formatCode>General</c:formatCode>
                      <c:ptCount val="7"/>
                      <c:pt idx="0">
                        <c:v>4</c:v>
                      </c:pt>
                      <c:pt idx="1">
                        <c:v>3</c:v>
                      </c:pt>
                      <c:pt idx="2">
                        <c:v>0</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5-C4FA-4BD8-AC55-EF9EA4DC7A2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C'!$B$4:$H$4</c15:sqref>
                        </c15:formulaRef>
                      </c:ext>
                    </c:extLst>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6-C4FA-4BD8-AC55-EF9EA4DC7A2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C'!$B$6:$H$6</c15:sqref>
                        </c15:formulaRef>
                      </c:ext>
                    </c:extLst>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7-C4FA-4BD8-AC55-EF9EA4DC7A2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C'!$B$7:$H$7</c15:sqref>
                        </c15:formulaRef>
                      </c:ext>
                    </c:extLst>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C4FA-4BD8-AC55-EF9EA4DC7A2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C'!$B$8:$H$8</c15:sqref>
                        </c15:formulaRef>
                      </c:ext>
                    </c:extLst>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9-C4FA-4BD8-AC55-EF9EA4DC7A2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'Ms C - post'!$A$5</c:f>
              <c:strCache>
                <c:ptCount val="1"/>
                <c:pt idx="0">
                  <c:v>Reducing the number of GP visits</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4A6-4040-B858-F996F45A09E1}"/>
                </c:ext>
              </c:extLst>
            </c:dLbl>
            <c:dLbl>
              <c:idx val="1"/>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4A6-4040-B858-F996F45A09E1}"/>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4A6-4040-B858-F996F45A09E1}"/>
                </c:ext>
              </c:extLst>
            </c:dLbl>
            <c:dLbl>
              <c:idx val="3"/>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4A6-4040-B858-F996F45A09E1}"/>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54A6-4040-B858-F996F45A09E1}"/>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post'!$B$5:$H$5</c:f>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5-54A6-4040-B858-F996F45A09E1}"/>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post'!$B$2:$H$2</c15:sqref>
                        </c15:formulaRef>
                      </c:ext>
                    </c:extLst>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6-54A6-4040-B858-F996F45A09E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post'!$B$3:$H$3</c15:sqref>
                        </c15:formulaRef>
                      </c:ext>
                    </c:extLst>
                    <c:numCache>
                      <c:formatCode>General</c:formatCode>
                      <c:ptCount val="7"/>
                      <c:pt idx="0">
                        <c:v>4</c:v>
                      </c:pt>
                      <c:pt idx="1">
                        <c:v>1</c:v>
                      </c:pt>
                      <c:pt idx="2">
                        <c:v>3</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7-54A6-4040-B858-F996F45A09E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post'!$B$4:$H$4</c15:sqref>
                        </c15:formulaRef>
                      </c:ext>
                    </c:extLst>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8-54A6-4040-B858-F996F45A09E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post'!$B$6:$H$6</c15:sqref>
                        </c15:formulaRef>
                      </c:ext>
                    </c:extLst>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54A6-4040-B858-F996F45A09E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post'!$B$7:$H$7</c15:sqref>
                        </c15:formulaRef>
                      </c:ext>
                    </c:extLst>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A-54A6-4040-B858-F996F45A09E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B-54A6-4040-B858-F996F45A09E1}"/>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(pre-survey)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'Ms C'!$A$6</c:f>
              <c:strCache>
                <c:ptCount val="1"/>
                <c:pt idx="0">
                  <c:v>Reducing the number of hospital admissions through the emergency department</c:v>
                </c:pt>
              </c:strCache>
            </c:strRef>
          </c:tx>
          <c:spPr>
            <a:solidFill>
              <a:schemeClr val="accent5"/>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FAC6-4BBC-896A-65CD0C262FC6}"/>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FAC6-4BBC-896A-65CD0C262FC6}"/>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FAC6-4BBC-896A-65CD0C262FC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C'!$B$6:$H$6</c:f>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5-FAC6-4BBC-896A-65CD0C262FC6}"/>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C'!$B$2:$H$2</c15:sqref>
                        </c15:formulaRef>
                      </c:ext>
                    </c:extLst>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6-FAC6-4BBC-896A-65CD0C262FC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C'!$B$3:$H$3</c15:sqref>
                        </c15:formulaRef>
                      </c:ext>
                    </c:extLst>
                    <c:numCache>
                      <c:formatCode>General</c:formatCode>
                      <c:ptCount val="7"/>
                      <c:pt idx="0">
                        <c:v>4</c:v>
                      </c:pt>
                      <c:pt idx="1">
                        <c:v>3</c:v>
                      </c:pt>
                      <c:pt idx="2">
                        <c:v>0</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FAC6-4BBC-896A-65CD0C262F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C'!$B$4:$H$4</c15:sqref>
                        </c15:formulaRef>
                      </c:ext>
                    </c:extLst>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8-FAC6-4BBC-896A-65CD0C262FC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C'!$B$5:$H$5</c15:sqref>
                        </c15:formulaRef>
                      </c:ext>
                    </c:extLst>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9-FAC6-4BBC-896A-65CD0C262FC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C'!$B$7:$H$7</c15:sqref>
                        </c15:formulaRef>
                      </c:ext>
                    </c:extLst>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A-FAC6-4BBC-896A-65CD0C262FC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C'!$B$8:$H$8</c15:sqref>
                        </c15:formulaRef>
                      </c:ext>
                    </c:extLst>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B-FAC6-4BBC-896A-65CD0C262FC6}"/>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(post-survey)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'Ms C - post'!$A$6</c:f>
              <c:strCache>
                <c:ptCount val="1"/>
                <c:pt idx="0">
                  <c:v>Reducing the number of hospital admissions through the emergency department</c:v>
                </c:pt>
              </c:strCache>
            </c:strRef>
          </c:tx>
          <c:spPr>
            <a:solidFill>
              <a:schemeClr val="accent5"/>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0F1E-4841-A405-9AF40277462D}"/>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0F1E-4841-A405-9AF40277462D}"/>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0F1E-4841-A405-9AF40277462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post'!$B$6:$H$6</c:f>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4-0F1E-4841-A405-9AF40277462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post'!$B$2:$H$2</c15:sqref>
                        </c15:formulaRef>
                      </c:ext>
                    </c:extLst>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5-0F1E-4841-A405-9AF40277462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post'!$B$3:$H$3</c15:sqref>
                        </c15:formulaRef>
                      </c:ext>
                    </c:extLst>
                    <c:numCache>
                      <c:formatCode>General</c:formatCode>
                      <c:ptCount val="7"/>
                      <c:pt idx="0">
                        <c:v>4</c:v>
                      </c:pt>
                      <c:pt idx="1">
                        <c:v>1</c:v>
                      </c:pt>
                      <c:pt idx="2">
                        <c:v>3</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6-0F1E-4841-A405-9AF40277462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post'!$B$4:$H$4</c15:sqref>
                        </c15:formulaRef>
                      </c:ext>
                    </c:extLst>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0F1E-4841-A405-9AF40277462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post'!$B$5:$H$5</c15:sqref>
                        </c15:formulaRef>
                      </c:ext>
                    </c:extLst>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8-0F1E-4841-A405-9AF40277462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post'!$B$7:$H$7</c15:sqref>
                        </c15:formulaRef>
                      </c:ext>
                    </c:extLst>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0F1E-4841-A405-9AF40277462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A-0F1E-4841-A405-9AF40277462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'Ms C'!$A$7</c:f>
              <c:strCache>
                <c:ptCount val="1"/>
                <c:pt idx="0">
                  <c:v>Reducing days spent in respite care</c:v>
                </c:pt>
              </c:strCache>
            </c:strRef>
          </c:tx>
          <c:spPr>
            <a:solidFill>
              <a:schemeClr val="accent6"/>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EF5-4C83-B92B-A9B93548932B}"/>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EF5-4C83-B92B-A9B93548932B}"/>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5EF5-4C83-B92B-A9B93548932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C'!$B$7:$H$7</c:f>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5-5EF5-4C83-B92B-A9B93548932B}"/>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C'!$B$2:$H$2</c15:sqref>
                        </c15:formulaRef>
                      </c:ext>
                    </c:extLst>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6-5EF5-4C83-B92B-A9B93548932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C'!$B$3:$H$3</c15:sqref>
                        </c15:formulaRef>
                      </c:ext>
                    </c:extLst>
                    <c:numCache>
                      <c:formatCode>General</c:formatCode>
                      <c:ptCount val="7"/>
                      <c:pt idx="0">
                        <c:v>4</c:v>
                      </c:pt>
                      <c:pt idx="1">
                        <c:v>3</c:v>
                      </c:pt>
                      <c:pt idx="2">
                        <c:v>0</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5EF5-4C83-B92B-A9B93548932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C'!$B$4:$H$4</c15:sqref>
                        </c15:formulaRef>
                      </c:ext>
                    </c:extLst>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8-5EF5-4C83-B92B-A9B93548932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C'!$B$5:$H$5</c15:sqref>
                        </c15:formulaRef>
                      </c:ext>
                    </c:extLst>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9-5EF5-4C83-B92B-A9B93548932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C'!$B$6:$H$6</c15:sqref>
                        </c15:formulaRef>
                      </c:ext>
                    </c:extLst>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A-5EF5-4C83-B92B-A9B93548932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C'!$B$8:$H$8</c15:sqref>
                        </c15:formulaRef>
                      </c:ext>
                    </c:extLst>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B-5EF5-4C83-B92B-A9B93548932B}"/>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'Ms C - post'!$A$7</c:f>
              <c:strCache>
                <c:ptCount val="1"/>
                <c:pt idx="0">
                  <c:v>Reducing days spent in respite care</c:v>
                </c:pt>
              </c:strCache>
            </c:strRef>
          </c:tx>
          <c:spPr>
            <a:solidFill>
              <a:schemeClr val="accent6"/>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5F8-45C0-825C-FF8F00621E55}"/>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5F8-45C0-825C-FF8F00621E55}"/>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5F8-45C0-825C-FF8F00621E55}"/>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55F8-45C0-825C-FF8F00621E5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post'!$B$7:$H$7</c:f>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4-55F8-45C0-825C-FF8F00621E55}"/>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post'!$B$2:$H$2</c15:sqref>
                        </c15:formulaRef>
                      </c:ext>
                    </c:extLst>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5-55F8-45C0-825C-FF8F00621E5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post'!$B$3:$H$3</c15:sqref>
                        </c15:formulaRef>
                      </c:ext>
                    </c:extLst>
                    <c:numCache>
                      <c:formatCode>General</c:formatCode>
                      <c:ptCount val="7"/>
                      <c:pt idx="0">
                        <c:v>4</c:v>
                      </c:pt>
                      <c:pt idx="1">
                        <c:v>1</c:v>
                      </c:pt>
                      <c:pt idx="2">
                        <c:v>3</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6-55F8-45C0-825C-FF8F00621E5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post'!$B$4:$H$4</c15:sqref>
                        </c15:formulaRef>
                      </c:ext>
                    </c:extLst>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7-55F8-45C0-825C-FF8F00621E5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post'!$B$5:$H$5</c15:sqref>
                        </c15:formulaRef>
                      </c:ext>
                    </c:extLst>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8-55F8-45C0-825C-FF8F00621E5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post'!$B$6:$H$6</c15:sqref>
                        </c15:formulaRef>
                      </c:ext>
                    </c:extLst>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9-55F8-45C0-825C-FF8F00621E5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'Ms C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A-55F8-45C0-825C-FF8F00621E55}"/>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a:t>
            </a:r>
            <a:br>
              <a:rPr lang="en-GB" sz="1100"/>
            </a:br>
            <a:r>
              <a:rPr lang="en-GB" sz="1100"/>
              <a:t>residential aged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'Ms C'!$A$8</c:f>
              <c:strCache>
                <c:ptCount val="1"/>
                <c:pt idx="0">
                  <c:v>Reducing or delaying the need for residential aged care</c:v>
                </c:pt>
              </c:strCache>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CBEA-4990-AB7E-593F1789EF7D}"/>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CBEA-4990-AB7E-593F1789EF7D}"/>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CBEA-4990-AB7E-593F1789EF7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C'!$B$8:$H$8</c:f>
              <c:numCache>
                <c:formatCode>General</c:formatCode>
                <c:ptCount val="7"/>
                <c:pt idx="0">
                  <c:v>4</c:v>
                </c:pt>
                <c:pt idx="1">
                  <c:v>1</c:v>
                </c:pt>
                <c:pt idx="2">
                  <c:v>4</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1-CBEA-4990-AB7E-593F1789EF7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C'!$B$2:$H$2</c15:sqref>
                        </c15:formulaRef>
                      </c:ext>
                    </c:extLst>
                    <c:numCache>
                      <c:formatCode>General</c:formatCode>
                      <c:ptCount val="7"/>
                      <c:pt idx="0">
                        <c:v>4</c:v>
                      </c:pt>
                      <c:pt idx="1">
                        <c:v>3</c:v>
                      </c:pt>
                      <c:pt idx="2">
                        <c:v>1</c:v>
                      </c:pt>
                      <c:pt idx="3">
                        <c:v>1</c:v>
                      </c:pt>
                      <c:pt idx="4">
                        <c:v>0</c:v>
                      </c:pt>
                      <c:pt idx="5">
                        <c:v>0</c:v>
                      </c:pt>
                      <c:pt idx="6">
                        <c:v>0</c:v>
                      </c:pt>
                    </c:numCache>
                  </c:numRef>
                </c:val>
                <c:extLst>
                  <c:ext xmlns:c16="http://schemas.microsoft.com/office/drawing/2014/chart" uri="{C3380CC4-5D6E-409C-BE32-E72D297353CC}">
                    <c16:uniqueId val="{00000002-CBEA-4990-AB7E-593F1789EF7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C'!$B$3:$H$3</c15:sqref>
                        </c15:formulaRef>
                      </c:ext>
                    </c:extLst>
                    <c:numCache>
                      <c:formatCode>General</c:formatCode>
                      <c:ptCount val="7"/>
                      <c:pt idx="0">
                        <c:v>4</c:v>
                      </c:pt>
                      <c:pt idx="1">
                        <c:v>3</c:v>
                      </c:pt>
                      <c:pt idx="2">
                        <c:v>0</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3-CBEA-4990-AB7E-593F1789EF7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C'!$B$4:$H$4</c15:sqref>
                        </c15:formulaRef>
                      </c:ext>
                    </c:extLst>
                    <c:numCache>
                      <c:formatCode>General</c:formatCode>
                      <c:ptCount val="7"/>
                      <c:pt idx="0">
                        <c:v>3</c:v>
                      </c:pt>
                      <c:pt idx="1">
                        <c:v>2</c:v>
                      </c:pt>
                      <c:pt idx="2">
                        <c:v>1</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4-CBEA-4990-AB7E-593F1789EF7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C'!$B$5:$H$5</c15:sqref>
                        </c15:formulaRef>
                      </c:ext>
                    </c:extLst>
                    <c:numCache>
                      <c:formatCode>General</c:formatCode>
                      <c:ptCount val="7"/>
                      <c:pt idx="0">
                        <c:v>3</c:v>
                      </c:pt>
                      <c:pt idx="1">
                        <c:v>2</c:v>
                      </c:pt>
                      <c:pt idx="2">
                        <c:v>1</c:v>
                      </c:pt>
                      <c:pt idx="3">
                        <c:v>1</c:v>
                      </c:pt>
                      <c:pt idx="4">
                        <c:v>0</c:v>
                      </c:pt>
                      <c:pt idx="5">
                        <c:v>1</c:v>
                      </c:pt>
                      <c:pt idx="6">
                        <c:v>1</c:v>
                      </c:pt>
                    </c:numCache>
                  </c:numRef>
                </c:val>
                <c:extLst xmlns:c15="http://schemas.microsoft.com/office/drawing/2012/chart">
                  <c:ext xmlns:c16="http://schemas.microsoft.com/office/drawing/2014/chart" uri="{C3380CC4-5D6E-409C-BE32-E72D297353CC}">
                    <c16:uniqueId val="{00000005-CBEA-4990-AB7E-593F1789EF7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C'!$B$6:$H$6</c15:sqref>
                        </c15:formulaRef>
                      </c:ext>
                    </c:extLst>
                    <c:numCache>
                      <c:formatCode>General</c:formatCode>
                      <c:ptCount val="7"/>
                      <c:pt idx="0">
                        <c:v>2</c:v>
                      </c:pt>
                      <c:pt idx="1">
                        <c:v>5</c:v>
                      </c:pt>
                      <c:pt idx="2">
                        <c:v>1</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6-CBEA-4990-AB7E-593F1789EF7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C'!$B$7:$H$7</c15:sqref>
                        </c15:formulaRef>
                      </c:ext>
                    </c:extLst>
                    <c:numCache>
                      <c:formatCode>General</c:formatCode>
                      <c:ptCount val="7"/>
                      <c:pt idx="0">
                        <c:v>4</c:v>
                      </c:pt>
                      <c:pt idx="1">
                        <c:v>3</c:v>
                      </c:pt>
                      <c:pt idx="2">
                        <c:v>1</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7-CBEA-4990-AB7E-593F1789EF7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Improved user independence and participation in activities in the community</a:t>
            </a:r>
            <a:br>
              <a:rPr lang="en-GB" sz="1000"/>
            </a:br>
            <a:r>
              <a:rPr lang="en-GB" sz="1000" b="0" i="0" u="none" strike="noStrike" baseline="0">
                <a:effectLst/>
              </a:rPr>
              <a:t>(pre-survey)</a:t>
            </a:r>
            <a:endParaRPr lang="en-GB" sz="1000"/>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'Pre-survey'!$A$4</c:f>
              <c:strCache>
                <c:ptCount val="1"/>
                <c:pt idx="0">
                  <c:v>Improved user independence and participation in activities in the community</c:v>
                </c:pt>
              </c:strCache>
              <c:extLst xmlns:c15="http://schemas.microsoft.com/office/drawing/2012/chart"/>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C6-49E3-A5C9-76AEC923B178}"/>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C6-49E3-A5C9-76AEC923B17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'Pre-survey'!$B$4:$H$4</c:f>
              <c:numCache>
                <c:formatCode>General</c:formatCode>
                <c:ptCount val="7"/>
                <c:pt idx="0">
                  <c:v>6</c:v>
                </c:pt>
                <c:pt idx="1">
                  <c:v>3</c:v>
                </c:pt>
                <c:pt idx="2">
                  <c:v>0</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4551-4C34-8279-0EB540743FF9}"/>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'Pre-survey'!$A$2</c15:sqref>
                        </c15:formulaRef>
                      </c:ext>
                    </c:extLst>
                    <c:strCache>
                      <c:ptCount val="1"/>
                      <c:pt idx="0">
                        <c:v>Improved user wellbeing</c:v>
                      </c:pt>
                    </c:strCache>
                  </c:strRef>
                </c:tx>
                <c:spPr>
                  <a:solidFill>
                    <a:schemeClr val="accent1"/>
                  </a:solidFill>
                  <a:ln>
                    <a:noFill/>
                  </a:ln>
                  <a:effectLst/>
                </c:spPr>
                <c:invertIfNegative val="0"/>
                <c:dLbls>
                  <c:dLbl>
                    <c:idx val="0"/>
                    <c:dLblPos val="inEnd"/>
                    <c:showLegendKey val="0"/>
                    <c:showVal val="1"/>
                    <c:showCatName val="0"/>
                    <c:showSerName val="0"/>
                    <c:showPercent val="0"/>
                    <c:showBubbleSize val="0"/>
                    <c:extLst>
                      <c:ext uri="{CE6537A1-D6FC-4f65-9D91-7224C49458BB}"/>
                      <c:ext xmlns:c16="http://schemas.microsoft.com/office/drawing/2014/chart" uri="{C3380CC4-5D6E-409C-BE32-E72D297353CC}">
                        <c16:uniqueId val="{00000001-4551-4C34-8279-0EB540743FF9}"/>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2-4551-4C34-8279-0EB540743FF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'Pre-survey'!$B$2:$H$2</c15:sqref>
                        </c15:formulaRef>
                      </c:ext>
                    </c:extLst>
                    <c:numCache>
                      <c:formatCode>General</c:formatCode>
                      <c:ptCount val="7"/>
                      <c:pt idx="0">
                        <c:v>8</c:v>
                      </c:pt>
                      <c:pt idx="1">
                        <c:v>1</c:v>
                      </c:pt>
                      <c:pt idx="2">
                        <c:v>0</c:v>
                      </c:pt>
                      <c:pt idx="3">
                        <c:v>0</c:v>
                      </c:pt>
                      <c:pt idx="4">
                        <c:v>0</c:v>
                      </c:pt>
                      <c:pt idx="5">
                        <c:v>0</c:v>
                      </c:pt>
                      <c:pt idx="6">
                        <c:v>0</c:v>
                      </c:pt>
                    </c:numCache>
                  </c:numRef>
                </c:val>
                <c:extLst>
                  <c:ext xmlns:c16="http://schemas.microsoft.com/office/drawing/2014/chart" uri="{C3380CC4-5D6E-409C-BE32-E72D297353CC}">
                    <c16:uniqueId val="{00000003-4551-4C34-8279-0EB540743FF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'Pre-survey'!$A$3</c15:sqref>
                        </c15:formulaRef>
                      </c:ext>
                    </c:extLst>
                    <c:strCache>
                      <c:ptCount val="1"/>
                      <c:pt idx="0">
                        <c:v>Improved user independence and participation in activities in the home</c:v>
                      </c:pt>
                    </c:strCache>
                  </c:strRef>
                </c:tx>
                <c:spPr>
                  <a:solidFill>
                    <a:schemeClr val="accent2"/>
                  </a:solidFill>
                  <a:ln>
                    <a:noFill/>
                  </a:ln>
                  <a:effectLst/>
                </c:spPr>
                <c:invertIfNegative val="0"/>
                <c:dLbls>
                  <c:dLbl>
                    <c:idx val="0"/>
                    <c:dLblPos val="in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4551-4C34-8279-0EB540743FF9}"/>
                      </c:ext>
                    </c:extLst>
                  </c:dLbl>
                  <c:dLbl>
                    <c:idx val="1"/>
                    <c:dLblPos val="in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4551-4C34-8279-0EB540743FF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'Pre-survey'!$B$3:$H$3</c15:sqref>
                        </c15:formulaRef>
                      </c:ext>
                    </c:extLst>
                    <c:numCache>
                      <c:formatCode>General</c:formatCode>
                      <c:ptCount val="7"/>
                      <c:pt idx="0">
                        <c:v>7</c:v>
                      </c:pt>
                      <c:pt idx="1">
                        <c:v>2</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6-4551-4C34-8279-0EB540743FF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'Pre-survey'!$A$5</c15:sqref>
                        </c15:formulaRef>
                      </c:ext>
                    </c:extLst>
                    <c:strCache>
                      <c:ptCount val="1"/>
                      <c:pt idx="0">
                        <c:v>Reduced user risks</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'Pre-survey'!$B$5:$H$5</c15:sqref>
                        </c15:formulaRef>
                      </c:ext>
                    </c:extLst>
                    <c:numCache>
                      <c:formatCode>General</c:formatCode>
                      <c:ptCount val="7"/>
                      <c:pt idx="0">
                        <c:v>7</c:v>
                      </c:pt>
                      <c:pt idx="1">
                        <c:v>1</c:v>
                      </c:pt>
                      <c:pt idx="2">
                        <c:v>1</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7-4551-4C34-8279-0EB540743FF9}"/>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residential aged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'Ms C - post'!$A$8</c:f>
              <c:strCache>
                <c:ptCount val="1"/>
                <c:pt idx="0">
                  <c:v>Reducing or delaying the need for residential aged care</c:v>
                </c:pt>
              </c:strCache>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41D7-4962-AA20-BAEF78397482}"/>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41D7-4962-AA20-BAEF78397482}"/>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41D7-4962-AA20-BAEF78397482}"/>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41D7-4962-AA20-BAEF7839748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C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'Ms C - post'!$B$8:$H$8</c:f>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2-41D7-4962-AA20-BAEF7839748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'Ms C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'Ms C - post'!$B$2:$H$2</c15:sqref>
                        </c15:formulaRef>
                      </c:ext>
                    </c:extLst>
                    <c:numCache>
                      <c:formatCode>General</c:formatCode>
                      <c:ptCount val="7"/>
                      <c:pt idx="0">
                        <c:v>4</c:v>
                      </c:pt>
                      <c:pt idx="1">
                        <c:v>1</c:v>
                      </c:pt>
                      <c:pt idx="2">
                        <c:v>3</c:v>
                      </c:pt>
                      <c:pt idx="3">
                        <c:v>0</c:v>
                      </c:pt>
                      <c:pt idx="4">
                        <c:v>1</c:v>
                      </c:pt>
                      <c:pt idx="5">
                        <c:v>0</c:v>
                      </c:pt>
                      <c:pt idx="6">
                        <c:v>0</c:v>
                      </c:pt>
                    </c:numCache>
                  </c:numRef>
                </c:val>
                <c:extLst>
                  <c:ext xmlns:c16="http://schemas.microsoft.com/office/drawing/2014/chart" uri="{C3380CC4-5D6E-409C-BE32-E72D297353CC}">
                    <c16:uniqueId val="{00000003-41D7-4962-AA20-BAEF7839748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'Ms C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post'!$B$3:$H$3</c15:sqref>
                        </c15:formulaRef>
                      </c:ext>
                    </c:extLst>
                    <c:numCache>
                      <c:formatCode>General</c:formatCode>
                      <c:ptCount val="7"/>
                      <c:pt idx="0">
                        <c:v>4</c:v>
                      </c:pt>
                      <c:pt idx="1">
                        <c:v>1</c:v>
                      </c:pt>
                      <c:pt idx="2">
                        <c:v>3</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4-41D7-4962-AA20-BAEF7839748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'Ms C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post'!$B$4:$H$4</c15:sqref>
                        </c15:formulaRef>
                      </c:ext>
                    </c:extLst>
                    <c:numCache>
                      <c:formatCode>General</c:formatCode>
                      <c:ptCount val="7"/>
                      <c:pt idx="0">
                        <c:v>4</c:v>
                      </c:pt>
                      <c:pt idx="1">
                        <c:v>1</c:v>
                      </c:pt>
                      <c:pt idx="2">
                        <c:v>2</c:v>
                      </c:pt>
                      <c:pt idx="3">
                        <c:v>1</c:v>
                      </c:pt>
                      <c:pt idx="4">
                        <c:v>1</c:v>
                      </c:pt>
                      <c:pt idx="5">
                        <c:v>0</c:v>
                      </c:pt>
                      <c:pt idx="6">
                        <c:v>0</c:v>
                      </c:pt>
                    </c:numCache>
                  </c:numRef>
                </c:val>
                <c:extLst xmlns:c15="http://schemas.microsoft.com/office/drawing/2012/chart">
                  <c:ext xmlns:c16="http://schemas.microsoft.com/office/drawing/2014/chart" uri="{C3380CC4-5D6E-409C-BE32-E72D297353CC}">
                    <c16:uniqueId val="{00000005-41D7-4962-AA20-BAEF7839748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'Ms C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post'!$B$5:$H$5</c15:sqref>
                        </c15:formulaRef>
                      </c:ext>
                    </c:extLst>
                    <c:numCache>
                      <c:formatCode>General</c:formatCode>
                      <c:ptCount val="7"/>
                      <c:pt idx="0">
                        <c:v>1</c:v>
                      </c:pt>
                      <c:pt idx="1">
                        <c:v>1</c:v>
                      </c:pt>
                      <c:pt idx="2">
                        <c:v>3</c:v>
                      </c:pt>
                      <c:pt idx="3">
                        <c:v>3</c:v>
                      </c:pt>
                      <c:pt idx="4">
                        <c:v>1</c:v>
                      </c:pt>
                      <c:pt idx="5">
                        <c:v>0</c:v>
                      </c:pt>
                      <c:pt idx="6">
                        <c:v>0</c:v>
                      </c:pt>
                    </c:numCache>
                  </c:numRef>
                </c:val>
                <c:extLst xmlns:c15="http://schemas.microsoft.com/office/drawing/2012/chart">
                  <c:ext xmlns:c16="http://schemas.microsoft.com/office/drawing/2014/chart" uri="{C3380CC4-5D6E-409C-BE32-E72D297353CC}">
                    <c16:uniqueId val="{00000006-41D7-4962-AA20-BAEF7839748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'Ms C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post'!$B$6:$H$6</c15:sqref>
                        </c15:formulaRef>
                      </c:ext>
                    </c:extLst>
                    <c:numCache>
                      <c:formatCode>General</c:formatCode>
                      <c:ptCount val="7"/>
                      <c:pt idx="0">
                        <c:v>2</c:v>
                      </c:pt>
                      <c:pt idx="1">
                        <c:v>4</c:v>
                      </c:pt>
                      <c:pt idx="2">
                        <c:v>1</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7-41D7-4962-AA20-BAEF7839748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'Ms C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'Ms C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'Ms C - post'!$B$7:$H$7</c15:sqref>
                        </c15:formulaRef>
                      </c:ext>
                    </c:extLst>
                    <c:numCache>
                      <c:formatCode>General</c:formatCode>
                      <c:ptCount val="7"/>
                      <c:pt idx="0">
                        <c:v>5</c:v>
                      </c:pt>
                      <c:pt idx="1">
                        <c:v>0</c:v>
                      </c:pt>
                      <c:pt idx="2">
                        <c:v>2</c:v>
                      </c:pt>
                      <c:pt idx="3">
                        <c:v>2</c:v>
                      </c:pt>
                      <c:pt idx="4">
                        <c:v>0</c:v>
                      </c:pt>
                      <c:pt idx="5">
                        <c:v>0</c:v>
                      </c:pt>
                      <c:pt idx="6">
                        <c:v>0</c:v>
                      </c:pt>
                    </c:numCache>
                  </c:numRef>
                </c:val>
                <c:extLst xmlns:c15="http://schemas.microsoft.com/office/drawing/2012/chart">
                  <c:ext xmlns:c16="http://schemas.microsoft.com/office/drawing/2014/chart" uri="{C3380CC4-5D6E-409C-BE32-E72D297353CC}">
                    <c16:uniqueId val="{00000008-41D7-4962-AA20-BAEF7839748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 D'!$A$2</c:f>
              <c:strCache>
                <c:ptCount val="1"/>
                <c:pt idx="0">
                  <c:v>Reducing the hours required for unpaid informal care support</c:v>
                </c:pt>
              </c:strCache>
            </c:strRef>
          </c:tx>
          <c:spPr>
            <a:solidFill>
              <a:schemeClr val="accent1"/>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95E0-4BA0-A8F1-9E545BB01A1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D'!$B$2:$H$2</c:f>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1-95E0-4BA0-A8F1-9E545BB01A1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'Mr D'!$A$3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D'!$B$3:$H$3</c15:sqref>
                        </c15:formulaRef>
                      </c:ext>
                    </c:extLst>
                    <c:numCache>
                      <c:formatCode>General</c:formatCode>
                      <c:ptCount val="7"/>
                      <c:pt idx="0">
                        <c:v>1</c:v>
                      </c:pt>
                      <c:pt idx="1">
                        <c:v>1</c:v>
                      </c:pt>
                      <c:pt idx="2">
                        <c:v>2</c:v>
                      </c:pt>
                      <c:pt idx="3">
                        <c:v>1</c:v>
                      </c:pt>
                      <c:pt idx="4">
                        <c:v>3</c:v>
                      </c:pt>
                      <c:pt idx="5">
                        <c:v>0</c:v>
                      </c:pt>
                      <c:pt idx="6">
                        <c:v>1</c:v>
                      </c:pt>
                    </c:numCache>
                  </c:numRef>
                </c:val>
                <c:extLst>
                  <c:ext xmlns:c16="http://schemas.microsoft.com/office/drawing/2014/chart" uri="{C3380CC4-5D6E-409C-BE32-E72D297353CC}">
                    <c16:uniqueId val="{00000002-95E0-4BA0-A8F1-9E545BB01A1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D'!$B$4:$H$4</c15:sqref>
                        </c15:formulaRef>
                      </c:ext>
                    </c:extLst>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3-95E0-4BA0-A8F1-9E545BB01A1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D'!$B$5:$H$5</c15:sqref>
                        </c15:formulaRef>
                      </c:ext>
                    </c:extLst>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4-95E0-4BA0-A8F1-9E545BB01A1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D'!$B$6:$H$6</c15:sqref>
                        </c15:formulaRef>
                      </c:ext>
                    </c:extLst>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5-95E0-4BA0-A8F1-9E545BB01A1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D'!$B$7:$H$7</c15:sqref>
                        </c15:formulaRef>
                      </c:ext>
                    </c:extLst>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6-95E0-4BA0-A8F1-9E545BB01A1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D'!$B$8:$H$8</c15:sqref>
                        </c15:formulaRef>
                      </c:ext>
                    </c:extLst>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7-95E0-4BA0-A8F1-9E545BB01A1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unpaid informal care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'Mr D - post'!$A$2</c:f>
              <c:strCache>
                <c:ptCount val="1"/>
                <c:pt idx="0">
                  <c:v>Reducing the hours required for unpaid informal care support</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B353-4391-9BB3-A775CCD32D3D}"/>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353-4391-9BB3-A775CCD32D3D}"/>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B353-4391-9BB3-A775CCD32D3D}"/>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B353-4391-9BB3-A775CCD32D3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post'!$B$2:$H$2</c:f>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4-B353-4391-9BB3-A775CCD32D3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1"/>
                <c:order val="1"/>
                <c:tx>
                  <c:strRef>
                    <c:extLst>
                      <c:ext uri="{02D57815-91ED-43cb-92C2-25804820EDAC}">
                        <c15:formulaRef>
                          <c15:sqref>'Mr D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post'!$B$3:$H$3</c15:sqref>
                        </c15:formulaRef>
                      </c:ext>
                    </c:extLst>
                    <c:numCache>
                      <c:formatCode>General</c:formatCode>
                      <c:ptCount val="7"/>
                      <c:pt idx="0">
                        <c:v>1</c:v>
                      </c:pt>
                      <c:pt idx="1">
                        <c:v>2</c:v>
                      </c:pt>
                      <c:pt idx="2">
                        <c:v>1</c:v>
                      </c:pt>
                      <c:pt idx="3">
                        <c:v>3</c:v>
                      </c:pt>
                      <c:pt idx="4">
                        <c:v>2</c:v>
                      </c:pt>
                      <c:pt idx="5">
                        <c:v>0</c:v>
                      </c:pt>
                      <c:pt idx="6">
                        <c:v>0</c:v>
                      </c:pt>
                    </c:numCache>
                  </c:numRef>
                </c:val>
                <c:extLst>
                  <c:ext xmlns:c16="http://schemas.microsoft.com/office/drawing/2014/chart" uri="{C3380CC4-5D6E-409C-BE32-E72D297353CC}">
                    <c16:uniqueId val="{00000005-B353-4391-9BB3-A775CCD32D3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post'!$B$4:$H$4</c15:sqref>
                        </c15:formulaRef>
                      </c:ext>
                    </c:extLst>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6-B353-4391-9BB3-A775CCD32D3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post'!$B$5:$H$5</c15:sqref>
                        </c15:formulaRef>
                      </c:ext>
                    </c:extLst>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7-B353-4391-9BB3-A775CCD32D3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post'!$B$6:$H$6</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8-B353-4391-9BB3-A775CCD32D3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post'!$B$7:$H$7</c15:sqref>
                        </c15:formulaRef>
                      </c:ext>
                    </c:extLst>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9-B353-4391-9BB3-A775CCD32D3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A-B353-4391-9BB3-A775CCD32D3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'Mr D'!$A$3</c:f>
              <c:strCache>
                <c:ptCount val="1"/>
                <c:pt idx="0">
                  <c:v>Reducing the hours required for paid carer support</c:v>
                </c:pt>
              </c:strCache>
            </c:strRef>
          </c:tx>
          <c:spPr>
            <a:solidFill>
              <a:srgbClr val="009DD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1352-479B-B544-CC7EB16EC9B0}"/>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1352-479B-B544-CC7EB16EC9B0}"/>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1352-479B-B544-CC7EB16EC9B0}"/>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1352-479B-B544-CC7EB16EC9B0}"/>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4-1352-479B-B544-CC7EB16EC9B0}"/>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1352-479B-B544-CC7EB16EC9B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D'!$B$3:$H$3</c:f>
              <c:numCache>
                <c:formatCode>General</c:formatCode>
                <c:ptCount val="7"/>
                <c:pt idx="0">
                  <c:v>1</c:v>
                </c:pt>
                <c:pt idx="1">
                  <c:v>1</c:v>
                </c:pt>
                <c:pt idx="2">
                  <c:v>2</c:v>
                </c:pt>
                <c:pt idx="3">
                  <c:v>1</c:v>
                </c:pt>
                <c:pt idx="4">
                  <c:v>3</c:v>
                </c:pt>
                <c:pt idx="5">
                  <c:v>0</c:v>
                </c:pt>
                <c:pt idx="6">
                  <c:v>1</c:v>
                </c:pt>
              </c:numCache>
            </c:numRef>
          </c:val>
          <c:extLst xmlns:c15="http://schemas.microsoft.com/office/drawing/2012/chart">
            <c:ext xmlns:c16="http://schemas.microsoft.com/office/drawing/2014/chart" uri="{C3380CC4-5D6E-409C-BE32-E72D297353CC}">
              <c16:uniqueId val="{00000006-1352-479B-B544-CC7EB16EC9B0}"/>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D'!$B$2:$H$2</c15:sqref>
                        </c15:formulaRef>
                      </c:ext>
                    </c:extLst>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7-1352-479B-B544-CC7EB16EC9B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D'!$B$4:$H$4</c15:sqref>
                        </c15:formulaRef>
                      </c:ext>
                    </c:extLst>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8-1352-479B-B544-CC7EB16EC9B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D'!$B$5:$H$5</c15:sqref>
                        </c15:formulaRef>
                      </c:ext>
                    </c:extLst>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9-1352-479B-B544-CC7EB16EC9B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D'!$B$6:$H$6</c15:sqref>
                        </c15:formulaRef>
                      </c:ext>
                    </c:extLst>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A-1352-479B-B544-CC7EB16EC9B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D'!$B$7:$H$7</c15:sqref>
                        </c15:formulaRef>
                      </c:ext>
                    </c:extLst>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B-1352-479B-B544-CC7EB16EC9B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D'!$B$8:$H$8</c15:sqref>
                        </c15:formulaRef>
                      </c:ext>
                    </c:extLst>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C-1352-479B-B544-CC7EB16EC9B0}"/>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carer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'Mr D - post'!$A$3</c:f>
              <c:strCache>
                <c:ptCount val="1"/>
                <c:pt idx="0">
                  <c:v>Reducing the hours required for paid carer support</c:v>
                </c:pt>
              </c:strCache>
            </c:strRef>
          </c:tx>
          <c:spPr>
            <a:solidFill>
              <a:srgbClr val="009DD9"/>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E26E-4E80-932C-3E67B46FE374}"/>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E26E-4E80-932C-3E67B46FE37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post'!$B$3:$H$3</c:f>
              <c:numCache>
                <c:formatCode>General</c:formatCode>
                <c:ptCount val="7"/>
                <c:pt idx="0">
                  <c:v>1</c:v>
                </c:pt>
                <c:pt idx="1">
                  <c:v>2</c:v>
                </c:pt>
                <c:pt idx="2">
                  <c:v>1</c:v>
                </c:pt>
                <c:pt idx="3">
                  <c:v>3</c:v>
                </c:pt>
                <c:pt idx="4">
                  <c:v>2</c:v>
                </c:pt>
                <c:pt idx="5">
                  <c:v>0</c:v>
                </c:pt>
                <c:pt idx="6">
                  <c:v>0</c:v>
                </c:pt>
              </c:numCache>
            </c:numRef>
          </c:val>
          <c:extLst xmlns:c15="http://schemas.microsoft.com/office/drawing/2012/chart">
            <c:ext xmlns:c16="http://schemas.microsoft.com/office/drawing/2014/chart" uri="{C3380CC4-5D6E-409C-BE32-E72D297353CC}">
              <c16:uniqueId val="{00000002-E26E-4E80-932C-3E67B46FE374}"/>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post'!$B$2:$H$2</c15:sqref>
                        </c15:formulaRef>
                      </c:ext>
                    </c:extLst>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3-E26E-4E80-932C-3E67B46FE37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post'!$B$4:$H$4</c15:sqref>
                        </c15:formulaRef>
                      </c:ext>
                    </c:extLst>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4-E26E-4E80-932C-3E67B46FE37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post'!$B$5:$H$5</c15:sqref>
                        </c15:formulaRef>
                      </c:ext>
                    </c:extLst>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5-E26E-4E80-932C-3E67B46FE37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post'!$B$6:$H$6</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E26E-4E80-932C-3E67B46FE37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post'!$B$7:$H$7</c15:sqref>
                        </c15:formulaRef>
                      </c:ext>
                    </c:extLst>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7-E26E-4E80-932C-3E67B46FE37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E26E-4E80-932C-3E67B46FE37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'Mr D'!$A$4</c:f>
              <c:strCache>
                <c:ptCount val="1"/>
                <c:pt idx="0">
                  <c:v>Reducing the hours required for paid formal care and support</c:v>
                </c:pt>
              </c:strCache>
            </c:strRef>
          </c:tx>
          <c:spPr>
            <a:solidFill>
              <a:schemeClr val="accent3"/>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F45-4F48-8099-9A4148A7FF3E}"/>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F45-4F48-8099-9A4148A7FF3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D'!$B$4:$H$4</c:f>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2-5F45-4F48-8099-9A4148A7FF3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D'!$B$2:$H$2</c15:sqref>
                        </c15:formulaRef>
                      </c:ext>
                    </c:extLst>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3-5F45-4F48-8099-9A4148A7FF3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D'!$B$3:$H$3</c15:sqref>
                        </c15:formulaRef>
                      </c:ext>
                    </c:extLst>
                    <c:numCache>
                      <c:formatCode>General</c:formatCode>
                      <c:ptCount val="7"/>
                      <c:pt idx="0">
                        <c:v>1</c:v>
                      </c:pt>
                      <c:pt idx="1">
                        <c:v>1</c:v>
                      </c:pt>
                      <c:pt idx="2">
                        <c:v>2</c:v>
                      </c:pt>
                      <c:pt idx="3">
                        <c:v>1</c:v>
                      </c:pt>
                      <c:pt idx="4">
                        <c:v>3</c:v>
                      </c:pt>
                      <c:pt idx="5">
                        <c:v>0</c:v>
                      </c:pt>
                      <c:pt idx="6">
                        <c:v>1</c:v>
                      </c:pt>
                    </c:numCache>
                  </c:numRef>
                </c:val>
                <c:extLst xmlns:c15="http://schemas.microsoft.com/office/drawing/2012/chart">
                  <c:ext xmlns:c16="http://schemas.microsoft.com/office/drawing/2014/chart" uri="{C3380CC4-5D6E-409C-BE32-E72D297353CC}">
                    <c16:uniqueId val="{00000004-5F45-4F48-8099-9A4148A7FF3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D'!$B$5:$H$5</c15:sqref>
                        </c15:formulaRef>
                      </c:ext>
                    </c:extLst>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5-5F45-4F48-8099-9A4148A7FF3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D'!$B$6:$H$6</c15:sqref>
                        </c15:formulaRef>
                      </c:ext>
                    </c:extLst>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6-5F45-4F48-8099-9A4148A7FF3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D'!$B$7:$H$7</c15:sqref>
                        </c15:formulaRef>
                      </c:ext>
                    </c:extLst>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7-5F45-4F48-8099-9A4148A7FF3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D'!$B$8:$H$8</c15:sqref>
                        </c15:formulaRef>
                      </c:ext>
                    </c:extLst>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8-5F45-4F48-8099-9A4148A7FF3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hours required for </a:t>
            </a:r>
            <a:br>
              <a:rPr lang="en-GB" sz="1100"/>
            </a:br>
            <a:r>
              <a:rPr lang="en-GB" sz="1100"/>
              <a:t>paid formal care and support</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'Mr D - post'!$A$4</c:f>
              <c:strCache>
                <c:ptCount val="1"/>
                <c:pt idx="0">
                  <c:v>Reducing the hours required for paid formal care and support</c:v>
                </c:pt>
              </c:strCache>
            </c:strRef>
          </c:tx>
          <c:spPr>
            <a:solidFill>
              <a:schemeClr val="accent3"/>
            </a:solidFill>
            <a:ln>
              <a:noFill/>
            </a:ln>
            <a:effectLst/>
          </c:spPr>
          <c:invertIfNegative val="0"/>
          <c:dLbls>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6CBE-4EA1-B43B-C269707D869D}"/>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6CBE-4EA1-B43B-C269707D869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post'!$B$4:$H$4</c:f>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2-6CBE-4EA1-B43B-C269707D869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post'!$B$2:$H$2</c15:sqref>
                        </c15:formulaRef>
                      </c:ext>
                    </c:extLst>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3-6CBE-4EA1-B43B-C269707D869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post'!$B$3:$H$3</c15:sqref>
                        </c15:formulaRef>
                      </c:ext>
                    </c:extLst>
                    <c:numCache>
                      <c:formatCode>General</c:formatCode>
                      <c:ptCount val="7"/>
                      <c:pt idx="0">
                        <c:v>1</c:v>
                      </c:pt>
                      <c:pt idx="1">
                        <c:v>2</c:v>
                      </c:pt>
                      <c:pt idx="2">
                        <c:v>1</c:v>
                      </c:pt>
                      <c:pt idx="3">
                        <c:v>3</c:v>
                      </c:pt>
                      <c:pt idx="4">
                        <c:v>2</c:v>
                      </c:pt>
                      <c:pt idx="5">
                        <c:v>0</c:v>
                      </c:pt>
                      <c:pt idx="6">
                        <c:v>0</c:v>
                      </c:pt>
                    </c:numCache>
                  </c:numRef>
                </c:val>
                <c:extLst xmlns:c15="http://schemas.microsoft.com/office/drawing/2012/chart">
                  <c:ext xmlns:c16="http://schemas.microsoft.com/office/drawing/2014/chart" uri="{C3380CC4-5D6E-409C-BE32-E72D297353CC}">
                    <c16:uniqueId val="{00000004-6CBE-4EA1-B43B-C269707D869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post'!$B$5:$H$5</c15:sqref>
                        </c15:formulaRef>
                      </c:ext>
                    </c:extLst>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5-6CBE-4EA1-B43B-C269707D869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post'!$B$6:$H$6</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6CBE-4EA1-B43B-C269707D869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post'!$B$7:$H$7</c15:sqref>
                        </c15:formulaRef>
                      </c:ext>
                    </c:extLst>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7-6CBE-4EA1-B43B-C269707D869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6CBE-4EA1-B43B-C269707D869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'Mr D'!$A$5</c:f>
              <c:strCache>
                <c:ptCount val="1"/>
                <c:pt idx="0">
                  <c:v>Reducing the number of GP visits</c:v>
                </c:pt>
              </c:strCache>
            </c:strRef>
          </c:tx>
          <c:spPr>
            <a:solidFill>
              <a:schemeClr val="accent4"/>
            </a:solidFill>
            <a:ln>
              <a:noFill/>
            </a:ln>
            <a:effectLst/>
          </c:spPr>
          <c:invertIfNegative val="0"/>
          <c:dLbls>
            <c:dLbl>
              <c:idx val="1"/>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7D8D-41E4-987E-0975F521C067}"/>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7D8D-41E4-987E-0975F521C067}"/>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D'!$B$5:$H$5</c:f>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2-7D8D-41E4-987E-0975F521C067}"/>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D'!$B$2:$H$2</c15:sqref>
                        </c15:formulaRef>
                      </c:ext>
                    </c:extLst>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3-7D8D-41E4-987E-0975F521C06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D'!$B$3:$H$3</c15:sqref>
                        </c15:formulaRef>
                      </c:ext>
                    </c:extLst>
                    <c:numCache>
                      <c:formatCode>General</c:formatCode>
                      <c:ptCount val="7"/>
                      <c:pt idx="0">
                        <c:v>1</c:v>
                      </c:pt>
                      <c:pt idx="1">
                        <c:v>1</c:v>
                      </c:pt>
                      <c:pt idx="2">
                        <c:v>2</c:v>
                      </c:pt>
                      <c:pt idx="3">
                        <c:v>1</c:v>
                      </c:pt>
                      <c:pt idx="4">
                        <c:v>3</c:v>
                      </c:pt>
                      <c:pt idx="5">
                        <c:v>0</c:v>
                      </c:pt>
                      <c:pt idx="6">
                        <c:v>1</c:v>
                      </c:pt>
                    </c:numCache>
                  </c:numRef>
                </c:val>
                <c:extLst xmlns:c15="http://schemas.microsoft.com/office/drawing/2012/chart">
                  <c:ext xmlns:c16="http://schemas.microsoft.com/office/drawing/2014/chart" uri="{C3380CC4-5D6E-409C-BE32-E72D297353CC}">
                    <c16:uniqueId val="{00000004-7D8D-41E4-987E-0975F521C06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D'!$B$4:$H$4</c15:sqref>
                        </c15:formulaRef>
                      </c:ext>
                    </c:extLst>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5-7D8D-41E4-987E-0975F521C06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D'!$B$6:$H$6</c15:sqref>
                        </c15:formulaRef>
                      </c:ext>
                    </c:extLst>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6-7D8D-41E4-987E-0975F521C06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D'!$B$7:$H$7</c15:sqref>
                        </c15:formulaRef>
                      </c:ext>
                    </c:extLst>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7-7D8D-41E4-987E-0975F521C06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D'!$B$8:$H$8</c15:sqref>
                        </c15:formulaRef>
                      </c:ext>
                    </c:extLst>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8-7D8D-41E4-987E-0975F521C06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the number of GP visits</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'Mr D - post'!$A$5</c:f>
              <c:strCache>
                <c:ptCount val="1"/>
                <c:pt idx="0">
                  <c:v>Reducing the number of GP visits</c:v>
                </c:pt>
              </c:strCache>
            </c:strRef>
          </c:tx>
          <c:spPr>
            <a:solidFill>
              <a:schemeClr val="accent4"/>
            </a:solidFill>
            <a:ln>
              <a:noFill/>
            </a:ln>
            <a:effectLst/>
          </c:spPr>
          <c:invertIfNegative val="0"/>
          <c:dLbls>
            <c:dLbl>
              <c:idx val="5"/>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92E1-4D6B-9DD8-A938AB91E63F}"/>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92E1-4D6B-9DD8-A938AB91E63F}"/>
                </c:ext>
              </c:extLst>
            </c:dLbl>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post'!$B$5:$H$5</c:f>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2-92E1-4D6B-9DD8-A938AB91E63F}"/>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post'!$B$2:$H$2</c15:sqref>
                        </c15:formulaRef>
                      </c:ext>
                    </c:extLst>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3-92E1-4D6B-9DD8-A938AB91E63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post'!$B$3:$H$3</c15:sqref>
                        </c15:formulaRef>
                      </c:ext>
                    </c:extLst>
                    <c:numCache>
                      <c:formatCode>General</c:formatCode>
                      <c:ptCount val="7"/>
                      <c:pt idx="0">
                        <c:v>1</c:v>
                      </c:pt>
                      <c:pt idx="1">
                        <c:v>2</c:v>
                      </c:pt>
                      <c:pt idx="2">
                        <c:v>1</c:v>
                      </c:pt>
                      <c:pt idx="3">
                        <c:v>3</c:v>
                      </c:pt>
                      <c:pt idx="4">
                        <c:v>2</c:v>
                      </c:pt>
                      <c:pt idx="5">
                        <c:v>0</c:v>
                      </c:pt>
                      <c:pt idx="6">
                        <c:v>0</c:v>
                      </c:pt>
                    </c:numCache>
                  </c:numRef>
                </c:val>
                <c:extLst xmlns:c15="http://schemas.microsoft.com/office/drawing/2012/chart">
                  <c:ext xmlns:c16="http://schemas.microsoft.com/office/drawing/2014/chart" uri="{C3380CC4-5D6E-409C-BE32-E72D297353CC}">
                    <c16:uniqueId val="{00000004-92E1-4D6B-9DD8-A938AB91E63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post'!$B$4:$H$4</c15:sqref>
                        </c15:formulaRef>
                      </c:ext>
                    </c:extLst>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5-92E1-4D6B-9DD8-A938AB91E63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post'!$B$6:$H$6</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6-92E1-4D6B-9DD8-A938AB91E63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post'!$B$7:$H$7</c15:sqref>
                        </c15:formulaRef>
                      </c:ext>
                    </c:extLst>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7-92E1-4D6B-9DD8-A938AB91E63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92E1-4D6B-9DD8-A938AB91E63F}"/>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(pre-survey)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'Mr D'!$A$6</c:f>
              <c:strCache>
                <c:ptCount val="1"/>
                <c:pt idx="0">
                  <c:v>Reducing the number of hospital admissions through the emergency department</c:v>
                </c:pt>
              </c:strCache>
            </c:strRef>
          </c:tx>
          <c:spPr>
            <a:solidFill>
              <a:schemeClr val="accent5"/>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B29-4EF7-90F2-CB78DFFAE18D}"/>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B29-4EF7-90F2-CB78DFFAE18D}"/>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B29-4EF7-90F2-CB78DFFAE18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D'!$B$6:$H$6</c:f>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4-8B29-4EF7-90F2-CB78DFFAE18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D'!$B$2:$H$2</c15:sqref>
                        </c15:formulaRef>
                      </c:ext>
                    </c:extLst>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5-8B29-4EF7-90F2-CB78DFFAE18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D'!$B$3:$H$3</c15:sqref>
                        </c15:formulaRef>
                      </c:ext>
                    </c:extLst>
                    <c:numCache>
                      <c:formatCode>General</c:formatCode>
                      <c:ptCount val="7"/>
                      <c:pt idx="0">
                        <c:v>1</c:v>
                      </c:pt>
                      <c:pt idx="1">
                        <c:v>1</c:v>
                      </c:pt>
                      <c:pt idx="2">
                        <c:v>2</c:v>
                      </c:pt>
                      <c:pt idx="3">
                        <c:v>1</c:v>
                      </c:pt>
                      <c:pt idx="4">
                        <c:v>3</c:v>
                      </c:pt>
                      <c:pt idx="5">
                        <c:v>0</c:v>
                      </c:pt>
                      <c:pt idx="6">
                        <c:v>1</c:v>
                      </c:pt>
                    </c:numCache>
                  </c:numRef>
                </c:val>
                <c:extLst xmlns:c15="http://schemas.microsoft.com/office/drawing/2012/chart">
                  <c:ext xmlns:c16="http://schemas.microsoft.com/office/drawing/2014/chart" uri="{C3380CC4-5D6E-409C-BE32-E72D297353CC}">
                    <c16:uniqueId val="{00000006-8B29-4EF7-90F2-CB78DFFAE18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D'!$B$4:$H$4</c15:sqref>
                        </c15:formulaRef>
                      </c:ext>
                    </c:extLst>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7-8B29-4EF7-90F2-CB78DFFAE18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D'!$B$5:$H$5</c15:sqref>
                        </c15:formulaRef>
                      </c:ext>
                    </c:extLst>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8-8B29-4EF7-90F2-CB78DFFAE18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D'!$B$7:$H$7</c15:sqref>
                        </c15:formulaRef>
                      </c:ext>
                    </c:extLst>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9-8B29-4EF7-90F2-CB78DFFAE18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D'!$B$8:$H$8</c15:sqref>
                        </c15:formulaRef>
                      </c:ext>
                    </c:extLst>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A-8B29-4EF7-90F2-CB78DFFAE18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Improved user independence and participation in activities in the community</a:t>
            </a:r>
            <a:br>
              <a:rPr lang="en-GB" sz="1000"/>
            </a:br>
            <a:r>
              <a:rPr lang="en-GB" sz="1000" b="0" i="0" u="none" strike="noStrike" baseline="0">
                <a:effectLst/>
              </a:rPr>
              <a:t>(post-survey)</a:t>
            </a:r>
            <a:endParaRPr lang="en-GB" sz="1000"/>
          </a:p>
        </c:rich>
      </c:tx>
      <c:layout>
        <c:manualLayout>
          <c:xMode val="edge"/>
          <c:yMode val="edge"/>
          <c:x val="0.15755861111111108"/>
          <c:y val="4.1157407407407406E-2"/>
        </c:manualLayout>
      </c:layout>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'Post-survey'!$A$4</c:f>
              <c:strCache>
                <c:ptCount val="1"/>
                <c:pt idx="0">
                  <c:v>Improved user independence and participation in activities in the community</c:v>
                </c:pt>
              </c:strCache>
              <c:extLst xmlns:c15="http://schemas.microsoft.com/office/drawing/2012/chart"/>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7-452F-8F5E-0C11A405327D}"/>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C7-452F-8F5E-0C11A405327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'Post-survey'!$B$1:$H$1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'Post-survey'!$B$4:$H$4</c:f>
              <c:numCache>
                <c:formatCode>General</c:formatCode>
                <c:ptCount val="7"/>
                <c:pt idx="0">
                  <c:v>7</c:v>
                </c:pt>
                <c:pt idx="1">
                  <c:v>2</c:v>
                </c:pt>
                <c:pt idx="2">
                  <c:v>0</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0-36FA-46E0-84C8-040A4822EED2}"/>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'Post-survey'!$A$2</c15:sqref>
                        </c15:formulaRef>
                      </c:ext>
                    </c:extLst>
                    <c:strCache>
                      <c:ptCount val="1"/>
                      <c:pt idx="0">
                        <c:v>Improved user wellbeing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'Post-survey'!$B$2:$H$2</c15:sqref>
                        </c15:formulaRef>
                      </c:ext>
                    </c:extLst>
                    <c:numCache>
                      <c:formatCode>General</c:formatCode>
                      <c:ptCount val="7"/>
                      <c:pt idx="0">
                        <c:v>6</c:v>
                      </c:pt>
                      <c:pt idx="1">
                        <c:v>3</c:v>
                      </c:pt>
                      <c:pt idx="2">
                        <c:v>0</c:v>
                      </c:pt>
                      <c:pt idx="3">
                        <c:v>0</c:v>
                      </c:pt>
                      <c:pt idx="4">
                        <c:v>0</c:v>
                      </c:pt>
                      <c:pt idx="5">
                        <c:v>0</c:v>
                      </c:pt>
                      <c:pt idx="6">
                        <c:v>0</c:v>
                      </c:pt>
                    </c:numCache>
                  </c:numRef>
                </c:val>
                <c:extLst>
                  <c:ext xmlns:c16="http://schemas.microsoft.com/office/drawing/2014/chart" uri="{C3380CC4-5D6E-409C-BE32-E72D297353CC}">
                    <c16:uniqueId val="{00000001-36FA-46E0-84C8-040A4822EED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'Post-survey'!$A$3</c15:sqref>
                        </c15:formulaRef>
                      </c:ext>
                    </c:extLst>
                    <c:strCache>
                      <c:ptCount val="1"/>
                      <c:pt idx="0">
                        <c:v>Improved user independence and participation in activities in the home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'Post-survey'!$B$3:$H$3</c15:sqref>
                        </c15:formulaRef>
                      </c:ext>
                    </c:extLst>
                    <c:numCache>
                      <c:formatCode>General</c:formatCode>
                      <c:ptCount val="7"/>
                      <c:pt idx="0">
                        <c:v>6</c:v>
                      </c:pt>
                      <c:pt idx="1">
                        <c:v>3</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2-36FA-46E0-84C8-040A4822EED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'Post-survey'!$A$5</c15:sqref>
                        </c15:formulaRef>
                      </c:ext>
                    </c:extLst>
                    <c:strCache>
                      <c:ptCount val="1"/>
                      <c:pt idx="0">
                        <c:v>Reduced user risks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'Post-survey'!$B$1:$H$1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'Post-survey'!$B$5:$H$5</c15:sqref>
                        </c15:formulaRef>
                      </c:ext>
                    </c:extLst>
                    <c:numCache>
                      <c:formatCode>General</c:formatCode>
                      <c:ptCount val="7"/>
                      <c:pt idx="0">
                        <c:v>4</c:v>
                      </c:pt>
                      <c:pt idx="1">
                        <c:v>3</c:v>
                      </c:pt>
                      <c:pt idx="2">
                        <c:v>2</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3-36FA-46E0-84C8-040A4822EED2}"/>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GB" sz="1000"/>
              <a:t>Reducing the number of hospital admissions through the emergency department</a:t>
            </a:r>
            <a:br>
              <a:rPr lang="en-GB" sz="1000"/>
            </a:br>
            <a:r>
              <a:rPr lang="en-GB" sz="1000" b="0"/>
              <a:t>(post-survey)</a:t>
            </a:r>
          </a:p>
        </c:rich>
      </c:tx>
      <c:overlay val="1"/>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'Mr D - post'!$A$6</c:f>
              <c:strCache>
                <c:ptCount val="1"/>
                <c:pt idx="0">
                  <c:v>Reducing the number of hospital admissions through the emergency department</c:v>
                </c:pt>
              </c:strCache>
            </c:strRef>
          </c:tx>
          <c:spPr>
            <a:solidFill>
              <a:schemeClr val="accent5"/>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540F-4323-B6F4-779AEB3D1F2E}"/>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540F-4323-B6F4-779AEB3D1F2E}"/>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540F-4323-B6F4-779AEB3D1F2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post'!$B$6:$H$6</c:f>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3-540F-4323-B6F4-779AEB3D1F2E}"/>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post'!$B$2:$H$2</c15:sqref>
                        </c15:formulaRef>
                      </c:ext>
                    </c:extLst>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4-540F-4323-B6F4-779AEB3D1F2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post'!$B$3:$H$3</c15:sqref>
                        </c15:formulaRef>
                      </c:ext>
                    </c:extLst>
                    <c:numCache>
                      <c:formatCode>General</c:formatCode>
                      <c:ptCount val="7"/>
                      <c:pt idx="0">
                        <c:v>1</c:v>
                      </c:pt>
                      <c:pt idx="1">
                        <c:v>2</c:v>
                      </c:pt>
                      <c:pt idx="2">
                        <c:v>1</c:v>
                      </c:pt>
                      <c:pt idx="3">
                        <c:v>3</c:v>
                      </c:pt>
                      <c:pt idx="4">
                        <c:v>2</c:v>
                      </c:pt>
                      <c:pt idx="5">
                        <c:v>0</c:v>
                      </c:pt>
                      <c:pt idx="6">
                        <c:v>0</c:v>
                      </c:pt>
                    </c:numCache>
                  </c:numRef>
                </c:val>
                <c:extLst xmlns:c15="http://schemas.microsoft.com/office/drawing/2012/chart">
                  <c:ext xmlns:c16="http://schemas.microsoft.com/office/drawing/2014/chart" uri="{C3380CC4-5D6E-409C-BE32-E72D297353CC}">
                    <c16:uniqueId val="{00000005-540F-4323-B6F4-779AEB3D1F2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post'!$B$4:$H$4</c15:sqref>
                        </c15:formulaRef>
                      </c:ext>
                    </c:extLst>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6-540F-4323-B6F4-779AEB3D1F2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post'!$B$5:$H$5</c15:sqref>
                        </c15:formulaRef>
                      </c:ext>
                    </c:extLst>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7-540F-4323-B6F4-779AEB3D1F2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post'!$B$7:$H$7</c15:sqref>
                        </c15:formulaRef>
                      </c:ext>
                    </c:extLst>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8-540F-4323-B6F4-779AEB3D1F2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9-540F-4323-B6F4-779AEB3D1F2E}"/>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'Mr D'!$A$7</c:f>
              <c:strCache>
                <c:ptCount val="1"/>
                <c:pt idx="0">
                  <c:v>Reducing days spent in respite care</c:v>
                </c:pt>
              </c:strCache>
            </c:strRef>
          </c:tx>
          <c:spPr>
            <a:solidFill>
              <a:schemeClr val="accent6"/>
            </a:solidFill>
            <a:ln>
              <a:noFill/>
            </a:ln>
            <a:effectLst/>
          </c:spPr>
          <c:invertIfNegative val="0"/>
          <c:dLbls>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CF00-44DB-B8C0-64C1A72615E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D'!$B$7:$H$7</c:f>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1-CF00-44DB-B8C0-64C1A72615EC}"/>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D'!$B$2:$H$2</c15:sqref>
                        </c15:formulaRef>
                      </c:ext>
                    </c:extLst>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2-CF00-44DB-B8C0-64C1A72615E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D'!$B$3:$H$3</c15:sqref>
                        </c15:formulaRef>
                      </c:ext>
                    </c:extLst>
                    <c:numCache>
                      <c:formatCode>General</c:formatCode>
                      <c:ptCount val="7"/>
                      <c:pt idx="0">
                        <c:v>1</c:v>
                      </c:pt>
                      <c:pt idx="1">
                        <c:v>1</c:v>
                      </c:pt>
                      <c:pt idx="2">
                        <c:v>2</c:v>
                      </c:pt>
                      <c:pt idx="3">
                        <c:v>1</c:v>
                      </c:pt>
                      <c:pt idx="4">
                        <c:v>3</c:v>
                      </c:pt>
                      <c:pt idx="5">
                        <c:v>0</c:v>
                      </c:pt>
                      <c:pt idx="6">
                        <c:v>1</c:v>
                      </c:pt>
                    </c:numCache>
                  </c:numRef>
                </c:val>
                <c:extLst xmlns:c15="http://schemas.microsoft.com/office/drawing/2012/chart">
                  <c:ext xmlns:c16="http://schemas.microsoft.com/office/drawing/2014/chart" uri="{C3380CC4-5D6E-409C-BE32-E72D297353CC}">
                    <c16:uniqueId val="{00000003-CF00-44DB-B8C0-64C1A72615E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D'!$B$4:$H$4</c15:sqref>
                        </c15:formulaRef>
                      </c:ext>
                    </c:extLst>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4-CF00-44DB-B8C0-64C1A72615E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D'!$B$5:$H$5</c15:sqref>
                        </c15:formulaRef>
                      </c:ext>
                    </c:extLst>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5-CF00-44DB-B8C0-64C1A72615E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D'!$B$6:$H$6</c15:sqref>
                        </c15:formulaRef>
                      </c:ext>
                    </c:extLst>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6-CF00-44DB-B8C0-64C1A72615E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D'!$B$8:$H$8</c15:sqref>
                        </c15:formulaRef>
                      </c:ext>
                    </c:extLst>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7-CF00-44DB-B8C0-64C1A72615EC}"/>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days spent in respite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5"/>
          <c:order val="5"/>
          <c:tx>
            <c:strRef>
              <c:f>'Mr D - post'!$A$7</c:f>
              <c:strCache>
                <c:ptCount val="1"/>
                <c:pt idx="0">
                  <c:v>Reducing days spent in respite care</c:v>
                </c:pt>
              </c:strCache>
            </c:strRef>
          </c:tx>
          <c:spPr>
            <a:solidFill>
              <a:schemeClr val="accent6"/>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3F62-4F40-9915-0C429F29494D}"/>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3F62-4F40-9915-0C429F2949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post'!$B$7:$H$7</c:f>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2-3F62-4F40-9915-0C429F29494D}"/>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post'!$B$2:$H$2</c15:sqref>
                        </c15:formulaRef>
                      </c:ext>
                    </c:extLst>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3-3F62-4F40-9915-0C429F29494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post'!$B$3:$H$3</c15:sqref>
                        </c15:formulaRef>
                      </c:ext>
                    </c:extLst>
                    <c:numCache>
                      <c:formatCode>General</c:formatCode>
                      <c:ptCount val="7"/>
                      <c:pt idx="0">
                        <c:v>1</c:v>
                      </c:pt>
                      <c:pt idx="1">
                        <c:v>2</c:v>
                      </c:pt>
                      <c:pt idx="2">
                        <c:v>1</c:v>
                      </c:pt>
                      <c:pt idx="3">
                        <c:v>3</c:v>
                      </c:pt>
                      <c:pt idx="4">
                        <c:v>2</c:v>
                      </c:pt>
                      <c:pt idx="5">
                        <c:v>0</c:v>
                      </c:pt>
                      <c:pt idx="6">
                        <c:v>0</c:v>
                      </c:pt>
                    </c:numCache>
                  </c:numRef>
                </c:val>
                <c:extLst xmlns:c15="http://schemas.microsoft.com/office/drawing/2012/chart">
                  <c:ext xmlns:c16="http://schemas.microsoft.com/office/drawing/2014/chart" uri="{C3380CC4-5D6E-409C-BE32-E72D297353CC}">
                    <c16:uniqueId val="{00000004-3F62-4F40-9915-0C429F29494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post'!$B$4:$H$4</c15:sqref>
                        </c15:formulaRef>
                      </c:ext>
                    </c:extLst>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5-3F62-4F40-9915-0C429F29494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post'!$B$5:$H$5</c15:sqref>
                        </c15:formulaRef>
                      </c:ext>
                    </c:extLst>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6-3F62-4F40-9915-0C429F29494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post'!$B$6:$H$6</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7-3F62-4F40-9915-0C429F29494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'Mr D - post'!$A$8</c15:sqref>
                        </c15:formulaRef>
                      </c:ext>
                    </c:extLst>
                    <c:strCache>
                      <c:ptCount val="1"/>
                      <c:pt idx="0">
                        <c:v>Reducing or delaying the need for residential aged care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post'!$B$8:$H$8</c15:sqref>
                        </c15:formulaRef>
                      </c:ext>
                    </c:extLst>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8-3F62-4F40-9915-0C429F29494D}"/>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residential aged care</a:t>
            </a:r>
            <a:br>
              <a:rPr lang="en-GB" sz="1100"/>
            </a:br>
            <a:r>
              <a:rPr lang="en-GB" sz="1100" b="0"/>
              <a:t>(pre-survey)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'Mr D'!$A$8</c:f>
              <c:strCache>
                <c:ptCount val="1"/>
                <c:pt idx="0">
                  <c:v>Reducing or delaying the need for residential aged care</c:v>
                </c:pt>
              </c:strCache>
            </c:strRef>
          </c:tx>
          <c:spPr>
            <a:solidFill>
              <a:schemeClr val="accent1">
                <a:lumMod val="60000"/>
              </a:schemeClr>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80DF-4786-9D8A-D0D752B56F98}"/>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80DF-4786-9D8A-D0D752B56F9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D'!$B$8:$H$8</c:f>
              <c:numCache>
                <c:formatCode>General</c:formatCode>
                <c:ptCount val="7"/>
                <c:pt idx="0">
                  <c:v>2</c:v>
                </c:pt>
                <c:pt idx="1">
                  <c:v>2</c:v>
                </c:pt>
                <c:pt idx="2">
                  <c:v>3</c:v>
                </c:pt>
                <c:pt idx="3">
                  <c:v>0</c:v>
                </c:pt>
                <c:pt idx="4">
                  <c:v>0</c:v>
                </c:pt>
                <c:pt idx="5">
                  <c:v>1</c:v>
                </c:pt>
                <c:pt idx="6">
                  <c:v>1</c:v>
                </c:pt>
              </c:numCache>
            </c:numRef>
          </c:val>
          <c:extLst xmlns:c15="http://schemas.microsoft.com/office/drawing/2012/chart">
            <c:ext xmlns:c16="http://schemas.microsoft.com/office/drawing/2014/chart" uri="{C3380CC4-5D6E-409C-BE32-E72D297353CC}">
              <c16:uniqueId val="{00000002-80DF-4786-9D8A-D0D752B56F98}"/>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D'!$B$2:$H$2</c15:sqref>
                        </c15:formulaRef>
                      </c:ext>
                    </c:extLst>
                    <c:numCache>
                      <c:formatCode>General</c:formatCode>
                      <c:ptCount val="7"/>
                      <c:pt idx="0">
                        <c:v>1</c:v>
                      </c:pt>
                      <c:pt idx="1">
                        <c:v>1</c:v>
                      </c:pt>
                      <c:pt idx="2">
                        <c:v>1</c:v>
                      </c:pt>
                      <c:pt idx="3">
                        <c:v>2</c:v>
                      </c:pt>
                      <c:pt idx="4">
                        <c:v>3</c:v>
                      </c:pt>
                      <c:pt idx="5">
                        <c:v>0</c:v>
                      </c:pt>
                      <c:pt idx="6">
                        <c:v>1</c:v>
                      </c:pt>
                    </c:numCache>
                  </c:numRef>
                </c:val>
                <c:extLst>
                  <c:ext xmlns:c16="http://schemas.microsoft.com/office/drawing/2014/chart" uri="{C3380CC4-5D6E-409C-BE32-E72D297353CC}">
                    <c16:uniqueId val="{00000003-80DF-4786-9D8A-D0D752B56F9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D'!$B$3:$H$3</c15:sqref>
                        </c15:formulaRef>
                      </c:ext>
                    </c:extLst>
                    <c:numCache>
                      <c:formatCode>General</c:formatCode>
                      <c:ptCount val="7"/>
                      <c:pt idx="0">
                        <c:v>1</c:v>
                      </c:pt>
                      <c:pt idx="1">
                        <c:v>1</c:v>
                      </c:pt>
                      <c:pt idx="2">
                        <c:v>2</c:v>
                      </c:pt>
                      <c:pt idx="3">
                        <c:v>1</c:v>
                      </c:pt>
                      <c:pt idx="4">
                        <c:v>3</c:v>
                      </c:pt>
                      <c:pt idx="5">
                        <c:v>0</c:v>
                      </c:pt>
                      <c:pt idx="6">
                        <c:v>1</c:v>
                      </c:pt>
                    </c:numCache>
                  </c:numRef>
                </c:val>
                <c:extLst xmlns:c15="http://schemas.microsoft.com/office/drawing/2012/chart">
                  <c:ext xmlns:c16="http://schemas.microsoft.com/office/drawing/2014/chart" uri="{C3380CC4-5D6E-409C-BE32-E72D297353CC}">
                    <c16:uniqueId val="{00000004-80DF-4786-9D8A-D0D752B56F9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D'!$B$4:$H$4</c15:sqref>
                        </c15:formulaRef>
                      </c:ext>
                    </c:extLst>
                    <c:numCache>
                      <c:formatCode>General</c:formatCode>
                      <c:ptCount val="7"/>
                      <c:pt idx="0">
                        <c:v>1</c:v>
                      </c:pt>
                      <c:pt idx="1">
                        <c:v>0</c:v>
                      </c:pt>
                      <c:pt idx="2">
                        <c:v>3</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5-80DF-4786-9D8A-D0D752B56F9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D'!$B$5:$H$5</c15:sqref>
                        </c15:formulaRef>
                      </c:ext>
                    </c:extLst>
                    <c:numCache>
                      <c:formatCode>General</c:formatCode>
                      <c:ptCount val="7"/>
                      <c:pt idx="0">
                        <c:v>1</c:v>
                      </c:pt>
                      <c:pt idx="1">
                        <c:v>0</c:v>
                      </c:pt>
                      <c:pt idx="2">
                        <c:v>2</c:v>
                      </c:pt>
                      <c:pt idx="3">
                        <c:v>3</c:v>
                      </c:pt>
                      <c:pt idx="4">
                        <c:v>1</c:v>
                      </c:pt>
                      <c:pt idx="5">
                        <c:v>2</c:v>
                      </c:pt>
                      <c:pt idx="6">
                        <c:v>0</c:v>
                      </c:pt>
                    </c:numCache>
                  </c:numRef>
                </c:val>
                <c:extLst xmlns:c15="http://schemas.microsoft.com/office/drawing/2012/chart">
                  <c:ext xmlns:c16="http://schemas.microsoft.com/office/drawing/2014/chart" uri="{C3380CC4-5D6E-409C-BE32-E72D297353CC}">
                    <c16:uniqueId val="{00000006-80DF-4786-9D8A-D0D752B56F9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D'!$B$6:$H$6</c15:sqref>
                        </c15:formulaRef>
                      </c:ext>
                    </c:extLst>
                    <c:numCache>
                      <c:formatCode>General</c:formatCode>
                      <c:ptCount val="7"/>
                      <c:pt idx="0">
                        <c:v>1</c:v>
                      </c:pt>
                      <c:pt idx="1">
                        <c:v>2</c:v>
                      </c:pt>
                      <c:pt idx="2">
                        <c:v>5</c:v>
                      </c:pt>
                      <c:pt idx="3">
                        <c:v>0</c:v>
                      </c:pt>
                      <c:pt idx="4">
                        <c:v>0</c:v>
                      </c:pt>
                      <c:pt idx="5">
                        <c:v>1</c:v>
                      </c:pt>
                      <c:pt idx="6">
                        <c:v>0</c:v>
                      </c:pt>
                    </c:numCache>
                  </c:numRef>
                </c:val>
                <c:extLst xmlns:c15="http://schemas.microsoft.com/office/drawing/2012/chart">
                  <c:ext xmlns:c16="http://schemas.microsoft.com/office/drawing/2014/chart" uri="{C3380CC4-5D6E-409C-BE32-E72D297353CC}">
                    <c16:uniqueId val="{00000007-80DF-4786-9D8A-D0D752B56F9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D'!$B$7:$H$7</c15:sqref>
                        </c15:formulaRef>
                      </c:ext>
                    </c:extLst>
                    <c:numCache>
                      <c:formatCode>General</c:formatCode>
                      <c:ptCount val="7"/>
                      <c:pt idx="0">
                        <c:v>1</c:v>
                      </c:pt>
                      <c:pt idx="1">
                        <c:v>1</c:v>
                      </c:pt>
                      <c:pt idx="2">
                        <c:v>3</c:v>
                      </c:pt>
                      <c:pt idx="3">
                        <c:v>2</c:v>
                      </c:pt>
                      <c:pt idx="4">
                        <c:v>1</c:v>
                      </c:pt>
                      <c:pt idx="5">
                        <c:v>1</c:v>
                      </c:pt>
                      <c:pt idx="6">
                        <c:v>0</c:v>
                      </c:pt>
                    </c:numCache>
                  </c:numRef>
                </c:val>
                <c:extLst xmlns:c15="http://schemas.microsoft.com/office/drawing/2012/chart">
                  <c:ext xmlns:c16="http://schemas.microsoft.com/office/drawing/2014/chart" uri="{C3380CC4-5D6E-409C-BE32-E72D297353CC}">
                    <c16:uniqueId val="{00000008-80DF-4786-9D8A-D0D752B56F98}"/>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Reducing or delaying the need for residential aged care</a:t>
            </a:r>
            <a:br>
              <a:rPr lang="en-GB" sz="1100"/>
            </a:br>
            <a:r>
              <a:rPr lang="en-GB" sz="1100" b="0"/>
              <a:t>(post-survey)</a:t>
            </a:r>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6"/>
          <c:order val="6"/>
          <c:tx>
            <c:strRef>
              <c:f>'Mr D - post'!$A$8</c:f>
              <c:strCache>
                <c:ptCount val="1"/>
                <c:pt idx="0">
                  <c:v>Reducing or delaying the need for residential aged care</c:v>
                </c:pt>
              </c:strCache>
            </c:strRef>
          </c:tx>
          <c:spPr>
            <a:solidFill>
              <a:schemeClr val="accent1">
                <a:lumMod val="60000"/>
              </a:schemeClr>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CC64-462C-9F2D-ACFC59E37C04}"/>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CC64-462C-9F2D-ACFC59E37C04}"/>
                </c:ext>
              </c:extLst>
            </c:dLbl>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CC64-462C-9F2D-ACFC59E37C0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'Mr D - post'!$B$1:$H$1</c:f>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f>'Mr D - post'!$B$8:$H$8</c:f>
              <c:numCache>
                <c:formatCode>General</c:formatCode>
                <c:ptCount val="7"/>
                <c:pt idx="0">
                  <c:v>5</c:v>
                </c:pt>
                <c:pt idx="1">
                  <c:v>1</c:v>
                </c:pt>
                <c:pt idx="2">
                  <c:v>2</c:v>
                </c:pt>
                <c:pt idx="3">
                  <c:v>1</c:v>
                </c:pt>
                <c:pt idx="4">
                  <c:v>0</c:v>
                </c:pt>
                <c:pt idx="5">
                  <c:v>0</c:v>
                </c:pt>
                <c:pt idx="6">
                  <c:v>0</c:v>
                </c:pt>
              </c:numCache>
            </c:numRef>
          </c:val>
          <c:extLst xmlns:c15="http://schemas.microsoft.com/office/drawing/2012/chart">
            <c:ext xmlns:c16="http://schemas.microsoft.com/office/drawing/2014/chart" uri="{C3380CC4-5D6E-409C-BE32-E72D297353CC}">
              <c16:uniqueId val="{00000003-CC64-462C-9F2D-ACFC59E37C04}"/>
            </c:ext>
          </c:extLst>
        </c:ser>
        <c:dLbls>
          <c:showLegendKey val="0"/>
          <c:showVal val="0"/>
          <c:showCatName val="0"/>
          <c:showSerName val="0"/>
          <c:showPercent val="0"/>
          <c:showBubbleSize val="0"/>
        </c:dLbls>
        <c:gapWidth val="110"/>
        <c:overlap val="-10"/>
        <c:axId val="772533328"/>
        <c:axId val="770443200"/>
        <c:extLst>
          <c:ext xmlns:c15="http://schemas.microsoft.com/office/drawing/2012/chart" uri="{02D57815-91ED-43cb-92C2-25804820EDAC}">
            <c15:filteredBarSeries>
              <c15:ser>
                <c:idx val="0"/>
                <c:order val="0"/>
                <c:tx>
                  <c:strRef>
                    <c:extLst>
                      <c:ext uri="{02D57815-91ED-43cb-92C2-25804820EDAC}">
                        <c15:formulaRef>
                          <c15:sqref>'Mr D - post'!$A$2</c15:sqref>
                        </c15:formulaRef>
                      </c:ext>
                    </c:extLst>
                    <c:strCache>
                      <c:ptCount val="1"/>
                      <c:pt idx="0">
                        <c:v>Reducing the hours required for unpaid informal care support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'Mr D - post'!$B$2:$H$2</c15:sqref>
                        </c15:formulaRef>
                      </c:ext>
                    </c:extLst>
                    <c:numCache>
                      <c:formatCode>General</c:formatCode>
                      <c:ptCount val="7"/>
                      <c:pt idx="0">
                        <c:v>1</c:v>
                      </c:pt>
                      <c:pt idx="1">
                        <c:v>4</c:v>
                      </c:pt>
                      <c:pt idx="2">
                        <c:v>2</c:v>
                      </c:pt>
                      <c:pt idx="3">
                        <c:v>2</c:v>
                      </c:pt>
                      <c:pt idx="4">
                        <c:v>0</c:v>
                      </c:pt>
                      <c:pt idx="5">
                        <c:v>0</c:v>
                      </c:pt>
                      <c:pt idx="6">
                        <c:v>0</c:v>
                      </c:pt>
                    </c:numCache>
                  </c:numRef>
                </c:val>
                <c:extLst>
                  <c:ext xmlns:c16="http://schemas.microsoft.com/office/drawing/2014/chart" uri="{C3380CC4-5D6E-409C-BE32-E72D297353CC}">
                    <c16:uniqueId val="{00000004-CC64-462C-9F2D-ACFC59E37C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'Mr D - post'!$A$3</c15:sqref>
                        </c15:formulaRef>
                      </c:ext>
                    </c:extLst>
                    <c:strCache>
                      <c:ptCount val="1"/>
                      <c:pt idx="0">
                        <c:v>Reducing the hours required for paid carer support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post'!$B$3:$H$3</c15:sqref>
                        </c15:formulaRef>
                      </c:ext>
                    </c:extLst>
                    <c:numCache>
                      <c:formatCode>General</c:formatCode>
                      <c:ptCount val="7"/>
                      <c:pt idx="0">
                        <c:v>1</c:v>
                      </c:pt>
                      <c:pt idx="1">
                        <c:v>2</c:v>
                      </c:pt>
                      <c:pt idx="2">
                        <c:v>1</c:v>
                      </c:pt>
                      <c:pt idx="3">
                        <c:v>3</c:v>
                      </c:pt>
                      <c:pt idx="4">
                        <c:v>2</c:v>
                      </c:pt>
                      <c:pt idx="5">
                        <c:v>0</c:v>
                      </c:pt>
                      <c:pt idx="6">
                        <c:v>0</c:v>
                      </c:pt>
                    </c:numCache>
                  </c:numRef>
                </c:val>
                <c:extLst xmlns:c15="http://schemas.microsoft.com/office/drawing/2012/chart">
                  <c:ext xmlns:c16="http://schemas.microsoft.com/office/drawing/2014/chart" uri="{C3380CC4-5D6E-409C-BE32-E72D297353CC}">
                    <c16:uniqueId val="{00000005-CC64-462C-9F2D-ACFC59E37C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'Mr D - post'!$A$4</c15:sqref>
                        </c15:formulaRef>
                      </c:ext>
                    </c:extLst>
                    <c:strCache>
                      <c:ptCount val="1"/>
                      <c:pt idx="0">
                        <c:v>Reducing the hours required for paid formal care and support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post'!$B$4:$H$4</c15:sqref>
                        </c15:formulaRef>
                      </c:ext>
                    </c:extLst>
                    <c:numCache>
                      <c:formatCode>General</c:formatCode>
                      <c:ptCount val="7"/>
                      <c:pt idx="0">
                        <c:v>1</c:v>
                      </c:pt>
                      <c:pt idx="1">
                        <c:v>3</c:v>
                      </c:pt>
                      <c:pt idx="2">
                        <c:v>2</c:v>
                      </c:pt>
                      <c:pt idx="3">
                        <c:v>1</c:v>
                      </c:pt>
                      <c:pt idx="4">
                        <c:v>2</c:v>
                      </c:pt>
                      <c:pt idx="5">
                        <c:v>0</c:v>
                      </c:pt>
                      <c:pt idx="6">
                        <c:v>0</c:v>
                      </c:pt>
                    </c:numCache>
                  </c:numRef>
                </c:val>
                <c:extLst xmlns:c15="http://schemas.microsoft.com/office/drawing/2012/chart">
                  <c:ext xmlns:c16="http://schemas.microsoft.com/office/drawing/2014/chart" uri="{C3380CC4-5D6E-409C-BE32-E72D297353CC}">
                    <c16:uniqueId val="{00000006-CC64-462C-9F2D-ACFC59E37C0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'Mr D - post'!$A$5</c15:sqref>
                        </c15:formulaRef>
                      </c:ext>
                    </c:extLst>
                    <c:strCache>
                      <c:ptCount val="1"/>
                      <c:pt idx="0">
                        <c:v>Reducing the number of GP visits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post'!$B$5:$H$5</c15:sqref>
                        </c15:formulaRef>
                      </c:ext>
                    </c:extLst>
                    <c:numCache>
                      <c:formatCode>General</c:formatCode>
                      <c:ptCount val="7"/>
                      <c:pt idx="0">
                        <c:v>1</c:v>
                      </c:pt>
                      <c:pt idx="1">
                        <c:v>1</c:v>
                      </c:pt>
                      <c:pt idx="2">
                        <c:v>3</c:v>
                      </c:pt>
                      <c:pt idx="3">
                        <c:v>2</c:v>
                      </c:pt>
                      <c:pt idx="4">
                        <c:v>2</c:v>
                      </c:pt>
                      <c:pt idx="5">
                        <c:v>0</c:v>
                      </c:pt>
                      <c:pt idx="6">
                        <c:v>0</c:v>
                      </c:pt>
                    </c:numCache>
                  </c:numRef>
                </c:val>
                <c:extLst xmlns:c15="http://schemas.microsoft.com/office/drawing/2012/chart">
                  <c:ext xmlns:c16="http://schemas.microsoft.com/office/drawing/2014/chart" uri="{C3380CC4-5D6E-409C-BE32-E72D297353CC}">
                    <c16:uniqueId val="{00000007-CC64-462C-9F2D-ACFC59E37C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'Mr D - post'!$A$6</c15:sqref>
                        </c15:formulaRef>
                      </c:ext>
                    </c:extLst>
                    <c:strCache>
                      <c:ptCount val="1"/>
                      <c:pt idx="0">
                        <c:v>Reducing the number of hospital admissions through the emergency department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post'!$B$6:$H$6</c15:sqref>
                        </c15:formulaRef>
                      </c:ext>
                    </c:extLst>
                    <c:numCache>
                      <c:formatCode>General</c:formatCode>
                      <c:ptCount val="7"/>
                      <c:pt idx="0">
                        <c:v>3</c:v>
                      </c:pt>
                      <c:pt idx="1">
                        <c:v>2</c:v>
                      </c:pt>
                      <c:pt idx="2">
                        <c:v>1</c:v>
                      </c:pt>
                      <c:pt idx="3">
                        <c:v>3</c:v>
                      </c:pt>
                      <c:pt idx="4">
                        <c:v>0</c:v>
                      </c:pt>
                      <c:pt idx="5">
                        <c:v>0</c:v>
                      </c:pt>
                      <c:pt idx="6">
                        <c:v>0</c:v>
                      </c:pt>
                    </c:numCache>
                  </c:numRef>
                </c:val>
                <c:extLst xmlns:c15="http://schemas.microsoft.com/office/drawing/2012/chart">
                  <c:ext xmlns:c16="http://schemas.microsoft.com/office/drawing/2014/chart" uri="{C3380CC4-5D6E-409C-BE32-E72D297353CC}">
                    <c16:uniqueId val="{00000008-CC64-462C-9F2D-ACFC59E37C0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'Mr D - post'!$A$7</c15:sqref>
                        </c15:formulaRef>
                      </c:ext>
                    </c:extLst>
                    <c:strCache>
                      <c:ptCount val="1"/>
                      <c:pt idx="0">
                        <c:v>Reducing days spent in respite care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'Mr D - post'!$B$1:$H$1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'Mr D - post'!$B$7:$H$7</c15:sqref>
                        </c15:formulaRef>
                      </c:ext>
                    </c:extLst>
                    <c:numCache>
                      <c:formatCode>General</c:formatCode>
                      <c:ptCount val="7"/>
                      <c:pt idx="0">
                        <c:v>3</c:v>
                      </c:pt>
                      <c:pt idx="1">
                        <c:v>1</c:v>
                      </c:pt>
                      <c:pt idx="2">
                        <c:v>0</c:v>
                      </c:pt>
                      <c:pt idx="3">
                        <c:v>2</c:v>
                      </c:pt>
                      <c:pt idx="4">
                        <c:v>2</c:v>
                      </c:pt>
                      <c:pt idx="5">
                        <c:v>1</c:v>
                      </c:pt>
                      <c:pt idx="6">
                        <c:v>0</c:v>
                      </c:pt>
                    </c:numCache>
                  </c:numRef>
                </c:val>
                <c:extLst xmlns:c15="http://schemas.microsoft.com/office/drawing/2012/chart">
                  <c:ext xmlns:c16="http://schemas.microsoft.com/office/drawing/2014/chart" uri="{C3380CC4-5D6E-409C-BE32-E72D297353CC}">
                    <c16:uniqueId val="{00000009-CC64-462C-9F2D-ACFC59E37C04}"/>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a:t>Reduced user risks</a:t>
            </a:r>
            <a:br>
              <a:rPr lang="en-GB" sz="1100"/>
            </a:br>
            <a:r>
              <a:rPr lang="en-GB" sz="1100" b="0" i="0" u="none" strike="noStrike" baseline="0">
                <a:effectLst/>
              </a:rPr>
              <a:t>(pre-survey)</a:t>
            </a:r>
            <a:endParaRPr lang="en-GB" sz="1100"/>
          </a:p>
        </c:rich>
      </c:tx>
      <c:overlay val="1"/>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'Pre-survey'!$A$5</c:f>
              <c:strCache>
                <c:ptCount val="1"/>
                <c:pt idx="0">
                  <c:v>Reduced user risks</c:v>
                </c:pt>
              </c:strCache>
              <c:extLst xmlns:c15="http://schemas.microsoft.com/office/drawing/2012/chart"/>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CA17-4C65-AEC6-2E418DC163E7}"/>
                </c:ext>
              </c:extLst>
            </c:dLbl>
            <c:dLbl>
              <c:idx val="4"/>
              <c:delete val="1"/>
              <c:extLst>
                <c:ext xmlns:c15="http://schemas.microsoft.com/office/drawing/2012/chart" uri="{CE6537A1-D6FC-4f65-9D91-7224C49458BB}"/>
                <c:ext xmlns:c16="http://schemas.microsoft.com/office/drawing/2014/chart" uri="{C3380CC4-5D6E-409C-BE32-E72D297353CC}">
                  <c16:uniqueId val="{00000004-CA17-4C65-AEC6-2E418DC163E7}"/>
                </c:ext>
              </c:extLst>
            </c:dLbl>
            <c:dLbl>
              <c:idx val="5"/>
              <c:delete val="1"/>
              <c:extLst>
                <c:ext xmlns:c15="http://schemas.microsoft.com/office/drawing/2012/chart" uri="{CE6537A1-D6FC-4f65-9D91-7224C49458BB}"/>
                <c:ext xmlns:c16="http://schemas.microsoft.com/office/drawing/2014/chart" uri="{C3380CC4-5D6E-409C-BE32-E72D297353CC}">
                  <c16:uniqueId val="{00000005-CA17-4C65-AEC6-2E418DC163E7}"/>
                </c:ext>
              </c:extLst>
            </c:dLbl>
            <c:dLbl>
              <c:idx val="6"/>
              <c:delete val="1"/>
              <c:extLst>
                <c:ext xmlns:c15="http://schemas.microsoft.com/office/drawing/2012/chart" uri="{CE6537A1-D6FC-4f65-9D91-7224C49458BB}"/>
                <c:ext xmlns:c16="http://schemas.microsoft.com/office/drawing/2014/chart" uri="{C3380CC4-5D6E-409C-BE32-E72D297353CC}">
                  <c16:uniqueId val="{00000006-CA17-4C65-AEC6-2E418DC163E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'Pre-survey'!$B$1:$H$1</c:f>
              <c:strCache>
                <c:ptCount val="7"/>
                <c:pt idx="0">
                  <c:v>Strongly
agree</c:v>
                </c:pt>
                <c:pt idx="1">
                  <c:v>Mostly
agree</c:v>
                </c:pt>
                <c:pt idx="2">
                  <c:v>Somewhat
agree</c:v>
                </c:pt>
                <c:pt idx="3">
                  <c:v>Neither</c:v>
                </c:pt>
                <c:pt idx="4">
                  <c:v>Somewhat
disagree</c:v>
                </c:pt>
                <c:pt idx="5">
                  <c:v>Mostly
disagree</c:v>
                </c:pt>
                <c:pt idx="6">
                  <c:v>Strongly
disagree</c:v>
                </c:pt>
              </c:strCache>
              <c:extLst xmlns:c15="http://schemas.microsoft.com/office/drawing/2012/chart"/>
            </c:strRef>
          </c:cat>
          <c:val>
            <c:numRef>
              <c:f>'Pre-survey'!$B$5:$H$5</c:f>
              <c:numCache>
                <c:formatCode>General</c:formatCode>
                <c:ptCount val="7"/>
                <c:pt idx="0">
                  <c:v>7</c:v>
                </c:pt>
                <c:pt idx="1">
                  <c:v>1</c:v>
                </c:pt>
                <c:pt idx="2">
                  <c:v>1</c:v>
                </c:pt>
                <c:pt idx="3">
                  <c:v>0</c:v>
                </c:pt>
                <c:pt idx="4">
                  <c:v>0</c:v>
                </c:pt>
                <c:pt idx="5">
                  <c:v>0</c:v>
                </c:pt>
                <c:pt idx="6">
                  <c:v>0</c:v>
                </c:pt>
              </c:numCache>
              <c:extLst xmlns:c15="http://schemas.microsoft.com/office/drawing/2012/chart"/>
            </c:numRef>
          </c:val>
          <c:extLst xmlns:c15="http://schemas.microsoft.com/office/drawing/2012/chart">
            <c:ext xmlns:c16="http://schemas.microsoft.com/office/drawing/2014/chart" uri="{C3380CC4-5D6E-409C-BE32-E72D297353CC}">
              <c16:uniqueId val="{00000007-CA17-4C65-AEC6-2E418DC163E7}"/>
            </c:ext>
          </c:extLst>
        </c:ser>
        <c:dLbls>
          <c:showLegendKey val="0"/>
          <c:showVal val="0"/>
          <c:showCatName val="0"/>
          <c:showSerName val="0"/>
          <c:showPercent val="0"/>
          <c:showBubbleSize val="0"/>
        </c:dLbls>
        <c:gapWidth val="110"/>
        <c:overlap val="-27"/>
        <c:axId val="772533328"/>
        <c:axId val="770443200"/>
        <c:extLst>
          <c:ext xmlns:c15="http://schemas.microsoft.com/office/drawing/2012/chart" uri="{02D57815-91ED-43cb-92C2-25804820EDAC}">
            <c15:filteredBarSeries>
              <c15:ser>
                <c:idx val="0"/>
                <c:order val="0"/>
                <c:tx>
                  <c:strRef>
                    <c:extLst>
                      <c:ext uri="{02D57815-91ED-43cb-92C2-25804820EDAC}">
                        <c15:formulaRef>
                          <c15:sqref>'Pre-survey'!$A$2</c15:sqref>
                        </c15:formulaRef>
                      </c:ext>
                    </c:extLst>
                    <c:strCache>
                      <c:ptCount val="1"/>
                      <c:pt idx="0">
                        <c:v>Improved user wellbeing</c:v>
                      </c:pt>
                    </c:strCache>
                  </c:strRef>
                </c:tx>
                <c:spPr>
                  <a:solidFill>
                    <a:schemeClr val="accent1"/>
                  </a:solidFill>
                  <a:ln>
                    <a:noFill/>
                  </a:ln>
                  <a:effectLst/>
                </c:spPr>
                <c:invertIfNegative val="0"/>
                <c:dLbls>
                  <c:dLbl>
                    <c:idx val="0"/>
                    <c:dLblPos val="inEnd"/>
                    <c:showLegendKey val="0"/>
                    <c:showVal val="1"/>
                    <c:showCatName val="0"/>
                    <c:showSerName val="0"/>
                    <c:showPercent val="0"/>
                    <c:showBubbleSize val="0"/>
                    <c:extLst>
                      <c:ext uri="{CE6537A1-D6FC-4f65-9D91-7224C49458BB}"/>
                      <c:ext xmlns:c16="http://schemas.microsoft.com/office/drawing/2014/chart" uri="{C3380CC4-5D6E-409C-BE32-E72D297353CC}">
                        <c16:uniqueId val="{00000008-CA17-4C65-AEC6-2E418DC163E7}"/>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9-CA17-4C65-AEC6-2E418DC163E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c:ext uri="{02D57815-91ED-43cb-92C2-25804820EDAC}">
                        <c15:formulaRef>
                          <c15:sqref>'Pre-survey'!$B$2:$H$2</c15:sqref>
                        </c15:formulaRef>
                      </c:ext>
                    </c:extLst>
                    <c:numCache>
                      <c:formatCode>General</c:formatCode>
                      <c:ptCount val="7"/>
                      <c:pt idx="0">
                        <c:v>8</c:v>
                      </c:pt>
                      <c:pt idx="1">
                        <c:v>1</c:v>
                      </c:pt>
                      <c:pt idx="2">
                        <c:v>0</c:v>
                      </c:pt>
                      <c:pt idx="3">
                        <c:v>0</c:v>
                      </c:pt>
                      <c:pt idx="4">
                        <c:v>0</c:v>
                      </c:pt>
                      <c:pt idx="5">
                        <c:v>0</c:v>
                      </c:pt>
                      <c:pt idx="6">
                        <c:v>0</c:v>
                      </c:pt>
                    </c:numCache>
                  </c:numRef>
                </c:val>
                <c:extLst>
                  <c:ext xmlns:c16="http://schemas.microsoft.com/office/drawing/2014/chart" uri="{C3380CC4-5D6E-409C-BE32-E72D297353CC}">
                    <c16:uniqueId val="{0000000A-CA17-4C65-AEC6-2E418DC163E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'Pre-survey'!$A$3</c15:sqref>
                        </c15:formulaRef>
                      </c:ext>
                    </c:extLst>
                    <c:strCache>
                      <c:ptCount val="1"/>
                      <c:pt idx="0">
                        <c:v>Improved user independence and participation in activities in the home</c:v>
                      </c:pt>
                    </c:strCache>
                  </c:strRef>
                </c:tx>
                <c:spPr>
                  <a:solidFill>
                    <a:schemeClr val="accent2"/>
                  </a:solidFill>
                  <a:ln>
                    <a:noFill/>
                  </a:ln>
                  <a:effectLst/>
                </c:spPr>
                <c:invertIfNegative val="0"/>
                <c:dLbls>
                  <c:dLbl>
                    <c:idx val="0"/>
                    <c:dLblPos val="in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CA17-4C65-AEC6-2E418DC163E7}"/>
                      </c:ext>
                    </c:extLst>
                  </c:dLbl>
                  <c:dLbl>
                    <c:idx val="1"/>
                    <c:dLblPos val="inEnd"/>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CA17-4C65-AEC6-2E418DC163E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'Pre-survey'!$B$3:$H$3</c15:sqref>
                        </c15:formulaRef>
                      </c:ext>
                    </c:extLst>
                    <c:numCache>
                      <c:formatCode>General</c:formatCode>
                      <c:ptCount val="7"/>
                      <c:pt idx="0">
                        <c:v>7</c:v>
                      </c:pt>
                      <c:pt idx="1">
                        <c:v>2</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D-CA17-4C65-AEC6-2E418DC163E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'Pre-survey'!$A$4</c15:sqref>
                        </c15:formulaRef>
                      </c:ext>
                    </c:extLst>
                    <c:strCache>
                      <c:ptCount val="1"/>
                      <c:pt idx="0">
                        <c:v>Improved user independence and participation in activities in the community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'Pre-survey'!$B$1:$H$1</c15:sqref>
                        </c15:formulaRef>
                      </c:ext>
                    </c:extLst>
                    <c:strCache>
                      <c:ptCount val="7"/>
                      <c:pt idx="0">
                        <c:v>Strongly
agree</c:v>
                      </c:pt>
                      <c:pt idx="1">
                        <c:v>Mostly
agree</c:v>
                      </c:pt>
                      <c:pt idx="2">
                        <c:v>Somewhat
agree</c:v>
                      </c:pt>
                      <c:pt idx="3">
                        <c:v>Neither</c:v>
                      </c:pt>
                      <c:pt idx="4">
                        <c:v>Somewhat
disagree</c:v>
                      </c:pt>
                      <c:pt idx="5">
                        <c:v>Mostly
disagree</c:v>
                      </c:pt>
                      <c:pt idx="6">
                        <c:v>Strongly
disagree</c:v>
                      </c:pt>
                    </c:strCache>
                  </c:strRef>
                </c:cat>
                <c:val>
                  <c:numRef>
                    <c:extLst xmlns:c15="http://schemas.microsoft.com/office/drawing/2012/chart">
                      <c:ext xmlns:c15="http://schemas.microsoft.com/office/drawing/2012/chart" uri="{02D57815-91ED-43cb-92C2-25804820EDAC}">
                        <c15:formulaRef>
                          <c15:sqref>'Pre-survey'!$B$4:$H$4</c15:sqref>
                        </c15:formulaRef>
                      </c:ext>
                    </c:extLst>
                    <c:numCache>
                      <c:formatCode>General</c:formatCode>
                      <c:ptCount val="7"/>
                      <c:pt idx="0">
                        <c:v>6</c:v>
                      </c:pt>
                      <c:pt idx="1">
                        <c:v>3</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E-CA17-4C65-AEC6-2E418DC163E7}"/>
                  </c:ext>
                </c:extLst>
              </c15:ser>
            </c15:filteredBarSeries>
          </c:ext>
        </c:extLst>
      </c:barChart>
      <c:catAx>
        <c:axId val="77253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70443200"/>
        <c:crosses val="autoZero"/>
        <c:auto val="1"/>
        <c:lblAlgn val="ctr"/>
        <c:lblOffset val="100"/>
        <c:noMultiLvlLbl val="0"/>
      </c:catAx>
      <c:valAx>
        <c:axId val="770443200"/>
        <c:scaling>
          <c:orientation val="minMax"/>
          <c:max val="10"/>
        </c:scaling>
        <c:delete val="1"/>
        <c:axPos val="l"/>
        <c:numFmt formatCode="General" sourceLinked="1"/>
        <c:majorTickMark val="out"/>
        <c:minorTickMark val="none"/>
        <c:tickLblPos val="nextTo"/>
        <c:crossAx val="7725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F76FEA-8AD0-47AF-87B1-0206824BFDD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43F477FF-271D-473E-BAB1-E76FC6E0F3FD}">
      <dgm:prSet phldrT="[Text]" custT="1"/>
      <dgm:spPr>
        <a:solidFill>
          <a:schemeClr val="accent1">
            <a:lumMod val="20000"/>
            <a:lumOff val="80000"/>
          </a:schemeClr>
        </a:solidFill>
        <a:ln w="57150">
          <a:noFill/>
        </a:ln>
      </dgm:spPr>
      <dgm:t>
        <a:bodyPr lIns="0" tIns="180000" rIns="0" bIns="0"/>
        <a:lstStyle/>
        <a:p>
          <a:r>
            <a:rPr lang="en-GB" sz="2400" b="1">
              <a:solidFill>
                <a:sysClr val="windowText" lastClr="000000"/>
              </a:solidFill>
            </a:rPr>
            <a:t>1</a:t>
          </a:r>
        </a:p>
      </dgm:t>
    </dgm:pt>
    <dgm:pt modelId="{E06AEC44-6E24-41A3-AD43-4ACE9DB00614}" type="parTrans" cxnId="{E6BAD1EB-FC50-4125-B481-4819F711AA27}">
      <dgm:prSet/>
      <dgm:spPr/>
      <dgm:t>
        <a:bodyPr/>
        <a:lstStyle/>
        <a:p>
          <a:endParaRPr lang="en-GB" sz="1400"/>
        </a:p>
      </dgm:t>
    </dgm:pt>
    <dgm:pt modelId="{E8AB124A-5C30-4E7C-B215-B075C6DF02B0}" type="sibTrans" cxnId="{E6BAD1EB-FC50-4125-B481-4819F711AA27}">
      <dgm:prSet/>
      <dgm:spPr/>
      <dgm:t>
        <a:bodyPr/>
        <a:lstStyle/>
        <a:p>
          <a:endParaRPr lang="en-GB" sz="1400"/>
        </a:p>
      </dgm:t>
    </dgm:pt>
    <dgm:pt modelId="{F6D1336F-D895-4F53-834D-1A3A82AD72A1}">
      <dgm:prSet phldrT="[Text]" custT="1"/>
      <dgm:spPr>
        <a:solidFill>
          <a:schemeClr val="accent1">
            <a:lumMod val="40000"/>
            <a:lumOff val="60000"/>
          </a:schemeClr>
        </a:solidFill>
        <a:ln w="57150">
          <a:noFill/>
        </a:ln>
      </dgm:spPr>
      <dgm:t>
        <a:bodyPr lIns="0" tIns="180000" rIns="0" bIns="0"/>
        <a:lstStyle/>
        <a:p>
          <a:r>
            <a:rPr lang="en-GB" sz="2400" b="1">
              <a:solidFill>
                <a:sysClr val="windowText" lastClr="000000"/>
              </a:solidFill>
            </a:rPr>
            <a:t>2</a:t>
          </a:r>
        </a:p>
      </dgm:t>
    </dgm:pt>
    <dgm:pt modelId="{F3A01145-D53F-44DE-A075-0A32BD50B099}" type="parTrans" cxnId="{8113AE1C-496F-40B4-B7C9-47825A5B2A17}">
      <dgm:prSet/>
      <dgm:spPr/>
      <dgm:t>
        <a:bodyPr/>
        <a:lstStyle/>
        <a:p>
          <a:endParaRPr lang="en-GB" sz="1400"/>
        </a:p>
      </dgm:t>
    </dgm:pt>
    <dgm:pt modelId="{806E9319-ACB0-4ACE-A69B-B1C933C9E573}" type="sibTrans" cxnId="{8113AE1C-496F-40B4-B7C9-47825A5B2A17}">
      <dgm:prSet/>
      <dgm:spPr/>
      <dgm:t>
        <a:bodyPr/>
        <a:lstStyle/>
        <a:p>
          <a:endParaRPr lang="en-GB" sz="1400"/>
        </a:p>
      </dgm:t>
    </dgm:pt>
    <dgm:pt modelId="{2AA43684-A5FA-4B2B-9E33-05A0D3C0011D}">
      <dgm:prSet phldrT="[Text]" custT="1"/>
      <dgm:spPr>
        <a:solidFill>
          <a:schemeClr val="tx2">
            <a:lumMod val="40000"/>
            <a:lumOff val="60000"/>
          </a:schemeClr>
        </a:solidFill>
        <a:ln w="57150">
          <a:noFill/>
        </a:ln>
      </dgm:spPr>
      <dgm:t>
        <a:bodyPr lIns="0" tIns="180000" rIns="0" bIns="0"/>
        <a:lstStyle/>
        <a:p>
          <a:r>
            <a:rPr lang="en-GB" sz="2400" b="1">
              <a:solidFill>
                <a:sysClr val="windowText" lastClr="000000"/>
              </a:solidFill>
            </a:rPr>
            <a:t>3</a:t>
          </a:r>
        </a:p>
      </dgm:t>
    </dgm:pt>
    <dgm:pt modelId="{E801628B-ABBB-4E20-9755-044FF02F3E32}" type="parTrans" cxnId="{291D6928-1E4A-4010-A556-E764A29AE896}">
      <dgm:prSet/>
      <dgm:spPr/>
      <dgm:t>
        <a:bodyPr/>
        <a:lstStyle/>
        <a:p>
          <a:endParaRPr lang="en-GB" sz="1400"/>
        </a:p>
      </dgm:t>
    </dgm:pt>
    <dgm:pt modelId="{19E17FBB-E8AD-4690-8067-E4BE74496823}" type="sibTrans" cxnId="{291D6928-1E4A-4010-A556-E764A29AE896}">
      <dgm:prSet/>
      <dgm:spPr/>
      <dgm:t>
        <a:bodyPr/>
        <a:lstStyle/>
        <a:p>
          <a:endParaRPr lang="en-GB" sz="1400"/>
        </a:p>
      </dgm:t>
    </dgm:pt>
    <dgm:pt modelId="{3AA9000C-C034-48F5-8E42-A6B595A83C1F}">
      <dgm:prSet phldrT="[Text]" custT="1"/>
      <dgm:spPr>
        <a:solidFill>
          <a:schemeClr val="tx2">
            <a:lumMod val="60000"/>
            <a:lumOff val="40000"/>
          </a:schemeClr>
        </a:solidFill>
        <a:ln w="57150">
          <a:noFill/>
        </a:ln>
      </dgm:spPr>
      <dgm:t>
        <a:bodyPr lIns="0" tIns="180000" rIns="0" bIns="0"/>
        <a:lstStyle/>
        <a:p>
          <a:r>
            <a:rPr lang="en-GB" sz="2400" b="1">
              <a:solidFill>
                <a:sysClr val="windowText" lastClr="000000"/>
              </a:solidFill>
            </a:rPr>
            <a:t>4</a:t>
          </a:r>
        </a:p>
      </dgm:t>
    </dgm:pt>
    <dgm:pt modelId="{661ECAAD-E8B9-4169-BF46-A642D31D8604}" type="parTrans" cxnId="{8A8DE5E1-95AA-44B2-9385-3FF79C450030}">
      <dgm:prSet/>
      <dgm:spPr/>
      <dgm:t>
        <a:bodyPr/>
        <a:lstStyle/>
        <a:p>
          <a:endParaRPr lang="en-GB" sz="1400"/>
        </a:p>
      </dgm:t>
    </dgm:pt>
    <dgm:pt modelId="{481185C4-DBE3-485A-836F-F457833CA5C0}" type="sibTrans" cxnId="{8A8DE5E1-95AA-44B2-9385-3FF79C450030}">
      <dgm:prSet/>
      <dgm:spPr/>
      <dgm:t>
        <a:bodyPr/>
        <a:lstStyle/>
        <a:p>
          <a:endParaRPr lang="en-GB" sz="1400"/>
        </a:p>
      </dgm:t>
    </dgm:pt>
    <dgm:pt modelId="{B415BD51-C6CB-4652-8A7D-43FC4649BA56}">
      <dgm:prSet phldrT="[Text]" custT="1"/>
      <dgm:spPr>
        <a:solidFill>
          <a:schemeClr val="tx2"/>
        </a:solidFill>
        <a:ln w="57150">
          <a:noFill/>
        </a:ln>
      </dgm:spPr>
      <dgm:t>
        <a:bodyPr lIns="0" tIns="180000" rIns="0" bIns="0"/>
        <a:lstStyle/>
        <a:p>
          <a:r>
            <a:rPr lang="en-GB" sz="2400" b="1"/>
            <a:t>5</a:t>
          </a:r>
        </a:p>
      </dgm:t>
    </dgm:pt>
    <dgm:pt modelId="{194E3543-C5E3-4776-B7C0-F4D821846834}" type="parTrans" cxnId="{0DCFF0EB-7651-4EEA-8685-1305CC3B2C44}">
      <dgm:prSet/>
      <dgm:spPr/>
      <dgm:t>
        <a:bodyPr/>
        <a:lstStyle/>
        <a:p>
          <a:endParaRPr lang="en-GB" sz="1400"/>
        </a:p>
      </dgm:t>
    </dgm:pt>
    <dgm:pt modelId="{2E4A6E4C-ED77-4927-BB10-CAB2A5C882C8}" type="sibTrans" cxnId="{0DCFF0EB-7651-4EEA-8685-1305CC3B2C44}">
      <dgm:prSet/>
      <dgm:spPr/>
      <dgm:t>
        <a:bodyPr/>
        <a:lstStyle/>
        <a:p>
          <a:endParaRPr lang="en-GB" sz="1400"/>
        </a:p>
      </dgm:t>
    </dgm:pt>
    <dgm:pt modelId="{04D1A349-6F39-408A-AF59-DDF02A656941}">
      <dgm:prSet phldrT="[Text]" custT="1"/>
      <dgm:spPr>
        <a:solidFill>
          <a:schemeClr val="tx2">
            <a:lumMod val="75000"/>
          </a:schemeClr>
        </a:solidFill>
        <a:ln w="57150">
          <a:noFill/>
        </a:ln>
      </dgm:spPr>
      <dgm:t>
        <a:bodyPr lIns="0" tIns="180000" rIns="0" bIns="0"/>
        <a:lstStyle/>
        <a:p>
          <a:r>
            <a:rPr lang="en-GB" sz="2400" b="1"/>
            <a:t>6</a:t>
          </a:r>
        </a:p>
      </dgm:t>
    </dgm:pt>
    <dgm:pt modelId="{B7127C14-3EFF-4255-97B4-1759D5C23105}" type="parTrans" cxnId="{F624A7D1-9A0F-4F8D-ABFE-C7DFDEBDA371}">
      <dgm:prSet/>
      <dgm:spPr/>
      <dgm:t>
        <a:bodyPr/>
        <a:lstStyle/>
        <a:p>
          <a:endParaRPr lang="en-GB" sz="1400"/>
        </a:p>
      </dgm:t>
    </dgm:pt>
    <dgm:pt modelId="{9CBEEAAB-BFC0-4354-81D6-41D3EEA2D1A2}" type="sibTrans" cxnId="{F624A7D1-9A0F-4F8D-ABFE-C7DFDEBDA371}">
      <dgm:prSet/>
      <dgm:spPr/>
      <dgm:t>
        <a:bodyPr/>
        <a:lstStyle/>
        <a:p>
          <a:endParaRPr lang="en-GB" sz="1400"/>
        </a:p>
      </dgm:t>
    </dgm:pt>
    <dgm:pt modelId="{A51AB7C7-A145-44D2-9601-84EFF184D626}">
      <dgm:prSet phldrT="[Text]" custT="1"/>
      <dgm:spPr>
        <a:solidFill>
          <a:schemeClr val="tx2">
            <a:lumMod val="50000"/>
          </a:schemeClr>
        </a:solidFill>
        <a:ln w="57150">
          <a:noFill/>
        </a:ln>
      </dgm:spPr>
      <dgm:t>
        <a:bodyPr lIns="0" tIns="180000" rIns="0" bIns="0"/>
        <a:lstStyle/>
        <a:p>
          <a:r>
            <a:rPr lang="en-GB" sz="2400" b="1"/>
            <a:t>7</a:t>
          </a:r>
        </a:p>
      </dgm:t>
    </dgm:pt>
    <dgm:pt modelId="{C23FF20A-C88C-44F8-9962-90B452D98F27}" type="parTrans" cxnId="{13DA3F7B-DA10-4664-925A-FB9C2D2D2CB3}">
      <dgm:prSet/>
      <dgm:spPr/>
      <dgm:t>
        <a:bodyPr/>
        <a:lstStyle/>
        <a:p>
          <a:endParaRPr lang="en-GB" sz="1400"/>
        </a:p>
      </dgm:t>
    </dgm:pt>
    <dgm:pt modelId="{E5A784B3-C758-4C52-98B9-EDD667CF8AC4}" type="sibTrans" cxnId="{13DA3F7B-DA10-4664-925A-FB9C2D2D2CB3}">
      <dgm:prSet/>
      <dgm:spPr/>
      <dgm:t>
        <a:bodyPr/>
        <a:lstStyle/>
        <a:p>
          <a:endParaRPr lang="en-GB" sz="1400"/>
        </a:p>
      </dgm:t>
    </dgm:pt>
    <dgm:pt modelId="{7D0E0263-5DEC-42AC-B238-15176C2CEB44}">
      <dgm:prSet phldrT="[Text]" custT="1"/>
      <dgm:spPr>
        <a:solidFill>
          <a:schemeClr val="tx2">
            <a:lumMod val="75000"/>
          </a:schemeClr>
        </a:solidFill>
        <a:ln w="57150">
          <a:noFill/>
        </a:ln>
      </dgm:spPr>
      <dgm:t>
        <a:bodyPr/>
        <a:lstStyle/>
        <a:p>
          <a:r>
            <a:rPr lang="en-GB" sz="1400">
              <a:solidFill>
                <a:schemeClr val="bg1"/>
              </a:solidFill>
            </a:rPr>
            <a:t>Cost AT products and services for future program options</a:t>
          </a:r>
        </a:p>
      </dgm:t>
    </dgm:pt>
    <dgm:pt modelId="{193B773B-8441-41D2-94C0-BC2149223902}" type="parTrans" cxnId="{3AAED65C-AF8E-45D7-89F7-A1C28B7D4A05}">
      <dgm:prSet/>
      <dgm:spPr/>
      <dgm:t>
        <a:bodyPr/>
        <a:lstStyle/>
        <a:p>
          <a:endParaRPr lang="en-GB" sz="1400"/>
        </a:p>
      </dgm:t>
    </dgm:pt>
    <dgm:pt modelId="{87F78E49-4FDF-4485-A855-F15FF8C2ED87}" type="sibTrans" cxnId="{3AAED65C-AF8E-45D7-89F7-A1C28B7D4A05}">
      <dgm:prSet/>
      <dgm:spPr/>
      <dgm:t>
        <a:bodyPr/>
        <a:lstStyle/>
        <a:p>
          <a:endParaRPr lang="en-GB" sz="1400"/>
        </a:p>
      </dgm:t>
    </dgm:pt>
    <dgm:pt modelId="{02E53A24-7825-4F18-B0FC-CEE751A30BF4}">
      <dgm:prSet phldrT="[Text]" custT="1"/>
      <dgm:spPr>
        <a:solidFill>
          <a:schemeClr val="tx2">
            <a:lumMod val="50000"/>
          </a:schemeClr>
        </a:solidFill>
        <a:ln w="57150">
          <a:noFill/>
        </a:ln>
      </dgm:spPr>
      <dgm:t>
        <a:bodyPr/>
        <a:lstStyle/>
        <a:p>
          <a:r>
            <a:rPr lang="en-GB" sz="1400">
              <a:solidFill>
                <a:schemeClr val="bg1"/>
              </a:solidFill>
            </a:rPr>
            <a:t>Establish the benefits of AT for future program options</a:t>
          </a:r>
        </a:p>
      </dgm:t>
    </dgm:pt>
    <dgm:pt modelId="{67654691-4B25-4429-B689-2D7E248FA1F6}" type="parTrans" cxnId="{C5ABB069-829D-467E-BCF7-DE79D3346F55}">
      <dgm:prSet/>
      <dgm:spPr/>
      <dgm:t>
        <a:bodyPr/>
        <a:lstStyle/>
        <a:p>
          <a:endParaRPr lang="en-GB" sz="1400"/>
        </a:p>
      </dgm:t>
    </dgm:pt>
    <dgm:pt modelId="{250613E0-59C4-416B-B644-BB09AEF111F1}" type="sibTrans" cxnId="{C5ABB069-829D-467E-BCF7-DE79D3346F55}">
      <dgm:prSet/>
      <dgm:spPr/>
      <dgm:t>
        <a:bodyPr/>
        <a:lstStyle/>
        <a:p>
          <a:endParaRPr lang="en-GB" sz="1400"/>
        </a:p>
      </dgm:t>
    </dgm:pt>
    <dgm:pt modelId="{3598D071-1884-4875-B8C5-4DBF1A692C85}">
      <dgm:prSet phldrT="[Text]" custT="1"/>
      <dgm:spPr>
        <a:solidFill>
          <a:schemeClr val="tx2"/>
        </a:solidFill>
        <a:ln w="57150">
          <a:noFill/>
        </a:ln>
      </dgm:spPr>
      <dgm:t>
        <a:bodyPr/>
        <a:lstStyle/>
        <a:p>
          <a:r>
            <a:rPr lang="en-GB" sz="1400">
              <a:solidFill>
                <a:schemeClr val="bg1"/>
              </a:solidFill>
            </a:rPr>
            <a:t>Cost AT products for current home care program </a:t>
          </a:r>
          <a:br>
            <a:rPr lang="en-GB" sz="1400">
              <a:solidFill>
                <a:schemeClr val="bg1"/>
              </a:solidFill>
            </a:rPr>
          </a:br>
          <a:r>
            <a:rPr lang="en-GB" sz="1400">
              <a:solidFill>
                <a:schemeClr val="bg1"/>
              </a:solidFill>
            </a:rPr>
            <a:t>client populations</a:t>
          </a:r>
        </a:p>
      </dgm:t>
    </dgm:pt>
    <dgm:pt modelId="{9379A09B-EB0F-433F-998D-A373CDCA2745}" type="parTrans" cxnId="{1E391DFD-EC3E-401B-A398-AEBE076C3CB3}">
      <dgm:prSet/>
      <dgm:spPr/>
      <dgm:t>
        <a:bodyPr/>
        <a:lstStyle/>
        <a:p>
          <a:endParaRPr lang="en-GB" sz="1400"/>
        </a:p>
      </dgm:t>
    </dgm:pt>
    <dgm:pt modelId="{DD74E295-FCC1-49B3-98DA-3DC1B1235C9C}" type="sibTrans" cxnId="{1E391DFD-EC3E-401B-A398-AEBE076C3CB3}">
      <dgm:prSet/>
      <dgm:spPr/>
      <dgm:t>
        <a:bodyPr/>
        <a:lstStyle/>
        <a:p>
          <a:endParaRPr lang="en-GB" sz="1400"/>
        </a:p>
      </dgm:t>
    </dgm:pt>
    <dgm:pt modelId="{3079F57B-2AB5-4090-A6AC-AD9EB1A03C66}">
      <dgm:prSet phldrT="[Text]" custT="1"/>
      <dgm:spPr>
        <a:solidFill>
          <a:schemeClr val="tx2">
            <a:lumMod val="60000"/>
            <a:lumOff val="40000"/>
          </a:schemeClr>
        </a:solidFill>
        <a:ln w="57150">
          <a:noFill/>
        </a:ln>
      </dgm:spPr>
      <dgm:t>
        <a:bodyPr/>
        <a:lstStyle/>
        <a:p>
          <a:r>
            <a:rPr lang="en-GB" sz="1400"/>
            <a:t>Cost AT for total population</a:t>
          </a:r>
        </a:p>
      </dgm:t>
    </dgm:pt>
    <dgm:pt modelId="{BAA8F0BC-E970-4871-896A-55A06641B090}" type="parTrans" cxnId="{726FD9D9-EFB6-4D73-BE1A-19A40F561C41}">
      <dgm:prSet/>
      <dgm:spPr/>
      <dgm:t>
        <a:bodyPr/>
        <a:lstStyle/>
        <a:p>
          <a:endParaRPr lang="en-GB" sz="1400"/>
        </a:p>
      </dgm:t>
    </dgm:pt>
    <dgm:pt modelId="{9D523373-30FB-4FA8-89C8-E93B62A5E143}" type="sibTrans" cxnId="{726FD9D9-EFB6-4D73-BE1A-19A40F561C41}">
      <dgm:prSet/>
      <dgm:spPr/>
      <dgm:t>
        <a:bodyPr/>
        <a:lstStyle/>
        <a:p>
          <a:endParaRPr lang="en-GB" sz="1400"/>
        </a:p>
      </dgm:t>
    </dgm:pt>
    <dgm:pt modelId="{4843475C-9994-49CA-80D9-8A9259C6832B}">
      <dgm:prSet phldrT="[Text]" custT="1"/>
      <dgm:spPr>
        <a:solidFill>
          <a:schemeClr val="tx2">
            <a:lumMod val="40000"/>
            <a:lumOff val="60000"/>
          </a:schemeClr>
        </a:solidFill>
        <a:ln w="57150">
          <a:noFill/>
        </a:ln>
      </dgm:spPr>
      <dgm:t>
        <a:bodyPr/>
        <a:lstStyle/>
        <a:p>
          <a:r>
            <a:rPr lang="en-GB" sz="1400"/>
            <a:t>Use 'real life' archetypes to cost and benchmark AT products</a:t>
          </a:r>
        </a:p>
      </dgm:t>
    </dgm:pt>
    <dgm:pt modelId="{0AE7CD26-DAD7-43F1-8181-4E9681A198E7}" type="parTrans" cxnId="{D3D1EF7F-E794-465B-BDA7-4807B13AD526}">
      <dgm:prSet/>
      <dgm:spPr/>
      <dgm:t>
        <a:bodyPr/>
        <a:lstStyle/>
        <a:p>
          <a:endParaRPr lang="en-GB" sz="1400"/>
        </a:p>
      </dgm:t>
    </dgm:pt>
    <dgm:pt modelId="{BF1B4F7D-3235-4BB7-ADB4-FA5866DF8368}" type="sibTrans" cxnId="{D3D1EF7F-E794-465B-BDA7-4807B13AD526}">
      <dgm:prSet/>
      <dgm:spPr/>
      <dgm:t>
        <a:bodyPr/>
        <a:lstStyle/>
        <a:p>
          <a:endParaRPr lang="en-GB" sz="1400"/>
        </a:p>
      </dgm:t>
    </dgm:pt>
    <dgm:pt modelId="{9EBADFE8-83F4-47EC-868B-F0154ACAE454}">
      <dgm:prSet phldrT="[Text]" custT="1"/>
      <dgm:spPr>
        <a:solidFill>
          <a:schemeClr val="accent1">
            <a:lumMod val="40000"/>
            <a:lumOff val="60000"/>
          </a:schemeClr>
        </a:solidFill>
        <a:ln w="57150">
          <a:noFill/>
        </a:ln>
      </dgm:spPr>
      <dgm:t>
        <a:bodyPr/>
        <a:lstStyle/>
        <a:p>
          <a:r>
            <a:rPr lang="en-GB" sz="1400"/>
            <a:t>Cost AT products for each of the 4 impairment categories </a:t>
          </a:r>
          <a:br>
            <a:rPr lang="en-GB" sz="1400"/>
          </a:br>
          <a:r>
            <a:rPr lang="en-GB" sz="1400"/>
            <a:t>over a 1-year and 5-year time horizon</a:t>
          </a:r>
        </a:p>
      </dgm:t>
    </dgm:pt>
    <dgm:pt modelId="{F832A623-5D42-46A6-94C5-75397E600937}" type="parTrans" cxnId="{E285D82B-886B-48B9-8BF9-3E714B15AB16}">
      <dgm:prSet/>
      <dgm:spPr/>
      <dgm:t>
        <a:bodyPr/>
        <a:lstStyle/>
        <a:p>
          <a:endParaRPr lang="en-GB" sz="1400"/>
        </a:p>
      </dgm:t>
    </dgm:pt>
    <dgm:pt modelId="{E00265A7-E22E-47C3-808E-493C473AAB27}" type="sibTrans" cxnId="{E285D82B-886B-48B9-8BF9-3E714B15AB16}">
      <dgm:prSet/>
      <dgm:spPr/>
      <dgm:t>
        <a:bodyPr/>
        <a:lstStyle/>
        <a:p>
          <a:endParaRPr lang="en-GB" sz="1400"/>
        </a:p>
      </dgm:t>
    </dgm:pt>
    <dgm:pt modelId="{8E969AE4-9A29-42F6-9717-48DC040CF00B}">
      <dgm:prSet phldrT="[Text]" custT="1"/>
      <dgm:spPr>
        <a:solidFill>
          <a:schemeClr val="accent1">
            <a:lumMod val="20000"/>
            <a:lumOff val="80000"/>
          </a:schemeClr>
        </a:solidFill>
        <a:ln w="57150">
          <a:noFill/>
        </a:ln>
      </dgm:spPr>
      <dgm:t>
        <a:bodyPr/>
        <a:lstStyle/>
        <a:p>
          <a:r>
            <a:rPr lang="en-GB" sz="1400"/>
            <a:t>Establish and distribute the prevalence of older Australians </a:t>
          </a:r>
          <a:br>
            <a:rPr lang="en-GB" sz="1400"/>
          </a:br>
          <a:r>
            <a:rPr lang="en-GB" sz="1400"/>
            <a:t>living and home and experiencing functional decline</a:t>
          </a:r>
        </a:p>
      </dgm:t>
    </dgm:pt>
    <dgm:pt modelId="{4120E60B-398C-46BA-9A1B-C97F18A24E9E}" type="parTrans" cxnId="{4B6A9EAE-3799-410D-B271-34522BEBCE33}">
      <dgm:prSet/>
      <dgm:spPr/>
      <dgm:t>
        <a:bodyPr/>
        <a:lstStyle/>
        <a:p>
          <a:endParaRPr lang="en-GB" sz="1400"/>
        </a:p>
      </dgm:t>
    </dgm:pt>
    <dgm:pt modelId="{1AAA3FAF-847B-4ACA-A161-4B93F2CC686B}" type="sibTrans" cxnId="{4B6A9EAE-3799-410D-B271-34522BEBCE33}">
      <dgm:prSet/>
      <dgm:spPr/>
      <dgm:t>
        <a:bodyPr/>
        <a:lstStyle/>
        <a:p>
          <a:endParaRPr lang="en-GB" sz="1400"/>
        </a:p>
      </dgm:t>
    </dgm:pt>
    <dgm:pt modelId="{A3B17352-87EB-422F-B05D-47B44CF88BC7}" type="pres">
      <dgm:prSet presAssocID="{77F76FEA-8AD0-47AF-87B1-0206824BFDDD}" presName="linearFlow" presStyleCnt="0">
        <dgm:presLayoutVars>
          <dgm:dir/>
          <dgm:animLvl val="lvl"/>
          <dgm:resizeHandles val="exact"/>
        </dgm:presLayoutVars>
      </dgm:prSet>
      <dgm:spPr/>
      <dgm:t>
        <a:bodyPr/>
        <a:lstStyle/>
        <a:p>
          <a:endParaRPr lang="en-US"/>
        </a:p>
      </dgm:t>
    </dgm:pt>
    <dgm:pt modelId="{568BB893-FEFD-4459-83B8-CE710062FCF6}" type="pres">
      <dgm:prSet presAssocID="{43F477FF-271D-473E-BAB1-E76FC6E0F3FD}" presName="composite" presStyleCnt="0"/>
      <dgm:spPr/>
    </dgm:pt>
    <dgm:pt modelId="{5C7D4D32-7CFF-45C5-A530-BCAC3250620A}" type="pres">
      <dgm:prSet presAssocID="{43F477FF-271D-473E-BAB1-E76FC6E0F3FD}" presName="parentText" presStyleLbl="alignNode1" presStyleIdx="0" presStyleCnt="7">
        <dgm:presLayoutVars>
          <dgm:chMax val="1"/>
          <dgm:bulletEnabled val="1"/>
        </dgm:presLayoutVars>
      </dgm:prSet>
      <dgm:spPr/>
      <dgm:t>
        <a:bodyPr/>
        <a:lstStyle/>
        <a:p>
          <a:endParaRPr lang="en-US"/>
        </a:p>
      </dgm:t>
    </dgm:pt>
    <dgm:pt modelId="{1D26A6B6-A679-4DD1-B0D1-7121D0223DE9}" type="pres">
      <dgm:prSet presAssocID="{43F477FF-271D-473E-BAB1-E76FC6E0F3FD}" presName="descendantText" presStyleLbl="alignAcc1" presStyleIdx="0" presStyleCnt="7">
        <dgm:presLayoutVars>
          <dgm:bulletEnabled val="1"/>
        </dgm:presLayoutVars>
      </dgm:prSet>
      <dgm:spPr/>
      <dgm:t>
        <a:bodyPr/>
        <a:lstStyle/>
        <a:p>
          <a:endParaRPr lang="en-US"/>
        </a:p>
      </dgm:t>
    </dgm:pt>
    <dgm:pt modelId="{F44C3B18-1305-4213-AB75-ABFE9604277E}" type="pres">
      <dgm:prSet presAssocID="{E8AB124A-5C30-4E7C-B215-B075C6DF02B0}" presName="sp" presStyleCnt="0"/>
      <dgm:spPr/>
    </dgm:pt>
    <dgm:pt modelId="{281D7098-1750-467B-AEF5-C0D1DA64B3D3}" type="pres">
      <dgm:prSet presAssocID="{F6D1336F-D895-4F53-834D-1A3A82AD72A1}" presName="composite" presStyleCnt="0"/>
      <dgm:spPr/>
    </dgm:pt>
    <dgm:pt modelId="{197E8E6E-0510-4115-AFAF-99219802914F}" type="pres">
      <dgm:prSet presAssocID="{F6D1336F-D895-4F53-834D-1A3A82AD72A1}" presName="parentText" presStyleLbl="alignNode1" presStyleIdx="1" presStyleCnt="7">
        <dgm:presLayoutVars>
          <dgm:chMax val="1"/>
          <dgm:bulletEnabled val="1"/>
        </dgm:presLayoutVars>
      </dgm:prSet>
      <dgm:spPr/>
      <dgm:t>
        <a:bodyPr/>
        <a:lstStyle/>
        <a:p>
          <a:endParaRPr lang="en-US"/>
        </a:p>
      </dgm:t>
    </dgm:pt>
    <dgm:pt modelId="{ECA259CF-503C-4222-900C-4A6085F827DC}" type="pres">
      <dgm:prSet presAssocID="{F6D1336F-D895-4F53-834D-1A3A82AD72A1}" presName="descendantText" presStyleLbl="alignAcc1" presStyleIdx="1" presStyleCnt="7">
        <dgm:presLayoutVars>
          <dgm:bulletEnabled val="1"/>
        </dgm:presLayoutVars>
      </dgm:prSet>
      <dgm:spPr/>
      <dgm:t>
        <a:bodyPr/>
        <a:lstStyle/>
        <a:p>
          <a:endParaRPr lang="en-US"/>
        </a:p>
      </dgm:t>
    </dgm:pt>
    <dgm:pt modelId="{58CB91A9-808A-432A-87E2-A175940B4CB1}" type="pres">
      <dgm:prSet presAssocID="{806E9319-ACB0-4ACE-A69B-B1C933C9E573}" presName="sp" presStyleCnt="0"/>
      <dgm:spPr/>
    </dgm:pt>
    <dgm:pt modelId="{EB200AF4-6542-4538-85ED-DB4A581C434B}" type="pres">
      <dgm:prSet presAssocID="{2AA43684-A5FA-4B2B-9E33-05A0D3C0011D}" presName="composite" presStyleCnt="0"/>
      <dgm:spPr/>
    </dgm:pt>
    <dgm:pt modelId="{958CC256-004C-48A0-B506-CD8AABF5ECD2}" type="pres">
      <dgm:prSet presAssocID="{2AA43684-A5FA-4B2B-9E33-05A0D3C0011D}" presName="parentText" presStyleLbl="alignNode1" presStyleIdx="2" presStyleCnt="7">
        <dgm:presLayoutVars>
          <dgm:chMax val="1"/>
          <dgm:bulletEnabled val="1"/>
        </dgm:presLayoutVars>
      </dgm:prSet>
      <dgm:spPr/>
      <dgm:t>
        <a:bodyPr/>
        <a:lstStyle/>
        <a:p>
          <a:endParaRPr lang="en-US"/>
        </a:p>
      </dgm:t>
    </dgm:pt>
    <dgm:pt modelId="{BE73A133-23D8-4EA2-90B6-B6CD858C67CD}" type="pres">
      <dgm:prSet presAssocID="{2AA43684-A5FA-4B2B-9E33-05A0D3C0011D}" presName="descendantText" presStyleLbl="alignAcc1" presStyleIdx="2" presStyleCnt="7">
        <dgm:presLayoutVars>
          <dgm:bulletEnabled val="1"/>
        </dgm:presLayoutVars>
      </dgm:prSet>
      <dgm:spPr/>
      <dgm:t>
        <a:bodyPr/>
        <a:lstStyle/>
        <a:p>
          <a:endParaRPr lang="en-US"/>
        </a:p>
      </dgm:t>
    </dgm:pt>
    <dgm:pt modelId="{6A072B12-B95B-4F0E-8B33-7CA45D865B6C}" type="pres">
      <dgm:prSet presAssocID="{19E17FBB-E8AD-4690-8067-E4BE74496823}" presName="sp" presStyleCnt="0"/>
      <dgm:spPr/>
    </dgm:pt>
    <dgm:pt modelId="{06D9CD86-3374-4B08-95EB-A25C3241D1FF}" type="pres">
      <dgm:prSet presAssocID="{3AA9000C-C034-48F5-8E42-A6B595A83C1F}" presName="composite" presStyleCnt="0"/>
      <dgm:spPr/>
    </dgm:pt>
    <dgm:pt modelId="{3CB36F38-F900-4793-90D8-9E423E79756B}" type="pres">
      <dgm:prSet presAssocID="{3AA9000C-C034-48F5-8E42-A6B595A83C1F}" presName="parentText" presStyleLbl="alignNode1" presStyleIdx="3" presStyleCnt="7">
        <dgm:presLayoutVars>
          <dgm:chMax val="1"/>
          <dgm:bulletEnabled val="1"/>
        </dgm:presLayoutVars>
      </dgm:prSet>
      <dgm:spPr/>
      <dgm:t>
        <a:bodyPr/>
        <a:lstStyle/>
        <a:p>
          <a:endParaRPr lang="en-US"/>
        </a:p>
      </dgm:t>
    </dgm:pt>
    <dgm:pt modelId="{267246EA-DBB4-48F9-A38A-0727F45399F0}" type="pres">
      <dgm:prSet presAssocID="{3AA9000C-C034-48F5-8E42-A6B595A83C1F}" presName="descendantText" presStyleLbl="alignAcc1" presStyleIdx="3" presStyleCnt="7">
        <dgm:presLayoutVars>
          <dgm:bulletEnabled val="1"/>
        </dgm:presLayoutVars>
      </dgm:prSet>
      <dgm:spPr/>
      <dgm:t>
        <a:bodyPr/>
        <a:lstStyle/>
        <a:p>
          <a:endParaRPr lang="en-US"/>
        </a:p>
      </dgm:t>
    </dgm:pt>
    <dgm:pt modelId="{342F163E-CB4C-4599-AE00-BCC618D180E6}" type="pres">
      <dgm:prSet presAssocID="{481185C4-DBE3-485A-836F-F457833CA5C0}" presName="sp" presStyleCnt="0"/>
      <dgm:spPr/>
    </dgm:pt>
    <dgm:pt modelId="{131EA1FB-F5D7-4512-A915-F5016D4E6A48}" type="pres">
      <dgm:prSet presAssocID="{B415BD51-C6CB-4652-8A7D-43FC4649BA56}" presName="composite" presStyleCnt="0"/>
      <dgm:spPr/>
    </dgm:pt>
    <dgm:pt modelId="{117BA573-AE28-482B-9C48-8C338E077012}" type="pres">
      <dgm:prSet presAssocID="{B415BD51-C6CB-4652-8A7D-43FC4649BA56}" presName="parentText" presStyleLbl="alignNode1" presStyleIdx="4" presStyleCnt="7">
        <dgm:presLayoutVars>
          <dgm:chMax val="1"/>
          <dgm:bulletEnabled val="1"/>
        </dgm:presLayoutVars>
      </dgm:prSet>
      <dgm:spPr/>
      <dgm:t>
        <a:bodyPr/>
        <a:lstStyle/>
        <a:p>
          <a:endParaRPr lang="en-US"/>
        </a:p>
      </dgm:t>
    </dgm:pt>
    <dgm:pt modelId="{15047A1F-3438-485D-A304-F6CB2F923D50}" type="pres">
      <dgm:prSet presAssocID="{B415BD51-C6CB-4652-8A7D-43FC4649BA56}" presName="descendantText" presStyleLbl="alignAcc1" presStyleIdx="4" presStyleCnt="7">
        <dgm:presLayoutVars>
          <dgm:bulletEnabled val="1"/>
        </dgm:presLayoutVars>
      </dgm:prSet>
      <dgm:spPr/>
      <dgm:t>
        <a:bodyPr/>
        <a:lstStyle/>
        <a:p>
          <a:endParaRPr lang="en-US"/>
        </a:p>
      </dgm:t>
    </dgm:pt>
    <dgm:pt modelId="{CF6AB73D-79D7-4BE1-A0E6-A35D7F410A29}" type="pres">
      <dgm:prSet presAssocID="{2E4A6E4C-ED77-4927-BB10-CAB2A5C882C8}" presName="sp" presStyleCnt="0"/>
      <dgm:spPr/>
    </dgm:pt>
    <dgm:pt modelId="{133294F1-266B-47A2-9CB8-FE49951A645E}" type="pres">
      <dgm:prSet presAssocID="{04D1A349-6F39-408A-AF59-DDF02A656941}" presName="composite" presStyleCnt="0"/>
      <dgm:spPr/>
    </dgm:pt>
    <dgm:pt modelId="{DEDB5BF8-C222-4C1D-B65F-2B393C442E09}" type="pres">
      <dgm:prSet presAssocID="{04D1A349-6F39-408A-AF59-DDF02A656941}" presName="parentText" presStyleLbl="alignNode1" presStyleIdx="5" presStyleCnt="7">
        <dgm:presLayoutVars>
          <dgm:chMax val="1"/>
          <dgm:bulletEnabled val="1"/>
        </dgm:presLayoutVars>
      </dgm:prSet>
      <dgm:spPr/>
      <dgm:t>
        <a:bodyPr/>
        <a:lstStyle/>
        <a:p>
          <a:endParaRPr lang="en-US"/>
        </a:p>
      </dgm:t>
    </dgm:pt>
    <dgm:pt modelId="{0928501A-3FC0-400A-9761-10883666110C}" type="pres">
      <dgm:prSet presAssocID="{04D1A349-6F39-408A-AF59-DDF02A656941}" presName="descendantText" presStyleLbl="alignAcc1" presStyleIdx="5" presStyleCnt="7">
        <dgm:presLayoutVars>
          <dgm:bulletEnabled val="1"/>
        </dgm:presLayoutVars>
      </dgm:prSet>
      <dgm:spPr>
        <a:ln>
          <a:noFill/>
        </a:ln>
      </dgm:spPr>
      <dgm:t>
        <a:bodyPr/>
        <a:lstStyle/>
        <a:p>
          <a:endParaRPr lang="en-US"/>
        </a:p>
      </dgm:t>
    </dgm:pt>
    <dgm:pt modelId="{C1AB5005-C48F-4F3B-B2A2-118B21B7B05F}" type="pres">
      <dgm:prSet presAssocID="{9CBEEAAB-BFC0-4354-81D6-41D3EEA2D1A2}" presName="sp" presStyleCnt="0"/>
      <dgm:spPr/>
    </dgm:pt>
    <dgm:pt modelId="{CA331940-170C-425D-A304-2D5420993F2D}" type="pres">
      <dgm:prSet presAssocID="{A51AB7C7-A145-44D2-9601-84EFF184D626}" presName="composite" presStyleCnt="0"/>
      <dgm:spPr/>
    </dgm:pt>
    <dgm:pt modelId="{39607A47-2DCB-42E3-BD60-7CD9DA5621F0}" type="pres">
      <dgm:prSet presAssocID="{A51AB7C7-A145-44D2-9601-84EFF184D626}" presName="parentText" presStyleLbl="alignNode1" presStyleIdx="6" presStyleCnt="7">
        <dgm:presLayoutVars>
          <dgm:chMax val="1"/>
          <dgm:bulletEnabled val="1"/>
        </dgm:presLayoutVars>
      </dgm:prSet>
      <dgm:spPr/>
      <dgm:t>
        <a:bodyPr/>
        <a:lstStyle/>
        <a:p>
          <a:endParaRPr lang="en-US"/>
        </a:p>
      </dgm:t>
    </dgm:pt>
    <dgm:pt modelId="{B4252394-48CD-41B5-8841-B1BC2A82A189}" type="pres">
      <dgm:prSet presAssocID="{A51AB7C7-A145-44D2-9601-84EFF184D626}" presName="descendantText" presStyleLbl="alignAcc1" presStyleIdx="6" presStyleCnt="7">
        <dgm:presLayoutVars>
          <dgm:bulletEnabled val="1"/>
        </dgm:presLayoutVars>
      </dgm:prSet>
      <dgm:spPr>
        <a:ln>
          <a:noFill/>
        </a:ln>
      </dgm:spPr>
      <dgm:t>
        <a:bodyPr/>
        <a:lstStyle/>
        <a:p>
          <a:endParaRPr lang="en-US"/>
        </a:p>
      </dgm:t>
    </dgm:pt>
  </dgm:ptLst>
  <dgm:cxnLst>
    <dgm:cxn modelId="{A19EF7E4-A7A0-4E96-BA24-216194A02185}" type="presOf" srcId="{3079F57B-2AB5-4090-A6AC-AD9EB1A03C66}" destId="{267246EA-DBB4-48F9-A38A-0727F45399F0}" srcOrd="0" destOrd="0" presId="urn:microsoft.com/office/officeart/2005/8/layout/chevron2"/>
    <dgm:cxn modelId="{0DCFF0EB-7651-4EEA-8685-1305CC3B2C44}" srcId="{77F76FEA-8AD0-47AF-87B1-0206824BFDDD}" destId="{B415BD51-C6CB-4652-8A7D-43FC4649BA56}" srcOrd="4" destOrd="0" parTransId="{194E3543-C5E3-4776-B7C0-F4D821846834}" sibTransId="{2E4A6E4C-ED77-4927-BB10-CAB2A5C882C8}"/>
    <dgm:cxn modelId="{1E391DFD-EC3E-401B-A398-AEBE076C3CB3}" srcId="{B415BD51-C6CB-4652-8A7D-43FC4649BA56}" destId="{3598D071-1884-4875-B8C5-4DBF1A692C85}" srcOrd="0" destOrd="0" parTransId="{9379A09B-EB0F-433F-998D-A373CDCA2745}" sibTransId="{DD74E295-FCC1-49B3-98DA-3DC1B1235C9C}"/>
    <dgm:cxn modelId="{07B74F38-96CD-4529-83B6-D3CCB22AF572}" type="presOf" srcId="{8E969AE4-9A29-42F6-9717-48DC040CF00B}" destId="{1D26A6B6-A679-4DD1-B0D1-7121D0223DE9}" srcOrd="0" destOrd="0" presId="urn:microsoft.com/office/officeart/2005/8/layout/chevron2"/>
    <dgm:cxn modelId="{C4010D4E-B61E-4A69-9A4E-08221723B981}" type="presOf" srcId="{F6D1336F-D895-4F53-834D-1A3A82AD72A1}" destId="{197E8E6E-0510-4115-AFAF-99219802914F}" srcOrd="0" destOrd="0" presId="urn:microsoft.com/office/officeart/2005/8/layout/chevron2"/>
    <dgm:cxn modelId="{4028479E-54D3-46FF-B770-AFDF016ABAAA}" type="presOf" srcId="{A51AB7C7-A145-44D2-9601-84EFF184D626}" destId="{39607A47-2DCB-42E3-BD60-7CD9DA5621F0}" srcOrd="0" destOrd="0" presId="urn:microsoft.com/office/officeart/2005/8/layout/chevron2"/>
    <dgm:cxn modelId="{C5ABB069-829D-467E-BCF7-DE79D3346F55}" srcId="{A51AB7C7-A145-44D2-9601-84EFF184D626}" destId="{02E53A24-7825-4F18-B0FC-CEE751A30BF4}" srcOrd="0" destOrd="0" parTransId="{67654691-4B25-4429-B689-2D7E248FA1F6}" sibTransId="{250613E0-59C4-416B-B644-BB09AEF111F1}"/>
    <dgm:cxn modelId="{726FD9D9-EFB6-4D73-BE1A-19A40F561C41}" srcId="{3AA9000C-C034-48F5-8E42-A6B595A83C1F}" destId="{3079F57B-2AB5-4090-A6AC-AD9EB1A03C66}" srcOrd="0" destOrd="0" parTransId="{BAA8F0BC-E970-4871-896A-55A06641B090}" sibTransId="{9D523373-30FB-4FA8-89C8-E93B62A5E143}"/>
    <dgm:cxn modelId="{B8D6EAE9-9864-4C88-9733-4E6CA160171E}" type="presOf" srcId="{4843475C-9994-49CA-80D9-8A9259C6832B}" destId="{BE73A133-23D8-4EA2-90B6-B6CD858C67CD}" srcOrd="0" destOrd="0" presId="urn:microsoft.com/office/officeart/2005/8/layout/chevron2"/>
    <dgm:cxn modelId="{FA35206C-2AA4-4C4A-A3F6-A8927F701298}" type="presOf" srcId="{3AA9000C-C034-48F5-8E42-A6B595A83C1F}" destId="{3CB36F38-F900-4793-90D8-9E423E79756B}" srcOrd="0" destOrd="0" presId="urn:microsoft.com/office/officeart/2005/8/layout/chevron2"/>
    <dgm:cxn modelId="{18162BCC-8E27-4ED6-BEDB-9696EB73FC1E}" type="presOf" srcId="{2AA43684-A5FA-4B2B-9E33-05A0D3C0011D}" destId="{958CC256-004C-48A0-B506-CD8AABF5ECD2}" srcOrd="0" destOrd="0" presId="urn:microsoft.com/office/officeart/2005/8/layout/chevron2"/>
    <dgm:cxn modelId="{00E801DA-3A93-4811-BAD5-0693E765C7FD}" type="presOf" srcId="{9EBADFE8-83F4-47EC-868B-F0154ACAE454}" destId="{ECA259CF-503C-4222-900C-4A6085F827DC}" srcOrd="0" destOrd="0" presId="urn:microsoft.com/office/officeart/2005/8/layout/chevron2"/>
    <dgm:cxn modelId="{29601F55-C8CB-4BCF-8C5D-73170F777EFC}" type="presOf" srcId="{04D1A349-6F39-408A-AF59-DDF02A656941}" destId="{DEDB5BF8-C222-4C1D-B65F-2B393C442E09}" srcOrd="0" destOrd="0" presId="urn:microsoft.com/office/officeart/2005/8/layout/chevron2"/>
    <dgm:cxn modelId="{8A8DE5E1-95AA-44B2-9385-3FF79C450030}" srcId="{77F76FEA-8AD0-47AF-87B1-0206824BFDDD}" destId="{3AA9000C-C034-48F5-8E42-A6B595A83C1F}" srcOrd="3" destOrd="0" parTransId="{661ECAAD-E8B9-4169-BF46-A642D31D8604}" sibTransId="{481185C4-DBE3-485A-836F-F457833CA5C0}"/>
    <dgm:cxn modelId="{F624A7D1-9A0F-4F8D-ABFE-C7DFDEBDA371}" srcId="{77F76FEA-8AD0-47AF-87B1-0206824BFDDD}" destId="{04D1A349-6F39-408A-AF59-DDF02A656941}" srcOrd="5" destOrd="0" parTransId="{B7127C14-3EFF-4255-97B4-1759D5C23105}" sibTransId="{9CBEEAAB-BFC0-4354-81D6-41D3EEA2D1A2}"/>
    <dgm:cxn modelId="{563AEAE0-595E-4E6C-BF00-87A85FF6B806}" type="presOf" srcId="{43F477FF-271D-473E-BAB1-E76FC6E0F3FD}" destId="{5C7D4D32-7CFF-45C5-A530-BCAC3250620A}" srcOrd="0" destOrd="0" presId="urn:microsoft.com/office/officeart/2005/8/layout/chevron2"/>
    <dgm:cxn modelId="{744B0648-EE4C-4B42-8E6C-F17606E0EB98}" type="presOf" srcId="{B415BD51-C6CB-4652-8A7D-43FC4649BA56}" destId="{117BA573-AE28-482B-9C48-8C338E077012}" srcOrd="0" destOrd="0" presId="urn:microsoft.com/office/officeart/2005/8/layout/chevron2"/>
    <dgm:cxn modelId="{13DA3F7B-DA10-4664-925A-FB9C2D2D2CB3}" srcId="{77F76FEA-8AD0-47AF-87B1-0206824BFDDD}" destId="{A51AB7C7-A145-44D2-9601-84EFF184D626}" srcOrd="6" destOrd="0" parTransId="{C23FF20A-C88C-44F8-9962-90B452D98F27}" sibTransId="{E5A784B3-C758-4C52-98B9-EDD667CF8AC4}"/>
    <dgm:cxn modelId="{E6BAD1EB-FC50-4125-B481-4819F711AA27}" srcId="{77F76FEA-8AD0-47AF-87B1-0206824BFDDD}" destId="{43F477FF-271D-473E-BAB1-E76FC6E0F3FD}" srcOrd="0" destOrd="0" parTransId="{E06AEC44-6E24-41A3-AD43-4ACE9DB00614}" sibTransId="{E8AB124A-5C30-4E7C-B215-B075C6DF02B0}"/>
    <dgm:cxn modelId="{3AAED65C-AF8E-45D7-89F7-A1C28B7D4A05}" srcId="{04D1A349-6F39-408A-AF59-DDF02A656941}" destId="{7D0E0263-5DEC-42AC-B238-15176C2CEB44}" srcOrd="0" destOrd="0" parTransId="{193B773B-8441-41D2-94C0-BC2149223902}" sibTransId="{87F78E49-4FDF-4485-A855-F15FF8C2ED87}"/>
    <dgm:cxn modelId="{E285D82B-886B-48B9-8BF9-3E714B15AB16}" srcId="{F6D1336F-D895-4F53-834D-1A3A82AD72A1}" destId="{9EBADFE8-83F4-47EC-868B-F0154ACAE454}" srcOrd="0" destOrd="0" parTransId="{F832A623-5D42-46A6-94C5-75397E600937}" sibTransId="{E00265A7-E22E-47C3-808E-493C473AAB27}"/>
    <dgm:cxn modelId="{31E7A660-603E-436C-A5B3-34B20CEAE697}" type="presOf" srcId="{77F76FEA-8AD0-47AF-87B1-0206824BFDDD}" destId="{A3B17352-87EB-422F-B05D-47B44CF88BC7}" srcOrd="0" destOrd="0" presId="urn:microsoft.com/office/officeart/2005/8/layout/chevron2"/>
    <dgm:cxn modelId="{D3D1EF7F-E794-465B-BDA7-4807B13AD526}" srcId="{2AA43684-A5FA-4B2B-9E33-05A0D3C0011D}" destId="{4843475C-9994-49CA-80D9-8A9259C6832B}" srcOrd="0" destOrd="0" parTransId="{0AE7CD26-DAD7-43F1-8181-4E9681A198E7}" sibTransId="{BF1B4F7D-3235-4BB7-ADB4-FA5866DF8368}"/>
    <dgm:cxn modelId="{0F1AE771-D3B7-4DC6-8547-2239DF5975F4}" type="presOf" srcId="{02E53A24-7825-4F18-B0FC-CEE751A30BF4}" destId="{B4252394-48CD-41B5-8841-B1BC2A82A189}" srcOrd="0" destOrd="0" presId="urn:microsoft.com/office/officeart/2005/8/layout/chevron2"/>
    <dgm:cxn modelId="{D2131D42-73C7-42FD-AA74-B5CB0B0F549C}" type="presOf" srcId="{3598D071-1884-4875-B8C5-4DBF1A692C85}" destId="{15047A1F-3438-485D-A304-F6CB2F923D50}" srcOrd="0" destOrd="0" presId="urn:microsoft.com/office/officeart/2005/8/layout/chevron2"/>
    <dgm:cxn modelId="{ECE6E692-96B2-4F32-B77D-277AC3E32185}" type="presOf" srcId="{7D0E0263-5DEC-42AC-B238-15176C2CEB44}" destId="{0928501A-3FC0-400A-9761-10883666110C}" srcOrd="0" destOrd="0" presId="urn:microsoft.com/office/officeart/2005/8/layout/chevron2"/>
    <dgm:cxn modelId="{291D6928-1E4A-4010-A556-E764A29AE896}" srcId="{77F76FEA-8AD0-47AF-87B1-0206824BFDDD}" destId="{2AA43684-A5FA-4B2B-9E33-05A0D3C0011D}" srcOrd="2" destOrd="0" parTransId="{E801628B-ABBB-4E20-9755-044FF02F3E32}" sibTransId="{19E17FBB-E8AD-4690-8067-E4BE74496823}"/>
    <dgm:cxn modelId="{4B6A9EAE-3799-410D-B271-34522BEBCE33}" srcId="{43F477FF-271D-473E-BAB1-E76FC6E0F3FD}" destId="{8E969AE4-9A29-42F6-9717-48DC040CF00B}" srcOrd="0" destOrd="0" parTransId="{4120E60B-398C-46BA-9A1B-C97F18A24E9E}" sibTransId="{1AAA3FAF-847B-4ACA-A161-4B93F2CC686B}"/>
    <dgm:cxn modelId="{8113AE1C-496F-40B4-B7C9-47825A5B2A17}" srcId="{77F76FEA-8AD0-47AF-87B1-0206824BFDDD}" destId="{F6D1336F-D895-4F53-834D-1A3A82AD72A1}" srcOrd="1" destOrd="0" parTransId="{F3A01145-D53F-44DE-A075-0A32BD50B099}" sibTransId="{806E9319-ACB0-4ACE-A69B-B1C933C9E573}"/>
    <dgm:cxn modelId="{49A9751A-96EB-46C0-921B-3EA94550C626}" type="presParOf" srcId="{A3B17352-87EB-422F-B05D-47B44CF88BC7}" destId="{568BB893-FEFD-4459-83B8-CE710062FCF6}" srcOrd="0" destOrd="0" presId="urn:microsoft.com/office/officeart/2005/8/layout/chevron2"/>
    <dgm:cxn modelId="{B8EFE40A-1B6F-470D-A6C0-75CE39DC59CD}" type="presParOf" srcId="{568BB893-FEFD-4459-83B8-CE710062FCF6}" destId="{5C7D4D32-7CFF-45C5-A530-BCAC3250620A}" srcOrd="0" destOrd="0" presId="urn:microsoft.com/office/officeart/2005/8/layout/chevron2"/>
    <dgm:cxn modelId="{A63C9401-7742-4CE2-9FD2-E6D6AADF8714}" type="presParOf" srcId="{568BB893-FEFD-4459-83B8-CE710062FCF6}" destId="{1D26A6B6-A679-4DD1-B0D1-7121D0223DE9}" srcOrd="1" destOrd="0" presId="urn:microsoft.com/office/officeart/2005/8/layout/chevron2"/>
    <dgm:cxn modelId="{F4CF13F5-B57F-40D2-B31F-56DA7C0D60FA}" type="presParOf" srcId="{A3B17352-87EB-422F-B05D-47B44CF88BC7}" destId="{F44C3B18-1305-4213-AB75-ABFE9604277E}" srcOrd="1" destOrd="0" presId="urn:microsoft.com/office/officeart/2005/8/layout/chevron2"/>
    <dgm:cxn modelId="{0079CFFD-FA0A-4E96-A6BD-3B6D64027D22}" type="presParOf" srcId="{A3B17352-87EB-422F-B05D-47B44CF88BC7}" destId="{281D7098-1750-467B-AEF5-C0D1DA64B3D3}" srcOrd="2" destOrd="0" presId="urn:microsoft.com/office/officeart/2005/8/layout/chevron2"/>
    <dgm:cxn modelId="{8D5403EB-B645-41B7-8D77-799F1FFCEBDF}" type="presParOf" srcId="{281D7098-1750-467B-AEF5-C0D1DA64B3D3}" destId="{197E8E6E-0510-4115-AFAF-99219802914F}" srcOrd="0" destOrd="0" presId="urn:microsoft.com/office/officeart/2005/8/layout/chevron2"/>
    <dgm:cxn modelId="{E454D384-1A4A-4EEA-BEBA-74589F7B5D9F}" type="presParOf" srcId="{281D7098-1750-467B-AEF5-C0D1DA64B3D3}" destId="{ECA259CF-503C-4222-900C-4A6085F827DC}" srcOrd="1" destOrd="0" presId="urn:microsoft.com/office/officeart/2005/8/layout/chevron2"/>
    <dgm:cxn modelId="{A109EC75-EF7D-49AF-80DD-B6993A8A728A}" type="presParOf" srcId="{A3B17352-87EB-422F-B05D-47B44CF88BC7}" destId="{58CB91A9-808A-432A-87E2-A175940B4CB1}" srcOrd="3" destOrd="0" presId="urn:microsoft.com/office/officeart/2005/8/layout/chevron2"/>
    <dgm:cxn modelId="{9A7156B7-8630-439E-A109-A35F683796B4}" type="presParOf" srcId="{A3B17352-87EB-422F-B05D-47B44CF88BC7}" destId="{EB200AF4-6542-4538-85ED-DB4A581C434B}" srcOrd="4" destOrd="0" presId="urn:microsoft.com/office/officeart/2005/8/layout/chevron2"/>
    <dgm:cxn modelId="{69A33C25-9269-4957-AFDF-1CFB9F242E10}" type="presParOf" srcId="{EB200AF4-6542-4538-85ED-DB4A581C434B}" destId="{958CC256-004C-48A0-B506-CD8AABF5ECD2}" srcOrd="0" destOrd="0" presId="urn:microsoft.com/office/officeart/2005/8/layout/chevron2"/>
    <dgm:cxn modelId="{D683D532-E14A-40C6-B25C-2E1222329839}" type="presParOf" srcId="{EB200AF4-6542-4538-85ED-DB4A581C434B}" destId="{BE73A133-23D8-4EA2-90B6-B6CD858C67CD}" srcOrd="1" destOrd="0" presId="urn:microsoft.com/office/officeart/2005/8/layout/chevron2"/>
    <dgm:cxn modelId="{600AE934-267F-407E-A963-486BC4BD9F67}" type="presParOf" srcId="{A3B17352-87EB-422F-B05D-47B44CF88BC7}" destId="{6A072B12-B95B-4F0E-8B33-7CA45D865B6C}" srcOrd="5" destOrd="0" presId="urn:microsoft.com/office/officeart/2005/8/layout/chevron2"/>
    <dgm:cxn modelId="{5FBF956A-31B7-4F75-8E7F-4F7C57F28C7C}" type="presParOf" srcId="{A3B17352-87EB-422F-B05D-47B44CF88BC7}" destId="{06D9CD86-3374-4B08-95EB-A25C3241D1FF}" srcOrd="6" destOrd="0" presId="urn:microsoft.com/office/officeart/2005/8/layout/chevron2"/>
    <dgm:cxn modelId="{270CDCEC-CAFD-4B71-9568-E51291E02D3E}" type="presParOf" srcId="{06D9CD86-3374-4B08-95EB-A25C3241D1FF}" destId="{3CB36F38-F900-4793-90D8-9E423E79756B}" srcOrd="0" destOrd="0" presId="urn:microsoft.com/office/officeart/2005/8/layout/chevron2"/>
    <dgm:cxn modelId="{583D1C0E-E7A2-4527-90B8-58EA6E160008}" type="presParOf" srcId="{06D9CD86-3374-4B08-95EB-A25C3241D1FF}" destId="{267246EA-DBB4-48F9-A38A-0727F45399F0}" srcOrd="1" destOrd="0" presId="urn:microsoft.com/office/officeart/2005/8/layout/chevron2"/>
    <dgm:cxn modelId="{50D8F4A6-E40C-4938-8DA4-DC2908498B8C}" type="presParOf" srcId="{A3B17352-87EB-422F-B05D-47B44CF88BC7}" destId="{342F163E-CB4C-4599-AE00-BCC618D180E6}" srcOrd="7" destOrd="0" presId="urn:microsoft.com/office/officeart/2005/8/layout/chevron2"/>
    <dgm:cxn modelId="{789642FB-A5A9-4D01-B98D-B8FEFB32C8BD}" type="presParOf" srcId="{A3B17352-87EB-422F-B05D-47B44CF88BC7}" destId="{131EA1FB-F5D7-4512-A915-F5016D4E6A48}" srcOrd="8" destOrd="0" presId="urn:microsoft.com/office/officeart/2005/8/layout/chevron2"/>
    <dgm:cxn modelId="{67F341F2-5FEA-4904-8129-21E78C69450C}" type="presParOf" srcId="{131EA1FB-F5D7-4512-A915-F5016D4E6A48}" destId="{117BA573-AE28-482B-9C48-8C338E077012}" srcOrd="0" destOrd="0" presId="urn:microsoft.com/office/officeart/2005/8/layout/chevron2"/>
    <dgm:cxn modelId="{9F86BD35-5274-4374-917B-855DE92E24C7}" type="presParOf" srcId="{131EA1FB-F5D7-4512-A915-F5016D4E6A48}" destId="{15047A1F-3438-485D-A304-F6CB2F923D50}" srcOrd="1" destOrd="0" presId="urn:microsoft.com/office/officeart/2005/8/layout/chevron2"/>
    <dgm:cxn modelId="{2C5A0F60-96A7-4C18-9BF0-DA2EB824F206}" type="presParOf" srcId="{A3B17352-87EB-422F-B05D-47B44CF88BC7}" destId="{CF6AB73D-79D7-4BE1-A0E6-A35D7F410A29}" srcOrd="9" destOrd="0" presId="urn:microsoft.com/office/officeart/2005/8/layout/chevron2"/>
    <dgm:cxn modelId="{B8363400-750E-40CC-A908-5FAE3F6B6760}" type="presParOf" srcId="{A3B17352-87EB-422F-B05D-47B44CF88BC7}" destId="{133294F1-266B-47A2-9CB8-FE49951A645E}" srcOrd="10" destOrd="0" presId="urn:microsoft.com/office/officeart/2005/8/layout/chevron2"/>
    <dgm:cxn modelId="{E55C47A7-6A82-4619-89FA-330F833361EF}" type="presParOf" srcId="{133294F1-266B-47A2-9CB8-FE49951A645E}" destId="{DEDB5BF8-C222-4C1D-B65F-2B393C442E09}" srcOrd="0" destOrd="0" presId="urn:microsoft.com/office/officeart/2005/8/layout/chevron2"/>
    <dgm:cxn modelId="{19C01A7C-7D48-4DFB-97AD-23D4FCEDC349}" type="presParOf" srcId="{133294F1-266B-47A2-9CB8-FE49951A645E}" destId="{0928501A-3FC0-400A-9761-10883666110C}" srcOrd="1" destOrd="0" presId="urn:microsoft.com/office/officeart/2005/8/layout/chevron2"/>
    <dgm:cxn modelId="{841C0ADF-C9B3-4430-A923-D98D380E53E9}" type="presParOf" srcId="{A3B17352-87EB-422F-B05D-47B44CF88BC7}" destId="{C1AB5005-C48F-4F3B-B2A2-118B21B7B05F}" srcOrd="11" destOrd="0" presId="urn:microsoft.com/office/officeart/2005/8/layout/chevron2"/>
    <dgm:cxn modelId="{32C0B46E-61F1-4D68-8D1D-130C9623153E}" type="presParOf" srcId="{A3B17352-87EB-422F-B05D-47B44CF88BC7}" destId="{CA331940-170C-425D-A304-2D5420993F2D}" srcOrd="12" destOrd="0" presId="urn:microsoft.com/office/officeart/2005/8/layout/chevron2"/>
    <dgm:cxn modelId="{5897E88C-013F-4A0F-8B37-7D1857C32559}" type="presParOf" srcId="{CA331940-170C-425D-A304-2D5420993F2D}" destId="{39607A47-2DCB-42E3-BD60-7CD9DA5621F0}" srcOrd="0" destOrd="0" presId="urn:microsoft.com/office/officeart/2005/8/layout/chevron2"/>
    <dgm:cxn modelId="{F4ACA4F3-CC9A-4EF6-820E-BF8670AE3567}" type="presParOf" srcId="{CA331940-170C-425D-A304-2D5420993F2D}" destId="{B4252394-48CD-41B5-8841-B1BC2A82A189}" srcOrd="1" destOrd="0" presId="urn:microsoft.com/office/officeart/2005/8/layout/chevron2"/>
  </dgm:cxnLst>
  <dgm:bg/>
  <dgm:whole>
    <a:ln w="76200" cap="flat" cmpd="sng" algn="ctr">
      <a:solidFill>
        <a:schemeClr val="bg1">
          <a:lumMod val="95000"/>
        </a:schemeClr>
      </a:solid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F77DDF8-2C97-4FF8-AE6C-8701EE2F4C28}"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n-GB"/>
        </a:p>
      </dgm:t>
    </dgm:pt>
    <dgm:pt modelId="{1CC4C6C7-F713-4B7D-AC45-3A557C8A8CD3}">
      <dgm:prSet phldrT="[Text]" custT="1"/>
      <dgm:spPr>
        <a:solidFill>
          <a:schemeClr val="tx2">
            <a:lumMod val="20000"/>
            <a:lumOff val="80000"/>
          </a:schemeClr>
        </a:solidFill>
      </dgm:spPr>
      <dgm:t>
        <a:bodyPr/>
        <a:lstStyle/>
        <a:p>
          <a:pPr algn="l"/>
          <a:r>
            <a:rPr lang="en-GB" sz="1600" b="1">
              <a:solidFill>
                <a:sysClr val="windowText" lastClr="000000"/>
              </a:solidFill>
            </a:rPr>
            <a:t>1. Initiate</a:t>
          </a:r>
        </a:p>
      </dgm:t>
    </dgm:pt>
    <dgm:pt modelId="{1E7A94F3-315E-49EB-A7F1-4A1072820682}" type="parTrans" cxnId="{69B5E655-5554-4325-B085-A2E9BAF3EB09}">
      <dgm:prSet/>
      <dgm:spPr/>
      <dgm:t>
        <a:bodyPr/>
        <a:lstStyle/>
        <a:p>
          <a:endParaRPr lang="en-GB" sz="1400"/>
        </a:p>
      </dgm:t>
    </dgm:pt>
    <dgm:pt modelId="{24E72DBA-A5C3-44D4-BCBA-5E72668E35CD}" type="sibTrans" cxnId="{69B5E655-5554-4325-B085-A2E9BAF3EB09}">
      <dgm:prSet/>
      <dgm:spPr/>
      <dgm:t>
        <a:bodyPr/>
        <a:lstStyle/>
        <a:p>
          <a:endParaRPr lang="en-GB" sz="1400"/>
        </a:p>
      </dgm:t>
    </dgm:pt>
    <dgm:pt modelId="{E8AED187-C334-46A4-A3CD-39808E3F8938}">
      <dgm:prSet phldrT="[Text]" custT="1"/>
      <dgm:spPr>
        <a:solidFill>
          <a:srgbClr val="E3F4FF">
            <a:alpha val="30196"/>
          </a:srgbClr>
        </a:solidFill>
        <a:ln>
          <a:solidFill>
            <a:schemeClr val="tx2">
              <a:lumMod val="20000"/>
              <a:lumOff val="80000"/>
            </a:schemeClr>
          </a:solidFill>
        </a:ln>
      </dgm:spPr>
      <dgm:t>
        <a:bodyPr/>
        <a:lstStyle/>
        <a:p>
          <a:r>
            <a:rPr lang="en-GB" sz="1400"/>
            <a:t>First contact with the service delivery system</a:t>
          </a:r>
        </a:p>
      </dgm:t>
    </dgm:pt>
    <dgm:pt modelId="{7D137161-ACFB-42EF-801B-C4A901481E95}" type="parTrans" cxnId="{0F71A767-6667-40CE-8383-C21C844C6CF9}">
      <dgm:prSet/>
      <dgm:spPr/>
      <dgm:t>
        <a:bodyPr/>
        <a:lstStyle/>
        <a:p>
          <a:endParaRPr lang="en-GB" sz="1400"/>
        </a:p>
      </dgm:t>
    </dgm:pt>
    <dgm:pt modelId="{13C91A45-42F9-4084-B312-A934C09C2DBE}" type="sibTrans" cxnId="{0F71A767-6667-40CE-8383-C21C844C6CF9}">
      <dgm:prSet/>
      <dgm:spPr/>
      <dgm:t>
        <a:bodyPr/>
        <a:lstStyle/>
        <a:p>
          <a:endParaRPr lang="en-GB" sz="1400"/>
        </a:p>
      </dgm:t>
    </dgm:pt>
    <dgm:pt modelId="{69F3BF96-72E8-44C0-A257-FF0EF54D32BD}">
      <dgm:prSet phldrT="[Text]" custT="1"/>
      <dgm:spPr>
        <a:solidFill>
          <a:schemeClr val="tx2">
            <a:lumMod val="40000"/>
            <a:lumOff val="60000"/>
          </a:schemeClr>
        </a:solidFill>
      </dgm:spPr>
      <dgm:t>
        <a:bodyPr/>
        <a:lstStyle/>
        <a:p>
          <a:pPr algn="l"/>
          <a:r>
            <a:rPr lang="en-GB" sz="1600" b="1">
              <a:solidFill>
                <a:sysClr val="windowText" lastClr="000000"/>
              </a:solidFill>
            </a:rPr>
            <a:t>2. Assessment</a:t>
          </a:r>
        </a:p>
      </dgm:t>
    </dgm:pt>
    <dgm:pt modelId="{456C9646-FE21-43CC-9527-FD24BFDD01AC}" type="parTrans" cxnId="{C0175708-BB80-4B5C-A56B-CE121F404640}">
      <dgm:prSet/>
      <dgm:spPr/>
      <dgm:t>
        <a:bodyPr/>
        <a:lstStyle/>
        <a:p>
          <a:endParaRPr lang="en-GB" sz="1400"/>
        </a:p>
      </dgm:t>
    </dgm:pt>
    <dgm:pt modelId="{3F86E997-4643-4720-BC70-10EBEE1B00F2}" type="sibTrans" cxnId="{C0175708-BB80-4B5C-A56B-CE121F404640}">
      <dgm:prSet/>
      <dgm:spPr/>
      <dgm:t>
        <a:bodyPr/>
        <a:lstStyle/>
        <a:p>
          <a:endParaRPr lang="en-GB" sz="1400"/>
        </a:p>
      </dgm:t>
    </dgm:pt>
    <dgm:pt modelId="{42DAEC89-6C1B-49F5-B225-39FE62DE0F31}">
      <dgm:prSet phldrT="[Text]" custT="1"/>
      <dgm:spPr>
        <a:solidFill>
          <a:schemeClr val="accent1">
            <a:alpha val="20000"/>
          </a:schemeClr>
        </a:solidFill>
        <a:ln>
          <a:solidFill>
            <a:schemeClr val="accent1"/>
          </a:solidFill>
        </a:ln>
      </dgm:spPr>
      <dgm:t>
        <a:bodyPr/>
        <a:lstStyle/>
        <a:p>
          <a:r>
            <a:rPr lang="en-GB" sz="1400"/>
            <a:t>Evaluation of needs</a:t>
          </a:r>
        </a:p>
      </dgm:t>
    </dgm:pt>
    <dgm:pt modelId="{691133E0-6126-4D16-AA87-C2C7852A0F77}" type="parTrans" cxnId="{BFC656F7-00A3-42C4-8846-A948FF2F665E}">
      <dgm:prSet/>
      <dgm:spPr/>
      <dgm:t>
        <a:bodyPr/>
        <a:lstStyle/>
        <a:p>
          <a:endParaRPr lang="en-GB" sz="1400"/>
        </a:p>
      </dgm:t>
    </dgm:pt>
    <dgm:pt modelId="{3ABF08DB-F3D6-4F6B-B669-090A12E0D563}" type="sibTrans" cxnId="{BFC656F7-00A3-42C4-8846-A948FF2F665E}">
      <dgm:prSet/>
      <dgm:spPr/>
      <dgm:t>
        <a:bodyPr/>
        <a:lstStyle/>
        <a:p>
          <a:endParaRPr lang="en-GB" sz="1400"/>
        </a:p>
      </dgm:t>
    </dgm:pt>
    <dgm:pt modelId="{B2D1CFCA-A780-4DF0-9F54-F43EBE45B6A4}">
      <dgm:prSet phldrT="[Text]" custT="1"/>
      <dgm:spPr>
        <a:solidFill>
          <a:srgbClr val="15A6FF">
            <a:alpha val="20000"/>
          </a:srgbClr>
        </a:solidFill>
        <a:ln>
          <a:solidFill>
            <a:schemeClr val="tx2">
              <a:lumMod val="60000"/>
              <a:lumOff val="40000"/>
            </a:schemeClr>
          </a:solidFill>
        </a:ln>
      </dgm:spPr>
      <dgm:t>
        <a:bodyPr/>
        <a:lstStyle/>
        <a:p>
          <a:r>
            <a:rPr lang="en-GB" sz="1400"/>
            <a:t>Defining the individual AT programme</a:t>
          </a:r>
        </a:p>
      </dgm:t>
    </dgm:pt>
    <dgm:pt modelId="{708CD760-4901-48C8-BBB5-7F0EEBE913D1}" type="parTrans" cxnId="{6FE6A6E0-CF64-40A2-B0CA-0177237DFE7D}">
      <dgm:prSet/>
      <dgm:spPr/>
      <dgm:t>
        <a:bodyPr/>
        <a:lstStyle/>
        <a:p>
          <a:endParaRPr lang="en-GB" sz="1400"/>
        </a:p>
      </dgm:t>
    </dgm:pt>
    <dgm:pt modelId="{ACE244D3-4C04-44ED-917A-ABE558B2AD3C}" type="sibTrans" cxnId="{6FE6A6E0-CF64-40A2-B0CA-0177237DFE7D}">
      <dgm:prSet/>
      <dgm:spPr/>
      <dgm:t>
        <a:bodyPr/>
        <a:lstStyle/>
        <a:p>
          <a:endParaRPr lang="en-GB" sz="1400"/>
        </a:p>
      </dgm:t>
    </dgm:pt>
    <dgm:pt modelId="{19E839AB-28CA-49FF-89C9-B7D8D9E27873}">
      <dgm:prSet phldrT="[Text]" custT="1"/>
      <dgm:spPr>
        <a:solidFill>
          <a:srgbClr val="0079C1">
            <a:alpha val="20000"/>
          </a:srgbClr>
        </a:solidFill>
        <a:ln>
          <a:solidFill>
            <a:schemeClr val="tx2"/>
          </a:solidFill>
        </a:ln>
      </dgm:spPr>
      <dgm:t>
        <a:bodyPr/>
        <a:lstStyle/>
        <a:p>
          <a:r>
            <a:rPr lang="en-GB" sz="1400"/>
            <a:t>Choosing the specific equipment within the AT programme</a:t>
          </a:r>
        </a:p>
      </dgm:t>
    </dgm:pt>
    <dgm:pt modelId="{0E91F8BA-511B-4D46-9CAC-8D4A68A90454}" type="parTrans" cxnId="{D1757566-DC77-4705-942A-7340C1EB8F36}">
      <dgm:prSet/>
      <dgm:spPr/>
      <dgm:t>
        <a:bodyPr/>
        <a:lstStyle/>
        <a:p>
          <a:endParaRPr lang="en-GB" sz="1400"/>
        </a:p>
      </dgm:t>
    </dgm:pt>
    <dgm:pt modelId="{3F513EFB-4321-4317-B08F-18F08C40CA5C}" type="sibTrans" cxnId="{D1757566-DC77-4705-942A-7340C1EB8F36}">
      <dgm:prSet/>
      <dgm:spPr/>
      <dgm:t>
        <a:bodyPr/>
        <a:lstStyle/>
        <a:p>
          <a:endParaRPr lang="en-GB" sz="1400"/>
        </a:p>
      </dgm:t>
    </dgm:pt>
    <dgm:pt modelId="{AE187195-0255-44A7-B79F-15E66C0ECBF3}">
      <dgm:prSet phldrT="[Text]" custT="1"/>
      <dgm:spPr>
        <a:solidFill>
          <a:srgbClr val="005B91">
            <a:alpha val="20000"/>
          </a:srgbClr>
        </a:solidFill>
        <a:ln>
          <a:solidFill>
            <a:schemeClr val="tx2">
              <a:lumMod val="75000"/>
            </a:schemeClr>
          </a:solidFill>
        </a:ln>
      </dgm:spPr>
      <dgm:t>
        <a:bodyPr/>
        <a:lstStyle/>
        <a:p>
          <a:r>
            <a:rPr lang="en-GB" sz="1400"/>
            <a:t>Obtaining funding</a:t>
          </a:r>
        </a:p>
      </dgm:t>
    </dgm:pt>
    <dgm:pt modelId="{F5BFB0C9-339B-487D-A86D-01A96C5126EE}" type="parTrans" cxnId="{363F5366-88AD-479B-8E4D-EAD088D061E9}">
      <dgm:prSet/>
      <dgm:spPr/>
      <dgm:t>
        <a:bodyPr/>
        <a:lstStyle/>
        <a:p>
          <a:endParaRPr lang="en-GB" sz="1400"/>
        </a:p>
      </dgm:t>
    </dgm:pt>
    <dgm:pt modelId="{66361F17-6B46-45DB-A123-EADE748696D9}" type="sibTrans" cxnId="{363F5366-88AD-479B-8E4D-EAD088D061E9}">
      <dgm:prSet/>
      <dgm:spPr/>
      <dgm:t>
        <a:bodyPr/>
        <a:lstStyle/>
        <a:p>
          <a:endParaRPr lang="en-GB" sz="1400"/>
        </a:p>
      </dgm:t>
    </dgm:pt>
    <dgm:pt modelId="{035639BC-64EE-4523-AC9B-CF38AD82B826}">
      <dgm:prSet phldrT="[Text]" custT="1"/>
      <dgm:spPr>
        <a:solidFill>
          <a:srgbClr val="606164">
            <a:alpha val="20000"/>
          </a:srgbClr>
        </a:solidFill>
        <a:ln>
          <a:solidFill>
            <a:schemeClr val="bg2">
              <a:lumMod val="75000"/>
            </a:schemeClr>
          </a:solidFill>
        </a:ln>
      </dgm:spPr>
      <dgm:t>
        <a:bodyPr/>
        <a:lstStyle/>
        <a:p>
          <a:r>
            <a:rPr lang="en-GB" sz="1400"/>
            <a:t>Delivering the equipment to the user, fitting and training</a:t>
          </a:r>
        </a:p>
      </dgm:t>
    </dgm:pt>
    <dgm:pt modelId="{B876CB52-1A0A-4160-BF9F-3B10483514FC}" type="parTrans" cxnId="{BD2CF96D-B04C-4179-A7B1-ED729CF6662A}">
      <dgm:prSet/>
      <dgm:spPr/>
      <dgm:t>
        <a:bodyPr/>
        <a:lstStyle/>
        <a:p>
          <a:endParaRPr lang="en-GB" sz="1400"/>
        </a:p>
      </dgm:t>
    </dgm:pt>
    <dgm:pt modelId="{A390D7B3-CD87-411B-A156-AA3935988498}" type="sibTrans" cxnId="{BD2CF96D-B04C-4179-A7B1-ED729CF6662A}">
      <dgm:prSet/>
      <dgm:spPr/>
      <dgm:t>
        <a:bodyPr/>
        <a:lstStyle/>
        <a:p>
          <a:endParaRPr lang="en-GB" sz="1400"/>
        </a:p>
      </dgm:t>
    </dgm:pt>
    <dgm:pt modelId="{5BD0C555-3210-415F-AA9D-917F08944CCC}">
      <dgm:prSet phldrT="[Text]" custT="1"/>
      <dgm:spPr>
        <a:solidFill>
          <a:srgbClr val="404143">
            <a:alpha val="20000"/>
          </a:srgbClr>
        </a:solidFill>
        <a:ln>
          <a:solidFill>
            <a:schemeClr val="bg2">
              <a:lumMod val="50000"/>
            </a:schemeClr>
          </a:solidFill>
        </a:ln>
      </dgm:spPr>
      <dgm:t>
        <a:bodyPr/>
        <a:lstStyle/>
        <a:p>
          <a:r>
            <a:rPr lang="en-GB" sz="1400"/>
            <a:t>Maintenance and periodic verification</a:t>
          </a:r>
        </a:p>
      </dgm:t>
    </dgm:pt>
    <dgm:pt modelId="{EFEAADF1-3AF4-4331-8982-ADEDCDA3D5E2}" type="parTrans" cxnId="{3607D2A5-5908-4347-96F8-DA9D2334E7F6}">
      <dgm:prSet/>
      <dgm:spPr/>
      <dgm:t>
        <a:bodyPr/>
        <a:lstStyle/>
        <a:p>
          <a:endParaRPr lang="en-GB" sz="1400"/>
        </a:p>
      </dgm:t>
    </dgm:pt>
    <dgm:pt modelId="{792D5009-164B-4E45-A301-2E405FF80F5A}" type="sibTrans" cxnId="{3607D2A5-5908-4347-96F8-DA9D2334E7F6}">
      <dgm:prSet/>
      <dgm:spPr/>
      <dgm:t>
        <a:bodyPr/>
        <a:lstStyle/>
        <a:p>
          <a:endParaRPr lang="en-GB" sz="1400"/>
        </a:p>
      </dgm:t>
    </dgm:pt>
    <dgm:pt modelId="{37D5981B-167D-4A59-AA8B-44E94457C6ED}">
      <dgm:prSet phldrT="[Text]" custT="1"/>
      <dgm:spPr>
        <a:solidFill>
          <a:srgbClr val="15A6FF"/>
        </a:solidFill>
      </dgm:spPr>
      <dgm:t>
        <a:bodyPr/>
        <a:lstStyle/>
        <a:p>
          <a:pPr algn="l"/>
          <a:r>
            <a:rPr lang="en-GB" sz="1600" b="1">
              <a:solidFill>
                <a:sysClr val="windowText" lastClr="000000"/>
              </a:solidFill>
            </a:rPr>
            <a:t>3. Selection of assistive solution(s)</a:t>
          </a:r>
        </a:p>
      </dgm:t>
    </dgm:pt>
    <dgm:pt modelId="{4CE7C5DF-E43A-4B1C-B438-D52FF5DDC907}" type="parTrans" cxnId="{58F0BD70-F5EE-4EA8-ADC5-29003530629A}">
      <dgm:prSet/>
      <dgm:spPr/>
      <dgm:t>
        <a:bodyPr/>
        <a:lstStyle/>
        <a:p>
          <a:endParaRPr lang="en-GB" sz="1400"/>
        </a:p>
      </dgm:t>
    </dgm:pt>
    <dgm:pt modelId="{D9F2D658-D409-44FA-8852-B681BAB3E402}" type="sibTrans" cxnId="{58F0BD70-F5EE-4EA8-ADC5-29003530629A}">
      <dgm:prSet/>
      <dgm:spPr/>
      <dgm:t>
        <a:bodyPr/>
        <a:lstStyle/>
        <a:p>
          <a:endParaRPr lang="en-GB" sz="1400"/>
        </a:p>
      </dgm:t>
    </dgm:pt>
    <dgm:pt modelId="{5855D413-C381-4BA9-864B-95A88F55FF16}">
      <dgm:prSet phldrT="[Text]" custT="1"/>
      <dgm:spPr>
        <a:solidFill>
          <a:schemeClr val="tx2"/>
        </a:solidFill>
      </dgm:spPr>
      <dgm:t>
        <a:bodyPr/>
        <a:lstStyle/>
        <a:p>
          <a:pPr algn="l"/>
          <a:r>
            <a:rPr lang="en-GB" sz="1600" b="1"/>
            <a:t>4. Selection of the equipment</a:t>
          </a:r>
        </a:p>
      </dgm:t>
    </dgm:pt>
    <dgm:pt modelId="{D686D435-8AA4-413B-8E91-E69C1CE37BA0}" type="parTrans" cxnId="{7B71FFB2-317D-46F4-8765-5C3221201B01}">
      <dgm:prSet/>
      <dgm:spPr/>
      <dgm:t>
        <a:bodyPr/>
        <a:lstStyle/>
        <a:p>
          <a:endParaRPr lang="en-GB" sz="1400"/>
        </a:p>
      </dgm:t>
    </dgm:pt>
    <dgm:pt modelId="{B6999FAD-ADF6-4190-A2B0-B697A723A7B9}" type="sibTrans" cxnId="{7B71FFB2-317D-46F4-8765-5C3221201B01}">
      <dgm:prSet/>
      <dgm:spPr/>
      <dgm:t>
        <a:bodyPr/>
        <a:lstStyle/>
        <a:p>
          <a:endParaRPr lang="en-GB" sz="1400"/>
        </a:p>
      </dgm:t>
    </dgm:pt>
    <dgm:pt modelId="{205A8856-BA03-4B96-BAAB-1B6C3A042E07}">
      <dgm:prSet phldrT="[Text]" custT="1"/>
      <dgm:spPr>
        <a:solidFill>
          <a:schemeClr val="tx2">
            <a:lumMod val="75000"/>
          </a:schemeClr>
        </a:solidFill>
      </dgm:spPr>
      <dgm:t>
        <a:bodyPr/>
        <a:lstStyle/>
        <a:p>
          <a:pPr algn="l"/>
          <a:r>
            <a:rPr lang="en-GB" sz="1600" b="1"/>
            <a:t>5. Authorisation</a:t>
          </a:r>
        </a:p>
      </dgm:t>
    </dgm:pt>
    <dgm:pt modelId="{8FAA0539-64A8-4F5C-9245-60E6C85BB083}" type="parTrans" cxnId="{3F9B5952-3764-4FCA-80C4-333DB2EB5E8A}">
      <dgm:prSet/>
      <dgm:spPr/>
      <dgm:t>
        <a:bodyPr/>
        <a:lstStyle/>
        <a:p>
          <a:endParaRPr lang="en-GB" sz="1400"/>
        </a:p>
      </dgm:t>
    </dgm:pt>
    <dgm:pt modelId="{CBA1E8FD-A8EC-4354-91AF-4603D2A17816}" type="sibTrans" cxnId="{3F9B5952-3764-4FCA-80C4-333DB2EB5E8A}">
      <dgm:prSet/>
      <dgm:spPr/>
      <dgm:t>
        <a:bodyPr/>
        <a:lstStyle/>
        <a:p>
          <a:endParaRPr lang="en-GB" sz="1400"/>
        </a:p>
      </dgm:t>
    </dgm:pt>
    <dgm:pt modelId="{52CE5D6B-C84D-40C4-B2F2-7C5296D1BC76}">
      <dgm:prSet phldrT="[Text]" custT="1"/>
      <dgm:spPr>
        <a:solidFill>
          <a:schemeClr val="bg2">
            <a:lumMod val="75000"/>
          </a:schemeClr>
        </a:solidFill>
      </dgm:spPr>
      <dgm:t>
        <a:bodyPr/>
        <a:lstStyle/>
        <a:p>
          <a:pPr algn="l"/>
          <a:r>
            <a:rPr lang="en-GB" sz="1600" b="1"/>
            <a:t>6. Implementation</a:t>
          </a:r>
        </a:p>
      </dgm:t>
    </dgm:pt>
    <dgm:pt modelId="{44154AE2-2817-4D1B-956B-EA5602C77DDC}" type="parTrans" cxnId="{FD749770-F0A8-45DA-8043-DF8D8DE3B8D9}">
      <dgm:prSet/>
      <dgm:spPr/>
      <dgm:t>
        <a:bodyPr/>
        <a:lstStyle/>
        <a:p>
          <a:endParaRPr lang="en-GB" sz="1400"/>
        </a:p>
      </dgm:t>
    </dgm:pt>
    <dgm:pt modelId="{8296C1FD-59DC-497C-B756-68C8A8154821}" type="sibTrans" cxnId="{FD749770-F0A8-45DA-8043-DF8D8DE3B8D9}">
      <dgm:prSet/>
      <dgm:spPr/>
      <dgm:t>
        <a:bodyPr/>
        <a:lstStyle/>
        <a:p>
          <a:endParaRPr lang="en-GB" sz="1400"/>
        </a:p>
      </dgm:t>
    </dgm:pt>
    <dgm:pt modelId="{58A2B027-9228-4F52-9028-EED720A3A1D1}">
      <dgm:prSet phldrT="[Text]" custT="1"/>
      <dgm:spPr>
        <a:solidFill>
          <a:schemeClr val="bg2">
            <a:lumMod val="50000"/>
          </a:schemeClr>
        </a:solidFill>
      </dgm:spPr>
      <dgm:t>
        <a:bodyPr/>
        <a:lstStyle/>
        <a:p>
          <a:pPr algn="l"/>
          <a:r>
            <a:rPr lang="en-GB" sz="1600" b="1"/>
            <a:t>7. Management and follow-up</a:t>
          </a:r>
        </a:p>
      </dgm:t>
    </dgm:pt>
    <dgm:pt modelId="{ECB8AC05-8CD1-4890-B827-AFAF7B20070C}" type="parTrans" cxnId="{BFCA0F1B-478A-49F1-A4F4-C632430D229F}">
      <dgm:prSet/>
      <dgm:spPr/>
      <dgm:t>
        <a:bodyPr/>
        <a:lstStyle/>
        <a:p>
          <a:endParaRPr lang="en-GB" sz="1400"/>
        </a:p>
      </dgm:t>
    </dgm:pt>
    <dgm:pt modelId="{1B157070-9157-4EF3-8411-C7E022B0B5AF}" type="sibTrans" cxnId="{BFCA0F1B-478A-49F1-A4F4-C632430D229F}">
      <dgm:prSet/>
      <dgm:spPr/>
      <dgm:t>
        <a:bodyPr/>
        <a:lstStyle/>
        <a:p>
          <a:endParaRPr lang="en-GB" sz="1400"/>
        </a:p>
      </dgm:t>
    </dgm:pt>
    <dgm:pt modelId="{A7BFB718-ADFE-4530-8956-A16E39741567}" type="pres">
      <dgm:prSet presAssocID="{AF77DDF8-2C97-4FF8-AE6C-8701EE2F4C28}" presName="Name0" presStyleCnt="0">
        <dgm:presLayoutVars>
          <dgm:dir/>
          <dgm:animLvl val="lvl"/>
          <dgm:resizeHandles val="exact"/>
        </dgm:presLayoutVars>
      </dgm:prSet>
      <dgm:spPr/>
      <dgm:t>
        <a:bodyPr/>
        <a:lstStyle/>
        <a:p>
          <a:endParaRPr lang="en-US"/>
        </a:p>
      </dgm:t>
    </dgm:pt>
    <dgm:pt modelId="{654455AC-8969-4741-A3C4-A98617863760}" type="pres">
      <dgm:prSet presAssocID="{1CC4C6C7-F713-4B7D-AC45-3A557C8A8CD3}" presName="linNode" presStyleCnt="0"/>
      <dgm:spPr/>
    </dgm:pt>
    <dgm:pt modelId="{D9A0EB22-1E49-4D15-8EE5-0B23840EFBF4}" type="pres">
      <dgm:prSet presAssocID="{1CC4C6C7-F713-4B7D-AC45-3A557C8A8CD3}" presName="parentText" presStyleLbl="node1" presStyleIdx="0" presStyleCnt="7">
        <dgm:presLayoutVars>
          <dgm:chMax val="1"/>
          <dgm:bulletEnabled val="1"/>
        </dgm:presLayoutVars>
      </dgm:prSet>
      <dgm:spPr/>
      <dgm:t>
        <a:bodyPr/>
        <a:lstStyle/>
        <a:p>
          <a:endParaRPr lang="en-US"/>
        </a:p>
      </dgm:t>
    </dgm:pt>
    <dgm:pt modelId="{97B8A9A2-E613-44EC-BFB7-7914B71A4CC3}" type="pres">
      <dgm:prSet presAssocID="{1CC4C6C7-F713-4B7D-AC45-3A557C8A8CD3}" presName="descendantText" presStyleLbl="alignAccFollowNode1" presStyleIdx="0" presStyleCnt="7">
        <dgm:presLayoutVars>
          <dgm:bulletEnabled val="1"/>
        </dgm:presLayoutVars>
      </dgm:prSet>
      <dgm:spPr/>
      <dgm:t>
        <a:bodyPr/>
        <a:lstStyle/>
        <a:p>
          <a:endParaRPr lang="en-US"/>
        </a:p>
      </dgm:t>
    </dgm:pt>
    <dgm:pt modelId="{4CB5888E-EE86-4FFE-A4A8-5B9DCC6DE1C5}" type="pres">
      <dgm:prSet presAssocID="{24E72DBA-A5C3-44D4-BCBA-5E72668E35CD}" presName="sp" presStyleCnt="0"/>
      <dgm:spPr/>
    </dgm:pt>
    <dgm:pt modelId="{4E2AAA81-8420-4FD7-BF71-804E6E915AA3}" type="pres">
      <dgm:prSet presAssocID="{69F3BF96-72E8-44C0-A257-FF0EF54D32BD}" presName="linNode" presStyleCnt="0"/>
      <dgm:spPr/>
    </dgm:pt>
    <dgm:pt modelId="{873303CE-1B9A-4C97-A3F7-564108F8D836}" type="pres">
      <dgm:prSet presAssocID="{69F3BF96-72E8-44C0-A257-FF0EF54D32BD}" presName="parentText" presStyleLbl="node1" presStyleIdx="1" presStyleCnt="7">
        <dgm:presLayoutVars>
          <dgm:chMax val="1"/>
          <dgm:bulletEnabled val="1"/>
        </dgm:presLayoutVars>
      </dgm:prSet>
      <dgm:spPr/>
      <dgm:t>
        <a:bodyPr/>
        <a:lstStyle/>
        <a:p>
          <a:endParaRPr lang="en-US"/>
        </a:p>
      </dgm:t>
    </dgm:pt>
    <dgm:pt modelId="{E9A40621-462D-404A-917D-4313DAD1B9C9}" type="pres">
      <dgm:prSet presAssocID="{69F3BF96-72E8-44C0-A257-FF0EF54D32BD}" presName="descendantText" presStyleLbl="alignAccFollowNode1" presStyleIdx="1" presStyleCnt="7">
        <dgm:presLayoutVars>
          <dgm:bulletEnabled val="1"/>
        </dgm:presLayoutVars>
      </dgm:prSet>
      <dgm:spPr/>
      <dgm:t>
        <a:bodyPr/>
        <a:lstStyle/>
        <a:p>
          <a:endParaRPr lang="en-US"/>
        </a:p>
      </dgm:t>
    </dgm:pt>
    <dgm:pt modelId="{2BC36C65-00A7-428B-8941-02F0A2535746}" type="pres">
      <dgm:prSet presAssocID="{3F86E997-4643-4720-BC70-10EBEE1B00F2}" presName="sp" presStyleCnt="0"/>
      <dgm:spPr/>
    </dgm:pt>
    <dgm:pt modelId="{E8AC0082-7455-40B0-BED5-8F7E5683D5CB}" type="pres">
      <dgm:prSet presAssocID="{37D5981B-167D-4A59-AA8B-44E94457C6ED}" presName="linNode" presStyleCnt="0"/>
      <dgm:spPr/>
    </dgm:pt>
    <dgm:pt modelId="{9E2197B6-D389-4E06-BB41-087159D6C5DE}" type="pres">
      <dgm:prSet presAssocID="{37D5981B-167D-4A59-AA8B-44E94457C6ED}" presName="parentText" presStyleLbl="node1" presStyleIdx="2" presStyleCnt="7">
        <dgm:presLayoutVars>
          <dgm:chMax val="1"/>
          <dgm:bulletEnabled val="1"/>
        </dgm:presLayoutVars>
      </dgm:prSet>
      <dgm:spPr/>
      <dgm:t>
        <a:bodyPr/>
        <a:lstStyle/>
        <a:p>
          <a:endParaRPr lang="en-US"/>
        </a:p>
      </dgm:t>
    </dgm:pt>
    <dgm:pt modelId="{40961B82-BE5E-4460-B4DB-53804D00ABE6}" type="pres">
      <dgm:prSet presAssocID="{37D5981B-167D-4A59-AA8B-44E94457C6ED}" presName="descendantText" presStyleLbl="alignAccFollowNode1" presStyleIdx="2" presStyleCnt="7">
        <dgm:presLayoutVars>
          <dgm:bulletEnabled val="1"/>
        </dgm:presLayoutVars>
      </dgm:prSet>
      <dgm:spPr/>
      <dgm:t>
        <a:bodyPr/>
        <a:lstStyle/>
        <a:p>
          <a:endParaRPr lang="en-US"/>
        </a:p>
      </dgm:t>
    </dgm:pt>
    <dgm:pt modelId="{8686DE68-5CFA-43C2-8453-D3FD50021F20}" type="pres">
      <dgm:prSet presAssocID="{D9F2D658-D409-44FA-8852-B681BAB3E402}" presName="sp" presStyleCnt="0"/>
      <dgm:spPr/>
    </dgm:pt>
    <dgm:pt modelId="{461B0F55-34BA-4C96-944D-C1BD90849D65}" type="pres">
      <dgm:prSet presAssocID="{5855D413-C381-4BA9-864B-95A88F55FF16}" presName="linNode" presStyleCnt="0"/>
      <dgm:spPr/>
    </dgm:pt>
    <dgm:pt modelId="{94911A3A-F165-45F2-8CE7-E2B6607189E3}" type="pres">
      <dgm:prSet presAssocID="{5855D413-C381-4BA9-864B-95A88F55FF16}" presName="parentText" presStyleLbl="node1" presStyleIdx="3" presStyleCnt="7">
        <dgm:presLayoutVars>
          <dgm:chMax val="1"/>
          <dgm:bulletEnabled val="1"/>
        </dgm:presLayoutVars>
      </dgm:prSet>
      <dgm:spPr/>
      <dgm:t>
        <a:bodyPr/>
        <a:lstStyle/>
        <a:p>
          <a:endParaRPr lang="en-US"/>
        </a:p>
      </dgm:t>
    </dgm:pt>
    <dgm:pt modelId="{D38DAAEA-73D7-43A8-99DF-FD54ADA7E860}" type="pres">
      <dgm:prSet presAssocID="{5855D413-C381-4BA9-864B-95A88F55FF16}" presName="descendantText" presStyleLbl="alignAccFollowNode1" presStyleIdx="3" presStyleCnt="7">
        <dgm:presLayoutVars>
          <dgm:bulletEnabled val="1"/>
        </dgm:presLayoutVars>
      </dgm:prSet>
      <dgm:spPr/>
      <dgm:t>
        <a:bodyPr/>
        <a:lstStyle/>
        <a:p>
          <a:endParaRPr lang="en-US"/>
        </a:p>
      </dgm:t>
    </dgm:pt>
    <dgm:pt modelId="{E2BCE61E-2186-4319-A746-31589CBF0043}" type="pres">
      <dgm:prSet presAssocID="{B6999FAD-ADF6-4190-A2B0-B697A723A7B9}" presName="sp" presStyleCnt="0"/>
      <dgm:spPr/>
    </dgm:pt>
    <dgm:pt modelId="{1804DE2A-4139-4351-B7A3-7F54EDC60A8D}" type="pres">
      <dgm:prSet presAssocID="{205A8856-BA03-4B96-BAAB-1B6C3A042E07}" presName="linNode" presStyleCnt="0"/>
      <dgm:spPr/>
    </dgm:pt>
    <dgm:pt modelId="{528C564E-6698-4F5E-A296-06461072D59A}" type="pres">
      <dgm:prSet presAssocID="{205A8856-BA03-4B96-BAAB-1B6C3A042E07}" presName="parentText" presStyleLbl="node1" presStyleIdx="4" presStyleCnt="7">
        <dgm:presLayoutVars>
          <dgm:chMax val="1"/>
          <dgm:bulletEnabled val="1"/>
        </dgm:presLayoutVars>
      </dgm:prSet>
      <dgm:spPr/>
      <dgm:t>
        <a:bodyPr/>
        <a:lstStyle/>
        <a:p>
          <a:endParaRPr lang="en-US"/>
        </a:p>
      </dgm:t>
    </dgm:pt>
    <dgm:pt modelId="{42766D51-7A93-45A8-9A88-AA40966937F9}" type="pres">
      <dgm:prSet presAssocID="{205A8856-BA03-4B96-BAAB-1B6C3A042E07}" presName="descendantText" presStyleLbl="alignAccFollowNode1" presStyleIdx="4" presStyleCnt="7">
        <dgm:presLayoutVars>
          <dgm:bulletEnabled val="1"/>
        </dgm:presLayoutVars>
      </dgm:prSet>
      <dgm:spPr/>
      <dgm:t>
        <a:bodyPr/>
        <a:lstStyle/>
        <a:p>
          <a:endParaRPr lang="en-US"/>
        </a:p>
      </dgm:t>
    </dgm:pt>
    <dgm:pt modelId="{3AD1BAAC-A856-4C15-8E8F-16588D8738A5}" type="pres">
      <dgm:prSet presAssocID="{CBA1E8FD-A8EC-4354-91AF-4603D2A17816}" presName="sp" presStyleCnt="0"/>
      <dgm:spPr/>
    </dgm:pt>
    <dgm:pt modelId="{154541EB-8548-49E3-B5B4-4AFB5DE48B35}" type="pres">
      <dgm:prSet presAssocID="{52CE5D6B-C84D-40C4-B2F2-7C5296D1BC76}" presName="linNode" presStyleCnt="0"/>
      <dgm:spPr/>
    </dgm:pt>
    <dgm:pt modelId="{0E351D2A-3BCF-4F79-8F3F-35903A42FC81}" type="pres">
      <dgm:prSet presAssocID="{52CE5D6B-C84D-40C4-B2F2-7C5296D1BC76}" presName="parentText" presStyleLbl="node1" presStyleIdx="5" presStyleCnt="7">
        <dgm:presLayoutVars>
          <dgm:chMax val="1"/>
          <dgm:bulletEnabled val="1"/>
        </dgm:presLayoutVars>
      </dgm:prSet>
      <dgm:spPr/>
      <dgm:t>
        <a:bodyPr/>
        <a:lstStyle/>
        <a:p>
          <a:endParaRPr lang="en-US"/>
        </a:p>
      </dgm:t>
    </dgm:pt>
    <dgm:pt modelId="{FC2EB326-1606-40B7-8FE0-173D134BBB9F}" type="pres">
      <dgm:prSet presAssocID="{52CE5D6B-C84D-40C4-B2F2-7C5296D1BC76}" presName="descendantText" presStyleLbl="alignAccFollowNode1" presStyleIdx="5" presStyleCnt="7">
        <dgm:presLayoutVars>
          <dgm:bulletEnabled val="1"/>
        </dgm:presLayoutVars>
      </dgm:prSet>
      <dgm:spPr/>
      <dgm:t>
        <a:bodyPr/>
        <a:lstStyle/>
        <a:p>
          <a:endParaRPr lang="en-US"/>
        </a:p>
      </dgm:t>
    </dgm:pt>
    <dgm:pt modelId="{D72F2525-D025-4E26-ACBC-56B035607DD9}" type="pres">
      <dgm:prSet presAssocID="{8296C1FD-59DC-497C-B756-68C8A8154821}" presName="sp" presStyleCnt="0"/>
      <dgm:spPr/>
    </dgm:pt>
    <dgm:pt modelId="{D20E30EF-23C6-4439-8B7E-C6CCC6759B93}" type="pres">
      <dgm:prSet presAssocID="{58A2B027-9228-4F52-9028-EED720A3A1D1}" presName="linNode" presStyleCnt="0"/>
      <dgm:spPr/>
    </dgm:pt>
    <dgm:pt modelId="{D4FA6528-B558-4F3C-9DBF-382279592BF7}" type="pres">
      <dgm:prSet presAssocID="{58A2B027-9228-4F52-9028-EED720A3A1D1}" presName="parentText" presStyleLbl="node1" presStyleIdx="6" presStyleCnt="7">
        <dgm:presLayoutVars>
          <dgm:chMax val="1"/>
          <dgm:bulletEnabled val="1"/>
        </dgm:presLayoutVars>
      </dgm:prSet>
      <dgm:spPr/>
      <dgm:t>
        <a:bodyPr/>
        <a:lstStyle/>
        <a:p>
          <a:endParaRPr lang="en-US"/>
        </a:p>
      </dgm:t>
    </dgm:pt>
    <dgm:pt modelId="{810FFBAF-0E21-4918-A3D2-F885D92EEE34}" type="pres">
      <dgm:prSet presAssocID="{58A2B027-9228-4F52-9028-EED720A3A1D1}" presName="descendantText" presStyleLbl="alignAccFollowNode1" presStyleIdx="6" presStyleCnt="7">
        <dgm:presLayoutVars>
          <dgm:bulletEnabled val="1"/>
        </dgm:presLayoutVars>
      </dgm:prSet>
      <dgm:spPr/>
      <dgm:t>
        <a:bodyPr/>
        <a:lstStyle/>
        <a:p>
          <a:endParaRPr lang="en-US"/>
        </a:p>
      </dgm:t>
    </dgm:pt>
  </dgm:ptLst>
  <dgm:cxnLst>
    <dgm:cxn modelId="{8AD2296F-B4E2-4F20-B2A4-76DF3EA7CA5A}" type="presOf" srcId="{B2D1CFCA-A780-4DF0-9F54-F43EBE45B6A4}" destId="{40961B82-BE5E-4460-B4DB-53804D00ABE6}" srcOrd="0" destOrd="0" presId="urn:microsoft.com/office/officeart/2005/8/layout/vList5"/>
    <dgm:cxn modelId="{BFCA0F1B-478A-49F1-A4F4-C632430D229F}" srcId="{AF77DDF8-2C97-4FF8-AE6C-8701EE2F4C28}" destId="{58A2B027-9228-4F52-9028-EED720A3A1D1}" srcOrd="6" destOrd="0" parTransId="{ECB8AC05-8CD1-4890-B827-AFAF7B20070C}" sibTransId="{1B157070-9157-4EF3-8411-C7E022B0B5AF}"/>
    <dgm:cxn modelId="{3F9B5952-3764-4FCA-80C4-333DB2EB5E8A}" srcId="{AF77DDF8-2C97-4FF8-AE6C-8701EE2F4C28}" destId="{205A8856-BA03-4B96-BAAB-1B6C3A042E07}" srcOrd="4" destOrd="0" parTransId="{8FAA0539-64A8-4F5C-9245-60E6C85BB083}" sibTransId="{CBA1E8FD-A8EC-4354-91AF-4603D2A17816}"/>
    <dgm:cxn modelId="{58F0BD70-F5EE-4EA8-ADC5-29003530629A}" srcId="{AF77DDF8-2C97-4FF8-AE6C-8701EE2F4C28}" destId="{37D5981B-167D-4A59-AA8B-44E94457C6ED}" srcOrd="2" destOrd="0" parTransId="{4CE7C5DF-E43A-4B1C-B438-D52FF5DDC907}" sibTransId="{D9F2D658-D409-44FA-8852-B681BAB3E402}"/>
    <dgm:cxn modelId="{6FE6A6E0-CF64-40A2-B0CA-0177237DFE7D}" srcId="{37D5981B-167D-4A59-AA8B-44E94457C6ED}" destId="{B2D1CFCA-A780-4DF0-9F54-F43EBE45B6A4}" srcOrd="0" destOrd="0" parTransId="{708CD760-4901-48C8-BBB5-7F0EEBE913D1}" sibTransId="{ACE244D3-4C04-44ED-917A-ABE558B2AD3C}"/>
    <dgm:cxn modelId="{85C2D677-5A49-49BD-8112-EEAA3AF97131}" type="presOf" srcId="{19E839AB-28CA-49FF-89C9-B7D8D9E27873}" destId="{D38DAAEA-73D7-43A8-99DF-FD54ADA7E860}" srcOrd="0" destOrd="0" presId="urn:microsoft.com/office/officeart/2005/8/layout/vList5"/>
    <dgm:cxn modelId="{7B71FFB2-317D-46F4-8765-5C3221201B01}" srcId="{AF77DDF8-2C97-4FF8-AE6C-8701EE2F4C28}" destId="{5855D413-C381-4BA9-864B-95A88F55FF16}" srcOrd="3" destOrd="0" parTransId="{D686D435-8AA4-413B-8E91-E69C1CE37BA0}" sibTransId="{B6999FAD-ADF6-4190-A2B0-B697A723A7B9}"/>
    <dgm:cxn modelId="{5340C068-00A3-4A94-8100-6BF57E8F6F71}" type="presOf" srcId="{1CC4C6C7-F713-4B7D-AC45-3A557C8A8CD3}" destId="{D9A0EB22-1E49-4D15-8EE5-0B23840EFBF4}" srcOrd="0" destOrd="0" presId="urn:microsoft.com/office/officeart/2005/8/layout/vList5"/>
    <dgm:cxn modelId="{15C80B8F-AF90-44F3-B1F5-09DF550F8F53}" type="presOf" srcId="{E8AED187-C334-46A4-A3CD-39808E3F8938}" destId="{97B8A9A2-E613-44EC-BFB7-7914B71A4CC3}" srcOrd="0" destOrd="0" presId="urn:microsoft.com/office/officeart/2005/8/layout/vList5"/>
    <dgm:cxn modelId="{168BAE4D-25B8-48A7-B308-2F4D07DCE64C}" type="presOf" srcId="{58A2B027-9228-4F52-9028-EED720A3A1D1}" destId="{D4FA6528-B558-4F3C-9DBF-382279592BF7}" srcOrd="0" destOrd="0" presId="urn:microsoft.com/office/officeart/2005/8/layout/vList5"/>
    <dgm:cxn modelId="{6E33C92D-64E9-4CFC-820F-56CE64B6C931}" type="presOf" srcId="{52CE5D6B-C84D-40C4-B2F2-7C5296D1BC76}" destId="{0E351D2A-3BCF-4F79-8F3F-35903A42FC81}" srcOrd="0" destOrd="0" presId="urn:microsoft.com/office/officeart/2005/8/layout/vList5"/>
    <dgm:cxn modelId="{BEDB0D4D-3CA8-4ABE-9144-85C975874351}" type="presOf" srcId="{37D5981B-167D-4A59-AA8B-44E94457C6ED}" destId="{9E2197B6-D389-4E06-BB41-087159D6C5DE}" srcOrd="0" destOrd="0" presId="urn:microsoft.com/office/officeart/2005/8/layout/vList5"/>
    <dgm:cxn modelId="{363F5366-88AD-479B-8E4D-EAD088D061E9}" srcId="{205A8856-BA03-4B96-BAAB-1B6C3A042E07}" destId="{AE187195-0255-44A7-B79F-15E66C0ECBF3}" srcOrd="0" destOrd="0" parTransId="{F5BFB0C9-339B-487D-A86D-01A96C5126EE}" sibTransId="{66361F17-6B46-45DB-A123-EADE748696D9}"/>
    <dgm:cxn modelId="{416D8A57-B7B5-4942-B27B-4E7EE99A3A1A}" type="presOf" srcId="{035639BC-64EE-4523-AC9B-CF38AD82B826}" destId="{FC2EB326-1606-40B7-8FE0-173D134BBB9F}" srcOrd="0" destOrd="0" presId="urn:microsoft.com/office/officeart/2005/8/layout/vList5"/>
    <dgm:cxn modelId="{482852F0-22E1-4163-8025-DA9E733F116C}" type="presOf" srcId="{AF77DDF8-2C97-4FF8-AE6C-8701EE2F4C28}" destId="{A7BFB718-ADFE-4530-8956-A16E39741567}" srcOrd="0" destOrd="0" presId="urn:microsoft.com/office/officeart/2005/8/layout/vList5"/>
    <dgm:cxn modelId="{BD2CF96D-B04C-4179-A7B1-ED729CF6662A}" srcId="{52CE5D6B-C84D-40C4-B2F2-7C5296D1BC76}" destId="{035639BC-64EE-4523-AC9B-CF38AD82B826}" srcOrd="0" destOrd="0" parTransId="{B876CB52-1A0A-4160-BF9F-3B10483514FC}" sibTransId="{A390D7B3-CD87-411B-A156-AA3935988498}"/>
    <dgm:cxn modelId="{FD749770-F0A8-45DA-8043-DF8D8DE3B8D9}" srcId="{AF77DDF8-2C97-4FF8-AE6C-8701EE2F4C28}" destId="{52CE5D6B-C84D-40C4-B2F2-7C5296D1BC76}" srcOrd="5" destOrd="0" parTransId="{44154AE2-2817-4D1B-956B-EA5602C77DDC}" sibTransId="{8296C1FD-59DC-497C-B756-68C8A8154821}"/>
    <dgm:cxn modelId="{E18E16B0-03EF-47FD-8197-9F7824F13BA2}" type="presOf" srcId="{205A8856-BA03-4B96-BAAB-1B6C3A042E07}" destId="{528C564E-6698-4F5E-A296-06461072D59A}" srcOrd="0" destOrd="0" presId="urn:microsoft.com/office/officeart/2005/8/layout/vList5"/>
    <dgm:cxn modelId="{0F71A767-6667-40CE-8383-C21C844C6CF9}" srcId="{1CC4C6C7-F713-4B7D-AC45-3A557C8A8CD3}" destId="{E8AED187-C334-46A4-A3CD-39808E3F8938}" srcOrd="0" destOrd="0" parTransId="{7D137161-ACFB-42EF-801B-C4A901481E95}" sibTransId="{13C91A45-42F9-4084-B312-A934C09C2DBE}"/>
    <dgm:cxn modelId="{C0175708-BB80-4B5C-A56B-CE121F404640}" srcId="{AF77DDF8-2C97-4FF8-AE6C-8701EE2F4C28}" destId="{69F3BF96-72E8-44C0-A257-FF0EF54D32BD}" srcOrd="1" destOrd="0" parTransId="{456C9646-FE21-43CC-9527-FD24BFDD01AC}" sibTransId="{3F86E997-4643-4720-BC70-10EBEE1B00F2}"/>
    <dgm:cxn modelId="{8AE6050B-4329-4B5D-9627-BE58892E46B4}" type="presOf" srcId="{42DAEC89-6C1B-49F5-B225-39FE62DE0F31}" destId="{E9A40621-462D-404A-917D-4313DAD1B9C9}" srcOrd="0" destOrd="0" presId="urn:microsoft.com/office/officeart/2005/8/layout/vList5"/>
    <dgm:cxn modelId="{497E92A1-7265-49AB-91DE-000F7067A4B5}" type="presOf" srcId="{5855D413-C381-4BA9-864B-95A88F55FF16}" destId="{94911A3A-F165-45F2-8CE7-E2B6607189E3}" srcOrd="0" destOrd="0" presId="urn:microsoft.com/office/officeart/2005/8/layout/vList5"/>
    <dgm:cxn modelId="{642B984D-178E-4FE6-BC76-D30CF81EC56F}" type="presOf" srcId="{AE187195-0255-44A7-B79F-15E66C0ECBF3}" destId="{42766D51-7A93-45A8-9A88-AA40966937F9}" srcOrd="0" destOrd="0" presId="urn:microsoft.com/office/officeart/2005/8/layout/vList5"/>
    <dgm:cxn modelId="{B5F79F0D-D32A-416D-9DBA-0BD1407F58F6}" type="presOf" srcId="{69F3BF96-72E8-44C0-A257-FF0EF54D32BD}" destId="{873303CE-1B9A-4C97-A3F7-564108F8D836}" srcOrd="0" destOrd="0" presId="urn:microsoft.com/office/officeart/2005/8/layout/vList5"/>
    <dgm:cxn modelId="{E8FBA45E-877E-472E-9C56-71C1CEE78EAE}" type="presOf" srcId="{5BD0C555-3210-415F-AA9D-917F08944CCC}" destId="{810FFBAF-0E21-4918-A3D2-F885D92EEE34}" srcOrd="0" destOrd="0" presId="urn:microsoft.com/office/officeart/2005/8/layout/vList5"/>
    <dgm:cxn modelId="{69B5E655-5554-4325-B085-A2E9BAF3EB09}" srcId="{AF77DDF8-2C97-4FF8-AE6C-8701EE2F4C28}" destId="{1CC4C6C7-F713-4B7D-AC45-3A557C8A8CD3}" srcOrd="0" destOrd="0" parTransId="{1E7A94F3-315E-49EB-A7F1-4A1072820682}" sibTransId="{24E72DBA-A5C3-44D4-BCBA-5E72668E35CD}"/>
    <dgm:cxn modelId="{3607D2A5-5908-4347-96F8-DA9D2334E7F6}" srcId="{58A2B027-9228-4F52-9028-EED720A3A1D1}" destId="{5BD0C555-3210-415F-AA9D-917F08944CCC}" srcOrd="0" destOrd="0" parTransId="{EFEAADF1-3AF4-4331-8982-ADEDCDA3D5E2}" sibTransId="{792D5009-164B-4E45-A301-2E405FF80F5A}"/>
    <dgm:cxn modelId="{BFC656F7-00A3-42C4-8846-A948FF2F665E}" srcId="{69F3BF96-72E8-44C0-A257-FF0EF54D32BD}" destId="{42DAEC89-6C1B-49F5-B225-39FE62DE0F31}" srcOrd="0" destOrd="0" parTransId="{691133E0-6126-4D16-AA87-C2C7852A0F77}" sibTransId="{3ABF08DB-F3D6-4F6B-B669-090A12E0D563}"/>
    <dgm:cxn modelId="{D1757566-DC77-4705-942A-7340C1EB8F36}" srcId="{5855D413-C381-4BA9-864B-95A88F55FF16}" destId="{19E839AB-28CA-49FF-89C9-B7D8D9E27873}" srcOrd="0" destOrd="0" parTransId="{0E91F8BA-511B-4D46-9CAC-8D4A68A90454}" sibTransId="{3F513EFB-4321-4317-B08F-18F08C40CA5C}"/>
    <dgm:cxn modelId="{1F0A1189-F892-4E14-99AB-D9698D1B9322}" type="presParOf" srcId="{A7BFB718-ADFE-4530-8956-A16E39741567}" destId="{654455AC-8969-4741-A3C4-A98617863760}" srcOrd="0" destOrd="0" presId="urn:microsoft.com/office/officeart/2005/8/layout/vList5"/>
    <dgm:cxn modelId="{9AE41A2B-06AB-4043-AC2B-0692BE04E740}" type="presParOf" srcId="{654455AC-8969-4741-A3C4-A98617863760}" destId="{D9A0EB22-1E49-4D15-8EE5-0B23840EFBF4}" srcOrd="0" destOrd="0" presId="urn:microsoft.com/office/officeart/2005/8/layout/vList5"/>
    <dgm:cxn modelId="{D7CF3A2A-B8F1-48CF-BC67-0061F892F595}" type="presParOf" srcId="{654455AC-8969-4741-A3C4-A98617863760}" destId="{97B8A9A2-E613-44EC-BFB7-7914B71A4CC3}" srcOrd="1" destOrd="0" presId="urn:microsoft.com/office/officeart/2005/8/layout/vList5"/>
    <dgm:cxn modelId="{D509362E-F541-4988-9958-A57408044B9D}" type="presParOf" srcId="{A7BFB718-ADFE-4530-8956-A16E39741567}" destId="{4CB5888E-EE86-4FFE-A4A8-5B9DCC6DE1C5}" srcOrd="1" destOrd="0" presId="urn:microsoft.com/office/officeart/2005/8/layout/vList5"/>
    <dgm:cxn modelId="{27418211-008E-4D2F-8761-6576692638D5}" type="presParOf" srcId="{A7BFB718-ADFE-4530-8956-A16E39741567}" destId="{4E2AAA81-8420-4FD7-BF71-804E6E915AA3}" srcOrd="2" destOrd="0" presId="urn:microsoft.com/office/officeart/2005/8/layout/vList5"/>
    <dgm:cxn modelId="{C3C2957D-6FE1-4B92-8FAA-74701E7B895D}" type="presParOf" srcId="{4E2AAA81-8420-4FD7-BF71-804E6E915AA3}" destId="{873303CE-1B9A-4C97-A3F7-564108F8D836}" srcOrd="0" destOrd="0" presId="urn:microsoft.com/office/officeart/2005/8/layout/vList5"/>
    <dgm:cxn modelId="{86395E45-89B4-4DA1-A920-C0A8AAF83639}" type="presParOf" srcId="{4E2AAA81-8420-4FD7-BF71-804E6E915AA3}" destId="{E9A40621-462D-404A-917D-4313DAD1B9C9}" srcOrd="1" destOrd="0" presId="urn:microsoft.com/office/officeart/2005/8/layout/vList5"/>
    <dgm:cxn modelId="{58CB5061-867E-4A62-97DE-2DE87AF0F07C}" type="presParOf" srcId="{A7BFB718-ADFE-4530-8956-A16E39741567}" destId="{2BC36C65-00A7-428B-8941-02F0A2535746}" srcOrd="3" destOrd="0" presId="urn:microsoft.com/office/officeart/2005/8/layout/vList5"/>
    <dgm:cxn modelId="{512CA98C-8952-4DAF-AC37-44C13E2876D1}" type="presParOf" srcId="{A7BFB718-ADFE-4530-8956-A16E39741567}" destId="{E8AC0082-7455-40B0-BED5-8F7E5683D5CB}" srcOrd="4" destOrd="0" presId="urn:microsoft.com/office/officeart/2005/8/layout/vList5"/>
    <dgm:cxn modelId="{F26B4643-0887-44D8-99B0-D3C041A32C08}" type="presParOf" srcId="{E8AC0082-7455-40B0-BED5-8F7E5683D5CB}" destId="{9E2197B6-D389-4E06-BB41-087159D6C5DE}" srcOrd="0" destOrd="0" presId="urn:microsoft.com/office/officeart/2005/8/layout/vList5"/>
    <dgm:cxn modelId="{8DC23DDD-C589-46E8-9FF7-730C778B87B3}" type="presParOf" srcId="{E8AC0082-7455-40B0-BED5-8F7E5683D5CB}" destId="{40961B82-BE5E-4460-B4DB-53804D00ABE6}" srcOrd="1" destOrd="0" presId="urn:microsoft.com/office/officeart/2005/8/layout/vList5"/>
    <dgm:cxn modelId="{3F68AC32-8CAC-4962-A3C0-E62548D4E96F}" type="presParOf" srcId="{A7BFB718-ADFE-4530-8956-A16E39741567}" destId="{8686DE68-5CFA-43C2-8453-D3FD50021F20}" srcOrd="5" destOrd="0" presId="urn:microsoft.com/office/officeart/2005/8/layout/vList5"/>
    <dgm:cxn modelId="{26C09623-B205-41F7-AF5D-A65B4BAB7BDB}" type="presParOf" srcId="{A7BFB718-ADFE-4530-8956-A16E39741567}" destId="{461B0F55-34BA-4C96-944D-C1BD90849D65}" srcOrd="6" destOrd="0" presId="urn:microsoft.com/office/officeart/2005/8/layout/vList5"/>
    <dgm:cxn modelId="{7711BBF9-582B-4E0C-A428-99B7C4EFB2A2}" type="presParOf" srcId="{461B0F55-34BA-4C96-944D-C1BD90849D65}" destId="{94911A3A-F165-45F2-8CE7-E2B6607189E3}" srcOrd="0" destOrd="0" presId="urn:microsoft.com/office/officeart/2005/8/layout/vList5"/>
    <dgm:cxn modelId="{A3EF8AA4-15A8-4FBC-AB24-4CFCB411F02F}" type="presParOf" srcId="{461B0F55-34BA-4C96-944D-C1BD90849D65}" destId="{D38DAAEA-73D7-43A8-99DF-FD54ADA7E860}" srcOrd="1" destOrd="0" presId="urn:microsoft.com/office/officeart/2005/8/layout/vList5"/>
    <dgm:cxn modelId="{359FDBF8-72B3-4932-BD9B-BC75567E3476}" type="presParOf" srcId="{A7BFB718-ADFE-4530-8956-A16E39741567}" destId="{E2BCE61E-2186-4319-A746-31589CBF0043}" srcOrd="7" destOrd="0" presId="urn:microsoft.com/office/officeart/2005/8/layout/vList5"/>
    <dgm:cxn modelId="{7BB6800D-02E5-4473-B3EF-76AB86115593}" type="presParOf" srcId="{A7BFB718-ADFE-4530-8956-A16E39741567}" destId="{1804DE2A-4139-4351-B7A3-7F54EDC60A8D}" srcOrd="8" destOrd="0" presId="urn:microsoft.com/office/officeart/2005/8/layout/vList5"/>
    <dgm:cxn modelId="{548D64F3-FFDC-424B-8098-F6A35D423AE8}" type="presParOf" srcId="{1804DE2A-4139-4351-B7A3-7F54EDC60A8D}" destId="{528C564E-6698-4F5E-A296-06461072D59A}" srcOrd="0" destOrd="0" presId="urn:microsoft.com/office/officeart/2005/8/layout/vList5"/>
    <dgm:cxn modelId="{5F6B359D-8721-4BA0-941A-728B6AF88DC3}" type="presParOf" srcId="{1804DE2A-4139-4351-B7A3-7F54EDC60A8D}" destId="{42766D51-7A93-45A8-9A88-AA40966937F9}" srcOrd="1" destOrd="0" presId="urn:microsoft.com/office/officeart/2005/8/layout/vList5"/>
    <dgm:cxn modelId="{38FF32C7-B726-4348-B027-5D8DCE13C219}" type="presParOf" srcId="{A7BFB718-ADFE-4530-8956-A16E39741567}" destId="{3AD1BAAC-A856-4C15-8E8F-16588D8738A5}" srcOrd="9" destOrd="0" presId="urn:microsoft.com/office/officeart/2005/8/layout/vList5"/>
    <dgm:cxn modelId="{C8FB5C52-C4A3-40BA-B01B-C11494229FA9}" type="presParOf" srcId="{A7BFB718-ADFE-4530-8956-A16E39741567}" destId="{154541EB-8548-49E3-B5B4-4AFB5DE48B35}" srcOrd="10" destOrd="0" presId="urn:microsoft.com/office/officeart/2005/8/layout/vList5"/>
    <dgm:cxn modelId="{A04610ED-DF1C-43BD-8345-8AD4A1FCA799}" type="presParOf" srcId="{154541EB-8548-49E3-B5B4-4AFB5DE48B35}" destId="{0E351D2A-3BCF-4F79-8F3F-35903A42FC81}" srcOrd="0" destOrd="0" presId="urn:microsoft.com/office/officeart/2005/8/layout/vList5"/>
    <dgm:cxn modelId="{1FC1D428-FECC-4B72-B212-D8FF331DC79E}" type="presParOf" srcId="{154541EB-8548-49E3-B5B4-4AFB5DE48B35}" destId="{FC2EB326-1606-40B7-8FE0-173D134BBB9F}" srcOrd="1" destOrd="0" presId="urn:microsoft.com/office/officeart/2005/8/layout/vList5"/>
    <dgm:cxn modelId="{908EE278-D072-4644-BDB2-81D01B0EB3DB}" type="presParOf" srcId="{A7BFB718-ADFE-4530-8956-A16E39741567}" destId="{D72F2525-D025-4E26-ACBC-56B035607DD9}" srcOrd="11" destOrd="0" presId="urn:microsoft.com/office/officeart/2005/8/layout/vList5"/>
    <dgm:cxn modelId="{2EA8FC87-0B91-4F0F-BED1-01AF441F3422}" type="presParOf" srcId="{A7BFB718-ADFE-4530-8956-A16E39741567}" destId="{D20E30EF-23C6-4439-8B7E-C6CCC6759B93}" srcOrd="12" destOrd="0" presId="urn:microsoft.com/office/officeart/2005/8/layout/vList5"/>
    <dgm:cxn modelId="{BA60C907-4C41-4D8F-8E35-C31784BF0E88}" type="presParOf" srcId="{D20E30EF-23C6-4439-8B7E-C6CCC6759B93}" destId="{D4FA6528-B558-4F3C-9DBF-382279592BF7}" srcOrd="0" destOrd="0" presId="urn:microsoft.com/office/officeart/2005/8/layout/vList5"/>
    <dgm:cxn modelId="{AAD8AE91-ED12-4A54-9E6F-268F4BE6BC35}" type="presParOf" srcId="{D20E30EF-23C6-4439-8B7E-C6CCC6759B93}" destId="{810FFBAF-0E21-4918-A3D2-F885D92EEE34}"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F76FEA-8AD0-47AF-87B1-0206824BFDD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43F477FF-271D-473E-BAB1-E76FC6E0F3FD}">
      <dgm:prSet phldrT="[Text]" custT="1"/>
      <dgm:spPr>
        <a:solidFill>
          <a:schemeClr val="accent1">
            <a:lumMod val="20000"/>
            <a:lumOff val="80000"/>
          </a:schemeClr>
        </a:solidFill>
        <a:ln w="57150">
          <a:noFill/>
        </a:ln>
      </dgm:spPr>
      <dgm:t>
        <a:bodyPr lIns="0" tIns="180000" rIns="0" bIns="0"/>
        <a:lstStyle/>
        <a:p>
          <a:r>
            <a:rPr lang="en-GB" sz="2400" b="1">
              <a:solidFill>
                <a:sysClr val="windowText" lastClr="000000"/>
              </a:solidFill>
            </a:rPr>
            <a:t>1</a:t>
          </a:r>
        </a:p>
      </dgm:t>
    </dgm:pt>
    <dgm:pt modelId="{E06AEC44-6E24-41A3-AD43-4ACE9DB00614}" type="parTrans" cxnId="{E6BAD1EB-FC50-4125-B481-4819F711AA27}">
      <dgm:prSet/>
      <dgm:spPr/>
      <dgm:t>
        <a:bodyPr/>
        <a:lstStyle/>
        <a:p>
          <a:endParaRPr lang="en-GB" sz="1400"/>
        </a:p>
      </dgm:t>
    </dgm:pt>
    <dgm:pt modelId="{E8AB124A-5C30-4E7C-B215-B075C6DF02B0}" type="sibTrans" cxnId="{E6BAD1EB-FC50-4125-B481-4819F711AA27}">
      <dgm:prSet/>
      <dgm:spPr/>
      <dgm:t>
        <a:bodyPr/>
        <a:lstStyle/>
        <a:p>
          <a:endParaRPr lang="en-GB" sz="1400"/>
        </a:p>
      </dgm:t>
    </dgm:pt>
    <dgm:pt modelId="{F6D1336F-D895-4F53-834D-1A3A82AD72A1}">
      <dgm:prSet phldrT="[Text]" custT="1"/>
      <dgm:spPr>
        <a:solidFill>
          <a:schemeClr val="accent1">
            <a:lumMod val="40000"/>
            <a:lumOff val="60000"/>
          </a:schemeClr>
        </a:solidFill>
        <a:ln w="57150">
          <a:noFill/>
        </a:ln>
      </dgm:spPr>
      <dgm:t>
        <a:bodyPr lIns="0" tIns="180000" rIns="0" bIns="0"/>
        <a:lstStyle/>
        <a:p>
          <a:r>
            <a:rPr lang="en-GB" sz="2400" b="1">
              <a:solidFill>
                <a:sysClr val="windowText" lastClr="000000"/>
              </a:solidFill>
            </a:rPr>
            <a:t>2</a:t>
          </a:r>
        </a:p>
      </dgm:t>
    </dgm:pt>
    <dgm:pt modelId="{F3A01145-D53F-44DE-A075-0A32BD50B099}" type="parTrans" cxnId="{8113AE1C-496F-40B4-B7C9-47825A5B2A17}">
      <dgm:prSet/>
      <dgm:spPr/>
      <dgm:t>
        <a:bodyPr/>
        <a:lstStyle/>
        <a:p>
          <a:endParaRPr lang="en-GB" sz="1400"/>
        </a:p>
      </dgm:t>
    </dgm:pt>
    <dgm:pt modelId="{806E9319-ACB0-4ACE-A69B-B1C933C9E573}" type="sibTrans" cxnId="{8113AE1C-496F-40B4-B7C9-47825A5B2A17}">
      <dgm:prSet/>
      <dgm:spPr/>
      <dgm:t>
        <a:bodyPr/>
        <a:lstStyle/>
        <a:p>
          <a:endParaRPr lang="en-GB" sz="1400"/>
        </a:p>
      </dgm:t>
    </dgm:pt>
    <dgm:pt modelId="{2AA43684-A5FA-4B2B-9E33-05A0D3C0011D}">
      <dgm:prSet phldrT="[Text]" custT="1"/>
      <dgm:spPr>
        <a:solidFill>
          <a:schemeClr val="tx2">
            <a:lumMod val="40000"/>
            <a:lumOff val="60000"/>
          </a:schemeClr>
        </a:solidFill>
        <a:ln w="57150">
          <a:noFill/>
        </a:ln>
      </dgm:spPr>
      <dgm:t>
        <a:bodyPr lIns="0" tIns="180000" rIns="0" bIns="0"/>
        <a:lstStyle/>
        <a:p>
          <a:r>
            <a:rPr lang="en-GB" sz="2400" b="1">
              <a:solidFill>
                <a:sysClr val="windowText" lastClr="000000"/>
              </a:solidFill>
            </a:rPr>
            <a:t>3</a:t>
          </a:r>
        </a:p>
      </dgm:t>
    </dgm:pt>
    <dgm:pt modelId="{E801628B-ABBB-4E20-9755-044FF02F3E32}" type="parTrans" cxnId="{291D6928-1E4A-4010-A556-E764A29AE896}">
      <dgm:prSet/>
      <dgm:spPr/>
      <dgm:t>
        <a:bodyPr/>
        <a:lstStyle/>
        <a:p>
          <a:endParaRPr lang="en-GB" sz="1400"/>
        </a:p>
      </dgm:t>
    </dgm:pt>
    <dgm:pt modelId="{19E17FBB-E8AD-4690-8067-E4BE74496823}" type="sibTrans" cxnId="{291D6928-1E4A-4010-A556-E764A29AE896}">
      <dgm:prSet/>
      <dgm:spPr/>
      <dgm:t>
        <a:bodyPr/>
        <a:lstStyle/>
        <a:p>
          <a:endParaRPr lang="en-GB" sz="1400"/>
        </a:p>
      </dgm:t>
    </dgm:pt>
    <dgm:pt modelId="{3AA9000C-C034-48F5-8E42-A6B595A83C1F}">
      <dgm:prSet phldrT="[Text]" custT="1"/>
      <dgm:spPr>
        <a:solidFill>
          <a:schemeClr val="tx2">
            <a:lumMod val="60000"/>
            <a:lumOff val="40000"/>
          </a:schemeClr>
        </a:solidFill>
        <a:ln w="57150">
          <a:noFill/>
        </a:ln>
      </dgm:spPr>
      <dgm:t>
        <a:bodyPr lIns="0" tIns="180000" rIns="0" bIns="0"/>
        <a:lstStyle/>
        <a:p>
          <a:r>
            <a:rPr lang="en-GB" sz="2400" b="1">
              <a:solidFill>
                <a:sysClr val="windowText" lastClr="000000"/>
              </a:solidFill>
            </a:rPr>
            <a:t>4</a:t>
          </a:r>
        </a:p>
      </dgm:t>
    </dgm:pt>
    <dgm:pt modelId="{661ECAAD-E8B9-4169-BF46-A642D31D8604}" type="parTrans" cxnId="{8A8DE5E1-95AA-44B2-9385-3FF79C450030}">
      <dgm:prSet/>
      <dgm:spPr/>
      <dgm:t>
        <a:bodyPr/>
        <a:lstStyle/>
        <a:p>
          <a:endParaRPr lang="en-GB" sz="1400"/>
        </a:p>
      </dgm:t>
    </dgm:pt>
    <dgm:pt modelId="{481185C4-DBE3-485A-836F-F457833CA5C0}" type="sibTrans" cxnId="{8A8DE5E1-95AA-44B2-9385-3FF79C450030}">
      <dgm:prSet/>
      <dgm:spPr/>
      <dgm:t>
        <a:bodyPr/>
        <a:lstStyle/>
        <a:p>
          <a:endParaRPr lang="en-GB" sz="1400"/>
        </a:p>
      </dgm:t>
    </dgm:pt>
    <dgm:pt modelId="{B415BD51-C6CB-4652-8A7D-43FC4649BA56}">
      <dgm:prSet phldrT="[Text]" custT="1"/>
      <dgm:spPr>
        <a:solidFill>
          <a:schemeClr val="tx2"/>
        </a:solidFill>
        <a:ln w="57150">
          <a:noFill/>
        </a:ln>
      </dgm:spPr>
      <dgm:t>
        <a:bodyPr lIns="0" tIns="180000" rIns="0" bIns="0"/>
        <a:lstStyle/>
        <a:p>
          <a:r>
            <a:rPr lang="en-GB" sz="2400" b="1"/>
            <a:t>5</a:t>
          </a:r>
        </a:p>
      </dgm:t>
    </dgm:pt>
    <dgm:pt modelId="{194E3543-C5E3-4776-B7C0-F4D821846834}" type="parTrans" cxnId="{0DCFF0EB-7651-4EEA-8685-1305CC3B2C44}">
      <dgm:prSet/>
      <dgm:spPr/>
      <dgm:t>
        <a:bodyPr/>
        <a:lstStyle/>
        <a:p>
          <a:endParaRPr lang="en-GB" sz="1400"/>
        </a:p>
      </dgm:t>
    </dgm:pt>
    <dgm:pt modelId="{2E4A6E4C-ED77-4927-BB10-CAB2A5C882C8}" type="sibTrans" cxnId="{0DCFF0EB-7651-4EEA-8685-1305CC3B2C44}">
      <dgm:prSet/>
      <dgm:spPr/>
      <dgm:t>
        <a:bodyPr/>
        <a:lstStyle/>
        <a:p>
          <a:endParaRPr lang="en-GB" sz="1400"/>
        </a:p>
      </dgm:t>
    </dgm:pt>
    <dgm:pt modelId="{04D1A349-6F39-408A-AF59-DDF02A656941}">
      <dgm:prSet phldrT="[Text]" custT="1"/>
      <dgm:spPr>
        <a:solidFill>
          <a:schemeClr val="tx2">
            <a:lumMod val="75000"/>
          </a:schemeClr>
        </a:solidFill>
        <a:ln w="57150">
          <a:noFill/>
        </a:ln>
      </dgm:spPr>
      <dgm:t>
        <a:bodyPr lIns="0" tIns="180000" rIns="0" bIns="0"/>
        <a:lstStyle/>
        <a:p>
          <a:r>
            <a:rPr lang="en-GB" sz="2400" b="1"/>
            <a:t>6</a:t>
          </a:r>
        </a:p>
      </dgm:t>
    </dgm:pt>
    <dgm:pt modelId="{B7127C14-3EFF-4255-97B4-1759D5C23105}" type="parTrans" cxnId="{F624A7D1-9A0F-4F8D-ABFE-C7DFDEBDA371}">
      <dgm:prSet/>
      <dgm:spPr/>
      <dgm:t>
        <a:bodyPr/>
        <a:lstStyle/>
        <a:p>
          <a:endParaRPr lang="en-GB" sz="1400"/>
        </a:p>
      </dgm:t>
    </dgm:pt>
    <dgm:pt modelId="{9CBEEAAB-BFC0-4354-81D6-41D3EEA2D1A2}" type="sibTrans" cxnId="{F624A7D1-9A0F-4F8D-ABFE-C7DFDEBDA371}">
      <dgm:prSet/>
      <dgm:spPr/>
      <dgm:t>
        <a:bodyPr/>
        <a:lstStyle/>
        <a:p>
          <a:endParaRPr lang="en-GB" sz="1400"/>
        </a:p>
      </dgm:t>
    </dgm:pt>
    <dgm:pt modelId="{A51AB7C7-A145-44D2-9601-84EFF184D626}">
      <dgm:prSet phldrT="[Text]" custT="1"/>
      <dgm:spPr>
        <a:solidFill>
          <a:schemeClr val="tx2">
            <a:lumMod val="50000"/>
          </a:schemeClr>
        </a:solidFill>
        <a:ln w="57150">
          <a:noFill/>
        </a:ln>
      </dgm:spPr>
      <dgm:t>
        <a:bodyPr lIns="0" tIns="180000" rIns="0" bIns="0"/>
        <a:lstStyle/>
        <a:p>
          <a:r>
            <a:rPr lang="en-GB" sz="2400" b="1"/>
            <a:t>7</a:t>
          </a:r>
        </a:p>
      </dgm:t>
    </dgm:pt>
    <dgm:pt modelId="{C23FF20A-C88C-44F8-9962-90B452D98F27}" type="parTrans" cxnId="{13DA3F7B-DA10-4664-925A-FB9C2D2D2CB3}">
      <dgm:prSet/>
      <dgm:spPr/>
      <dgm:t>
        <a:bodyPr/>
        <a:lstStyle/>
        <a:p>
          <a:endParaRPr lang="en-GB" sz="1400"/>
        </a:p>
      </dgm:t>
    </dgm:pt>
    <dgm:pt modelId="{E5A784B3-C758-4C52-98B9-EDD667CF8AC4}" type="sibTrans" cxnId="{13DA3F7B-DA10-4664-925A-FB9C2D2D2CB3}">
      <dgm:prSet/>
      <dgm:spPr/>
      <dgm:t>
        <a:bodyPr/>
        <a:lstStyle/>
        <a:p>
          <a:endParaRPr lang="en-GB" sz="1400"/>
        </a:p>
      </dgm:t>
    </dgm:pt>
    <dgm:pt modelId="{7D0E0263-5DEC-42AC-B238-15176C2CEB44}">
      <dgm:prSet phldrT="[Text]" custT="1"/>
      <dgm:spPr>
        <a:solidFill>
          <a:schemeClr val="tx2">
            <a:lumMod val="75000"/>
          </a:schemeClr>
        </a:solidFill>
        <a:ln w="57150">
          <a:noFill/>
        </a:ln>
      </dgm:spPr>
      <dgm:t>
        <a:bodyPr/>
        <a:lstStyle/>
        <a:p>
          <a:r>
            <a:rPr lang="en-GB" sz="1400">
              <a:solidFill>
                <a:schemeClr val="bg1"/>
              </a:solidFill>
            </a:rPr>
            <a:t>Cost AT products and services for future program options</a:t>
          </a:r>
        </a:p>
      </dgm:t>
    </dgm:pt>
    <dgm:pt modelId="{193B773B-8441-41D2-94C0-BC2149223902}" type="parTrans" cxnId="{3AAED65C-AF8E-45D7-89F7-A1C28B7D4A05}">
      <dgm:prSet/>
      <dgm:spPr/>
      <dgm:t>
        <a:bodyPr/>
        <a:lstStyle/>
        <a:p>
          <a:endParaRPr lang="en-GB" sz="1400"/>
        </a:p>
      </dgm:t>
    </dgm:pt>
    <dgm:pt modelId="{87F78E49-4FDF-4485-A855-F15FF8C2ED87}" type="sibTrans" cxnId="{3AAED65C-AF8E-45D7-89F7-A1C28B7D4A05}">
      <dgm:prSet/>
      <dgm:spPr/>
      <dgm:t>
        <a:bodyPr/>
        <a:lstStyle/>
        <a:p>
          <a:endParaRPr lang="en-GB" sz="1400"/>
        </a:p>
      </dgm:t>
    </dgm:pt>
    <dgm:pt modelId="{02E53A24-7825-4F18-B0FC-CEE751A30BF4}">
      <dgm:prSet phldrT="[Text]" custT="1"/>
      <dgm:spPr>
        <a:solidFill>
          <a:schemeClr val="tx2">
            <a:lumMod val="50000"/>
          </a:schemeClr>
        </a:solidFill>
        <a:ln w="57150">
          <a:noFill/>
        </a:ln>
      </dgm:spPr>
      <dgm:t>
        <a:bodyPr/>
        <a:lstStyle/>
        <a:p>
          <a:r>
            <a:rPr lang="en-GB" sz="1400">
              <a:solidFill>
                <a:schemeClr val="bg1"/>
              </a:solidFill>
            </a:rPr>
            <a:t>Establish the benefits of AT for future program options</a:t>
          </a:r>
        </a:p>
      </dgm:t>
    </dgm:pt>
    <dgm:pt modelId="{67654691-4B25-4429-B689-2D7E248FA1F6}" type="parTrans" cxnId="{C5ABB069-829D-467E-BCF7-DE79D3346F55}">
      <dgm:prSet/>
      <dgm:spPr/>
      <dgm:t>
        <a:bodyPr/>
        <a:lstStyle/>
        <a:p>
          <a:endParaRPr lang="en-GB" sz="1400"/>
        </a:p>
      </dgm:t>
    </dgm:pt>
    <dgm:pt modelId="{250613E0-59C4-416B-B644-BB09AEF111F1}" type="sibTrans" cxnId="{C5ABB069-829D-467E-BCF7-DE79D3346F55}">
      <dgm:prSet/>
      <dgm:spPr/>
      <dgm:t>
        <a:bodyPr/>
        <a:lstStyle/>
        <a:p>
          <a:endParaRPr lang="en-GB" sz="1400"/>
        </a:p>
      </dgm:t>
    </dgm:pt>
    <dgm:pt modelId="{3598D071-1884-4875-B8C5-4DBF1A692C85}">
      <dgm:prSet phldrT="[Text]" custT="1"/>
      <dgm:spPr>
        <a:solidFill>
          <a:schemeClr val="tx2"/>
        </a:solidFill>
        <a:ln w="57150">
          <a:noFill/>
        </a:ln>
      </dgm:spPr>
      <dgm:t>
        <a:bodyPr/>
        <a:lstStyle/>
        <a:p>
          <a:r>
            <a:rPr lang="en-GB" sz="1400">
              <a:solidFill>
                <a:schemeClr val="bg1"/>
              </a:solidFill>
            </a:rPr>
            <a:t>Cost AT products for current home care program </a:t>
          </a:r>
          <a:br>
            <a:rPr lang="en-GB" sz="1400">
              <a:solidFill>
                <a:schemeClr val="bg1"/>
              </a:solidFill>
            </a:rPr>
          </a:br>
          <a:r>
            <a:rPr lang="en-GB" sz="1400">
              <a:solidFill>
                <a:schemeClr val="bg1"/>
              </a:solidFill>
            </a:rPr>
            <a:t>client populations</a:t>
          </a:r>
        </a:p>
      </dgm:t>
    </dgm:pt>
    <dgm:pt modelId="{9379A09B-EB0F-433F-998D-A373CDCA2745}" type="parTrans" cxnId="{1E391DFD-EC3E-401B-A398-AEBE076C3CB3}">
      <dgm:prSet/>
      <dgm:spPr/>
      <dgm:t>
        <a:bodyPr/>
        <a:lstStyle/>
        <a:p>
          <a:endParaRPr lang="en-GB" sz="1400"/>
        </a:p>
      </dgm:t>
    </dgm:pt>
    <dgm:pt modelId="{DD74E295-FCC1-49B3-98DA-3DC1B1235C9C}" type="sibTrans" cxnId="{1E391DFD-EC3E-401B-A398-AEBE076C3CB3}">
      <dgm:prSet/>
      <dgm:spPr/>
      <dgm:t>
        <a:bodyPr/>
        <a:lstStyle/>
        <a:p>
          <a:endParaRPr lang="en-GB" sz="1400"/>
        </a:p>
      </dgm:t>
    </dgm:pt>
    <dgm:pt modelId="{3079F57B-2AB5-4090-A6AC-AD9EB1A03C66}">
      <dgm:prSet phldrT="[Text]" custT="1"/>
      <dgm:spPr>
        <a:solidFill>
          <a:schemeClr val="tx2">
            <a:lumMod val="60000"/>
            <a:lumOff val="40000"/>
          </a:schemeClr>
        </a:solidFill>
        <a:ln w="57150">
          <a:noFill/>
        </a:ln>
      </dgm:spPr>
      <dgm:t>
        <a:bodyPr/>
        <a:lstStyle/>
        <a:p>
          <a:r>
            <a:rPr lang="en-GB" sz="1400"/>
            <a:t>Cost AT for total population</a:t>
          </a:r>
        </a:p>
      </dgm:t>
    </dgm:pt>
    <dgm:pt modelId="{BAA8F0BC-E970-4871-896A-55A06641B090}" type="parTrans" cxnId="{726FD9D9-EFB6-4D73-BE1A-19A40F561C41}">
      <dgm:prSet/>
      <dgm:spPr/>
      <dgm:t>
        <a:bodyPr/>
        <a:lstStyle/>
        <a:p>
          <a:endParaRPr lang="en-GB" sz="1400"/>
        </a:p>
      </dgm:t>
    </dgm:pt>
    <dgm:pt modelId="{9D523373-30FB-4FA8-89C8-E93B62A5E143}" type="sibTrans" cxnId="{726FD9D9-EFB6-4D73-BE1A-19A40F561C41}">
      <dgm:prSet/>
      <dgm:spPr/>
      <dgm:t>
        <a:bodyPr/>
        <a:lstStyle/>
        <a:p>
          <a:endParaRPr lang="en-GB" sz="1400"/>
        </a:p>
      </dgm:t>
    </dgm:pt>
    <dgm:pt modelId="{4843475C-9994-49CA-80D9-8A9259C6832B}">
      <dgm:prSet phldrT="[Text]" custT="1"/>
      <dgm:spPr>
        <a:solidFill>
          <a:schemeClr val="tx2">
            <a:lumMod val="40000"/>
            <a:lumOff val="60000"/>
          </a:schemeClr>
        </a:solidFill>
        <a:ln w="57150">
          <a:noFill/>
        </a:ln>
      </dgm:spPr>
      <dgm:t>
        <a:bodyPr/>
        <a:lstStyle/>
        <a:p>
          <a:r>
            <a:rPr lang="en-GB" sz="1400"/>
            <a:t>Use 'real life' archetypes to cost and benchmark AT products</a:t>
          </a:r>
        </a:p>
      </dgm:t>
    </dgm:pt>
    <dgm:pt modelId="{0AE7CD26-DAD7-43F1-8181-4E9681A198E7}" type="parTrans" cxnId="{D3D1EF7F-E794-465B-BDA7-4807B13AD526}">
      <dgm:prSet/>
      <dgm:spPr/>
      <dgm:t>
        <a:bodyPr/>
        <a:lstStyle/>
        <a:p>
          <a:endParaRPr lang="en-GB" sz="1400"/>
        </a:p>
      </dgm:t>
    </dgm:pt>
    <dgm:pt modelId="{BF1B4F7D-3235-4BB7-ADB4-FA5866DF8368}" type="sibTrans" cxnId="{D3D1EF7F-E794-465B-BDA7-4807B13AD526}">
      <dgm:prSet/>
      <dgm:spPr/>
      <dgm:t>
        <a:bodyPr/>
        <a:lstStyle/>
        <a:p>
          <a:endParaRPr lang="en-GB" sz="1400"/>
        </a:p>
      </dgm:t>
    </dgm:pt>
    <dgm:pt modelId="{9EBADFE8-83F4-47EC-868B-F0154ACAE454}">
      <dgm:prSet phldrT="[Text]" custT="1"/>
      <dgm:spPr>
        <a:solidFill>
          <a:schemeClr val="accent1">
            <a:lumMod val="40000"/>
            <a:lumOff val="60000"/>
          </a:schemeClr>
        </a:solidFill>
        <a:ln w="57150">
          <a:noFill/>
        </a:ln>
      </dgm:spPr>
      <dgm:t>
        <a:bodyPr/>
        <a:lstStyle/>
        <a:p>
          <a:r>
            <a:rPr lang="en-GB" sz="1400"/>
            <a:t>Cost AT products for each of the 4 impairment categories </a:t>
          </a:r>
          <a:br>
            <a:rPr lang="en-GB" sz="1400"/>
          </a:br>
          <a:r>
            <a:rPr lang="en-GB" sz="1400"/>
            <a:t>over a 1-year and 5-year time horizon</a:t>
          </a:r>
        </a:p>
      </dgm:t>
    </dgm:pt>
    <dgm:pt modelId="{F832A623-5D42-46A6-94C5-75397E600937}" type="parTrans" cxnId="{E285D82B-886B-48B9-8BF9-3E714B15AB16}">
      <dgm:prSet/>
      <dgm:spPr/>
      <dgm:t>
        <a:bodyPr/>
        <a:lstStyle/>
        <a:p>
          <a:endParaRPr lang="en-GB" sz="1400"/>
        </a:p>
      </dgm:t>
    </dgm:pt>
    <dgm:pt modelId="{E00265A7-E22E-47C3-808E-493C473AAB27}" type="sibTrans" cxnId="{E285D82B-886B-48B9-8BF9-3E714B15AB16}">
      <dgm:prSet/>
      <dgm:spPr/>
      <dgm:t>
        <a:bodyPr/>
        <a:lstStyle/>
        <a:p>
          <a:endParaRPr lang="en-GB" sz="1400"/>
        </a:p>
      </dgm:t>
    </dgm:pt>
    <dgm:pt modelId="{8E969AE4-9A29-42F6-9717-48DC040CF00B}">
      <dgm:prSet phldrT="[Text]" custT="1"/>
      <dgm:spPr>
        <a:solidFill>
          <a:schemeClr val="accent1">
            <a:lumMod val="20000"/>
            <a:lumOff val="80000"/>
          </a:schemeClr>
        </a:solidFill>
        <a:ln w="57150">
          <a:noFill/>
        </a:ln>
      </dgm:spPr>
      <dgm:t>
        <a:bodyPr/>
        <a:lstStyle/>
        <a:p>
          <a:r>
            <a:rPr lang="en-GB" sz="1400"/>
            <a:t>Establish and distribute the prevalence of older Australians </a:t>
          </a:r>
          <a:br>
            <a:rPr lang="en-GB" sz="1400"/>
          </a:br>
          <a:r>
            <a:rPr lang="en-GB" sz="1400"/>
            <a:t>living and home and experiencing functional decline</a:t>
          </a:r>
        </a:p>
      </dgm:t>
    </dgm:pt>
    <dgm:pt modelId="{4120E60B-398C-46BA-9A1B-C97F18A24E9E}" type="parTrans" cxnId="{4B6A9EAE-3799-410D-B271-34522BEBCE33}">
      <dgm:prSet/>
      <dgm:spPr/>
      <dgm:t>
        <a:bodyPr/>
        <a:lstStyle/>
        <a:p>
          <a:endParaRPr lang="en-GB" sz="1400"/>
        </a:p>
      </dgm:t>
    </dgm:pt>
    <dgm:pt modelId="{1AAA3FAF-847B-4ACA-A161-4B93F2CC686B}" type="sibTrans" cxnId="{4B6A9EAE-3799-410D-B271-34522BEBCE33}">
      <dgm:prSet/>
      <dgm:spPr/>
      <dgm:t>
        <a:bodyPr/>
        <a:lstStyle/>
        <a:p>
          <a:endParaRPr lang="en-GB" sz="1400"/>
        </a:p>
      </dgm:t>
    </dgm:pt>
    <dgm:pt modelId="{A3B17352-87EB-422F-B05D-47B44CF88BC7}" type="pres">
      <dgm:prSet presAssocID="{77F76FEA-8AD0-47AF-87B1-0206824BFDDD}" presName="linearFlow" presStyleCnt="0">
        <dgm:presLayoutVars>
          <dgm:dir/>
          <dgm:animLvl val="lvl"/>
          <dgm:resizeHandles val="exact"/>
        </dgm:presLayoutVars>
      </dgm:prSet>
      <dgm:spPr/>
      <dgm:t>
        <a:bodyPr/>
        <a:lstStyle/>
        <a:p>
          <a:endParaRPr lang="en-US"/>
        </a:p>
      </dgm:t>
    </dgm:pt>
    <dgm:pt modelId="{568BB893-FEFD-4459-83B8-CE710062FCF6}" type="pres">
      <dgm:prSet presAssocID="{43F477FF-271D-473E-BAB1-E76FC6E0F3FD}" presName="composite" presStyleCnt="0"/>
      <dgm:spPr/>
    </dgm:pt>
    <dgm:pt modelId="{5C7D4D32-7CFF-45C5-A530-BCAC3250620A}" type="pres">
      <dgm:prSet presAssocID="{43F477FF-271D-473E-BAB1-E76FC6E0F3FD}" presName="parentText" presStyleLbl="alignNode1" presStyleIdx="0" presStyleCnt="7">
        <dgm:presLayoutVars>
          <dgm:chMax val="1"/>
          <dgm:bulletEnabled val="1"/>
        </dgm:presLayoutVars>
      </dgm:prSet>
      <dgm:spPr/>
      <dgm:t>
        <a:bodyPr/>
        <a:lstStyle/>
        <a:p>
          <a:endParaRPr lang="en-US"/>
        </a:p>
      </dgm:t>
    </dgm:pt>
    <dgm:pt modelId="{1D26A6B6-A679-4DD1-B0D1-7121D0223DE9}" type="pres">
      <dgm:prSet presAssocID="{43F477FF-271D-473E-BAB1-E76FC6E0F3FD}" presName="descendantText" presStyleLbl="alignAcc1" presStyleIdx="0" presStyleCnt="7">
        <dgm:presLayoutVars>
          <dgm:bulletEnabled val="1"/>
        </dgm:presLayoutVars>
      </dgm:prSet>
      <dgm:spPr/>
      <dgm:t>
        <a:bodyPr/>
        <a:lstStyle/>
        <a:p>
          <a:endParaRPr lang="en-US"/>
        </a:p>
      </dgm:t>
    </dgm:pt>
    <dgm:pt modelId="{F44C3B18-1305-4213-AB75-ABFE9604277E}" type="pres">
      <dgm:prSet presAssocID="{E8AB124A-5C30-4E7C-B215-B075C6DF02B0}" presName="sp" presStyleCnt="0"/>
      <dgm:spPr/>
    </dgm:pt>
    <dgm:pt modelId="{281D7098-1750-467B-AEF5-C0D1DA64B3D3}" type="pres">
      <dgm:prSet presAssocID="{F6D1336F-D895-4F53-834D-1A3A82AD72A1}" presName="composite" presStyleCnt="0"/>
      <dgm:spPr/>
    </dgm:pt>
    <dgm:pt modelId="{197E8E6E-0510-4115-AFAF-99219802914F}" type="pres">
      <dgm:prSet presAssocID="{F6D1336F-D895-4F53-834D-1A3A82AD72A1}" presName="parentText" presStyleLbl="alignNode1" presStyleIdx="1" presStyleCnt="7">
        <dgm:presLayoutVars>
          <dgm:chMax val="1"/>
          <dgm:bulletEnabled val="1"/>
        </dgm:presLayoutVars>
      </dgm:prSet>
      <dgm:spPr/>
      <dgm:t>
        <a:bodyPr/>
        <a:lstStyle/>
        <a:p>
          <a:endParaRPr lang="en-US"/>
        </a:p>
      </dgm:t>
    </dgm:pt>
    <dgm:pt modelId="{ECA259CF-503C-4222-900C-4A6085F827DC}" type="pres">
      <dgm:prSet presAssocID="{F6D1336F-D895-4F53-834D-1A3A82AD72A1}" presName="descendantText" presStyleLbl="alignAcc1" presStyleIdx="1" presStyleCnt="7">
        <dgm:presLayoutVars>
          <dgm:bulletEnabled val="1"/>
        </dgm:presLayoutVars>
      </dgm:prSet>
      <dgm:spPr/>
      <dgm:t>
        <a:bodyPr/>
        <a:lstStyle/>
        <a:p>
          <a:endParaRPr lang="en-US"/>
        </a:p>
      </dgm:t>
    </dgm:pt>
    <dgm:pt modelId="{58CB91A9-808A-432A-87E2-A175940B4CB1}" type="pres">
      <dgm:prSet presAssocID="{806E9319-ACB0-4ACE-A69B-B1C933C9E573}" presName="sp" presStyleCnt="0"/>
      <dgm:spPr/>
    </dgm:pt>
    <dgm:pt modelId="{EB200AF4-6542-4538-85ED-DB4A581C434B}" type="pres">
      <dgm:prSet presAssocID="{2AA43684-A5FA-4B2B-9E33-05A0D3C0011D}" presName="composite" presStyleCnt="0"/>
      <dgm:spPr/>
    </dgm:pt>
    <dgm:pt modelId="{958CC256-004C-48A0-B506-CD8AABF5ECD2}" type="pres">
      <dgm:prSet presAssocID="{2AA43684-A5FA-4B2B-9E33-05A0D3C0011D}" presName="parentText" presStyleLbl="alignNode1" presStyleIdx="2" presStyleCnt="7">
        <dgm:presLayoutVars>
          <dgm:chMax val="1"/>
          <dgm:bulletEnabled val="1"/>
        </dgm:presLayoutVars>
      </dgm:prSet>
      <dgm:spPr/>
      <dgm:t>
        <a:bodyPr/>
        <a:lstStyle/>
        <a:p>
          <a:endParaRPr lang="en-US"/>
        </a:p>
      </dgm:t>
    </dgm:pt>
    <dgm:pt modelId="{BE73A133-23D8-4EA2-90B6-B6CD858C67CD}" type="pres">
      <dgm:prSet presAssocID="{2AA43684-A5FA-4B2B-9E33-05A0D3C0011D}" presName="descendantText" presStyleLbl="alignAcc1" presStyleIdx="2" presStyleCnt="7">
        <dgm:presLayoutVars>
          <dgm:bulletEnabled val="1"/>
        </dgm:presLayoutVars>
      </dgm:prSet>
      <dgm:spPr/>
      <dgm:t>
        <a:bodyPr/>
        <a:lstStyle/>
        <a:p>
          <a:endParaRPr lang="en-US"/>
        </a:p>
      </dgm:t>
    </dgm:pt>
    <dgm:pt modelId="{6A072B12-B95B-4F0E-8B33-7CA45D865B6C}" type="pres">
      <dgm:prSet presAssocID="{19E17FBB-E8AD-4690-8067-E4BE74496823}" presName="sp" presStyleCnt="0"/>
      <dgm:spPr/>
    </dgm:pt>
    <dgm:pt modelId="{06D9CD86-3374-4B08-95EB-A25C3241D1FF}" type="pres">
      <dgm:prSet presAssocID="{3AA9000C-C034-48F5-8E42-A6B595A83C1F}" presName="composite" presStyleCnt="0"/>
      <dgm:spPr/>
    </dgm:pt>
    <dgm:pt modelId="{3CB36F38-F900-4793-90D8-9E423E79756B}" type="pres">
      <dgm:prSet presAssocID="{3AA9000C-C034-48F5-8E42-A6B595A83C1F}" presName="parentText" presStyleLbl="alignNode1" presStyleIdx="3" presStyleCnt="7">
        <dgm:presLayoutVars>
          <dgm:chMax val="1"/>
          <dgm:bulletEnabled val="1"/>
        </dgm:presLayoutVars>
      </dgm:prSet>
      <dgm:spPr/>
      <dgm:t>
        <a:bodyPr/>
        <a:lstStyle/>
        <a:p>
          <a:endParaRPr lang="en-US"/>
        </a:p>
      </dgm:t>
    </dgm:pt>
    <dgm:pt modelId="{267246EA-DBB4-48F9-A38A-0727F45399F0}" type="pres">
      <dgm:prSet presAssocID="{3AA9000C-C034-48F5-8E42-A6B595A83C1F}" presName="descendantText" presStyleLbl="alignAcc1" presStyleIdx="3" presStyleCnt="7">
        <dgm:presLayoutVars>
          <dgm:bulletEnabled val="1"/>
        </dgm:presLayoutVars>
      </dgm:prSet>
      <dgm:spPr/>
      <dgm:t>
        <a:bodyPr/>
        <a:lstStyle/>
        <a:p>
          <a:endParaRPr lang="en-US"/>
        </a:p>
      </dgm:t>
    </dgm:pt>
    <dgm:pt modelId="{342F163E-CB4C-4599-AE00-BCC618D180E6}" type="pres">
      <dgm:prSet presAssocID="{481185C4-DBE3-485A-836F-F457833CA5C0}" presName="sp" presStyleCnt="0"/>
      <dgm:spPr/>
    </dgm:pt>
    <dgm:pt modelId="{131EA1FB-F5D7-4512-A915-F5016D4E6A48}" type="pres">
      <dgm:prSet presAssocID="{B415BD51-C6CB-4652-8A7D-43FC4649BA56}" presName="composite" presStyleCnt="0"/>
      <dgm:spPr/>
    </dgm:pt>
    <dgm:pt modelId="{117BA573-AE28-482B-9C48-8C338E077012}" type="pres">
      <dgm:prSet presAssocID="{B415BD51-C6CB-4652-8A7D-43FC4649BA56}" presName="parentText" presStyleLbl="alignNode1" presStyleIdx="4" presStyleCnt="7">
        <dgm:presLayoutVars>
          <dgm:chMax val="1"/>
          <dgm:bulletEnabled val="1"/>
        </dgm:presLayoutVars>
      </dgm:prSet>
      <dgm:spPr/>
      <dgm:t>
        <a:bodyPr/>
        <a:lstStyle/>
        <a:p>
          <a:endParaRPr lang="en-US"/>
        </a:p>
      </dgm:t>
    </dgm:pt>
    <dgm:pt modelId="{15047A1F-3438-485D-A304-F6CB2F923D50}" type="pres">
      <dgm:prSet presAssocID="{B415BD51-C6CB-4652-8A7D-43FC4649BA56}" presName="descendantText" presStyleLbl="alignAcc1" presStyleIdx="4" presStyleCnt="7">
        <dgm:presLayoutVars>
          <dgm:bulletEnabled val="1"/>
        </dgm:presLayoutVars>
      </dgm:prSet>
      <dgm:spPr/>
      <dgm:t>
        <a:bodyPr/>
        <a:lstStyle/>
        <a:p>
          <a:endParaRPr lang="en-US"/>
        </a:p>
      </dgm:t>
    </dgm:pt>
    <dgm:pt modelId="{CF6AB73D-79D7-4BE1-A0E6-A35D7F410A29}" type="pres">
      <dgm:prSet presAssocID="{2E4A6E4C-ED77-4927-BB10-CAB2A5C882C8}" presName="sp" presStyleCnt="0"/>
      <dgm:spPr/>
    </dgm:pt>
    <dgm:pt modelId="{133294F1-266B-47A2-9CB8-FE49951A645E}" type="pres">
      <dgm:prSet presAssocID="{04D1A349-6F39-408A-AF59-DDF02A656941}" presName="composite" presStyleCnt="0"/>
      <dgm:spPr/>
    </dgm:pt>
    <dgm:pt modelId="{DEDB5BF8-C222-4C1D-B65F-2B393C442E09}" type="pres">
      <dgm:prSet presAssocID="{04D1A349-6F39-408A-AF59-DDF02A656941}" presName="parentText" presStyleLbl="alignNode1" presStyleIdx="5" presStyleCnt="7">
        <dgm:presLayoutVars>
          <dgm:chMax val="1"/>
          <dgm:bulletEnabled val="1"/>
        </dgm:presLayoutVars>
      </dgm:prSet>
      <dgm:spPr/>
      <dgm:t>
        <a:bodyPr/>
        <a:lstStyle/>
        <a:p>
          <a:endParaRPr lang="en-US"/>
        </a:p>
      </dgm:t>
    </dgm:pt>
    <dgm:pt modelId="{0928501A-3FC0-400A-9761-10883666110C}" type="pres">
      <dgm:prSet presAssocID="{04D1A349-6F39-408A-AF59-DDF02A656941}" presName="descendantText" presStyleLbl="alignAcc1" presStyleIdx="5" presStyleCnt="7">
        <dgm:presLayoutVars>
          <dgm:bulletEnabled val="1"/>
        </dgm:presLayoutVars>
      </dgm:prSet>
      <dgm:spPr>
        <a:ln>
          <a:noFill/>
        </a:ln>
      </dgm:spPr>
      <dgm:t>
        <a:bodyPr/>
        <a:lstStyle/>
        <a:p>
          <a:endParaRPr lang="en-US"/>
        </a:p>
      </dgm:t>
    </dgm:pt>
    <dgm:pt modelId="{C1AB5005-C48F-4F3B-B2A2-118B21B7B05F}" type="pres">
      <dgm:prSet presAssocID="{9CBEEAAB-BFC0-4354-81D6-41D3EEA2D1A2}" presName="sp" presStyleCnt="0"/>
      <dgm:spPr/>
    </dgm:pt>
    <dgm:pt modelId="{CA331940-170C-425D-A304-2D5420993F2D}" type="pres">
      <dgm:prSet presAssocID="{A51AB7C7-A145-44D2-9601-84EFF184D626}" presName="composite" presStyleCnt="0"/>
      <dgm:spPr/>
    </dgm:pt>
    <dgm:pt modelId="{39607A47-2DCB-42E3-BD60-7CD9DA5621F0}" type="pres">
      <dgm:prSet presAssocID="{A51AB7C7-A145-44D2-9601-84EFF184D626}" presName="parentText" presStyleLbl="alignNode1" presStyleIdx="6" presStyleCnt="7">
        <dgm:presLayoutVars>
          <dgm:chMax val="1"/>
          <dgm:bulletEnabled val="1"/>
        </dgm:presLayoutVars>
      </dgm:prSet>
      <dgm:spPr/>
      <dgm:t>
        <a:bodyPr/>
        <a:lstStyle/>
        <a:p>
          <a:endParaRPr lang="en-US"/>
        </a:p>
      </dgm:t>
    </dgm:pt>
    <dgm:pt modelId="{B4252394-48CD-41B5-8841-B1BC2A82A189}" type="pres">
      <dgm:prSet presAssocID="{A51AB7C7-A145-44D2-9601-84EFF184D626}" presName="descendantText" presStyleLbl="alignAcc1" presStyleIdx="6" presStyleCnt="7">
        <dgm:presLayoutVars>
          <dgm:bulletEnabled val="1"/>
        </dgm:presLayoutVars>
      </dgm:prSet>
      <dgm:spPr>
        <a:ln>
          <a:noFill/>
        </a:ln>
      </dgm:spPr>
      <dgm:t>
        <a:bodyPr/>
        <a:lstStyle/>
        <a:p>
          <a:endParaRPr lang="en-US"/>
        </a:p>
      </dgm:t>
    </dgm:pt>
  </dgm:ptLst>
  <dgm:cxnLst>
    <dgm:cxn modelId="{A19EF7E4-A7A0-4E96-BA24-216194A02185}" type="presOf" srcId="{3079F57B-2AB5-4090-A6AC-AD9EB1A03C66}" destId="{267246EA-DBB4-48F9-A38A-0727F45399F0}" srcOrd="0" destOrd="0" presId="urn:microsoft.com/office/officeart/2005/8/layout/chevron2"/>
    <dgm:cxn modelId="{0DCFF0EB-7651-4EEA-8685-1305CC3B2C44}" srcId="{77F76FEA-8AD0-47AF-87B1-0206824BFDDD}" destId="{B415BD51-C6CB-4652-8A7D-43FC4649BA56}" srcOrd="4" destOrd="0" parTransId="{194E3543-C5E3-4776-B7C0-F4D821846834}" sibTransId="{2E4A6E4C-ED77-4927-BB10-CAB2A5C882C8}"/>
    <dgm:cxn modelId="{1E391DFD-EC3E-401B-A398-AEBE076C3CB3}" srcId="{B415BD51-C6CB-4652-8A7D-43FC4649BA56}" destId="{3598D071-1884-4875-B8C5-4DBF1A692C85}" srcOrd="0" destOrd="0" parTransId="{9379A09B-EB0F-433F-998D-A373CDCA2745}" sibTransId="{DD74E295-FCC1-49B3-98DA-3DC1B1235C9C}"/>
    <dgm:cxn modelId="{07B74F38-96CD-4529-83B6-D3CCB22AF572}" type="presOf" srcId="{8E969AE4-9A29-42F6-9717-48DC040CF00B}" destId="{1D26A6B6-A679-4DD1-B0D1-7121D0223DE9}" srcOrd="0" destOrd="0" presId="urn:microsoft.com/office/officeart/2005/8/layout/chevron2"/>
    <dgm:cxn modelId="{C4010D4E-B61E-4A69-9A4E-08221723B981}" type="presOf" srcId="{F6D1336F-D895-4F53-834D-1A3A82AD72A1}" destId="{197E8E6E-0510-4115-AFAF-99219802914F}" srcOrd="0" destOrd="0" presId="urn:microsoft.com/office/officeart/2005/8/layout/chevron2"/>
    <dgm:cxn modelId="{4028479E-54D3-46FF-B770-AFDF016ABAAA}" type="presOf" srcId="{A51AB7C7-A145-44D2-9601-84EFF184D626}" destId="{39607A47-2DCB-42E3-BD60-7CD9DA5621F0}" srcOrd="0" destOrd="0" presId="urn:microsoft.com/office/officeart/2005/8/layout/chevron2"/>
    <dgm:cxn modelId="{C5ABB069-829D-467E-BCF7-DE79D3346F55}" srcId="{A51AB7C7-A145-44D2-9601-84EFF184D626}" destId="{02E53A24-7825-4F18-B0FC-CEE751A30BF4}" srcOrd="0" destOrd="0" parTransId="{67654691-4B25-4429-B689-2D7E248FA1F6}" sibTransId="{250613E0-59C4-416B-B644-BB09AEF111F1}"/>
    <dgm:cxn modelId="{726FD9D9-EFB6-4D73-BE1A-19A40F561C41}" srcId="{3AA9000C-C034-48F5-8E42-A6B595A83C1F}" destId="{3079F57B-2AB5-4090-A6AC-AD9EB1A03C66}" srcOrd="0" destOrd="0" parTransId="{BAA8F0BC-E970-4871-896A-55A06641B090}" sibTransId="{9D523373-30FB-4FA8-89C8-E93B62A5E143}"/>
    <dgm:cxn modelId="{B8D6EAE9-9864-4C88-9733-4E6CA160171E}" type="presOf" srcId="{4843475C-9994-49CA-80D9-8A9259C6832B}" destId="{BE73A133-23D8-4EA2-90B6-B6CD858C67CD}" srcOrd="0" destOrd="0" presId="urn:microsoft.com/office/officeart/2005/8/layout/chevron2"/>
    <dgm:cxn modelId="{FA35206C-2AA4-4C4A-A3F6-A8927F701298}" type="presOf" srcId="{3AA9000C-C034-48F5-8E42-A6B595A83C1F}" destId="{3CB36F38-F900-4793-90D8-9E423E79756B}" srcOrd="0" destOrd="0" presId="urn:microsoft.com/office/officeart/2005/8/layout/chevron2"/>
    <dgm:cxn modelId="{18162BCC-8E27-4ED6-BEDB-9696EB73FC1E}" type="presOf" srcId="{2AA43684-A5FA-4B2B-9E33-05A0D3C0011D}" destId="{958CC256-004C-48A0-B506-CD8AABF5ECD2}" srcOrd="0" destOrd="0" presId="urn:microsoft.com/office/officeart/2005/8/layout/chevron2"/>
    <dgm:cxn modelId="{00E801DA-3A93-4811-BAD5-0693E765C7FD}" type="presOf" srcId="{9EBADFE8-83F4-47EC-868B-F0154ACAE454}" destId="{ECA259CF-503C-4222-900C-4A6085F827DC}" srcOrd="0" destOrd="0" presId="urn:microsoft.com/office/officeart/2005/8/layout/chevron2"/>
    <dgm:cxn modelId="{29601F55-C8CB-4BCF-8C5D-73170F777EFC}" type="presOf" srcId="{04D1A349-6F39-408A-AF59-DDF02A656941}" destId="{DEDB5BF8-C222-4C1D-B65F-2B393C442E09}" srcOrd="0" destOrd="0" presId="urn:microsoft.com/office/officeart/2005/8/layout/chevron2"/>
    <dgm:cxn modelId="{8A8DE5E1-95AA-44B2-9385-3FF79C450030}" srcId="{77F76FEA-8AD0-47AF-87B1-0206824BFDDD}" destId="{3AA9000C-C034-48F5-8E42-A6B595A83C1F}" srcOrd="3" destOrd="0" parTransId="{661ECAAD-E8B9-4169-BF46-A642D31D8604}" sibTransId="{481185C4-DBE3-485A-836F-F457833CA5C0}"/>
    <dgm:cxn modelId="{F624A7D1-9A0F-4F8D-ABFE-C7DFDEBDA371}" srcId="{77F76FEA-8AD0-47AF-87B1-0206824BFDDD}" destId="{04D1A349-6F39-408A-AF59-DDF02A656941}" srcOrd="5" destOrd="0" parTransId="{B7127C14-3EFF-4255-97B4-1759D5C23105}" sibTransId="{9CBEEAAB-BFC0-4354-81D6-41D3EEA2D1A2}"/>
    <dgm:cxn modelId="{563AEAE0-595E-4E6C-BF00-87A85FF6B806}" type="presOf" srcId="{43F477FF-271D-473E-BAB1-E76FC6E0F3FD}" destId="{5C7D4D32-7CFF-45C5-A530-BCAC3250620A}" srcOrd="0" destOrd="0" presId="urn:microsoft.com/office/officeart/2005/8/layout/chevron2"/>
    <dgm:cxn modelId="{744B0648-EE4C-4B42-8E6C-F17606E0EB98}" type="presOf" srcId="{B415BD51-C6CB-4652-8A7D-43FC4649BA56}" destId="{117BA573-AE28-482B-9C48-8C338E077012}" srcOrd="0" destOrd="0" presId="urn:microsoft.com/office/officeart/2005/8/layout/chevron2"/>
    <dgm:cxn modelId="{13DA3F7B-DA10-4664-925A-FB9C2D2D2CB3}" srcId="{77F76FEA-8AD0-47AF-87B1-0206824BFDDD}" destId="{A51AB7C7-A145-44D2-9601-84EFF184D626}" srcOrd="6" destOrd="0" parTransId="{C23FF20A-C88C-44F8-9962-90B452D98F27}" sibTransId="{E5A784B3-C758-4C52-98B9-EDD667CF8AC4}"/>
    <dgm:cxn modelId="{E6BAD1EB-FC50-4125-B481-4819F711AA27}" srcId="{77F76FEA-8AD0-47AF-87B1-0206824BFDDD}" destId="{43F477FF-271D-473E-BAB1-E76FC6E0F3FD}" srcOrd="0" destOrd="0" parTransId="{E06AEC44-6E24-41A3-AD43-4ACE9DB00614}" sibTransId="{E8AB124A-5C30-4E7C-B215-B075C6DF02B0}"/>
    <dgm:cxn modelId="{3AAED65C-AF8E-45D7-89F7-A1C28B7D4A05}" srcId="{04D1A349-6F39-408A-AF59-DDF02A656941}" destId="{7D0E0263-5DEC-42AC-B238-15176C2CEB44}" srcOrd="0" destOrd="0" parTransId="{193B773B-8441-41D2-94C0-BC2149223902}" sibTransId="{87F78E49-4FDF-4485-A855-F15FF8C2ED87}"/>
    <dgm:cxn modelId="{E285D82B-886B-48B9-8BF9-3E714B15AB16}" srcId="{F6D1336F-D895-4F53-834D-1A3A82AD72A1}" destId="{9EBADFE8-83F4-47EC-868B-F0154ACAE454}" srcOrd="0" destOrd="0" parTransId="{F832A623-5D42-46A6-94C5-75397E600937}" sibTransId="{E00265A7-E22E-47C3-808E-493C473AAB27}"/>
    <dgm:cxn modelId="{31E7A660-603E-436C-A5B3-34B20CEAE697}" type="presOf" srcId="{77F76FEA-8AD0-47AF-87B1-0206824BFDDD}" destId="{A3B17352-87EB-422F-B05D-47B44CF88BC7}" srcOrd="0" destOrd="0" presId="urn:microsoft.com/office/officeart/2005/8/layout/chevron2"/>
    <dgm:cxn modelId="{D3D1EF7F-E794-465B-BDA7-4807B13AD526}" srcId="{2AA43684-A5FA-4B2B-9E33-05A0D3C0011D}" destId="{4843475C-9994-49CA-80D9-8A9259C6832B}" srcOrd="0" destOrd="0" parTransId="{0AE7CD26-DAD7-43F1-8181-4E9681A198E7}" sibTransId="{BF1B4F7D-3235-4BB7-ADB4-FA5866DF8368}"/>
    <dgm:cxn modelId="{0F1AE771-D3B7-4DC6-8547-2239DF5975F4}" type="presOf" srcId="{02E53A24-7825-4F18-B0FC-CEE751A30BF4}" destId="{B4252394-48CD-41B5-8841-B1BC2A82A189}" srcOrd="0" destOrd="0" presId="urn:microsoft.com/office/officeart/2005/8/layout/chevron2"/>
    <dgm:cxn modelId="{D2131D42-73C7-42FD-AA74-B5CB0B0F549C}" type="presOf" srcId="{3598D071-1884-4875-B8C5-4DBF1A692C85}" destId="{15047A1F-3438-485D-A304-F6CB2F923D50}" srcOrd="0" destOrd="0" presId="urn:microsoft.com/office/officeart/2005/8/layout/chevron2"/>
    <dgm:cxn modelId="{ECE6E692-96B2-4F32-B77D-277AC3E32185}" type="presOf" srcId="{7D0E0263-5DEC-42AC-B238-15176C2CEB44}" destId="{0928501A-3FC0-400A-9761-10883666110C}" srcOrd="0" destOrd="0" presId="urn:microsoft.com/office/officeart/2005/8/layout/chevron2"/>
    <dgm:cxn modelId="{291D6928-1E4A-4010-A556-E764A29AE896}" srcId="{77F76FEA-8AD0-47AF-87B1-0206824BFDDD}" destId="{2AA43684-A5FA-4B2B-9E33-05A0D3C0011D}" srcOrd="2" destOrd="0" parTransId="{E801628B-ABBB-4E20-9755-044FF02F3E32}" sibTransId="{19E17FBB-E8AD-4690-8067-E4BE74496823}"/>
    <dgm:cxn modelId="{4B6A9EAE-3799-410D-B271-34522BEBCE33}" srcId="{43F477FF-271D-473E-BAB1-E76FC6E0F3FD}" destId="{8E969AE4-9A29-42F6-9717-48DC040CF00B}" srcOrd="0" destOrd="0" parTransId="{4120E60B-398C-46BA-9A1B-C97F18A24E9E}" sibTransId="{1AAA3FAF-847B-4ACA-A161-4B93F2CC686B}"/>
    <dgm:cxn modelId="{8113AE1C-496F-40B4-B7C9-47825A5B2A17}" srcId="{77F76FEA-8AD0-47AF-87B1-0206824BFDDD}" destId="{F6D1336F-D895-4F53-834D-1A3A82AD72A1}" srcOrd="1" destOrd="0" parTransId="{F3A01145-D53F-44DE-A075-0A32BD50B099}" sibTransId="{806E9319-ACB0-4ACE-A69B-B1C933C9E573}"/>
    <dgm:cxn modelId="{49A9751A-96EB-46C0-921B-3EA94550C626}" type="presParOf" srcId="{A3B17352-87EB-422F-B05D-47B44CF88BC7}" destId="{568BB893-FEFD-4459-83B8-CE710062FCF6}" srcOrd="0" destOrd="0" presId="urn:microsoft.com/office/officeart/2005/8/layout/chevron2"/>
    <dgm:cxn modelId="{B8EFE40A-1B6F-470D-A6C0-75CE39DC59CD}" type="presParOf" srcId="{568BB893-FEFD-4459-83B8-CE710062FCF6}" destId="{5C7D4D32-7CFF-45C5-A530-BCAC3250620A}" srcOrd="0" destOrd="0" presId="urn:microsoft.com/office/officeart/2005/8/layout/chevron2"/>
    <dgm:cxn modelId="{A63C9401-7742-4CE2-9FD2-E6D6AADF8714}" type="presParOf" srcId="{568BB893-FEFD-4459-83B8-CE710062FCF6}" destId="{1D26A6B6-A679-4DD1-B0D1-7121D0223DE9}" srcOrd="1" destOrd="0" presId="urn:microsoft.com/office/officeart/2005/8/layout/chevron2"/>
    <dgm:cxn modelId="{F4CF13F5-B57F-40D2-B31F-56DA7C0D60FA}" type="presParOf" srcId="{A3B17352-87EB-422F-B05D-47B44CF88BC7}" destId="{F44C3B18-1305-4213-AB75-ABFE9604277E}" srcOrd="1" destOrd="0" presId="urn:microsoft.com/office/officeart/2005/8/layout/chevron2"/>
    <dgm:cxn modelId="{0079CFFD-FA0A-4E96-A6BD-3B6D64027D22}" type="presParOf" srcId="{A3B17352-87EB-422F-B05D-47B44CF88BC7}" destId="{281D7098-1750-467B-AEF5-C0D1DA64B3D3}" srcOrd="2" destOrd="0" presId="urn:microsoft.com/office/officeart/2005/8/layout/chevron2"/>
    <dgm:cxn modelId="{8D5403EB-B645-41B7-8D77-799F1FFCEBDF}" type="presParOf" srcId="{281D7098-1750-467B-AEF5-C0D1DA64B3D3}" destId="{197E8E6E-0510-4115-AFAF-99219802914F}" srcOrd="0" destOrd="0" presId="urn:microsoft.com/office/officeart/2005/8/layout/chevron2"/>
    <dgm:cxn modelId="{E454D384-1A4A-4EEA-BEBA-74589F7B5D9F}" type="presParOf" srcId="{281D7098-1750-467B-AEF5-C0D1DA64B3D3}" destId="{ECA259CF-503C-4222-900C-4A6085F827DC}" srcOrd="1" destOrd="0" presId="urn:microsoft.com/office/officeart/2005/8/layout/chevron2"/>
    <dgm:cxn modelId="{A109EC75-EF7D-49AF-80DD-B6993A8A728A}" type="presParOf" srcId="{A3B17352-87EB-422F-B05D-47B44CF88BC7}" destId="{58CB91A9-808A-432A-87E2-A175940B4CB1}" srcOrd="3" destOrd="0" presId="urn:microsoft.com/office/officeart/2005/8/layout/chevron2"/>
    <dgm:cxn modelId="{9A7156B7-8630-439E-A109-A35F683796B4}" type="presParOf" srcId="{A3B17352-87EB-422F-B05D-47B44CF88BC7}" destId="{EB200AF4-6542-4538-85ED-DB4A581C434B}" srcOrd="4" destOrd="0" presId="urn:microsoft.com/office/officeart/2005/8/layout/chevron2"/>
    <dgm:cxn modelId="{69A33C25-9269-4957-AFDF-1CFB9F242E10}" type="presParOf" srcId="{EB200AF4-6542-4538-85ED-DB4A581C434B}" destId="{958CC256-004C-48A0-B506-CD8AABF5ECD2}" srcOrd="0" destOrd="0" presId="urn:microsoft.com/office/officeart/2005/8/layout/chevron2"/>
    <dgm:cxn modelId="{D683D532-E14A-40C6-B25C-2E1222329839}" type="presParOf" srcId="{EB200AF4-6542-4538-85ED-DB4A581C434B}" destId="{BE73A133-23D8-4EA2-90B6-B6CD858C67CD}" srcOrd="1" destOrd="0" presId="urn:microsoft.com/office/officeart/2005/8/layout/chevron2"/>
    <dgm:cxn modelId="{600AE934-267F-407E-A963-486BC4BD9F67}" type="presParOf" srcId="{A3B17352-87EB-422F-B05D-47B44CF88BC7}" destId="{6A072B12-B95B-4F0E-8B33-7CA45D865B6C}" srcOrd="5" destOrd="0" presId="urn:microsoft.com/office/officeart/2005/8/layout/chevron2"/>
    <dgm:cxn modelId="{5FBF956A-31B7-4F75-8E7F-4F7C57F28C7C}" type="presParOf" srcId="{A3B17352-87EB-422F-B05D-47B44CF88BC7}" destId="{06D9CD86-3374-4B08-95EB-A25C3241D1FF}" srcOrd="6" destOrd="0" presId="urn:microsoft.com/office/officeart/2005/8/layout/chevron2"/>
    <dgm:cxn modelId="{270CDCEC-CAFD-4B71-9568-E51291E02D3E}" type="presParOf" srcId="{06D9CD86-3374-4B08-95EB-A25C3241D1FF}" destId="{3CB36F38-F900-4793-90D8-9E423E79756B}" srcOrd="0" destOrd="0" presId="urn:microsoft.com/office/officeart/2005/8/layout/chevron2"/>
    <dgm:cxn modelId="{583D1C0E-E7A2-4527-90B8-58EA6E160008}" type="presParOf" srcId="{06D9CD86-3374-4B08-95EB-A25C3241D1FF}" destId="{267246EA-DBB4-48F9-A38A-0727F45399F0}" srcOrd="1" destOrd="0" presId="urn:microsoft.com/office/officeart/2005/8/layout/chevron2"/>
    <dgm:cxn modelId="{50D8F4A6-E40C-4938-8DA4-DC2908498B8C}" type="presParOf" srcId="{A3B17352-87EB-422F-B05D-47B44CF88BC7}" destId="{342F163E-CB4C-4599-AE00-BCC618D180E6}" srcOrd="7" destOrd="0" presId="urn:microsoft.com/office/officeart/2005/8/layout/chevron2"/>
    <dgm:cxn modelId="{789642FB-A5A9-4D01-B98D-B8FEFB32C8BD}" type="presParOf" srcId="{A3B17352-87EB-422F-B05D-47B44CF88BC7}" destId="{131EA1FB-F5D7-4512-A915-F5016D4E6A48}" srcOrd="8" destOrd="0" presId="urn:microsoft.com/office/officeart/2005/8/layout/chevron2"/>
    <dgm:cxn modelId="{67F341F2-5FEA-4904-8129-21E78C69450C}" type="presParOf" srcId="{131EA1FB-F5D7-4512-A915-F5016D4E6A48}" destId="{117BA573-AE28-482B-9C48-8C338E077012}" srcOrd="0" destOrd="0" presId="urn:microsoft.com/office/officeart/2005/8/layout/chevron2"/>
    <dgm:cxn modelId="{9F86BD35-5274-4374-917B-855DE92E24C7}" type="presParOf" srcId="{131EA1FB-F5D7-4512-A915-F5016D4E6A48}" destId="{15047A1F-3438-485D-A304-F6CB2F923D50}" srcOrd="1" destOrd="0" presId="urn:microsoft.com/office/officeart/2005/8/layout/chevron2"/>
    <dgm:cxn modelId="{2C5A0F60-96A7-4C18-9BF0-DA2EB824F206}" type="presParOf" srcId="{A3B17352-87EB-422F-B05D-47B44CF88BC7}" destId="{CF6AB73D-79D7-4BE1-A0E6-A35D7F410A29}" srcOrd="9" destOrd="0" presId="urn:microsoft.com/office/officeart/2005/8/layout/chevron2"/>
    <dgm:cxn modelId="{B8363400-750E-40CC-A908-5FAE3F6B6760}" type="presParOf" srcId="{A3B17352-87EB-422F-B05D-47B44CF88BC7}" destId="{133294F1-266B-47A2-9CB8-FE49951A645E}" srcOrd="10" destOrd="0" presId="urn:microsoft.com/office/officeart/2005/8/layout/chevron2"/>
    <dgm:cxn modelId="{E55C47A7-6A82-4619-89FA-330F833361EF}" type="presParOf" srcId="{133294F1-266B-47A2-9CB8-FE49951A645E}" destId="{DEDB5BF8-C222-4C1D-B65F-2B393C442E09}" srcOrd="0" destOrd="0" presId="urn:microsoft.com/office/officeart/2005/8/layout/chevron2"/>
    <dgm:cxn modelId="{19C01A7C-7D48-4DFB-97AD-23D4FCEDC349}" type="presParOf" srcId="{133294F1-266B-47A2-9CB8-FE49951A645E}" destId="{0928501A-3FC0-400A-9761-10883666110C}" srcOrd="1" destOrd="0" presId="urn:microsoft.com/office/officeart/2005/8/layout/chevron2"/>
    <dgm:cxn modelId="{841C0ADF-C9B3-4430-A923-D98D380E53E9}" type="presParOf" srcId="{A3B17352-87EB-422F-B05D-47B44CF88BC7}" destId="{C1AB5005-C48F-4F3B-B2A2-118B21B7B05F}" srcOrd="11" destOrd="0" presId="urn:microsoft.com/office/officeart/2005/8/layout/chevron2"/>
    <dgm:cxn modelId="{32C0B46E-61F1-4D68-8D1D-130C9623153E}" type="presParOf" srcId="{A3B17352-87EB-422F-B05D-47B44CF88BC7}" destId="{CA331940-170C-425D-A304-2D5420993F2D}" srcOrd="12" destOrd="0" presId="urn:microsoft.com/office/officeart/2005/8/layout/chevron2"/>
    <dgm:cxn modelId="{5897E88C-013F-4A0F-8B37-7D1857C32559}" type="presParOf" srcId="{CA331940-170C-425D-A304-2D5420993F2D}" destId="{39607A47-2DCB-42E3-BD60-7CD9DA5621F0}" srcOrd="0" destOrd="0" presId="urn:microsoft.com/office/officeart/2005/8/layout/chevron2"/>
    <dgm:cxn modelId="{F4ACA4F3-CC9A-4EF6-820E-BF8670AE3567}" type="presParOf" srcId="{CA331940-170C-425D-A304-2D5420993F2D}" destId="{B4252394-48CD-41B5-8841-B1BC2A82A189}" srcOrd="1" destOrd="0" presId="urn:microsoft.com/office/officeart/2005/8/layout/chevron2"/>
  </dgm:cxnLst>
  <dgm:bg/>
  <dgm:whole>
    <a:ln w="76200" cap="flat" cmpd="sng" algn="ctr">
      <a:solidFill>
        <a:schemeClr val="bg1">
          <a:lumMod val="95000"/>
        </a:schemeClr>
      </a:solidFill>
      <a:prstDash val="solid"/>
      <a:round/>
      <a:headEnd type="none" w="med" len="med"/>
      <a:tailEnd type="none" w="med" len="med"/>
    </a:ln>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1E680E3E-8B86-435B-9A1C-E2B077C2A139}"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AU"/>
        </a:p>
      </dgm:t>
    </dgm:pt>
    <dgm:pt modelId="{46171ADF-7D50-4D26-862F-AE7DAA8DE738}">
      <dgm:prSet phldrT="[Text]" custT="1"/>
      <dgm:spPr/>
      <dgm:t>
        <a:bodyPr/>
        <a:lstStyle/>
        <a:p>
          <a:r>
            <a:rPr lang="en-AU" sz="1400" b="1"/>
            <a:t>Iteration 1: </a:t>
          </a:r>
          <a:br>
            <a:rPr lang="en-AU" sz="1400" b="1"/>
          </a:br>
          <a:r>
            <a:rPr lang="en-AU" sz="1400" b="1"/>
            <a:t>5 May 2020</a:t>
          </a:r>
          <a:br>
            <a:rPr lang="en-AU" sz="1400" b="1"/>
          </a:br>
          <a:r>
            <a:rPr lang="en-AU" sz="1200"/>
            <a:t>Pre-survey (n=9)</a:t>
          </a:r>
          <a:endParaRPr lang="en-AU" sz="1400"/>
        </a:p>
      </dgm:t>
    </dgm:pt>
    <dgm:pt modelId="{5F8514D7-D942-43A0-BF7D-1221081A7F94}" type="parTrans" cxnId="{C97AE484-4837-4DE0-81FD-3EE926D2B639}">
      <dgm:prSet/>
      <dgm:spPr/>
      <dgm:t>
        <a:bodyPr/>
        <a:lstStyle/>
        <a:p>
          <a:endParaRPr lang="en-AU"/>
        </a:p>
      </dgm:t>
    </dgm:pt>
    <dgm:pt modelId="{CC2DFAA5-3EAB-4C83-A280-5B22A4DC7769}" type="sibTrans" cxnId="{C97AE484-4837-4DE0-81FD-3EE926D2B639}">
      <dgm:prSet/>
      <dgm:spPr/>
      <dgm:t>
        <a:bodyPr/>
        <a:lstStyle/>
        <a:p>
          <a:endParaRPr lang="en-AU"/>
        </a:p>
      </dgm:t>
    </dgm:pt>
    <dgm:pt modelId="{1F919F5D-382F-4799-B979-9036D3D52501}">
      <dgm:prSet phldrT="[Text]" custT="1"/>
      <dgm:spPr/>
      <dgm:t>
        <a:bodyPr/>
        <a:lstStyle/>
        <a:p>
          <a:r>
            <a:rPr lang="en-AU" sz="1400" b="1"/>
            <a:t>Iteration 2: </a:t>
          </a:r>
          <a:br>
            <a:rPr lang="en-AU" sz="1400" b="1"/>
          </a:br>
          <a:r>
            <a:rPr lang="en-AU" sz="1400" b="1"/>
            <a:t>6 May 2020</a:t>
          </a:r>
          <a:br>
            <a:rPr lang="en-AU" sz="1400" b="1"/>
          </a:br>
          <a:r>
            <a:rPr lang="en-AU" sz="1200"/>
            <a:t>Focus Group (n=9)</a:t>
          </a:r>
          <a:endParaRPr lang="en-AU" sz="1400"/>
        </a:p>
      </dgm:t>
    </dgm:pt>
    <dgm:pt modelId="{FEED8F18-7886-49B2-9C48-6F128A8AA980}" type="parTrans" cxnId="{9805AC1F-B8D3-40BB-A9CA-76D8E657B6AE}">
      <dgm:prSet/>
      <dgm:spPr/>
      <dgm:t>
        <a:bodyPr/>
        <a:lstStyle/>
        <a:p>
          <a:endParaRPr lang="en-AU"/>
        </a:p>
      </dgm:t>
    </dgm:pt>
    <dgm:pt modelId="{F12963A8-F8B5-4113-BE6F-B9C847324765}" type="sibTrans" cxnId="{9805AC1F-B8D3-40BB-A9CA-76D8E657B6AE}">
      <dgm:prSet/>
      <dgm:spPr/>
      <dgm:t>
        <a:bodyPr/>
        <a:lstStyle/>
        <a:p>
          <a:endParaRPr lang="en-AU"/>
        </a:p>
      </dgm:t>
    </dgm:pt>
    <dgm:pt modelId="{9F139911-43CF-4589-BCDF-B641FF22A63B}">
      <dgm:prSet phldrT="[Text]" custT="1"/>
      <dgm:spPr/>
      <dgm:t>
        <a:bodyPr/>
        <a:lstStyle/>
        <a:p>
          <a:r>
            <a:rPr lang="en-AU" sz="1500" b="1"/>
            <a:t>Iteration 3: </a:t>
          </a:r>
          <a:br>
            <a:rPr lang="en-AU" sz="1500" b="1"/>
          </a:br>
          <a:r>
            <a:rPr lang="en-AU" sz="1500" b="1"/>
            <a:t>7 May 2020</a:t>
          </a:r>
          <a:br>
            <a:rPr lang="en-AU" sz="1500" b="1"/>
          </a:br>
          <a:r>
            <a:rPr lang="en-AU" sz="1200"/>
            <a:t>Post-survey (n=9)</a:t>
          </a:r>
          <a:endParaRPr lang="en-AU" sz="1500"/>
        </a:p>
      </dgm:t>
    </dgm:pt>
    <dgm:pt modelId="{E0D7472B-1207-4B67-BB28-0F6A47B4E8FF}" type="parTrans" cxnId="{2A4F56BC-5C12-4D31-B700-5222FC6CC488}">
      <dgm:prSet/>
      <dgm:spPr/>
      <dgm:t>
        <a:bodyPr/>
        <a:lstStyle/>
        <a:p>
          <a:endParaRPr lang="en-AU"/>
        </a:p>
      </dgm:t>
    </dgm:pt>
    <dgm:pt modelId="{C2D6E906-2D5F-4B57-971B-1169232B44F4}" type="sibTrans" cxnId="{2A4F56BC-5C12-4D31-B700-5222FC6CC488}">
      <dgm:prSet/>
      <dgm:spPr/>
      <dgm:t>
        <a:bodyPr/>
        <a:lstStyle/>
        <a:p>
          <a:endParaRPr lang="en-AU"/>
        </a:p>
      </dgm:t>
    </dgm:pt>
    <dgm:pt modelId="{3286F5EB-50E7-429D-A048-24A71E4F4A10}">
      <dgm:prSet phldrT="[Text]" custT="1"/>
      <dgm:spPr/>
      <dgm:t>
        <a:bodyPr/>
        <a:lstStyle/>
        <a:p>
          <a:r>
            <a:rPr lang="en-AU" sz="1200"/>
            <a:t>Individual opinion without influence</a:t>
          </a:r>
        </a:p>
      </dgm:t>
    </dgm:pt>
    <dgm:pt modelId="{45CE4741-615D-4BDC-A583-0A5D71E42BCE}" type="parTrans" cxnId="{C5B54949-71D7-4CCD-87CB-059C864846DC}">
      <dgm:prSet/>
      <dgm:spPr/>
      <dgm:t>
        <a:bodyPr/>
        <a:lstStyle/>
        <a:p>
          <a:endParaRPr lang="en-GB"/>
        </a:p>
      </dgm:t>
    </dgm:pt>
    <dgm:pt modelId="{CA3B4D27-5FD3-40DF-9478-3189D75C7786}" type="sibTrans" cxnId="{C5B54949-71D7-4CCD-87CB-059C864846DC}">
      <dgm:prSet/>
      <dgm:spPr/>
      <dgm:t>
        <a:bodyPr/>
        <a:lstStyle/>
        <a:p>
          <a:endParaRPr lang="en-GB"/>
        </a:p>
      </dgm:t>
    </dgm:pt>
    <dgm:pt modelId="{18859A8F-23DC-4FFB-A31D-998ACA0BE6F0}">
      <dgm:prSet phldrT="[Text]" custT="1"/>
      <dgm:spPr/>
      <dgm:t>
        <a:bodyPr/>
        <a:lstStyle/>
        <a:p>
          <a:r>
            <a:rPr lang="en-AU" sz="1200"/>
            <a:t>Group opinion with feedback from the RER and the pre-survey</a:t>
          </a:r>
        </a:p>
      </dgm:t>
    </dgm:pt>
    <dgm:pt modelId="{9B976B68-DE74-48C8-B11E-225BAB1239B1}" type="parTrans" cxnId="{B542F994-DD69-4B7E-954B-27E14AD6125C}">
      <dgm:prSet/>
      <dgm:spPr/>
      <dgm:t>
        <a:bodyPr/>
        <a:lstStyle/>
        <a:p>
          <a:endParaRPr lang="en-GB"/>
        </a:p>
      </dgm:t>
    </dgm:pt>
    <dgm:pt modelId="{3C875586-4302-49EF-97A2-2966609BB97E}" type="sibTrans" cxnId="{B542F994-DD69-4B7E-954B-27E14AD6125C}">
      <dgm:prSet/>
      <dgm:spPr/>
      <dgm:t>
        <a:bodyPr/>
        <a:lstStyle/>
        <a:p>
          <a:endParaRPr lang="en-GB"/>
        </a:p>
      </dgm:t>
    </dgm:pt>
    <dgm:pt modelId="{8107CFB3-3DA8-4DA3-A953-C8E690E75B12}">
      <dgm:prSet phldrT="[Text]" custT="1"/>
      <dgm:spPr/>
      <dgm:t>
        <a:bodyPr/>
        <a:lstStyle/>
        <a:p>
          <a:r>
            <a:rPr lang="en-AU" sz="1200"/>
            <a:t>Individual opinion with influence from the previous two iterations</a:t>
          </a:r>
        </a:p>
      </dgm:t>
    </dgm:pt>
    <dgm:pt modelId="{4794F28C-7552-4D67-9E97-F2A2ED892EE3}" type="parTrans" cxnId="{3688C25D-5E1C-4CED-A19F-BCE1437713B6}">
      <dgm:prSet/>
      <dgm:spPr/>
      <dgm:t>
        <a:bodyPr/>
        <a:lstStyle/>
        <a:p>
          <a:endParaRPr lang="en-GB"/>
        </a:p>
      </dgm:t>
    </dgm:pt>
    <dgm:pt modelId="{814E345E-A24D-4AF7-8A85-013DE0BD0687}" type="sibTrans" cxnId="{3688C25D-5E1C-4CED-A19F-BCE1437713B6}">
      <dgm:prSet/>
      <dgm:spPr/>
      <dgm:t>
        <a:bodyPr/>
        <a:lstStyle/>
        <a:p>
          <a:endParaRPr lang="en-GB"/>
        </a:p>
      </dgm:t>
    </dgm:pt>
    <dgm:pt modelId="{666D4B2B-0478-40F5-B235-2E1B32C34051}" type="pres">
      <dgm:prSet presAssocID="{1E680E3E-8B86-435B-9A1C-E2B077C2A139}" presName="Name0" presStyleCnt="0">
        <dgm:presLayoutVars>
          <dgm:chMax val="7"/>
          <dgm:chPref val="7"/>
          <dgm:dir/>
          <dgm:animLvl val="lvl"/>
        </dgm:presLayoutVars>
      </dgm:prSet>
      <dgm:spPr/>
      <dgm:t>
        <a:bodyPr/>
        <a:lstStyle/>
        <a:p>
          <a:endParaRPr lang="en-US"/>
        </a:p>
      </dgm:t>
    </dgm:pt>
    <dgm:pt modelId="{0EC38F29-B9F9-4648-B1E4-DD59F0287206}" type="pres">
      <dgm:prSet presAssocID="{46171ADF-7D50-4D26-862F-AE7DAA8DE738}" presName="Accent1" presStyleCnt="0"/>
      <dgm:spPr/>
    </dgm:pt>
    <dgm:pt modelId="{EE49B6FD-D272-453C-A79B-8D3E0DBA1B1F}" type="pres">
      <dgm:prSet presAssocID="{46171ADF-7D50-4D26-862F-AE7DAA8DE738}" presName="Accent" presStyleLbl="node1" presStyleIdx="0" presStyleCnt="3"/>
      <dgm:spPr>
        <a:solidFill>
          <a:schemeClr val="tx2">
            <a:lumMod val="20000"/>
            <a:lumOff val="80000"/>
          </a:schemeClr>
        </a:solidFill>
      </dgm:spPr>
    </dgm:pt>
    <dgm:pt modelId="{24587019-FF05-4EA5-BD44-D8646EB72863}" type="pres">
      <dgm:prSet presAssocID="{46171ADF-7D50-4D26-862F-AE7DAA8DE738}" presName="Child1" presStyleLbl="revTx" presStyleIdx="0" presStyleCnt="6">
        <dgm:presLayoutVars>
          <dgm:chMax val="0"/>
          <dgm:chPref val="0"/>
          <dgm:bulletEnabled val="1"/>
        </dgm:presLayoutVars>
      </dgm:prSet>
      <dgm:spPr/>
      <dgm:t>
        <a:bodyPr/>
        <a:lstStyle/>
        <a:p>
          <a:endParaRPr lang="en-US"/>
        </a:p>
      </dgm:t>
    </dgm:pt>
    <dgm:pt modelId="{B7FDCD61-276C-439A-9CA4-62FC16651ED9}" type="pres">
      <dgm:prSet presAssocID="{46171ADF-7D50-4D26-862F-AE7DAA8DE738}" presName="Parent1" presStyleLbl="revTx" presStyleIdx="1" presStyleCnt="6">
        <dgm:presLayoutVars>
          <dgm:chMax val="1"/>
          <dgm:chPref val="1"/>
          <dgm:bulletEnabled val="1"/>
        </dgm:presLayoutVars>
      </dgm:prSet>
      <dgm:spPr/>
      <dgm:t>
        <a:bodyPr/>
        <a:lstStyle/>
        <a:p>
          <a:endParaRPr lang="en-US"/>
        </a:p>
      </dgm:t>
    </dgm:pt>
    <dgm:pt modelId="{E2860926-DA29-4CA1-899C-407884F5A8CA}" type="pres">
      <dgm:prSet presAssocID="{1F919F5D-382F-4799-B979-9036D3D52501}" presName="Accent2" presStyleCnt="0"/>
      <dgm:spPr/>
    </dgm:pt>
    <dgm:pt modelId="{EE4FC2F2-331B-4DB7-8707-EEFDC6B41E1F}" type="pres">
      <dgm:prSet presAssocID="{1F919F5D-382F-4799-B979-9036D3D52501}" presName="Accent" presStyleLbl="node1" presStyleIdx="1" presStyleCnt="3"/>
      <dgm:spPr/>
    </dgm:pt>
    <dgm:pt modelId="{F6377BCA-C5A6-415C-A183-B73E2FFFD2FD}" type="pres">
      <dgm:prSet presAssocID="{1F919F5D-382F-4799-B979-9036D3D52501}" presName="Child2" presStyleLbl="revTx" presStyleIdx="2" presStyleCnt="6" custScaleX="114556">
        <dgm:presLayoutVars>
          <dgm:chMax val="0"/>
          <dgm:chPref val="0"/>
          <dgm:bulletEnabled val="1"/>
        </dgm:presLayoutVars>
      </dgm:prSet>
      <dgm:spPr/>
      <dgm:t>
        <a:bodyPr/>
        <a:lstStyle/>
        <a:p>
          <a:endParaRPr lang="en-US"/>
        </a:p>
      </dgm:t>
    </dgm:pt>
    <dgm:pt modelId="{EACC0BD0-DBC1-48A5-8883-4EB7AED88AA5}" type="pres">
      <dgm:prSet presAssocID="{1F919F5D-382F-4799-B979-9036D3D52501}" presName="Parent2" presStyleLbl="revTx" presStyleIdx="3" presStyleCnt="6">
        <dgm:presLayoutVars>
          <dgm:chMax val="1"/>
          <dgm:chPref val="1"/>
          <dgm:bulletEnabled val="1"/>
        </dgm:presLayoutVars>
      </dgm:prSet>
      <dgm:spPr/>
      <dgm:t>
        <a:bodyPr/>
        <a:lstStyle/>
        <a:p>
          <a:endParaRPr lang="en-US"/>
        </a:p>
      </dgm:t>
    </dgm:pt>
    <dgm:pt modelId="{5FCCC754-4307-4C8D-86AD-8D8DBCBA445F}" type="pres">
      <dgm:prSet presAssocID="{9F139911-43CF-4589-BCDF-B641FF22A63B}" presName="Accent3" presStyleCnt="0"/>
      <dgm:spPr/>
    </dgm:pt>
    <dgm:pt modelId="{1D01B482-E54B-4F96-951B-B85B55AECD89}" type="pres">
      <dgm:prSet presAssocID="{9F139911-43CF-4589-BCDF-B641FF22A63B}" presName="Accent" presStyleLbl="node1" presStyleIdx="2" presStyleCnt="3"/>
      <dgm:spPr>
        <a:solidFill>
          <a:schemeClr val="tx2"/>
        </a:solidFill>
      </dgm:spPr>
    </dgm:pt>
    <dgm:pt modelId="{F02AB7C6-9EC4-4144-B9FF-3B3B492E9887}" type="pres">
      <dgm:prSet presAssocID="{9F139911-43CF-4589-BCDF-B641FF22A63B}" presName="Child3" presStyleLbl="revTx" presStyleIdx="4" presStyleCnt="6" custScaleX="108764">
        <dgm:presLayoutVars>
          <dgm:chMax val="0"/>
          <dgm:chPref val="0"/>
          <dgm:bulletEnabled val="1"/>
        </dgm:presLayoutVars>
      </dgm:prSet>
      <dgm:spPr/>
      <dgm:t>
        <a:bodyPr/>
        <a:lstStyle/>
        <a:p>
          <a:endParaRPr lang="en-US"/>
        </a:p>
      </dgm:t>
    </dgm:pt>
    <dgm:pt modelId="{DB202BFD-8C03-4B2D-AE4C-2C99593B2E01}" type="pres">
      <dgm:prSet presAssocID="{9F139911-43CF-4589-BCDF-B641FF22A63B}" presName="Parent3" presStyleLbl="revTx" presStyleIdx="5" presStyleCnt="6">
        <dgm:presLayoutVars>
          <dgm:chMax val="1"/>
          <dgm:chPref val="1"/>
          <dgm:bulletEnabled val="1"/>
        </dgm:presLayoutVars>
      </dgm:prSet>
      <dgm:spPr/>
      <dgm:t>
        <a:bodyPr/>
        <a:lstStyle/>
        <a:p>
          <a:endParaRPr lang="en-US"/>
        </a:p>
      </dgm:t>
    </dgm:pt>
  </dgm:ptLst>
  <dgm:cxnLst>
    <dgm:cxn modelId="{AF59C4B6-61D1-4DFD-A132-F636744D7E9C}" type="presOf" srcId="{1E680E3E-8B86-435B-9A1C-E2B077C2A139}" destId="{666D4B2B-0478-40F5-B235-2E1B32C34051}" srcOrd="0" destOrd="0" presId="urn:microsoft.com/office/officeart/2009/layout/CircleArrowProcess"/>
    <dgm:cxn modelId="{E4FE68C4-8163-40A9-B415-148122D361B7}" type="presOf" srcId="{3286F5EB-50E7-429D-A048-24A71E4F4A10}" destId="{24587019-FF05-4EA5-BD44-D8646EB72863}" srcOrd="0" destOrd="0" presId="urn:microsoft.com/office/officeart/2009/layout/CircleArrowProcess"/>
    <dgm:cxn modelId="{5BB41FA0-21C1-4381-81A7-431459AC0C44}" type="presOf" srcId="{46171ADF-7D50-4D26-862F-AE7DAA8DE738}" destId="{B7FDCD61-276C-439A-9CA4-62FC16651ED9}" srcOrd="0" destOrd="0" presId="urn:microsoft.com/office/officeart/2009/layout/CircleArrowProcess"/>
    <dgm:cxn modelId="{9805AC1F-B8D3-40BB-A9CA-76D8E657B6AE}" srcId="{1E680E3E-8B86-435B-9A1C-E2B077C2A139}" destId="{1F919F5D-382F-4799-B979-9036D3D52501}" srcOrd="1" destOrd="0" parTransId="{FEED8F18-7886-49B2-9C48-6F128A8AA980}" sibTransId="{F12963A8-F8B5-4113-BE6F-B9C847324765}"/>
    <dgm:cxn modelId="{78238E54-DF03-427E-8315-E9B166E21B37}" type="presOf" srcId="{8107CFB3-3DA8-4DA3-A953-C8E690E75B12}" destId="{F02AB7C6-9EC4-4144-B9FF-3B3B492E9887}" srcOrd="0" destOrd="0" presId="urn:microsoft.com/office/officeart/2009/layout/CircleArrowProcess"/>
    <dgm:cxn modelId="{C97AE484-4837-4DE0-81FD-3EE926D2B639}" srcId="{1E680E3E-8B86-435B-9A1C-E2B077C2A139}" destId="{46171ADF-7D50-4D26-862F-AE7DAA8DE738}" srcOrd="0" destOrd="0" parTransId="{5F8514D7-D942-43A0-BF7D-1221081A7F94}" sibTransId="{CC2DFAA5-3EAB-4C83-A280-5B22A4DC7769}"/>
    <dgm:cxn modelId="{0AF83CE4-3736-48E0-89CF-FE1D0FCAB6CA}" type="presOf" srcId="{9F139911-43CF-4589-BCDF-B641FF22A63B}" destId="{DB202BFD-8C03-4B2D-AE4C-2C99593B2E01}" srcOrd="0" destOrd="0" presId="urn:microsoft.com/office/officeart/2009/layout/CircleArrowProcess"/>
    <dgm:cxn modelId="{258607D1-8C31-4590-BC30-582C50A9A171}" type="presOf" srcId="{1F919F5D-382F-4799-B979-9036D3D52501}" destId="{EACC0BD0-DBC1-48A5-8883-4EB7AED88AA5}" srcOrd="0" destOrd="0" presId="urn:microsoft.com/office/officeart/2009/layout/CircleArrowProcess"/>
    <dgm:cxn modelId="{B542F994-DD69-4B7E-954B-27E14AD6125C}" srcId="{1F919F5D-382F-4799-B979-9036D3D52501}" destId="{18859A8F-23DC-4FFB-A31D-998ACA0BE6F0}" srcOrd="0" destOrd="0" parTransId="{9B976B68-DE74-48C8-B11E-225BAB1239B1}" sibTransId="{3C875586-4302-49EF-97A2-2966609BB97E}"/>
    <dgm:cxn modelId="{3688C25D-5E1C-4CED-A19F-BCE1437713B6}" srcId="{9F139911-43CF-4589-BCDF-B641FF22A63B}" destId="{8107CFB3-3DA8-4DA3-A953-C8E690E75B12}" srcOrd="0" destOrd="0" parTransId="{4794F28C-7552-4D67-9E97-F2A2ED892EE3}" sibTransId="{814E345E-A24D-4AF7-8A85-013DE0BD0687}"/>
    <dgm:cxn modelId="{D7387869-7A01-4553-B6E6-70C089EE70C8}" type="presOf" srcId="{18859A8F-23DC-4FFB-A31D-998ACA0BE6F0}" destId="{F6377BCA-C5A6-415C-A183-B73E2FFFD2FD}" srcOrd="0" destOrd="0" presId="urn:microsoft.com/office/officeart/2009/layout/CircleArrowProcess"/>
    <dgm:cxn modelId="{C5B54949-71D7-4CCD-87CB-059C864846DC}" srcId="{46171ADF-7D50-4D26-862F-AE7DAA8DE738}" destId="{3286F5EB-50E7-429D-A048-24A71E4F4A10}" srcOrd="0" destOrd="0" parTransId="{45CE4741-615D-4BDC-A583-0A5D71E42BCE}" sibTransId="{CA3B4D27-5FD3-40DF-9478-3189D75C7786}"/>
    <dgm:cxn modelId="{2A4F56BC-5C12-4D31-B700-5222FC6CC488}" srcId="{1E680E3E-8B86-435B-9A1C-E2B077C2A139}" destId="{9F139911-43CF-4589-BCDF-B641FF22A63B}" srcOrd="2" destOrd="0" parTransId="{E0D7472B-1207-4B67-BB28-0F6A47B4E8FF}" sibTransId="{C2D6E906-2D5F-4B57-971B-1169232B44F4}"/>
    <dgm:cxn modelId="{05EAD06A-5EAD-4730-BCCC-046ACF4EC5D6}" type="presParOf" srcId="{666D4B2B-0478-40F5-B235-2E1B32C34051}" destId="{0EC38F29-B9F9-4648-B1E4-DD59F0287206}" srcOrd="0" destOrd="0" presId="urn:microsoft.com/office/officeart/2009/layout/CircleArrowProcess"/>
    <dgm:cxn modelId="{5510591C-8A4C-4551-8E8E-9AE9DF50BF3D}" type="presParOf" srcId="{0EC38F29-B9F9-4648-B1E4-DD59F0287206}" destId="{EE49B6FD-D272-453C-A79B-8D3E0DBA1B1F}" srcOrd="0" destOrd="0" presId="urn:microsoft.com/office/officeart/2009/layout/CircleArrowProcess"/>
    <dgm:cxn modelId="{8554F887-20F4-410B-B5B5-974DAB3DFF84}" type="presParOf" srcId="{666D4B2B-0478-40F5-B235-2E1B32C34051}" destId="{24587019-FF05-4EA5-BD44-D8646EB72863}" srcOrd="1" destOrd="0" presId="urn:microsoft.com/office/officeart/2009/layout/CircleArrowProcess"/>
    <dgm:cxn modelId="{9446654D-16C8-42D1-8343-7915844670CC}" type="presParOf" srcId="{666D4B2B-0478-40F5-B235-2E1B32C34051}" destId="{B7FDCD61-276C-439A-9CA4-62FC16651ED9}" srcOrd="2" destOrd="0" presId="urn:microsoft.com/office/officeart/2009/layout/CircleArrowProcess"/>
    <dgm:cxn modelId="{76917695-ECED-4554-A20C-A13D4B8750BB}" type="presParOf" srcId="{666D4B2B-0478-40F5-B235-2E1B32C34051}" destId="{E2860926-DA29-4CA1-899C-407884F5A8CA}" srcOrd="3" destOrd="0" presId="urn:microsoft.com/office/officeart/2009/layout/CircleArrowProcess"/>
    <dgm:cxn modelId="{1410FA60-6F9D-4BF6-9692-36DFF7D8F60F}" type="presParOf" srcId="{E2860926-DA29-4CA1-899C-407884F5A8CA}" destId="{EE4FC2F2-331B-4DB7-8707-EEFDC6B41E1F}" srcOrd="0" destOrd="0" presId="urn:microsoft.com/office/officeart/2009/layout/CircleArrowProcess"/>
    <dgm:cxn modelId="{E88C6244-19B2-4956-BB04-003FA4147579}" type="presParOf" srcId="{666D4B2B-0478-40F5-B235-2E1B32C34051}" destId="{F6377BCA-C5A6-415C-A183-B73E2FFFD2FD}" srcOrd="4" destOrd="0" presId="urn:microsoft.com/office/officeart/2009/layout/CircleArrowProcess"/>
    <dgm:cxn modelId="{CBE76563-D1B5-49D1-AC50-BB72457ACA0B}" type="presParOf" srcId="{666D4B2B-0478-40F5-B235-2E1B32C34051}" destId="{EACC0BD0-DBC1-48A5-8883-4EB7AED88AA5}" srcOrd="5" destOrd="0" presId="urn:microsoft.com/office/officeart/2009/layout/CircleArrowProcess"/>
    <dgm:cxn modelId="{10AC3F95-58D3-483B-AC95-FF2667FE7D29}" type="presParOf" srcId="{666D4B2B-0478-40F5-B235-2E1B32C34051}" destId="{5FCCC754-4307-4C8D-86AD-8D8DBCBA445F}" srcOrd="6" destOrd="0" presId="urn:microsoft.com/office/officeart/2009/layout/CircleArrowProcess"/>
    <dgm:cxn modelId="{55009749-821B-4A53-AB0E-3DAA3CF537BD}" type="presParOf" srcId="{5FCCC754-4307-4C8D-86AD-8D8DBCBA445F}" destId="{1D01B482-E54B-4F96-951B-B85B55AECD89}" srcOrd="0" destOrd="0" presId="urn:microsoft.com/office/officeart/2009/layout/CircleArrowProcess"/>
    <dgm:cxn modelId="{17A42F8A-60FB-403C-8BAA-4E71E983AE96}" type="presParOf" srcId="{666D4B2B-0478-40F5-B235-2E1B32C34051}" destId="{F02AB7C6-9EC4-4144-B9FF-3B3B492E9887}" srcOrd="7" destOrd="0" presId="urn:microsoft.com/office/officeart/2009/layout/CircleArrowProcess"/>
    <dgm:cxn modelId="{756E0D0F-C506-4ADC-86A8-4AF5E10771FC}" type="presParOf" srcId="{666D4B2B-0478-40F5-B235-2E1B32C34051}" destId="{DB202BFD-8C03-4B2D-AE4C-2C99593B2E01}" srcOrd="8" destOrd="0" presId="urn:microsoft.com/office/officeart/2009/layout/CircleArrowProces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D4D32-7CFF-45C5-A530-BCAC3250620A}">
      <dsp:nvSpPr>
        <dsp:cNvPr id="0" name=""/>
        <dsp:cNvSpPr/>
      </dsp:nvSpPr>
      <dsp:spPr>
        <a:xfrm rot="5400000">
          <a:off x="-120972" y="125141"/>
          <a:ext cx="806480" cy="564536"/>
        </a:xfrm>
        <a:prstGeom prst="chevron">
          <a:avLst/>
        </a:prstGeom>
        <a:solidFill>
          <a:schemeClr val="accent1">
            <a:lumMod val="20000"/>
            <a:lumOff val="8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1</a:t>
          </a:r>
        </a:p>
      </dsp:txBody>
      <dsp:txXfrm rot="-5400000">
        <a:off x="0" y="286437"/>
        <a:ext cx="564536" cy="241944"/>
      </dsp:txXfrm>
    </dsp:sp>
    <dsp:sp modelId="{1D26A6B6-A679-4DD1-B0D1-7121D0223DE9}">
      <dsp:nvSpPr>
        <dsp:cNvPr id="0" name=""/>
        <dsp:cNvSpPr/>
      </dsp:nvSpPr>
      <dsp:spPr>
        <a:xfrm rot="5400000">
          <a:off x="2763224" y="-2194518"/>
          <a:ext cx="524488" cy="4921863"/>
        </a:xfrm>
        <a:prstGeom prst="round2SameRect">
          <a:avLst/>
        </a:prstGeom>
        <a:solidFill>
          <a:schemeClr val="accent1">
            <a:lumMod val="20000"/>
            <a:lumOff val="8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Establish and distribute the prevalence of older Australians </a:t>
          </a:r>
          <a:br>
            <a:rPr lang="en-GB" sz="1400" kern="1200"/>
          </a:br>
          <a:r>
            <a:rPr lang="en-GB" sz="1400" kern="1200"/>
            <a:t>living and home and experiencing functional decline</a:t>
          </a:r>
        </a:p>
      </dsp:txBody>
      <dsp:txXfrm rot="-5400000">
        <a:off x="564537" y="29772"/>
        <a:ext cx="4896260" cy="473282"/>
      </dsp:txXfrm>
    </dsp:sp>
    <dsp:sp modelId="{197E8E6E-0510-4115-AFAF-99219802914F}">
      <dsp:nvSpPr>
        <dsp:cNvPr id="0" name=""/>
        <dsp:cNvSpPr/>
      </dsp:nvSpPr>
      <dsp:spPr>
        <a:xfrm rot="5400000">
          <a:off x="-120972" y="847742"/>
          <a:ext cx="806480" cy="564536"/>
        </a:xfrm>
        <a:prstGeom prst="chevron">
          <a:avLst/>
        </a:prstGeom>
        <a:solidFill>
          <a:schemeClr val="accent1">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2</a:t>
          </a:r>
        </a:p>
      </dsp:txBody>
      <dsp:txXfrm rot="-5400000">
        <a:off x="0" y="1009038"/>
        <a:ext cx="564536" cy="241944"/>
      </dsp:txXfrm>
    </dsp:sp>
    <dsp:sp modelId="{ECA259CF-503C-4222-900C-4A6085F827DC}">
      <dsp:nvSpPr>
        <dsp:cNvPr id="0" name=""/>
        <dsp:cNvSpPr/>
      </dsp:nvSpPr>
      <dsp:spPr>
        <a:xfrm rot="5400000">
          <a:off x="2763362" y="-1472054"/>
          <a:ext cx="524212" cy="4921863"/>
        </a:xfrm>
        <a:prstGeom prst="round2SameRect">
          <a:avLst/>
        </a:prstGeom>
        <a:solidFill>
          <a:schemeClr val="accent1">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Cost AT products for each of the 4 impairment categories </a:t>
          </a:r>
          <a:br>
            <a:rPr lang="en-GB" sz="1400" kern="1200"/>
          </a:br>
          <a:r>
            <a:rPr lang="en-GB" sz="1400" kern="1200"/>
            <a:t>over a 1-year and 5-year time horizon</a:t>
          </a:r>
        </a:p>
      </dsp:txBody>
      <dsp:txXfrm rot="-5400000">
        <a:off x="564537" y="752361"/>
        <a:ext cx="4896273" cy="473032"/>
      </dsp:txXfrm>
    </dsp:sp>
    <dsp:sp modelId="{958CC256-004C-48A0-B506-CD8AABF5ECD2}">
      <dsp:nvSpPr>
        <dsp:cNvPr id="0" name=""/>
        <dsp:cNvSpPr/>
      </dsp:nvSpPr>
      <dsp:spPr>
        <a:xfrm rot="5400000">
          <a:off x="-120972" y="1570344"/>
          <a:ext cx="806480" cy="564536"/>
        </a:xfrm>
        <a:prstGeom prst="chevron">
          <a:avLst/>
        </a:prstGeom>
        <a:solidFill>
          <a:schemeClr val="tx2">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3</a:t>
          </a:r>
        </a:p>
      </dsp:txBody>
      <dsp:txXfrm rot="-5400000">
        <a:off x="0" y="1731640"/>
        <a:ext cx="564536" cy="241944"/>
      </dsp:txXfrm>
    </dsp:sp>
    <dsp:sp modelId="{BE73A133-23D8-4EA2-90B6-B6CD858C67CD}">
      <dsp:nvSpPr>
        <dsp:cNvPr id="0" name=""/>
        <dsp:cNvSpPr/>
      </dsp:nvSpPr>
      <dsp:spPr>
        <a:xfrm rot="5400000">
          <a:off x="2763362" y="-749453"/>
          <a:ext cx="524212" cy="4921863"/>
        </a:xfrm>
        <a:prstGeom prst="round2SameRect">
          <a:avLst/>
        </a:prstGeom>
        <a:solidFill>
          <a:schemeClr val="tx2">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Use 'real life' archetypes to cost and benchmark AT products</a:t>
          </a:r>
        </a:p>
      </dsp:txBody>
      <dsp:txXfrm rot="-5400000">
        <a:off x="564537" y="1474962"/>
        <a:ext cx="4896273" cy="473032"/>
      </dsp:txXfrm>
    </dsp:sp>
    <dsp:sp modelId="{3CB36F38-F900-4793-90D8-9E423E79756B}">
      <dsp:nvSpPr>
        <dsp:cNvPr id="0" name=""/>
        <dsp:cNvSpPr/>
      </dsp:nvSpPr>
      <dsp:spPr>
        <a:xfrm rot="5400000">
          <a:off x="-120972" y="2292945"/>
          <a:ext cx="806480" cy="564536"/>
        </a:xfrm>
        <a:prstGeom prst="chevron">
          <a:avLst/>
        </a:prstGeom>
        <a:solidFill>
          <a:schemeClr val="tx2">
            <a:lumMod val="60000"/>
            <a:lumOff val="4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4</a:t>
          </a:r>
        </a:p>
      </dsp:txBody>
      <dsp:txXfrm rot="-5400000">
        <a:off x="0" y="2454241"/>
        <a:ext cx="564536" cy="241944"/>
      </dsp:txXfrm>
    </dsp:sp>
    <dsp:sp modelId="{267246EA-DBB4-48F9-A38A-0727F45399F0}">
      <dsp:nvSpPr>
        <dsp:cNvPr id="0" name=""/>
        <dsp:cNvSpPr/>
      </dsp:nvSpPr>
      <dsp:spPr>
        <a:xfrm rot="5400000">
          <a:off x="2763362" y="-26852"/>
          <a:ext cx="524212" cy="4921863"/>
        </a:xfrm>
        <a:prstGeom prst="round2SameRect">
          <a:avLst/>
        </a:prstGeom>
        <a:solidFill>
          <a:schemeClr val="tx2">
            <a:lumMod val="60000"/>
            <a:lumOff val="4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Cost AT for total population</a:t>
          </a:r>
        </a:p>
      </dsp:txBody>
      <dsp:txXfrm rot="-5400000">
        <a:off x="564537" y="2197563"/>
        <a:ext cx="4896273" cy="473032"/>
      </dsp:txXfrm>
    </dsp:sp>
    <dsp:sp modelId="{117BA573-AE28-482B-9C48-8C338E077012}">
      <dsp:nvSpPr>
        <dsp:cNvPr id="0" name=""/>
        <dsp:cNvSpPr/>
      </dsp:nvSpPr>
      <dsp:spPr>
        <a:xfrm rot="5400000">
          <a:off x="-120972" y="3015546"/>
          <a:ext cx="806480" cy="564536"/>
        </a:xfrm>
        <a:prstGeom prst="chevron">
          <a:avLst/>
        </a:prstGeom>
        <a:solidFill>
          <a:schemeClr val="tx2"/>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t>5</a:t>
          </a:r>
        </a:p>
      </dsp:txBody>
      <dsp:txXfrm rot="-5400000">
        <a:off x="0" y="3176842"/>
        <a:ext cx="564536" cy="241944"/>
      </dsp:txXfrm>
    </dsp:sp>
    <dsp:sp modelId="{15047A1F-3438-485D-A304-F6CB2F923D50}">
      <dsp:nvSpPr>
        <dsp:cNvPr id="0" name=""/>
        <dsp:cNvSpPr/>
      </dsp:nvSpPr>
      <dsp:spPr>
        <a:xfrm rot="5400000">
          <a:off x="2763362" y="695748"/>
          <a:ext cx="524212" cy="4921863"/>
        </a:xfrm>
        <a:prstGeom prst="round2SameRect">
          <a:avLst/>
        </a:prstGeom>
        <a:solidFill>
          <a:schemeClr val="tx2"/>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chemeClr val="bg1"/>
              </a:solidFill>
            </a:rPr>
            <a:t>Cost AT products for current home care program </a:t>
          </a:r>
          <a:br>
            <a:rPr lang="en-GB" sz="1400" kern="1200">
              <a:solidFill>
                <a:schemeClr val="bg1"/>
              </a:solidFill>
            </a:rPr>
          </a:br>
          <a:r>
            <a:rPr lang="en-GB" sz="1400" kern="1200">
              <a:solidFill>
                <a:schemeClr val="bg1"/>
              </a:solidFill>
            </a:rPr>
            <a:t>client populations</a:t>
          </a:r>
        </a:p>
      </dsp:txBody>
      <dsp:txXfrm rot="-5400000">
        <a:off x="564537" y="2920163"/>
        <a:ext cx="4896273" cy="473032"/>
      </dsp:txXfrm>
    </dsp:sp>
    <dsp:sp modelId="{DEDB5BF8-C222-4C1D-B65F-2B393C442E09}">
      <dsp:nvSpPr>
        <dsp:cNvPr id="0" name=""/>
        <dsp:cNvSpPr/>
      </dsp:nvSpPr>
      <dsp:spPr>
        <a:xfrm rot="5400000">
          <a:off x="-120972" y="3738147"/>
          <a:ext cx="806480" cy="564536"/>
        </a:xfrm>
        <a:prstGeom prst="chevron">
          <a:avLst/>
        </a:prstGeom>
        <a:solidFill>
          <a:schemeClr val="tx2">
            <a:lumMod val="75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t>6</a:t>
          </a:r>
        </a:p>
      </dsp:txBody>
      <dsp:txXfrm rot="-5400000">
        <a:off x="0" y="3899443"/>
        <a:ext cx="564536" cy="241944"/>
      </dsp:txXfrm>
    </dsp:sp>
    <dsp:sp modelId="{0928501A-3FC0-400A-9761-10883666110C}">
      <dsp:nvSpPr>
        <dsp:cNvPr id="0" name=""/>
        <dsp:cNvSpPr/>
      </dsp:nvSpPr>
      <dsp:spPr>
        <a:xfrm rot="5400000">
          <a:off x="2763362" y="1418349"/>
          <a:ext cx="524212" cy="4921863"/>
        </a:xfrm>
        <a:prstGeom prst="round2SameRect">
          <a:avLst/>
        </a:prstGeom>
        <a:solidFill>
          <a:schemeClr val="tx2">
            <a:lumMod val="75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chemeClr val="bg1"/>
              </a:solidFill>
            </a:rPr>
            <a:t>Cost AT products and services for future program options</a:t>
          </a:r>
        </a:p>
      </dsp:txBody>
      <dsp:txXfrm rot="-5400000">
        <a:off x="564537" y="3642764"/>
        <a:ext cx="4896273" cy="473032"/>
      </dsp:txXfrm>
    </dsp:sp>
    <dsp:sp modelId="{39607A47-2DCB-42E3-BD60-7CD9DA5621F0}">
      <dsp:nvSpPr>
        <dsp:cNvPr id="0" name=""/>
        <dsp:cNvSpPr/>
      </dsp:nvSpPr>
      <dsp:spPr>
        <a:xfrm rot="5400000">
          <a:off x="-120972" y="4460748"/>
          <a:ext cx="806480" cy="564536"/>
        </a:xfrm>
        <a:prstGeom prst="chevron">
          <a:avLst/>
        </a:prstGeom>
        <a:solidFill>
          <a:schemeClr val="tx2">
            <a:lumMod val="5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t>7</a:t>
          </a:r>
        </a:p>
      </dsp:txBody>
      <dsp:txXfrm rot="-5400000">
        <a:off x="0" y="4622044"/>
        <a:ext cx="564536" cy="241944"/>
      </dsp:txXfrm>
    </dsp:sp>
    <dsp:sp modelId="{B4252394-48CD-41B5-8841-B1BC2A82A189}">
      <dsp:nvSpPr>
        <dsp:cNvPr id="0" name=""/>
        <dsp:cNvSpPr/>
      </dsp:nvSpPr>
      <dsp:spPr>
        <a:xfrm rot="5400000">
          <a:off x="2763362" y="2140951"/>
          <a:ext cx="524212" cy="4921863"/>
        </a:xfrm>
        <a:prstGeom prst="round2SameRect">
          <a:avLst/>
        </a:prstGeom>
        <a:solidFill>
          <a:schemeClr val="tx2">
            <a:lumMod val="5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chemeClr val="bg1"/>
              </a:solidFill>
            </a:rPr>
            <a:t>Establish the benefits of AT for future program options</a:t>
          </a:r>
        </a:p>
      </dsp:txBody>
      <dsp:txXfrm rot="-5400000">
        <a:off x="564537" y="4365366"/>
        <a:ext cx="4896273" cy="4730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B8A9A2-E613-44EC-BFB7-7914B71A4CC3}">
      <dsp:nvSpPr>
        <dsp:cNvPr id="0" name=""/>
        <dsp:cNvSpPr/>
      </dsp:nvSpPr>
      <dsp:spPr>
        <a:xfrm rot="5400000">
          <a:off x="3906460" y="-1639077"/>
          <a:ext cx="510278" cy="3916800"/>
        </a:xfrm>
        <a:prstGeom prst="round2SameRect">
          <a:avLst/>
        </a:prstGeom>
        <a:solidFill>
          <a:srgbClr val="E3F4FF">
            <a:alpha val="30196"/>
          </a:srgbClr>
        </a:solidFill>
        <a:ln w="25400" cap="flat" cmpd="sng" algn="ctr">
          <a:solidFill>
            <a:schemeClr val="tx2">
              <a:lumMod val="20000"/>
              <a:lumOff val="8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First contact with the service delivery system</a:t>
          </a:r>
        </a:p>
      </dsp:txBody>
      <dsp:txXfrm rot="-5400000">
        <a:off x="2203199" y="89094"/>
        <a:ext cx="3891890" cy="460458"/>
      </dsp:txXfrm>
    </dsp:sp>
    <dsp:sp modelId="{D9A0EB22-1E49-4D15-8EE5-0B23840EFBF4}">
      <dsp:nvSpPr>
        <dsp:cNvPr id="0" name=""/>
        <dsp:cNvSpPr/>
      </dsp:nvSpPr>
      <dsp:spPr>
        <a:xfrm>
          <a:off x="0" y="397"/>
          <a:ext cx="2203200" cy="637848"/>
        </a:xfrm>
        <a:prstGeom prst="round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solidFill>
                <a:sysClr val="windowText" lastClr="000000"/>
              </a:solidFill>
            </a:rPr>
            <a:t>1. Initiate</a:t>
          </a:r>
        </a:p>
      </dsp:txBody>
      <dsp:txXfrm>
        <a:off x="31137" y="31534"/>
        <a:ext cx="2140926" cy="575574"/>
      </dsp:txXfrm>
    </dsp:sp>
    <dsp:sp modelId="{E9A40621-462D-404A-917D-4313DAD1B9C9}">
      <dsp:nvSpPr>
        <dsp:cNvPr id="0" name=""/>
        <dsp:cNvSpPr/>
      </dsp:nvSpPr>
      <dsp:spPr>
        <a:xfrm rot="5400000">
          <a:off x="3906460" y="-969336"/>
          <a:ext cx="510278" cy="3916800"/>
        </a:xfrm>
        <a:prstGeom prst="round2SameRect">
          <a:avLst/>
        </a:prstGeom>
        <a:solidFill>
          <a:schemeClr val="accent1">
            <a:alpha val="2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Evaluation of needs</a:t>
          </a:r>
        </a:p>
      </dsp:txBody>
      <dsp:txXfrm rot="-5400000">
        <a:off x="2203199" y="758835"/>
        <a:ext cx="3891890" cy="460458"/>
      </dsp:txXfrm>
    </dsp:sp>
    <dsp:sp modelId="{873303CE-1B9A-4C97-A3F7-564108F8D836}">
      <dsp:nvSpPr>
        <dsp:cNvPr id="0" name=""/>
        <dsp:cNvSpPr/>
      </dsp:nvSpPr>
      <dsp:spPr>
        <a:xfrm>
          <a:off x="0" y="670138"/>
          <a:ext cx="2203200" cy="637848"/>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solidFill>
                <a:sysClr val="windowText" lastClr="000000"/>
              </a:solidFill>
            </a:rPr>
            <a:t>2. Assessment</a:t>
          </a:r>
        </a:p>
      </dsp:txBody>
      <dsp:txXfrm>
        <a:off x="31137" y="701275"/>
        <a:ext cx="2140926" cy="575574"/>
      </dsp:txXfrm>
    </dsp:sp>
    <dsp:sp modelId="{40961B82-BE5E-4460-B4DB-53804D00ABE6}">
      <dsp:nvSpPr>
        <dsp:cNvPr id="0" name=""/>
        <dsp:cNvSpPr/>
      </dsp:nvSpPr>
      <dsp:spPr>
        <a:xfrm rot="5400000">
          <a:off x="3906460" y="-299595"/>
          <a:ext cx="510278" cy="3916800"/>
        </a:xfrm>
        <a:prstGeom prst="round2SameRect">
          <a:avLst/>
        </a:prstGeom>
        <a:solidFill>
          <a:srgbClr val="15A6FF">
            <a:alpha val="20000"/>
          </a:srgb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Defining the individual AT programme</a:t>
          </a:r>
        </a:p>
      </dsp:txBody>
      <dsp:txXfrm rot="-5400000">
        <a:off x="2203199" y="1428576"/>
        <a:ext cx="3891890" cy="460458"/>
      </dsp:txXfrm>
    </dsp:sp>
    <dsp:sp modelId="{9E2197B6-D389-4E06-BB41-087159D6C5DE}">
      <dsp:nvSpPr>
        <dsp:cNvPr id="0" name=""/>
        <dsp:cNvSpPr/>
      </dsp:nvSpPr>
      <dsp:spPr>
        <a:xfrm>
          <a:off x="0" y="1339879"/>
          <a:ext cx="2203200" cy="637848"/>
        </a:xfrm>
        <a:prstGeom prst="roundRect">
          <a:avLst/>
        </a:prstGeom>
        <a:solidFill>
          <a:srgbClr val="15A6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solidFill>
                <a:sysClr val="windowText" lastClr="000000"/>
              </a:solidFill>
            </a:rPr>
            <a:t>3. Selection of assistive solution(s)</a:t>
          </a:r>
        </a:p>
      </dsp:txBody>
      <dsp:txXfrm>
        <a:off x="31137" y="1371016"/>
        <a:ext cx="2140926" cy="575574"/>
      </dsp:txXfrm>
    </dsp:sp>
    <dsp:sp modelId="{D38DAAEA-73D7-43A8-99DF-FD54ADA7E860}">
      <dsp:nvSpPr>
        <dsp:cNvPr id="0" name=""/>
        <dsp:cNvSpPr/>
      </dsp:nvSpPr>
      <dsp:spPr>
        <a:xfrm rot="5400000">
          <a:off x="3906460" y="370144"/>
          <a:ext cx="510278" cy="3916800"/>
        </a:xfrm>
        <a:prstGeom prst="round2SameRect">
          <a:avLst/>
        </a:prstGeom>
        <a:solidFill>
          <a:srgbClr val="0079C1">
            <a:alpha val="20000"/>
          </a:srgb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Choosing the specific equipment within the AT programme</a:t>
          </a:r>
        </a:p>
      </dsp:txBody>
      <dsp:txXfrm rot="-5400000">
        <a:off x="2203199" y="2098315"/>
        <a:ext cx="3891890" cy="460458"/>
      </dsp:txXfrm>
    </dsp:sp>
    <dsp:sp modelId="{94911A3A-F165-45F2-8CE7-E2B6607189E3}">
      <dsp:nvSpPr>
        <dsp:cNvPr id="0" name=""/>
        <dsp:cNvSpPr/>
      </dsp:nvSpPr>
      <dsp:spPr>
        <a:xfrm>
          <a:off x="0" y="2009620"/>
          <a:ext cx="2203200" cy="637848"/>
        </a:xfrm>
        <a:prstGeom prst="roundRect">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t>4. Selection of the equipment</a:t>
          </a:r>
        </a:p>
      </dsp:txBody>
      <dsp:txXfrm>
        <a:off x="31137" y="2040757"/>
        <a:ext cx="2140926" cy="575574"/>
      </dsp:txXfrm>
    </dsp:sp>
    <dsp:sp modelId="{42766D51-7A93-45A8-9A88-AA40966937F9}">
      <dsp:nvSpPr>
        <dsp:cNvPr id="0" name=""/>
        <dsp:cNvSpPr/>
      </dsp:nvSpPr>
      <dsp:spPr>
        <a:xfrm rot="5400000">
          <a:off x="3906460" y="1039885"/>
          <a:ext cx="510278" cy="3916800"/>
        </a:xfrm>
        <a:prstGeom prst="round2SameRect">
          <a:avLst/>
        </a:prstGeom>
        <a:solidFill>
          <a:srgbClr val="005B91">
            <a:alpha val="20000"/>
          </a:srgbClr>
        </a:solidFill>
        <a:ln w="25400" cap="flat" cmpd="sng" algn="ctr">
          <a:solidFill>
            <a:schemeClr val="tx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Obtaining funding</a:t>
          </a:r>
        </a:p>
      </dsp:txBody>
      <dsp:txXfrm rot="-5400000">
        <a:off x="2203199" y="2768056"/>
        <a:ext cx="3891890" cy="460458"/>
      </dsp:txXfrm>
    </dsp:sp>
    <dsp:sp modelId="{528C564E-6698-4F5E-A296-06461072D59A}">
      <dsp:nvSpPr>
        <dsp:cNvPr id="0" name=""/>
        <dsp:cNvSpPr/>
      </dsp:nvSpPr>
      <dsp:spPr>
        <a:xfrm>
          <a:off x="0" y="2679361"/>
          <a:ext cx="2203200" cy="637848"/>
        </a:xfrm>
        <a:prstGeom prst="roundRect">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t>5. Authorisation</a:t>
          </a:r>
        </a:p>
      </dsp:txBody>
      <dsp:txXfrm>
        <a:off x="31137" y="2710498"/>
        <a:ext cx="2140926" cy="575574"/>
      </dsp:txXfrm>
    </dsp:sp>
    <dsp:sp modelId="{FC2EB326-1606-40B7-8FE0-173D134BBB9F}">
      <dsp:nvSpPr>
        <dsp:cNvPr id="0" name=""/>
        <dsp:cNvSpPr/>
      </dsp:nvSpPr>
      <dsp:spPr>
        <a:xfrm rot="5400000">
          <a:off x="3906460" y="1709626"/>
          <a:ext cx="510278" cy="3916800"/>
        </a:xfrm>
        <a:prstGeom prst="round2SameRect">
          <a:avLst/>
        </a:prstGeom>
        <a:solidFill>
          <a:srgbClr val="606164">
            <a:alpha val="20000"/>
          </a:srgbClr>
        </a:solidFill>
        <a:ln w="25400"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Delivering the equipment to the user, fitting and training</a:t>
          </a:r>
        </a:p>
      </dsp:txBody>
      <dsp:txXfrm rot="-5400000">
        <a:off x="2203199" y="3437797"/>
        <a:ext cx="3891890" cy="460458"/>
      </dsp:txXfrm>
    </dsp:sp>
    <dsp:sp modelId="{0E351D2A-3BCF-4F79-8F3F-35903A42FC81}">
      <dsp:nvSpPr>
        <dsp:cNvPr id="0" name=""/>
        <dsp:cNvSpPr/>
      </dsp:nvSpPr>
      <dsp:spPr>
        <a:xfrm>
          <a:off x="0" y="3349102"/>
          <a:ext cx="2203200" cy="637848"/>
        </a:xfrm>
        <a:prstGeom prst="roundRect">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t>6. Implementation</a:t>
          </a:r>
        </a:p>
      </dsp:txBody>
      <dsp:txXfrm>
        <a:off x="31137" y="3380239"/>
        <a:ext cx="2140926" cy="575574"/>
      </dsp:txXfrm>
    </dsp:sp>
    <dsp:sp modelId="{810FFBAF-0E21-4918-A3D2-F885D92EEE34}">
      <dsp:nvSpPr>
        <dsp:cNvPr id="0" name=""/>
        <dsp:cNvSpPr/>
      </dsp:nvSpPr>
      <dsp:spPr>
        <a:xfrm rot="5400000">
          <a:off x="3906460" y="2379367"/>
          <a:ext cx="510278" cy="3916800"/>
        </a:xfrm>
        <a:prstGeom prst="round2SameRect">
          <a:avLst/>
        </a:prstGeom>
        <a:solidFill>
          <a:srgbClr val="404143">
            <a:alpha val="20000"/>
          </a:srgbClr>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n-GB" sz="1400" kern="1200"/>
            <a:t>Maintenance and periodic verification</a:t>
          </a:r>
        </a:p>
      </dsp:txBody>
      <dsp:txXfrm rot="-5400000">
        <a:off x="2203199" y="4107538"/>
        <a:ext cx="3891890" cy="460458"/>
      </dsp:txXfrm>
    </dsp:sp>
    <dsp:sp modelId="{D4FA6528-B558-4F3C-9DBF-382279592BF7}">
      <dsp:nvSpPr>
        <dsp:cNvPr id="0" name=""/>
        <dsp:cNvSpPr/>
      </dsp:nvSpPr>
      <dsp:spPr>
        <a:xfrm>
          <a:off x="0" y="4018843"/>
          <a:ext cx="2203200" cy="637848"/>
        </a:xfrm>
        <a:prstGeom prst="round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l" defTabSz="711200">
            <a:lnSpc>
              <a:spcPct val="90000"/>
            </a:lnSpc>
            <a:spcBef>
              <a:spcPct val="0"/>
            </a:spcBef>
            <a:spcAft>
              <a:spcPct val="35000"/>
            </a:spcAft>
          </a:pPr>
          <a:r>
            <a:rPr lang="en-GB" sz="1600" b="1" kern="1200"/>
            <a:t>7. Management and follow-up</a:t>
          </a:r>
        </a:p>
      </dsp:txBody>
      <dsp:txXfrm>
        <a:off x="31137" y="4049980"/>
        <a:ext cx="2140926" cy="5755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D4D32-7CFF-45C5-A530-BCAC3250620A}">
      <dsp:nvSpPr>
        <dsp:cNvPr id="0" name=""/>
        <dsp:cNvSpPr/>
      </dsp:nvSpPr>
      <dsp:spPr>
        <a:xfrm rot="5400000">
          <a:off x="-120972" y="125141"/>
          <a:ext cx="806480" cy="564536"/>
        </a:xfrm>
        <a:prstGeom prst="chevron">
          <a:avLst/>
        </a:prstGeom>
        <a:solidFill>
          <a:schemeClr val="accent1">
            <a:lumMod val="20000"/>
            <a:lumOff val="8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1</a:t>
          </a:r>
        </a:p>
      </dsp:txBody>
      <dsp:txXfrm rot="-5400000">
        <a:off x="0" y="286437"/>
        <a:ext cx="564536" cy="241944"/>
      </dsp:txXfrm>
    </dsp:sp>
    <dsp:sp modelId="{1D26A6B6-A679-4DD1-B0D1-7121D0223DE9}">
      <dsp:nvSpPr>
        <dsp:cNvPr id="0" name=""/>
        <dsp:cNvSpPr/>
      </dsp:nvSpPr>
      <dsp:spPr>
        <a:xfrm rot="5400000">
          <a:off x="2763224" y="-2194518"/>
          <a:ext cx="524488" cy="4921863"/>
        </a:xfrm>
        <a:prstGeom prst="round2SameRect">
          <a:avLst/>
        </a:prstGeom>
        <a:solidFill>
          <a:schemeClr val="accent1">
            <a:lumMod val="20000"/>
            <a:lumOff val="8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Establish and distribute the prevalence of older Australians </a:t>
          </a:r>
          <a:br>
            <a:rPr lang="en-GB" sz="1400" kern="1200"/>
          </a:br>
          <a:r>
            <a:rPr lang="en-GB" sz="1400" kern="1200"/>
            <a:t>living and home and experiencing functional decline</a:t>
          </a:r>
        </a:p>
      </dsp:txBody>
      <dsp:txXfrm rot="-5400000">
        <a:off x="564537" y="29772"/>
        <a:ext cx="4896260" cy="473282"/>
      </dsp:txXfrm>
    </dsp:sp>
    <dsp:sp modelId="{197E8E6E-0510-4115-AFAF-99219802914F}">
      <dsp:nvSpPr>
        <dsp:cNvPr id="0" name=""/>
        <dsp:cNvSpPr/>
      </dsp:nvSpPr>
      <dsp:spPr>
        <a:xfrm rot="5400000">
          <a:off x="-120972" y="847742"/>
          <a:ext cx="806480" cy="564536"/>
        </a:xfrm>
        <a:prstGeom prst="chevron">
          <a:avLst/>
        </a:prstGeom>
        <a:solidFill>
          <a:schemeClr val="accent1">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2</a:t>
          </a:r>
        </a:p>
      </dsp:txBody>
      <dsp:txXfrm rot="-5400000">
        <a:off x="0" y="1009038"/>
        <a:ext cx="564536" cy="241944"/>
      </dsp:txXfrm>
    </dsp:sp>
    <dsp:sp modelId="{ECA259CF-503C-4222-900C-4A6085F827DC}">
      <dsp:nvSpPr>
        <dsp:cNvPr id="0" name=""/>
        <dsp:cNvSpPr/>
      </dsp:nvSpPr>
      <dsp:spPr>
        <a:xfrm rot="5400000">
          <a:off x="2763362" y="-1472054"/>
          <a:ext cx="524212" cy="4921863"/>
        </a:xfrm>
        <a:prstGeom prst="round2SameRect">
          <a:avLst/>
        </a:prstGeom>
        <a:solidFill>
          <a:schemeClr val="accent1">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Cost AT products for each of the 4 impairment categories </a:t>
          </a:r>
          <a:br>
            <a:rPr lang="en-GB" sz="1400" kern="1200"/>
          </a:br>
          <a:r>
            <a:rPr lang="en-GB" sz="1400" kern="1200"/>
            <a:t>over a 1-year and 5-year time horizon</a:t>
          </a:r>
        </a:p>
      </dsp:txBody>
      <dsp:txXfrm rot="-5400000">
        <a:off x="564537" y="752361"/>
        <a:ext cx="4896273" cy="473032"/>
      </dsp:txXfrm>
    </dsp:sp>
    <dsp:sp modelId="{958CC256-004C-48A0-B506-CD8AABF5ECD2}">
      <dsp:nvSpPr>
        <dsp:cNvPr id="0" name=""/>
        <dsp:cNvSpPr/>
      </dsp:nvSpPr>
      <dsp:spPr>
        <a:xfrm rot="5400000">
          <a:off x="-120972" y="1570344"/>
          <a:ext cx="806480" cy="564536"/>
        </a:xfrm>
        <a:prstGeom prst="chevron">
          <a:avLst/>
        </a:prstGeom>
        <a:solidFill>
          <a:schemeClr val="tx2">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3</a:t>
          </a:r>
        </a:p>
      </dsp:txBody>
      <dsp:txXfrm rot="-5400000">
        <a:off x="0" y="1731640"/>
        <a:ext cx="564536" cy="241944"/>
      </dsp:txXfrm>
    </dsp:sp>
    <dsp:sp modelId="{BE73A133-23D8-4EA2-90B6-B6CD858C67CD}">
      <dsp:nvSpPr>
        <dsp:cNvPr id="0" name=""/>
        <dsp:cNvSpPr/>
      </dsp:nvSpPr>
      <dsp:spPr>
        <a:xfrm rot="5400000">
          <a:off x="2763362" y="-749453"/>
          <a:ext cx="524212" cy="4921863"/>
        </a:xfrm>
        <a:prstGeom prst="round2SameRect">
          <a:avLst/>
        </a:prstGeom>
        <a:solidFill>
          <a:schemeClr val="tx2">
            <a:lumMod val="40000"/>
            <a:lumOff val="6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Use 'real life' archetypes to cost and benchmark AT products</a:t>
          </a:r>
        </a:p>
      </dsp:txBody>
      <dsp:txXfrm rot="-5400000">
        <a:off x="564537" y="1474962"/>
        <a:ext cx="4896273" cy="473032"/>
      </dsp:txXfrm>
    </dsp:sp>
    <dsp:sp modelId="{3CB36F38-F900-4793-90D8-9E423E79756B}">
      <dsp:nvSpPr>
        <dsp:cNvPr id="0" name=""/>
        <dsp:cNvSpPr/>
      </dsp:nvSpPr>
      <dsp:spPr>
        <a:xfrm rot="5400000">
          <a:off x="-120972" y="2292945"/>
          <a:ext cx="806480" cy="564536"/>
        </a:xfrm>
        <a:prstGeom prst="chevron">
          <a:avLst/>
        </a:prstGeom>
        <a:solidFill>
          <a:schemeClr val="tx2">
            <a:lumMod val="60000"/>
            <a:lumOff val="4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solidFill>
                <a:sysClr val="windowText" lastClr="000000"/>
              </a:solidFill>
            </a:rPr>
            <a:t>4</a:t>
          </a:r>
        </a:p>
      </dsp:txBody>
      <dsp:txXfrm rot="-5400000">
        <a:off x="0" y="2454241"/>
        <a:ext cx="564536" cy="241944"/>
      </dsp:txXfrm>
    </dsp:sp>
    <dsp:sp modelId="{267246EA-DBB4-48F9-A38A-0727F45399F0}">
      <dsp:nvSpPr>
        <dsp:cNvPr id="0" name=""/>
        <dsp:cNvSpPr/>
      </dsp:nvSpPr>
      <dsp:spPr>
        <a:xfrm rot="5400000">
          <a:off x="2763362" y="-26852"/>
          <a:ext cx="524212" cy="4921863"/>
        </a:xfrm>
        <a:prstGeom prst="round2SameRect">
          <a:avLst/>
        </a:prstGeom>
        <a:solidFill>
          <a:schemeClr val="tx2">
            <a:lumMod val="60000"/>
            <a:lumOff val="40000"/>
          </a:schemeClr>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Cost AT for total population</a:t>
          </a:r>
        </a:p>
      </dsp:txBody>
      <dsp:txXfrm rot="-5400000">
        <a:off x="564537" y="2197563"/>
        <a:ext cx="4896273" cy="473032"/>
      </dsp:txXfrm>
    </dsp:sp>
    <dsp:sp modelId="{117BA573-AE28-482B-9C48-8C338E077012}">
      <dsp:nvSpPr>
        <dsp:cNvPr id="0" name=""/>
        <dsp:cNvSpPr/>
      </dsp:nvSpPr>
      <dsp:spPr>
        <a:xfrm rot="5400000">
          <a:off x="-120972" y="3015546"/>
          <a:ext cx="806480" cy="564536"/>
        </a:xfrm>
        <a:prstGeom prst="chevron">
          <a:avLst/>
        </a:prstGeom>
        <a:solidFill>
          <a:schemeClr val="tx2"/>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t>5</a:t>
          </a:r>
        </a:p>
      </dsp:txBody>
      <dsp:txXfrm rot="-5400000">
        <a:off x="0" y="3176842"/>
        <a:ext cx="564536" cy="241944"/>
      </dsp:txXfrm>
    </dsp:sp>
    <dsp:sp modelId="{15047A1F-3438-485D-A304-F6CB2F923D50}">
      <dsp:nvSpPr>
        <dsp:cNvPr id="0" name=""/>
        <dsp:cNvSpPr/>
      </dsp:nvSpPr>
      <dsp:spPr>
        <a:xfrm rot="5400000">
          <a:off x="2763362" y="695748"/>
          <a:ext cx="524212" cy="4921863"/>
        </a:xfrm>
        <a:prstGeom prst="round2SameRect">
          <a:avLst/>
        </a:prstGeom>
        <a:solidFill>
          <a:schemeClr val="tx2"/>
        </a:solidFill>
        <a:ln w="5715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chemeClr val="bg1"/>
              </a:solidFill>
            </a:rPr>
            <a:t>Cost AT products for current home care program </a:t>
          </a:r>
          <a:br>
            <a:rPr lang="en-GB" sz="1400" kern="1200">
              <a:solidFill>
                <a:schemeClr val="bg1"/>
              </a:solidFill>
            </a:rPr>
          </a:br>
          <a:r>
            <a:rPr lang="en-GB" sz="1400" kern="1200">
              <a:solidFill>
                <a:schemeClr val="bg1"/>
              </a:solidFill>
            </a:rPr>
            <a:t>client populations</a:t>
          </a:r>
        </a:p>
      </dsp:txBody>
      <dsp:txXfrm rot="-5400000">
        <a:off x="564537" y="2920163"/>
        <a:ext cx="4896273" cy="473032"/>
      </dsp:txXfrm>
    </dsp:sp>
    <dsp:sp modelId="{DEDB5BF8-C222-4C1D-B65F-2B393C442E09}">
      <dsp:nvSpPr>
        <dsp:cNvPr id="0" name=""/>
        <dsp:cNvSpPr/>
      </dsp:nvSpPr>
      <dsp:spPr>
        <a:xfrm rot="5400000">
          <a:off x="-120972" y="3738147"/>
          <a:ext cx="806480" cy="564536"/>
        </a:xfrm>
        <a:prstGeom prst="chevron">
          <a:avLst/>
        </a:prstGeom>
        <a:solidFill>
          <a:schemeClr val="tx2">
            <a:lumMod val="75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t>6</a:t>
          </a:r>
        </a:p>
      </dsp:txBody>
      <dsp:txXfrm rot="-5400000">
        <a:off x="0" y="3899443"/>
        <a:ext cx="564536" cy="241944"/>
      </dsp:txXfrm>
    </dsp:sp>
    <dsp:sp modelId="{0928501A-3FC0-400A-9761-10883666110C}">
      <dsp:nvSpPr>
        <dsp:cNvPr id="0" name=""/>
        <dsp:cNvSpPr/>
      </dsp:nvSpPr>
      <dsp:spPr>
        <a:xfrm rot="5400000">
          <a:off x="2763362" y="1418349"/>
          <a:ext cx="524212" cy="4921863"/>
        </a:xfrm>
        <a:prstGeom prst="round2SameRect">
          <a:avLst/>
        </a:prstGeom>
        <a:solidFill>
          <a:schemeClr val="tx2">
            <a:lumMod val="75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chemeClr val="bg1"/>
              </a:solidFill>
            </a:rPr>
            <a:t>Cost AT products and services for future program options</a:t>
          </a:r>
        </a:p>
      </dsp:txBody>
      <dsp:txXfrm rot="-5400000">
        <a:off x="564537" y="3642764"/>
        <a:ext cx="4896273" cy="473032"/>
      </dsp:txXfrm>
    </dsp:sp>
    <dsp:sp modelId="{39607A47-2DCB-42E3-BD60-7CD9DA5621F0}">
      <dsp:nvSpPr>
        <dsp:cNvPr id="0" name=""/>
        <dsp:cNvSpPr/>
      </dsp:nvSpPr>
      <dsp:spPr>
        <a:xfrm rot="5400000">
          <a:off x="-120972" y="4460748"/>
          <a:ext cx="806480" cy="564536"/>
        </a:xfrm>
        <a:prstGeom prst="chevron">
          <a:avLst/>
        </a:prstGeom>
        <a:solidFill>
          <a:schemeClr val="tx2">
            <a:lumMod val="50000"/>
          </a:schemeClr>
        </a:solidFill>
        <a:ln w="5715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80000" rIns="0" bIns="0" numCol="1" spcCol="1270" anchor="ctr" anchorCtr="0">
          <a:noAutofit/>
        </a:bodyPr>
        <a:lstStyle/>
        <a:p>
          <a:pPr lvl="0" algn="ctr" defTabSz="1066800">
            <a:lnSpc>
              <a:spcPct val="90000"/>
            </a:lnSpc>
            <a:spcBef>
              <a:spcPct val="0"/>
            </a:spcBef>
            <a:spcAft>
              <a:spcPct val="35000"/>
            </a:spcAft>
          </a:pPr>
          <a:r>
            <a:rPr lang="en-GB" sz="2400" b="1" kern="1200"/>
            <a:t>7</a:t>
          </a:r>
        </a:p>
      </dsp:txBody>
      <dsp:txXfrm rot="-5400000">
        <a:off x="0" y="4622044"/>
        <a:ext cx="564536" cy="241944"/>
      </dsp:txXfrm>
    </dsp:sp>
    <dsp:sp modelId="{B4252394-48CD-41B5-8841-B1BC2A82A189}">
      <dsp:nvSpPr>
        <dsp:cNvPr id="0" name=""/>
        <dsp:cNvSpPr/>
      </dsp:nvSpPr>
      <dsp:spPr>
        <a:xfrm rot="5400000">
          <a:off x="2763362" y="2140951"/>
          <a:ext cx="524212" cy="4921863"/>
        </a:xfrm>
        <a:prstGeom prst="round2SameRect">
          <a:avLst/>
        </a:prstGeom>
        <a:solidFill>
          <a:schemeClr val="tx2">
            <a:lumMod val="5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chemeClr val="bg1"/>
              </a:solidFill>
            </a:rPr>
            <a:t>Establish the benefits of AT for future program options</a:t>
          </a:r>
        </a:p>
      </dsp:txBody>
      <dsp:txXfrm rot="-5400000">
        <a:off x="564537" y="4365366"/>
        <a:ext cx="4896273" cy="4730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9B6FD-D272-453C-A79B-8D3E0DBA1B1F}">
      <dsp:nvSpPr>
        <dsp:cNvPr id="0" name=""/>
        <dsp:cNvSpPr/>
      </dsp:nvSpPr>
      <dsp:spPr>
        <a:xfrm>
          <a:off x="945644" y="0"/>
          <a:ext cx="2473925" cy="2474302"/>
        </a:xfrm>
        <a:prstGeom prst="circularArrow">
          <a:avLst>
            <a:gd name="adj1" fmla="val 10980"/>
            <a:gd name="adj2" fmla="val 1142322"/>
            <a:gd name="adj3" fmla="val 4500000"/>
            <a:gd name="adj4" fmla="val 10800000"/>
            <a:gd name="adj5" fmla="val 12500"/>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587019-FF05-4EA5-BD44-D8646EB72863}">
      <dsp:nvSpPr>
        <dsp:cNvPr id="0" name=""/>
        <dsp:cNvSpPr/>
      </dsp:nvSpPr>
      <dsp:spPr>
        <a:xfrm>
          <a:off x="3420034" y="737562"/>
          <a:ext cx="1484355" cy="9899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Individual opinion without influence</a:t>
          </a:r>
        </a:p>
      </dsp:txBody>
      <dsp:txXfrm>
        <a:off x="3420034" y="737562"/>
        <a:ext cx="1484355" cy="989926"/>
      </dsp:txXfrm>
    </dsp:sp>
    <dsp:sp modelId="{B7FDCD61-276C-439A-9CA4-62FC16651ED9}">
      <dsp:nvSpPr>
        <dsp:cNvPr id="0" name=""/>
        <dsp:cNvSpPr/>
      </dsp:nvSpPr>
      <dsp:spPr>
        <a:xfrm>
          <a:off x="1492463" y="893298"/>
          <a:ext cx="1374712" cy="6871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b="1" kern="1200"/>
            <a:t>Iteration 1: </a:t>
          </a:r>
          <a:br>
            <a:rPr lang="en-AU" sz="1400" b="1" kern="1200"/>
          </a:br>
          <a:r>
            <a:rPr lang="en-AU" sz="1400" b="1" kern="1200"/>
            <a:t>5 May 2020</a:t>
          </a:r>
          <a:br>
            <a:rPr lang="en-AU" sz="1400" b="1" kern="1200"/>
          </a:br>
          <a:r>
            <a:rPr lang="en-AU" sz="1200" kern="1200"/>
            <a:t>Pre-survey (n=9)</a:t>
          </a:r>
          <a:endParaRPr lang="en-AU" sz="1400" kern="1200"/>
        </a:p>
      </dsp:txBody>
      <dsp:txXfrm>
        <a:off x="1492463" y="893298"/>
        <a:ext cx="1374712" cy="687191"/>
      </dsp:txXfrm>
    </dsp:sp>
    <dsp:sp modelId="{EE4FC2F2-331B-4DB7-8707-EEFDC6B41E1F}">
      <dsp:nvSpPr>
        <dsp:cNvPr id="0" name=""/>
        <dsp:cNvSpPr/>
      </dsp:nvSpPr>
      <dsp:spPr>
        <a:xfrm>
          <a:off x="258520" y="1421670"/>
          <a:ext cx="2473925" cy="2474302"/>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377BCA-C5A6-415C-A183-B73E2FFFD2FD}">
      <dsp:nvSpPr>
        <dsp:cNvPr id="0" name=""/>
        <dsp:cNvSpPr/>
      </dsp:nvSpPr>
      <dsp:spPr>
        <a:xfrm>
          <a:off x="2624414" y="2167455"/>
          <a:ext cx="1700418" cy="9899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Group opinion with feedback from the RER and the pre-survey</a:t>
          </a:r>
        </a:p>
      </dsp:txBody>
      <dsp:txXfrm>
        <a:off x="2624414" y="2167455"/>
        <a:ext cx="1700418" cy="989926"/>
      </dsp:txXfrm>
    </dsp:sp>
    <dsp:sp modelId="{EACC0BD0-DBC1-48A5-8883-4EB7AED88AA5}">
      <dsp:nvSpPr>
        <dsp:cNvPr id="0" name=""/>
        <dsp:cNvSpPr/>
      </dsp:nvSpPr>
      <dsp:spPr>
        <a:xfrm>
          <a:off x="808126" y="2323191"/>
          <a:ext cx="1374712" cy="6871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b="1" kern="1200"/>
            <a:t>Iteration 2: </a:t>
          </a:r>
          <a:br>
            <a:rPr lang="en-AU" sz="1400" b="1" kern="1200"/>
          </a:br>
          <a:r>
            <a:rPr lang="en-AU" sz="1400" b="1" kern="1200"/>
            <a:t>6 May 2020</a:t>
          </a:r>
          <a:br>
            <a:rPr lang="en-AU" sz="1400" b="1" kern="1200"/>
          </a:br>
          <a:r>
            <a:rPr lang="en-AU" sz="1200" kern="1200"/>
            <a:t>Focus Group (n=9)</a:t>
          </a:r>
          <a:endParaRPr lang="en-AU" sz="1400" kern="1200"/>
        </a:p>
      </dsp:txBody>
      <dsp:txXfrm>
        <a:off x="808126" y="2323191"/>
        <a:ext cx="1374712" cy="687191"/>
      </dsp:txXfrm>
    </dsp:sp>
    <dsp:sp modelId="{1D01B482-E54B-4F96-951B-B85B55AECD89}">
      <dsp:nvSpPr>
        <dsp:cNvPr id="0" name=""/>
        <dsp:cNvSpPr/>
      </dsp:nvSpPr>
      <dsp:spPr>
        <a:xfrm>
          <a:off x="1121723" y="3013467"/>
          <a:ext cx="2125485" cy="2126337"/>
        </a:xfrm>
        <a:prstGeom prst="blockArc">
          <a:avLst>
            <a:gd name="adj1" fmla="val 13500000"/>
            <a:gd name="adj2" fmla="val 10800000"/>
            <a:gd name="adj3" fmla="val 1274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2AB7C6-9EC4-4144-B9FF-3B3B492E9887}">
      <dsp:nvSpPr>
        <dsp:cNvPr id="0" name=""/>
        <dsp:cNvSpPr/>
      </dsp:nvSpPr>
      <dsp:spPr>
        <a:xfrm>
          <a:off x="3354990" y="3596835"/>
          <a:ext cx="1614444" cy="9899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Individual opinion with influence from the previous two iterations</a:t>
          </a:r>
        </a:p>
      </dsp:txBody>
      <dsp:txXfrm>
        <a:off x="3354990" y="3596835"/>
        <a:ext cx="1614444" cy="989926"/>
      </dsp:txXfrm>
    </dsp:sp>
    <dsp:sp modelId="{DB202BFD-8C03-4B2D-AE4C-2C99593B2E01}">
      <dsp:nvSpPr>
        <dsp:cNvPr id="0" name=""/>
        <dsp:cNvSpPr/>
      </dsp:nvSpPr>
      <dsp:spPr>
        <a:xfrm>
          <a:off x="1495715" y="3755141"/>
          <a:ext cx="1374712" cy="6871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AU" sz="1500" b="1" kern="1200"/>
            <a:t>Iteration 3: </a:t>
          </a:r>
          <a:br>
            <a:rPr lang="en-AU" sz="1500" b="1" kern="1200"/>
          </a:br>
          <a:r>
            <a:rPr lang="en-AU" sz="1500" b="1" kern="1200"/>
            <a:t>7 May 2020</a:t>
          </a:r>
          <a:br>
            <a:rPr lang="en-AU" sz="1500" b="1" kern="1200"/>
          </a:br>
          <a:r>
            <a:rPr lang="en-AU" sz="1200" kern="1200"/>
            <a:t>Post-survey (n=9)</a:t>
          </a:r>
          <a:endParaRPr lang="en-AU" sz="1500" kern="1200"/>
        </a:p>
      </dsp:txBody>
      <dsp:txXfrm>
        <a:off x="1495715" y="3755141"/>
        <a:ext cx="1374712" cy="6871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9A08DB04FB460F8B5F484CFE83E8AD"/>
        <w:category>
          <w:name w:val="General"/>
          <w:gallery w:val="placeholder"/>
        </w:category>
        <w:types>
          <w:type w:val="bbPlcHdr"/>
        </w:types>
        <w:behaviors>
          <w:behavior w:val="content"/>
        </w:behaviors>
        <w:guid w:val="{08638130-41E0-4B7F-B3DD-909A3A92F973}"/>
      </w:docPartPr>
      <w:docPartBody>
        <w:p w:rsidR="004B323C" w:rsidRDefault="00D30DC7" w:rsidP="00D30DC7">
          <w:pPr>
            <w:pStyle w:val="289A08DB04FB460F8B5F484CFE83E8AD"/>
          </w:pPr>
          <w:r w:rsidRPr="00062175">
            <w:rPr>
              <w:rStyle w:val="PlaceholderText"/>
            </w:rPr>
            <w:t>Click or tap here to enter text.</w:t>
          </w:r>
        </w:p>
      </w:docPartBody>
    </w:docPart>
    <w:docPart>
      <w:docPartPr>
        <w:name w:val="0C551C9AA14F404595B93B01D78A6DF4"/>
        <w:category>
          <w:name w:val="General"/>
          <w:gallery w:val="placeholder"/>
        </w:category>
        <w:types>
          <w:type w:val="bbPlcHdr"/>
        </w:types>
        <w:behaviors>
          <w:behavior w:val="content"/>
        </w:behaviors>
        <w:guid w:val="{490D6DF2-42BF-4526-A716-F405E4BA8BA8}"/>
      </w:docPartPr>
      <w:docPartBody>
        <w:p w:rsidR="00A26989" w:rsidRDefault="00456C8D" w:rsidP="00456C8D">
          <w:pPr>
            <w:pStyle w:val="0C551C9AA14F404595B93B01D78A6DF4"/>
          </w:pPr>
          <w:r w:rsidRPr="000621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Calibri"/>
    <w:charset w:val="00"/>
    <w:family w:val="auto"/>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AB7"/>
    <w:rsid w:val="00010970"/>
    <w:rsid w:val="000273A3"/>
    <w:rsid w:val="000752EF"/>
    <w:rsid w:val="001815D0"/>
    <w:rsid w:val="001867FC"/>
    <w:rsid w:val="001E3FD7"/>
    <w:rsid w:val="002427F3"/>
    <w:rsid w:val="00266492"/>
    <w:rsid w:val="00330C90"/>
    <w:rsid w:val="00331821"/>
    <w:rsid w:val="00345AD9"/>
    <w:rsid w:val="003C34D5"/>
    <w:rsid w:val="003D5C97"/>
    <w:rsid w:val="00407CE4"/>
    <w:rsid w:val="004177EC"/>
    <w:rsid w:val="00423906"/>
    <w:rsid w:val="00442009"/>
    <w:rsid w:val="004509CB"/>
    <w:rsid w:val="00456C8D"/>
    <w:rsid w:val="004A1F20"/>
    <w:rsid w:val="004B323C"/>
    <w:rsid w:val="005263D2"/>
    <w:rsid w:val="00544B92"/>
    <w:rsid w:val="0055678A"/>
    <w:rsid w:val="005F7771"/>
    <w:rsid w:val="00677040"/>
    <w:rsid w:val="00702ABA"/>
    <w:rsid w:val="00704994"/>
    <w:rsid w:val="007233AA"/>
    <w:rsid w:val="00753F78"/>
    <w:rsid w:val="00777B52"/>
    <w:rsid w:val="00781964"/>
    <w:rsid w:val="007F6AA5"/>
    <w:rsid w:val="00833AB7"/>
    <w:rsid w:val="00841DD8"/>
    <w:rsid w:val="00855A41"/>
    <w:rsid w:val="008845AA"/>
    <w:rsid w:val="008C5448"/>
    <w:rsid w:val="008D1A41"/>
    <w:rsid w:val="00907407"/>
    <w:rsid w:val="009506DC"/>
    <w:rsid w:val="009B268C"/>
    <w:rsid w:val="009B35DE"/>
    <w:rsid w:val="009C7974"/>
    <w:rsid w:val="00A26989"/>
    <w:rsid w:val="00A4247A"/>
    <w:rsid w:val="00A514D2"/>
    <w:rsid w:val="00A61B9D"/>
    <w:rsid w:val="00A75B59"/>
    <w:rsid w:val="00AC26A9"/>
    <w:rsid w:val="00AF4DF9"/>
    <w:rsid w:val="00B638C1"/>
    <w:rsid w:val="00B6608C"/>
    <w:rsid w:val="00BA6753"/>
    <w:rsid w:val="00BC3F7A"/>
    <w:rsid w:val="00C36CF7"/>
    <w:rsid w:val="00C50BBC"/>
    <w:rsid w:val="00C60084"/>
    <w:rsid w:val="00C75899"/>
    <w:rsid w:val="00CF0ACA"/>
    <w:rsid w:val="00D30DC7"/>
    <w:rsid w:val="00D51CA6"/>
    <w:rsid w:val="00D64686"/>
    <w:rsid w:val="00D65ACC"/>
    <w:rsid w:val="00DA2D2F"/>
    <w:rsid w:val="00DB40AA"/>
    <w:rsid w:val="00E719AA"/>
    <w:rsid w:val="00EB3729"/>
    <w:rsid w:val="00EF432C"/>
    <w:rsid w:val="00F03CF3"/>
    <w:rsid w:val="00F55E3C"/>
    <w:rsid w:val="00F77683"/>
    <w:rsid w:val="00F82852"/>
    <w:rsid w:val="00FB2866"/>
    <w:rsid w:val="00FC76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6EEEDC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432C"/>
    <w:rPr>
      <w:color w:val="808080"/>
    </w:rPr>
  </w:style>
  <w:style w:type="paragraph" w:customStyle="1" w:styleId="289A08DB04FB460F8B5F484CFE83E8AD">
    <w:name w:val="289A08DB04FB460F8B5F484CFE83E8AD"/>
    <w:rsid w:val="00D30DC7"/>
  </w:style>
  <w:style w:type="paragraph" w:customStyle="1" w:styleId="0C551C9AA14F404595B93B01D78A6DF4">
    <w:name w:val="0C551C9AA14F404595B93B01D78A6DF4"/>
    <w:rsid w:val="00456C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AAFFBA7-D51C-7946-9CDB-EE7F8AC76F9A}">
  <we:reference id="wa104380773" version="1.0.0.2" store="en-US" storeType="OMEX"/>
  <we:alternateReferences>
    <we:reference id="wa104380773" version="1.0.0.2"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BA18781-BAFE-402C-8E61-E5FD042ECFC5}">
  <we:reference id="wa104382081" version="1.7.0.0" store="en-001" storeType="OMEX"/>
  <we:alternateReferences>
    <we:reference id="wa104382081" version="1.7.0.0" store="en-001" storeType="OMEX"/>
  </we:alternateReferences>
  <we:properties>
    <we:property name="MENDELEY_CITATIONS" value="[{&quot;citationID&quot;:&quot;MENDELEY_CITATION_bb7ea592-88a9-49fd-8e73-2a8e5a08fab3&quot;,&quot;citationItems&quot;:[{&quot;id&quot;:&quot;3d8342a4-42fe-36a7-83e5-c70a1b71bac4&quot;,&quot;itemData&quot;:{&quot;type&quot;:&quot;webpage&quot;,&quot;id&quot;:&quot;3d8342a4-42fe-36a7-83e5-c70a1b71bac4&quot;,&quot;title&quot;:&quot;Classifications&quot;,&quot;author&quot;:[{&quot;family&quot;:&quot;World Health Organization&quot;,&quot;given&quot;:&quot;&quot;,&quot;parse-names&quot;:false,&quot;dropping-particle&quot;:&quot;&quot;,&quot;non-dropping-particle&quot;:&quot;&quot;}],&quot;accessed&quot;:{&quot;date-parts&quot;:[[2020,3,3]]},&quot;URL&quot;:&quot;https://www.who.int/classifications/en/&quot;,&quot;issued&quot;:{&quot;date-parts&quot;:[[2020]]}},&quot;isTemporary&quot;:false}],&quot;properties&quot;:{&quot;noteIndex&quot;:0},&quot;isEdited&quot;:false},{&quot;citationID&quot;:&quot;MENDELEY_CITATION_e4ec4d6f-ec0d-49bc-8a10-8fe83ed56493&quot;,&quot;citationItems&quot;:[{&quot;id&quot;:&quot;75f6ec72-b8a3-3ace-add5-c83870289bdf&quot;,&quot;itemData&quot;:{&quot;type&quot;:&quot;article-journal&quot;,&quot;id&quot;:&quot;75f6ec72-b8a3-3ace-add5-c83870289bdf&quot;,&quot;title&quot;:&quot;Consolidated health economic evaluation reporting standards (CHEERS)—explanation and elaboration: a report of the ISPOR health economic evaluation publication guidelines good reporting practices task force&quot;,&quot;author&quot;:[{&quot;family&quot;:&quot;Husereau&quot;,&quot;given&quot;:&quot;D&quot;,&quot;parse-names&quot;:false,&quot;dropping-particle&quot;:&quot;&quot;,&quot;non-dropping-particle&quot;:&quot;&quot;},{&quot;family&quot;:&quot;Drummond&quot;,&quot;given&quot;:&quot;M&quot;,&quot;parse-names&quot;:false,&quot;dropping-particle&quot;:&quot;&quot;,&quot;non-dropping-particle&quot;:&quot;&quot;},{&quot;family&quot;:&quot;Petrou&quot;,&quot;given&quot;:&quot;S&quot;,&quot;parse-names&quot;:false,&quot;dropping-particle&quot;:&quot;&quot;,&quot;non-dropping-particle&quot;:&quot;&quot;},{&quot;family&quot;:&quot;Carswell&quot;,&quot;given&quot;:&quot;C&quot;,&quot;parse-names&quot;:false,&quot;dropping-particle&quot;:&quot;&quot;,&quot;non-dropping-particle&quot;:&quot;&quot;},{&quot;family&quot;:&quot;Moher&quot;,&quot;given&quot;:&quot;D&quot;,&quot;parse-names&quot;:false,&quot;dropping-particle&quot;:&quot;&quot;,&quot;non-dropping-particle&quot;:&quot;&quot;},{&quot;family&quot;:&quot;Greenberg&quot;,&quot;given&quot;:&quot;D&quot;,&quot;parse-names&quot;:false,&quot;dropping-particle&quot;:&quot;&quot;,&quot;non-dropping-particle&quot;:&quot;&quot;},{&quot;family&quot;:&quot;Augustovski&quot;,&quot;given&quot;:&quot;F&quot;,&quot;parse-names&quot;:false,&quot;dropping-particle&quot;:&quot;&quot;,&quot;non-dropping-particle&quot;:&quot;&quot;},{&quot;family&quot;:&quot;Briggs&quot;,&quot;given&quot;:&quot;A&quot;,&quot;parse-names&quot;:false,&quot;dropping-particle&quot;:&quot;&quot;,&quot;non-dropping-particle&quot;:&quot;&quot;},{&quot;family&quot;:&quot;Mauskopf&quot;,&quot;given&quot;:&quot;J&quot;,&quot;parse-names&quot;:false,&quot;dropping-particle&quot;:&quot;&quot;,&quot;non-dropping-particle&quot;:&quot;&quot;},{&quot;family&quot;:&quot;Loder&quot;,&quot;given&quot;:&quot;E&quot;,&quot;parse-names&quot;:false,&quot;dropping-particle&quot;:&quot;&quot;,&quot;non-dropping-particle&quot;:&quot;&quot;}],&quot;container-title&quot;:&quot;Value in Health&quot;,&quot;issued&quot;:{&quot;date-parts&quot;:[[2013]]},&quot;page&quot;:&quot;231-250&quot;,&quot;volume&quot;:&quot;16&quot;},&quot;isTemporary&quot;:false}],&quot;properties&quot;:{&quot;noteIndex&quot;:0},&quot;isEdited&quot;:false},{&quot;citationID&quot;:&quot;MENDELEY_CITATION_173c8c1f-1d28-4ee6-b68a-6d749085df9e&quot;,&quot;citationItems&quot;:[{&quot;id&quot;:&quot;ce98d2e5-acc9-3e9f-81a3-d0a634e51a80&quot;,&quot;itemData&quot;:{&quot;type&quot;:&quot;webpage&quot;,&quot;id&quot;:&quot;ce98d2e5-acc9-3e9f-81a3-d0a634e51a80&quot;,&quot;title&quot;:&quot;Consumer Price Index, Australia, Dec 2019&quot;,&quot;author&quot;:[{&quot;family&quot;:&quot;Australian Bureau of Statistics&quot;,&quot;given&quot;:&quot;&quot;,&quot;parse-names&quot;:false,&quot;dropping-particle&quot;:&quot;&quot;,&quot;non-dropping-particle&quot;:&quot;&quot;}],&quot;accessed&quot;:{&quot;date-parts&quot;:[[2020,3,3]]},&quot;URL&quot;:&quot;https://www.abs.gov.au/ausstats/abs@.nsf/mf/6401.0&quot;,&quot;issued&quot;:{&quot;date-parts&quot;:[[2020]]}},&quot;isTemporary&quot;:false}],&quot;properties&quot;:{&quot;noteIndex&quot;:0},&quot;isEdited&quot;:fals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7" ma:contentTypeDescription="Create a new document." ma:contentTypeScope="" ma:versionID="9a70c4042eab9fe2609596600324660b">
  <xsd:schema xmlns:xsd="http://www.w3.org/2001/XMLSchema" xmlns:xs="http://www.w3.org/2001/XMLSchema" xmlns:p="http://schemas.microsoft.com/office/2006/metadata/properties" xmlns:ns2="4ea194d9-95e5-4b7a-b43c-f518b4def09e" targetNamespace="http://schemas.microsoft.com/office/2006/metadata/properties" ma:root="true" ma:fieldsID="058400598d52b69a35f96fbbff321944" ns2:_="">
    <xsd:import namespace="4ea194d9-95e5-4b7a-b43c-f518b4def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6D3C82A-D427-4FEB-B165-873BDF4FF920}">
  <ds:schemaRefs>
    <ds:schemaRef ds:uri="4ea194d9-95e5-4b7a-b43c-f518b4def09e"/>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CA6BC8D5-1C7E-414F-A12F-CFF11E696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FC9821-375D-400E-8B08-074BBC5F38A8}">
  <ds:schemaRefs>
    <ds:schemaRef ds:uri="http://schemas.microsoft.com/sharepoint/v3/contenttype/forms"/>
  </ds:schemaRefs>
</ds:datastoreItem>
</file>

<file path=customXml/itemProps4.xml><?xml version="1.0" encoding="utf-8"?>
<ds:datastoreItem xmlns:ds="http://schemas.openxmlformats.org/officeDocument/2006/customXml" ds:itemID="{27B727E3-DA8D-4942-9B30-71B25825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144</Pages>
  <Words>71328</Words>
  <Characters>406574</Characters>
  <Application>Microsoft Office Word</Application>
  <DocSecurity>0</DocSecurity>
  <Lines>3388</Lines>
  <Paragraphs>953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Greer Edsall</dc:creator>
  <cp:keywords/>
  <dc:description/>
  <cp:lastModifiedBy>ZERVOS, Nicholle</cp:lastModifiedBy>
  <cp:revision>12</cp:revision>
  <cp:lastPrinted>2021-01-09T01:23:00Z</cp:lastPrinted>
  <dcterms:created xsi:type="dcterms:W3CDTF">2021-01-11T04:03:00Z</dcterms:created>
  <dcterms:modified xsi:type="dcterms:W3CDTF">2021-01-12T03:23:00Z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http://csl.mendeley.com/styles/445132291/style-manual-australian-government</vt:lpwstr>
  </property>
  <property fmtid="{D5CDD505-2E9C-101B-9397-08002B2CF9AE}" pid="21" name="Mendeley Recent Style Name 9_1">
    <vt:lpwstr>Style Manual - Australian Government (author-date) - Tess Lethborg - AHA Consultant</vt:lpwstr>
  </property>
  <property fmtid="{D5CDD505-2E9C-101B-9397-08002B2CF9AE}" pid="22" name="Mendeley Document_1">
    <vt:lpwstr>True</vt:lpwstr>
  </property>
  <property fmtid="{D5CDD505-2E9C-101B-9397-08002B2CF9AE}" pid="23" name="Mendeley Unique User Id_1">
    <vt:lpwstr>3485e813-56a7-3dfd-8edc-5f775def8bcf</vt:lpwstr>
  </property>
  <property fmtid="{D5CDD505-2E9C-101B-9397-08002B2CF9AE}" pid="24" name="Mendeley Citation Style_1">
    <vt:lpwstr>http://csl.mendeley.com/styles/445132291/style-manual-australian-government</vt:lpwstr>
  </property>
  <property fmtid="{D5CDD505-2E9C-101B-9397-08002B2CF9AE}" pid="25" name="ContentTypeId">
    <vt:lpwstr>0x010100118F1B2147B8E24BB1E1185FC16F92C5</vt:lpwstr>
  </property>
</Properties>
</file>