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ABFA" w14:textId="004F362D" w:rsidR="00247321" w:rsidRPr="00D43B40" w:rsidRDefault="00247321" w:rsidP="00247321"/>
    <w:p w14:paraId="183856C9" w14:textId="50E3ADF2" w:rsidR="00674DCE" w:rsidRPr="00B42789" w:rsidRDefault="00B8014A" w:rsidP="002954E7">
      <w:pPr>
        <w:pStyle w:val="Title2"/>
        <w:rPr>
          <w:color w:val="auto"/>
        </w:rPr>
      </w:pPr>
      <w:r w:rsidRPr="00B42789">
        <w:rPr>
          <w:color w:val="auto"/>
        </w:rPr>
        <w:t>Review of Assistive Technology Programs in Australia</w:t>
      </w:r>
    </w:p>
    <w:p w14:paraId="44662301" w14:textId="74B52D63" w:rsidR="00247321" w:rsidRPr="00B42789" w:rsidRDefault="002C72DC" w:rsidP="00081D82">
      <w:pPr>
        <w:pStyle w:val="Title"/>
        <w:rPr>
          <w:color w:val="auto"/>
        </w:rPr>
      </w:pPr>
      <w:r w:rsidRPr="00B42789">
        <w:rPr>
          <w:color w:val="auto"/>
        </w:rPr>
        <w:t>Final Report</w:t>
      </w:r>
    </w:p>
    <w:p w14:paraId="25D2DCA1" w14:textId="71BF4B27" w:rsidR="002C72DC" w:rsidRPr="00B42789" w:rsidRDefault="002C72DC" w:rsidP="00081D82">
      <w:pPr>
        <w:pStyle w:val="Client"/>
        <w:rPr>
          <w:color w:val="auto"/>
        </w:rPr>
      </w:pPr>
      <w:r w:rsidRPr="00B42789">
        <w:rPr>
          <w:color w:val="auto"/>
        </w:rPr>
        <w:t>for the Australian Government Department of Health</w:t>
      </w:r>
    </w:p>
    <w:p w14:paraId="1D59A9DE" w14:textId="5449B063" w:rsidR="00247321" w:rsidRPr="00B42789" w:rsidRDefault="00247321" w:rsidP="00695176">
      <w:pPr>
        <w:pStyle w:val="Date"/>
        <w:rPr>
          <w:color w:val="auto"/>
        </w:rPr>
      </w:pPr>
      <w:r w:rsidRPr="00B42789">
        <w:rPr>
          <w:color w:val="auto"/>
        </w:rPr>
        <w:t>Australian Healthcare Associates</w:t>
      </w:r>
    </w:p>
    <w:p w14:paraId="768BEBAA" w14:textId="5C026758" w:rsidR="00B52D27" w:rsidRPr="00B42789" w:rsidRDefault="00F20A8C" w:rsidP="00695176">
      <w:pPr>
        <w:pStyle w:val="Date"/>
        <w:rPr>
          <w:color w:val="auto"/>
        </w:rPr>
      </w:pPr>
      <w:r w:rsidRPr="00B42789">
        <w:rPr>
          <w:color w:val="auto"/>
        </w:rPr>
        <w:t>9</w:t>
      </w:r>
      <w:r w:rsidR="00FC0E78" w:rsidRPr="00B42789">
        <w:rPr>
          <w:color w:val="auto"/>
        </w:rPr>
        <w:t> </w:t>
      </w:r>
      <w:r w:rsidRPr="00B42789">
        <w:rPr>
          <w:color w:val="auto"/>
        </w:rPr>
        <w:t>June</w:t>
      </w:r>
      <w:r w:rsidR="00FC0E78" w:rsidRPr="00B42789">
        <w:rPr>
          <w:color w:val="auto"/>
        </w:rPr>
        <w:t> </w:t>
      </w:r>
      <w:r w:rsidR="00B52D27" w:rsidRPr="00B42789">
        <w:rPr>
          <w:color w:val="auto"/>
        </w:rPr>
        <w:t>2020</w:t>
      </w:r>
    </w:p>
    <w:p w14:paraId="70DCBDFC" w14:textId="77777777" w:rsidR="00B52D27" w:rsidRPr="00636B05" w:rsidRDefault="00B52D27" w:rsidP="00081D82">
      <w:pPr>
        <w:pStyle w:val="Date"/>
        <w:sectPr w:rsidR="00B52D27" w:rsidRPr="00636B05" w:rsidSect="00A127F8">
          <w:footerReference w:type="even" r:id="rId11"/>
          <w:footerReference w:type="first" r:id="rId12"/>
          <w:pgSz w:w="11907" w:h="16840" w:code="9"/>
          <w:pgMar w:top="851" w:right="1134" w:bottom="851" w:left="1134" w:header="510" w:footer="567" w:gutter="0"/>
          <w:cols w:space="680"/>
          <w:docGrid w:linePitch="360"/>
        </w:sectPr>
      </w:pPr>
    </w:p>
    <w:p w14:paraId="0C487379" w14:textId="77777777" w:rsidR="00D9090E" w:rsidRDefault="00D9090E" w:rsidP="0074178E"/>
    <w:p w14:paraId="350F0A2B" w14:textId="77777777" w:rsidR="00B346C7" w:rsidRDefault="00B346C7" w:rsidP="00B346C7">
      <w:pPr>
        <w:autoSpaceDE w:val="0"/>
        <w:autoSpaceDN w:val="0"/>
        <w:adjustRightInd w:val="0"/>
        <w:rPr>
          <w:rFonts w:ascii="Times New Roman" w:eastAsia="Calibri" w:hAnsi="Times New Roman"/>
          <w:b/>
          <w:bCs/>
          <w:szCs w:val="22"/>
          <w:lang w:val="en-AU" w:eastAsia="en-AU"/>
        </w:rPr>
      </w:pPr>
      <w:r>
        <w:rPr>
          <w:rFonts w:ascii="Times New Roman" w:eastAsia="Calibri" w:hAnsi="Times New Roman"/>
          <w:b/>
          <w:bCs/>
          <w:szCs w:val="22"/>
          <w:lang w:val="en-AU" w:eastAsia="en-AU"/>
        </w:rPr>
        <w:t>© Commonwealth of Australia as represented by the Australian Government Department of Health 2020</w:t>
      </w:r>
    </w:p>
    <w:p w14:paraId="1D05F6AE" w14:textId="77777777" w:rsidR="00B346C7" w:rsidRDefault="00B346C7" w:rsidP="00B346C7">
      <w:pPr>
        <w:autoSpaceDE w:val="0"/>
        <w:autoSpaceDN w:val="0"/>
        <w:adjustRightInd w:val="0"/>
        <w:rPr>
          <w:rFonts w:ascii="Times New Roman" w:eastAsia="Calibri" w:hAnsi="Times New Roman"/>
          <w:b/>
          <w:bCs/>
          <w:szCs w:val="22"/>
          <w:lang w:val="en-AU" w:eastAsia="en-AU"/>
        </w:rPr>
      </w:pPr>
    </w:p>
    <w:p w14:paraId="08D529A3" w14:textId="77777777" w:rsidR="00B346C7" w:rsidRDefault="00B346C7" w:rsidP="00B346C7">
      <w:pPr>
        <w:autoSpaceDE w:val="0"/>
        <w:autoSpaceDN w:val="0"/>
        <w:adjustRightInd w:val="0"/>
        <w:spacing w:after="160"/>
        <w:rPr>
          <w:rFonts w:ascii="Times New Roman" w:eastAsia="Calibri" w:hAnsi="Times New Roman"/>
          <w:szCs w:val="22"/>
          <w:lang w:val="en-AU" w:eastAsia="en-AU"/>
        </w:rPr>
      </w:pPr>
      <w:r>
        <w:rPr>
          <w:rFonts w:ascii="Times New Roman" w:eastAsia="Calibri" w:hAnsi="Times New Roman"/>
          <w:szCs w:val="22"/>
          <w:lang w:val="en-AU" w:eastAsia="en-AU"/>
        </w:rPr>
        <w:t xml:space="preserve">Apart from uses permitted by the </w:t>
      </w:r>
      <w:r>
        <w:rPr>
          <w:rFonts w:ascii="Times New Roman" w:eastAsia="Calibri" w:hAnsi="Times New Roman"/>
          <w:i/>
          <w:iCs/>
          <w:szCs w:val="22"/>
          <w:lang w:val="en-AU" w:eastAsia="en-AU"/>
        </w:rPr>
        <w:t xml:space="preserve">Copyright Act 1968 </w:t>
      </w:r>
      <w:r>
        <w:rPr>
          <w:rFonts w:ascii="Times New Roman" w:eastAsia="Calibri" w:hAnsi="Times New Roman"/>
          <w:szCs w:val="22"/>
          <w:lang w:val="en-AU" w:eastAsia="en-AU"/>
        </w:rPr>
        <w:t xml:space="preserve">and this copyright notice, all other rights (including all commercial rights) are expressly reserved. </w:t>
      </w:r>
    </w:p>
    <w:p w14:paraId="74AAFD12" w14:textId="77777777" w:rsidR="00B346C7" w:rsidRDefault="00B346C7" w:rsidP="00B346C7">
      <w:pPr>
        <w:autoSpaceDE w:val="0"/>
        <w:autoSpaceDN w:val="0"/>
        <w:adjustRightInd w:val="0"/>
        <w:rPr>
          <w:rFonts w:ascii="Times New Roman" w:eastAsia="Calibri" w:hAnsi="Times New Roman"/>
          <w:szCs w:val="22"/>
          <w:lang w:val="en-AU" w:eastAsia="en-AU"/>
        </w:rPr>
      </w:pPr>
      <w:r>
        <w:rPr>
          <w:rFonts w:ascii="Times New Roman" w:eastAsia="Calibri" w:hAnsi="Times New Roman"/>
          <w:b/>
          <w:bCs/>
          <w:szCs w:val="22"/>
          <w:lang w:val="en-AU" w:eastAsia="en-AU"/>
        </w:rPr>
        <w:t>Permitted Uses</w:t>
      </w:r>
      <w:r>
        <w:rPr>
          <w:rFonts w:ascii="Times New Roman" w:eastAsia="Calibri" w:hAnsi="Times New Roman"/>
          <w:b/>
          <w:bCs/>
          <w:szCs w:val="22"/>
          <w:lang w:val="en-AU" w:eastAsia="en-AU"/>
        </w:rPr>
        <w:br/>
      </w:r>
      <w:r>
        <w:rPr>
          <w:rFonts w:ascii="Times New Roman" w:eastAsia="Calibri" w:hAnsi="Times New Roman"/>
          <w:color w:val="808080"/>
          <w:szCs w:val="22"/>
          <w:lang w:val="en-AU" w:eastAsia="en-AU"/>
        </w:rPr>
        <w:t>You may download, display, print, and reproduce the whole or part of this publication in unaltered form for:</w:t>
      </w:r>
    </w:p>
    <w:p w14:paraId="5EBB97D8" w14:textId="77777777" w:rsidR="00B346C7" w:rsidRDefault="00B346C7" w:rsidP="00B346C7">
      <w:pPr>
        <w:autoSpaceDE w:val="0"/>
        <w:autoSpaceDN w:val="0"/>
        <w:adjustRightInd w:val="0"/>
        <w:rPr>
          <w:rFonts w:ascii="Times New Roman" w:eastAsia="Calibri" w:hAnsi="Times New Roman"/>
          <w:szCs w:val="22"/>
          <w:lang w:val="en-AU" w:eastAsia="en-AU"/>
        </w:rPr>
      </w:pPr>
    </w:p>
    <w:p w14:paraId="5DBD207E" w14:textId="77777777" w:rsidR="00B346C7" w:rsidRDefault="00B346C7" w:rsidP="00B346C7">
      <w:pPr>
        <w:autoSpaceDE w:val="0"/>
        <w:autoSpaceDN w:val="0"/>
        <w:adjustRightInd w:val="0"/>
        <w:ind w:left="720" w:hanging="360"/>
        <w:rPr>
          <w:rFonts w:ascii="Times New Roman" w:eastAsia="Calibri" w:hAnsi="Times New Roman"/>
          <w:szCs w:val="22"/>
          <w:lang w:val="en-AU" w:eastAsia="en-AU"/>
        </w:rPr>
      </w:pPr>
      <w:r>
        <w:rPr>
          <w:rFonts w:ascii="Symbol" w:eastAsia="Calibri" w:hAnsi="Symbol" w:cs="Symbol"/>
          <w:color w:val="808080"/>
          <w:szCs w:val="22"/>
          <w:lang w:val="en-AU" w:eastAsia="en-AU"/>
        </w:rPr>
        <w:t></w:t>
      </w:r>
      <w:r>
        <w:rPr>
          <w:rFonts w:ascii="Arial" w:eastAsia="Calibri" w:hAnsi="Arial" w:cs="Arial"/>
          <w:szCs w:val="22"/>
          <w:lang w:val="en-AU" w:eastAsia="en-AU"/>
        </w:rPr>
        <w:tab/>
      </w:r>
      <w:r>
        <w:rPr>
          <w:rFonts w:ascii="Times New Roman" w:eastAsia="Calibri" w:hAnsi="Times New Roman"/>
          <w:color w:val="808080"/>
          <w:szCs w:val="22"/>
          <w:lang w:val="en-AU" w:eastAsia="en-AU"/>
        </w:rPr>
        <w:t>your own personal use;</w:t>
      </w:r>
    </w:p>
    <w:p w14:paraId="3B94789C" w14:textId="77777777" w:rsidR="00B346C7" w:rsidRDefault="00B346C7" w:rsidP="00B346C7">
      <w:pPr>
        <w:autoSpaceDE w:val="0"/>
        <w:autoSpaceDN w:val="0"/>
        <w:adjustRightInd w:val="0"/>
        <w:ind w:left="720" w:hanging="360"/>
        <w:rPr>
          <w:rFonts w:ascii="Times New Roman" w:eastAsia="Calibri" w:hAnsi="Times New Roman"/>
          <w:szCs w:val="22"/>
          <w:lang w:val="en-AU" w:eastAsia="en-AU"/>
        </w:rPr>
      </w:pPr>
      <w:r>
        <w:rPr>
          <w:rFonts w:ascii="Symbol" w:eastAsia="Calibri" w:hAnsi="Symbol" w:cs="Symbol"/>
          <w:color w:val="808080"/>
          <w:szCs w:val="22"/>
          <w:lang w:val="en-AU" w:eastAsia="en-AU"/>
        </w:rPr>
        <w:t></w:t>
      </w:r>
      <w:r>
        <w:rPr>
          <w:rFonts w:ascii="Arial" w:eastAsia="Calibri" w:hAnsi="Arial" w:cs="Arial"/>
          <w:szCs w:val="22"/>
          <w:lang w:val="en-AU" w:eastAsia="en-AU"/>
        </w:rPr>
        <w:tab/>
      </w:r>
      <w:r>
        <w:rPr>
          <w:rFonts w:ascii="Times New Roman" w:eastAsia="Calibri" w:hAnsi="Times New Roman"/>
          <w:color w:val="808080"/>
          <w:szCs w:val="22"/>
          <w:lang w:val="en-AU" w:eastAsia="en-AU"/>
        </w:rPr>
        <w:t>use within your organisation; or</w:t>
      </w:r>
    </w:p>
    <w:p w14:paraId="49E3D5A8" w14:textId="77777777" w:rsidR="00B346C7" w:rsidRDefault="00B346C7" w:rsidP="00B346C7">
      <w:pPr>
        <w:autoSpaceDE w:val="0"/>
        <w:autoSpaceDN w:val="0"/>
        <w:adjustRightInd w:val="0"/>
        <w:ind w:left="720" w:hanging="360"/>
        <w:rPr>
          <w:rFonts w:ascii="Times New Roman" w:eastAsia="Calibri" w:hAnsi="Times New Roman"/>
          <w:szCs w:val="22"/>
          <w:lang w:val="en-AU" w:eastAsia="en-AU"/>
        </w:rPr>
      </w:pPr>
      <w:r>
        <w:rPr>
          <w:rFonts w:ascii="Symbol" w:eastAsia="Calibri" w:hAnsi="Symbol" w:cs="Symbol"/>
          <w:color w:val="808080"/>
          <w:szCs w:val="22"/>
          <w:lang w:val="en-AU" w:eastAsia="en-AU"/>
        </w:rPr>
        <w:t></w:t>
      </w:r>
      <w:r>
        <w:rPr>
          <w:rFonts w:ascii="Arial" w:eastAsia="Calibri" w:hAnsi="Arial" w:cs="Arial"/>
          <w:szCs w:val="22"/>
          <w:lang w:val="en-AU" w:eastAsia="en-AU"/>
        </w:rPr>
        <w:tab/>
      </w:r>
      <w:r>
        <w:rPr>
          <w:rFonts w:ascii="Times New Roman" w:eastAsia="Calibri" w:hAnsi="Times New Roman"/>
          <w:color w:val="808080"/>
          <w:szCs w:val="22"/>
          <w:lang w:val="en-AU" w:eastAsia="en-AU"/>
        </w:rPr>
        <w:t xml:space="preserve">distribution and sharing with third parties, </w:t>
      </w:r>
    </w:p>
    <w:p w14:paraId="448877D4" w14:textId="77777777" w:rsidR="00B346C7" w:rsidRDefault="00B346C7" w:rsidP="00B346C7">
      <w:pPr>
        <w:autoSpaceDE w:val="0"/>
        <w:autoSpaceDN w:val="0"/>
        <w:adjustRightInd w:val="0"/>
        <w:rPr>
          <w:rFonts w:ascii="Times New Roman" w:eastAsia="Calibri" w:hAnsi="Times New Roman"/>
          <w:szCs w:val="22"/>
          <w:lang w:val="en-AU" w:eastAsia="en-AU"/>
        </w:rPr>
      </w:pPr>
    </w:p>
    <w:p w14:paraId="4269EC23" w14:textId="77777777" w:rsidR="00B346C7" w:rsidRDefault="00B346C7" w:rsidP="00B346C7">
      <w:pPr>
        <w:autoSpaceDE w:val="0"/>
        <w:autoSpaceDN w:val="0"/>
        <w:adjustRightInd w:val="0"/>
        <w:rPr>
          <w:rFonts w:ascii="Times New Roman" w:eastAsia="Calibri" w:hAnsi="Times New Roman"/>
          <w:szCs w:val="22"/>
          <w:lang w:val="en-AU" w:eastAsia="en-AU"/>
        </w:rPr>
      </w:pPr>
      <w:r>
        <w:rPr>
          <w:rFonts w:ascii="Times New Roman" w:eastAsia="Calibri" w:hAnsi="Times New Roman"/>
          <w:color w:val="808080"/>
          <w:szCs w:val="22"/>
          <w:lang w:val="en-AU" w:eastAsia="en-AU"/>
        </w:rPr>
        <w:t>but only if:</w:t>
      </w:r>
    </w:p>
    <w:p w14:paraId="7494D8AC" w14:textId="77777777" w:rsidR="00B346C7" w:rsidRDefault="00B346C7" w:rsidP="00B346C7">
      <w:pPr>
        <w:autoSpaceDE w:val="0"/>
        <w:autoSpaceDN w:val="0"/>
        <w:adjustRightInd w:val="0"/>
        <w:rPr>
          <w:rFonts w:ascii="Times New Roman" w:eastAsia="Calibri" w:hAnsi="Times New Roman"/>
          <w:szCs w:val="22"/>
          <w:lang w:val="en-AU" w:eastAsia="en-AU"/>
        </w:rPr>
      </w:pPr>
    </w:p>
    <w:p w14:paraId="0D493626" w14:textId="77777777" w:rsidR="00B346C7" w:rsidRDefault="00B346C7" w:rsidP="00B346C7">
      <w:pPr>
        <w:autoSpaceDE w:val="0"/>
        <w:autoSpaceDN w:val="0"/>
        <w:adjustRightInd w:val="0"/>
        <w:ind w:left="720" w:hanging="360"/>
        <w:rPr>
          <w:rFonts w:ascii="Times New Roman" w:eastAsia="Calibri" w:hAnsi="Times New Roman"/>
          <w:szCs w:val="22"/>
          <w:lang w:val="en-AU" w:eastAsia="en-AU"/>
        </w:rPr>
      </w:pPr>
      <w:r>
        <w:rPr>
          <w:rFonts w:ascii="Symbol" w:eastAsia="Calibri" w:hAnsi="Symbol" w:cs="Symbol"/>
          <w:color w:val="808080"/>
          <w:szCs w:val="22"/>
          <w:lang w:val="en-AU" w:eastAsia="en-AU"/>
        </w:rPr>
        <w:t></w:t>
      </w:r>
      <w:r>
        <w:rPr>
          <w:rFonts w:ascii="Arial" w:eastAsia="Calibri" w:hAnsi="Arial" w:cs="Arial"/>
          <w:szCs w:val="22"/>
          <w:lang w:val="en-AU" w:eastAsia="en-AU"/>
        </w:rPr>
        <w:tab/>
      </w:r>
      <w:r>
        <w:rPr>
          <w:rFonts w:ascii="Times New Roman" w:eastAsia="Calibri" w:hAnsi="Times New Roman"/>
          <w:color w:val="808080"/>
          <w:szCs w:val="22"/>
          <w:lang w:val="en-AU" w:eastAsia="en-AU"/>
        </w:rPr>
        <w:t>you or your organisation do not use or reproduce the publication for any commercial purpose; and</w:t>
      </w:r>
    </w:p>
    <w:p w14:paraId="4CAF066D" w14:textId="77777777" w:rsidR="00B346C7" w:rsidRDefault="00B346C7" w:rsidP="00B346C7">
      <w:pPr>
        <w:autoSpaceDE w:val="0"/>
        <w:autoSpaceDN w:val="0"/>
        <w:adjustRightInd w:val="0"/>
        <w:ind w:left="720" w:hanging="360"/>
        <w:rPr>
          <w:rFonts w:ascii="Times New Roman" w:eastAsia="Calibri" w:hAnsi="Times New Roman"/>
          <w:szCs w:val="22"/>
          <w:lang w:val="en-AU" w:eastAsia="en-AU"/>
        </w:rPr>
      </w:pPr>
      <w:r>
        <w:rPr>
          <w:rFonts w:ascii="Symbol" w:eastAsia="Calibri" w:hAnsi="Symbol" w:cs="Symbol"/>
          <w:color w:val="808080"/>
          <w:szCs w:val="22"/>
          <w:lang w:val="en-AU" w:eastAsia="en-AU"/>
        </w:rPr>
        <w:t></w:t>
      </w:r>
      <w:r>
        <w:rPr>
          <w:rFonts w:ascii="Arial" w:eastAsia="Calibri" w:hAnsi="Arial" w:cs="Arial"/>
          <w:szCs w:val="22"/>
          <w:lang w:val="en-AU" w:eastAsia="en-AU"/>
        </w:rPr>
        <w:tab/>
      </w:r>
      <w:r>
        <w:rPr>
          <w:rFonts w:ascii="Times New Roman" w:eastAsia="Calibri" w:hAnsi="Times New Roman"/>
          <w:color w:val="808080"/>
          <w:szCs w:val="22"/>
          <w:lang w:val="en-AU" w:eastAsia="en-AU"/>
        </w:rPr>
        <w:t>if reproduced, this copyright notice and all disclaimer notices are included as part of any reproduction.</w:t>
      </w:r>
    </w:p>
    <w:p w14:paraId="71966D65" w14:textId="77777777" w:rsidR="00B346C7" w:rsidRDefault="00B346C7" w:rsidP="00B346C7">
      <w:pPr>
        <w:autoSpaceDE w:val="0"/>
        <w:autoSpaceDN w:val="0"/>
        <w:adjustRightInd w:val="0"/>
        <w:rPr>
          <w:rFonts w:ascii="Times New Roman" w:eastAsia="Calibri" w:hAnsi="Times New Roman"/>
          <w:szCs w:val="22"/>
          <w:lang w:val="en-AU" w:eastAsia="en-AU"/>
        </w:rPr>
      </w:pPr>
    </w:p>
    <w:p w14:paraId="32EFA7D0" w14:textId="77777777" w:rsidR="00B346C7" w:rsidRDefault="00B346C7" w:rsidP="00B346C7">
      <w:pPr>
        <w:autoSpaceDE w:val="0"/>
        <w:autoSpaceDN w:val="0"/>
        <w:adjustRightInd w:val="0"/>
        <w:spacing w:after="160"/>
        <w:rPr>
          <w:rFonts w:ascii="Times New Roman" w:eastAsia="Calibri" w:hAnsi="Times New Roman"/>
          <w:szCs w:val="22"/>
          <w:lang w:val="en-AU" w:eastAsia="en-AU"/>
        </w:rPr>
      </w:pPr>
      <w:r>
        <w:rPr>
          <w:rFonts w:ascii="Times New Roman" w:eastAsia="Calibri" w:hAnsi="Times New Roman"/>
          <w:szCs w:val="22"/>
          <w:lang w:val="en-AU" w:eastAsia="en-AU"/>
        </w:rPr>
        <w:t>This licence does not cover, and there is no permission given for, use of the Commonwealth Coat of Arms or any logos and trademarks (including the logo of the Department of Health).</w:t>
      </w:r>
    </w:p>
    <w:p w14:paraId="2F05B499" w14:textId="77777777" w:rsidR="00B346C7" w:rsidRDefault="00B346C7" w:rsidP="00B346C7">
      <w:pPr>
        <w:autoSpaceDE w:val="0"/>
        <w:autoSpaceDN w:val="0"/>
        <w:adjustRightInd w:val="0"/>
        <w:rPr>
          <w:rFonts w:ascii="Times New Roman" w:eastAsia="Calibri" w:hAnsi="Times New Roman"/>
          <w:b/>
          <w:bCs/>
          <w:szCs w:val="22"/>
          <w:lang w:val="en-AU" w:eastAsia="en-AU"/>
        </w:rPr>
      </w:pPr>
      <w:r>
        <w:rPr>
          <w:rFonts w:ascii="Times New Roman" w:eastAsia="Calibri" w:hAnsi="Times New Roman"/>
          <w:b/>
          <w:bCs/>
          <w:szCs w:val="22"/>
          <w:lang w:val="en-AU" w:eastAsia="en-AU"/>
        </w:rPr>
        <w:t>Disclaimer</w:t>
      </w:r>
    </w:p>
    <w:p w14:paraId="08EE29DA" w14:textId="77777777" w:rsidR="00B346C7" w:rsidRDefault="00B346C7" w:rsidP="00B346C7">
      <w:pPr>
        <w:autoSpaceDE w:val="0"/>
        <w:autoSpaceDN w:val="0"/>
        <w:adjustRightInd w:val="0"/>
        <w:spacing w:after="160"/>
        <w:rPr>
          <w:rFonts w:ascii="Times New Roman" w:eastAsia="Calibri" w:hAnsi="Times New Roman"/>
          <w:szCs w:val="22"/>
          <w:lang w:val="en-AU" w:eastAsia="en-AU"/>
        </w:rPr>
      </w:pPr>
      <w:r>
        <w:rPr>
          <w:rFonts w:ascii="Times New Roman" w:eastAsia="Calibri" w:hAnsi="Times New Roman"/>
          <w:szCs w:val="22"/>
          <w:lang w:val="en-AU" w:eastAsia="en-AU"/>
        </w:rPr>
        <w:t xml:space="preserve">This publication has been produced independently by Australian Healthcare Associates on the request of the Department of Health. </w:t>
      </w:r>
    </w:p>
    <w:p w14:paraId="33C842A0" w14:textId="77777777" w:rsidR="00B346C7" w:rsidRDefault="00B346C7" w:rsidP="00B346C7">
      <w:pPr>
        <w:autoSpaceDE w:val="0"/>
        <w:autoSpaceDN w:val="0"/>
        <w:adjustRightInd w:val="0"/>
        <w:spacing w:after="160"/>
        <w:rPr>
          <w:rFonts w:ascii="Times New Roman" w:eastAsia="Calibri" w:hAnsi="Times New Roman"/>
          <w:szCs w:val="22"/>
          <w:lang w:val="en-AU" w:eastAsia="en-AU"/>
        </w:rPr>
      </w:pPr>
      <w:r>
        <w:rPr>
          <w:rFonts w:ascii="Times New Roman" w:eastAsia="Calibri" w:hAnsi="Times New Roman"/>
          <w:szCs w:val="22"/>
          <w:lang w:val="en-AU" w:eastAsia="en-AU"/>
        </w:rPr>
        <w:t>The Australian Government accepts no responsibility for material contained in the publication. The views or recommendations expressed in this publication may include the views or recommendations of third parties and do not necessarily reflect those of the Australian Government or indicate a commitment to a particular course of action.</w:t>
      </w:r>
    </w:p>
    <w:p w14:paraId="24B0B0F8" w14:textId="77777777" w:rsidR="00B346C7" w:rsidRDefault="00B346C7" w:rsidP="00B346C7">
      <w:pPr>
        <w:autoSpaceDE w:val="0"/>
        <w:autoSpaceDN w:val="0"/>
        <w:adjustRightInd w:val="0"/>
        <w:spacing w:after="160"/>
        <w:rPr>
          <w:rFonts w:ascii="Times New Roman" w:eastAsia="Calibri" w:hAnsi="Times New Roman"/>
          <w:szCs w:val="22"/>
          <w:lang w:val="en-AU" w:eastAsia="en-AU"/>
        </w:rPr>
      </w:pPr>
      <w:r>
        <w:rPr>
          <w:rFonts w:ascii="Times New Roman" w:eastAsia="Calibri" w:hAnsi="Times New Roman"/>
          <w:szCs w:val="22"/>
          <w:lang w:val="en-AU" w:eastAsia="en-AU"/>
        </w:rPr>
        <w:t xml:space="preserve">Providing access to the publication does not constitute an endorsement, approval or recommendation by the Australian Government of any organisation, association, entity, service, program, products or research offered by virtue of any information, material or content within the publication.  </w:t>
      </w:r>
    </w:p>
    <w:p w14:paraId="2981E074" w14:textId="77777777" w:rsidR="00B346C7" w:rsidRDefault="00B346C7" w:rsidP="00B346C7">
      <w:pPr>
        <w:autoSpaceDE w:val="0"/>
        <w:autoSpaceDN w:val="0"/>
        <w:adjustRightInd w:val="0"/>
        <w:spacing w:after="160"/>
        <w:rPr>
          <w:rFonts w:ascii="Times New Roman" w:eastAsia="Calibri" w:hAnsi="Times New Roman"/>
          <w:szCs w:val="22"/>
          <w:lang w:val="en-AU" w:eastAsia="en-AU"/>
        </w:rPr>
      </w:pPr>
      <w:r>
        <w:rPr>
          <w:rFonts w:ascii="Times New Roman" w:eastAsia="Calibri" w:hAnsi="Times New Roman"/>
          <w:szCs w:val="22"/>
          <w:lang w:val="en-AU" w:eastAsia="en-AU"/>
        </w:rPr>
        <w:t xml:space="preserve">The information in this publication is provided on the basis that all persons accessing it undertake responsibility for assessing the relevance and accuracy of its content. </w:t>
      </w:r>
    </w:p>
    <w:p w14:paraId="7BE0F160" w14:textId="77777777" w:rsidR="00D9090E" w:rsidRDefault="00D9090E" w:rsidP="0074178E">
      <w:pPr>
        <w:sectPr w:rsidR="00D9090E" w:rsidSect="00A127F8">
          <w:headerReference w:type="default" r:id="rId13"/>
          <w:footerReference w:type="default" r:id="rId14"/>
          <w:footerReference w:type="first" r:id="rId15"/>
          <w:pgSz w:w="11907" w:h="16840" w:code="9"/>
          <w:pgMar w:top="851" w:right="1134" w:bottom="851" w:left="1134" w:header="510" w:footer="567" w:gutter="0"/>
          <w:pgNumType w:fmt="lowerRoman" w:start="1"/>
          <w:cols w:space="680"/>
          <w:titlePg/>
          <w:docGrid w:linePitch="360"/>
        </w:sectPr>
      </w:pPr>
    </w:p>
    <w:p w14:paraId="1AED33EF" w14:textId="77777777" w:rsidR="00A90168" w:rsidRDefault="00B52D27" w:rsidP="00FE6E3C">
      <w:pPr>
        <w:pStyle w:val="TOCHeading"/>
        <w:rPr>
          <w:noProof/>
        </w:rPr>
      </w:pPr>
      <w:r w:rsidRPr="00636B05">
        <w:lastRenderedPageBreak/>
        <w:t>Contents</w:t>
      </w:r>
      <w:r w:rsidRPr="00636B05">
        <w:rPr>
          <w:sz w:val="22"/>
          <w:lang w:val="en-AU"/>
        </w:rPr>
        <w:fldChar w:fldCharType="begin"/>
      </w:r>
      <w:r w:rsidRPr="00636B05">
        <w:instrText xml:space="preserve"> TOC \t "Heading 1,1,Heading 2,2,Heading 5,1" </w:instrText>
      </w:r>
      <w:r w:rsidRPr="00636B05">
        <w:rPr>
          <w:sz w:val="22"/>
          <w:lang w:val="en-AU"/>
        </w:rPr>
        <w:fldChar w:fldCharType="separate"/>
      </w:r>
    </w:p>
    <w:p w14:paraId="7601105A" w14:textId="0878ED71" w:rsidR="00A90168" w:rsidRDefault="00A90168">
      <w:pPr>
        <w:pStyle w:val="TOC1"/>
        <w:rPr>
          <w:rFonts w:eastAsiaTheme="minorEastAsia" w:cstheme="minorBidi"/>
          <w:b w:val="0"/>
          <w:color w:val="auto"/>
          <w:szCs w:val="22"/>
          <w:lang w:val="en-GB" w:eastAsia="en-GB"/>
        </w:rPr>
      </w:pPr>
      <w:r>
        <w:t>1</w:t>
      </w:r>
      <w:r>
        <w:rPr>
          <w:rFonts w:eastAsiaTheme="minorEastAsia" w:cstheme="minorBidi"/>
          <w:b w:val="0"/>
          <w:color w:val="auto"/>
          <w:szCs w:val="22"/>
          <w:lang w:val="en-GB" w:eastAsia="en-GB"/>
        </w:rPr>
        <w:tab/>
      </w:r>
      <w:r>
        <w:t>Executive summary</w:t>
      </w:r>
      <w:r>
        <w:tab/>
      </w:r>
      <w:r>
        <w:fldChar w:fldCharType="begin"/>
      </w:r>
      <w:r>
        <w:instrText xml:space="preserve"> PAGEREF _Toc59402363 \h </w:instrText>
      </w:r>
      <w:r>
        <w:fldChar w:fldCharType="separate"/>
      </w:r>
      <w:r w:rsidR="00CC3F04">
        <w:t>1</w:t>
      </w:r>
      <w:r>
        <w:fldChar w:fldCharType="end"/>
      </w:r>
    </w:p>
    <w:p w14:paraId="21DD3DB0" w14:textId="19F63193" w:rsidR="00A90168" w:rsidRDefault="00A90168">
      <w:pPr>
        <w:pStyle w:val="TOC2"/>
        <w:rPr>
          <w:rFonts w:eastAsiaTheme="minorEastAsia" w:cstheme="minorBidi"/>
          <w:szCs w:val="22"/>
          <w:lang w:val="en-GB" w:eastAsia="en-GB"/>
        </w:rPr>
      </w:pPr>
      <w:r>
        <w:t>1.1</w:t>
      </w:r>
      <w:r>
        <w:rPr>
          <w:rFonts w:eastAsiaTheme="minorEastAsia" w:cstheme="minorBidi"/>
          <w:szCs w:val="22"/>
          <w:lang w:val="en-GB" w:eastAsia="en-GB"/>
        </w:rPr>
        <w:tab/>
      </w:r>
      <w:r>
        <w:t>Objective and scope</w:t>
      </w:r>
      <w:r>
        <w:tab/>
      </w:r>
      <w:r>
        <w:fldChar w:fldCharType="begin"/>
      </w:r>
      <w:r>
        <w:instrText xml:space="preserve"> PAGEREF _Toc59402364 \h </w:instrText>
      </w:r>
      <w:r>
        <w:fldChar w:fldCharType="separate"/>
      </w:r>
      <w:r w:rsidR="00CC3F04">
        <w:t>2</w:t>
      </w:r>
      <w:r>
        <w:fldChar w:fldCharType="end"/>
      </w:r>
    </w:p>
    <w:p w14:paraId="3F945F7B" w14:textId="52B36AF8" w:rsidR="00A90168" w:rsidRDefault="00A90168">
      <w:pPr>
        <w:pStyle w:val="TOC2"/>
        <w:rPr>
          <w:rFonts w:eastAsiaTheme="minorEastAsia" w:cstheme="minorBidi"/>
          <w:szCs w:val="22"/>
          <w:lang w:val="en-GB" w:eastAsia="en-GB"/>
        </w:rPr>
      </w:pPr>
      <w:r>
        <w:t>1.2</w:t>
      </w:r>
      <w:r>
        <w:rPr>
          <w:rFonts w:eastAsiaTheme="minorEastAsia" w:cstheme="minorBidi"/>
          <w:szCs w:val="22"/>
          <w:lang w:val="en-GB" w:eastAsia="en-GB"/>
        </w:rPr>
        <w:tab/>
      </w:r>
      <w:r>
        <w:t>AT and aged care</w:t>
      </w:r>
      <w:r>
        <w:tab/>
      </w:r>
      <w:r>
        <w:fldChar w:fldCharType="begin"/>
      </w:r>
      <w:r>
        <w:instrText xml:space="preserve"> PAGEREF _Toc59402365 \h </w:instrText>
      </w:r>
      <w:r>
        <w:fldChar w:fldCharType="separate"/>
      </w:r>
      <w:r w:rsidR="00CC3F04">
        <w:t>2</w:t>
      </w:r>
      <w:r>
        <w:fldChar w:fldCharType="end"/>
      </w:r>
    </w:p>
    <w:p w14:paraId="3A1FC3A8" w14:textId="63C589CB" w:rsidR="00A90168" w:rsidRDefault="00A90168">
      <w:pPr>
        <w:pStyle w:val="TOC2"/>
        <w:rPr>
          <w:rFonts w:eastAsiaTheme="minorEastAsia" w:cstheme="minorBidi"/>
          <w:szCs w:val="22"/>
          <w:lang w:val="en-GB" w:eastAsia="en-GB"/>
        </w:rPr>
      </w:pPr>
      <w:r>
        <w:t>1.3</w:t>
      </w:r>
      <w:r>
        <w:rPr>
          <w:rFonts w:eastAsiaTheme="minorEastAsia" w:cstheme="minorBidi"/>
          <w:szCs w:val="22"/>
          <w:lang w:val="en-GB" w:eastAsia="en-GB"/>
        </w:rPr>
        <w:tab/>
      </w:r>
      <w:r>
        <w:t>Review methodology</w:t>
      </w:r>
      <w:r>
        <w:tab/>
      </w:r>
      <w:r>
        <w:fldChar w:fldCharType="begin"/>
      </w:r>
      <w:r>
        <w:instrText xml:space="preserve"> PAGEREF _Toc59402366 \h </w:instrText>
      </w:r>
      <w:r>
        <w:fldChar w:fldCharType="separate"/>
      </w:r>
      <w:r w:rsidR="00CC3F04">
        <w:t>3</w:t>
      </w:r>
      <w:r>
        <w:fldChar w:fldCharType="end"/>
      </w:r>
    </w:p>
    <w:p w14:paraId="6FA1D2EE" w14:textId="4EB2107A" w:rsidR="00A90168" w:rsidRDefault="00A90168">
      <w:pPr>
        <w:pStyle w:val="TOC2"/>
        <w:rPr>
          <w:rFonts w:eastAsiaTheme="minorEastAsia" w:cstheme="minorBidi"/>
          <w:szCs w:val="22"/>
          <w:lang w:val="en-GB" w:eastAsia="en-GB"/>
        </w:rPr>
      </w:pPr>
      <w:r w:rsidRPr="00F74F50">
        <w:t>1.4</w:t>
      </w:r>
      <w:r>
        <w:rPr>
          <w:rFonts w:eastAsiaTheme="minorEastAsia" w:cstheme="minorBidi"/>
          <w:szCs w:val="22"/>
          <w:lang w:val="en-GB" w:eastAsia="en-GB"/>
        </w:rPr>
        <w:tab/>
      </w:r>
      <w:r w:rsidRPr="00F74F50">
        <w:t>Findings: Mapping current AT programs</w:t>
      </w:r>
      <w:r>
        <w:tab/>
      </w:r>
      <w:r>
        <w:fldChar w:fldCharType="begin"/>
      </w:r>
      <w:r>
        <w:instrText xml:space="preserve"> PAGEREF _Toc59402367 \h </w:instrText>
      </w:r>
      <w:r>
        <w:fldChar w:fldCharType="separate"/>
      </w:r>
      <w:r w:rsidR="00CC3F04">
        <w:t>3</w:t>
      </w:r>
      <w:r>
        <w:fldChar w:fldCharType="end"/>
      </w:r>
    </w:p>
    <w:p w14:paraId="2E25D891" w14:textId="429A1140" w:rsidR="00A90168" w:rsidRDefault="00A90168">
      <w:pPr>
        <w:pStyle w:val="TOC2"/>
        <w:rPr>
          <w:rFonts w:eastAsiaTheme="minorEastAsia" w:cstheme="minorBidi"/>
          <w:szCs w:val="22"/>
          <w:lang w:val="en-GB" w:eastAsia="en-GB"/>
        </w:rPr>
      </w:pPr>
      <w:r>
        <w:t>1.5</w:t>
      </w:r>
      <w:r>
        <w:rPr>
          <w:rFonts w:eastAsiaTheme="minorEastAsia" w:cstheme="minorBidi"/>
          <w:szCs w:val="22"/>
          <w:lang w:val="en-GB" w:eastAsia="en-GB"/>
        </w:rPr>
        <w:tab/>
      </w:r>
      <w:r>
        <w:t>Findings: Cost–benefit analysis</w:t>
      </w:r>
      <w:r>
        <w:tab/>
      </w:r>
      <w:r>
        <w:fldChar w:fldCharType="begin"/>
      </w:r>
      <w:r>
        <w:instrText xml:space="preserve"> PAGEREF _Toc59402368 \h </w:instrText>
      </w:r>
      <w:r>
        <w:fldChar w:fldCharType="separate"/>
      </w:r>
      <w:r w:rsidR="00CC3F04">
        <w:t>4</w:t>
      </w:r>
      <w:r>
        <w:fldChar w:fldCharType="end"/>
      </w:r>
    </w:p>
    <w:p w14:paraId="7CF1FFEC" w14:textId="7E9E943E" w:rsidR="00A90168" w:rsidRDefault="00A90168">
      <w:pPr>
        <w:pStyle w:val="TOC2"/>
        <w:rPr>
          <w:rFonts w:eastAsiaTheme="minorEastAsia" w:cstheme="minorBidi"/>
          <w:szCs w:val="22"/>
          <w:lang w:val="en-GB" w:eastAsia="en-GB"/>
        </w:rPr>
      </w:pPr>
      <w:r>
        <w:t>1.6</w:t>
      </w:r>
      <w:r>
        <w:rPr>
          <w:rFonts w:eastAsiaTheme="minorEastAsia" w:cstheme="minorBidi"/>
          <w:szCs w:val="22"/>
          <w:lang w:val="en-GB" w:eastAsia="en-GB"/>
        </w:rPr>
        <w:tab/>
      </w:r>
      <w:r>
        <w:t>Future program options</w:t>
      </w:r>
      <w:r>
        <w:tab/>
      </w:r>
      <w:r>
        <w:fldChar w:fldCharType="begin"/>
      </w:r>
      <w:r>
        <w:instrText xml:space="preserve"> PAGEREF _Toc59402369 \h </w:instrText>
      </w:r>
      <w:r>
        <w:fldChar w:fldCharType="separate"/>
      </w:r>
      <w:r w:rsidR="00CC3F04">
        <w:t>5</w:t>
      </w:r>
      <w:r>
        <w:fldChar w:fldCharType="end"/>
      </w:r>
    </w:p>
    <w:p w14:paraId="6AF40B59" w14:textId="27FE8A2F" w:rsidR="00A90168" w:rsidRDefault="00A90168">
      <w:pPr>
        <w:pStyle w:val="TOC2"/>
        <w:rPr>
          <w:rFonts w:eastAsiaTheme="minorEastAsia" w:cstheme="minorBidi"/>
          <w:szCs w:val="22"/>
          <w:lang w:val="en-GB" w:eastAsia="en-GB"/>
        </w:rPr>
      </w:pPr>
      <w:r>
        <w:t>1.7</w:t>
      </w:r>
      <w:r>
        <w:rPr>
          <w:rFonts w:eastAsiaTheme="minorEastAsia" w:cstheme="minorBidi"/>
          <w:szCs w:val="22"/>
          <w:lang w:val="en-GB" w:eastAsia="en-GB"/>
        </w:rPr>
        <w:tab/>
      </w:r>
      <w:r>
        <w:t>Conclusion</w:t>
      </w:r>
      <w:r>
        <w:tab/>
      </w:r>
      <w:r>
        <w:fldChar w:fldCharType="begin"/>
      </w:r>
      <w:r>
        <w:instrText xml:space="preserve"> PAGEREF _Toc59402370 \h </w:instrText>
      </w:r>
      <w:r>
        <w:fldChar w:fldCharType="separate"/>
      </w:r>
      <w:r w:rsidR="00CC3F04">
        <w:t>10</w:t>
      </w:r>
      <w:r>
        <w:fldChar w:fldCharType="end"/>
      </w:r>
    </w:p>
    <w:p w14:paraId="2F645709" w14:textId="29AB6279" w:rsidR="00A90168" w:rsidRDefault="00A90168">
      <w:pPr>
        <w:pStyle w:val="TOC1"/>
        <w:rPr>
          <w:rFonts w:eastAsiaTheme="minorEastAsia" w:cstheme="minorBidi"/>
          <w:b w:val="0"/>
          <w:color w:val="auto"/>
          <w:szCs w:val="22"/>
          <w:lang w:val="en-GB" w:eastAsia="en-GB"/>
        </w:rPr>
      </w:pPr>
      <w:r>
        <w:t>2</w:t>
      </w:r>
      <w:r>
        <w:rPr>
          <w:rFonts w:eastAsiaTheme="minorEastAsia" w:cstheme="minorBidi"/>
          <w:b w:val="0"/>
          <w:color w:val="auto"/>
          <w:szCs w:val="22"/>
          <w:lang w:val="en-GB" w:eastAsia="en-GB"/>
        </w:rPr>
        <w:tab/>
      </w:r>
      <w:r>
        <w:t>Introduction</w:t>
      </w:r>
      <w:r>
        <w:tab/>
      </w:r>
      <w:r>
        <w:fldChar w:fldCharType="begin"/>
      </w:r>
      <w:r>
        <w:instrText xml:space="preserve"> PAGEREF _Toc59402371 \h </w:instrText>
      </w:r>
      <w:r>
        <w:fldChar w:fldCharType="separate"/>
      </w:r>
      <w:r w:rsidR="00CC3F04">
        <w:t>11</w:t>
      </w:r>
      <w:r>
        <w:fldChar w:fldCharType="end"/>
      </w:r>
    </w:p>
    <w:p w14:paraId="376BB7EE" w14:textId="67D86FF9" w:rsidR="00A90168" w:rsidRDefault="00A90168">
      <w:pPr>
        <w:pStyle w:val="TOC2"/>
        <w:rPr>
          <w:rFonts w:eastAsiaTheme="minorEastAsia" w:cstheme="minorBidi"/>
          <w:szCs w:val="22"/>
          <w:lang w:val="en-GB" w:eastAsia="en-GB"/>
        </w:rPr>
      </w:pPr>
      <w:r>
        <w:t>2.1</w:t>
      </w:r>
      <w:r>
        <w:rPr>
          <w:rFonts w:eastAsiaTheme="minorEastAsia" w:cstheme="minorBidi"/>
          <w:szCs w:val="22"/>
          <w:lang w:val="en-GB" w:eastAsia="en-GB"/>
        </w:rPr>
        <w:tab/>
      </w:r>
      <w:r>
        <w:t>Review purpose and scope</w:t>
      </w:r>
      <w:r>
        <w:tab/>
      </w:r>
      <w:r>
        <w:fldChar w:fldCharType="begin"/>
      </w:r>
      <w:r>
        <w:instrText xml:space="preserve"> PAGEREF _Toc59402372 \h </w:instrText>
      </w:r>
      <w:r>
        <w:fldChar w:fldCharType="separate"/>
      </w:r>
      <w:r w:rsidR="00CC3F04">
        <w:t>12</w:t>
      </w:r>
      <w:r>
        <w:fldChar w:fldCharType="end"/>
      </w:r>
    </w:p>
    <w:p w14:paraId="3A7C0020" w14:textId="176BE4DD" w:rsidR="00A90168" w:rsidRDefault="00A90168">
      <w:pPr>
        <w:pStyle w:val="TOC2"/>
        <w:rPr>
          <w:rFonts w:eastAsiaTheme="minorEastAsia" w:cstheme="minorBidi"/>
          <w:szCs w:val="22"/>
          <w:lang w:val="en-GB" w:eastAsia="en-GB"/>
        </w:rPr>
      </w:pPr>
      <w:r>
        <w:t>2.2</w:t>
      </w:r>
      <w:r>
        <w:rPr>
          <w:rFonts w:eastAsiaTheme="minorEastAsia" w:cstheme="minorBidi"/>
          <w:szCs w:val="22"/>
          <w:lang w:val="en-GB" w:eastAsia="en-GB"/>
        </w:rPr>
        <w:tab/>
      </w:r>
      <w:r>
        <w:t>Review methodology</w:t>
      </w:r>
      <w:r>
        <w:tab/>
      </w:r>
      <w:r>
        <w:fldChar w:fldCharType="begin"/>
      </w:r>
      <w:r>
        <w:instrText xml:space="preserve"> PAGEREF _Toc59402373 \h </w:instrText>
      </w:r>
      <w:r>
        <w:fldChar w:fldCharType="separate"/>
      </w:r>
      <w:r w:rsidR="00CC3F04">
        <w:t>13</w:t>
      </w:r>
      <w:r>
        <w:fldChar w:fldCharType="end"/>
      </w:r>
    </w:p>
    <w:p w14:paraId="421D9D39" w14:textId="7093E7DA" w:rsidR="00A90168" w:rsidRDefault="00A90168">
      <w:pPr>
        <w:pStyle w:val="TOC2"/>
        <w:rPr>
          <w:rFonts w:eastAsiaTheme="minorEastAsia" w:cstheme="minorBidi"/>
          <w:szCs w:val="22"/>
          <w:lang w:val="en-GB" w:eastAsia="en-GB"/>
        </w:rPr>
      </w:pPr>
      <w:r>
        <w:t>2.3</w:t>
      </w:r>
      <w:r>
        <w:rPr>
          <w:rFonts w:eastAsiaTheme="minorEastAsia" w:cstheme="minorBidi"/>
          <w:szCs w:val="22"/>
          <w:lang w:val="en-GB" w:eastAsia="en-GB"/>
        </w:rPr>
        <w:tab/>
      </w:r>
      <w:r>
        <w:t>Report structure</w:t>
      </w:r>
      <w:r>
        <w:tab/>
      </w:r>
      <w:r>
        <w:fldChar w:fldCharType="begin"/>
      </w:r>
      <w:r>
        <w:instrText xml:space="preserve"> PAGEREF _Toc59402374 \h </w:instrText>
      </w:r>
      <w:r>
        <w:fldChar w:fldCharType="separate"/>
      </w:r>
      <w:r w:rsidR="00CC3F04">
        <w:t>13</w:t>
      </w:r>
      <w:r>
        <w:fldChar w:fldCharType="end"/>
      </w:r>
    </w:p>
    <w:p w14:paraId="05256622" w14:textId="2ECC6F4E" w:rsidR="00A90168" w:rsidRDefault="00A90168">
      <w:pPr>
        <w:pStyle w:val="TOC2"/>
        <w:rPr>
          <w:rFonts w:eastAsiaTheme="minorEastAsia" w:cstheme="minorBidi"/>
          <w:szCs w:val="22"/>
          <w:lang w:val="en-GB" w:eastAsia="en-GB"/>
        </w:rPr>
      </w:pPr>
      <w:r>
        <w:t>2.4</w:t>
      </w:r>
      <w:r>
        <w:rPr>
          <w:rFonts w:eastAsiaTheme="minorEastAsia" w:cstheme="minorBidi"/>
          <w:szCs w:val="22"/>
          <w:lang w:val="en-GB" w:eastAsia="en-GB"/>
        </w:rPr>
        <w:tab/>
      </w:r>
      <w:r>
        <w:t>AT in Australia</w:t>
      </w:r>
      <w:r>
        <w:tab/>
      </w:r>
      <w:r>
        <w:fldChar w:fldCharType="begin"/>
      </w:r>
      <w:r>
        <w:instrText xml:space="preserve"> PAGEREF _Toc59402375 \h </w:instrText>
      </w:r>
      <w:r>
        <w:fldChar w:fldCharType="separate"/>
      </w:r>
      <w:r w:rsidR="00CC3F04">
        <w:t>15</w:t>
      </w:r>
      <w:r>
        <w:fldChar w:fldCharType="end"/>
      </w:r>
    </w:p>
    <w:p w14:paraId="06CBD257" w14:textId="1426A213" w:rsidR="00A90168" w:rsidRDefault="00A90168">
      <w:pPr>
        <w:pStyle w:val="TOC2"/>
        <w:rPr>
          <w:rFonts w:eastAsiaTheme="minorEastAsia" w:cstheme="minorBidi"/>
          <w:szCs w:val="22"/>
          <w:lang w:val="en-GB" w:eastAsia="en-GB"/>
        </w:rPr>
      </w:pPr>
      <w:r>
        <w:t>2.5</w:t>
      </w:r>
      <w:r>
        <w:rPr>
          <w:rFonts w:eastAsiaTheme="minorEastAsia" w:cstheme="minorBidi"/>
          <w:szCs w:val="22"/>
          <w:lang w:val="en-GB" w:eastAsia="en-GB"/>
        </w:rPr>
        <w:tab/>
      </w:r>
      <w:r>
        <w:t>Current programs in Australia</w:t>
      </w:r>
      <w:r>
        <w:tab/>
      </w:r>
      <w:r>
        <w:fldChar w:fldCharType="begin"/>
      </w:r>
      <w:r>
        <w:instrText xml:space="preserve"> PAGEREF _Toc59402376 \h </w:instrText>
      </w:r>
      <w:r>
        <w:fldChar w:fldCharType="separate"/>
      </w:r>
      <w:r w:rsidR="00CC3F04">
        <w:t>21</w:t>
      </w:r>
      <w:r>
        <w:fldChar w:fldCharType="end"/>
      </w:r>
    </w:p>
    <w:p w14:paraId="5450F89E" w14:textId="7763C748" w:rsidR="00A90168" w:rsidRDefault="00A90168">
      <w:pPr>
        <w:pStyle w:val="TOC1"/>
        <w:rPr>
          <w:rFonts w:eastAsiaTheme="minorEastAsia" w:cstheme="minorBidi"/>
          <w:b w:val="0"/>
          <w:color w:val="auto"/>
          <w:szCs w:val="22"/>
          <w:lang w:val="en-GB" w:eastAsia="en-GB"/>
        </w:rPr>
      </w:pPr>
      <w:r>
        <w:t>3</w:t>
      </w:r>
      <w:r>
        <w:rPr>
          <w:rFonts w:eastAsiaTheme="minorEastAsia" w:cstheme="minorBidi"/>
          <w:b w:val="0"/>
          <w:color w:val="auto"/>
          <w:szCs w:val="22"/>
          <w:lang w:val="en-GB" w:eastAsia="en-GB"/>
        </w:rPr>
        <w:tab/>
      </w:r>
      <w:r>
        <w:t>Cost-benefit analysis</w:t>
      </w:r>
      <w:r>
        <w:tab/>
      </w:r>
      <w:r>
        <w:fldChar w:fldCharType="begin"/>
      </w:r>
      <w:r>
        <w:instrText xml:space="preserve"> PAGEREF _Toc59402377 \h </w:instrText>
      </w:r>
      <w:r>
        <w:fldChar w:fldCharType="separate"/>
      </w:r>
      <w:r w:rsidR="00CC3F04">
        <w:t>34</w:t>
      </w:r>
      <w:r>
        <w:fldChar w:fldCharType="end"/>
      </w:r>
    </w:p>
    <w:p w14:paraId="415EBB43" w14:textId="5B53784A" w:rsidR="00A90168" w:rsidRDefault="00A90168">
      <w:pPr>
        <w:pStyle w:val="TOC2"/>
        <w:rPr>
          <w:rFonts w:eastAsiaTheme="minorEastAsia" w:cstheme="minorBidi"/>
          <w:szCs w:val="22"/>
          <w:lang w:val="en-GB" w:eastAsia="en-GB"/>
        </w:rPr>
      </w:pPr>
      <w:r>
        <w:t>3.1</w:t>
      </w:r>
      <w:r>
        <w:rPr>
          <w:rFonts w:eastAsiaTheme="minorEastAsia" w:cstheme="minorBidi"/>
          <w:szCs w:val="22"/>
          <w:lang w:val="en-GB" w:eastAsia="en-GB"/>
        </w:rPr>
        <w:tab/>
      </w:r>
      <w:r>
        <w:t>Introduction</w:t>
      </w:r>
      <w:r>
        <w:tab/>
      </w:r>
      <w:r>
        <w:fldChar w:fldCharType="begin"/>
      </w:r>
      <w:r>
        <w:instrText xml:space="preserve"> PAGEREF _Toc59402378 \h </w:instrText>
      </w:r>
      <w:r>
        <w:fldChar w:fldCharType="separate"/>
      </w:r>
      <w:r w:rsidR="00CC3F04">
        <w:t>35</w:t>
      </w:r>
      <w:r>
        <w:fldChar w:fldCharType="end"/>
      </w:r>
    </w:p>
    <w:p w14:paraId="6A42C876" w14:textId="5C4E565F" w:rsidR="00A90168" w:rsidRDefault="00A90168">
      <w:pPr>
        <w:pStyle w:val="TOC2"/>
        <w:rPr>
          <w:rFonts w:eastAsiaTheme="minorEastAsia" w:cstheme="minorBidi"/>
          <w:szCs w:val="22"/>
          <w:lang w:val="en-GB" w:eastAsia="en-GB"/>
        </w:rPr>
      </w:pPr>
      <w:r>
        <w:t>3.2</w:t>
      </w:r>
      <w:r>
        <w:rPr>
          <w:rFonts w:eastAsiaTheme="minorEastAsia" w:cstheme="minorBidi"/>
          <w:szCs w:val="22"/>
          <w:lang w:val="en-GB" w:eastAsia="en-GB"/>
        </w:rPr>
        <w:tab/>
      </w:r>
      <w:r>
        <w:t>Benefits of AT</w:t>
      </w:r>
      <w:r>
        <w:tab/>
      </w:r>
      <w:r>
        <w:fldChar w:fldCharType="begin"/>
      </w:r>
      <w:r>
        <w:instrText xml:space="preserve"> PAGEREF _Toc59402379 \h </w:instrText>
      </w:r>
      <w:r>
        <w:fldChar w:fldCharType="separate"/>
      </w:r>
      <w:r w:rsidR="00CC3F04">
        <w:t>40</w:t>
      </w:r>
      <w:r>
        <w:fldChar w:fldCharType="end"/>
      </w:r>
    </w:p>
    <w:p w14:paraId="1F114FE1" w14:textId="7190F9BC" w:rsidR="00A90168" w:rsidRDefault="00A90168">
      <w:pPr>
        <w:pStyle w:val="TOC1"/>
        <w:rPr>
          <w:rFonts w:eastAsiaTheme="minorEastAsia" w:cstheme="minorBidi"/>
          <w:b w:val="0"/>
          <w:color w:val="auto"/>
          <w:szCs w:val="22"/>
          <w:lang w:val="en-GB" w:eastAsia="en-GB"/>
        </w:rPr>
      </w:pPr>
      <w:r>
        <w:t>4</w:t>
      </w:r>
      <w:r>
        <w:rPr>
          <w:rFonts w:eastAsiaTheme="minorEastAsia" w:cstheme="minorBidi"/>
          <w:b w:val="0"/>
          <w:color w:val="auto"/>
          <w:szCs w:val="22"/>
          <w:lang w:val="en-GB" w:eastAsia="en-GB"/>
        </w:rPr>
        <w:tab/>
      </w:r>
      <w:r>
        <w:t>Future options</w:t>
      </w:r>
      <w:r>
        <w:tab/>
      </w:r>
      <w:r>
        <w:fldChar w:fldCharType="begin"/>
      </w:r>
      <w:r>
        <w:instrText xml:space="preserve"> PAGEREF _Toc59402380 \h </w:instrText>
      </w:r>
      <w:r>
        <w:fldChar w:fldCharType="separate"/>
      </w:r>
      <w:r w:rsidR="00CC3F04">
        <w:t>46</w:t>
      </w:r>
      <w:r>
        <w:fldChar w:fldCharType="end"/>
      </w:r>
    </w:p>
    <w:p w14:paraId="76322BA0" w14:textId="0FE955CE" w:rsidR="00A90168" w:rsidRDefault="00A90168">
      <w:pPr>
        <w:pStyle w:val="TOC2"/>
        <w:rPr>
          <w:rFonts w:eastAsiaTheme="minorEastAsia" w:cstheme="minorBidi"/>
          <w:szCs w:val="22"/>
          <w:lang w:val="en-GB" w:eastAsia="en-GB"/>
        </w:rPr>
      </w:pPr>
      <w:r>
        <w:t>4.1</w:t>
      </w:r>
      <w:r>
        <w:rPr>
          <w:rFonts w:eastAsiaTheme="minorEastAsia" w:cstheme="minorBidi"/>
          <w:szCs w:val="22"/>
          <w:lang w:val="en-GB" w:eastAsia="en-GB"/>
        </w:rPr>
        <w:tab/>
      </w:r>
      <w:r>
        <w:t>Introduction</w:t>
      </w:r>
      <w:r>
        <w:tab/>
      </w:r>
      <w:r>
        <w:fldChar w:fldCharType="begin"/>
      </w:r>
      <w:r>
        <w:instrText xml:space="preserve"> PAGEREF _Toc59402381 \h </w:instrText>
      </w:r>
      <w:r>
        <w:fldChar w:fldCharType="separate"/>
      </w:r>
      <w:r w:rsidR="00CC3F04">
        <w:t>47</w:t>
      </w:r>
      <w:r>
        <w:fldChar w:fldCharType="end"/>
      </w:r>
    </w:p>
    <w:p w14:paraId="7DC07E80" w14:textId="1DC73EA9" w:rsidR="00A90168" w:rsidRDefault="00A90168">
      <w:pPr>
        <w:pStyle w:val="TOC2"/>
        <w:rPr>
          <w:rFonts w:eastAsiaTheme="minorEastAsia" w:cstheme="minorBidi"/>
          <w:szCs w:val="22"/>
          <w:lang w:val="en-GB" w:eastAsia="en-GB"/>
        </w:rPr>
      </w:pPr>
      <w:r w:rsidRPr="00F74F50">
        <w:rPr>
          <w:lang w:val="en-CA"/>
        </w:rPr>
        <w:t>4.2</w:t>
      </w:r>
      <w:r>
        <w:rPr>
          <w:rFonts w:eastAsiaTheme="minorEastAsia" w:cstheme="minorBidi"/>
          <w:szCs w:val="22"/>
          <w:lang w:val="en-GB" w:eastAsia="en-GB"/>
        </w:rPr>
        <w:tab/>
      </w:r>
      <w:r w:rsidRPr="00F74F50">
        <w:rPr>
          <w:lang w:val="en-CA"/>
        </w:rPr>
        <w:t>Program vision and core elements</w:t>
      </w:r>
      <w:r>
        <w:tab/>
      </w:r>
      <w:r>
        <w:fldChar w:fldCharType="begin"/>
      </w:r>
      <w:r>
        <w:instrText xml:space="preserve"> PAGEREF _Toc59402382 \h </w:instrText>
      </w:r>
      <w:r>
        <w:fldChar w:fldCharType="separate"/>
      </w:r>
      <w:r w:rsidR="00CC3F04">
        <w:t>47</w:t>
      </w:r>
      <w:r>
        <w:fldChar w:fldCharType="end"/>
      </w:r>
    </w:p>
    <w:p w14:paraId="5CC1EB8F" w14:textId="5B655E2C" w:rsidR="00A90168" w:rsidRDefault="00A90168">
      <w:pPr>
        <w:pStyle w:val="TOC2"/>
        <w:rPr>
          <w:rFonts w:eastAsiaTheme="minorEastAsia" w:cstheme="minorBidi"/>
          <w:szCs w:val="22"/>
          <w:lang w:val="en-GB" w:eastAsia="en-GB"/>
        </w:rPr>
      </w:pPr>
      <w:r>
        <w:t>4.3</w:t>
      </w:r>
      <w:r>
        <w:rPr>
          <w:rFonts w:eastAsiaTheme="minorEastAsia" w:cstheme="minorBidi"/>
          <w:szCs w:val="22"/>
          <w:lang w:val="en-GB" w:eastAsia="en-GB"/>
        </w:rPr>
        <w:tab/>
      </w:r>
      <w:r w:rsidRPr="00F74F50">
        <w:rPr>
          <w:lang w:val="en-CA"/>
        </w:rPr>
        <w:t>AT framework</w:t>
      </w:r>
      <w:r>
        <w:tab/>
      </w:r>
      <w:r>
        <w:fldChar w:fldCharType="begin"/>
      </w:r>
      <w:r>
        <w:instrText xml:space="preserve"> PAGEREF _Toc59402383 \h </w:instrText>
      </w:r>
      <w:r>
        <w:fldChar w:fldCharType="separate"/>
      </w:r>
      <w:r w:rsidR="00CC3F04">
        <w:t>48</w:t>
      </w:r>
      <w:r>
        <w:fldChar w:fldCharType="end"/>
      </w:r>
    </w:p>
    <w:p w14:paraId="1676BEEB" w14:textId="0ED14D66" w:rsidR="00A90168" w:rsidRDefault="00A90168">
      <w:pPr>
        <w:pStyle w:val="TOC2"/>
        <w:rPr>
          <w:rFonts w:eastAsiaTheme="minorEastAsia" w:cstheme="minorBidi"/>
          <w:szCs w:val="22"/>
          <w:lang w:val="en-GB" w:eastAsia="en-GB"/>
        </w:rPr>
      </w:pPr>
      <w:r w:rsidRPr="00F74F50">
        <w:rPr>
          <w:lang w:val="en-CA"/>
        </w:rPr>
        <w:t>4.4</w:t>
      </w:r>
      <w:r>
        <w:rPr>
          <w:rFonts w:eastAsiaTheme="minorEastAsia" w:cstheme="minorBidi"/>
          <w:szCs w:val="22"/>
          <w:lang w:val="en-GB" w:eastAsia="en-GB"/>
        </w:rPr>
        <w:tab/>
      </w:r>
      <w:r w:rsidRPr="00F74F50">
        <w:rPr>
          <w:lang w:val="en-CA"/>
        </w:rPr>
        <w:t>Program options</w:t>
      </w:r>
      <w:r>
        <w:tab/>
      </w:r>
      <w:r>
        <w:fldChar w:fldCharType="begin"/>
      </w:r>
      <w:r>
        <w:instrText xml:space="preserve"> PAGEREF _Toc59402384 \h </w:instrText>
      </w:r>
      <w:r>
        <w:fldChar w:fldCharType="separate"/>
      </w:r>
      <w:r w:rsidR="00CC3F04">
        <w:t>56</w:t>
      </w:r>
      <w:r>
        <w:fldChar w:fldCharType="end"/>
      </w:r>
    </w:p>
    <w:p w14:paraId="6486FB69" w14:textId="3533077A" w:rsidR="00A90168" w:rsidRDefault="00A90168">
      <w:pPr>
        <w:pStyle w:val="TOC1"/>
        <w:rPr>
          <w:rFonts w:eastAsiaTheme="minorEastAsia" w:cstheme="minorBidi"/>
          <w:b w:val="0"/>
          <w:color w:val="auto"/>
          <w:szCs w:val="22"/>
          <w:lang w:val="en-GB" w:eastAsia="en-GB"/>
        </w:rPr>
      </w:pPr>
      <w:r w:rsidRPr="00F74F50">
        <w:rPr>
          <w14:scene3d>
            <w14:camera w14:prst="orthographicFront"/>
            <w14:lightRig w14:rig="threePt" w14:dir="t">
              <w14:rot w14:lat="0" w14:lon="0" w14:rev="0"/>
            </w14:lightRig>
          </w14:scene3d>
        </w:rPr>
        <w:t>Appendix A</w:t>
      </w:r>
      <w:r>
        <w:rPr>
          <w:rFonts w:eastAsiaTheme="minorEastAsia" w:cstheme="minorBidi"/>
          <w:b w:val="0"/>
          <w:color w:val="auto"/>
          <w:szCs w:val="22"/>
          <w:lang w:val="en-GB" w:eastAsia="en-GB"/>
        </w:rPr>
        <w:tab/>
      </w:r>
      <w:r>
        <w:t>Alt text long descriptions</w:t>
      </w:r>
      <w:r>
        <w:tab/>
      </w:r>
      <w:r>
        <w:fldChar w:fldCharType="begin"/>
      </w:r>
      <w:r>
        <w:instrText xml:space="preserve"> PAGEREF _Toc59402385 \h </w:instrText>
      </w:r>
      <w:r>
        <w:fldChar w:fldCharType="separate"/>
      </w:r>
      <w:r w:rsidR="00CC3F04">
        <w:t>63</w:t>
      </w:r>
      <w:r>
        <w:fldChar w:fldCharType="end"/>
      </w:r>
    </w:p>
    <w:p w14:paraId="2967D445" w14:textId="3F3F48D8" w:rsidR="00A90168" w:rsidRDefault="00A90168">
      <w:pPr>
        <w:pStyle w:val="TOC1"/>
        <w:rPr>
          <w:rFonts w:eastAsiaTheme="minorEastAsia" w:cstheme="minorBidi"/>
          <w:b w:val="0"/>
          <w:color w:val="auto"/>
          <w:szCs w:val="22"/>
          <w:lang w:val="en-GB" w:eastAsia="en-GB"/>
        </w:rPr>
      </w:pPr>
      <w:r w:rsidRPr="00F74F50">
        <w:rPr>
          <w14:scene3d>
            <w14:camera w14:prst="orthographicFront"/>
            <w14:lightRig w14:rig="threePt" w14:dir="t">
              <w14:rot w14:lat="0" w14:lon="0" w14:rev="0"/>
            </w14:lightRig>
          </w14:scene3d>
        </w:rPr>
        <w:t>Appendix B</w:t>
      </w:r>
      <w:r>
        <w:rPr>
          <w:rFonts w:eastAsiaTheme="minorEastAsia" w:cstheme="minorBidi"/>
          <w:b w:val="0"/>
          <w:color w:val="auto"/>
          <w:szCs w:val="22"/>
          <w:lang w:val="en-GB" w:eastAsia="en-GB"/>
        </w:rPr>
        <w:tab/>
      </w:r>
      <w:r>
        <w:t>Cited references</w:t>
      </w:r>
      <w:r>
        <w:tab/>
      </w:r>
      <w:r>
        <w:fldChar w:fldCharType="begin"/>
      </w:r>
      <w:r>
        <w:instrText xml:space="preserve"> PAGEREF _Toc59402386 \h </w:instrText>
      </w:r>
      <w:r>
        <w:fldChar w:fldCharType="separate"/>
      </w:r>
      <w:r w:rsidR="00CC3F04">
        <w:t>66</w:t>
      </w:r>
      <w:r>
        <w:fldChar w:fldCharType="end"/>
      </w:r>
    </w:p>
    <w:p w14:paraId="5ED1E576" w14:textId="2E8BFCD4" w:rsidR="00B52D27" w:rsidRPr="00636B05" w:rsidRDefault="00B52D27" w:rsidP="00A43D8B">
      <w:pPr>
        <w:rPr>
          <w:rFonts w:eastAsia="Arial Unicode MS"/>
        </w:rPr>
      </w:pPr>
      <w:r w:rsidRPr="00636B05">
        <w:fldChar w:fldCharType="end"/>
      </w:r>
      <w:r w:rsidRPr="00636B05">
        <w:br w:type="page"/>
      </w:r>
    </w:p>
    <w:p w14:paraId="7414613A" w14:textId="688C0613" w:rsidR="00B52D27" w:rsidRPr="00636B05" w:rsidRDefault="00B52D27" w:rsidP="00384C74">
      <w:pPr>
        <w:pStyle w:val="TOCHeading2"/>
      </w:pPr>
      <w:r w:rsidRPr="00636B05">
        <w:lastRenderedPageBreak/>
        <w:t>Tables</w:t>
      </w:r>
    </w:p>
    <w:p w14:paraId="66D4E79C" w14:textId="7BE5BF40" w:rsidR="00A90168" w:rsidRDefault="00B52D27">
      <w:pPr>
        <w:pStyle w:val="TableofFigures"/>
        <w:rPr>
          <w:rFonts w:eastAsiaTheme="minorEastAsia" w:cstheme="minorBidi"/>
          <w:color w:val="auto"/>
          <w:szCs w:val="22"/>
          <w:lang w:eastAsia="en-GB"/>
        </w:rPr>
      </w:pPr>
      <w:r w:rsidRPr="00636B05">
        <w:fldChar w:fldCharType="begin"/>
      </w:r>
      <w:r w:rsidRPr="00636B05">
        <w:instrText xml:space="preserve"> TOC \f T \h \z \c "Table" </w:instrText>
      </w:r>
      <w:r w:rsidRPr="00636B05">
        <w:fldChar w:fldCharType="separate"/>
      </w:r>
      <w:hyperlink w:anchor="_Toc59402387" w:history="1">
        <w:r w:rsidR="00A90168" w:rsidRPr="00D954F7">
          <w:rPr>
            <w:rStyle w:val="Hyperlink"/>
          </w:rPr>
          <w:t>Table 1</w:t>
        </w:r>
        <w:r w:rsidR="00A90168" w:rsidRPr="00D954F7">
          <w:rPr>
            <w:rStyle w:val="Hyperlink"/>
          </w:rPr>
          <w:noBreakHyphen/>
          <w:t>1:</w:t>
        </w:r>
        <w:r w:rsidR="00A90168">
          <w:rPr>
            <w:rFonts w:eastAsiaTheme="minorEastAsia" w:cstheme="minorBidi"/>
            <w:color w:val="auto"/>
            <w:szCs w:val="22"/>
            <w:lang w:eastAsia="en-GB"/>
          </w:rPr>
          <w:tab/>
        </w:r>
        <w:r w:rsidR="00A90168" w:rsidRPr="00D954F7">
          <w:rPr>
            <w:rStyle w:val="Hyperlink"/>
          </w:rPr>
          <w:t>AT program options, cohort costs and return on investment</w:t>
        </w:r>
        <w:r w:rsidR="00A90168">
          <w:rPr>
            <w:webHidden/>
          </w:rPr>
          <w:tab/>
        </w:r>
        <w:r w:rsidR="00A90168">
          <w:rPr>
            <w:webHidden/>
          </w:rPr>
          <w:fldChar w:fldCharType="begin"/>
        </w:r>
        <w:r w:rsidR="00A90168">
          <w:rPr>
            <w:webHidden/>
          </w:rPr>
          <w:instrText xml:space="preserve"> PAGEREF _Toc59402387 \h </w:instrText>
        </w:r>
        <w:r w:rsidR="00A90168">
          <w:rPr>
            <w:webHidden/>
          </w:rPr>
        </w:r>
        <w:r w:rsidR="00A90168">
          <w:rPr>
            <w:webHidden/>
          </w:rPr>
          <w:fldChar w:fldCharType="separate"/>
        </w:r>
        <w:r w:rsidR="00CC3F04">
          <w:rPr>
            <w:webHidden/>
          </w:rPr>
          <w:t>8</w:t>
        </w:r>
        <w:r w:rsidR="00A90168">
          <w:rPr>
            <w:webHidden/>
          </w:rPr>
          <w:fldChar w:fldCharType="end"/>
        </w:r>
      </w:hyperlink>
    </w:p>
    <w:p w14:paraId="10C641B0" w14:textId="349E74D1" w:rsidR="00A90168" w:rsidRDefault="00B346C7">
      <w:pPr>
        <w:pStyle w:val="TableofFigures"/>
        <w:rPr>
          <w:rFonts w:eastAsiaTheme="minorEastAsia" w:cstheme="minorBidi"/>
          <w:color w:val="auto"/>
          <w:szCs w:val="22"/>
          <w:lang w:eastAsia="en-GB"/>
        </w:rPr>
      </w:pPr>
      <w:hyperlink w:anchor="_Toc59402388" w:history="1">
        <w:r w:rsidR="00A90168" w:rsidRPr="00D954F7">
          <w:rPr>
            <w:rStyle w:val="Hyperlink"/>
          </w:rPr>
          <w:t>Table 2</w:t>
        </w:r>
        <w:r w:rsidR="00A90168" w:rsidRPr="00D954F7">
          <w:rPr>
            <w:rStyle w:val="Hyperlink"/>
          </w:rPr>
          <w:noBreakHyphen/>
          <w:t>1:</w:t>
        </w:r>
        <w:r w:rsidR="00A90168">
          <w:rPr>
            <w:rFonts w:eastAsiaTheme="minorEastAsia" w:cstheme="minorBidi"/>
            <w:color w:val="auto"/>
            <w:szCs w:val="22"/>
            <w:lang w:eastAsia="en-GB"/>
          </w:rPr>
          <w:tab/>
        </w:r>
        <w:r w:rsidR="00A90168" w:rsidRPr="00D954F7">
          <w:rPr>
            <w:rStyle w:val="Hyperlink"/>
          </w:rPr>
          <w:t>Mapping the hierarchy of age-related decline steps to the CHSP services</w:t>
        </w:r>
        <w:r w:rsidR="00A90168">
          <w:rPr>
            <w:webHidden/>
          </w:rPr>
          <w:tab/>
        </w:r>
        <w:r w:rsidR="00A90168">
          <w:rPr>
            <w:webHidden/>
          </w:rPr>
          <w:fldChar w:fldCharType="begin"/>
        </w:r>
        <w:r w:rsidR="00A90168">
          <w:rPr>
            <w:webHidden/>
          </w:rPr>
          <w:instrText xml:space="preserve"> PAGEREF _Toc59402388 \h </w:instrText>
        </w:r>
        <w:r w:rsidR="00A90168">
          <w:rPr>
            <w:webHidden/>
          </w:rPr>
        </w:r>
        <w:r w:rsidR="00A90168">
          <w:rPr>
            <w:webHidden/>
          </w:rPr>
          <w:fldChar w:fldCharType="separate"/>
        </w:r>
        <w:r w:rsidR="00CC3F04">
          <w:rPr>
            <w:webHidden/>
          </w:rPr>
          <w:t>21</w:t>
        </w:r>
        <w:r w:rsidR="00A90168">
          <w:rPr>
            <w:webHidden/>
          </w:rPr>
          <w:fldChar w:fldCharType="end"/>
        </w:r>
      </w:hyperlink>
    </w:p>
    <w:p w14:paraId="20D2B3A3" w14:textId="60968485" w:rsidR="00A90168" w:rsidRDefault="00B346C7">
      <w:pPr>
        <w:pStyle w:val="TableofFigures"/>
        <w:rPr>
          <w:rFonts w:eastAsiaTheme="minorEastAsia" w:cstheme="minorBidi"/>
          <w:color w:val="auto"/>
          <w:szCs w:val="22"/>
          <w:lang w:eastAsia="en-GB"/>
        </w:rPr>
      </w:pPr>
      <w:hyperlink w:anchor="_Toc59402389" w:history="1">
        <w:r w:rsidR="00A90168" w:rsidRPr="00D954F7">
          <w:rPr>
            <w:rStyle w:val="Hyperlink"/>
          </w:rPr>
          <w:t>Table 2</w:t>
        </w:r>
        <w:r w:rsidR="00A90168" w:rsidRPr="00D954F7">
          <w:rPr>
            <w:rStyle w:val="Hyperlink"/>
          </w:rPr>
          <w:noBreakHyphen/>
          <w:t>2:</w:t>
        </w:r>
        <w:r w:rsidR="00A90168">
          <w:rPr>
            <w:rFonts w:eastAsiaTheme="minorEastAsia" w:cstheme="minorBidi"/>
            <w:color w:val="auto"/>
            <w:szCs w:val="22"/>
            <w:lang w:eastAsia="en-GB"/>
          </w:rPr>
          <w:tab/>
        </w:r>
        <w:r w:rsidR="00A90168" w:rsidRPr="00D954F7">
          <w:rPr>
            <w:rStyle w:val="Hyperlink"/>
          </w:rPr>
          <w:t>AT and subsidies available under national programs – Australian Government Aged Care Programs</w:t>
        </w:r>
        <w:r w:rsidR="00A90168">
          <w:rPr>
            <w:webHidden/>
          </w:rPr>
          <w:tab/>
        </w:r>
        <w:r w:rsidR="00A90168">
          <w:rPr>
            <w:webHidden/>
          </w:rPr>
          <w:fldChar w:fldCharType="begin"/>
        </w:r>
        <w:r w:rsidR="00A90168">
          <w:rPr>
            <w:webHidden/>
          </w:rPr>
          <w:instrText xml:space="preserve"> PAGEREF _Toc59402389 \h </w:instrText>
        </w:r>
        <w:r w:rsidR="00A90168">
          <w:rPr>
            <w:webHidden/>
          </w:rPr>
        </w:r>
        <w:r w:rsidR="00A90168">
          <w:rPr>
            <w:webHidden/>
          </w:rPr>
          <w:fldChar w:fldCharType="separate"/>
        </w:r>
        <w:r w:rsidR="00CC3F04">
          <w:rPr>
            <w:webHidden/>
          </w:rPr>
          <w:t>22</w:t>
        </w:r>
        <w:r w:rsidR="00A90168">
          <w:rPr>
            <w:webHidden/>
          </w:rPr>
          <w:fldChar w:fldCharType="end"/>
        </w:r>
      </w:hyperlink>
    </w:p>
    <w:p w14:paraId="4E423E9E" w14:textId="4852596A" w:rsidR="00A90168" w:rsidRDefault="00B346C7">
      <w:pPr>
        <w:pStyle w:val="TableofFigures"/>
        <w:rPr>
          <w:rFonts w:eastAsiaTheme="minorEastAsia" w:cstheme="minorBidi"/>
          <w:color w:val="auto"/>
          <w:szCs w:val="22"/>
          <w:lang w:eastAsia="en-GB"/>
        </w:rPr>
      </w:pPr>
      <w:hyperlink w:anchor="_Toc59402390" w:history="1">
        <w:r w:rsidR="00A90168" w:rsidRPr="00D954F7">
          <w:rPr>
            <w:rStyle w:val="Hyperlink"/>
          </w:rPr>
          <w:t>Table 2</w:t>
        </w:r>
        <w:r w:rsidR="00A90168" w:rsidRPr="00D954F7">
          <w:rPr>
            <w:rStyle w:val="Hyperlink"/>
          </w:rPr>
          <w:noBreakHyphen/>
          <w:t>3:</w:t>
        </w:r>
        <w:r w:rsidR="00A90168">
          <w:rPr>
            <w:rFonts w:eastAsiaTheme="minorEastAsia" w:cstheme="minorBidi"/>
            <w:color w:val="auto"/>
            <w:szCs w:val="22"/>
            <w:lang w:eastAsia="en-GB"/>
          </w:rPr>
          <w:tab/>
        </w:r>
        <w:r w:rsidR="00A90168" w:rsidRPr="00D954F7">
          <w:rPr>
            <w:rStyle w:val="Hyperlink"/>
          </w:rPr>
          <w:t>AT and subsidies available under national programs –  Other Australian Government schemes (not solely for people aged 65 years or older)</w:t>
        </w:r>
        <w:r w:rsidR="00A90168">
          <w:rPr>
            <w:webHidden/>
          </w:rPr>
          <w:tab/>
        </w:r>
        <w:r w:rsidR="00A90168">
          <w:rPr>
            <w:webHidden/>
          </w:rPr>
          <w:fldChar w:fldCharType="begin"/>
        </w:r>
        <w:r w:rsidR="00A90168">
          <w:rPr>
            <w:webHidden/>
          </w:rPr>
          <w:instrText xml:space="preserve"> PAGEREF _Toc59402390 \h </w:instrText>
        </w:r>
        <w:r w:rsidR="00A90168">
          <w:rPr>
            <w:webHidden/>
          </w:rPr>
        </w:r>
        <w:r w:rsidR="00A90168">
          <w:rPr>
            <w:webHidden/>
          </w:rPr>
          <w:fldChar w:fldCharType="separate"/>
        </w:r>
        <w:r w:rsidR="00CC3F04">
          <w:rPr>
            <w:webHidden/>
          </w:rPr>
          <w:t>23</w:t>
        </w:r>
        <w:r w:rsidR="00A90168">
          <w:rPr>
            <w:webHidden/>
          </w:rPr>
          <w:fldChar w:fldCharType="end"/>
        </w:r>
      </w:hyperlink>
    </w:p>
    <w:p w14:paraId="5E691B66" w14:textId="34566EED" w:rsidR="00A90168" w:rsidRDefault="00B346C7">
      <w:pPr>
        <w:pStyle w:val="TableofFigures"/>
        <w:rPr>
          <w:rFonts w:eastAsiaTheme="minorEastAsia" w:cstheme="minorBidi"/>
          <w:color w:val="auto"/>
          <w:szCs w:val="22"/>
          <w:lang w:eastAsia="en-GB"/>
        </w:rPr>
      </w:pPr>
      <w:hyperlink w:anchor="_Toc59402391" w:history="1">
        <w:r w:rsidR="00A90168" w:rsidRPr="00D954F7">
          <w:rPr>
            <w:rStyle w:val="Hyperlink"/>
          </w:rPr>
          <w:t>Table 2</w:t>
        </w:r>
        <w:r w:rsidR="00A90168" w:rsidRPr="00D954F7">
          <w:rPr>
            <w:rStyle w:val="Hyperlink"/>
          </w:rPr>
          <w:noBreakHyphen/>
          <w:t>4:</w:t>
        </w:r>
        <w:r w:rsidR="00A90168">
          <w:rPr>
            <w:rFonts w:eastAsiaTheme="minorEastAsia" w:cstheme="minorBidi"/>
            <w:color w:val="auto"/>
            <w:szCs w:val="22"/>
            <w:lang w:eastAsia="en-GB"/>
          </w:rPr>
          <w:tab/>
        </w:r>
        <w:r w:rsidR="00A90168" w:rsidRPr="00D954F7">
          <w:rPr>
            <w:rStyle w:val="Hyperlink"/>
          </w:rPr>
          <w:t>AT and subsidies available under national programs –  Condition-specific national programs for particular categories of AT</w:t>
        </w:r>
        <w:r w:rsidR="00A90168">
          <w:rPr>
            <w:webHidden/>
          </w:rPr>
          <w:tab/>
        </w:r>
        <w:r w:rsidR="00A90168">
          <w:rPr>
            <w:webHidden/>
          </w:rPr>
          <w:fldChar w:fldCharType="begin"/>
        </w:r>
        <w:r w:rsidR="00A90168">
          <w:rPr>
            <w:webHidden/>
          </w:rPr>
          <w:instrText xml:space="preserve"> PAGEREF _Toc59402391 \h </w:instrText>
        </w:r>
        <w:r w:rsidR="00A90168">
          <w:rPr>
            <w:webHidden/>
          </w:rPr>
        </w:r>
        <w:r w:rsidR="00A90168">
          <w:rPr>
            <w:webHidden/>
          </w:rPr>
          <w:fldChar w:fldCharType="separate"/>
        </w:r>
        <w:r w:rsidR="00CC3F04">
          <w:rPr>
            <w:webHidden/>
          </w:rPr>
          <w:t>23</w:t>
        </w:r>
        <w:r w:rsidR="00A90168">
          <w:rPr>
            <w:webHidden/>
          </w:rPr>
          <w:fldChar w:fldCharType="end"/>
        </w:r>
      </w:hyperlink>
    </w:p>
    <w:p w14:paraId="014CF665" w14:textId="2249D3DF" w:rsidR="00A90168" w:rsidRDefault="00B346C7">
      <w:pPr>
        <w:pStyle w:val="TableofFigures"/>
        <w:rPr>
          <w:rFonts w:eastAsiaTheme="minorEastAsia" w:cstheme="minorBidi"/>
          <w:color w:val="auto"/>
          <w:szCs w:val="22"/>
          <w:lang w:eastAsia="en-GB"/>
        </w:rPr>
      </w:pPr>
      <w:hyperlink w:anchor="_Toc59402392" w:history="1">
        <w:r w:rsidR="00A90168" w:rsidRPr="00D954F7">
          <w:rPr>
            <w:rStyle w:val="Hyperlink"/>
          </w:rPr>
          <w:t>Table 2</w:t>
        </w:r>
        <w:r w:rsidR="00A90168" w:rsidRPr="00D954F7">
          <w:rPr>
            <w:rStyle w:val="Hyperlink"/>
          </w:rPr>
          <w:noBreakHyphen/>
          <w:t>5:</w:t>
        </w:r>
        <w:r w:rsidR="00A90168">
          <w:rPr>
            <w:rFonts w:eastAsiaTheme="minorEastAsia" w:cstheme="minorBidi"/>
            <w:color w:val="auto"/>
            <w:szCs w:val="22"/>
            <w:lang w:eastAsia="en-GB"/>
          </w:rPr>
          <w:tab/>
        </w:r>
        <w:r w:rsidR="00A90168" w:rsidRPr="00D954F7">
          <w:rPr>
            <w:rStyle w:val="Hyperlink"/>
          </w:rPr>
          <w:t>Available AT by jurisdiction aids and equipment programs</w:t>
        </w:r>
        <w:r w:rsidR="00A90168">
          <w:rPr>
            <w:webHidden/>
          </w:rPr>
          <w:tab/>
        </w:r>
        <w:r w:rsidR="00A90168">
          <w:rPr>
            <w:webHidden/>
          </w:rPr>
          <w:fldChar w:fldCharType="begin"/>
        </w:r>
        <w:r w:rsidR="00A90168">
          <w:rPr>
            <w:webHidden/>
          </w:rPr>
          <w:instrText xml:space="preserve"> PAGEREF _Toc59402392 \h </w:instrText>
        </w:r>
        <w:r w:rsidR="00A90168">
          <w:rPr>
            <w:webHidden/>
          </w:rPr>
        </w:r>
        <w:r w:rsidR="00A90168">
          <w:rPr>
            <w:webHidden/>
          </w:rPr>
          <w:fldChar w:fldCharType="separate"/>
        </w:r>
        <w:r w:rsidR="00CC3F04">
          <w:rPr>
            <w:webHidden/>
          </w:rPr>
          <w:t>25</w:t>
        </w:r>
        <w:r w:rsidR="00A90168">
          <w:rPr>
            <w:webHidden/>
          </w:rPr>
          <w:fldChar w:fldCharType="end"/>
        </w:r>
      </w:hyperlink>
    </w:p>
    <w:p w14:paraId="0095281C" w14:textId="2EE988E0" w:rsidR="00A90168" w:rsidRDefault="00B346C7">
      <w:pPr>
        <w:pStyle w:val="TableofFigures"/>
        <w:rPr>
          <w:rFonts w:eastAsiaTheme="minorEastAsia" w:cstheme="minorBidi"/>
          <w:color w:val="auto"/>
          <w:szCs w:val="22"/>
          <w:lang w:eastAsia="en-GB"/>
        </w:rPr>
      </w:pPr>
      <w:hyperlink w:anchor="_Toc59402393" w:history="1">
        <w:r w:rsidR="00A90168" w:rsidRPr="00D954F7">
          <w:rPr>
            <w:rStyle w:val="Hyperlink"/>
          </w:rPr>
          <w:t>Table 2</w:t>
        </w:r>
        <w:r w:rsidR="00A90168" w:rsidRPr="00D954F7">
          <w:rPr>
            <w:rStyle w:val="Hyperlink"/>
          </w:rPr>
          <w:noBreakHyphen/>
          <w:t>6:</w:t>
        </w:r>
        <w:r w:rsidR="00A90168">
          <w:rPr>
            <w:rFonts w:eastAsiaTheme="minorEastAsia" w:cstheme="minorBidi"/>
            <w:color w:val="auto"/>
            <w:szCs w:val="22"/>
            <w:lang w:eastAsia="en-GB"/>
          </w:rPr>
          <w:tab/>
        </w:r>
        <w:r w:rsidR="00A90168" w:rsidRPr="00D954F7">
          <w:rPr>
            <w:rStyle w:val="Hyperlink"/>
          </w:rPr>
          <w:t>CHSP number of consumers and expenditure, 2018-19</w:t>
        </w:r>
        <w:r w:rsidR="00A90168">
          <w:rPr>
            <w:webHidden/>
          </w:rPr>
          <w:tab/>
        </w:r>
        <w:r w:rsidR="00A90168">
          <w:rPr>
            <w:webHidden/>
          </w:rPr>
          <w:fldChar w:fldCharType="begin"/>
        </w:r>
        <w:r w:rsidR="00A90168">
          <w:rPr>
            <w:webHidden/>
          </w:rPr>
          <w:instrText xml:space="preserve"> PAGEREF _Toc59402393 \h </w:instrText>
        </w:r>
        <w:r w:rsidR="00A90168">
          <w:rPr>
            <w:webHidden/>
          </w:rPr>
        </w:r>
        <w:r w:rsidR="00A90168">
          <w:rPr>
            <w:webHidden/>
          </w:rPr>
          <w:fldChar w:fldCharType="separate"/>
        </w:r>
        <w:r w:rsidR="00CC3F04">
          <w:rPr>
            <w:webHidden/>
          </w:rPr>
          <w:t>26</w:t>
        </w:r>
        <w:r w:rsidR="00A90168">
          <w:rPr>
            <w:webHidden/>
          </w:rPr>
          <w:fldChar w:fldCharType="end"/>
        </w:r>
      </w:hyperlink>
    </w:p>
    <w:p w14:paraId="75305C1D" w14:textId="11FA204C" w:rsidR="00A90168" w:rsidRDefault="00B346C7">
      <w:pPr>
        <w:pStyle w:val="TableofFigures"/>
        <w:rPr>
          <w:rFonts w:eastAsiaTheme="minorEastAsia" w:cstheme="minorBidi"/>
          <w:color w:val="auto"/>
          <w:szCs w:val="22"/>
          <w:lang w:eastAsia="en-GB"/>
        </w:rPr>
      </w:pPr>
      <w:hyperlink w:anchor="_Toc59402394" w:history="1">
        <w:r w:rsidR="00A90168" w:rsidRPr="00D954F7">
          <w:rPr>
            <w:rStyle w:val="Hyperlink"/>
          </w:rPr>
          <w:t>Table 2</w:t>
        </w:r>
        <w:r w:rsidR="00A90168" w:rsidRPr="00D954F7">
          <w:rPr>
            <w:rStyle w:val="Hyperlink"/>
          </w:rPr>
          <w:noBreakHyphen/>
          <w:t>7:</w:t>
        </w:r>
        <w:r w:rsidR="00A90168">
          <w:rPr>
            <w:rFonts w:eastAsiaTheme="minorEastAsia" w:cstheme="minorBidi"/>
            <w:color w:val="auto"/>
            <w:szCs w:val="22"/>
            <w:lang w:eastAsia="en-GB"/>
          </w:rPr>
          <w:tab/>
        </w:r>
        <w:r w:rsidR="00A90168" w:rsidRPr="00D954F7">
          <w:rPr>
            <w:rStyle w:val="Hyperlink"/>
          </w:rPr>
          <w:t>HCP number of consumers and expenditure, 2018-19</w:t>
        </w:r>
        <w:r w:rsidR="00A90168">
          <w:rPr>
            <w:webHidden/>
          </w:rPr>
          <w:tab/>
        </w:r>
        <w:r w:rsidR="00A90168">
          <w:rPr>
            <w:webHidden/>
          </w:rPr>
          <w:fldChar w:fldCharType="begin"/>
        </w:r>
        <w:r w:rsidR="00A90168">
          <w:rPr>
            <w:webHidden/>
          </w:rPr>
          <w:instrText xml:space="preserve"> PAGEREF _Toc59402394 \h </w:instrText>
        </w:r>
        <w:r w:rsidR="00A90168">
          <w:rPr>
            <w:webHidden/>
          </w:rPr>
        </w:r>
        <w:r w:rsidR="00A90168">
          <w:rPr>
            <w:webHidden/>
          </w:rPr>
          <w:fldChar w:fldCharType="separate"/>
        </w:r>
        <w:r w:rsidR="00CC3F04">
          <w:rPr>
            <w:webHidden/>
          </w:rPr>
          <w:t>26</w:t>
        </w:r>
        <w:r w:rsidR="00A90168">
          <w:rPr>
            <w:webHidden/>
          </w:rPr>
          <w:fldChar w:fldCharType="end"/>
        </w:r>
      </w:hyperlink>
    </w:p>
    <w:p w14:paraId="5B4AB4BD" w14:textId="30907263" w:rsidR="00A90168" w:rsidRDefault="00B346C7">
      <w:pPr>
        <w:pStyle w:val="TableofFigures"/>
        <w:rPr>
          <w:rFonts w:eastAsiaTheme="minorEastAsia" w:cstheme="minorBidi"/>
          <w:color w:val="auto"/>
          <w:szCs w:val="22"/>
          <w:lang w:eastAsia="en-GB"/>
        </w:rPr>
      </w:pPr>
      <w:hyperlink w:anchor="_Toc59402395" w:history="1">
        <w:r w:rsidR="00A90168" w:rsidRPr="00D954F7">
          <w:rPr>
            <w:rStyle w:val="Hyperlink"/>
          </w:rPr>
          <w:t>Table 2</w:t>
        </w:r>
        <w:r w:rsidR="00A90168" w:rsidRPr="00D954F7">
          <w:rPr>
            <w:rStyle w:val="Hyperlink"/>
          </w:rPr>
          <w:noBreakHyphen/>
          <w:t>8:</w:t>
        </w:r>
        <w:r w:rsidR="00A90168">
          <w:rPr>
            <w:rFonts w:eastAsiaTheme="minorEastAsia" w:cstheme="minorBidi"/>
            <w:color w:val="auto"/>
            <w:szCs w:val="22"/>
            <w:lang w:eastAsia="en-GB"/>
          </w:rPr>
          <w:tab/>
        </w:r>
        <w:r w:rsidR="00A90168" w:rsidRPr="00D954F7">
          <w:rPr>
            <w:rStyle w:val="Hyperlink"/>
          </w:rPr>
          <w:t>CHSP Goods and Equipment allocation by category 2018-19</w:t>
        </w:r>
        <w:r w:rsidR="00A90168">
          <w:rPr>
            <w:webHidden/>
          </w:rPr>
          <w:tab/>
        </w:r>
        <w:r w:rsidR="00A90168">
          <w:rPr>
            <w:webHidden/>
          </w:rPr>
          <w:fldChar w:fldCharType="begin"/>
        </w:r>
        <w:r w:rsidR="00A90168">
          <w:rPr>
            <w:webHidden/>
          </w:rPr>
          <w:instrText xml:space="preserve"> PAGEREF _Toc59402395 \h </w:instrText>
        </w:r>
        <w:r w:rsidR="00A90168">
          <w:rPr>
            <w:webHidden/>
          </w:rPr>
        </w:r>
        <w:r w:rsidR="00A90168">
          <w:rPr>
            <w:webHidden/>
          </w:rPr>
          <w:fldChar w:fldCharType="separate"/>
        </w:r>
        <w:r w:rsidR="00CC3F04">
          <w:rPr>
            <w:webHidden/>
          </w:rPr>
          <w:t>27</w:t>
        </w:r>
        <w:r w:rsidR="00A90168">
          <w:rPr>
            <w:webHidden/>
          </w:rPr>
          <w:fldChar w:fldCharType="end"/>
        </w:r>
      </w:hyperlink>
    </w:p>
    <w:p w14:paraId="5C048D0D" w14:textId="5F21BB0C" w:rsidR="00A90168" w:rsidRDefault="00B346C7">
      <w:pPr>
        <w:pStyle w:val="TableofFigures"/>
        <w:rPr>
          <w:rFonts w:eastAsiaTheme="minorEastAsia" w:cstheme="minorBidi"/>
          <w:color w:val="auto"/>
          <w:szCs w:val="22"/>
          <w:lang w:eastAsia="en-GB"/>
        </w:rPr>
      </w:pPr>
      <w:hyperlink w:anchor="_Toc59402396" w:history="1">
        <w:r w:rsidR="00A90168" w:rsidRPr="00D954F7">
          <w:rPr>
            <w:rStyle w:val="Hyperlink"/>
          </w:rPr>
          <w:t>Table 2</w:t>
        </w:r>
        <w:r w:rsidR="00A90168" w:rsidRPr="00D954F7">
          <w:rPr>
            <w:rStyle w:val="Hyperlink"/>
          </w:rPr>
          <w:noBreakHyphen/>
          <w:t>9:</w:t>
        </w:r>
        <w:r w:rsidR="00A90168">
          <w:rPr>
            <w:rFonts w:eastAsiaTheme="minorEastAsia" w:cstheme="minorBidi"/>
            <w:color w:val="auto"/>
            <w:szCs w:val="22"/>
            <w:lang w:eastAsia="en-GB"/>
          </w:rPr>
          <w:tab/>
        </w:r>
        <w:r w:rsidR="00A90168" w:rsidRPr="00D954F7">
          <w:rPr>
            <w:rStyle w:val="Hyperlink"/>
          </w:rPr>
          <w:t>States and territories CHSP consumers and expenditure, 2018-19 – Goods, Equipment and Assistive Technology</w:t>
        </w:r>
        <w:r w:rsidR="00A90168">
          <w:rPr>
            <w:webHidden/>
          </w:rPr>
          <w:tab/>
        </w:r>
        <w:r w:rsidR="00A90168">
          <w:rPr>
            <w:webHidden/>
          </w:rPr>
          <w:fldChar w:fldCharType="begin"/>
        </w:r>
        <w:r w:rsidR="00A90168">
          <w:rPr>
            <w:webHidden/>
          </w:rPr>
          <w:instrText xml:space="preserve"> PAGEREF _Toc59402396 \h </w:instrText>
        </w:r>
        <w:r w:rsidR="00A90168">
          <w:rPr>
            <w:webHidden/>
          </w:rPr>
        </w:r>
        <w:r w:rsidR="00A90168">
          <w:rPr>
            <w:webHidden/>
          </w:rPr>
          <w:fldChar w:fldCharType="separate"/>
        </w:r>
        <w:r w:rsidR="00CC3F04">
          <w:rPr>
            <w:webHidden/>
          </w:rPr>
          <w:t>28</w:t>
        </w:r>
        <w:r w:rsidR="00A90168">
          <w:rPr>
            <w:webHidden/>
          </w:rPr>
          <w:fldChar w:fldCharType="end"/>
        </w:r>
      </w:hyperlink>
    </w:p>
    <w:p w14:paraId="35A4161F" w14:textId="3C3BF8AE" w:rsidR="00A90168" w:rsidRDefault="00B346C7">
      <w:pPr>
        <w:pStyle w:val="TableofFigures"/>
        <w:rPr>
          <w:rFonts w:eastAsiaTheme="minorEastAsia" w:cstheme="minorBidi"/>
          <w:color w:val="auto"/>
          <w:szCs w:val="22"/>
          <w:lang w:eastAsia="en-GB"/>
        </w:rPr>
      </w:pPr>
      <w:hyperlink w:anchor="_Toc59402397" w:history="1">
        <w:r w:rsidR="00A90168" w:rsidRPr="00D954F7">
          <w:rPr>
            <w:rStyle w:val="Hyperlink"/>
          </w:rPr>
          <w:t>Table 2</w:t>
        </w:r>
        <w:r w:rsidR="00A90168" w:rsidRPr="00D954F7">
          <w:rPr>
            <w:rStyle w:val="Hyperlink"/>
          </w:rPr>
          <w:noBreakHyphen/>
          <w:t>10:</w:t>
        </w:r>
        <w:r w:rsidR="00A90168">
          <w:rPr>
            <w:rFonts w:eastAsiaTheme="minorEastAsia" w:cstheme="minorBidi"/>
            <w:color w:val="auto"/>
            <w:szCs w:val="22"/>
            <w:lang w:eastAsia="en-GB"/>
          </w:rPr>
          <w:tab/>
        </w:r>
        <w:r w:rsidR="00A90168" w:rsidRPr="00D954F7">
          <w:rPr>
            <w:rStyle w:val="Hyperlink"/>
          </w:rPr>
          <w:t>States and territories CHSP consumers and expenditure, 2018-19 – Home Modifications</w:t>
        </w:r>
        <w:r w:rsidR="00A90168">
          <w:rPr>
            <w:webHidden/>
          </w:rPr>
          <w:tab/>
        </w:r>
        <w:r w:rsidR="00A90168">
          <w:rPr>
            <w:webHidden/>
          </w:rPr>
          <w:fldChar w:fldCharType="begin"/>
        </w:r>
        <w:r w:rsidR="00A90168">
          <w:rPr>
            <w:webHidden/>
          </w:rPr>
          <w:instrText xml:space="preserve"> PAGEREF _Toc59402397 \h </w:instrText>
        </w:r>
        <w:r w:rsidR="00A90168">
          <w:rPr>
            <w:webHidden/>
          </w:rPr>
        </w:r>
        <w:r w:rsidR="00A90168">
          <w:rPr>
            <w:webHidden/>
          </w:rPr>
          <w:fldChar w:fldCharType="separate"/>
        </w:r>
        <w:r w:rsidR="00CC3F04">
          <w:rPr>
            <w:webHidden/>
          </w:rPr>
          <w:t>28</w:t>
        </w:r>
        <w:r w:rsidR="00A90168">
          <w:rPr>
            <w:webHidden/>
          </w:rPr>
          <w:fldChar w:fldCharType="end"/>
        </w:r>
      </w:hyperlink>
    </w:p>
    <w:p w14:paraId="72F17A67" w14:textId="5677ED73" w:rsidR="00A90168" w:rsidRDefault="00B346C7">
      <w:pPr>
        <w:pStyle w:val="TableofFigures"/>
        <w:rPr>
          <w:rFonts w:eastAsiaTheme="minorEastAsia" w:cstheme="minorBidi"/>
          <w:color w:val="auto"/>
          <w:szCs w:val="22"/>
          <w:lang w:eastAsia="en-GB"/>
        </w:rPr>
      </w:pPr>
      <w:hyperlink w:anchor="_Toc59402398" w:history="1">
        <w:r w:rsidR="00A90168" w:rsidRPr="00D954F7">
          <w:rPr>
            <w:rStyle w:val="Hyperlink"/>
          </w:rPr>
          <w:t>Table 2</w:t>
        </w:r>
        <w:r w:rsidR="00A90168" w:rsidRPr="00D954F7">
          <w:rPr>
            <w:rStyle w:val="Hyperlink"/>
          </w:rPr>
          <w:noBreakHyphen/>
          <w:t>11:</w:t>
        </w:r>
        <w:r w:rsidR="00A90168">
          <w:rPr>
            <w:rFonts w:eastAsiaTheme="minorEastAsia" w:cstheme="minorBidi"/>
            <w:color w:val="auto"/>
            <w:szCs w:val="22"/>
            <w:lang w:eastAsia="en-GB"/>
          </w:rPr>
          <w:tab/>
        </w:r>
        <w:r w:rsidR="00A90168" w:rsidRPr="00D954F7">
          <w:rPr>
            <w:rStyle w:val="Hyperlink"/>
          </w:rPr>
          <w:t>States and territories CHSP consumers and expenditure, 2018-19 – AT and HM</w:t>
        </w:r>
        <w:r w:rsidR="00A90168">
          <w:rPr>
            <w:webHidden/>
          </w:rPr>
          <w:tab/>
        </w:r>
        <w:r w:rsidR="00A90168">
          <w:rPr>
            <w:webHidden/>
          </w:rPr>
          <w:fldChar w:fldCharType="begin"/>
        </w:r>
        <w:r w:rsidR="00A90168">
          <w:rPr>
            <w:webHidden/>
          </w:rPr>
          <w:instrText xml:space="preserve"> PAGEREF _Toc59402398 \h </w:instrText>
        </w:r>
        <w:r w:rsidR="00A90168">
          <w:rPr>
            <w:webHidden/>
          </w:rPr>
        </w:r>
        <w:r w:rsidR="00A90168">
          <w:rPr>
            <w:webHidden/>
          </w:rPr>
          <w:fldChar w:fldCharType="separate"/>
        </w:r>
        <w:r w:rsidR="00CC3F04">
          <w:rPr>
            <w:webHidden/>
          </w:rPr>
          <w:t>28</w:t>
        </w:r>
        <w:r w:rsidR="00A90168">
          <w:rPr>
            <w:webHidden/>
          </w:rPr>
          <w:fldChar w:fldCharType="end"/>
        </w:r>
      </w:hyperlink>
    </w:p>
    <w:p w14:paraId="34F1A4C6" w14:textId="2D243724" w:rsidR="00A90168" w:rsidRDefault="00B346C7">
      <w:pPr>
        <w:pStyle w:val="TableofFigures"/>
        <w:rPr>
          <w:rFonts w:eastAsiaTheme="minorEastAsia" w:cstheme="minorBidi"/>
          <w:color w:val="auto"/>
          <w:szCs w:val="22"/>
          <w:lang w:eastAsia="en-GB"/>
        </w:rPr>
      </w:pPr>
      <w:hyperlink w:anchor="_Toc59402399" w:history="1">
        <w:r w:rsidR="00A90168" w:rsidRPr="00D954F7">
          <w:rPr>
            <w:rStyle w:val="Hyperlink"/>
          </w:rPr>
          <w:t>Table 3</w:t>
        </w:r>
        <w:r w:rsidR="00A90168" w:rsidRPr="00D954F7">
          <w:rPr>
            <w:rStyle w:val="Hyperlink"/>
          </w:rPr>
          <w:noBreakHyphen/>
          <w:t>1:</w:t>
        </w:r>
        <w:r w:rsidR="00A90168">
          <w:rPr>
            <w:rFonts w:eastAsiaTheme="minorEastAsia" w:cstheme="minorBidi"/>
            <w:color w:val="auto"/>
            <w:szCs w:val="22"/>
            <w:lang w:eastAsia="en-GB"/>
          </w:rPr>
          <w:tab/>
        </w:r>
        <w:r w:rsidR="00A90168" w:rsidRPr="00D954F7">
          <w:rPr>
            <w:rStyle w:val="Hyperlink"/>
          </w:rPr>
          <w:t>Consumers outside of aged care and in aged care programs</w:t>
        </w:r>
        <w:r w:rsidR="00A90168">
          <w:rPr>
            <w:webHidden/>
          </w:rPr>
          <w:tab/>
        </w:r>
        <w:r w:rsidR="00A90168">
          <w:rPr>
            <w:webHidden/>
          </w:rPr>
          <w:fldChar w:fldCharType="begin"/>
        </w:r>
        <w:r w:rsidR="00A90168">
          <w:rPr>
            <w:webHidden/>
          </w:rPr>
          <w:instrText xml:space="preserve"> PAGEREF _Toc59402399 \h </w:instrText>
        </w:r>
        <w:r w:rsidR="00A90168">
          <w:rPr>
            <w:webHidden/>
          </w:rPr>
        </w:r>
        <w:r w:rsidR="00A90168">
          <w:rPr>
            <w:webHidden/>
          </w:rPr>
          <w:fldChar w:fldCharType="separate"/>
        </w:r>
        <w:r w:rsidR="00CC3F04">
          <w:rPr>
            <w:webHidden/>
          </w:rPr>
          <w:t>36</w:t>
        </w:r>
        <w:r w:rsidR="00A90168">
          <w:rPr>
            <w:webHidden/>
          </w:rPr>
          <w:fldChar w:fldCharType="end"/>
        </w:r>
      </w:hyperlink>
    </w:p>
    <w:p w14:paraId="354B1460" w14:textId="5B5F9171" w:rsidR="00A90168" w:rsidRDefault="00B346C7">
      <w:pPr>
        <w:pStyle w:val="TableofFigures"/>
        <w:rPr>
          <w:rFonts w:eastAsiaTheme="minorEastAsia" w:cstheme="minorBidi"/>
          <w:color w:val="auto"/>
          <w:szCs w:val="22"/>
          <w:lang w:eastAsia="en-GB"/>
        </w:rPr>
      </w:pPr>
      <w:hyperlink w:anchor="_Toc59402400" w:history="1">
        <w:r w:rsidR="00A90168" w:rsidRPr="00D954F7">
          <w:rPr>
            <w:rStyle w:val="Hyperlink"/>
          </w:rPr>
          <w:t>Table 3</w:t>
        </w:r>
        <w:r w:rsidR="00A90168" w:rsidRPr="00D954F7">
          <w:rPr>
            <w:rStyle w:val="Hyperlink"/>
          </w:rPr>
          <w:noBreakHyphen/>
          <w:t>2:</w:t>
        </w:r>
        <w:r w:rsidR="00A90168">
          <w:rPr>
            <w:rFonts w:eastAsiaTheme="minorEastAsia" w:cstheme="minorBidi"/>
            <w:color w:val="auto"/>
            <w:szCs w:val="22"/>
            <w:lang w:eastAsia="en-GB"/>
          </w:rPr>
          <w:tab/>
        </w:r>
        <w:r w:rsidR="00A90168" w:rsidRPr="00D954F7">
          <w:rPr>
            <w:rStyle w:val="Hyperlink"/>
          </w:rPr>
          <w:t>AT kits</w:t>
        </w:r>
        <w:r w:rsidR="00A90168">
          <w:rPr>
            <w:webHidden/>
          </w:rPr>
          <w:tab/>
        </w:r>
        <w:r w:rsidR="00A90168">
          <w:rPr>
            <w:webHidden/>
          </w:rPr>
          <w:fldChar w:fldCharType="begin"/>
        </w:r>
        <w:r w:rsidR="00A90168">
          <w:rPr>
            <w:webHidden/>
          </w:rPr>
          <w:instrText xml:space="preserve"> PAGEREF _Toc59402400 \h </w:instrText>
        </w:r>
        <w:r w:rsidR="00A90168">
          <w:rPr>
            <w:webHidden/>
          </w:rPr>
        </w:r>
        <w:r w:rsidR="00A90168">
          <w:rPr>
            <w:webHidden/>
          </w:rPr>
          <w:fldChar w:fldCharType="separate"/>
        </w:r>
        <w:r w:rsidR="00CC3F04">
          <w:rPr>
            <w:webHidden/>
          </w:rPr>
          <w:t>37</w:t>
        </w:r>
        <w:r w:rsidR="00A90168">
          <w:rPr>
            <w:webHidden/>
          </w:rPr>
          <w:fldChar w:fldCharType="end"/>
        </w:r>
      </w:hyperlink>
    </w:p>
    <w:p w14:paraId="1C59758D" w14:textId="5C5BF6C6" w:rsidR="00A90168" w:rsidRDefault="00B346C7">
      <w:pPr>
        <w:pStyle w:val="TableofFigures"/>
        <w:rPr>
          <w:rFonts w:eastAsiaTheme="minorEastAsia" w:cstheme="minorBidi"/>
          <w:color w:val="auto"/>
          <w:szCs w:val="22"/>
          <w:lang w:eastAsia="en-GB"/>
        </w:rPr>
      </w:pPr>
      <w:hyperlink w:anchor="_Toc59402401" w:history="1">
        <w:r w:rsidR="00A90168" w:rsidRPr="00D954F7">
          <w:rPr>
            <w:rStyle w:val="Hyperlink"/>
          </w:rPr>
          <w:t>Table 3</w:t>
        </w:r>
        <w:r w:rsidR="00A90168" w:rsidRPr="00D954F7">
          <w:rPr>
            <w:rStyle w:val="Hyperlink"/>
          </w:rPr>
          <w:noBreakHyphen/>
          <w:t>3:</w:t>
        </w:r>
        <w:r w:rsidR="00A90168">
          <w:rPr>
            <w:rFonts w:eastAsiaTheme="minorEastAsia" w:cstheme="minorBidi"/>
            <w:color w:val="auto"/>
            <w:szCs w:val="22"/>
            <w:lang w:eastAsia="en-GB"/>
          </w:rPr>
          <w:tab/>
        </w:r>
        <w:r w:rsidR="00A90168" w:rsidRPr="00D954F7">
          <w:rPr>
            <w:rStyle w:val="Hyperlink"/>
          </w:rPr>
          <w:t>ADL kits</w:t>
        </w:r>
        <w:r w:rsidR="00A90168">
          <w:rPr>
            <w:webHidden/>
          </w:rPr>
          <w:tab/>
        </w:r>
        <w:r w:rsidR="00A90168">
          <w:rPr>
            <w:webHidden/>
          </w:rPr>
          <w:fldChar w:fldCharType="begin"/>
        </w:r>
        <w:r w:rsidR="00A90168">
          <w:rPr>
            <w:webHidden/>
          </w:rPr>
          <w:instrText xml:space="preserve"> PAGEREF _Toc59402401 \h </w:instrText>
        </w:r>
        <w:r w:rsidR="00A90168">
          <w:rPr>
            <w:webHidden/>
          </w:rPr>
        </w:r>
        <w:r w:rsidR="00A90168">
          <w:rPr>
            <w:webHidden/>
          </w:rPr>
          <w:fldChar w:fldCharType="separate"/>
        </w:r>
        <w:r w:rsidR="00CC3F04">
          <w:rPr>
            <w:webHidden/>
          </w:rPr>
          <w:t>39</w:t>
        </w:r>
        <w:r w:rsidR="00A90168">
          <w:rPr>
            <w:webHidden/>
          </w:rPr>
          <w:fldChar w:fldCharType="end"/>
        </w:r>
      </w:hyperlink>
    </w:p>
    <w:p w14:paraId="2EFF716C" w14:textId="3E82B357" w:rsidR="00A90168" w:rsidRDefault="00B346C7">
      <w:pPr>
        <w:pStyle w:val="TableofFigures"/>
        <w:rPr>
          <w:rFonts w:eastAsiaTheme="minorEastAsia" w:cstheme="minorBidi"/>
          <w:color w:val="auto"/>
          <w:szCs w:val="22"/>
          <w:lang w:eastAsia="en-GB"/>
        </w:rPr>
      </w:pPr>
      <w:hyperlink w:anchor="_Toc59402402" w:history="1">
        <w:r w:rsidR="00A90168" w:rsidRPr="00D954F7">
          <w:rPr>
            <w:rStyle w:val="Hyperlink"/>
          </w:rPr>
          <w:t>Table 3</w:t>
        </w:r>
        <w:r w:rsidR="00A90168" w:rsidRPr="00D954F7">
          <w:rPr>
            <w:rStyle w:val="Hyperlink"/>
          </w:rPr>
          <w:noBreakHyphen/>
          <w:t>4:</w:t>
        </w:r>
        <w:r w:rsidR="00A90168">
          <w:rPr>
            <w:rFonts w:eastAsiaTheme="minorEastAsia" w:cstheme="minorBidi"/>
            <w:color w:val="auto"/>
            <w:szCs w:val="22"/>
            <w:lang w:eastAsia="en-GB"/>
          </w:rPr>
          <w:tab/>
        </w:r>
        <w:r w:rsidR="00A90168" w:rsidRPr="00D954F7">
          <w:rPr>
            <w:rStyle w:val="Hyperlink"/>
          </w:rPr>
          <w:t>Cost-benefit based on the cost of AT products as well as the cost of AT services</w:t>
        </w:r>
        <w:r w:rsidR="00A90168">
          <w:rPr>
            <w:webHidden/>
          </w:rPr>
          <w:tab/>
        </w:r>
        <w:r w:rsidR="00A90168">
          <w:rPr>
            <w:webHidden/>
          </w:rPr>
          <w:fldChar w:fldCharType="begin"/>
        </w:r>
        <w:r w:rsidR="00A90168">
          <w:rPr>
            <w:webHidden/>
          </w:rPr>
          <w:instrText xml:space="preserve"> PAGEREF _Toc59402402 \h </w:instrText>
        </w:r>
        <w:r w:rsidR="00A90168">
          <w:rPr>
            <w:webHidden/>
          </w:rPr>
        </w:r>
        <w:r w:rsidR="00A90168">
          <w:rPr>
            <w:webHidden/>
          </w:rPr>
          <w:fldChar w:fldCharType="separate"/>
        </w:r>
        <w:r w:rsidR="00CC3F04">
          <w:rPr>
            <w:webHidden/>
          </w:rPr>
          <w:t>45</w:t>
        </w:r>
        <w:r w:rsidR="00A90168">
          <w:rPr>
            <w:webHidden/>
          </w:rPr>
          <w:fldChar w:fldCharType="end"/>
        </w:r>
      </w:hyperlink>
    </w:p>
    <w:p w14:paraId="18AF15DA" w14:textId="68F1C09F" w:rsidR="00A90168" w:rsidRDefault="00B346C7">
      <w:pPr>
        <w:pStyle w:val="TableofFigures"/>
        <w:rPr>
          <w:rFonts w:eastAsiaTheme="minorEastAsia" w:cstheme="minorBidi"/>
          <w:color w:val="auto"/>
          <w:szCs w:val="22"/>
          <w:lang w:eastAsia="en-GB"/>
        </w:rPr>
      </w:pPr>
      <w:hyperlink w:anchor="_Toc59402403" w:history="1">
        <w:r w:rsidR="00A90168" w:rsidRPr="00D954F7">
          <w:rPr>
            <w:rStyle w:val="Hyperlink"/>
          </w:rPr>
          <w:t>Table 4</w:t>
        </w:r>
        <w:r w:rsidR="00A90168" w:rsidRPr="00D954F7">
          <w:rPr>
            <w:rStyle w:val="Hyperlink"/>
          </w:rPr>
          <w:noBreakHyphen/>
          <w:t>1:</w:t>
        </w:r>
        <w:r w:rsidR="00A90168">
          <w:rPr>
            <w:rFonts w:eastAsiaTheme="minorEastAsia" w:cstheme="minorBidi"/>
            <w:color w:val="auto"/>
            <w:szCs w:val="22"/>
            <w:lang w:eastAsia="en-GB"/>
          </w:rPr>
          <w:tab/>
        </w:r>
        <w:r w:rsidR="00A90168" w:rsidRPr="00D954F7">
          <w:rPr>
            <w:rStyle w:val="Hyperlink"/>
          </w:rPr>
          <w:t>Indicative AT Solutions suite of services characteristics</w:t>
        </w:r>
        <w:r w:rsidR="00A90168">
          <w:rPr>
            <w:webHidden/>
          </w:rPr>
          <w:tab/>
        </w:r>
        <w:r w:rsidR="00A90168">
          <w:rPr>
            <w:webHidden/>
          </w:rPr>
          <w:fldChar w:fldCharType="begin"/>
        </w:r>
        <w:r w:rsidR="00A90168">
          <w:rPr>
            <w:webHidden/>
          </w:rPr>
          <w:instrText xml:space="preserve"> PAGEREF _Toc59402403 \h </w:instrText>
        </w:r>
        <w:r w:rsidR="00A90168">
          <w:rPr>
            <w:webHidden/>
          </w:rPr>
        </w:r>
        <w:r w:rsidR="00A90168">
          <w:rPr>
            <w:webHidden/>
          </w:rPr>
          <w:fldChar w:fldCharType="separate"/>
        </w:r>
        <w:r w:rsidR="00CC3F04">
          <w:rPr>
            <w:webHidden/>
          </w:rPr>
          <w:t>51</w:t>
        </w:r>
        <w:r w:rsidR="00A90168">
          <w:rPr>
            <w:webHidden/>
          </w:rPr>
          <w:fldChar w:fldCharType="end"/>
        </w:r>
      </w:hyperlink>
    </w:p>
    <w:p w14:paraId="0FE608F7" w14:textId="0CCDDAED" w:rsidR="00A90168" w:rsidRDefault="00B346C7">
      <w:pPr>
        <w:pStyle w:val="TableofFigures"/>
        <w:rPr>
          <w:rFonts w:eastAsiaTheme="minorEastAsia" w:cstheme="minorBidi"/>
          <w:color w:val="auto"/>
          <w:szCs w:val="22"/>
          <w:lang w:eastAsia="en-GB"/>
        </w:rPr>
      </w:pPr>
      <w:hyperlink w:anchor="_Toc59402404" w:history="1">
        <w:r w:rsidR="00A90168" w:rsidRPr="00D954F7">
          <w:rPr>
            <w:rStyle w:val="Hyperlink"/>
          </w:rPr>
          <w:t>Table 4</w:t>
        </w:r>
        <w:r w:rsidR="00A90168" w:rsidRPr="00D954F7">
          <w:rPr>
            <w:rStyle w:val="Hyperlink"/>
          </w:rPr>
          <w:noBreakHyphen/>
          <w:t>2:</w:t>
        </w:r>
        <w:r w:rsidR="00A90168">
          <w:rPr>
            <w:rFonts w:eastAsiaTheme="minorEastAsia" w:cstheme="minorBidi"/>
            <w:color w:val="auto"/>
            <w:szCs w:val="22"/>
            <w:lang w:eastAsia="en-GB"/>
          </w:rPr>
          <w:tab/>
        </w:r>
        <w:r w:rsidR="00A90168" w:rsidRPr="00D954F7">
          <w:rPr>
            <w:rStyle w:val="Hyperlink"/>
          </w:rPr>
          <w:t>CHSP categories and suggested changes</w:t>
        </w:r>
        <w:r w:rsidR="00A90168">
          <w:rPr>
            <w:webHidden/>
          </w:rPr>
          <w:tab/>
        </w:r>
        <w:r w:rsidR="00A90168">
          <w:rPr>
            <w:webHidden/>
          </w:rPr>
          <w:fldChar w:fldCharType="begin"/>
        </w:r>
        <w:r w:rsidR="00A90168">
          <w:rPr>
            <w:webHidden/>
          </w:rPr>
          <w:instrText xml:space="preserve"> PAGEREF _Toc59402404 \h </w:instrText>
        </w:r>
        <w:r w:rsidR="00A90168">
          <w:rPr>
            <w:webHidden/>
          </w:rPr>
        </w:r>
        <w:r w:rsidR="00A90168">
          <w:rPr>
            <w:webHidden/>
          </w:rPr>
          <w:fldChar w:fldCharType="separate"/>
        </w:r>
        <w:r w:rsidR="00CC3F04">
          <w:rPr>
            <w:webHidden/>
          </w:rPr>
          <w:t>53</w:t>
        </w:r>
        <w:r w:rsidR="00A90168">
          <w:rPr>
            <w:webHidden/>
          </w:rPr>
          <w:fldChar w:fldCharType="end"/>
        </w:r>
      </w:hyperlink>
    </w:p>
    <w:p w14:paraId="06F2AB20" w14:textId="53572792" w:rsidR="00A90168" w:rsidRDefault="00B346C7">
      <w:pPr>
        <w:pStyle w:val="TableofFigures"/>
        <w:rPr>
          <w:rFonts w:eastAsiaTheme="minorEastAsia" w:cstheme="minorBidi"/>
          <w:color w:val="auto"/>
          <w:szCs w:val="22"/>
          <w:lang w:eastAsia="en-GB"/>
        </w:rPr>
      </w:pPr>
      <w:hyperlink w:anchor="_Toc59402405" w:history="1">
        <w:r w:rsidR="00A90168" w:rsidRPr="00D954F7">
          <w:rPr>
            <w:rStyle w:val="Hyperlink"/>
          </w:rPr>
          <w:t>Table 4</w:t>
        </w:r>
        <w:r w:rsidR="00A90168" w:rsidRPr="00D954F7">
          <w:rPr>
            <w:rStyle w:val="Hyperlink"/>
          </w:rPr>
          <w:noBreakHyphen/>
          <w:t>3:</w:t>
        </w:r>
        <w:r w:rsidR="00A90168">
          <w:rPr>
            <w:rFonts w:eastAsiaTheme="minorEastAsia" w:cstheme="minorBidi"/>
            <w:color w:val="auto"/>
            <w:szCs w:val="22"/>
            <w:lang w:eastAsia="en-GB"/>
          </w:rPr>
          <w:tab/>
        </w:r>
        <w:r w:rsidR="00A90168" w:rsidRPr="00D954F7">
          <w:rPr>
            <w:rStyle w:val="Hyperlink"/>
          </w:rPr>
          <w:t>AT program options, cohort costs and return on investment</w:t>
        </w:r>
        <w:r w:rsidR="00A90168">
          <w:rPr>
            <w:webHidden/>
          </w:rPr>
          <w:tab/>
        </w:r>
        <w:r w:rsidR="00A90168">
          <w:rPr>
            <w:webHidden/>
          </w:rPr>
          <w:fldChar w:fldCharType="begin"/>
        </w:r>
        <w:r w:rsidR="00A90168">
          <w:rPr>
            <w:webHidden/>
          </w:rPr>
          <w:instrText xml:space="preserve"> PAGEREF _Toc59402405 \h </w:instrText>
        </w:r>
        <w:r w:rsidR="00A90168">
          <w:rPr>
            <w:webHidden/>
          </w:rPr>
        </w:r>
        <w:r w:rsidR="00A90168">
          <w:rPr>
            <w:webHidden/>
          </w:rPr>
          <w:fldChar w:fldCharType="separate"/>
        </w:r>
        <w:r w:rsidR="00CC3F04">
          <w:rPr>
            <w:webHidden/>
          </w:rPr>
          <w:t>56</w:t>
        </w:r>
        <w:r w:rsidR="00A90168">
          <w:rPr>
            <w:webHidden/>
          </w:rPr>
          <w:fldChar w:fldCharType="end"/>
        </w:r>
      </w:hyperlink>
    </w:p>
    <w:p w14:paraId="351988B5" w14:textId="269B915D" w:rsidR="00A04D72" w:rsidRDefault="00B52D27" w:rsidP="00384C74">
      <w:pPr>
        <w:pStyle w:val="Tiny"/>
      </w:pPr>
      <w:r w:rsidRPr="00636B05">
        <w:fldChar w:fldCharType="end"/>
      </w:r>
    </w:p>
    <w:p w14:paraId="725F8C61" w14:textId="41A4207A" w:rsidR="00155D4F" w:rsidRPr="00636B05" w:rsidRDefault="00155D4F" w:rsidP="00384C74">
      <w:pPr>
        <w:pStyle w:val="TOCHeading2"/>
      </w:pPr>
      <w:r w:rsidRPr="00384C74">
        <w:t>Figures</w:t>
      </w:r>
    </w:p>
    <w:p w14:paraId="05360D3E" w14:textId="0055A6C2" w:rsidR="00A90168" w:rsidRDefault="00155D4F">
      <w:pPr>
        <w:pStyle w:val="TableofFigures"/>
        <w:rPr>
          <w:rFonts w:eastAsiaTheme="minorEastAsia" w:cstheme="minorBidi"/>
          <w:color w:val="auto"/>
          <w:szCs w:val="22"/>
          <w:lang w:eastAsia="en-GB"/>
        </w:rPr>
      </w:pPr>
      <w:r w:rsidRPr="00731FA4">
        <w:rPr>
          <w:rStyle w:val="Hyperlink"/>
        </w:rPr>
        <w:fldChar w:fldCharType="begin"/>
      </w:r>
      <w:r w:rsidRPr="00731FA4">
        <w:rPr>
          <w:rStyle w:val="Hyperlink"/>
        </w:rPr>
        <w:instrText xml:space="preserve"> TOC \h \z \c "Figure" </w:instrText>
      </w:r>
      <w:r w:rsidRPr="00731FA4">
        <w:rPr>
          <w:rStyle w:val="Hyperlink"/>
        </w:rPr>
        <w:fldChar w:fldCharType="separate"/>
      </w:r>
      <w:hyperlink w:anchor="_Toc59402406" w:history="1">
        <w:r w:rsidR="00A90168" w:rsidRPr="009D3626">
          <w:rPr>
            <w:rStyle w:val="Hyperlink"/>
          </w:rPr>
          <w:t>Figure 1</w:t>
        </w:r>
        <w:r w:rsidR="00A90168" w:rsidRPr="009D3626">
          <w:rPr>
            <w:rStyle w:val="Hyperlink"/>
          </w:rPr>
          <w:noBreakHyphen/>
          <w:t>1:</w:t>
        </w:r>
        <w:r w:rsidR="00A90168">
          <w:rPr>
            <w:rFonts w:eastAsiaTheme="minorEastAsia" w:cstheme="minorBidi"/>
            <w:color w:val="auto"/>
            <w:szCs w:val="22"/>
            <w:lang w:eastAsia="en-GB"/>
          </w:rPr>
          <w:tab/>
        </w:r>
        <w:r w:rsidR="00A90168" w:rsidRPr="009D3626">
          <w:rPr>
            <w:rStyle w:val="Hyperlink"/>
          </w:rPr>
          <w:t>Proposed national framework of AT support, showing new and existing consumer pathways</w:t>
        </w:r>
        <w:r w:rsidR="00A90168">
          <w:rPr>
            <w:webHidden/>
          </w:rPr>
          <w:tab/>
        </w:r>
        <w:r w:rsidR="00A90168">
          <w:rPr>
            <w:webHidden/>
          </w:rPr>
          <w:fldChar w:fldCharType="begin"/>
        </w:r>
        <w:r w:rsidR="00A90168">
          <w:rPr>
            <w:webHidden/>
          </w:rPr>
          <w:instrText xml:space="preserve"> PAGEREF _Toc59402406 \h </w:instrText>
        </w:r>
        <w:r w:rsidR="00A90168">
          <w:rPr>
            <w:webHidden/>
          </w:rPr>
        </w:r>
        <w:r w:rsidR="00A90168">
          <w:rPr>
            <w:webHidden/>
          </w:rPr>
          <w:fldChar w:fldCharType="separate"/>
        </w:r>
        <w:r w:rsidR="00CC3F04">
          <w:rPr>
            <w:webHidden/>
          </w:rPr>
          <w:t>7</w:t>
        </w:r>
        <w:r w:rsidR="00A90168">
          <w:rPr>
            <w:webHidden/>
          </w:rPr>
          <w:fldChar w:fldCharType="end"/>
        </w:r>
      </w:hyperlink>
    </w:p>
    <w:p w14:paraId="05A6BFD8" w14:textId="03751FD2" w:rsidR="00A90168" w:rsidRDefault="00B346C7">
      <w:pPr>
        <w:pStyle w:val="TableofFigures"/>
        <w:rPr>
          <w:rFonts w:eastAsiaTheme="minorEastAsia" w:cstheme="minorBidi"/>
          <w:color w:val="auto"/>
          <w:szCs w:val="22"/>
          <w:lang w:eastAsia="en-GB"/>
        </w:rPr>
      </w:pPr>
      <w:hyperlink w:anchor="_Toc59402407" w:history="1">
        <w:r w:rsidR="00A90168" w:rsidRPr="009D3626">
          <w:rPr>
            <w:rStyle w:val="Hyperlink"/>
          </w:rPr>
          <w:t>Figure 2</w:t>
        </w:r>
        <w:r w:rsidR="00A90168" w:rsidRPr="009D3626">
          <w:rPr>
            <w:rStyle w:val="Hyperlink"/>
          </w:rPr>
          <w:noBreakHyphen/>
          <w:t>1:</w:t>
        </w:r>
        <w:r w:rsidR="00A90168">
          <w:rPr>
            <w:rFonts w:eastAsiaTheme="minorEastAsia" w:cstheme="minorBidi"/>
            <w:color w:val="auto"/>
            <w:szCs w:val="22"/>
            <w:lang w:eastAsia="en-GB"/>
          </w:rPr>
          <w:tab/>
        </w:r>
        <w:r w:rsidR="00A90168" w:rsidRPr="009D3626">
          <w:rPr>
            <w:rStyle w:val="Hyperlink"/>
          </w:rPr>
          <w:t>AT Review methodology</w:t>
        </w:r>
        <w:r w:rsidR="00A90168">
          <w:rPr>
            <w:webHidden/>
          </w:rPr>
          <w:tab/>
        </w:r>
        <w:r w:rsidR="00A90168">
          <w:rPr>
            <w:webHidden/>
          </w:rPr>
          <w:fldChar w:fldCharType="begin"/>
        </w:r>
        <w:r w:rsidR="00A90168">
          <w:rPr>
            <w:webHidden/>
          </w:rPr>
          <w:instrText xml:space="preserve"> PAGEREF _Toc59402407 \h </w:instrText>
        </w:r>
        <w:r w:rsidR="00A90168">
          <w:rPr>
            <w:webHidden/>
          </w:rPr>
        </w:r>
        <w:r w:rsidR="00A90168">
          <w:rPr>
            <w:webHidden/>
          </w:rPr>
          <w:fldChar w:fldCharType="separate"/>
        </w:r>
        <w:r w:rsidR="00CC3F04">
          <w:rPr>
            <w:webHidden/>
          </w:rPr>
          <w:t>14</w:t>
        </w:r>
        <w:r w:rsidR="00A90168">
          <w:rPr>
            <w:webHidden/>
          </w:rPr>
          <w:fldChar w:fldCharType="end"/>
        </w:r>
      </w:hyperlink>
    </w:p>
    <w:p w14:paraId="691A7D69" w14:textId="58C0A341" w:rsidR="00A90168" w:rsidRDefault="00B346C7">
      <w:pPr>
        <w:pStyle w:val="TableofFigures"/>
        <w:rPr>
          <w:rFonts w:eastAsiaTheme="minorEastAsia" w:cstheme="minorBidi"/>
          <w:color w:val="auto"/>
          <w:szCs w:val="22"/>
          <w:lang w:eastAsia="en-GB"/>
        </w:rPr>
      </w:pPr>
      <w:hyperlink w:anchor="_Toc59402408" w:history="1">
        <w:r w:rsidR="00A90168" w:rsidRPr="009D3626">
          <w:rPr>
            <w:rStyle w:val="Hyperlink"/>
          </w:rPr>
          <w:t>Figure 2</w:t>
        </w:r>
        <w:r w:rsidR="00A90168" w:rsidRPr="009D3626">
          <w:rPr>
            <w:rStyle w:val="Hyperlink"/>
          </w:rPr>
          <w:noBreakHyphen/>
          <w:t>2:</w:t>
        </w:r>
        <w:r w:rsidR="00A90168">
          <w:rPr>
            <w:rFonts w:eastAsiaTheme="minorEastAsia" w:cstheme="minorBidi"/>
            <w:color w:val="auto"/>
            <w:szCs w:val="22"/>
            <w:lang w:eastAsia="en-GB"/>
          </w:rPr>
          <w:tab/>
        </w:r>
        <w:r w:rsidR="00A90168" w:rsidRPr="009D3626">
          <w:rPr>
            <w:rStyle w:val="Hyperlink"/>
          </w:rPr>
          <w:t>SDAC levels of impairment and those needing assistance</w:t>
        </w:r>
        <w:r w:rsidR="00A90168">
          <w:rPr>
            <w:webHidden/>
          </w:rPr>
          <w:tab/>
        </w:r>
        <w:r w:rsidR="00A90168">
          <w:rPr>
            <w:webHidden/>
          </w:rPr>
          <w:fldChar w:fldCharType="begin"/>
        </w:r>
        <w:r w:rsidR="00A90168">
          <w:rPr>
            <w:webHidden/>
          </w:rPr>
          <w:instrText xml:space="preserve"> PAGEREF _Toc59402408 \h </w:instrText>
        </w:r>
        <w:r w:rsidR="00A90168">
          <w:rPr>
            <w:webHidden/>
          </w:rPr>
        </w:r>
        <w:r w:rsidR="00A90168">
          <w:rPr>
            <w:webHidden/>
          </w:rPr>
          <w:fldChar w:fldCharType="separate"/>
        </w:r>
        <w:r w:rsidR="00CC3F04">
          <w:rPr>
            <w:webHidden/>
          </w:rPr>
          <w:t>16</w:t>
        </w:r>
        <w:r w:rsidR="00A90168">
          <w:rPr>
            <w:webHidden/>
          </w:rPr>
          <w:fldChar w:fldCharType="end"/>
        </w:r>
      </w:hyperlink>
    </w:p>
    <w:p w14:paraId="384A0AF9" w14:textId="51374B1B" w:rsidR="00A90168" w:rsidRDefault="00B346C7">
      <w:pPr>
        <w:pStyle w:val="TableofFigures"/>
        <w:rPr>
          <w:rFonts w:eastAsiaTheme="minorEastAsia" w:cstheme="minorBidi"/>
          <w:color w:val="auto"/>
          <w:szCs w:val="22"/>
          <w:lang w:eastAsia="en-GB"/>
        </w:rPr>
      </w:pPr>
      <w:hyperlink w:anchor="_Toc59402409" w:history="1">
        <w:r w:rsidR="00A90168" w:rsidRPr="009D3626">
          <w:rPr>
            <w:rStyle w:val="Hyperlink"/>
          </w:rPr>
          <w:t>Figure 2</w:t>
        </w:r>
        <w:r w:rsidR="00A90168" w:rsidRPr="009D3626">
          <w:rPr>
            <w:rStyle w:val="Hyperlink"/>
          </w:rPr>
          <w:noBreakHyphen/>
          <w:t>3:</w:t>
        </w:r>
        <w:r w:rsidR="00A90168">
          <w:rPr>
            <w:rFonts w:eastAsiaTheme="minorEastAsia" w:cstheme="minorBidi"/>
            <w:color w:val="auto"/>
            <w:szCs w:val="22"/>
            <w:lang w:eastAsia="en-GB"/>
          </w:rPr>
          <w:tab/>
        </w:r>
        <w:r w:rsidR="00A90168" w:rsidRPr="009D3626">
          <w:rPr>
            <w:rStyle w:val="Hyperlink"/>
          </w:rPr>
          <w:t>The AT complexity pyramid</w:t>
        </w:r>
        <w:r w:rsidR="00A90168">
          <w:rPr>
            <w:webHidden/>
          </w:rPr>
          <w:tab/>
        </w:r>
        <w:r w:rsidR="00A90168">
          <w:rPr>
            <w:webHidden/>
          </w:rPr>
          <w:fldChar w:fldCharType="begin"/>
        </w:r>
        <w:r w:rsidR="00A90168">
          <w:rPr>
            <w:webHidden/>
          </w:rPr>
          <w:instrText xml:space="preserve"> PAGEREF _Toc59402409 \h </w:instrText>
        </w:r>
        <w:r w:rsidR="00A90168">
          <w:rPr>
            <w:webHidden/>
          </w:rPr>
        </w:r>
        <w:r w:rsidR="00A90168">
          <w:rPr>
            <w:webHidden/>
          </w:rPr>
          <w:fldChar w:fldCharType="separate"/>
        </w:r>
        <w:r w:rsidR="00CC3F04">
          <w:rPr>
            <w:webHidden/>
          </w:rPr>
          <w:t>17</w:t>
        </w:r>
        <w:r w:rsidR="00A90168">
          <w:rPr>
            <w:webHidden/>
          </w:rPr>
          <w:fldChar w:fldCharType="end"/>
        </w:r>
      </w:hyperlink>
    </w:p>
    <w:p w14:paraId="0B93C688" w14:textId="7E6BC1D6" w:rsidR="00A90168" w:rsidRDefault="00B346C7">
      <w:pPr>
        <w:pStyle w:val="TableofFigures"/>
        <w:rPr>
          <w:rFonts w:eastAsiaTheme="minorEastAsia" w:cstheme="minorBidi"/>
          <w:color w:val="auto"/>
          <w:szCs w:val="22"/>
          <w:lang w:eastAsia="en-GB"/>
        </w:rPr>
      </w:pPr>
      <w:hyperlink w:anchor="_Toc59402410" w:history="1">
        <w:r w:rsidR="00A90168" w:rsidRPr="009D3626">
          <w:rPr>
            <w:rStyle w:val="Hyperlink"/>
          </w:rPr>
          <w:t>Figure 2</w:t>
        </w:r>
        <w:r w:rsidR="00A90168" w:rsidRPr="009D3626">
          <w:rPr>
            <w:rStyle w:val="Hyperlink"/>
          </w:rPr>
          <w:noBreakHyphen/>
          <w:t>4:</w:t>
        </w:r>
        <w:r w:rsidR="00A90168">
          <w:rPr>
            <w:rFonts w:eastAsiaTheme="minorEastAsia" w:cstheme="minorBidi"/>
            <w:color w:val="auto"/>
            <w:szCs w:val="22"/>
            <w:lang w:eastAsia="en-GB"/>
          </w:rPr>
          <w:tab/>
        </w:r>
        <w:r w:rsidR="00A90168" w:rsidRPr="009D3626">
          <w:rPr>
            <w:rStyle w:val="Hyperlink"/>
          </w:rPr>
          <w:t>Categories of AT</w:t>
        </w:r>
        <w:r w:rsidR="00A90168">
          <w:rPr>
            <w:webHidden/>
          </w:rPr>
          <w:tab/>
        </w:r>
        <w:r w:rsidR="00A90168">
          <w:rPr>
            <w:webHidden/>
          </w:rPr>
          <w:fldChar w:fldCharType="begin"/>
        </w:r>
        <w:r w:rsidR="00A90168">
          <w:rPr>
            <w:webHidden/>
          </w:rPr>
          <w:instrText xml:space="preserve"> PAGEREF _Toc59402410 \h </w:instrText>
        </w:r>
        <w:r w:rsidR="00A90168">
          <w:rPr>
            <w:webHidden/>
          </w:rPr>
        </w:r>
        <w:r w:rsidR="00A90168">
          <w:rPr>
            <w:webHidden/>
          </w:rPr>
          <w:fldChar w:fldCharType="separate"/>
        </w:r>
        <w:r w:rsidR="00CC3F04">
          <w:rPr>
            <w:webHidden/>
          </w:rPr>
          <w:t>18</w:t>
        </w:r>
        <w:r w:rsidR="00A90168">
          <w:rPr>
            <w:webHidden/>
          </w:rPr>
          <w:fldChar w:fldCharType="end"/>
        </w:r>
      </w:hyperlink>
    </w:p>
    <w:p w14:paraId="3F33FB3D" w14:textId="7798A967" w:rsidR="00A90168" w:rsidRDefault="00B346C7">
      <w:pPr>
        <w:pStyle w:val="TableofFigures"/>
        <w:rPr>
          <w:rFonts w:eastAsiaTheme="minorEastAsia" w:cstheme="minorBidi"/>
          <w:color w:val="auto"/>
          <w:szCs w:val="22"/>
          <w:lang w:eastAsia="en-GB"/>
        </w:rPr>
      </w:pPr>
      <w:hyperlink w:anchor="_Toc59402411" w:history="1">
        <w:r w:rsidR="00A90168" w:rsidRPr="009D3626">
          <w:rPr>
            <w:rStyle w:val="Hyperlink"/>
          </w:rPr>
          <w:t>Figure 2</w:t>
        </w:r>
        <w:r w:rsidR="00A90168" w:rsidRPr="009D3626">
          <w:rPr>
            <w:rStyle w:val="Hyperlink"/>
          </w:rPr>
          <w:noBreakHyphen/>
          <w:t>5:</w:t>
        </w:r>
        <w:r w:rsidR="00A90168">
          <w:rPr>
            <w:rFonts w:eastAsiaTheme="minorEastAsia" w:cstheme="minorBidi"/>
            <w:color w:val="auto"/>
            <w:szCs w:val="22"/>
            <w:lang w:eastAsia="en-GB"/>
          </w:rPr>
          <w:tab/>
        </w:r>
        <w:r w:rsidR="00A90168" w:rsidRPr="009D3626">
          <w:rPr>
            <w:rStyle w:val="Hyperlink"/>
          </w:rPr>
          <w:t>The hierarchy of age-related decline</w:t>
        </w:r>
        <w:r w:rsidR="00A90168">
          <w:rPr>
            <w:webHidden/>
          </w:rPr>
          <w:tab/>
        </w:r>
        <w:r w:rsidR="00A90168">
          <w:rPr>
            <w:webHidden/>
          </w:rPr>
          <w:fldChar w:fldCharType="begin"/>
        </w:r>
        <w:r w:rsidR="00A90168">
          <w:rPr>
            <w:webHidden/>
          </w:rPr>
          <w:instrText xml:space="preserve"> PAGEREF _Toc59402411 \h </w:instrText>
        </w:r>
        <w:r w:rsidR="00A90168">
          <w:rPr>
            <w:webHidden/>
          </w:rPr>
        </w:r>
        <w:r w:rsidR="00A90168">
          <w:rPr>
            <w:webHidden/>
          </w:rPr>
          <w:fldChar w:fldCharType="separate"/>
        </w:r>
        <w:r w:rsidR="00CC3F04">
          <w:rPr>
            <w:webHidden/>
          </w:rPr>
          <w:t>20</w:t>
        </w:r>
        <w:r w:rsidR="00A90168">
          <w:rPr>
            <w:webHidden/>
          </w:rPr>
          <w:fldChar w:fldCharType="end"/>
        </w:r>
      </w:hyperlink>
    </w:p>
    <w:p w14:paraId="483A36F7" w14:textId="5EDF9194" w:rsidR="00A90168" w:rsidRDefault="00B346C7">
      <w:pPr>
        <w:pStyle w:val="TableofFigures"/>
        <w:rPr>
          <w:rFonts w:eastAsiaTheme="minorEastAsia" w:cstheme="minorBidi"/>
          <w:color w:val="auto"/>
          <w:szCs w:val="22"/>
          <w:lang w:eastAsia="en-GB"/>
        </w:rPr>
      </w:pPr>
      <w:hyperlink w:anchor="_Toc59402412" w:history="1">
        <w:r w:rsidR="00A90168" w:rsidRPr="009D3626">
          <w:rPr>
            <w:rStyle w:val="Hyperlink"/>
          </w:rPr>
          <w:t>Figure 3</w:t>
        </w:r>
        <w:r w:rsidR="00A90168" w:rsidRPr="009D3626">
          <w:rPr>
            <w:rStyle w:val="Hyperlink"/>
          </w:rPr>
          <w:noBreakHyphen/>
          <w:t>1:</w:t>
        </w:r>
        <w:r w:rsidR="00A90168">
          <w:rPr>
            <w:rFonts w:eastAsiaTheme="minorEastAsia" w:cstheme="minorBidi"/>
            <w:color w:val="auto"/>
            <w:szCs w:val="22"/>
            <w:lang w:eastAsia="en-GB"/>
          </w:rPr>
          <w:tab/>
        </w:r>
        <w:r w:rsidR="00A90168" w:rsidRPr="009D3626">
          <w:rPr>
            <w:rStyle w:val="Hyperlink"/>
            <w:lang w:eastAsia="en-AU"/>
          </w:rPr>
          <w:t>Steps of the cost–benefit analysis</w:t>
        </w:r>
        <w:r w:rsidR="00A90168">
          <w:rPr>
            <w:webHidden/>
          </w:rPr>
          <w:tab/>
        </w:r>
        <w:r w:rsidR="00A90168">
          <w:rPr>
            <w:webHidden/>
          </w:rPr>
          <w:fldChar w:fldCharType="begin"/>
        </w:r>
        <w:r w:rsidR="00A90168">
          <w:rPr>
            <w:webHidden/>
          </w:rPr>
          <w:instrText xml:space="preserve"> PAGEREF _Toc59402412 \h </w:instrText>
        </w:r>
        <w:r w:rsidR="00A90168">
          <w:rPr>
            <w:webHidden/>
          </w:rPr>
        </w:r>
        <w:r w:rsidR="00A90168">
          <w:rPr>
            <w:webHidden/>
          </w:rPr>
          <w:fldChar w:fldCharType="separate"/>
        </w:r>
        <w:r w:rsidR="00CC3F04">
          <w:rPr>
            <w:webHidden/>
          </w:rPr>
          <w:t>35</w:t>
        </w:r>
        <w:r w:rsidR="00A90168">
          <w:rPr>
            <w:webHidden/>
          </w:rPr>
          <w:fldChar w:fldCharType="end"/>
        </w:r>
      </w:hyperlink>
    </w:p>
    <w:p w14:paraId="7C5B7978" w14:textId="68D5DDEE" w:rsidR="00A90168" w:rsidRDefault="00B346C7">
      <w:pPr>
        <w:pStyle w:val="TableofFigures"/>
        <w:rPr>
          <w:rFonts w:eastAsiaTheme="minorEastAsia" w:cstheme="minorBidi"/>
          <w:color w:val="auto"/>
          <w:szCs w:val="22"/>
          <w:lang w:eastAsia="en-GB"/>
        </w:rPr>
      </w:pPr>
      <w:hyperlink w:anchor="_Toc59402413" w:history="1">
        <w:r w:rsidR="00A90168" w:rsidRPr="009D3626">
          <w:rPr>
            <w:rStyle w:val="Hyperlink"/>
          </w:rPr>
          <w:t>Figure 3</w:t>
        </w:r>
        <w:r w:rsidR="00A90168" w:rsidRPr="009D3626">
          <w:rPr>
            <w:rStyle w:val="Hyperlink"/>
          </w:rPr>
          <w:noBreakHyphen/>
          <w:t>2:</w:t>
        </w:r>
        <w:r w:rsidR="00A90168">
          <w:rPr>
            <w:rFonts w:eastAsiaTheme="minorEastAsia" w:cstheme="minorBidi"/>
            <w:color w:val="auto"/>
            <w:szCs w:val="22"/>
            <w:lang w:eastAsia="en-GB"/>
          </w:rPr>
          <w:tab/>
        </w:r>
        <w:r w:rsidR="00A90168" w:rsidRPr="009D3626">
          <w:rPr>
            <w:rStyle w:val="Hyperlink"/>
          </w:rPr>
          <w:t>RER search results</w:t>
        </w:r>
        <w:r w:rsidR="00A90168">
          <w:rPr>
            <w:webHidden/>
          </w:rPr>
          <w:tab/>
        </w:r>
        <w:r w:rsidR="00A90168">
          <w:rPr>
            <w:webHidden/>
          </w:rPr>
          <w:fldChar w:fldCharType="begin"/>
        </w:r>
        <w:r w:rsidR="00A90168">
          <w:rPr>
            <w:webHidden/>
          </w:rPr>
          <w:instrText xml:space="preserve"> PAGEREF _Toc59402413 \h </w:instrText>
        </w:r>
        <w:r w:rsidR="00A90168">
          <w:rPr>
            <w:webHidden/>
          </w:rPr>
        </w:r>
        <w:r w:rsidR="00A90168">
          <w:rPr>
            <w:webHidden/>
          </w:rPr>
          <w:fldChar w:fldCharType="separate"/>
        </w:r>
        <w:r w:rsidR="00CC3F04">
          <w:rPr>
            <w:webHidden/>
          </w:rPr>
          <w:t>42</w:t>
        </w:r>
        <w:r w:rsidR="00A90168">
          <w:rPr>
            <w:webHidden/>
          </w:rPr>
          <w:fldChar w:fldCharType="end"/>
        </w:r>
      </w:hyperlink>
    </w:p>
    <w:p w14:paraId="5C4FE555" w14:textId="48C81919" w:rsidR="00A90168" w:rsidRDefault="00B346C7">
      <w:pPr>
        <w:pStyle w:val="TableofFigures"/>
        <w:rPr>
          <w:rFonts w:eastAsiaTheme="minorEastAsia" w:cstheme="minorBidi"/>
          <w:color w:val="auto"/>
          <w:szCs w:val="22"/>
          <w:lang w:eastAsia="en-GB"/>
        </w:rPr>
      </w:pPr>
      <w:hyperlink w:anchor="_Toc59402414" w:history="1">
        <w:r w:rsidR="00A90168" w:rsidRPr="009D3626">
          <w:rPr>
            <w:rStyle w:val="Hyperlink"/>
          </w:rPr>
          <w:t>Figure 4</w:t>
        </w:r>
        <w:r w:rsidR="00A90168" w:rsidRPr="009D3626">
          <w:rPr>
            <w:rStyle w:val="Hyperlink"/>
          </w:rPr>
          <w:noBreakHyphen/>
          <w:t>1:</w:t>
        </w:r>
        <w:r w:rsidR="00A90168">
          <w:rPr>
            <w:rFonts w:eastAsiaTheme="minorEastAsia" w:cstheme="minorBidi"/>
            <w:color w:val="auto"/>
            <w:szCs w:val="22"/>
            <w:lang w:eastAsia="en-GB"/>
          </w:rPr>
          <w:tab/>
        </w:r>
        <w:r w:rsidR="00A90168" w:rsidRPr="009D3626">
          <w:rPr>
            <w:rStyle w:val="Hyperlink"/>
          </w:rPr>
          <w:t>Outline of the AT Framework</w:t>
        </w:r>
        <w:r w:rsidR="00A90168">
          <w:rPr>
            <w:webHidden/>
          </w:rPr>
          <w:tab/>
        </w:r>
        <w:r w:rsidR="00A90168">
          <w:rPr>
            <w:webHidden/>
          </w:rPr>
          <w:fldChar w:fldCharType="begin"/>
        </w:r>
        <w:r w:rsidR="00A90168">
          <w:rPr>
            <w:webHidden/>
          </w:rPr>
          <w:instrText xml:space="preserve"> PAGEREF _Toc59402414 \h </w:instrText>
        </w:r>
        <w:r w:rsidR="00A90168">
          <w:rPr>
            <w:webHidden/>
          </w:rPr>
        </w:r>
        <w:r w:rsidR="00A90168">
          <w:rPr>
            <w:webHidden/>
          </w:rPr>
          <w:fldChar w:fldCharType="separate"/>
        </w:r>
        <w:r w:rsidR="00CC3F04">
          <w:rPr>
            <w:webHidden/>
          </w:rPr>
          <w:t>49</w:t>
        </w:r>
        <w:r w:rsidR="00A90168">
          <w:rPr>
            <w:webHidden/>
          </w:rPr>
          <w:fldChar w:fldCharType="end"/>
        </w:r>
      </w:hyperlink>
    </w:p>
    <w:p w14:paraId="5AAC5F9E" w14:textId="001DC7B9" w:rsidR="00B52D27" w:rsidRPr="00636B05" w:rsidRDefault="00155D4F" w:rsidP="00384C74">
      <w:pPr>
        <w:pStyle w:val="Tiny"/>
      </w:pPr>
      <w:r w:rsidRPr="00731FA4">
        <w:rPr>
          <w:rStyle w:val="Hyperlink"/>
        </w:rPr>
        <w:fldChar w:fldCharType="end"/>
      </w:r>
    </w:p>
    <w:p w14:paraId="55C9A839" w14:textId="10BBA1CE" w:rsidR="0056697A" w:rsidRPr="00636B05" w:rsidRDefault="0056697A" w:rsidP="00A57E12">
      <w:pPr>
        <w:sectPr w:rsidR="0056697A" w:rsidRPr="00636B05" w:rsidSect="00A127F8">
          <w:headerReference w:type="default" r:id="rId16"/>
          <w:footerReference w:type="default" r:id="rId17"/>
          <w:footerReference w:type="first" r:id="rId18"/>
          <w:pgSz w:w="11907" w:h="16840" w:code="9"/>
          <w:pgMar w:top="851" w:right="1134" w:bottom="851" w:left="1134" w:header="510" w:footer="567" w:gutter="0"/>
          <w:pgNumType w:fmt="lowerRoman" w:start="1"/>
          <w:cols w:space="680"/>
          <w:titlePg/>
          <w:docGrid w:linePitch="360"/>
        </w:sectPr>
      </w:pPr>
    </w:p>
    <w:p w14:paraId="149717FA" w14:textId="7583D58D" w:rsidR="0021069C" w:rsidRPr="00636B05" w:rsidRDefault="0021069C" w:rsidP="00E732D4">
      <w:pPr>
        <w:pStyle w:val="TOCHeading"/>
      </w:pPr>
      <w:r w:rsidRPr="00636B05">
        <w:lastRenderedPageBreak/>
        <w:t>Abbreviations</w:t>
      </w:r>
    </w:p>
    <w:tbl>
      <w:tblPr>
        <w:tblStyle w:val="AHALight"/>
        <w:tblW w:w="5000" w:type="pct"/>
        <w:tblLayout w:type="fixed"/>
        <w:tblLook w:val="04A0" w:firstRow="1" w:lastRow="0" w:firstColumn="1" w:lastColumn="0" w:noHBand="0" w:noVBand="1"/>
        <w:tblCaption w:val="Abbreviations"/>
        <w:tblDescription w:val="Alphabetical list of abbreviations and their definitions."/>
      </w:tblPr>
      <w:tblGrid>
        <w:gridCol w:w="2126"/>
        <w:gridCol w:w="7513"/>
      </w:tblGrid>
      <w:tr w:rsidR="0021069C" w:rsidRPr="00636B05" w14:paraId="41BDCE10" w14:textId="77777777" w:rsidTr="00384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037F8394" w14:textId="1450823F" w:rsidR="0021069C" w:rsidRPr="00636B05" w:rsidRDefault="0021069C" w:rsidP="004A3055">
            <w:pPr>
              <w:pStyle w:val="TableHeading1"/>
            </w:pPr>
            <w:r w:rsidRPr="00636B05">
              <w:t>Abbreviation</w:t>
            </w:r>
          </w:p>
        </w:tc>
        <w:tc>
          <w:tcPr>
            <w:tcW w:w="3897" w:type="pct"/>
          </w:tcPr>
          <w:p w14:paraId="4DE76941" w14:textId="34D1EC01" w:rsidR="0021069C" w:rsidRPr="00636B05" w:rsidRDefault="0021069C" w:rsidP="004A3055">
            <w:pPr>
              <w:pStyle w:val="TableHeading1"/>
              <w:cnfStyle w:val="100000000000" w:firstRow="1" w:lastRow="0" w:firstColumn="0" w:lastColumn="0" w:oddVBand="0" w:evenVBand="0" w:oddHBand="0" w:evenHBand="0" w:firstRowFirstColumn="0" w:firstRowLastColumn="0" w:lastRowFirstColumn="0" w:lastRowLastColumn="0"/>
            </w:pPr>
            <w:r w:rsidRPr="00636B05">
              <w:t>Definition</w:t>
            </w:r>
          </w:p>
        </w:tc>
      </w:tr>
      <w:tr w:rsidR="0021069C" w:rsidRPr="00636B05" w14:paraId="24C62985"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2997016C" w14:textId="77777777" w:rsidR="0021069C" w:rsidRPr="00636B05" w:rsidRDefault="0021069C" w:rsidP="00155D4F">
            <w:r w:rsidRPr="00636B05">
              <w:t>ABS</w:t>
            </w:r>
          </w:p>
        </w:tc>
        <w:tc>
          <w:tcPr>
            <w:tcW w:w="3897" w:type="pct"/>
          </w:tcPr>
          <w:p w14:paraId="211E5C43" w14:textId="7457B84E"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Australian Bureau of Statistics</w:t>
            </w:r>
          </w:p>
        </w:tc>
      </w:tr>
      <w:tr w:rsidR="0021069C" w:rsidRPr="00636B05" w14:paraId="14C913E0"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6133891D" w14:textId="77777777" w:rsidR="0021069C" w:rsidRPr="00636B05" w:rsidRDefault="0021069C" w:rsidP="00155D4F">
            <w:r w:rsidRPr="00636B05">
              <w:t>ABS SDAC</w:t>
            </w:r>
          </w:p>
        </w:tc>
        <w:tc>
          <w:tcPr>
            <w:tcW w:w="3897" w:type="pct"/>
          </w:tcPr>
          <w:p w14:paraId="11200769"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 xml:space="preserve">Australian Bureau of Statistics Survey of Disability, Ageing and Carers </w:t>
            </w:r>
          </w:p>
        </w:tc>
      </w:tr>
      <w:tr w:rsidR="0021069C" w:rsidRPr="00636B05" w14:paraId="1E68ED0B"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010C2BDB" w14:textId="77777777" w:rsidR="0021069C" w:rsidRPr="00636B05" w:rsidRDefault="0021069C" w:rsidP="00155D4F">
            <w:r w:rsidRPr="00636B05">
              <w:t>ACAS</w:t>
            </w:r>
          </w:p>
        </w:tc>
        <w:tc>
          <w:tcPr>
            <w:tcW w:w="3897" w:type="pct"/>
          </w:tcPr>
          <w:p w14:paraId="4AFB1BDE"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Aged Care Assessment Services</w:t>
            </w:r>
          </w:p>
        </w:tc>
      </w:tr>
      <w:tr w:rsidR="0021069C" w:rsidRPr="00636B05" w14:paraId="5615EF18"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3A5A7253" w14:textId="77777777" w:rsidR="0021069C" w:rsidRPr="00636B05" w:rsidRDefault="0021069C" w:rsidP="00155D4F">
            <w:r w:rsidRPr="00636B05">
              <w:t>ACAT</w:t>
            </w:r>
          </w:p>
        </w:tc>
        <w:tc>
          <w:tcPr>
            <w:tcW w:w="3897" w:type="pct"/>
          </w:tcPr>
          <w:p w14:paraId="3AE09DE3"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Aged Care Assessment Team</w:t>
            </w:r>
          </w:p>
        </w:tc>
      </w:tr>
      <w:tr w:rsidR="0021069C" w:rsidRPr="00636B05" w14:paraId="459A4536"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22825F8F" w14:textId="77777777" w:rsidR="0021069C" w:rsidRPr="00636B05" w:rsidRDefault="0021069C" w:rsidP="00155D4F">
            <w:r w:rsidRPr="00636B05">
              <w:t>ACFI</w:t>
            </w:r>
          </w:p>
        </w:tc>
        <w:tc>
          <w:tcPr>
            <w:tcW w:w="3897" w:type="pct"/>
          </w:tcPr>
          <w:p w14:paraId="7E98C3BE"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Aged Care Funding Instrument</w:t>
            </w:r>
          </w:p>
        </w:tc>
      </w:tr>
      <w:tr w:rsidR="00A738FD" w:rsidRPr="00636B05" w14:paraId="7E021463"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784D88F4" w14:textId="4132C252" w:rsidR="00A738FD" w:rsidRPr="00636B05" w:rsidRDefault="00A738FD" w:rsidP="00155D4F">
            <w:r>
              <w:t>ADL</w:t>
            </w:r>
          </w:p>
        </w:tc>
        <w:tc>
          <w:tcPr>
            <w:tcW w:w="3897" w:type="pct"/>
          </w:tcPr>
          <w:p w14:paraId="518BDF4B" w14:textId="588058F0" w:rsidR="00A738FD" w:rsidRPr="00636B05" w:rsidRDefault="00A738FD" w:rsidP="00155D4F">
            <w:pPr>
              <w:cnfStyle w:val="000000000000" w:firstRow="0" w:lastRow="0" w:firstColumn="0" w:lastColumn="0" w:oddVBand="0" w:evenVBand="0" w:oddHBand="0" w:evenHBand="0" w:firstRowFirstColumn="0" w:firstRowLastColumn="0" w:lastRowFirstColumn="0" w:lastRowLastColumn="0"/>
            </w:pPr>
            <w:r>
              <w:t>Activit</w:t>
            </w:r>
            <w:r w:rsidR="004F5B2B">
              <w:t>ies</w:t>
            </w:r>
            <w:r>
              <w:t xml:space="preserve"> of Daily Living </w:t>
            </w:r>
          </w:p>
        </w:tc>
      </w:tr>
      <w:tr w:rsidR="0021069C" w:rsidRPr="00636B05" w14:paraId="33DA0EED"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4A5E05C1" w14:textId="77777777" w:rsidR="0021069C" w:rsidRPr="00636B05" w:rsidRDefault="0021069C" w:rsidP="00155D4F">
            <w:r w:rsidRPr="00636B05">
              <w:t>AHA</w:t>
            </w:r>
          </w:p>
        </w:tc>
        <w:tc>
          <w:tcPr>
            <w:tcW w:w="3897" w:type="pct"/>
          </w:tcPr>
          <w:p w14:paraId="140F8E7D"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Australian Healthcare Associates</w:t>
            </w:r>
          </w:p>
        </w:tc>
      </w:tr>
      <w:tr w:rsidR="0021069C" w:rsidRPr="00636B05" w14:paraId="124BA735"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4F7B78CE" w14:textId="77777777" w:rsidR="0021069C" w:rsidRPr="00636B05" w:rsidRDefault="0021069C" w:rsidP="00155D4F">
            <w:r w:rsidRPr="00636B05">
              <w:t>AHPRA</w:t>
            </w:r>
          </w:p>
        </w:tc>
        <w:tc>
          <w:tcPr>
            <w:tcW w:w="3897" w:type="pct"/>
          </w:tcPr>
          <w:p w14:paraId="4ED66774"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Australian Health Practitioner Regulation Agency</w:t>
            </w:r>
          </w:p>
        </w:tc>
      </w:tr>
      <w:tr w:rsidR="0021069C" w:rsidRPr="00636B05" w14:paraId="3AE1871D"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7B5A5C77" w14:textId="77777777" w:rsidR="0021069C" w:rsidRPr="00636B05" w:rsidRDefault="0021069C" w:rsidP="00155D4F">
            <w:r w:rsidRPr="00636B05">
              <w:t>AIHW</w:t>
            </w:r>
          </w:p>
        </w:tc>
        <w:tc>
          <w:tcPr>
            <w:tcW w:w="3897" w:type="pct"/>
          </w:tcPr>
          <w:p w14:paraId="549A349E"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Australian Institute of Health and Welfare</w:t>
            </w:r>
          </w:p>
        </w:tc>
      </w:tr>
      <w:tr w:rsidR="000A596A" w:rsidRPr="00636B05" w14:paraId="58E9CD18"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7DA84BB8" w14:textId="3FD25CC3" w:rsidR="000A596A" w:rsidRPr="00636B05" w:rsidRDefault="000A596A" w:rsidP="00155D4F">
            <w:r w:rsidRPr="00636B05">
              <w:t>AF</w:t>
            </w:r>
          </w:p>
        </w:tc>
        <w:tc>
          <w:tcPr>
            <w:tcW w:w="3897" w:type="pct"/>
          </w:tcPr>
          <w:p w14:paraId="3C6DBC9E" w14:textId="149A6073" w:rsidR="000A596A" w:rsidRPr="00636B05" w:rsidRDefault="000A596A" w:rsidP="00155D4F">
            <w:pPr>
              <w:cnfStyle w:val="000000000000" w:firstRow="0" w:lastRow="0" w:firstColumn="0" w:lastColumn="0" w:oddVBand="0" w:evenVBand="0" w:oddHBand="0" w:evenHBand="0" w:firstRowFirstColumn="0" w:firstRowLastColumn="0" w:lastRowFirstColumn="0" w:lastRowLastColumn="0"/>
            </w:pPr>
            <w:r w:rsidRPr="00636B05">
              <w:t>Atrial fibrillation</w:t>
            </w:r>
          </w:p>
        </w:tc>
      </w:tr>
      <w:tr w:rsidR="0021069C" w:rsidRPr="00636B05" w14:paraId="2287874C"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790924B8" w14:textId="77777777" w:rsidR="0021069C" w:rsidRPr="00636B05" w:rsidRDefault="0021069C" w:rsidP="00155D4F">
            <w:r w:rsidRPr="00636B05">
              <w:t>AT</w:t>
            </w:r>
          </w:p>
        </w:tc>
        <w:tc>
          <w:tcPr>
            <w:tcW w:w="3897" w:type="pct"/>
          </w:tcPr>
          <w:p w14:paraId="6ED2A818" w14:textId="4DD2B0A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 xml:space="preserve">Assistive </w:t>
            </w:r>
            <w:r w:rsidR="00F65FC5">
              <w:t>t</w:t>
            </w:r>
            <w:r w:rsidRPr="00636B05">
              <w:t>echnology</w:t>
            </w:r>
          </w:p>
        </w:tc>
      </w:tr>
      <w:tr w:rsidR="0021069C" w:rsidRPr="00636B05" w14:paraId="316304C1"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445E3BB6" w14:textId="1665200D" w:rsidR="0021069C" w:rsidRPr="00636B05" w:rsidRDefault="0021069C" w:rsidP="00155D4F">
            <w:r w:rsidRPr="00636B05">
              <w:t>AT</w:t>
            </w:r>
            <w:r w:rsidR="0066549C" w:rsidRPr="00636B05">
              <w:t>-</w:t>
            </w:r>
            <w:r w:rsidRPr="00636B05">
              <w:t>HM</w:t>
            </w:r>
          </w:p>
        </w:tc>
        <w:tc>
          <w:tcPr>
            <w:tcW w:w="3897" w:type="pct"/>
          </w:tcPr>
          <w:p w14:paraId="6E258B6F"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Assistive Technology and Home Modifications</w:t>
            </w:r>
          </w:p>
        </w:tc>
      </w:tr>
      <w:tr w:rsidR="00F65FC5" w:rsidRPr="00636B05" w14:paraId="524588D1"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5E5ADD82" w14:textId="509ABB48" w:rsidR="00F65FC5" w:rsidRPr="00636B05" w:rsidRDefault="00F65FC5" w:rsidP="00155D4F">
            <w:r>
              <w:t>CBA</w:t>
            </w:r>
          </w:p>
        </w:tc>
        <w:tc>
          <w:tcPr>
            <w:tcW w:w="3897" w:type="pct"/>
          </w:tcPr>
          <w:p w14:paraId="5EF0ADB9" w14:textId="532D7EBE" w:rsidR="00F65FC5" w:rsidRPr="00636B05" w:rsidRDefault="00F65FC5" w:rsidP="00155D4F">
            <w:pPr>
              <w:cnfStyle w:val="000000100000" w:firstRow="0" w:lastRow="0" w:firstColumn="0" w:lastColumn="0" w:oddVBand="0" w:evenVBand="0" w:oddHBand="1" w:evenHBand="0" w:firstRowFirstColumn="0" w:firstRowLastColumn="0" w:lastRowFirstColumn="0" w:lastRowLastColumn="0"/>
            </w:pPr>
            <w:r>
              <w:t>Cost-benefit analysis</w:t>
            </w:r>
          </w:p>
        </w:tc>
      </w:tr>
      <w:tr w:rsidR="0021069C" w:rsidRPr="00636B05" w14:paraId="59960744"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447C0B2A" w14:textId="77777777" w:rsidR="0021069C" w:rsidRPr="00636B05" w:rsidRDefault="0021069C" w:rsidP="00155D4F">
            <w:r w:rsidRPr="00636B05">
              <w:t>CDC</w:t>
            </w:r>
          </w:p>
        </w:tc>
        <w:tc>
          <w:tcPr>
            <w:tcW w:w="3897" w:type="pct"/>
          </w:tcPr>
          <w:p w14:paraId="65C5352E" w14:textId="6D340B6B"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 xml:space="preserve">Consumer </w:t>
            </w:r>
            <w:r w:rsidR="00F65FC5">
              <w:t>d</w:t>
            </w:r>
            <w:r w:rsidRPr="00636B05">
              <w:t xml:space="preserve">irected </w:t>
            </w:r>
            <w:r w:rsidR="00F65FC5">
              <w:t>c</w:t>
            </w:r>
            <w:r w:rsidRPr="00636B05">
              <w:t>are</w:t>
            </w:r>
          </w:p>
        </w:tc>
      </w:tr>
      <w:tr w:rsidR="0021069C" w:rsidRPr="00636B05" w14:paraId="56ACA63D"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6BA1A892" w14:textId="77777777" w:rsidR="0021069C" w:rsidRPr="00636B05" w:rsidRDefault="0021069C" w:rsidP="00155D4F">
            <w:r w:rsidRPr="00636B05">
              <w:t>CHSP</w:t>
            </w:r>
          </w:p>
        </w:tc>
        <w:tc>
          <w:tcPr>
            <w:tcW w:w="3897" w:type="pct"/>
          </w:tcPr>
          <w:p w14:paraId="33CCE652"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Commonwealth Home Support Program</w:t>
            </w:r>
          </w:p>
        </w:tc>
      </w:tr>
      <w:tr w:rsidR="00AD17C7" w:rsidRPr="00636B05" w14:paraId="009D2579"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7398A268" w14:textId="645297B0" w:rsidR="00AD17C7" w:rsidRPr="00636B05" w:rsidRDefault="00AD17C7" w:rsidP="00155D4F">
            <w:r w:rsidRPr="00636B05">
              <w:t>COPD</w:t>
            </w:r>
          </w:p>
        </w:tc>
        <w:tc>
          <w:tcPr>
            <w:tcW w:w="3897" w:type="pct"/>
          </w:tcPr>
          <w:p w14:paraId="419B5F20" w14:textId="6EF2137C" w:rsidR="00AD17C7" w:rsidRPr="00636B05" w:rsidRDefault="00AD17C7" w:rsidP="00155D4F">
            <w:pPr>
              <w:cnfStyle w:val="000000000000" w:firstRow="0" w:lastRow="0" w:firstColumn="0" w:lastColumn="0" w:oddVBand="0" w:evenVBand="0" w:oddHBand="0" w:evenHBand="0" w:firstRowFirstColumn="0" w:firstRowLastColumn="0" w:lastRowFirstColumn="0" w:lastRowLastColumn="0"/>
            </w:pPr>
            <w:r w:rsidRPr="00636B05">
              <w:t>Chronic obstructive pulmonary disease</w:t>
            </w:r>
          </w:p>
        </w:tc>
      </w:tr>
      <w:tr w:rsidR="0021069C" w:rsidRPr="00636B05" w14:paraId="0F4A2AD5"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79B5F743" w14:textId="19B19B38" w:rsidR="0021069C" w:rsidRPr="00636B05" w:rsidRDefault="00F314F5" w:rsidP="00155D4F">
            <w:r>
              <w:t xml:space="preserve">the </w:t>
            </w:r>
            <w:r w:rsidR="0021069C" w:rsidRPr="00636B05">
              <w:t>Department</w:t>
            </w:r>
          </w:p>
        </w:tc>
        <w:tc>
          <w:tcPr>
            <w:tcW w:w="3897" w:type="pct"/>
          </w:tcPr>
          <w:p w14:paraId="54DBCCBC"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Australian Government Department of Health</w:t>
            </w:r>
          </w:p>
        </w:tc>
      </w:tr>
      <w:tr w:rsidR="0021069C" w:rsidRPr="00636B05" w14:paraId="52B895CE"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2B59DB63" w14:textId="77777777" w:rsidR="0021069C" w:rsidRPr="00636B05" w:rsidRDefault="0021069C" w:rsidP="00155D4F">
            <w:r w:rsidRPr="00636B05">
              <w:t>DHS</w:t>
            </w:r>
          </w:p>
        </w:tc>
        <w:tc>
          <w:tcPr>
            <w:tcW w:w="3897" w:type="pct"/>
          </w:tcPr>
          <w:p w14:paraId="31422CAC"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Australian Government Department of Human Services</w:t>
            </w:r>
          </w:p>
        </w:tc>
      </w:tr>
      <w:tr w:rsidR="0021069C" w:rsidRPr="00636B05" w14:paraId="45EF6EEA"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2B28225C" w14:textId="77777777" w:rsidR="0021069C" w:rsidRPr="00636B05" w:rsidRDefault="0021069C" w:rsidP="00155D4F">
            <w:r w:rsidRPr="00636B05">
              <w:t>DIY</w:t>
            </w:r>
          </w:p>
        </w:tc>
        <w:tc>
          <w:tcPr>
            <w:tcW w:w="3897" w:type="pct"/>
          </w:tcPr>
          <w:p w14:paraId="3DBAE4FC"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Do-it-yourself</w:t>
            </w:r>
          </w:p>
        </w:tc>
      </w:tr>
      <w:tr w:rsidR="0021069C" w:rsidRPr="00636B05" w14:paraId="703273D7"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0D7ED8E8" w14:textId="77777777" w:rsidR="0021069C" w:rsidRPr="00636B05" w:rsidRDefault="0021069C" w:rsidP="00155D4F">
            <w:r w:rsidRPr="00636B05">
              <w:t>DVA</w:t>
            </w:r>
          </w:p>
        </w:tc>
        <w:tc>
          <w:tcPr>
            <w:tcW w:w="3897" w:type="pct"/>
          </w:tcPr>
          <w:p w14:paraId="56540436"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Department of Veterans’ Affairs</w:t>
            </w:r>
          </w:p>
        </w:tc>
      </w:tr>
      <w:tr w:rsidR="0021069C" w:rsidRPr="00636B05" w14:paraId="7B1D858E"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5A92F258" w14:textId="77777777" w:rsidR="0021069C" w:rsidRPr="00636B05" w:rsidRDefault="0021069C" w:rsidP="00155D4F">
            <w:r w:rsidRPr="00636B05">
              <w:t>ECEI</w:t>
            </w:r>
          </w:p>
        </w:tc>
        <w:tc>
          <w:tcPr>
            <w:tcW w:w="3897" w:type="pct"/>
          </w:tcPr>
          <w:p w14:paraId="526801E5"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Early Childhood Early Intervention</w:t>
            </w:r>
          </w:p>
        </w:tc>
      </w:tr>
      <w:tr w:rsidR="00AD17C7" w:rsidRPr="00636B05" w14:paraId="46B12369"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22481F4A" w14:textId="1E58F530" w:rsidR="00AD17C7" w:rsidRPr="00636B05" w:rsidRDefault="00AD17C7" w:rsidP="00155D4F">
            <w:r w:rsidRPr="00636B05">
              <w:t>GORD</w:t>
            </w:r>
          </w:p>
        </w:tc>
        <w:tc>
          <w:tcPr>
            <w:tcW w:w="3897" w:type="pct"/>
          </w:tcPr>
          <w:p w14:paraId="43E51706" w14:textId="3E0F8628" w:rsidR="00AD17C7" w:rsidRPr="00636B05" w:rsidRDefault="00AD17C7" w:rsidP="00155D4F">
            <w:pPr>
              <w:cnfStyle w:val="000000000000" w:firstRow="0" w:lastRow="0" w:firstColumn="0" w:lastColumn="0" w:oddVBand="0" w:evenVBand="0" w:oddHBand="0" w:evenHBand="0" w:firstRowFirstColumn="0" w:firstRowLastColumn="0" w:lastRowFirstColumn="0" w:lastRowLastColumn="0"/>
            </w:pPr>
            <w:r w:rsidRPr="00636B05">
              <w:t>Gastro-oesophageal reflux disease</w:t>
            </w:r>
          </w:p>
        </w:tc>
      </w:tr>
      <w:tr w:rsidR="0021069C" w:rsidRPr="00636B05" w14:paraId="61CBACEF"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369990D9" w14:textId="77777777" w:rsidR="0021069C" w:rsidRPr="00636B05" w:rsidRDefault="0021069C" w:rsidP="00155D4F">
            <w:r w:rsidRPr="00636B05">
              <w:t>HACC</w:t>
            </w:r>
          </w:p>
        </w:tc>
        <w:tc>
          <w:tcPr>
            <w:tcW w:w="3897" w:type="pct"/>
          </w:tcPr>
          <w:p w14:paraId="3C569CD7"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Home and Community Care</w:t>
            </w:r>
          </w:p>
        </w:tc>
      </w:tr>
      <w:tr w:rsidR="0021069C" w:rsidRPr="00636B05" w14:paraId="6557E34C"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5DB63BF1" w14:textId="77777777" w:rsidR="0021069C" w:rsidRPr="00636B05" w:rsidRDefault="0021069C" w:rsidP="00155D4F">
            <w:r w:rsidRPr="00636B05">
              <w:t>HCP program</w:t>
            </w:r>
          </w:p>
        </w:tc>
        <w:tc>
          <w:tcPr>
            <w:tcW w:w="3897" w:type="pct"/>
          </w:tcPr>
          <w:p w14:paraId="332674B4" w14:textId="0865F449"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Home Care Package</w:t>
            </w:r>
            <w:r w:rsidR="008B7875">
              <w:t>s</w:t>
            </w:r>
            <w:r w:rsidRPr="00636B05">
              <w:t xml:space="preserve"> program</w:t>
            </w:r>
          </w:p>
        </w:tc>
      </w:tr>
      <w:tr w:rsidR="00ED524D" w:rsidRPr="00636B05" w14:paraId="1606F4EB"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63F92E6D" w14:textId="5E2705CE" w:rsidR="00ED524D" w:rsidRPr="00636B05" w:rsidRDefault="00ED524D" w:rsidP="00155D4F">
            <w:r>
              <w:t>HQOL</w:t>
            </w:r>
          </w:p>
        </w:tc>
        <w:tc>
          <w:tcPr>
            <w:tcW w:w="3897" w:type="pct"/>
          </w:tcPr>
          <w:p w14:paraId="697704FB" w14:textId="773BB4A3" w:rsidR="00ED524D" w:rsidRPr="00636B05" w:rsidRDefault="00ED524D" w:rsidP="00155D4F">
            <w:pPr>
              <w:cnfStyle w:val="000000100000" w:firstRow="0" w:lastRow="0" w:firstColumn="0" w:lastColumn="0" w:oddVBand="0" w:evenVBand="0" w:oddHBand="1" w:evenHBand="0" w:firstRowFirstColumn="0" w:firstRowLastColumn="0" w:lastRowFirstColumn="0" w:lastRowLastColumn="0"/>
            </w:pPr>
            <w:r>
              <w:t>Health-related quality of life</w:t>
            </w:r>
          </w:p>
        </w:tc>
      </w:tr>
      <w:tr w:rsidR="0021069C" w:rsidRPr="00636B05" w14:paraId="2660D1E5"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77B7C681" w14:textId="77777777" w:rsidR="0021069C" w:rsidRPr="00636B05" w:rsidRDefault="0021069C" w:rsidP="00155D4F">
            <w:r w:rsidRPr="00636B05">
              <w:t>ICF</w:t>
            </w:r>
          </w:p>
        </w:tc>
        <w:tc>
          <w:tcPr>
            <w:tcW w:w="3897" w:type="pct"/>
          </w:tcPr>
          <w:p w14:paraId="60473248" w14:textId="399C206B" w:rsidR="000A6B51" w:rsidRPr="00636B05" w:rsidRDefault="009E03A2" w:rsidP="000A6B51">
            <w:pPr>
              <w:cnfStyle w:val="000000000000" w:firstRow="0" w:lastRow="0" w:firstColumn="0" w:lastColumn="0" w:oddVBand="0" w:evenVBand="0" w:oddHBand="0" w:evenHBand="0" w:firstRowFirstColumn="0" w:firstRowLastColumn="0" w:lastRowFirstColumn="0" w:lastRowLastColumn="0"/>
            </w:pPr>
            <w:r>
              <w:t xml:space="preserve">World Health Organization International Classification of Functioning, Disability and Health </w:t>
            </w:r>
          </w:p>
        </w:tc>
      </w:tr>
      <w:tr w:rsidR="0021069C" w:rsidRPr="00636B05" w14:paraId="1FADC434"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6B60FA95" w14:textId="77777777" w:rsidR="0021069C" w:rsidRPr="00636B05" w:rsidRDefault="0021069C" w:rsidP="00155D4F">
            <w:r w:rsidRPr="00636B05">
              <w:t>ILC</w:t>
            </w:r>
          </w:p>
        </w:tc>
        <w:tc>
          <w:tcPr>
            <w:tcW w:w="3897" w:type="pct"/>
          </w:tcPr>
          <w:p w14:paraId="027A0F68" w14:textId="3D22F2FF"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Independent Living Centre</w:t>
            </w:r>
          </w:p>
        </w:tc>
      </w:tr>
      <w:tr w:rsidR="0021069C" w:rsidRPr="00636B05" w14:paraId="531726AE"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684CB3F1" w14:textId="77777777" w:rsidR="0021069C" w:rsidRPr="00636B05" w:rsidRDefault="0021069C" w:rsidP="00155D4F">
            <w:r w:rsidRPr="00636B05">
              <w:t>MBS</w:t>
            </w:r>
          </w:p>
        </w:tc>
        <w:tc>
          <w:tcPr>
            <w:tcW w:w="3897" w:type="pct"/>
          </w:tcPr>
          <w:p w14:paraId="61A0061B"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Medicare Benefits Schedule</w:t>
            </w:r>
          </w:p>
        </w:tc>
      </w:tr>
      <w:tr w:rsidR="00AD17C7" w:rsidRPr="00636B05" w14:paraId="2021CB6F"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75FCD55B" w14:textId="762A6C7B" w:rsidR="00AD17C7" w:rsidRPr="00636B05" w:rsidRDefault="00AD17C7" w:rsidP="00155D4F">
            <w:r w:rsidRPr="00636B05">
              <w:t>MCA</w:t>
            </w:r>
          </w:p>
        </w:tc>
        <w:tc>
          <w:tcPr>
            <w:tcW w:w="3897" w:type="pct"/>
          </w:tcPr>
          <w:p w14:paraId="7F9206F4" w14:textId="1D73477F" w:rsidR="00AD17C7" w:rsidRPr="00636B05" w:rsidRDefault="00AD17C7" w:rsidP="00155D4F">
            <w:pPr>
              <w:cnfStyle w:val="000000100000" w:firstRow="0" w:lastRow="0" w:firstColumn="0" w:lastColumn="0" w:oddVBand="0" w:evenVBand="0" w:oddHBand="1" w:evenHBand="0" w:firstRowFirstColumn="0" w:firstRowLastColumn="0" w:lastRowFirstColumn="0" w:lastRowLastColumn="0"/>
            </w:pPr>
            <w:r w:rsidRPr="00636B05">
              <w:t>Middle cerebral artery </w:t>
            </w:r>
          </w:p>
        </w:tc>
      </w:tr>
      <w:tr w:rsidR="0021069C" w:rsidRPr="00636B05" w14:paraId="3C83E158"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3A33B821" w14:textId="77777777" w:rsidR="0021069C" w:rsidRPr="00636B05" w:rsidRDefault="0021069C" w:rsidP="00155D4F">
            <w:r w:rsidRPr="00636B05">
              <w:t>MDS</w:t>
            </w:r>
          </w:p>
        </w:tc>
        <w:tc>
          <w:tcPr>
            <w:tcW w:w="3897" w:type="pct"/>
          </w:tcPr>
          <w:p w14:paraId="6D2B9870"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Minimum data set</w:t>
            </w:r>
          </w:p>
        </w:tc>
      </w:tr>
      <w:tr w:rsidR="0021069C" w:rsidRPr="00636B05" w14:paraId="016C4E79"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2A68D319" w14:textId="77777777" w:rsidR="0021069C" w:rsidRPr="00636B05" w:rsidRDefault="0021069C" w:rsidP="00155D4F">
            <w:r w:rsidRPr="00636B05">
              <w:t>MDT</w:t>
            </w:r>
          </w:p>
        </w:tc>
        <w:tc>
          <w:tcPr>
            <w:tcW w:w="3897" w:type="pct"/>
          </w:tcPr>
          <w:p w14:paraId="12772FAA"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Multidisciplinary Team</w:t>
            </w:r>
          </w:p>
        </w:tc>
      </w:tr>
      <w:tr w:rsidR="00AD17C7" w:rsidRPr="00636B05" w14:paraId="3D3D15BC"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233278B1" w14:textId="6EF75569" w:rsidR="00AD17C7" w:rsidRPr="00636B05" w:rsidRDefault="00AD17C7" w:rsidP="00155D4F">
            <w:r w:rsidRPr="00636B05">
              <w:t>MOW</w:t>
            </w:r>
          </w:p>
        </w:tc>
        <w:tc>
          <w:tcPr>
            <w:tcW w:w="3897" w:type="pct"/>
          </w:tcPr>
          <w:p w14:paraId="624CF418" w14:textId="1DED0AE0" w:rsidR="00AD17C7" w:rsidRPr="00636B05" w:rsidRDefault="00AD17C7" w:rsidP="00155D4F">
            <w:pPr>
              <w:cnfStyle w:val="000000000000" w:firstRow="0" w:lastRow="0" w:firstColumn="0" w:lastColumn="0" w:oddVBand="0" w:evenVBand="0" w:oddHBand="0" w:evenHBand="0" w:firstRowFirstColumn="0" w:firstRowLastColumn="0" w:lastRowFirstColumn="0" w:lastRowLastColumn="0"/>
            </w:pPr>
            <w:r w:rsidRPr="00636B05">
              <w:t>Meals on Wheels</w:t>
            </w:r>
          </w:p>
        </w:tc>
      </w:tr>
      <w:tr w:rsidR="0021069C" w:rsidRPr="00636B05" w14:paraId="2390EECD"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330B36E6" w14:textId="77777777" w:rsidR="0021069C" w:rsidRPr="00636B05" w:rsidRDefault="0021069C" w:rsidP="00155D4F">
            <w:r w:rsidRPr="00636B05">
              <w:t>NACA</w:t>
            </w:r>
          </w:p>
        </w:tc>
        <w:tc>
          <w:tcPr>
            <w:tcW w:w="3897" w:type="pct"/>
          </w:tcPr>
          <w:p w14:paraId="5045DF36"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National Aged Care Alliance</w:t>
            </w:r>
          </w:p>
        </w:tc>
      </w:tr>
      <w:tr w:rsidR="0021069C" w:rsidRPr="00636B05" w14:paraId="4F478DA1"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0A25F7E8" w14:textId="77777777" w:rsidR="0021069C" w:rsidRPr="00636B05" w:rsidRDefault="0021069C" w:rsidP="00155D4F">
            <w:r w:rsidRPr="00636B05">
              <w:lastRenderedPageBreak/>
              <w:t>NDIS</w:t>
            </w:r>
          </w:p>
        </w:tc>
        <w:tc>
          <w:tcPr>
            <w:tcW w:w="3897" w:type="pct"/>
          </w:tcPr>
          <w:p w14:paraId="6DA4330E"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National Disability Insurance Scheme</w:t>
            </w:r>
          </w:p>
        </w:tc>
      </w:tr>
      <w:tr w:rsidR="0021069C" w:rsidRPr="00636B05" w14:paraId="141DFE57"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071148E9" w14:textId="77777777" w:rsidR="0021069C" w:rsidRPr="00636B05" w:rsidRDefault="0021069C" w:rsidP="00155D4F">
            <w:r w:rsidRPr="00636B05">
              <w:t>NED</w:t>
            </w:r>
          </w:p>
        </w:tc>
        <w:tc>
          <w:tcPr>
            <w:tcW w:w="3897" w:type="pct"/>
          </w:tcPr>
          <w:p w14:paraId="3D26C9F1"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National Equipment Database</w:t>
            </w:r>
          </w:p>
        </w:tc>
      </w:tr>
      <w:tr w:rsidR="0021069C" w:rsidRPr="00636B05" w14:paraId="341D6ED4"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5DB316A3" w14:textId="77777777" w:rsidR="0021069C" w:rsidRPr="00636B05" w:rsidRDefault="0021069C" w:rsidP="00155D4F">
            <w:r w:rsidRPr="00636B05">
              <w:t>NIIS</w:t>
            </w:r>
          </w:p>
        </w:tc>
        <w:tc>
          <w:tcPr>
            <w:tcW w:w="3897" w:type="pct"/>
          </w:tcPr>
          <w:p w14:paraId="3A784C8C"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National Injury Insurance Scheme</w:t>
            </w:r>
          </w:p>
        </w:tc>
      </w:tr>
      <w:tr w:rsidR="0021069C" w:rsidRPr="00636B05" w14:paraId="4FE17207"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683177EE" w14:textId="77777777" w:rsidR="0021069C" w:rsidRPr="00636B05" w:rsidRDefault="0021069C" w:rsidP="00155D4F">
            <w:r w:rsidRPr="00636B05">
              <w:t>NIISQ</w:t>
            </w:r>
          </w:p>
        </w:tc>
        <w:tc>
          <w:tcPr>
            <w:tcW w:w="3897" w:type="pct"/>
          </w:tcPr>
          <w:p w14:paraId="4CD2D926"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National Injury Insurance Agency, Queensland</w:t>
            </w:r>
          </w:p>
        </w:tc>
      </w:tr>
      <w:tr w:rsidR="0021069C" w:rsidRPr="00636B05" w14:paraId="5A3CB5DD"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16E04D9D" w14:textId="77777777" w:rsidR="0021069C" w:rsidRPr="00636B05" w:rsidRDefault="0021069C" w:rsidP="00155D4F">
            <w:r w:rsidRPr="00636B05">
              <w:t>OH&amp;S</w:t>
            </w:r>
          </w:p>
        </w:tc>
        <w:tc>
          <w:tcPr>
            <w:tcW w:w="3897" w:type="pct"/>
          </w:tcPr>
          <w:p w14:paraId="360E360F"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Occupational Health &amp; Safety</w:t>
            </w:r>
          </w:p>
        </w:tc>
      </w:tr>
      <w:tr w:rsidR="0021069C" w:rsidRPr="00636B05" w14:paraId="53E2AC31"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6619C603" w14:textId="77777777" w:rsidR="0021069C" w:rsidRPr="00636B05" w:rsidRDefault="0021069C" w:rsidP="00155D4F">
            <w:r w:rsidRPr="00636B05">
              <w:t>OT</w:t>
            </w:r>
          </w:p>
        </w:tc>
        <w:tc>
          <w:tcPr>
            <w:tcW w:w="3897" w:type="pct"/>
          </w:tcPr>
          <w:p w14:paraId="05CE3C0F"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Occupational Therapist</w:t>
            </w:r>
          </w:p>
        </w:tc>
      </w:tr>
      <w:tr w:rsidR="0021069C" w:rsidRPr="00636B05" w14:paraId="5F94CB89"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39F4BC1A" w14:textId="77777777" w:rsidR="0021069C" w:rsidRPr="00636B05" w:rsidRDefault="0021069C" w:rsidP="00155D4F">
            <w:r w:rsidRPr="00636B05">
              <w:t>P&amp;O</w:t>
            </w:r>
          </w:p>
        </w:tc>
        <w:tc>
          <w:tcPr>
            <w:tcW w:w="3897" w:type="pct"/>
          </w:tcPr>
          <w:p w14:paraId="7CE10549"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Prosthetics and Orthotics</w:t>
            </w:r>
          </w:p>
        </w:tc>
      </w:tr>
      <w:tr w:rsidR="0021069C" w:rsidRPr="00636B05" w14:paraId="4F826A8E"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6A513716" w14:textId="77777777" w:rsidR="0021069C" w:rsidRPr="00636B05" w:rsidRDefault="0021069C" w:rsidP="00155D4F">
            <w:r w:rsidRPr="00636B05">
              <w:t>PDW</w:t>
            </w:r>
          </w:p>
        </w:tc>
        <w:tc>
          <w:tcPr>
            <w:tcW w:w="3897" w:type="pct"/>
          </w:tcPr>
          <w:p w14:paraId="48BB2B8C"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Power drive wheelchairs</w:t>
            </w:r>
          </w:p>
        </w:tc>
      </w:tr>
      <w:tr w:rsidR="0021069C" w:rsidRPr="00636B05" w14:paraId="7C481D5B"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593EBB7A" w14:textId="77777777" w:rsidR="0021069C" w:rsidRPr="00636B05" w:rsidRDefault="0021069C" w:rsidP="00155D4F">
            <w:r w:rsidRPr="00636B05">
              <w:t>PIL</w:t>
            </w:r>
          </w:p>
        </w:tc>
        <w:tc>
          <w:tcPr>
            <w:tcW w:w="3897" w:type="pct"/>
          </w:tcPr>
          <w:p w14:paraId="56AB14C1"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Promoting Independent Living</w:t>
            </w:r>
          </w:p>
        </w:tc>
      </w:tr>
      <w:tr w:rsidR="0021069C" w:rsidRPr="00636B05" w14:paraId="05B011D5"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759B25D0" w14:textId="77777777" w:rsidR="0021069C" w:rsidRPr="00636B05" w:rsidRDefault="0021069C" w:rsidP="00155D4F">
            <w:r w:rsidRPr="00636B05">
              <w:t>RAS</w:t>
            </w:r>
          </w:p>
        </w:tc>
        <w:tc>
          <w:tcPr>
            <w:tcW w:w="3897" w:type="pct"/>
          </w:tcPr>
          <w:p w14:paraId="5C06A335"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Regional Assessment Service</w:t>
            </w:r>
          </w:p>
        </w:tc>
      </w:tr>
      <w:tr w:rsidR="0021069C" w:rsidRPr="00636B05" w14:paraId="02A1D0A7"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4EA8C93B" w14:textId="77777777" w:rsidR="0021069C" w:rsidRPr="00636B05" w:rsidRDefault="0021069C" w:rsidP="00155D4F">
            <w:r w:rsidRPr="00636B05">
              <w:t>RER</w:t>
            </w:r>
          </w:p>
        </w:tc>
        <w:tc>
          <w:tcPr>
            <w:tcW w:w="3897" w:type="pct"/>
          </w:tcPr>
          <w:p w14:paraId="3C3CC6C2"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bookmarkStart w:id="0" w:name="_Hlk43203372"/>
            <w:r w:rsidRPr="00636B05">
              <w:t>Rapid evidence review</w:t>
            </w:r>
            <w:bookmarkEnd w:id="0"/>
          </w:p>
        </w:tc>
      </w:tr>
      <w:tr w:rsidR="0021069C" w:rsidRPr="00636B05" w14:paraId="69347407"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14CE57C9" w14:textId="77777777" w:rsidR="0021069C" w:rsidRPr="00636B05" w:rsidRDefault="0021069C" w:rsidP="00155D4F">
            <w:r w:rsidRPr="00636B05">
              <w:t>RFQ</w:t>
            </w:r>
          </w:p>
        </w:tc>
        <w:tc>
          <w:tcPr>
            <w:tcW w:w="3897" w:type="pct"/>
          </w:tcPr>
          <w:p w14:paraId="4B0A6794"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Request for quote</w:t>
            </w:r>
          </w:p>
        </w:tc>
      </w:tr>
      <w:tr w:rsidR="0021069C" w:rsidRPr="00636B05" w14:paraId="3DFF7F65"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5D453EA8" w14:textId="77777777" w:rsidR="0021069C" w:rsidRPr="00636B05" w:rsidRDefault="0021069C" w:rsidP="00155D4F">
            <w:r w:rsidRPr="00636B05">
              <w:t>STRC</w:t>
            </w:r>
          </w:p>
        </w:tc>
        <w:tc>
          <w:tcPr>
            <w:tcW w:w="3897" w:type="pct"/>
          </w:tcPr>
          <w:p w14:paraId="4481AE10" w14:textId="13B453F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Short</w:t>
            </w:r>
            <w:r w:rsidR="0066549C" w:rsidRPr="00636B05">
              <w:t>-</w:t>
            </w:r>
            <w:r w:rsidRPr="00636B05">
              <w:t>Term Restorative Care Program</w:t>
            </w:r>
          </w:p>
        </w:tc>
      </w:tr>
      <w:tr w:rsidR="0021069C" w:rsidRPr="00636B05" w14:paraId="197ABA39"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0DC70888" w14:textId="77777777" w:rsidR="0021069C" w:rsidRPr="00636B05" w:rsidRDefault="0021069C" w:rsidP="00155D4F">
            <w:r w:rsidRPr="00636B05">
              <w:t>TCP</w:t>
            </w:r>
          </w:p>
        </w:tc>
        <w:tc>
          <w:tcPr>
            <w:tcW w:w="3897" w:type="pct"/>
          </w:tcPr>
          <w:p w14:paraId="279EFDC8"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Transition Care Program</w:t>
            </w:r>
          </w:p>
        </w:tc>
      </w:tr>
      <w:tr w:rsidR="0021069C" w:rsidRPr="00636B05" w14:paraId="7DA9C9A1"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1446EB03" w14:textId="77777777" w:rsidR="0021069C" w:rsidRPr="00636B05" w:rsidRDefault="0021069C" w:rsidP="00155D4F">
            <w:r w:rsidRPr="00636B05">
              <w:t>TGA</w:t>
            </w:r>
          </w:p>
        </w:tc>
        <w:tc>
          <w:tcPr>
            <w:tcW w:w="3897" w:type="pct"/>
          </w:tcPr>
          <w:p w14:paraId="7FB27E72" w14:textId="77777777" w:rsidR="0021069C" w:rsidRPr="00636B05" w:rsidRDefault="0021069C" w:rsidP="00155D4F">
            <w:pPr>
              <w:cnfStyle w:val="000000000000" w:firstRow="0" w:lastRow="0" w:firstColumn="0" w:lastColumn="0" w:oddVBand="0" w:evenVBand="0" w:oddHBand="0" w:evenHBand="0" w:firstRowFirstColumn="0" w:firstRowLastColumn="0" w:lastRowFirstColumn="0" w:lastRowLastColumn="0"/>
            </w:pPr>
            <w:r w:rsidRPr="00636B05">
              <w:t>Therapeutic Goods Administration</w:t>
            </w:r>
          </w:p>
        </w:tc>
      </w:tr>
      <w:tr w:rsidR="0021069C" w:rsidRPr="00636B05" w14:paraId="400A0EDC"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75A92D2E" w14:textId="77777777" w:rsidR="0021069C" w:rsidRPr="00636B05" w:rsidRDefault="0021069C" w:rsidP="00155D4F">
            <w:r w:rsidRPr="00636B05">
              <w:t>WHO</w:t>
            </w:r>
          </w:p>
        </w:tc>
        <w:tc>
          <w:tcPr>
            <w:tcW w:w="3897" w:type="pct"/>
          </w:tcPr>
          <w:p w14:paraId="76373C1D" w14:textId="77777777" w:rsidR="0021069C" w:rsidRPr="00636B05" w:rsidRDefault="0021069C" w:rsidP="00155D4F">
            <w:pPr>
              <w:cnfStyle w:val="000000100000" w:firstRow="0" w:lastRow="0" w:firstColumn="0" w:lastColumn="0" w:oddVBand="0" w:evenVBand="0" w:oddHBand="1" w:evenHBand="0" w:firstRowFirstColumn="0" w:firstRowLastColumn="0" w:lastRowFirstColumn="0" w:lastRowLastColumn="0"/>
            </w:pPr>
            <w:r w:rsidRPr="00636B05">
              <w:t>World Health Organization</w:t>
            </w:r>
          </w:p>
        </w:tc>
      </w:tr>
    </w:tbl>
    <w:p w14:paraId="2F09CF50" w14:textId="77777777" w:rsidR="00F314F5" w:rsidRDefault="00F314F5" w:rsidP="00F314F5">
      <w:pPr>
        <w:rPr>
          <w:rFonts w:eastAsia="Arial Unicode MS"/>
        </w:rPr>
      </w:pPr>
    </w:p>
    <w:p w14:paraId="63608C21" w14:textId="36A690B2" w:rsidR="00384C74" w:rsidRDefault="00384C74" w:rsidP="00F314F5">
      <w:pPr>
        <w:rPr>
          <w:rFonts w:eastAsia="Arial Unicode MS"/>
        </w:rPr>
        <w:sectPr w:rsidR="00384C74" w:rsidSect="00A127F8">
          <w:pgSz w:w="11907" w:h="16840" w:code="9"/>
          <w:pgMar w:top="851" w:right="1134" w:bottom="851" w:left="1134" w:header="510" w:footer="567" w:gutter="0"/>
          <w:pgNumType w:fmt="lowerRoman"/>
          <w:cols w:space="680"/>
          <w:titlePg/>
          <w:docGrid w:linePitch="360"/>
        </w:sectPr>
      </w:pPr>
    </w:p>
    <w:p w14:paraId="4B9CAE14" w14:textId="1D750F98" w:rsidR="00B27FD5" w:rsidRDefault="00F314F5" w:rsidP="00F314F5">
      <w:pPr>
        <w:pStyle w:val="TOCHeading"/>
      </w:pPr>
      <w:r>
        <w:lastRenderedPageBreak/>
        <w:t>G</w:t>
      </w:r>
      <w:r w:rsidRPr="00636B05">
        <w:t>lossary</w:t>
      </w:r>
    </w:p>
    <w:tbl>
      <w:tblPr>
        <w:tblStyle w:val="AHALight"/>
        <w:tblW w:w="5000" w:type="pct"/>
        <w:tblLayout w:type="fixed"/>
        <w:tblLook w:val="04A0" w:firstRow="1" w:lastRow="0" w:firstColumn="1" w:lastColumn="0" w:noHBand="0" w:noVBand="1"/>
        <w:tblCaption w:val="Glossary"/>
        <w:tblDescription w:val="Alphabetical list of terms and their definitions."/>
      </w:tblPr>
      <w:tblGrid>
        <w:gridCol w:w="2126"/>
        <w:gridCol w:w="7513"/>
      </w:tblGrid>
      <w:tr w:rsidR="00F314F5" w:rsidRPr="00636B05" w14:paraId="365E2770" w14:textId="77777777" w:rsidTr="00384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3026E970" w14:textId="606EC234" w:rsidR="00F314F5" w:rsidRPr="00636B05" w:rsidRDefault="00F314F5" w:rsidP="001F66E2">
            <w:pPr>
              <w:pStyle w:val="TableHeading1"/>
            </w:pPr>
            <w:r>
              <w:t>Term</w:t>
            </w:r>
          </w:p>
        </w:tc>
        <w:tc>
          <w:tcPr>
            <w:tcW w:w="3897" w:type="pct"/>
          </w:tcPr>
          <w:p w14:paraId="5FD62BE0" w14:textId="77777777" w:rsidR="00F314F5" w:rsidRPr="00636B05" w:rsidRDefault="00F314F5" w:rsidP="001F66E2">
            <w:pPr>
              <w:pStyle w:val="TableHeading1"/>
              <w:cnfStyle w:val="100000000000" w:firstRow="1" w:lastRow="0" w:firstColumn="0" w:lastColumn="0" w:oddVBand="0" w:evenVBand="0" w:oddHBand="0" w:evenHBand="0" w:firstRowFirstColumn="0" w:firstRowLastColumn="0" w:lastRowFirstColumn="0" w:lastRowLastColumn="0"/>
            </w:pPr>
            <w:r w:rsidRPr="00636B05">
              <w:t>Definition</w:t>
            </w:r>
          </w:p>
        </w:tc>
      </w:tr>
      <w:tr w:rsidR="00F314F5" w:rsidRPr="00636B05" w14:paraId="77669659"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0D6E58DE" w14:textId="77777777" w:rsidR="00F314F5" w:rsidRPr="00636B05" w:rsidRDefault="00F314F5" w:rsidP="001F66E2">
            <w:r w:rsidRPr="00636B05">
              <w:t>AT Products</w:t>
            </w:r>
          </w:p>
        </w:tc>
        <w:tc>
          <w:tcPr>
            <w:tcW w:w="3897" w:type="pct"/>
          </w:tcPr>
          <w:p w14:paraId="5D53EAE1" w14:textId="77777777" w:rsidR="00F314F5" w:rsidRPr="00636B05" w:rsidRDefault="00F314F5" w:rsidP="001F66E2">
            <w:pPr>
              <w:cnfStyle w:val="000000100000" w:firstRow="0" w:lastRow="0" w:firstColumn="0" w:lastColumn="0" w:oddVBand="0" w:evenVBand="0" w:oddHBand="1" w:evenHBand="0" w:firstRowFirstColumn="0" w:firstRowLastColumn="0" w:lastRowFirstColumn="0" w:lastRowLastColumn="0"/>
            </w:pPr>
            <w:r w:rsidRPr="00636B05">
              <w:t>Items of assistive technology</w:t>
            </w:r>
          </w:p>
        </w:tc>
      </w:tr>
      <w:tr w:rsidR="00F314F5" w:rsidRPr="00636B05" w14:paraId="5B8034DD"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35A2C1A7" w14:textId="77777777" w:rsidR="00F314F5" w:rsidRPr="00636B05" w:rsidRDefault="00F314F5" w:rsidP="001F66E2">
            <w:r w:rsidRPr="00636B05">
              <w:t>AT Services</w:t>
            </w:r>
          </w:p>
        </w:tc>
        <w:tc>
          <w:tcPr>
            <w:tcW w:w="3897" w:type="pct"/>
          </w:tcPr>
          <w:p w14:paraId="3FEBFE1B" w14:textId="77777777" w:rsidR="00F314F5" w:rsidRPr="00636B05" w:rsidRDefault="00F314F5" w:rsidP="001F66E2">
            <w:pPr>
              <w:cnfStyle w:val="000000000000" w:firstRow="0" w:lastRow="0" w:firstColumn="0" w:lastColumn="0" w:oddVBand="0" w:evenVBand="0" w:oddHBand="0" w:evenHBand="0" w:firstRowFirstColumn="0" w:firstRowLastColumn="0" w:lastRowFirstColumn="0" w:lastRowLastColumn="0"/>
            </w:pPr>
            <w:r w:rsidRPr="00636B05">
              <w:t>Services or ‘soft technology’ used</w:t>
            </w:r>
            <w:r>
              <w:t xml:space="preserve"> to support the use of AT</w:t>
            </w:r>
            <w:r w:rsidRPr="00636B05">
              <w:t xml:space="preserve"> </w:t>
            </w:r>
          </w:p>
        </w:tc>
      </w:tr>
      <w:tr w:rsidR="00F314F5" w:rsidRPr="00636B05" w14:paraId="6C8F359B"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6078E111" w14:textId="77777777" w:rsidR="00F314F5" w:rsidRPr="00636B05" w:rsidRDefault="00F314F5" w:rsidP="001F66E2">
            <w:r>
              <w:t>AT Products and Services</w:t>
            </w:r>
          </w:p>
        </w:tc>
        <w:tc>
          <w:tcPr>
            <w:tcW w:w="3897" w:type="pct"/>
          </w:tcPr>
          <w:p w14:paraId="185F40C4" w14:textId="77777777" w:rsidR="00F314F5" w:rsidRDefault="00F314F5" w:rsidP="001F66E2">
            <w:pPr>
              <w:cnfStyle w:val="000000100000" w:firstRow="0" w:lastRow="0" w:firstColumn="0" w:lastColumn="0" w:oddVBand="0" w:evenVBand="0" w:oddHBand="1" w:evenHBand="0" w:firstRowFirstColumn="0" w:firstRowLastColumn="0" w:lastRowFirstColumn="0" w:lastRowLastColumn="0"/>
            </w:pPr>
            <w:r>
              <w:t>AT Products and AT Services make up an AT Products and Services</w:t>
            </w:r>
          </w:p>
          <w:p w14:paraId="19444EC9" w14:textId="77777777" w:rsidR="00F314F5" w:rsidRPr="003319FB" w:rsidRDefault="00F314F5" w:rsidP="001F66E2">
            <w:pPr>
              <w:cnfStyle w:val="000000100000" w:firstRow="0" w:lastRow="0" w:firstColumn="0" w:lastColumn="0" w:oddVBand="0" w:evenVBand="0" w:oddHBand="1" w:evenHBand="0" w:firstRowFirstColumn="0" w:firstRowLastColumn="0" w:lastRowFirstColumn="0" w:lastRowLastColumn="0"/>
            </w:pPr>
            <w:r w:rsidRPr="003319FB">
              <w:t xml:space="preserve">Any product (including devices, equipment, instruments and software), especially produced or generally available, used by or for persons with disability for participation, to protect, support, train, measure or substitute for body functions/structures and activities, or to prevent impairments, activity limitations or participation restrictions </w:t>
            </w:r>
          </w:p>
        </w:tc>
      </w:tr>
      <w:tr w:rsidR="00F314F5" w:rsidRPr="00636B05" w14:paraId="4CB5B6A3"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7CB92C63" w14:textId="77777777" w:rsidR="00F314F5" w:rsidRPr="00636B05" w:rsidRDefault="00F314F5" w:rsidP="001F66E2">
            <w:r w:rsidRPr="00636B05">
              <w:t xml:space="preserve">Core Activity Limitation </w:t>
            </w:r>
          </w:p>
        </w:tc>
        <w:tc>
          <w:tcPr>
            <w:tcW w:w="3897" w:type="pct"/>
          </w:tcPr>
          <w:p w14:paraId="66E8C221" w14:textId="77777777" w:rsidR="00F314F5" w:rsidRPr="00636B05" w:rsidRDefault="00F314F5" w:rsidP="001F66E2">
            <w:pPr>
              <w:cnfStyle w:val="000000000000" w:firstRow="0" w:lastRow="0" w:firstColumn="0" w:lastColumn="0" w:oddVBand="0" w:evenVBand="0" w:oddHBand="0" w:evenHBand="0" w:firstRowFirstColumn="0" w:firstRowLastColumn="0" w:lastRowFirstColumn="0" w:lastRowLastColumn="0"/>
            </w:pPr>
            <w:r w:rsidRPr="00636B05">
              <w:t>The Australian Bureau of Statistics Survey of Disability, Ageing and Carers (ABS SDAC) provides information on core activity limitations</w:t>
            </w:r>
            <w:r>
              <w:t xml:space="preserve">. </w:t>
            </w:r>
            <w:r w:rsidRPr="00636B05">
              <w:t>Core activities are communication, mobility and self-care</w:t>
            </w:r>
            <w:r>
              <w:t xml:space="preserve">. </w:t>
            </w:r>
            <w:r w:rsidRPr="00636B05">
              <w:t>Four levels of severity are provided:</w:t>
            </w:r>
          </w:p>
          <w:p w14:paraId="0A6C690C" w14:textId="77777777" w:rsidR="00F314F5" w:rsidRPr="00636B05" w:rsidRDefault="00F314F5" w:rsidP="001F66E2">
            <w:pPr>
              <w:cnfStyle w:val="000000000000" w:firstRow="0" w:lastRow="0" w:firstColumn="0" w:lastColumn="0" w:oddVBand="0" w:evenVBand="0" w:oddHBand="0" w:evenHBand="0" w:firstRowFirstColumn="0" w:firstRowLastColumn="0" w:lastRowFirstColumn="0" w:lastRowLastColumn="0"/>
            </w:pPr>
            <w:r w:rsidRPr="00636B05">
              <w:t>Mild limitation—People who need no help and have no difficulty, but use aids or equipment for core tasks or have one or more of the following limitations:</w:t>
            </w:r>
          </w:p>
          <w:p w14:paraId="7C06AAE7" w14:textId="77777777" w:rsidR="00F314F5" w:rsidRPr="00636B05" w:rsidRDefault="00F314F5" w:rsidP="00F314F5">
            <w:pPr>
              <w:pStyle w:val="TableBullet1"/>
              <w:keepNext/>
              <w:keepLines/>
              <w:ind w:left="603"/>
              <w:cnfStyle w:val="000000000000" w:firstRow="0" w:lastRow="0" w:firstColumn="0" w:lastColumn="0" w:oddVBand="0" w:evenVBand="0" w:oddHBand="0" w:evenHBand="0" w:firstRowFirstColumn="0" w:firstRowLastColumn="0" w:lastRowFirstColumn="0" w:lastRowLastColumn="0"/>
            </w:pPr>
            <w:r w:rsidRPr="00636B05">
              <w:t>Cannot easily walk 200 metres</w:t>
            </w:r>
          </w:p>
          <w:p w14:paraId="26D74CF1" w14:textId="77777777" w:rsidR="00F314F5" w:rsidRPr="00636B05" w:rsidRDefault="00F314F5" w:rsidP="00F314F5">
            <w:pPr>
              <w:pStyle w:val="TableBullet1"/>
              <w:keepNext/>
              <w:keepLines/>
              <w:ind w:left="603"/>
              <w:cnfStyle w:val="000000000000" w:firstRow="0" w:lastRow="0" w:firstColumn="0" w:lastColumn="0" w:oddVBand="0" w:evenVBand="0" w:oddHBand="0" w:evenHBand="0" w:firstRowFirstColumn="0" w:firstRowLastColumn="0" w:lastRowFirstColumn="0" w:lastRowLastColumn="0"/>
            </w:pPr>
            <w:r w:rsidRPr="00636B05">
              <w:t>Cannot walk up and down stairs without a handrail</w:t>
            </w:r>
          </w:p>
          <w:p w14:paraId="2CAF781E" w14:textId="77777777" w:rsidR="00F314F5" w:rsidRPr="00636B05" w:rsidRDefault="00F314F5" w:rsidP="00F314F5">
            <w:pPr>
              <w:pStyle w:val="TableBullet1"/>
              <w:keepNext/>
              <w:keepLines/>
              <w:ind w:left="603"/>
              <w:cnfStyle w:val="000000000000" w:firstRow="0" w:lastRow="0" w:firstColumn="0" w:lastColumn="0" w:oddVBand="0" w:evenVBand="0" w:oddHBand="0" w:evenHBand="0" w:firstRowFirstColumn="0" w:firstRowLastColumn="0" w:lastRowFirstColumn="0" w:lastRowLastColumn="0"/>
            </w:pPr>
            <w:r w:rsidRPr="00636B05">
              <w:t>Cannot easily bend to pick up an object from the floor</w:t>
            </w:r>
          </w:p>
          <w:p w14:paraId="629FE413" w14:textId="77777777" w:rsidR="00F314F5" w:rsidRPr="00636B05" w:rsidRDefault="00F314F5" w:rsidP="00F314F5">
            <w:pPr>
              <w:pStyle w:val="TableBullet1"/>
              <w:keepNext/>
              <w:keepLines/>
              <w:ind w:left="603"/>
              <w:cnfStyle w:val="000000000000" w:firstRow="0" w:lastRow="0" w:firstColumn="0" w:lastColumn="0" w:oddVBand="0" w:evenVBand="0" w:oddHBand="0" w:evenHBand="0" w:firstRowFirstColumn="0" w:firstRowLastColumn="0" w:lastRowFirstColumn="0" w:lastRowLastColumn="0"/>
            </w:pPr>
            <w:r w:rsidRPr="00636B05">
              <w:t>Has difficulty or cannot use public transport</w:t>
            </w:r>
          </w:p>
          <w:p w14:paraId="2AFD8A31" w14:textId="77777777" w:rsidR="00F314F5" w:rsidRPr="00636B05" w:rsidRDefault="00F314F5" w:rsidP="001F66E2">
            <w:pPr>
              <w:cnfStyle w:val="000000000000" w:firstRow="0" w:lastRow="0" w:firstColumn="0" w:lastColumn="0" w:oddVBand="0" w:evenVBand="0" w:oddHBand="0" w:evenHBand="0" w:firstRowFirstColumn="0" w:firstRowLastColumn="0" w:lastRowFirstColumn="0" w:lastRowLastColumn="0"/>
            </w:pPr>
            <w:r w:rsidRPr="00636B05">
              <w:t>Moderate limitation—people who need no help but have difficulty</w:t>
            </w:r>
          </w:p>
          <w:p w14:paraId="5BAB32BF" w14:textId="77777777" w:rsidR="00F314F5" w:rsidRPr="00636B05" w:rsidRDefault="00F314F5" w:rsidP="001F66E2">
            <w:pPr>
              <w:cnfStyle w:val="000000000000" w:firstRow="0" w:lastRow="0" w:firstColumn="0" w:lastColumn="0" w:oddVBand="0" w:evenVBand="0" w:oddHBand="0" w:evenHBand="0" w:firstRowFirstColumn="0" w:firstRowLastColumn="0" w:lastRowFirstColumn="0" w:lastRowLastColumn="0"/>
            </w:pPr>
            <w:r w:rsidRPr="00636B05">
              <w:t>Severe limitation—people who sometimes need help and/or have difficulty</w:t>
            </w:r>
          </w:p>
          <w:p w14:paraId="51C6A506" w14:textId="77777777" w:rsidR="00F314F5" w:rsidRPr="00636B05" w:rsidRDefault="00F314F5" w:rsidP="001F66E2">
            <w:pPr>
              <w:cnfStyle w:val="000000000000" w:firstRow="0" w:lastRow="0" w:firstColumn="0" w:lastColumn="0" w:oddVBand="0" w:evenVBand="0" w:oddHBand="0" w:evenHBand="0" w:firstRowFirstColumn="0" w:firstRowLastColumn="0" w:lastRowFirstColumn="0" w:lastRowLastColumn="0"/>
            </w:pPr>
            <w:r w:rsidRPr="00636B05">
              <w:t>Profound limitation—people with the greatest need for help or who are unable to do an activity</w:t>
            </w:r>
          </w:p>
        </w:tc>
      </w:tr>
      <w:tr w:rsidR="00F314F5" w:rsidRPr="00636B05" w14:paraId="4CD1B71C"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4D931B0D" w14:textId="77777777" w:rsidR="00F314F5" w:rsidRPr="00636B05" w:rsidRDefault="00F314F5" w:rsidP="001F66E2">
            <w:r w:rsidRPr="00636B05">
              <w:t xml:space="preserve">Disability </w:t>
            </w:r>
          </w:p>
        </w:tc>
        <w:tc>
          <w:tcPr>
            <w:tcW w:w="3897" w:type="pct"/>
          </w:tcPr>
          <w:p w14:paraId="1F81ACDF" w14:textId="77777777" w:rsidR="00F314F5" w:rsidRPr="00636B05" w:rsidRDefault="00F314F5" w:rsidP="001F66E2">
            <w:pPr>
              <w:cnfStyle w:val="000000100000" w:firstRow="0" w:lastRow="0" w:firstColumn="0" w:lastColumn="0" w:oddVBand="0" w:evenVBand="0" w:oddHBand="1" w:evenHBand="0" w:firstRowFirstColumn="0" w:firstRowLastColumn="0" w:lastRowFirstColumn="0" w:lastRowLastColumn="0"/>
            </w:pPr>
            <w:r w:rsidRPr="00636B05">
              <w:t>In the ABS SDAC, a person is considered to have disability if they have at least one of a list of limitations, restrictions or impairments, which has lasted, or is likely to last, for at least 6 months and restricts everyday activities</w:t>
            </w:r>
            <w:r>
              <w:t xml:space="preserve">. </w:t>
            </w:r>
            <w:r w:rsidRPr="00636B05">
              <w:t xml:space="preserve">The severity of disability is further defined according to the degree of assistance or supervision required in core activities—self-care, mobility, and communication—and grouped for </w:t>
            </w:r>
            <w:r>
              <w:t>m</w:t>
            </w:r>
            <w:r w:rsidRPr="00636B05">
              <w:t xml:space="preserve">ild, </w:t>
            </w:r>
            <w:r>
              <w:t>m</w:t>
            </w:r>
            <w:r w:rsidRPr="00636B05">
              <w:t xml:space="preserve">oderate, </w:t>
            </w:r>
            <w:r>
              <w:t>s</w:t>
            </w:r>
            <w:r w:rsidRPr="00636B05">
              <w:t xml:space="preserve">evere, and </w:t>
            </w:r>
            <w:r>
              <w:t>p</w:t>
            </w:r>
            <w:r w:rsidRPr="00636B05">
              <w:t>rofound limitation.</w:t>
            </w:r>
          </w:p>
        </w:tc>
      </w:tr>
      <w:tr w:rsidR="00F314F5" w:rsidRPr="00636B05" w14:paraId="45BA4933"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72BC5C5F" w14:textId="6B13A7F5" w:rsidR="00F314F5" w:rsidRPr="00636B05" w:rsidRDefault="00F314F5" w:rsidP="001F66E2">
            <w:r w:rsidRPr="00636B05">
              <w:t>ISO 9999</w:t>
            </w:r>
            <w:r>
              <w:t xml:space="preserve"> and AS/</w:t>
            </w:r>
            <w:r w:rsidRPr="00636B05">
              <w:t>ISO</w:t>
            </w:r>
            <w:r>
              <w:t> </w:t>
            </w:r>
            <w:r w:rsidRPr="00636B05">
              <w:t>9999</w:t>
            </w:r>
          </w:p>
        </w:tc>
        <w:tc>
          <w:tcPr>
            <w:tcW w:w="3897" w:type="pct"/>
          </w:tcPr>
          <w:p w14:paraId="3F309469" w14:textId="77777777" w:rsidR="00F314F5" w:rsidRPr="00636B05" w:rsidRDefault="00F314F5" w:rsidP="001F66E2">
            <w:pPr>
              <w:cnfStyle w:val="000000000000" w:firstRow="0" w:lastRow="0" w:firstColumn="0" w:lastColumn="0" w:oddVBand="0" w:evenVBand="0" w:oddHBand="0" w:evenHBand="0" w:firstRowFirstColumn="0" w:firstRowLastColumn="0" w:lastRowFirstColumn="0" w:lastRowLastColumn="0"/>
            </w:pPr>
            <w:r w:rsidRPr="00636B05">
              <w:t>The International Organization for Standardization (ISO) is an independent, non-governmental organisation with a membership of 164 national standards bodies, whose remit is to develop and publish international standards</w:t>
            </w:r>
            <w:r>
              <w:t xml:space="preserve">. </w:t>
            </w:r>
            <w:r w:rsidRPr="00636B05">
              <w:t>ISO 9999 establishes a classification of assistive products that have been produced for persons with disability</w:t>
            </w:r>
            <w:r>
              <w:t xml:space="preserve">. </w:t>
            </w:r>
            <w:r w:rsidRPr="00636B05">
              <w:t xml:space="preserve">All assistive products in </w:t>
            </w:r>
            <w:r>
              <w:t>AS/</w:t>
            </w:r>
            <w:r w:rsidRPr="00636B05">
              <w:t>ISO 9999 are primarily intended for use outside of health care settings</w:t>
            </w:r>
            <w:r>
              <w:t xml:space="preserve">. </w:t>
            </w:r>
            <w:r w:rsidRPr="00636B05">
              <w:t>Assistive products are classified according to their function</w:t>
            </w:r>
            <w:r>
              <w:t xml:space="preserve">. </w:t>
            </w:r>
            <w:r w:rsidRPr="00636B05">
              <w:t>The classification consists of three hierarchical levels, with classes, subclasses and divisions</w:t>
            </w:r>
            <w:r>
              <w:t xml:space="preserve">. </w:t>
            </w:r>
            <w:r w:rsidRPr="00636B05">
              <w:t>For the purposes of this review, 12 ISO 9999 classes are used</w:t>
            </w:r>
            <w:r>
              <w:t xml:space="preserve">. </w:t>
            </w:r>
            <w:r w:rsidRPr="00636B05">
              <w:t>The</w:t>
            </w:r>
            <w:r>
              <w:t xml:space="preserve"> AS/</w:t>
            </w:r>
            <w:r w:rsidRPr="00636B05">
              <w:t xml:space="preserve">ISO </w:t>
            </w:r>
            <w:r>
              <w:t>has been adopted by Australia</w:t>
            </w:r>
            <w:r w:rsidRPr="00636B05">
              <w:t>.</w:t>
            </w:r>
          </w:p>
        </w:tc>
      </w:tr>
      <w:tr w:rsidR="00F314F5" w:rsidRPr="00636B05" w14:paraId="2D792454" w14:textId="77777777" w:rsidTr="0038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pct"/>
          </w:tcPr>
          <w:p w14:paraId="7BFB1D57" w14:textId="77777777" w:rsidR="00F314F5" w:rsidRPr="00636B05" w:rsidRDefault="00F314F5" w:rsidP="001F66E2">
            <w:r w:rsidRPr="00636B05">
              <w:t>Soft technology</w:t>
            </w:r>
          </w:p>
        </w:tc>
        <w:tc>
          <w:tcPr>
            <w:tcW w:w="3897" w:type="pct"/>
          </w:tcPr>
          <w:p w14:paraId="6BA17E5A" w14:textId="77777777" w:rsidR="00F314F5" w:rsidRPr="00636B05" w:rsidRDefault="00F314F5" w:rsidP="001F66E2">
            <w:pPr>
              <w:cnfStyle w:val="000000100000" w:firstRow="0" w:lastRow="0" w:firstColumn="0" w:lastColumn="0" w:oddVBand="0" w:evenVBand="0" w:oddHBand="1" w:evenHBand="0" w:firstRowFirstColumn="0" w:firstRowLastColumn="0" w:lastRowFirstColumn="0" w:lastRowLastColumn="0"/>
            </w:pPr>
            <w:r>
              <w:t>AT services associated with providing AT products</w:t>
            </w:r>
          </w:p>
        </w:tc>
      </w:tr>
      <w:tr w:rsidR="00F314F5" w:rsidRPr="00636B05" w14:paraId="0E07D142" w14:textId="77777777" w:rsidTr="00384C74">
        <w:tc>
          <w:tcPr>
            <w:cnfStyle w:val="001000000000" w:firstRow="0" w:lastRow="0" w:firstColumn="1" w:lastColumn="0" w:oddVBand="0" w:evenVBand="0" w:oddHBand="0" w:evenHBand="0" w:firstRowFirstColumn="0" w:firstRowLastColumn="0" w:lastRowFirstColumn="0" w:lastRowLastColumn="0"/>
            <w:tcW w:w="1103" w:type="pct"/>
          </w:tcPr>
          <w:p w14:paraId="1B737812" w14:textId="77777777" w:rsidR="00F314F5" w:rsidRPr="00636B05" w:rsidRDefault="00F314F5" w:rsidP="001F66E2">
            <w:r w:rsidRPr="00636B05">
              <w:t>States</w:t>
            </w:r>
          </w:p>
        </w:tc>
        <w:tc>
          <w:tcPr>
            <w:tcW w:w="3897" w:type="pct"/>
          </w:tcPr>
          <w:p w14:paraId="37D1FDF1" w14:textId="77777777" w:rsidR="00F314F5" w:rsidRPr="00636B05" w:rsidRDefault="00F314F5" w:rsidP="001F66E2">
            <w:pPr>
              <w:cnfStyle w:val="000000000000" w:firstRow="0" w:lastRow="0" w:firstColumn="0" w:lastColumn="0" w:oddVBand="0" w:evenVBand="0" w:oddHBand="0" w:evenHBand="0" w:firstRowFirstColumn="0" w:firstRowLastColumn="0" w:lastRowFirstColumn="0" w:lastRowLastColumn="0"/>
            </w:pPr>
            <w:r w:rsidRPr="00636B05">
              <w:t>Australian state and territory jurisdictions</w:t>
            </w:r>
          </w:p>
        </w:tc>
      </w:tr>
    </w:tbl>
    <w:p w14:paraId="4CDC07FF" w14:textId="77777777" w:rsidR="00F314F5" w:rsidRPr="00636B05" w:rsidRDefault="00F314F5" w:rsidP="00024B22">
      <w:pPr>
        <w:rPr>
          <w:lang w:eastAsia="en-AU"/>
        </w:rPr>
      </w:pPr>
    </w:p>
    <w:p w14:paraId="0A00FB99" w14:textId="77777777" w:rsidR="003F5DA5" w:rsidRPr="00636B05" w:rsidRDefault="003F5DA5" w:rsidP="00E363CB">
      <w:pPr>
        <w:sectPr w:rsidR="003F5DA5" w:rsidRPr="00636B05" w:rsidSect="00A127F8">
          <w:pgSz w:w="11907" w:h="16840" w:code="9"/>
          <w:pgMar w:top="851" w:right="1134" w:bottom="851" w:left="1134" w:header="510" w:footer="567" w:gutter="0"/>
          <w:pgNumType w:fmt="lowerRoman"/>
          <w:cols w:space="680"/>
          <w:titlePg/>
          <w:docGrid w:linePitch="360"/>
        </w:sectPr>
      </w:pPr>
    </w:p>
    <w:p w14:paraId="62C0DFF1" w14:textId="7A018492" w:rsidR="00D522C1" w:rsidRPr="00B42789" w:rsidRDefault="00725CB1" w:rsidP="00805DBA">
      <w:pPr>
        <w:pStyle w:val="Heading1"/>
        <w:rPr>
          <w:color w:val="auto"/>
        </w:rPr>
      </w:pPr>
      <w:bookmarkStart w:id="1" w:name="_Toc59402363"/>
      <w:r w:rsidRPr="00B42789">
        <w:rPr>
          <w:color w:val="auto"/>
          <w:lang w:eastAsia="en-AU"/>
        </w:rPr>
        <w:lastRenderedPageBreak/>
        <w:t xml:space="preserve">Executive </w:t>
      </w:r>
      <w:r w:rsidR="000A24B8" w:rsidRPr="00B42789">
        <w:rPr>
          <w:color w:val="auto"/>
          <w:lang w:eastAsia="en-AU"/>
        </w:rPr>
        <w:t>s</w:t>
      </w:r>
      <w:r w:rsidRPr="00B42789">
        <w:rPr>
          <w:color w:val="auto"/>
          <w:lang w:eastAsia="en-AU"/>
        </w:rPr>
        <w:t>ummary</w:t>
      </w:r>
      <w:bookmarkEnd w:id="1"/>
    </w:p>
    <w:p w14:paraId="1C5C05B5" w14:textId="77777777" w:rsidR="006868AA" w:rsidRPr="00636B05" w:rsidRDefault="006868AA">
      <w:r w:rsidRPr="00636B05">
        <w:br w:type="page"/>
      </w:r>
    </w:p>
    <w:p w14:paraId="7023FA11" w14:textId="7AE396E7" w:rsidR="008845A2" w:rsidRDefault="008845A2" w:rsidP="008845A2">
      <w:pPr>
        <w:pStyle w:val="Paragraph"/>
      </w:pPr>
      <w:bookmarkStart w:id="2" w:name="_Toc31630710"/>
      <w:r>
        <w:lastRenderedPageBreak/>
        <w:t xml:space="preserve">In December 2019, the Department of Health (Department) engaged Australian Healthcare Associates (AHA) to undertake a </w:t>
      </w:r>
      <w:r w:rsidRPr="00122C10">
        <w:t xml:space="preserve">Review of Assistive Technology </w:t>
      </w:r>
      <w:r>
        <w:t>(AT)</w:t>
      </w:r>
      <w:r w:rsidRPr="00122C10">
        <w:t xml:space="preserve"> </w:t>
      </w:r>
      <w:r>
        <w:t>p</w:t>
      </w:r>
      <w:r w:rsidRPr="00122C10">
        <w:t>rograms in Australia</w:t>
      </w:r>
      <w:r w:rsidR="00F80723">
        <w:t xml:space="preserve">. </w:t>
      </w:r>
      <w:r>
        <w:t xml:space="preserve">This is the final report for the Review. </w:t>
      </w:r>
    </w:p>
    <w:p w14:paraId="2F3D546A" w14:textId="77777777" w:rsidR="008845A2" w:rsidRDefault="008845A2" w:rsidP="008845A2">
      <w:pPr>
        <w:pStyle w:val="Heading2"/>
      </w:pPr>
      <w:bookmarkStart w:id="3" w:name="_Toc59402364"/>
      <w:r>
        <w:t>Objective and scope</w:t>
      </w:r>
      <w:bookmarkEnd w:id="3"/>
    </w:p>
    <w:p w14:paraId="5EDC3242" w14:textId="7A7FC01D" w:rsidR="008845A2" w:rsidRDefault="008845A2" w:rsidP="00A10B2F">
      <w:pPr>
        <w:pStyle w:val="ParaKeep"/>
      </w:pPr>
      <w:r>
        <w:t xml:space="preserve">The key objective of </w:t>
      </w:r>
      <w:r w:rsidR="00441576">
        <w:t xml:space="preserve">the </w:t>
      </w:r>
      <w:r>
        <w:t xml:space="preserve">review was to identify </w:t>
      </w:r>
      <w:r w:rsidRPr="00F41A64">
        <w:t>options and future models for improving access to AT for older Australians</w:t>
      </w:r>
      <w:r w:rsidR="00F80723">
        <w:t xml:space="preserve">. </w:t>
      </w:r>
      <w:r>
        <w:t>This included:</w:t>
      </w:r>
    </w:p>
    <w:p w14:paraId="40810051" w14:textId="77777777" w:rsidR="008845A2" w:rsidRPr="009208AF" w:rsidRDefault="008845A2" w:rsidP="000A24B8">
      <w:pPr>
        <w:pStyle w:val="Bullet1"/>
      </w:pPr>
      <w:r w:rsidRPr="009208AF">
        <w:t>Summaris</w:t>
      </w:r>
      <w:r>
        <w:t>ing</w:t>
      </w:r>
      <w:r w:rsidRPr="009208AF">
        <w:t xml:space="preserve"> the current AT arrangements in Australia</w:t>
      </w:r>
    </w:p>
    <w:p w14:paraId="2FF6044F" w14:textId="77777777" w:rsidR="008845A2" w:rsidRPr="009208AF" w:rsidRDefault="008845A2" w:rsidP="000A24B8">
      <w:pPr>
        <w:pStyle w:val="Bullet1"/>
      </w:pPr>
      <w:r w:rsidRPr="009208AF">
        <w:t>Consider</w:t>
      </w:r>
      <w:r>
        <w:t>ing</w:t>
      </w:r>
      <w:r w:rsidRPr="009208AF">
        <w:t xml:space="preserve"> the benefits of AT </w:t>
      </w:r>
    </w:p>
    <w:p w14:paraId="0C101F39" w14:textId="77777777" w:rsidR="008845A2" w:rsidRPr="009208AF" w:rsidRDefault="008845A2" w:rsidP="000A24B8">
      <w:pPr>
        <w:pStyle w:val="Bullet1"/>
      </w:pPr>
      <w:r>
        <w:t>Assessing</w:t>
      </w:r>
      <w:r w:rsidRPr="009208AF">
        <w:t xml:space="preserve"> the impact of AT on reducing ongoing costs for in-home aged care</w:t>
      </w:r>
    </w:p>
    <w:p w14:paraId="618A7CFC" w14:textId="77777777" w:rsidR="008845A2" w:rsidRDefault="008845A2" w:rsidP="000A24B8">
      <w:pPr>
        <w:pStyle w:val="Bullet1"/>
      </w:pPr>
      <w:r w:rsidRPr="009208AF">
        <w:t>Identify</w:t>
      </w:r>
      <w:r>
        <w:t>ing</w:t>
      </w:r>
      <w:r w:rsidRPr="009208AF">
        <w:t xml:space="preserve"> which types of AT should be subsidised by government or purchased privately</w:t>
      </w:r>
      <w:r>
        <w:t xml:space="preserve">. </w:t>
      </w:r>
    </w:p>
    <w:p w14:paraId="18E9C0FE" w14:textId="340AA739" w:rsidR="008845A2" w:rsidRDefault="008845A2" w:rsidP="008845A2">
      <w:pPr>
        <w:pStyle w:val="ParaKeep"/>
        <w:rPr>
          <w:lang w:val="en-CA"/>
        </w:rPr>
      </w:pPr>
      <w:r>
        <w:rPr>
          <w:lang w:val="en-CA"/>
        </w:rPr>
        <w:t xml:space="preserve">The scope of </w:t>
      </w:r>
      <w:r w:rsidR="00441576">
        <w:rPr>
          <w:lang w:val="en-CA"/>
        </w:rPr>
        <w:t xml:space="preserve">the </w:t>
      </w:r>
      <w:r>
        <w:rPr>
          <w:lang w:val="en-CA"/>
        </w:rPr>
        <w:t>review was broad, and included:</w:t>
      </w:r>
    </w:p>
    <w:p w14:paraId="5A9D83E6" w14:textId="77777777" w:rsidR="008845A2" w:rsidRDefault="008845A2" w:rsidP="008845A2">
      <w:pPr>
        <w:pStyle w:val="Bullet1"/>
      </w:pPr>
      <w:r>
        <w:t xml:space="preserve">Older Australians who include non-indigenous people aged 65 years and older and Aboriginal and Torres Strait Islanders aged 50 years and older </w:t>
      </w:r>
    </w:p>
    <w:p w14:paraId="67D9EE29" w14:textId="7F12D19A" w:rsidR="008845A2" w:rsidRDefault="008845A2" w:rsidP="008845A2">
      <w:pPr>
        <w:pStyle w:val="Bullet1"/>
      </w:pPr>
      <w:r>
        <w:t>National, state and territory AT programs that target older Australians</w:t>
      </w:r>
    </w:p>
    <w:p w14:paraId="2E929268" w14:textId="77777777" w:rsidR="008845A2" w:rsidRDefault="008845A2" w:rsidP="00A10B2F">
      <w:pPr>
        <w:pStyle w:val="Bullet1"/>
      </w:pPr>
      <w:r>
        <w:t>Australian Government aged care programs.</w:t>
      </w:r>
    </w:p>
    <w:p w14:paraId="48076EC1" w14:textId="77777777" w:rsidR="008845A2" w:rsidRDefault="008845A2" w:rsidP="00F054BF">
      <w:pPr>
        <w:pStyle w:val="Paragraph"/>
      </w:pPr>
      <w:r>
        <w:t>Note that within a program context, AT includes goods and equipment as well as home modifications.</w:t>
      </w:r>
      <w:r w:rsidRPr="005C1C72">
        <w:t xml:space="preserve"> </w:t>
      </w:r>
      <w:r w:rsidRPr="00420FD9">
        <w:t>Residential aged care was not in scope for this review</w:t>
      </w:r>
      <w:r>
        <w:t>.</w:t>
      </w:r>
    </w:p>
    <w:p w14:paraId="6030CD2F" w14:textId="77777777" w:rsidR="008845A2" w:rsidRDefault="008845A2" w:rsidP="008845A2">
      <w:pPr>
        <w:pStyle w:val="Heading2"/>
      </w:pPr>
      <w:bookmarkStart w:id="4" w:name="_Toc59402365"/>
      <w:r>
        <w:t>AT and aged care</w:t>
      </w:r>
      <w:bookmarkEnd w:id="4"/>
    </w:p>
    <w:p w14:paraId="4B3C7391" w14:textId="07541931" w:rsidR="008845A2" w:rsidRPr="00AF44B9" w:rsidRDefault="008845A2" w:rsidP="00A10B2F">
      <w:pPr>
        <w:pStyle w:val="ParaKeep"/>
      </w:pPr>
      <w:r w:rsidRPr="00EC48FA">
        <w:t xml:space="preserve">Aged care in Australia is currently undergoing reform to achieve a more consumer-focused, equitable and sustainable system. </w:t>
      </w:r>
      <w:r>
        <w:t>A</w:t>
      </w:r>
      <w:r w:rsidRPr="00EC48FA">
        <w:t xml:space="preserve"> key aspect of these reforms</w:t>
      </w:r>
      <w:r>
        <w:t xml:space="preserve"> is to</w:t>
      </w:r>
      <w:r w:rsidRPr="00EC48FA">
        <w:t xml:space="preserve"> promot</w:t>
      </w:r>
      <w:r>
        <w:t>e older Australians’</w:t>
      </w:r>
      <w:r w:rsidRPr="00EC48FA">
        <w:t xml:space="preserve"> independence and autonomy</w:t>
      </w:r>
      <w:r w:rsidRPr="00EC48FA">
        <w:fldChar w:fldCharType="begin" w:fldLock="1"/>
      </w:r>
      <w:r w:rsidR="00161D52">
        <w:instrText>ADDIN CSL_CITATION {"citationItems":[{"id":"ITEM-1","itemData":{"URL":"https://www.health.gov.au/resources/corporate-plan-2018-2019/our-performance/ageing-and-aged-care","accessed":{"date-parts":[["2020","1","20"]]},"author":[{"dropping-particle":"","family":"Australian Government Department of Health","given":"","non-dropping-particle":"","parse-names":false,"suffix":""}],"id":"ITEM-1","issued":{"date-parts":[["2018"]]},"title":"Ageing and aged care","type":"webpage"},"uris":["http://www.mendeley.com/documents/?uuid=692dd665-4d83-4a45-ad9c-9d22e4f5d0dd","http://www.mendeley.com/documents/?uuid=c290bd34-5101-4f63-8fcd-50609940e0ed"]}],"mendeley":{"formattedCitation":"(Australian Government Department of Health 2018a)","plainTextFormattedCitation":"(Australian Government Department of Health 2018a)","previouslyFormattedCitation":"(Australian Government Department of Health 2018a)"},"properties":{"noteIndex":0},"schema":"https://github.com/citation-style-language/schema/raw/master/csl-citation.json"}</w:instrText>
      </w:r>
      <w:r w:rsidRPr="00EC48FA">
        <w:fldChar w:fldCharType="end"/>
      </w:r>
      <w:r w:rsidR="00907431">
        <w:t xml:space="preserve"> </w:t>
      </w:r>
      <w:r w:rsidR="00907431">
        <w:fldChar w:fldCharType="begin" w:fldLock="1"/>
      </w:r>
      <w:r w:rsidR="00161D52">
        <w:instrText>ADDIN CSL_CITATION {"citationItems":[{"id":"ITEM-1","itemData":{"URL":"https://www.health.gov.au/resources/corporate-plan-2018-2019/our-performance/ageing-and-aged-care","accessed":{"date-parts":[["2020","5","25"]]},"author":[{"dropping-particle":"","family":"Australian Government Department of Health","given":"","non-dropping-particle":"","parse-names":false,"suffix":""}],"id":"ITEM-1","issued":{"date-parts":[["2018"]]},"title":"Ageing and aged care","type":"webpage"},"uris":["http://www.mendeley.com/documents/?uuid=6c0d98d9-717b-34f0-8bb9-ed3ae7ff6393"]}],"mendeley":{"formattedCitation":"(Australian Government Department of Health 2018b)","plainTextFormattedCitation":"(Australian Government Department of Health 2018b)","previouslyFormattedCitation":"(Australian Government Department of Health 2018b)"},"properties":{"noteIndex":0},"schema":"https://github.com/citation-style-language/schema/raw/master/csl-citation.json"}</w:instrText>
      </w:r>
      <w:r w:rsidR="00907431">
        <w:fldChar w:fldCharType="separate"/>
      </w:r>
      <w:r w:rsidR="00907431" w:rsidRPr="00907431">
        <w:rPr>
          <w:noProof/>
        </w:rPr>
        <w:t>(Australian Government Department of Health 2018b)</w:t>
      </w:r>
      <w:r w:rsidR="00907431">
        <w:fldChar w:fldCharType="end"/>
      </w:r>
      <w:r w:rsidR="00907431">
        <w:t>.</w:t>
      </w:r>
      <w:r>
        <w:t xml:space="preserve"> AT</w:t>
      </w:r>
      <w:r w:rsidRPr="00AF44B9">
        <w:t xml:space="preserve"> can help consumers maintain independence and </w:t>
      </w:r>
      <w:r>
        <w:t>stay in their homes as long as they wish to do so. It does this by</w:t>
      </w:r>
      <w:r w:rsidRPr="00AF44B9">
        <w:t>:</w:t>
      </w:r>
    </w:p>
    <w:p w14:paraId="692A664D" w14:textId="36D16905" w:rsidR="008845A2" w:rsidRDefault="008845A2" w:rsidP="008845A2">
      <w:pPr>
        <w:pStyle w:val="Bullet1"/>
      </w:pPr>
      <w:r w:rsidRPr="00697C08">
        <w:t>Maintain</w:t>
      </w:r>
      <w:r>
        <w:t>ing</w:t>
      </w:r>
      <w:r w:rsidRPr="00697C08">
        <w:t xml:space="preserve"> or improv</w:t>
      </w:r>
      <w:r>
        <w:t>ing</w:t>
      </w:r>
      <w:r w:rsidRPr="00697C08">
        <w:t xml:space="preserve"> a person’s functional capabilities</w:t>
      </w:r>
      <w:r>
        <w:t>—this includes assisting</w:t>
      </w:r>
      <w:r w:rsidRPr="00697C08">
        <w:t xml:space="preserve"> with everyday tasks </w:t>
      </w:r>
      <w:r>
        <w:t>such as dressing, bathing and household cleaning. These everyday tasks are commonly known as Activities of Daily Living (ADLs)</w:t>
      </w:r>
      <w:r w:rsidR="009F2A86">
        <w:t>.</w:t>
      </w:r>
    </w:p>
    <w:p w14:paraId="1AA39601" w14:textId="5FAD38D9" w:rsidR="008845A2" w:rsidRPr="002E1AF2" w:rsidRDefault="008845A2" w:rsidP="008845A2">
      <w:pPr>
        <w:pStyle w:val="Bullet1"/>
      </w:pPr>
      <w:r w:rsidRPr="00AF44B9">
        <w:t>Prevent</w:t>
      </w:r>
      <w:r>
        <w:t>ing</w:t>
      </w:r>
      <w:r w:rsidRPr="00AF44B9">
        <w:t xml:space="preserve"> </w:t>
      </w:r>
      <w:r w:rsidRPr="002E1AF2">
        <w:t>impairments and secondary health conditions</w:t>
      </w:r>
      <w:r w:rsidR="00A738FD">
        <w:t>—</w:t>
      </w:r>
      <w:r w:rsidRPr="002E1AF2">
        <w:t>for example</w:t>
      </w:r>
      <w:r w:rsidR="00A738FD">
        <w:t>,</w:t>
      </w:r>
      <w:r w:rsidRPr="002E1AF2">
        <w:t xml:space="preserve"> reducing risk and improving safety through falls prevention</w:t>
      </w:r>
      <w:r w:rsidR="009F2A86">
        <w:t>.</w:t>
      </w:r>
    </w:p>
    <w:p w14:paraId="10BE6BC6" w14:textId="7351DDC9" w:rsidR="008845A2" w:rsidRDefault="008845A2" w:rsidP="008845A2">
      <w:pPr>
        <w:pStyle w:val="Bullet1"/>
      </w:pPr>
      <w:r>
        <w:t xml:space="preserve">Reducing the burden on </w:t>
      </w:r>
      <w:r w:rsidR="00E944BB">
        <w:t xml:space="preserve">family </w:t>
      </w:r>
      <w:r>
        <w:t>carers</w:t>
      </w:r>
      <w:r w:rsidR="003E0C43">
        <w:t xml:space="preserve">, as well as </w:t>
      </w:r>
      <w:r>
        <w:t>paid formal care</w:t>
      </w:r>
      <w:r w:rsidR="003E0C43">
        <w:t>rs,</w:t>
      </w:r>
      <w:r>
        <w:t xml:space="preserve"> by making it easier and safer to provide assistance</w:t>
      </w:r>
      <w:r w:rsidR="00AE583F">
        <w:t>.</w:t>
      </w:r>
    </w:p>
    <w:p w14:paraId="74394260" w14:textId="10EB01BA" w:rsidR="008845A2" w:rsidRPr="00EC48FA" w:rsidRDefault="008845A2" w:rsidP="008845A2">
      <w:pPr>
        <w:pStyle w:val="ParaKeep"/>
      </w:pPr>
      <w:r w:rsidRPr="00EC48FA">
        <w:t xml:space="preserve">AT can be categorised </w:t>
      </w:r>
      <w:r>
        <w:t xml:space="preserve">in many ways. Within the aged care setting—and for the purposes of this review and </w:t>
      </w:r>
      <w:r w:rsidR="00E821C7">
        <w:t xml:space="preserve">related </w:t>
      </w:r>
      <w:r>
        <w:t xml:space="preserve">economic modelling—it is useful to use the following categories reflecting </w:t>
      </w:r>
      <w:r w:rsidRPr="00EC48FA">
        <w:t>levels of complexity:</w:t>
      </w:r>
    </w:p>
    <w:p w14:paraId="453DF61C" w14:textId="349D21D4" w:rsidR="0027382F" w:rsidRPr="00B04869" w:rsidRDefault="008845A2" w:rsidP="0027382F">
      <w:pPr>
        <w:pStyle w:val="Bullet1"/>
      </w:pPr>
      <w:r>
        <w:rPr>
          <w:rStyle w:val="Bold"/>
        </w:rPr>
        <w:t xml:space="preserve">Low-risk </w:t>
      </w:r>
      <w:r w:rsidRPr="00EC48FA">
        <w:rPr>
          <w:rStyle w:val="Bold"/>
        </w:rPr>
        <w:t>AT</w:t>
      </w:r>
      <w:r w:rsidRPr="00695176">
        <w:t>:</w:t>
      </w:r>
      <w:r w:rsidRPr="00EC48FA">
        <w:rPr>
          <w:rStyle w:val="Bold"/>
        </w:rPr>
        <w:t xml:space="preserve"> </w:t>
      </w:r>
      <w:r w:rsidRPr="00EC48FA">
        <w:t>Simple and relatively low-cost</w:t>
      </w:r>
      <w:r w:rsidRPr="00EC48FA" w:rsidDel="0027382F">
        <w:t xml:space="preserve"> </w:t>
      </w:r>
      <w:r w:rsidRPr="00EC48FA">
        <w:t xml:space="preserve">daily living aids such as </w:t>
      </w:r>
      <w:r>
        <w:t>a long-handled duster or a jar opener</w:t>
      </w:r>
      <w:r w:rsidR="00F80723">
        <w:t xml:space="preserve">. </w:t>
      </w:r>
      <w:r>
        <w:t>Low-</w:t>
      </w:r>
      <w:r w:rsidR="0027382F">
        <w:t xml:space="preserve">risk </w:t>
      </w:r>
      <w:r>
        <w:t>AT is usually available ‘off the shelf’ and needs no clinical input to use</w:t>
      </w:r>
      <w:r w:rsidR="00F80723">
        <w:t xml:space="preserve">. </w:t>
      </w:r>
      <w:r w:rsidR="00194862">
        <w:t>L</w:t>
      </w:r>
      <w:r w:rsidR="0027382F">
        <w:t>ow-risk AT</w:t>
      </w:r>
      <w:r w:rsidR="005466C3">
        <w:t xml:space="preserve"> </w:t>
      </w:r>
      <w:r w:rsidR="00194862">
        <w:t>is defined</w:t>
      </w:r>
      <w:r w:rsidR="0027382F">
        <w:t xml:space="preserve"> as having</w:t>
      </w:r>
      <w:r w:rsidR="0027382F" w:rsidRPr="00B04869">
        <w:t xml:space="preserve"> a low potential for causing harm when used for activities in daily living environments</w:t>
      </w:r>
      <w:r w:rsidR="00161D52">
        <w:t xml:space="preserve"> </w:t>
      </w:r>
      <w:r w:rsidR="00161D52">
        <w:fldChar w:fldCharType="begin" w:fldLock="1"/>
      </w:r>
      <w:r w:rsidR="00161D52">
        <w:instrText>ADDIN CSL_CITATION {"citationItems":[{"id":"ITEM-1","itemData":{"author":[{"dropping-particle":"","family":"Therapeutic Goods Administration","given":"","non-dropping-particle":"","parse-names":false,"suffix":""}],"id":"ITEM-1","issued":{"date-parts":[["2020"]]},"title":"TGA Draft Determination","type":"article"},"uris":["http://www.mendeley.com/documents/?uuid=f20204bf-1bd3-4d4d-a29f-f955a42d5a94"]}],"mendeley":{"formattedCitation":"(Therapeutic Goods Administration 2020)","plainTextFormattedCitation":"(Therapeutic Goods Administration 2020)","previouslyFormattedCitation":"(Therapeutic Goods Administration 2020)"},"properties":{"noteIndex":0},"schema":"https://github.com/citation-style-language/schema/raw/master/csl-citation.json"}</w:instrText>
      </w:r>
      <w:r w:rsidR="00161D52">
        <w:fldChar w:fldCharType="separate"/>
      </w:r>
      <w:r w:rsidR="00161D52" w:rsidRPr="00161D52">
        <w:rPr>
          <w:noProof/>
        </w:rPr>
        <w:t>(Therapeutic Goods Administration 2020)</w:t>
      </w:r>
      <w:r w:rsidR="00161D52">
        <w:fldChar w:fldCharType="end"/>
      </w:r>
      <w:r w:rsidR="009F2A86">
        <w:t>.</w:t>
      </w:r>
    </w:p>
    <w:p w14:paraId="460540CF" w14:textId="6A64FBE6" w:rsidR="008845A2" w:rsidRPr="00EC48FA" w:rsidRDefault="008845A2" w:rsidP="00A10B2F">
      <w:pPr>
        <w:pStyle w:val="Bullet1"/>
      </w:pPr>
      <w:r>
        <w:rPr>
          <w:rStyle w:val="Bold"/>
        </w:rPr>
        <w:lastRenderedPageBreak/>
        <w:t>Under-advice AT</w:t>
      </w:r>
      <w:r w:rsidRPr="00EC48FA">
        <w:rPr>
          <w:rStyle w:val="Bold"/>
        </w:rPr>
        <w:t>:</w:t>
      </w:r>
      <w:r w:rsidRPr="00EC48FA">
        <w:t xml:space="preserve"> </w:t>
      </w:r>
      <w:r w:rsidR="0027382F">
        <w:t>P</w:t>
      </w:r>
      <w:r>
        <w:t xml:space="preserve">roducts that are generally available but would benefit from written or professional advice to ensure that </w:t>
      </w:r>
      <w:r w:rsidR="00C80D6A">
        <w:t>they are</w:t>
      </w:r>
      <w:r>
        <w:t xml:space="preserve"> used or installed correctly</w:t>
      </w:r>
      <w:r w:rsidR="00F80723">
        <w:t xml:space="preserve">. </w:t>
      </w:r>
      <w:r w:rsidR="00C80D6A">
        <w:t xml:space="preserve">Examples include </w:t>
      </w:r>
      <w:r>
        <w:t>body system monitors, wheeled walking frames and personal alarms</w:t>
      </w:r>
      <w:r w:rsidR="009F2A86">
        <w:t>.</w:t>
      </w:r>
    </w:p>
    <w:p w14:paraId="52942E3F" w14:textId="1E7C97DA" w:rsidR="008845A2" w:rsidRDefault="008845A2" w:rsidP="008845A2">
      <w:pPr>
        <w:pStyle w:val="Bullet1"/>
      </w:pPr>
      <w:r>
        <w:rPr>
          <w:rStyle w:val="Bold"/>
        </w:rPr>
        <w:t>Prescribed</w:t>
      </w:r>
      <w:r w:rsidRPr="00EC48FA">
        <w:rPr>
          <w:rStyle w:val="Bold"/>
        </w:rPr>
        <w:t xml:space="preserve"> AT:</w:t>
      </w:r>
      <w:r w:rsidRPr="00EC48FA">
        <w:t xml:space="preserve"> </w:t>
      </w:r>
      <w:r w:rsidRPr="00662577">
        <w:t xml:space="preserve">More complex and often more costly technology that is adjusted or configured </w:t>
      </w:r>
      <w:r>
        <w:t xml:space="preserve">precisely </w:t>
      </w:r>
      <w:r w:rsidRPr="00662577">
        <w:t>to meet individual support needs</w:t>
      </w:r>
      <w:r w:rsidR="00F80723">
        <w:t xml:space="preserve">. </w:t>
      </w:r>
      <w:r w:rsidR="00C80D6A">
        <w:t>Examples include</w:t>
      </w:r>
      <w:r w:rsidRPr="00662577">
        <w:t xml:space="preserve"> scooters,</w:t>
      </w:r>
      <w:r w:rsidRPr="005C1C72">
        <w:t xml:space="preserve"> </w:t>
      </w:r>
      <w:r w:rsidRPr="004730DF">
        <w:t>powered wheelchairs</w:t>
      </w:r>
      <w:r>
        <w:t>,</w:t>
      </w:r>
      <w:r w:rsidRPr="00662577">
        <w:t xml:space="preserve"> patient hoists, and adjustable beds</w:t>
      </w:r>
      <w:r>
        <w:t>.</w:t>
      </w:r>
    </w:p>
    <w:p w14:paraId="19BF1A0E" w14:textId="77777777" w:rsidR="008845A2" w:rsidRDefault="008845A2" w:rsidP="008845A2">
      <w:pPr>
        <w:pStyle w:val="Heading2"/>
      </w:pPr>
      <w:bookmarkStart w:id="5" w:name="_Toc59402366"/>
      <w:r>
        <w:t>Review methodology</w:t>
      </w:r>
      <w:bookmarkEnd w:id="5"/>
    </w:p>
    <w:p w14:paraId="53574587" w14:textId="77777777" w:rsidR="008845A2" w:rsidRDefault="008845A2" w:rsidP="008845A2">
      <w:pPr>
        <w:pStyle w:val="ParaKeep"/>
        <w:rPr>
          <w:lang w:eastAsia="en-AU"/>
        </w:rPr>
      </w:pPr>
      <w:r>
        <w:rPr>
          <w:lang w:eastAsia="en-AU"/>
        </w:rPr>
        <w:t>This review was conducted between December 2019 and June 2020 and consisted of four phases:</w:t>
      </w:r>
    </w:p>
    <w:p w14:paraId="56133FF5" w14:textId="4835C436" w:rsidR="008845A2" w:rsidRDefault="008845A2" w:rsidP="008845A2">
      <w:pPr>
        <w:pStyle w:val="List1"/>
      </w:pPr>
      <w:r w:rsidRPr="00F054BF">
        <w:rPr>
          <w:rStyle w:val="Bold"/>
        </w:rPr>
        <w:t>Planning</w:t>
      </w:r>
      <w:r>
        <w:t xml:space="preserve"> the AT review, including developing a project plan and engaging external expert advisors including OTs </w:t>
      </w:r>
      <w:r w:rsidR="0050228C">
        <w:t>(occupational therapists)</w:t>
      </w:r>
      <w:r w:rsidR="00864FA6">
        <w:t>.</w:t>
      </w:r>
      <w:r>
        <w:t xml:space="preserve"> </w:t>
      </w:r>
    </w:p>
    <w:p w14:paraId="3B8973C5" w14:textId="77777777" w:rsidR="008845A2" w:rsidRDefault="008845A2" w:rsidP="008845A2">
      <w:pPr>
        <w:pStyle w:val="List1"/>
      </w:pPr>
      <w:r w:rsidRPr="00F054BF">
        <w:rPr>
          <w:rStyle w:val="Bold"/>
        </w:rPr>
        <w:t xml:space="preserve">Mapping </w:t>
      </w:r>
      <w:r>
        <w:t>current AT programs, which included:</w:t>
      </w:r>
    </w:p>
    <w:p w14:paraId="232B1746" w14:textId="77777777" w:rsidR="008845A2" w:rsidRPr="00B432B2" w:rsidRDefault="008845A2" w:rsidP="008845A2">
      <w:pPr>
        <w:pStyle w:val="Bullet1"/>
      </w:pPr>
      <w:r w:rsidRPr="00B432B2">
        <w:t xml:space="preserve">Desktop analysis </w:t>
      </w:r>
      <w:r>
        <w:t xml:space="preserve">of AT Programs </w:t>
      </w:r>
    </w:p>
    <w:p w14:paraId="47288F94" w14:textId="77777777" w:rsidR="008845A2" w:rsidRPr="00B432B2" w:rsidRDefault="008845A2" w:rsidP="008845A2">
      <w:pPr>
        <w:pStyle w:val="Bullet1"/>
      </w:pPr>
      <w:r w:rsidRPr="00B432B2">
        <w:t>Rapid Evidence Review (RER)</w:t>
      </w:r>
    </w:p>
    <w:p w14:paraId="7A18EE9D" w14:textId="66C450F7" w:rsidR="008845A2" w:rsidRPr="00B432B2" w:rsidRDefault="008845A2" w:rsidP="008845A2">
      <w:pPr>
        <w:pStyle w:val="Bullet1"/>
      </w:pPr>
      <w:r w:rsidRPr="00B432B2">
        <w:t xml:space="preserve">Consultations with </w:t>
      </w:r>
      <w:r w:rsidR="003E0C43">
        <w:t xml:space="preserve">30 </w:t>
      </w:r>
      <w:r w:rsidRPr="00B432B2">
        <w:t>stakeholders</w:t>
      </w:r>
      <w:r>
        <w:t xml:space="preserve"> </w:t>
      </w:r>
      <w:r w:rsidRPr="00B84931">
        <w:t xml:space="preserve">including the Department, state </w:t>
      </w:r>
      <w:r w:rsidR="00583668">
        <w:t>and territory</w:t>
      </w:r>
      <w:r w:rsidRPr="00B84931">
        <w:t xml:space="preserve"> AT policy and program managers, disability and AT peak organisations, Independent Living Centres, academics and experts in reablement and AT in the aged care setting</w:t>
      </w:r>
      <w:r w:rsidR="00864FA6">
        <w:t>.</w:t>
      </w:r>
    </w:p>
    <w:p w14:paraId="2986F2AD" w14:textId="77777777" w:rsidR="008845A2" w:rsidRDefault="008845A2" w:rsidP="008845A2">
      <w:pPr>
        <w:pStyle w:val="List1"/>
      </w:pPr>
      <w:r w:rsidRPr="00F054BF">
        <w:rPr>
          <w:rStyle w:val="Bold"/>
        </w:rPr>
        <w:t>Modelling</w:t>
      </w:r>
      <w:r>
        <w:t xml:space="preserve">—Building on the desktop analysis and RER, the modelling phase involved: </w:t>
      </w:r>
    </w:p>
    <w:p w14:paraId="39189138" w14:textId="77777777" w:rsidR="008845A2" w:rsidRDefault="008845A2" w:rsidP="008845A2">
      <w:pPr>
        <w:pStyle w:val="Bullet1"/>
      </w:pPr>
      <w:r w:rsidRPr="15ACE2C4">
        <w:t>Cost benefit analysis</w:t>
      </w:r>
    </w:p>
    <w:p w14:paraId="7E87D7EC" w14:textId="39A4C5D9" w:rsidR="008845A2" w:rsidRDefault="008845A2" w:rsidP="008845A2">
      <w:pPr>
        <w:pStyle w:val="Bullet1"/>
      </w:pPr>
      <w:r w:rsidRPr="1A5867B3">
        <w:t xml:space="preserve">Delphi </w:t>
      </w:r>
      <w:r w:rsidR="00480255">
        <w:t>technique</w:t>
      </w:r>
      <w:r w:rsidR="00864FA6">
        <w:t>.</w:t>
      </w:r>
    </w:p>
    <w:p w14:paraId="3C737CFC" w14:textId="323E675F" w:rsidR="008845A2" w:rsidRDefault="008845A2" w:rsidP="008845A2">
      <w:pPr>
        <w:pStyle w:val="List1"/>
        <w:rPr>
          <w:rFonts w:eastAsiaTheme="minorEastAsia"/>
        </w:rPr>
      </w:pPr>
      <w:r w:rsidRPr="00F054BF">
        <w:rPr>
          <w:rStyle w:val="Bold"/>
          <w:rFonts w:eastAsia="Calibri"/>
        </w:rPr>
        <w:t>Reporting</w:t>
      </w:r>
      <w:r>
        <w:rPr>
          <w:rFonts w:eastAsia="Calibri"/>
          <w:lang w:val="en-AU"/>
        </w:rPr>
        <w:t>—</w:t>
      </w:r>
      <w:r w:rsidRPr="41B228C1">
        <w:rPr>
          <w:rFonts w:eastAsia="Calibri"/>
          <w:lang w:val="en-AU"/>
        </w:rPr>
        <w:t xml:space="preserve">AHA provided the Department with an Initial Report (January 2020), </w:t>
      </w:r>
      <w:r w:rsidR="00E821C7">
        <w:rPr>
          <w:rFonts w:eastAsia="Calibri"/>
          <w:lang w:val="en-AU"/>
        </w:rPr>
        <w:t xml:space="preserve">an </w:t>
      </w:r>
      <w:r w:rsidRPr="41B228C1">
        <w:rPr>
          <w:rFonts w:eastAsia="Calibri"/>
          <w:lang w:val="en-AU"/>
        </w:rPr>
        <w:t>Interim Report (March 2020) and this Final Report (June 2020).</w:t>
      </w:r>
    </w:p>
    <w:p w14:paraId="358E99F4" w14:textId="364AB991" w:rsidR="008845A2" w:rsidRDefault="008A5255" w:rsidP="007A4E5F">
      <w:pPr>
        <w:pStyle w:val="Paragraph"/>
        <w:rPr>
          <w:rFonts w:eastAsia="Calibri"/>
        </w:rPr>
      </w:pPr>
      <w:r>
        <w:rPr>
          <w:rFonts w:eastAsia="Calibri"/>
        </w:rPr>
        <w:t>For details of the</w:t>
      </w:r>
      <w:r>
        <w:rPr>
          <w:rFonts w:eastAsia="Calibri"/>
          <w:i/>
          <w:iCs/>
        </w:rPr>
        <w:t xml:space="preserve"> </w:t>
      </w:r>
      <w:r w:rsidR="008845A2" w:rsidRPr="6F356B49">
        <w:rPr>
          <w:rFonts w:eastAsia="Calibri"/>
        </w:rPr>
        <w:t>review methodology</w:t>
      </w:r>
      <w:r w:rsidR="002F3948">
        <w:rPr>
          <w:rFonts w:eastAsia="Calibri"/>
        </w:rPr>
        <w:t xml:space="preserve">, see </w:t>
      </w:r>
      <w:r w:rsidR="002F3948" w:rsidRPr="004403EC">
        <w:rPr>
          <w:rStyle w:val="Italic"/>
          <w:rFonts w:eastAsia="Calibri"/>
        </w:rPr>
        <w:t>Supplementary Technical Report, Appendix A</w:t>
      </w:r>
      <w:r w:rsidR="008845A2" w:rsidRPr="6F356B49">
        <w:rPr>
          <w:rFonts w:eastAsia="Calibri"/>
        </w:rPr>
        <w:t>.</w:t>
      </w:r>
    </w:p>
    <w:p w14:paraId="3AB4E747" w14:textId="13A9B784" w:rsidR="008845A2" w:rsidRDefault="008845A2" w:rsidP="008845A2">
      <w:pPr>
        <w:pStyle w:val="Heading2"/>
        <w:tabs>
          <w:tab w:val="num" w:pos="851"/>
        </w:tabs>
        <w:rPr>
          <w:lang w:val="en-AU"/>
        </w:rPr>
      </w:pPr>
      <w:bookmarkStart w:id="6" w:name="_Toc59402367"/>
      <w:r>
        <w:rPr>
          <w:lang w:val="en-AU"/>
        </w:rPr>
        <w:t xml:space="preserve">Findings: </w:t>
      </w:r>
      <w:r w:rsidR="00B423A5">
        <w:rPr>
          <w:lang w:val="en-AU"/>
        </w:rPr>
        <w:t xml:space="preserve">Mapping </w:t>
      </w:r>
      <w:r>
        <w:rPr>
          <w:lang w:val="en-AU"/>
        </w:rPr>
        <w:t>current AT programs</w:t>
      </w:r>
      <w:bookmarkEnd w:id="6"/>
    </w:p>
    <w:p w14:paraId="49196D21" w14:textId="7FBEBE8C" w:rsidR="008845A2" w:rsidRPr="00CE7411" w:rsidRDefault="008845A2" w:rsidP="00F314F5">
      <w:pPr>
        <w:pStyle w:val="Paragraph"/>
        <w:rPr>
          <w:lang w:val="en-AU"/>
        </w:rPr>
      </w:pPr>
      <w:r>
        <w:rPr>
          <w:lang w:val="en-AU"/>
        </w:rPr>
        <w:t>Findings from Phase 2 of this review—mapping current AT programs—are summarised</w:t>
      </w:r>
      <w:r w:rsidR="003E0C43">
        <w:rPr>
          <w:lang w:val="en-AU"/>
        </w:rPr>
        <w:t xml:space="preserve"> below </w:t>
      </w:r>
      <w:r>
        <w:rPr>
          <w:lang w:val="en-AU"/>
        </w:rPr>
        <w:t>to reflect a typical consumer journey: from initial information and advice, to assessment where necessary</w:t>
      </w:r>
      <w:r w:rsidR="001B5B27">
        <w:rPr>
          <w:lang w:val="en-AU"/>
        </w:rPr>
        <w:t>,</w:t>
      </w:r>
      <w:r>
        <w:rPr>
          <w:lang w:val="en-AU"/>
        </w:rPr>
        <w:t xml:space="preserve"> before provision of AT products. </w:t>
      </w:r>
    </w:p>
    <w:p w14:paraId="6F7C58C3" w14:textId="77777777" w:rsidR="008845A2" w:rsidRPr="00805DBA" w:rsidRDefault="008845A2" w:rsidP="008845A2">
      <w:pPr>
        <w:pStyle w:val="Heading3"/>
      </w:pPr>
      <w:r w:rsidRPr="00805DBA">
        <w:t>Information and advice</w:t>
      </w:r>
    </w:p>
    <w:p w14:paraId="10661F83" w14:textId="28013543" w:rsidR="008845A2" w:rsidRPr="003242B7" w:rsidRDefault="008845A2" w:rsidP="00F314F5">
      <w:pPr>
        <w:pStyle w:val="Bullet1"/>
        <w:rPr>
          <w:lang w:val="en-CA"/>
        </w:rPr>
      </w:pPr>
      <w:r w:rsidRPr="000722B0">
        <w:t xml:space="preserve">Consumer understanding of AT </w:t>
      </w:r>
      <w:r w:rsidRPr="00BC4B91">
        <w:rPr>
          <w:rStyle w:val="ParagraphChar"/>
        </w:rPr>
        <w:t xml:space="preserve">is often </w:t>
      </w:r>
      <w:r w:rsidR="00915A83" w:rsidRPr="00BC4B91">
        <w:rPr>
          <w:rStyle w:val="ParagraphChar"/>
        </w:rPr>
        <w:t>poor,</w:t>
      </w:r>
      <w:r w:rsidRPr="00BC4B91">
        <w:rPr>
          <w:rStyle w:val="ParagraphChar"/>
        </w:rPr>
        <w:t xml:space="preserve"> and many </w:t>
      </w:r>
      <w:r>
        <w:rPr>
          <w:rStyle w:val="ParagraphChar"/>
        </w:rPr>
        <w:t>are not aware</w:t>
      </w:r>
      <w:r w:rsidRPr="00BC4B91">
        <w:rPr>
          <w:rStyle w:val="ParagraphChar"/>
        </w:rPr>
        <w:t xml:space="preserve"> of the </w:t>
      </w:r>
      <w:r>
        <w:rPr>
          <w:rStyle w:val="ParagraphChar"/>
        </w:rPr>
        <w:t xml:space="preserve">range </w:t>
      </w:r>
      <w:r w:rsidRPr="00BC4B91">
        <w:rPr>
          <w:rStyle w:val="ParagraphChar"/>
        </w:rPr>
        <w:t xml:space="preserve">of AT that </w:t>
      </w:r>
      <w:r>
        <w:rPr>
          <w:rStyle w:val="ParagraphChar"/>
        </w:rPr>
        <w:t>can</w:t>
      </w:r>
      <w:r w:rsidRPr="00BC4B91">
        <w:rPr>
          <w:rStyle w:val="ParagraphChar"/>
        </w:rPr>
        <w:t xml:space="preserve"> assist them. Consumers </w:t>
      </w:r>
      <w:r>
        <w:rPr>
          <w:rStyle w:val="ParagraphChar"/>
        </w:rPr>
        <w:t>need,</w:t>
      </w:r>
      <w:r w:rsidRPr="00BC4B91">
        <w:rPr>
          <w:rStyle w:val="ParagraphChar"/>
        </w:rPr>
        <w:t xml:space="preserve"> </w:t>
      </w:r>
      <w:r>
        <w:rPr>
          <w:rStyle w:val="ParagraphChar"/>
        </w:rPr>
        <w:t>but do not currently have</w:t>
      </w:r>
      <w:r w:rsidR="00B423A5">
        <w:rPr>
          <w:rStyle w:val="ParagraphChar"/>
        </w:rPr>
        <w:t>,</w:t>
      </w:r>
      <w:r>
        <w:rPr>
          <w:rStyle w:val="ParagraphChar"/>
        </w:rPr>
        <w:t xml:space="preserve"> ready access to an</w:t>
      </w:r>
      <w:r w:rsidRPr="00BC4B91">
        <w:rPr>
          <w:rStyle w:val="ParagraphChar"/>
        </w:rPr>
        <w:t xml:space="preserve"> independent </w:t>
      </w:r>
      <w:r>
        <w:rPr>
          <w:rStyle w:val="ParagraphChar"/>
        </w:rPr>
        <w:t xml:space="preserve">and trusted </w:t>
      </w:r>
      <w:r w:rsidRPr="00BC4B91">
        <w:rPr>
          <w:rStyle w:val="ParagraphChar"/>
        </w:rPr>
        <w:t>source of information</w:t>
      </w:r>
      <w:r>
        <w:rPr>
          <w:rStyle w:val="ParagraphChar"/>
        </w:rPr>
        <w:t xml:space="preserve">. Impartial information and advice </w:t>
      </w:r>
      <w:r w:rsidR="00864FA6">
        <w:rPr>
          <w:rStyle w:val="ParagraphChar"/>
        </w:rPr>
        <w:t>are</w:t>
      </w:r>
      <w:r>
        <w:rPr>
          <w:rStyle w:val="ParagraphChar"/>
        </w:rPr>
        <w:t xml:space="preserve"> important as </w:t>
      </w:r>
      <w:r w:rsidRPr="00BC4B91">
        <w:rPr>
          <w:rStyle w:val="ParagraphChar"/>
        </w:rPr>
        <w:t>AT is a broad umbrella term that encompasses a</w:t>
      </w:r>
      <w:r>
        <w:rPr>
          <w:rStyle w:val="ParagraphChar"/>
        </w:rPr>
        <w:t>n extensive and diverse</w:t>
      </w:r>
      <w:r w:rsidRPr="00BC4B91">
        <w:rPr>
          <w:rStyle w:val="ParagraphChar"/>
        </w:rPr>
        <w:t xml:space="preserve"> range of products</w:t>
      </w:r>
      <w:r>
        <w:rPr>
          <w:rStyle w:val="ParagraphChar"/>
        </w:rPr>
        <w:t>—</w:t>
      </w:r>
      <w:r w:rsidRPr="00BC4B91">
        <w:rPr>
          <w:rStyle w:val="ParagraphChar"/>
        </w:rPr>
        <w:t>from low</w:t>
      </w:r>
      <w:r w:rsidRPr="00071E14">
        <w:t>-</w:t>
      </w:r>
      <w:r w:rsidR="009F2A86">
        <w:t>risk</w:t>
      </w:r>
      <w:r w:rsidRPr="00071E14">
        <w:t>, simple</w:t>
      </w:r>
      <w:r>
        <w:t xml:space="preserve"> relatively inexpensive</w:t>
      </w:r>
      <w:r w:rsidRPr="00071E14">
        <w:t xml:space="preserve"> daily living aids, to </w:t>
      </w:r>
      <w:r>
        <w:t xml:space="preserve">emerging </w:t>
      </w:r>
      <w:r w:rsidRPr="00071E14">
        <w:t>smart technologies for use around the home, and customised</w:t>
      </w:r>
      <w:r>
        <w:t>,</w:t>
      </w:r>
      <w:r w:rsidRPr="005A179A">
        <w:t xml:space="preserve"> </w:t>
      </w:r>
      <w:r w:rsidRPr="00AC03CD">
        <w:t>highly complex</w:t>
      </w:r>
      <w:r>
        <w:t xml:space="preserve"> and costly</w:t>
      </w:r>
      <w:r w:rsidRPr="00071E14">
        <w:t xml:space="preserve"> products.</w:t>
      </w:r>
    </w:p>
    <w:p w14:paraId="38D3A302" w14:textId="1478C690" w:rsidR="008845A2" w:rsidRDefault="008845A2" w:rsidP="008845A2">
      <w:pPr>
        <w:pStyle w:val="Bullet1"/>
        <w:numPr>
          <w:ilvl w:val="0"/>
          <w:numId w:val="2"/>
        </w:numPr>
      </w:pPr>
      <w:r>
        <w:lastRenderedPageBreak/>
        <w:t>Low-</w:t>
      </w:r>
      <w:r w:rsidR="003E0C43">
        <w:t>risk</w:t>
      </w:r>
      <w:r>
        <w:t xml:space="preserve"> AT can be purchased ‘off the shelf’ by consumers, without assessment or prescription. High rates of abandonment, </w:t>
      </w:r>
      <w:r w:rsidR="00915A83">
        <w:t>however,</w:t>
      </w:r>
      <w:r>
        <w:t xml:space="preserve"> suggest that consumers would benefit from receiving better </w:t>
      </w:r>
      <w:bookmarkStart w:id="7" w:name="_Hlk42335556"/>
      <w:r>
        <w:t xml:space="preserve">information and advice </w:t>
      </w:r>
      <w:bookmarkEnd w:id="7"/>
      <w:r>
        <w:t xml:space="preserve">to select the </w:t>
      </w:r>
      <w:r w:rsidRPr="00FA7FD8">
        <w:t>appropriate</w:t>
      </w:r>
      <w:r>
        <w:t xml:space="preserve"> low-level AT products. </w:t>
      </w:r>
    </w:p>
    <w:p w14:paraId="2A2142F8" w14:textId="78664658" w:rsidR="008845A2" w:rsidRPr="00AC03CD" w:rsidRDefault="008845A2" w:rsidP="008845A2">
      <w:pPr>
        <w:pStyle w:val="Bullet1"/>
      </w:pPr>
      <w:r w:rsidRPr="00AC03CD">
        <w:t>Consumers may frequently perceive AT to be designed primarily for people with disabilities, which can deter them from seeking advice</w:t>
      </w:r>
      <w:r w:rsidR="00B423A5">
        <w:t>. T</w:t>
      </w:r>
      <w:r w:rsidRPr="00AC03CD">
        <w:t xml:space="preserve">his stigma can be </w:t>
      </w:r>
      <w:r w:rsidR="00A15E9F">
        <w:t xml:space="preserve">felt </w:t>
      </w:r>
      <w:r w:rsidR="00C80D6A">
        <w:t>particularly by</w:t>
      </w:r>
      <w:r w:rsidRPr="00AC03CD">
        <w:t xml:space="preserve"> </w:t>
      </w:r>
      <w:r>
        <w:t xml:space="preserve">those </w:t>
      </w:r>
      <w:r w:rsidRPr="00AC03CD">
        <w:t>early in the ageing process with relatively low-level needs.</w:t>
      </w:r>
    </w:p>
    <w:p w14:paraId="5912E342" w14:textId="77777777" w:rsidR="008845A2" w:rsidRPr="000722B0" w:rsidRDefault="008845A2" w:rsidP="008845A2">
      <w:pPr>
        <w:pStyle w:val="Bullet1"/>
        <w:numPr>
          <w:ilvl w:val="0"/>
          <w:numId w:val="2"/>
        </w:numPr>
      </w:pPr>
      <w:r>
        <w:t>GPs and other health professionals also commonly have knowledge gaps in relation to AT, including what products, services and programs are available, and how consumers can access them.</w:t>
      </w:r>
    </w:p>
    <w:p w14:paraId="44A53989" w14:textId="77777777" w:rsidR="008845A2" w:rsidRPr="00805DBA" w:rsidRDefault="008845A2" w:rsidP="008845A2">
      <w:pPr>
        <w:pStyle w:val="Heading3"/>
      </w:pPr>
      <w:r w:rsidRPr="00805DBA">
        <w:t xml:space="preserve">Assessment </w:t>
      </w:r>
    </w:p>
    <w:p w14:paraId="119D1F74" w14:textId="619ED59B" w:rsidR="008845A2" w:rsidRDefault="008845A2" w:rsidP="008845A2">
      <w:pPr>
        <w:pStyle w:val="Bullet1"/>
        <w:numPr>
          <w:ilvl w:val="0"/>
          <w:numId w:val="2"/>
        </w:numPr>
      </w:pPr>
      <w:r>
        <w:t>While low-</w:t>
      </w:r>
      <w:r w:rsidR="00AE583F">
        <w:t>risk</w:t>
      </w:r>
      <w:r>
        <w:t xml:space="preserve"> AT may only require information and advice, more complex AT does need clinical assessment pathways to ensure appropriate </w:t>
      </w:r>
      <w:r w:rsidR="00C80D6A">
        <w:t>prescription</w:t>
      </w:r>
      <w:r>
        <w:t xml:space="preserve">—in addition to consumer training and support in AT usage. </w:t>
      </w:r>
      <w:r w:rsidRPr="006C271E">
        <w:t xml:space="preserve">Stakeholders and published literature </w:t>
      </w:r>
      <w:r>
        <w:t xml:space="preserve">clearly </w:t>
      </w:r>
      <w:r w:rsidRPr="006C271E">
        <w:t xml:space="preserve">indicate that </w:t>
      </w:r>
      <w:r>
        <w:t>this will maximise the likelihood of consumer uptake of, and benefit from</w:t>
      </w:r>
      <w:r w:rsidR="00B423A5">
        <w:t>,</w:t>
      </w:r>
      <w:r>
        <w:t xml:space="preserve"> AT.</w:t>
      </w:r>
    </w:p>
    <w:p w14:paraId="53CC6115" w14:textId="06B34444" w:rsidR="008845A2" w:rsidRDefault="001F4BAD" w:rsidP="008845A2">
      <w:pPr>
        <w:pStyle w:val="Bullet1"/>
      </w:pPr>
      <w:r>
        <w:t>C</w:t>
      </w:r>
      <w:r w:rsidR="008845A2" w:rsidRPr="007A52CF">
        <w:t>onsumers may be unwilling or unable to pay for the appropriate</w:t>
      </w:r>
      <w:r w:rsidR="008845A2">
        <w:t xml:space="preserve"> clinical</w:t>
      </w:r>
      <w:r w:rsidR="008845A2" w:rsidRPr="007A52CF">
        <w:t xml:space="preserve"> assessment, or they may not understand the importance of having fit-for-purpose AT.</w:t>
      </w:r>
      <w:r w:rsidR="008845A2">
        <w:t xml:space="preserve"> For these consumers, the full benefit of AT may not be realised.</w:t>
      </w:r>
    </w:p>
    <w:p w14:paraId="62B54874" w14:textId="77777777" w:rsidR="008845A2" w:rsidRPr="00805DBA" w:rsidRDefault="008845A2" w:rsidP="008845A2">
      <w:pPr>
        <w:pStyle w:val="Heading3"/>
      </w:pPr>
      <w:r>
        <w:t xml:space="preserve">Provision </w:t>
      </w:r>
    </w:p>
    <w:p w14:paraId="5FA98492" w14:textId="4C5CB28F" w:rsidR="008845A2" w:rsidRDefault="008845A2" w:rsidP="00A10B2F">
      <w:pPr>
        <w:pStyle w:val="ParaKeep"/>
      </w:pPr>
      <w:r>
        <w:t>Overall, the review identified at least 65 different national</w:t>
      </w:r>
      <w:r w:rsidR="00583668">
        <w:t xml:space="preserve">, </w:t>
      </w:r>
      <w:r>
        <w:t xml:space="preserve">state </w:t>
      </w:r>
      <w:r w:rsidR="00583668">
        <w:t>and territory</w:t>
      </w:r>
      <w:r>
        <w:t xml:space="preserve"> programs that provide AT for older Australians. However, a</w:t>
      </w:r>
      <w:r w:rsidRPr="00A1320E">
        <w:t xml:space="preserve">ccess to AT for older Australians </w:t>
      </w:r>
      <w:r>
        <w:t>is inequitable and programs are not designed to respond to the changing needs of ageing consumers</w:t>
      </w:r>
      <w:r w:rsidRPr="00265C2C">
        <w:t>.</w:t>
      </w:r>
      <w:r>
        <w:t xml:space="preserve"> Factors contributing to this include:</w:t>
      </w:r>
    </w:p>
    <w:p w14:paraId="054FCD9A" w14:textId="517E1876" w:rsidR="008845A2" w:rsidRPr="000F0FE1" w:rsidRDefault="008845A2" w:rsidP="005C1C72">
      <w:pPr>
        <w:pStyle w:val="Bullet1"/>
      </w:pPr>
      <w:r w:rsidRPr="00A6533A">
        <w:rPr>
          <w:rStyle w:val="Bold"/>
        </w:rPr>
        <w:t xml:space="preserve">Fragmented </w:t>
      </w:r>
      <w:r w:rsidRPr="00063579">
        <w:t xml:space="preserve">state </w:t>
      </w:r>
      <w:r w:rsidR="00583668">
        <w:t>and territory</w:t>
      </w:r>
      <w:r w:rsidRPr="00063579">
        <w:t xml:space="preserve"> programs</w:t>
      </w:r>
      <w:r>
        <w:t>,</w:t>
      </w:r>
      <w:r w:rsidRPr="000F0FE1">
        <w:t xml:space="preserve"> fund</w:t>
      </w:r>
      <w:r>
        <w:t>ing</w:t>
      </w:r>
      <w:r w:rsidRPr="000F0FE1">
        <w:t xml:space="preserve"> </w:t>
      </w:r>
      <w:r>
        <w:t xml:space="preserve">many </w:t>
      </w:r>
      <w:r w:rsidRPr="000F0FE1">
        <w:t>different types of AT and provid</w:t>
      </w:r>
      <w:r>
        <w:t>ing</w:t>
      </w:r>
      <w:r w:rsidRPr="000F0FE1">
        <w:t xml:space="preserve"> varying levels of subsidies to consumers</w:t>
      </w:r>
      <w:r>
        <w:t xml:space="preserve">. </w:t>
      </w:r>
      <w:r w:rsidRPr="00AF0718">
        <w:rPr>
          <w:lang w:val="en-AU"/>
        </w:rPr>
        <w:t>Each program has different AT funding arrangements for consumers</w:t>
      </w:r>
      <w:r>
        <w:rPr>
          <w:lang w:val="en-AU"/>
        </w:rPr>
        <w:t xml:space="preserve">, </w:t>
      </w:r>
      <w:r w:rsidRPr="000F0FE1">
        <w:t>a lack of transparency around what is available and unclear eligibility criteria</w:t>
      </w:r>
      <w:r w:rsidR="00A533DC">
        <w:t>.</w:t>
      </w:r>
    </w:p>
    <w:p w14:paraId="618F4A63" w14:textId="4FDCB3DD" w:rsidR="008845A2" w:rsidRDefault="008845A2" w:rsidP="008845A2">
      <w:pPr>
        <w:pStyle w:val="Bullet1"/>
      </w:pPr>
      <w:r w:rsidRPr="00A6533A">
        <w:rPr>
          <w:rStyle w:val="Bold"/>
        </w:rPr>
        <w:t>Complexity</w:t>
      </w:r>
      <w:r w:rsidRPr="0042567A">
        <w:t xml:space="preserve"> within and between national</w:t>
      </w:r>
      <w:r w:rsidR="00583668">
        <w:t xml:space="preserve">, </w:t>
      </w:r>
      <w:r w:rsidRPr="0042567A">
        <w:t xml:space="preserve">state and </w:t>
      </w:r>
      <w:r w:rsidR="00583668">
        <w:t>territory</w:t>
      </w:r>
      <w:r w:rsidRPr="0042567A">
        <w:t xml:space="preserve"> programs</w:t>
      </w:r>
      <w:r>
        <w:t>,</w:t>
      </w:r>
      <w:r w:rsidRPr="005C1C72">
        <w:t xml:space="preserve"> </w:t>
      </w:r>
      <w:r w:rsidRPr="00FC150B">
        <w:t>making the system difficult to navigate—for consumers</w:t>
      </w:r>
      <w:r>
        <w:t>,</w:t>
      </w:r>
      <w:r w:rsidRPr="00FC150B">
        <w:t xml:space="preserve"> service providers</w:t>
      </w:r>
      <w:r>
        <w:t xml:space="preserve">, referring health professionals and even system managers such as state </w:t>
      </w:r>
      <w:r w:rsidR="00C67612">
        <w:t>and territory</w:t>
      </w:r>
      <w:r>
        <w:t xml:space="preserve"> governments</w:t>
      </w:r>
      <w:r w:rsidR="00F80723">
        <w:t xml:space="preserve">. </w:t>
      </w:r>
    </w:p>
    <w:p w14:paraId="51258FB5" w14:textId="267B46B9" w:rsidR="008845A2" w:rsidRDefault="008845A2" w:rsidP="008845A2">
      <w:pPr>
        <w:pStyle w:val="Bullet1"/>
      </w:pPr>
      <w:r w:rsidRPr="00A6533A">
        <w:rPr>
          <w:rStyle w:val="Bold"/>
        </w:rPr>
        <w:t>Rigid</w:t>
      </w:r>
      <w:r>
        <w:t xml:space="preserve"> </w:t>
      </w:r>
      <w:r>
        <w:rPr>
          <w:lang w:val="en-AU"/>
        </w:rPr>
        <w:t>aged care programs that are not generally designed to meet the changing AT needs of consumers through their life, or as they transition from one program to another. There is a lack of guidance around</w:t>
      </w:r>
      <w:r>
        <w:t xml:space="preserve"> what happens to AT after a consumer exits a program. </w:t>
      </w:r>
    </w:p>
    <w:p w14:paraId="07F788AE" w14:textId="4EEC4A1B" w:rsidR="008845A2" w:rsidRPr="001C3D82" w:rsidRDefault="004D37C1" w:rsidP="00A10B2F">
      <w:pPr>
        <w:pStyle w:val="Paragraph"/>
        <w:rPr>
          <w:b/>
        </w:rPr>
      </w:pPr>
      <w:r>
        <w:t xml:space="preserve">The </w:t>
      </w:r>
      <w:r w:rsidR="00607AA3">
        <w:t xml:space="preserve">review team examined </w:t>
      </w:r>
      <w:r w:rsidR="004156C7">
        <w:t xml:space="preserve">leasing </w:t>
      </w:r>
      <w:r w:rsidR="00607AA3">
        <w:t xml:space="preserve">and loan </w:t>
      </w:r>
      <w:r w:rsidR="004156C7">
        <w:t>arrangements</w:t>
      </w:r>
      <w:r w:rsidR="00607AA3">
        <w:t>, with stakeholders having mixed views</w:t>
      </w:r>
      <w:r w:rsidR="001C3D82" w:rsidDel="001F4BAD">
        <w:t>.</w:t>
      </w:r>
      <w:r w:rsidR="001C3D82">
        <w:t xml:space="preserve"> </w:t>
      </w:r>
      <w:r w:rsidR="00E562EE">
        <w:t xml:space="preserve">Any consideration of national leasing or loan arrangements would need to be </w:t>
      </w:r>
      <w:r w:rsidR="00607AA3">
        <w:t>examined separately</w:t>
      </w:r>
      <w:r w:rsidR="00E562EE">
        <w:t xml:space="preserve"> to determine </w:t>
      </w:r>
      <w:r w:rsidR="00607AA3">
        <w:t>the</w:t>
      </w:r>
      <w:r w:rsidR="00E562EE">
        <w:t xml:space="preserve"> cost effective</w:t>
      </w:r>
      <w:r w:rsidR="00607AA3">
        <w:t>ness of this</w:t>
      </w:r>
      <w:r w:rsidR="00E562EE">
        <w:t xml:space="preserve"> approach</w:t>
      </w:r>
      <w:r w:rsidR="00607AA3">
        <w:t xml:space="preserve"> in a national context.</w:t>
      </w:r>
    </w:p>
    <w:p w14:paraId="2F2C8177" w14:textId="42135FB6" w:rsidR="003E0C43" w:rsidRDefault="003E0C43" w:rsidP="008845A2">
      <w:pPr>
        <w:pStyle w:val="Heading2"/>
      </w:pPr>
      <w:bookmarkStart w:id="8" w:name="_Toc42281441"/>
      <w:bookmarkStart w:id="9" w:name="_Toc59402368"/>
      <w:bookmarkEnd w:id="8"/>
      <w:r>
        <w:t>Findings</w:t>
      </w:r>
      <w:r w:rsidR="00AE583F">
        <w:t>:</w:t>
      </w:r>
      <w:r>
        <w:t xml:space="preserve"> </w:t>
      </w:r>
      <w:r w:rsidR="00B423A5">
        <w:t>C</w:t>
      </w:r>
      <w:r>
        <w:t>ost</w:t>
      </w:r>
      <w:r w:rsidR="000A24B8">
        <w:t>–</w:t>
      </w:r>
      <w:r>
        <w:t>benefit analysis</w:t>
      </w:r>
      <w:bookmarkEnd w:id="9"/>
    </w:p>
    <w:p w14:paraId="3A8D79D0" w14:textId="7B5B08B7" w:rsidR="003E0C43" w:rsidRDefault="003E0C43" w:rsidP="00A10B2F">
      <w:pPr>
        <w:pStyle w:val="ParaKeep"/>
        <w:rPr>
          <w:lang w:eastAsia="en-AU"/>
        </w:rPr>
      </w:pPr>
      <w:r>
        <w:rPr>
          <w:lang w:eastAsia="en-AU"/>
        </w:rPr>
        <w:t xml:space="preserve">A cost-benefit analysis was conducted </w:t>
      </w:r>
      <w:r w:rsidR="00B92B24">
        <w:rPr>
          <w:lang w:eastAsia="en-AU"/>
        </w:rPr>
        <w:t xml:space="preserve">that </w:t>
      </w:r>
      <w:r w:rsidR="004379F8">
        <w:rPr>
          <w:lang w:eastAsia="en-AU"/>
        </w:rPr>
        <w:t>involv</w:t>
      </w:r>
      <w:r w:rsidR="00B92B24">
        <w:rPr>
          <w:lang w:eastAsia="en-AU"/>
        </w:rPr>
        <w:t>ed the following components</w:t>
      </w:r>
      <w:r w:rsidR="004403EC">
        <w:rPr>
          <w:lang w:eastAsia="en-AU"/>
        </w:rPr>
        <w:t>:</w:t>
      </w:r>
    </w:p>
    <w:p w14:paraId="6EE50477" w14:textId="77777777" w:rsidR="00864FA6" w:rsidRPr="00864FA6" w:rsidRDefault="00864FA6" w:rsidP="00864FA6">
      <w:pPr>
        <w:pStyle w:val="Bullet1"/>
      </w:pPr>
      <w:r w:rsidRPr="00864FA6">
        <w:t xml:space="preserve">Cost analysis </w:t>
      </w:r>
    </w:p>
    <w:p w14:paraId="6E6A617E" w14:textId="6F283024" w:rsidR="00864FA6" w:rsidRDefault="00864FA6" w:rsidP="00864FA6">
      <w:pPr>
        <w:pStyle w:val="Bullet1"/>
      </w:pPr>
      <w:r>
        <w:t>Benefits analysis</w:t>
      </w:r>
    </w:p>
    <w:p w14:paraId="73CBC7CA" w14:textId="435F2B3B" w:rsidR="00864FA6" w:rsidRDefault="00864FA6" w:rsidP="00864FA6">
      <w:pPr>
        <w:pStyle w:val="Bullet1"/>
      </w:pPr>
      <w:r>
        <w:t>Return on investment for AT program options.</w:t>
      </w:r>
    </w:p>
    <w:p w14:paraId="5449A8A1" w14:textId="73C43589" w:rsidR="00120D8D" w:rsidRPr="00017633" w:rsidRDefault="00120D8D" w:rsidP="00017633">
      <w:pPr>
        <w:rPr>
          <w:rFonts w:ascii="Calibri Light" w:hAnsi="Calibri Light" w:cs="Calibri Light"/>
          <w:b/>
          <w:sz w:val="28"/>
          <w:szCs w:val="28"/>
        </w:rPr>
      </w:pPr>
      <w:r w:rsidRPr="00017633">
        <w:rPr>
          <w:b/>
          <w:sz w:val="28"/>
          <w:szCs w:val="28"/>
        </w:rPr>
        <w:lastRenderedPageBreak/>
        <w:t>Cost</w:t>
      </w:r>
      <w:r w:rsidRPr="00017633">
        <w:rPr>
          <w:rFonts w:ascii="Calibri Light" w:hAnsi="Calibri Light" w:cs="Calibri Light"/>
          <w:b/>
          <w:sz w:val="28"/>
          <w:szCs w:val="28"/>
        </w:rPr>
        <w:t xml:space="preserve"> </w:t>
      </w:r>
      <w:r w:rsidRPr="00017633">
        <w:rPr>
          <w:b/>
          <w:sz w:val="28"/>
          <w:szCs w:val="28"/>
        </w:rPr>
        <w:t>analysis</w:t>
      </w:r>
      <w:r w:rsidRPr="00017633">
        <w:rPr>
          <w:rFonts w:ascii="Calibri Light" w:hAnsi="Calibri Light" w:cs="Calibri Light"/>
          <w:b/>
          <w:sz w:val="28"/>
          <w:szCs w:val="28"/>
        </w:rPr>
        <w:t xml:space="preserve"> </w:t>
      </w:r>
    </w:p>
    <w:p w14:paraId="66F2FC3B" w14:textId="68D9FB48" w:rsidR="003E0C43" w:rsidRDefault="003E0C43" w:rsidP="003E0C43">
      <w:pPr>
        <w:pStyle w:val="Bullet1"/>
      </w:pPr>
      <w:r>
        <w:t xml:space="preserve">An assessment of the prevalence and distribution of the population of older Australians </w:t>
      </w:r>
      <w:r w:rsidR="00AE583F">
        <w:t>who require</w:t>
      </w:r>
      <w:r>
        <w:t xml:space="preserve"> AT assistance</w:t>
      </w:r>
    </w:p>
    <w:p w14:paraId="5381A174" w14:textId="67D52349" w:rsidR="003E0C43" w:rsidRDefault="00370D23" w:rsidP="003E0C43">
      <w:pPr>
        <w:pStyle w:val="Bullet1"/>
      </w:pPr>
      <w:r>
        <w:t>Identification and costing</w:t>
      </w:r>
      <w:r w:rsidR="003E0C43">
        <w:t xml:space="preserve"> of AT products and services, including AT kits (groups of products) to assist older Australians not in the </w:t>
      </w:r>
      <w:r w:rsidR="00AE583F">
        <w:t>a</w:t>
      </w:r>
      <w:r w:rsidR="003E0C43">
        <w:t xml:space="preserve">ged </w:t>
      </w:r>
      <w:r w:rsidR="00AE583F">
        <w:t>c</w:t>
      </w:r>
      <w:r w:rsidR="003E0C43">
        <w:t>are system</w:t>
      </w:r>
      <w:r w:rsidR="001C133A">
        <w:t>,</w:t>
      </w:r>
      <w:r w:rsidR="003E0C43">
        <w:t xml:space="preserve"> </w:t>
      </w:r>
      <w:r w:rsidR="000C2A8C">
        <w:t xml:space="preserve">as well as </w:t>
      </w:r>
      <w:r w:rsidR="003E0C43">
        <w:t xml:space="preserve">those </w:t>
      </w:r>
      <w:r w:rsidR="000C2A8C">
        <w:t>in the</w:t>
      </w:r>
      <w:r w:rsidR="003E0C43">
        <w:t xml:space="preserve"> aged care system</w:t>
      </w:r>
      <w:r w:rsidR="001C133A">
        <w:t>,</w:t>
      </w:r>
      <w:r w:rsidR="003E0C43">
        <w:t xml:space="preserve"> to improve their capacity to live independently</w:t>
      </w:r>
    </w:p>
    <w:p w14:paraId="58EE4352" w14:textId="6B012335" w:rsidR="00D66C91" w:rsidRDefault="003E0C43" w:rsidP="00A10B2F">
      <w:pPr>
        <w:pStyle w:val="Bullet1Keep"/>
      </w:pPr>
      <w:r>
        <w:t>Cost</w:t>
      </w:r>
      <w:r w:rsidR="00CD1B76">
        <w:t>ing</w:t>
      </w:r>
      <w:r>
        <w:t xml:space="preserve"> the provision of AT </w:t>
      </w:r>
      <w:r w:rsidR="00CD1B76">
        <w:t>for</w:t>
      </w:r>
      <w:r w:rsidR="00D66C91">
        <w:t xml:space="preserve"> the:</w:t>
      </w:r>
    </w:p>
    <w:p w14:paraId="3D95E8AF" w14:textId="10CDA332" w:rsidR="00D66C91" w:rsidRPr="00DE1411" w:rsidRDefault="001C133A" w:rsidP="00B303C0">
      <w:pPr>
        <w:pStyle w:val="Bullet2"/>
      </w:pPr>
      <w:r>
        <w:t>T</w:t>
      </w:r>
      <w:r w:rsidR="00CD1B76" w:rsidRPr="00DE1411">
        <w:t>otal population</w:t>
      </w:r>
      <w:r w:rsidR="000C2A8C" w:rsidRPr="00DE1411">
        <w:t xml:space="preserve"> of older Australians</w:t>
      </w:r>
    </w:p>
    <w:p w14:paraId="42306C4E" w14:textId="2E46AB5E" w:rsidR="00790733" w:rsidRPr="00DE1411" w:rsidRDefault="00790733" w:rsidP="00B303C0">
      <w:pPr>
        <w:pStyle w:val="Bullet2"/>
      </w:pPr>
      <w:r w:rsidRPr="00DE1411">
        <w:t>Select ‘Archetypes’ representative of C</w:t>
      </w:r>
      <w:r w:rsidR="00F115E5" w:rsidRPr="00DE1411">
        <w:t xml:space="preserve">ommonwealth </w:t>
      </w:r>
      <w:r w:rsidRPr="00DE1411">
        <w:t>H</w:t>
      </w:r>
      <w:r w:rsidR="00F115E5" w:rsidRPr="00DE1411">
        <w:t xml:space="preserve">ome </w:t>
      </w:r>
      <w:r w:rsidRPr="00DE1411">
        <w:t>S</w:t>
      </w:r>
      <w:r w:rsidR="00F115E5" w:rsidRPr="00DE1411">
        <w:t xml:space="preserve">upport </w:t>
      </w:r>
      <w:r w:rsidRPr="00DE1411">
        <w:t>P</w:t>
      </w:r>
      <w:r w:rsidR="00F115E5" w:rsidRPr="00DE1411">
        <w:t>rogram (</w:t>
      </w:r>
      <w:r w:rsidRPr="00DE1411">
        <w:t>CHSP</w:t>
      </w:r>
      <w:r w:rsidR="00F115E5" w:rsidRPr="00DE1411">
        <w:t>)</w:t>
      </w:r>
      <w:r w:rsidRPr="00DE1411">
        <w:t xml:space="preserve"> clients</w:t>
      </w:r>
      <w:r w:rsidR="00305768" w:rsidRPr="00DE1411">
        <w:t xml:space="preserve"> with mild, moderate, severe and profound limitations</w:t>
      </w:r>
    </w:p>
    <w:p w14:paraId="748386C9" w14:textId="5504493F" w:rsidR="003E0C43" w:rsidRDefault="006F2D28" w:rsidP="00B303C0">
      <w:pPr>
        <w:pStyle w:val="Bullet2"/>
      </w:pPr>
      <w:r w:rsidRPr="00DE1411">
        <w:t>Consumers</w:t>
      </w:r>
      <w:r w:rsidR="000C2A8C">
        <w:t xml:space="preserve"> in aged care programs</w:t>
      </w:r>
      <w:r w:rsidR="00D66C91">
        <w:t>.</w:t>
      </w:r>
    </w:p>
    <w:p w14:paraId="0324AA44" w14:textId="66873B5B" w:rsidR="00CD58BB" w:rsidRPr="00017633" w:rsidRDefault="004379F8" w:rsidP="00017633">
      <w:pPr>
        <w:rPr>
          <w:b/>
          <w:sz w:val="28"/>
          <w:szCs w:val="28"/>
        </w:rPr>
      </w:pPr>
      <w:r w:rsidRPr="00017633">
        <w:rPr>
          <w:b/>
          <w:sz w:val="28"/>
          <w:szCs w:val="28"/>
        </w:rPr>
        <w:t>Benefits ana</w:t>
      </w:r>
      <w:r w:rsidR="00774876" w:rsidRPr="00017633">
        <w:rPr>
          <w:b/>
          <w:sz w:val="28"/>
          <w:szCs w:val="28"/>
        </w:rPr>
        <w:t>lysis</w:t>
      </w:r>
    </w:p>
    <w:p w14:paraId="30A49E76" w14:textId="021A471B" w:rsidR="00CD58BB" w:rsidRPr="00987C8B" w:rsidRDefault="00305768" w:rsidP="004403EC">
      <w:pPr>
        <w:pStyle w:val="Paragraph"/>
        <w:rPr>
          <w:lang w:val="en-CA"/>
        </w:rPr>
      </w:pPr>
      <w:r>
        <w:t>A</w:t>
      </w:r>
      <w:r w:rsidR="00774876">
        <w:t xml:space="preserve"> </w:t>
      </w:r>
      <w:r w:rsidR="00E821C7">
        <w:t>r</w:t>
      </w:r>
      <w:r w:rsidR="00E821C7" w:rsidRPr="00E821C7">
        <w:t xml:space="preserve">apid evidence review </w:t>
      </w:r>
      <w:r w:rsidR="00E821C7">
        <w:t>(</w:t>
      </w:r>
      <w:r w:rsidR="00037B17">
        <w:t>RER</w:t>
      </w:r>
      <w:r w:rsidR="00E821C7">
        <w:t>)</w:t>
      </w:r>
      <w:r w:rsidR="00774876">
        <w:t xml:space="preserve"> </w:t>
      </w:r>
      <w:r>
        <w:t xml:space="preserve">was supplemented with a </w:t>
      </w:r>
      <w:r w:rsidR="00774876">
        <w:t xml:space="preserve">Delphi </w:t>
      </w:r>
      <w:r w:rsidR="00480255">
        <w:t>technique</w:t>
      </w:r>
      <w:r w:rsidR="005F1A66">
        <w:t>, involving a focus group of AT expert</w:t>
      </w:r>
      <w:r w:rsidR="00997415">
        <w:t>s</w:t>
      </w:r>
      <w:r w:rsidR="005F1A66">
        <w:t xml:space="preserve"> and consumer representatives, to determine the benefits associated with AT. </w:t>
      </w:r>
      <w:r w:rsidR="00037B17">
        <w:t xml:space="preserve">Both the RER and the Delphi </w:t>
      </w:r>
      <w:r w:rsidR="00480255">
        <w:t xml:space="preserve">technique </w:t>
      </w:r>
      <w:r w:rsidR="00774876">
        <w:t xml:space="preserve">were consistent </w:t>
      </w:r>
      <w:r w:rsidR="00997415">
        <w:t xml:space="preserve">in terms of </w:t>
      </w:r>
      <w:r w:rsidR="00774876">
        <w:t>the direction of the benefits identified</w:t>
      </w:r>
      <w:r w:rsidR="007B6C1F">
        <w:t xml:space="preserve">. </w:t>
      </w:r>
      <w:r w:rsidR="00997415">
        <w:t xml:space="preserve">While the quality of the evidence in the published literature was </w:t>
      </w:r>
      <w:r w:rsidR="007354A2">
        <w:t>relatively</w:t>
      </w:r>
      <w:r w:rsidR="00997415">
        <w:t xml:space="preserve"> weak, both the RER and the Delphi </w:t>
      </w:r>
      <w:r w:rsidR="006122FC">
        <w:t>technique</w:t>
      </w:r>
      <w:r w:rsidR="00997415">
        <w:t xml:space="preserve"> </w:t>
      </w:r>
      <w:r w:rsidR="00F85B44">
        <w:t>found</w:t>
      </w:r>
      <w:r w:rsidR="00997415">
        <w:t xml:space="preserve"> that the benefits of AT outweighed its costs, supporting the increasing use of AT as an intervention for older Australians. </w:t>
      </w:r>
      <w:r w:rsidR="00CD58BB">
        <w:t>F</w:t>
      </w:r>
      <w:r w:rsidR="00CD58BB" w:rsidRPr="00DF526E">
        <w:t>our distinct beneficiaries</w:t>
      </w:r>
      <w:r w:rsidR="00CD58BB">
        <w:t xml:space="preserve"> </w:t>
      </w:r>
      <w:r w:rsidR="00997415">
        <w:t xml:space="preserve">of AT </w:t>
      </w:r>
      <w:r w:rsidR="00CD58BB">
        <w:t>were identified</w:t>
      </w:r>
      <w:r w:rsidR="00997415">
        <w:t xml:space="preserve"> in the li</w:t>
      </w:r>
      <w:r w:rsidR="00C45A16">
        <w:t>terature and in our consultations with stakeholders</w:t>
      </w:r>
      <w:r w:rsidR="00CD58BB" w:rsidRPr="00DF526E">
        <w:t>: consumers, carers, service providers and governments</w:t>
      </w:r>
      <w:r w:rsidR="00CD58BB">
        <w:t>.</w:t>
      </w:r>
    </w:p>
    <w:p w14:paraId="19C87942" w14:textId="544C9388" w:rsidR="00CD58BB" w:rsidRPr="00017633" w:rsidRDefault="001C763E" w:rsidP="00017633">
      <w:pPr>
        <w:rPr>
          <w:b/>
          <w:sz w:val="28"/>
          <w:szCs w:val="28"/>
        </w:rPr>
      </w:pPr>
      <w:r w:rsidRPr="00017633">
        <w:rPr>
          <w:b/>
          <w:sz w:val="28"/>
          <w:szCs w:val="28"/>
        </w:rPr>
        <w:t>Return</w:t>
      </w:r>
      <w:r w:rsidR="00CD58BB" w:rsidRPr="00017633">
        <w:rPr>
          <w:b/>
          <w:sz w:val="28"/>
          <w:szCs w:val="28"/>
        </w:rPr>
        <w:t xml:space="preserve"> on investment for AT </w:t>
      </w:r>
      <w:r w:rsidR="00864FA6" w:rsidRPr="00017633">
        <w:rPr>
          <w:b/>
          <w:sz w:val="28"/>
          <w:szCs w:val="28"/>
        </w:rPr>
        <w:t>program</w:t>
      </w:r>
      <w:r w:rsidR="00CD58BB" w:rsidRPr="00017633">
        <w:rPr>
          <w:b/>
          <w:sz w:val="28"/>
          <w:szCs w:val="28"/>
        </w:rPr>
        <w:t xml:space="preserve"> options</w:t>
      </w:r>
    </w:p>
    <w:p w14:paraId="062EC987" w14:textId="04AE810D" w:rsidR="00CD58BB" w:rsidRPr="003E0C43" w:rsidRDefault="00774876" w:rsidP="004403EC">
      <w:pPr>
        <w:pStyle w:val="Paragraph"/>
      </w:pPr>
      <w:r>
        <w:t>Th</w:t>
      </w:r>
      <w:r w:rsidR="001C763E">
        <w:t xml:space="preserve">e </w:t>
      </w:r>
      <w:r w:rsidR="00B32340">
        <w:t>benefits analysis included</w:t>
      </w:r>
      <w:r>
        <w:t xml:space="preserve"> return on investment calculations for future program options. </w:t>
      </w:r>
      <w:r w:rsidR="00CD58BB">
        <w:t>Our cost benefit analysis has derived the estimated cost and return on investment</w:t>
      </w:r>
      <w:r w:rsidR="00C53CA4">
        <w:t xml:space="preserve"> </w:t>
      </w:r>
      <w:r w:rsidR="0061099F">
        <w:t xml:space="preserve">for the framework </w:t>
      </w:r>
      <w:r w:rsidR="00C53CA4">
        <w:t>detailed</w:t>
      </w:r>
      <w:r w:rsidR="00CD58BB">
        <w:t xml:space="preserve"> in </w:t>
      </w:r>
      <w:r w:rsidR="00C53CA4" w:rsidRPr="007A7C02">
        <w:rPr>
          <w:rStyle w:val="Italic"/>
        </w:rPr>
        <w:t>Section</w:t>
      </w:r>
      <w:r w:rsidR="008A472F" w:rsidRPr="007A7C02">
        <w:rPr>
          <w:rStyle w:val="Italic"/>
        </w:rPr>
        <w:t> </w:t>
      </w:r>
      <w:r w:rsidR="00C53CA4" w:rsidRPr="00C53CA4">
        <w:rPr>
          <w:i/>
          <w:iCs/>
        </w:rPr>
        <w:fldChar w:fldCharType="begin"/>
      </w:r>
      <w:r w:rsidR="00C53CA4" w:rsidRPr="00C53CA4">
        <w:rPr>
          <w:i/>
          <w:iCs/>
        </w:rPr>
        <w:instrText xml:space="preserve"> REF _Ref42589589 \r \h </w:instrText>
      </w:r>
      <w:r w:rsidR="00C53CA4">
        <w:rPr>
          <w:i/>
          <w:iCs/>
        </w:rPr>
        <w:instrText xml:space="preserve"> \* MERGEFORMAT </w:instrText>
      </w:r>
      <w:r w:rsidR="00C53CA4" w:rsidRPr="00C53CA4">
        <w:rPr>
          <w:i/>
          <w:iCs/>
        </w:rPr>
      </w:r>
      <w:r w:rsidR="00C53CA4" w:rsidRPr="00C53CA4">
        <w:rPr>
          <w:i/>
          <w:iCs/>
        </w:rPr>
        <w:fldChar w:fldCharType="separate"/>
      </w:r>
      <w:r w:rsidR="00CC3F04">
        <w:rPr>
          <w:i/>
          <w:iCs/>
        </w:rPr>
        <w:t>1.6</w:t>
      </w:r>
      <w:r w:rsidR="00C53CA4" w:rsidRPr="00C53CA4">
        <w:rPr>
          <w:i/>
          <w:iCs/>
        </w:rPr>
        <w:fldChar w:fldCharType="end"/>
      </w:r>
      <w:r w:rsidR="00864FA6">
        <w:t xml:space="preserve"> and Chapter Four.</w:t>
      </w:r>
    </w:p>
    <w:p w14:paraId="3E433EF2" w14:textId="33564E3C" w:rsidR="008845A2" w:rsidRDefault="008845A2" w:rsidP="008845A2">
      <w:pPr>
        <w:pStyle w:val="Heading2"/>
      </w:pPr>
      <w:bookmarkStart w:id="10" w:name="_Ref42589589"/>
      <w:bookmarkStart w:id="11" w:name="_Toc59402369"/>
      <w:r w:rsidRPr="00014830">
        <w:t>Future program options</w:t>
      </w:r>
      <w:bookmarkEnd w:id="10"/>
      <w:bookmarkEnd w:id="11"/>
    </w:p>
    <w:p w14:paraId="34D2AB8C" w14:textId="550886BE" w:rsidR="008845A2" w:rsidRDefault="008845A2" w:rsidP="00CC65D3">
      <w:pPr>
        <w:pStyle w:val="ParaKeep"/>
        <w:rPr>
          <w:lang w:val="en-CA"/>
        </w:rPr>
      </w:pPr>
      <w:r>
        <w:rPr>
          <w:lang w:val="en-CA"/>
        </w:rPr>
        <w:t xml:space="preserve">This report describes a </w:t>
      </w:r>
      <w:r w:rsidRPr="00E253F7">
        <w:rPr>
          <w:lang w:val="en-CA"/>
        </w:rPr>
        <w:t xml:space="preserve">new national </w:t>
      </w:r>
      <w:r w:rsidR="00934DC0">
        <w:rPr>
          <w:lang w:val="en-CA"/>
        </w:rPr>
        <w:t>framework for providing AT</w:t>
      </w:r>
      <w:r w:rsidRPr="00E253F7">
        <w:rPr>
          <w:lang w:val="en-CA"/>
        </w:rPr>
        <w:t xml:space="preserve"> for older Australians</w:t>
      </w:r>
      <w:r>
        <w:rPr>
          <w:lang w:val="en-CA"/>
        </w:rPr>
        <w:t>. It is</w:t>
      </w:r>
      <w:r w:rsidRPr="00E253F7">
        <w:rPr>
          <w:lang w:val="en-CA"/>
        </w:rPr>
        <w:t xml:space="preserve"> designed to </w:t>
      </w:r>
      <w:r>
        <w:rPr>
          <w:lang w:val="en-CA"/>
        </w:rPr>
        <w:t xml:space="preserve">improve access to AT to enable older people to maintain or improve their independence at home. It responds to the findings from our AT program mapping above, and has a strong </w:t>
      </w:r>
      <w:r w:rsidRPr="00E253F7">
        <w:rPr>
          <w:lang w:val="en-CA"/>
        </w:rPr>
        <w:t>focus on</w:t>
      </w:r>
      <w:r>
        <w:rPr>
          <w:lang w:val="en-CA"/>
        </w:rPr>
        <w:t xml:space="preserve"> the following </w:t>
      </w:r>
      <w:r w:rsidR="00864FA6">
        <w:rPr>
          <w:lang w:val="en-CA"/>
        </w:rPr>
        <w:t xml:space="preserve">core </w:t>
      </w:r>
      <w:r w:rsidR="00141262">
        <w:rPr>
          <w:lang w:val="en-CA"/>
        </w:rPr>
        <w:t>elements</w:t>
      </w:r>
      <w:r>
        <w:rPr>
          <w:lang w:val="en-CA"/>
        </w:rPr>
        <w:t>:</w:t>
      </w:r>
    </w:p>
    <w:p w14:paraId="110BE757" w14:textId="09F48A52" w:rsidR="008845A2" w:rsidRDefault="008845A2" w:rsidP="00CC65D3">
      <w:pPr>
        <w:pStyle w:val="Bullet1"/>
        <w:rPr>
          <w:lang w:val="en-CA"/>
        </w:rPr>
      </w:pPr>
      <w:r w:rsidRPr="00A6533A">
        <w:rPr>
          <w:rStyle w:val="Bold"/>
        </w:rPr>
        <w:t>Providing free and easily accessible information and advice</w:t>
      </w:r>
      <w:r>
        <w:rPr>
          <w:lang w:val="en-CA"/>
        </w:rPr>
        <w:t xml:space="preserve"> to </w:t>
      </w:r>
      <w:r w:rsidR="00FF248E">
        <w:rPr>
          <w:lang w:val="en-CA"/>
        </w:rPr>
        <w:t>older</w:t>
      </w:r>
      <w:r>
        <w:rPr>
          <w:lang w:val="en-CA"/>
        </w:rPr>
        <w:t xml:space="preserve"> consumers—including the significant proportion of consumers </w:t>
      </w:r>
      <w:r w:rsidR="00D06359">
        <w:rPr>
          <w:lang w:val="en-CA"/>
        </w:rPr>
        <w:t xml:space="preserve">who </w:t>
      </w:r>
      <w:r>
        <w:rPr>
          <w:lang w:val="en-CA"/>
        </w:rPr>
        <w:t xml:space="preserve">are not receiving Commonwealth-funded aged care services. Trusted information and independent advice through multiple channels will increase consumer AT awareness and literacy so that they can make informed decisions at the right time. </w:t>
      </w:r>
    </w:p>
    <w:p w14:paraId="10B6A10B" w14:textId="7E4F8A0B" w:rsidR="008845A2" w:rsidRPr="0096374E" w:rsidRDefault="008845A2" w:rsidP="00CC65D3">
      <w:pPr>
        <w:pStyle w:val="Bullet1"/>
        <w:rPr>
          <w:lang w:val="en-CA"/>
        </w:rPr>
      </w:pPr>
      <w:r w:rsidRPr="00A6533A">
        <w:rPr>
          <w:rStyle w:val="Bold"/>
        </w:rPr>
        <w:t xml:space="preserve">Extending the reach of the </w:t>
      </w:r>
      <w:r w:rsidR="00934DC0" w:rsidRPr="00A6533A">
        <w:rPr>
          <w:rStyle w:val="Bold"/>
        </w:rPr>
        <w:t>national framework</w:t>
      </w:r>
      <w:r w:rsidR="00934DC0" w:rsidRPr="0096374E">
        <w:rPr>
          <w:lang w:val="en-AU"/>
        </w:rPr>
        <w:t xml:space="preserve"> </w:t>
      </w:r>
      <w:r w:rsidRPr="0096374E">
        <w:rPr>
          <w:lang w:val="en-AU"/>
        </w:rPr>
        <w:t xml:space="preserve">to </w:t>
      </w:r>
      <w:r>
        <w:rPr>
          <w:lang w:val="en-AU"/>
        </w:rPr>
        <w:t xml:space="preserve">provide AT to ageing </w:t>
      </w:r>
      <w:r w:rsidRPr="0096374E">
        <w:rPr>
          <w:lang w:val="en-AU"/>
        </w:rPr>
        <w:t>consumers currently outside of aged care</w:t>
      </w:r>
      <w:r>
        <w:rPr>
          <w:lang w:val="en-AU"/>
        </w:rPr>
        <w:t xml:space="preserve"> (as well as those in the system)</w:t>
      </w:r>
      <w:r w:rsidRPr="0096374E">
        <w:rPr>
          <w:lang w:val="en-AU"/>
        </w:rPr>
        <w:t>—</w:t>
      </w:r>
      <w:r w:rsidR="00D06359">
        <w:rPr>
          <w:lang w:val="en-AU"/>
        </w:rPr>
        <w:t xml:space="preserve">thus </w:t>
      </w:r>
      <w:r w:rsidRPr="0096374E">
        <w:rPr>
          <w:lang w:val="en-AU"/>
        </w:rPr>
        <w:t xml:space="preserve">delaying the need for more complex and costly aged and health care support. </w:t>
      </w:r>
    </w:p>
    <w:p w14:paraId="494CCB75" w14:textId="52994D96" w:rsidR="008845A2" w:rsidRPr="00BC4B91" w:rsidRDefault="008845A2" w:rsidP="00CC65D3">
      <w:pPr>
        <w:pStyle w:val="Bullet1"/>
        <w:rPr>
          <w:lang w:val="en-CA"/>
        </w:rPr>
      </w:pPr>
      <w:r w:rsidRPr="00A6533A">
        <w:rPr>
          <w:rStyle w:val="Bold"/>
        </w:rPr>
        <w:t>Intervening earlier in the ageing process</w:t>
      </w:r>
      <w:r w:rsidRPr="0096374E">
        <w:rPr>
          <w:lang w:val="en-AU"/>
        </w:rPr>
        <w:t xml:space="preserve"> </w:t>
      </w:r>
      <w:r>
        <w:rPr>
          <w:lang w:val="en-AU"/>
        </w:rPr>
        <w:t xml:space="preserve">to not only maximise </w:t>
      </w:r>
      <w:r w:rsidRPr="00806715">
        <w:rPr>
          <w:lang w:val="en-AU"/>
        </w:rPr>
        <w:t>the return on investment</w:t>
      </w:r>
      <w:r w:rsidR="00D06359">
        <w:rPr>
          <w:lang w:val="en-AU"/>
        </w:rPr>
        <w:t>,</w:t>
      </w:r>
      <w:r w:rsidRPr="00806715">
        <w:rPr>
          <w:lang w:val="en-AU"/>
        </w:rPr>
        <w:t xml:space="preserve"> </w:t>
      </w:r>
      <w:r>
        <w:rPr>
          <w:lang w:val="en-AU"/>
        </w:rPr>
        <w:t xml:space="preserve">but </w:t>
      </w:r>
      <w:r w:rsidR="00AE583F">
        <w:rPr>
          <w:lang w:val="en-AU"/>
        </w:rPr>
        <w:t xml:space="preserve">also </w:t>
      </w:r>
      <w:r w:rsidR="00AE583F" w:rsidRPr="0096374E">
        <w:rPr>
          <w:lang w:val="en-AU"/>
        </w:rPr>
        <w:t>slow</w:t>
      </w:r>
      <w:r w:rsidRPr="0096374E">
        <w:rPr>
          <w:lang w:val="en-AU"/>
        </w:rPr>
        <w:t xml:space="preserve"> functional decline and </w:t>
      </w:r>
      <w:r>
        <w:rPr>
          <w:lang w:val="en-AU"/>
        </w:rPr>
        <w:t>assist consumers at home</w:t>
      </w:r>
      <w:r w:rsidRPr="0096374E">
        <w:rPr>
          <w:lang w:val="en-AU"/>
        </w:rPr>
        <w:t>.</w:t>
      </w:r>
      <w:r>
        <w:rPr>
          <w:lang w:val="en-AU"/>
        </w:rPr>
        <w:t xml:space="preserve"> This includes p</w:t>
      </w:r>
      <w:r w:rsidRPr="0096374E">
        <w:rPr>
          <w:lang w:val="en-AU"/>
        </w:rPr>
        <w:t>roviding—for the first time—funded access to low-</w:t>
      </w:r>
      <w:r w:rsidR="00AE583F">
        <w:rPr>
          <w:lang w:val="en-AU"/>
        </w:rPr>
        <w:t>risk</w:t>
      </w:r>
      <w:r w:rsidRPr="0096374E">
        <w:rPr>
          <w:lang w:val="en-AU"/>
        </w:rPr>
        <w:t xml:space="preserve"> AT that assists </w:t>
      </w:r>
      <w:r w:rsidR="00F85B44">
        <w:rPr>
          <w:lang w:val="en-AU"/>
        </w:rPr>
        <w:t xml:space="preserve">consumers in their </w:t>
      </w:r>
      <w:r w:rsidRPr="0096374E">
        <w:rPr>
          <w:lang w:val="en-AU"/>
        </w:rPr>
        <w:t>ADL</w:t>
      </w:r>
      <w:r>
        <w:rPr>
          <w:lang w:val="en-AU"/>
        </w:rPr>
        <w:t>s</w:t>
      </w:r>
      <w:r w:rsidRPr="0096374E">
        <w:rPr>
          <w:lang w:val="en-AU"/>
        </w:rPr>
        <w:t xml:space="preserve">, such as bathing, dressing, and </w:t>
      </w:r>
      <w:r>
        <w:rPr>
          <w:lang w:val="en-AU"/>
        </w:rPr>
        <w:t>household cleaning</w:t>
      </w:r>
      <w:r w:rsidRPr="0096374E">
        <w:rPr>
          <w:lang w:val="en-CA"/>
        </w:rPr>
        <w:t xml:space="preserve">. </w:t>
      </w:r>
      <w:r>
        <w:rPr>
          <w:lang w:val="en-CA"/>
        </w:rPr>
        <w:t>The</w:t>
      </w:r>
      <w:r w:rsidR="00F85B44">
        <w:rPr>
          <w:lang w:val="en-CA"/>
        </w:rPr>
        <w:t xml:space="preserve"> proposed</w:t>
      </w:r>
      <w:r>
        <w:rPr>
          <w:lang w:val="en-CA"/>
        </w:rPr>
        <w:t xml:space="preserve"> ADL kits have been deliberately designed to assist in, and </w:t>
      </w:r>
      <w:r>
        <w:rPr>
          <w:lang w:val="en-CA"/>
        </w:rPr>
        <w:lastRenderedPageBreak/>
        <w:t xml:space="preserve">supplement, relatively high-cost </w:t>
      </w:r>
      <w:r w:rsidR="00AE583F">
        <w:rPr>
          <w:lang w:val="en-CA"/>
        </w:rPr>
        <w:t>CHSP service</w:t>
      </w:r>
      <w:r>
        <w:rPr>
          <w:lang w:val="en-CA"/>
        </w:rPr>
        <w:t xml:space="preserve"> types including personal care and domestic assistance</w:t>
      </w:r>
      <w:r w:rsidR="00F80723">
        <w:rPr>
          <w:lang w:val="en-CA"/>
        </w:rPr>
        <w:t xml:space="preserve">. </w:t>
      </w:r>
    </w:p>
    <w:p w14:paraId="222624A4" w14:textId="0A18F21C" w:rsidR="008845A2" w:rsidRDefault="008845A2" w:rsidP="00CC65D3">
      <w:pPr>
        <w:pStyle w:val="Bullet1Keep"/>
      </w:pPr>
      <w:r w:rsidRPr="005A179A">
        <w:rPr>
          <w:rStyle w:val="Bold"/>
        </w:rPr>
        <w:t>Expanding the limited CHSP funded AT list</w:t>
      </w:r>
      <w:r>
        <w:t xml:space="preserve"> to better reflect the ISO international AT categories</w:t>
      </w:r>
      <w:r w:rsidR="00D06359">
        <w:t>,</w:t>
      </w:r>
      <w:r>
        <w:t xml:space="preserve"> including:</w:t>
      </w:r>
    </w:p>
    <w:p w14:paraId="2C5878F4" w14:textId="77777777" w:rsidR="008845A2" w:rsidRDefault="008845A2" w:rsidP="00B303C0">
      <w:pPr>
        <w:pStyle w:val="Bullet2"/>
      </w:pPr>
      <w:r>
        <w:t xml:space="preserve">AT to </w:t>
      </w:r>
      <w:r w:rsidRPr="0096374E">
        <w:t>enhance home safety, including rug fasteners, wall bumpers and falls prevention measures such as safety treads</w:t>
      </w:r>
    </w:p>
    <w:p w14:paraId="5924E628" w14:textId="77777777" w:rsidR="008845A2" w:rsidRPr="0096374E" w:rsidRDefault="008845A2" w:rsidP="00B303C0">
      <w:pPr>
        <w:pStyle w:val="Bullet2"/>
      </w:pPr>
      <w:r w:rsidRPr="0096374E">
        <w:t>AT for domestic activities, including cleaning and outdoor maintenance</w:t>
      </w:r>
    </w:p>
    <w:p w14:paraId="779E6B3D" w14:textId="47B84865" w:rsidR="008845A2" w:rsidRPr="00FF248E" w:rsidRDefault="008845A2" w:rsidP="00B303C0">
      <w:pPr>
        <w:pStyle w:val="Bullet2"/>
        <w:rPr>
          <w:lang w:val="en-CA"/>
        </w:rPr>
      </w:pPr>
      <w:r w:rsidRPr="0096374E">
        <w:t>AT for postural support, including chair raisers and bed transfer aids.</w:t>
      </w:r>
    </w:p>
    <w:p w14:paraId="03BE1938" w14:textId="77C75AB3" w:rsidR="00FF248E" w:rsidRPr="00A6533A" w:rsidRDefault="00591BDC" w:rsidP="00CC65D3">
      <w:pPr>
        <w:pStyle w:val="Bullet1"/>
        <w:rPr>
          <w:rStyle w:val="Bold"/>
        </w:rPr>
      </w:pPr>
      <w:r w:rsidRPr="00A6533A">
        <w:rPr>
          <w:rStyle w:val="Bold"/>
        </w:rPr>
        <w:t xml:space="preserve">Increasing </w:t>
      </w:r>
      <w:r w:rsidR="00EF172E" w:rsidRPr="00A6533A">
        <w:rPr>
          <w:rStyle w:val="Bold"/>
        </w:rPr>
        <w:t>equity</w:t>
      </w:r>
      <w:r w:rsidRPr="00A6533A">
        <w:rPr>
          <w:rStyle w:val="Bold"/>
        </w:rPr>
        <w:t xml:space="preserve"> </w:t>
      </w:r>
      <w:r w:rsidR="00C04E40" w:rsidRPr="00A6533A">
        <w:rPr>
          <w:rStyle w:val="Bold"/>
        </w:rPr>
        <w:t>in state and territory CHSP</w:t>
      </w:r>
      <w:r w:rsidRPr="00A6533A">
        <w:rPr>
          <w:rStyle w:val="Bold"/>
        </w:rPr>
        <w:t xml:space="preserve"> funding </w:t>
      </w:r>
      <w:r w:rsidR="00C04E40" w:rsidRPr="00A6533A">
        <w:rPr>
          <w:rStyle w:val="Bold"/>
        </w:rPr>
        <w:t xml:space="preserve">allocations to ensure </w:t>
      </w:r>
      <w:r w:rsidR="00D07C3C" w:rsidRPr="00A6533A">
        <w:rPr>
          <w:rStyle w:val="Bold"/>
        </w:rPr>
        <w:t>access for older Australians</w:t>
      </w:r>
      <w:r w:rsidR="00864FA6">
        <w:rPr>
          <w:rStyle w:val="Bold"/>
        </w:rPr>
        <w:t>.</w:t>
      </w:r>
    </w:p>
    <w:p w14:paraId="1384F3C8" w14:textId="6A1FD80D" w:rsidR="008A472F" w:rsidRPr="008A472F" w:rsidRDefault="008845A2" w:rsidP="00B84AD9">
      <w:pPr>
        <w:pStyle w:val="Bullet1"/>
        <w:rPr>
          <w:lang w:val="en-AU"/>
        </w:rPr>
      </w:pPr>
      <w:r w:rsidRPr="00A6533A">
        <w:rPr>
          <w:rStyle w:val="Bold"/>
        </w:rPr>
        <w:t xml:space="preserve">Building the evidence base </w:t>
      </w:r>
      <w:r w:rsidRPr="008A472F">
        <w:rPr>
          <w:lang w:val="en-AU"/>
        </w:rPr>
        <w:t>for AT use in the home</w:t>
      </w:r>
      <w:r w:rsidR="00D06359">
        <w:rPr>
          <w:lang w:val="en-AU"/>
        </w:rPr>
        <w:t xml:space="preserve"> </w:t>
      </w:r>
      <w:r w:rsidRPr="008A472F">
        <w:rPr>
          <w:lang w:val="en-AU"/>
        </w:rPr>
        <w:t xml:space="preserve">to inform future directions in aged care. This is particularly important given the paucity of peer-reviewed literature and AT program reviews. </w:t>
      </w:r>
    </w:p>
    <w:p w14:paraId="6E88F36E" w14:textId="503D6170" w:rsidR="008845A2" w:rsidRDefault="008845A2" w:rsidP="008845A2">
      <w:pPr>
        <w:pStyle w:val="Heading3"/>
        <w:rPr>
          <w:lang w:val="en-AU"/>
        </w:rPr>
      </w:pPr>
      <w:r>
        <w:rPr>
          <w:lang w:val="en-AU"/>
        </w:rPr>
        <w:t xml:space="preserve">AT </w:t>
      </w:r>
      <w:r w:rsidR="002A0BFF">
        <w:rPr>
          <w:lang w:val="en-AU"/>
        </w:rPr>
        <w:t>program options</w:t>
      </w:r>
    </w:p>
    <w:p w14:paraId="16EFB082" w14:textId="1735A5E5" w:rsidR="008845A2" w:rsidRDefault="008845A2" w:rsidP="00CC65D3">
      <w:pPr>
        <w:pStyle w:val="ParaKeep"/>
      </w:pPr>
      <w:r>
        <w:t>New pathways</w:t>
      </w:r>
      <w:r w:rsidRPr="00A57E02">
        <w:t xml:space="preserve"> </w:t>
      </w:r>
      <w:r>
        <w:t>are consistent with</w:t>
      </w:r>
      <w:r w:rsidRPr="006C2CF8">
        <w:t xml:space="preserve"> the core </w:t>
      </w:r>
      <w:r w:rsidR="00AE583F">
        <w:t>elements listed</w:t>
      </w:r>
      <w:r>
        <w:t xml:space="preserve"> above</w:t>
      </w:r>
      <w:r w:rsidR="00D06359">
        <w:t>.</w:t>
      </w:r>
    </w:p>
    <w:p w14:paraId="53C6429A" w14:textId="1D21519D" w:rsidR="00FF248E" w:rsidRPr="006B5535" w:rsidRDefault="00FF248E" w:rsidP="00CC65D3">
      <w:pPr>
        <w:pStyle w:val="ParaKeep"/>
      </w:pPr>
      <w:r>
        <w:t xml:space="preserve">AT </w:t>
      </w:r>
      <w:r w:rsidR="00D07C3C">
        <w:t xml:space="preserve">program </w:t>
      </w:r>
      <w:r w:rsidRPr="006B5535">
        <w:t>options includ</w:t>
      </w:r>
      <w:r>
        <w:t>e</w:t>
      </w:r>
      <w:r w:rsidRPr="006B5535">
        <w:t xml:space="preserve">: </w:t>
      </w:r>
    </w:p>
    <w:p w14:paraId="100E8A70" w14:textId="36B1A5B1" w:rsidR="00D07C3C" w:rsidRDefault="00D07C3C" w:rsidP="00D07C3C">
      <w:pPr>
        <w:pStyle w:val="Bullet1"/>
        <w:rPr>
          <w:lang w:val="en-AU"/>
        </w:rPr>
      </w:pPr>
      <w:r>
        <w:rPr>
          <w:lang w:val="en-AU"/>
        </w:rPr>
        <w:t xml:space="preserve">A </w:t>
      </w:r>
      <w:r w:rsidR="00EF172E">
        <w:rPr>
          <w:lang w:val="en-AU"/>
        </w:rPr>
        <w:t xml:space="preserve">new AT Solutions </w:t>
      </w:r>
      <w:r w:rsidR="00A25BF1">
        <w:rPr>
          <w:lang w:val="en-AU"/>
        </w:rPr>
        <w:t xml:space="preserve">suite of services </w:t>
      </w:r>
      <w:r w:rsidR="00D06359">
        <w:rPr>
          <w:lang w:val="en-AU"/>
        </w:rPr>
        <w:t>(</w:t>
      </w:r>
      <w:r w:rsidR="00A25BF1">
        <w:rPr>
          <w:lang w:val="en-AU"/>
        </w:rPr>
        <w:t xml:space="preserve">including a </w:t>
      </w:r>
      <w:r w:rsidR="00EF172E">
        <w:rPr>
          <w:lang w:val="en-AU"/>
        </w:rPr>
        <w:t>website, app and hotline</w:t>
      </w:r>
      <w:r w:rsidR="00D06359">
        <w:rPr>
          <w:lang w:val="en-AU"/>
        </w:rPr>
        <w:t>)</w:t>
      </w:r>
      <w:r w:rsidDel="00EF172E">
        <w:rPr>
          <w:lang w:val="en-AU"/>
        </w:rPr>
        <w:t xml:space="preserve"> </w:t>
      </w:r>
      <w:r w:rsidR="00A25BF1">
        <w:rPr>
          <w:lang w:val="en-AU"/>
        </w:rPr>
        <w:t xml:space="preserve">to provide a </w:t>
      </w:r>
      <w:r w:rsidR="005C3B5E">
        <w:rPr>
          <w:lang w:val="en-AU"/>
        </w:rPr>
        <w:t xml:space="preserve">first </w:t>
      </w:r>
      <w:r>
        <w:rPr>
          <w:lang w:val="en-AU"/>
        </w:rPr>
        <w:t>point of contact f</w:t>
      </w:r>
      <w:r w:rsidRPr="006C2CF8">
        <w:rPr>
          <w:lang w:val="en-AU"/>
        </w:rPr>
        <w:t>o</w:t>
      </w:r>
      <w:r>
        <w:rPr>
          <w:lang w:val="en-AU"/>
        </w:rPr>
        <w:t>r</w:t>
      </w:r>
      <w:r w:rsidR="00A25BF1">
        <w:rPr>
          <w:lang w:val="en-AU"/>
        </w:rPr>
        <w:t xml:space="preserve"> older</w:t>
      </w:r>
      <w:r w:rsidRPr="006C2CF8" w:rsidDel="00A25BF1">
        <w:rPr>
          <w:lang w:val="en-AU"/>
        </w:rPr>
        <w:t xml:space="preserve"> </w:t>
      </w:r>
      <w:r w:rsidRPr="006C2CF8">
        <w:rPr>
          <w:lang w:val="en-AU"/>
        </w:rPr>
        <w:t>consumers inside and outside of aged care</w:t>
      </w:r>
      <w:r w:rsidR="00D06359">
        <w:rPr>
          <w:lang w:val="en-AU"/>
        </w:rPr>
        <w:t xml:space="preserve">, </w:t>
      </w:r>
      <w:r w:rsidR="00A25BF1">
        <w:rPr>
          <w:lang w:val="en-AU"/>
        </w:rPr>
        <w:t xml:space="preserve">and </w:t>
      </w:r>
      <w:r w:rsidR="00D06359">
        <w:rPr>
          <w:lang w:val="en-AU"/>
        </w:rPr>
        <w:t xml:space="preserve">offer </w:t>
      </w:r>
      <w:r>
        <w:rPr>
          <w:lang w:val="en-AU"/>
        </w:rPr>
        <w:t>independent AT information and advice</w:t>
      </w:r>
      <w:r w:rsidR="00F80723">
        <w:rPr>
          <w:lang w:val="en-AU"/>
        </w:rPr>
        <w:t xml:space="preserve">. </w:t>
      </w:r>
      <w:r w:rsidR="00EF172E">
        <w:rPr>
          <w:lang w:val="en-AU"/>
        </w:rPr>
        <w:t xml:space="preserve">This </w:t>
      </w:r>
      <w:r w:rsidR="009F37C7">
        <w:rPr>
          <w:lang w:val="en-AU"/>
        </w:rPr>
        <w:t>should</w:t>
      </w:r>
      <w:r w:rsidR="00EF172E">
        <w:rPr>
          <w:lang w:val="en-AU"/>
        </w:rPr>
        <w:t xml:space="preserve"> include </w:t>
      </w:r>
      <w:r w:rsidR="00A25BF1">
        <w:rPr>
          <w:lang w:val="en-AU"/>
        </w:rPr>
        <w:t>a digital</w:t>
      </w:r>
      <w:r w:rsidR="00EF172E">
        <w:rPr>
          <w:lang w:val="en-AU"/>
        </w:rPr>
        <w:t xml:space="preserve"> AT screening tool to</w:t>
      </w:r>
      <w:r w:rsidR="005C3B5E">
        <w:rPr>
          <w:lang w:val="en-AU"/>
        </w:rPr>
        <w:t xml:space="preserve"> </w:t>
      </w:r>
      <w:r w:rsidR="005C3B5E">
        <w:rPr>
          <w:lang w:val="en-CA"/>
        </w:rPr>
        <w:t>enable consumers to</w:t>
      </w:r>
      <w:r w:rsidR="005C3B5E" w:rsidRPr="007D7FA1">
        <w:t xml:space="preserve"> identify </w:t>
      </w:r>
      <w:r w:rsidR="005C3B5E">
        <w:t>ADL</w:t>
      </w:r>
      <w:r w:rsidR="00D06359">
        <w:t>s</w:t>
      </w:r>
      <w:r w:rsidR="00D06359" w:rsidRPr="007D7FA1">
        <w:t xml:space="preserve"> </w:t>
      </w:r>
      <w:r w:rsidR="005C3B5E" w:rsidRPr="007D7FA1">
        <w:t>they have difficulties with</w:t>
      </w:r>
      <w:r w:rsidR="005C3B5E">
        <w:t>,</w:t>
      </w:r>
      <w:r w:rsidR="005C3B5E" w:rsidRPr="007D7FA1">
        <w:t xml:space="preserve"> and </w:t>
      </w:r>
      <w:r w:rsidR="005C3B5E">
        <w:t xml:space="preserve">then assist in identifying AT </w:t>
      </w:r>
      <w:r w:rsidR="005C3B5E" w:rsidRPr="007D7FA1">
        <w:t xml:space="preserve">that </w:t>
      </w:r>
      <w:r w:rsidR="005C3B5E">
        <w:t>can</w:t>
      </w:r>
      <w:r w:rsidR="005C3B5E" w:rsidRPr="007D7FA1">
        <w:t xml:space="preserve"> help them maintain or improve </w:t>
      </w:r>
      <w:r w:rsidR="005C3B5E">
        <w:t>functioning</w:t>
      </w:r>
      <w:r w:rsidR="00F80723">
        <w:t xml:space="preserve">. </w:t>
      </w:r>
      <w:r>
        <w:rPr>
          <w:lang w:val="en-AU"/>
        </w:rPr>
        <w:t>This is seen as a foundation initiative for the program</w:t>
      </w:r>
      <w:r w:rsidR="00A533DC">
        <w:rPr>
          <w:lang w:val="en-AU"/>
        </w:rPr>
        <w:t>.</w:t>
      </w:r>
    </w:p>
    <w:p w14:paraId="77F5E708" w14:textId="3DFAE38C" w:rsidR="00FF248E" w:rsidRDefault="00FF248E" w:rsidP="00CC65D3">
      <w:pPr>
        <w:pStyle w:val="Bullet1Keep"/>
      </w:pPr>
      <w:r>
        <w:t>ADL kit options for</w:t>
      </w:r>
      <w:r w:rsidR="00FC279A">
        <w:t xml:space="preserve">: </w:t>
      </w:r>
    </w:p>
    <w:p w14:paraId="2FAD1CFC" w14:textId="77777777" w:rsidR="00FF248E" w:rsidRDefault="00FF248E" w:rsidP="00B303C0">
      <w:pPr>
        <w:pStyle w:val="Bullet2"/>
      </w:pPr>
      <w:r>
        <w:t>Consumers not in aged care</w:t>
      </w:r>
    </w:p>
    <w:p w14:paraId="1F3DCBC9" w14:textId="77777777" w:rsidR="00FF248E" w:rsidRDefault="00FF248E" w:rsidP="00B303C0">
      <w:pPr>
        <w:pStyle w:val="Bullet2"/>
      </w:pPr>
      <w:r>
        <w:t xml:space="preserve">CHSP consumers </w:t>
      </w:r>
    </w:p>
    <w:p w14:paraId="20BFA880" w14:textId="72AE53D1" w:rsidR="00FF248E" w:rsidRDefault="00FF248E" w:rsidP="00B303C0">
      <w:pPr>
        <w:pStyle w:val="Bullet2"/>
      </w:pPr>
      <w:r>
        <w:t>Home Care Package Level 1 and 2 consumers</w:t>
      </w:r>
      <w:r w:rsidR="00A533DC">
        <w:t>.</w:t>
      </w:r>
    </w:p>
    <w:p w14:paraId="73AFFF1A" w14:textId="65660FD1" w:rsidR="00FF248E" w:rsidRDefault="00D07C3C" w:rsidP="00CC65D3">
      <w:pPr>
        <w:pStyle w:val="Bullet1Keep"/>
      </w:pPr>
      <w:r>
        <w:t>Program funding</w:t>
      </w:r>
      <w:r w:rsidR="00FF248E">
        <w:t xml:space="preserve"> options </w:t>
      </w:r>
      <w:r w:rsidR="00AD475C">
        <w:t>to boost AT</w:t>
      </w:r>
      <w:r w:rsidR="00D07A21">
        <w:t>,</w:t>
      </w:r>
      <w:r w:rsidR="00AD475C">
        <w:t xml:space="preserve"> </w:t>
      </w:r>
      <w:r w:rsidR="00FF248E">
        <w:t>including</w:t>
      </w:r>
      <w:r w:rsidR="00760FD2">
        <w:t>:</w:t>
      </w:r>
    </w:p>
    <w:p w14:paraId="41DA8906" w14:textId="77054EE7" w:rsidR="00FF248E" w:rsidRDefault="00FF248E" w:rsidP="00B303C0">
      <w:pPr>
        <w:pStyle w:val="Bullet2"/>
      </w:pPr>
      <w:r>
        <w:t xml:space="preserve">Funding </w:t>
      </w:r>
      <w:r w:rsidR="00EF172E">
        <w:t>equity</w:t>
      </w:r>
      <w:r>
        <w:t xml:space="preserve"> options for CHSP across states</w:t>
      </w:r>
      <w:r w:rsidR="00D07C3C">
        <w:t xml:space="preserve"> and territories</w:t>
      </w:r>
      <w:r>
        <w:t xml:space="preserve"> </w:t>
      </w:r>
    </w:p>
    <w:p w14:paraId="018CC368" w14:textId="21B0E596" w:rsidR="00760FD2" w:rsidRDefault="00760FD2" w:rsidP="00B303C0">
      <w:pPr>
        <w:pStyle w:val="Bullet2"/>
      </w:pPr>
      <w:r>
        <w:t>Expanding the categories of AT products available for CHSP consumers</w:t>
      </w:r>
    </w:p>
    <w:p w14:paraId="6E3ED6B3" w14:textId="5CF837C4" w:rsidR="008845A2" w:rsidRDefault="00C56118" w:rsidP="00B303C0">
      <w:pPr>
        <w:pStyle w:val="Bullet2"/>
      </w:pPr>
      <w:r>
        <w:t xml:space="preserve">Funding additional </w:t>
      </w:r>
      <w:r w:rsidR="008845A2">
        <w:t xml:space="preserve">CHSP allied health assessments to support the </w:t>
      </w:r>
      <w:r>
        <w:t>increased</w:t>
      </w:r>
      <w:r w:rsidR="008845A2">
        <w:t xml:space="preserve"> provision of AT products to CHSP consumers</w:t>
      </w:r>
      <w:r w:rsidR="00D07A21">
        <w:t>.</w:t>
      </w:r>
    </w:p>
    <w:p w14:paraId="7ADDC819" w14:textId="582A30F7" w:rsidR="008845A2" w:rsidRDefault="008845A2" w:rsidP="008845A2">
      <w:pPr>
        <w:pStyle w:val="Paragraph"/>
      </w:pPr>
      <w:r>
        <w:t xml:space="preserve">An AT </w:t>
      </w:r>
      <w:r w:rsidR="00D07A21">
        <w:t xml:space="preserve">investment </w:t>
      </w:r>
      <w:r>
        <w:t>fund is also proposed to support the development</w:t>
      </w:r>
      <w:r w:rsidR="00AE583F">
        <w:t>, promotion</w:t>
      </w:r>
      <w:r>
        <w:t xml:space="preserve"> and implementation of</w:t>
      </w:r>
      <w:r w:rsidRPr="00AE5598">
        <w:t xml:space="preserve"> new consumer pathways</w:t>
      </w:r>
      <w:r>
        <w:t xml:space="preserve"> and </w:t>
      </w:r>
      <w:r w:rsidR="00AE583F">
        <w:t xml:space="preserve">to </w:t>
      </w:r>
      <w:r>
        <w:t>evaluate their effectiveness.</w:t>
      </w:r>
    </w:p>
    <w:p w14:paraId="4D98008F" w14:textId="1DB4D46C" w:rsidR="00186D90" w:rsidRDefault="00B303C0" w:rsidP="008845A2">
      <w:pPr>
        <w:pStyle w:val="Paragraph"/>
      </w:pPr>
      <w:r>
        <w:rPr>
          <w:rStyle w:val="Italic"/>
          <w:i w:val="0"/>
          <w:iCs/>
        </w:rPr>
        <w:fldChar w:fldCharType="begin"/>
      </w:r>
      <w:r>
        <w:rPr>
          <w:lang w:val="en-AU"/>
        </w:rPr>
        <w:instrText xml:space="preserve"> REF _Ref59196570 \h </w:instrText>
      </w:r>
      <w:r>
        <w:rPr>
          <w:rStyle w:val="Italic"/>
          <w:i w:val="0"/>
          <w:iCs/>
        </w:rPr>
      </w:r>
      <w:r>
        <w:rPr>
          <w:rStyle w:val="Italic"/>
          <w:i w:val="0"/>
          <w:iCs/>
        </w:rPr>
        <w:fldChar w:fldCharType="separate"/>
      </w:r>
      <w:r w:rsidR="00CC3F04">
        <w:t>Figure </w:t>
      </w:r>
      <w:r w:rsidR="00CC3F04">
        <w:rPr>
          <w:noProof/>
        </w:rPr>
        <w:t>1</w:t>
      </w:r>
      <w:r w:rsidR="00CC3F04">
        <w:noBreakHyphen/>
      </w:r>
      <w:r w:rsidR="00CC3F04">
        <w:rPr>
          <w:noProof/>
        </w:rPr>
        <w:t>1</w:t>
      </w:r>
      <w:r>
        <w:rPr>
          <w:rStyle w:val="Italic"/>
          <w:i w:val="0"/>
          <w:iCs/>
        </w:rPr>
        <w:fldChar w:fldCharType="end"/>
      </w:r>
      <w:r>
        <w:rPr>
          <w:rStyle w:val="Italic"/>
          <w:i w:val="0"/>
          <w:iCs/>
        </w:rPr>
        <w:t xml:space="preserve"> </w:t>
      </w:r>
      <w:r>
        <w:rPr>
          <w:lang w:val="en-AU"/>
        </w:rPr>
        <w:t xml:space="preserve">illustrates the new national framework, including </w:t>
      </w:r>
      <w:r w:rsidRPr="00C840BA">
        <w:t xml:space="preserve">new and existing </w:t>
      </w:r>
      <w:r>
        <w:t>consumer</w:t>
      </w:r>
      <w:r w:rsidRPr="00C840BA">
        <w:t xml:space="preserve"> pathways</w:t>
      </w:r>
      <w:r>
        <w:t xml:space="preserve">. </w:t>
      </w:r>
    </w:p>
    <w:p w14:paraId="0D14FE50" w14:textId="1CF712C6" w:rsidR="0021642C" w:rsidRDefault="0021642C" w:rsidP="008845A2">
      <w:pPr>
        <w:pStyle w:val="Paragraph"/>
        <w:sectPr w:rsidR="0021642C" w:rsidSect="00A127F8">
          <w:headerReference w:type="default" r:id="rId19"/>
          <w:pgSz w:w="11907" w:h="16840" w:code="9"/>
          <w:pgMar w:top="851" w:right="1134" w:bottom="851" w:left="1134" w:header="510" w:footer="567" w:gutter="0"/>
          <w:pgNumType w:start="1"/>
          <w:cols w:space="720"/>
          <w:docGrid w:linePitch="272"/>
        </w:sectPr>
      </w:pPr>
    </w:p>
    <w:p w14:paraId="5E662299" w14:textId="7DCC5DAC" w:rsidR="00B303C0" w:rsidRDefault="00B303C0" w:rsidP="00017633">
      <w:bookmarkStart w:id="12" w:name="_Ref59196570"/>
      <w:bookmarkStart w:id="13" w:name="_Ref59381751"/>
      <w:bookmarkStart w:id="14" w:name="_Ref59381842"/>
      <w:bookmarkStart w:id="15" w:name="_Toc59402406"/>
      <w:bookmarkStart w:id="16" w:name="_Ref42273760"/>
      <w:bookmarkStart w:id="17" w:name="_Hlk42274710"/>
      <w:r>
        <w:lastRenderedPageBreak/>
        <w:t>Figure </w:t>
      </w:r>
      <w:r w:rsidR="00825289">
        <w:t>1-1</w:t>
      </w:r>
      <w:r w:rsidR="009F14D1">
        <w:t>1</w:t>
      </w:r>
      <w:bookmarkEnd w:id="12"/>
      <w:r>
        <w:t>:</w:t>
      </w:r>
      <w:r>
        <w:tab/>
      </w:r>
      <w:r w:rsidRPr="00736110">
        <w:t xml:space="preserve">Proposed </w:t>
      </w:r>
      <w:r>
        <w:t>n</w:t>
      </w:r>
      <w:r w:rsidRPr="00736110">
        <w:t xml:space="preserve">ational </w:t>
      </w:r>
      <w:r>
        <w:t>f</w:t>
      </w:r>
      <w:r w:rsidRPr="00736110">
        <w:t>ramework AT support</w:t>
      </w:r>
      <w:r w:rsidR="009F14D1">
        <w:t xml:space="preserve"> - </w:t>
      </w:r>
      <w:r w:rsidRPr="00736110">
        <w:t>consumer pathways</w:t>
      </w:r>
      <w:bookmarkEnd w:id="13"/>
      <w:bookmarkEnd w:id="14"/>
      <w:bookmarkEnd w:id="15"/>
    </w:p>
    <w:p w14:paraId="34D29592" w14:textId="3497BAE5" w:rsidR="00EA3403" w:rsidRPr="00EA3403" w:rsidRDefault="00EA3403" w:rsidP="00EA3403">
      <w:r w:rsidRPr="00EA3403">
        <w:rPr>
          <w:noProof/>
          <w:lang w:val="en-AU" w:eastAsia="en-AU"/>
        </w:rPr>
        <w:drawing>
          <wp:inline distT="0" distB="0" distL="0" distR="0" wp14:anchorId="451F8BF4" wp14:editId="13A169AE">
            <wp:extent cx="8366528" cy="5868000"/>
            <wp:effectExtent l="0" t="0" r="0" b="0"/>
            <wp:docPr id="908" name="Picture 908" descr="Flow chart depicting new and existing pathways for consumers. See Appendix A for long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Picture 908" descr="Flow chart depicting new and existing pathways for consumers. See Appendix A for long descrip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66528" cy="5868000"/>
                    </a:xfrm>
                    <a:prstGeom prst="rect">
                      <a:avLst/>
                    </a:prstGeom>
                    <a:noFill/>
                  </pic:spPr>
                </pic:pic>
              </a:graphicData>
            </a:graphic>
          </wp:inline>
        </w:drawing>
      </w:r>
    </w:p>
    <w:p w14:paraId="4636430A" w14:textId="4C4EE053" w:rsidR="00CC012F" w:rsidRDefault="00A127F8" w:rsidP="00186D90">
      <w:pPr>
        <w:pStyle w:val="Note"/>
      </w:pPr>
      <w:r>
        <w:t xml:space="preserve">Note: This figure also appears </w:t>
      </w:r>
      <w:r w:rsidR="00186D90">
        <w:t xml:space="preserve">as </w:t>
      </w:r>
      <w:r w:rsidR="00186D90">
        <w:fldChar w:fldCharType="begin"/>
      </w:r>
      <w:r w:rsidR="00186D90">
        <w:instrText xml:space="preserve"> REF _Ref59381794 \h </w:instrText>
      </w:r>
      <w:r w:rsidR="00186D90">
        <w:fldChar w:fldCharType="separate"/>
      </w:r>
      <w:r w:rsidR="00CC3F04" w:rsidRPr="00736110">
        <w:t>Figure </w:t>
      </w:r>
      <w:r w:rsidR="00CC3F04">
        <w:rPr>
          <w:noProof/>
        </w:rPr>
        <w:t>4</w:t>
      </w:r>
      <w:r w:rsidR="00CC3F04">
        <w:noBreakHyphen/>
      </w:r>
      <w:r w:rsidR="00CC3F04">
        <w:rPr>
          <w:noProof/>
        </w:rPr>
        <w:t>1</w:t>
      </w:r>
      <w:r w:rsidR="00CC3F04" w:rsidRPr="00736110">
        <w:t>:</w:t>
      </w:r>
      <w:r w:rsidR="00CC3F04">
        <w:tab/>
      </w:r>
      <w:r w:rsidR="00CC3F04" w:rsidRPr="00736110">
        <w:t>Outline of the AT</w:t>
      </w:r>
      <w:r w:rsidR="00CC3F04">
        <w:t> </w:t>
      </w:r>
      <w:r w:rsidR="00CC3F04" w:rsidRPr="00736110">
        <w:t>Framework</w:t>
      </w:r>
      <w:r w:rsidR="00186D90">
        <w:fldChar w:fldCharType="end"/>
      </w:r>
      <w:r>
        <w:t>.</w:t>
      </w:r>
    </w:p>
    <w:p w14:paraId="4528C221" w14:textId="77777777" w:rsidR="00186D90" w:rsidRDefault="00186D90">
      <w:pPr>
        <w:sectPr w:rsidR="00186D90" w:rsidSect="00EA3403">
          <w:pgSz w:w="16840" w:h="11907" w:orient="landscape" w:code="9"/>
          <w:pgMar w:top="851" w:right="1134" w:bottom="851" w:left="1134" w:header="510" w:footer="567" w:gutter="0"/>
          <w:cols w:space="720"/>
          <w:docGrid w:linePitch="299"/>
        </w:sectPr>
      </w:pPr>
    </w:p>
    <w:bookmarkEnd w:id="16"/>
    <w:p w14:paraId="4428EFD7" w14:textId="146BE5AD" w:rsidR="00CC012F" w:rsidRDefault="006870B9" w:rsidP="00CC012F">
      <w:r>
        <w:rPr>
          <w:rStyle w:val="Italic"/>
          <w:i w:val="0"/>
          <w:iCs/>
        </w:rPr>
        <w:lastRenderedPageBreak/>
        <w:fldChar w:fldCharType="begin"/>
      </w:r>
      <w:r>
        <w:rPr>
          <w:rStyle w:val="Italic"/>
          <w:i w:val="0"/>
          <w:iCs/>
        </w:rPr>
        <w:instrText xml:space="preserve"> REF _Ref59294299 \h </w:instrText>
      </w:r>
      <w:r>
        <w:rPr>
          <w:rStyle w:val="Italic"/>
          <w:i w:val="0"/>
          <w:iCs/>
        </w:rPr>
      </w:r>
      <w:r>
        <w:rPr>
          <w:rStyle w:val="Italic"/>
          <w:i w:val="0"/>
          <w:iCs/>
        </w:rPr>
        <w:fldChar w:fldCharType="separate"/>
      </w:r>
      <w:r w:rsidR="00CC3F04">
        <w:t>Table </w:t>
      </w:r>
      <w:r w:rsidR="00CC3F04">
        <w:rPr>
          <w:noProof/>
        </w:rPr>
        <w:t>1</w:t>
      </w:r>
      <w:r w:rsidR="00CC3F04">
        <w:noBreakHyphen/>
      </w:r>
      <w:r w:rsidR="00CC3F04">
        <w:rPr>
          <w:noProof/>
        </w:rPr>
        <w:t>1</w:t>
      </w:r>
      <w:r>
        <w:rPr>
          <w:rStyle w:val="Italic"/>
          <w:i w:val="0"/>
          <w:iCs/>
        </w:rPr>
        <w:fldChar w:fldCharType="end"/>
      </w:r>
      <w:r>
        <w:rPr>
          <w:rStyle w:val="Italic"/>
          <w:i w:val="0"/>
          <w:iCs/>
        </w:rPr>
        <w:t xml:space="preserve"> </w:t>
      </w:r>
      <w:r w:rsidRPr="00D82705">
        <w:t>details</w:t>
      </w:r>
      <w:r>
        <w:t xml:space="preserve"> the costs and return on investment for the nine AT options.</w:t>
      </w:r>
    </w:p>
    <w:p w14:paraId="4C31E5FA" w14:textId="56AD922C" w:rsidR="006870B9" w:rsidRDefault="006870B9" w:rsidP="00017633">
      <w:bookmarkStart w:id="18" w:name="_Ref59294299"/>
      <w:bookmarkStart w:id="19" w:name="_Toc59402387"/>
      <w:r>
        <w:t>Table </w:t>
      </w:r>
      <w:r w:rsidR="009F14D1">
        <w:t>1-1</w:t>
      </w:r>
      <w:bookmarkEnd w:id="18"/>
      <w:r>
        <w:t>:</w:t>
      </w:r>
      <w:r>
        <w:tab/>
      </w:r>
      <w:r w:rsidRPr="00736110">
        <w:t xml:space="preserve">AT </w:t>
      </w:r>
      <w:r>
        <w:t>program options, cohort costs</w:t>
      </w:r>
      <w:r w:rsidRPr="00736110">
        <w:t xml:space="preserve"> and return on investment</w:t>
      </w:r>
      <w:bookmarkEnd w:id="19"/>
    </w:p>
    <w:tbl>
      <w:tblPr>
        <w:tblStyle w:val="AHALight"/>
        <w:tblW w:w="5000" w:type="pct"/>
        <w:tblLook w:val="06A0" w:firstRow="1" w:lastRow="0" w:firstColumn="1" w:lastColumn="0" w:noHBand="1" w:noVBand="1"/>
        <w:tblDescription w:val="Summary of AT program options, cohort costs and return on investment."/>
      </w:tblPr>
      <w:tblGrid>
        <w:gridCol w:w="1276"/>
        <w:gridCol w:w="3827"/>
        <w:gridCol w:w="993"/>
        <w:gridCol w:w="1559"/>
        <w:gridCol w:w="1984"/>
      </w:tblGrid>
      <w:tr w:rsidR="00C673A6" w14:paraId="1417A87E" w14:textId="77777777" w:rsidTr="009E52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Mar>
              <w:left w:w="57" w:type="dxa"/>
              <w:right w:w="57" w:type="dxa"/>
            </w:tcMar>
          </w:tcPr>
          <w:p w14:paraId="0CD52E15" w14:textId="77777777" w:rsidR="00C673A6" w:rsidRDefault="00C673A6" w:rsidP="00C673A6">
            <w:pPr>
              <w:pStyle w:val="TableHeading1"/>
            </w:pPr>
            <w:r>
              <w:t>Type</w:t>
            </w:r>
          </w:p>
        </w:tc>
        <w:tc>
          <w:tcPr>
            <w:tcW w:w="3827" w:type="dxa"/>
            <w:tcMar>
              <w:left w:w="57" w:type="dxa"/>
              <w:right w:w="57" w:type="dxa"/>
            </w:tcMar>
          </w:tcPr>
          <w:p w14:paraId="6955A4FB" w14:textId="77777777" w:rsidR="00C673A6" w:rsidRDefault="00C673A6" w:rsidP="00C673A6">
            <w:pPr>
              <w:pStyle w:val="TableHeading1"/>
              <w:cnfStyle w:val="100000000000" w:firstRow="1" w:lastRow="0" w:firstColumn="0" w:lastColumn="0" w:oddVBand="0" w:evenVBand="0" w:oddHBand="0" w:evenHBand="0" w:firstRowFirstColumn="0" w:firstRowLastColumn="0" w:lastRowFirstColumn="0" w:lastRowLastColumn="0"/>
            </w:pPr>
            <w:r>
              <w:t>Program options</w:t>
            </w:r>
          </w:p>
        </w:tc>
        <w:tc>
          <w:tcPr>
            <w:tcW w:w="993" w:type="dxa"/>
            <w:tcMar>
              <w:left w:w="57" w:type="dxa"/>
              <w:right w:w="57" w:type="dxa"/>
            </w:tcMar>
          </w:tcPr>
          <w:p w14:paraId="15A72AB8" w14:textId="77777777" w:rsidR="00C673A6" w:rsidRDefault="00C673A6" w:rsidP="00401F7D">
            <w:pPr>
              <w:pStyle w:val="TableHeading1"/>
              <w:jc w:val="center"/>
              <w:cnfStyle w:val="100000000000" w:firstRow="1" w:lastRow="0" w:firstColumn="0" w:lastColumn="0" w:oddVBand="0" w:evenVBand="0" w:oddHBand="0" w:evenHBand="0" w:firstRowFirstColumn="0" w:firstRowLastColumn="0" w:lastRowFirstColumn="0" w:lastRowLastColumn="0"/>
            </w:pPr>
            <w:r>
              <w:t>Cohort</w:t>
            </w:r>
          </w:p>
        </w:tc>
        <w:tc>
          <w:tcPr>
            <w:tcW w:w="1559" w:type="dxa"/>
            <w:tcMar>
              <w:left w:w="57" w:type="dxa"/>
              <w:right w:w="57" w:type="dxa"/>
            </w:tcMar>
          </w:tcPr>
          <w:p w14:paraId="491EA025" w14:textId="77777777" w:rsidR="00C673A6" w:rsidRDefault="00C673A6" w:rsidP="00401F7D">
            <w:pPr>
              <w:pStyle w:val="TableHeading1"/>
              <w:jc w:val="center"/>
              <w:cnfStyle w:val="100000000000" w:firstRow="1" w:lastRow="0" w:firstColumn="0" w:lastColumn="0" w:oddVBand="0" w:evenVBand="0" w:oddHBand="0" w:evenHBand="0" w:firstRowFirstColumn="0" w:firstRowLastColumn="0" w:lastRowFirstColumn="0" w:lastRowLastColumn="0"/>
            </w:pPr>
            <w:r>
              <w:t>Cost per year</w:t>
            </w:r>
            <w:r>
              <w:br/>
              <w:t>($ millions)</w:t>
            </w:r>
          </w:p>
        </w:tc>
        <w:tc>
          <w:tcPr>
            <w:tcW w:w="1984" w:type="dxa"/>
            <w:tcMar>
              <w:left w:w="57" w:type="dxa"/>
              <w:right w:w="57" w:type="dxa"/>
            </w:tcMar>
          </w:tcPr>
          <w:p w14:paraId="36F29A56" w14:textId="77777777" w:rsidR="00C673A6" w:rsidRDefault="00C673A6" w:rsidP="00401F7D">
            <w:pPr>
              <w:pStyle w:val="TableHeading1"/>
              <w:jc w:val="center"/>
              <w:cnfStyle w:val="100000000000" w:firstRow="1" w:lastRow="0" w:firstColumn="0" w:lastColumn="0" w:oddVBand="0" w:evenVBand="0" w:oddHBand="0" w:evenHBand="0" w:firstRowFirstColumn="0" w:firstRowLastColumn="0" w:lastRowFirstColumn="0" w:lastRowLastColumn="0"/>
            </w:pPr>
            <w:r>
              <w:t>ROI</w:t>
            </w:r>
            <w:r>
              <w:br/>
              <w:t>(for every $1 spent)</w:t>
            </w:r>
          </w:p>
        </w:tc>
      </w:tr>
      <w:tr w:rsidR="00401F7D" w14:paraId="432B23B4" w14:textId="77777777" w:rsidTr="009E5295">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79C1" w:themeColor="text2"/>
              <w:bottom w:val="single" w:sz="4" w:space="0" w:color="F2F2F2" w:themeColor="background1" w:themeShade="F2"/>
            </w:tcBorders>
            <w:shd w:val="clear" w:color="auto" w:fill="F2F2F2" w:themeFill="background1" w:themeFillShade="F2"/>
            <w:tcMar>
              <w:left w:w="57" w:type="dxa"/>
              <w:right w:w="57" w:type="dxa"/>
            </w:tcMar>
          </w:tcPr>
          <w:p w14:paraId="6AA795AE" w14:textId="77777777" w:rsidR="00401F7D" w:rsidRDefault="00401F7D" w:rsidP="00401F7D">
            <w:pPr>
              <w:pStyle w:val="TableText"/>
            </w:pPr>
            <w:r>
              <w:t>ADL kits</w:t>
            </w:r>
          </w:p>
        </w:tc>
        <w:tc>
          <w:tcPr>
            <w:tcW w:w="3827" w:type="dxa"/>
            <w:tcBorders>
              <w:top w:val="single" w:sz="4" w:space="0" w:color="0079C1" w:themeColor="text2"/>
              <w:bottom w:val="single" w:sz="4" w:space="0" w:color="FFFFFF" w:themeColor="background1"/>
            </w:tcBorders>
            <w:shd w:val="clear" w:color="auto" w:fill="E2F4FF" w:themeFill="accent1" w:themeFillTint="33"/>
            <w:tcMar>
              <w:left w:w="57" w:type="dxa"/>
              <w:right w:w="57" w:type="dxa"/>
            </w:tcMar>
          </w:tcPr>
          <w:p w14:paraId="3A261EFC" w14:textId="77777777" w:rsidR="00401F7D" w:rsidRDefault="00401F7D" w:rsidP="00401F7D">
            <w:pPr>
              <w:pStyle w:val="TableList1"/>
              <w:cnfStyle w:val="000000000000" w:firstRow="0" w:lastRow="0" w:firstColumn="0" w:lastColumn="0" w:oddVBand="0" w:evenVBand="0" w:oddHBand="0" w:evenHBand="0" w:firstRowFirstColumn="0" w:firstRowLastColumn="0" w:lastRowFirstColumn="0" w:lastRowLastColumn="0"/>
            </w:pPr>
            <w:r>
              <w:t>Consumers outside aged care system</w:t>
            </w:r>
          </w:p>
        </w:tc>
        <w:tc>
          <w:tcPr>
            <w:tcW w:w="993" w:type="dxa"/>
            <w:tcBorders>
              <w:top w:val="single" w:sz="4" w:space="0" w:color="0079C1" w:themeColor="text2"/>
              <w:bottom w:val="single" w:sz="4" w:space="0" w:color="FFFFFF" w:themeColor="background1"/>
            </w:tcBorders>
            <w:shd w:val="clear" w:color="auto" w:fill="E2F4FF" w:themeFill="accent1" w:themeFillTint="33"/>
            <w:tcMar>
              <w:left w:w="57" w:type="dxa"/>
              <w:right w:w="57" w:type="dxa"/>
            </w:tcMar>
          </w:tcPr>
          <w:p w14:paraId="637F7D2A" w14:textId="77777777" w:rsidR="00401F7D" w:rsidRPr="00401F7D"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16,521</w:t>
            </w:r>
          </w:p>
        </w:tc>
        <w:tc>
          <w:tcPr>
            <w:tcW w:w="1559" w:type="dxa"/>
            <w:tcBorders>
              <w:top w:val="single" w:sz="4" w:space="0" w:color="0079C1" w:themeColor="text2"/>
              <w:bottom w:val="single" w:sz="4" w:space="0" w:color="BFE7FF" w:themeColor="text2" w:themeTint="33"/>
            </w:tcBorders>
            <w:shd w:val="clear" w:color="auto" w:fill="0079C1" w:themeFill="text2"/>
            <w:tcMar>
              <w:left w:w="57" w:type="dxa"/>
              <w:right w:w="57" w:type="dxa"/>
            </w:tcMar>
          </w:tcPr>
          <w:p w14:paraId="2CF1A95F" w14:textId="32109D59"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$2.0 m</w:t>
            </w:r>
          </w:p>
        </w:tc>
        <w:tc>
          <w:tcPr>
            <w:tcW w:w="1984" w:type="dxa"/>
            <w:tcBorders>
              <w:top w:val="single" w:sz="4" w:space="0" w:color="0079C1" w:themeColor="text2"/>
              <w:bottom w:val="single" w:sz="4" w:space="0" w:color="BFE7FF" w:themeColor="text2" w:themeTint="33"/>
            </w:tcBorders>
            <w:shd w:val="clear" w:color="auto" w:fill="005990" w:themeFill="text2" w:themeFillShade="BF"/>
            <w:tcMar>
              <w:left w:w="57" w:type="dxa"/>
              <w:right w:w="57" w:type="dxa"/>
            </w:tcMar>
          </w:tcPr>
          <w:p w14:paraId="4DFB77AE" w14:textId="0A4C99F3"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$6.95</w:t>
            </w:r>
          </w:p>
        </w:tc>
      </w:tr>
      <w:tr w:rsidR="00401F7D" w14:paraId="13A1F88F" w14:textId="77777777" w:rsidTr="009E5295">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4" w:space="0" w:color="F2F2F2" w:themeColor="background1" w:themeShade="F2"/>
            </w:tcBorders>
            <w:shd w:val="clear" w:color="auto" w:fill="F2F2F2" w:themeFill="background1" w:themeFillShade="F2"/>
            <w:tcMar>
              <w:left w:w="57" w:type="dxa"/>
              <w:right w:w="57" w:type="dxa"/>
            </w:tcMar>
          </w:tcPr>
          <w:p w14:paraId="690593E5" w14:textId="77777777" w:rsidR="00401F7D" w:rsidRPr="00CC012F" w:rsidRDefault="00401F7D" w:rsidP="00401F7D">
            <w:pPr>
              <w:pStyle w:val="Invisible"/>
            </w:pPr>
            <w:r w:rsidRPr="00CC012F">
              <w:t>ADL kits</w:t>
            </w:r>
          </w:p>
        </w:tc>
        <w:tc>
          <w:tcPr>
            <w:tcW w:w="3827"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16079A6D" w14:textId="77777777" w:rsidR="00401F7D" w:rsidRDefault="00401F7D" w:rsidP="00401F7D">
            <w:pPr>
              <w:pStyle w:val="TableList1"/>
              <w:cnfStyle w:val="000000000000" w:firstRow="0" w:lastRow="0" w:firstColumn="0" w:lastColumn="0" w:oddVBand="0" w:evenVBand="0" w:oddHBand="0" w:evenHBand="0" w:firstRowFirstColumn="0" w:firstRowLastColumn="0" w:lastRowFirstColumn="0" w:lastRowLastColumn="0"/>
            </w:pPr>
            <w:r>
              <w:t>CHSP reablement consumers</w:t>
            </w:r>
          </w:p>
        </w:tc>
        <w:tc>
          <w:tcPr>
            <w:tcW w:w="993"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3CBC0018" w14:textId="77777777" w:rsidR="00401F7D" w:rsidRPr="00401F7D"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32,457</w:t>
            </w:r>
          </w:p>
        </w:tc>
        <w:tc>
          <w:tcPr>
            <w:tcW w:w="1559" w:type="dxa"/>
            <w:tcBorders>
              <w:top w:val="single" w:sz="4" w:space="0" w:color="BFE7FF" w:themeColor="text2" w:themeTint="33"/>
              <w:bottom w:val="single" w:sz="4" w:space="0" w:color="BFE7FF" w:themeColor="text2" w:themeTint="33"/>
            </w:tcBorders>
            <w:shd w:val="clear" w:color="auto" w:fill="0079C1" w:themeFill="text2"/>
            <w:tcMar>
              <w:left w:w="57" w:type="dxa"/>
              <w:right w:w="57" w:type="dxa"/>
            </w:tcMar>
          </w:tcPr>
          <w:p w14:paraId="135C70EA" w14:textId="0E6B9EAE"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$3.9 m</w:t>
            </w:r>
          </w:p>
        </w:tc>
        <w:tc>
          <w:tcPr>
            <w:tcW w:w="1984" w:type="dxa"/>
            <w:tcBorders>
              <w:top w:val="single" w:sz="4" w:space="0" w:color="BFE7FF" w:themeColor="text2" w:themeTint="33"/>
              <w:bottom w:val="single" w:sz="4" w:space="0" w:color="BFE7FF" w:themeColor="text2" w:themeTint="33"/>
            </w:tcBorders>
            <w:shd w:val="clear" w:color="auto" w:fill="005990" w:themeFill="text2" w:themeFillShade="BF"/>
            <w:tcMar>
              <w:left w:w="57" w:type="dxa"/>
              <w:right w:w="57" w:type="dxa"/>
            </w:tcMar>
          </w:tcPr>
          <w:p w14:paraId="5C646C77" w14:textId="61C90D7A"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$18.13</w:t>
            </w:r>
          </w:p>
        </w:tc>
      </w:tr>
      <w:tr w:rsidR="00401F7D" w14:paraId="2892B8CF" w14:textId="77777777" w:rsidTr="009E5295">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4" w:space="0" w:color="F2F2F2" w:themeColor="background1" w:themeShade="F2"/>
            </w:tcBorders>
            <w:shd w:val="clear" w:color="auto" w:fill="F2F2F2" w:themeFill="background1" w:themeFillShade="F2"/>
            <w:tcMar>
              <w:left w:w="57" w:type="dxa"/>
              <w:right w:w="57" w:type="dxa"/>
            </w:tcMar>
          </w:tcPr>
          <w:p w14:paraId="47C94BEF" w14:textId="77777777" w:rsidR="00401F7D" w:rsidRPr="00CC012F" w:rsidRDefault="00401F7D" w:rsidP="00401F7D">
            <w:pPr>
              <w:pStyle w:val="Invisible"/>
            </w:pPr>
            <w:r w:rsidRPr="00CC012F">
              <w:t>ADL kits</w:t>
            </w:r>
          </w:p>
        </w:tc>
        <w:tc>
          <w:tcPr>
            <w:tcW w:w="3827"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1072DC54" w14:textId="77777777" w:rsidR="00401F7D" w:rsidRDefault="00401F7D" w:rsidP="00401F7D">
            <w:pPr>
              <w:pStyle w:val="TableList1"/>
              <w:cnfStyle w:val="000000000000" w:firstRow="0" w:lastRow="0" w:firstColumn="0" w:lastColumn="0" w:oddVBand="0" w:evenVBand="0" w:oddHBand="0" w:evenHBand="0" w:firstRowFirstColumn="0" w:firstRowLastColumn="0" w:lastRowFirstColumn="0" w:lastRowLastColumn="0"/>
            </w:pPr>
            <w:r>
              <w:t>CHSP reablement and reassessed consumers</w:t>
            </w:r>
          </w:p>
        </w:tc>
        <w:tc>
          <w:tcPr>
            <w:tcW w:w="993"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217B4774" w14:textId="77777777" w:rsidR="00401F7D" w:rsidRPr="00401F7D"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64,914</w:t>
            </w:r>
          </w:p>
        </w:tc>
        <w:tc>
          <w:tcPr>
            <w:tcW w:w="1559" w:type="dxa"/>
            <w:tcBorders>
              <w:top w:val="single" w:sz="4" w:space="0" w:color="BFE7FF" w:themeColor="text2" w:themeTint="33"/>
              <w:bottom w:val="single" w:sz="4" w:space="0" w:color="BFE7FF" w:themeColor="text2" w:themeTint="33"/>
            </w:tcBorders>
            <w:shd w:val="clear" w:color="auto" w:fill="0079C1" w:themeFill="text2"/>
            <w:tcMar>
              <w:left w:w="57" w:type="dxa"/>
              <w:right w:w="57" w:type="dxa"/>
            </w:tcMar>
          </w:tcPr>
          <w:p w14:paraId="1170E4D1" w14:textId="1BA797F2"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$7.9</w:t>
            </w:r>
            <w:r w:rsidR="00DC1A7E">
              <w:rPr>
                <w:b/>
                <w:bCs/>
                <w:color w:val="FFFFFF" w:themeColor="background1"/>
              </w:rPr>
              <w:t xml:space="preserve"> m</w:t>
            </w:r>
          </w:p>
        </w:tc>
        <w:tc>
          <w:tcPr>
            <w:tcW w:w="1984" w:type="dxa"/>
            <w:tcBorders>
              <w:top w:val="single" w:sz="4" w:space="0" w:color="BFE7FF" w:themeColor="text2" w:themeTint="33"/>
              <w:bottom w:val="single" w:sz="4" w:space="0" w:color="BFE7FF" w:themeColor="text2" w:themeTint="33"/>
            </w:tcBorders>
            <w:shd w:val="clear" w:color="auto" w:fill="005990" w:themeFill="text2" w:themeFillShade="BF"/>
            <w:tcMar>
              <w:left w:w="57" w:type="dxa"/>
              <w:right w:w="57" w:type="dxa"/>
            </w:tcMar>
          </w:tcPr>
          <w:p w14:paraId="3306D7D4" w14:textId="6D16B6B8"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$33.83</w:t>
            </w:r>
          </w:p>
        </w:tc>
      </w:tr>
      <w:tr w:rsidR="00401F7D" w14:paraId="0D5A7041" w14:textId="77777777" w:rsidTr="009E5295">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4" w:space="0" w:color="F2F2F2" w:themeColor="background1" w:themeShade="F2"/>
            </w:tcBorders>
            <w:shd w:val="clear" w:color="auto" w:fill="F2F2F2" w:themeFill="background1" w:themeFillShade="F2"/>
            <w:tcMar>
              <w:left w:w="57" w:type="dxa"/>
              <w:right w:w="57" w:type="dxa"/>
            </w:tcMar>
          </w:tcPr>
          <w:p w14:paraId="1FC89A0B" w14:textId="77777777" w:rsidR="00401F7D" w:rsidRPr="00CC012F" w:rsidRDefault="00401F7D" w:rsidP="00401F7D">
            <w:pPr>
              <w:pStyle w:val="Invisible"/>
            </w:pPr>
            <w:r w:rsidRPr="00CC012F">
              <w:t>ADL kits</w:t>
            </w:r>
          </w:p>
        </w:tc>
        <w:tc>
          <w:tcPr>
            <w:tcW w:w="3827"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6DCA5E5A" w14:textId="77777777" w:rsidR="00401F7D" w:rsidRDefault="00401F7D" w:rsidP="00401F7D">
            <w:pPr>
              <w:pStyle w:val="TableList1"/>
              <w:cnfStyle w:val="000000000000" w:firstRow="0" w:lastRow="0" w:firstColumn="0" w:lastColumn="0" w:oddVBand="0" w:evenVBand="0" w:oddHBand="0" w:evenHBand="0" w:firstRowFirstColumn="0" w:firstRowLastColumn="0" w:lastRowFirstColumn="0" w:lastRowLastColumn="0"/>
            </w:pPr>
            <w:r>
              <w:t>New CHSP and reassessed consumers</w:t>
            </w:r>
          </w:p>
        </w:tc>
        <w:tc>
          <w:tcPr>
            <w:tcW w:w="993"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0792920B" w14:textId="77777777" w:rsidR="00401F7D" w:rsidRPr="00401F7D"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194,780</w:t>
            </w:r>
          </w:p>
        </w:tc>
        <w:tc>
          <w:tcPr>
            <w:tcW w:w="1559" w:type="dxa"/>
            <w:tcBorders>
              <w:top w:val="single" w:sz="4" w:space="0" w:color="BFE7FF" w:themeColor="text2" w:themeTint="33"/>
              <w:bottom w:val="single" w:sz="4" w:space="0" w:color="BFE7FF" w:themeColor="text2" w:themeTint="33"/>
            </w:tcBorders>
            <w:shd w:val="clear" w:color="auto" w:fill="0079C1" w:themeFill="text2"/>
            <w:tcMar>
              <w:left w:w="57" w:type="dxa"/>
              <w:right w:w="57" w:type="dxa"/>
            </w:tcMar>
          </w:tcPr>
          <w:p w14:paraId="1CF9607A" w14:textId="323B9D6B"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$23.6 m</w:t>
            </w:r>
          </w:p>
        </w:tc>
        <w:tc>
          <w:tcPr>
            <w:tcW w:w="1984" w:type="dxa"/>
            <w:tcBorders>
              <w:top w:val="single" w:sz="4" w:space="0" w:color="BFE7FF" w:themeColor="text2" w:themeTint="33"/>
              <w:bottom w:val="single" w:sz="4" w:space="0" w:color="BFE7FF" w:themeColor="text2" w:themeTint="33"/>
            </w:tcBorders>
            <w:shd w:val="clear" w:color="auto" w:fill="005990" w:themeFill="text2" w:themeFillShade="BF"/>
            <w:tcMar>
              <w:left w:w="57" w:type="dxa"/>
              <w:right w:w="57" w:type="dxa"/>
            </w:tcMar>
          </w:tcPr>
          <w:p w14:paraId="25F6EFCE" w14:textId="5206B806"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$23.71</w:t>
            </w:r>
          </w:p>
        </w:tc>
      </w:tr>
      <w:tr w:rsidR="00401F7D" w14:paraId="005D839D" w14:textId="77777777" w:rsidTr="009E5295">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36" w:space="0" w:color="FFFFFF" w:themeColor="background1"/>
            </w:tcBorders>
            <w:shd w:val="clear" w:color="auto" w:fill="F2F2F2" w:themeFill="background1" w:themeFillShade="F2"/>
            <w:tcMar>
              <w:left w:w="57" w:type="dxa"/>
              <w:right w:w="57" w:type="dxa"/>
            </w:tcMar>
          </w:tcPr>
          <w:p w14:paraId="61912CDA" w14:textId="77777777" w:rsidR="00401F7D" w:rsidRPr="00CC012F" w:rsidRDefault="00401F7D" w:rsidP="00401F7D">
            <w:pPr>
              <w:pStyle w:val="Invisible"/>
            </w:pPr>
            <w:r w:rsidRPr="00CC012F">
              <w:t>ADL kits</w:t>
            </w:r>
          </w:p>
        </w:tc>
        <w:tc>
          <w:tcPr>
            <w:tcW w:w="3827" w:type="dxa"/>
            <w:tcBorders>
              <w:top w:val="single" w:sz="4" w:space="0" w:color="FFFFFF" w:themeColor="background1"/>
              <w:bottom w:val="single" w:sz="36" w:space="0" w:color="FFFFFF" w:themeColor="background1"/>
            </w:tcBorders>
            <w:shd w:val="clear" w:color="auto" w:fill="E2F4FF" w:themeFill="accent1" w:themeFillTint="33"/>
            <w:tcMar>
              <w:left w:w="57" w:type="dxa"/>
              <w:right w:w="57" w:type="dxa"/>
            </w:tcMar>
          </w:tcPr>
          <w:p w14:paraId="19728CBA" w14:textId="77777777" w:rsidR="00401F7D" w:rsidRDefault="00401F7D" w:rsidP="00401F7D">
            <w:pPr>
              <w:pStyle w:val="TableList1"/>
              <w:cnfStyle w:val="000000000000" w:firstRow="0" w:lastRow="0" w:firstColumn="0" w:lastColumn="0" w:oddVBand="0" w:evenVBand="0" w:oddHBand="0" w:evenHBand="0" w:firstRowFirstColumn="0" w:firstRowLastColumn="0" w:lastRowFirstColumn="0" w:lastRowLastColumn="0"/>
            </w:pPr>
            <w:r>
              <w:t>New HCP level 1 and 2 consumers</w:t>
            </w:r>
          </w:p>
        </w:tc>
        <w:tc>
          <w:tcPr>
            <w:tcW w:w="993" w:type="dxa"/>
            <w:tcBorders>
              <w:top w:val="single" w:sz="4" w:space="0" w:color="FFFFFF" w:themeColor="background1"/>
              <w:bottom w:val="single" w:sz="36" w:space="0" w:color="FFFFFF" w:themeColor="background1"/>
            </w:tcBorders>
            <w:shd w:val="clear" w:color="auto" w:fill="E2F4FF" w:themeFill="accent1" w:themeFillTint="33"/>
            <w:tcMar>
              <w:left w:w="57" w:type="dxa"/>
              <w:right w:w="57" w:type="dxa"/>
            </w:tcMar>
          </w:tcPr>
          <w:p w14:paraId="5A8D73C4" w14:textId="77777777" w:rsidR="00401F7D" w:rsidRPr="00401F7D"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43,852</w:t>
            </w:r>
          </w:p>
        </w:tc>
        <w:tc>
          <w:tcPr>
            <w:tcW w:w="1559" w:type="dxa"/>
            <w:tcBorders>
              <w:top w:val="single" w:sz="4" w:space="0" w:color="BFE7FF" w:themeColor="text2" w:themeTint="33"/>
              <w:bottom w:val="single" w:sz="36" w:space="0" w:color="FFFFFF" w:themeColor="background1"/>
            </w:tcBorders>
            <w:shd w:val="clear" w:color="auto" w:fill="0079C1" w:themeFill="text2"/>
            <w:tcMar>
              <w:left w:w="57" w:type="dxa"/>
              <w:right w:w="57" w:type="dxa"/>
            </w:tcMar>
          </w:tcPr>
          <w:p w14:paraId="7F9F08E1" w14:textId="2217820C"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$5.3 m</w:t>
            </w:r>
          </w:p>
        </w:tc>
        <w:tc>
          <w:tcPr>
            <w:tcW w:w="1984" w:type="dxa"/>
            <w:tcBorders>
              <w:top w:val="single" w:sz="4" w:space="0" w:color="BFE7FF" w:themeColor="text2" w:themeTint="33"/>
              <w:bottom w:val="single" w:sz="36" w:space="0" w:color="FFFFFF" w:themeColor="background1"/>
            </w:tcBorders>
            <w:shd w:val="clear" w:color="auto" w:fill="005990" w:themeFill="text2" w:themeFillShade="BF"/>
            <w:tcMar>
              <w:left w:w="57" w:type="dxa"/>
              <w:right w:w="57" w:type="dxa"/>
            </w:tcMar>
          </w:tcPr>
          <w:p w14:paraId="1324A869" w14:textId="3504A98B"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$27.36</w:t>
            </w:r>
          </w:p>
        </w:tc>
      </w:tr>
      <w:tr w:rsidR="00401F7D" w14:paraId="65F70649" w14:textId="77777777" w:rsidTr="009E5295">
        <w:tc>
          <w:tcPr>
            <w:cnfStyle w:val="001000000000" w:firstRow="0" w:lastRow="0" w:firstColumn="1" w:lastColumn="0" w:oddVBand="0" w:evenVBand="0" w:oddHBand="0" w:evenHBand="0" w:firstRowFirstColumn="0" w:firstRowLastColumn="0" w:lastRowFirstColumn="0" w:lastRowLastColumn="0"/>
            <w:tcW w:w="1276" w:type="dxa"/>
            <w:tcBorders>
              <w:top w:val="single" w:sz="36" w:space="0" w:color="FFFFFF" w:themeColor="background1"/>
              <w:bottom w:val="single" w:sz="4" w:space="0" w:color="F2F2F2" w:themeColor="background1" w:themeShade="F2"/>
            </w:tcBorders>
            <w:shd w:val="clear" w:color="auto" w:fill="F2F2F2" w:themeFill="background1" w:themeFillShade="F2"/>
            <w:tcMar>
              <w:left w:w="57" w:type="dxa"/>
              <w:right w:w="57" w:type="dxa"/>
            </w:tcMar>
          </w:tcPr>
          <w:p w14:paraId="1E8ECBBE" w14:textId="53211BE3" w:rsidR="00401F7D" w:rsidRDefault="00401F7D" w:rsidP="00401F7D">
            <w:pPr>
              <w:pStyle w:val="TableText"/>
            </w:pPr>
            <w:r>
              <w:t>CHSP AT boost</w:t>
            </w:r>
          </w:p>
        </w:tc>
        <w:tc>
          <w:tcPr>
            <w:tcW w:w="3827" w:type="dxa"/>
            <w:tcBorders>
              <w:top w:val="single" w:sz="36" w:space="0" w:color="FFFFFF" w:themeColor="background1"/>
              <w:bottom w:val="single" w:sz="4" w:space="0" w:color="FFFFFF" w:themeColor="background1"/>
            </w:tcBorders>
            <w:shd w:val="clear" w:color="auto" w:fill="E2F4FF" w:themeFill="accent1" w:themeFillTint="33"/>
            <w:tcMar>
              <w:left w:w="57" w:type="dxa"/>
              <w:right w:w="57" w:type="dxa"/>
            </w:tcMar>
          </w:tcPr>
          <w:p w14:paraId="672B0A38" w14:textId="77777777" w:rsidR="00401F7D" w:rsidRDefault="00401F7D" w:rsidP="00401F7D">
            <w:pPr>
              <w:pStyle w:val="TableList1"/>
              <w:cnfStyle w:val="000000000000" w:firstRow="0" w:lastRow="0" w:firstColumn="0" w:lastColumn="0" w:oddVBand="0" w:evenVBand="0" w:oddHBand="0" w:evenHBand="0" w:firstRowFirstColumn="0" w:firstRowLastColumn="0" w:lastRowFirstColumn="0" w:lastRowLastColumn="0"/>
            </w:pPr>
            <w:r>
              <w:t>State CHSP AT funding equity</w:t>
            </w:r>
          </w:p>
        </w:tc>
        <w:tc>
          <w:tcPr>
            <w:tcW w:w="993" w:type="dxa"/>
            <w:tcBorders>
              <w:top w:val="single" w:sz="36" w:space="0" w:color="FFFFFF" w:themeColor="background1"/>
              <w:bottom w:val="single" w:sz="4" w:space="0" w:color="FFFFFF" w:themeColor="background1"/>
            </w:tcBorders>
            <w:shd w:val="clear" w:color="auto" w:fill="E2F4FF" w:themeFill="accent1" w:themeFillTint="33"/>
            <w:tcMar>
              <w:left w:w="57" w:type="dxa"/>
              <w:right w:w="57" w:type="dxa"/>
            </w:tcMar>
          </w:tcPr>
          <w:p w14:paraId="7933F888" w14:textId="77777777" w:rsidR="00401F7D" w:rsidRPr="00401F7D"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60,301</w:t>
            </w:r>
          </w:p>
        </w:tc>
        <w:tc>
          <w:tcPr>
            <w:tcW w:w="1559" w:type="dxa"/>
            <w:tcBorders>
              <w:top w:val="single" w:sz="36" w:space="0" w:color="FFFFFF" w:themeColor="background1"/>
              <w:bottom w:val="single" w:sz="4" w:space="0" w:color="BFE7FF" w:themeColor="text2" w:themeTint="33"/>
            </w:tcBorders>
            <w:shd w:val="clear" w:color="auto" w:fill="0079C1" w:themeFill="text2"/>
            <w:tcMar>
              <w:left w:w="57" w:type="dxa"/>
              <w:right w:w="57" w:type="dxa"/>
            </w:tcMar>
          </w:tcPr>
          <w:p w14:paraId="59D272B7" w14:textId="1C80F3F9"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$22.9 m</w:t>
            </w:r>
          </w:p>
        </w:tc>
        <w:tc>
          <w:tcPr>
            <w:tcW w:w="1984" w:type="dxa"/>
            <w:tcBorders>
              <w:top w:val="single" w:sz="36" w:space="0" w:color="FFFFFF" w:themeColor="background1"/>
              <w:bottom w:val="single" w:sz="4" w:space="0" w:color="BFE7FF" w:themeColor="text2" w:themeTint="33"/>
            </w:tcBorders>
            <w:shd w:val="clear" w:color="auto" w:fill="005990" w:themeFill="text2" w:themeFillShade="BF"/>
            <w:tcMar>
              <w:left w:w="57" w:type="dxa"/>
              <w:right w:w="57" w:type="dxa"/>
            </w:tcMar>
          </w:tcPr>
          <w:p w14:paraId="7987B350" w14:textId="4A458691"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$15.41</w:t>
            </w:r>
          </w:p>
        </w:tc>
      </w:tr>
      <w:tr w:rsidR="00401F7D" w14:paraId="47BA7CDF" w14:textId="77777777" w:rsidTr="009E5295">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4" w:space="0" w:color="F2F2F2" w:themeColor="background1" w:themeShade="F2"/>
            </w:tcBorders>
            <w:shd w:val="clear" w:color="auto" w:fill="F2F2F2" w:themeFill="background1" w:themeFillShade="F2"/>
            <w:tcMar>
              <w:left w:w="57" w:type="dxa"/>
              <w:right w:w="57" w:type="dxa"/>
            </w:tcMar>
          </w:tcPr>
          <w:p w14:paraId="50B91308" w14:textId="77777777" w:rsidR="00401F7D" w:rsidRDefault="00401F7D" w:rsidP="00401F7D">
            <w:pPr>
              <w:pStyle w:val="Invisible"/>
            </w:pPr>
            <w:r>
              <w:t>CHSP AT boost</w:t>
            </w:r>
          </w:p>
        </w:tc>
        <w:tc>
          <w:tcPr>
            <w:tcW w:w="3827"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671C050D" w14:textId="77777777" w:rsidR="00401F7D" w:rsidRDefault="00401F7D" w:rsidP="00401F7D">
            <w:pPr>
              <w:pStyle w:val="TableList1"/>
              <w:cnfStyle w:val="000000000000" w:firstRow="0" w:lastRow="0" w:firstColumn="0" w:lastColumn="0" w:oddVBand="0" w:evenVBand="0" w:oddHBand="0" w:evenHBand="0" w:firstRowFirstColumn="0" w:firstRowLastColumn="0" w:lastRowFirstColumn="0" w:lastRowLastColumn="0"/>
            </w:pPr>
            <w:r>
              <w:t>State CHSP HM funding equity</w:t>
            </w:r>
          </w:p>
        </w:tc>
        <w:tc>
          <w:tcPr>
            <w:tcW w:w="993"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38FABA2F" w14:textId="77777777" w:rsidR="00401F7D" w:rsidRPr="00401F7D"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64,354</w:t>
            </w:r>
          </w:p>
        </w:tc>
        <w:tc>
          <w:tcPr>
            <w:tcW w:w="1559" w:type="dxa"/>
            <w:tcBorders>
              <w:top w:val="single" w:sz="4" w:space="0" w:color="BFE7FF" w:themeColor="text2" w:themeTint="33"/>
              <w:bottom w:val="single" w:sz="4" w:space="0" w:color="BFE7FF" w:themeColor="text2" w:themeTint="33"/>
            </w:tcBorders>
            <w:shd w:val="clear" w:color="auto" w:fill="0079C1" w:themeFill="text2"/>
            <w:tcMar>
              <w:left w:w="57" w:type="dxa"/>
              <w:right w:w="57" w:type="dxa"/>
            </w:tcMar>
          </w:tcPr>
          <w:p w14:paraId="05C57D96" w14:textId="357D6706"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$49.3 m</w:t>
            </w:r>
          </w:p>
        </w:tc>
        <w:tc>
          <w:tcPr>
            <w:tcW w:w="1984" w:type="dxa"/>
            <w:tcBorders>
              <w:top w:val="single" w:sz="4" w:space="0" w:color="BFE7FF" w:themeColor="text2" w:themeTint="33"/>
              <w:bottom w:val="single" w:sz="4" w:space="0" w:color="BFE7FF" w:themeColor="text2" w:themeTint="33"/>
            </w:tcBorders>
            <w:shd w:val="clear" w:color="auto" w:fill="005990" w:themeFill="text2" w:themeFillShade="BF"/>
            <w:tcMar>
              <w:left w:w="57" w:type="dxa"/>
              <w:right w:w="57" w:type="dxa"/>
            </w:tcMar>
          </w:tcPr>
          <w:p w14:paraId="046F952C" w14:textId="67A2A9C3"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$7.24</w:t>
            </w:r>
          </w:p>
        </w:tc>
      </w:tr>
      <w:tr w:rsidR="00401F7D" w14:paraId="5135E198" w14:textId="77777777" w:rsidTr="009E5295">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4" w:space="0" w:color="F2F2F2" w:themeColor="background1" w:themeShade="F2"/>
            </w:tcBorders>
            <w:shd w:val="clear" w:color="auto" w:fill="F2F2F2" w:themeFill="background1" w:themeFillShade="F2"/>
            <w:tcMar>
              <w:left w:w="57" w:type="dxa"/>
              <w:right w:w="57" w:type="dxa"/>
            </w:tcMar>
          </w:tcPr>
          <w:p w14:paraId="58554037" w14:textId="77777777" w:rsidR="00401F7D" w:rsidRDefault="00401F7D" w:rsidP="00401F7D">
            <w:pPr>
              <w:pStyle w:val="Invisible"/>
            </w:pPr>
            <w:r>
              <w:t>CHSP AT boost</w:t>
            </w:r>
          </w:p>
        </w:tc>
        <w:tc>
          <w:tcPr>
            <w:tcW w:w="3827"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598D6994" w14:textId="77777777" w:rsidR="00401F7D" w:rsidRDefault="00401F7D" w:rsidP="00401F7D">
            <w:pPr>
              <w:pStyle w:val="TableList1"/>
              <w:cnfStyle w:val="000000000000" w:firstRow="0" w:lastRow="0" w:firstColumn="0" w:lastColumn="0" w:oddVBand="0" w:evenVBand="0" w:oddHBand="0" w:evenHBand="0" w:firstRowFirstColumn="0" w:firstRowLastColumn="0" w:lastRowFirstColumn="0" w:lastRowLastColumn="0"/>
            </w:pPr>
            <w:r>
              <w:t>State CHSP AT funding parity and expended AT list and $1,500 cap</w:t>
            </w:r>
          </w:p>
        </w:tc>
        <w:tc>
          <w:tcPr>
            <w:tcW w:w="993"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21182650" w14:textId="77777777" w:rsidR="00401F7D" w:rsidRPr="00401F7D"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60,301</w:t>
            </w:r>
          </w:p>
        </w:tc>
        <w:tc>
          <w:tcPr>
            <w:tcW w:w="1559" w:type="dxa"/>
            <w:tcBorders>
              <w:top w:val="single" w:sz="4" w:space="0" w:color="BFE7FF" w:themeColor="text2" w:themeTint="33"/>
              <w:bottom w:val="single" w:sz="4" w:space="0" w:color="BFE7FF" w:themeColor="text2" w:themeTint="33"/>
            </w:tcBorders>
            <w:shd w:val="clear" w:color="auto" w:fill="0079C1" w:themeFill="text2"/>
            <w:tcMar>
              <w:left w:w="57" w:type="dxa"/>
              <w:right w:w="57" w:type="dxa"/>
            </w:tcMar>
          </w:tcPr>
          <w:p w14:paraId="368292D8" w14:textId="46E7453E"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$63.9 m</w:t>
            </w:r>
          </w:p>
        </w:tc>
        <w:tc>
          <w:tcPr>
            <w:tcW w:w="1984" w:type="dxa"/>
            <w:tcBorders>
              <w:top w:val="single" w:sz="4" w:space="0" w:color="BFE7FF" w:themeColor="text2" w:themeTint="33"/>
              <w:bottom w:val="single" w:sz="4" w:space="0" w:color="BFE7FF" w:themeColor="text2" w:themeTint="33"/>
            </w:tcBorders>
            <w:shd w:val="clear" w:color="auto" w:fill="005990" w:themeFill="text2" w:themeFillShade="BF"/>
            <w:tcMar>
              <w:left w:w="57" w:type="dxa"/>
              <w:right w:w="57" w:type="dxa"/>
            </w:tcMar>
          </w:tcPr>
          <w:p w14:paraId="4A4842C2" w14:textId="1F350BC5"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$5.15</w:t>
            </w:r>
          </w:p>
        </w:tc>
      </w:tr>
      <w:tr w:rsidR="00401F7D" w14:paraId="4F320C6D" w14:textId="77777777" w:rsidTr="009E5295">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36" w:space="0" w:color="FFFFFF" w:themeColor="background1"/>
            </w:tcBorders>
            <w:shd w:val="clear" w:color="auto" w:fill="F2F2F2" w:themeFill="background1" w:themeFillShade="F2"/>
            <w:tcMar>
              <w:left w:w="57" w:type="dxa"/>
              <w:right w:w="57" w:type="dxa"/>
            </w:tcMar>
          </w:tcPr>
          <w:p w14:paraId="1B1C6B3F" w14:textId="77777777" w:rsidR="00401F7D" w:rsidRDefault="00401F7D" w:rsidP="00401F7D">
            <w:pPr>
              <w:pStyle w:val="Invisible"/>
            </w:pPr>
            <w:r>
              <w:t>CHSP AT boost</w:t>
            </w:r>
          </w:p>
        </w:tc>
        <w:tc>
          <w:tcPr>
            <w:tcW w:w="3827" w:type="dxa"/>
            <w:tcBorders>
              <w:top w:val="single" w:sz="4" w:space="0" w:color="FFFFFF" w:themeColor="background1"/>
              <w:bottom w:val="single" w:sz="36" w:space="0" w:color="FFFFFF" w:themeColor="background1"/>
            </w:tcBorders>
            <w:shd w:val="clear" w:color="auto" w:fill="E2F4FF" w:themeFill="accent1" w:themeFillTint="33"/>
            <w:tcMar>
              <w:left w:w="57" w:type="dxa"/>
              <w:right w:w="57" w:type="dxa"/>
            </w:tcMar>
          </w:tcPr>
          <w:p w14:paraId="2C4B205C" w14:textId="77777777" w:rsidR="00401F7D" w:rsidRDefault="00401F7D" w:rsidP="00401F7D">
            <w:pPr>
              <w:pStyle w:val="TableList1"/>
              <w:cnfStyle w:val="000000000000" w:firstRow="0" w:lastRow="0" w:firstColumn="0" w:lastColumn="0" w:oddVBand="0" w:evenVBand="0" w:oddHBand="0" w:evenHBand="0" w:firstRowFirstColumn="0" w:firstRowLastColumn="0" w:lastRowFirstColumn="0" w:lastRowLastColumn="0"/>
            </w:pPr>
            <w:r>
              <w:t>Expanded AT list for new CHSP consumers</w:t>
            </w:r>
          </w:p>
        </w:tc>
        <w:tc>
          <w:tcPr>
            <w:tcW w:w="993" w:type="dxa"/>
            <w:tcBorders>
              <w:top w:val="single" w:sz="4" w:space="0" w:color="FFFFFF" w:themeColor="background1"/>
              <w:bottom w:val="single" w:sz="36" w:space="0" w:color="FFFFFF" w:themeColor="background1"/>
            </w:tcBorders>
            <w:shd w:val="clear" w:color="auto" w:fill="E2F4FF" w:themeFill="accent1" w:themeFillTint="33"/>
            <w:tcMar>
              <w:left w:w="57" w:type="dxa"/>
              <w:right w:w="57" w:type="dxa"/>
            </w:tcMar>
          </w:tcPr>
          <w:p w14:paraId="59254668" w14:textId="77777777" w:rsidR="00401F7D" w:rsidRPr="00401F7D"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162,286</w:t>
            </w:r>
          </w:p>
        </w:tc>
        <w:tc>
          <w:tcPr>
            <w:tcW w:w="1559" w:type="dxa"/>
            <w:tcBorders>
              <w:top w:val="single" w:sz="4" w:space="0" w:color="BFE7FF" w:themeColor="text2" w:themeTint="33"/>
              <w:bottom w:val="single" w:sz="36" w:space="0" w:color="FFFFFF" w:themeColor="background1"/>
            </w:tcBorders>
            <w:shd w:val="clear" w:color="auto" w:fill="0079C1" w:themeFill="text2"/>
            <w:tcMar>
              <w:left w:w="57" w:type="dxa"/>
              <w:right w:w="57" w:type="dxa"/>
            </w:tcMar>
          </w:tcPr>
          <w:p w14:paraId="060AED95" w14:textId="20C75FD2"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$61.0 m</w:t>
            </w:r>
          </w:p>
        </w:tc>
        <w:tc>
          <w:tcPr>
            <w:tcW w:w="1984" w:type="dxa"/>
            <w:tcBorders>
              <w:top w:val="single" w:sz="4" w:space="0" w:color="BFE7FF" w:themeColor="text2" w:themeTint="33"/>
              <w:bottom w:val="single" w:sz="36" w:space="0" w:color="FFFFFF" w:themeColor="background1"/>
            </w:tcBorders>
            <w:shd w:val="clear" w:color="auto" w:fill="005990" w:themeFill="text2" w:themeFillShade="BF"/>
            <w:tcMar>
              <w:left w:w="57" w:type="dxa"/>
              <w:right w:w="57" w:type="dxa"/>
            </w:tcMar>
          </w:tcPr>
          <w:p w14:paraId="6C4932E3" w14:textId="58A8D6D6"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$6.55</w:t>
            </w:r>
          </w:p>
        </w:tc>
      </w:tr>
      <w:tr w:rsidR="00401F7D" w14:paraId="314D89D3" w14:textId="77777777" w:rsidTr="00401F7D">
        <w:tc>
          <w:tcPr>
            <w:cnfStyle w:val="001000000000" w:firstRow="0" w:lastRow="0" w:firstColumn="1" w:lastColumn="0" w:oddVBand="0" w:evenVBand="0" w:oddHBand="0" w:evenHBand="0" w:firstRowFirstColumn="0" w:firstRowLastColumn="0" w:lastRowFirstColumn="0" w:lastRowLastColumn="0"/>
            <w:tcW w:w="1276" w:type="dxa"/>
            <w:tcBorders>
              <w:top w:val="single" w:sz="36" w:space="0" w:color="FFFFFF" w:themeColor="background1"/>
              <w:bottom w:val="single" w:sz="4" w:space="0" w:color="0079C1" w:themeColor="text2"/>
            </w:tcBorders>
            <w:shd w:val="clear" w:color="auto" w:fill="F2F2F2" w:themeFill="background1" w:themeFillShade="F2"/>
            <w:tcMar>
              <w:left w:w="57" w:type="dxa"/>
              <w:right w:w="57" w:type="dxa"/>
            </w:tcMar>
          </w:tcPr>
          <w:p w14:paraId="4E13830B" w14:textId="77777777" w:rsidR="00401F7D" w:rsidRDefault="00401F7D" w:rsidP="00401F7D">
            <w:pPr>
              <w:pStyle w:val="TableText"/>
            </w:pPr>
            <w:r>
              <w:t>Foundation costs</w:t>
            </w:r>
          </w:p>
        </w:tc>
        <w:tc>
          <w:tcPr>
            <w:tcW w:w="3827" w:type="dxa"/>
            <w:tcBorders>
              <w:top w:val="single" w:sz="36" w:space="0" w:color="FFFFFF" w:themeColor="background1"/>
              <w:bottom w:val="single" w:sz="4" w:space="0" w:color="0079C1" w:themeColor="text2"/>
            </w:tcBorders>
            <w:shd w:val="clear" w:color="auto" w:fill="E2F4FF" w:themeFill="accent1" w:themeFillTint="33"/>
            <w:tcMar>
              <w:left w:w="57" w:type="dxa"/>
              <w:right w:w="57" w:type="dxa"/>
            </w:tcMar>
          </w:tcPr>
          <w:p w14:paraId="5D9727D8" w14:textId="77777777" w:rsidR="00401F7D" w:rsidRDefault="00401F7D" w:rsidP="00401F7D">
            <w:pPr>
              <w:pStyle w:val="TableBullet1"/>
              <w:cnfStyle w:val="000000000000" w:firstRow="0" w:lastRow="0" w:firstColumn="0" w:lastColumn="0" w:oddVBand="0" w:evenVBand="0" w:oddHBand="0" w:evenHBand="0" w:firstRowFirstColumn="0" w:firstRowLastColumn="0" w:lastRowFirstColumn="0" w:lastRowLastColumn="0"/>
            </w:pPr>
            <w:r>
              <w:t>AT Solutions: website, app, hotline</w:t>
            </w:r>
          </w:p>
          <w:p w14:paraId="0522950A" w14:textId="18B123C8" w:rsidR="00401F7D" w:rsidRDefault="00401F7D" w:rsidP="00401F7D">
            <w:pPr>
              <w:pStyle w:val="TableBullet1"/>
              <w:cnfStyle w:val="000000000000" w:firstRow="0" w:lastRow="0" w:firstColumn="0" w:lastColumn="0" w:oddVBand="0" w:evenVBand="0" w:oddHBand="0" w:evenHBand="0" w:firstRowFirstColumn="0" w:firstRowLastColumn="0" w:lastRowFirstColumn="0" w:lastRowLastColumn="0"/>
            </w:pPr>
            <w:r>
              <w:t>Investment fund: AT screen, AT pilot, Promotion and evaluation</w:t>
            </w:r>
          </w:p>
        </w:tc>
        <w:tc>
          <w:tcPr>
            <w:tcW w:w="993" w:type="dxa"/>
            <w:tcBorders>
              <w:top w:val="single" w:sz="36" w:space="0" w:color="FFFFFF" w:themeColor="background1"/>
              <w:bottom w:val="single" w:sz="4" w:space="0" w:color="0079C1" w:themeColor="text2"/>
            </w:tcBorders>
            <w:shd w:val="clear" w:color="auto" w:fill="E2F4FF" w:themeFill="accent1" w:themeFillTint="33"/>
            <w:tcMar>
              <w:left w:w="57" w:type="dxa"/>
              <w:right w:w="57" w:type="dxa"/>
            </w:tcMar>
          </w:tcPr>
          <w:p w14:paraId="1ABC45F3" w14:textId="77777777" w:rsidR="00401F7D" w:rsidRPr="00401F7D"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E2F4FF" w:themeColor="accent1" w:themeTint="33"/>
                <w:sz w:val="20"/>
                <w:szCs w:val="20"/>
              </w:rPr>
            </w:pPr>
            <w:r w:rsidRPr="00401F7D">
              <w:rPr>
                <w:b/>
                <w:bCs/>
                <w:color w:val="E2F4FF" w:themeColor="accent1" w:themeTint="33"/>
                <w:sz w:val="20"/>
                <w:szCs w:val="20"/>
              </w:rPr>
              <w:t>N/​A</w:t>
            </w:r>
          </w:p>
        </w:tc>
        <w:tc>
          <w:tcPr>
            <w:tcW w:w="1559" w:type="dxa"/>
            <w:tcBorders>
              <w:top w:val="single" w:sz="36" w:space="0" w:color="FFFFFF" w:themeColor="background1"/>
              <w:bottom w:val="single" w:sz="4" w:space="0" w:color="0079C1" w:themeColor="text2"/>
            </w:tcBorders>
            <w:shd w:val="clear" w:color="auto" w:fill="0079C1" w:themeFill="text2"/>
            <w:tcMar>
              <w:left w:w="57" w:type="dxa"/>
              <w:right w:w="57" w:type="dxa"/>
            </w:tcMar>
          </w:tcPr>
          <w:p w14:paraId="43D44049" w14:textId="73B3A669"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$4.9</w:t>
            </w:r>
            <w:r w:rsidR="00DC1A7E">
              <w:rPr>
                <w:b/>
                <w:bCs/>
                <w:color w:val="FFFFFF" w:themeColor="background1"/>
              </w:rPr>
              <w:t xml:space="preserve"> m</w:t>
            </w:r>
          </w:p>
        </w:tc>
        <w:tc>
          <w:tcPr>
            <w:tcW w:w="1984" w:type="dxa"/>
            <w:tcBorders>
              <w:top w:val="single" w:sz="36" w:space="0" w:color="FFFFFF" w:themeColor="background1"/>
              <w:bottom w:val="single" w:sz="4" w:space="0" w:color="0079C1" w:themeColor="text2"/>
            </w:tcBorders>
            <w:shd w:val="clear" w:color="auto" w:fill="005990" w:themeFill="text2" w:themeFillShade="BF"/>
            <w:tcMar>
              <w:left w:w="57" w:type="dxa"/>
              <w:right w:w="57" w:type="dxa"/>
            </w:tcMar>
          </w:tcPr>
          <w:p w14:paraId="40B31586" w14:textId="15CD18DC" w:rsidR="00401F7D" w:rsidRPr="00C673A6" w:rsidRDefault="00401F7D" w:rsidP="00401F7D">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01F7D">
              <w:rPr>
                <w:b/>
                <w:bCs/>
                <w:color w:val="005990" w:themeColor="text2" w:themeShade="BF"/>
              </w:rPr>
              <w:t>N/​A</w:t>
            </w:r>
          </w:p>
        </w:tc>
      </w:tr>
    </w:tbl>
    <w:p w14:paraId="7B14BEAC" w14:textId="74B9C9FF" w:rsidR="00401F7D" w:rsidRDefault="00401F7D" w:rsidP="00401F7D">
      <w:pPr>
        <w:pStyle w:val="Note"/>
        <w:tabs>
          <w:tab w:val="left" w:pos="3119"/>
        </w:tabs>
        <w:ind w:left="0" w:right="-142"/>
      </w:pPr>
      <w:r>
        <w:t xml:space="preserve">Note: This table also appears as </w:t>
      </w:r>
      <w:r w:rsidR="00A90168">
        <w:fldChar w:fldCharType="begin"/>
      </w:r>
      <w:r w:rsidR="00A90168">
        <w:instrText xml:space="preserve"> REF _Ref59323374 \h </w:instrText>
      </w:r>
      <w:r w:rsidR="00A90168">
        <w:fldChar w:fldCharType="separate"/>
      </w:r>
      <w:r w:rsidR="00CC3F04">
        <w:t>Table </w:t>
      </w:r>
      <w:r w:rsidR="00CC3F04">
        <w:rPr>
          <w:noProof/>
        </w:rPr>
        <w:t>4</w:t>
      </w:r>
      <w:r w:rsidR="00CC3F04">
        <w:noBreakHyphen/>
      </w:r>
      <w:r w:rsidR="00CC3F04">
        <w:rPr>
          <w:noProof/>
        </w:rPr>
        <w:t>3</w:t>
      </w:r>
      <w:r w:rsidR="00A90168">
        <w:fldChar w:fldCharType="end"/>
      </w:r>
      <w:r w:rsidR="00A90168">
        <w:t>.</w:t>
      </w:r>
    </w:p>
    <w:p w14:paraId="05C69E1C" w14:textId="6D56B4DD" w:rsidR="00141262" w:rsidRPr="003D0787" w:rsidRDefault="00141262" w:rsidP="00925772">
      <w:pPr>
        <w:pStyle w:val="ParaKeep"/>
      </w:pPr>
      <w:r>
        <w:t xml:space="preserve">Each AT </w:t>
      </w:r>
      <w:r w:rsidR="00DB65D9">
        <w:t>program</w:t>
      </w:r>
      <w:r>
        <w:t xml:space="preserve"> option has a positive return on investment, ranging from </w:t>
      </w:r>
      <w:r w:rsidRPr="003D0787">
        <w:t>$</w:t>
      </w:r>
      <w:r w:rsidR="00820B34">
        <w:t>5.15</w:t>
      </w:r>
      <w:r w:rsidRPr="003D0787">
        <w:t xml:space="preserve"> (Option </w:t>
      </w:r>
      <w:r w:rsidR="003372EC">
        <w:t>8</w:t>
      </w:r>
      <w:r w:rsidRPr="003D0787">
        <w:t>) to $</w:t>
      </w:r>
      <w:r w:rsidR="00820B34">
        <w:t>33</w:t>
      </w:r>
      <w:r w:rsidR="00BF1A1B">
        <w:t>.83</w:t>
      </w:r>
      <w:r w:rsidRPr="003D0787">
        <w:t xml:space="preserve"> (Option 3) for every $1 spent on AT. For example: </w:t>
      </w:r>
    </w:p>
    <w:p w14:paraId="2FAC5B3C" w14:textId="3688AB04" w:rsidR="00141262" w:rsidRPr="003D0787" w:rsidRDefault="00141262" w:rsidP="00141262">
      <w:pPr>
        <w:pStyle w:val="Bullet1"/>
      </w:pPr>
      <w:r w:rsidRPr="003D0787">
        <w:t>Option 4 included the most clients (n=194,780) and had a $</w:t>
      </w:r>
      <w:r w:rsidR="00BF1A1B">
        <w:t>23.71</w:t>
      </w:r>
      <w:r w:rsidRPr="003D0787">
        <w:t xml:space="preserve"> return on investment (one ADL kit per person for all new CHSP clients plus all reassessed clients)</w:t>
      </w:r>
      <w:r w:rsidR="00A533DC">
        <w:t>.</w:t>
      </w:r>
    </w:p>
    <w:p w14:paraId="0234D615" w14:textId="64521830" w:rsidR="00141262" w:rsidRPr="003D0787" w:rsidRDefault="00141262" w:rsidP="00141262">
      <w:pPr>
        <w:pStyle w:val="Bullet1"/>
      </w:pPr>
      <w:r w:rsidRPr="003D0787">
        <w:t>Option 1 included the least clients (n=16,521) and had a $</w:t>
      </w:r>
      <w:r w:rsidR="00BF1A1B">
        <w:t>6.</w:t>
      </w:r>
      <w:r w:rsidR="002D374D">
        <w:t>95</w:t>
      </w:r>
      <w:r w:rsidRPr="003D0787">
        <w:t xml:space="preserve"> return on investment (consumers outside of aged care who use the hotline and are eligible for an ADL AT kit following a screening assessment).</w:t>
      </w:r>
    </w:p>
    <w:p w14:paraId="40058978" w14:textId="0CC3DB4E" w:rsidR="00141262" w:rsidRDefault="00141262" w:rsidP="00141262">
      <w:pPr>
        <w:pStyle w:val="Paragraph"/>
        <w:rPr>
          <w:lang w:val="en-AU"/>
        </w:rPr>
      </w:pPr>
      <w:r>
        <w:t xml:space="preserve">Note that </w:t>
      </w:r>
      <w:r w:rsidRPr="00B84931">
        <w:rPr>
          <w:lang w:val="en-AU"/>
        </w:rPr>
        <w:t xml:space="preserve">foundation costs include the operational costs for the </w:t>
      </w:r>
      <w:r w:rsidR="00D07A21">
        <w:rPr>
          <w:lang w:val="en-AU"/>
        </w:rPr>
        <w:t>d</w:t>
      </w:r>
      <w:r w:rsidR="00D07A21" w:rsidRPr="00B84931">
        <w:rPr>
          <w:lang w:val="en-AU"/>
        </w:rPr>
        <w:t xml:space="preserve">igital </w:t>
      </w:r>
      <w:r w:rsidRPr="00B84931">
        <w:rPr>
          <w:lang w:val="en-AU"/>
        </w:rPr>
        <w:t xml:space="preserve">platform, in addition to the </w:t>
      </w:r>
      <w:r w:rsidR="00D07A21">
        <w:rPr>
          <w:lang w:val="en-AU"/>
        </w:rPr>
        <w:t>i</w:t>
      </w:r>
      <w:r w:rsidR="00D07A21" w:rsidRPr="00B84931">
        <w:rPr>
          <w:lang w:val="en-AU"/>
        </w:rPr>
        <w:t xml:space="preserve">nvestment </w:t>
      </w:r>
      <w:r w:rsidRPr="00B84931">
        <w:rPr>
          <w:lang w:val="en-AU"/>
        </w:rPr>
        <w:t xml:space="preserve">fund </w:t>
      </w:r>
      <w:r w:rsidR="00985E4E">
        <w:rPr>
          <w:lang w:val="en-AU"/>
        </w:rPr>
        <w:t>that</w:t>
      </w:r>
      <w:r w:rsidR="00985E4E" w:rsidRPr="00B84931">
        <w:rPr>
          <w:lang w:val="en-AU"/>
        </w:rPr>
        <w:t xml:space="preserve"> </w:t>
      </w:r>
      <w:r w:rsidRPr="00B84931">
        <w:rPr>
          <w:lang w:val="en-AU"/>
        </w:rPr>
        <w:t xml:space="preserve">supports the new AT program. Foundation costs remain the same regardless of which </w:t>
      </w:r>
      <w:r w:rsidR="00116D62">
        <w:rPr>
          <w:lang w:val="en-AU"/>
        </w:rPr>
        <w:t>options</w:t>
      </w:r>
      <w:r w:rsidRPr="00B84931">
        <w:rPr>
          <w:lang w:val="en-AU"/>
        </w:rPr>
        <w:t xml:space="preserve"> the Department chooses to select.</w:t>
      </w:r>
    </w:p>
    <w:p w14:paraId="57CFA62F" w14:textId="197793C7" w:rsidR="002B2240" w:rsidRDefault="002B2240" w:rsidP="002B2240">
      <w:pPr>
        <w:pStyle w:val="Heading3"/>
        <w:rPr>
          <w:lang w:val="en-AU"/>
        </w:rPr>
      </w:pPr>
      <w:r>
        <w:rPr>
          <w:lang w:val="en-AU"/>
        </w:rPr>
        <w:t>Program administration</w:t>
      </w:r>
    </w:p>
    <w:p w14:paraId="36407CA8" w14:textId="5C32713E" w:rsidR="002D374D" w:rsidRDefault="00A82DCB" w:rsidP="00925772">
      <w:pPr>
        <w:pStyle w:val="ParaKeep"/>
        <w:rPr>
          <w:lang w:val="en-CA" w:eastAsia="en-AU"/>
        </w:rPr>
      </w:pPr>
      <w:r w:rsidRPr="00350EBB">
        <w:rPr>
          <w:lang w:val="en-CA" w:eastAsia="en-AU"/>
        </w:rPr>
        <w:t>Currently, AT is procured under di</w:t>
      </w:r>
      <w:r>
        <w:rPr>
          <w:lang w:val="en-CA" w:eastAsia="en-AU"/>
        </w:rPr>
        <w:t>sparate and disconnected</w:t>
      </w:r>
      <w:r w:rsidRPr="00350EBB">
        <w:rPr>
          <w:lang w:val="en-CA" w:eastAsia="en-AU"/>
        </w:rPr>
        <w:t xml:space="preserve"> program</w:t>
      </w:r>
      <w:r>
        <w:rPr>
          <w:lang w:val="en-CA" w:eastAsia="en-AU"/>
        </w:rPr>
        <w:t>s, representing a lost opportunity to leverage</w:t>
      </w:r>
      <w:r w:rsidRPr="00350EBB">
        <w:rPr>
          <w:lang w:val="en-CA" w:eastAsia="en-AU"/>
        </w:rPr>
        <w:t xml:space="preserve"> </w:t>
      </w:r>
      <w:r>
        <w:rPr>
          <w:lang w:val="en-CA" w:eastAsia="en-AU"/>
        </w:rPr>
        <w:t xml:space="preserve">the breadth and reach of a national </w:t>
      </w:r>
      <w:r w:rsidR="002D374D">
        <w:rPr>
          <w:lang w:val="en-CA" w:eastAsia="en-AU"/>
        </w:rPr>
        <w:t>approach</w:t>
      </w:r>
      <w:r w:rsidR="003D2515">
        <w:rPr>
          <w:lang w:val="en-CA" w:eastAsia="en-AU"/>
        </w:rPr>
        <w:t>.</w:t>
      </w:r>
    </w:p>
    <w:p w14:paraId="36799C4B" w14:textId="37EC580B" w:rsidR="00A82DCB" w:rsidRDefault="002D374D" w:rsidP="004C5BB0">
      <w:pPr>
        <w:pStyle w:val="Paragraph"/>
        <w:rPr>
          <w:lang w:val="en-CA"/>
        </w:rPr>
      </w:pPr>
      <w:r>
        <w:rPr>
          <w:lang w:val="en-CA" w:eastAsia="en-AU"/>
        </w:rPr>
        <w:t xml:space="preserve">If </w:t>
      </w:r>
      <w:r w:rsidR="007F1F7D">
        <w:rPr>
          <w:lang w:val="en-CA" w:eastAsia="en-AU"/>
        </w:rPr>
        <w:t xml:space="preserve">ADL </w:t>
      </w:r>
      <w:r w:rsidR="00985E4E">
        <w:rPr>
          <w:lang w:val="en-CA" w:eastAsia="en-AU"/>
        </w:rPr>
        <w:t xml:space="preserve">kits </w:t>
      </w:r>
      <w:r w:rsidR="007F1F7D">
        <w:rPr>
          <w:lang w:val="en-CA" w:eastAsia="en-AU"/>
        </w:rPr>
        <w:t>are to be used, then a public</w:t>
      </w:r>
      <w:r w:rsidR="006E6679">
        <w:rPr>
          <w:lang w:val="en-CA" w:eastAsia="en-AU"/>
        </w:rPr>
        <w:t>-</w:t>
      </w:r>
      <w:r w:rsidR="007F1F7D">
        <w:rPr>
          <w:lang w:val="en-CA" w:eastAsia="en-AU"/>
        </w:rPr>
        <w:t xml:space="preserve">facing </w:t>
      </w:r>
      <w:r w:rsidR="00C131B8">
        <w:rPr>
          <w:lang w:val="en-CA" w:eastAsia="en-AU"/>
        </w:rPr>
        <w:t>agency</w:t>
      </w:r>
      <w:r w:rsidR="007F1F7D">
        <w:rPr>
          <w:lang w:val="en-CA" w:eastAsia="en-AU"/>
        </w:rPr>
        <w:t xml:space="preserve"> </w:t>
      </w:r>
      <w:r w:rsidR="009F37C7">
        <w:rPr>
          <w:lang w:val="en-CA" w:eastAsia="en-AU"/>
        </w:rPr>
        <w:t xml:space="preserve">is suggested </w:t>
      </w:r>
      <w:r w:rsidR="007F1F7D">
        <w:rPr>
          <w:lang w:val="en-CA" w:eastAsia="en-AU"/>
        </w:rPr>
        <w:t xml:space="preserve">to </w:t>
      </w:r>
      <w:r w:rsidR="00A854F1">
        <w:rPr>
          <w:lang w:val="en-CA" w:eastAsia="en-AU"/>
        </w:rPr>
        <w:t xml:space="preserve">package and send kits directly to </w:t>
      </w:r>
      <w:r w:rsidR="00864FA6">
        <w:rPr>
          <w:lang w:val="en-CA" w:eastAsia="en-AU"/>
        </w:rPr>
        <w:t>consumers</w:t>
      </w:r>
      <w:r w:rsidR="007F6338">
        <w:rPr>
          <w:lang w:val="en-CA" w:eastAsia="en-AU"/>
        </w:rPr>
        <w:t xml:space="preserve">. </w:t>
      </w:r>
      <w:r w:rsidR="00B63FAD">
        <w:rPr>
          <w:lang w:val="en-CA" w:eastAsia="en-AU"/>
        </w:rPr>
        <w:t xml:space="preserve">There </w:t>
      </w:r>
      <w:r w:rsidR="007F6338">
        <w:rPr>
          <w:lang w:val="en-CA" w:eastAsia="en-AU"/>
        </w:rPr>
        <w:t xml:space="preserve">may be </w:t>
      </w:r>
      <w:r w:rsidR="00A82DCB" w:rsidRPr="00350EBB">
        <w:rPr>
          <w:lang w:val="en-CA" w:eastAsia="en-AU"/>
        </w:rPr>
        <w:t xml:space="preserve">considerable </w:t>
      </w:r>
      <w:r w:rsidR="00B63FAD">
        <w:rPr>
          <w:lang w:val="en-CA" w:eastAsia="en-AU"/>
        </w:rPr>
        <w:t>efficiencies</w:t>
      </w:r>
      <w:r w:rsidR="00A82DCB" w:rsidRPr="00350EBB">
        <w:rPr>
          <w:lang w:val="en-CA" w:eastAsia="en-AU"/>
        </w:rPr>
        <w:t xml:space="preserve"> in establish</w:t>
      </w:r>
      <w:r w:rsidR="00A82DCB">
        <w:rPr>
          <w:lang w:val="en-CA" w:eastAsia="en-AU"/>
        </w:rPr>
        <w:t>ing</w:t>
      </w:r>
      <w:r w:rsidR="00A82DCB" w:rsidRPr="00350EBB">
        <w:rPr>
          <w:lang w:val="en-CA" w:eastAsia="en-AU"/>
        </w:rPr>
        <w:t xml:space="preserve"> a </w:t>
      </w:r>
      <w:r w:rsidR="00C16AC9">
        <w:rPr>
          <w:lang w:val="en-CA" w:eastAsia="en-AU"/>
        </w:rPr>
        <w:t>national</w:t>
      </w:r>
      <w:r w:rsidR="00A82DCB" w:rsidRPr="00350EBB">
        <w:rPr>
          <w:lang w:val="en-CA" w:eastAsia="en-AU"/>
        </w:rPr>
        <w:t xml:space="preserve"> AT</w:t>
      </w:r>
      <w:r w:rsidR="00A854F1">
        <w:rPr>
          <w:lang w:val="en-CA" w:eastAsia="en-AU"/>
        </w:rPr>
        <w:t xml:space="preserve"> administrative</w:t>
      </w:r>
      <w:r w:rsidR="00A82DCB" w:rsidRPr="00350EBB">
        <w:rPr>
          <w:lang w:val="en-CA" w:eastAsia="en-AU"/>
        </w:rPr>
        <w:t xml:space="preserve"> </w:t>
      </w:r>
      <w:r w:rsidR="00A82DCB">
        <w:rPr>
          <w:lang w:val="en-CA" w:eastAsia="en-AU"/>
        </w:rPr>
        <w:t>agency</w:t>
      </w:r>
      <w:r w:rsidR="003D2515">
        <w:rPr>
          <w:lang w:val="en-CA" w:eastAsia="en-AU"/>
        </w:rPr>
        <w:t xml:space="preserve"> </w:t>
      </w:r>
      <w:r w:rsidR="00A82DCB">
        <w:rPr>
          <w:lang w:val="en-CA"/>
        </w:rPr>
        <w:t xml:space="preserve">to </w:t>
      </w:r>
      <w:r w:rsidR="004C5BB0">
        <w:rPr>
          <w:lang w:val="en-CA"/>
        </w:rPr>
        <w:t xml:space="preserve">contract </w:t>
      </w:r>
      <w:r w:rsidR="00A82DCB">
        <w:rPr>
          <w:lang w:val="en-CA"/>
        </w:rPr>
        <w:t>supplier</w:t>
      </w:r>
      <w:r w:rsidR="004C5BB0">
        <w:rPr>
          <w:lang w:val="en-CA"/>
        </w:rPr>
        <w:t>s</w:t>
      </w:r>
      <w:r w:rsidR="00A82DCB">
        <w:rPr>
          <w:lang w:val="en-CA"/>
        </w:rPr>
        <w:t xml:space="preserve">, </w:t>
      </w:r>
      <w:r w:rsidR="00A82DCB" w:rsidRPr="00350EBB">
        <w:rPr>
          <w:lang w:val="en-CA"/>
        </w:rPr>
        <w:t>procure</w:t>
      </w:r>
      <w:r w:rsidR="00A82DCB">
        <w:rPr>
          <w:lang w:val="en-CA"/>
        </w:rPr>
        <w:t xml:space="preserve"> AT equipment, </w:t>
      </w:r>
      <w:r w:rsidR="00B92662">
        <w:rPr>
          <w:lang w:val="en-CA"/>
        </w:rPr>
        <w:t xml:space="preserve">and </w:t>
      </w:r>
      <w:r w:rsidR="00A82DCB" w:rsidRPr="00350EBB">
        <w:rPr>
          <w:lang w:val="en-CA"/>
        </w:rPr>
        <w:t>packag</w:t>
      </w:r>
      <w:r w:rsidR="00A82DCB">
        <w:rPr>
          <w:lang w:val="en-CA"/>
        </w:rPr>
        <w:t>e</w:t>
      </w:r>
      <w:r w:rsidR="00A82DCB" w:rsidRPr="00350EBB">
        <w:rPr>
          <w:lang w:val="en-CA"/>
        </w:rPr>
        <w:t xml:space="preserve"> and distribu</w:t>
      </w:r>
      <w:r w:rsidR="00A82DCB">
        <w:rPr>
          <w:lang w:val="en-CA"/>
        </w:rPr>
        <w:t>te</w:t>
      </w:r>
      <w:r w:rsidR="00A82DCB" w:rsidRPr="00350EBB">
        <w:rPr>
          <w:lang w:val="en-CA"/>
        </w:rPr>
        <w:t xml:space="preserve"> AT products </w:t>
      </w:r>
      <w:r w:rsidR="004C5BB0">
        <w:rPr>
          <w:lang w:val="en-CA"/>
        </w:rPr>
        <w:t>to</w:t>
      </w:r>
      <w:r w:rsidR="004C5BB0" w:rsidRPr="00350EBB">
        <w:rPr>
          <w:lang w:val="en-CA"/>
        </w:rPr>
        <w:t xml:space="preserve"> </w:t>
      </w:r>
      <w:r w:rsidR="00A82DCB" w:rsidRPr="00350EBB">
        <w:rPr>
          <w:lang w:val="en-CA"/>
        </w:rPr>
        <w:t>consumers</w:t>
      </w:r>
      <w:r w:rsidR="00F80723">
        <w:rPr>
          <w:lang w:val="en-CA"/>
        </w:rPr>
        <w:t xml:space="preserve">. </w:t>
      </w:r>
    </w:p>
    <w:p w14:paraId="2F835572" w14:textId="0223CF1B" w:rsidR="00255371" w:rsidRPr="00350EBB" w:rsidRDefault="00255371" w:rsidP="004C5BB0">
      <w:pPr>
        <w:pStyle w:val="Paragraph"/>
        <w:rPr>
          <w:lang w:val="en-CA"/>
        </w:rPr>
      </w:pPr>
      <w:r>
        <w:rPr>
          <w:lang w:val="en-CA"/>
        </w:rPr>
        <w:t xml:space="preserve">The AT administration agency could also manage </w:t>
      </w:r>
      <w:r w:rsidR="00E004E6">
        <w:rPr>
          <w:lang w:val="en-CA"/>
        </w:rPr>
        <w:t>all AT procurement and delivery for</w:t>
      </w:r>
      <w:r w:rsidR="002D6C65">
        <w:rPr>
          <w:lang w:val="en-CA"/>
        </w:rPr>
        <w:t xml:space="preserve"> aged care</w:t>
      </w:r>
      <w:r w:rsidR="00E004E6">
        <w:rPr>
          <w:lang w:val="en-CA"/>
        </w:rPr>
        <w:t xml:space="preserve"> programs.</w:t>
      </w:r>
    </w:p>
    <w:p w14:paraId="726DCB8D" w14:textId="2FF55EDA" w:rsidR="00A82DCB" w:rsidRDefault="00A82DCB" w:rsidP="00925772">
      <w:pPr>
        <w:pStyle w:val="ParaKeep"/>
        <w:rPr>
          <w:lang w:val="en-CA" w:eastAsia="en-AU"/>
        </w:rPr>
      </w:pPr>
      <w:r>
        <w:rPr>
          <w:lang w:val="en-CA" w:eastAsia="en-AU"/>
        </w:rPr>
        <w:lastRenderedPageBreak/>
        <w:t>The option of a</w:t>
      </w:r>
      <w:r w:rsidR="006E6679">
        <w:rPr>
          <w:lang w:val="en-CA" w:eastAsia="en-AU"/>
        </w:rPr>
        <w:t>n</w:t>
      </w:r>
      <w:r w:rsidR="00E004E6">
        <w:rPr>
          <w:lang w:val="en-CA" w:eastAsia="en-AU"/>
        </w:rPr>
        <w:t xml:space="preserve"> AT administration</w:t>
      </w:r>
      <w:r w:rsidR="00570DCC">
        <w:rPr>
          <w:lang w:val="en-CA" w:eastAsia="en-AU"/>
        </w:rPr>
        <w:t xml:space="preserve"> </w:t>
      </w:r>
      <w:r>
        <w:rPr>
          <w:lang w:val="en-CA" w:eastAsia="en-AU"/>
        </w:rPr>
        <w:t>agency has been included and costed on the following basis:</w:t>
      </w:r>
    </w:p>
    <w:p w14:paraId="7926C60C" w14:textId="7060FC46" w:rsidR="00B63FAD" w:rsidRPr="000A45A2" w:rsidRDefault="00B63FAD" w:rsidP="00B63FAD">
      <w:pPr>
        <w:pStyle w:val="Bullet1"/>
        <w:numPr>
          <w:ilvl w:val="0"/>
          <w:numId w:val="2"/>
        </w:numPr>
      </w:pPr>
      <w:bookmarkStart w:id="20" w:name="_Hlk42608116"/>
      <w:r w:rsidRPr="000A45A2">
        <w:rPr>
          <w:lang w:val="en-CA"/>
        </w:rPr>
        <w:t xml:space="preserve">If the agency administers ADL kits </w:t>
      </w:r>
      <w:r w:rsidR="002D6C65">
        <w:rPr>
          <w:lang w:val="en-CA"/>
        </w:rPr>
        <w:t xml:space="preserve">only </w:t>
      </w:r>
      <w:r w:rsidRPr="000A45A2">
        <w:rPr>
          <w:lang w:val="en-CA"/>
        </w:rPr>
        <w:t xml:space="preserve">(which are estimated to have an average cost of $121.47), 50% administration costs have been included for contracting suppliers, packaging and distribution </w:t>
      </w:r>
    </w:p>
    <w:p w14:paraId="5F88B4DE" w14:textId="6003C788" w:rsidR="00B63FAD" w:rsidRDefault="00B63FAD" w:rsidP="00B63FAD">
      <w:pPr>
        <w:pStyle w:val="Bullet1"/>
        <w:numPr>
          <w:ilvl w:val="0"/>
          <w:numId w:val="2"/>
        </w:numPr>
      </w:pPr>
      <w:r>
        <w:t>If the agency administers all AT products supplied under the CHSP program, then an estimated administration cost of 30% has been added for contracting suppliers, procurement, packaging and distribution. The administration costs are lower compared to the</w:t>
      </w:r>
      <w:r w:rsidRPr="00C9231B">
        <w:t xml:space="preserve"> administration costs</w:t>
      </w:r>
      <w:r>
        <w:t xml:space="preserve"> for ADL kits as there are single AT items that do not require packaging into kits</w:t>
      </w:r>
      <w:r w:rsidR="006E6679">
        <w:t>.</w:t>
      </w:r>
    </w:p>
    <w:bookmarkEnd w:id="20"/>
    <w:p w14:paraId="1A8F81E4" w14:textId="6EF4F417" w:rsidR="00065EB7" w:rsidRDefault="002D6C65" w:rsidP="00065EB7">
      <w:pPr>
        <w:pStyle w:val="Paragraph"/>
        <w:rPr>
          <w:lang w:val="en-CA"/>
        </w:rPr>
      </w:pPr>
      <w:r>
        <w:rPr>
          <w:lang w:val="en-CA"/>
        </w:rPr>
        <w:t xml:space="preserve">The </w:t>
      </w:r>
      <w:r w:rsidR="00065EB7">
        <w:rPr>
          <w:lang w:val="en-CA"/>
        </w:rPr>
        <w:t xml:space="preserve">role of this </w:t>
      </w:r>
      <w:r>
        <w:rPr>
          <w:lang w:val="en-CA"/>
        </w:rPr>
        <w:t xml:space="preserve">national </w:t>
      </w:r>
      <w:r w:rsidR="00065EB7">
        <w:rPr>
          <w:lang w:val="en-CA"/>
        </w:rPr>
        <w:t>agency could be extended to include AT equipment leasing and loan arrangements</w:t>
      </w:r>
      <w:r w:rsidR="00F80723">
        <w:rPr>
          <w:lang w:val="en-CA"/>
        </w:rPr>
        <w:t xml:space="preserve">. </w:t>
      </w:r>
      <w:r w:rsidR="00065EB7">
        <w:rPr>
          <w:lang w:val="en-CA"/>
        </w:rPr>
        <w:t>One option is to consider the development of short-term equipment loan or leasing arrangements with Independent Living Centres or State</w:t>
      </w:r>
      <w:r w:rsidR="00DE04FA">
        <w:rPr>
          <w:lang w:val="en-CA"/>
        </w:rPr>
        <w:t>/Territory</w:t>
      </w:r>
      <w:r w:rsidR="00065EB7">
        <w:rPr>
          <w:lang w:val="en-CA"/>
        </w:rPr>
        <w:t xml:space="preserve"> Aids and Equipment Programs to facilitate consumer ‘try before you buy’ options</w:t>
      </w:r>
      <w:r w:rsidR="00F80723">
        <w:rPr>
          <w:lang w:val="en-CA"/>
        </w:rPr>
        <w:t xml:space="preserve">. </w:t>
      </w:r>
      <w:r w:rsidR="00065EB7">
        <w:rPr>
          <w:lang w:val="en-CA"/>
        </w:rPr>
        <w:t xml:space="preserve">Another option </w:t>
      </w:r>
      <w:r w:rsidR="00140C01">
        <w:rPr>
          <w:lang w:val="en-CA"/>
        </w:rPr>
        <w:t xml:space="preserve">may be to explore </w:t>
      </w:r>
      <w:r w:rsidR="00065EB7">
        <w:rPr>
          <w:lang w:val="en-CA"/>
        </w:rPr>
        <w:t>no-interest loans to consumers on low incomes to purchase high</w:t>
      </w:r>
      <w:r w:rsidR="006E6679">
        <w:rPr>
          <w:lang w:val="en-CA"/>
        </w:rPr>
        <w:t>-</w:t>
      </w:r>
      <w:r w:rsidR="00065EB7">
        <w:rPr>
          <w:lang w:val="en-CA"/>
        </w:rPr>
        <w:t>cost AT</w:t>
      </w:r>
      <w:r w:rsidR="002B2FFB">
        <w:rPr>
          <w:lang w:val="en-CA"/>
        </w:rPr>
        <w:t>.</w:t>
      </w:r>
      <w:r w:rsidR="00065EB7">
        <w:rPr>
          <w:lang w:val="en-CA"/>
        </w:rPr>
        <w:t xml:space="preserve"> This has proven an effective strategy to increase access</w:t>
      </w:r>
      <w:r w:rsidR="006E6679">
        <w:rPr>
          <w:lang w:val="en-CA"/>
        </w:rPr>
        <w:t xml:space="preserve"> and </w:t>
      </w:r>
      <w:r w:rsidR="00065EB7">
        <w:rPr>
          <w:lang w:val="en-CA"/>
        </w:rPr>
        <w:t>facilitate some program cost recovery</w:t>
      </w:r>
      <w:r w:rsidR="006E6679">
        <w:rPr>
          <w:lang w:val="en-CA"/>
        </w:rPr>
        <w:t>,</w:t>
      </w:r>
      <w:r w:rsidR="00F61041">
        <w:rPr>
          <w:lang w:val="en-CA"/>
        </w:rPr>
        <w:t xml:space="preserve"> </w:t>
      </w:r>
      <w:r w:rsidR="00065EB7">
        <w:rPr>
          <w:lang w:val="en-CA"/>
        </w:rPr>
        <w:t xml:space="preserve">and could also be considered as part of </w:t>
      </w:r>
      <w:r>
        <w:rPr>
          <w:lang w:val="en-CA"/>
        </w:rPr>
        <w:t>the AT administration</w:t>
      </w:r>
      <w:r w:rsidR="00065EB7">
        <w:rPr>
          <w:lang w:val="en-CA"/>
        </w:rPr>
        <w:t xml:space="preserve"> agency role</w:t>
      </w:r>
      <w:r w:rsidR="00F80723">
        <w:rPr>
          <w:lang w:val="en-CA"/>
        </w:rPr>
        <w:t xml:space="preserve">. </w:t>
      </w:r>
      <w:r w:rsidR="00065EB7">
        <w:rPr>
          <w:lang w:val="en-CA"/>
        </w:rPr>
        <w:t>This would</w:t>
      </w:r>
      <w:r w:rsidR="006E6679">
        <w:rPr>
          <w:lang w:val="en-CA"/>
        </w:rPr>
        <w:t>,</w:t>
      </w:r>
      <w:r w:rsidR="00065EB7">
        <w:rPr>
          <w:lang w:val="en-CA"/>
        </w:rPr>
        <w:t xml:space="preserve"> however</w:t>
      </w:r>
      <w:r w:rsidR="006E6679">
        <w:rPr>
          <w:lang w:val="en-CA"/>
        </w:rPr>
        <w:t>,</w:t>
      </w:r>
      <w:r w:rsidR="00065EB7">
        <w:rPr>
          <w:lang w:val="en-CA"/>
        </w:rPr>
        <w:t xml:space="preserve"> need to be further examined as part of the detailed program design phase and could be included as part of a pilot. </w:t>
      </w:r>
    </w:p>
    <w:p w14:paraId="740B2D76" w14:textId="3A77BB6A" w:rsidR="00E80252" w:rsidRDefault="00565DBC" w:rsidP="008A472F">
      <w:pPr>
        <w:pStyle w:val="Paragraph"/>
      </w:pPr>
      <w:r>
        <w:rPr>
          <w:lang w:val="en-CA"/>
        </w:rPr>
        <w:t xml:space="preserve">An AT Solutions provider could be contracted </w:t>
      </w:r>
      <w:r>
        <w:t xml:space="preserve">to </w:t>
      </w:r>
      <w:r w:rsidR="00E050C6">
        <w:t>undertake</w:t>
      </w:r>
      <w:r>
        <w:t xml:space="preserve"> AT </w:t>
      </w:r>
      <w:r w:rsidR="00E050C6">
        <w:t xml:space="preserve">procurement and </w:t>
      </w:r>
      <w:r>
        <w:t>supply</w:t>
      </w:r>
      <w:r w:rsidR="00E050C6">
        <w:t xml:space="preserve">, </w:t>
      </w:r>
      <w:r>
        <w:t xml:space="preserve">as well as operate the AT </w:t>
      </w:r>
      <w:r w:rsidR="00E050C6">
        <w:t>S</w:t>
      </w:r>
      <w:r>
        <w:t>olutions</w:t>
      </w:r>
      <w:r w:rsidR="00E050C6">
        <w:t xml:space="preserve"> suite of services.</w:t>
      </w:r>
    </w:p>
    <w:p w14:paraId="0E76C81F" w14:textId="77777777" w:rsidR="00B63FAD" w:rsidRPr="00C929C8" w:rsidRDefault="00B63FAD" w:rsidP="00B63FAD">
      <w:pPr>
        <w:pStyle w:val="Heading3"/>
        <w:rPr>
          <w:lang w:val="en-CA"/>
        </w:rPr>
      </w:pPr>
      <w:r>
        <w:rPr>
          <w:lang w:val="en-AU"/>
        </w:rPr>
        <w:t>Budget options</w:t>
      </w:r>
    </w:p>
    <w:p w14:paraId="7DE7FAE4" w14:textId="183DB24B" w:rsidR="00B63FAD" w:rsidRDefault="00B63FAD" w:rsidP="00925772">
      <w:pPr>
        <w:pStyle w:val="Paragraph"/>
      </w:pPr>
      <w:r>
        <w:t>The Department has requested that options be developed for three budget envelopes—$30 million, $50</w:t>
      </w:r>
      <w:r w:rsidR="008D60E5">
        <w:t> </w:t>
      </w:r>
      <w:r>
        <w:t xml:space="preserve">million and $100 million dollars per year. We have costed each AT option so that it is possible to pick and choose and combine options in a variety of ways. </w:t>
      </w:r>
    </w:p>
    <w:bookmarkEnd w:id="2"/>
    <w:bookmarkEnd w:id="17"/>
    <w:p w14:paraId="4790EE6B" w14:textId="454C7D20" w:rsidR="00B63FAD" w:rsidRDefault="00B63FAD" w:rsidP="00925772">
      <w:pPr>
        <w:pStyle w:val="ParaKeep"/>
      </w:pPr>
      <w:r>
        <w:t>While the</w:t>
      </w:r>
      <w:r w:rsidRPr="003D0787">
        <w:t xml:space="preserve"> selection of options will be influenced by the areas where the Department would see most value</w:t>
      </w:r>
      <w:r>
        <w:t xml:space="preserve">, </w:t>
      </w:r>
      <w:r w:rsidR="005D3B5D">
        <w:t>our suggested options that approximate the budget envelope are as follows</w:t>
      </w:r>
      <w:r>
        <w:t>:</w:t>
      </w:r>
    </w:p>
    <w:p w14:paraId="1E1766CD" w14:textId="3C7665A2" w:rsidR="00731E75" w:rsidRPr="008A472F" w:rsidRDefault="00863777" w:rsidP="002A11B7">
      <w:pPr>
        <w:pStyle w:val="List1"/>
        <w:numPr>
          <w:ilvl w:val="0"/>
          <w:numId w:val="23"/>
        </w:numPr>
        <w:spacing w:before="240"/>
        <w:rPr>
          <w:rStyle w:val="Bold"/>
        </w:rPr>
      </w:pPr>
      <w:r w:rsidRPr="008A472F">
        <w:rPr>
          <w:rStyle w:val="Bold"/>
        </w:rPr>
        <w:t>$</w:t>
      </w:r>
      <w:r w:rsidR="003E50DB">
        <w:rPr>
          <w:rStyle w:val="Bold"/>
        </w:rPr>
        <w:t>27.</w:t>
      </w:r>
      <w:r w:rsidR="00CC2FDB">
        <w:rPr>
          <w:rStyle w:val="Bold"/>
        </w:rPr>
        <w:t>8</w:t>
      </w:r>
      <w:r w:rsidR="001E1A16">
        <w:rPr>
          <w:rStyle w:val="Bold"/>
        </w:rPr>
        <w:t> </w:t>
      </w:r>
      <w:r w:rsidR="00475914" w:rsidRPr="008A472F">
        <w:rPr>
          <w:rStyle w:val="Bold"/>
        </w:rPr>
        <w:t>m</w:t>
      </w:r>
      <w:r w:rsidR="001E1A16">
        <w:rPr>
          <w:rStyle w:val="Bold"/>
        </w:rPr>
        <w:t>illion</w:t>
      </w:r>
      <w:r w:rsidRPr="008A472F">
        <w:rPr>
          <w:rStyle w:val="Bold"/>
        </w:rPr>
        <w:t xml:space="preserve"> option</w:t>
      </w:r>
      <w:r w:rsidR="009D0270" w:rsidRPr="008A472F">
        <w:rPr>
          <w:rStyle w:val="Bold"/>
        </w:rPr>
        <w:t xml:space="preserve"> includes AT for </w:t>
      </w:r>
      <w:r w:rsidR="00AC164C" w:rsidRPr="008A472F">
        <w:rPr>
          <w:rStyle w:val="Bold"/>
        </w:rPr>
        <w:t>consumers outside of aged care, CHSP and HCP consumers:</w:t>
      </w:r>
    </w:p>
    <w:p w14:paraId="02CF777B" w14:textId="28343090" w:rsidR="003E2412" w:rsidRDefault="003E2412" w:rsidP="00B63FAD">
      <w:pPr>
        <w:pStyle w:val="Bullet1"/>
      </w:pPr>
      <w:r>
        <w:t>Foundation costs</w:t>
      </w:r>
      <w:r w:rsidR="005B18FD">
        <w:t xml:space="preserve"> ($</w:t>
      </w:r>
      <w:r w:rsidR="00CC2FDB">
        <w:t>4.9</w:t>
      </w:r>
      <w:r w:rsidR="00E80252">
        <w:t xml:space="preserve"> </w:t>
      </w:r>
      <w:r w:rsidR="001E4077">
        <w:t>m</w:t>
      </w:r>
      <w:r w:rsidR="00E80252">
        <w:t>illion</w:t>
      </w:r>
      <w:r w:rsidR="001E4077">
        <w:t>)</w:t>
      </w:r>
    </w:p>
    <w:p w14:paraId="6C275537" w14:textId="13DA6254" w:rsidR="00AE16EA" w:rsidRDefault="006F1B4E" w:rsidP="00B63FAD">
      <w:pPr>
        <w:pStyle w:val="Bullet1"/>
      </w:pPr>
      <w:r>
        <w:t xml:space="preserve">Option 1: </w:t>
      </w:r>
      <w:r w:rsidR="003E2412">
        <w:t xml:space="preserve">ADL kits for </w:t>
      </w:r>
      <w:r>
        <w:t xml:space="preserve">eligible </w:t>
      </w:r>
      <w:r w:rsidR="004B095F">
        <w:t>consumers outside of aged care</w:t>
      </w:r>
      <w:r w:rsidR="00850FCC">
        <w:t xml:space="preserve"> </w:t>
      </w:r>
      <w:r w:rsidR="001E4077">
        <w:t>($2.</w:t>
      </w:r>
      <w:r w:rsidR="007C7DEE">
        <w:t>0</w:t>
      </w:r>
      <w:r w:rsidR="00E80252">
        <w:t xml:space="preserve"> </w:t>
      </w:r>
      <w:r w:rsidR="001E4077">
        <w:t>m</w:t>
      </w:r>
      <w:r w:rsidR="00E80252">
        <w:t>illion</w:t>
      </w:r>
      <w:r w:rsidR="001E4077">
        <w:t>)</w:t>
      </w:r>
    </w:p>
    <w:p w14:paraId="3BFD0D47" w14:textId="1849F985" w:rsidR="00B63FAD" w:rsidRDefault="00B63FAD" w:rsidP="00B63FAD">
      <w:pPr>
        <w:pStyle w:val="Bullet1"/>
      </w:pPr>
      <w:r>
        <w:t>Option 3: ADL kits for new CHSP reablement and reassessed consumers ($</w:t>
      </w:r>
      <w:r w:rsidR="00230307">
        <w:t>7.9</w:t>
      </w:r>
      <w:r w:rsidR="00E80252">
        <w:t xml:space="preserve"> </w:t>
      </w:r>
      <w:r w:rsidR="00230307">
        <w:t>m</w:t>
      </w:r>
      <w:r w:rsidR="00E80252">
        <w:t>illion</w:t>
      </w:r>
      <w:r>
        <w:t>)</w:t>
      </w:r>
    </w:p>
    <w:p w14:paraId="75F335BB" w14:textId="00DFD01A" w:rsidR="00B63FAD" w:rsidRDefault="00B63FAD" w:rsidP="00B63FAD">
      <w:pPr>
        <w:pStyle w:val="Bullet1"/>
      </w:pPr>
      <w:r>
        <w:t>Option 5: ADL kits for new Home Care Package 1 and 2 consumers ($</w:t>
      </w:r>
      <w:r w:rsidR="00AA4D3D">
        <w:t>5.3</w:t>
      </w:r>
      <w:r w:rsidR="00E80252">
        <w:t xml:space="preserve"> </w:t>
      </w:r>
      <w:r w:rsidR="007416C5">
        <w:t>m</w:t>
      </w:r>
      <w:r w:rsidR="00E80252">
        <w:t>illion</w:t>
      </w:r>
      <w:r>
        <w:t>)</w:t>
      </w:r>
    </w:p>
    <w:p w14:paraId="42B11588" w14:textId="3EDE1E3B" w:rsidR="00B63FAD" w:rsidRDefault="00B63FAD" w:rsidP="00063C0E">
      <w:pPr>
        <w:pStyle w:val="Bullet1"/>
      </w:pPr>
      <w:r>
        <w:t>AT Administrator: 50% of ADL product costs ($7.6</w:t>
      </w:r>
      <w:r w:rsidR="00E80252">
        <w:t xml:space="preserve"> </w:t>
      </w:r>
      <w:r w:rsidR="00042D1C">
        <w:t>m</w:t>
      </w:r>
      <w:r w:rsidR="00E80252">
        <w:t>illion</w:t>
      </w:r>
      <w:r>
        <w:t>)</w:t>
      </w:r>
    </w:p>
    <w:p w14:paraId="1E93DA13" w14:textId="7B086A2B" w:rsidR="003C6C78" w:rsidRPr="008A472F" w:rsidRDefault="00B63FAD" w:rsidP="008A472F">
      <w:pPr>
        <w:pStyle w:val="List1"/>
        <w:spacing w:before="240"/>
        <w:rPr>
          <w:rStyle w:val="Bold"/>
        </w:rPr>
      </w:pPr>
      <w:r w:rsidRPr="008A472F">
        <w:rPr>
          <w:rStyle w:val="Bold"/>
        </w:rPr>
        <w:t>$</w:t>
      </w:r>
      <w:r w:rsidR="002A11B7">
        <w:rPr>
          <w:rStyle w:val="Bold"/>
        </w:rPr>
        <w:t>48.7</w:t>
      </w:r>
      <w:r w:rsidR="00A90264" w:rsidRPr="008A472F">
        <w:rPr>
          <w:rStyle w:val="Bold"/>
        </w:rPr>
        <w:t xml:space="preserve"> </w:t>
      </w:r>
      <w:r w:rsidR="008D714A" w:rsidRPr="008A472F">
        <w:rPr>
          <w:rStyle w:val="Bold"/>
        </w:rPr>
        <w:t>million opt</w:t>
      </w:r>
      <w:r w:rsidR="00854E40" w:rsidRPr="008A472F">
        <w:rPr>
          <w:rStyle w:val="Bold"/>
        </w:rPr>
        <w:t>i</w:t>
      </w:r>
      <w:r w:rsidR="008D714A" w:rsidRPr="008A472F">
        <w:rPr>
          <w:rStyle w:val="Bold"/>
        </w:rPr>
        <w:t>on</w:t>
      </w:r>
      <w:r w:rsidR="00AC164C" w:rsidRPr="008A472F">
        <w:rPr>
          <w:rStyle w:val="Bold"/>
        </w:rPr>
        <w:t xml:space="preserve"> includes AT for consumers outside of aged care</w:t>
      </w:r>
      <w:r w:rsidR="00424557" w:rsidRPr="008A472F">
        <w:rPr>
          <w:rStyle w:val="Bold"/>
        </w:rPr>
        <w:t>,</w:t>
      </w:r>
      <w:r w:rsidR="00AC164C" w:rsidRPr="008A472F">
        <w:rPr>
          <w:rStyle w:val="Bold"/>
        </w:rPr>
        <w:t xml:space="preserve"> CHSP</w:t>
      </w:r>
      <w:r w:rsidR="00424557" w:rsidRPr="008A472F">
        <w:rPr>
          <w:rStyle w:val="Bold"/>
        </w:rPr>
        <w:t xml:space="preserve"> and HCP</w:t>
      </w:r>
      <w:r w:rsidR="00AC164C" w:rsidRPr="008A472F">
        <w:rPr>
          <w:rStyle w:val="Bold"/>
        </w:rPr>
        <w:t xml:space="preserve"> consumers</w:t>
      </w:r>
      <w:r w:rsidR="00424557" w:rsidRPr="008A472F">
        <w:rPr>
          <w:rStyle w:val="Bold"/>
        </w:rPr>
        <w:t>:</w:t>
      </w:r>
    </w:p>
    <w:p w14:paraId="2921D250" w14:textId="4F2B4442" w:rsidR="008D714A" w:rsidRDefault="008D714A" w:rsidP="00B63FAD">
      <w:pPr>
        <w:pStyle w:val="Bullet1"/>
      </w:pPr>
      <w:r>
        <w:t>Foundation costs ($</w:t>
      </w:r>
      <w:r w:rsidR="00CC2FDB">
        <w:t>4.9</w:t>
      </w:r>
      <w:r w:rsidR="00E80252">
        <w:t xml:space="preserve"> </w:t>
      </w:r>
      <w:r w:rsidR="009F37C7">
        <w:t>m</w:t>
      </w:r>
      <w:r w:rsidR="00E80252">
        <w:t>illion</w:t>
      </w:r>
      <w:r>
        <w:t>)</w:t>
      </w:r>
    </w:p>
    <w:p w14:paraId="118DFE83" w14:textId="51C28000" w:rsidR="008D714A" w:rsidRDefault="008D714A" w:rsidP="00B63FAD">
      <w:pPr>
        <w:pStyle w:val="Bullet1"/>
      </w:pPr>
      <w:r>
        <w:t>Option 1: ADL kits for eligible consumers outside of aged care ($2.</w:t>
      </w:r>
      <w:r w:rsidR="00BE1EE7">
        <w:t>0</w:t>
      </w:r>
      <w:r w:rsidR="008D60E5">
        <w:t xml:space="preserve"> </w:t>
      </w:r>
      <w:r w:rsidR="00042D1C">
        <w:t>m</w:t>
      </w:r>
      <w:r w:rsidR="008D60E5">
        <w:t>illion</w:t>
      </w:r>
      <w:r>
        <w:t>)</w:t>
      </w:r>
    </w:p>
    <w:p w14:paraId="0F69AAF4" w14:textId="696E7FD5" w:rsidR="00B63FAD" w:rsidRDefault="00B63FAD" w:rsidP="00B63FAD">
      <w:pPr>
        <w:pStyle w:val="Bullet1"/>
      </w:pPr>
      <w:r>
        <w:t>Option 2: ADL kits for new CHSP reablement ($3.9</w:t>
      </w:r>
      <w:r w:rsidR="008D60E5">
        <w:t xml:space="preserve"> </w:t>
      </w:r>
      <w:r w:rsidR="00042D1C">
        <w:t>m</w:t>
      </w:r>
      <w:r w:rsidR="008D60E5">
        <w:t>illion</w:t>
      </w:r>
      <w:r>
        <w:t>)</w:t>
      </w:r>
    </w:p>
    <w:p w14:paraId="63D0116E" w14:textId="57D280D7" w:rsidR="00BD645D" w:rsidRDefault="00BD645D" w:rsidP="00B63FAD">
      <w:pPr>
        <w:pStyle w:val="Bullet1"/>
      </w:pPr>
      <w:r>
        <w:t>Option 5:</w:t>
      </w:r>
      <w:r w:rsidR="00B63FAD">
        <w:t xml:space="preserve"> ADL kits for new Home Care Package </w:t>
      </w:r>
      <w:r>
        <w:t>Level 1 and 2 consumers ($5.3</w:t>
      </w:r>
      <w:r w:rsidR="008D60E5">
        <w:t xml:space="preserve"> </w:t>
      </w:r>
      <w:r w:rsidR="00042D1C">
        <w:t>m</w:t>
      </w:r>
      <w:r w:rsidR="008D60E5">
        <w:t>illion</w:t>
      </w:r>
      <w:r>
        <w:t>)</w:t>
      </w:r>
    </w:p>
    <w:p w14:paraId="40398B0B" w14:textId="2B53E706" w:rsidR="000327E7" w:rsidRDefault="000327E7" w:rsidP="00B63FAD">
      <w:pPr>
        <w:pStyle w:val="Bullet1"/>
      </w:pPr>
      <w:r>
        <w:t>Option 6: State CHSP AT funding ($2</w:t>
      </w:r>
      <w:r w:rsidR="00A01905">
        <w:t>0.6</w:t>
      </w:r>
      <w:r w:rsidR="008D60E5">
        <w:t xml:space="preserve"> </w:t>
      </w:r>
      <w:r w:rsidR="00042D1C">
        <w:t>m</w:t>
      </w:r>
      <w:r w:rsidR="008D60E5">
        <w:t>illion</w:t>
      </w:r>
      <w:r>
        <w:t>)</w:t>
      </w:r>
    </w:p>
    <w:p w14:paraId="4373E9CD" w14:textId="71A6BA72" w:rsidR="00A5709D" w:rsidRDefault="00B63FAD" w:rsidP="00B63FAD">
      <w:pPr>
        <w:pStyle w:val="Bullet1"/>
      </w:pPr>
      <w:r>
        <w:t>AT Administrator: 30% of AT product costs ($9.</w:t>
      </w:r>
      <w:r w:rsidR="002A11B7">
        <w:t>6</w:t>
      </w:r>
      <w:r w:rsidR="008D60E5">
        <w:t xml:space="preserve"> </w:t>
      </w:r>
      <w:r w:rsidR="00042D1C">
        <w:t>m</w:t>
      </w:r>
      <w:r w:rsidR="008D60E5">
        <w:t>illion</w:t>
      </w:r>
      <w:r>
        <w:t>)</w:t>
      </w:r>
    </w:p>
    <w:p w14:paraId="7A97F5EA" w14:textId="24B6697F" w:rsidR="00B63FAD" w:rsidRDefault="00A5709D" w:rsidP="00B63FAD">
      <w:pPr>
        <w:pStyle w:val="Bullet1"/>
      </w:pPr>
      <w:r>
        <w:t>Additional allied health assessments ($</w:t>
      </w:r>
      <w:r w:rsidR="002A11B7">
        <w:t>2.4</w:t>
      </w:r>
      <w:r w:rsidR="008D60E5">
        <w:t xml:space="preserve"> </w:t>
      </w:r>
      <w:r>
        <w:t>m</w:t>
      </w:r>
      <w:r w:rsidR="008D60E5">
        <w:t>illion</w:t>
      </w:r>
      <w:r>
        <w:t>)</w:t>
      </w:r>
      <w:r w:rsidR="00B63FAD">
        <w:t>.</w:t>
      </w:r>
    </w:p>
    <w:p w14:paraId="5B3E67FB" w14:textId="463AA7EA" w:rsidR="00A30C6F" w:rsidRPr="008A472F" w:rsidRDefault="00B63FAD" w:rsidP="008A472F">
      <w:pPr>
        <w:pStyle w:val="List1"/>
        <w:spacing w:before="240"/>
        <w:rPr>
          <w:rStyle w:val="Bold"/>
        </w:rPr>
      </w:pPr>
      <w:r w:rsidRPr="008A472F">
        <w:rPr>
          <w:rStyle w:val="Bold"/>
        </w:rPr>
        <w:lastRenderedPageBreak/>
        <w:t>$</w:t>
      </w:r>
      <w:r w:rsidR="00A5709D">
        <w:rPr>
          <w:rStyle w:val="Bold"/>
        </w:rPr>
        <w:t>100.</w:t>
      </w:r>
      <w:r w:rsidR="002A11B7">
        <w:rPr>
          <w:rStyle w:val="Bold"/>
        </w:rPr>
        <w:t>1</w:t>
      </w:r>
      <w:r w:rsidR="00A30C6F" w:rsidRPr="008A472F">
        <w:rPr>
          <w:rStyle w:val="Bold"/>
        </w:rPr>
        <w:t xml:space="preserve"> million option</w:t>
      </w:r>
      <w:r w:rsidR="00AC164C" w:rsidRPr="008A472F">
        <w:rPr>
          <w:rStyle w:val="Bold"/>
        </w:rPr>
        <w:t xml:space="preserve"> for consumers outside of aged care</w:t>
      </w:r>
      <w:r w:rsidR="00253913" w:rsidRPr="008A472F">
        <w:rPr>
          <w:rStyle w:val="Bold"/>
        </w:rPr>
        <w:t xml:space="preserve"> and </w:t>
      </w:r>
      <w:r w:rsidR="00AC164C" w:rsidRPr="008A472F">
        <w:rPr>
          <w:rStyle w:val="Bold"/>
        </w:rPr>
        <w:t>CHSP consumers</w:t>
      </w:r>
      <w:r w:rsidR="00725462" w:rsidRPr="008A472F">
        <w:rPr>
          <w:rStyle w:val="Bold"/>
        </w:rPr>
        <w:t>:</w:t>
      </w:r>
    </w:p>
    <w:p w14:paraId="0427FD86" w14:textId="6939C915" w:rsidR="00AA012F" w:rsidRDefault="00AA012F" w:rsidP="00B63FAD">
      <w:pPr>
        <w:pStyle w:val="Bullet1"/>
      </w:pPr>
      <w:r>
        <w:t>Foundation costs ($</w:t>
      </w:r>
      <w:r w:rsidR="00CC2FDB">
        <w:t>4.9</w:t>
      </w:r>
      <w:r w:rsidR="008D60E5">
        <w:t xml:space="preserve"> </w:t>
      </w:r>
      <w:r w:rsidR="00042D1C">
        <w:t>m</w:t>
      </w:r>
      <w:r w:rsidR="008D60E5">
        <w:t>illion</w:t>
      </w:r>
      <w:r>
        <w:t>)</w:t>
      </w:r>
    </w:p>
    <w:p w14:paraId="0D35C264" w14:textId="33D6BBFB" w:rsidR="00AA012F" w:rsidRDefault="00AA012F" w:rsidP="00B63FAD">
      <w:pPr>
        <w:pStyle w:val="Bullet1"/>
      </w:pPr>
      <w:r>
        <w:t>Option 1: ADL kits for eligible consumers outside of aged care ($2.</w:t>
      </w:r>
      <w:r w:rsidR="00BE1EE7">
        <w:t>0</w:t>
      </w:r>
      <w:r w:rsidR="008D60E5">
        <w:t xml:space="preserve"> </w:t>
      </w:r>
      <w:r w:rsidR="00042D1C">
        <w:t>m</w:t>
      </w:r>
      <w:r w:rsidR="008D60E5">
        <w:t>illion</w:t>
      </w:r>
      <w:r>
        <w:t>)</w:t>
      </w:r>
    </w:p>
    <w:p w14:paraId="626F3F75" w14:textId="0DA1603D" w:rsidR="007D7BDC" w:rsidRDefault="007D7BDC" w:rsidP="00B63FAD">
      <w:pPr>
        <w:pStyle w:val="Bullet1"/>
      </w:pPr>
      <w:r>
        <w:t>Option 3</w:t>
      </w:r>
      <w:r w:rsidR="00B63FAD">
        <w:t xml:space="preserve">: </w:t>
      </w:r>
      <w:r>
        <w:t>ADL kits for new CHSP reablement and reassessed consumers ($7.9</w:t>
      </w:r>
      <w:r w:rsidR="008D60E5">
        <w:t xml:space="preserve"> </w:t>
      </w:r>
      <w:r w:rsidR="00042D1C">
        <w:t>m</w:t>
      </w:r>
      <w:r w:rsidR="008D60E5">
        <w:t>illion</w:t>
      </w:r>
      <w:r>
        <w:t>)</w:t>
      </w:r>
    </w:p>
    <w:p w14:paraId="60E25022" w14:textId="1DA35FF8" w:rsidR="00877867" w:rsidRDefault="00877867" w:rsidP="00B63FAD">
      <w:pPr>
        <w:pStyle w:val="Bullet1"/>
      </w:pPr>
      <w:r>
        <w:t xml:space="preserve">Option </w:t>
      </w:r>
      <w:r w:rsidR="00DA289A">
        <w:t>8</w:t>
      </w:r>
      <w:r>
        <w:t xml:space="preserve">: </w:t>
      </w:r>
      <w:r w:rsidR="00557DF9">
        <w:t xml:space="preserve">Expanded AT list with state </w:t>
      </w:r>
      <w:r w:rsidR="008939E6">
        <w:t xml:space="preserve">equity </w:t>
      </w:r>
      <w:r w:rsidR="00557DF9">
        <w:t xml:space="preserve">up to </w:t>
      </w:r>
      <w:r w:rsidR="007B5E4B">
        <w:t xml:space="preserve">a cap of </w:t>
      </w:r>
      <w:r w:rsidR="00557DF9">
        <w:t>$1</w:t>
      </w:r>
      <w:r w:rsidR="008D60E5">
        <w:t>,</w:t>
      </w:r>
      <w:r w:rsidR="00557DF9">
        <w:t>500</w:t>
      </w:r>
      <w:r w:rsidR="007B5E4B">
        <w:t xml:space="preserve"> ($61</w:t>
      </w:r>
      <w:r w:rsidR="00672208">
        <w:t>.5</w:t>
      </w:r>
      <w:r w:rsidR="008D60E5">
        <w:t xml:space="preserve"> </w:t>
      </w:r>
      <w:r w:rsidR="00042D1C">
        <w:t>m</w:t>
      </w:r>
      <w:r w:rsidR="008D60E5">
        <w:t>illion</w:t>
      </w:r>
      <w:r w:rsidR="007B5E4B">
        <w:t>)</w:t>
      </w:r>
    </w:p>
    <w:p w14:paraId="4B688F5C" w14:textId="43C6FA71" w:rsidR="00A5709D" w:rsidRDefault="00B63FAD" w:rsidP="00B84AD9">
      <w:pPr>
        <w:pStyle w:val="Bullet1"/>
      </w:pPr>
      <w:r>
        <w:t>AT Administrator: 30% of AT product costs ($21.4</w:t>
      </w:r>
      <w:r w:rsidR="008D60E5">
        <w:t xml:space="preserve"> </w:t>
      </w:r>
      <w:r w:rsidR="00042D1C">
        <w:t>m</w:t>
      </w:r>
      <w:r w:rsidR="008D60E5">
        <w:t>illion</w:t>
      </w:r>
      <w:r>
        <w:t>)</w:t>
      </w:r>
    </w:p>
    <w:p w14:paraId="7ED40E71" w14:textId="71EADC36" w:rsidR="008A472F" w:rsidRPr="008A472F" w:rsidRDefault="00A5709D" w:rsidP="00B84AD9">
      <w:pPr>
        <w:pStyle w:val="Bullet1"/>
      </w:pPr>
      <w:r>
        <w:t>Additional allied health assessments ($</w:t>
      </w:r>
      <w:r w:rsidR="002A11B7">
        <w:t>2.4</w:t>
      </w:r>
      <w:r w:rsidR="008D60E5">
        <w:t xml:space="preserve"> </w:t>
      </w:r>
      <w:r w:rsidR="002A11B7">
        <w:t>m</w:t>
      </w:r>
      <w:r w:rsidR="008D60E5">
        <w:t>illion</w:t>
      </w:r>
      <w:r>
        <w:t>)</w:t>
      </w:r>
      <w:r w:rsidR="00A533DC">
        <w:t>.</w:t>
      </w:r>
    </w:p>
    <w:p w14:paraId="44A40A0A" w14:textId="21CF7E5F" w:rsidR="008845A2" w:rsidRDefault="008845A2" w:rsidP="008845A2">
      <w:pPr>
        <w:pStyle w:val="Heading2"/>
      </w:pPr>
      <w:bookmarkStart w:id="21" w:name="_Toc59402370"/>
      <w:r>
        <w:t>Conclusion</w:t>
      </w:r>
      <w:bookmarkEnd w:id="21"/>
    </w:p>
    <w:p w14:paraId="0897945C" w14:textId="43028F71" w:rsidR="00EE4682" w:rsidRDefault="00EE4682" w:rsidP="00EE4682">
      <w:pPr>
        <w:pStyle w:val="Paragraph"/>
        <w:rPr>
          <w:rFonts w:ascii="Calibri" w:eastAsiaTheme="minorHAnsi" w:hAnsi="Calibri"/>
          <w:szCs w:val="20"/>
          <w:lang w:val="en-AU" w:eastAsia="en-AU"/>
        </w:rPr>
      </w:pPr>
      <w:bookmarkStart w:id="22" w:name="_Hlk42281178"/>
      <w:r>
        <w:rPr>
          <w:lang w:eastAsia="en-AU"/>
        </w:rPr>
        <w:t>The breadth and number of challenges hindering access to AT demonstrate the timeliness of this review. Issues at key stages in a typical ageing consumer’s journey—from a lack of independent information and readily available advice, to clinical assessment where necessary before provision of AT products—means that consumers might not know of, or be able to obtain</w:t>
      </w:r>
      <w:r w:rsidR="007C007C">
        <w:rPr>
          <w:lang w:eastAsia="en-AU"/>
        </w:rPr>
        <w:t>,</w:t>
      </w:r>
      <w:r>
        <w:rPr>
          <w:lang w:eastAsia="en-AU"/>
        </w:rPr>
        <w:t xml:space="preserve"> the AT they need at the right time to maintain their independence. </w:t>
      </w:r>
    </w:p>
    <w:p w14:paraId="3A234AA4" w14:textId="1685827D" w:rsidR="00EE4682" w:rsidRDefault="00EE4682" w:rsidP="00063C0E">
      <w:pPr>
        <w:pStyle w:val="ParaKeep"/>
      </w:pPr>
      <w:r>
        <w:t>Our economic modelling has found that the benefits of AT outweigh its costs, supporting the increasing use of AT as an intervention for</w:t>
      </w:r>
      <w:r>
        <w:rPr>
          <w:color w:val="auto"/>
        </w:rPr>
        <w:t xml:space="preserve"> </w:t>
      </w:r>
      <w:r>
        <w:t xml:space="preserve">older Australians. We have developed and individually costed nine program options from which the Department can design a new national AT </w:t>
      </w:r>
      <w:r w:rsidR="000B2E97">
        <w:t>approach</w:t>
      </w:r>
      <w:r>
        <w:t xml:space="preserve">. </w:t>
      </w:r>
      <w:r w:rsidR="000B2E97">
        <w:t>Options</w:t>
      </w:r>
      <w:r>
        <w:t xml:space="preserve"> range from $</w:t>
      </w:r>
      <w:r w:rsidR="007C007C">
        <w:t>2</w:t>
      </w:r>
      <w:r w:rsidR="008D60E5">
        <w:t> </w:t>
      </w:r>
      <w:r w:rsidR="007C007C">
        <w:t>m</w:t>
      </w:r>
      <w:r w:rsidR="008D60E5">
        <w:t>illion</w:t>
      </w:r>
      <w:r w:rsidR="007C007C">
        <w:t xml:space="preserve"> </w:t>
      </w:r>
      <w:r>
        <w:t>to $</w:t>
      </w:r>
      <w:r w:rsidR="007C007C">
        <w:t>61</w:t>
      </w:r>
      <w:r w:rsidR="008D60E5">
        <w:t> </w:t>
      </w:r>
      <w:r w:rsidR="007C007C">
        <w:t>m</w:t>
      </w:r>
      <w:r w:rsidR="008D60E5">
        <w:t>illion</w:t>
      </w:r>
      <w:r>
        <w:t xml:space="preserve">, and each has a positive return on investment, ranging from $3.90 to $25.63 for every $1 spent. </w:t>
      </w:r>
      <w:r w:rsidR="00A90264">
        <w:t xml:space="preserve">These options </w:t>
      </w:r>
      <w:r>
        <w:t>provide for:</w:t>
      </w:r>
    </w:p>
    <w:p w14:paraId="76F33869" w14:textId="77777777" w:rsidR="00EE4682" w:rsidRDefault="00EE4682" w:rsidP="002A11B7">
      <w:pPr>
        <w:pStyle w:val="Bullet1"/>
        <w:numPr>
          <w:ilvl w:val="0"/>
          <w:numId w:val="27"/>
        </w:numPr>
      </w:pPr>
      <w:r>
        <w:t xml:space="preserve">Impartial AT information and consistent, evidence-based advice for all ageing consumers </w:t>
      </w:r>
    </w:p>
    <w:p w14:paraId="6BC8153E" w14:textId="77777777" w:rsidR="00EE4682" w:rsidRDefault="00EE4682" w:rsidP="002A11B7">
      <w:pPr>
        <w:pStyle w:val="Bullet1"/>
        <w:numPr>
          <w:ilvl w:val="0"/>
          <w:numId w:val="27"/>
        </w:numPr>
      </w:pPr>
      <w:r>
        <w:t>ADL kits that assist in everyday tasks at home, for consumers outside and inside aged care</w:t>
      </w:r>
    </w:p>
    <w:p w14:paraId="75E3EA86" w14:textId="2ABCE642" w:rsidR="00EE4682" w:rsidRDefault="00EE4682" w:rsidP="002A11B7">
      <w:pPr>
        <w:pStyle w:val="Bullet1"/>
        <w:numPr>
          <w:ilvl w:val="0"/>
          <w:numId w:val="27"/>
        </w:numPr>
      </w:pPr>
      <w:r>
        <w:t xml:space="preserve">Boosted existing CHSP AT funding, including state funding </w:t>
      </w:r>
      <w:r w:rsidR="007C007C">
        <w:t xml:space="preserve">equity </w:t>
      </w:r>
      <w:r>
        <w:t>and expanding the categories of AT products available.</w:t>
      </w:r>
    </w:p>
    <w:p w14:paraId="43A91263" w14:textId="77777777" w:rsidR="00EE4682" w:rsidRDefault="00EE4682" w:rsidP="00063C0E">
      <w:pPr>
        <w:pStyle w:val="Paragraph"/>
        <w:rPr>
          <w:lang w:eastAsia="en-AU"/>
        </w:rPr>
      </w:pPr>
      <w:r>
        <w:rPr>
          <w:lang w:eastAsia="en-AU"/>
        </w:rPr>
        <w:t xml:space="preserve">There are benefits for the health and aged care systems, although the evidence quantifying these benefits is still emerging. </w:t>
      </w:r>
    </w:p>
    <w:p w14:paraId="5A56F38B" w14:textId="77777777" w:rsidR="00B11C7D" w:rsidRDefault="00EE4682" w:rsidP="00063C0E">
      <w:pPr>
        <w:pStyle w:val="Paragraph"/>
      </w:pPr>
      <w:r w:rsidRPr="00323E76">
        <w:t>There is still much that is unknown in the use and application of AT for older Australians. At the very least, there is an opportunity to open up access to consumers not in the aged care system through the provision of information and advice</w:t>
      </w:r>
      <w:r w:rsidR="00F80723">
        <w:t xml:space="preserve">. </w:t>
      </w:r>
      <w:r w:rsidRPr="00323E76">
        <w:t xml:space="preserve">With additional funding, there </w:t>
      </w:r>
      <w:r w:rsidR="007C007C">
        <w:t>may be</w:t>
      </w:r>
      <w:r w:rsidR="007C007C" w:rsidRPr="00323E76">
        <w:t xml:space="preserve"> </w:t>
      </w:r>
      <w:r w:rsidRPr="00323E76">
        <w:t xml:space="preserve">considerable benefit in both expanding the AT product range as well as the level of funding available for AT programs. Regardless, a staged approach involving an initial trial is suggested to ensure that a national rollout of the </w:t>
      </w:r>
      <w:r w:rsidR="00E60F1E">
        <w:t>new approach</w:t>
      </w:r>
      <w:r w:rsidR="00E60F1E" w:rsidRPr="00323E76">
        <w:t xml:space="preserve"> </w:t>
      </w:r>
      <w:r w:rsidR="00A12597">
        <w:t>builds an</w:t>
      </w:r>
      <w:r w:rsidRPr="00323E76">
        <w:t xml:space="preserve"> evidence base to ensure that </w:t>
      </w:r>
      <w:r w:rsidR="007D0A7F">
        <w:t xml:space="preserve">it </w:t>
      </w:r>
      <w:r w:rsidRPr="00323E76">
        <w:t>is appropriate for consumers and cost effective.</w:t>
      </w:r>
      <w:bookmarkEnd w:id="22"/>
    </w:p>
    <w:p w14:paraId="5B6D7D72" w14:textId="42308479" w:rsidR="008845A2" w:rsidRDefault="008845A2" w:rsidP="00063C0E">
      <w:pPr>
        <w:pStyle w:val="Paragraph"/>
      </w:pPr>
      <w:r>
        <w:br w:type="page"/>
      </w:r>
    </w:p>
    <w:p w14:paraId="1272716F" w14:textId="77777777" w:rsidR="008845A2" w:rsidRPr="00695176" w:rsidRDefault="008845A2" w:rsidP="00695176"/>
    <w:p w14:paraId="4B765BD5" w14:textId="0D271024" w:rsidR="008845A2" w:rsidRPr="00B42789" w:rsidRDefault="008845A2" w:rsidP="008845A2">
      <w:pPr>
        <w:pStyle w:val="Heading1"/>
        <w:rPr>
          <w:color w:val="auto"/>
        </w:rPr>
      </w:pPr>
      <w:bookmarkStart w:id="23" w:name="_Toc59402371"/>
      <w:r w:rsidRPr="00B42789">
        <w:rPr>
          <w:color w:val="auto"/>
          <w:lang w:eastAsia="en-AU"/>
        </w:rPr>
        <w:t>Introduction</w:t>
      </w:r>
      <w:bookmarkEnd w:id="23"/>
    </w:p>
    <w:p w14:paraId="16ADD02D" w14:textId="77777777" w:rsidR="008845A2" w:rsidRPr="00636B05" w:rsidRDefault="008845A2" w:rsidP="008845A2">
      <w:r w:rsidRPr="00636B05">
        <w:br w:type="page"/>
      </w:r>
    </w:p>
    <w:p w14:paraId="25180100" w14:textId="48BEDE0F" w:rsidR="008845A2" w:rsidRDefault="008845A2" w:rsidP="008845A2">
      <w:pPr>
        <w:pStyle w:val="Paragraph"/>
      </w:pPr>
      <w:r>
        <w:lastRenderedPageBreak/>
        <w:t xml:space="preserve">In December 2019, the Department of Health (the Department) engaged Australian Healthcare Associates (AHA) to undertake a </w:t>
      </w:r>
      <w:r w:rsidRPr="00122C10">
        <w:t>Review of Assistive Technology Programs in Australia</w:t>
      </w:r>
      <w:r w:rsidR="00F80723">
        <w:t xml:space="preserve">. </w:t>
      </w:r>
      <w:r>
        <w:t xml:space="preserve">This is the Final Report for the review. </w:t>
      </w:r>
    </w:p>
    <w:p w14:paraId="24EB2EC0" w14:textId="77777777" w:rsidR="008845A2" w:rsidRDefault="008845A2" w:rsidP="008845A2">
      <w:pPr>
        <w:pStyle w:val="Heading2"/>
      </w:pPr>
      <w:bookmarkStart w:id="24" w:name="_Toc59402372"/>
      <w:r>
        <w:t>Review purpose and scope</w:t>
      </w:r>
      <w:bookmarkEnd w:id="24"/>
      <w:r>
        <w:t xml:space="preserve"> </w:t>
      </w:r>
    </w:p>
    <w:p w14:paraId="6D6D35BE" w14:textId="77777777" w:rsidR="008845A2" w:rsidRDefault="008845A2" w:rsidP="008845A2">
      <w:pPr>
        <w:pStyle w:val="ParaKeep"/>
        <w:rPr>
          <w:lang w:val="en-CA"/>
        </w:rPr>
      </w:pPr>
      <w:r>
        <w:rPr>
          <w:lang w:val="en-CA"/>
        </w:rPr>
        <w:t xml:space="preserve">This review was established to: </w:t>
      </w:r>
    </w:p>
    <w:p w14:paraId="11B3AA7E" w14:textId="77777777" w:rsidR="008845A2" w:rsidRDefault="008845A2" w:rsidP="00C81A64">
      <w:pPr>
        <w:pStyle w:val="Bullet1"/>
      </w:pPr>
      <w:r w:rsidRPr="00EC48FA">
        <w:t>Summarise the current AT arrangements in Australia, including how aged care intersects with the health and disability system in relation to AT</w:t>
      </w:r>
    </w:p>
    <w:p w14:paraId="34A06FFA" w14:textId="77777777" w:rsidR="008845A2" w:rsidRPr="00EC48FA" w:rsidRDefault="008845A2" w:rsidP="00C81A64">
      <w:pPr>
        <w:pStyle w:val="Bullet1"/>
      </w:pPr>
      <w:r w:rsidRPr="00EC48FA">
        <w:t>Consider the benefits of AT, including the potential to mitigate risks in providing care to frail, older people in their homes, and to support relationships between carers and consumers</w:t>
      </w:r>
    </w:p>
    <w:p w14:paraId="09F4993F" w14:textId="77777777" w:rsidR="008845A2" w:rsidRPr="00EC48FA" w:rsidRDefault="008845A2" w:rsidP="00C81A64">
      <w:pPr>
        <w:pStyle w:val="Bullet1"/>
      </w:pPr>
      <w:r w:rsidRPr="00EC48FA">
        <w:t>Look at the impact of AT on reducing ongoing costs for in-home and residential aged care</w:t>
      </w:r>
    </w:p>
    <w:p w14:paraId="07A7CE0C" w14:textId="211A7378" w:rsidR="008845A2" w:rsidRDefault="008845A2" w:rsidP="00C81A64">
      <w:pPr>
        <w:pStyle w:val="Bullet1"/>
      </w:pPr>
      <w:r w:rsidRPr="00EC48FA">
        <w:t>Identify which types of AT should be subsidised by government or purchased privately, and how rental markets could be better used to improve access</w:t>
      </w:r>
    </w:p>
    <w:p w14:paraId="4B9852C3" w14:textId="77777777" w:rsidR="008845A2" w:rsidRPr="00EC48FA" w:rsidRDefault="008845A2" w:rsidP="00C81A64">
      <w:pPr>
        <w:pStyle w:val="Bullet1"/>
      </w:pPr>
      <w:r>
        <w:t>A</w:t>
      </w:r>
      <w:r w:rsidRPr="00AF44B9">
        <w:t xml:space="preserve">dvise on options and future models for improving access to AT for older Australians. </w:t>
      </w:r>
    </w:p>
    <w:p w14:paraId="2DABE9B8" w14:textId="77777777" w:rsidR="008845A2" w:rsidRDefault="008845A2" w:rsidP="008845A2">
      <w:pPr>
        <w:pStyle w:val="ParaKeep"/>
        <w:rPr>
          <w:lang w:val="en-CA"/>
        </w:rPr>
      </w:pPr>
      <w:r>
        <w:rPr>
          <w:lang w:val="en-CA"/>
        </w:rPr>
        <w:t>The scope of this review is broad and includes:</w:t>
      </w:r>
    </w:p>
    <w:p w14:paraId="3731FA62" w14:textId="69DD2786" w:rsidR="008845A2" w:rsidRPr="00C81A64" w:rsidRDefault="008845A2" w:rsidP="00C81A64">
      <w:pPr>
        <w:pStyle w:val="Bullet1"/>
      </w:pPr>
      <w:r w:rsidRPr="00C81A64">
        <w:t xml:space="preserve">Older Australians who include non-indigenous people aged 65 years and older and Aboriginal and Torres Strait Islanders aged 50 years and older </w:t>
      </w:r>
    </w:p>
    <w:p w14:paraId="135F4078" w14:textId="3B15EF4F" w:rsidR="008845A2" w:rsidRPr="00C81A64" w:rsidRDefault="008845A2" w:rsidP="00C81A64">
      <w:pPr>
        <w:pStyle w:val="Bullet1"/>
      </w:pPr>
      <w:r w:rsidRPr="00C81A64">
        <w:t>National</w:t>
      </w:r>
      <w:r w:rsidR="003D21FD">
        <w:t xml:space="preserve">, </w:t>
      </w:r>
      <w:r w:rsidRPr="00C81A64">
        <w:t>state</w:t>
      </w:r>
      <w:r w:rsidR="00C81A64" w:rsidRPr="00C81A64">
        <w:t xml:space="preserve"> </w:t>
      </w:r>
      <w:r w:rsidR="003D21FD">
        <w:t xml:space="preserve">and territory </w:t>
      </w:r>
      <w:r w:rsidRPr="00C81A64">
        <w:t>AT programs that target older Australians</w:t>
      </w:r>
    </w:p>
    <w:p w14:paraId="4838FE48" w14:textId="77777777" w:rsidR="008845A2" w:rsidRDefault="008845A2" w:rsidP="008845A2">
      <w:pPr>
        <w:pStyle w:val="Bullet1Keep"/>
      </w:pPr>
      <w:r>
        <w:t>Australian Government aged care programs including:</w:t>
      </w:r>
    </w:p>
    <w:p w14:paraId="4D7FDCF5" w14:textId="7CB6FB62" w:rsidR="008845A2" w:rsidRDefault="008845A2" w:rsidP="00B303C0">
      <w:pPr>
        <w:pStyle w:val="Bullet2"/>
      </w:pPr>
      <w:r>
        <w:t>Commonwealth Home Support Program (CHSP)</w:t>
      </w:r>
    </w:p>
    <w:p w14:paraId="3D4C83D0" w14:textId="77777777" w:rsidR="008845A2" w:rsidRDefault="008845A2" w:rsidP="00B303C0">
      <w:pPr>
        <w:pStyle w:val="Bullet2"/>
      </w:pPr>
      <w:r>
        <w:t>Home Care Packages (HCP)</w:t>
      </w:r>
    </w:p>
    <w:p w14:paraId="3B69901D" w14:textId="77777777" w:rsidR="008845A2" w:rsidRDefault="008845A2" w:rsidP="00B303C0">
      <w:pPr>
        <w:pStyle w:val="Bullet2"/>
      </w:pPr>
      <w:r>
        <w:t>Transition Care Program (TCP) and Short-Term Restorative Care Program (STRC)</w:t>
      </w:r>
    </w:p>
    <w:p w14:paraId="5BCA824C" w14:textId="77777777" w:rsidR="008845A2" w:rsidRDefault="008845A2" w:rsidP="00B303C0">
      <w:pPr>
        <w:pStyle w:val="Bullet2"/>
      </w:pPr>
      <w:r w:rsidRPr="004A112F">
        <w:t>National Aboriginal and Torres Strait Islander Aged Care Program (NATSIFAC)</w:t>
      </w:r>
      <w:r>
        <w:t>.</w:t>
      </w:r>
    </w:p>
    <w:p w14:paraId="02F58EAE" w14:textId="77777777" w:rsidR="008845A2" w:rsidRDefault="008845A2" w:rsidP="008845A2">
      <w:pPr>
        <w:pStyle w:val="Indent1"/>
      </w:pPr>
      <w:r>
        <w:t>Residential aged care was not in scope for this review</w:t>
      </w:r>
    </w:p>
    <w:p w14:paraId="216F605C" w14:textId="77777777" w:rsidR="008845A2" w:rsidRDefault="008845A2" w:rsidP="008845A2">
      <w:pPr>
        <w:pStyle w:val="Bullet1Keep"/>
      </w:pPr>
      <w:r>
        <w:t>Within aged care programs, AT includes the following program components:</w:t>
      </w:r>
    </w:p>
    <w:p w14:paraId="48D07746" w14:textId="77777777" w:rsidR="008845A2" w:rsidRDefault="008845A2" w:rsidP="00B303C0">
      <w:pPr>
        <w:pStyle w:val="Bullet2"/>
      </w:pPr>
      <w:r>
        <w:t xml:space="preserve">Goods, </w:t>
      </w:r>
      <w:r w:rsidRPr="005E2750">
        <w:t>E</w:t>
      </w:r>
      <w:r w:rsidRPr="004900F0">
        <w:t>q</w:t>
      </w:r>
      <w:r w:rsidRPr="00415BD2">
        <w:t>u</w:t>
      </w:r>
      <w:r w:rsidRPr="00043C9B">
        <w:t>ipment</w:t>
      </w:r>
      <w:r>
        <w:t xml:space="preserve"> and AT </w:t>
      </w:r>
    </w:p>
    <w:p w14:paraId="02AAC575" w14:textId="75985BF7" w:rsidR="00130794" w:rsidRPr="00130794" w:rsidRDefault="008845A2" w:rsidP="00B303C0">
      <w:pPr>
        <w:pStyle w:val="Bullet2"/>
      </w:pPr>
      <w:r>
        <w:t>Home modifications.</w:t>
      </w:r>
      <w:r w:rsidR="00130794">
        <w:br w:type="page"/>
      </w:r>
    </w:p>
    <w:p w14:paraId="47E15D45" w14:textId="77777777" w:rsidR="008845A2" w:rsidRDefault="008845A2" w:rsidP="008845A2">
      <w:pPr>
        <w:pStyle w:val="Heading2"/>
      </w:pPr>
      <w:bookmarkStart w:id="25" w:name="_Toc59402373"/>
      <w:r>
        <w:lastRenderedPageBreak/>
        <w:t>Review methodology</w:t>
      </w:r>
      <w:bookmarkEnd w:id="25"/>
    </w:p>
    <w:p w14:paraId="2BC3FFE7" w14:textId="6B0D0FF6" w:rsidR="008845A2" w:rsidRDefault="008845A2" w:rsidP="008845A2">
      <w:pPr>
        <w:pStyle w:val="ParaKeep"/>
        <w:rPr>
          <w:lang w:eastAsia="en-AU"/>
        </w:rPr>
      </w:pPr>
      <w:r>
        <w:rPr>
          <w:lang w:eastAsia="en-AU"/>
        </w:rPr>
        <w:t>The review was conducted between December 2019 and June 2020 and involved mapping the current AT programs, conducting a Rapid Evidence Review (RER) and cost-benefit analysis and proposing future options for a national AT program for older Australians</w:t>
      </w:r>
      <w:r w:rsidR="00F80723">
        <w:rPr>
          <w:lang w:eastAsia="en-AU"/>
        </w:rPr>
        <w:t xml:space="preserve">. </w:t>
      </w:r>
      <w:r>
        <w:rPr>
          <w:lang w:eastAsia="en-AU"/>
        </w:rPr>
        <w:t xml:space="preserve">AHA’s mixed-methods approach is outlined in </w:t>
      </w:r>
      <w:r w:rsidRPr="000030BC">
        <w:rPr>
          <w:rStyle w:val="Italic"/>
          <w:highlight w:val="yellow"/>
        </w:rPr>
        <w:fldChar w:fldCharType="begin"/>
      </w:r>
      <w:r w:rsidRPr="000030BC">
        <w:rPr>
          <w:rStyle w:val="Italic"/>
        </w:rPr>
        <w:instrText xml:space="preserve"> REF _Ref40885217 \h </w:instrText>
      </w:r>
      <w:r>
        <w:rPr>
          <w:rStyle w:val="Italic"/>
          <w:highlight w:val="yellow"/>
        </w:rPr>
        <w:instrText xml:space="preserve"> \* MERGEFORMAT </w:instrText>
      </w:r>
      <w:r w:rsidRPr="000030BC">
        <w:rPr>
          <w:rStyle w:val="Italic"/>
          <w:highlight w:val="yellow"/>
        </w:rPr>
      </w:r>
      <w:r w:rsidRPr="000030BC">
        <w:rPr>
          <w:rStyle w:val="Italic"/>
          <w:highlight w:val="yellow"/>
        </w:rPr>
        <w:fldChar w:fldCharType="separate"/>
      </w:r>
      <w:r w:rsidR="00CC3F04" w:rsidRPr="00CC3F04">
        <w:rPr>
          <w:rStyle w:val="Italic"/>
        </w:rPr>
        <w:t>Figure 2</w:t>
      </w:r>
      <w:r w:rsidR="00CC3F04" w:rsidRPr="00CC3F04">
        <w:rPr>
          <w:rStyle w:val="Italic"/>
        </w:rPr>
        <w:noBreakHyphen/>
        <w:t>1</w:t>
      </w:r>
      <w:r w:rsidRPr="000030BC">
        <w:rPr>
          <w:rStyle w:val="Italic"/>
          <w:highlight w:val="yellow"/>
        </w:rPr>
        <w:fldChar w:fldCharType="end"/>
      </w:r>
      <w:r w:rsidR="00F80723">
        <w:rPr>
          <w:lang w:eastAsia="en-AU"/>
        </w:rPr>
        <w:t xml:space="preserve">. </w:t>
      </w:r>
      <w:r>
        <w:rPr>
          <w:lang w:eastAsia="en-AU"/>
        </w:rPr>
        <w:t>The review comprised four phases:</w:t>
      </w:r>
    </w:p>
    <w:p w14:paraId="193D0C13" w14:textId="77777777" w:rsidR="008845A2" w:rsidRDefault="008845A2" w:rsidP="002A11B7">
      <w:pPr>
        <w:pStyle w:val="Bullet1"/>
        <w:numPr>
          <w:ilvl w:val="0"/>
          <w:numId w:val="26"/>
        </w:numPr>
        <w:rPr>
          <w:rFonts w:eastAsiaTheme="minorEastAsia" w:cstheme="minorBidi"/>
        </w:rPr>
      </w:pPr>
      <w:r>
        <w:t xml:space="preserve">Phase 1: Planning </w:t>
      </w:r>
    </w:p>
    <w:p w14:paraId="5604EF7F" w14:textId="77777777" w:rsidR="008845A2" w:rsidRDefault="008845A2" w:rsidP="00ED7F2F">
      <w:pPr>
        <w:pStyle w:val="Bullet1Keep"/>
        <w:rPr>
          <w:rFonts w:eastAsiaTheme="minorEastAsia"/>
        </w:rPr>
      </w:pPr>
      <w:r w:rsidRPr="06FE0A49">
        <w:rPr>
          <w:rFonts w:eastAsia="Calibri"/>
        </w:rPr>
        <w:t>Phase 2: Mapping current AT programs:</w:t>
      </w:r>
    </w:p>
    <w:p w14:paraId="1664B6A1" w14:textId="77777777" w:rsidR="008845A2" w:rsidRDefault="008845A2" w:rsidP="00B303C0">
      <w:pPr>
        <w:pStyle w:val="Bullet2"/>
        <w:rPr>
          <w:rFonts w:eastAsiaTheme="minorEastAsia" w:cstheme="minorBidi"/>
          <w:szCs w:val="22"/>
        </w:rPr>
      </w:pPr>
      <w:r w:rsidRPr="00B432B2">
        <w:t xml:space="preserve">Desktop </w:t>
      </w:r>
      <w:r w:rsidRPr="00EC0AE7">
        <w:t>analysis of AT Programs</w:t>
      </w:r>
    </w:p>
    <w:p w14:paraId="30BEE9A6" w14:textId="7F497F02" w:rsidR="008845A2" w:rsidRDefault="008845A2" w:rsidP="00B303C0">
      <w:pPr>
        <w:pStyle w:val="Bullet2"/>
        <w:rPr>
          <w:rFonts w:eastAsiaTheme="minorEastAsia" w:cstheme="minorBidi"/>
          <w:szCs w:val="22"/>
        </w:rPr>
      </w:pPr>
      <w:r w:rsidRPr="00EC0AE7">
        <w:t xml:space="preserve">Rapid </w:t>
      </w:r>
      <w:r w:rsidR="00915A83">
        <w:t>E</w:t>
      </w:r>
      <w:r w:rsidR="00915A83" w:rsidRPr="00EC0AE7">
        <w:t xml:space="preserve">vidence </w:t>
      </w:r>
      <w:r w:rsidR="00915A83">
        <w:t>R</w:t>
      </w:r>
      <w:r w:rsidR="00915A83" w:rsidRPr="00EC0AE7">
        <w:t xml:space="preserve">eview </w:t>
      </w:r>
      <w:r w:rsidRPr="00EC0AE7">
        <w:t>(RER)</w:t>
      </w:r>
    </w:p>
    <w:p w14:paraId="271650C2" w14:textId="77777777" w:rsidR="008845A2" w:rsidRDefault="008845A2" w:rsidP="00B303C0">
      <w:pPr>
        <w:pStyle w:val="Bullet2"/>
        <w:rPr>
          <w:rFonts w:eastAsiaTheme="minorEastAsia" w:cstheme="minorBidi"/>
          <w:szCs w:val="22"/>
        </w:rPr>
      </w:pPr>
      <w:r w:rsidRPr="7C8AA115">
        <w:t>Consultations with</w:t>
      </w:r>
      <w:r w:rsidRPr="00EC0AE7">
        <w:t xml:space="preserve"> key stakehold</w:t>
      </w:r>
      <w:r w:rsidRPr="41B228C1">
        <w:t xml:space="preserve">ers including </w:t>
      </w:r>
      <w:r>
        <w:t>Commonwealth</w:t>
      </w:r>
      <w:r w:rsidRPr="41B228C1">
        <w:t xml:space="preserve">, state and territory representatives, disability and AT peak organisations, state and territory AT program administrators, Independent Living Centres, academics and experts </w:t>
      </w:r>
    </w:p>
    <w:p w14:paraId="1E24F8F2" w14:textId="77777777" w:rsidR="008845A2" w:rsidRDefault="008845A2" w:rsidP="00ED7F2F">
      <w:pPr>
        <w:pStyle w:val="Bullet1Keep"/>
        <w:rPr>
          <w:rFonts w:eastAsiaTheme="minorEastAsia"/>
        </w:rPr>
      </w:pPr>
      <w:r w:rsidRPr="41B228C1">
        <w:rPr>
          <w:rFonts w:eastAsia="Calibri"/>
        </w:rPr>
        <w:t>Phase 3: Model</w:t>
      </w:r>
      <w:r w:rsidRPr="002954E7">
        <w:rPr>
          <w:rFonts w:eastAsia="Calibri"/>
        </w:rPr>
        <w:t xml:space="preserve">ling: </w:t>
      </w:r>
    </w:p>
    <w:p w14:paraId="0B6F26EC" w14:textId="77777777" w:rsidR="008845A2" w:rsidRDefault="008845A2" w:rsidP="00B303C0">
      <w:pPr>
        <w:pStyle w:val="Bullet2"/>
      </w:pPr>
      <w:r w:rsidRPr="15ACE2C4">
        <w:t>Cost benefit analysis</w:t>
      </w:r>
    </w:p>
    <w:p w14:paraId="4234D864" w14:textId="086B541A" w:rsidR="008845A2" w:rsidRPr="00F45911" w:rsidRDefault="00E821C7" w:rsidP="00B303C0">
      <w:pPr>
        <w:pStyle w:val="Bullet2"/>
      </w:pPr>
      <w:r w:rsidRPr="00E821C7">
        <w:t>Rapid evidence review</w:t>
      </w:r>
    </w:p>
    <w:p w14:paraId="005E5810" w14:textId="7876DDCA" w:rsidR="008845A2" w:rsidRDefault="008845A2" w:rsidP="00B303C0">
      <w:pPr>
        <w:pStyle w:val="Bullet2"/>
      </w:pPr>
      <w:r w:rsidRPr="1A5867B3">
        <w:t xml:space="preserve">Delphi </w:t>
      </w:r>
      <w:r w:rsidR="006122FC">
        <w:t>technique</w:t>
      </w:r>
    </w:p>
    <w:p w14:paraId="3E650839" w14:textId="188624DE" w:rsidR="008845A2" w:rsidRPr="007A7C02" w:rsidRDefault="008845A2" w:rsidP="007A7C02">
      <w:pPr>
        <w:pStyle w:val="Bullet1"/>
        <w:rPr>
          <w:rFonts w:eastAsiaTheme="minorEastAsia"/>
        </w:rPr>
      </w:pPr>
      <w:r w:rsidRPr="007A7C02">
        <w:rPr>
          <w:rFonts w:eastAsia="Calibri"/>
        </w:rPr>
        <w:t xml:space="preserve">Phase 4: Reporting – AHA provided the Department with an Initial Report (January 2020), </w:t>
      </w:r>
      <w:r w:rsidR="00E821C7">
        <w:rPr>
          <w:rFonts w:eastAsia="Calibri"/>
        </w:rPr>
        <w:t xml:space="preserve">an </w:t>
      </w:r>
      <w:r w:rsidRPr="007A7C02">
        <w:rPr>
          <w:rFonts w:eastAsia="Calibri"/>
        </w:rPr>
        <w:t>Interim Report (March 2020) and this Final Report (June 2020).</w:t>
      </w:r>
      <w:r w:rsidR="006A7C6A">
        <w:rPr>
          <w:rFonts w:eastAsia="Calibri"/>
        </w:rPr>
        <w:t xml:space="preserve"> </w:t>
      </w:r>
    </w:p>
    <w:p w14:paraId="44F94534" w14:textId="0A8A53BE" w:rsidR="008845A2" w:rsidRDefault="002F3948" w:rsidP="006A7C6A">
      <w:pPr>
        <w:pStyle w:val="Paragraph"/>
      </w:pPr>
      <w:r>
        <w:rPr>
          <w:rFonts w:eastAsia="Calibri"/>
        </w:rPr>
        <w:t>For</w:t>
      </w:r>
      <w:r w:rsidRPr="002F3948">
        <w:rPr>
          <w:rFonts w:ascii="Calibri" w:eastAsia="Calibri" w:hAnsi="Calibri" w:cs="Calibri"/>
          <w:szCs w:val="22"/>
        </w:rPr>
        <w:t xml:space="preserve"> </w:t>
      </w:r>
      <w:r>
        <w:rPr>
          <w:rFonts w:ascii="Calibri" w:eastAsia="Calibri" w:hAnsi="Calibri" w:cs="Calibri"/>
          <w:szCs w:val="22"/>
        </w:rPr>
        <w:t>more information on the</w:t>
      </w:r>
      <w:r w:rsidRPr="6F356B49">
        <w:rPr>
          <w:rFonts w:ascii="Calibri" w:eastAsia="Calibri" w:hAnsi="Calibri" w:cs="Calibri"/>
          <w:szCs w:val="22"/>
        </w:rPr>
        <w:t xml:space="preserve"> review methodology</w:t>
      </w:r>
      <w:r>
        <w:rPr>
          <w:rFonts w:eastAsia="Calibri"/>
        </w:rPr>
        <w:t xml:space="preserve">, see </w:t>
      </w:r>
      <w:r w:rsidRPr="00437A22">
        <w:rPr>
          <w:rStyle w:val="Italic"/>
          <w:rFonts w:eastAsia="Calibri"/>
        </w:rPr>
        <w:t>Supplementary Technical Report, Appendix A</w:t>
      </w:r>
      <w:r w:rsidR="008845A2" w:rsidRPr="6F356B49">
        <w:rPr>
          <w:rFonts w:ascii="Calibri" w:eastAsia="Calibri" w:hAnsi="Calibri" w:cs="Calibri"/>
          <w:szCs w:val="22"/>
        </w:rPr>
        <w:t>.</w:t>
      </w:r>
    </w:p>
    <w:p w14:paraId="29E0C398" w14:textId="77777777" w:rsidR="008845A2" w:rsidRPr="00A01C65" w:rsidRDefault="008845A2" w:rsidP="008845A2">
      <w:pPr>
        <w:pStyle w:val="Heading2"/>
      </w:pPr>
      <w:bookmarkStart w:id="26" w:name="_Toc59402374"/>
      <w:r w:rsidRPr="00A01C65">
        <w:t>Report structure</w:t>
      </w:r>
      <w:bookmarkEnd w:id="26"/>
    </w:p>
    <w:p w14:paraId="2EBC60AE" w14:textId="77777777" w:rsidR="008845A2" w:rsidRPr="00A81938" w:rsidRDefault="008845A2" w:rsidP="008845A2">
      <w:pPr>
        <w:pStyle w:val="ParaKeep"/>
      </w:pPr>
      <w:r w:rsidRPr="00A81938">
        <w:t xml:space="preserve">This report comprises four main sections: </w:t>
      </w:r>
    </w:p>
    <w:p w14:paraId="0BD5D179" w14:textId="77777777" w:rsidR="008845A2" w:rsidRPr="00A81938" w:rsidRDefault="008845A2" w:rsidP="008652B8">
      <w:pPr>
        <w:pStyle w:val="Bullet1"/>
        <w:numPr>
          <w:ilvl w:val="0"/>
          <w:numId w:val="19"/>
        </w:numPr>
        <w:spacing w:before="100" w:after="100"/>
        <w:ind w:left="709" w:hanging="357"/>
      </w:pPr>
      <w:r w:rsidRPr="00A81938">
        <w:t xml:space="preserve">Executive summary </w:t>
      </w:r>
    </w:p>
    <w:p w14:paraId="24D1D5C4" w14:textId="35119F5C" w:rsidR="008845A2" w:rsidRPr="00A81938" w:rsidRDefault="008845A2" w:rsidP="008652B8">
      <w:pPr>
        <w:pStyle w:val="Bullet1"/>
        <w:numPr>
          <w:ilvl w:val="0"/>
          <w:numId w:val="19"/>
        </w:numPr>
        <w:spacing w:before="100" w:after="100"/>
        <w:ind w:left="709" w:hanging="357"/>
      </w:pPr>
      <w:r w:rsidRPr="00A81938">
        <w:t>Introduction</w:t>
      </w:r>
      <w:r w:rsidR="009D473E">
        <w:t xml:space="preserve">, including </w:t>
      </w:r>
      <w:r w:rsidR="00690D9E">
        <w:t xml:space="preserve">an overview of AT in Australia and </w:t>
      </w:r>
      <w:r w:rsidR="00CA662F">
        <w:t>relevant</w:t>
      </w:r>
      <w:r w:rsidR="00C03CCE">
        <w:t xml:space="preserve"> findings fro</w:t>
      </w:r>
      <w:r w:rsidR="00A448D4">
        <w:t>m the desktop review</w:t>
      </w:r>
      <w:r w:rsidR="00D1045A">
        <w:t>, stakeholder consultations</w:t>
      </w:r>
      <w:r w:rsidR="00A448D4">
        <w:t xml:space="preserve"> and mapping</w:t>
      </w:r>
      <w:r w:rsidR="00CA662F">
        <w:t xml:space="preserve"> process</w:t>
      </w:r>
    </w:p>
    <w:p w14:paraId="21028CA2" w14:textId="77777777" w:rsidR="008845A2" w:rsidRPr="00A81938" w:rsidRDefault="008845A2" w:rsidP="008652B8">
      <w:pPr>
        <w:pStyle w:val="Paragraph"/>
        <w:numPr>
          <w:ilvl w:val="0"/>
          <w:numId w:val="19"/>
        </w:numPr>
        <w:spacing w:before="100" w:after="100"/>
        <w:ind w:left="709" w:hanging="357"/>
        <w:rPr>
          <w:bCs/>
        </w:rPr>
      </w:pPr>
      <w:r w:rsidRPr="00A81938">
        <w:rPr>
          <w:bCs/>
        </w:rPr>
        <w:t>Cost-benefit analysis methods and results</w:t>
      </w:r>
    </w:p>
    <w:p w14:paraId="79D9E0D0" w14:textId="77777777" w:rsidR="008845A2" w:rsidRPr="00A81938" w:rsidRDefault="008845A2" w:rsidP="008652B8">
      <w:pPr>
        <w:pStyle w:val="Paragraph"/>
        <w:numPr>
          <w:ilvl w:val="0"/>
          <w:numId w:val="19"/>
        </w:numPr>
        <w:spacing w:before="100" w:after="100"/>
        <w:ind w:left="709" w:hanging="357"/>
        <w:rPr>
          <w:bCs/>
        </w:rPr>
      </w:pPr>
      <w:r w:rsidRPr="00A81938">
        <w:rPr>
          <w:bCs/>
        </w:rPr>
        <w:t>Future program options.</w:t>
      </w:r>
    </w:p>
    <w:p w14:paraId="36929415" w14:textId="64A58582" w:rsidR="008845A2" w:rsidRPr="00437A22" w:rsidRDefault="002F3948" w:rsidP="00ED7F2F">
      <w:pPr>
        <w:pStyle w:val="ParaKeep"/>
      </w:pPr>
      <w:r w:rsidRPr="00437A22">
        <w:t xml:space="preserve">A separate </w:t>
      </w:r>
      <w:r w:rsidRPr="00437A22">
        <w:rPr>
          <w:rStyle w:val="Italic"/>
          <w:rFonts w:eastAsia="Calibri"/>
        </w:rPr>
        <w:t>Supplementary Technical Report</w:t>
      </w:r>
      <w:r w:rsidRPr="00437A22">
        <w:t xml:space="preserve"> contains seven</w:t>
      </w:r>
      <w:r w:rsidR="008845A2" w:rsidRPr="00437A22">
        <w:t xml:space="preserve"> appendices:</w:t>
      </w:r>
    </w:p>
    <w:p w14:paraId="3047C1AC" w14:textId="77777777" w:rsidR="008845A2" w:rsidRPr="00437A22" w:rsidRDefault="008845A2" w:rsidP="008652B8">
      <w:pPr>
        <w:pStyle w:val="Bullet1"/>
        <w:numPr>
          <w:ilvl w:val="0"/>
          <w:numId w:val="20"/>
        </w:numPr>
        <w:ind w:left="714" w:hanging="357"/>
      </w:pPr>
      <w:r w:rsidRPr="00437A22">
        <w:t>Review methodology</w:t>
      </w:r>
    </w:p>
    <w:p w14:paraId="4BDDA75E" w14:textId="77777777" w:rsidR="008845A2" w:rsidRPr="00437A22" w:rsidRDefault="008845A2" w:rsidP="008652B8">
      <w:pPr>
        <w:pStyle w:val="Bullet1"/>
        <w:numPr>
          <w:ilvl w:val="0"/>
          <w:numId w:val="20"/>
        </w:numPr>
        <w:ind w:left="714" w:hanging="357"/>
      </w:pPr>
      <w:r w:rsidRPr="00437A22">
        <w:t>Rapid Evidence Review</w:t>
      </w:r>
    </w:p>
    <w:p w14:paraId="116AB0B8" w14:textId="3CFFB175" w:rsidR="008845A2" w:rsidRPr="00437A22" w:rsidRDefault="008845A2" w:rsidP="008652B8">
      <w:pPr>
        <w:pStyle w:val="Bullet1"/>
        <w:numPr>
          <w:ilvl w:val="0"/>
          <w:numId w:val="20"/>
        </w:numPr>
        <w:ind w:left="714" w:hanging="357"/>
      </w:pPr>
      <w:r w:rsidRPr="00437A22">
        <w:t xml:space="preserve">Delphi </w:t>
      </w:r>
      <w:r w:rsidR="002F3948" w:rsidRPr="002F3948">
        <w:t>technique for a Consensus Statement on the Benefits of AT</w:t>
      </w:r>
    </w:p>
    <w:p w14:paraId="450A4814" w14:textId="77777777" w:rsidR="008845A2" w:rsidRPr="00437A22" w:rsidRDefault="008845A2" w:rsidP="008652B8">
      <w:pPr>
        <w:pStyle w:val="Bullet1"/>
        <w:numPr>
          <w:ilvl w:val="0"/>
          <w:numId w:val="20"/>
        </w:numPr>
        <w:ind w:left="714" w:hanging="357"/>
      </w:pPr>
      <w:r w:rsidRPr="00437A22">
        <w:t>Archetypes</w:t>
      </w:r>
    </w:p>
    <w:p w14:paraId="367BFAD0" w14:textId="77777777" w:rsidR="008845A2" w:rsidRPr="00437A22" w:rsidRDefault="008845A2" w:rsidP="008652B8">
      <w:pPr>
        <w:pStyle w:val="Bullet1"/>
        <w:numPr>
          <w:ilvl w:val="0"/>
          <w:numId w:val="20"/>
        </w:numPr>
        <w:ind w:left="714" w:hanging="357"/>
      </w:pPr>
      <w:r w:rsidRPr="00437A22">
        <w:t>Existing AT programs</w:t>
      </w:r>
    </w:p>
    <w:p w14:paraId="2958044F" w14:textId="77777777" w:rsidR="002F3948" w:rsidRPr="00437A22" w:rsidRDefault="002F3948" w:rsidP="008652B8">
      <w:pPr>
        <w:pStyle w:val="Bullet1"/>
        <w:numPr>
          <w:ilvl w:val="0"/>
          <w:numId w:val="20"/>
        </w:numPr>
        <w:ind w:left="714" w:hanging="357"/>
      </w:pPr>
      <w:r w:rsidRPr="002F3948">
        <w:t>AT information and advice resources</w:t>
      </w:r>
      <w:r w:rsidRPr="00437A22">
        <w:t xml:space="preserve"> </w:t>
      </w:r>
    </w:p>
    <w:p w14:paraId="4D51C558" w14:textId="76AD53AE" w:rsidR="008845A2" w:rsidRPr="00437A22" w:rsidRDefault="008845A2" w:rsidP="008652B8">
      <w:pPr>
        <w:pStyle w:val="Bullet1"/>
        <w:numPr>
          <w:ilvl w:val="0"/>
          <w:numId w:val="20"/>
        </w:numPr>
        <w:ind w:left="714" w:hanging="357"/>
      </w:pPr>
      <w:r w:rsidRPr="00437A22">
        <w:t>References</w:t>
      </w:r>
      <w:r w:rsidR="002F3948" w:rsidRPr="00437A22">
        <w:t>.</w:t>
      </w:r>
      <w:r w:rsidRPr="00437A22">
        <w:t xml:space="preserve"> </w:t>
      </w:r>
    </w:p>
    <w:p w14:paraId="550C9B42" w14:textId="31F221BE" w:rsidR="008845A2" w:rsidRPr="004064C7" w:rsidRDefault="008845A2" w:rsidP="008652B8">
      <w:pPr>
        <w:pStyle w:val="Bullet1"/>
        <w:numPr>
          <w:ilvl w:val="0"/>
          <w:numId w:val="0"/>
        </w:numPr>
        <w:spacing w:before="240" w:after="0"/>
      </w:pPr>
      <w:r w:rsidRPr="00A81938">
        <w:t xml:space="preserve">Our </w:t>
      </w:r>
      <w:r w:rsidRPr="007A7C02">
        <w:rPr>
          <w:rStyle w:val="Italic"/>
        </w:rPr>
        <w:t xml:space="preserve">Supplementary Cost–Benefit Model </w:t>
      </w:r>
      <w:r w:rsidR="00130794" w:rsidRPr="007A7C02">
        <w:rPr>
          <w:rStyle w:val="Italic"/>
        </w:rPr>
        <w:t>R</w:t>
      </w:r>
      <w:r w:rsidRPr="007A7C02">
        <w:rPr>
          <w:rStyle w:val="Italic"/>
        </w:rPr>
        <w:t>eport</w:t>
      </w:r>
      <w:r w:rsidRPr="00A81938">
        <w:t xml:space="preserve"> has been provided separately to the Department.</w:t>
      </w:r>
      <w:r>
        <w:t xml:space="preserve"> </w:t>
      </w:r>
    </w:p>
    <w:p w14:paraId="5FAD0818" w14:textId="77777777" w:rsidR="008845A2" w:rsidRDefault="008845A2" w:rsidP="008845A2">
      <w:pPr>
        <w:pStyle w:val="Bullet1"/>
        <w:numPr>
          <w:ilvl w:val="0"/>
          <w:numId w:val="0"/>
        </w:numPr>
        <w:spacing w:before="240"/>
        <w:sectPr w:rsidR="008845A2" w:rsidSect="00EA3403">
          <w:pgSz w:w="11907" w:h="16840" w:code="9"/>
          <w:pgMar w:top="851" w:right="1134" w:bottom="851" w:left="1134" w:header="510" w:footer="567" w:gutter="0"/>
          <w:cols w:space="720"/>
          <w:docGrid w:linePitch="272"/>
        </w:sectPr>
      </w:pPr>
    </w:p>
    <w:p w14:paraId="0C1C67C0" w14:textId="60AF9688" w:rsidR="008845A2" w:rsidRPr="00736110" w:rsidRDefault="008845A2" w:rsidP="00017633">
      <w:bookmarkStart w:id="27" w:name="_Ref40885217"/>
      <w:bookmarkStart w:id="28" w:name="_Ref59363820"/>
      <w:bookmarkStart w:id="29" w:name="_Toc59402407"/>
      <w:r w:rsidRPr="00736110">
        <w:lastRenderedPageBreak/>
        <w:t>Figure </w:t>
      </w:r>
      <w:r w:rsidR="00B303C0">
        <w:fldChar w:fldCharType="begin"/>
      </w:r>
      <w:r w:rsidR="00B303C0">
        <w:instrText xml:space="preserve"> STYLEREF 1 \s </w:instrText>
      </w:r>
      <w:r w:rsidR="00B303C0">
        <w:fldChar w:fldCharType="separate"/>
      </w:r>
      <w:r w:rsidR="00CC3F04">
        <w:rPr>
          <w:noProof/>
        </w:rPr>
        <w:t>2</w:t>
      </w:r>
      <w:r w:rsidR="00B303C0">
        <w:fldChar w:fldCharType="end"/>
      </w:r>
      <w:r w:rsidR="00B303C0">
        <w:noBreakHyphen/>
      </w:r>
      <w:r w:rsidR="00B303C0">
        <w:fldChar w:fldCharType="begin"/>
      </w:r>
      <w:r w:rsidR="00B303C0">
        <w:instrText xml:space="preserve"> SEQ Figure \* ARABIC \s 1 </w:instrText>
      </w:r>
      <w:r w:rsidR="00B303C0">
        <w:fldChar w:fldCharType="separate"/>
      </w:r>
      <w:r w:rsidR="00CC3F04">
        <w:rPr>
          <w:noProof/>
        </w:rPr>
        <w:t>1</w:t>
      </w:r>
      <w:r w:rsidR="00B303C0">
        <w:fldChar w:fldCharType="end"/>
      </w:r>
      <w:bookmarkEnd w:id="27"/>
      <w:r w:rsidRPr="00736110">
        <w:t>:</w:t>
      </w:r>
      <w:r w:rsidRPr="00736110">
        <w:tab/>
        <w:t>AT Review methodology</w:t>
      </w:r>
      <w:bookmarkEnd w:id="28"/>
      <w:bookmarkEnd w:id="29"/>
    </w:p>
    <w:p w14:paraId="38C4DADC" w14:textId="77777777" w:rsidR="008845A2" w:rsidRPr="00A2070D" w:rsidRDefault="008845A2" w:rsidP="008845A2">
      <w:pPr>
        <w:rPr>
          <w:lang w:eastAsia="en-US"/>
        </w:rPr>
      </w:pPr>
      <w:r>
        <w:rPr>
          <w:noProof/>
          <w:lang w:val="en-AU" w:eastAsia="en-AU"/>
        </w:rPr>
        <w:drawing>
          <wp:inline distT="0" distB="0" distL="0" distR="0" wp14:anchorId="38DDCCB9" wp14:editId="260F6308">
            <wp:extent cx="9156049" cy="5724000"/>
            <wp:effectExtent l="0" t="0" r="7620" b="0"/>
            <wp:docPr id="50" name="Picture 50" descr="Gannt chart overview of the project activities in 4 phases: planning, mapping, modelling and reporting. A long description is provided in Appendix 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Gannt chart overview of the project activities in 4 phases: planning, mapping, modelling and reporting. A long description is provided in Appendix A.">
                      <a:hlinkClick r:id="rId21"/>
                    </pic:cNvPr>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9156049" cy="5724000"/>
                    </a:xfrm>
                    <a:prstGeom prst="rect">
                      <a:avLst/>
                    </a:prstGeom>
                    <a:noFill/>
                    <a:ln>
                      <a:noFill/>
                    </a:ln>
                    <a:extLst>
                      <a:ext uri="{53640926-AAD7-44D8-BBD7-CCE9431645EC}">
                        <a14:shadowObscured xmlns:a14="http://schemas.microsoft.com/office/drawing/2010/main"/>
                      </a:ext>
                    </a:extLst>
                  </pic:spPr>
                </pic:pic>
              </a:graphicData>
            </a:graphic>
          </wp:inline>
        </w:drawing>
      </w:r>
    </w:p>
    <w:p w14:paraId="730D06E8" w14:textId="77777777" w:rsidR="008845A2" w:rsidRDefault="008845A2" w:rsidP="008845A2">
      <w:pPr>
        <w:rPr>
          <w:noProof/>
        </w:rPr>
        <w:sectPr w:rsidR="008845A2" w:rsidSect="00E57F6B">
          <w:pgSz w:w="16840" w:h="11907" w:code="9"/>
          <w:pgMar w:top="851" w:right="1134" w:bottom="851" w:left="1134" w:header="510" w:footer="567" w:gutter="0"/>
          <w:cols w:space="720"/>
          <w:docGrid w:linePitch="272"/>
        </w:sectPr>
      </w:pPr>
    </w:p>
    <w:p w14:paraId="55CEDC14" w14:textId="0B1B1E1C" w:rsidR="008845A2" w:rsidRDefault="00F903D8" w:rsidP="001F66E2">
      <w:pPr>
        <w:pStyle w:val="Heading2"/>
        <w:spacing w:before="0"/>
      </w:pPr>
      <w:bookmarkStart w:id="30" w:name="_Toc59402375"/>
      <w:r>
        <w:lastRenderedPageBreak/>
        <w:t>AT in Australia</w:t>
      </w:r>
      <w:bookmarkEnd w:id="30"/>
    </w:p>
    <w:p w14:paraId="7BDDD762" w14:textId="77777777" w:rsidR="008845A2" w:rsidRDefault="008845A2" w:rsidP="008845A2">
      <w:pPr>
        <w:pStyle w:val="Heading3"/>
      </w:pPr>
      <w:r>
        <w:t>Introduction</w:t>
      </w:r>
    </w:p>
    <w:p w14:paraId="089CCEEE" w14:textId="4C241DF6" w:rsidR="008845A2" w:rsidRPr="00EC48FA" w:rsidRDefault="008845A2" w:rsidP="008845A2">
      <w:pPr>
        <w:pStyle w:val="Paragraph"/>
      </w:pPr>
      <w:bookmarkStart w:id="31" w:name="_Hlk42440269"/>
      <w:r w:rsidRPr="00EC48FA">
        <w:t xml:space="preserve">Aged care in Australia is currently undergoing reform to achieve a more consumer-focused, equitable and sustainable system. </w:t>
      </w:r>
      <w:r>
        <w:t>A</w:t>
      </w:r>
      <w:r w:rsidRPr="00EC48FA">
        <w:t xml:space="preserve"> key aspect of these reforms</w:t>
      </w:r>
      <w:r>
        <w:t xml:space="preserve"> is to</w:t>
      </w:r>
      <w:r w:rsidRPr="00EC48FA">
        <w:t xml:space="preserve"> promot</w:t>
      </w:r>
      <w:r>
        <w:t>e older Australians’</w:t>
      </w:r>
      <w:r w:rsidRPr="00EC48FA">
        <w:t xml:space="preserve"> independence and autonomy—and</w:t>
      </w:r>
      <w:r>
        <w:t xml:space="preserve"> thereby</w:t>
      </w:r>
      <w:r w:rsidRPr="00EC48FA">
        <w:t xml:space="preserve"> reduc</w:t>
      </w:r>
      <w:r>
        <w:t>e</w:t>
      </w:r>
      <w:r w:rsidRPr="00EC48FA">
        <w:t xml:space="preserve"> or delay the need for more complex aged care services</w:t>
      </w:r>
      <w:r>
        <w:t xml:space="preserve"> </w:t>
      </w:r>
      <w:r w:rsidRPr="00EC48FA">
        <w:fldChar w:fldCharType="begin" w:fldLock="1"/>
      </w:r>
      <w:r w:rsidR="00161D52">
        <w:instrText>ADDIN CSL_CITATION {"citationItems":[{"id":"ITEM-1","itemData":{"URL":"https://www.health.gov.au/resources/corporate-plan-2018-2019/our-performance/ageing-and-aged-care","accessed":{"date-parts":[["2020","1","20"]]},"author":[{"dropping-particle":"","family":"Australian Government Department of Health","given":"","non-dropping-particle":"","parse-names":false,"suffix":""}],"id":"ITEM-1","issued":{"date-parts":[["2018"]]},"title":"Ageing and aged care","type":"webpage"},"uris":["http://www.mendeley.com/documents/?uuid=692dd665-4d83-4a45-ad9c-9d22e4f5d0dd","http://www.mendeley.com/documents/?uuid=c290bd34-5101-4f63-8fcd-50609940e0ed"]}],"mendeley":{"formattedCitation":"(Australian Government Department of Health 2018a)","plainTextFormattedCitation":"(Australian Government Department of Health 2018a)","previouslyFormattedCitation":"(Australian Government Department of Health 2018a)"},"properties":{"noteIndex":0},"schema":"https://github.com/citation-style-language/schema/raw/master/csl-citation.json"}</w:instrText>
      </w:r>
      <w:r w:rsidRPr="00EC48FA">
        <w:fldChar w:fldCharType="separate"/>
      </w:r>
      <w:r w:rsidR="00907431" w:rsidRPr="00907431">
        <w:rPr>
          <w:noProof/>
        </w:rPr>
        <w:t>(Australian Government Department of Health 2018a)</w:t>
      </w:r>
      <w:r w:rsidRPr="00EC48FA">
        <w:fldChar w:fldCharType="end"/>
      </w:r>
      <w:r w:rsidRPr="00EC48FA">
        <w:t>.</w:t>
      </w:r>
    </w:p>
    <w:p w14:paraId="02BB2B8C" w14:textId="2988B13D" w:rsidR="008845A2" w:rsidRPr="00AF44B9" w:rsidRDefault="008845A2" w:rsidP="008845A2">
      <w:pPr>
        <w:pStyle w:val="ParaKeep"/>
      </w:pPr>
      <w:r>
        <w:t>As</w:t>
      </w:r>
      <w:r w:rsidRPr="00AF44B9">
        <w:t xml:space="preserve"> people</w:t>
      </w:r>
      <w:r>
        <w:t xml:space="preserve"> age, they</w:t>
      </w:r>
      <w:r w:rsidRPr="00AF44B9">
        <w:t xml:space="preserve"> may become </w:t>
      </w:r>
      <w:r w:rsidR="00915A83">
        <w:t>frailer</w:t>
      </w:r>
      <w:r w:rsidR="00583A3D">
        <w:t xml:space="preserve"> </w:t>
      </w:r>
      <w:r w:rsidRPr="00AF44B9">
        <w:t>and experience functional decline or disability</w:t>
      </w:r>
      <w:r>
        <w:t>.</w:t>
      </w:r>
      <w:r w:rsidRPr="00AF44B9">
        <w:t xml:space="preserve"> </w:t>
      </w:r>
      <w:r>
        <w:t>AT</w:t>
      </w:r>
      <w:r w:rsidRPr="00AF44B9">
        <w:t xml:space="preserve"> can help consumers maintain independence and autonomy</w:t>
      </w:r>
      <w:r w:rsidR="00C81A64">
        <w:t xml:space="preserve"> by</w:t>
      </w:r>
      <w:r w:rsidRPr="00AF44B9">
        <w:t>:</w:t>
      </w:r>
    </w:p>
    <w:p w14:paraId="61825E58" w14:textId="77777777" w:rsidR="008845A2" w:rsidRDefault="008845A2" w:rsidP="008845A2">
      <w:pPr>
        <w:pStyle w:val="Bullet1"/>
      </w:pPr>
      <w:r w:rsidRPr="00697C08">
        <w:t>Maintain</w:t>
      </w:r>
      <w:r>
        <w:t>ing</w:t>
      </w:r>
      <w:r w:rsidRPr="00697C08">
        <w:t xml:space="preserve"> or improv</w:t>
      </w:r>
      <w:r>
        <w:t>ing</w:t>
      </w:r>
      <w:r w:rsidRPr="00697C08">
        <w:t xml:space="preserve"> a person’s functional capabilities</w:t>
      </w:r>
      <w:r>
        <w:t>—this includes assisting</w:t>
      </w:r>
      <w:r w:rsidRPr="00697C08">
        <w:t xml:space="preserve"> with everyday tasks </w:t>
      </w:r>
      <w:r>
        <w:t>such as dressing, bathing and household cleaning. These everyday tasks are commonly known as Activities of Daily Living (ADLs).</w:t>
      </w:r>
    </w:p>
    <w:p w14:paraId="616A308F" w14:textId="1EE6FAE1" w:rsidR="008845A2" w:rsidRPr="002E1AF2" w:rsidRDefault="008845A2" w:rsidP="008845A2">
      <w:pPr>
        <w:pStyle w:val="Bullet1"/>
      </w:pPr>
      <w:r w:rsidRPr="00AF44B9">
        <w:t>Prevent</w:t>
      </w:r>
      <w:r>
        <w:t>ing</w:t>
      </w:r>
      <w:r w:rsidRPr="00AF44B9">
        <w:t xml:space="preserve"> </w:t>
      </w:r>
      <w:r w:rsidRPr="002E1AF2">
        <w:t>impairments and secondary health conditions</w:t>
      </w:r>
      <w:r>
        <w:t xml:space="preserve">, </w:t>
      </w:r>
      <w:r w:rsidRPr="002E1AF2">
        <w:t>for example reducing risk and improving safety through falls prevention</w:t>
      </w:r>
      <w:r w:rsidR="00A533DC">
        <w:t>.</w:t>
      </w:r>
    </w:p>
    <w:p w14:paraId="41D5BF95" w14:textId="6C11EA6E" w:rsidR="008845A2" w:rsidRDefault="008845A2" w:rsidP="008845A2">
      <w:pPr>
        <w:pStyle w:val="Bullet1"/>
      </w:pPr>
      <w:r>
        <w:t>Reducing the burden on</w:t>
      </w:r>
      <w:r w:rsidR="00141DD9">
        <w:t xml:space="preserve"> family</w:t>
      </w:r>
      <w:r>
        <w:t xml:space="preserve"> carers and paid formal care by making it easier and safer to provide assistance</w:t>
      </w:r>
      <w:r w:rsidRPr="00AF44B9">
        <w:t>.</w:t>
      </w:r>
    </w:p>
    <w:bookmarkEnd w:id="31"/>
    <w:p w14:paraId="4023849B" w14:textId="07CE591B" w:rsidR="008845A2" w:rsidRDefault="008845A2" w:rsidP="008845A2">
      <w:pPr>
        <w:pStyle w:val="Paragraph"/>
      </w:pPr>
      <w:r>
        <w:t xml:space="preserve">Australia’s population </w:t>
      </w:r>
      <w:r w:rsidRPr="00E9207E">
        <w:t xml:space="preserve">is </w:t>
      </w:r>
      <w:r w:rsidRPr="00E101C8">
        <w:t>ageing</w:t>
      </w:r>
      <w:r>
        <w:t xml:space="preserve">. Australians aged 65 years and older currently make up 15% of the total population, and that proportion is expected to grow over the coming decades. </w:t>
      </w:r>
      <w:r w:rsidRPr="002478AC">
        <w:t>By 2027, th</w:t>
      </w:r>
      <w:r>
        <w:t>is</w:t>
      </w:r>
      <w:r w:rsidRPr="002478AC">
        <w:t xml:space="preserve"> proportion is expected to increase to 18% or 5,180,096</w:t>
      </w:r>
      <w:r>
        <w:t> people</w:t>
      </w:r>
      <w:r w:rsidRPr="002478AC">
        <w:t>,</w:t>
      </w:r>
      <w:r>
        <w:t xml:space="preserve"> which will continue to increase demand on government services.</w:t>
      </w:r>
    </w:p>
    <w:p w14:paraId="2DA3011B" w14:textId="68EB9E08" w:rsidR="008845A2" w:rsidRDefault="008845A2" w:rsidP="003F2440">
      <w:pPr>
        <w:pStyle w:val="Paragraph"/>
      </w:pPr>
      <w:r>
        <w:t>In 2018-19, there were 4.126 million older Australians</w:t>
      </w:r>
      <w:r>
        <w:rPr>
          <w:rStyle w:val="FootnoteReference"/>
        </w:rPr>
        <w:footnoteReference w:id="2"/>
      </w:r>
      <w:r>
        <w:t xml:space="preserve"> living </w:t>
      </w:r>
      <w:r w:rsidR="00F903D8">
        <w:t>at home</w:t>
      </w:r>
      <w:r>
        <w:t xml:space="preserve">. </w:t>
      </w:r>
      <w:r w:rsidR="00B828D2" w:rsidRPr="00B828D2">
        <w:fldChar w:fldCharType="begin"/>
      </w:r>
      <w:r w:rsidR="00B828D2" w:rsidRPr="00B828D2">
        <w:instrText xml:space="preserve"> REF _Ref42640700 \h </w:instrText>
      </w:r>
      <w:r w:rsidR="00B828D2">
        <w:instrText xml:space="preserve"> \* MERGEFORMAT </w:instrText>
      </w:r>
      <w:r w:rsidR="00B828D2" w:rsidRPr="00B828D2">
        <w:fldChar w:fldCharType="separate"/>
      </w:r>
      <w:r w:rsidR="00CC3F04" w:rsidRPr="00736110">
        <w:t>Figure </w:t>
      </w:r>
      <w:r w:rsidR="00CC3F04">
        <w:t>2</w:t>
      </w:r>
      <w:r w:rsidR="00CC3F04">
        <w:noBreakHyphen/>
        <w:t>2</w:t>
      </w:r>
      <w:r w:rsidR="00B828D2" w:rsidRPr="00B828D2">
        <w:fldChar w:fldCharType="end"/>
      </w:r>
      <w:r>
        <w:rPr>
          <w:i/>
        </w:rPr>
        <w:t xml:space="preserve"> </w:t>
      </w:r>
      <w:r>
        <w:t>shows the level of disability, restrictions and impairments of the older population. This shows that 60% of older Australians in 2018 did not have any core activity limitations with 40% having core activity limitation ranging from mild to profound (ABS SDAC)</w:t>
      </w:r>
      <w:r w:rsidR="002829AB">
        <w:t xml:space="preserve"> </w:t>
      </w:r>
      <w:r w:rsidR="002829AB">
        <w:fldChar w:fldCharType="begin" w:fldLock="1"/>
      </w:r>
      <w:r w:rsidR="002829AB">
        <w:instrText>ADDIN CSL_CITATION {"citationItems":[{"id":"ITEM-1","itemData":{"author":[{"dropping-particle":"","family":"Australian Bureau of Statistics","given":"","non-dropping-particle":"","parse-names":false,"suffix":""}],"container-title":"4430.0 - Disability, Ageing and Carers, Australia","id":"ITEM-1","issue":"Sdac 18","issued":{"date-parts":[["2012"]]},"title":"Survey of Disability, Ageing and Carers","type":"article-journal"},"uris":["http://www.mendeley.com/documents/?uuid=e19db826-7f5a-418a-8b64-6e5c47fc36bf"]}],"mendeley":{"formattedCitation":"(Australian Bureau of Statistics 2012)","plainTextFormattedCitation":"(Australian Bureau of Statistics 2012)","previouslyFormattedCitation":"(Australian Bureau of Statistics 2012)"},"properties":{"noteIndex":0},"schema":"https://github.com/citation-style-language/schema/raw/master/csl-citation.json"}</w:instrText>
      </w:r>
      <w:r w:rsidR="002829AB">
        <w:fldChar w:fldCharType="separate"/>
      </w:r>
      <w:r w:rsidR="002829AB" w:rsidRPr="002829AB">
        <w:rPr>
          <w:noProof/>
        </w:rPr>
        <w:t>(Australian Bureau of Statistics 2012)</w:t>
      </w:r>
      <w:r w:rsidR="002829AB">
        <w:fldChar w:fldCharType="end"/>
      </w:r>
      <w:r>
        <w:t xml:space="preserve">. </w:t>
      </w:r>
    </w:p>
    <w:p w14:paraId="616E37A2" w14:textId="77777777" w:rsidR="008845A2" w:rsidRPr="002478AC" w:rsidRDefault="008845A2" w:rsidP="008845A2">
      <w:pPr>
        <w:pStyle w:val="Paragraph"/>
      </w:pPr>
      <w:r>
        <w:t>I</w:t>
      </w:r>
      <w:r w:rsidRPr="001F182C">
        <w:t>n this context, the ABS defines assistance as ‘</w:t>
      </w:r>
      <w:r w:rsidRPr="00550847">
        <w:rPr>
          <w:rStyle w:val="Italic"/>
        </w:rPr>
        <w:t>help that is being received, or needed, but not being received, in common activities of daily life such as showering or dressing, moving around, housework and gardening, or using transport</w:t>
      </w:r>
      <w:r w:rsidRPr="002478AC">
        <w:t>’.</w:t>
      </w:r>
    </w:p>
    <w:p w14:paraId="5A6860C6" w14:textId="365E2E2F" w:rsidR="00481147" w:rsidRDefault="008845A2" w:rsidP="008845A2">
      <w:pPr>
        <w:pStyle w:val="Paragraph"/>
      </w:pPr>
      <w:r>
        <w:t>Targeting AT support for the maximum benefit of consumers, families, carers, and government is challenging but crucial.</w:t>
      </w:r>
    </w:p>
    <w:p w14:paraId="5A1C5290" w14:textId="77777777" w:rsidR="00017633" w:rsidRDefault="00017633">
      <w:bookmarkStart w:id="32" w:name="_Ref42640700"/>
      <w:bookmarkStart w:id="33" w:name="_Toc59402408"/>
      <w:r>
        <w:br w:type="page"/>
      </w:r>
    </w:p>
    <w:p w14:paraId="33662B09" w14:textId="5700F0A2" w:rsidR="008845A2" w:rsidRPr="00736110" w:rsidRDefault="008845A2" w:rsidP="00017633">
      <w:r w:rsidRPr="00736110">
        <w:lastRenderedPageBreak/>
        <w:t>Figure </w:t>
      </w:r>
      <w:r w:rsidR="009F14D1">
        <w:t>2-2</w:t>
      </w:r>
      <w:bookmarkEnd w:id="32"/>
      <w:r w:rsidRPr="00736110">
        <w:t>:</w:t>
      </w:r>
      <w:r w:rsidRPr="00736110">
        <w:tab/>
        <w:t>SDAC</w:t>
      </w:r>
      <w:r w:rsidR="00D82705" w:rsidRPr="00736110">
        <w:t xml:space="preserve"> l</w:t>
      </w:r>
      <w:r w:rsidRPr="00736110">
        <w:t>evels of impairment and those needing assistance</w:t>
      </w:r>
      <w:bookmarkEnd w:id="33"/>
    </w:p>
    <w:p w14:paraId="3B13F3CF" w14:textId="43E32DA6" w:rsidR="00AE2A5A" w:rsidRPr="001F66E2" w:rsidRDefault="00AE2A5A" w:rsidP="006E0D39">
      <w:pPr>
        <w:rPr>
          <w:rFonts w:eastAsia="Arial Unicode MS"/>
        </w:rPr>
      </w:pPr>
      <w:bookmarkStart w:id="34" w:name="_Ref42073889"/>
      <w:r w:rsidRPr="00AE2A5A">
        <w:rPr>
          <w:rFonts w:eastAsia="Arial Unicode MS"/>
          <w:noProof/>
          <w:lang w:val="en-AU" w:eastAsia="en-AU"/>
        </w:rPr>
        <w:drawing>
          <wp:inline distT="0" distB="0" distL="0" distR="0" wp14:anchorId="7D5B0C79" wp14:editId="3756F895">
            <wp:extent cx="6119495" cy="4310316"/>
            <wp:effectExtent l="0" t="0" r="0" b="0"/>
            <wp:docPr id="20" name="Chart 20" descr="Bar of pie chart showing the proportion of older Australians with each SDAC level of impairment.&#10;&#10;The total number of older Australians is 4,126,300 (100%). This total is divided into two groups:&#10;1. No core activity impairment = 2,466,064  or 60%&#10;2. With core activity impairment =  1,660,236 or 40%.&#10;&#10;Those with core activity impairment are broken down by the 4 SDAC levels of impairment:&#10;Mild = 777,600 or 47%&#10;Moderate = 339,396 or 20%&#10;Severe = 223,700 or 13%&#10;Profound = 319,540 or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97D256F" w14:textId="028B62C3" w:rsidR="008845A2" w:rsidRPr="00805DBA" w:rsidRDefault="008845A2" w:rsidP="008845A2">
      <w:pPr>
        <w:pStyle w:val="Heading3"/>
      </w:pPr>
      <w:r w:rsidRPr="00805DBA">
        <w:t>What is AT?</w:t>
      </w:r>
      <w:bookmarkEnd w:id="34"/>
    </w:p>
    <w:p w14:paraId="011213D5" w14:textId="77777777" w:rsidR="008845A2" w:rsidRDefault="008845A2" w:rsidP="008845A2">
      <w:pPr>
        <w:pStyle w:val="ParaKeep"/>
      </w:pPr>
      <w:r>
        <w:t>This review has used the World Health Organization (WHO) definition of AT:</w:t>
      </w:r>
    </w:p>
    <w:p w14:paraId="2D8F7333" w14:textId="77777777" w:rsidR="008845A2" w:rsidRDefault="008845A2" w:rsidP="008845A2">
      <w:pPr>
        <w:pStyle w:val="Quote"/>
      </w:pPr>
      <w:r>
        <w:t xml:space="preserve">‘Assistive devices and technologies are those whose primary purpose is to maintain or improve an individual’s functioning and independence to facilitate participation and to enhance overall well-being.’ </w:t>
      </w:r>
      <w:r>
        <w:fldChar w:fldCharType="begin" w:fldLock="1"/>
      </w:r>
      <w:r>
        <w:instrText>ADDIN CSL_CITATION {"citationItems":[{"id":"ITEM-1","itemData":{"URL":"https://www.who.int/disabilities/technology/en/","accessed":{"date-parts":[["2020","1","15"]]},"author":[{"dropping-particle":"","family":"World Health Organization","given":"","non-dropping-particle":"","parse-names":false,"suffix":""}],"id":"ITEM-1","issued":{"date-parts":[["0"]]},"title":"Assistive devices and technologies","type":"webpage"},"uris":["http://www.mendeley.com/documents/?uuid=b0f80ba5-1a36-4cbb-ad98-277b7b5c0c3f"]}],"mendeley":{"formattedCitation":"(World Health Organization n.d.)","plainTextFormattedCitation":"(World Health Organization n.d.)","previouslyFormattedCitation":"(World Health Organization n.d.)"},"properties":{"noteIndex":0},"schema":"https://github.com/citation-style-language/schema/raw/master/csl-citation.json"}</w:instrText>
      </w:r>
      <w:r>
        <w:fldChar w:fldCharType="separate"/>
      </w:r>
      <w:r>
        <w:rPr>
          <w:noProof/>
        </w:rPr>
        <w:t>(World Health Organization n.d.)</w:t>
      </w:r>
      <w:r>
        <w:fldChar w:fldCharType="end"/>
      </w:r>
      <w:r>
        <w:t>.</w:t>
      </w:r>
    </w:p>
    <w:p w14:paraId="44E63192" w14:textId="339A6BA4" w:rsidR="00F314F5" w:rsidRDefault="008845A2" w:rsidP="00A533DC">
      <w:pPr>
        <w:pStyle w:val="Paragraph"/>
      </w:pPr>
      <w:r w:rsidRPr="00EC48FA">
        <w:t xml:space="preserve">Approximately one in every </w:t>
      </w:r>
      <w:r>
        <w:t>10</w:t>
      </w:r>
      <w:r w:rsidRPr="00EC48FA">
        <w:t xml:space="preserve"> Australians uses AT to support their functioning and participation in important areas of their life </w:t>
      </w:r>
      <w:r w:rsidRPr="00EC48FA">
        <w:fldChar w:fldCharType="begin" w:fldLock="1"/>
      </w:r>
      <w:r>
        <w:instrText>ADDIN CSL_CITATION {"citationItems":[{"id":"ITEM-1","itemData":{"URL":"https://www.abs.gov.au/ausstats/abs@.nsf/mf/4430.0","accessed":{"date-parts":[["2020","1","28"]]},"author":[{"dropping-particle":"","family":"Australian Bureau of Statistics","given":"","non-dropping-particle":"","parse-names":false,"suffix":""}],"id":"ITEM-1","issued":{"date-parts":[["2019"]]},"publisher-place":"Canberra","title":"Disability, ageing and carers: Summary of findings, Cat. no. 4430.0","type":"webpage"},"uris":["http://www.mendeley.com/documents/?uuid=7e69649d-0040-4270-99de-10fc1761e270","http://www.mendeley.com/documents/?uuid=71cc564a-ac65-4793-b8ed-506e31615d12"]}],"mendeley":{"formattedCitation":"(Australian Bureau of Statistics 2019)","manualFormatting":"(Australian Bureau of Statistics 2004, as cited in ATSA 2014)","plainTextFormattedCitation":"(Australian Bureau of Statistics 2019)","previouslyFormattedCitation":"(Australian Bureau of Statistics 2019)"},"properties":{"noteIndex":0},"schema":"https://github.com/citation-style-language/schema/raw/master/csl-citation.json"}</w:instrText>
      </w:r>
      <w:r w:rsidRPr="00EC48FA">
        <w:fldChar w:fldCharType="separate"/>
      </w:r>
      <w:r w:rsidRPr="00EC48FA">
        <w:rPr>
          <w:noProof/>
        </w:rPr>
        <w:t>(Australian Bureau of Statistics 2004, as cited in ATSA 2014)</w:t>
      </w:r>
      <w:r w:rsidRPr="00EC48FA">
        <w:fldChar w:fldCharType="end"/>
      </w:r>
      <w:r w:rsidRPr="00EC48FA">
        <w:t>. However, there is considerable complexity in the definitions, categorisation, standards and regulation of AT.</w:t>
      </w:r>
    </w:p>
    <w:p w14:paraId="743F618C" w14:textId="77777777" w:rsidR="008845A2" w:rsidRPr="00805DBA" w:rsidRDefault="008845A2" w:rsidP="008845A2">
      <w:pPr>
        <w:pStyle w:val="Heading3"/>
      </w:pPr>
      <w:r w:rsidRPr="00805DBA">
        <w:t>AT categories</w:t>
      </w:r>
    </w:p>
    <w:p w14:paraId="3E8E2A93" w14:textId="77777777" w:rsidR="008845A2" w:rsidRPr="00EC48FA" w:rsidRDefault="008845A2" w:rsidP="008845A2">
      <w:pPr>
        <w:pStyle w:val="ParaKeep"/>
      </w:pPr>
      <w:bookmarkStart w:id="35" w:name="_Hlk42441194"/>
      <w:r w:rsidRPr="00EC48FA">
        <w:t xml:space="preserve">AT can be categorised </w:t>
      </w:r>
      <w:r>
        <w:t>in many ways. It</w:t>
      </w:r>
      <w:r w:rsidRPr="00E330CE">
        <w:t xml:space="preserve"> can be categorised according to complexity, product type or intended purpose. </w:t>
      </w:r>
      <w:r>
        <w:t xml:space="preserve">Within the aged care setting—and for the purposes of this review and our economic modelling—it is useful to use the following categories reflecting </w:t>
      </w:r>
      <w:r w:rsidRPr="00EC48FA">
        <w:t>levels of complexity:</w:t>
      </w:r>
    </w:p>
    <w:p w14:paraId="6F0426D6" w14:textId="5D42CD71" w:rsidR="008845A2" w:rsidRPr="00EC48FA" w:rsidRDefault="008845A2" w:rsidP="008845A2">
      <w:pPr>
        <w:pStyle w:val="Bullet1"/>
      </w:pPr>
      <w:r>
        <w:rPr>
          <w:rStyle w:val="Bold"/>
        </w:rPr>
        <w:t xml:space="preserve">Low-risk </w:t>
      </w:r>
      <w:r w:rsidRPr="00EC48FA">
        <w:rPr>
          <w:rStyle w:val="Bold"/>
        </w:rPr>
        <w:t>AT</w:t>
      </w:r>
      <w:r w:rsidRPr="00695176">
        <w:t>:</w:t>
      </w:r>
      <w:r w:rsidRPr="00EC48FA">
        <w:rPr>
          <w:rStyle w:val="Bold"/>
        </w:rPr>
        <w:t xml:space="preserve"> </w:t>
      </w:r>
      <w:r w:rsidRPr="00EC48FA">
        <w:t xml:space="preserve">Simple and relatively low-cost </w:t>
      </w:r>
      <w:r>
        <w:t xml:space="preserve">and low-risk </w:t>
      </w:r>
      <w:r w:rsidRPr="00EC48FA">
        <w:t xml:space="preserve">daily living aids such as </w:t>
      </w:r>
      <w:r>
        <w:t>a long-handled duster or a jar opener</w:t>
      </w:r>
      <w:r w:rsidR="00F80723">
        <w:t xml:space="preserve">. </w:t>
      </w:r>
      <w:r>
        <w:t>Low-level AT is usually available ‘off the shelf’ and needs no clinical input to use.</w:t>
      </w:r>
      <w:r w:rsidR="005466C3">
        <w:t xml:space="preserve"> Low-risk AT is defined as having</w:t>
      </w:r>
      <w:r w:rsidR="005466C3" w:rsidRPr="00B04869">
        <w:t xml:space="preserve"> a low potential for causing harm when used for activities in daily living environments</w:t>
      </w:r>
      <w:r w:rsidR="00161D52">
        <w:t xml:space="preserve"> </w:t>
      </w:r>
      <w:r w:rsidR="00161D52">
        <w:fldChar w:fldCharType="begin" w:fldLock="1"/>
      </w:r>
      <w:r w:rsidR="00161D52">
        <w:instrText>ADDIN CSL_CITATION {"citationItems":[{"id":"ITEM-1","itemData":{"author":[{"dropping-particle":"","family":"Therapeutic Goods Administration","given":"","non-dropping-particle":"","parse-names":false,"suffix":""}],"id":"ITEM-1","issued":{"date-parts":[["2020"]]},"title":"TGA Draft Determination","type":"article"},"uris":["http://www.mendeley.com/documents/?uuid=f20204bf-1bd3-4d4d-a29f-f955a42d5a94"]}],"mendeley":{"formattedCitation":"(Therapeutic Goods Administration 2020)","plainTextFormattedCitation":"(Therapeutic Goods Administration 2020)"},"properties":{"noteIndex":0},"schema":"https://github.com/citation-style-language/schema/raw/master/csl-citation.json"}</w:instrText>
      </w:r>
      <w:r w:rsidR="00161D52">
        <w:fldChar w:fldCharType="separate"/>
      </w:r>
      <w:r w:rsidR="00161D52" w:rsidRPr="00161D52">
        <w:rPr>
          <w:noProof/>
        </w:rPr>
        <w:t>(Therapeutic Goods Administration 2020)</w:t>
      </w:r>
      <w:r w:rsidR="00161D52">
        <w:fldChar w:fldCharType="end"/>
      </w:r>
      <w:r w:rsidR="005466C3">
        <w:t>.</w:t>
      </w:r>
    </w:p>
    <w:p w14:paraId="0D52CCFE" w14:textId="733BA3EE" w:rsidR="008845A2" w:rsidRPr="00EC48FA" w:rsidRDefault="008845A2" w:rsidP="008845A2">
      <w:pPr>
        <w:pStyle w:val="Bullet1"/>
      </w:pPr>
      <w:r>
        <w:rPr>
          <w:rStyle w:val="Bold"/>
        </w:rPr>
        <w:lastRenderedPageBreak/>
        <w:t>Under-advice AT</w:t>
      </w:r>
      <w:r w:rsidRPr="00EC48FA">
        <w:rPr>
          <w:rStyle w:val="Bold"/>
        </w:rPr>
        <w:t>:</w:t>
      </w:r>
      <w:r w:rsidRPr="00EC48FA">
        <w:t xml:space="preserve"> </w:t>
      </w:r>
      <w:r>
        <w:t>low-risk products that are generally available but would benefit from written or professional advice to ensure that the product is used or installed correctly</w:t>
      </w:r>
      <w:r w:rsidR="005A1124">
        <w:t xml:space="preserve">. Products include </w:t>
      </w:r>
      <w:r>
        <w:t>body system monitors, wheeled walking frames and personal alarms.</w:t>
      </w:r>
    </w:p>
    <w:p w14:paraId="3C8ED975" w14:textId="519EFAEC" w:rsidR="008845A2" w:rsidRDefault="008845A2" w:rsidP="008845A2">
      <w:pPr>
        <w:pStyle w:val="Bullet1"/>
      </w:pPr>
      <w:r>
        <w:rPr>
          <w:rStyle w:val="Bold"/>
        </w:rPr>
        <w:t>Prescribed</w:t>
      </w:r>
      <w:r w:rsidRPr="00EC48FA">
        <w:rPr>
          <w:rStyle w:val="Bold"/>
        </w:rPr>
        <w:t xml:space="preserve"> AT:</w:t>
      </w:r>
      <w:r w:rsidRPr="00EC48FA">
        <w:t xml:space="preserve"> </w:t>
      </w:r>
      <w:r w:rsidRPr="00662577">
        <w:t xml:space="preserve">More complex and often more costly technology that is adjusted or configured </w:t>
      </w:r>
      <w:r>
        <w:t xml:space="preserve">precisely </w:t>
      </w:r>
      <w:r w:rsidRPr="00662577">
        <w:t>to meet individual support needs</w:t>
      </w:r>
      <w:r w:rsidR="00BD555B">
        <w:t>. Examples include</w:t>
      </w:r>
      <w:r w:rsidRPr="00662577">
        <w:t xml:space="preserve"> scooters,</w:t>
      </w:r>
      <w:r w:rsidRPr="005C1C72">
        <w:t xml:space="preserve"> </w:t>
      </w:r>
      <w:r w:rsidRPr="004730DF">
        <w:t>powered wheelchairs</w:t>
      </w:r>
      <w:r>
        <w:t>,</w:t>
      </w:r>
      <w:r w:rsidRPr="00662577">
        <w:t xml:space="preserve"> patient hoists, and adjustable beds</w:t>
      </w:r>
      <w:r>
        <w:t>.</w:t>
      </w:r>
    </w:p>
    <w:p w14:paraId="5DBF4AED" w14:textId="498D49D1" w:rsidR="00F314F5" w:rsidRDefault="008845A2" w:rsidP="00F314F5">
      <w:pPr>
        <w:pStyle w:val="Paragraph"/>
      </w:pPr>
      <w:r w:rsidRPr="00EC48FA">
        <w:rPr>
          <w:rStyle w:val="CrossReference"/>
        </w:rPr>
        <w:fldChar w:fldCharType="begin"/>
      </w:r>
      <w:r w:rsidRPr="00EC48FA">
        <w:rPr>
          <w:rStyle w:val="CrossReference"/>
        </w:rPr>
        <w:instrText xml:space="preserve"> REF _Ref31200665 \h  \* MERGEFORMAT </w:instrText>
      </w:r>
      <w:r w:rsidRPr="00EC48FA">
        <w:rPr>
          <w:rStyle w:val="CrossReference"/>
        </w:rPr>
      </w:r>
      <w:r w:rsidRPr="00EC48FA">
        <w:rPr>
          <w:rStyle w:val="CrossReference"/>
        </w:rPr>
        <w:fldChar w:fldCharType="separate"/>
      </w:r>
      <w:r w:rsidR="00CC3F04" w:rsidRPr="00CC3F04">
        <w:rPr>
          <w:rStyle w:val="CrossReference"/>
        </w:rPr>
        <w:t>Figure 2</w:t>
      </w:r>
      <w:r w:rsidR="00CC3F04" w:rsidRPr="00CC3F04">
        <w:rPr>
          <w:rStyle w:val="CrossReference"/>
        </w:rPr>
        <w:noBreakHyphen/>
        <w:t>3</w:t>
      </w:r>
      <w:r w:rsidRPr="00EC48FA">
        <w:rPr>
          <w:rStyle w:val="CrossReference"/>
        </w:rPr>
        <w:fldChar w:fldCharType="end"/>
      </w:r>
      <w:r w:rsidRPr="00EC48FA">
        <w:t xml:space="preserve"> illustrates </w:t>
      </w:r>
      <w:r>
        <w:t xml:space="preserve">these three </w:t>
      </w:r>
      <w:r w:rsidRPr="00EC48FA">
        <w:t>different levels of AT</w:t>
      </w:r>
      <w:r>
        <w:t>.</w:t>
      </w:r>
      <w:bookmarkEnd w:id="35"/>
    </w:p>
    <w:p w14:paraId="5E583BCE" w14:textId="76D0A4B6" w:rsidR="008845A2" w:rsidRPr="00736110" w:rsidRDefault="008845A2" w:rsidP="00017633">
      <w:bookmarkStart w:id="36" w:name="_Ref31200665"/>
      <w:bookmarkStart w:id="37" w:name="_Toc31630743"/>
      <w:bookmarkStart w:id="38" w:name="_Toc59402409"/>
      <w:r w:rsidRPr="00736110">
        <w:t>Figure </w:t>
      </w:r>
      <w:r w:rsidR="00B303C0">
        <w:fldChar w:fldCharType="begin"/>
      </w:r>
      <w:r w:rsidR="00B303C0">
        <w:instrText xml:space="preserve"> STYLEREF 1 \s </w:instrText>
      </w:r>
      <w:r w:rsidR="00B303C0">
        <w:fldChar w:fldCharType="separate"/>
      </w:r>
      <w:r w:rsidR="00CC3F04">
        <w:rPr>
          <w:noProof/>
        </w:rPr>
        <w:t>2</w:t>
      </w:r>
      <w:r w:rsidR="00B303C0">
        <w:fldChar w:fldCharType="end"/>
      </w:r>
      <w:r w:rsidR="00B303C0">
        <w:noBreakHyphen/>
      </w:r>
      <w:r w:rsidR="00B303C0">
        <w:fldChar w:fldCharType="begin"/>
      </w:r>
      <w:r w:rsidR="00B303C0">
        <w:instrText xml:space="preserve"> SEQ Figure \* ARABIC \s 1 </w:instrText>
      </w:r>
      <w:r w:rsidR="00B303C0">
        <w:fldChar w:fldCharType="separate"/>
      </w:r>
      <w:r w:rsidR="00CC3F04">
        <w:rPr>
          <w:noProof/>
        </w:rPr>
        <w:t>3</w:t>
      </w:r>
      <w:r w:rsidR="00B303C0">
        <w:fldChar w:fldCharType="end"/>
      </w:r>
      <w:bookmarkStart w:id="39" w:name="_Toc31187964"/>
      <w:bookmarkEnd w:id="36"/>
      <w:r w:rsidRPr="00736110">
        <w:t>:</w:t>
      </w:r>
      <w:r w:rsidRPr="00736110">
        <w:tab/>
        <w:t>The AT complexity pyramid</w:t>
      </w:r>
      <w:bookmarkEnd w:id="37"/>
      <w:bookmarkEnd w:id="38"/>
      <w:bookmarkEnd w:id="39"/>
    </w:p>
    <w:p w14:paraId="38388F74" w14:textId="4FC40749" w:rsidR="008845A2" w:rsidRPr="00EC48FA" w:rsidRDefault="00C72F9B" w:rsidP="008845A2">
      <w:r>
        <w:rPr>
          <w:noProof/>
          <w:lang w:val="en-AU" w:eastAsia="en-AU"/>
        </w:rPr>
        <w:drawing>
          <wp:inline distT="0" distB="0" distL="0" distR="0" wp14:anchorId="2E584EC4" wp14:editId="1E8B3B55">
            <wp:extent cx="6120000" cy="6120000"/>
            <wp:effectExtent l="0" t="0" r="14605" b="14605"/>
            <wp:docPr id="21" name="Diagram 21" descr="Prescribed AT includes: pressure cushions and mattresses, custom made hand splints, orthotics, prostheses, lymphoedema garments, and powered wheelchairs or scooters.&#10;&#10;Under advice AT includes: body system monitors (heart, diabetes), mobile shower commodes, walking sticks, wheeled walking frames, manual wheelchairs, electric rise/recline armchairs, hand-held shower hoses, audible smoke alarms, personal alarms, computer software, and smart AT systems.&#10;&#10;Low risk AT includes: standard wheelchairs, basic pressure care cushions, rollators, crutches, daily living aids, furniture, bathroom and toilet aids, ramps, et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CE425B0" w14:textId="77777777" w:rsidR="008845A2" w:rsidRPr="00EC48FA" w:rsidRDefault="008845A2" w:rsidP="00186D90">
      <w:pPr>
        <w:pStyle w:val="Note"/>
      </w:pPr>
      <w:r w:rsidRPr="00EC48FA">
        <w:t>Source: ATSA 2014, Assistive Technology in Australia, Assistive Technology Suppliers Australasia, Paramatta.</w:t>
      </w:r>
    </w:p>
    <w:p w14:paraId="6D450046" w14:textId="77777777" w:rsidR="00C72F9B" w:rsidRDefault="00C72F9B">
      <w:pPr>
        <w:sectPr w:rsidR="00C72F9B" w:rsidSect="00C72F9B">
          <w:pgSz w:w="11907" w:h="16840" w:orient="landscape" w:code="9"/>
          <w:pgMar w:top="1134" w:right="851" w:bottom="1134" w:left="851" w:header="510" w:footer="567" w:gutter="0"/>
          <w:cols w:space="720"/>
          <w:docGrid w:linePitch="272"/>
        </w:sectPr>
      </w:pPr>
      <w:bookmarkStart w:id="40" w:name="_Ref31198034"/>
      <w:bookmarkStart w:id="41" w:name="_Toc31630744"/>
    </w:p>
    <w:p w14:paraId="0E55418D" w14:textId="2AD1845E" w:rsidR="00372F95" w:rsidRDefault="00372F95" w:rsidP="00372F95">
      <w:pPr>
        <w:pStyle w:val="Paragraph"/>
      </w:pPr>
      <w:r>
        <w:lastRenderedPageBreak/>
        <w:t xml:space="preserve">A total of 19 broad AT </w:t>
      </w:r>
      <w:r w:rsidRPr="00EC48FA">
        <w:t xml:space="preserve">categories </w:t>
      </w:r>
      <w:r>
        <w:t>of relevance for this older people have been included in this review, as</w:t>
      </w:r>
      <w:r w:rsidRPr="00EC48FA">
        <w:t xml:space="preserve"> presented in </w:t>
      </w:r>
      <w:r w:rsidR="00A90168">
        <w:rPr>
          <w:i/>
          <w:iCs/>
          <w:shd w:val="clear" w:color="auto" w:fill="FFFFFF"/>
        </w:rPr>
        <w:fldChar w:fldCharType="begin"/>
      </w:r>
      <w:r w:rsidR="00A90168">
        <w:instrText xml:space="preserve"> REF _Ref59402440 \h </w:instrText>
      </w:r>
      <w:r w:rsidR="00A90168">
        <w:rPr>
          <w:i/>
          <w:iCs/>
          <w:shd w:val="clear" w:color="auto" w:fill="FFFFFF"/>
        </w:rPr>
      </w:r>
      <w:r w:rsidR="00A90168">
        <w:rPr>
          <w:i/>
          <w:iCs/>
          <w:shd w:val="clear" w:color="auto" w:fill="FFFFFF"/>
        </w:rPr>
        <w:fldChar w:fldCharType="separate"/>
      </w:r>
      <w:r w:rsidR="00CC3F04" w:rsidRPr="00736110">
        <w:t>Figure </w:t>
      </w:r>
      <w:r w:rsidR="00CC3F04">
        <w:rPr>
          <w:noProof/>
        </w:rPr>
        <w:t>2</w:t>
      </w:r>
      <w:r w:rsidR="00CC3F04">
        <w:noBreakHyphen/>
      </w:r>
      <w:r w:rsidR="00CC3F04">
        <w:rPr>
          <w:noProof/>
        </w:rPr>
        <w:t>4</w:t>
      </w:r>
      <w:r w:rsidR="00A90168">
        <w:rPr>
          <w:i/>
          <w:iCs/>
          <w:shd w:val="clear" w:color="auto" w:fill="FFFFFF"/>
        </w:rPr>
        <w:fldChar w:fldCharType="end"/>
      </w:r>
      <w:r w:rsidRPr="00EC48FA">
        <w:t>.</w:t>
      </w:r>
    </w:p>
    <w:p w14:paraId="610A28A4" w14:textId="1752478E" w:rsidR="008845A2" w:rsidRPr="00736110" w:rsidRDefault="008845A2" w:rsidP="00017633">
      <w:bookmarkStart w:id="42" w:name="_Ref59402440"/>
      <w:bookmarkStart w:id="43" w:name="_Toc59402410"/>
      <w:r w:rsidRPr="00736110">
        <w:t>Figure </w:t>
      </w:r>
      <w:r w:rsidR="00B303C0">
        <w:fldChar w:fldCharType="begin"/>
      </w:r>
      <w:r w:rsidR="00B303C0">
        <w:instrText xml:space="preserve"> STYLEREF 1 \s </w:instrText>
      </w:r>
      <w:r w:rsidR="00B303C0">
        <w:fldChar w:fldCharType="separate"/>
      </w:r>
      <w:r w:rsidR="00CC3F04">
        <w:rPr>
          <w:noProof/>
        </w:rPr>
        <w:t>2</w:t>
      </w:r>
      <w:r w:rsidR="00B303C0">
        <w:fldChar w:fldCharType="end"/>
      </w:r>
      <w:r w:rsidR="00B303C0">
        <w:noBreakHyphen/>
      </w:r>
      <w:r w:rsidR="00B303C0">
        <w:fldChar w:fldCharType="begin"/>
      </w:r>
      <w:r w:rsidR="00B303C0">
        <w:instrText xml:space="preserve"> SEQ Figure \* ARABIC \s 1 </w:instrText>
      </w:r>
      <w:r w:rsidR="00B303C0">
        <w:fldChar w:fldCharType="separate"/>
      </w:r>
      <w:r w:rsidR="00CC3F04">
        <w:rPr>
          <w:noProof/>
        </w:rPr>
        <w:t>4</w:t>
      </w:r>
      <w:r w:rsidR="00B303C0">
        <w:fldChar w:fldCharType="end"/>
      </w:r>
      <w:bookmarkEnd w:id="40"/>
      <w:bookmarkEnd w:id="42"/>
      <w:r w:rsidRPr="00736110">
        <w:t>:</w:t>
      </w:r>
      <w:r w:rsidRPr="00736110">
        <w:tab/>
        <w:t>Categories of AT</w:t>
      </w:r>
      <w:bookmarkEnd w:id="41"/>
      <w:bookmarkEnd w:id="43"/>
    </w:p>
    <w:p w14:paraId="0FE32A59" w14:textId="3AAB287E" w:rsidR="008845A2" w:rsidRPr="00EC48FA" w:rsidRDefault="008845A2" w:rsidP="008845A2">
      <w:r>
        <w:rPr>
          <w:noProof/>
          <w:lang w:val="en-AU" w:eastAsia="en-AU"/>
        </w:rPr>
        <w:drawing>
          <wp:inline distT="0" distB="0" distL="0" distR="0" wp14:anchorId="3117078C" wp14:editId="5E6FDF21">
            <wp:extent cx="9269113" cy="4099249"/>
            <wp:effectExtent l="0" t="0" r="8255" b="0"/>
            <wp:docPr id="52" name="Picture 52" descr="The 19 categories of AT are: aids for vision and hearing; bathing, showering and toileting; communication (speak, read and listen); computer access; continence products; design and building for access and safety; vehicles; eating and drinking; kitchen and household tasks; lifting and transferring people; personal care and dressing; driving; walking aids; telephones, intercoms and call systems; safety and health management; scooters, wheelchairs and wheeled mobility; seating, sleeping and body support; standing aids; and switches and remote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The 19 categories of AT are: aids for vision and hearing; bathing, showering and toileting; communication (speak, read and listen); computer access; continence products; design and building for access and safety; vehicles; eating and drinking; kitchen and household tasks; lifting and transferring people; personal care and dressing; driving; walking aids; telephones, intercoms and call systems; safety and health management; scooters, wheelchairs and wheeled mobility; seating, sleeping and body support; standing aids; and switches and remote controls."/>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9291733" cy="4109253"/>
                    </a:xfrm>
                    <a:prstGeom prst="rect">
                      <a:avLst/>
                    </a:prstGeom>
                    <a:noFill/>
                    <a:ln>
                      <a:noFill/>
                    </a:ln>
                    <a:extLst>
                      <a:ext uri="{53640926-AAD7-44D8-BBD7-CCE9431645EC}">
                        <a14:shadowObscured xmlns:a14="http://schemas.microsoft.com/office/drawing/2010/main"/>
                      </a:ext>
                    </a:extLst>
                  </pic:spPr>
                </pic:pic>
              </a:graphicData>
            </a:graphic>
          </wp:inline>
        </w:drawing>
      </w:r>
    </w:p>
    <w:p w14:paraId="18DC4059" w14:textId="77777777" w:rsidR="008845A2" w:rsidRDefault="008845A2" w:rsidP="008845A2">
      <w:pPr>
        <w:sectPr w:rsidR="008845A2" w:rsidSect="00C72F9B">
          <w:pgSz w:w="16840" w:h="11907" w:code="9"/>
          <w:pgMar w:top="851" w:right="1134" w:bottom="851" w:left="1134" w:header="510" w:footer="567" w:gutter="0"/>
          <w:cols w:space="720"/>
          <w:docGrid w:linePitch="272"/>
        </w:sectPr>
      </w:pPr>
    </w:p>
    <w:p w14:paraId="549D49A8" w14:textId="77777777" w:rsidR="008845A2" w:rsidRPr="00805DBA" w:rsidRDefault="008845A2" w:rsidP="004A3055">
      <w:pPr>
        <w:pStyle w:val="Heading3"/>
        <w:spacing w:before="0"/>
      </w:pPr>
      <w:r w:rsidRPr="00805DBA">
        <w:lastRenderedPageBreak/>
        <w:t>Standards</w:t>
      </w:r>
      <w:r>
        <w:t xml:space="preserve"> and regulation</w:t>
      </w:r>
    </w:p>
    <w:p w14:paraId="311F9C22" w14:textId="06F7ED77" w:rsidR="008845A2" w:rsidRPr="00EC48FA" w:rsidRDefault="008845A2" w:rsidP="003F2440">
      <w:pPr>
        <w:pStyle w:val="Paragraph"/>
      </w:pPr>
      <w:r w:rsidRPr="00EC48FA">
        <w:t xml:space="preserve">The International Organization for Standardization (ISO) provides international classification and standards for AT in the </w:t>
      </w:r>
      <w:r w:rsidRPr="00EC48FA">
        <w:rPr>
          <w:rStyle w:val="Italic"/>
        </w:rPr>
        <w:t>Assistive products for persons with disability—Classification and terminology</w:t>
      </w:r>
      <w:r w:rsidR="00F80723">
        <w:t xml:space="preserve">. </w:t>
      </w:r>
      <w:r w:rsidRPr="00EC48FA">
        <w:t>These standards are orient</w:t>
      </w:r>
      <w:r>
        <w:t>ed</w:t>
      </w:r>
      <w:r w:rsidRPr="00EC48FA">
        <w:t xml:space="preserve"> to manufacturers, suppliers and service providers rather than consumers </w:t>
      </w:r>
      <w:r w:rsidRPr="00EC48FA">
        <w:fldChar w:fldCharType="begin" w:fldLock="1"/>
      </w:r>
      <w:r w:rsidRPr="00EC48FA">
        <w:instrText>ADDIN CSL_CITATION {"citationItems":[{"id":"ITEM-1","itemData":{"author":[{"dropping-particle":"","family":"International Organization for Standardization","given":"","non-dropping-particle":"","parse-names":false,"suffix":""}],"id":"ITEM-1","issued":{"date-parts":[["2016"]]},"number-of-pages":"1-63","title":"Assistive products for persons with disability — Classification and terminology","type":"book"},"uris":["http://www.mendeley.com/documents/?uuid=0ff81a36-5dbc-48bf-9395-a14ad7f83df1","http://www.mendeley.com/documents/?uuid=da60c1d0-ba15-4659-89ef-b2654ac5b02d","http://www.mendeley.com/documents/?uuid=7473c4df-4336-40b7-991f-84a1e7d35559"]}],"mendeley":{"formattedCitation":"(International Organization for Standardization 2016)","plainTextFormattedCitation":"(International Organization for Standardization 2016)","previouslyFormattedCitation":"(International Organization for Standardization 2016)"},"properties":{"noteIndex":0},"schema":"https://github.com/citation-style-language/schema/raw/master/csl-citation.json"}</w:instrText>
      </w:r>
      <w:r w:rsidRPr="00EC48FA">
        <w:fldChar w:fldCharType="separate"/>
      </w:r>
      <w:r w:rsidRPr="00EC48FA">
        <w:rPr>
          <w:noProof/>
        </w:rPr>
        <w:t>(International Organization for Standardization 2016)</w:t>
      </w:r>
      <w:r w:rsidRPr="00EC48FA">
        <w:fldChar w:fldCharType="end"/>
      </w:r>
      <w:r w:rsidRPr="00EC48FA">
        <w:t xml:space="preserve">. </w:t>
      </w:r>
    </w:p>
    <w:p w14:paraId="24B57F9F" w14:textId="77777777" w:rsidR="008845A2" w:rsidRPr="00EC48FA" w:rsidRDefault="008845A2" w:rsidP="008845A2">
      <w:pPr>
        <w:pStyle w:val="Paragraph"/>
      </w:pPr>
      <w:r>
        <w:t xml:space="preserve">A global move towards the language of </w:t>
      </w:r>
      <w:r w:rsidRPr="002D3EE2">
        <w:t>health and functioning</w:t>
      </w:r>
      <w:r>
        <w:t>, rather than disability and limitation, is underway.</w:t>
      </w:r>
      <w:r w:rsidRPr="002D3EE2">
        <w:t xml:space="preserve"> </w:t>
      </w:r>
      <w:r>
        <w:t xml:space="preserve">The agreed approach is found within </w:t>
      </w:r>
      <w:r w:rsidRPr="002D3EE2">
        <w:t>WHO’s International Classification of Functioning, Disability and Health (ICF)</w:t>
      </w:r>
      <w:r>
        <w:t xml:space="preserve"> and is co</w:t>
      </w:r>
      <w:r w:rsidRPr="00F972B5">
        <w:t xml:space="preserve">nsistent with the </w:t>
      </w:r>
      <w:r>
        <w:t>Department’s</w:t>
      </w:r>
      <w:r w:rsidRPr="00F972B5">
        <w:t xml:space="preserve"> focus on </w:t>
      </w:r>
      <w:r>
        <w:t>consumer independence and autonomy</w:t>
      </w:r>
      <w:r w:rsidRPr="002D3EE2">
        <w:t xml:space="preserve"> </w:t>
      </w:r>
      <w:r>
        <w:t>(</w:t>
      </w:r>
      <w:r w:rsidRPr="002D3EE2">
        <w:fldChar w:fldCharType="begin" w:fldLock="1"/>
      </w:r>
      <w:r>
        <w:instrText>ADDIN CSL_CITATION {"citationItems":[{"id":"ITEM-1","itemData":{"DOI":"10.1080/17483107.2018.1473895","ISSN":"17483115","PMID":"29873268","abstract":"This paper is based on work from the Global Research, Innovation, and Education on Assistive Technology (GREAT) Summit that was coordinated by WHO’s Global Cooperation on Assistive Technology (GATE). The purpose of this paper is to describe the needs and opportunities embedded in the assistive product lifecycle as well as issues relating to the various stages of assistive product mobilization worldwide. The paper discusses assistive technology product terminology and the dangers of focusing on products outside the context and rolling out products without a plan. Additionally, the paper reviews concepts and issues around technology transfer, particularly in relation to meeting global needs and among countries with limited resources. Several opportunities are highlighted including technology advancement and the world nearing a state of readiness through a developing capacity of nations across the world to successfully adopt and support the assistive technology products and applications. The paper is optimistic about the future of assistive technology products reaching the people that can use it the most and the excitement across large and small nations in increasing their own capacities for implementing assistive technology. This is expressed as hope in future students as they innovate and in modern engineering that will enable assistive technology to pervade all corners of current and potential marketplaces. Importantly, the paper poses numerous topics where discussions are just superficially opened. The hope is that a set of sequels will follow to continue this critical dialog.Implications for Rehabilitation Successful assistive technology product interventions are complex and include much more than the simple selection of the right product. Assistive technology product use is highly context sensitive in terms of an individual user’s environment. The development of assistive technology products is tricky as it must be contextually sensitive to the development environment and market as well. As a field we have much to study and develop around assistive technology product interventions from a global perspective.","author":[{"dropping-particle":"","family":"Smith","given":"Roger O.","non-dropping-particle":"","parse-names":false,"suffix":""},{"dropping-particle":"","family":"Scherer","given":"Marcia J.","non-dropping-particle":"","parse-names":false,"suffix":""},{"dropping-particle":"","family":"Cooper","given":"Rory","non-dropping-particle":"","parse-names":false,"suffix":""},{"dropping-particle":"","family":"Bell","given":"Diane","non-dropping-particle":"","parse-names":false,"suffix":""},{"dropping-particle":"","family":"Hobbs","given":"David A.","non-dropping-particle":"","parse-names":false,"suffix":""},{"dropping-particle":"","family":"Pettersson","given":"Cecilia","non-dropping-particle":"","parse-names":false,"suffix":""},{"dropping-particle":"","family":"Seymour","given":"Nicky","non-dropping-particle":"","parse-names":false,"suffix":""},{"dropping-particle":"","family":"Borg","given":"Johan","non-dropping-particle":"","parse-names":false,"suffix":""},{"dropping-particle":"","family":"Johnson","given":"Michelle J.","non-dropping-particle":"","parse-names":false,"suffix":""},{"dropping-particle":"","family":"Lane","given":"Joseph P.","non-dropping-particle":"","parse-names":false,"suffix":""},{"dropping-particle":"","family":"Sujatha","given":"S.","non-dropping-particle":"","parse-names":false,"suffix":""},{"dropping-particle":"","family":"Rao","given":"P. V.M.","non-dropping-particle":"","parse-names":false,"suffix":""},{"dropping-particle":"","family":"Obiedat","given":"Qussai M.","non-dropping-particle":"","parse-names":false,"suffix":""},{"dropping-particle":"","family":"MacLachlan","given":"Malcolm","non-dropping-particle":"","parse-names":false,"suffix":""},{"dropping-particle":"","family":"Bauer","given":"Stephen","non-dropping-particle":"","parse-names":false,"suffix":""}],"container-title":"Disability and Rehabilitation: Assistive Technology","id":"ITEM-1","issue":"5","issued":{"date-parts":[["2018"]]},"page":"473-485","publisher":"Taylor &amp; Francis","title":"Assistive technology products: a position paper from the first global research, innovation, and education on assistive technology (GREAT) summit","type":"article-journal","volume":"13"},"uris":["http://www.mendeley.com/documents/?uuid=3e2b3ad2-f265-4aa5-b1fe-f0aefcbba0b9","http://www.mendeley.com/documents/?uuid=7ca56414-8e62-4c18-ad1f-efd65ab7f59d"]},{"id":"ITEM-2","itemData":{"author":[{"dropping-particle":"","family":"International Organization for Standardization","given":"","non-dropping-particle":"","parse-names":false,"suffix":""}],"id":"ITEM-2","issued":{"date-parts":[["2016"]]},"number-of-pages":"1-63","title":"Assistive products for persons with disability — Classification and terminology","type":"book"},"uris":["http://www.mendeley.com/documents/?uuid=7473c4df-4336-40b7-991f-84a1e7d35559","http://www.mendeley.com/documents/?uuid=da60c1d0-ba15-4659-89ef-b2654ac5b02d","http://www.mendeley.com/documents/?uuid=0ff81a36-5dbc-48bf-9395-a14ad7f83df1","http://www.mendeley.com/documents/?uuid=92e2ff72-4d58-4757-9b82-3cc634ff544a"]}],"mendeley":{"formattedCitation":"(Smith et al. 2018, International Organization for Standardization 2016)","manualFormatting":"International Organization for Standardization 2016, Smith et al. 2018)","plainTextFormattedCitation":"(Smith et al. 2018, International Organization for Standardization 2016)","previouslyFormattedCitation":"(Smith et al. 2018, International Organization for Standardization 2016)"},"properties":{"noteIndex":0},"schema":"https://github.com/citation-style-language/schema/raw/master/csl-citation.json"}</w:instrText>
      </w:r>
      <w:r w:rsidRPr="002D3EE2">
        <w:fldChar w:fldCharType="separate"/>
      </w:r>
      <w:r w:rsidRPr="002D3EE2">
        <w:rPr>
          <w:noProof/>
        </w:rPr>
        <w:t>International Organization for Standardization 2016, Smith et al. 2018)</w:t>
      </w:r>
      <w:r w:rsidRPr="002D3EE2">
        <w:fldChar w:fldCharType="end"/>
      </w:r>
      <w:r w:rsidRPr="00EC48FA">
        <w:t xml:space="preserve">. </w:t>
      </w:r>
    </w:p>
    <w:p w14:paraId="61EDC43C" w14:textId="4DBCAE41" w:rsidR="008845A2" w:rsidRPr="00EC48FA" w:rsidRDefault="008845A2" w:rsidP="008845A2">
      <w:pPr>
        <w:pStyle w:val="Paragraph"/>
        <w:rPr>
          <w:lang w:eastAsia="en-AU"/>
        </w:rPr>
      </w:pPr>
      <w:r w:rsidRPr="00EC48FA">
        <w:rPr>
          <w:lang w:eastAsia="en-AU"/>
        </w:rPr>
        <w:t>The Australian Therapeutic Goods Administration (TGA) regulates therapeutic goods</w:t>
      </w:r>
      <w:r w:rsidR="00141262">
        <w:rPr>
          <w:lang w:eastAsia="en-AU"/>
        </w:rPr>
        <w:t xml:space="preserve"> defined as medical devices. So</w:t>
      </w:r>
      <w:r w:rsidRPr="00EC48FA">
        <w:rPr>
          <w:lang w:eastAsia="en-AU"/>
        </w:rPr>
        <w:t>me AT items are TGA regulated while other</w:t>
      </w:r>
      <w:r w:rsidR="00141262">
        <w:rPr>
          <w:lang w:eastAsia="en-AU"/>
        </w:rPr>
        <w:t>s</w:t>
      </w:r>
      <w:r w:rsidRPr="00EC48FA">
        <w:rPr>
          <w:lang w:eastAsia="en-AU"/>
        </w:rPr>
        <w:t xml:space="preserve"> are not.</w:t>
      </w:r>
    </w:p>
    <w:p w14:paraId="798E2AF4" w14:textId="64E3D810" w:rsidR="008845A2" w:rsidRDefault="008845A2" w:rsidP="003F2440">
      <w:pPr>
        <w:pStyle w:val="Paragraph"/>
      </w:pPr>
      <w:r>
        <w:rPr>
          <w:lang w:val="en-CA" w:eastAsia="en-AU"/>
        </w:rPr>
        <w:t xml:space="preserve">The TGA is </w:t>
      </w:r>
      <w:r w:rsidRPr="00D06F78">
        <w:rPr>
          <w:lang w:eastAsia="en-AU"/>
        </w:rPr>
        <w:t xml:space="preserve">currently </w:t>
      </w:r>
      <w:r>
        <w:rPr>
          <w:lang w:val="en-CA" w:eastAsia="en-AU"/>
        </w:rPr>
        <w:t xml:space="preserve">reviewing its approach to AT and developing a determination on assistive technology. </w:t>
      </w:r>
      <w:r w:rsidRPr="00E75F6E">
        <w:t xml:space="preserve">This determination </w:t>
      </w:r>
      <w:r>
        <w:t>uses the ISO</w:t>
      </w:r>
      <w:r w:rsidR="00A90168">
        <w:t> </w:t>
      </w:r>
      <w:r>
        <w:t xml:space="preserve">9999 categories of AT and </w:t>
      </w:r>
      <w:bookmarkStart w:id="44" w:name="_Hlk42335673"/>
      <w:r>
        <w:t>provides</w:t>
      </w:r>
      <w:r w:rsidRPr="00E75F6E">
        <w:t xml:space="preserve"> greater clarity in defining low-risk AT products</w:t>
      </w:r>
      <w:r w:rsidR="00915A83">
        <w:t xml:space="preserve"> </w:t>
      </w:r>
      <w:r w:rsidR="0023318D">
        <w:t xml:space="preserve">(which can be obtained without </w:t>
      </w:r>
      <w:r w:rsidR="00D06AB5">
        <w:t>the need for an allied health assessment)</w:t>
      </w:r>
      <w:r w:rsidRPr="00E75F6E">
        <w:t xml:space="preserve"> </w:t>
      </w:r>
      <w:r>
        <w:t xml:space="preserve">and AT products described as medical devices that will be </w:t>
      </w:r>
      <w:r w:rsidRPr="00E75F6E">
        <w:t>subject to TGA regulation</w:t>
      </w:r>
      <w:r>
        <w:t xml:space="preserve">, </w:t>
      </w:r>
      <w:r w:rsidRPr="00E75F6E">
        <w:t>requiring prescription by an allied health professional.</w:t>
      </w:r>
      <w:r>
        <w:t xml:space="preserve"> </w:t>
      </w:r>
      <w:bookmarkEnd w:id="44"/>
    </w:p>
    <w:p w14:paraId="5E12C7D4" w14:textId="3BE176B8" w:rsidR="008845A2" w:rsidRPr="00B4708F" w:rsidRDefault="008845A2" w:rsidP="008845A2">
      <w:pPr>
        <w:pStyle w:val="ParaKeep"/>
      </w:pPr>
      <w:r>
        <w:t xml:space="preserve">The determination defines </w:t>
      </w:r>
      <w:r w:rsidRPr="006B5535">
        <w:rPr>
          <w:b/>
          <w:bCs/>
        </w:rPr>
        <w:t>l</w:t>
      </w:r>
      <w:r w:rsidRPr="00F17EE3">
        <w:rPr>
          <w:b/>
          <w:bCs/>
        </w:rPr>
        <w:t>o</w:t>
      </w:r>
      <w:r w:rsidRPr="004A1DE1">
        <w:rPr>
          <w:b/>
        </w:rPr>
        <w:t xml:space="preserve">w-risk </w:t>
      </w:r>
      <w:r w:rsidR="00A533DC">
        <w:rPr>
          <w:b/>
        </w:rPr>
        <w:t>AT</w:t>
      </w:r>
      <w:r>
        <w:rPr>
          <w:b/>
        </w:rPr>
        <w:t xml:space="preserve"> products</w:t>
      </w:r>
      <w:r w:rsidRPr="004A1DE1">
        <w:t xml:space="preserve"> </w:t>
      </w:r>
      <w:r>
        <w:t>as products that:</w:t>
      </w:r>
    </w:p>
    <w:p w14:paraId="1188ED28" w14:textId="77777777" w:rsidR="008845A2" w:rsidRPr="00B04869" w:rsidRDefault="008845A2" w:rsidP="00C81A64">
      <w:pPr>
        <w:pStyle w:val="Bullet1"/>
      </w:pPr>
      <w:r>
        <w:t>H</w:t>
      </w:r>
      <w:r w:rsidRPr="00B04869">
        <w:t>ave a low potential for causing harm when used for activities in daily living environments</w:t>
      </w:r>
    </w:p>
    <w:p w14:paraId="4CFEC28A" w14:textId="77777777" w:rsidR="008845A2" w:rsidRPr="00B04869" w:rsidRDefault="008845A2" w:rsidP="00C81A64">
      <w:pPr>
        <w:pStyle w:val="Bullet1"/>
      </w:pPr>
      <w:r>
        <w:t>A</w:t>
      </w:r>
      <w:r w:rsidRPr="00B04869">
        <w:t xml:space="preserve">re generally available </w:t>
      </w:r>
    </w:p>
    <w:p w14:paraId="27CA50B1" w14:textId="31F0F85C" w:rsidR="00594081" w:rsidRPr="007A4E5F" w:rsidRDefault="008845A2" w:rsidP="00814499">
      <w:pPr>
        <w:pStyle w:val="Bullet1"/>
      </w:pPr>
      <w:r>
        <w:t>D</w:t>
      </w:r>
      <w:r w:rsidRPr="00B04869">
        <w:t>o not require professional advice, set</w:t>
      </w:r>
      <w:r w:rsidR="00D06AB5">
        <w:t>-</w:t>
      </w:r>
      <w:r w:rsidRPr="00B04869">
        <w:t>up or training for effective use.</w:t>
      </w:r>
    </w:p>
    <w:p w14:paraId="392BADCD" w14:textId="77777777" w:rsidR="008845A2" w:rsidRPr="00805DBA" w:rsidRDefault="008845A2" w:rsidP="008845A2">
      <w:pPr>
        <w:pStyle w:val="Heading3"/>
      </w:pPr>
      <w:r>
        <w:t>AT in aged care</w:t>
      </w:r>
    </w:p>
    <w:p w14:paraId="5BB75BBA" w14:textId="785F0256" w:rsidR="008845A2" w:rsidRDefault="008845A2" w:rsidP="008845A2">
      <w:pPr>
        <w:pStyle w:val="ParaKeep"/>
      </w:pPr>
      <w:r>
        <w:t>AT is widely recognised as a key factor in improving outcomes for older people, increasing independence and reducing or delaying the need for more complex aged care services. Two recent reports have identified a need to reform access to AT:</w:t>
      </w:r>
    </w:p>
    <w:p w14:paraId="2446C8A3" w14:textId="77777777" w:rsidR="008845A2" w:rsidRDefault="008845A2" w:rsidP="008845A2">
      <w:pPr>
        <w:pStyle w:val="Bullet1"/>
      </w:pPr>
      <w:r>
        <w:t xml:space="preserve">The 2017 </w:t>
      </w:r>
      <w:r w:rsidRPr="007A7C02">
        <w:rPr>
          <w:rStyle w:val="Italic"/>
        </w:rPr>
        <w:t>Legislated Review of Aged Care</w:t>
      </w:r>
      <w:r>
        <w:t xml:space="preserve"> recommended that ‘the Australian, state and territory governments work together to resolve current issues with the provision of aids and equipment for older people’ </w:t>
      </w:r>
      <w:r>
        <w:fldChar w:fldCharType="begin" w:fldLock="1"/>
      </w:r>
      <w:r>
        <w:instrText>ADDIN CSL_CITATION {"citationItems":[{"id":"ITEM-1","itemData":{"ISBN":"9781760073251","author":[{"dropping-particle":"","family":"Department of Health","given":"","non-dropping-particle":"","parse-names":false,"suffix":""}],"id":"ITEM-1","issued":{"date-parts":[["2017"]]},"publisher":"Commonwealth of Australia","publisher-place":"Canberra","title":"Legislated review of aged care 2017","type":"book"},"uris":["http://www.mendeley.com/documents/?uuid=b47fa01c-4bbb-4b74-84c7-1ebc3c075931"]}],"mendeley":{"formattedCitation":"(Department of Health 2017)","manualFormatting":"(Department of Health 2017, p. 168)","plainTextFormattedCitation":"(Department of Health 2017)","previouslyFormattedCitation":"(Department of Health 2017)"},"properties":{"noteIndex":0},"schema":"https://github.com/citation-style-language/schema/raw/master/csl-citation.json"}</w:instrText>
      </w:r>
      <w:r>
        <w:fldChar w:fldCharType="separate"/>
      </w:r>
      <w:r>
        <w:rPr>
          <w:noProof/>
        </w:rPr>
        <w:t>(Department of Health 2017, p. 168)</w:t>
      </w:r>
      <w:r>
        <w:fldChar w:fldCharType="end"/>
      </w:r>
      <w:r>
        <w:t>.</w:t>
      </w:r>
    </w:p>
    <w:p w14:paraId="4A8BD56E" w14:textId="64F7464E" w:rsidR="008845A2" w:rsidRDefault="008845A2" w:rsidP="008845A2">
      <w:pPr>
        <w:pStyle w:val="Bullet1"/>
      </w:pPr>
      <w:r>
        <w:t xml:space="preserve">The 2019 </w:t>
      </w:r>
      <w:r w:rsidRPr="007A7C02">
        <w:rPr>
          <w:rStyle w:val="Italic"/>
        </w:rPr>
        <w:t>Royal Commission into Aged Care Quality and Safety Interim Report</w:t>
      </w:r>
      <w:r>
        <w:t xml:space="preserve"> has recommended a proposed model for the aged care system that includes an Investment Stream that will provide restorative and respite care, AT and home modifications for home care programs</w:t>
      </w:r>
      <w:r w:rsidR="002829AB">
        <w:t xml:space="preserve"> </w:t>
      </w:r>
      <w:r w:rsidR="002829AB">
        <w:fldChar w:fldCharType="begin" w:fldLock="1"/>
      </w:r>
      <w:r w:rsidR="002829AB">
        <w:instrText>ADDIN CSL_CITATION {"citationItems":[{"id":"ITEM-1","itemData":{"URL":"https://agedcare.royalcommission.gov.au/publications/Pages/interim-report.aspx","accessed":{"date-parts":[["2020","6","10"]]},"author":[{"dropping-particle":"","family":"Royal Commission into Aged Care Quality and Safety","given":"","non-dropping-particle":"","parse-names":false,"suffix":""}],"id":"ITEM-1","issued":{"date-parts":[["2019"]]},"title":"Royal Commission into Aged Care Interim Report","type":"webpage"},"uris":["http://www.mendeley.com/documents/?uuid=70f586aa-6b7e-3e06-96e4-bf1d84be91d1"]}],"mendeley":{"formattedCitation":"(Royal Commission into Aged Care Quality and Safety 2019)","plainTextFormattedCitation":"(Royal Commission into Aged Care Quality and Safety 2019)","previouslyFormattedCitation":"(Royal Commission into Aged Care Quality and Safety 2019)"},"properties":{"noteIndex":0},"schema":"https://github.com/citation-style-language/schema/raw/master/csl-citation.json"}</w:instrText>
      </w:r>
      <w:r w:rsidR="002829AB">
        <w:fldChar w:fldCharType="separate"/>
      </w:r>
      <w:r w:rsidR="002829AB" w:rsidRPr="002829AB">
        <w:rPr>
          <w:noProof/>
        </w:rPr>
        <w:t>(Royal Commission into Aged Care Quality and Safety 2019)</w:t>
      </w:r>
      <w:r w:rsidR="002829AB">
        <w:fldChar w:fldCharType="end"/>
      </w:r>
    </w:p>
    <w:p w14:paraId="7C911E41" w14:textId="72662ACE" w:rsidR="008845A2" w:rsidRDefault="008845A2" w:rsidP="008845A2">
      <w:pPr>
        <w:pStyle w:val="Paragraph"/>
      </w:pPr>
      <w:r w:rsidRPr="009E7E19">
        <w:t>In the UK, Gore et al. have pioneered research which aims to ‘understand how age-related functional ability declines at an individual and a population level, and when and where to intervene</w:t>
      </w:r>
      <w:r w:rsidR="00D939BC">
        <w:t>’</w:t>
      </w:r>
      <w:r w:rsidRPr="009E7E19">
        <w:t xml:space="preserve"> noting the importance of his research for older people</w:t>
      </w:r>
      <w:r w:rsidR="0026187E">
        <w:t xml:space="preserve"> </w:t>
      </w:r>
      <w:r w:rsidR="00054A0E">
        <w:t xml:space="preserve">and </w:t>
      </w:r>
      <w:r w:rsidRPr="009E7E19">
        <w:t>policy</w:t>
      </w:r>
      <w:r w:rsidR="00D80E25">
        <w:t xml:space="preserve"> </w:t>
      </w:r>
      <w:r w:rsidRPr="009E7E19">
        <w:t>makers to plan for future care needs. This research has demonstrated that the provision of appropriate, tailored advice and services (including AT) to individuals, can lead to a reduction in formal care hours</w:t>
      </w:r>
      <w:r w:rsidR="00740FF2">
        <w:t xml:space="preserve"> </w:t>
      </w:r>
      <w:r w:rsidR="002829AB">
        <w:fldChar w:fldCharType="begin" w:fldLock="1"/>
      </w:r>
      <w:r w:rsidR="002829AB">
        <w:instrText>ADDIN CSL_CITATION {"citationItems":[{"id":"ITEM-1","itemData":{"DOI":"10.1093/ageing/afy145","abstract":"Population ageing, which has come about through the combination of increases in life expectancy, larger postwar cohorts reaching older age and reductions in fertility, is challenging societies and particularly health and care providers, worldwide. In Europe, the USA and Japan, there have been increases in years spent with disability and dependency. The majority of such research, as well as professional health and social care practice, measures loss of functional capability or need for social care, by aggregate disability scores, based around activities of daily living and instrumental activities of daily living. Although useful for defining whether an individual has passed a threshold, aggregate scores obscure how functional decline unfolds, and therefore where early intervention might improve intrinsic capacity and reverse or slow down decline, or maintain function. We propose a framework, the compression of functional decline (CFD), based on the latest understanding of the hierarchy of age-related functional decline, which has the potential to (i) help people understand how to live better for longer, (ii) allow the various stakeholders to be able to measure, at a population level, whether that is happening and (iii) identify which interventions are most effective at which stages. CFD is coherent with the World Health Organisation's Healthy Ageing model and is more easily understood by stakeholders and older people themselves, than current indicators such as frailty. CFD thus provides a realistic view of age-related functional decline in the context of modifiable behaviour to counter widespread public misconceptions about ageing and inform improvements.","author":[{"dropping-particle":"","family":"Gore","given":"Peter G","non-dropping-particle":"","parse-names":false,"suffix":""},{"dropping-particle":"","family":"Kingston","given":"Andrew","non-dropping-particle":"","parse-names":false,"suffix":""},{"dropping-particle":"","family":"Johnson","given":"Garth R","non-dropping-particle":"","parse-names":false,"suffix":""},{"dropping-particle":"","family":"Kirkwood","given":"Thomas B L","non-dropping-particle":"","parse-names":false,"suffix":""},{"dropping-particle":"","family":"Jagger","given":"Carol","non-dropping-particle":"","parse-names":false,"suffix":""}],"container-title":"Age and Ageing","id":"ITEM-1","issued":{"date-parts":[["2018"]]},"page":"764-768","title":"New horizons in the compression of functional decline","type":"article-journal","volume":"47"},"uris":["http://www.mendeley.com/documents/?uuid=eb3152b8-23bb-39b1-8d40-052f15ed97a8"]}],"mendeley":{"formattedCitation":"(Gore et al. 2018)","plainTextFormattedCitation":"(Gore et al. 2018)","previouslyFormattedCitation":"(Gore et al. 2018)"},"properties":{"noteIndex":0},"schema":"https://github.com/citation-style-language/schema/raw/master/csl-citation.json"}</w:instrText>
      </w:r>
      <w:r w:rsidR="002829AB">
        <w:fldChar w:fldCharType="separate"/>
      </w:r>
      <w:r w:rsidR="002829AB" w:rsidRPr="002829AB">
        <w:rPr>
          <w:noProof/>
        </w:rPr>
        <w:t>(Gore et al. 2018)</w:t>
      </w:r>
      <w:r w:rsidR="002829AB">
        <w:fldChar w:fldCharType="end"/>
      </w:r>
      <w:r>
        <w:t>.</w:t>
      </w:r>
      <w:r w:rsidR="006A7C6A">
        <w:t xml:space="preserve"> </w:t>
      </w:r>
      <w:r w:rsidRPr="005707B6">
        <w:rPr>
          <w:i/>
          <w:iCs/>
        </w:rPr>
        <w:fldChar w:fldCharType="begin"/>
      </w:r>
      <w:r w:rsidRPr="005707B6">
        <w:rPr>
          <w:i/>
          <w:iCs/>
        </w:rPr>
        <w:instrText xml:space="preserve"> REF _Ref42168380 \h </w:instrText>
      </w:r>
      <w:r>
        <w:rPr>
          <w:i/>
          <w:iCs/>
        </w:rPr>
        <w:instrText xml:space="preserve"> \* MERGEFORMAT </w:instrText>
      </w:r>
      <w:r w:rsidRPr="005707B6">
        <w:rPr>
          <w:i/>
          <w:iCs/>
        </w:rPr>
      </w:r>
      <w:r w:rsidRPr="005707B6">
        <w:rPr>
          <w:i/>
          <w:iCs/>
        </w:rPr>
        <w:fldChar w:fldCharType="separate"/>
      </w:r>
      <w:r w:rsidR="00CC3F04" w:rsidRPr="00CC3F04">
        <w:rPr>
          <w:i/>
          <w:iCs/>
        </w:rPr>
        <w:t>Figure 2</w:t>
      </w:r>
      <w:r w:rsidR="00CC3F04" w:rsidRPr="00CC3F04">
        <w:rPr>
          <w:i/>
          <w:iCs/>
        </w:rPr>
        <w:noBreakHyphen/>
        <w:t>5</w:t>
      </w:r>
      <w:r w:rsidRPr="005707B6">
        <w:rPr>
          <w:i/>
          <w:iCs/>
        </w:rPr>
        <w:fldChar w:fldCharType="end"/>
      </w:r>
      <w:r>
        <w:rPr>
          <w:i/>
          <w:iCs/>
        </w:rPr>
        <w:t xml:space="preserve"> </w:t>
      </w:r>
      <w:r w:rsidRPr="005707B6">
        <w:t>depicts the</w:t>
      </w:r>
      <w:r>
        <w:rPr>
          <w:i/>
          <w:iCs/>
        </w:rPr>
        <w:t xml:space="preserve"> </w:t>
      </w:r>
      <w:r>
        <w:t xml:space="preserve">hierarchy of </w:t>
      </w:r>
      <w:r w:rsidR="00C81A64">
        <w:t>age</w:t>
      </w:r>
      <w:r w:rsidR="00D80E25">
        <w:noBreakHyphen/>
      </w:r>
      <w:r w:rsidR="00C81A64">
        <w:t>related</w:t>
      </w:r>
      <w:r>
        <w:t xml:space="preserve"> decline, </w:t>
      </w:r>
      <w:r w:rsidR="00BC34E5">
        <w:t xml:space="preserve">which shows </w:t>
      </w:r>
      <w:r>
        <w:t>that chronological ageing is a poor metric for age-related decline</w:t>
      </w:r>
      <w:r w:rsidR="00F80723">
        <w:t xml:space="preserve">. </w:t>
      </w:r>
      <w:r>
        <w:t>The activities indicated are key markers of progressive decline.</w:t>
      </w:r>
    </w:p>
    <w:p w14:paraId="296AB005" w14:textId="77777777" w:rsidR="00017633" w:rsidRDefault="00017633">
      <w:bookmarkStart w:id="45" w:name="_Ref42168380"/>
      <w:bookmarkStart w:id="46" w:name="_Toc59402411"/>
      <w:r>
        <w:br w:type="page"/>
      </w:r>
    </w:p>
    <w:p w14:paraId="6E00E4ED" w14:textId="1B4E644D" w:rsidR="009A0497" w:rsidRPr="00736110" w:rsidRDefault="008845A2" w:rsidP="00017633">
      <w:r w:rsidRPr="00736110">
        <w:lastRenderedPageBreak/>
        <w:t>Figure </w:t>
      </w:r>
      <w:r w:rsidR="00B303C0">
        <w:fldChar w:fldCharType="begin"/>
      </w:r>
      <w:r w:rsidR="00B303C0">
        <w:instrText xml:space="preserve"> STYLEREF 1 \s </w:instrText>
      </w:r>
      <w:r w:rsidR="00B303C0">
        <w:fldChar w:fldCharType="separate"/>
      </w:r>
      <w:r w:rsidR="00CC3F04">
        <w:rPr>
          <w:noProof/>
        </w:rPr>
        <w:t>2</w:t>
      </w:r>
      <w:r w:rsidR="00B303C0">
        <w:fldChar w:fldCharType="end"/>
      </w:r>
      <w:r w:rsidR="00B303C0">
        <w:noBreakHyphen/>
      </w:r>
      <w:r w:rsidR="00B303C0">
        <w:fldChar w:fldCharType="begin"/>
      </w:r>
      <w:r w:rsidR="00B303C0">
        <w:instrText xml:space="preserve"> SEQ Figure \* ARABIC \s 1 </w:instrText>
      </w:r>
      <w:r w:rsidR="00B303C0">
        <w:fldChar w:fldCharType="separate"/>
      </w:r>
      <w:r w:rsidR="00CC3F04">
        <w:rPr>
          <w:noProof/>
        </w:rPr>
        <w:t>5</w:t>
      </w:r>
      <w:r w:rsidR="00B303C0">
        <w:fldChar w:fldCharType="end"/>
      </w:r>
      <w:bookmarkEnd w:id="45"/>
      <w:r w:rsidRPr="00736110">
        <w:t>:</w:t>
      </w:r>
      <w:r w:rsidR="001E5DA3">
        <w:tab/>
      </w:r>
      <w:r w:rsidRPr="00736110">
        <w:t>The hierarchy of age-related decline</w:t>
      </w:r>
      <w:bookmarkEnd w:id="46"/>
    </w:p>
    <w:p w14:paraId="28C6F32C" w14:textId="73C3C0DE" w:rsidR="004958D7" w:rsidRPr="00130794" w:rsidRDefault="009E5295" w:rsidP="00130794">
      <w:r>
        <w:rPr>
          <w:noProof/>
          <w:lang w:val="en-AU" w:eastAsia="en-AU"/>
        </w:rPr>
        <w:drawing>
          <wp:inline distT="0" distB="0" distL="0" distR="0" wp14:anchorId="37CAEDA0" wp14:editId="04CFD81F">
            <wp:extent cx="6120765" cy="4194175"/>
            <wp:effectExtent l="0" t="0" r="0" b="0"/>
            <wp:docPr id="4" name="Picture 4" descr="This graph shows two curves of age-related decline over time, mapped against common tasks that are key markers of decline.&#10;&#10;The decline indicated by the sub-optimal curve is faster than that indicated by the optimal curve.&#10;&#10;The key markers of decline are: cutting toenails, shopping, using steps, walk 400 yards, heavy housework, full wash, cook a hot meal, moving around, transfer from a chair, light housework, transfer from toilet, get dressed, wash face and hands, and eat independ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graph shows two curves of age-related decline over time, mapped against common tasks that are key markers of decline.&#10;&#10;The decline indicated by the sub-optimal curve is faster than that indicated by the optimal curve.&#10;&#10;The key markers of decline are: cutting toenails, shopping, using steps, walk 400 yards, heavy housework, full wash, cook a hot meal, moving around, transfer from a chair, light housework, transfer from toilet, get dressed, wash face and hands, and eat independently."/>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20765" cy="4194175"/>
                    </a:xfrm>
                    <a:prstGeom prst="rect">
                      <a:avLst/>
                    </a:prstGeom>
                  </pic:spPr>
                </pic:pic>
              </a:graphicData>
            </a:graphic>
          </wp:inline>
        </w:drawing>
      </w:r>
    </w:p>
    <w:p w14:paraId="2E2C3F6D" w14:textId="3F5BA046" w:rsidR="008845A2" w:rsidRDefault="008845A2" w:rsidP="00186D90">
      <w:pPr>
        <w:pStyle w:val="Note"/>
      </w:pPr>
      <w:r>
        <w:t>Source: ADL Smartcare</w:t>
      </w:r>
    </w:p>
    <w:p w14:paraId="3203BEE8" w14:textId="77777777" w:rsidR="000F2FB7" w:rsidRDefault="000F2FB7" w:rsidP="000F2FB7">
      <w:pPr>
        <w:pStyle w:val="Paragraph"/>
      </w:pPr>
      <w:r>
        <w:t>S</w:t>
      </w:r>
      <w:r>
        <w:rPr>
          <w:color w:val="000000"/>
        </w:rPr>
        <w:t>ubject to the ability and willingness of the individual</w:t>
      </w:r>
      <w:r>
        <w:t xml:space="preserve">, the best order </w:t>
      </w:r>
      <w:r>
        <w:rPr>
          <w:color w:val="000000"/>
        </w:rPr>
        <w:t xml:space="preserve">for interventions is to maintain or recover the ability through targeted exercise or strengthening programs, the use of properly matched AT, then care </w:t>
      </w:r>
      <w:r>
        <w:rPr>
          <w:color w:val="000000"/>
        </w:rPr>
        <w:fldChar w:fldCharType="begin" w:fldLock="1"/>
      </w:r>
      <w:r>
        <w:rPr>
          <w:color w:val="000000"/>
        </w:rPr>
        <w:instrText>ADDIN CSL_CITATION {"citationItems":[{"id":"ITEM-1","itemData":{"DOI":"10.1093/ageing/afy145","abstract":"Population ageing, which has come about through the combination of increases in life expectancy, larger postwar cohorts reaching older age and reductions in fertility, is challenging societies and particularly health and care providers, worldwide. In Europe, the USA and Japan, there have been increases in years spent with disability and dependency. The majority of such research, as well as professional health and social care practice, measures loss of functional capability or need for social care, by aggregate disability scores, based around activities of daily living and instrumental activities of daily living. Although useful for defining whether an individual has passed a threshold, aggregate scores obscure how functional decline unfolds, and therefore where early intervention might improve intrinsic capacity and reverse or slow down decline, or maintain function. We propose a framework, the compression of functional decline (CFD), based on the latest understanding of the hierarchy of age-related functional decline, which has the potential to (i) help people understand how to live better for longer, (ii) allow the various stakeholders to be able to measure, at a population level, whether that is happening and (iii) identify which interventions are most effective at which stages. CFD is coherent with the World Health Organisation's Healthy Ageing model and is more easily understood by stakeholders and older people themselves, than current indicators such as frailty. CFD thus provides a realistic view of age-related functional decline in the context of modifiable behaviour to counter widespread public misconceptions about ageing and inform improvements.","author":[{"dropping-particle":"","family":"Gore","given":"Peter G","non-dropping-particle":"","parse-names":false,"suffix":""},{"dropping-particle":"","family":"Kingston","given":"Andrew","non-dropping-particle":"","parse-names":false,"suffix":""},{"dropping-particle":"","family":"Johnson","given":"Garth R","non-dropping-particle":"","parse-names":false,"suffix":""},{"dropping-particle":"","family":"Kirkwood","given":"Thomas B L","non-dropping-particle":"","parse-names":false,"suffix":""},{"dropping-particle":"","family":"Jagger","given":"Carol","non-dropping-particle":"","parse-names":false,"suffix":""}],"container-title":"Age and Ageing","id":"ITEM-1","issued":{"date-parts":[["2018"]]},"page":"764-768","title":"New horizons in the compression of functional decline","type":"article-journal","volume":"47"},"uris":["http://www.mendeley.com/documents/?uuid=eb3152b8-23bb-39b1-8d40-052f15ed97a8"]}],"mendeley":{"formattedCitation":"(Gore et al. 2018)","plainTextFormattedCitation":"(Gore et al. 2018)","previouslyFormattedCitation":"(Gore et al. 2018)"},"properties":{"noteIndex":0},"schema":"https://github.com/citation-style-language/schema/raw/master/csl-citation.json"}</w:instrText>
      </w:r>
      <w:r>
        <w:rPr>
          <w:color w:val="000000"/>
        </w:rPr>
        <w:fldChar w:fldCharType="separate"/>
      </w:r>
      <w:r w:rsidRPr="002829AB">
        <w:rPr>
          <w:noProof/>
          <w:color w:val="000000"/>
        </w:rPr>
        <w:t>(Gore et al. 2018)</w:t>
      </w:r>
      <w:r>
        <w:rPr>
          <w:color w:val="000000"/>
        </w:rPr>
        <w:fldChar w:fldCharType="end"/>
      </w:r>
      <w:r>
        <w:rPr>
          <w:color w:val="000000"/>
        </w:rPr>
        <w:t>.</w:t>
      </w:r>
    </w:p>
    <w:p w14:paraId="728A07A5" w14:textId="1D1A4B64" w:rsidR="008845A2" w:rsidRDefault="008845A2" w:rsidP="008845A2">
      <w:pPr>
        <w:pStyle w:val="Paragraph"/>
      </w:pPr>
      <w:r>
        <w:t xml:space="preserve">The following </w:t>
      </w:r>
      <w:r w:rsidRPr="00763AC4">
        <w:rPr>
          <w:i/>
          <w:iCs/>
        </w:rPr>
        <w:fldChar w:fldCharType="begin"/>
      </w:r>
      <w:r w:rsidRPr="00763AC4">
        <w:rPr>
          <w:i/>
          <w:iCs/>
        </w:rPr>
        <w:instrText xml:space="preserve"> REF _Ref42245859 \h </w:instrText>
      </w:r>
      <w:r>
        <w:rPr>
          <w:i/>
          <w:iCs/>
        </w:rPr>
        <w:instrText xml:space="preserve"> \* MERGEFORMAT </w:instrText>
      </w:r>
      <w:r w:rsidRPr="00763AC4">
        <w:rPr>
          <w:i/>
          <w:iCs/>
        </w:rPr>
      </w:r>
      <w:r w:rsidRPr="00763AC4">
        <w:rPr>
          <w:i/>
          <w:iCs/>
        </w:rPr>
        <w:fldChar w:fldCharType="separate"/>
      </w:r>
      <w:r w:rsidR="00CC3F04" w:rsidRPr="00CC3F04">
        <w:rPr>
          <w:i/>
          <w:iCs/>
        </w:rPr>
        <w:t>Table 2</w:t>
      </w:r>
      <w:r w:rsidR="00CC3F04" w:rsidRPr="00CC3F04">
        <w:rPr>
          <w:i/>
          <w:iCs/>
        </w:rPr>
        <w:noBreakHyphen/>
        <w:t>1</w:t>
      </w:r>
      <w:r w:rsidRPr="00763AC4">
        <w:rPr>
          <w:i/>
          <w:iCs/>
        </w:rPr>
        <w:fldChar w:fldCharType="end"/>
      </w:r>
      <w:r>
        <w:t xml:space="preserve"> maps the stages of the hierarchy of age-related decline against relevant CHSP services, to demonstrate the kinds of formal care consumers could be expected to require, based on their level of functional decline</w:t>
      </w:r>
      <w:r w:rsidR="00F80723">
        <w:t xml:space="preserve">. </w:t>
      </w:r>
      <w:r>
        <w:t xml:space="preserve">Reablement and AT interventions that address key activity of daily living markers are can have a downstream impact </w:t>
      </w:r>
      <w:r w:rsidR="0047535B">
        <w:t xml:space="preserve">by </w:t>
      </w:r>
      <w:r>
        <w:t xml:space="preserve">slowing the need for care, thereby reducing demand on services. </w:t>
      </w:r>
    </w:p>
    <w:p w14:paraId="0464D791" w14:textId="77777777" w:rsidR="00017633" w:rsidRDefault="00017633">
      <w:bookmarkStart w:id="47" w:name="_Ref42245859"/>
      <w:bookmarkStart w:id="48" w:name="_Toc59402388"/>
      <w:r>
        <w:br w:type="page"/>
      </w:r>
    </w:p>
    <w:p w14:paraId="345436FC" w14:textId="3279C41A" w:rsidR="008845A2" w:rsidRPr="00736110" w:rsidRDefault="008845A2" w:rsidP="00017633">
      <w:r w:rsidRPr="00736110">
        <w:lastRenderedPageBreak/>
        <w:t>Table </w:t>
      </w:r>
      <w:r w:rsidR="009F14D1">
        <w:t>2-1</w:t>
      </w:r>
      <w:bookmarkEnd w:id="47"/>
      <w:r w:rsidRPr="00736110">
        <w:t>:</w:t>
      </w:r>
      <w:r w:rsidR="007A7F2A">
        <w:tab/>
      </w:r>
      <w:r w:rsidRPr="00736110">
        <w:t>Mapping the hierarchy of age-related decline steps to the CHSP services</w:t>
      </w:r>
      <w:bookmarkEnd w:id="48"/>
    </w:p>
    <w:tbl>
      <w:tblPr>
        <w:tblStyle w:val="AHALight"/>
        <w:tblW w:w="9634" w:type="dxa"/>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Description w:val="Lists the activities associated with aged-related decline and matches them to the appropriate CHSP services."/>
      </w:tblPr>
      <w:tblGrid>
        <w:gridCol w:w="2689"/>
        <w:gridCol w:w="6945"/>
      </w:tblGrid>
      <w:tr w:rsidR="00AF7A57" w:rsidRPr="00EE6EAC" w14:paraId="3963D135" w14:textId="77777777" w:rsidTr="00A90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right w:val="none" w:sz="0" w:space="0" w:color="auto"/>
              <w:tl2br w:val="none" w:sz="0" w:space="0" w:color="auto"/>
              <w:tr2bl w:val="none" w:sz="0" w:space="0" w:color="auto"/>
            </w:tcBorders>
            <w:hideMark/>
          </w:tcPr>
          <w:p w14:paraId="13D75CE7" w14:textId="77777777" w:rsidR="00AF7A57" w:rsidRPr="00EE6EAC" w:rsidRDefault="00AF7A57" w:rsidP="009E5295">
            <w:pPr>
              <w:pStyle w:val="TableHeading1Rows"/>
            </w:pPr>
            <w:r w:rsidRPr="00EE6EAC">
              <w:t>Hierarchy of age-related decline</w:t>
            </w:r>
          </w:p>
        </w:tc>
        <w:tc>
          <w:tcPr>
            <w:tcW w:w="6945" w:type="dxa"/>
            <w:tcBorders>
              <w:top w:val="none" w:sz="0" w:space="0" w:color="auto"/>
              <w:left w:val="none" w:sz="0" w:space="0" w:color="auto"/>
              <w:right w:val="none" w:sz="0" w:space="0" w:color="auto"/>
              <w:tl2br w:val="none" w:sz="0" w:space="0" w:color="auto"/>
              <w:tr2bl w:val="none" w:sz="0" w:space="0" w:color="auto"/>
            </w:tcBorders>
            <w:hideMark/>
          </w:tcPr>
          <w:p w14:paraId="4813C470" w14:textId="77777777" w:rsidR="00AF7A57" w:rsidRPr="00EE6EAC" w:rsidRDefault="00AF7A57" w:rsidP="009E5295">
            <w:pPr>
              <w:pStyle w:val="TableHeading1Rows"/>
              <w:cnfStyle w:val="100000000000" w:firstRow="1" w:lastRow="0" w:firstColumn="0" w:lastColumn="0" w:oddVBand="0" w:evenVBand="0" w:oddHBand="0" w:evenHBand="0" w:firstRowFirstColumn="0" w:firstRowLastColumn="0" w:lastRowFirstColumn="0" w:lastRowLastColumn="0"/>
            </w:pPr>
            <w:r w:rsidRPr="00EE6EAC">
              <w:t>CHSP Community and Home Support service types</w:t>
            </w:r>
          </w:p>
        </w:tc>
      </w:tr>
      <w:tr w:rsidR="00AF7A57" w14:paraId="2FD4A5D7" w14:textId="77777777" w:rsidTr="00A9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0079C1" w:themeColor="text2"/>
            </w:tcBorders>
            <w:hideMark/>
          </w:tcPr>
          <w:p w14:paraId="455DB3E6" w14:textId="77777777" w:rsidR="00AF7A57" w:rsidRDefault="00AF7A57">
            <w:pPr>
              <w:keepNext/>
              <w:rPr>
                <w:b w:val="0"/>
                <w:bCs/>
                <w:color w:val="000000"/>
                <w:szCs w:val="20"/>
              </w:rPr>
            </w:pPr>
            <w:r>
              <w:rPr>
                <w:bCs/>
                <w:color w:val="000000"/>
                <w:szCs w:val="20"/>
              </w:rPr>
              <w:t>Cutting toenails</w:t>
            </w:r>
          </w:p>
        </w:tc>
        <w:tc>
          <w:tcPr>
            <w:tcW w:w="6945" w:type="dxa"/>
            <w:tcBorders>
              <w:top w:val="single" w:sz="4" w:space="0" w:color="0079C1" w:themeColor="text2"/>
            </w:tcBorders>
            <w:hideMark/>
          </w:tcPr>
          <w:p w14:paraId="36CB49A2" w14:textId="77777777" w:rsidR="00AF7A57" w:rsidRPr="00736110" w:rsidRDefault="00AF7A57" w:rsidP="00736110">
            <w:pPr>
              <w:cnfStyle w:val="000000100000" w:firstRow="0" w:lastRow="0" w:firstColumn="0" w:lastColumn="0" w:oddVBand="0" w:evenVBand="0" w:oddHBand="1" w:evenHBand="0" w:firstRowFirstColumn="0" w:firstRowLastColumn="0" w:lastRowFirstColumn="0" w:lastRowLastColumn="0"/>
            </w:pPr>
            <w:r w:rsidRPr="00736110">
              <w:t xml:space="preserve">Personal care, allied health </w:t>
            </w:r>
          </w:p>
        </w:tc>
      </w:tr>
      <w:tr w:rsidR="00AF7A57" w14:paraId="4A426076" w14:textId="77777777" w:rsidTr="00A90168">
        <w:tc>
          <w:tcPr>
            <w:cnfStyle w:val="001000000000" w:firstRow="0" w:lastRow="0" w:firstColumn="1" w:lastColumn="0" w:oddVBand="0" w:evenVBand="0" w:oddHBand="0" w:evenHBand="0" w:firstRowFirstColumn="0" w:firstRowLastColumn="0" w:lastRowFirstColumn="0" w:lastRowLastColumn="0"/>
            <w:tcW w:w="2689" w:type="dxa"/>
            <w:hideMark/>
          </w:tcPr>
          <w:p w14:paraId="0BEB08B8" w14:textId="77777777" w:rsidR="00AF7A57" w:rsidRDefault="00AF7A57">
            <w:pPr>
              <w:keepNext/>
              <w:rPr>
                <w:b w:val="0"/>
                <w:bCs/>
                <w:color w:val="000000"/>
                <w:szCs w:val="20"/>
              </w:rPr>
            </w:pPr>
            <w:r>
              <w:rPr>
                <w:bCs/>
                <w:color w:val="000000"/>
                <w:szCs w:val="20"/>
              </w:rPr>
              <w:t>Shopping</w:t>
            </w:r>
          </w:p>
        </w:tc>
        <w:tc>
          <w:tcPr>
            <w:tcW w:w="6945" w:type="dxa"/>
            <w:hideMark/>
          </w:tcPr>
          <w:p w14:paraId="52BA25A1" w14:textId="2A4D2920" w:rsidR="00AF7A57" w:rsidRPr="00736110" w:rsidRDefault="00AF7A57" w:rsidP="00736110">
            <w:pPr>
              <w:cnfStyle w:val="000000000000" w:firstRow="0" w:lastRow="0" w:firstColumn="0" w:lastColumn="0" w:oddVBand="0" w:evenVBand="0" w:oddHBand="0" w:evenHBand="0" w:firstRowFirstColumn="0" w:firstRowLastColumn="0" w:lastRowFirstColumn="0" w:lastRowLastColumn="0"/>
            </w:pPr>
            <w:r w:rsidRPr="00736110">
              <w:t>Transport, Social support individual</w:t>
            </w:r>
          </w:p>
        </w:tc>
      </w:tr>
      <w:tr w:rsidR="00AF7A57" w14:paraId="355586D7" w14:textId="77777777" w:rsidTr="00A9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F7B79F0" w14:textId="77777777" w:rsidR="00AF7A57" w:rsidRDefault="00AF7A57">
            <w:pPr>
              <w:keepNext/>
              <w:rPr>
                <w:b w:val="0"/>
                <w:bCs/>
                <w:color w:val="000000"/>
                <w:szCs w:val="20"/>
              </w:rPr>
            </w:pPr>
            <w:r>
              <w:rPr>
                <w:bCs/>
                <w:color w:val="000000"/>
                <w:szCs w:val="20"/>
              </w:rPr>
              <w:t>Using steps</w:t>
            </w:r>
          </w:p>
        </w:tc>
        <w:tc>
          <w:tcPr>
            <w:tcW w:w="6945" w:type="dxa"/>
            <w:hideMark/>
          </w:tcPr>
          <w:p w14:paraId="6F01DBAE" w14:textId="7FFDDEFD" w:rsidR="00AF7A57" w:rsidRDefault="00AF7A57">
            <w:pPr>
              <w:keepNext/>
              <w:cnfStyle w:val="000000100000" w:firstRow="0" w:lastRow="0" w:firstColumn="0" w:lastColumn="0" w:oddVBand="0" w:evenVBand="0" w:oddHBand="1" w:evenHBand="0" w:firstRowFirstColumn="0" w:firstRowLastColumn="0" w:lastRowFirstColumn="0" w:lastRowLastColumn="0"/>
              <w:rPr>
                <w:color w:val="000000"/>
                <w:szCs w:val="20"/>
              </w:rPr>
            </w:pPr>
            <w:r w:rsidRPr="00AD3407">
              <w:rPr>
                <w:rFonts w:ascii="Calibri" w:hAnsi="Calibri"/>
                <w:color w:val="000000"/>
              </w:rPr>
              <w:t>Allied health, Transport, AT</w:t>
            </w:r>
            <w:r>
              <w:rPr>
                <w:rFonts w:ascii="Calibri" w:hAnsi="Calibri"/>
                <w:color w:val="000000"/>
              </w:rPr>
              <w:t xml:space="preserve">, </w:t>
            </w:r>
            <w:r w:rsidRPr="00AD3407">
              <w:rPr>
                <w:rFonts w:ascii="Calibri" w:hAnsi="Calibri"/>
                <w:color w:val="000000"/>
              </w:rPr>
              <w:t>Home Mod</w:t>
            </w:r>
            <w:r>
              <w:rPr>
                <w:rFonts w:ascii="Calibri" w:hAnsi="Calibri"/>
                <w:color w:val="000000"/>
              </w:rPr>
              <w:t>ification</w:t>
            </w:r>
            <w:r w:rsidRPr="00AD3407">
              <w:rPr>
                <w:rFonts w:ascii="Calibri" w:hAnsi="Calibri"/>
                <w:color w:val="000000"/>
              </w:rPr>
              <w:t>s</w:t>
            </w:r>
          </w:p>
        </w:tc>
      </w:tr>
      <w:tr w:rsidR="00AF7A57" w14:paraId="4DAD56F1" w14:textId="77777777" w:rsidTr="00A90168">
        <w:tc>
          <w:tcPr>
            <w:cnfStyle w:val="001000000000" w:firstRow="0" w:lastRow="0" w:firstColumn="1" w:lastColumn="0" w:oddVBand="0" w:evenVBand="0" w:oddHBand="0" w:evenHBand="0" w:firstRowFirstColumn="0" w:firstRowLastColumn="0" w:lastRowFirstColumn="0" w:lastRowLastColumn="0"/>
            <w:tcW w:w="2689" w:type="dxa"/>
            <w:hideMark/>
          </w:tcPr>
          <w:p w14:paraId="2D22BDD9" w14:textId="77777777" w:rsidR="00AF7A57" w:rsidRDefault="00AF7A57">
            <w:pPr>
              <w:keepNext/>
              <w:rPr>
                <w:b w:val="0"/>
                <w:bCs/>
                <w:color w:val="000000"/>
                <w:szCs w:val="20"/>
              </w:rPr>
            </w:pPr>
            <w:r>
              <w:rPr>
                <w:bCs/>
                <w:color w:val="000000"/>
                <w:szCs w:val="20"/>
              </w:rPr>
              <w:t>Walk 400 yards</w:t>
            </w:r>
          </w:p>
        </w:tc>
        <w:tc>
          <w:tcPr>
            <w:tcW w:w="6945" w:type="dxa"/>
            <w:hideMark/>
          </w:tcPr>
          <w:p w14:paraId="28D9FC35" w14:textId="240402D1" w:rsidR="00AF7A57" w:rsidRDefault="00AF7A57">
            <w:pPr>
              <w:keepNext/>
              <w:cnfStyle w:val="000000000000" w:firstRow="0" w:lastRow="0" w:firstColumn="0" w:lastColumn="0" w:oddVBand="0" w:evenVBand="0" w:oddHBand="0" w:evenHBand="0" w:firstRowFirstColumn="0" w:firstRowLastColumn="0" w:lastRowFirstColumn="0" w:lastRowLastColumn="0"/>
              <w:rPr>
                <w:color w:val="000000"/>
                <w:szCs w:val="20"/>
              </w:rPr>
            </w:pPr>
            <w:r w:rsidRPr="00AD3407">
              <w:rPr>
                <w:rFonts w:ascii="Calibri" w:hAnsi="Calibri"/>
                <w:color w:val="000000"/>
              </w:rPr>
              <w:t>Allied health, Transport, AT, Home Mod</w:t>
            </w:r>
            <w:r w:rsidRPr="00C81A64">
              <w:rPr>
                <w:rFonts w:ascii="Calibri" w:hAnsi="Calibri"/>
                <w:color w:val="000000"/>
              </w:rPr>
              <w:t>ification</w:t>
            </w:r>
            <w:r w:rsidRPr="00AD3407">
              <w:rPr>
                <w:rFonts w:ascii="Calibri" w:hAnsi="Calibri"/>
                <w:color w:val="000000"/>
              </w:rPr>
              <w:t>s</w:t>
            </w:r>
          </w:p>
        </w:tc>
      </w:tr>
      <w:tr w:rsidR="00AF7A57" w14:paraId="28CA0EAA" w14:textId="77777777" w:rsidTr="00A9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DED45A7" w14:textId="77777777" w:rsidR="00AF7A57" w:rsidRDefault="00AF7A57">
            <w:pPr>
              <w:keepNext/>
              <w:rPr>
                <w:b w:val="0"/>
                <w:bCs/>
                <w:color w:val="000000"/>
                <w:szCs w:val="20"/>
              </w:rPr>
            </w:pPr>
            <w:r>
              <w:rPr>
                <w:bCs/>
                <w:color w:val="000000"/>
                <w:szCs w:val="20"/>
              </w:rPr>
              <w:t>Heavy housework</w:t>
            </w:r>
          </w:p>
        </w:tc>
        <w:tc>
          <w:tcPr>
            <w:tcW w:w="6945" w:type="dxa"/>
            <w:hideMark/>
          </w:tcPr>
          <w:p w14:paraId="6295D2EF" w14:textId="77777777" w:rsidR="00AF7A57" w:rsidRPr="00736110" w:rsidRDefault="00AF7A57" w:rsidP="00736110">
            <w:pPr>
              <w:cnfStyle w:val="000000100000" w:firstRow="0" w:lastRow="0" w:firstColumn="0" w:lastColumn="0" w:oddVBand="0" w:evenVBand="0" w:oddHBand="1" w:evenHBand="0" w:firstRowFirstColumn="0" w:firstRowLastColumn="0" w:lastRowFirstColumn="0" w:lastRowLastColumn="0"/>
            </w:pPr>
            <w:r w:rsidRPr="00736110">
              <w:t>Allied health, Domestic assistance</w:t>
            </w:r>
          </w:p>
        </w:tc>
      </w:tr>
      <w:tr w:rsidR="00AF7A57" w14:paraId="01D28949" w14:textId="77777777" w:rsidTr="00A90168">
        <w:tc>
          <w:tcPr>
            <w:cnfStyle w:val="001000000000" w:firstRow="0" w:lastRow="0" w:firstColumn="1" w:lastColumn="0" w:oddVBand="0" w:evenVBand="0" w:oddHBand="0" w:evenHBand="0" w:firstRowFirstColumn="0" w:firstRowLastColumn="0" w:lastRowFirstColumn="0" w:lastRowLastColumn="0"/>
            <w:tcW w:w="2689" w:type="dxa"/>
            <w:hideMark/>
          </w:tcPr>
          <w:p w14:paraId="6AA1628D" w14:textId="77777777" w:rsidR="00AF7A57" w:rsidRDefault="00AF7A57">
            <w:pPr>
              <w:keepNext/>
              <w:rPr>
                <w:b w:val="0"/>
                <w:bCs/>
                <w:color w:val="000000"/>
                <w:szCs w:val="20"/>
              </w:rPr>
            </w:pPr>
            <w:r>
              <w:rPr>
                <w:bCs/>
                <w:color w:val="000000"/>
                <w:szCs w:val="20"/>
              </w:rPr>
              <w:t>Full wash</w:t>
            </w:r>
          </w:p>
        </w:tc>
        <w:tc>
          <w:tcPr>
            <w:tcW w:w="6945" w:type="dxa"/>
            <w:hideMark/>
          </w:tcPr>
          <w:p w14:paraId="4C4EB069" w14:textId="77777777" w:rsidR="00AF7A57" w:rsidRPr="00736110" w:rsidRDefault="00AF7A57" w:rsidP="00736110">
            <w:pPr>
              <w:cnfStyle w:val="000000000000" w:firstRow="0" w:lastRow="0" w:firstColumn="0" w:lastColumn="0" w:oddVBand="0" w:evenVBand="0" w:oddHBand="0" w:evenHBand="0" w:firstRowFirstColumn="0" w:firstRowLastColumn="0" w:lastRowFirstColumn="0" w:lastRowLastColumn="0"/>
            </w:pPr>
            <w:r w:rsidRPr="00736110">
              <w:t>Personal care</w:t>
            </w:r>
          </w:p>
        </w:tc>
      </w:tr>
      <w:tr w:rsidR="00AF7A57" w14:paraId="27C89970" w14:textId="77777777" w:rsidTr="00A9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04E96088" w14:textId="77777777" w:rsidR="00AF7A57" w:rsidRDefault="00AF7A57">
            <w:pPr>
              <w:keepNext/>
              <w:rPr>
                <w:b w:val="0"/>
                <w:bCs/>
                <w:color w:val="000000"/>
                <w:szCs w:val="20"/>
              </w:rPr>
            </w:pPr>
            <w:r>
              <w:rPr>
                <w:bCs/>
                <w:color w:val="000000"/>
                <w:szCs w:val="20"/>
              </w:rPr>
              <w:t>Cook a hot meal</w:t>
            </w:r>
          </w:p>
        </w:tc>
        <w:tc>
          <w:tcPr>
            <w:tcW w:w="6945" w:type="dxa"/>
            <w:hideMark/>
          </w:tcPr>
          <w:p w14:paraId="0828FEEE" w14:textId="77777777" w:rsidR="00AF7A57" w:rsidRPr="00736110" w:rsidRDefault="00AF7A57" w:rsidP="00736110">
            <w:pPr>
              <w:cnfStyle w:val="000000100000" w:firstRow="0" w:lastRow="0" w:firstColumn="0" w:lastColumn="0" w:oddVBand="0" w:evenVBand="0" w:oddHBand="1" w:evenHBand="0" w:firstRowFirstColumn="0" w:firstRowLastColumn="0" w:lastRowFirstColumn="0" w:lastRowLastColumn="0"/>
            </w:pPr>
            <w:r w:rsidRPr="00736110">
              <w:t>Meals, Other food services, Domestic assistance, Social support individual</w:t>
            </w:r>
          </w:p>
        </w:tc>
      </w:tr>
      <w:tr w:rsidR="00AF7A57" w14:paraId="1DD6E4DC" w14:textId="77777777" w:rsidTr="00A90168">
        <w:tc>
          <w:tcPr>
            <w:cnfStyle w:val="001000000000" w:firstRow="0" w:lastRow="0" w:firstColumn="1" w:lastColumn="0" w:oddVBand="0" w:evenVBand="0" w:oddHBand="0" w:evenHBand="0" w:firstRowFirstColumn="0" w:firstRowLastColumn="0" w:lastRowFirstColumn="0" w:lastRowLastColumn="0"/>
            <w:tcW w:w="2689" w:type="dxa"/>
            <w:hideMark/>
          </w:tcPr>
          <w:p w14:paraId="55B335FB" w14:textId="77777777" w:rsidR="00AF7A57" w:rsidRDefault="00AF7A57">
            <w:pPr>
              <w:keepNext/>
              <w:rPr>
                <w:b w:val="0"/>
                <w:bCs/>
                <w:color w:val="000000"/>
                <w:szCs w:val="20"/>
              </w:rPr>
            </w:pPr>
            <w:r>
              <w:rPr>
                <w:bCs/>
                <w:color w:val="000000"/>
                <w:szCs w:val="20"/>
              </w:rPr>
              <w:t>Moving around</w:t>
            </w:r>
          </w:p>
        </w:tc>
        <w:tc>
          <w:tcPr>
            <w:tcW w:w="6945" w:type="dxa"/>
            <w:hideMark/>
          </w:tcPr>
          <w:p w14:paraId="572ABE64" w14:textId="1D287FDF" w:rsidR="00AF7A57" w:rsidRDefault="00AF7A57">
            <w:pPr>
              <w:keepNext/>
              <w:cnfStyle w:val="000000000000" w:firstRow="0" w:lastRow="0" w:firstColumn="0" w:lastColumn="0" w:oddVBand="0" w:evenVBand="0" w:oddHBand="0" w:evenHBand="0" w:firstRowFirstColumn="0" w:firstRowLastColumn="0" w:lastRowFirstColumn="0" w:lastRowLastColumn="0"/>
              <w:rPr>
                <w:color w:val="000000"/>
                <w:szCs w:val="20"/>
              </w:rPr>
            </w:pPr>
            <w:r>
              <w:rPr>
                <w:rFonts w:ascii="Calibri" w:hAnsi="Calibri"/>
                <w:color w:val="000000"/>
              </w:rPr>
              <w:t xml:space="preserve">Home maintenance, </w:t>
            </w:r>
            <w:r w:rsidRPr="00AD3407">
              <w:rPr>
                <w:rFonts w:ascii="Calibri" w:hAnsi="Calibri"/>
                <w:color w:val="000000"/>
              </w:rPr>
              <w:t>Allied health, AT, Home Mod</w:t>
            </w:r>
            <w:r w:rsidRPr="00C81A64">
              <w:rPr>
                <w:rFonts w:ascii="Calibri" w:hAnsi="Calibri"/>
                <w:color w:val="000000"/>
              </w:rPr>
              <w:t>ification</w:t>
            </w:r>
            <w:r w:rsidRPr="00AD3407">
              <w:rPr>
                <w:rFonts w:ascii="Calibri" w:hAnsi="Calibri"/>
                <w:color w:val="000000"/>
              </w:rPr>
              <w:t>s</w:t>
            </w:r>
          </w:p>
        </w:tc>
      </w:tr>
      <w:tr w:rsidR="00AF7A57" w14:paraId="416677F6" w14:textId="77777777" w:rsidTr="00A9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5816A04A" w14:textId="77777777" w:rsidR="00AF7A57" w:rsidRDefault="00AF7A57">
            <w:pPr>
              <w:keepNext/>
              <w:rPr>
                <w:b w:val="0"/>
                <w:bCs/>
                <w:color w:val="000000"/>
                <w:szCs w:val="20"/>
              </w:rPr>
            </w:pPr>
            <w:r>
              <w:rPr>
                <w:bCs/>
                <w:color w:val="000000"/>
                <w:szCs w:val="20"/>
              </w:rPr>
              <w:t>Transfer from a chair</w:t>
            </w:r>
          </w:p>
        </w:tc>
        <w:tc>
          <w:tcPr>
            <w:tcW w:w="6945" w:type="dxa"/>
            <w:hideMark/>
          </w:tcPr>
          <w:p w14:paraId="771024F3" w14:textId="3A600F4E" w:rsidR="00AF7A57" w:rsidRDefault="00AF7A57">
            <w:pPr>
              <w:keepNext/>
              <w:cnfStyle w:val="000000100000" w:firstRow="0" w:lastRow="0" w:firstColumn="0" w:lastColumn="0" w:oddVBand="0" w:evenVBand="0" w:oddHBand="1" w:evenHBand="0" w:firstRowFirstColumn="0" w:firstRowLastColumn="0" w:lastRowFirstColumn="0" w:lastRowLastColumn="0"/>
              <w:rPr>
                <w:color w:val="000000"/>
                <w:szCs w:val="20"/>
              </w:rPr>
            </w:pPr>
            <w:r w:rsidRPr="00AD3407">
              <w:rPr>
                <w:rFonts w:ascii="Calibri" w:hAnsi="Calibri"/>
                <w:color w:val="000000"/>
              </w:rPr>
              <w:t>Allied health, AT, Home Mod</w:t>
            </w:r>
            <w:r w:rsidRPr="00C81A64">
              <w:rPr>
                <w:rFonts w:ascii="Calibri" w:hAnsi="Calibri"/>
                <w:color w:val="000000"/>
              </w:rPr>
              <w:t>ification</w:t>
            </w:r>
            <w:r w:rsidRPr="00AD3407">
              <w:rPr>
                <w:rFonts w:ascii="Calibri" w:hAnsi="Calibri"/>
                <w:color w:val="000000"/>
              </w:rPr>
              <w:t>s</w:t>
            </w:r>
          </w:p>
        </w:tc>
      </w:tr>
      <w:tr w:rsidR="00AF7A57" w14:paraId="146F8A5D" w14:textId="77777777" w:rsidTr="00A90168">
        <w:tc>
          <w:tcPr>
            <w:cnfStyle w:val="001000000000" w:firstRow="0" w:lastRow="0" w:firstColumn="1" w:lastColumn="0" w:oddVBand="0" w:evenVBand="0" w:oddHBand="0" w:evenHBand="0" w:firstRowFirstColumn="0" w:firstRowLastColumn="0" w:lastRowFirstColumn="0" w:lastRowLastColumn="0"/>
            <w:tcW w:w="2689" w:type="dxa"/>
            <w:hideMark/>
          </w:tcPr>
          <w:p w14:paraId="1314F19C" w14:textId="77777777" w:rsidR="00AF7A57" w:rsidRDefault="00AF7A57">
            <w:pPr>
              <w:keepNext/>
              <w:rPr>
                <w:b w:val="0"/>
                <w:bCs/>
                <w:color w:val="000000"/>
                <w:szCs w:val="20"/>
              </w:rPr>
            </w:pPr>
            <w:r>
              <w:rPr>
                <w:bCs/>
                <w:color w:val="000000"/>
                <w:szCs w:val="20"/>
              </w:rPr>
              <w:t>Light housework</w:t>
            </w:r>
          </w:p>
        </w:tc>
        <w:tc>
          <w:tcPr>
            <w:tcW w:w="6945" w:type="dxa"/>
            <w:hideMark/>
          </w:tcPr>
          <w:p w14:paraId="2585ADF6" w14:textId="77777777" w:rsidR="00AF7A57" w:rsidRPr="00736110" w:rsidRDefault="00AF7A57" w:rsidP="00736110">
            <w:pPr>
              <w:cnfStyle w:val="000000000000" w:firstRow="0" w:lastRow="0" w:firstColumn="0" w:lastColumn="0" w:oddVBand="0" w:evenVBand="0" w:oddHBand="0" w:evenHBand="0" w:firstRowFirstColumn="0" w:firstRowLastColumn="0" w:lastRowFirstColumn="0" w:lastRowLastColumn="0"/>
            </w:pPr>
            <w:r w:rsidRPr="00736110">
              <w:t>Domestic assistance</w:t>
            </w:r>
          </w:p>
        </w:tc>
      </w:tr>
      <w:tr w:rsidR="00AF7A57" w14:paraId="3B7304D2" w14:textId="77777777" w:rsidTr="00A9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161BDD04" w14:textId="77777777" w:rsidR="00AF7A57" w:rsidRDefault="00AF7A57">
            <w:pPr>
              <w:keepNext/>
              <w:rPr>
                <w:b w:val="0"/>
                <w:bCs/>
                <w:color w:val="000000"/>
                <w:szCs w:val="20"/>
              </w:rPr>
            </w:pPr>
            <w:r>
              <w:rPr>
                <w:bCs/>
                <w:color w:val="000000"/>
                <w:szCs w:val="20"/>
              </w:rPr>
              <w:t>Transfer from toilet</w:t>
            </w:r>
          </w:p>
        </w:tc>
        <w:tc>
          <w:tcPr>
            <w:tcW w:w="6945" w:type="dxa"/>
            <w:hideMark/>
          </w:tcPr>
          <w:p w14:paraId="45FAA404" w14:textId="09368F71" w:rsidR="00AF7A57" w:rsidRDefault="00AF7A57">
            <w:pPr>
              <w:keepNext/>
              <w:cnfStyle w:val="000000100000" w:firstRow="0" w:lastRow="0" w:firstColumn="0" w:lastColumn="0" w:oddVBand="0" w:evenVBand="0" w:oddHBand="1" w:evenHBand="0" w:firstRowFirstColumn="0" w:firstRowLastColumn="0" w:lastRowFirstColumn="0" w:lastRowLastColumn="0"/>
              <w:rPr>
                <w:color w:val="000000"/>
                <w:szCs w:val="20"/>
              </w:rPr>
            </w:pPr>
            <w:r w:rsidRPr="00AD3407">
              <w:rPr>
                <w:rFonts w:ascii="Calibri" w:hAnsi="Calibri"/>
                <w:color w:val="000000"/>
              </w:rPr>
              <w:t>Allied health, AT, Home Mod</w:t>
            </w:r>
            <w:r w:rsidRPr="00C81A64">
              <w:rPr>
                <w:rFonts w:ascii="Calibri" w:hAnsi="Calibri"/>
                <w:color w:val="000000"/>
              </w:rPr>
              <w:t>ification</w:t>
            </w:r>
            <w:r w:rsidRPr="00AD3407">
              <w:rPr>
                <w:rFonts w:ascii="Calibri" w:hAnsi="Calibri"/>
                <w:color w:val="000000"/>
              </w:rPr>
              <w:t>s</w:t>
            </w:r>
          </w:p>
        </w:tc>
      </w:tr>
      <w:tr w:rsidR="00AF7A57" w14:paraId="7719A15F" w14:textId="77777777" w:rsidTr="00A90168">
        <w:tc>
          <w:tcPr>
            <w:cnfStyle w:val="001000000000" w:firstRow="0" w:lastRow="0" w:firstColumn="1" w:lastColumn="0" w:oddVBand="0" w:evenVBand="0" w:oddHBand="0" w:evenHBand="0" w:firstRowFirstColumn="0" w:firstRowLastColumn="0" w:lastRowFirstColumn="0" w:lastRowLastColumn="0"/>
            <w:tcW w:w="2689" w:type="dxa"/>
            <w:hideMark/>
          </w:tcPr>
          <w:p w14:paraId="468CBE30" w14:textId="77777777" w:rsidR="00AF7A57" w:rsidRDefault="00AF7A57">
            <w:pPr>
              <w:keepNext/>
              <w:rPr>
                <w:b w:val="0"/>
                <w:bCs/>
                <w:color w:val="000000"/>
                <w:szCs w:val="20"/>
              </w:rPr>
            </w:pPr>
            <w:r>
              <w:rPr>
                <w:bCs/>
                <w:color w:val="000000"/>
                <w:szCs w:val="20"/>
              </w:rPr>
              <w:t>Get dressed</w:t>
            </w:r>
          </w:p>
        </w:tc>
        <w:tc>
          <w:tcPr>
            <w:tcW w:w="6945" w:type="dxa"/>
            <w:hideMark/>
          </w:tcPr>
          <w:p w14:paraId="2068FF5F" w14:textId="77777777" w:rsidR="00AF7A57" w:rsidRPr="00736110" w:rsidRDefault="00AF7A57" w:rsidP="00736110">
            <w:pPr>
              <w:cnfStyle w:val="000000000000" w:firstRow="0" w:lastRow="0" w:firstColumn="0" w:lastColumn="0" w:oddVBand="0" w:evenVBand="0" w:oddHBand="0" w:evenHBand="0" w:firstRowFirstColumn="0" w:firstRowLastColumn="0" w:lastRowFirstColumn="0" w:lastRowLastColumn="0"/>
            </w:pPr>
            <w:r w:rsidRPr="00736110">
              <w:t>Personal care</w:t>
            </w:r>
          </w:p>
        </w:tc>
      </w:tr>
      <w:tr w:rsidR="00AF7A57" w14:paraId="204BA937" w14:textId="77777777" w:rsidTr="00A9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2D50ACC1" w14:textId="77777777" w:rsidR="00AF7A57" w:rsidRDefault="00AF7A57">
            <w:pPr>
              <w:keepNext/>
              <w:rPr>
                <w:b w:val="0"/>
                <w:bCs/>
                <w:color w:val="000000"/>
                <w:szCs w:val="20"/>
              </w:rPr>
            </w:pPr>
            <w:r>
              <w:rPr>
                <w:bCs/>
                <w:color w:val="000000"/>
                <w:szCs w:val="20"/>
              </w:rPr>
              <w:t>Transfer from bed</w:t>
            </w:r>
          </w:p>
        </w:tc>
        <w:tc>
          <w:tcPr>
            <w:tcW w:w="6945" w:type="dxa"/>
            <w:hideMark/>
          </w:tcPr>
          <w:p w14:paraId="0B0029AE" w14:textId="29D1B93B" w:rsidR="00AF7A57" w:rsidRDefault="00AF7A57">
            <w:pPr>
              <w:keepNext/>
              <w:cnfStyle w:val="000000100000" w:firstRow="0" w:lastRow="0" w:firstColumn="0" w:lastColumn="0" w:oddVBand="0" w:evenVBand="0" w:oddHBand="1" w:evenHBand="0" w:firstRowFirstColumn="0" w:firstRowLastColumn="0" w:lastRowFirstColumn="0" w:lastRowLastColumn="0"/>
              <w:rPr>
                <w:color w:val="000000"/>
                <w:szCs w:val="20"/>
              </w:rPr>
            </w:pPr>
            <w:r w:rsidRPr="00AD3407">
              <w:rPr>
                <w:rFonts w:ascii="Calibri" w:hAnsi="Calibri"/>
                <w:color w:val="000000"/>
              </w:rPr>
              <w:t>Personal care</w:t>
            </w:r>
            <w:r>
              <w:rPr>
                <w:rFonts w:ascii="Calibri" w:hAnsi="Calibri"/>
                <w:color w:val="000000"/>
              </w:rPr>
              <w:t>,</w:t>
            </w:r>
            <w:r w:rsidRPr="00AD3407">
              <w:rPr>
                <w:rFonts w:ascii="Calibri" w:hAnsi="Calibri"/>
                <w:color w:val="000000"/>
              </w:rPr>
              <w:t xml:space="preserve"> Allied health, AT, Home Mod</w:t>
            </w:r>
            <w:r w:rsidRPr="00C81A64">
              <w:rPr>
                <w:rFonts w:ascii="Calibri" w:hAnsi="Calibri"/>
                <w:color w:val="000000"/>
              </w:rPr>
              <w:t>ification</w:t>
            </w:r>
            <w:r w:rsidRPr="00AD3407">
              <w:rPr>
                <w:rFonts w:ascii="Calibri" w:hAnsi="Calibri"/>
                <w:color w:val="000000"/>
              </w:rPr>
              <w:t>s</w:t>
            </w:r>
          </w:p>
        </w:tc>
      </w:tr>
      <w:tr w:rsidR="00AF7A57" w14:paraId="6B02BF58" w14:textId="77777777" w:rsidTr="00A90168">
        <w:tc>
          <w:tcPr>
            <w:cnfStyle w:val="001000000000" w:firstRow="0" w:lastRow="0" w:firstColumn="1" w:lastColumn="0" w:oddVBand="0" w:evenVBand="0" w:oddHBand="0" w:evenHBand="0" w:firstRowFirstColumn="0" w:firstRowLastColumn="0" w:lastRowFirstColumn="0" w:lastRowLastColumn="0"/>
            <w:tcW w:w="2689" w:type="dxa"/>
            <w:hideMark/>
          </w:tcPr>
          <w:p w14:paraId="11A774E1" w14:textId="77777777" w:rsidR="00AF7A57" w:rsidRDefault="00AF7A57">
            <w:pPr>
              <w:keepNext/>
              <w:rPr>
                <w:b w:val="0"/>
                <w:bCs/>
                <w:color w:val="000000"/>
                <w:szCs w:val="20"/>
              </w:rPr>
            </w:pPr>
            <w:r>
              <w:rPr>
                <w:bCs/>
                <w:color w:val="000000"/>
                <w:szCs w:val="20"/>
              </w:rPr>
              <w:t>Eat independently</w:t>
            </w:r>
          </w:p>
        </w:tc>
        <w:tc>
          <w:tcPr>
            <w:tcW w:w="6945" w:type="dxa"/>
            <w:hideMark/>
          </w:tcPr>
          <w:p w14:paraId="603BA3AB" w14:textId="77777777" w:rsidR="00AF7A57" w:rsidRPr="00736110" w:rsidRDefault="00AF7A57" w:rsidP="00736110">
            <w:pPr>
              <w:cnfStyle w:val="000000000000" w:firstRow="0" w:lastRow="0" w:firstColumn="0" w:lastColumn="0" w:oddVBand="0" w:evenVBand="0" w:oddHBand="0" w:evenHBand="0" w:firstRowFirstColumn="0" w:firstRowLastColumn="0" w:lastRowFirstColumn="0" w:lastRowLastColumn="0"/>
            </w:pPr>
            <w:r w:rsidRPr="00736110">
              <w:t>Personal care</w:t>
            </w:r>
          </w:p>
        </w:tc>
      </w:tr>
      <w:tr w:rsidR="00AF7A57" w14:paraId="637EC713" w14:textId="77777777" w:rsidTr="00A9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hideMark/>
          </w:tcPr>
          <w:p w14:paraId="63738635" w14:textId="77777777" w:rsidR="00AF7A57" w:rsidRDefault="00AF7A57" w:rsidP="00EE6EAC">
            <w:pPr>
              <w:rPr>
                <w:b w:val="0"/>
                <w:bCs/>
                <w:color w:val="000000"/>
                <w:szCs w:val="20"/>
              </w:rPr>
            </w:pPr>
            <w:r>
              <w:rPr>
                <w:bCs/>
                <w:color w:val="000000"/>
                <w:szCs w:val="20"/>
              </w:rPr>
              <w:t>Wash face and hands</w:t>
            </w:r>
          </w:p>
        </w:tc>
        <w:tc>
          <w:tcPr>
            <w:tcW w:w="6945" w:type="dxa"/>
            <w:hideMark/>
          </w:tcPr>
          <w:p w14:paraId="61F0872D" w14:textId="77777777" w:rsidR="00AF7A57" w:rsidRPr="00736110" w:rsidRDefault="00AF7A57" w:rsidP="00736110">
            <w:pPr>
              <w:cnfStyle w:val="000000100000" w:firstRow="0" w:lastRow="0" w:firstColumn="0" w:lastColumn="0" w:oddVBand="0" w:evenVBand="0" w:oddHBand="1" w:evenHBand="0" w:firstRowFirstColumn="0" w:firstRowLastColumn="0" w:lastRowFirstColumn="0" w:lastRowLastColumn="0"/>
            </w:pPr>
            <w:r w:rsidRPr="00736110">
              <w:t>Personal care</w:t>
            </w:r>
          </w:p>
        </w:tc>
      </w:tr>
    </w:tbl>
    <w:p w14:paraId="062B2197" w14:textId="2F242536" w:rsidR="008845A2" w:rsidRDefault="008845A2" w:rsidP="008845A2">
      <w:pPr>
        <w:pStyle w:val="Heading2"/>
      </w:pPr>
      <w:bookmarkStart w:id="49" w:name="_Toc41943060"/>
      <w:bookmarkStart w:id="50" w:name="_Toc59402376"/>
      <w:bookmarkStart w:id="51" w:name="_Hlk40200834"/>
      <w:r w:rsidRPr="002E1AF2">
        <w:t>Current programs in Australia</w:t>
      </w:r>
      <w:bookmarkEnd w:id="49"/>
      <w:bookmarkEnd w:id="50"/>
    </w:p>
    <w:p w14:paraId="3FB4578E" w14:textId="77777777" w:rsidR="008845A2" w:rsidRPr="00EC2E54" w:rsidRDefault="008845A2" w:rsidP="008845A2">
      <w:pPr>
        <w:pStyle w:val="ParaKeep"/>
        <w:rPr>
          <w:lang w:val="en-CA"/>
        </w:rPr>
      </w:pPr>
      <w:r>
        <w:rPr>
          <w:lang w:val="en-CA"/>
        </w:rPr>
        <w:t>The desktop analysis and consultations with stakeholders revealed that:</w:t>
      </w:r>
    </w:p>
    <w:p w14:paraId="048FA7D0" w14:textId="34CBD10B" w:rsidR="008845A2" w:rsidRPr="0042567A" w:rsidRDefault="008845A2" w:rsidP="008845A2">
      <w:pPr>
        <w:pStyle w:val="Bullet1"/>
      </w:pPr>
      <w:r>
        <w:t>There are</w:t>
      </w:r>
      <w:r w:rsidRPr="00EC48FA">
        <w:t xml:space="preserve"> </w:t>
      </w:r>
      <w:r w:rsidRPr="0042567A">
        <w:t xml:space="preserve">over </w:t>
      </w:r>
      <w:r>
        <w:t>75</w:t>
      </w:r>
      <w:r w:rsidRPr="0042567A">
        <w:t> different national</w:t>
      </w:r>
      <w:r w:rsidR="008A579B">
        <w:t xml:space="preserve">, </w:t>
      </w:r>
      <w:r w:rsidRPr="0042567A">
        <w:t xml:space="preserve">state and </w:t>
      </w:r>
      <w:r w:rsidR="008A579B">
        <w:t>territory</w:t>
      </w:r>
      <w:r w:rsidRPr="0042567A">
        <w:t xml:space="preserve"> programs that support older people to access AT; at least 24 categories of AT; and over 11,000 AT items on the </w:t>
      </w:r>
      <w:r>
        <w:t>NED</w:t>
      </w:r>
      <w:r w:rsidR="00F80723">
        <w:t xml:space="preserve">. </w:t>
      </w:r>
      <w:r w:rsidR="00D23AD5">
        <w:t>Note: t</w:t>
      </w:r>
      <w:r w:rsidR="001B3286">
        <w:t>his review has considered</w:t>
      </w:r>
      <w:r w:rsidR="00521D34">
        <w:t xml:space="preserve"> </w:t>
      </w:r>
      <w:r w:rsidR="001B3286">
        <w:t xml:space="preserve">19 </w:t>
      </w:r>
      <w:r w:rsidR="00521D34">
        <w:t xml:space="preserve">categories </w:t>
      </w:r>
      <w:r w:rsidR="00D23AD5">
        <w:t>from the NED that are</w:t>
      </w:r>
      <w:r w:rsidR="00521D34">
        <w:t xml:space="preserve"> </w:t>
      </w:r>
      <w:r w:rsidR="00D23AD5">
        <w:t>relevant</w:t>
      </w:r>
      <w:r w:rsidR="00521D34">
        <w:t xml:space="preserve"> to older people</w:t>
      </w:r>
      <w:r w:rsidR="00F80723">
        <w:t xml:space="preserve">. </w:t>
      </w:r>
    </w:p>
    <w:p w14:paraId="16259AD3" w14:textId="79DEF888" w:rsidR="008845A2" w:rsidRPr="0042567A" w:rsidRDefault="008845A2" w:rsidP="008845A2">
      <w:pPr>
        <w:pStyle w:val="Bullet1"/>
      </w:pPr>
      <w:r w:rsidRPr="0042567A">
        <w:t>There is unnecessary complexity within and between national</w:t>
      </w:r>
      <w:r w:rsidR="008A579B">
        <w:t>,</w:t>
      </w:r>
      <w:r w:rsidRPr="0042567A">
        <w:t xml:space="preserve"> state and </w:t>
      </w:r>
      <w:r w:rsidR="008A579B">
        <w:t>territory</w:t>
      </w:r>
      <w:r w:rsidRPr="0042567A">
        <w:t xml:space="preserve"> programs</w:t>
      </w:r>
      <w:r>
        <w:t>;</w:t>
      </w:r>
      <w:r w:rsidRPr="0042567A">
        <w:t xml:space="preserve"> a lack of transparency around what is available</w:t>
      </w:r>
      <w:r>
        <w:t>;</w:t>
      </w:r>
      <w:r w:rsidRPr="0042567A">
        <w:t xml:space="preserve"> and unclear eligibility criteria</w:t>
      </w:r>
      <w:r>
        <w:t>;</w:t>
      </w:r>
      <w:r w:rsidRPr="0042567A">
        <w:t xml:space="preserve"> making the system difficult to navigate—for both consumers and service providers</w:t>
      </w:r>
      <w:r>
        <w:t>.</w:t>
      </w:r>
    </w:p>
    <w:p w14:paraId="3BB15656" w14:textId="77777777" w:rsidR="008845A2" w:rsidRPr="0042567A" w:rsidRDefault="008845A2" w:rsidP="008845A2">
      <w:pPr>
        <w:pStyle w:val="Bullet1"/>
      </w:pPr>
      <w:r>
        <w:t xml:space="preserve">AT programs delivered by states and territories fund different types of AT and provide varying levels of subsidies to consumers, creating inequities in access across Australia. </w:t>
      </w:r>
    </w:p>
    <w:bookmarkEnd w:id="51"/>
    <w:p w14:paraId="1D49F83D" w14:textId="77777777" w:rsidR="008845A2" w:rsidRPr="00805DBA" w:rsidRDefault="008845A2" w:rsidP="008845A2">
      <w:pPr>
        <w:pStyle w:val="Heading3"/>
      </w:pPr>
      <w:r w:rsidRPr="00805DBA">
        <w:t>National AT programs</w:t>
      </w:r>
    </w:p>
    <w:p w14:paraId="39C4EB37" w14:textId="079FD063" w:rsidR="008845A2" w:rsidRDefault="008845A2" w:rsidP="00130794">
      <w:pPr>
        <w:pStyle w:val="ParaKeep"/>
      </w:pPr>
      <w:r>
        <w:t>Eleven national programs were identified that provide AT to older consumers.</w:t>
      </w:r>
      <w:r w:rsidRPr="0013336E">
        <w:t xml:space="preserve"> </w:t>
      </w:r>
      <w:r w:rsidR="0013336E" w:rsidRPr="0013336E">
        <w:t>S</w:t>
      </w:r>
      <w:r w:rsidR="0013336E">
        <w:t xml:space="preserve">napshots of these programs, and the AT or subsidies available for each, are provided in </w:t>
      </w:r>
      <w:r w:rsidRPr="0013336E">
        <w:fldChar w:fldCharType="begin"/>
      </w:r>
      <w:r w:rsidRPr="0013336E">
        <w:instrText xml:space="preserve"> REF _Ref42171204 \h  \* MERGEFORMAT </w:instrText>
      </w:r>
      <w:r w:rsidRPr="0013336E">
        <w:fldChar w:fldCharType="separate"/>
      </w:r>
      <w:r w:rsidR="00CC3F04" w:rsidRPr="00736110">
        <w:t>Table </w:t>
      </w:r>
      <w:r w:rsidR="00CC3F04">
        <w:t>2</w:t>
      </w:r>
      <w:r w:rsidR="00CC3F04">
        <w:noBreakHyphen/>
        <w:t>2</w:t>
      </w:r>
      <w:r w:rsidRPr="0013336E">
        <w:fldChar w:fldCharType="end"/>
      </w:r>
      <w:r w:rsidR="0013336E">
        <w:t xml:space="preserve"> (</w:t>
      </w:r>
      <w:r w:rsidR="0013336E" w:rsidRPr="00B5430C">
        <w:t>Australian Government Aged Care Programs</w:t>
      </w:r>
      <w:r w:rsidR="0013336E">
        <w:t xml:space="preserve">), </w:t>
      </w:r>
      <w:r w:rsidR="0013336E">
        <w:fldChar w:fldCharType="begin"/>
      </w:r>
      <w:r w:rsidR="0013336E">
        <w:instrText xml:space="preserve"> REF _Ref59302144 \h </w:instrText>
      </w:r>
      <w:r w:rsidR="0013336E">
        <w:fldChar w:fldCharType="separate"/>
      </w:r>
      <w:r w:rsidR="00CC3F04" w:rsidRPr="00736110">
        <w:t>Table </w:t>
      </w:r>
      <w:r w:rsidR="00CC3F04">
        <w:rPr>
          <w:noProof/>
        </w:rPr>
        <w:t>2</w:t>
      </w:r>
      <w:r w:rsidR="00CC3F04">
        <w:noBreakHyphen/>
      </w:r>
      <w:r w:rsidR="00CC3F04">
        <w:rPr>
          <w:noProof/>
        </w:rPr>
        <w:t>3</w:t>
      </w:r>
      <w:r w:rsidR="0013336E">
        <w:fldChar w:fldCharType="end"/>
      </w:r>
      <w:r w:rsidR="0013336E">
        <w:t xml:space="preserve"> (Other</w:t>
      </w:r>
      <w:r w:rsidR="0013336E" w:rsidRPr="00B5430C">
        <w:t xml:space="preserve"> Australian Government schemes</w:t>
      </w:r>
      <w:r w:rsidR="0013336E">
        <w:t xml:space="preserve">), and </w:t>
      </w:r>
      <w:r w:rsidR="0013336E">
        <w:fldChar w:fldCharType="begin"/>
      </w:r>
      <w:r w:rsidR="0013336E">
        <w:instrText xml:space="preserve"> REF _Ref59302147 \h </w:instrText>
      </w:r>
      <w:r w:rsidR="0013336E">
        <w:fldChar w:fldCharType="separate"/>
      </w:r>
      <w:r w:rsidR="00CC3F04" w:rsidRPr="00736110">
        <w:t>Table </w:t>
      </w:r>
      <w:r w:rsidR="00CC3F04">
        <w:rPr>
          <w:noProof/>
        </w:rPr>
        <w:t>2</w:t>
      </w:r>
      <w:r w:rsidR="00CC3F04">
        <w:noBreakHyphen/>
      </w:r>
      <w:r w:rsidR="00CC3F04">
        <w:rPr>
          <w:noProof/>
        </w:rPr>
        <w:t>4</w:t>
      </w:r>
      <w:r w:rsidR="0013336E">
        <w:fldChar w:fldCharType="end"/>
      </w:r>
      <w:r w:rsidR="0013336E">
        <w:t xml:space="preserve"> (c</w:t>
      </w:r>
      <w:r w:rsidR="0013336E" w:rsidRPr="00B5430C">
        <w:t>ondition-specific national programs</w:t>
      </w:r>
      <w:r w:rsidR="0013336E">
        <w:t>)</w:t>
      </w:r>
      <w:r>
        <w:t>. Eligibility requirements and inclusion and exclusion criteria vary across programs</w:t>
      </w:r>
      <w:r w:rsidR="00F80723">
        <w:t xml:space="preserve">. </w:t>
      </w:r>
      <w:r w:rsidR="002F3948" w:rsidRPr="00FE30CC">
        <w:rPr>
          <w:rStyle w:val="Italic"/>
          <w:i w:val="0"/>
          <w:iCs/>
        </w:rPr>
        <w:t>For</w:t>
      </w:r>
      <w:r w:rsidR="002F3948">
        <w:rPr>
          <w:rStyle w:val="Italic"/>
        </w:rPr>
        <w:t xml:space="preserve"> </w:t>
      </w:r>
      <w:r>
        <w:t>further details on these programs</w:t>
      </w:r>
      <w:r w:rsidR="002F3948">
        <w:t>,</w:t>
      </w:r>
      <w:r>
        <w:t xml:space="preserve"> including key eligibility criteria and funding arrangements</w:t>
      </w:r>
      <w:r w:rsidR="002F3948">
        <w:t xml:space="preserve">, see </w:t>
      </w:r>
      <w:r w:rsidR="002F3948" w:rsidRPr="00FE30CC">
        <w:rPr>
          <w:rStyle w:val="Italic"/>
        </w:rPr>
        <w:t>Supplementary Technical Report, Appendix E</w:t>
      </w:r>
      <w:r>
        <w:t xml:space="preserve">. </w:t>
      </w:r>
    </w:p>
    <w:p w14:paraId="2141FE0D" w14:textId="77777777" w:rsidR="00017633" w:rsidRDefault="00017633">
      <w:bookmarkStart w:id="52" w:name="_Ref42171204"/>
      <w:bookmarkStart w:id="53" w:name="_Toc59402389"/>
      <w:r>
        <w:br w:type="page"/>
      </w:r>
    </w:p>
    <w:p w14:paraId="52807984" w14:textId="133CDEF4" w:rsidR="008845A2" w:rsidRPr="00736110" w:rsidRDefault="008845A2" w:rsidP="00017633">
      <w:r w:rsidRPr="00736110">
        <w:lastRenderedPageBreak/>
        <w:t>Table </w:t>
      </w:r>
      <w:r w:rsidR="009F14D1">
        <w:t>2-2</w:t>
      </w:r>
      <w:bookmarkEnd w:id="52"/>
      <w:r w:rsidRPr="00736110">
        <w:t>:</w:t>
      </w:r>
      <w:r w:rsidR="009F14D1">
        <w:t xml:space="preserve"> </w:t>
      </w:r>
      <w:r w:rsidRPr="00736110">
        <w:t>AT and subsidies available under national programs</w:t>
      </w:r>
      <w:r w:rsidR="00B0065D">
        <w:t xml:space="preserve"> –</w:t>
      </w:r>
      <w:r w:rsidR="001F66E2">
        <w:br/>
      </w:r>
      <w:bookmarkEnd w:id="53"/>
    </w:p>
    <w:tbl>
      <w:tblPr>
        <w:tblStyle w:val="AHALight"/>
        <w:tblW w:w="9615" w:type="dxa"/>
        <w:tblLook w:val="04A0" w:firstRow="1" w:lastRow="0" w:firstColumn="1" w:lastColumn="0" w:noHBand="0" w:noVBand="1"/>
        <w:tblCaption w:val="National aged care programs"/>
        <w:tblDescription w:val="List of Australian Government aged care programs and the AT and/or subsidies available through each."/>
      </w:tblPr>
      <w:tblGrid>
        <w:gridCol w:w="2810"/>
        <w:gridCol w:w="6805"/>
      </w:tblGrid>
      <w:tr w:rsidR="008845A2" w:rsidRPr="00B5430C" w14:paraId="0D54E501" w14:textId="77777777" w:rsidTr="00B11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25C2A34F" w14:textId="77777777" w:rsidR="008845A2" w:rsidRPr="00B5430C" w:rsidRDefault="008845A2" w:rsidP="00F77741">
            <w:pPr>
              <w:pStyle w:val="TableHeading1"/>
              <w:rPr>
                <w:b w:val="0"/>
              </w:rPr>
            </w:pPr>
            <w:r w:rsidRPr="00B5430C">
              <w:t>Program</w:t>
            </w:r>
          </w:p>
        </w:tc>
        <w:tc>
          <w:tcPr>
            <w:tcW w:w="6805" w:type="dxa"/>
          </w:tcPr>
          <w:p w14:paraId="36FFC5D2" w14:textId="2B407B6E" w:rsidR="008845A2" w:rsidRPr="00B5430C" w:rsidRDefault="008845A2" w:rsidP="00F77741">
            <w:pPr>
              <w:pStyle w:val="TableHeading1"/>
              <w:cnfStyle w:val="100000000000" w:firstRow="1" w:lastRow="0" w:firstColumn="0" w:lastColumn="0" w:oddVBand="0" w:evenVBand="0" w:oddHBand="0" w:evenHBand="0" w:firstRowFirstColumn="0" w:firstRowLastColumn="0" w:lastRowFirstColumn="0" w:lastRowLastColumn="0"/>
              <w:rPr>
                <w:b w:val="0"/>
              </w:rPr>
            </w:pPr>
            <w:r w:rsidRPr="00B5430C">
              <w:t>AT</w:t>
            </w:r>
            <w:r w:rsidR="00B11C7D">
              <w:t xml:space="preserve"> and </w:t>
            </w:r>
            <w:r w:rsidRPr="00B5430C">
              <w:t>subsidy available to consumers</w:t>
            </w:r>
          </w:p>
        </w:tc>
      </w:tr>
      <w:tr w:rsidR="008845A2" w:rsidRPr="003E3A08" w14:paraId="68A221B6" w14:textId="77777777" w:rsidTr="00B11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hideMark/>
          </w:tcPr>
          <w:p w14:paraId="7CEE484F" w14:textId="044B2473" w:rsidR="008845A2" w:rsidRPr="00B11C7D" w:rsidRDefault="008845A2" w:rsidP="00B11C7D">
            <w:r w:rsidRPr="00B11C7D">
              <w:t>Commonwealth</w:t>
            </w:r>
            <w:r w:rsidR="001F66E2">
              <w:t xml:space="preserve"> </w:t>
            </w:r>
            <w:r w:rsidRPr="00B11C7D">
              <w:t>Home</w:t>
            </w:r>
            <w:r w:rsidR="001F66E2">
              <w:t xml:space="preserve"> </w:t>
            </w:r>
            <w:r w:rsidRPr="00B11C7D">
              <w:t>Support</w:t>
            </w:r>
            <w:r w:rsidR="001F66E2">
              <w:t xml:space="preserve"> </w:t>
            </w:r>
            <w:r w:rsidRPr="00B11C7D">
              <w:t>Programme</w:t>
            </w:r>
            <w:r w:rsidR="001F66E2">
              <w:t xml:space="preserve"> </w:t>
            </w:r>
            <w:r w:rsidRPr="00B11C7D">
              <w:t>(CHSP)</w:t>
            </w:r>
            <w:r w:rsidR="001F66E2">
              <w:t xml:space="preserve"> </w:t>
            </w:r>
          </w:p>
        </w:tc>
        <w:tc>
          <w:tcPr>
            <w:tcW w:w="6805" w:type="dxa"/>
            <w:hideMark/>
          </w:tcPr>
          <w:p w14:paraId="5C590BDD" w14:textId="4D1F62AE" w:rsidR="008845A2" w:rsidRPr="00696A04" w:rsidRDefault="008845A2" w:rsidP="00F77741">
            <w:pPr>
              <w:pStyle w:val="TableTextKeep"/>
              <w:cnfStyle w:val="000000100000" w:firstRow="0" w:lastRow="0" w:firstColumn="0" w:lastColumn="0" w:oddVBand="0" w:evenVBand="0" w:oddHBand="1" w:evenHBand="0" w:firstRowFirstColumn="0" w:firstRowLastColumn="0" w:lastRowFirstColumn="0" w:lastRowLastColumn="0"/>
            </w:pPr>
            <w:r w:rsidRPr="003E3A08">
              <w:t>Consumers</w:t>
            </w:r>
            <w:r w:rsidR="001F66E2">
              <w:t xml:space="preserve"> </w:t>
            </w:r>
            <w:r w:rsidRPr="003E3A08">
              <w:t>can</w:t>
            </w:r>
            <w:r w:rsidR="001F66E2">
              <w:t xml:space="preserve"> </w:t>
            </w:r>
            <w:r w:rsidRPr="003E3A08">
              <w:t>access</w:t>
            </w:r>
            <w:r w:rsidR="001F66E2">
              <w:t xml:space="preserve"> </w:t>
            </w:r>
            <w:r w:rsidRPr="003E3A08">
              <w:t>up</w:t>
            </w:r>
            <w:r w:rsidR="001F66E2">
              <w:t xml:space="preserve"> </w:t>
            </w:r>
            <w:r w:rsidRPr="003E3A08">
              <w:t>to</w:t>
            </w:r>
            <w:r w:rsidR="001F66E2">
              <w:t xml:space="preserve"> </w:t>
            </w:r>
            <w:r w:rsidRPr="003E3A08">
              <w:t>$500</w:t>
            </w:r>
            <w:r w:rsidR="001F66E2">
              <w:t xml:space="preserve"> </w:t>
            </w:r>
            <w:r w:rsidRPr="003E3A08">
              <w:t>per</w:t>
            </w:r>
            <w:r w:rsidR="001F66E2">
              <w:t xml:space="preserve"> </w:t>
            </w:r>
            <w:r w:rsidRPr="003E3A08">
              <w:t>year</w:t>
            </w:r>
            <w:r w:rsidR="001F66E2">
              <w:t xml:space="preserve"> </w:t>
            </w:r>
            <w:r w:rsidRPr="003E3A08">
              <w:t>to</w:t>
            </w:r>
            <w:r w:rsidR="001F66E2">
              <w:t xml:space="preserve"> </w:t>
            </w:r>
            <w:r w:rsidRPr="003E3A08">
              <w:t>access</w:t>
            </w:r>
            <w:r w:rsidR="001F66E2">
              <w:t xml:space="preserve"> </w:t>
            </w:r>
            <w:r w:rsidRPr="003E3A08">
              <w:t>AT,</w:t>
            </w:r>
            <w:r w:rsidR="001F66E2">
              <w:t xml:space="preserve"> </w:t>
            </w:r>
            <w:r w:rsidRPr="003E3A08">
              <w:t>or</w:t>
            </w:r>
            <w:r w:rsidR="001F66E2">
              <w:t xml:space="preserve"> </w:t>
            </w:r>
            <w:r w:rsidRPr="003E3A08">
              <w:t>up</w:t>
            </w:r>
            <w:r w:rsidR="001F66E2">
              <w:t xml:space="preserve"> </w:t>
            </w:r>
            <w:r w:rsidRPr="003E3A08">
              <w:t>to</w:t>
            </w:r>
            <w:r w:rsidR="001F66E2">
              <w:t xml:space="preserve"> </w:t>
            </w:r>
            <w:r w:rsidRPr="003E3A08">
              <w:t>$1</w:t>
            </w:r>
            <w:r w:rsidR="00B116BD">
              <w:t>,</w:t>
            </w:r>
            <w:r w:rsidRPr="003E3A08">
              <w:t>000</w:t>
            </w:r>
            <w:r w:rsidR="001F66E2">
              <w:t xml:space="preserve"> </w:t>
            </w:r>
            <w:r w:rsidRPr="003E3A08">
              <w:t>at</w:t>
            </w:r>
            <w:r w:rsidR="001F66E2">
              <w:t xml:space="preserve"> </w:t>
            </w:r>
            <w:r w:rsidRPr="003E3A08">
              <w:t>provider</w:t>
            </w:r>
            <w:r w:rsidR="001F66E2">
              <w:t xml:space="preserve"> </w:t>
            </w:r>
            <w:r w:rsidRPr="003E3A08">
              <w:t>discretion.</w:t>
            </w:r>
            <w:r w:rsidR="001F66E2">
              <w:t xml:space="preserve"> </w:t>
            </w:r>
            <w:r w:rsidRPr="003E3A08">
              <w:t>No</w:t>
            </w:r>
            <w:r w:rsidR="001F66E2">
              <w:t xml:space="preserve"> </w:t>
            </w:r>
            <w:r w:rsidRPr="003E3A08">
              <w:t>list</w:t>
            </w:r>
            <w:r w:rsidR="001F66E2">
              <w:t xml:space="preserve"> </w:t>
            </w:r>
            <w:r w:rsidRPr="003E3A08">
              <w:t>currently</w:t>
            </w:r>
            <w:r w:rsidR="001F66E2">
              <w:t xml:space="preserve"> </w:t>
            </w:r>
            <w:r w:rsidRPr="003E3A08">
              <w:t>exists</w:t>
            </w:r>
            <w:r w:rsidR="001F66E2">
              <w:t xml:space="preserve"> </w:t>
            </w:r>
            <w:r w:rsidRPr="003E3A08">
              <w:t>of</w:t>
            </w:r>
            <w:r w:rsidR="001F66E2">
              <w:t xml:space="preserve"> </w:t>
            </w:r>
            <w:r w:rsidRPr="003E3A08">
              <w:t>all</w:t>
            </w:r>
            <w:r w:rsidR="001F66E2">
              <w:t xml:space="preserve"> </w:t>
            </w:r>
            <w:r w:rsidRPr="003E3A08">
              <w:t>items</w:t>
            </w:r>
            <w:r w:rsidR="001F66E2">
              <w:t xml:space="preserve"> </w:t>
            </w:r>
            <w:r w:rsidRPr="003E3A08">
              <w:t>included</w:t>
            </w:r>
            <w:r w:rsidR="001F66E2">
              <w:t xml:space="preserve"> </w:t>
            </w:r>
            <w:r w:rsidRPr="003E3A08">
              <w:t>under</w:t>
            </w:r>
            <w:r w:rsidR="001F66E2">
              <w:t xml:space="preserve"> </w:t>
            </w:r>
            <w:r w:rsidRPr="003E3A08">
              <w:t>the</w:t>
            </w:r>
            <w:r w:rsidR="001F66E2">
              <w:t xml:space="preserve"> </w:t>
            </w:r>
            <w:r w:rsidRPr="003E3A08">
              <w:t>CHSP</w:t>
            </w:r>
            <w:r w:rsidR="001F66E2">
              <w:t xml:space="preserve"> </w:t>
            </w:r>
            <w:r w:rsidRPr="003E3A08">
              <w:t>goods,</w:t>
            </w:r>
            <w:r w:rsidR="001F66E2">
              <w:t xml:space="preserve"> </w:t>
            </w:r>
            <w:r w:rsidRPr="003E3A08">
              <w:t>equipment</w:t>
            </w:r>
            <w:r w:rsidR="001F66E2">
              <w:t xml:space="preserve"> </w:t>
            </w:r>
            <w:r w:rsidRPr="003E3A08">
              <w:t>and</w:t>
            </w:r>
            <w:r w:rsidR="001F66E2">
              <w:t xml:space="preserve"> </w:t>
            </w:r>
            <w:r w:rsidRPr="003E3A08">
              <w:t>AT</w:t>
            </w:r>
            <w:r w:rsidR="001F66E2">
              <w:t xml:space="preserve"> </w:t>
            </w:r>
            <w:r w:rsidRPr="003E3A08">
              <w:t>category</w:t>
            </w:r>
            <w:r>
              <w:t>.</w:t>
            </w:r>
            <w:r w:rsidR="001F66E2">
              <w:t xml:space="preserve"> </w:t>
            </w:r>
            <w:r>
              <w:t>The</w:t>
            </w:r>
            <w:r w:rsidR="001F66E2">
              <w:t xml:space="preserve"> </w:t>
            </w:r>
            <w:r w:rsidRPr="003E3A08">
              <w:t>following</w:t>
            </w:r>
            <w:r w:rsidR="001F66E2">
              <w:t xml:space="preserve"> </w:t>
            </w:r>
            <w:r w:rsidRPr="003E3A08">
              <w:t>broad</w:t>
            </w:r>
            <w:r w:rsidR="001F66E2">
              <w:t xml:space="preserve"> </w:t>
            </w:r>
            <w:r w:rsidRPr="003E3A08">
              <w:t>categories</w:t>
            </w:r>
            <w:r w:rsidR="001F66E2">
              <w:t xml:space="preserve"> </w:t>
            </w:r>
            <w:r w:rsidRPr="003E3A08">
              <w:t>are</w:t>
            </w:r>
            <w:r w:rsidR="001F66E2">
              <w:t xml:space="preserve"> </w:t>
            </w:r>
            <w:r w:rsidRPr="003E3A08">
              <w:t>used:</w:t>
            </w:r>
            <w:r w:rsidR="001F66E2">
              <w:rPr>
                <w:lang w:val="en-AU"/>
              </w:rPr>
              <w:t xml:space="preserve"> </w:t>
            </w:r>
          </w:p>
          <w:p w14:paraId="5F28FF37" w14:textId="0A58EB79"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Self-care</w:t>
            </w:r>
            <w:r w:rsidR="001F66E2">
              <w:t xml:space="preserve"> </w:t>
            </w:r>
            <w:r w:rsidRPr="003E3A08">
              <w:t>Aids</w:t>
            </w:r>
            <w:r w:rsidR="001F66E2">
              <w:rPr>
                <w:lang w:val="en-AU"/>
              </w:rPr>
              <w:t xml:space="preserve"> </w:t>
            </w:r>
          </w:p>
          <w:p w14:paraId="42D3CA54" w14:textId="2A614C20"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Support</w:t>
            </w:r>
            <w:r w:rsidR="001F66E2">
              <w:t xml:space="preserve"> </w:t>
            </w:r>
            <w:r w:rsidRPr="003E3A08">
              <w:t>and</w:t>
            </w:r>
            <w:r w:rsidR="001F66E2">
              <w:t xml:space="preserve"> </w:t>
            </w:r>
            <w:r w:rsidRPr="003E3A08">
              <w:t>Mobility</w:t>
            </w:r>
            <w:r w:rsidR="001F66E2">
              <w:t xml:space="preserve"> </w:t>
            </w:r>
            <w:r w:rsidRPr="003E3A08">
              <w:t>Aids</w:t>
            </w:r>
            <w:r w:rsidR="001F66E2">
              <w:rPr>
                <w:lang w:val="en-AU"/>
              </w:rPr>
              <w:t xml:space="preserve"> </w:t>
            </w:r>
          </w:p>
          <w:p w14:paraId="5205E131" w14:textId="038E994F"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Medical</w:t>
            </w:r>
            <w:r w:rsidR="001F66E2">
              <w:t xml:space="preserve"> </w:t>
            </w:r>
            <w:r w:rsidRPr="003E3A08">
              <w:t>Care</w:t>
            </w:r>
            <w:r w:rsidR="001F66E2">
              <w:t xml:space="preserve"> </w:t>
            </w:r>
            <w:r w:rsidRPr="003E3A08">
              <w:t>Aids</w:t>
            </w:r>
            <w:r w:rsidR="001F66E2">
              <w:rPr>
                <w:lang w:val="en-AU"/>
              </w:rPr>
              <w:t xml:space="preserve"> </w:t>
            </w:r>
          </w:p>
          <w:p w14:paraId="469CE520" w14:textId="66927F71"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Communication</w:t>
            </w:r>
            <w:r w:rsidR="001F66E2">
              <w:t xml:space="preserve"> </w:t>
            </w:r>
            <w:r w:rsidRPr="003E3A08">
              <w:t>Aids</w:t>
            </w:r>
            <w:r w:rsidR="001F66E2">
              <w:rPr>
                <w:lang w:val="en-AU"/>
              </w:rPr>
              <w:t xml:space="preserve"> </w:t>
            </w:r>
          </w:p>
          <w:p w14:paraId="0C0ECBAE" w14:textId="04F32BBB"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Other</w:t>
            </w:r>
            <w:r w:rsidR="001F66E2">
              <w:t xml:space="preserve"> </w:t>
            </w:r>
            <w:r w:rsidRPr="003E3A08">
              <w:t>Goods</w:t>
            </w:r>
            <w:r w:rsidR="001F66E2">
              <w:t xml:space="preserve"> </w:t>
            </w:r>
            <w:r w:rsidRPr="003E3A08">
              <w:t>and</w:t>
            </w:r>
            <w:r w:rsidR="001F66E2">
              <w:t xml:space="preserve"> </w:t>
            </w:r>
            <w:r w:rsidRPr="003E3A08">
              <w:t>Equipment</w:t>
            </w:r>
            <w:r w:rsidR="001F66E2">
              <w:rPr>
                <w:lang w:val="en-AU"/>
              </w:rPr>
              <w:t xml:space="preserve"> </w:t>
            </w:r>
          </w:p>
          <w:p w14:paraId="2EA87787" w14:textId="08495385"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Reading</w:t>
            </w:r>
            <w:r w:rsidR="001F66E2">
              <w:t xml:space="preserve"> </w:t>
            </w:r>
            <w:r w:rsidRPr="003E3A08">
              <w:t>Aids</w:t>
            </w:r>
            <w:r w:rsidR="001F66E2">
              <w:rPr>
                <w:lang w:val="en-AU"/>
              </w:rPr>
              <w:t xml:space="preserve"> </w:t>
            </w:r>
          </w:p>
          <w:p w14:paraId="0FFE3B0E" w14:textId="32A94AC0"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Car</w:t>
            </w:r>
            <w:r w:rsidR="001F66E2">
              <w:t xml:space="preserve"> </w:t>
            </w:r>
            <w:r w:rsidRPr="003E3A08">
              <w:t>Modifications.</w:t>
            </w:r>
            <w:r w:rsidR="001F66E2">
              <w:rPr>
                <w:lang w:val="en-AU"/>
              </w:rPr>
              <w:t xml:space="preserve"> </w:t>
            </w:r>
          </w:p>
          <w:p w14:paraId="5E0FD028" w14:textId="2B4F6597" w:rsidR="008845A2"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Home</w:t>
            </w:r>
            <w:r w:rsidR="001F66E2">
              <w:t xml:space="preserve"> </w:t>
            </w:r>
            <w:r w:rsidRPr="003E3A08">
              <w:t>modifications</w:t>
            </w:r>
            <w:r w:rsidR="001F66E2">
              <w:t xml:space="preserve"> </w:t>
            </w:r>
            <w:r w:rsidRPr="003E3A08">
              <w:t>(including</w:t>
            </w:r>
            <w:r w:rsidR="001F66E2">
              <w:t xml:space="preserve"> </w:t>
            </w:r>
            <w:r w:rsidRPr="003E3A08">
              <w:t>minor</w:t>
            </w:r>
            <w:r w:rsidR="001F66E2">
              <w:t xml:space="preserve"> </w:t>
            </w:r>
            <w:r w:rsidRPr="003E3A08">
              <w:t>installation</w:t>
            </w:r>
            <w:r w:rsidR="001F66E2">
              <w:t xml:space="preserve"> </w:t>
            </w:r>
            <w:r w:rsidRPr="003E3A08">
              <w:t>of</w:t>
            </w:r>
            <w:r w:rsidR="001F66E2">
              <w:t xml:space="preserve"> </w:t>
            </w:r>
            <w:r w:rsidRPr="003E3A08">
              <w:t>safety</w:t>
            </w:r>
            <w:r w:rsidR="001F66E2">
              <w:t xml:space="preserve"> </w:t>
            </w:r>
            <w:r w:rsidRPr="003E3A08">
              <w:t>aids</w:t>
            </w:r>
            <w:r w:rsidR="001F66E2">
              <w:t xml:space="preserve"> </w:t>
            </w:r>
            <w:r w:rsidRPr="003E3A08">
              <w:t>such</w:t>
            </w:r>
            <w:r w:rsidR="001F66E2">
              <w:t xml:space="preserve"> </w:t>
            </w:r>
            <w:r w:rsidRPr="003E3A08">
              <w:t>as</w:t>
            </w:r>
            <w:r w:rsidR="001F66E2">
              <w:t xml:space="preserve"> </w:t>
            </w:r>
            <w:r w:rsidRPr="003E3A08">
              <w:t>alarms,</w:t>
            </w:r>
            <w:r w:rsidR="001F66E2">
              <w:t xml:space="preserve"> </w:t>
            </w:r>
            <w:r w:rsidRPr="003E3A08">
              <w:t>ramps</w:t>
            </w:r>
            <w:r w:rsidR="001F66E2">
              <w:t xml:space="preserve"> </w:t>
            </w:r>
            <w:r w:rsidRPr="003E3A08">
              <w:t>and</w:t>
            </w:r>
            <w:r w:rsidR="001F66E2">
              <w:t xml:space="preserve"> </w:t>
            </w:r>
            <w:r w:rsidRPr="003E3A08">
              <w:t>support</w:t>
            </w:r>
            <w:r w:rsidR="001F66E2">
              <w:t xml:space="preserve"> </w:t>
            </w:r>
            <w:r w:rsidRPr="003E3A08">
              <w:t>rails</w:t>
            </w:r>
            <w:r w:rsidR="001F66E2">
              <w:t xml:space="preserve"> </w:t>
            </w:r>
            <w:r w:rsidRPr="003E3A08">
              <w:t>in</w:t>
            </w:r>
            <w:r w:rsidR="001F66E2">
              <w:t xml:space="preserve"> </w:t>
            </w:r>
            <w:r w:rsidRPr="003E3A08">
              <w:t>the</w:t>
            </w:r>
            <w:r w:rsidR="001F66E2">
              <w:t xml:space="preserve"> </w:t>
            </w:r>
            <w:r w:rsidRPr="003E3A08">
              <w:t>consumer’s</w:t>
            </w:r>
            <w:r w:rsidR="001F66E2">
              <w:t xml:space="preserve"> </w:t>
            </w:r>
            <w:r w:rsidRPr="003E3A08">
              <w:t>home)</w:t>
            </w:r>
            <w:r w:rsidR="001F66E2">
              <w:rPr>
                <w:lang w:val="en-AU"/>
              </w:rPr>
              <w:t xml:space="preserve"> </w:t>
            </w:r>
          </w:p>
          <w:p w14:paraId="272C46BA" w14:textId="6CB61720" w:rsidR="009F37C7" w:rsidRPr="003E3A08" w:rsidRDefault="002D2798" w:rsidP="009F37C7">
            <w:pPr>
              <w:pStyle w:val="TableBullet1"/>
              <w:numPr>
                <w:ilvl w:val="0"/>
                <w:numId w:val="0"/>
              </w:numPr>
              <w:ind w:left="35"/>
              <w:cnfStyle w:val="000000100000" w:firstRow="0" w:lastRow="0" w:firstColumn="0" w:lastColumn="0" w:oddVBand="0" w:evenVBand="0" w:oddHBand="1" w:evenHBand="0" w:firstRowFirstColumn="0" w:firstRowLastColumn="0" w:lastRowFirstColumn="0" w:lastRowLastColumn="0"/>
              <w:rPr>
                <w:lang w:val="en-AU"/>
              </w:rPr>
            </w:pPr>
            <w:r>
              <w:rPr>
                <w:lang w:val="en-AU"/>
              </w:rPr>
              <w:t>Services</w:t>
            </w:r>
            <w:r w:rsidR="001F66E2">
              <w:rPr>
                <w:lang w:val="en-AU"/>
              </w:rPr>
              <w:t xml:space="preserve"> </w:t>
            </w:r>
            <w:r>
              <w:rPr>
                <w:lang w:val="en-AU"/>
              </w:rPr>
              <w:t>provided</w:t>
            </w:r>
            <w:r w:rsidR="001F66E2">
              <w:rPr>
                <w:lang w:val="en-AU"/>
              </w:rPr>
              <w:t xml:space="preserve"> </w:t>
            </w:r>
            <w:r>
              <w:rPr>
                <w:lang w:val="en-AU"/>
              </w:rPr>
              <w:t>by</w:t>
            </w:r>
            <w:r w:rsidR="001F66E2">
              <w:rPr>
                <w:lang w:val="en-AU"/>
              </w:rPr>
              <w:t xml:space="preserve"> </w:t>
            </w:r>
            <w:r>
              <w:rPr>
                <w:lang w:val="en-AU"/>
              </w:rPr>
              <w:t>OTs</w:t>
            </w:r>
            <w:r w:rsidR="001F66E2">
              <w:rPr>
                <w:lang w:val="en-AU"/>
              </w:rPr>
              <w:t xml:space="preserve"> </w:t>
            </w:r>
            <w:r>
              <w:rPr>
                <w:lang w:val="en-AU"/>
              </w:rPr>
              <w:t>or</w:t>
            </w:r>
            <w:r w:rsidR="001F66E2">
              <w:rPr>
                <w:lang w:val="en-AU"/>
              </w:rPr>
              <w:t xml:space="preserve"> </w:t>
            </w:r>
            <w:r>
              <w:rPr>
                <w:lang w:val="en-AU"/>
              </w:rPr>
              <w:t>physiotherapists</w:t>
            </w:r>
            <w:r w:rsidR="001F66E2">
              <w:rPr>
                <w:lang w:val="en-AU"/>
              </w:rPr>
              <w:t xml:space="preserve"> </w:t>
            </w:r>
            <w:r>
              <w:rPr>
                <w:lang w:val="en-AU"/>
              </w:rPr>
              <w:t>in</w:t>
            </w:r>
            <w:r w:rsidR="001F66E2">
              <w:rPr>
                <w:lang w:val="en-AU"/>
              </w:rPr>
              <w:t xml:space="preserve"> </w:t>
            </w:r>
            <w:r>
              <w:rPr>
                <w:lang w:val="en-AU"/>
              </w:rPr>
              <w:t>prescribing</w:t>
            </w:r>
            <w:r w:rsidR="001F66E2">
              <w:rPr>
                <w:lang w:val="en-AU"/>
              </w:rPr>
              <w:t xml:space="preserve"> </w:t>
            </w:r>
            <w:r>
              <w:rPr>
                <w:lang w:val="en-AU"/>
              </w:rPr>
              <w:t>AT</w:t>
            </w:r>
            <w:r w:rsidR="001F66E2">
              <w:rPr>
                <w:lang w:val="en-AU"/>
              </w:rPr>
              <w:t xml:space="preserve"> </w:t>
            </w:r>
            <w:r w:rsidR="009F37C7">
              <w:rPr>
                <w:lang w:val="en-AU"/>
              </w:rPr>
              <w:t>are</w:t>
            </w:r>
            <w:r w:rsidR="001F66E2">
              <w:rPr>
                <w:lang w:val="en-AU"/>
              </w:rPr>
              <w:t xml:space="preserve"> </w:t>
            </w:r>
            <w:r w:rsidR="009F37C7">
              <w:rPr>
                <w:lang w:val="en-AU"/>
              </w:rPr>
              <w:t>costed</w:t>
            </w:r>
            <w:r w:rsidR="001F66E2">
              <w:rPr>
                <w:lang w:val="en-AU"/>
              </w:rPr>
              <w:t xml:space="preserve"> </w:t>
            </w:r>
            <w:r w:rsidR="009F37C7">
              <w:rPr>
                <w:lang w:val="en-AU"/>
              </w:rPr>
              <w:t>as</w:t>
            </w:r>
            <w:r w:rsidR="001F66E2">
              <w:rPr>
                <w:lang w:val="en-AU"/>
              </w:rPr>
              <w:t xml:space="preserve"> </w:t>
            </w:r>
            <w:r w:rsidR="009F37C7">
              <w:rPr>
                <w:lang w:val="en-AU"/>
              </w:rPr>
              <w:t>an</w:t>
            </w:r>
            <w:r w:rsidR="001F66E2">
              <w:rPr>
                <w:lang w:val="en-AU"/>
              </w:rPr>
              <w:t xml:space="preserve"> </w:t>
            </w:r>
            <w:r w:rsidR="009F37C7">
              <w:rPr>
                <w:lang w:val="en-AU"/>
              </w:rPr>
              <w:t>Allied</w:t>
            </w:r>
            <w:r w:rsidR="001F66E2">
              <w:rPr>
                <w:lang w:val="en-AU"/>
              </w:rPr>
              <w:t xml:space="preserve"> </w:t>
            </w:r>
            <w:r w:rsidR="009F37C7">
              <w:rPr>
                <w:lang w:val="en-AU"/>
              </w:rPr>
              <w:t>Health</w:t>
            </w:r>
            <w:r w:rsidR="001F66E2">
              <w:rPr>
                <w:lang w:val="en-AU"/>
              </w:rPr>
              <w:t xml:space="preserve"> </w:t>
            </w:r>
            <w:r w:rsidR="009F37C7">
              <w:rPr>
                <w:lang w:val="en-AU"/>
              </w:rPr>
              <w:t>and</w:t>
            </w:r>
            <w:r w:rsidR="001F66E2">
              <w:rPr>
                <w:lang w:val="en-AU"/>
              </w:rPr>
              <w:t xml:space="preserve"> </w:t>
            </w:r>
            <w:r w:rsidR="009F37C7">
              <w:rPr>
                <w:lang w:val="en-AU"/>
              </w:rPr>
              <w:t>Therapy</w:t>
            </w:r>
            <w:r w:rsidR="001F66E2">
              <w:rPr>
                <w:lang w:val="en-AU"/>
              </w:rPr>
              <w:t xml:space="preserve"> </w:t>
            </w:r>
            <w:r w:rsidR="009F37C7">
              <w:rPr>
                <w:lang w:val="en-AU"/>
              </w:rPr>
              <w:t>Service</w:t>
            </w:r>
            <w:r>
              <w:rPr>
                <w:lang w:val="en-AU"/>
              </w:rPr>
              <w:t>.</w:t>
            </w:r>
          </w:p>
        </w:tc>
      </w:tr>
      <w:tr w:rsidR="008845A2" w:rsidRPr="003E3A08" w14:paraId="7D05393D" w14:textId="77777777" w:rsidTr="00B11C7D">
        <w:tc>
          <w:tcPr>
            <w:cnfStyle w:val="001000000000" w:firstRow="0" w:lastRow="0" w:firstColumn="1" w:lastColumn="0" w:oddVBand="0" w:evenVBand="0" w:oddHBand="0" w:evenHBand="0" w:firstRowFirstColumn="0" w:firstRowLastColumn="0" w:lastRowFirstColumn="0" w:lastRowLastColumn="0"/>
            <w:tcW w:w="2810" w:type="dxa"/>
            <w:hideMark/>
          </w:tcPr>
          <w:p w14:paraId="2EF442A6" w14:textId="15628F27" w:rsidR="008845A2" w:rsidRPr="00B11C7D" w:rsidRDefault="008845A2" w:rsidP="00B11C7D">
            <w:r w:rsidRPr="00B11C7D">
              <w:t>Home</w:t>
            </w:r>
            <w:r w:rsidR="001F66E2">
              <w:t xml:space="preserve"> </w:t>
            </w:r>
            <w:r w:rsidRPr="00B11C7D">
              <w:t>Care</w:t>
            </w:r>
            <w:r w:rsidR="001F66E2">
              <w:t xml:space="preserve"> </w:t>
            </w:r>
            <w:r w:rsidRPr="00B11C7D">
              <w:t>Packages</w:t>
            </w:r>
            <w:r w:rsidR="001F66E2">
              <w:t xml:space="preserve"> </w:t>
            </w:r>
            <w:r w:rsidRPr="00B11C7D">
              <w:t>(HCP)</w:t>
            </w:r>
            <w:r w:rsidR="001F66E2">
              <w:t xml:space="preserve"> </w:t>
            </w:r>
            <w:r w:rsidRPr="00B11C7D">
              <w:t>Program</w:t>
            </w:r>
            <w:r w:rsidR="001F66E2">
              <w:t xml:space="preserve"> </w:t>
            </w:r>
          </w:p>
        </w:tc>
        <w:tc>
          <w:tcPr>
            <w:tcW w:w="6805" w:type="dxa"/>
            <w:hideMark/>
          </w:tcPr>
          <w:p w14:paraId="6BAD939F" w14:textId="0B116687" w:rsidR="008845A2" w:rsidRPr="003E3A08" w:rsidRDefault="008845A2" w:rsidP="00F77741">
            <w:pPr>
              <w:pStyle w:val="TableTextKeep"/>
              <w:cnfStyle w:val="000000000000" w:firstRow="0" w:lastRow="0" w:firstColumn="0" w:lastColumn="0" w:oddVBand="0" w:evenVBand="0" w:oddHBand="0" w:evenHBand="0" w:firstRowFirstColumn="0" w:firstRowLastColumn="0" w:lastRowFirstColumn="0" w:lastRowLastColumn="0"/>
              <w:rPr>
                <w:rFonts w:ascii="Segoe UI" w:hAnsi="Segoe UI" w:cs="Segoe UI"/>
                <w:szCs w:val="20"/>
                <w:lang w:val="en-AU" w:eastAsia="en-AU"/>
              </w:rPr>
            </w:pPr>
            <w:r w:rsidRPr="003E3A08">
              <w:t>Home</w:t>
            </w:r>
            <w:r w:rsidR="001F66E2">
              <w:t xml:space="preserve"> </w:t>
            </w:r>
            <w:r w:rsidRPr="003E3A08">
              <w:t>modifications</w:t>
            </w:r>
            <w:r w:rsidR="001F66E2">
              <w:t xml:space="preserve"> </w:t>
            </w:r>
            <w:r w:rsidRPr="003E3A08">
              <w:t>(related</w:t>
            </w:r>
            <w:r w:rsidR="001F66E2">
              <w:t xml:space="preserve"> </w:t>
            </w:r>
            <w:r w:rsidRPr="003E3A08">
              <w:t>to</w:t>
            </w:r>
            <w:r w:rsidR="001F66E2">
              <w:t xml:space="preserve"> </w:t>
            </w:r>
            <w:r w:rsidRPr="003E3A08">
              <w:t>care</w:t>
            </w:r>
            <w:r w:rsidR="001F66E2">
              <w:t xml:space="preserve"> </w:t>
            </w:r>
            <w:r w:rsidRPr="003E3A08">
              <w:t>needs),</w:t>
            </w:r>
            <w:r w:rsidR="001F66E2">
              <w:t xml:space="preserve"> </w:t>
            </w:r>
            <w:r w:rsidRPr="003E3A08">
              <w:t>remote</w:t>
            </w:r>
            <w:r w:rsidR="001F66E2">
              <w:t xml:space="preserve"> </w:t>
            </w:r>
            <w:r w:rsidRPr="003E3A08">
              <w:t>monitoring</w:t>
            </w:r>
            <w:r w:rsidR="001F66E2">
              <w:t xml:space="preserve"> </w:t>
            </w:r>
            <w:r w:rsidRPr="003E3A08">
              <w:t>technology</w:t>
            </w:r>
            <w:r w:rsidR="001F66E2">
              <w:t xml:space="preserve"> </w:t>
            </w:r>
            <w:r w:rsidRPr="003E3A08">
              <w:t>and</w:t>
            </w:r>
            <w:r w:rsidR="001F66E2">
              <w:t xml:space="preserve"> </w:t>
            </w:r>
            <w:r w:rsidRPr="003E3A08">
              <w:t>AT</w:t>
            </w:r>
            <w:r w:rsidR="001F66E2">
              <w:t xml:space="preserve"> </w:t>
            </w:r>
            <w:r w:rsidRPr="003E3A08">
              <w:t>including</w:t>
            </w:r>
            <w:r w:rsidR="001F66E2">
              <w:t xml:space="preserve"> </w:t>
            </w:r>
            <w:r w:rsidRPr="003E3A08">
              <w:t>devices</w:t>
            </w:r>
            <w:r w:rsidR="001F66E2">
              <w:t xml:space="preserve"> </w:t>
            </w:r>
            <w:r w:rsidRPr="003E3A08">
              <w:t>that</w:t>
            </w:r>
            <w:r w:rsidR="001F66E2">
              <w:t xml:space="preserve"> </w:t>
            </w:r>
            <w:r w:rsidRPr="003E3A08">
              <w:t>assist</w:t>
            </w:r>
            <w:r w:rsidR="001F66E2">
              <w:t xml:space="preserve"> </w:t>
            </w:r>
            <w:r w:rsidRPr="003E3A08">
              <w:t>mobility,</w:t>
            </w:r>
            <w:r w:rsidR="001F66E2">
              <w:t xml:space="preserve"> </w:t>
            </w:r>
            <w:r w:rsidRPr="003E3A08">
              <w:t>communication</w:t>
            </w:r>
            <w:r w:rsidR="001F66E2">
              <w:t xml:space="preserve"> </w:t>
            </w:r>
            <w:r w:rsidRPr="003E3A08">
              <w:t>and</w:t>
            </w:r>
            <w:r w:rsidR="001F66E2">
              <w:t xml:space="preserve"> </w:t>
            </w:r>
            <w:r w:rsidRPr="003E3A08">
              <w:t>personal</w:t>
            </w:r>
            <w:r w:rsidR="001F66E2">
              <w:t xml:space="preserve"> </w:t>
            </w:r>
            <w:r w:rsidRPr="003E3A08">
              <w:t>safety</w:t>
            </w:r>
            <w:r w:rsidR="001F66E2">
              <w:rPr>
                <w:lang w:val="en-AU"/>
              </w:rPr>
              <w:t xml:space="preserve"> </w:t>
            </w:r>
          </w:p>
        </w:tc>
      </w:tr>
      <w:tr w:rsidR="008845A2" w:rsidRPr="003E3A08" w14:paraId="3F1505A2" w14:textId="77777777" w:rsidTr="00B11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hideMark/>
          </w:tcPr>
          <w:p w14:paraId="4C71CA60" w14:textId="728BE9C7" w:rsidR="008845A2" w:rsidRPr="00B11C7D" w:rsidRDefault="008845A2" w:rsidP="00B11C7D">
            <w:r w:rsidRPr="00B11C7D">
              <w:t>Transition</w:t>
            </w:r>
            <w:r w:rsidR="001F66E2">
              <w:t xml:space="preserve"> </w:t>
            </w:r>
            <w:r w:rsidRPr="00B11C7D">
              <w:t>Care</w:t>
            </w:r>
            <w:r w:rsidR="001F66E2">
              <w:t xml:space="preserve"> </w:t>
            </w:r>
            <w:r w:rsidRPr="00B11C7D">
              <w:t>Program</w:t>
            </w:r>
            <w:r w:rsidR="001F66E2">
              <w:t xml:space="preserve"> </w:t>
            </w:r>
            <w:r w:rsidRPr="00B11C7D">
              <w:t>(TCP)</w:t>
            </w:r>
            <w:r w:rsidR="001F66E2">
              <w:t xml:space="preserve"> </w:t>
            </w:r>
          </w:p>
        </w:tc>
        <w:tc>
          <w:tcPr>
            <w:tcW w:w="6805" w:type="dxa"/>
            <w:hideMark/>
          </w:tcPr>
          <w:p w14:paraId="446DB066" w14:textId="2BDF021A" w:rsidR="008845A2" w:rsidRPr="003E3A08" w:rsidRDefault="008845A2" w:rsidP="00F77741">
            <w:pPr>
              <w:pStyle w:val="TableTextKeep"/>
              <w:cnfStyle w:val="000000100000" w:firstRow="0" w:lastRow="0" w:firstColumn="0" w:lastColumn="0" w:oddVBand="0" w:evenVBand="0" w:oddHBand="1" w:evenHBand="0" w:firstRowFirstColumn="0" w:firstRowLastColumn="0" w:lastRowFirstColumn="0" w:lastRowLastColumn="0"/>
              <w:rPr>
                <w:rFonts w:ascii="Segoe UI" w:hAnsi="Segoe UI" w:cs="Segoe UI"/>
                <w:szCs w:val="20"/>
                <w:lang w:val="en-AU" w:eastAsia="en-AU"/>
              </w:rPr>
            </w:pPr>
            <w:r w:rsidRPr="003E3A08">
              <w:t>Services</w:t>
            </w:r>
            <w:r w:rsidR="001F66E2">
              <w:t xml:space="preserve"> </w:t>
            </w:r>
            <w:r w:rsidRPr="003E3A08">
              <w:t>include</w:t>
            </w:r>
            <w:r w:rsidR="001F66E2">
              <w:t xml:space="preserve"> </w:t>
            </w:r>
            <w:r w:rsidRPr="003E3A08">
              <w:t>physiotherapy,</w:t>
            </w:r>
            <w:r w:rsidR="001F66E2">
              <w:t xml:space="preserve"> </w:t>
            </w:r>
            <w:r w:rsidRPr="003E3A08">
              <w:t>OT</w:t>
            </w:r>
            <w:r w:rsidR="001F66E2">
              <w:t xml:space="preserve"> </w:t>
            </w:r>
            <w:r w:rsidRPr="003E3A08">
              <w:t>and</w:t>
            </w:r>
            <w:r w:rsidR="001F66E2">
              <w:t xml:space="preserve"> </w:t>
            </w:r>
            <w:r w:rsidRPr="003E3A08">
              <w:t>AT</w:t>
            </w:r>
            <w:r w:rsidR="001F66E2">
              <w:t xml:space="preserve"> </w:t>
            </w:r>
            <w:r w:rsidRPr="003E3A08">
              <w:t>provided</w:t>
            </w:r>
            <w:r w:rsidR="001F66E2">
              <w:t xml:space="preserve"> </w:t>
            </w:r>
            <w:r w:rsidRPr="003E3A08">
              <w:t>on</w:t>
            </w:r>
            <w:r w:rsidR="001F66E2">
              <w:t xml:space="preserve"> </w:t>
            </w:r>
            <w:r w:rsidRPr="003E3A08">
              <w:t>a</w:t>
            </w:r>
            <w:r w:rsidR="001F66E2">
              <w:t xml:space="preserve"> </w:t>
            </w:r>
            <w:r w:rsidR="00915A83" w:rsidRPr="003E3A08">
              <w:t>short-term</w:t>
            </w:r>
            <w:r w:rsidR="001F66E2">
              <w:t xml:space="preserve"> </w:t>
            </w:r>
            <w:r w:rsidRPr="003E3A08">
              <w:t>loan</w:t>
            </w:r>
            <w:r w:rsidR="001F66E2">
              <w:t xml:space="preserve"> </w:t>
            </w:r>
            <w:r w:rsidRPr="003E3A08">
              <w:t>basis.</w:t>
            </w:r>
            <w:r w:rsidR="001F66E2">
              <w:rPr>
                <w:lang w:val="en-AU"/>
              </w:rPr>
              <w:t xml:space="preserve"> </w:t>
            </w:r>
          </w:p>
        </w:tc>
      </w:tr>
      <w:tr w:rsidR="008845A2" w:rsidRPr="003E3A08" w14:paraId="0F550E30" w14:textId="77777777" w:rsidTr="00B11C7D">
        <w:tc>
          <w:tcPr>
            <w:cnfStyle w:val="001000000000" w:firstRow="0" w:lastRow="0" w:firstColumn="1" w:lastColumn="0" w:oddVBand="0" w:evenVBand="0" w:oddHBand="0" w:evenHBand="0" w:firstRowFirstColumn="0" w:firstRowLastColumn="0" w:lastRowFirstColumn="0" w:lastRowLastColumn="0"/>
            <w:tcW w:w="2810" w:type="dxa"/>
            <w:hideMark/>
          </w:tcPr>
          <w:p w14:paraId="2485E3C2" w14:textId="0FC28727" w:rsidR="008845A2" w:rsidRPr="00B11C7D" w:rsidRDefault="008845A2" w:rsidP="00B11C7D">
            <w:r w:rsidRPr="00B11C7D">
              <w:t>Short</w:t>
            </w:r>
            <w:r w:rsidR="001F66E2">
              <w:t xml:space="preserve"> </w:t>
            </w:r>
            <w:r w:rsidRPr="00B11C7D">
              <w:t>Term</w:t>
            </w:r>
            <w:r w:rsidR="001F66E2">
              <w:t xml:space="preserve"> </w:t>
            </w:r>
            <w:r w:rsidRPr="00B11C7D">
              <w:t>Restorative</w:t>
            </w:r>
            <w:r w:rsidR="001F66E2">
              <w:t xml:space="preserve"> </w:t>
            </w:r>
            <w:r w:rsidRPr="00B11C7D">
              <w:t>Care</w:t>
            </w:r>
            <w:r w:rsidR="001F66E2">
              <w:t xml:space="preserve"> </w:t>
            </w:r>
            <w:r w:rsidRPr="00B11C7D">
              <w:t>(STRC)</w:t>
            </w:r>
            <w:r w:rsidR="001F66E2">
              <w:t xml:space="preserve"> </w:t>
            </w:r>
            <w:r w:rsidRPr="00B11C7D">
              <w:t>Program</w:t>
            </w:r>
            <w:r w:rsidR="001F66E2">
              <w:t xml:space="preserve"> </w:t>
            </w:r>
          </w:p>
        </w:tc>
        <w:tc>
          <w:tcPr>
            <w:tcW w:w="6805" w:type="dxa"/>
            <w:hideMark/>
          </w:tcPr>
          <w:p w14:paraId="3F7F3D07" w14:textId="75949A3C" w:rsidR="008845A2" w:rsidRPr="003E3A08" w:rsidRDefault="008845A2" w:rsidP="00F77741">
            <w:pPr>
              <w:pStyle w:val="TableTextKeep"/>
              <w:cnfStyle w:val="000000000000" w:firstRow="0" w:lastRow="0" w:firstColumn="0" w:lastColumn="0" w:oddVBand="0" w:evenVBand="0" w:oddHBand="0" w:evenHBand="0" w:firstRowFirstColumn="0" w:firstRowLastColumn="0" w:lastRowFirstColumn="0" w:lastRowLastColumn="0"/>
              <w:rPr>
                <w:rFonts w:ascii="Segoe UI" w:hAnsi="Segoe UI" w:cs="Segoe UI"/>
                <w:szCs w:val="20"/>
                <w:lang w:val="en-AU" w:eastAsia="en-AU"/>
              </w:rPr>
            </w:pPr>
            <w:r w:rsidRPr="003E3A08">
              <w:t>Services</w:t>
            </w:r>
            <w:r w:rsidR="001F66E2">
              <w:t xml:space="preserve"> </w:t>
            </w:r>
            <w:r w:rsidRPr="003E3A08">
              <w:t>may</w:t>
            </w:r>
            <w:r w:rsidR="001F66E2">
              <w:t xml:space="preserve"> </w:t>
            </w:r>
            <w:r w:rsidRPr="003E3A08">
              <w:t>include</w:t>
            </w:r>
            <w:r w:rsidR="001F66E2">
              <w:t xml:space="preserve"> </w:t>
            </w:r>
            <w:r w:rsidRPr="003E3A08">
              <w:t>OT,</w:t>
            </w:r>
            <w:r w:rsidR="001F66E2">
              <w:t xml:space="preserve"> </w:t>
            </w:r>
            <w:r w:rsidRPr="003E3A08">
              <w:t>physiotherapy,</w:t>
            </w:r>
            <w:r w:rsidR="001F66E2">
              <w:t xml:space="preserve"> </w:t>
            </w:r>
            <w:r w:rsidRPr="003E3A08">
              <w:t>provision</w:t>
            </w:r>
            <w:r w:rsidR="001F66E2">
              <w:t xml:space="preserve"> </w:t>
            </w:r>
            <w:r w:rsidRPr="003E3A08">
              <w:t>of</w:t>
            </w:r>
            <w:r w:rsidR="001F66E2">
              <w:t xml:space="preserve"> </w:t>
            </w:r>
            <w:r w:rsidRPr="003E3A08">
              <w:t>AT</w:t>
            </w:r>
            <w:r w:rsidR="001F66E2">
              <w:t xml:space="preserve"> </w:t>
            </w:r>
            <w:r w:rsidRPr="003E3A08">
              <w:t>to</w:t>
            </w:r>
            <w:r w:rsidR="001F66E2">
              <w:t xml:space="preserve"> </w:t>
            </w:r>
            <w:r w:rsidRPr="003E3A08">
              <w:t>assist</w:t>
            </w:r>
            <w:r w:rsidR="001F66E2">
              <w:t xml:space="preserve"> </w:t>
            </w:r>
            <w:r w:rsidRPr="003E3A08">
              <w:t>with</w:t>
            </w:r>
            <w:r w:rsidR="001F66E2">
              <w:t xml:space="preserve"> </w:t>
            </w:r>
            <w:r w:rsidRPr="003E3A08">
              <w:t>ADLs,</w:t>
            </w:r>
            <w:r w:rsidR="001F66E2">
              <w:t xml:space="preserve"> </w:t>
            </w:r>
            <w:r w:rsidRPr="003E3A08">
              <w:t>and</w:t>
            </w:r>
            <w:r w:rsidR="001F66E2">
              <w:t xml:space="preserve"> </w:t>
            </w:r>
            <w:r w:rsidRPr="003E3A08">
              <w:t>minor</w:t>
            </w:r>
            <w:r w:rsidR="001F66E2">
              <w:t xml:space="preserve"> </w:t>
            </w:r>
            <w:r w:rsidRPr="003E3A08">
              <w:t>home</w:t>
            </w:r>
            <w:r w:rsidR="001F66E2">
              <w:t xml:space="preserve"> </w:t>
            </w:r>
            <w:r w:rsidRPr="003E3A08">
              <w:t>modifications</w:t>
            </w:r>
            <w:r w:rsidR="001F66E2">
              <w:rPr>
                <w:lang w:val="en-AU"/>
              </w:rPr>
              <w:t xml:space="preserve"> </w:t>
            </w:r>
          </w:p>
        </w:tc>
      </w:tr>
      <w:tr w:rsidR="008845A2" w:rsidRPr="003E3A08" w14:paraId="27DC1546" w14:textId="77777777" w:rsidTr="00B11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hideMark/>
          </w:tcPr>
          <w:p w14:paraId="4D0DF658" w14:textId="441B75D2" w:rsidR="008845A2" w:rsidRPr="00B11C7D" w:rsidRDefault="008845A2" w:rsidP="00B11C7D">
            <w:r w:rsidRPr="00B11C7D">
              <w:t>National</w:t>
            </w:r>
            <w:r w:rsidR="001F66E2">
              <w:t xml:space="preserve"> </w:t>
            </w:r>
            <w:r w:rsidRPr="00B11C7D">
              <w:t>Aboriginal</w:t>
            </w:r>
            <w:r w:rsidR="001F66E2">
              <w:t xml:space="preserve"> </w:t>
            </w:r>
            <w:r w:rsidRPr="00B11C7D">
              <w:t>and</w:t>
            </w:r>
            <w:r w:rsidR="001F66E2">
              <w:t xml:space="preserve"> </w:t>
            </w:r>
            <w:r w:rsidRPr="00B11C7D">
              <w:t>Torres</w:t>
            </w:r>
            <w:r w:rsidR="001F66E2">
              <w:t xml:space="preserve"> </w:t>
            </w:r>
            <w:r w:rsidRPr="00B11C7D">
              <w:t>Strait</w:t>
            </w:r>
            <w:r w:rsidR="001F66E2">
              <w:t xml:space="preserve"> </w:t>
            </w:r>
            <w:r w:rsidRPr="00B11C7D">
              <w:t>Islander</w:t>
            </w:r>
            <w:r w:rsidR="001F66E2">
              <w:t xml:space="preserve"> </w:t>
            </w:r>
            <w:r w:rsidRPr="00B11C7D">
              <w:t>Flexible</w:t>
            </w:r>
            <w:r w:rsidR="001F66E2">
              <w:t xml:space="preserve"> </w:t>
            </w:r>
            <w:r w:rsidRPr="00B11C7D">
              <w:t>Aged</w:t>
            </w:r>
            <w:r w:rsidR="001F66E2">
              <w:t xml:space="preserve"> </w:t>
            </w:r>
            <w:r w:rsidRPr="00B11C7D">
              <w:t>Care</w:t>
            </w:r>
            <w:r w:rsidR="001F66E2">
              <w:t xml:space="preserve"> </w:t>
            </w:r>
            <w:r w:rsidRPr="00B11C7D">
              <w:t>(NATSIFAC)</w:t>
            </w:r>
            <w:r w:rsidR="001F66E2">
              <w:t xml:space="preserve"> </w:t>
            </w:r>
            <w:r w:rsidRPr="00B11C7D">
              <w:t>Program</w:t>
            </w:r>
          </w:p>
        </w:tc>
        <w:tc>
          <w:tcPr>
            <w:tcW w:w="6805" w:type="dxa"/>
            <w:hideMark/>
          </w:tcPr>
          <w:p w14:paraId="2BB05C92" w14:textId="0ABCB2AA" w:rsidR="008845A2" w:rsidRPr="003E3A08" w:rsidRDefault="008845A2" w:rsidP="00F77741">
            <w:pPr>
              <w:pStyle w:val="TableTextKeep"/>
              <w:cnfStyle w:val="000000100000" w:firstRow="0" w:lastRow="0" w:firstColumn="0" w:lastColumn="0" w:oddVBand="0" w:evenVBand="0" w:oddHBand="1" w:evenHBand="0" w:firstRowFirstColumn="0" w:firstRowLastColumn="0" w:lastRowFirstColumn="0" w:lastRowLastColumn="0"/>
              <w:rPr>
                <w:rFonts w:ascii="Segoe UI" w:hAnsi="Segoe UI" w:cs="Segoe UI"/>
                <w:szCs w:val="20"/>
                <w:lang w:val="en-AU" w:eastAsia="en-AU"/>
              </w:rPr>
            </w:pPr>
            <w:r w:rsidRPr="003E3A08">
              <w:t>Assistance</w:t>
            </w:r>
            <w:r w:rsidR="001F66E2">
              <w:t xml:space="preserve"> </w:t>
            </w:r>
            <w:r w:rsidRPr="003E3A08">
              <w:t>with</w:t>
            </w:r>
            <w:r w:rsidR="001F66E2">
              <w:t xml:space="preserve"> </w:t>
            </w:r>
            <w:r w:rsidRPr="003E3A08">
              <w:t>personal</w:t>
            </w:r>
            <w:r w:rsidR="001F66E2">
              <w:t xml:space="preserve"> </w:t>
            </w:r>
            <w:r w:rsidRPr="003E3A08">
              <w:t>care,</w:t>
            </w:r>
            <w:r w:rsidR="001F66E2">
              <w:t xml:space="preserve"> </w:t>
            </w:r>
            <w:r w:rsidRPr="003E3A08">
              <w:t>and</w:t>
            </w:r>
            <w:r w:rsidR="001F66E2">
              <w:t xml:space="preserve"> </w:t>
            </w:r>
            <w:r w:rsidRPr="003E3A08">
              <w:t>furnishings,</w:t>
            </w:r>
            <w:r w:rsidR="001F66E2">
              <w:t xml:space="preserve"> </w:t>
            </w:r>
            <w:r w:rsidRPr="003E3A08">
              <w:t>furniture</w:t>
            </w:r>
            <w:r w:rsidR="00410F76">
              <w:t xml:space="preserve"> </w:t>
            </w:r>
            <w:r w:rsidRPr="003E3A08">
              <w:t>and</w:t>
            </w:r>
            <w:r w:rsidR="001F66E2">
              <w:t xml:space="preserve"> </w:t>
            </w:r>
            <w:r w:rsidRPr="003E3A08">
              <w:t>equipment</w:t>
            </w:r>
            <w:r w:rsidR="001F66E2">
              <w:t xml:space="preserve"> </w:t>
            </w:r>
            <w:r w:rsidRPr="003E3A08">
              <w:t>for</w:t>
            </w:r>
            <w:r w:rsidR="001F66E2">
              <w:t xml:space="preserve"> </w:t>
            </w:r>
            <w:r w:rsidRPr="003E3A08">
              <w:t>the</w:t>
            </w:r>
            <w:r w:rsidR="001F66E2">
              <w:t xml:space="preserve"> </w:t>
            </w:r>
            <w:r w:rsidRPr="003E3A08">
              <w:t>provision</w:t>
            </w:r>
            <w:r w:rsidR="001F66E2">
              <w:t xml:space="preserve"> </w:t>
            </w:r>
            <w:r w:rsidRPr="003E3A08">
              <w:t>of</w:t>
            </w:r>
            <w:r w:rsidR="001F66E2">
              <w:t xml:space="preserve"> </w:t>
            </w:r>
            <w:r w:rsidRPr="003E3A08">
              <w:t>that</w:t>
            </w:r>
            <w:r w:rsidR="001F66E2">
              <w:t xml:space="preserve"> </w:t>
            </w:r>
            <w:r w:rsidRPr="003E3A08">
              <w:t>care</w:t>
            </w:r>
            <w:r w:rsidR="001F66E2">
              <w:rPr>
                <w:lang w:val="en-AU"/>
              </w:rPr>
              <w:t xml:space="preserve"> </w:t>
            </w:r>
          </w:p>
        </w:tc>
      </w:tr>
    </w:tbl>
    <w:p w14:paraId="631C9F38" w14:textId="32CE95D5" w:rsidR="00B0065D" w:rsidRPr="00736110" w:rsidRDefault="00B0065D" w:rsidP="00017633">
      <w:bookmarkStart w:id="54" w:name="_Ref59302144"/>
      <w:bookmarkStart w:id="55" w:name="_Toc59402390"/>
      <w:r w:rsidRPr="00736110">
        <w:t>Table </w:t>
      </w:r>
      <w:r w:rsidR="009F14D1">
        <w:t>2-3</w:t>
      </w:r>
      <w:bookmarkEnd w:id="54"/>
      <w:r w:rsidRPr="00736110">
        <w:t>:</w:t>
      </w:r>
      <w:r w:rsidRPr="00736110">
        <w:tab/>
        <w:t xml:space="preserve">AT and subsidies available under </w:t>
      </w:r>
      <w:r w:rsidR="009F14D1">
        <w:t xml:space="preserve">other </w:t>
      </w:r>
      <w:r w:rsidRPr="00736110">
        <w:t>national programs</w:t>
      </w:r>
      <w:r>
        <w:t xml:space="preserve"> – </w:t>
      </w:r>
      <w:r w:rsidR="001F66E2">
        <w:br/>
      </w:r>
      <w:bookmarkEnd w:id="55"/>
    </w:p>
    <w:tbl>
      <w:tblPr>
        <w:tblStyle w:val="AHALight"/>
        <w:tblW w:w="9615" w:type="dxa"/>
        <w:tblLook w:val="04A0" w:firstRow="1" w:lastRow="0" w:firstColumn="1" w:lastColumn="0" w:noHBand="0" w:noVBand="1"/>
        <w:tblCaption w:val="Other national programs"/>
        <w:tblDescription w:val="List of Australian Government non-aged care programs and the AT and/or subsidies available through each."/>
      </w:tblPr>
      <w:tblGrid>
        <w:gridCol w:w="2810"/>
        <w:gridCol w:w="6805"/>
      </w:tblGrid>
      <w:tr w:rsidR="00B0065D" w:rsidRPr="00B5430C" w14:paraId="1807ADB3" w14:textId="77777777" w:rsidTr="00B11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5C1519E8" w14:textId="77777777" w:rsidR="00B0065D" w:rsidRPr="00B5430C" w:rsidRDefault="00B0065D" w:rsidP="001D04E1">
            <w:pPr>
              <w:pStyle w:val="TableHeading1"/>
              <w:rPr>
                <w:b w:val="0"/>
              </w:rPr>
            </w:pPr>
            <w:r w:rsidRPr="00B5430C">
              <w:t>Program</w:t>
            </w:r>
          </w:p>
        </w:tc>
        <w:tc>
          <w:tcPr>
            <w:tcW w:w="6805" w:type="dxa"/>
          </w:tcPr>
          <w:p w14:paraId="308FCF12" w14:textId="77777777" w:rsidR="00B0065D" w:rsidRPr="00B5430C" w:rsidRDefault="00B0065D" w:rsidP="001D04E1">
            <w:pPr>
              <w:pStyle w:val="TableHeading1"/>
              <w:cnfStyle w:val="100000000000" w:firstRow="1" w:lastRow="0" w:firstColumn="0" w:lastColumn="0" w:oddVBand="0" w:evenVBand="0" w:oddHBand="0" w:evenHBand="0" w:firstRowFirstColumn="0" w:firstRowLastColumn="0" w:lastRowFirstColumn="0" w:lastRowLastColumn="0"/>
              <w:rPr>
                <w:b w:val="0"/>
              </w:rPr>
            </w:pPr>
            <w:r w:rsidRPr="00B5430C">
              <w:t>AT/subsidy available to consumers</w:t>
            </w:r>
          </w:p>
        </w:tc>
      </w:tr>
      <w:tr w:rsidR="008845A2" w:rsidRPr="003E3A08" w14:paraId="2BC93DC0" w14:textId="77777777" w:rsidTr="00B11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hideMark/>
          </w:tcPr>
          <w:p w14:paraId="2C3F2659" w14:textId="77777777" w:rsidR="008845A2" w:rsidRPr="00B11C7D" w:rsidRDefault="008845A2" w:rsidP="00B11C7D">
            <w:r w:rsidRPr="00B11C7D">
              <w:t>National Disability Insurance Scheme (NDIS) </w:t>
            </w:r>
          </w:p>
        </w:tc>
        <w:tc>
          <w:tcPr>
            <w:tcW w:w="6805" w:type="dxa"/>
            <w:hideMark/>
          </w:tcPr>
          <w:p w14:paraId="0DAEDFAE" w14:textId="2BD1D86D" w:rsidR="008845A2" w:rsidRPr="00696A04" w:rsidRDefault="008845A2" w:rsidP="00F77741">
            <w:pPr>
              <w:pStyle w:val="TableTextKeep"/>
              <w:cnfStyle w:val="000000100000" w:firstRow="0" w:lastRow="0" w:firstColumn="0" w:lastColumn="0" w:oddVBand="0" w:evenVBand="0" w:oddHBand="1" w:evenHBand="0" w:firstRowFirstColumn="0" w:firstRowLastColumn="0" w:lastRowFirstColumn="0" w:lastRowLastColumn="0"/>
            </w:pPr>
            <w:r w:rsidRPr="003E3A08">
              <w:t>People with disabilities are significant consumers of AT products</w:t>
            </w:r>
            <w:r w:rsidR="00F80723">
              <w:t xml:space="preserve">. </w:t>
            </w:r>
            <w:r w:rsidRPr="003E3A08">
              <w:t>The NDIS use four levels to describe the complexity of AT needs:</w:t>
            </w:r>
            <w:r w:rsidRPr="003E3A08">
              <w:rPr>
                <w:lang w:val="en-AU"/>
              </w:rPr>
              <w:t> </w:t>
            </w:r>
          </w:p>
          <w:p w14:paraId="08C7C44C" w14:textId="2F00014A"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Simple, low-risk AT</w:t>
            </w:r>
            <w:r w:rsidR="00410F76">
              <w:t xml:space="preserve"> </w:t>
            </w:r>
          </w:p>
          <w:p w14:paraId="72C23FEB" w14:textId="77777777"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Standard AT</w:t>
            </w:r>
            <w:r w:rsidRPr="003E3A08">
              <w:rPr>
                <w:lang w:val="en-AU"/>
              </w:rPr>
              <w:t> </w:t>
            </w:r>
          </w:p>
          <w:p w14:paraId="211B0FF0" w14:textId="77777777"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Specialised AT solutions</w:t>
            </w:r>
            <w:r w:rsidRPr="003E3A08">
              <w:rPr>
                <w:lang w:val="en-AU"/>
              </w:rPr>
              <w:t> </w:t>
            </w:r>
          </w:p>
          <w:p w14:paraId="263F1D84" w14:textId="77777777"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Complex AT solutions.</w:t>
            </w:r>
            <w:r w:rsidRPr="003E3A08">
              <w:rPr>
                <w:lang w:val="en-AU"/>
              </w:rPr>
              <w:t> </w:t>
            </w:r>
          </w:p>
          <w:p w14:paraId="5E5C14B0" w14:textId="4330F69F" w:rsidR="008845A2" w:rsidRPr="00696A04" w:rsidRDefault="008845A2" w:rsidP="00F77741">
            <w:pPr>
              <w:pStyle w:val="TableTextKeep"/>
              <w:cnfStyle w:val="000000100000" w:firstRow="0" w:lastRow="0" w:firstColumn="0" w:lastColumn="0" w:oddVBand="0" w:evenVBand="0" w:oddHBand="1" w:evenHBand="0" w:firstRowFirstColumn="0" w:firstRowLastColumn="0" w:lastRowFirstColumn="0" w:lastRowLastColumn="0"/>
            </w:pPr>
            <w:r w:rsidRPr="003E3A08">
              <w:t>NDIS participants can choose how they want to manage the funded supports in their</w:t>
            </w:r>
            <w:r w:rsidR="00B116BD">
              <w:t xml:space="preserve"> </w:t>
            </w:r>
            <w:r w:rsidRPr="003E3A08">
              <w:t>plan, and</w:t>
            </w:r>
            <w:r w:rsidR="00B116BD">
              <w:t xml:space="preserve"> </w:t>
            </w:r>
            <w:r w:rsidRPr="003E3A08">
              <w:t>can choose the providers they want to deliver AT supports</w:t>
            </w:r>
            <w:r w:rsidR="00F80723">
              <w:t xml:space="preserve">. </w:t>
            </w:r>
            <w:r w:rsidRPr="003E3A08">
              <w:t>Funds can generally be used to:</w:t>
            </w:r>
            <w:r w:rsidRPr="003E3A08">
              <w:rPr>
                <w:lang w:val="en-AU"/>
              </w:rPr>
              <w:t> </w:t>
            </w:r>
          </w:p>
          <w:p w14:paraId="0D928593" w14:textId="77777777"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Buy the AT outright; or</w:t>
            </w:r>
            <w:r w:rsidRPr="003E3A08">
              <w:rPr>
                <w:lang w:val="en-AU"/>
              </w:rPr>
              <w:t> </w:t>
            </w:r>
          </w:p>
          <w:p w14:paraId="491AFF84" w14:textId="77777777" w:rsidR="008845A2" w:rsidRPr="003E3A08" w:rsidRDefault="008845A2" w:rsidP="00F77741">
            <w:pPr>
              <w:pStyle w:val="TableBullet1"/>
              <w:cnfStyle w:val="000000100000" w:firstRow="0" w:lastRow="0" w:firstColumn="0" w:lastColumn="0" w:oddVBand="0" w:evenVBand="0" w:oddHBand="1" w:evenHBand="0" w:firstRowFirstColumn="0" w:firstRowLastColumn="0" w:lastRowFirstColumn="0" w:lastRowLastColumn="0"/>
              <w:rPr>
                <w:lang w:val="en-AU"/>
              </w:rPr>
            </w:pPr>
            <w:r w:rsidRPr="003E3A08">
              <w:t>Access the AT through rental, loan or other arrangements</w:t>
            </w:r>
            <w:r w:rsidRPr="003E3A08">
              <w:rPr>
                <w:lang w:val="en-AU"/>
              </w:rPr>
              <w:t> </w:t>
            </w:r>
          </w:p>
        </w:tc>
      </w:tr>
      <w:tr w:rsidR="008845A2" w:rsidRPr="003E3A08" w14:paraId="7025B881" w14:textId="77777777" w:rsidTr="00B11C7D">
        <w:tc>
          <w:tcPr>
            <w:cnfStyle w:val="001000000000" w:firstRow="0" w:lastRow="0" w:firstColumn="1" w:lastColumn="0" w:oddVBand="0" w:evenVBand="0" w:oddHBand="0" w:evenHBand="0" w:firstRowFirstColumn="0" w:firstRowLastColumn="0" w:lastRowFirstColumn="0" w:lastRowLastColumn="0"/>
            <w:tcW w:w="2810" w:type="dxa"/>
            <w:hideMark/>
          </w:tcPr>
          <w:p w14:paraId="6252BD93" w14:textId="77777777" w:rsidR="008845A2" w:rsidRPr="00B11C7D" w:rsidRDefault="008845A2" w:rsidP="00B11C7D">
            <w:r w:rsidRPr="00B11C7D">
              <w:lastRenderedPageBreak/>
              <w:t>Department of Veterans’ Affairs (DVA) Rehabilitation Appliances Program (RAP)</w:t>
            </w:r>
          </w:p>
        </w:tc>
        <w:tc>
          <w:tcPr>
            <w:tcW w:w="6805" w:type="dxa"/>
            <w:hideMark/>
          </w:tcPr>
          <w:p w14:paraId="1B3F8D8A" w14:textId="77777777" w:rsidR="008845A2" w:rsidRPr="003E3A08" w:rsidRDefault="008845A2" w:rsidP="00F77741">
            <w:pPr>
              <w:pStyle w:val="TableTextKeep"/>
              <w:cnfStyle w:val="000000000000" w:firstRow="0" w:lastRow="0" w:firstColumn="0" w:lastColumn="0" w:oddVBand="0" w:evenVBand="0" w:oddHBand="0" w:evenHBand="0" w:firstRowFirstColumn="0" w:firstRowLastColumn="0" w:lastRowFirstColumn="0" w:lastRowLastColumn="0"/>
              <w:rPr>
                <w:rFonts w:ascii="Segoe UI" w:hAnsi="Segoe UI" w:cs="Segoe UI"/>
                <w:szCs w:val="20"/>
                <w:lang w:val="en-AU" w:eastAsia="en-AU"/>
              </w:rPr>
            </w:pPr>
            <w:r w:rsidRPr="003E3A08">
              <w:t>Aids and appliances available under RAP include continence, diabetes, oxygen and positive airways pressure, mobility and functional support, cognitive, dementia and memory assistive technology, personal response systems, falls prevention, low vision, prosthesis and footwear, hearing appliances and speech pathology.</w:t>
            </w:r>
            <w:r w:rsidRPr="003E3A08">
              <w:rPr>
                <w:lang w:val="en-AU"/>
              </w:rPr>
              <w:t> </w:t>
            </w:r>
          </w:p>
        </w:tc>
      </w:tr>
    </w:tbl>
    <w:p w14:paraId="683E1AE3" w14:textId="77777777" w:rsidR="00017633" w:rsidRDefault="00017633" w:rsidP="00017633">
      <w:bookmarkStart w:id="56" w:name="_Ref59302147"/>
      <w:bookmarkStart w:id="57" w:name="_Toc59402391"/>
    </w:p>
    <w:p w14:paraId="548A939F" w14:textId="544B4FB8" w:rsidR="00B0065D" w:rsidRPr="00736110" w:rsidRDefault="00B0065D" w:rsidP="00017633">
      <w:r w:rsidRPr="00736110">
        <w:t>Table </w:t>
      </w:r>
      <w:r w:rsidR="009F14D1">
        <w:t>2-4</w:t>
      </w:r>
      <w:bookmarkEnd w:id="56"/>
      <w:r w:rsidRPr="00736110">
        <w:t>:</w:t>
      </w:r>
      <w:r w:rsidRPr="00736110">
        <w:tab/>
        <w:t xml:space="preserve">AT and subsidies </w:t>
      </w:r>
      <w:r w:rsidRPr="00B5430C">
        <w:t xml:space="preserve">Condition-specific national programs </w:t>
      </w:r>
      <w:bookmarkEnd w:id="57"/>
    </w:p>
    <w:tbl>
      <w:tblPr>
        <w:tblStyle w:val="AHALight"/>
        <w:tblW w:w="9620" w:type="dxa"/>
        <w:tblLook w:val="04A0" w:firstRow="1" w:lastRow="0" w:firstColumn="1" w:lastColumn="0" w:noHBand="0" w:noVBand="1"/>
        <w:tblCaption w:val="National condition-specific programs"/>
        <w:tblDescription w:val="List of national programs for specific conditions and the AT and/or subsidies available through each."/>
      </w:tblPr>
      <w:tblGrid>
        <w:gridCol w:w="2811"/>
        <w:gridCol w:w="6809"/>
      </w:tblGrid>
      <w:tr w:rsidR="00B0065D" w:rsidRPr="00B5430C" w14:paraId="4C83BE6D" w14:textId="77777777" w:rsidTr="00B11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tcPr>
          <w:p w14:paraId="634E0EAE" w14:textId="77777777" w:rsidR="00B0065D" w:rsidRPr="00B5430C" w:rsidRDefault="00B0065D" w:rsidP="001D04E1">
            <w:pPr>
              <w:pStyle w:val="TableHeading1"/>
              <w:rPr>
                <w:b w:val="0"/>
              </w:rPr>
            </w:pPr>
            <w:r w:rsidRPr="00B5430C">
              <w:t>Program</w:t>
            </w:r>
          </w:p>
        </w:tc>
        <w:tc>
          <w:tcPr>
            <w:tcW w:w="6805" w:type="dxa"/>
          </w:tcPr>
          <w:p w14:paraId="449613D5" w14:textId="77777777" w:rsidR="00B0065D" w:rsidRPr="00B5430C" w:rsidRDefault="00B0065D" w:rsidP="001D04E1">
            <w:pPr>
              <w:pStyle w:val="TableHeading1"/>
              <w:cnfStyle w:val="100000000000" w:firstRow="1" w:lastRow="0" w:firstColumn="0" w:lastColumn="0" w:oddVBand="0" w:evenVBand="0" w:oddHBand="0" w:evenHBand="0" w:firstRowFirstColumn="0" w:firstRowLastColumn="0" w:lastRowFirstColumn="0" w:lastRowLastColumn="0"/>
              <w:rPr>
                <w:b w:val="0"/>
              </w:rPr>
            </w:pPr>
            <w:r w:rsidRPr="00B5430C">
              <w:t>AT/subsidy available to consumers</w:t>
            </w:r>
          </w:p>
        </w:tc>
      </w:tr>
      <w:tr w:rsidR="008845A2" w:rsidRPr="003E3A08" w14:paraId="48B6890F" w14:textId="77777777" w:rsidTr="00B11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hideMark/>
          </w:tcPr>
          <w:p w14:paraId="4A3B017F" w14:textId="77777777" w:rsidR="008845A2" w:rsidRPr="00B11C7D" w:rsidRDefault="008845A2" w:rsidP="00B11C7D">
            <w:r w:rsidRPr="00B11C7D">
              <w:t>Continence Aids Payment Scheme (CAPS) </w:t>
            </w:r>
          </w:p>
        </w:tc>
        <w:tc>
          <w:tcPr>
            <w:tcW w:w="6805" w:type="dxa"/>
            <w:hideMark/>
          </w:tcPr>
          <w:p w14:paraId="54B5421F" w14:textId="77777777" w:rsidR="008845A2" w:rsidRPr="003E3A08" w:rsidRDefault="008845A2" w:rsidP="00F77741">
            <w:pPr>
              <w:pStyle w:val="TableTextKeep"/>
              <w:cnfStyle w:val="000000100000" w:firstRow="0" w:lastRow="0" w:firstColumn="0" w:lastColumn="0" w:oddVBand="0" w:evenVBand="0" w:oddHBand="1" w:evenHBand="0" w:firstRowFirstColumn="0" w:firstRowLastColumn="0" w:lastRowFirstColumn="0" w:lastRowLastColumn="0"/>
              <w:rPr>
                <w:rFonts w:ascii="Segoe UI" w:hAnsi="Segoe UI" w:cs="Segoe UI"/>
                <w:szCs w:val="20"/>
                <w:lang w:val="en-AU" w:eastAsia="en-AU"/>
              </w:rPr>
            </w:pPr>
            <w:r w:rsidRPr="003E3A08">
              <w:t>Provides a yearly non-taxable payment to cover some of the cost of products that help people manage incontinence</w:t>
            </w:r>
            <w:r w:rsidRPr="003E3A08">
              <w:rPr>
                <w:lang w:val="en-AU"/>
              </w:rPr>
              <w:t> </w:t>
            </w:r>
          </w:p>
        </w:tc>
      </w:tr>
      <w:tr w:rsidR="008845A2" w:rsidRPr="003E3A08" w14:paraId="1746A44D" w14:textId="77777777" w:rsidTr="00B11C7D">
        <w:tc>
          <w:tcPr>
            <w:cnfStyle w:val="001000000000" w:firstRow="0" w:lastRow="0" w:firstColumn="1" w:lastColumn="0" w:oddVBand="0" w:evenVBand="0" w:oddHBand="0" w:evenHBand="0" w:firstRowFirstColumn="0" w:firstRowLastColumn="0" w:lastRowFirstColumn="0" w:lastRowLastColumn="0"/>
            <w:tcW w:w="2810" w:type="dxa"/>
            <w:hideMark/>
          </w:tcPr>
          <w:p w14:paraId="1DB4F093" w14:textId="77777777" w:rsidR="008845A2" w:rsidRPr="00B11C7D" w:rsidRDefault="008845A2" w:rsidP="00B11C7D">
            <w:r w:rsidRPr="00B11C7D">
              <w:t>Australian Government Hearing Services Program </w:t>
            </w:r>
          </w:p>
        </w:tc>
        <w:tc>
          <w:tcPr>
            <w:tcW w:w="6805" w:type="dxa"/>
            <w:hideMark/>
          </w:tcPr>
          <w:p w14:paraId="417DEF00" w14:textId="77777777" w:rsidR="008845A2" w:rsidRPr="003E3A08" w:rsidRDefault="008845A2" w:rsidP="00F77741">
            <w:pPr>
              <w:pStyle w:val="TableTextKeep"/>
              <w:cnfStyle w:val="000000000000" w:firstRow="0" w:lastRow="0" w:firstColumn="0" w:lastColumn="0" w:oddVBand="0" w:evenVBand="0" w:oddHBand="0" w:evenHBand="0" w:firstRowFirstColumn="0" w:firstRowLastColumn="0" w:lastRowFirstColumn="0" w:lastRowLastColumn="0"/>
              <w:rPr>
                <w:rFonts w:ascii="Segoe UI" w:hAnsi="Segoe UI" w:cs="Segoe UI"/>
                <w:szCs w:val="20"/>
                <w:lang w:val="en-AU" w:eastAsia="en-AU"/>
              </w:rPr>
            </w:pPr>
            <w:r w:rsidRPr="003E3A08">
              <w:t>Provides access to fully subsidised hearing aid devices and advice on how to achieve maximum benefits from hearing aids</w:t>
            </w:r>
            <w:r w:rsidRPr="003E3A08">
              <w:rPr>
                <w:lang w:val="en-AU"/>
              </w:rPr>
              <w:t> </w:t>
            </w:r>
          </w:p>
        </w:tc>
      </w:tr>
      <w:tr w:rsidR="008845A2" w:rsidRPr="003E3A08" w14:paraId="12CFDCB0" w14:textId="77777777" w:rsidTr="00B11C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0" w:type="dxa"/>
            <w:hideMark/>
          </w:tcPr>
          <w:p w14:paraId="0C19D486" w14:textId="77777777" w:rsidR="008845A2" w:rsidRPr="00B11C7D" w:rsidRDefault="008845A2" w:rsidP="00B11C7D">
            <w:r w:rsidRPr="00B11C7D">
              <w:t>Stoma Appliance Scheme </w:t>
            </w:r>
          </w:p>
        </w:tc>
        <w:tc>
          <w:tcPr>
            <w:tcW w:w="6805" w:type="dxa"/>
            <w:hideMark/>
          </w:tcPr>
          <w:p w14:paraId="55FAD525" w14:textId="77777777" w:rsidR="008845A2" w:rsidRPr="003E3A08" w:rsidRDefault="008845A2" w:rsidP="00F77741">
            <w:pPr>
              <w:pStyle w:val="TableTextKeep"/>
              <w:cnfStyle w:val="000000100000" w:firstRow="0" w:lastRow="0" w:firstColumn="0" w:lastColumn="0" w:oddVBand="0" w:evenVBand="0" w:oddHBand="1" w:evenHBand="0" w:firstRowFirstColumn="0" w:firstRowLastColumn="0" w:lastRowFirstColumn="0" w:lastRowLastColumn="0"/>
              <w:rPr>
                <w:rFonts w:ascii="Segoe UI" w:hAnsi="Segoe UI" w:cs="Segoe UI"/>
                <w:szCs w:val="20"/>
                <w:lang w:val="en-AU" w:eastAsia="en-AU"/>
              </w:rPr>
            </w:pPr>
            <w:r w:rsidRPr="003E3A08">
              <w:t>Provides stoma-related products free of charge to people with stomas</w:t>
            </w:r>
            <w:r w:rsidRPr="003E3A08">
              <w:rPr>
                <w:lang w:val="en-AU"/>
              </w:rPr>
              <w:t> </w:t>
            </w:r>
          </w:p>
        </w:tc>
      </w:tr>
      <w:tr w:rsidR="008845A2" w:rsidRPr="003E3A08" w14:paraId="2E9E07A3" w14:textId="77777777" w:rsidTr="00B11C7D">
        <w:tc>
          <w:tcPr>
            <w:cnfStyle w:val="001000000000" w:firstRow="0" w:lastRow="0" w:firstColumn="1" w:lastColumn="0" w:oddVBand="0" w:evenVBand="0" w:oddHBand="0" w:evenHBand="0" w:firstRowFirstColumn="0" w:firstRowLastColumn="0" w:lastRowFirstColumn="0" w:lastRowLastColumn="0"/>
            <w:tcW w:w="2810" w:type="dxa"/>
            <w:hideMark/>
          </w:tcPr>
          <w:p w14:paraId="4B520329" w14:textId="77777777" w:rsidR="008845A2" w:rsidRPr="00B11C7D" w:rsidRDefault="008845A2" w:rsidP="00B11C7D">
            <w:r w:rsidRPr="00B11C7D">
              <w:t>Essential Medical Equipment Payment </w:t>
            </w:r>
          </w:p>
        </w:tc>
        <w:tc>
          <w:tcPr>
            <w:tcW w:w="6805" w:type="dxa"/>
            <w:hideMark/>
          </w:tcPr>
          <w:p w14:paraId="245010B7" w14:textId="77777777" w:rsidR="008845A2" w:rsidRPr="003E3A08" w:rsidRDefault="008845A2" w:rsidP="00F77741">
            <w:pPr>
              <w:pStyle w:val="TableTextKeep"/>
              <w:cnfStyle w:val="000000000000" w:firstRow="0" w:lastRow="0" w:firstColumn="0" w:lastColumn="0" w:oddVBand="0" w:evenVBand="0" w:oddHBand="0" w:evenHBand="0" w:firstRowFirstColumn="0" w:firstRowLastColumn="0" w:lastRowFirstColumn="0" w:lastRowLastColumn="0"/>
              <w:rPr>
                <w:rFonts w:ascii="Segoe UI" w:hAnsi="Segoe UI" w:cs="Segoe UI"/>
                <w:szCs w:val="20"/>
                <w:lang w:val="en-AU" w:eastAsia="en-AU"/>
              </w:rPr>
            </w:pPr>
            <w:r w:rsidRPr="003E3A08">
              <w:t>Provides a yearly payment to help with energy costs to run medical equipment or medically required heating or cooling.</w:t>
            </w:r>
            <w:r w:rsidRPr="003E3A08">
              <w:rPr>
                <w:lang w:val="en-AU"/>
              </w:rPr>
              <w:t> </w:t>
            </w:r>
          </w:p>
        </w:tc>
      </w:tr>
    </w:tbl>
    <w:p w14:paraId="42409D8F" w14:textId="77777777" w:rsidR="001F66E2" w:rsidRPr="001F66E2" w:rsidRDefault="001F66E2" w:rsidP="001F66E2">
      <w:pPr>
        <w:rPr>
          <w:rFonts w:eastAsia="Arial Unicode MS"/>
        </w:rPr>
      </w:pPr>
      <w:r w:rsidRPr="001F66E2">
        <w:br w:type="page"/>
      </w:r>
    </w:p>
    <w:p w14:paraId="7F97B2CE" w14:textId="32C17209" w:rsidR="008845A2" w:rsidRPr="00805DBA" w:rsidRDefault="008845A2" w:rsidP="008845A2">
      <w:pPr>
        <w:pStyle w:val="Heading3"/>
      </w:pPr>
      <w:r w:rsidRPr="00805DBA">
        <w:lastRenderedPageBreak/>
        <w:t>State and territory AT programs</w:t>
      </w:r>
    </w:p>
    <w:p w14:paraId="79B38AAF" w14:textId="19286241" w:rsidR="008845A2" w:rsidRDefault="008845A2" w:rsidP="00E57F6B">
      <w:pPr>
        <w:pStyle w:val="Paragraph"/>
        <w:spacing w:before="0"/>
      </w:pPr>
      <w:r>
        <w:t xml:space="preserve">States and territories provide a large range of AT programs. There are at least 65 different jurisdictional programs through which consumers can access AT. Each state and territory has a government-run program and there are at least 57 other programs which exist at the state </w:t>
      </w:r>
      <w:r w:rsidR="008A579B">
        <w:t>and territory</w:t>
      </w:r>
      <w:r>
        <w:t xml:space="preserve"> level, such as transport accident commissions, artificial limb schemes, condition-specific programs and injury schemes. </w:t>
      </w:r>
    </w:p>
    <w:p w14:paraId="77DC5388" w14:textId="77777777" w:rsidR="008845A2" w:rsidRDefault="008845A2" w:rsidP="008845A2">
      <w:pPr>
        <w:pStyle w:val="ParaKeep"/>
      </w:pPr>
      <w:r>
        <w:t>An analysis of the state-run program rules indicated that access to AT is uneven and complex across jurisdictions. A lack of transparency around what is available and unclear eligibility criteria make the system difficult to navigate—for both consumers and service providers. The analysis found that state-run program eligibility is subject to a range of factors, including:</w:t>
      </w:r>
    </w:p>
    <w:p w14:paraId="5A7D8144" w14:textId="77777777" w:rsidR="008845A2" w:rsidRPr="005A00D2" w:rsidRDefault="008845A2" w:rsidP="008845A2">
      <w:pPr>
        <w:pStyle w:val="Bullet1"/>
        <w:rPr>
          <w:rFonts w:eastAsia="Arial Unicode MS"/>
          <w:bCs/>
        </w:rPr>
      </w:pPr>
      <w:r w:rsidRPr="00695176">
        <w:rPr>
          <w:rFonts w:eastAsia="Arial Unicode MS"/>
        </w:rPr>
        <w:t>Person’s characteristics</w:t>
      </w:r>
      <w:r w:rsidRPr="00A6533A">
        <w:rPr>
          <w:rStyle w:val="Bold"/>
          <w:rFonts w:eastAsia="Arial Unicode MS"/>
        </w:rPr>
        <w:t xml:space="preserve"> </w:t>
      </w:r>
      <w:r w:rsidRPr="005A00D2">
        <w:rPr>
          <w:rFonts w:eastAsia="Arial Unicode MS"/>
          <w:bCs/>
        </w:rPr>
        <w:t>(age, residency status)</w:t>
      </w:r>
    </w:p>
    <w:p w14:paraId="1BD4E718" w14:textId="77777777" w:rsidR="008845A2" w:rsidRPr="00695176" w:rsidRDefault="008845A2" w:rsidP="00436102">
      <w:pPr>
        <w:pStyle w:val="Bullet1"/>
      </w:pPr>
      <w:r w:rsidRPr="00695176">
        <w:t>Location (state of residence, rurality)</w:t>
      </w:r>
    </w:p>
    <w:p w14:paraId="51B251F1" w14:textId="77777777" w:rsidR="008845A2" w:rsidRPr="00695176" w:rsidRDefault="008845A2" w:rsidP="00436102">
      <w:pPr>
        <w:pStyle w:val="Bullet1"/>
      </w:pPr>
      <w:r w:rsidRPr="00695176">
        <w:t>Income</w:t>
      </w:r>
    </w:p>
    <w:p w14:paraId="40FE7CAB" w14:textId="77777777" w:rsidR="008845A2" w:rsidRPr="00695176" w:rsidRDefault="008845A2" w:rsidP="00436102">
      <w:pPr>
        <w:pStyle w:val="Bullet1"/>
      </w:pPr>
      <w:r w:rsidRPr="00695176">
        <w:t>Availability of other funding (eligibility for other government schemes, private insurance)</w:t>
      </w:r>
    </w:p>
    <w:p w14:paraId="7E017818" w14:textId="77777777" w:rsidR="008845A2" w:rsidRPr="00695176" w:rsidRDefault="008845A2" w:rsidP="00436102">
      <w:pPr>
        <w:pStyle w:val="Bullet1"/>
      </w:pPr>
      <w:r w:rsidRPr="00695176">
        <w:t>AT requirements (condition type, length of time AT required, complexity of required AT).</w:t>
      </w:r>
    </w:p>
    <w:p w14:paraId="196937F8" w14:textId="757EC914" w:rsidR="008845A2" w:rsidRDefault="00141262" w:rsidP="008845A2">
      <w:pPr>
        <w:pStyle w:val="Paragraph"/>
        <w:rPr>
          <w:lang w:eastAsia="en-AU"/>
        </w:rPr>
      </w:pPr>
      <w:r w:rsidRPr="00141262">
        <w:rPr>
          <w:rStyle w:val="Italic"/>
          <w:i w:val="0"/>
          <w:iCs/>
        </w:rPr>
        <w:fldChar w:fldCharType="begin"/>
      </w:r>
      <w:r w:rsidRPr="00141262">
        <w:rPr>
          <w:i/>
          <w:iCs/>
          <w:lang w:eastAsia="en-AU"/>
        </w:rPr>
        <w:instrText xml:space="preserve"> REF _Ref42536919 \h </w:instrText>
      </w:r>
      <w:r>
        <w:rPr>
          <w:rStyle w:val="Italic"/>
          <w:i w:val="0"/>
          <w:iCs/>
        </w:rPr>
        <w:instrText xml:space="preserve"> \* MERGEFORMAT </w:instrText>
      </w:r>
      <w:r w:rsidRPr="00141262">
        <w:rPr>
          <w:rStyle w:val="Italic"/>
          <w:i w:val="0"/>
          <w:iCs/>
        </w:rPr>
      </w:r>
      <w:r w:rsidRPr="00141262">
        <w:rPr>
          <w:rStyle w:val="Italic"/>
          <w:i w:val="0"/>
          <w:iCs/>
        </w:rPr>
        <w:fldChar w:fldCharType="separate"/>
      </w:r>
      <w:r w:rsidR="00CC3F04" w:rsidRPr="00CC3F04">
        <w:rPr>
          <w:i/>
          <w:iCs/>
        </w:rPr>
        <w:t>Table 2</w:t>
      </w:r>
      <w:r w:rsidR="00CC3F04" w:rsidRPr="00CC3F04">
        <w:rPr>
          <w:i/>
          <w:iCs/>
        </w:rPr>
        <w:noBreakHyphen/>
        <w:t>5</w:t>
      </w:r>
      <w:r w:rsidRPr="00141262">
        <w:rPr>
          <w:rStyle w:val="Italic"/>
          <w:i w:val="0"/>
          <w:iCs/>
        </w:rPr>
        <w:fldChar w:fldCharType="end"/>
      </w:r>
      <w:r>
        <w:rPr>
          <w:rStyle w:val="Italic"/>
        </w:rPr>
        <w:t xml:space="preserve"> </w:t>
      </w:r>
      <w:r w:rsidR="008845A2">
        <w:rPr>
          <w:lang w:eastAsia="en-AU"/>
        </w:rPr>
        <w:t>provides an overview of AT products (</w:t>
      </w:r>
      <w:r w:rsidR="00312D1C">
        <w:rPr>
          <w:lang w:eastAsia="en-AU"/>
        </w:rPr>
        <w:t>using</w:t>
      </w:r>
      <w:r w:rsidR="008845A2">
        <w:rPr>
          <w:lang w:eastAsia="en-AU"/>
        </w:rPr>
        <w:t xml:space="preserve"> </w:t>
      </w:r>
      <w:r w:rsidR="00312D1C">
        <w:rPr>
          <w:lang w:eastAsia="en-AU"/>
        </w:rPr>
        <w:t xml:space="preserve">19 </w:t>
      </w:r>
      <w:r w:rsidR="008845A2">
        <w:rPr>
          <w:lang w:eastAsia="en-AU"/>
        </w:rPr>
        <w:t>NED</w:t>
      </w:r>
      <w:r w:rsidR="00312D1C">
        <w:rPr>
          <w:lang w:eastAsia="en-AU"/>
        </w:rPr>
        <w:t xml:space="preserve"> categories that are applicable to older people</w:t>
      </w:r>
      <w:r w:rsidR="008845A2">
        <w:rPr>
          <w:lang w:eastAsia="en-AU"/>
        </w:rPr>
        <w:t xml:space="preserve">) funded by each state </w:t>
      </w:r>
      <w:r w:rsidR="008A579B">
        <w:rPr>
          <w:lang w:eastAsia="en-AU"/>
        </w:rPr>
        <w:t xml:space="preserve">and territory </w:t>
      </w:r>
      <w:r w:rsidR="008845A2">
        <w:rPr>
          <w:lang w:eastAsia="en-AU"/>
        </w:rPr>
        <w:t>program (based on publicly available information, where possible). While most state</w:t>
      </w:r>
      <w:r w:rsidR="008A579B">
        <w:rPr>
          <w:lang w:eastAsia="en-AU"/>
        </w:rPr>
        <w:t xml:space="preserve"> and territories</w:t>
      </w:r>
      <w:r w:rsidR="008845A2">
        <w:rPr>
          <w:lang w:eastAsia="en-AU"/>
        </w:rPr>
        <w:t xml:space="preserve"> provide AT for activities like bathing, toileting and sleeping, there is considerable variation in provision of other categories of AT. In some states and territories, needs may be partially or fully met through additional specific-purpose schemes although these schemes also have varying eligibility and service provision arrangements.</w:t>
      </w:r>
    </w:p>
    <w:p w14:paraId="7494D352" w14:textId="7828FDA6" w:rsidR="008845A2" w:rsidRDefault="008845A2" w:rsidP="008845A2">
      <w:pPr>
        <w:pStyle w:val="Paragraph"/>
        <w:rPr>
          <w:lang w:eastAsia="en-AU"/>
        </w:rPr>
      </w:pPr>
      <w:r>
        <w:rPr>
          <w:lang w:eastAsia="en-AU"/>
        </w:rPr>
        <w:t xml:space="preserve">Overall, there is little consistency and considerable complexity in relation to what AT is funded, who is eligible and how consumers access funding. State and territories may also ration access to programs on a </w:t>
      </w:r>
      <w:r w:rsidR="006905ED">
        <w:rPr>
          <w:lang w:eastAsia="en-AU"/>
        </w:rPr>
        <w:t>year-to-year</w:t>
      </w:r>
      <w:r>
        <w:rPr>
          <w:lang w:eastAsia="en-AU"/>
        </w:rPr>
        <w:t xml:space="preserve"> basis depending on available funds.</w:t>
      </w:r>
    </w:p>
    <w:p w14:paraId="0C7BF3C4" w14:textId="4B8B0F94" w:rsidR="001F66E2" w:rsidRDefault="002F3948" w:rsidP="008845A2">
      <w:pPr>
        <w:pStyle w:val="Paragraph"/>
        <w:rPr>
          <w:lang w:eastAsia="en-AU"/>
        </w:rPr>
      </w:pPr>
      <w:r>
        <w:rPr>
          <w:lang w:eastAsia="en-AU"/>
        </w:rPr>
        <w:t xml:space="preserve">For details of </w:t>
      </w:r>
      <w:r w:rsidR="008845A2">
        <w:rPr>
          <w:lang w:eastAsia="en-AU"/>
        </w:rPr>
        <w:t>the national, state and territory programs</w:t>
      </w:r>
      <w:r>
        <w:rPr>
          <w:lang w:eastAsia="en-AU"/>
        </w:rPr>
        <w:t xml:space="preserve">, see </w:t>
      </w:r>
      <w:r w:rsidRPr="00FE30CC">
        <w:rPr>
          <w:i/>
          <w:iCs/>
          <w:lang w:eastAsia="en-AU"/>
        </w:rPr>
        <w:t xml:space="preserve">Supplementary Technical Report, Appendix </w:t>
      </w:r>
      <w:r>
        <w:rPr>
          <w:i/>
          <w:iCs/>
          <w:lang w:eastAsia="en-AU"/>
        </w:rPr>
        <w:t>E</w:t>
      </w:r>
      <w:r w:rsidR="008845A2">
        <w:rPr>
          <w:lang w:eastAsia="en-AU"/>
        </w:rPr>
        <w:t>.</w:t>
      </w:r>
    </w:p>
    <w:p w14:paraId="30E1773C" w14:textId="77777777" w:rsidR="001F66E2" w:rsidRDefault="001F66E2">
      <w:pPr>
        <w:rPr>
          <w:color w:val="000000" w:themeColor="text1"/>
          <w:lang w:eastAsia="en-AU"/>
        </w:rPr>
      </w:pPr>
      <w:r>
        <w:rPr>
          <w:lang w:eastAsia="en-AU"/>
        </w:rPr>
        <w:br w:type="page"/>
      </w:r>
    </w:p>
    <w:p w14:paraId="57BF9842" w14:textId="528C4E74" w:rsidR="008845A2" w:rsidRPr="00736110" w:rsidRDefault="008845A2" w:rsidP="00017633">
      <w:bookmarkStart w:id="58" w:name="_Ref42536919"/>
      <w:bookmarkStart w:id="59" w:name="_Toc59402392"/>
      <w:r w:rsidRPr="00736110">
        <w:lastRenderedPageBreak/>
        <w:t>Table </w:t>
      </w:r>
      <w:r w:rsidR="009F14D1">
        <w:t>2-5</w:t>
      </w:r>
      <w:bookmarkEnd w:id="58"/>
      <w:r w:rsidRPr="00736110">
        <w:t>:</w:t>
      </w:r>
      <w:r w:rsidRPr="00736110">
        <w:tab/>
        <w:t>Available AT by jurisdiction aids and equipment programs</w:t>
      </w:r>
      <w:bookmarkEnd w:id="59"/>
    </w:p>
    <w:tbl>
      <w:tblPr>
        <w:tblStyle w:val="AHALight"/>
        <w:tblW w:w="5000" w:type="pct"/>
        <w:tblLayout w:type="fixed"/>
        <w:tblLook w:val="04A0" w:firstRow="1" w:lastRow="0" w:firstColumn="1" w:lastColumn="0" w:noHBand="0" w:noVBand="1"/>
        <w:tblCaption w:val="State and territory AT programs"/>
        <w:tblDescription w:val="List of AT categories and whether they are provided in each state or territory"/>
      </w:tblPr>
      <w:tblGrid>
        <w:gridCol w:w="2977"/>
        <w:gridCol w:w="832"/>
        <w:gridCol w:w="833"/>
        <w:gridCol w:w="833"/>
        <w:gridCol w:w="833"/>
        <w:gridCol w:w="832"/>
        <w:gridCol w:w="833"/>
        <w:gridCol w:w="833"/>
        <w:gridCol w:w="833"/>
      </w:tblGrid>
      <w:tr w:rsidR="00DE1411" w:rsidRPr="002E1AF2" w14:paraId="4BE8415C" w14:textId="77777777" w:rsidTr="00E57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C40F810" w14:textId="77777777" w:rsidR="008845A2" w:rsidRPr="002E3A49" w:rsidRDefault="008845A2" w:rsidP="002E3A49">
            <w:pPr>
              <w:pStyle w:val="TableHeading1"/>
            </w:pPr>
            <w:r w:rsidRPr="002E3A49">
              <w:t>Category</w:t>
            </w:r>
          </w:p>
        </w:tc>
        <w:tc>
          <w:tcPr>
            <w:tcW w:w="832" w:type="dxa"/>
            <w:noWrap/>
            <w:hideMark/>
          </w:tcPr>
          <w:p w14:paraId="137960B9" w14:textId="77777777" w:rsidR="008845A2" w:rsidRPr="002E1AF2" w:rsidRDefault="008845A2" w:rsidP="00C576AA">
            <w:pPr>
              <w:pStyle w:val="TableHeading1"/>
              <w:spacing w:before="0"/>
              <w:jc w:val="center"/>
              <w:cnfStyle w:val="100000000000" w:firstRow="1" w:lastRow="0" w:firstColumn="0" w:lastColumn="0" w:oddVBand="0" w:evenVBand="0" w:oddHBand="0" w:evenHBand="0" w:firstRowFirstColumn="0" w:firstRowLastColumn="0" w:lastRowFirstColumn="0" w:lastRowLastColumn="0"/>
            </w:pPr>
            <w:r w:rsidRPr="002E1AF2">
              <w:t>Vic</w:t>
            </w:r>
            <w:r w:rsidRPr="002E1AF2">
              <w:br/>
              <w:t>SWEP</w:t>
            </w:r>
          </w:p>
        </w:tc>
        <w:tc>
          <w:tcPr>
            <w:tcW w:w="833" w:type="dxa"/>
            <w:noWrap/>
            <w:hideMark/>
          </w:tcPr>
          <w:p w14:paraId="328043B1" w14:textId="77777777" w:rsidR="008845A2" w:rsidRPr="002E1AF2" w:rsidRDefault="008845A2" w:rsidP="00C576AA">
            <w:pPr>
              <w:pStyle w:val="TableHeading1"/>
              <w:spacing w:before="0"/>
              <w:jc w:val="center"/>
              <w:cnfStyle w:val="100000000000" w:firstRow="1" w:lastRow="0" w:firstColumn="0" w:lastColumn="0" w:oddVBand="0" w:evenVBand="0" w:oddHBand="0" w:evenHBand="0" w:firstRowFirstColumn="0" w:firstRowLastColumn="0" w:lastRowFirstColumn="0" w:lastRowLastColumn="0"/>
            </w:pPr>
            <w:r w:rsidRPr="002E1AF2">
              <w:t>ACT</w:t>
            </w:r>
            <w:r w:rsidRPr="002E1AF2">
              <w:br/>
              <w:t>ACTES</w:t>
            </w:r>
          </w:p>
        </w:tc>
        <w:tc>
          <w:tcPr>
            <w:tcW w:w="833" w:type="dxa"/>
            <w:noWrap/>
            <w:hideMark/>
          </w:tcPr>
          <w:p w14:paraId="7DB1B6C3" w14:textId="77777777" w:rsidR="008845A2" w:rsidRPr="002E1AF2" w:rsidRDefault="008845A2" w:rsidP="00C576AA">
            <w:pPr>
              <w:pStyle w:val="TableHeading1"/>
              <w:spacing w:before="0"/>
              <w:jc w:val="center"/>
              <w:cnfStyle w:val="100000000000" w:firstRow="1" w:lastRow="0" w:firstColumn="0" w:lastColumn="0" w:oddVBand="0" w:evenVBand="0" w:oddHBand="0" w:evenHBand="0" w:firstRowFirstColumn="0" w:firstRowLastColumn="0" w:lastRowFirstColumn="0" w:lastRowLastColumn="0"/>
            </w:pPr>
            <w:r w:rsidRPr="002E1AF2">
              <w:t>NT</w:t>
            </w:r>
            <w:r w:rsidRPr="002E1AF2">
              <w:br/>
              <w:t>TEP</w:t>
            </w:r>
          </w:p>
        </w:tc>
        <w:tc>
          <w:tcPr>
            <w:tcW w:w="833" w:type="dxa"/>
            <w:noWrap/>
            <w:hideMark/>
          </w:tcPr>
          <w:p w14:paraId="25BD5266" w14:textId="67CB43D3" w:rsidR="008845A2" w:rsidRPr="002E1AF2" w:rsidRDefault="008845A2" w:rsidP="00C576AA">
            <w:pPr>
              <w:pStyle w:val="TableHeading1"/>
              <w:spacing w:before="0"/>
              <w:jc w:val="center"/>
              <w:cnfStyle w:val="100000000000" w:firstRow="1" w:lastRow="0" w:firstColumn="0" w:lastColumn="0" w:oddVBand="0" w:evenVBand="0" w:oddHBand="0" w:evenHBand="0" w:firstRowFirstColumn="0" w:firstRowLastColumn="0" w:lastRowFirstColumn="0" w:lastRowLastColumn="0"/>
            </w:pPr>
            <w:r w:rsidRPr="002E1AF2">
              <w:t>NSW</w:t>
            </w:r>
            <w:r w:rsidRPr="002E1AF2">
              <w:br/>
              <w:t>Enable</w:t>
            </w:r>
            <w:r w:rsidR="00E57F6B">
              <w:t>‌</w:t>
            </w:r>
            <w:r w:rsidRPr="002E1AF2">
              <w:t>NSW</w:t>
            </w:r>
          </w:p>
        </w:tc>
        <w:tc>
          <w:tcPr>
            <w:tcW w:w="832" w:type="dxa"/>
            <w:noWrap/>
            <w:hideMark/>
          </w:tcPr>
          <w:p w14:paraId="6B0EDAC2" w14:textId="77777777" w:rsidR="008845A2" w:rsidRPr="002E1AF2" w:rsidRDefault="008845A2" w:rsidP="00C576AA">
            <w:pPr>
              <w:pStyle w:val="TableHeading1"/>
              <w:spacing w:before="0"/>
              <w:jc w:val="center"/>
              <w:cnfStyle w:val="100000000000" w:firstRow="1" w:lastRow="0" w:firstColumn="0" w:lastColumn="0" w:oddVBand="0" w:evenVBand="0" w:oddHBand="0" w:evenHBand="0" w:firstRowFirstColumn="0" w:firstRowLastColumn="0" w:lastRowFirstColumn="0" w:lastRowLastColumn="0"/>
            </w:pPr>
            <w:r w:rsidRPr="002E1AF2">
              <w:t>Qld</w:t>
            </w:r>
            <w:r w:rsidRPr="002E1AF2">
              <w:br/>
              <w:t>MASS</w:t>
            </w:r>
          </w:p>
        </w:tc>
        <w:tc>
          <w:tcPr>
            <w:tcW w:w="833" w:type="dxa"/>
            <w:noWrap/>
            <w:hideMark/>
          </w:tcPr>
          <w:p w14:paraId="33EB3E29" w14:textId="73328783" w:rsidR="008845A2" w:rsidRPr="002E1AF2" w:rsidRDefault="008845A2" w:rsidP="00C576AA">
            <w:pPr>
              <w:pStyle w:val="TableHeading1"/>
              <w:spacing w:before="0"/>
              <w:jc w:val="center"/>
              <w:cnfStyle w:val="100000000000" w:firstRow="1" w:lastRow="0" w:firstColumn="0" w:lastColumn="0" w:oddVBand="0" w:evenVBand="0" w:oddHBand="0" w:evenHBand="0" w:firstRowFirstColumn="0" w:firstRowLastColumn="0" w:lastRowFirstColumn="0" w:lastRowLastColumn="0"/>
            </w:pPr>
            <w:r w:rsidRPr="002E1AF2">
              <w:t>Tas*</w:t>
            </w:r>
            <w:r w:rsidRPr="002E1AF2">
              <w:br/>
              <w:t>Tas</w:t>
            </w:r>
            <w:r w:rsidR="00E57F6B">
              <w:t>‌</w:t>
            </w:r>
            <w:r w:rsidRPr="002E1AF2">
              <w:t>Equip</w:t>
            </w:r>
          </w:p>
        </w:tc>
        <w:tc>
          <w:tcPr>
            <w:tcW w:w="833" w:type="dxa"/>
            <w:noWrap/>
            <w:hideMark/>
          </w:tcPr>
          <w:p w14:paraId="62BC8422" w14:textId="77777777" w:rsidR="008845A2" w:rsidRPr="002E1AF2" w:rsidRDefault="008845A2" w:rsidP="00C576AA">
            <w:pPr>
              <w:pStyle w:val="TableHeading1"/>
              <w:spacing w:before="0"/>
              <w:jc w:val="center"/>
              <w:cnfStyle w:val="100000000000" w:firstRow="1" w:lastRow="0" w:firstColumn="0" w:lastColumn="0" w:oddVBand="0" w:evenVBand="0" w:oddHBand="0" w:evenHBand="0" w:firstRowFirstColumn="0" w:firstRowLastColumn="0" w:lastRowFirstColumn="0" w:lastRowLastColumn="0"/>
            </w:pPr>
            <w:r w:rsidRPr="002E1AF2">
              <w:t>SA</w:t>
            </w:r>
            <w:r w:rsidRPr="002E1AF2">
              <w:br/>
              <w:t>DES</w:t>
            </w:r>
          </w:p>
        </w:tc>
        <w:tc>
          <w:tcPr>
            <w:tcW w:w="833" w:type="dxa"/>
            <w:noWrap/>
            <w:hideMark/>
          </w:tcPr>
          <w:p w14:paraId="7525F300" w14:textId="77777777" w:rsidR="008845A2" w:rsidRPr="002E1AF2" w:rsidRDefault="008845A2" w:rsidP="00C576AA">
            <w:pPr>
              <w:pStyle w:val="TableHeading1"/>
              <w:spacing w:before="0"/>
              <w:jc w:val="center"/>
              <w:cnfStyle w:val="100000000000" w:firstRow="1" w:lastRow="0" w:firstColumn="0" w:lastColumn="0" w:oddVBand="0" w:evenVBand="0" w:oddHBand="0" w:evenHBand="0" w:firstRowFirstColumn="0" w:firstRowLastColumn="0" w:lastRowFirstColumn="0" w:lastRowLastColumn="0"/>
            </w:pPr>
            <w:r w:rsidRPr="002E1AF2">
              <w:t>WA*</w:t>
            </w:r>
            <w:r w:rsidRPr="002E1AF2">
              <w:br/>
              <w:t>CAEP</w:t>
            </w:r>
          </w:p>
        </w:tc>
      </w:tr>
      <w:tr w:rsidR="00B303C0" w14:paraId="0478CBFD" w14:textId="77777777" w:rsidTr="00E57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82031BA" w14:textId="77777777" w:rsidR="00B303C0" w:rsidRPr="00696A04" w:rsidRDefault="00B303C0" w:rsidP="00B303C0">
            <w:pPr>
              <w:spacing w:after="40"/>
            </w:pPr>
            <w:r w:rsidRPr="00696A04">
              <w:t>Aids for vision and hearing</w:t>
            </w:r>
          </w:p>
        </w:tc>
        <w:tc>
          <w:tcPr>
            <w:tcW w:w="832" w:type="dxa"/>
            <w:noWrap/>
            <w:hideMark/>
          </w:tcPr>
          <w:p w14:paraId="76207519" w14:textId="4C5F7976"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sidRPr="00B303C0">
              <w:rPr>
                <w:rFonts w:cstheme="minorHAnsi"/>
              </w:rPr>
              <w:t>Yes</w:t>
            </w:r>
          </w:p>
        </w:tc>
        <w:tc>
          <w:tcPr>
            <w:tcW w:w="833" w:type="dxa"/>
            <w:noWrap/>
            <w:hideMark/>
          </w:tcPr>
          <w:p w14:paraId="563939B1" w14:textId="46E355F8"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6C670DA5" w14:textId="1EB40490"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488364AF" w14:textId="4FFB8E4B"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2" w:type="dxa"/>
            <w:noWrap/>
            <w:hideMark/>
          </w:tcPr>
          <w:p w14:paraId="73BA5D38" w14:textId="7B28C6F5"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4F9730C4" w14:textId="0AE72C65"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7636C01E" w14:textId="26673C7C"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2D7534D6" w14:textId="3CAAA8CD"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r>
      <w:tr w:rsidR="00B303C0" w14:paraId="49122DA8" w14:textId="77777777" w:rsidTr="00E57F6B">
        <w:tc>
          <w:tcPr>
            <w:cnfStyle w:val="001000000000" w:firstRow="0" w:lastRow="0" w:firstColumn="1" w:lastColumn="0" w:oddVBand="0" w:evenVBand="0" w:oddHBand="0" w:evenHBand="0" w:firstRowFirstColumn="0" w:firstRowLastColumn="0" w:lastRowFirstColumn="0" w:lastRowLastColumn="0"/>
            <w:tcW w:w="2977" w:type="dxa"/>
            <w:noWrap/>
            <w:hideMark/>
          </w:tcPr>
          <w:p w14:paraId="29365F03" w14:textId="77777777" w:rsidR="00B303C0" w:rsidRPr="00696A04" w:rsidRDefault="00B303C0" w:rsidP="00B303C0">
            <w:pPr>
              <w:spacing w:after="40"/>
            </w:pPr>
            <w:r w:rsidRPr="00696A04">
              <w:t>Bathing, showering and toileting</w:t>
            </w:r>
          </w:p>
        </w:tc>
        <w:tc>
          <w:tcPr>
            <w:tcW w:w="832" w:type="dxa"/>
            <w:noWrap/>
            <w:hideMark/>
          </w:tcPr>
          <w:p w14:paraId="25E7AF1D" w14:textId="61C25F18"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4435A7C7" w14:textId="05CF8938"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597258A1" w14:textId="0FBC53F8"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12BF0271" w14:textId="33ADECA9"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2" w:type="dxa"/>
            <w:noWrap/>
            <w:hideMark/>
          </w:tcPr>
          <w:p w14:paraId="44CD5662" w14:textId="3104F920"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1477C353" w14:textId="7DED6278"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518CF2D6" w14:textId="4D0E88FE"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274CD19D" w14:textId="75487FEF"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r>
      <w:tr w:rsidR="00B303C0" w14:paraId="2FFADB61" w14:textId="77777777" w:rsidTr="00E57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96E53A8" w14:textId="77777777" w:rsidR="00B303C0" w:rsidRPr="00696A04" w:rsidRDefault="00B303C0" w:rsidP="00B303C0">
            <w:pPr>
              <w:spacing w:after="40"/>
            </w:pPr>
            <w:r w:rsidRPr="00696A04">
              <w:t>Communication speak, read and listen</w:t>
            </w:r>
          </w:p>
        </w:tc>
        <w:tc>
          <w:tcPr>
            <w:tcW w:w="832" w:type="dxa"/>
            <w:noWrap/>
            <w:hideMark/>
          </w:tcPr>
          <w:p w14:paraId="788C34C3" w14:textId="419AEBFD"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35D109C9" w14:textId="5298C992"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t>No</w:t>
            </w:r>
          </w:p>
        </w:tc>
        <w:tc>
          <w:tcPr>
            <w:tcW w:w="833" w:type="dxa"/>
            <w:noWrap/>
            <w:hideMark/>
          </w:tcPr>
          <w:p w14:paraId="2F71420E" w14:textId="3A43ED3A"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26FFEB5A" w14:textId="5D4B6DA0"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2" w:type="dxa"/>
            <w:noWrap/>
            <w:hideMark/>
          </w:tcPr>
          <w:p w14:paraId="42F4B47C" w14:textId="33174013"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40BCDC41" w14:textId="3DDF5419"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285A6FF9" w14:textId="49744F98"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30866C70" w14:textId="06F3A91E"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r>
      <w:tr w:rsidR="00B303C0" w14:paraId="26E45DDC" w14:textId="77777777" w:rsidTr="00E57F6B">
        <w:tc>
          <w:tcPr>
            <w:cnfStyle w:val="001000000000" w:firstRow="0" w:lastRow="0" w:firstColumn="1" w:lastColumn="0" w:oddVBand="0" w:evenVBand="0" w:oddHBand="0" w:evenHBand="0" w:firstRowFirstColumn="0" w:firstRowLastColumn="0" w:lastRowFirstColumn="0" w:lastRowLastColumn="0"/>
            <w:tcW w:w="2977" w:type="dxa"/>
            <w:noWrap/>
            <w:hideMark/>
          </w:tcPr>
          <w:p w14:paraId="45BEF825" w14:textId="77777777" w:rsidR="00B303C0" w:rsidRPr="00696A04" w:rsidRDefault="00B303C0" w:rsidP="00B303C0">
            <w:pPr>
              <w:spacing w:after="40"/>
            </w:pPr>
            <w:r w:rsidRPr="00696A04">
              <w:t>Computer access</w:t>
            </w:r>
          </w:p>
        </w:tc>
        <w:tc>
          <w:tcPr>
            <w:tcW w:w="832" w:type="dxa"/>
            <w:noWrap/>
            <w:hideMark/>
          </w:tcPr>
          <w:p w14:paraId="4A429076" w14:textId="2126577C"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76ACE3B8" w14:textId="599A30CE"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61A8F66A" w14:textId="3E743F23"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2A0221FE" w14:textId="7A1CC0E2"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2" w:type="dxa"/>
            <w:noWrap/>
            <w:hideMark/>
          </w:tcPr>
          <w:p w14:paraId="2EDECCD0" w14:textId="48D659FC"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3464229A" w14:textId="5657B6F0"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00903C06" w14:textId="7B7ADA5C"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385B6FFF" w14:textId="134D7739"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r>
      <w:tr w:rsidR="00B303C0" w14:paraId="56CB575B" w14:textId="77777777" w:rsidTr="00E57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1F18628" w14:textId="77777777" w:rsidR="00B303C0" w:rsidRPr="00696A04" w:rsidRDefault="00B303C0" w:rsidP="00B303C0">
            <w:pPr>
              <w:spacing w:after="40"/>
            </w:pPr>
            <w:r w:rsidRPr="00696A04">
              <w:t>Continence products</w:t>
            </w:r>
          </w:p>
        </w:tc>
        <w:tc>
          <w:tcPr>
            <w:tcW w:w="832" w:type="dxa"/>
            <w:noWrap/>
            <w:hideMark/>
          </w:tcPr>
          <w:p w14:paraId="49B48013" w14:textId="3A453910"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2CA2470C" w14:textId="58D83AE2"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688C71A5" w14:textId="138CF275"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6EF0C26C" w14:textId="6A51E830"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2" w:type="dxa"/>
            <w:noWrap/>
            <w:hideMark/>
          </w:tcPr>
          <w:p w14:paraId="255F9043" w14:textId="777E669B"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5E2E2AE3" w14:textId="1460FA6F"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2C302A6C" w14:textId="147D4668"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4ED8308C" w14:textId="6F022B50"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r>
      <w:tr w:rsidR="00B303C0" w14:paraId="4F12CB27" w14:textId="77777777" w:rsidTr="00E57F6B">
        <w:tc>
          <w:tcPr>
            <w:cnfStyle w:val="001000000000" w:firstRow="0" w:lastRow="0" w:firstColumn="1" w:lastColumn="0" w:oddVBand="0" w:evenVBand="0" w:oddHBand="0" w:evenHBand="0" w:firstRowFirstColumn="0" w:firstRowLastColumn="0" w:lastRowFirstColumn="0" w:lastRowLastColumn="0"/>
            <w:tcW w:w="2977" w:type="dxa"/>
            <w:noWrap/>
            <w:hideMark/>
          </w:tcPr>
          <w:p w14:paraId="51E3187F" w14:textId="77777777" w:rsidR="00B303C0" w:rsidRPr="00696A04" w:rsidRDefault="00B303C0" w:rsidP="00B303C0">
            <w:pPr>
              <w:spacing w:after="40"/>
            </w:pPr>
            <w:r w:rsidRPr="00696A04">
              <w:t>Design and building for access and safety</w:t>
            </w:r>
          </w:p>
        </w:tc>
        <w:tc>
          <w:tcPr>
            <w:tcW w:w="832" w:type="dxa"/>
            <w:noWrap/>
            <w:hideMark/>
          </w:tcPr>
          <w:p w14:paraId="102FA332" w14:textId="770330B4"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0E946D97" w14:textId="7817A091"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6F3CE4B6" w14:textId="006DC1FA"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0E1F166D" w14:textId="4AFAA2FF"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2" w:type="dxa"/>
            <w:noWrap/>
            <w:hideMark/>
          </w:tcPr>
          <w:p w14:paraId="59AC1442" w14:textId="3987E1E6"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39921ED0" w14:textId="5AE8C3D7"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35B4EE8D" w14:textId="5A8FA7F0"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79305AA8" w14:textId="61ABB3A0"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r>
      <w:tr w:rsidR="00B303C0" w14:paraId="222F186E" w14:textId="77777777" w:rsidTr="00E57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1F087535" w14:textId="42B8A4F3" w:rsidR="00B303C0" w:rsidRPr="00696A04" w:rsidRDefault="00B303C0" w:rsidP="00B303C0">
            <w:pPr>
              <w:spacing w:after="40"/>
            </w:pPr>
            <w:r>
              <w:t>Driving</w:t>
            </w:r>
          </w:p>
        </w:tc>
        <w:tc>
          <w:tcPr>
            <w:tcW w:w="832" w:type="dxa"/>
            <w:noWrap/>
            <w:hideMark/>
          </w:tcPr>
          <w:p w14:paraId="22852429" w14:textId="7CC82B81"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68C8EB52" w14:textId="58AC74D7"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7EF88BFE" w14:textId="27D0DA35"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201F7BFF" w14:textId="21AD5365"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2" w:type="dxa"/>
            <w:noWrap/>
            <w:hideMark/>
          </w:tcPr>
          <w:p w14:paraId="72E4AEB0" w14:textId="6A3FED11"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4A0E99F6" w14:textId="2D96E43A"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2D354E4E" w14:textId="6D9A585F"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7109DB4D" w14:textId="277B2979"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r>
      <w:tr w:rsidR="00B303C0" w14:paraId="61392D85" w14:textId="77777777" w:rsidTr="00E57F6B">
        <w:tc>
          <w:tcPr>
            <w:cnfStyle w:val="001000000000" w:firstRow="0" w:lastRow="0" w:firstColumn="1" w:lastColumn="0" w:oddVBand="0" w:evenVBand="0" w:oddHBand="0" w:evenHBand="0" w:firstRowFirstColumn="0" w:firstRowLastColumn="0" w:lastRowFirstColumn="0" w:lastRowLastColumn="0"/>
            <w:tcW w:w="2977" w:type="dxa"/>
            <w:noWrap/>
            <w:hideMark/>
          </w:tcPr>
          <w:p w14:paraId="03C8E664" w14:textId="77777777" w:rsidR="00B303C0" w:rsidRPr="00696A04" w:rsidRDefault="00B303C0" w:rsidP="00B303C0">
            <w:pPr>
              <w:spacing w:after="40"/>
            </w:pPr>
            <w:r w:rsidRPr="00696A04">
              <w:t>Eating and drinking</w:t>
            </w:r>
          </w:p>
        </w:tc>
        <w:tc>
          <w:tcPr>
            <w:tcW w:w="832" w:type="dxa"/>
            <w:noWrap/>
            <w:hideMark/>
          </w:tcPr>
          <w:p w14:paraId="4D3B472B" w14:textId="35605B08"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76262957" w14:textId="7560FCE1"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310CDDF3" w14:textId="18B0FDC9"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55AB8A1E" w14:textId="29CFB850"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2" w:type="dxa"/>
            <w:noWrap/>
            <w:hideMark/>
          </w:tcPr>
          <w:p w14:paraId="30DE8EBF" w14:textId="2F23E1B7"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6516F3CD" w14:textId="5213D636"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3C93E513" w14:textId="1836991F"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10C7EF6F" w14:textId="4EA94652"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r>
      <w:tr w:rsidR="00B303C0" w14:paraId="333E28C6" w14:textId="77777777" w:rsidTr="00E57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99429FF" w14:textId="77777777" w:rsidR="00B303C0" w:rsidRPr="00696A04" w:rsidRDefault="00B303C0" w:rsidP="00B303C0">
            <w:pPr>
              <w:spacing w:after="40"/>
            </w:pPr>
            <w:r w:rsidRPr="00696A04">
              <w:t>Kitchen and household tasks</w:t>
            </w:r>
          </w:p>
        </w:tc>
        <w:tc>
          <w:tcPr>
            <w:tcW w:w="832" w:type="dxa"/>
            <w:noWrap/>
            <w:hideMark/>
          </w:tcPr>
          <w:p w14:paraId="741BFDF1" w14:textId="7D8CCF7E"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70E9EC60" w14:textId="70932A5C"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591E1962" w14:textId="27A61987"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72C09DD7" w14:textId="46CA8321"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2" w:type="dxa"/>
            <w:noWrap/>
            <w:hideMark/>
          </w:tcPr>
          <w:p w14:paraId="627427C1" w14:textId="4BF659E0"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1D2611A0" w14:textId="47D58818"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587ED9ED" w14:textId="68FBD681"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157B38C9" w14:textId="66C3BE59"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r>
      <w:tr w:rsidR="00B303C0" w14:paraId="66AA0A85" w14:textId="77777777" w:rsidTr="00E57F6B">
        <w:tc>
          <w:tcPr>
            <w:cnfStyle w:val="001000000000" w:firstRow="0" w:lastRow="0" w:firstColumn="1" w:lastColumn="0" w:oddVBand="0" w:evenVBand="0" w:oddHBand="0" w:evenHBand="0" w:firstRowFirstColumn="0" w:firstRowLastColumn="0" w:lastRowFirstColumn="0" w:lastRowLastColumn="0"/>
            <w:tcW w:w="2977" w:type="dxa"/>
            <w:noWrap/>
            <w:hideMark/>
          </w:tcPr>
          <w:p w14:paraId="72AEFEC8" w14:textId="77777777" w:rsidR="00B303C0" w:rsidRPr="00696A04" w:rsidRDefault="00B303C0" w:rsidP="00B303C0">
            <w:pPr>
              <w:spacing w:after="40"/>
            </w:pPr>
            <w:r w:rsidRPr="00696A04">
              <w:t>Lifting and transferring people</w:t>
            </w:r>
          </w:p>
        </w:tc>
        <w:tc>
          <w:tcPr>
            <w:tcW w:w="832" w:type="dxa"/>
            <w:noWrap/>
            <w:hideMark/>
          </w:tcPr>
          <w:p w14:paraId="3E712A1B" w14:textId="461FB09E"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16691392" w14:textId="79CB2052"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58207FA2" w14:textId="25DA607B"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71CD6182" w14:textId="2B6F4F42"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2" w:type="dxa"/>
            <w:noWrap/>
            <w:hideMark/>
          </w:tcPr>
          <w:p w14:paraId="6F22BB80" w14:textId="09B684CD"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22800055" w14:textId="49300CB7"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239986D6" w14:textId="55CB1FEF"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53D67DEF" w14:textId="279A31F5"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r>
      <w:tr w:rsidR="00B303C0" w14:paraId="54C160AF" w14:textId="77777777" w:rsidTr="00E57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21D347E0" w14:textId="77777777" w:rsidR="00B303C0" w:rsidRPr="00696A04" w:rsidRDefault="00B303C0" w:rsidP="00B303C0">
            <w:pPr>
              <w:spacing w:after="40"/>
            </w:pPr>
            <w:r w:rsidRPr="00696A04">
              <w:t>Personal care and dressing</w:t>
            </w:r>
          </w:p>
        </w:tc>
        <w:tc>
          <w:tcPr>
            <w:tcW w:w="832" w:type="dxa"/>
            <w:noWrap/>
            <w:hideMark/>
          </w:tcPr>
          <w:p w14:paraId="41792608" w14:textId="1ED21DBD"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5FB4C996" w14:textId="076F8A2C"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35A660AD" w14:textId="73F756B1"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4AD796E0" w14:textId="2C6516C7"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2" w:type="dxa"/>
            <w:noWrap/>
            <w:hideMark/>
          </w:tcPr>
          <w:p w14:paraId="4BC3FAE6" w14:textId="25E87371"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387D1622" w14:textId="0CEEFCF4"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31C6E241" w14:textId="361E275E"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35E2B187" w14:textId="68AA95F7"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r>
      <w:tr w:rsidR="00B303C0" w14:paraId="301BBE1A" w14:textId="77777777" w:rsidTr="00E57F6B">
        <w:tc>
          <w:tcPr>
            <w:cnfStyle w:val="001000000000" w:firstRow="0" w:lastRow="0" w:firstColumn="1" w:lastColumn="0" w:oddVBand="0" w:evenVBand="0" w:oddHBand="0" w:evenHBand="0" w:firstRowFirstColumn="0" w:firstRowLastColumn="0" w:lastRowFirstColumn="0" w:lastRowLastColumn="0"/>
            <w:tcW w:w="2977" w:type="dxa"/>
            <w:noWrap/>
            <w:hideMark/>
          </w:tcPr>
          <w:p w14:paraId="7E75A1EF" w14:textId="77777777" w:rsidR="00B303C0" w:rsidRPr="00696A04" w:rsidRDefault="00B303C0" w:rsidP="00B303C0">
            <w:pPr>
              <w:spacing w:after="40"/>
            </w:pPr>
            <w:r w:rsidRPr="00696A04">
              <w:t>Scooters, wheelchairs and wheeled mobility</w:t>
            </w:r>
          </w:p>
        </w:tc>
        <w:tc>
          <w:tcPr>
            <w:tcW w:w="832" w:type="dxa"/>
            <w:noWrap/>
            <w:hideMark/>
          </w:tcPr>
          <w:p w14:paraId="01D24C75" w14:textId="4D9F6590"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7BCBD714" w14:textId="0F82D71E"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56070B69" w14:textId="2CEBB12B"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674D9056" w14:textId="23F7F8CD"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2" w:type="dxa"/>
            <w:noWrap/>
            <w:hideMark/>
          </w:tcPr>
          <w:p w14:paraId="25A7213D" w14:textId="44CDC580"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17B2ED84" w14:textId="2F3FD6D9"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464E97F3" w14:textId="20E4FC2D"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50282B8E" w14:textId="1A8A85F8"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r>
      <w:tr w:rsidR="00B303C0" w14:paraId="5A93B773" w14:textId="77777777" w:rsidTr="00E57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358CB48" w14:textId="77777777" w:rsidR="00B303C0" w:rsidRPr="00696A04" w:rsidRDefault="00B303C0" w:rsidP="00B303C0">
            <w:pPr>
              <w:spacing w:after="40"/>
            </w:pPr>
            <w:r w:rsidRPr="00696A04">
              <w:t>Seating, sleeping and body support</w:t>
            </w:r>
          </w:p>
        </w:tc>
        <w:tc>
          <w:tcPr>
            <w:tcW w:w="832" w:type="dxa"/>
            <w:noWrap/>
            <w:hideMark/>
          </w:tcPr>
          <w:p w14:paraId="707B48D8" w14:textId="3EDA5FA5"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44A66F71" w14:textId="7EADC327"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400E2E53" w14:textId="77A275B0"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7B13EBAF" w14:textId="7B63AA40"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2" w:type="dxa"/>
            <w:noWrap/>
            <w:hideMark/>
          </w:tcPr>
          <w:p w14:paraId="464587FE" w14:textId="19C45A34"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747EF901" w14:textId="104F278D"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4623A47B" w14:textId="530001C7"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6069EC1B" w14:textId="55BA2697"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r>
      <w:tr w:rsidR="00B303C0" w14:paraId="598F56C9" w14:textId="77777777" w:rsidTr="00E57F6B">
        <w:tc>
          <w:tcPr>
            <w:cnfStyle w:val="001000000000" w:firstRow="0" w:lastRow="0" w:firstColumn="1" w:lastColumn="0" w:oddVBand="0" w:evenVBand="0" w:oddHBand="0" w:evenHBand="0" w:firstRowFirstColumn="0" w:firstRowLastColumn="0" w:lastRowFirstColumn="0" w:lastRowLastColumn="0"/>
            <w:tcW w:w="2977" w:type="dxa"/>
            <w:noWrap/>
            <w:hideMark/>
          </w:tcPr>
          <w:p w14:paraId="6FF1A957" w14:textId="77777777" w:rsidR="00B303C0" w:rsidRPr="00696A04" w:rsidRDefault="00B303C0" w:rsidP="00B303C0">
            <w:pPr>
              <w:spacing w:after="40"/>
            </w:pPr>
            <w:r w:rsidRPr="00696A04">
              <w:t>Standing aids</w:t>
            </w:r>
          </w:p>
        </w:tc>
        <w:tc>
          <w:tcPr>
            <w:tcW w:w="832" w:type="dxa"/>
            <w:noWrap/>
            <w:hideMark/>
          </w:tcPr>
          <w:p w14:paraId="24FA6465" w14:textId="3B567DD3"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34EA3ED9" w14:textId="4690A43B"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1979E19A" w14:textId="3953326D"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73D09175" w14:textId="693909C4"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2" w:type="dxa"/>
            <w:noWrap/>
            <w:hideMark/>
          </w:tcPr>
          <w:p w14:paraId="23691E68" w14:textId="323C1025"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12C03AA6" w14:textId="65BF9130"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7396B4FD" w14:textId="035BACFB"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77AA4112" w14:textId="6D4EB841"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r>
      <w:tr w:rsidR="00B303C0" w14:paraId="0EE37C03" w14:textId="77777777" w:rsidTr="00E57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B01319C" w14:textId="77777777" w:rsidR="00B303C0" w:rsidRPr="00696A04" w:rsidRDefault="00B303C0" w:rsidP="00B303C0">
            <w:pPr>
              <w:spacing w:after="40"/>
            </w:pPr>
            <w:r w:rsidRPr="00696A04">
              <w:t>Switches and remote controls</w:t>
            </w:r>
          </w:p>
        </w:tc>
        <w:tc>
          <w:tcPr>
            <w:tcW w:w="832" w:type="dxa"/>
            <w:noWrap/>
            <w:hideMark/>
          </w:tcPr>
          <w:p w14:paraId="27D930A6" w14:textId="16E4BC5B"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522C1743" w14:textId="69218C50"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00853FB5" w14:textId="7CA007FC"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12E9B87B" w14:textId="3CC1B47B"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2" w:type="dxa"/>
            <w:noWrap/>
            <w:hideMark/>
          </w:tcPr>
          <w:p w14:paraId="2B57033A" w14:textId="6A1BB204"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4423A46B" w14:textId="7EE21028"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266784FC" w14:textId="1BFD444B"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6C658D1D" w14:textId="3571324F"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r>
      <w:tr w:rsidR="00B303C0" w14:paraId="5A39710D" w14:textId="77777777" w:rsidTr="00E57F6B">
        <w:tc>
          <w:tcPr>
            <w:cnfStyle w:val="001000000000" w:firstRow="0" w:lastRow="0" w:firstColumn="1" w:lastColumn="0" w:oddVBand="0" w:evenVBand="0" w:oddHBand="0" w:evenHBand="0" w:firstRowFirstColumn="0" w:firstRowLastColumn="0" w:lastRowFirstColumn="0" w:lastRowLastColumn="0"/>
            <w:tcW w:w="2977" w:type="dxa"/>
            <w:noWrap/>
            <w:hideMark/>
          </w:tcPr>
          <w:p w14:paraId="481936E9" w14:textId="77777777" w:rsidR="00B303C0" w:rsidRPr="00696A04" w:rsidRDefault="00B303C0" w:rsidP="00B303C0">
            <w:pPr>
              <w:spacing w:after="40"/>
            </w:pPr>
            <w:r w:rsidRPr="00696A04">
              <w:t>Telephones, intercoms and call systems</w:t>
            </w:r>
          </w:p>
        </w:tc>
        <w:tc>
          <w:tcPr>
            <w:tcW w:w="832" w:type="dxa"/>
            <w:noWrap/>
            <w:hideMark/>
          </w:tcPr>
          <w:p w14:paraId="0A5C6EDA" w14:textId="7B071876"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17154B62" w14:textId="3E14AAE8"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26F9AC32" w14:textId="34FE770C"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534FB97A" w14:textId="5E2179AA"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2" w:type="dxa"/>
            <w:noWrap/>
            <w:hideMark/>
          </w:tcPr>
          <w:p w14:paraId="348B69D1" w14:textId="63E3678B"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6367515D" w14:textId="20EE9C56"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0DA93FD8" w14:textId="2C4FCF92"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3102F9E4" w14:textId="45DEE2AB"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r>
      <w:tr w:rsidR="00B303C0" w14:paraId="3FB19563" w14:textId="77777777" w:rsidTr="00E57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8B2D5AA" w14:textId="2DF01A60" w:rsidR="00B303C0" w:rsidRPr="00696A04" w:rsidRDefault="00B303C0" w:rsidP="00B303C0">
            <w:pPr>
              <w:spacing w:after="40"/>
            </w:pPr>
            <w:r w:rsidRPr="00696A04">
              <w:t>Vehicles</w:t>
            </w:r>
          </w:p>
        </w:tc>
        <w:tc>
          <w:tcPr>
            <w:tcW w:w="832" w:type="dxa"/>
            <w:noWrap/>
            <w:hideMark/>
          </w:tcPr>
          <w:p w14:paraId="2FBBC1B6" w14:textId="100FCF76"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51032C9F" w14:textId="49DCE47E"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01D3B0DF" w14:textId="5AAEC604"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31351E13" w14:textId="3233D3E6"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2" w:type="dxa"/>
            <w:noWrap/>
            <w:hideMark/>
          </w:tcPr>
          <w:p w14:paraId="5DCF882F" w14:textId="64F57A96"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7DA85647" w14:textId="1A4E9D70"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3E02CE84" w14:textId="3E9FB53C"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0CB96703" w14:textId="50ED20E7"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r>
      <w:tr w:rsidR="00B303C0" w14:paraId="749834FD" w14:textId="77777777" w:rsidTr="00E57F6B">
        <w:tc>
          <w:tcPr>
            <w:cnfStyle w:val="001000000000" w:firstRow="0" w:lastRow="0" w:firstColumn="1" w:lastColumn="0" w:oddVBand="0" w:evenVBand="0" w:oddHBand="0" w:evenHBand="0" w:firstRowFirstColumn="0" w:firstRowLastColumn="0" w:lastRowFirstColumn="0" w:lastRowLastColumn="0"/>
            <w:tcW w:w="2977" w:type="dxa"/>
            <w:noWrap/>
            <w:hideMark/>
          </w:tcPr>
          <w:p w14:paraId="1ABCD2C1" w14:textId="77777777" w:rsidR="00B303C0" w:rsidRPr="00696A04" w:rsidRDefault="00B303C0" w:rsidP="00B303C0">
            <w:pPr>
              <w:spacing w:after="40"/>
            </w:pPr>
            <w:r w:rsidRPr="00696A04">
              <w:t>Walking aids</w:t>
            </w:r>
          </w:p>
        </w:tc>
        <w:tc>
          <w:tcPr>
            <w:tcW w:w="832" w:type="dxa"/>
            <w:noWrap/>
            <w:hideMark/>
          </w:tcPr>
          <w:p w14:paraId="58EDFD25" w14:textId="2ACAA2CF"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3D1555C6" w14:textId="0C5B96DD"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768864E4" w14:textId="01FA8ED8"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69938878" w14:textId="27D9273E"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2" w:type="dxa"/>
            <w:noWrap/>
            <w:hideMark/>
          </w:tcPr>
          <w:p w14:paraId="5BE7575B" w14:textId="6D191764"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550F3040" w14:textId="6C4B6600"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c>
          <w:tcPr>
            <w:tcW w:w="833" w:type="dxa"/>
            <w:noWrap/>
            <w:hideMark/>
          </w:tcPr>
          <w:p w14:paraId="42BADA32" w14:textId="6EC4633A" w:rsidR="00B303C0" w:rsidRPr="00B303C0" w:rsidRDefault="00B303C0" w:rsidP="00B303C0">
            <w:pPr>
              <w:pStyle w:val="TableText"/>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833" w:type="dxa"/>
            <w:noWrap/>
            <w:hideMark/>
          </w:tcPr>
          <w:p w14:paraId="15518CEE" w14:textId="277FBBF3" w:rsidR="00B303C0" w:rsidRPr="00B303C0" w:rsidRDefault="00B11C7D" w:rsidP="00B11C7D">
            <w:pPr>
              <w:pStyle w:val="Invisible"/>
              <w:cnfStyle w:val="000000000000" w:firstRow="0" w:lastRow="0" w:firstColumn="0" w:lastColumn="0" w:oddVBand="0" w:evenVBand="0" w:oddHBand="0" w:evenHBand="0" w:firstRowFirstColumn="0" w:firstRowLastColumn="0" w:lastRowFirstColumn="0" w:lastRowLastColumn="0"/>
            </w:pPr>
            <w:r>
              <w:rPr>
                <w:rFonts w:cstheme="minorHAnsi"/>
              </w:rPr>
              <w:t>No</w:t>
            </w:r>
          </w:p>
        </w:tc>
      </w:tr>
      <w:tr w:rsidR="00B303C0" w14:paraId="0957CBBE" w14:textId="77777777" w:rsidTr="00E57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0E35C666" w14:textId="0195890A" w:rsidR="00B303C0" w:rsidRPr="00696A04" w:rsidRDefault="00B303C0" w:rsidP="00B303C0">
            <w:pPr>
              <w:spacing w:after="40"/>
            </w:pPr>
            <w:r w:rsidRPr="00696A04">
              <w:t>Prosthesis</w:t>
            </w:r>
            <w:r>
              <w:t xml:space="preserve"> and/or Orthosis</w:t>
            </w:r>
          </w:p>
        </w:tc>
        <w:tc>
          <w:tcPr>
            <w:tcW w:w="832" w:type="dxa"/>
            <w:noWrap/>
            <w:hideMark/>
          </w:tcPr>
          <w:p w14:paraId="4008ED87" w14:textId="7D564DDD"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318D2FE8" w14:textId="62B40D67"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1073A549" w14:textId="49FE5140"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3F98985E" w14:textId="47CB6868"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2" w:type="dxa"/>
            <w:noWrap/>
            <w:hideMark/>
          </w:tcPr>
          <w:p w14:paraId="5C1A267D" w14:textId="4F47623E"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7243692A" w14:textId="1138815E"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c>
          <w:tcPr>
            <w:tcW w:w="833" w:type="dxa"/>
            <w:noWrap/>
            <w:hideMark/>
          </w:tcPr>
          <w:p w14:paraId="1F2675B5" w14:textId="4EB826DE" w:rsidR="00B303C0" w:rsidRPr="00B303C0" w:rsidRDefault="00B303C0" w:rsidP="00B303C0">
            <w:pPr>
              <w:pStyle w:val="TableText"/>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Yes</w:t>
            </w:r>
          </w:p>
        </w:tc>
        <w:tc>
          <w:tcPr>
            <w:tcW w:w="833" w:type="dxa"/>
            <w:noWrap/>
            <w:hideMark/>
          </w:tcPr>
          <w:p w14:paraId="217E6790" w14:textId="681C87A2" w:rsidR="00B303C0" w:rsidRPr="00B303C0" w:rsidRDefault="00B11C7D" w:rsidP="00B11C7D">
            <w:pPr>
              <w:pStyle w:val="Invisible"/>
              <w:cnfStyle w:val="000000100000" w:firstRow="0" w:lastRow="0" w:firstColumn="0" w:lastColumn="0" w:oddVBand="0" w:evenVBand="0" w:oddHBand="1" w:evenHBand="0" w:firstRowFirstColumn="0" w:firstRowLastColumn="0" w:lastRowFirstColumn="0" w:lastRowLastColumn="0"/>
            </w:pPr>
            <w:r>
              <w:rPr>
                <w:rFonts w:cstheme="minorHAnsi"/>
              </w:rPr>
              <w:t>No</w:t>
            </w:r>
          </w:p>
        </w:tc>
      </w:tr>
    </w:tbl>
    <w:p w14:paraId="78EA0F31" w14:textId="47BC6DD9" w:rsidR="001F66E2" w:rsidRDefault="008845A2" w:rsidP="00186D90">
      <w:pPr>
        <w:pStyle w:val="Note"/>
      </w:pPr>
      <w:r>
        <w:t>*No publicly available list of AT products funded by that program.</w:t>
      </w:r>
    </w:p>
    <w:p w14:paraId="22CF03BD" w14:textId="77777777" w:rsidR="001F66E2" w:rsidRDefault="001F66E2">
      <w:pPr>
        <w:rPr>
          <w:color w:val="404142" w:themeColor="background2" w:themeShade="80"/>
          <w:sz w:val="18"/>
          <w:szCs w:val="20"/>
          <w:lang w:val="en-CA" w:eastAsia="en-US"/>
        </w:rPr>
      </w:pPr>
      <w:r>
        <w:br w:type="page"/>
      </w:r>
    </w:p>
    <w:p w14:paraId="65E66543" w14:textId="0D78992D" w:rsidR="008845A2" w:rsidRPr="00736110" w:rsidRDefault="008845A2" w:rsidP="00736110">
      <w:pPr>
        <w:pStyle w:val="Heading3"/>
      </w:pPr>
      <w:r w:rsidRPr="00736110">
        <w:lastRenderedPageBreak/>
        <w:t>Aged care programs</w:t>
      </w:r>
    </w:p>
    <w:p w14:paraId="52C7A271" w14:textId="2A041261" w:rsidR="008845A2" w:rsidRPr="000341DA" w:rsidRDefault="008845A2" w:rsidP="008E19E4">
      <w:pPr>
        <w:pStyle w:val="ParaKeep"/>
        <w:rPr>
          <w:lang w:eastAsia="en-AU"/>
        </w:rPr>
      </w:pPr>
      <w:r w:rsidRPr="00726925">
        <w:fldChar w:fldCharType="begin"/>
      </w:r>
      <w:r w:rsidRPr="00726925">
        <w:instrText xml:space="preserve"> REF _Ref41986549 \h  \* MERGEFORMAT </w:instrText>
      </w:r>
      <w:r w:rsidRPr="00726925">
        <w:fldChar w:fldCharType="separate"/>
      </w:r>
      <w:r w:rsidR="00CC3F04" w:rsidRPr="00736110">
        <w:t>Table </w:t>
      </w:r>
      <w:r w:rsidR="00CC3F04">
        <w:t>2</w:t>
      </w:r>
      <w:r w:rsidR="00CC3F04">
        <w:noBreakHyphen/>
        <w:t>6</w:t>
      </w:r>
      <w:r w:rsidRPr="00726925">
        <w:fldChar w:fldCharType="end"/>
      </w:r>
      <w:r>
        <w:rPr>
          <w:lang w:eastAsia="en-AU"/>
        </w:rPr>
        <w:t xml:space="preserve"> summarise</w:t>
      </w:r>
      <w:r w:rsidR="00A127F8">
        <w:rPr>
          <w:lang w:eastAsia="en-AU"/>
        </w:rPr>
        <w:t>s</w:t>
      </w:r>
      <w:r>
        <w:rPr>
          <w:lang w:eastAsia="en-AU"/>
        </w:rPr>
        <w:t xml:space="preserve"> AT expenditure in 2018-19 under the CHSP program</w:t>
      </w:r>
      <w:r w:rsidR="00A127F8">
        <w:rPr>
          <w:lang w:eastAsia="en-AU"/>
        </w:rPr>
        <w:t>,</w:t>
      </w:r>
      <w:r>
        <w:rPr>
          <w:lang w:eastAsia="en-AU"/>
        </w:rPr>
        <w:t xml:space="preserve"> indicating that: </w:t>
      </w:r>
    </w:p>
    <w:p w14:paraId="4FAFA07E" w14:textId="77777777" w:rsidR="008845A2" w:rsidRDefault="008845A2" w:rsidP="008845A2">
      <w:pPr>
        <w:pStyle w:val="Bullet1Keep"/>
      </w:pPr>
      <w:r w:rsidRPr="0042567A">
        <w:t>$</w:t>
      </w:r>
      <w:r>
        <w:t xml:space="preserve">40.623 </w:t>
      </w:r>
      <w:r w:rsidRPr="0042567A">
        <w:t>m</w:t>
      </w:r>
      <w:r>
        <w:t xml:space="preserve">illion (2.7% of </w:t>
      </w:r>
      <w:r w:rsidRPr="0042567A">
        <w:t>CHSP expenditure</w:t>
      </w:r>
      <w:r>
        <w:t xml:space="preserve">) was </w:t>
      </w:r>
      <w:r w:rsidRPr="0042567A">
        <w:t>spent by service providers on behalf of 63,93</w:t>
      </w:r>
      <w:r>
        <w:t>2</w:t>
      </w:r>
      <w:r w:rsidRPr="0042567A">
        <w:t xml:space="preserve"> (</w:t>
      </w:r>
      <w:r>
        <w:t>7.7</w:t>
      </w:r>
      <w:r w:rsidRPr="0042567A">
        <w:t xml:space="preserve">%) of all CHSP </w:t>
      </w:r>
      <w:r>
        <w:t>consumers. This included:</w:t>
      </w:r>
    </w:p>
    <w:p w14:paraId="1FACDAA4" w14:textId="77777777" w:rsidR="008845A2" w:rsidRPr="00B029C0" w:rsidRDefault="008845A2" w:rsidP="00B303C0">
      <w:pPr>
        <w:pStyle w:val="Bullet2"/>
      </w:pPr>
      <w:r>
        <w:t xml:space="preserve">$5.147 million for 15,097 consumers on Goods, </w:t>
      </w:r>
      <w:r w:rsidRPr="00C158BB">
        <w:t>Equipment</w:t>
      </w:r>
      <w:r>
        <w:t xml:space="preserve"> and AT</w:t>
      </w:r>
    </w:p>
    <w:p w14:paraId="454C8963" w14:textId="3C792B49" w:rsidR="008845A2" w:rsidRPr="0042567A" w:rsidRDefault="00B116BD" w:rsidP="00B303C0">
      <w:pPr>
        <w:pStyle w:val="Bullet2"/>
      </w:pPr>
      <w:r>
        <w:t>$</w:t>
      </w:r>
      <w:r w:rsidR="008845A2">
        <w:t>35.475 million for 48,835 consumers on Home Modifications</w:t>
      </w:r>
      <w:r w:rsidR="00EC4322">
        <w:t>.</w:t>
      </w:r>
      <w:r w:rsidR="008845A2">
        <w:t xml:space="preserve"> </w:t>
      </w:r>
    </w:p>
    <w:p w14:paraId="162F2B92" w14:textId="5080E388" w:rsidR="008845A2" w:rsidRPr="00736110" w:rsidRDefault="008845A2" w:rsidP="00017633">
      <w:bookmarkStart w:id="60" w:name="_Ref41986549"/>
      <w:bookmarkStart w:id="61" w:name="_Toc59402393"/>
      <w:r w:rsidRPr="00736110">
        <w:t>Table</w:t>
      </w:r>
      <w:r w:rsidR="009F14D1">
        <w:t xml:space="preserve"> 2-6</w:t>
      </w:r>
      <w:bookmarkEnd w:id="60"/>
      <w:r w:rsidRPr="00736110">
        <w:t>:</w:t>
      </w:r>
      <w:r w:rsidRPr="00736110">
        <w:tab/>
        <w:t>CHSP number of consumers and expenditure, 2018-19</w:t>
      </w:r>
      <w:bookmarkEnd w:id="61"/>
    </w:p>
    <w:tbl>
      <w:tblPr>
        <w:tblStyle w:val="AHALight"/>
        <w:tblW w:w="0" w:type="auto"/>
        <w:tblLayout w:type="fixed"/>
        <w:tblLook w:val="04E0" w:firstRow="1" w:lastRow="1" w:firstColumn="1" w:lastColumn="0" w:noHBand="0" w:noVBand="1"/>
        <w:tblCaption w:val="Table 2-6"/>
        <w:tblDescription w:val="shows CHSP number of consumers and expenditurefor 2018-19"/>
      </w:tblPr>
      <w:tblGrid>
        <w:gridCol w:w="2977"/>
        <w:gridCol w:w="1418"/>
        <w:gridCol w:w="1559"/>
        <w:gridCol w:w="1843"/>
        <w:gridCol w:w="1417"/>
      </w:tblGrid>
      <w:tr w:rsidR="00E14A14" w14:paraId="007FDAB4" w14:textId="77777777" w:rsidTr="00E864D7">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977" w:type="dxa"/>
          </w:tcPr>
          <w:p w14:paraId="2AA74892" w14:textId="0A9C65BE" w:rsidR="008845A2" w:rsidRPr="00BF255C" w:rsidRDefault="008845A2" w:rsidP="00F77741">
            <w:pPr>
              <w:pStyle w:val="TableHeading1"/>
              <w:rPr>
                <w:b w:val="0"/>
                <w:szCs w:val="20"/>
                <w:vertAlign w:val="superscript"/>
                <w:lang w:val="en-CA" w:eastAsia="en-AU"/>
              </w:rPr>
            </w:pPr>
            <w:r w:rsidRPr="00511C41">
              <w:rPr>
                <w:szCs w:val="20"/>
                <w:lang w:val="en-CA" w:eastAsia="en-AU"/>
              </w:rPr>
              <w:t>CHSP</w:t>
            </w:r>
            <w:r w:rsidRPr="00C27CF4">
              <w:rPr>
                <w:rStyle w:val="FootnoteReference"/>
              </w:rPr>
              <w:t>1</w:t>
            </w:r>
          </w:p>
        </w:tc>
        <w:tc>
          <w:tcPr>
            <w:tcW w:w="1418" w:type="dxa"/>
          </w:tcPr>
          <w:p w14:paraId="6E97DC48" w14:textId="77777777" w:rsidR="008845A2" w:rsidRPr="00511C41" w:rsidRDefault="008845A2" w:rsidP="00F77741">
            <w:pPr>
              <w:pStyle w:val="TableHeading1"/>
              <w:jc w:val="right"/>
              <w:cnfStyle w:val="100000000000" w:firstRow="1" w:lastRow="0" w:firstColumn="0" w:lastColumn="0" w:oddVBand="0" w:evenVBand="0" w:oddHBand="0" w:evenHBand="0" w:firstRowFirstColumn="0" w:firstRowLastColumn="0" w:lastRowFirstColumn="0" w:lastRowLastColumn="0"/>
              <w:rPr>
                <w:b w:val="0"/>
                <w:szCs w:val="28"/>
                <w:lang w:val="en-CA" w:eastAsia="en-AU"/>
              </w:rPr>
            </w:pPr>
            <w:r>
              <w:rPr>
                <w:szCs w:val="28"/>
                <w:lang w:val="en-CA" w:eastAsia="en-AU"/>
              </w:rPr>
              <w:t>Consumer</w:t>
            </w:r>
            <w:r w:rsidRPr="00511C41">
              <w:rPr>
                <w:szCs w:val="28"/>
                <w:lang w:val="en-CA" w:eastAsia="en-AU"/>
              </w:rPr>
              <w:t>s</w:t>
            </w:r>
          </w:p>
        </w:tc>
        <w:tc>
          <w:tcPr>
            <w:tcW w:w="1559" w:type="dxa"/>
          </w:tcPr>
          <w:p w14:paraId="52EAAECA" w14:textId="77777777" w:rsidR="008845A2" w:rsidRPr="00511C41" w:rsidRDefault="008845A2" w:rsidP="00F77741">
            <w:pPr>
              <w:pStyle w:val="TableHeading1"/>
              <w:jc w:val="right"/>
              <w:cnfStyle w:val="100000000000" w:firstRow="1" w:lastRow="0" w:firstColumn="0" w:lastColumn="0" w:oddVBand="0" w:evenVBand="0" w:oddHBand="0" w:evenHBand="0" w:firstRowFirstColumn="0" w:firstRowLastColumn="0" w:lastRowFirstColumn="0" w:lastRowLastColumn="0"/>
              <w:rPr>
                <w:b w:val="0"/>
                <w:szCs w:val="28"/>
                <w:lang w:val="en-CA" w:eastAsia="en-AU"/>
              </w:rPr>
            </w:pPr>
            <w:r w:rsidRPr="00511C41">
              <w:rPr>
                <w:szCs w:val="28"/>
                <w:lang w:val="en-CA" w:eastAsia="en-AU"/>
              </w:rPr>
              <w:t>Percent</w:t>
            </w:r>
          </w:p>
        </w:tc>
        <w:tc>
          <w:tcPr>
            <w:tcW w:w="1843" w:type="dxa"/>
          </w:tcPr>
          <w:p w14:paraId="1040664F" w14:textId="77777777" w:rsidR="008845A2" w:rsidRPr="00511C41" w:rsidRDefault="008845A2" w:rsidP="00F77741">
            <w:pPr>
              <w:pStyle w:val="TableHeading1"/>
              <w:jc w:val="right"/>
              <w:cnfStyle w:val="100000000000" w:firstRow="1" w:lastRow="0" w:firstColumn="0" w:lastColumn="0" w:oddVBand="0" w:evenVBand="0" w:oddHBand="0" w:evenHBand="0" w:firstRowFirstColumn="0" w:firstRowLastColumn="0" w:lastRowFirstColumn="0" w:lastRowLastColumn="0"/>
              <w:rPr>
                <w:b w:val="0"/>
                <w:szCs w:val="28"/>
                <w:lang w:val="en-CA" w:eastAsia="en-AU"/>
              </w:rPr>
            </w:pPr>
            <w:r w:rsidRPr="00511C41">
              <w:rPr>
                <w:szCs w:val="28"/>
                <w:lang w:val="en-CA" w:eastAsia="en-AU"/>
              </w:rPr>
              <w:t>Expenditure</w:t>
            </w:r>
          </w:p>
        </w:tc>
        <w:tc>
          <w:tcPr>
            <w:tcW w:w="1417" w:type="dxa"/>
          </w:tcPr>
          <w:p w14:paraId="11A19FE5" w14:textId="77777777" w:rsidR="008845A2" w:rsidRPr="00511C41" w:rsidRDefault="008845A2" w:rsidP="00F77741">
            <w:pPr>
              <w:pStyle w:val="TableHeading1"/>
              <w:jc w:val="right"/>
              <w:cnfStyle w:val="100000000000" w:firstRow="1" w:lastRow="0" w:firstColumn="0" w:lastColumn="0" w:oddVBand="0" w:evenVBand="0" w:oddHBand="0" w:evenHBand="0" w:firstRowFirstColumn="0" w:firstRowLastColumn="0" w:lastRowFirstColumn="0" w:lastRowLastColumn="0"/>
              <w:rPr>
                <w:b w:val="0"/>
                <w:szCs w:val="28"/>
                <w:lang w:val="en-CA" w:eastAsia="en-AU"/>
              </w:rPr>
            </w:pPr>
            <w:r w:rsidRPr="00511C41">
              <w:rPr>
                <w:szCs w:val="28"/>
                <w:lang w:val="en-CA" w:eastAsia="en-AU"/>
              </w:rPr>
              <w:t>Percent</w:t>
            </w:r>
          </w:p>
        </w:tc>
      </w:tr>
      <w:tr w:rsidR="008845A2" w:rsidRPr="00511C41" w14:paraId="21920E34" w14:textId="77777777" w:rsidTr="00E864D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7" w:type="dxa"/>
          </w:tcPr>
          <w:p w14:paraId="43F5DBF2" w14:textId="77777777" w:rsidR="008845A2" w:rsidRPr="00511C41" w:rsidRDefault="008845A2" w:rsidP="00F77741">
            <w:pPr>
              <w:pStyle w:val="TableText"/>
              <w:rPr>
                <w:szCs w:val="18"/>
                <w:lang w:val="en-CA" w:eastAsia="en-AU"/>
              </w:rPr>
            </w:pPr>
            <w:r w:rsidRPr="00511C41">
              <w:rPr>
                <w:szCs w:val="18"/>
                <w:lang w:val="en-CA" w:eastAsia="en-AU"/>
              </w:rPr>
              <w:t xml:space="preserve">CHSP Total </w:t>
            </w:r>
          </w:p>
        </w:tc>
        <w:tc>
          <w:tcPr>
            <w:tcW w:w="1418" w:type="dxa"/>
          </w:tcPr>
          <w:p w14:paraId="4A03A15D" w14:textId="77777777" w:rsidR="008845A2" w:rsidRPr="00511C41" w:rsidRDefault="008845A2" w:rsidP="00DF4B0D">
            <w:pPr>
              <w:pStyle w:val="TableTextRight"/>
              <w:cnfStyle w:val="000000100000" w:firstRow="0" w:lastRow="0" w:firstColumn="0" w:lastColumn="0" w:oddVBand="0" w:evenVBand="0" w:oddHBand="1" w:evenHBand="0" w:firstRowFirstColumn="0" w:firstRowLastColumn="0" w:lastRowFirstColumn="0" w:lastRowLastColumn="0"/>
            </w:pPr>
            <w:r w:rsidRPr="00511C41">
              <w:t>826,335</w:t>
            </w:r>
          </w:p>
        </w:tc>
        <w:tc>
          <w:tcPr>
            <w:tcW w:w="1559" w:type="dxa"/>
          </w:tcPr>
          <w:p w14:paraId="085258E9" w14:textId="77777777" w:rsidR="008845A2" w:rsidRPr="00511C41" w:rsidRDefault="008845A2" w:rsidP="00DF4B0D">
            <w:pPr>
              <w:pStyle w:val="TableTextRight"/>
              <w:cnfStyle w:val="000000100000" w:firstRow="0" w:lastRow="0" w:firstColumn="0" w:lastColumn="0" w:oddVBand="0" w:evenVBand="0" w:oddHBand="1" w:evenHBand="0" w:firstRowFirstColumn="0" w:firstRowLastColumn="0" w:lastRowFirstColumn="0" w:lastRowLastColumn="0"/>
            </w:pPr>
            <w:r w:rsidRPr="00511C41">
              <w:t>100%</w:t>
            </w:r>
          </w:p>
        </w:tc>
        <w:tc>
          <w:tcPr>
            <w:tcW w:w="1843" w:type="dxa"/>
          </w:tcPr>
          <w:p w14:paraId="5A299A3D" w14:textId="77777777" w:rsidR="008845A2" w:rsidRPr="00793951" w:rsidRDefault="008845A2" w:rsidP="00C27CF4">
            <w:pPr>
              <w:pStyle w:val="TableTextRight"/>
              <w:cnfStyle w:val="000000100000" w:firstRow="0" w:lastRow="0" w:firstColumn="0" w:lastColumn="0" w:oddVBand="0" w:evenVBand="0" w:oddHBand="1" w:evenHBand="0" w:firstRowFirstColumn="0" w:firstRowLastColumn="0" w:lastRowFirstColumn="0" w:lastRowLastColumn="0"/>
              <w:rPr>
                <w:lang w:val="en-AU"/>
              </w:rPr>
            </w:pPr>
            <w:r>
              <w:t>$2,448,126,067</w:t>
            </w:r>
          </w:p>
        </w:tc>
        <w:tc>
          <w:tcPr>
            <w:tcW w:w="1417" w:type="dxa"/>
          </w:tcPr>
          <w:p w14:paraId="090F0DD3" w14:textId="77777777" w:rsidR="008845A2" w:rsidRPr="00511C41" w:rsidRDefault="008845A2" w:rsidP="00DF4B0D">
            <w:pPr>
              <w:pStyle w:val="TableTextRight"/>
              <w:cnfStyle w:val="000000100000" w:firstRow="0" w:lastRow="0" w:firstColumn="0" w:lastColumn="0" w:oddVBand="0" w:evenVBand="0" w:oddHBand="1" w:evenHBand="0" w:firstRowFirstColumn="0" w:firstRowLastColumn="0" w:lastRowFirstColumn="0" w:lastRowLastColumn="0"/>
              <w:rPr>
                <w:szCs w:val="18"/>
              </w:rPr>
            </w:pPr>
            <w:r>
              <w:t>100%</w:t>
            </w:r>
          </w:p>
        </w:tc>
      </w:tr>
      <w:tr w:rsidR="008845A2" w:rsidRPr="00511C41" w14:paraId="6D315534" w14:textId="77777777" w:rsidTr="00E864D7">
        <w:trPr>
          <w:trHeight w:val="294"/>
        </w:trPr>
        <w:tc>
          <w:tcPr>
            <w:cnfStyle w:val="001000000000" w:firstRow="0" w:lastRow="0" w:firstColumn="1" w:lastColumn="0" w:oddVBand="0" w:evenVBand="0" w:oddHBand="0" w:evenHBand="0" w:firstRowFirstColumn="0" w:firstRowLastColumn="0" w:lastRowFirstColumn="0" w:lastRowLastColumn="0"/>
            <w:tcW w:w="2977" w:type="dxa"/>
          </w:tcPr>
          <w:p w14:paraId="7B379D5B" w14:textId="7D6B6913" w:rsidR="008845A2" w:rsidRPr="00511C41" w:rsidRDefault="008845A2" w:rsidP="00F77741">
            <w:pPr>
              <w:pStyle w:val="TableText"/>
              <w:rPr>
                <w:szCs w:val="18"/>
                <w:lang w:val="en-CA" w:eastAsia="en-AU"/>
              </w:rPr>
            </w:pPr>
            <w:r w:rsidRPr="00511C41">
              <w:rPr>
                <w:szCs w:val="18"/>
                <w:lang w:val="en-CA" w:eastAsia="en-AU"/>
              </w:rPr>
              <w:t>Goods</w:t>
            </w:r>
            <w:r w:rsidR="00B51C0D">
              <w:rPr>
                <w:szCs w:val="18"/>
                <w:lang w:val="en-CA" w:eastAsia="en-AU"/>
              </w:rPr>
              <w:t>,</w:t>
            </w:r>
            <w:r w:rsidRPr="00511C41">
              <w:rPr>
                <w:szCs w:val="18"/>
                <w:lang w:val="en-CA" w:eastAsia="en-AU"/>
              </w:rPr>
              <w:t xml:space="preserve"> Equipment</w:t>
            </w:r>
            <w:r>
              <w:rPr>
                <w:szCs w:val="18"/>
                <w:lang w:val="en-CA" w:eastAsia="en-AU"/>
              </w:rPr>
              <w:t xml:space="preserve"> and AT</w:t>
            </w:r>
            <w:r w:rsidRPr="00511C41">
              <w:rPr>
                <w:szCs w:val="18"/>
                <w:lang w:val="en-CA" w:eastAsia="en-AU"/>
              </w:rPr>
              <w:t xml:space="preserve"> </w:t>
            </w:r>
          </w:p>
        </w:tc>
        <w:tc>
          <w:tcPr>
            <w:tcW w:w="1418" w:type="dxa"/>
          </w:tcPr>
          <w:p w14:paraId="1F9C9C4E" w14:textId="77777777" w:rsidR="008845A2" w:rsidRPr="00511C41" w:rsidRDefault="008845A2" w:rsidP="00DF4B0D">
            <w:pPr>
              <w:pStyle w:val="TableTextRight"/>
              <w:cnfStyle w:val="000000000000" w:firstRow="0" w:lastRow="0" w:firstColumn="0" w:lastColumn="0" w:oddVBand="0" w:evenVBand="0" w:oddHBand="0" w:evenHBand="0" w:firstRowFirstColumn="0" w:firstRowLastColumn="0" w:lastRowFirstColumn="0" w:lastRowLastColumn="0"/>
            </w:pPr>
            <w:r w:rsidRPr="00511C41">
              <w:t>15,097</w:t>
            </w:r>
          </w:p>
        </w:tc>
        <w:tc>
          <w:tcPr>
            <w:tcW w:w="1559" w:type="dxa"/>
          </w:tcPr>
          <w:p w14:paraId="562513B5" w14:textId="77777777" w:rsidR="008845A2" w:rsidRPr="00511C41" w:rsidRDefault="008845A2" w:rsidP="00DF4B0D">
            <w:pPr>
              <w:pStyle w:val="TableTextRight"/>
              <w:cnfStyle w:val="000000000000" w:firstRow="0" w:lastRow="0" w:firstColumn="0" w:lastColumn="0" w:oddVBand="0" w:evenVBand="0" w:oddHBand="0" w:evenHBand="0" w:firstRowFirstColumn="0" w:firstRowLastColumn="0" w:lastRowFirstColumn="0" w:lastRowLastColumn="0"/>
            </w:pPr>
            <w:r w:rsidRPr="00511C41">
              <w:t>1.8%</w:t>
            </w:r>
          </w:p>
        </w:tc>
        <w:tc>
          <w:tcPr>
            <w:tcW w:w="1843" w:type="dxa"/>
          </w:tcPr>
          <w:p w14:paraId="6771E982" w14:textId="77777777" w:rsidR="008845A2" w:rsidRPr="00511C41" w:rsidRDefault="008845A2" w:rsidP="00DF4B0D">
            <w:pPr>
              <w:pStyle w:val="TableTextRight"/>
              <w:cnfStyle w:val="000000000000" w:firstRow="0" w:lastRow="0" w:firstColumn="0" w:lastColumn="0" w:oddVBand="0" w:evenVBand="0" w:oddHBand="0" w:evenHBand="0" w:firstRowFirstColumn="0" w:firstRowLastColumn="0" w:lastRowFirstColumn="0" w:lastRowLastColumn="0"/>
              <w:rPr>
                <w:szCs w:val="18"/>
              </w:rPr>
            </w:pPr>
            <w:r>
              <w:t>$5,147,474</w:t>
            </w:r>
          </w:p>
        </w:tc>
        <w:tc>
          <w:tcPr>
            <w:tcW w:w="1417" w:type="dxa"/>
          </w:tcPr>
          <w:p w14:paraId="18180981" w14:textId="77777777" w:rsidR="008845A2" w:rsidRPr="00511C41" w:rsidRDefault="008845A2" w:rsidP="00DF4B0D">
            <w:pPr>
              <w:pStyle w:val="TableTextRight"/>
              <w:cnfStyle w:val="000000000000" w:firstRow="0" w:lastRow="0" w:firstColumn="0" w:lastColumn="0" w:oddVBand="0" w:evenVBand="0" w:oddHBand="0" w:evenHBand="0" w:firstRowFirstColumn="0" w:firstRowLastColumn="0" w:lastRowFirstColumn="0" w:lastRowLastColumn="0"/>
              <w:rPr>
                <w:szCs w:val="18"/>
              </w:rPr>
            </w:pPr>
            <w:r>
              <w:t>0.30%</w:t>
            </w:r>
          </w:p>
        </w:tc>
      </w:tr>
      <w:tr w:rsidR="008845A2" w:rsidRPr="00511C41" w14:paraId="68D0ED54" w14:textId="77777777" w:rsidTr="00E864D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7" w:type="dxa"/>
          </w:tcPr>
          <w:p w14:paraId="189EA6B3" w14:textId="77777777" w:rsidR="008845A2" w:rsidRPr="00511C41" w:rsidRDefault="008845A2" w:rsidP="00F77741">
            <w:pPr>
              <w:pStyle w:val="TableText"/>
              <w:rPr>
                <w:szCs w:val="18"/>
                <w:lang w:val="en-CA" w:eastAsia="en-AU"/>
              </w:rPr>
            </w:pPr>
            <w:r w:rsidRPr="00511C41">
              <w:rPr>
                <w:szCs w:val="18"/>
                <w:lang w:val="en-CA" w:eastAsia="en-AU"/>
              </w:rPr>
              <w:t>Home Modifications</w:t>
            </w:r>
          </w:p>
        </w:tc>
        <w:tc>
          <w:tcPr>
            <w:tcW w:w="1418" w:type="dxa"/>
          </w:tcPr>
          <w:p w14:paraId="196DEFC8" w14:textId="77777777" w:rsidR="008845A2" w:rsidRPr="00511C41" w:rsidRDefault="008845A2" w:rsidP="00DF4B0D">
            <w:pPr>
              <w:pStyle w:val="TableTextRight"/>
              <w:cnfStyle w:val="000000100000" w:firstRow="0" w:lastRow="0" w:firstColumn="0" w:lastColumn="0" w:oddVBand="0" w:evenVBand="0" w:oddHBand="1" w:evenHBand="0" w:firstRowFirstColumn="0" w:firstRowLastColumn="0" w:lastRowFirstColumn="0" w:lastRowLastColumn="0"/>
            </w:pPr>
            <w:r w:rsidRPr="00511C41">
              <w:t>48,8</w:t>
            </w:r>
            <w:r>
              <w:t>35</w:t>
            </w:r>
          </w:p>
        </w:tc>
        <w:tc>
          <w:tcPr>
            <w:tcW w:w="1559" w:type="dxa"/>
          </w:tcPr>
          <w:p w14:paraId="29947B76" w14:textId="77777777" w:rsidR="008845A2" w:rsidRPr="00511C41" w:rsidRDefault="008845A2" w:rsidP="00DF4B0D">
            <w:pPr>
              <w:pStyle w:val="TableTextRight"/>
              <w:cnfStyle w:val="000000100000" w:firstRow="0" w:lastRow="0" w:firstColumn="0" w:lastColumn="0" w:oddVBand="0" w:evenVBand="0" w:oddHBand="1" w:evenHBand="0" w:firstRowFirstColumn="0" w:firstRowLastColumn="0" w:lastRowFirstColumn="0" w:lastRowLastColumn="0"/>
            </w:pPr>
            <w:r w:rsidRPr="00511C41">
              <w:t>5.9%</w:t>
            </w:r>
          </w:p>
        </w:tc>
        <w:tc>
          <w:tcPr>
            <w:tcW w:w="1843" w:type="dxa"/>
          </w:tcPr>
          <w:p w14:paraId="4051335C" w14:textId="77777777" w:rsidR="008845A2" w:rsidRPr="00511C41" w:rsidRDefault="008845A2" w:rsidP="00DF4B0D">
            <w:pPr>
              <w:pStyle w:val="TableTextRight"/>
              <w:cnfStyle w:val="000000100000" w:firstRow="0" w:lastRow="0" w:firstColumn="0" w:lastColumn="0" w:oddVBand="0" w:evenVBand="0" w:oddHBand="1" w:evenHBand="0" w:firstRowFirstColumn="0" w:firstRowLastColumn="0" w:lastRowFirstColumn="0" w:lastRowLastColumn="0"/>
              <w:rPr>
                <w:szCs w:val="18"/>
              </w:rPr>
            </w:pPr>
            <w:r>
              <w:t>$35,475,833</w:t>
            </w:r>
          </w:p>
        </w:tc>
        <w:tc>
          <w:tcPr>
            <w:tcW w:w="1417" w:type="dxa"/>
          </w:tcPr>
          <w:p w14:paraId="062C33EE" w14:textId="77777777" w:rsidR="008845A2" w:rsidRPr="00511C41" w:rsidRDefault="008845A2" w:rsidP="00DF4B0D">
            <w:pPr>
              <w:pStyle w:val="TableTextRight"/>
              <w:cnfStyle w:val="000000100000" w:firstRow="0" w:lastRow="0" w:firstColumn="0" w:lastColumn="0" w:oddVBand="0" w:evenVBand="0" w:oddHBand="1" w:evenHBand="0" w:firstRowFirstColumn="0" w:firstRowLastColumn="0" w:lastRowFirstColumn="0" w:lastRowLastColumn="0"/>
              <w:rPr>
                <w:szCs w:val="18"/>
              </w:rPr>
            </w:pPr>
            <w:r>
              <w:t>2.40%</w:t>
            </w:r>
          </w:p>
        </w:tc>
      </w:tr>
      <w:tr w:rsidR="008845A2" w:rsidRPr="00511C41" w14:paraId="2C0354DB" w14:textId="77777777" w:rsidTr="00E864D7">
        <w:trPr>
          <w:cnfStyle w:val="010000000000" w:firstRow="0" w:lastRow="1"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7" w:type="dxa"/>
          </w:tcPr>
          <w:p w14:paraId="322D8E60" w14:textId="77777777" w:rsidR="008845A2" w:rsidRPr="00511C41" w:rsidRDefault="008845A2" w:rsidP="00F77741">
            <w:pPr>
              <w:pStyle w:val="TableText"/>
              <w:rPr>
                <w:szCs w:val="18"/>
                <w:lang w:val="en-CA" w:eastAsia="en-AU"/>
              </w:rPr>
            </w:pPr>
            <w:r w:rsidRPr="00511C41">
              <w:rPr>
                <w:szCs w:val="18"/>
                <w:lang w:val="en-CA" w:eastAsia="en-AU"/>
              </w:rPr>
              <w:t>Total AT/HM</w:t>
            </w:r>
          </w:p>
        </w:tc>
        <w:tc>
          <w:tcPr>
            <w:tcW w:w="1418" w:type="dxa"/>
          </w:tcPr>
          <w:p w14:paraId="18BBD111" w14:textId="77777777" w:rsidR="008845A2" w:rsidRPr="00511C41" w:rsidRDefault="008845A2" w:rsidP="00DF4B0D">
            <w:pPr>
              <w:pStyle w:val="TableTextRight"/>
              <w:cnfStyle w:val="010000000000" w:firstRow="0" w:lastRow="1" w:firstColumn="0" w:lastColumn="0" w:oddVBand="0" w:evenVBand="0" w:oddHBand="0" w:evenHBand="0" w:firstRowFirstColumn="0" w:firstRowLastColumn="0" w:lastRowFirstColumn="0" w:lastRowLastColumn="0"/>
            </w:pPr>
            <w:r>
              <w:t>63,932</w:t>
            </w:r>
          </w:p>
        </w:tc>
        <w:tc>
          <w:tcPr>
            <w:tcW w:w="1559" w:type="dxa"/>
          </w:tcPr>
          <w:p w14:paraId="78504AFF" w14:textId="77777777" w:rsidR="008845A2" w:rsidRPr="00511C41" w:rsidRDefault="008845A2" w:rsidP="00DF4B0D">
            <w:pPr>
              <w:pStyle w:val="TableTextRight"/>
              <w:cnfStyle w:val="010000000000" w:firstRow="0" w:lastRow="1" w:firstColumn="0" w:lastColumn="0" w:oddVBand="0" w:evenVBand="0" w:oddHBand="0" w:evenHBand="0" w:firstRowFirstColumn="0" w:firstRowLastColumn="0" w:lastRowFirstColumn="0" w:lastRowLastColumn="0"/>
            </w:pPr>
            <w:r w:rsidRPr="00511C41">
              <w:t>7.7%</w:t>
            </w:r>
          </w:p>
        </w:tc>
        <w:tc>
          <w:tcPr>
            <w:tcW w:w="1843" w:type="dxa"/>
          </w:tcPr>
          <w:p w14:paraId="3B59FFF7" w14:textId="77777777" w:rsidR="008845A2" w:rsidRPr="00511C41" w:rsidRDefault="008845A2" w:rsidP="00DF4B0D">
            <w:pPr>
              <w:pStyle w:val="TableTextRight"/>
              <w:cnfStyle w:val="010000000000" w:firstRow="0" w:lastRow="1" w:firstColumn="0" w:lastColumn="0" w:oddVBand="0" w:evenVBand="0" w:oddHBand="0" w:evenHBand="0" w:firstRowFirstColumn="0" w:firstRowLastColumn="0" w:lastRowFirstColumn="0" w:lastRowLastColumn="0"/>
              <w:rPr>
                <w:szCs w:val="18"/>
              </w:rPr>
            </w:pPr>
            <w:r>
              <w:t>$40,623,307</w:t>
            </w:r>
          </w:p>
        </w:tc>
        <w:tc>
          <w:tcPr>
            <w:tcW w:w="1417" w:type="dxa"/>
          </w:tcPr>
          <w:p w14:paraId="06BD6CCB" w14:textId="77777777" w:rsidR="008845A2" w:rsidRPr="00511C41" w:rsidRDefault="008845A2" w:rsidP="00DF4B0D">
            <w:pPr>
              <w:pStyle w:val="TableTextRight"/>
              <w:cnfStyle w:val="010000000000" w:firstRow="0" w:lastRow="1" w:firstColumn="0" w:lastColumn="0" w:oddVBand="0" w:evenVBand="0" w:oddHBand="0" w:evenHBand="0" w:firstRowFirstColumn="0" w:firstRowLastColumn="0" w:lastRowFirstColumn="0" w:lastRowLastColumn="0"/>
              <w:rPr>
                <w:szCs w:val="18"/>
              </w:rPr>
            </w:pPr>
            <w:r>
              <w:t>2.70%</w:t>
            </w:r>
          </w:p>
        </w:tc>
      </w:tr>
    </w:tbl>
    <w:p w14:paraId="781445C7" w14:textId="77777777" w:rsidR="00A127F8" w:rsidRPr="0075060F" w:rsidRDefault="00A127F8" w:rsidP="00186D90">
      <w:pPr>
        <w:pStyle w:val="Note"/>
      </w:pPr>
      <w:bookmarkStart w:id="62" w:name="_Ref59198482"/>
      <w:r w:rsidRPr="007A4E5F">
        <w:rPr>
          <w:rStyle w:val="FootnoteReference"/>
        </w:rPr>
        <w:t>1</w:t>
      </w:r>
      <w:r w:rsidRPr="0075060F">
        <w:t xml:space="preserve"> </w:t>
      </w:r>
      <w:r>
        <w:t>DEX data</w:t>
      </w:r>
    </w:p>
    <w:p w14:paraId="5DB682F4" w14:textId="539D9EBC" w:rsidR="00A127F8" w:rsidRPr="000341DA" w:rsidRDefault="00726925" w:rsidP="00A127F8">
      <w:pPr>
        <w:pStyle w:val="ParaKeep"/>
        <w:rPr>
          <w:lang w:eastAsia="en-AU"/>
        </w:rPr>
      </w:pPr>
      <w:r>
        <w:rPr>
          <w:lang w:eastAsia="en-AU"/>
        </w:rPr>
        <w:fldChar w:fldCharType="begin"/>
      </w:r>
      <w:r>
        <w:rPr>
          <w:lang w:eastAsia="en-AU"/>
        </w:rPr>
        <w:instrText xml:space="preserve"> REF _Ref59302334 \h </w:instrText>
      </w:r>
      <w:r>
        <w:rPr>
          <w:lang w:eastAsia="en-AU"/>
        </w:rPr>
      </w:r>
      <w:r>
        <w:rPr>
          <w:lang w:eastAsia="en-AU"/>
        </w:rPr>
        <w:fldChar w:fldCharType="separate"/>
      </w:r>
      <w:r w:rsidR="00CC3F04" w:rsidRPr="00736110">
        <w:t>Table </w:t>
      </w:r>
      <w:r w:rsidR="00CC3F04">
        <w:rPr>
          <w:noProof/>
        </w:rPr>
        <w:t>2</w:t>
      </w:r>
      <w:r w:rsidR="00CC3F04">
        <w:noBreakHyphen/>
      </w:r>
      <w:r w:rsidR="00CC3F04">
        <w:rPr>
          <w:noProof/>
        </w:rPr>
        <w:t>7</w:t>
      </w:r>
      <w:r>
        <w:rPr>
          <w:lang w:eastAsia="en-AU"/>
        </w:rPr>
        <w:fldChar w:fldCharType="end"/>
      </w:r>
      <w:r w:rsidR="00A127F8">
        <w:rPr>
          <w:lang w:eastAsia="en-AU"/>
        </w:rPr>
        <w:t xml:space="preserve"> summarises AT expenditure in 2018-19 under the HCP program, indicating that: </w:t>
      </w:r>
    </w:p>
    <w:p w14:paraId="3DCAAD79" w14:textId="77777777" w:rsidR="00A127F8" w:rsidRDefault="00A127F8" w:rsidP="00A127F8">
      <w:pPr>
        <w:pStyle w:val="Bullet1Keep"/>
      </w:pPr>
      <w:r w:rsidRPr="0042567A">
        <w:t>$6</w:t>
      </w:r>
      <w:r>
        <w:t>5</w:t>
      </w:r>
      <w:r w:rsidRPr="0042567A">
        <w:t>.</w:t>
      </w:r>
      <w:r>
        <w:t>312 </w:t>
      </w:r>
      <w:r w:rsidRPr="0042567A">
        <w:t>m</w:t>
      </w:r>
      <w:r>
        <w:t>illion</w:t>
      </w:r>
      <w:r w:rsidRPr="0042567A">
        <w:t xml:space="preserve"> </w:t>
      </w:r>
      <w:r>
        <w:t>(</w:t>
      </w:r>
      <w:r w:rsidRPr="0042567A">
        <w:t>2.5% of HCP expenditure</w:t>
      </w:r>
      <w:r>
        <w:t>) was estimated to be s</w:t>
      </w:r>
      <w:r w:rsidRPr="0042567A">
        <w:t xml:space="preserve">pent </w:t>
      </w:r>
      <w:r>
        <w:t xml:space="preserve">on AT </w:t>
      </w:r>
      <w:r w:rsidRPr="0042567A">
        <w:t>by consumers from their packages</w:t>
      </w:r>
      <w:r>
        <w:t xml:space="preserve"> in 2018-19 with:</w:t>
      </w:r>
    </w:p>
    <w:p w14:paraId="236DC4D7" w14:textId="77777777" w:rsidR="00A127F8" w:rsidRDefault="00A127F8" w:rsidP="00A127F8">
      <w:pPr>
        <w:pStyle w:val="Bullet2"/>
      </w:pPr>
      <w:r>
        <w:t>$37.039 million on Goods and equipment and AT</w:t>
      </w:r>
    </w:p>
    <w:p w14:paraId="45252354" w14:textId="5B166D96" w:rsidR="00A127F8" w:rsidRDefault="00A127F8" w:rsidP="00A127F8">
      <w:pPr>
        <w:pStyle w:val="Bullet2"/>
      </w:pPr>
      <w:r>
        <w:t xml:space="preserve">$24.693 </w:t>
      </w:r>
      <w:r w:rsidR="00B91576">
        <w:t xml:space="preserve">million </w:t>
      </w:r>
      <w:r>
        <w:t>on Home modifications.</w:t>
      </w:r>
    </w:p>
    <w:p w14:paraId="7A09E137" w14:textId="77777777" w:rsidR="00017633" w:rsidRDefault="00017633" w:rsidP="00017633">
      <w:bookmarkStart w:id="63" w:name="_Ref59302334"/>
      <w:bookmarkStart w:id="64" w:name="_Toc59402394"/>
    </w:p>
    <w:p w14:paraId="11575A6B" w14:textId="0A4E546F" w:rsidR="004A3055" w:rsidRPr="00736110" w:rsidRDefault="004A3055" w:rsidP="00017633">
      <w:r w:rsidRPr="00736110">
        <w:t>Table </w:t>
      </w:r>
      <w:r w:rsidR="009F14D1">
        <w:t>2-7</w:t>
      </w:r>
      <w:bookmarkEnd w:id="62"/>
      <w:bookmarkEnd w:id="63"/>
      <w:r w:rsidRPr="00736110">
        <w:t>:</w:t>
      </w:r>
      <w:r w:rsidRPr="00736110">
        <w:tab/>
        <w:t>HCP number of consumers and expenditure, 2018-19</w:t>
      </w:r>
      <w:bookmarkEnd w:id="64"/>
    </w:p>
    <w:tbl>
      <w:tblPr>
        <w:tblStyle w:val="AHALight"/>
        <w:tblW w:w="0" w:type="auto"/>
        <w:tblLayout w:type="fixed"/>
        <w:tblLook w:val="04E0" w:firstRow="1" w:lastRow="1" w:firstColumn="1" w:lastColumn="0" w:noHBand="0" w:noVBand="1"/>
        <w:tblCaption w:val="table 2-7"/>
        <w:tblDescription w:val="shows Home care package number of consumers and expenditure for 2018-19"/>
      </w:tblPr>
      <w:tblGrid>
        <w:gridCol w:w="2977"/>
        <w:gridCol w:w="1452"/>
        <w:gridCol w:w="1595"/>
        <w:gridCol w:w="1773"/>
        <w:gridCol w:w="1417"/>
      </w:tblGrid>
      <w:tr w:rsidR="008845A2" w:rsidRPr="0042567A" w14:paraId="1344DD94" w14:textId="77777777" w:rsidTr="00E864D7">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977" w:type="dxa"/>
          </w:tcPr>
          <w:p w14:paraId="16DB1660" w14:textId="77777777" w:rsidR="008845A2" w:rsidRPr="0042567A" w:rsidRDefault="008845A2" w:rsidP="00F77741">
            <w:pPr>
              <w:pStyle w:val="TableHeading1"/>
            </w:pPr>
            <w:r w:rsidRPr="0042567A">
              <w:t>HCP</w:t>
            </w:r>
          </w:p>
        </w:tc>
        <w:tc>
          <w:tcPr>
            <w:tcW w:w="1452" w:type="dxa"/>
          </w:tcPr>
          <w:p w14:paraId="6DF618EB" w14:textId="77777777" w:rsidR="008845A2" w:rsidRPr="004A3055" w:rsidRDefault="008845A2" w:rsidP="004A3055">
            <w:pPr>
              <w:pStyle w:val="TableHeading1"/>
              <w:jc w:val="right"/>
              <w:cnfStyle w:val="100000000000" w:firstRow="1" w:lastRow="0" w:firstColumn="0" w:lastColumn="0" w:oddVBand="0" w:evenVBand="0" w:oddHBand="0" w:evenHBand="0" w:firstRowFirstColumn="0" w:firstRowLastColumn="0" w:lastRowFirstColumn="0" w:lastRowLastColumn="0"/>
            </w:pPr>
            <w:r w:rsidRPr="004A3055">
              <w:t>Packages</w:t>
            </w:r>
          </w:p>
        </w:tc>
        <w:tc>
          <w:tcPr>
            <w:tcW w:w="1595" w:type="dxa"/>
          </w:tcPr>
          <w:p w14:paraId="1526EA7B" w14:textId="77777777" w:rsidR="008845A2" w:rsidRPr="004A3055" w:rsidRDefault="008845A2" w:rsidP="004A3055">
            <w:pPr>
              <w:pStyle w:val="TableHeading1"/>
              <w:jc w:val="right"/>
              <w:cnfStyle w:val="100000000000" w:firstRow="1" w:lastRow="0" w:firstColumn="0" w:lastColumn="0" w:oddVBand="0" w:evenVBand="0" w:oddHBand="0" w:evenHBand="0" w:firstRowFirstColumn="0" w:firstRowLastColumn="0" w:lastRowFirstColumn="0" w:lastRowLastColumn="0"/>
            </w:pPr>
            <w:r w:rsidRPr="004A3055">
              <w:t>Percent</w:t>
            </w:r>
          </w:p>
        </w:tc>
        <w:tc>
          <w:tcPr>
            <w:tcW w:w="1773" w:type="dxa"/>
          </w:tcPr>
          <w:p w14:paraId="10FE34F2" w14:textId="77777777" w:rsidR="008845A2" w:rsidRPr="004A3055" w:rsidRDefault="008845A2" w:rsidP="004A3055">
            <w:pPr>
              <w:pStyle w:val="TableHeading1"/>
              <w:jc w:val="right"/>
              <w:cnfStyle w:val="100000000000" w:firstRow="1" w:lastRow="0" w:firstColumn="0" w:lastColumn="0" w:oddVBand="0" w:evenVBand="0" w:oddHBand="0" w:evenHBand="0" w:firstRowFirstColumn="0" w:firstRowLastColumn="0" w:lastRowFirstColumn="0" w:lastRowLastColumn="0"/>
            </w:pPr>
            <w:r w:rsidRPr="004A3055">
              <w:t>Expenditure</w:t>
            </w:r>
          </w:p>
        </w:tc>
        <w:tc>
          <w:tcPr>
            <w:tcW w:w="1417" w:type="dxa"/>
          </w:tcPr>
          <w:p w14:paraId="0341ED9A" w14:textId="77777777" w:rsidR="008845A2" w:rsidRPr="004A3055" w:rsidRDefault="008845A2" w:rsidP="004A3055">
            <w:pPr>
              <w:pStyle w:val="TableHeading1"/>
              <w:jc w:val="right"/>
              <w:cnfStyle w:val="100000000000" w:firstRow="1" w:lastRow="0" w:firstColumn="0" w:lastColumn="0" w:oddVBand="0" w:evenVBand="0" w:oddHBand="0" w:evenHBand="0" w:firstRowFirstColumn="0" w:firstRowLastColumn="0" w:lastRowFirstColumn="0" w:lastRowLastColumn="0"/>
            </w:pPr>
            <w:r w:rsidRPr="004A3055">
              <w:t>Percent</w:t>
            </w:r>
          </w:p>
        </w:tc>
      </w:tr>
      <w:tr w:rsidR="008845A2" w:rsidRPr="00511C41" w14:paraId="4814DD18" w14:textId="77777777" w:rsidTr="00E864D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77" w:type="dxa"/>
          </w:tcPr>
          <w:p w14:paraId="53F525D2" w14:textId="77777777" w:rsidR="008845A2" w:rsidRPr="00511C41" w:rsidRDefault="008845A2" w:rsidP="00F77741">
            <w:pPr>
              <w:pStyle w:val="TableText"/>
              <w:rPr>
                <w:szCs w:val="18"/>
                <w:lang w:val="en-CA" w:eastAsia="en-AU"/>
              </w:rPr>
            </w:pPr>
            <w:r w:rsidRPr="00511C41">
              <w:rPr>
                <w:szCs w:val="18"/>
                <w:lang w:val="en-CA" w:eastAsia="en-AU"/>
              </w:rPr>
              <w:t xml:space="preserve">HCP Total </w:t>
            </w:r>
          </w:p>
        </w:tc>
        <w:tc>
          <w:tcPr>
            <w:tcW w:w="1452" w:type="dxa"/>
          </w:tcPr>
          <w:p w14:paraId="7EB8DCD3" w14:textId="77777777" w:rsidR="008845A2" w:rsidRPr="00511C41" w:rsidRDefault="008845A2" w:rsidP="00DF4B0D">
            <w:pPr>
              <w:pStyle w:val="TableTextRight"/>
              <w:cnfStyle w:val="000000100000" w:firstRow="0" w:lastRow="0" w:firstColumn="0" w:lastColumn="0" w:oddVBand="0" w:evenVBand="0" w:oddHBand="1" w:evenHBand="0" w:firstRowFirstColumn="0" w:firstRowLastColumn="0" w:lastRowFirstColumn="0" w:lastRowLastColumn="0"/>
            </w:pPr>
            <w:r w:rsidRPr="00511C41">
              <w:t>133,439</w:t>
            </w:r>
          </w:p>
        </w:tc>
        <w:tc>
          <w:tcPr>
            <w:tcW w:w="1595" w:type="dxa"/>
          </w:tcPr>
          <w:p w14:paraId="14FC8E4E" w14:textId="77777777" w:rsidR="008845A2" w:rsidRPr="00511C41" w:rsidRDefault="008845A2" w:rsidP="00DF4B0D">
            <w:pPr>
              <w:pStyle w:val="TableTextRight"/>
              <w:cnfStyle w:val="000000100000" w:firstRow="0" w:lastRow="0" w:firstColumn="0" w:lastColumn="0" w:oddVBand="0" w:evenVBand="0" w:oddHBand="1" w:evenHBand="0" w:firstRowFirstColumn="0" w:firstRowLastColumn="0" w:lastRowFirstColumn="0" w:lastRowLastColumn="0"/>
            </w:pPr>
            <w:r w:rsidRPr="00511C41">
              <w:t>100%</w:t>
            </w:r>
          </w:p>
        </w:tc>
        <w:tc>
          <w:tcPr>
            <w:tcW w:w="1773" w:type="dxa"/>
          </w:tcPr>
          <w:p w14:paraId="37EBFF5B" w14:textId="77777777" w:rsidR="008845A2" w:rsidRPr="00511C41" w:rsidRDefault="008845A2" w:rsidP="009313A7">
            <w:pPr>
              <w:pStyle w:val="TableTextRight"/>
              <w:cnfStyle w:val="000000100000" w:firstRow="0" w:lastRow="0" w:firstColumn="0" w:lastColumn="0" w:oddVBand="0" w:evenVBand="0" w:oddHBand="1" w:evenHBand="0" w:firstRowFirstColumn="0" w:firstRowLastColumn="0" w:lastRowFirstColumn="0" w:lastRowLastColumn="0"/>
              <w:rPr>
                <w:szCs w:val="18"/>
                <w:lang w:val="en-AU"/>
              </w:rPr>
            </w:pPr>
            <w:r>
              <w:t>$2,469,261,212</w:t>
            </w:r>
          </w:p>
        </w:tc>
        <w:tc>
          <w:tcPr>
            <w:tcW w:w="1417" w:type="dxa"/>
          </w:tcPr>
          <w:p w14:paraId="73B028A9" w14:textId="77777777" w:rsidR="008845A2" w:rsidRPr="00511C41" w:rsidRDefault="008845A2" w:rsidP="00DF4B0D">
            <w:pPr>
              <w:pStyle w:val="TableTextRight"/>
              <w:cnfStyle w:val="000000100000" w:firstRow="0" w:lastRow="0" w:firstColumn="0" w:lastColumn="0" w:oddVBand="0" w:evenVBand="0" w:oddHBand="1" w:evenHBand="0" w:firstRowFirstColumn="0" w:firstRowLastColumn="0" w:lastRowFirstColumn="0" w:lastRowLastColumn="0"/>
              <w:rPr>
                <w:szCs w:val="18"/>
              </w:rPr>
            </w:pPr>
            <w:r>
              <w:t>100%</w:t>
            </w:r>
          </w:p>
        </w:tc>
      </w:tr>
      <w:tr w:rsidR="00065C78" w:rsidRPr="00511C41" w14:paraId="10CB1043" w14:textId="77777777" w:rsidTr="00E864D7">
        <w:trPr>
          <w:trHeight w:val="294"/>
        </w:trPr>
        <w:tc>
          <w:tcPr>
            <w:cnfStyle w:val="001000000000" w:firstRow="0" w:lastRow="0" w:firstColumn="1" w:lastColumn="0" w:oddVBand="0" w:evenVBand="0" w:oddHBand="0" w:evenHBand="0" w:firstRowFirstColumn="0" w:firstRowLastColumn="0" w:lastRowFirstColumn="0" w:lastRowLastColumn="0"/>
            <w:tcW w:w="2977" w:type="dxa"/>
          </w:tcPr>
          <w:p w14:paraId="6372CBBE" w14:textId="5F2D1690" w:rsidR="00065C78" w:rsidRPr="00511C41" w:rsidRDefault="00065C78" w:rsidP="00065C78">
            <w:pPr>
              <w:pStyle w:val="TableText"/>
              <w:rPr>
                <w:b w:val="0"/>
                <w:szCs w:val="18"/>
                <w:lang w:val="en-CA" w:eastAsia="en-AU"/>
              </w:rPr>
            </w:pPr>
            <w:r w:rsidRPr="00511C41">
              <w:rPr>
                <w:szCs w:val="18"/>
                <w:lang w:val="en-CA" w:eastAsia="en-AU"/>
              </w:rPr>
              <w:t>Goods and Equipment (est)</w:t>
            </w:r>
            <w:r w:rsidRPr="00511C41">
              <w:rPr>
                <w:vertAlign w:val="superscript"/>
                <w:lang w:val="en-CA" w:eastAsia="en-AU"/>
              </w:rPr>
              <w:t xml:space="preserve"> </w:t>
            </w:r>
            <w:r w:rsidR="00A127F8">
              <w:rPr>
                <w:vertAlign w:val="superscript"/>
                <w:lang w:val="en-CA" w:eastAsia="en-AU"/>
              </w:rPr>
              <w:t>1</w:t>
            </w:r>
          </w:p>
        </w:tc>
        <w:tc>
          <w:tcPr>
            <w:tcW w:w="1452" w:type="dxa"/>
          </w:tcPr>
          <w:p w14:paraId="45FF12B0" w14:textId="77777777" w:rsidR="00065C78" w:rsidRPr="00511C41" w:rsidRDefault="00065C78" w:rsidP="00065C78">
            <w:pPr>
              <w:pStyle w:val="TableTextRight"/>
              <w:cnfStyle w:val="000000000000" w:firstRow="0" w:lastRow="0" w:firstColumn="0" w:lastColumn="0" w:oddVBand="0" w:evenVBand="0" w:oddHBand="0" w:evenHBand="0" w:firstRowFirstColumn="0" w:firstRowLastColumn="0" w:lastRowFirstColumn="0" w:lastRowLastColumn="0"/>
            </w:pPr>
            <w:r w:rsidRPr="00511C41">
              <w:t>n</w:t>
            </w:r>
            <w:r>
              <w:t>/</w:t>
            </w:r>
            <w:r w:rsidRPr="00511C41">
              <w:t>a</w:t>
            </w:r>
          </w:p>
        </w:tc>
        <w:tc>
          <w:tcPr>
            <w:tcW w:w="1595" w:type="dxa"/>
          </w:tcPr>
          <w:p w14:paraId="657CBB88" w14:textId="4F08DF39" w:rsidR="00065C78" w:rsidRPr="00511C41" w:rsidRDefault="00065C78" w:rsidP="00065C78">
            <w:pPr>
              <w:pStyle w:val="TableText"/>
              <w:jc w:val="right"/>
              <w:cnfStyle w:val="000000000000" w:firstRow="0" w:lastRow="0" w:firstColumn="0" w:lastColumn="0" w:oddVBand="0" w:evenVBand="0" w:oddHBand="0" w:evenHBand="0" w:firstRowFirstColumn="0" w:firstRowLastColumn="0" w:lastRowFirstColumn="0" w:lastRowLastColumn="0"/>
              <w:rPr>
                <w:szCs w:val="18"/>
                <w:lang w:val="en-CA" w:eastAsia="en-AU"/>
              </w:rPr>
            </w:pPr>
            <w:r w:rsidRPr="008C1FAC">
              <w:t>n/a</w:t>
            </w:r>
          </w:p>
        </w:tc>
        <w:tc>
          <w:tcPr>
            <w:tcW w:w="1773" w:type="dxa"/>
          </w:tcPr>
          <w:p w14:paraId="7D334930" w14:textId="77777777" w:rsidR="00065C78" w:rsidRPr="00511C41" w:rsidRDefault="00065C78" w:rsidP="00065C78">
            <w:pPr>
              <w:pStyle w:val="TableTextRight"/>
              <w:cnfStyle w:val="000000000000" w:firstRow="0" w:lastRow="0" w:firstColumn="0" w:lastColumn="0" w:oddVBand="0" w:evenVBand="0" w:oddHBand="0" w:evenHBand="0" w:firstRowFirstColumn="0" w:firstRowLastColumn="0" w:lastRowFirstColumn="0" w:lastRowLastColumn="0"/>
              <w:rPr>
                <w:szCs w:val="18"/>
              </w:rPr>
            </w:pPr>
            <w:r>
              <w:t>$37,039,000</w:t>
            </w:r>
          </w:p>
        </w:tc>
        <w:tc>
          <w:tcPr>
            <w:tcW w:w="1417" w:type="dxa"/>
          </w:tcPr>
          <w:p w14:paraId="338BAF26" w14:textId="77777777" w:rsidR="00065C78" w:rsidRPr="00511C41" w:rsidRDefault="00065C78" w:rsidP="00065C78">
            <w:pPr>
              <w:pStyle w:val="TableTextRight"/>
              <w:cnfStyle w:val="000000000000" w:firstRow="0" w:lastRow="0" w:firstColumn="0" w:lastColumn="0" w:oddVBand="0" w:evenVBand="0" w:oddHBand="0" w:evenHBand="0" w:firstRowFirstColumn="0" w:firstRowLastColumn="0" w:lastRowFirstColumn="0" w:lastRowLastColumn="0"/>
              <w:rPr>
                <w:szCs w:val="18"/>
              </w:rPr>
            </w:pPr>
            <w:r>
              <w:t>1.50%</w:t>
            </w:r>
          </w:p>
        </w:tc>
      </w:tr>
      <w:tr w:rsidR="00065C78" w:rsidRPr="00511C41" w14:paraId="70B7F8B3" w14:textId="77777777" w:rsidTr="00E864D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7" w:type="dxa"/>
          </w:tcPr>
          <w:p w14:paraId="593B8A71" w14:textId="7C55692B" w:rsidR="00065C78" w:rsidRPr="00511C41" w:rsidRDefault="00065C78" w:rsidP="00065C78">
            <w:pPr>
              <w:pStyle w:val="TableText"/>
              <w:rPr>
                <w:vertAlign w:val="superscript"/>
                <w:lang w:val="en-CA" w:eastAsia="en-AU"/>
              </w:rPr>
            </w:pPr>
            <w:r w:rsidRPr="00511C41">
              <w:rPr>
                <w:szCs w:val="18"/>
                <w:lang w:val="en-CA" w:eastAsia="en-AU"/>
              </w:rPr>
              <w:t>Home Modifications (est)</w:t>
            </w:r>
            <w:r>
              <w:rPr>
                <w:szCs w:val="18"/>
                <w:lang w:val="en-CA" w:eastAsia="en-AU"/>
              </w:rPr>
              <w:t xml:space="preserve"> </w:t>
            </w:r>
            <w:r w:rsidR="00A127F8">
              <w:rPr>
                <w:szCs w:val="18"/>
                <w:vertAlign w:val="superscript"/>
                <w:lang w:val="en-CA" w:eastAsia="en-AU"/>
              </w:rPr>
              <w:t>2</w:t>
            </w:r>
          </w:p>
        </w:tc>
        <w:tc>
          <w:tcPr>
            <w:tcW w:w="1452" w:type="dxa"/>
          </w:tcPr>
          <w:p w14:paraId="5C3B026A" w14:textId="77777777" w:rsidR="00065C78" w:rsidRPr="00511C41" w:rsidRDefault="00065C78" w:rsidP="00065C78">
            <w:pPr>
              <w:pStyle w:val="TableTextRight"/>
              <w:cnfStyle w:val="000000100000" w:firstRow="0" w:lastRow="0" w:firstColumn="0" w:lastColumn="0" w:oddVBand="0" w:evenVBand="0" w:oddHBand="1" w:evenHBand="0" w:firstRowFirstColumn="0" w:firstRowLastColumn="0" w:lastRowFirstColumn="0" w:lastRowLastColumn="0"/>
            </w:pPr>
            <w:r w:rsidRPr="00511C41">
              <w:t>n</w:t>
            </w:r>
            <w:r>
              <w:t>/</w:t>
            </w:r>
            <w:r w:rsidRPr="00511C41">
              <w:t>a</w:t>
            </w:r>
          </w:p>
        </w:tc>
        <w:tc>
          <w:tcPr>
            <w:tcW w:w="1595" w:type="dxa"/>
          </w:tcPr>
          <w:p w14:paraId="5ED895E4" w14:textId="22687DCD" w:rsidR="00065C78" w:rsidRPr="00511C41" w:rsidRDefault="00065C78" w:rsidP="00065C78">
            <w:pPr>
              <w:pStyle w:val="TableText"/>
              <w:jc w:val="right"/>
              <w:cnfStyle w:val="000000100000" w:firstRow="0" w:lastRow="0" w:firstColumn="0" w:lastColumn="0" w:oddVBand="0" w:evenVBand="0" w:oddHBand="1" w:evenHBand="0" w:firstRowFirstColumn="0" w:firstRowLastColumn="0" w:lastRowFirstColumn="0" w:lastRowLastColumn="0"/>
              <w:rPr>
                <w:szCs w:val="18"/>
                <w:lang w:val="en-CA" w:eastAsia="en-AU"/>
              </w:rPr>
            </w:pPr>
            <w:r w:rsidRPr="008C1FAC">
              <w:t>n/a</w:t>
            </w:r>
          </w:p>
        </w:tc>
        <w:tc>
          <w:tcPr>
            <w:tcW w:w="1773" w:type="dxa"/>
          </w:tcPr>
          <w:p w14:paraId="35FB2F8F" w14:textId="77777777" w:rsidR="00065C78" w:rsidRPr="00511C41" w:rsidRDefault="00065C78" w:rsidP="00065C78">
            <w:pPr>
              <w:pStyle w:val="TableTextRight"/>
              <w:cnfStyle w:val="000000100000" w:firstRow="0" w:lastRow="0" w:firstColumn="0" w:lastColumn="0" w:oddVBand="0" w:evenVBand="0" w:oddHBand="1" w:evenHBand="0" w:firstRowFirstColumn="0" w:firstRowLastColumn="0" w:lastRowFirstColumn="0" w:lastRowLastColumn="0"/>
              <w:rPr>
                <w:szCs w:val="18"/>
              </w:rPr>
            </w:pPr>
            <w:r>
              <w:t>$24,693,000</w:t>
            </w:r>
          </w:p>
        </w:tc>
        <w:tc>
          <w:tcPr>
            <w:tcW w:w="1417" w:type="dxa"/>
          </w:tcPr>
          <w:p w14:paraId="005C51BA" w14:textId="77777777" w:rsidR="00065C78" w:rsidRPr="00511C41" w:rsidRDefault="00065C78" w:rsidP="00065C78">
            <w:pPr>
              <w:pStyle w:val="TableTextRight"/>
              <w:cnfStyle w:val="000000100000" w:firstRow="0" w:lastRow="0" w:firstColumn="0" w:lastColumn="0" w:oddVBand="0" w:evenVBand="0" w:oddHBand="1" w:evenHBand="0" w:firstRowFirstColumn="0" w:firstRowLastColumn="0" w:lastRowFirstColumn="0" w:lastRowLastColumn="0"/>
              <w:rPr>
                <w:szCs w:val="18"/>
              </w:rPr>
            </w:pPr>
            <w:r>
              <w:t>1.00%</w:t>
            </w:r>
          </w:p>
        </w:tc>
      </w:tr>
      <w:tr w:rsidR="00065C78" w:rsidRPr="00511C41" w14:paraId="1EC0C122" w14:textId="77777777" w:rsidTr="00E864D7">
        <w:trPr>
          <w:cnfStyle w:val="010000000000" w:firstRow="0" w:lastRow="1"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77" w:type="dxa"/>
          </w:tcPr>
          <w:p w14:paraId="5CCCEAB5" w14:textId="77777777" w:rsidR="00065C78" w:rsidRPr="00511C41" w:rsidRDefault="00065C78" w:rsidP="00065C78">
            <w:pPr>
              <w:pStyle w:val="TableText"/>
              <w:rPr>
                <w:szCs w:val="18"/>
                <w:lang w:val="en-CA" w:eastAsia="en-AU"/>
              </w:rPr>
            </w:pPr>
            <w:r w:rsidRPr="00511C41">
              <w:rPr>
                <w:szCs w:val="18"/>
                <w:lang w:val="en-CA" w:eastAsia="en-AU"/>
              </w:rPr>
              <w:t>Total AT/HM</w:t>
            </w:r>
          </w:p>
        </w:tc>
        <w:tc>
          <w:tcPr>
            <w:tcW w:w="1452" w:type="dxa"/>
          </w:tcPr>
          <w:p w14:paraId="3C54F766" w14:textId="2127F42D" w:rsidR="00065C78" w:rsidRPr="00C4795F" w:rsidRDefault="00065C78" w:rsidP="00065C78">
            <w:pPr>
              <w:pStyle w:val="TableTextRight"/>
              <w:cnfStyle w:val="010000000000" w:firstRow="0" w:lastRow="1" w:firstColumn="0" w:lastColumn="0" w:oddVBand="0" w:evenVBand="0" w:oddHBand="0" w:evenHBand="0" w:firstRowFirstColumn="0" w:firstRowLastColumn="0" w:lastRowFirstColumn="0" w:lastRowLastColumn="0"/>
            </w:pPr>
            <w:r w:rsidRPr="00511C41">
              <w:t>n</w:t>
            </w:r>
            <w:r>
              <w:t>/</w:t>
            </w:r>
            <w:r w:rsidRPr="00511C41">
              <w:t>a</w:t>
            </w:r>
          </w:p>
        </w:tc>
        <w:tc>
          <w:tcPr>
            <w:tcW w:w="1595" w:type="dxa"/>
          </w:tcPr>
          <w:p w14:paraId="22A3CF23" w14:textId="1DAEF120" w:rsidR="00065C78" w:rsidRPr="00C4795F" w:rsidRDefault="00065C78" w:rsidP="00065C78">
            <w:pPr>
              <w:pStyle w:val="TableTextRight"/>
              <w:cnfStyle w:val="010000000000" w:firstRow="0" w:lastRow="1" w:firstColumn="0" w:lastColumn="0" w:oddVBand="0" w:evenVBand="0" w:oddHBand="0" w:evenHBand="0" w:firstRowFirstColumn="0" w:firstRowLastColumn="0" w:lastRowFirstColumn="0" w:lastRowLastColumn="0"/>
            </w:pPr>
            <w:r w:rsidRPr="008C1FAC">
              <w:t>n/a</w:t>
            </w:r>
          </w:p>
        </w:tc>
        <w:tc>
          <w:tcPr>
            <w:tcW w:w="1773" w:type="dxa"/>
          </w:tcPr>
          <w:p w14:paraId="014E2558" w14:textId="77777777" w:rsidR="00065C78" w:rsidRPr="00C4795F" w:rsidRDefault="00065C78" w:rsidP="00065C78">
            <w:pPr>
              <w:pStyle w:val="TableTextRight"/>
              <w:cnfStyle w:val="010000000000" w:firstRow="0" w:lastRow="1" w:firstColumn="0" w:lastColumn="0" w:oddVBand="0" w:evenVBand="0" w:oddHBand="0" w:evenHBand="0" w:firstRowFirstColumn="0" w:firstRowLastColumn="0" w:lastRowFirstColumn="0" w:lastRowLastColumn="0"/>
            </w:pPr>
            <w:r w:rsidRPr="00C4795F">
              <w:t>$65,316,307</w:t>
            </w:r>
          </w:p>
        </w:tc>
        <w:tc>
          <w:tcPr>
            <w:tcW w:w="1417" w:type="dxa"/>
          </w:tcPr>
          <w:p w14:paraId="2DFB5A37" w14:textId="77777777" w:rsidR="00065C78" w:rsidRPr="00C4795F" w:rsidRDefault="00065C78" w:rsidP="00065C78">
            <w:pPr>
              <w:pStyle w:val="TableTextRight"/>
              <w:cnfStyle w:val="010000000000" w:firstRow="0" w:lastRow="1" w:firstColumn="0" w:lastColumn="0" w:oddVBand="0" w:evenVBand="0" w:oddHBand="0" w:evenHBand="0" w:firstRowFirstColumn="0" w:firstRowLastColumn="0" w:lastRowFirstColumn="0" w:lastRowLastColumn="0"/>
            </w:pPr>
            <w:r w:rsidRPr="00C4795F">
              <w:t>2.5%</w:t>
            </w:r>
          </w:p>
        </w:tc>
      </w:tr>
    </w:tbl>
    <w:p w14:paraId="5E57636F" w14:textId="1C870EB1" w:rsidR="008845A2" w:rsidRDefault="00A127F8" w:rsidP="00186D90">
      <w:pPr>
        <w:pStyle w:val="Note"/>
      </w:pPr>
      <w:r>
        <w:rPr>
          <w:rStyle w:val="FootnoteReference"/>
        </w:rPr>
        <w:t>1</w:t>
      </w:r>
      <w:r w:rsidR="008845A2">
        <w:t xml:space="preserve"> </w:t>
      </w:r>
      <w:r w:rsidR="008845A2" w:rsidRPr="00511C41">
        <w:t>Based on HCP survey data, Goods and Equipment are estimated to be 50% of capital costs which are 3% of overall HCP costs (HCP survey extract)</w:t>
      </w:r>
    </w:p>
    <w:p w14:paraId="598E8166" w14:textId="0A58BF51" w:rsidR="00F5148E" w:rsidRDefault="00A127F8" w:rsidP="00186D90">
      <w:pPr>
        <w:pStyle w:val="Note"/>
      </w:pPr>
      <w:r>
        <w:rPr>
          <w:rStyle w:val="FootnoteReference"/>
        </w:rPr>
        <w:t>2</w:t>
      </w:r>
      <w:r w:rsidR="008845A2">
        <w:t xml:space="preserve"> </w:t>
      </w:r>
      <w:r w:rsidR="008845A2" w:rsidRPr="00511C41">
        <w:t xml:space="preserve">Based on HCP survey data, </w:t>
      </w:r>
      <w:r w:rsidR="008845A2">
        <w:t>Home Modifications</w:t>
      </w:r>
      <w:r w:rsidR="008845A2" w:rsidRPr="00511C41">
        <w:t xml:space="preserve"> are estimated to be </w:t>
      </w:r>
      <w:r w:rsidR="008845A2">
        <w:t>1</w:t>
      </w:r>
      <w:r w:rsidR="008845A2" w:rsidRPr="00511C41">
        <w:t>% of overall HCP costs (HCP survey extract)</w:t>
      </w:r>
    </w:p>
    <w:p w14:paraId="1CCA4B17" w14:textId="77777777" w:rsidR="001F66E2" w:rsidRPr="001F66E2" w:rsidRDefault="001F66E2" w:rsidP="001F66E2">
      <w:pPr>
        <w:rPr>
          <w:rFonts w:eastAsia="Arial Unicode MS"/>
        </w:rPr>
      </w:pPr>
      <w:r w:rsidRPr="001F66E2">
        <w:br w:type="page"/>
      </w:r>
    </w:p>
    <w:p w14:paraId="4B070B5B" w14:textId="4094854A" w:rsidR="008845A2" w:rsidRPr="00143C46" w:rsidRDefault="008845A2" w:rsidP="00143C46">
      <w:pPr>
        <w:rPr>
          <w:b/>
          <w:sz w:val="28"/>
          <w:szCs w:val="28"/>
        </w:rPr>
      </w:pPr>
      <w:r w:rsidRPr="00143C46">
        <w:rPr>
          <w:b/>
          <w:sz w:val="28"/>
          <w:szCs w:val="28"/>
        </w:rPr>
        <w:lastRenderedPageBreak/>
        <w:t xml:space="preserve">CHSP </w:t>
      </w:r>
      <w:r w:rsidR="00C81A64" w:rsidRPr="00143C46">
        <w:rPr>
          <w:b/>
          <w:sz w:val="28"/>
          <w:szCs w:val="28"/>
        </w:rPr>
        <w:t>AT s</w:t>
      </w:r>
      <w:r w:rsidRPr="00143C46">
        <w:rPr>
          <w:b/>
          <w:sz w:val="28"/>
          <w:szCs w:val="28"/>
        </w:rPr>
        <w:t>ub</w:t>
      </w:r>
      <w:r w:rsidR="00C81A64" w:rsidRPr="00143C46">
        <w:rPr>
          <w:b/>
          <w:sz w:val="28"/>
          <w:szCs w:val="28"/>
        </w:rPr>
        <w:t>-</w:t>
      </w:r>
      <w:r w:rsidRPr="00143C46">
        <w:rPr>
          <w:b/>
          <w:sz w:val="28"/>
          <w:szCs w:val="28"/>
        </w:rPr>
        <w:t xml:space="preserve">category funding </w:t>
      </w:r>
    </w:p>
    <w:p w14:paraId="684B9213" w14:textId="327E6FA4" w:rsidR="008845A2" w:rsidRDefault="008845A2" w:rsidP="008845A2">
      <w:pPr>
        <w:pStyle w:val="ParaKeep"/>
      </w:pPr>
      <w:r w:rsidRPr="009473D8">
        <w:rPr>
          <w:rStyle w:val="Italic"/>
          <w:i w:val="0"/>
          <w:iCs/>
          <w:highlight w:val="yellow"/>
        </w:rPr>
        <w:fldChar w:fldCharType="begin"/>
      </w:r>
      <w:r w:rsidRPr="009473D8">
        <w:rPr>
          <w:i/>
          <w:iCs/>
        </w:rPr>
        <w:instrText xml:space="preserve"> REF _Ref42186634 \h </w:instrText>
      </w:r>
      <w:r>
        <w:rPr>
          <w:rStyle w:val="Italic"/>
          <w:i w:val="0"/>
          <w:iCs/>
          <w:highlight w:val="yellow"/>
        </w:rPr>
        <w:instrText xml:space="preserve"> \* MERGEFORMAT </w:instrText>
      </w:r>
      <w:r w:rsidRPr="009473D8">
        <w:rPr>
          <w:rStyle w:val="Italic"/>
          <w:i w:val="0"/>
          <w:iCs/>
          <w:highlight w:val="yellow"/>
        </w:rPr>
      </w:r>
      <w:r w:rsidRPr="009473D8">
        <w:rPr>
          <w:rStyle w:val="Italic"/>
          <w:i w:val="0"/>
          <w:iCs/>
          <w:highlight w:val="yellow"/>
        </w:rPr>
        <w:fldChar w:fldCharType="separate"/>
      </w:r>
      <w:r w:rsidR="00CC3F04" w:rsidRPr="00CC3F04">
        <w:rPr>
          <w:i/>
          <w:iCs/>
        </w:rPr>
        <w:t>Table 2</w:t>
      </w:r>
      <w:r w:rsidR="00CC3F04" w:rsidRPr="00CC3F04">
        <w:rPr>
          <w:i/>
          <w:iCs/>
        </w:rPr>
        <w:noBreakHyphen/>
        <w:t>8</w:t>
      </w:r>
      <w:r w:rsidRPr="009473D8">
        <w:rPr>
          <w:rStyle w:val="Italic"/>
          <w:i w:val="0"/>
          <w:iCs/>
          <w:highlight w:val="yellow"/>
        </w:rPr>
        <w:fldChar w:fldCharType="end"/>
      </w:r>
      <w:r>
        <w:rPr>
          <w:rStyle w:val="Italic"/>
        </w:rPr>
        <w:t xml:space="preserve"> </w:t>
      </w:r>
      <w:r>
        <w:t>details the subcategories and number of consumers receiving AT under the CHSP Goods, Equipment and AT service item in 2018-19</w:t>
      </w:r>
      <w:r w:rsidR="00F80723">
        <w:t xml:space="preserve">. </w:t>
      </w:r>
      <w:r>
        <w:t>This shows that:</w:t>
      </w:r>
    </w:p>
    <w:p w14:paraId="362FD1F2" w14:textId="77777777" w:rsidR="008845A2" w:rsidRDefault="008845A2" w:rsidP="008845A2">
      <w:pPr>
        <w:pStyle w:val="Bullet1"/>
      </w:pPr>
      <w:r>
        <w:t>The largest category of AT expenditure was on ‘Other’ (30.4%), followed by Support and Mobility Aids (26.2%) and Medical Care Aids (21.5%)</w:t>
      </w:r>
    </w:p>
    <w:p w14:paraId="63961218" w14:textId="77777777" w:rsidR="008845A2" w:rsidRDefault="008845A2" w:rsidP="008845A2">
      <w:pPr>
        <w:pStyle w:val="Bullet1"/>
      </w:pPr>
      <w:r>
        <w:t>Only 0.1% of expenditure was on Car modifications and 0.5% on Reading aids.</w:t>
      </w:r>
    </w:p>
    <w:p w14:paraId="0F41131D" w14:textId="543B391F" w:rsidR="008845A2" w:rsidRDefault="008845A2" w:rsidP="008845A2">
      <w:pPr>
        <w:pStyle w:val="Paragraph"/>
      </w:pPr>
      <w:r>
        <w:t>These groupings do not currently correspond with the ISO standard groupings and with 30.4% of goods and equipment identified as ‘other’ this would suggest that these categories may require review to capture more accurate information on AT use</w:t>
      </w:r>
      <w:r w:rsidR="00F80723">
        <w:t xml:space="preserve">. </w:t>
      </w:r>
      <w:r>
        <w:t xml:space="preserve">An option for re-categorisation is discussed in </w:t>
      </w:r>
      <w:r w:rsidRPr="005C5B17">
        <w:rPr>
          <w:rStyle w:val="Italic"/>
        </w:rPr>
        <w:t>Chapter </w:t>
      </w:r>
      <w:r w:rsidRPr="00CC535A">
        <w:rPr>
          <w:rStyle w:val="Italic"/>
          <w:highlight w:val="yellow"/>
        </w:rPr>
        <w:fldChar w:fldCharType="begin"/>
      </w:r>
      <w:r w:rsidRPr="005C5B17">
        <w:rPr>
          <w:rStyle w:val="Italic"/>
        </w:rPr>
        <w:instrText xml:space="preserve"> REF _Ref41837212 \n \h </w:instrText>
      </w:r>
      <w:r w:rsidRPr="00CC535A">
        <w:rPr>
          <w:rStyle w:val="Italic"/>
          <w:highlight w:val="yellow"/>
        </w:rPr>
        <w:instrText xml:space="preserve"> \* MERGEFORMAT </w:instrText>
      </w:r>
      <w:r w:rsidRPr="00CC535A">
        <w:rPr>
          <w:rStyle w:val="Italic"/>
          <w:highlight w:val="yellow"/>
        </w:rPr>
      </w:r>
      <w:r w:rsidRPr="00CC535A">
        <w:rPr>
          <w:rStyle w:val="Italic"/>
          <w:highlight w:val="yellow"/>
        </w:rPr>
        <w:fldChar w:fldCharType="separate"/>
      </w:r>
      <w:r w:rsidR="00CC3F04">
        <w:rPr>
          <w:rStyle w:val="Italic"/>
        </w:rPr>
        <w:t>4</w:t>
      </w:r>
      <w:r w:rsidRPr="00CC535A">
        <w:rPr>
          <w:rStyle w:val="Italic"/>
          <w:highlight w:val="yellow"/>
        </w:rPr>
        <w:fldChar w:fldCharType="end"/>
      </w:r>
      <w:r>
        <w:t>.</w:t>
      </w:r>
    </w:p>
    <w:p w14:paraId="2CCBED3E" w14:textId="011D6077" w:rsidR="008845A2" w:rsidRPr="00736110" w:rsidRDefault="008845A2" w:rsidP="00143C46">
      <w:bookmarkStart w:id="65" w:name="_Ref42186634"/>
      <w:bookmarkStart w:id="66" w:name="_Toc59402395"/>
      <w:r w:rsidRPr="00736110">
        <w:t>Table </w:t>
      </w:r>
      <w:r w:rsidR="006870B9">
        <w:fldChar w:fldCharType="begin"/>
      </w:r>
      <w:r w:rsidR="006870B9">
        <w:instrText xml:space="preserve"> STYLEREF 1 \s </w:instrText>
      </w:r>
      <w:r w:rsidR="006870B9">
        <w:fldChar w:fldCharType="separate"/>
      </w:r>
      <w:r w:rsidR="00CC3F04">
        <w:rPr>
          <w:noProof/>
        </w:rPr>
        <w:t>2</w:t>
      </w:r>
      <w:r w:rsidR="006870B9">
        <w:fldChar w:fldCharType="end"/>
      </w:r>
      <w:r w:rsidR="009F14D1">
        <w:t>-8</w:t>
      </w:r>
      <w:bookmarkEnd w:id="65"/>
      <w:r w:rsidRPr="00736110">
        <w:t>:</w:t>
      </w:r>
      <w:r w:rsidRPr="00736110">
        <w:tab/>
        <w:t>CHSP Goods and Equipment allocation by category 2018-19</w:t>
      </w:r>
      <w:bookmarkEnd w:id="66"/>
      <w:r w:rsidRPr="00736110">
        <w:t xml:space="preserve"> </w:t>
      </w:r>
    </w:p>
    <w:tbl>
      <w:tblPr>
        <w:tblStyle w:val="AHALight"/>
        <w:tblW w:w="0" w:type="auto"/>
        <w:tblLayout w:type="fixed"/>
        <w:tblLook w:val="04E0" w:firstRow="1" w:lastRow="1" w:firstColumn="1" w:lastColumn="0" w:noHBand="0" w:noVBand="1"/>
        <w:tblCaption w:val="table 2-8"/>
        <w:tblDescription w:val="shows CHSP goods and equipment allocation by category for 2018-19"/>
      </w:tblPr>
      <w:tblGrid>
        <w:gridCol w:w="2902"/>
        <w:gridCol w:w="2352"/>
        <w:gridCol w:w="1029"/>
      </w:tblGrid>
      <w:tr w:rsidR="008845A2" w14:paraId="5810D0B3" w14:textId="77777777" w:rsidTr="00290F13">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902"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26592F6D" w14:textId="70614339" w:rsidR="008845A2" w:rsidRPr="000C0153" w:rsidRDefault="008845A2" w:rsidP="00F77741">
            <w:pPr>
              <w:pStyle w:val="TableHeading1"/>
              <w:rPr>
                <w:b w:val="0"/>
                <w:szCs w:val="20"/>
                <w:vertAlign w:val="superscript"/>
                <w:lang w:val="en-CA" w:eastAsia="en-AU"/>
              </w:rPr>
            </w:pPr>
            <w:r w:rsidRPr="00511C41">
              <w:rPr>
                <w:szCs w:val="20"/>
                <w:lang w:val="en-CA" w:eastAsia="en-AU"/>
              </w:rPr>
              <w:t>CHSP</w:t>
            </w:r>
            <w:r w:rsidR="004A3055">
              <w:rPr>
                <w:szCs w:val="20"/>
                <w:lang w:val="en-CA" w:eastAsia="en-AU"/>
              </w:rPr>
              <w:t xml:space="preserve"> </w:t>
            </w:r>
            <w:r>
              <w:rPr>
                <w:szCs w:val="20"/>
                <w:vertAlign w:val="superscript"/>
                <w:lang w:val="en-CA" w:eastAsia="en-AU"/>
              </w:rPr>
              <w:t>1</w:t>
            </w:r>
          </w:p>
        </w:tc>
        <w:tc>
          <w:tcPr>
            <w:tcW w:w="2352" w:type="dxa"/>
            <w:tcBorders>
              <w:top w:val="single" w:sz="4" w:space="0" w:color="D9D9D9" w:themeColor="background1" w:themeShade="D9"/>
              <w:left w:val="single" w:sz="4" w:space="0" w:color="D9D9D9" w:themeColor="background1" w:themeShade="D9"/>
            </w:tcBorders>
          </w:tcPr>
          <w:p w14:paraId="467D4283" w14:textId="77777777" w:rsidR="008845A2" w:rsidRPr="00511C41" w:rsidRDefault="008845A2" w:rsidP="00F77741">
            <w:pPr>
              <w:pStyle w:val="TableHeading1"/>
              <w:jc w:val="right"/>
              <w:cnfStyle w:val="100000000000" w:firstRow="1" w:lastRow="0" w:firstColumn="0" w:lastColumn="0" w:oddVBand="0" w:evenVBand="0" w:oddHBand="0" w:evenHBand="0" w:firstRowFirstColumn="0" w:firstRowLastColumn="0" w:lastRowFirstColumn="0" w:lastRowLastColumn="0"/>
              <w:rPr>
                <w:b w:val="0"/>
                <w:szCs w:val="28"/>
                <w:lang w:val="en-CA" w:eastAsia="en-AU"/>
              </w:rPr>
            </w:pPr>
            <w:r>
              <w:rPr>
                <w:szCs w:val="28"/>
                <w:lang w:val="en-CA" w:eastAsia="en-AU"/>
              </w:rPr>
              <w:t>Number of consumer</w:t>
            </w:r>
            <w:r w:rsidRPr="00511C41">
              <w:rPr>
                <w:szCs w:val="28"/>
                <w:lang w:val="en-CA" w:eastAsia="en-AU"/>
              </w:rPr>
              <w:t>s</w:t>
            </w:r>
          </w:p>
        </w:tc>
        <w:tc>
          <w:tcPr>
            <w:tcW w:w="1029" w:type="dxa"/>
            <w:tcBorders>
              <w:top w:val="single" w:sz="4" w:space="0" w:color="D9D9D9" w:themeColor="background1" w:themeShade="D9"/>
              <w:right w:val="single" w:sz="4" w:space="0" w:color="D9D9D9" w:themeColor="background1" w:themeShade="D9"/>
            </w:tcBorders>
          </w:tcPr>
          <w:p w14:paraId="4E6D743B" w14:textId="77777777" w:rsidR="008845A2" w:rsidRPr="00511C41" w:rsidRDefault="008845A2" w:rsidP="00F77741">
            <w:pPr>
              <w:pStyle w:val="TableHeading1"/>
              <w:jc w:val="right"/>
              <w:cnfStyle w:val="100000000000" w:firstRow="1" w:lastRow="0" w:firstColumn="0" w:lastColumn="0" w:oddVBand="0" w:evenVBand="0" w:oddHBand="0" w:evenHBand="0" w:firstRowFirstColumn="0" w:firstRowLastColumn="0" w:lastRowFirstColumn="0" w:lastRowLastColumn="0"/>
              <w:rPr>
                <w:b w:val="0"/>
                <w:szCs w:val="28"/>
                <w:lang w:val="en-CA" w:eastAsia="en-AU"/>
              </w:rPr>
            </w:pPr>
            <w:r w:rsidRPr="00511C41">
              <w:rPr>
                <w:szCs w:val="28"/>
                <w:lang w:val="en-CA" w:eastAsia="en-AU"/>
              </w:rPr>
              <w:t>Percent</w:t>
            </w:r>
          </w:p>
        </w:tc>
      </w:tr>
      <w:tr w:rsidR="008845A2" w:rsidRPr="00F5148E" w14:paraId="134E4557" w14:textId="77777777" w:rsidTr="00290F1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02" w:type="dxa"/>
            <w:tcBorders>
              <w:left w:val="single" w:sz="4" w:space="0" w:color="D9D9D9" w:themeColor="background1" w:themeShade="D9"/>
              <w:right w:val="single" w:sz="4" w:space="0" w:color="D9D9D9" w:themeColor="background1" w:themeShade="D9"/>
            </w:tcBorders>
          </w:tcPr>
          <w:p w14:paraId="182357FE" w14:textId="77777777" w:rsidR="008845A2" w:rsidRPr="00F5148E" w:rsidRDefault="008845A2" w:rsidP="00F5148E">
            <w:r w:rsidRPr="00F5148E">
              <w:t>Car modification</w:t>
            </w:r>
          </w:p>
        </w:tc>
        <w:tc>
          <w:tcPr>
            <w:tcW w:w="2352" w:type="dxa"/>
            <w:tcBorders>
              <w:left w:val="single" w:sz="4" w:space="0" w:color="D9D9D9" w:themeColor="background1" w:themeShade="D9"/>
              <w:right w:val="nil"/>
            </w:tcBorders>
          </w:tcPr>
          <w:p w14:paraId="1EF37382" w14:textId="77777777" w:rsidR="008845A2" w:rsidRPr="00F5148E" w:rsidRDefault="008845A2" w:rsidP="009313A7">
            <w:pPr>
              <w:pStyle w:val="TableTextRight"/>
              <w:cnfStyle w:val="000000100000" w:firstRow="0" w:lastRow="0" w:firstColumn="0" w:lastColumn="0" w:oddVBand="0" w:evenVBand="0" w:oddHBand="1" w:evenHBand="0" w:firstRowFirstColumn="0" w:firstRowLastColumn="0" w:lastRowFirstColumn="0" w:lastRowLastColumn="0"/>
            </w:pPr>
            <w:r w:rsidRPr="00F5148E">
              <w:t>18</w:t>
            </w:r>
          </w:p>
        </w:tc>
        <w:tc>
          <w:tcPr>
            <w:tcW w:w="1029" w:type="dxa"/>
            <w:tcBorders>
              <w:left w:val="nil"/>
              <w:right w:val="single" w:sz="4" w:space="0" w:color="D9D9D9" w:themeColor="background1" w:themeShade="D9"/>
            </w:tcBorders>
          </w:tcPr>
          <w:p w14:paraId="7CA2F998" w14:textId="77777777" w:rsidR="008845A2" w:rsidRPr="00F5148E" w:rsidRDefault="008845A2" w:rsidP="009313A7">
            <w:pPr>
              <w:pStyle w:val="TableTextRight"/>
              <w:cnfStyle w:val="000000100000" w:firstRow="0" w:lastRow="0" w:firstColumn="0" w:lastColumn="0" w:oddVBand="0" w:evenVBand="0" w:oddHBand="1" w:evenHBand="0" w:firstRowFirstColumn="0" w:firstRowLastColumn="0" w:lastRowFirstColumn="0" w:lastRowLastColumn="0"/>
            </w:pPr>
            <w:r w:rsidRPr="00F5148E">
              <w:t>0.1%</w:t>
            </w:r>
          </w:p>
        </w:tc>
      </w:tr>
      <w:tr w:rsidR="008845A2" w:rsidRPr="00F5148E" w14:paraId="5C5FD42F" w14:textId="77777777" w:rsidTr="00290F13">
        <w:trPr>
          <w:trHeight w:val="294"/>
        </w:trPr>
        <w:tc>
          <w:tcPr>
            <w:cnfStyle w:val="001000000000" w:firstRow="0" w:lastRow="0" w:firstColumn="1" w:lastColumn="0" w:oddVBand="0" w:evenVBand="0" w:oddHBand="0" w:evenHBand="0" w:firstRowFirstColumn="0" w:firstRowLastColumn="0" w:lastRowFirstColumn="0" w:lastRowLastColumn="0"/>
            <w:tcW w:w="2902" w:type="dxa"/>
            <w:tcBorders>
              <w:left w:val="single" w:sz="4" w:space="0" w:color="D9D9D9" w:themeColor="background1" w:themeShade="D9"/>
              <w:right w:val="single" w:sz="4" w:space="0" w:color="D9D9D9" w:themeColor="background1" w:themeShade="D9"/>
            </w:tcBorders>
          </w:tcPr>
          <w:p w14:paraId="3CC6DDAB" w14:textId="77777777" w:rsidR="008845A2" w:rsidRPr="00F5148E" w:rsidRDefault="008845A2" w:rsidP="00F5148E">
            <w:r w:rsidRPr="00F5148E">
              <w:t>Communication aids</w:t>
            </w:r>
          </w:p>
        </w:tc>
        <w:tc>
          <w:tcPr>
            <w:tcW w:w="2352" w:type="dxa"/>
            <w:tcBorders>
              <w:left w:val="single" w:sz="4" w:space="0" w:color="D9D9D9" w:themeColor="background1" w:themeShade="D9"/>
              <w:right w:val="nil"/>
            </w:tcBorders>
          </w:tcPr>
          <w:p w14:paraId="3432B267" w14:textId="77777777" w:rsidR="008845A2" w:rsidRPr="00F5148E" w:rsidRDefault="008845A2" w:rsidP="009313A7">
            <w:pPr>
              <w:pStyle w:val="TableTextRight"/>
              <w:cnfStyle w:val="000000000000" w:firstRow="0" w:lastRow="0" w:firstColumn="0" w:lastColumn="0" w:oddVBand="0" w:evenVBand="0" w:oddHBand="0" w:evenHBand="0" w:firstRowFirstColumn="0" w:firstRowLastColumn="0" w:lastRowFirstColumn="0" w:lastRowLastColumn="0"/>
            </w:pPr>
            <w:r w:rsidRPr="00F5148E">
              <w:t>592</w:t>
            </w:r>
          </w:p>
        </w:tc>
        <w:tc>
          <w:tcPr>
            <w:tcW w:w="1029" w:type="dxa"/>
            <w:tcBorders>
              <w:left w:val="nil"/>
              <w:right w:val="single" w:sz="4" w:space="0" w:color="D9D9D9" w:themeColor="background1" w:themeShade="D9"/>
            </w:tcBorders>
          </w:tcPr>
          <w:p w14:paraId="17F2E59F" w14:textId="77777777" w:rsidR="008845A2" w:rsidRPr="00F5148E" w:rsidRDefault="008845A2" w:rsidP="009313A7">
            <w:pPr>
              <w:pStyle w:val="TableTextRight"/>
              <w:cnfStyle w:val="000000000000" w:firstRow="0" w:lastRow="0" w:firstColumn="0" w:lastColumn="0" w:oddVBand="0" w:evenVBand="0" w:oddHBand="0" w:evenHBand="0" w:firstRowFirstColumn="0" w:firstRowLastColumn="0" w:lastRowFirstColumn="0" w:lastRowLastColumn="0"/>
            </w:pPr>
            <w:r w:rsidRPr="00F5148E">
              <w:t>3.4%</w:t>
            </w:r>
          </w:p>
        </w:tc>
      </w:tr>
      <w:tr w:rsidR="008845A2" w:rsidRPr="00F5148E" w14:paraId="14141023" w14:textId="77777777" w:rsidTr="00290F1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02" w:type="dxa"/>
            <w:tcBorders>
              <w:left w:val="single" w:sz="4" w:space="0" w:color="D9D9D9" w:themeColor="background1" w:themeShade="D9"/>
              <w:right w:val="single" w:sz="4" w:space="0" w:color="D9D9D9" w:themeColor="background1" w:themeShade="D9"/>
            </w:tcBorders>
          </w:tcPr>
          <w:p w14:paraId="635BFD97" w14:textId="77777777" w:rsidR="008845A2" w:rsidRPr="00F5148E" w:rsidRDefault="008845A2" w:rsidP="00F5148E">
            <w:r w:rsidRPr="00F5148E">
              <w:t>Medical care aids</w:t>
            </w:r>
          </w:p>
        </w:tc>
        <w:tc>
          <w:tcPr>
            <w:tcW w:w="2352" w:type="dxa"/>
            <w:tcBorders>
              <w:left w:val="single" w:sz="4" w:space="0" w:color="D9D9D9" w:themeColor="background1" w:themeShade="D9"/>
              <w:right w:val="nil"/>
            </w:tcBorders>
          </w:tcPr>
          <w:p w14:paraId="5B1C86FC" w14:textId="77777777" w:rsidR="008845A2" w:rsidRPr="00F5148E" w:rsidRDefault="008845A2" w:rsidP="009313A7">
            <w:pPr>
              <w:pStyle w:val="TableTextRight"/>
              <w:cnfStyle w:val="000000100000" w:firstRow="0" w:lastRow="0" w:firstColumn="0" w:lastColumn="0" w:oddVBand="0" w:evenVBand="0" w:oddHBand="1" w:evenHBand="0" w:firstRowFirstColumn="0" w:firstRowLastColumn="0" w:lastRowFirstColumn="0" w:lastRowLastColumn="0"/>
            </w:pPr>
            <w:r w:rsidRPr="00F5148E">
              <w:t>3,789</w:t>
            </w:r>
          </w:p>
        </w:tc>
        <w:tc>
          <w:tcPr>
            <w:tcW w:w="1029" w:type="dxa"/>
            <w:tcBorders>
              <w:left w:val="nil"/>
              <w:right w:val="single" w:sz="4" w:space="0" w:color="D9D9D9" w:themeColor="background1" w:themeShade="D9"/>
            </w:tcBorders>
          </w:tcPr>
          <w:p w14:paraId="7073586C" w14:textId="77777777" w:rsidR="008845A2" w:rsidRPr="00F5148E" w:rsidRDefault="008845A2" w:rsidP="009313A7">
            <w:pPr>
              <w:pStyle w:val="TableTextRight"/>
              <w:cnfStyle w:val="000000100000" w:firstRow="0" w:lastRow="0" w:firstColumn="0" w:lastColumn="0" w:oddVBand="0" w:evenVBand="0" w:oddHBand="1" w:evenHBand="0" w:firstRowFirstColumn="0" w:firstRowLastColumn="0" w:lastRowFirstColumn="0" w:lastRowLastColumn="0"/>
            </w:pPr>
            <w:r w:rsidRPr="00F5148E">
              <w:t>21.5%</w:t>
            </w:r>
          </w:p>
        </w:tc>
      </w:tr>
      <w:tr w:rsidR="008845A2" w:rsidRPr="00F5148E" w14:paraId="3940ED61" w14:textId="77777777" w:rsidTr="00290F13">
        <w:trPr>
          <w:trHeight w:val="294"/>
        </w:trPr>
        <w:tc>
          <w:tcPr>
            <w:cnfStyle w:val="001000000000" w:firstRow="0" w:lastRow="0" w:firstColumn="1" w:lastColumn="0" w:oddVBand="0" w:evenVBand="0" w:oddHBand="0" w:evenHBand="0" w:firstRowFirstColumn="0" w:firstRowLastColumn="0" w:lastRowFirstColumn="0" w:lastRowLastColumn="0"/>
            <w:tcW w:w="2902" w:type="dxa"/>
            <w:tcBorders>
              <w:left w:val="single" w:sz="4" w:space="0" w:color="D9D9D9" w:themeColor="background1" w:themeShade="D9"/>
              <w:right w:val="single" w:sz="4" w:space="0" w:color="D9D9D9" w:themeColor="background1" w:themeShade="D9"/>
            </w:tcBorders>
          </w:tcPr>
          <w:p w14:paraId="60BBCD94" w14:textId="77777777" w:rsidR="008845A2" w:rsidRPr="00F5148E" w:rsidRDefault="008845A2" w:rsidP="00F5148E">
            <w:r w:rsidRPr="00F5148E">
              <w:t>Other goods and equipment</w:t>
            </w:r>
          </w:p>
        </w:tc>
        <w:tc>
          <w:tcPr>
            <w:tcW w:w="2352" w:type="dxa"/>
            <w:tcBorders>
              <w:left w:val="single" w:sz="4" w:space="0" w:color="D9D9D9" w:themeColor="background1" w:themeShade="D9"/>
              <w:right w:val="nil"/>
            </w:tcBorders>
          </w:tcPr>
          <w:p w14:paraId="1FCA8FD1" w14:textId="77777777" w:rsidR="008845A2" w:rsidRPr="00F5148E" w:rsidRDefault="008845A2" w:rsidP="009313A7">
            <w:pPr>
              <w:pStyle w:val="TableTextRight"/>
              <w:cnfStyle w:val="000000000000" w:firstRow="0" w:lastRow="0" w:firstColumn="0" w:lastColumn="0" w:oddVBand="0" w:evenVBand="0" w:oddHBand="0" w:evenHBand="0" w:firstRowFirstColumn="0" w:firstRowLastColumn="0" w:lastRowFirstColumn="0" w:lastRowLastColumn="0"/>
            </w:pPr>
            <w:r w:rsidRPr="00F5148E">
              <w:t>5,343</w:t>
            </w:r>
          </w:p>
        </w:tc>
        <w:tc>
          <w:tcPr>
            <w:tcW w:w="1029" w:type="dxa"/>
            <w:tcBorders>
              <w:left w:val="nil"/>
              <w:right w:val="single" w:sz="4" w:space="0" w:color="D9D9D9" w:themeColor="background1" w:themeShade="D9"/>
            </w:tcBorders>
          </w:tcPr>
          <w:p w14:paraId="38FC11BA" w14:textId="77777777" w:rsidR="008845A2" w:rsidRPr="00F5148E" w:rsidRDefault="008845A2" w:rsidP="009313A7">
            <w:pPr>
              <w:pStyle w:val="TableTextRight"/>
              <w:cnfStyle w:val="000000000000" w:firstRow="0" w:lastRow="0" w:firstColumn="0" w:lastColumn="0" w:oddVBand="0" w:evenVBand="0" w:oddHBand="0" w:evenHBand="0" w:firstRowFirstColumn="0" w:firstRowLastColumn="0" w:lastRowFirstColumn="0" w:lastRowLastColumn="0"/>
            </w:pPr>
            <w:r w:rsidRPr="00F5148E">
              <w:t>30.4%</w:t>
            </w:r>
          </w:p>
        </w:tc>
      </w:tr>
      <w:tr w:rsidR="008845A2" w:rsidRPr="00F5148E" w14:paraId="3D12E6BD" w14:textId="77777777" w:rsidTr="00290F1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02" w:type="dxa"/>
            <w:tcBorders>
              <w:left w:val="single" w:sz="4" w:space="0" w:color="D9D9D9" w:themeColor="background1" w:themeShade="D9"/>
              <w:right w:val="single" w:sz="4" w:space="0" w:color="D9D9D9" w:themeColor="background1" w:themeShade="D9"/>
            </w:tcBorders>
          </w:tcPr>
          <w:p w14:paraId="0ADF6FCB" w14:textId="77777777" w:rsidR="008845A2" w:rsidRPr="00F5148E" w:rsidRDefault="008845A2" w:rsidP="00F5148E">
            <w:r w:rsidRPr="00F5148E">
              <w:t>Reading aids</w:t>
            </w:r>
          </w:p>
        </w:tc>
        <w:tc>
          <w:tcPr>
            <w:tcW w:w="2352" w:type="dxa"/>
            <w:tcBorders>
              <w:left w:val="single" w:sz="4" w:space="0" w:color="D9D9D9" w:themeColor="background1" w:themeShade="D9"/>
              <w:right w:val="nil"/>
            </w:tcBorders>
          </w:tcPr>
          <w:p w14:paraId="38D07226" w14:textId="77777777" w:rsidR="008845A2" w:rsidRPr="00F5148E" w:rsidRDefault="008845A2" w:rsidP="009313A7">
            <w:pPr>
              <w:pStyle w:val="TableTextRight"/>
              <w:cnfStyle w:val="000000100000" w:firstRow="0" w:lastRow="0" w:firstColumn="0" w:lastColumn="0" w:oddVBand="0" w:evenVBand="0" w:oddHBand="1" w:evenHBand="0" w:firstRowFirstColumn="0" w:firstRowLastColumn="0" w:lastRowFirstColumn="0" w:lastRowLastColumn="0"/>
            </w:pPr>
            <w:r w:rsidRPr="00F5148E">
              <w:t>85</w:t>
            </w:r>
          </w:p>
        </w:tc>
        <w:tc>
          <w:tcPr>
            <w:tcW w:w="1029" w:type="dxa"/>
            <w:tcBorders>
              <w:left w:val="nil"/>
              <w:right w:val="single" w:sz="4" w:space="0" w:color="D9D9D9" w:themeColor="background1" w:themeShade="D9"/>
            </w:tcBorders>
          </w:tcPr>
          <w:p w14:paraId="2FB7E682" w14:textId="77777777" w:rsidR="008845A2" w:rsidRPr="00F5148E" w:rsidRDefault="008845A2" w:rsidP="009313A7">
            <w:pPr>
              <w:pStyle w:val="TableTextRight"/>
              <w:cnfStyle w:val="000000100000" w:firstRow="0" w:lastRow="0" w:firstColumn="0" w:lastColumn="0" w:oddVBand="0" w:evenVBand="0" w:oddHBand="1" w:evenHBand="0" w:firstRowFirstColumn="0" w:firstRowLastColumn="0" w:lastRowFirstColumn="0" w:lastRowLastColumn="0"/>
            </w:pPr>
            <w:r w:rsidRPr="00F5148E">
              <w:t>0.5%</w:t>
            </w:r>
          </w:p>
        </w:tc>
      </w:tr>
      <w:tr w:rsidR="008845A2" w:rsidRPr="00F5148E" w14:paraId="5D84BFA8" w14:textId="77777777" w:rsidTr="00290F13">
        <w:trPr>
          <w:trHeight w:val="294"/>
        </w:trPr>
        <w:tc>
          <w:tcPr>
            <w:cnfStyle w:val="001000000000" w:firstRow="0" w:lastRow="0" w:firstColumn="1" w:lastColumn="0" w:oddVBand="0" w:evenVBand="0" w:oddHBand="0" w:evenHBand="0" w:firstRowFirstColumn="0" w:firstRowLastColumn="0" w:lastRowFirstColumn="0" w:lastRowLastColumn="0"/>
            <w:tcW w:w="2902" w:type="dxa"/>
            <w:tcBorders>
              <w:left w:val="single" w:sz="4" w:space="0" w:color="D9D9D9" w:themeColor="background1" w:themeShade="D9"/>
              <w:right w:val="single" w:sz="4" w:space="0" w:color="D9D9D9" w:themeColor="background1" w:themeShade="D9"/>
            </w:tcBorders>
          </w:tcPr>
          <w:p w14:paraId="192AAE83" w14:textId="77777777" w:rsidR="008845A2" w:rsidRPr="00F5148E" w:rsidRDefault="008845A2" w:rsidP="00F5148E">
            <w:r w:rsidRPr="00F5148E">
              <w:t>Self-care aids</w:t>
            </w:r>
          </w:p>
        </w:tc>
        <w:tc>
          <w:tcPr>
            <w:tcW w:w="2352" w:type="dxa"/>
            <w:tcBorders>
              <w:left w:val="single" w:sz="4" w:space="0" w:color="D9D9D9" w:themeColor="background1" w:themeShade="D9"/>
              <w:right w:val="nil"/>
            </w:tcBorders>
          </w:tcPr>
          <w:p w14:paraId="1575A6DE" w14:textId="77777777" w:rsidR="008845A2" w:rsidRPr="00F5148E" w:rsidRDefault="008845A2" w:rsidP="009313A7">
            <w:pPr>
              <w:pStyle w:val="TableTextRight"/>
              <w:cnfStyle w:val="000000000000" w:firstRow="0" w:lastRow="0" w:firstColumn="0" w:lastColumn="0" w:oddVBand="0" w:evenVBand="0" w:oddHBand="0" w:evenHBand="0" w:firstRowFirstColumn="0" w:firstRowLastColumn="0" w:lastRowFirstColumn="0" w:lastRowLastColumn="0"/>
            </w:pPr>
            <w:r w:rsidRPr="00F5148E">
              <w:t>3,153</w:t>
            </w:r>
          </w:p>
        </w:tc>
        <w:tc>
          <w:tcPr>
            <w:tcW w:w="1029" w:type="dxa"/>
            <w:tcBorders>
              <w:left w:val="nil"/>
              <w:right w:val="single" w:sz="4" w:space="0" w:color="D9D9D9" w:themeColor="background1" w:themeShade="D9"/>
            </w:tcBorders>
          </w:tcPr>
          <w:p w14:paraId="5D8F4CDE" w14:textId="77777777" w:rsidR="008845A2" w:rsidRPr="00F5148E" w:rsidRDefault="008845A2" w:rsidP="009313A7">
            <w:pPr>
              <w:pStyle w:val="TableTextRight"/>
              <w:cnfStyle w:val="000000000000" w:firstRow="0" w:lastRow="0" w:firstColumn="0" w:lastColumn="0" w:oddVBand="0" w:evenVBand="0" w:oddHBand="0" w:evenHBand="0" w:firstRowFirstColumn="0" w:firstRowLastColumn="0" w:lastRowFirstColumn="0" w:lastRowLastColumn="0"/>
            </w:pPr>
            <w:r w:rsidRPr="00F5148E">
              <w:t>17.9%</w:t>
            </w:r>
          </w:p>
        </w:tc>
      </w:tr>
      <w:tr w:rsidR="008845A2" w:rsidRPr="00F5148E" w14:paraId="7032E635" w14:textId="77777777" w:rsidTr="00290F1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02" w:type="dxa"/>
            <w:tcBorders>
              <w:left w:val="single" w:sz="4" w:space="0" w:color="D9D9D9" w:themeColor="background1" w:themeShade="D9"/>
              <w:right w:val="single" w:sz="4" w:space="0" w:color="D9D9D9" w:themeColor="background1" w:themeShade="D9"/>
            </w:tcBorders>
          </w:tcPr>
          <w:p w14:paraId="48B97629" w14:textId="77777777" w:rsidR="008845A2" w:rsidRPr="00F5148E" w:rsidRDefault="008845A2" w:rsidP="00F5148E">
            <w:r w:rsidRPr="00F5148E">
              <w:t>Support and mobility aids</w:t>
            </w:r>
          </w:p>
        </w:tc>
        <w:tc>
          <w:tcPr>
            <w:tcW w:w="2352" w:type="dxa"/>
            <w:tcBorders>
              <w:left w:val="single" w:sz="4" w:space="0" w:color="D9D9D9" w:themeColor="background1" w:themeShade="D9"/>
              <w:right w:val="nil"/>
            </w:tcBorders>
          </w:tcPr>
          <w:p w14:paraId="0DF6CC7A" w14:textId="77777777" w:rsidR="008845A2" w:rsidRPr="00F5148E" w:rsidRDefault="008845A2" w:rsidP="009313A7">
            <w:pPr>
              <w:pStyle w:val="TableTextRight"/>
              <w:cnfStyle w:val="000000100000" w:firstRow="0" w:lastRow="0" w:firstColumn="0" w:lastColumn="0" w:oddVBand="0" w:evenVBand="0" w:oddHBand="1" w:evenHBand="0" w:firstRowFirstColumn="0" w:firstRowLastColumn="0" w:lastRowFirstColumn="0" w:lastRowLastColumn="0"/>
            </w:pPr>
            <w:r w:rsidRPr="00F5148E">
              <w:t>4,605</w:t>
            </w:r>
          </w:p>
        </w:tc>
        <w:tc>
          <w:tcPr>
            <w:tcW w:w="1029" w:type="dxa"/>
            <w:tcBorders>
              <w:left w:val="nil"/>
              <w:right w:val="single" w:sz="4" w:space="0" w:color="D9D9D9" w:themeColor="background1" w:themeShade="D9"/>
            </w:tcBorders>
          </w:tcPr>
          <w:p w14:paraId="500F2608" w14:textId="77777777" w:rsidR="008845A2" w:rsidRPr="00F5148E" w:rsidRDefault="008845A2" w:rsidP="009313A7">
            <w:pPr>
              <w:pStyle w:val="TableTextRight"/>
              <w:cnfStyle w:val="000000100000" w:firstRow="0" w:lastRow="0" w:firstColumn="0" w:lastColumn="0" w:oddVBand="0" w:evenVBand="0" w:oddHBand="1" w:evenHBand="0" w:firstRowFirstColumn="0" w:firstRowLastColumn="0" w:lastRowFirstColumn="0" w:lastRowLastColumn="0"/>
            </w:pPr>
            <w:r w:rsidRPr="00F5148E">
              <w:t>26.2%</w:t>
            </w:r>
          </w:p>
        </w:tc>
      </w:tr>
      <w:tr w:rsidR="008845A2" w:rsidRPr="00511C41" w14:paraId="33A5BEDA" w14:textId="77777777" w:rsidTr="00290F13">
        <w:trPr>
          <w:cnfStyle w:val="010000000000" w:firstRow="0" w:lastRow="1"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902" w:type="dxa"/>
            <w:tcBorders>
              <w:left w:val="single" w:sz="4" w:space="0" w:color="D9D9D9" w:themeColor="background1" w:themeShade="D9"/>
              <w:right w:val="single" w:sz="4" w:space="0" w:color="D9D9D9" w:themeColor="background1" w:themeShade="D9"/>
            </w:tcBorders>
          </w:tcPr>
          <w:p w14:paraId="6BB66F45" w14:textId="606D0FAA" w:rsidR="008845A2" w:rsidRPr="00BF1A7D" w:rsidRDefault="008845A2" w:rsidP="00F77741">
            <w:pPr>
              <w:pStyle w:val="TableText"/>
              <w:rPr>
                <w:szCs w:val="18"/>
                <w:vertAlign w:val="superscript"/>
                <w:lang w:val="en-CA" w:eastAsia="en-AU"/>
              </w:rPr>
            </w:pPr>
            <w:r w:rsidRPr="00511C41">
              <w:rPr>
                <w:szCs w:val="18"/>
                <w:lang w:val="en-CA" w:eastAsia="en-AU"/>
              </w:rPr>
              <w:t>Total</w:t>
            </w:r>
            <w:r w:rsidR="004A3055">
              <w:rPr>
                <w:szCs w:val="18"/>
                <w:lang w:val="en-CA" w:eastAsia="en-AU"/>
              </w:rPr>
              <w:t xml:space="preserve"> </w:t>
            </w:r>
            <w:r>
              <w:rPr>
                <w:szCs w:val="18"/>
                <w:vertAlign w:val="superscript"/>
                <w:lang w:val="en-CA" w:eastAsia="en-AU"/>
              </w:rPr>
              <w:t>2</w:t>
            </w:r>
          </w:p>
        </w:tc>
        <w:tc>
          <w:tcPr>
            <w:tcW w:w="2352" w:type="dxa"/>
            <w:tcBorders>
              <w:left w:val="single" w:sz="4" w:space="0" w:color="D9D9D9" w:themeColor="background1" w:themeShade="D9"/>
            </w:tcBorders>
          </w:tcPr>
          <w:p w14:paraId="50D7992F" w14:textId="77777777" w:rsidR="008845A2" w:rsidRPr="00E20ACE" w:rsidRDefault="008845A2" w:rsidP="00F77741">
            <w:pPr>
              <w:jc w:val="right"/>
              <w:cnfStyle w:val="010000000000" w:firstRow="0" w:lastRow="1" w:firstColumn="0" w:lastColumn="0" w:oddVBand="0" w:evenVBand="0" w:oddHBand="0" w:evenHBand="0" w:firstRowFirstColumn="0" w:firstRowLastColumn="0" w:lastRowFirstColumn="0" w:lastRowLastColumn="0"/>
            </w:pPr>
            <w:r w:rsidRPr="00E20ACE">
              <w:t>17,585</w:t>
            </w:r>
          </w:p>
        </w:tc>
        <w:tc>
          <w:tcPr>
            <w:tcW w:w="1029" w:type="dxa"/>
            <w:tcBorders>
              <w:right w:val="single" w:sz="4" w:space="0" w:color="D9D9D9" w:themeColor="background1" w:themeShade="D9"/>
            </w:tcBorders>
          </w:tcPr>
          <w:p w14:paraId="7A1C884C" w14:textId="77777777" w:rsidR="008845A2" w:rsidRPr="00E20ACE" w:rsidRDefault="008845A2" w:rsidP="00F77741">
            <w:pPr>
              <w:jc w:val="right"/>
              <w:cnfStyle w:val="010000000000" w:firstRow="0" w:lastRow="1" w:firstColumn="0" w:lastColumn="0" w:oddVBand="0" w:evenVBand="0" w:oddHBand="0" w:evenHBand="0" w:firstRowFirstColumn="0" w:firstRowLastColumn="0" w:lastRowFirstColumn="0" w:lastRowLastColumn="0"/>
            </w:pPr>
            <w:r w:rsidRPr="00E20ACE">
              <w:t>100%</w:t>
            </w:r>
          </w:p>
        </w:tc>
      </w:tr>
    </w:tbl>
    <w:p w14:paraId="651A53D7" w14:textId="77777777" w:rsidR="008845A2" w:rsidRDefault="008845A2" w:rsidP="00186D90">
      <w:pPr>
        <w:pStyle w:val="Note"/>
      </w:pPr>
      <w:r w:rsidRPr="007A4E5F">
        <w:rPr>
          <w:rStyle w:val="FootnoteReference"/>
        </w:rPr>
        <w:t>1</w:t>
      </w:r>
      <w:r>
        <w:t xml:space="preserve"> The data in this table is sourced from the 2018-19 DEX data provided to AHA by the Department.</w:t>
      </w:r>
    </w:p>
    <w:p w14:paraId="3E0F5784" w14:textId="218C46F3" w:rsidR="008845A2" w:rsidRDefault="008845A2" w:rsidP="00186D90">
      <w:pPr>
        <w:pStyle w:val="Note"/>
      </w:pPr>
      <w:r w:rsidRPr="007A4E5F">
        <w:rPr>
          <w:rStyle w:val="FootnoteReference"/>
        </w:rPr>
        <w:t>2</w:t>
      </w:r>
      <w:r>
        <w:t xml:space="preserve"> </w:t>
      </w:r>
      <w:r w:rsidRPr="00BF1A7D">
        <w:t>The</w:t>
      </w:r>
      <w:r>
        <w:t xml:space="preserve"> total differs from the total shown in </w:t>
      </w:r>
      <w:r w:rsidRPr="00BF1A7D">
        <w:rPr>
          <w:i/>
          <w:iCs/>
        </w:rPr>
        <w:fldChar w:fldCharType="begin"/>
      </w:r>
      <w:r w:rsidRPr="00BF1A7D">
        <w:rPr>
          <w:i/>
          <w:iCs/>
        </w:rPr>
        <w:instrText xml:space="preserve"> REF _Ref41986549 \h </w:instrText>
      </w:r>
      <w:r>
        <w:rPr>
          <w:i/>
          <w:iCs/>
        </w:rPr>
        <w:instrText xml:space="preserve"> \* MERGEFORMAT </w:instrText>
      </w:r>
      <w:r w:rsidRPr="00BF1A7D">
        <w:rPr>
          <w:i/>
          <w:iCs/>
        </w:rPr>
      </w:r>
      <w:r w:rsidRPr="00BF1A7D">
        <w:rPr>
          <w:i/>
          <w:iCs/>
        </w:rPr>
        <w:fldChar w:fldCharType="separate"/>
      </w:r>
      <w:r w:rsidR="00CC3F04" w:rsidRPr="00CC3F04">
        <w:rPr>
          <w:i/>
          <w:iCs/>
        </w:rPr>
        <w:t>Table 2</w:t>
      </w:r>
      <w:r w:rsidR="00CC3F04" w:rsidRPr="00CC3F04">
        <w:rPr>
          <w:i/>
          <w:iCs/>
        </w:rPr>
        <w:noBreakHyphen/>
        <w:t>6</w:t>
      </w:r>
      <w:r w:rsidRPr="00BF1A7D">
        <w:rPr>
          <w:i/>
          <w:iCs/>
        </w:rPr>
        <w:fldChar w:fldCharType="end"/>
      </w:r>
      <w:r>
        <w:t xml:space="preserve"> because</w:t>
      </w:r>
      <w:r w:rsidR="00410F76">
        <w:t xml:space="preserve"> </w:t>
      </w:r>
      <w:r>
        <w:t>one consumer may receive items from</w:t>
      </w:r>
      <w:r w:rsidR="00410F76">
        <w:t xml:space="preserve"> </w:t>
      </w:r>
      <w:r>
        <w:t>different subcategories of the CHSP</w:t>
      </w:r>
      <w:r w:rsidR="00410F76">
        <w:t xml:space="preserve"> </w:t>
      </w:r>
      <w:r>
        <w:t>Goods, Equipment and AT service item.</w:t>
      </w:r>
    </w:p>
    <w:p w14:paraId="4437B437" w14:textId="77777777" w:rsidR="00143C46" w:rsidRDefault="00143C46" w:rsidP="00143C46">
      <w:pPr>
        <w:rPr>
          <w:b/>
          <w:sz w:val="28"/>
          <w:szCs w:val="28"/>
        </w:rPr>
      </w:pPr>
    </w:p>
    <w:p w14:paraId="4399B046" w14:textId="4B66DCF6" w:rsidR="008845A2" w:rsidRPr="00143C46" w:rsidRDefault="008845A2" w:rsidP="00143C46">
      <w:pPr>
        <w:rPr>
          <w:b/>
          <w:sz w:val="28"/>
          <w:szCs w:val="28"/>
        </w:rPr>
      </w:pPr>
      <w:r w:rsidRPr="00143C46">
        <w:rPr>
          <w:b/>
          <w:sz w:val="28"/>
          <w:szCs w:val="28"/>
        </w:rPr>
        <w:t xml:space="preserve">CHSP funding across </w:t>
      </w:r>
      <w:r w:rsidR="008A579B" w:rsidRPr="00143C46">
        <w:rPr>
          <w:b/>
          <w:sz w:val="28"/>
          <w:szCs w:val="28"/>
        </w:rPr>
        <w:t>s</w:t>
      </w:r>
      <w:r w:rsidRPr="00143C46">
        <w:rPr>
          <w:b/>
          <w:sz w:val="28"/>
          <w:szCs w:val="28"/>
        </w:rPr>
        <w:t>tates</w:t>
      </w:r>
      <w:r w:rsidR="008A579B" w:rsidRPr="00143C46">
        <w:rPr>
          <w:b/>
          <w:sz w:val="28"/>
          <w:szCs w:val="28"/>
        </w:rPr>
        <w:t xml:space="preserve"> and territories</w:t>
      </w:r>
    </w:p>
    <w:p w14:paraId="7A0C3B21" w14:textId="0388242C" w:rsidR="008845A2" w:rsidRDefault="008845A2" w:rsidP="00726925">
      <w:pPr>
        <w:pStyle w:val="Paragraph"/>
        <w:spacing w:before="0"/>
      </w:pPr>
      <w:r>
        <w:t>There is significant disparity in CHSP funding allocations and expenditure across the states</w:t>
      </w:r>
      <w:r w:rsidR="00726925">
        <w:t xml:space="preserve">, as shown in </w:t>
      </w:r>
      <w:r w:rsidRPr="00726925">
        <w:rPr>
          <w:highlight w:val="yellow"/>
        </w:rPr>
        <w:fldChar w:fldCharType="begin"/>
      </w:r>
      <w:r w:rsidRPr="00726925">
        <w:instrText xml:space="preserve"> REF _Ref42015296 \h </w:instrText>
      </w:r>
      <w:r w:rsidRPr="00726925">
        <w:rPr>
          <w:highlight w:val="yellow"/>
        </w:rPr>
        <w:instrText xml:space="preserve"> \* MERGEFORMAT </w:instrText>
      </w:r>
      <w:r w:rsidRPr="00726925">
        <w:rPr>
          <w:highlight w:val="yellow"/>
        </w:rPr>
      </w:r>
      <w:r w:rsidRPr="00726925">
        <w:rPr>
          <w:highlight w:val="yellow"/>
        </w:rPr>
        <w:fldChar w:fldCharType="separate"/>
      </w:r>
      <w:r w:rsidR="00CC3F04" w:rsidRPr="00736110">
        <w:t>Table </w:t>
      </w:r>
      <w:r w:rsidR="00CC3F04">
        <w:t>2</w:t>
      </w:r>
      <w:r w:rsidR="00CC3F04">
        <w:noBreakHyphen/>
        <w:t>9</w:t>
      </w:r>
      <w:r w:rsidRPr="00726925">
        <w:rPr>
          <w:highlight w:val="yellow"/>
        </w:rPr>
        <w:fldChar w:fldCharType="end"/>
      </w:r>
      <w:r>
        <w:t xml:space="preserve"> </w:t>
      </w:r>
      <w:r w:rsidR="00726925">
        <w:t xml:space="preserve">(goods, equipment and assistive technologies), </w:t>
      </w:r>
      <w:r w:rsidR="00726925">
        <w:fldChar w:fldCharType="begin"/>
      </w:r>
      <w:r w:rsidR="00726925">
        <w:instrText xml:space="preserve"> REF _Ref59302431 \h </w:instrText>
      </w:r>
      <w:r w:rsidR="00726925">
        <w:fldChar w:fldCharType="separate"/>
      </w:r>
      <w:r w:rsidR="00CC3F04" w:rsidRPr="00736110">
        <w:t>Table </w:t>
      </w:r>
      <w:r w:rsidR="00CC3F04">
        <w:rPr>
          <w:noProof/>
        </w:rPr>
        <w:t>2</w:t>
      </w:r>
      <w:r w:rsidR="00CC3F04">
        <w:noBreakHyphen/>
      </w:r>
      <w:r w:rsidR="00CC3F04">
        <w:rPr>
          <w:noProof/>
        </w:rPr>
        <w:t>10</w:t>
      </w:r>
      <w:r w:rsidR="00726925">
        <w:fldChar w:fldCharType="end"/>
      </w:r>
      <w:r w:rsidR="00726925">
        <w:t xml:space="preserve"> (home modifications) and </w:t>
      </w:r>
      <w:r w:rsidR="00726925">
        <w:fldChar w:fldCharType="begin"/>
      </w:r>
      <w:r w:rsidR="00726925">
        <w:instrText xml:space="preserve"> REF _Ref59302433 \h </w:instrText>
      </w:r>
      <w:r w:rsidR="00726925">
        <w:fldChar w:fldCharType="separate"/>
      </w:r>
      <w:r w:rsidR="00CC3F04" w:rsidRPr="00736110">
        <w:t>Table </w:t>
      </w:r>
      <w:r w:rsidR="00CC3F04">
        <w:rPr>
          <w:noProof/>
        </w:rPr>
        <w:t>2</w:t>
      </w:r>
      <w:r w:rsidR="00CC3F04">
        <w:noBreakHyphen/>
      </w:r>
      <w:r w:rsidR="00CC3F04">
        <w:rPr>
          <w:noProof/>
        </w:rPr>
        <w:t>11</w:t>
      </w:r>
      <w:r w:rsidR="00726925">
        <w:fldChar w:fldCharType="end"/>
      </w:r>
      <w:r w:rsidR="00726925">
        <w:t xml:space="preserve"> (AT and HM)</w:t>
      </w:r>
      <w:r w:rsidR="00F80723">
        <w:t>.</w:t>
      </w:r>
    </w:p>
    <w:p w14:paraId="424548B0" w14:textId="2B787374" w:rsidR="008845A2" w:rsidRDefault="008845A2" w:rsidP="008E19E4">
      <w:pPr>
        <w:pStyle w:val="ParaKeep"/>
      </w:pPr>
      <w:r>
        <w:t>The d</w:t>
      </w:r>
      <w:r w:rsidRPr="0042567A">
        <w:t>istribution of funding is uneven between and</w:t>
      </w:r>
      <w:r>
        <w:t xml:space="preserve"> </w:t>
      </w:r>
      <w:r w:rsidRPr="0042567A">
        <w:t>within state</w:t>
      </w:r>
      <w:r>
        <w:t>s</w:t>
      </w:r>
      <w:r w:rsidR="00F81624">
        <w:t xml:space="preserve"> and territories</w:t>
      </w:r>
      <w:r w:rsidR="00F80723">
        <w:t xml:space="preserve">. </w:t>
      </w:r>
      <w:r>
        <w:t>Funding is allocated on a regional basis and not all regions receive a budget allocation for Goods</w:t>
      </w:r>
      <w:r w:rsidR="00B51C0D">
        <w:t>,</w:t>
      </w:r>
      <w:r>
        <w:t xml:space="preserve"> Equipment</w:t>
      </w:r>
      <w:r w:rsidR="00B51C0D">
        <w:t xml:space="preserve"> and AT</w:t>
      </w:r>
      <w:r w:rsidR="00F80723">
        <w:t xml:space="preserve">. </w:t>
      </w:r>
      <w:r>
        <w:t xml:space="preserve">It is the responsibility of the CHSP service providers to manage allocation of funding as well as providing the AT. </w:t>
      </w:r>
      <w:r w:rsidRPr="00451BBA">
        <w:rPr>
          <w:rStyle w:val="Italic"/>
          <w:highlight w:val="yellow"/>
        </w:rPr>
        <w:fldChar w:fldCharType="begin"/>
      </w:r>
      <w:r w:rsidRPr="00451BBA">
        <w:rPr>
          <w:rStyle w:val="Italic"/>
        </w:rPr>
        <w:instrText xml:space="preserve"> REF _Ref42015296 \h </w:instrText>
      </w:r>
      <w:r>
        <w:rPr>
          <w:rStyle w:val="Italic"/>
          <w:highlight w:val="yellow"/>
        </w:rPr>
        <w:instrText xml:space="preserve"> \* MERGEFORMAT </w:instrText>
      </w:r>
      <w:r w:rsidRPr="00451BBA">
        <w:rPr>
          <w:rStyle w:val="Italic"/>
          <w:highlight w:val="yellow"/>
        </w:rPr>
      </w:r>
      <w:r w:rsidRPr="00451BBA">
        <w:rPr>
          <w:rStyle w:val="Italic"/>
          <w:highlight w:val="yellow"/>
        </w:rPr>
        <w:fldChar w:fldCharType="separate"/>
      </w:r>
      <w:r w:rsidR="00CC3F04" w:rsidRPr="00CC3F04">
        <w:rPr>
          <w:rStyle w:val="Italic"/>
        </w:rPr>
        <w:t>Table 2</w:t>
      </w:r>
      <w:r w:rsidR="00CC3F04" w:rsidRPr="00CC3F04">
        <w:rPr>
          <w:rStyle w:val="Italic"/>
        </w:rPr>
        <w:noBreakHyphen/>
        <w:t>9</w:t>
      </w:r>
      <w:r w:rsidRPr="00451BBA">
        <w:rPr>
          <w:rStyle w:val="Italic"/>
          <w:highlight w:val="yellow"/>
        </w:rPr>
        <w:fldChar w:fldCharType="end"/>
      </w:r>
      <w:r>
        <w:rPr>
          <w:rStyle w:val="Italic"/>
        </w:rPr>
        <w:t xml:space="preserve"> </w:t>
      </w:r>
      <w:r>
        <w:t xml:space="preserve">shows that: </w:t>
      </w:r>
    </w:p>
    <w:p w14:paraId="770270C2" w14:textId="0C27ABCB" w:rsidR="008845A2" w:rsidRPr="00265FD7" w:rsidRDefault="008845A2" w:rsidP="00F5148E">
      <w:pPr>
        <w:pStyle w:val="Bullet1"/>
      </w:pPr>
      <w:r>
        <w:t>Almost half of consumers (47%) that received AT under the CHSP</w:t>
      </w:r>
      <w:r w:rsidRPr="00402ED6">
        <w:t xml:space="preserve"> </w:t>
      </w:r>
      <w:r>
        <w:t xml:space="preserve">Goods, Equipment and AT service </w:t>
      </w:r>
      <w:r w:rsidR="00141262">
        <w:t>type</w:t>
      </w:r>
      <w:r>
        <w:t xml:space="preserve"> in 2018-19 were from South Australia. Victoria had the </w:t>
      </w:r>
      <w:r w:rsidR="00B51C0D">
        <w:t xml:space="preserve">smallest </w:t>
      </w:r>
      <w:r>
        <w:t xml:space="preserve">number of consumers (1.7%) </w:t>
      </w:r>
      <w:r w:rsidR="00B51C0D">
        <w:t xml:space="preserve">to </w:t>
      </w:r>
      <w:r>
        <w:t>receive AT under the CHSP</w:t>
      </w:r>
      <w:r w:rsidRPr="00402ED6">
        <w:t xml:space="preserve"> </w:t>
      </w:r>
      <w:r>
        <w:t>Goods, Equipment and AT service item.</w:t>
      </w:r>
    </w:p>
    <w:p w14:paraId="33ACC71A" w14:textId="68F642A4" w:rsidR="008845A2" w:rsidRPr="00787662" w:rsidRDefault="008845A2" w:rsidP="00F5148E">
      <w:pPr>
        <w:pStyle w:val="Bullet1"/>
      </w:pPr>
      <w:r>
        <w:t>South Australia also had the greatest proportion of expenditure (45%) across the states and territories for the</w:t>
      </w:r>
      <w:r w:rsidRPr="0096357B">
        <w:t xml:space="preserve"> </w:t>
      </w:r>
      <w:r>
        <w:t>CHSP</w:t>
      </w:r>
      <w:r w:rsidRPr="00402ED6">
        <w:t xml:space="preserve"> </w:t>
      </w:r>
      <w:r>
        <w:t xml:space="preserve">Goods, Equipment and AT service item in 2018-19, </w:t>
      </w:r>
      <w:r w:rsidR="00B51C0D">
        <w:t xml:space="preserve">while </w:t>
      </w:r>
      <w:r>
        <w:t>New South Wales had the lowest (2.1%).</w:t>
      </w:r>
    </w:p>
    <w:p w14:paraId="065EF768" w14:textId="77777777" w:rsidR="008845A2" w:rsidRDefault="008845A2" w:rsidP="00F5148E">
      <w:pPr>
        <w:pStyle w:val="Bullet1"/>
      </w:pPr>
      <w:r>
        <w:t>Queensland had the highest proportion CHSP Home modification consumers (34%) across the states and territories with New South Wales receiving the bulk of the expenditure (50%).</w:t>
      </w:r>
    </w:p>
    <w:p w14:paraId="44217D6C" w14:textId="4A63EBA5" w:rsidR="00141262" w:rsidRPr="00F5148E" w:rsidRDefault="008845A2" w:rsidP="00F5148E">
      <w:pPr>
        <w:pStyle w:val="Paragraph"/>
        <w:rPr>
          <w:rFonts w:eastAsia="Arial Unicode MS"/>
        </w:rPr>
      </w:pPr>
      <w:r>
        <w:t xml:space="preserve">An option for creating </w:t>
      </w:r>
      <w:r w:rsidR="00B51C0D">
        <w:t xml:space="preserve">equity </w:t>
      </w:r>
      <w:r>
        <w:t>in</w:t>
      </w:r>
      <w:r w:rsidR="00B51C0D">
        <w:t xml:space="preserve"> CHSP AT</w:t>
      </w:r>
      <w:r>
        <w:t xml:space="preserve"> funding discussed in </w:t>
      </w:r>
      <w:r w:rsidRPr="005C5B17">
        <w:rPr>
          <w:rStyle w:val="Italic"/>
        </w:rPr>
        <w:t>Chapter </w:t>
      </w:r>
      <w:r w:rsidRPr="00CC535A">
        <w:rPr>
          <w:rStyle w:val="Italic"/>
          <w:highlight w:val="yellow"/>
        </w:rPr>
        <w:fldChar w:fldCharType="begin"/>
      </w:r>
      <w:r w:rsidRPr="005C5B17">
        <w:rPr>
          <w:rStyle w:val="Italic"/>
        </w:rPr>
        <w:instrText xml:space="preserve"> REF _Ref41837212 \n \h </w:instrText>
      </w:r>
      <w:r w:rsidRPr="00CC535A">
        <w:rPr>
          <w:rStyle w:val="Italic"/>
          <w:highlight w:val="yellow"/>
        </w:rPr>
        <w:instrText xml:space="preserve"> \* MERGEFORMAT </w:instrText>
      </w:r>
      <w:r w:rsidRPr="00CC535A">
        <w:rPr>
          <w:rStyle w:val="Italic"/>
          <w:highlight w:val="yellow"/>
        </w:rPr>
      </w:r>
      <w:r w:rsidRPr="00CC535A">
        <w:rPr>
          <w:rStyle w:val="Italic"/>
          <w:highlight w:val="yellow"/>
        </w:rPr>
        <w:fldChar w:fldCharType="separate"/>
      </w:r>
      <w:r w:rsidR="00CC3F04">
        <w:rPr>
          <w:rStyle w:val="Italic"/>
        </w:rPr>
        <w:t>4</w:t>
      </w:r>
      <w:r w:rsidRPr="00CC535A">
        <w:rPr>
          <w:rStyle w:val="Italic"/>
          <w:highlight w:val="yellow"/>
        </w:rPr>
        <w:fldChar w:fldCharType="end"/>
      </w:r>
      <w:r>
        <w:t>.</w:t>
      </w:r>
    </w:p>
    <w:p w14:paraId="5A06C515" w14:textId="77777777" w:rsidR="008845A2" w:rsidRDefault="008845A2" w:rsidP="008845A2">
      <w:pPr>
        <w:pStyle w:val="Paragraph"/>
        <w:sectPr w:rsidR="008845A2" w:rsidSect="00C72F9B">
          <w:pgSz w:w="11907" w:h="16840" w:code="9"/>
          <w:pgMar w:top="851" w:right="1134" w:bottom="851" w:left="1134" w:header="510" w:footer="567" w:gutter="0"/>
          <w:cols w:space="720"/>
        </w:sectPr>
      </w:pPr>
    </w:p>
    <w:p w14:paraId="50C3A406" w14:textId="1A695A79" w:rsidR="008845A2" w:rsidRPr="00736110" w:rsidRDefault="008845A2" w:rsidP="00143C46">
      <w:bookmarkStart w:id="67" w:name="_Ref42015296"/>
      <w:bookmarkStart w:id="68" w:name="_Toc59402396"/>
      <w:r w:rsidRPr="00736110">
        <w:lastRenderedPageBreak/>
        <w:t>Table </w:t>
      </w:r>
      <w:r w:rsidR="006870B9">
        <w:fldChar w:fldCharType="begin"/>
      </w:r>
      <w:r w:rsidR="006870B9">
        <w:instrText xml:space="preserve"> STYLEREF 1 \s </w:instrText>
      </w:r>
      <w:r w:rsidR="006870B9">
        <w:fldChar w:fldCharType="separate"/>
      </w:r>
      <w:r w:rsidR="00CC3F04">
        <w:rPr>
          <w:noProof/>
        </w:rPr>
        <w:t>2</w:t>
      </w:r>
      <w:r w:rsidR="006870B9">
        <w:fldChar w:fldCharType="end"/>
      </w:r>
      <w:r w:rsidR="009F14D1">
        <w:t>-9</w:t>
      </w:r>
      <w:bookmarkEnd w:id="67"/>
      <w:r w:rsidRPr="00736110">
        <w:t>:</w:t>
      </w:r>
      <w:r w:rsidRPr="00736110">
        <w:tab/>
        <w:t xml:space="preserve">CHSP </w:t>
      </w:r>
      <w:r w:rsidR="009F14D1">
        <w:t xml:space="preserve">AT </w:t>
      </w:r>
      <w:r w:rsidRPr="00736110">
        <w:t>consumers and expenditure</w:t>
      </w:r>
      <w:r w:rsidR="009F14D1">
        <w:t xml:space="preserve"> by State</w:t>
      </w:r>
      <w:r w:rsidRPr="00736110">
        <w:t xml:space="preserve"> 2018-19</w:t>
      </w:r>
      <w:r w:rsidR="004A3055">
        <w:t xml:space="preserve"> </w:t>
      </w:r>
      <w:bookmarkEnd w:id="68"/>
    </w:p>
    <w:tbl>
      <w:tblPr>
        <w:tblStyle w:val="AHALight"/>
        <w:tblW w:w="5000" w:type="pct"/>
        <w:tblLook w:val="07E0" w:firstRow="1" w:lastRow="1" w:firstColumn="1" w:lastColumn="1" w:noHBand="1" w:noVBand="1"/>
        <w:tblCaption w:val="Goods, equipment and assistive technology"/>
        <w:tblDescription w:val="Shows the number and percentage of consumers, and the amount and percentage of expenditure in each state and territory."/>
      </w:tblPr>
      <w:tblGrid>
        <w:gridCol w:w="2268"/>
        <w:gridCol w:w="1368"/>
        <w:gridCol w:w="1367"/>
        <w:gridCol w:w="1367"/>
        <w:gridCol w:w="1367"/>
        <w:gridCol w:w="1367"/>
        <w:gridCol w:w="1367"/>
        <w:gridCol w:w="1367"/>
        <w:gridCol w:w="1367"/>
        <w:gridCol w:w="1367"/>
      </w:tblGrid>
      <w:tr w:rsidR="00A127F8" w:rsidRPr="00EE604C" w14:paraId="187F101A" w14:textId="77777777" w:rsidTr="00EE6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hideMark/>
          </w:tcPr>
          <w:p w14:paraId="7C785B82" w14:textId="77777777" w:rsidR="008845A2" w:rsidRPr="00EE604C" w:rsidRDefault="008845A2" w:rsidP="00F77741">
            <w:pPr>
              <w:rPr>
                <w:rFonts w:cstheme="minorHAnsi"/>
                <w:szCs w:val="22"/>
              </w:rPr>
            </w:pPr>
            <w:r w:rsidRPr="00EE604C">
              <w:rPr>
                <w:rFonts w:cstheme="minorHAnsi"/>
                <w:szCs w:val="22"/>
              </w:rPr>
              <w:t>CHSP</w:t>
            </w:r>
          </w:p>
        </w:tc>
        <w:tc>
          <w:tcPr>
            <w:tcW w:w="469" w:type="pct"/>
            <w:hideMark/>
          </w:tcPr>
          <w:p w14:paraId="305B888F" w14:textId="77777777" w:rsidR="008845A2" w:rsidRPr="00EE604C" w:rsidRDefault="008845A2" w:rsidP="00F77741">
            <w:pPr>
              <w:jc w:val="right"/>
              <w:cnfStyle w:val="100000000000" w:firstRow="1" w:lastRow="0" w:firstColumn="0" w:lastColumn="0" w:oddVBand="0" w:evenVBand="0" w:oddHBand="0" w:evenHBand="0" w:firstRowFirstColumn="0" w:firstRowLastColumn="0" w:lastRowFirstColumn="0" w:lastRowLastColumn="0"/>
              <w:rPr>
                <w:rFonts w:cstheme="minorHAnsi"/>
                <w:szCs w:val="22"/>
              </w:rPr>
            </w:pPr>
            <w:r w:rsidRPr="00EE604C">
              <w:rPr>
                <w:rFonts w:cstheme="minorHAnsi"/>
                <w:szCs w:val="22"/>
              </w:rPr>
              <w:t>NSW</w:t>
            </w:r>
          </w:p>
        </w:tc>
        <w:tc>
          <w:tcPr>
            <w:tcW w:w="469" w:type="pct"/>
            <w:hideMark/>
          </w:tcPr>
          <w:p w14:paraId="42929304" w14:textId="77777777" w:rsidR="008845A2" w:rsidRPr="00EE604C" w:rsidRDefault="008845A2" w:rsidP="00F77741">
            <w:pPr>
              <w:jc w:val="right"/>
              <w:cnfStyle w:val="100000000000" w:firstRow="1" w:lastRow="0" w:firstColumn="0" w:lastColumn="0" w:oddVBand="0" w:evenVBand="0" w:oddHBand="0" w:evenHBand="0" w:firstRowFirstColumn="0" w:firstRowLastColumn="0" w:lastRowFirstColumn="0" w:lastRowLastColumn="0"/>
              <w:rPr>
                <w:rFonts w:cstheme="minorHAnsi"/>
                <w:szCs w:val="22"/>
              </w:rPr>
            </w:pPr>
            <w:r w:rsidRPr="00EE604C">
              <w:rPr>
                <w:rFonts w:cstheme="minorHAnsi"/>
                <w:szCs w:val="22"/>
              </w:rPr>
              <w:t>Vic</w:t>
            </w:r>
          </w:p>
        </w:tc>
        <w:tc>
          <w:tcPr>
            <w:tcW w:w="469" w:type="pct"/>
            <w:hideMark/>
          </w:tcPr>
          <w:p w14:paraId="0C1EDBB8" w14:textId="77777777" w:rsidR="008845A2" w:rsidRPr="00EE604C" w:rsidRDefault="008845A2" w:rsidP="00F77741">
            <w:pPr>
              <w:jc w:val="right"/>
              <w:cnfStyle w:val="100000000000" w:firstRow="1" w:lastRow="0" w:firstColumn="0" w:lastColumn="0" w:oddVBand="0" w:evenVBand="0" w:oddHBand="0" w:evenHBand="0" w:firstRowFirstColumn="0" w:firstRowLastColumn="0" w:lastRowFirstColumn="0" w:lastRowLastColumn="0"/>
              <w:rPr>
                <w:rFonts w:cstheme="minorHAnsi"/>
                <w:szCs w:val="22"/>
              </w:rPr>
            </w:pPr>
            <w:r w:rsidRPr="00EE604C">
              <w:rPr>
                <w:rFonts w:cstheme="minorHAnsi"/>
                <w:szCs w:val="22"/>
              </w:rPr>
              <w:t>Qld</w:t>
            </w:r>
          </w:p>
        </w:tc>
        <w:tc>
          <w:tcPr>
            <w:tcW w:w="469" w:type="pct"/>
            <w:hideMark/>
          </w:tcPr>
          <w:p w14:paraId="16DFDE77" w14:textId="77777777" w:rsidR="008845A2" w:rsidRPr="00EE604C" w:rsidRDefault="008845A2" w:rsidP="00F77741">
            <w:pPr>
              <w:jc w:val="right"/>
              <w:cnfStyle w:val="100000000000" w:firstRow="1" w:lastRow="0" w:firstColumn="0" w:lastColumn="0" w:oddVBand="0" w:evenVBand="0" w:oddHBand="0" w:evenHBand="0" w:firstRowFirstColumn="0" w:firstRowLastColumn="0" w:lastRowFirstColumn="0" w:lastRowLastColumn="0"/>
              <w:rPr>
                <w:rFonts w:cstheme="minorHAnsi"/>
                <w:szCs w:val="22"/>
              </w:rPr>
            </w:pPr>
            <w:r w:rsidRPr="00EE604C">
              <w:rPr>
                <w:rFonts w:cstheme="minorHAnsi"/>
                <w:szCs w:val="22"/>
              </w:rPr>
              <w:t>WA</w:t>
            </w:r>
          </w:p>
        </w:tc>
        <w:tc>
          <w:tcPr>
            <w:tcW w:w="469" w:type="pct"/>
            <w:hideMark/>
          </w:tcPr>
          <w:p w14:paraId="25662CAF" w14:textId="77777777" w:rsidR="008845A2" w:rsidRPr="00EE604C" w:rsidRDefault="008845A2" w:rsidP="00F77741">
            <w:pPr>
              <w:jc w:val="right"/>
              <w:cnfStyle w:val="100000000000" w:firstRow="1" w:lastRow="0" w:firstColumn="0" w:lastColumn="0" w:oddVBand="0" w:evenVBand="0" w:oddHBand="0" w:evenHBand="0" w:firstRowFirstColumn="0" w:firstRowLastColumn="0" w:lastRowFirstColumn="0" w:lastRowLastColumn="0"/>
              <w:rPr>
                <w:rFonts w:cstheme="minorHAnsi"/>
                <w:szCs w:val="22"/>
              </w:rPr>
            </w:pPr>
            <w:r w:rsidRPr="00EE604C">
              <w:rPr>
                <w:rFonts w:cstheme="minorHAnsi"/>
                <w:szCs w:val="22"/>
              </w:rPr>
              <w:t>SA</w:t>
            </w:r>
          </w:p>
        </w:tc>
        <w:tc>
          <w:tcPr>
            <w:tcW w:w="469" w:type="pct"/>
            <w:hideMark/>
          </w:tcPr>
          <w:p w14:paraId="5BCD0AEB" w14:textId="77777777" w:rsidR="008845A2" w:rsidRPr="00EE604C" w:rsidRDefault="008845A2" w:rsidP="00F77741">
            <w:pPr>
              <w:jc w:val="right"/>
              <w:cnfStyle w:val="100000000000" w:firstRow="1" w:lastRow="0" w:firstColumn="0" w:lastColumn="0" w:oddVBand="0" w:evenVBand="0" w:oddHBand="0" w:evenHBand="0" w:firstRowFirstColumn="0" w:firstRowLastColumn="0" w:lastRowFirstColumn="0" w:lastRowLastColumn="0"/>
              <w:rPr>
                <w:rFonts w:cstheme="minorHAnsi"/>
                <w:szCs w:val="22"/>
              </w:rPr>
            </w:pPr>
            <w:r w:rsidRPr="00EE604C">
              <w:rPr>
                <w:rFonts w:cstheme="minorHAnsi"/>
                <w:szCs w:val="22"/>
              </w:rPr>
              <w:t>Tas</w:t>
            </w:r>
          </w:p>
        </w:tc>
        <w:tc>
          <w:tcPr>
            <w:tcW w:w="469" w:type="pct"/>
            <w:hideMark/>
          </w:tcPr>
          <w:p w14:paraId="6428AEF0" w14:textId="77777777" w:rsidR="008845A2" w:rsidRPr="00EE604C" w:rsidRDefault="008845A2" w:rsidP="00F77741">
            <w:pPr>
              <w:jc w:val="right"/>
              <w:cnfStyle w:val="100000000000" w:firstRow="1" w:lastRow="0" w:firstColumn="0" w:lastColumn="0" w:oddVBand="0" w:evenVBand="0" w:oddHBand="0" w:evenHBand="0" w:firstRowFirstColumn="0" w:firstRowLastColumn="0" w:lastRowFirstColumn="0" w:lastRowLastColumn="0"/>
              <w:rPr>
                <w:rFonts w:cstheme="minorHAnsi"/>
                <w:szCs w:val="22"/>
              </w:rPr>
            </w:pPr>
            <w:r w:rsidRPr="00EE604C">
              <w:rPr>
                <w:rFonts w:cstheme="minorHAnsi"/>
                <w:szCs w:val="22"/>
              </w:rPr>
              <w:t>ACT</w:t>
            </w:r>
          </w:p>
        </w:tc>
        <w:tc>
          <w:tcPr>
            <w:tcW w:w="469" w:type="pct"/>
            <w:hideMark/>
          </w:tcPr>
          <w:p w14:paraId="07CC17AA" w14:textId="77777777" w:rsidR="008845A2" w:rsidRPr="00EE604C" w:rsidRDefault="008845A2" w:rsidP="00F77741">
            <w:pPr>
              <w:jc w:val="right"/>
              <w:cnfStyle w:val="100000000000" w:firstRow="1" w:lastRow="0" w:firstColumn="0" w:lastColumn="0" w:oddVBand="0" w:evenVBand="0" w:oddHBand="0" w:evenHBand="0" w:firstRowFirstColumn="0" w:firstRowLastColumn="0" w:lastRowFirstColumn="0" w:lastRowLastColumn="0"/>
              <w:rPr>
                <w:rFonts w:cstheme="minorHAnsi"/>
                <w:szCs w:val="22"/>
              </w:rPr>
            </w:pPr>
            <w:r w:rsidRPr="00EE604C">
              <w:rPr>
                <w:rFonts w:cstheme="minorHAnsi"/>
                <w:szCs w:val="22"/>
              </w:rPr>
              <w:t>NT</w:t>
            </w:r>
          </w:p>
        </w:tc>
        <w:tc>
          <w:tcPr>
            <w:cnfStyle w:val="000100000000" w:firstRow="0" w:lastRow="0" w:firstColumn="0" w:lastColumn="1" w:oddVBand="0" w:evenVBand="0" w:oddHBand="0" w:evenHBand="0" w:firstRowFirstColumn="0" w:firstRowLastColumn="0" w:lastRowFirstColumn="0" w:lastRowLastColumn="0"/>
            <w:tcW w:w="469" w:type="pct"/>
            <w:hideMark/>
          </w:tcPr>
          <w:p w14:paraId="3BB48C81" w14:textId="77777777" w:rsidR="008845A2" w:rsidRPr="00EE604C" w:rsidRDefault="008845A2" w:rsidP="00F77741">
            <w:pPr>
              <w:jc w:val="right"/>
              <w:rPr>
                <w:rFonts w:cstheme="minorHAnsi"/>
                <w:szCs w:val="22"/>
              </w:rPr>
            </w:pPr>
            <w:r w:rsidRPr="00EE604C">
              <w:rPr>
                <w:rFonts w:cstheme="minorHAnsi"/>
                <w:szCs w:val="22"/>
              </w:rPr>
              <w:t>Total</w:t>
            </w:r>
          </w:p>
        </w:tc>
      </w:tr>
      <w:tr w:rsidR="00726925" w:rsidRPr="00EE604C" w14:paraId="3A3A276C" w14:textId="77777777" w:rsidTr="00EE604C">
        <w:tc>
          <w:tcPr>
            <w:cnfStyle w:val="001000000000" w:firstRow="0" w:lastRow="0" w:firstColumn="1" w:lastColumn="0" w:oddVBand="0" w:evenVBand="0" w:oddHBand="0" w:evenHBand="0" w:firstRowFirstColumn="0" w:firstRowLastColumn="0" w:lastRowFirstColumn="0" w:lastRowLastColumn="0"/>
            <w:tcW w:w="778" w:type="pct"/>
            <w:tcBorders>
              <w:top w:val="single" w:sz="4" w:space="0" w:color="BFE7FF" w:themeColor="text2" w:themeTint="33"/>
            </w:tcBorders>
            <w:shd w:val="clear" w:color="auto" w:fill="F2F2F2" w:themeFill="background1" w:themeFillShade="F2"/>
            <w:hideMark/>
          </w:tcPr>
          <w:p w14:paraId="40D79FB7" w14:textId="3BBD41B6" w:rsidR="00726925" w:rsidRPr="00EE604C" w:rsidRDefault="00726925" w:rsidP="0008761F">
            <w:pPr>
              <w:pStyle w:val="TableHeading2Row"/>
              <w:rPr>
                <w:rFonts w:cstheme="minorHAnsi"/>
                <w:b w:val="0"/>
                <w:szCs w:val="22"/>
                <w:lang w:val="en-AU"/>
              </w:rPr>
            </w:pPr>
            <w:r w:rsidRPr="00EE604C">
              <w:rPr>
                <w:rFonts w:cstheme="minorHAnsi"/>
                <w:szCs w:val="22"/>
                <w:lang w:val="en-CA"/>
              </w:rPr>
              <w:t>Consumers</w:t>
            </w:r>
          </w:p>
        </w:tc>
        <w:tc>
          <w:tcPr>
            <w:tcW w:w="469" w:type="pct"/>
            <w:tcBorders>
              <w:top w:val="single" w:sz="4" w:space="0" w:color="BFE7FF" w:themeColor="text2" w:themeTint="33"/>
            </w:tcBorders>
            <w:shd w:val="clear" w:color="auto" w:fill="F2F2F2" w:themeFill="background1" w:themeFillShade="F2"/>
            <w:hideMark/>
          </w:tcPr>
          <w:p w14:paraId="246FF0E2"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386</w:t>
            </w:r>
          </w:p>
          <w:p w14:paraId="2B170A38" w14:textId="27A411FF"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2.6%</w:t>
            </w:r>
          </w:p>
        </w:tc>
        <w:tc>
          <w:tcPr>
            <w:tcW w:w="469" w:type="pct"/>
            <w:tcBorders>
              <w:top w:val="single" w:sz="4" w:space="0" w:color="BFE7FF" w:themeColor="text2" w:themeTint="33"/>
            </w:tcBorders>
            <w:shd w:val="clear" w:color="auto" w:fill="F2F2F2" w:themeFill="background1" w:themeFillShade="F2"/>
            <w:hideMark/>
          </w:tcPr>
          <w:p w14:paraId="7C790846"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261</w:t>
            </w:r>
          </w:p>
          <w:p w14:paraId="2DEFDEE9" w14:textId="7AD87856"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1.7%</w:t>
            </w:r>
          </w:p>
        </w:tc>
        <w:tc>
          <w:tcPr>
            <w:tcW w:w="469" w:type="pct"/>
            <w:tcBorders>
              <w:top w:val="single" w:sz="4" w:space="0" w:color="BFE7FF" w:themeColor="text2" w:themeTint="33"/>
            </w:tcBorders>
            <w:shd w:val="clear" w:color="auto" w:fill="F2F2F2" w:themeFill="background1" w:themeFillShade="F2"/>
            <w:hideMark/>
          </w:tcPr>
          <w:p w14:paraId="3D57D2AB"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3,910</w:t>
            </w:r>
          </w:p>
          <w:p w14:paraId="66475EF1" w14:textId="562649C2"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25.9%</w:t>
            </w:r>
          </w:p>
        </w:tc>
        <w:tc>
          <w:tcPr>
            <w:tcW w:w="469" w:type="pct"/>
            <w:tcBorders>
              <w:top w:val="single" w:sz="4" w:space="0" w:color="BFE7FF" w:themeColor="text2" w:themeTint="33"/>
              <w:right w:val="single" w:sz="12" w:space="0" w:color="0079C1" w:themeColor="text2"/>
            </w:tcBorders>
            <w:shd w:val="clear" w:color="auto" w:fill="F2F2F2" w:themeFill="background1" w:themeFillShade="F2"/>
            <w:hideMark/>
          </w:tcPr>
          <w:p w14:paraId="49234B9B"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1,659</w:t>
            </w:r>
          </w:p>
          <w:p w14:paraId="5B123CA2" w14:textId="198DBAEF"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11.0%</w:t>
            </w:r>
          </w:p>
        </w:tc>
        <w:tc>
          <w:tcPr>
            <w:tcW w:w="469" w:type="pct"/>
            <w:tcBorders>
              <w:top w:val="single" w:sz="12" w:space="0" w:color="0079C1" w:themeColor="text2"/>
              <w:left w:val="single" w:sz="12" w:space="0" w:color="0079C1" w:themeColor="text2"/>
              <w:right w:val="single" w:sz="12" w:space="0" w:color="0079C1" w:themeColor="text2"/>
            </w:tcBorders>
            <w:shd w:val="clear" w:color="auto" w:fill="F2F2F2" w:themeFill="background1" w:themeFillShade="F2"/>
            <w:hideMark/>
          </w:tcPr>
          <w:p w14:paraId="39A84BE9"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7,136</w:t>
            </w:r>
          </w:p>
          <w:p w14:paraId="65AD0112" w14:textId="07305E0D"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47.3%</w:t>
            </w:r>
          </w:p>
        </w:tc>
        <w:tc>
          <w:tcPr>
            <w:tcW w:w="469" w:type="pct"/>
            <w:tcBorders>
              <w:top w:val="single" w:sz="4" w:space="0" w:color="BFE7FF" w:themeColor="text2" w:themeTint="33"/>
              <w:left w:val="single" w:sz="12" w:space="0" w:color="0079C1" w:themeColor="text2"/>
            </w:tcBorders>
            <w:shd w:val="clear" w:color="auto" w:fill="F2F2F2" w:themeFill="background1" w:themeFillShade="F2"/>
            <w:hideMark/>
          </w:tcPr>
          <w:p w14:paraId="582C1354"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570</w:t>
            </w:r>
          </w:p>
          <w:p w14:paraId="390EF0CC" w14:textId="303E78AE"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3.8%</w:t>
            </w:r>
          </w:p>
        </w:tc>
        <w:tc>
          <w:tcPr>
            <w:tcW w:w="469" w:type="pct"/>
            <w:tcBorders>
              <w:top w:val="single" w:sz="4" w:space="0" w:color="BFE7FF" w:themeColor="text2" w:themeTint="33"/>
            </w:tcBorders>
            <w:shd w:val="clear" w:color="auto" w:fill="F2F2F2" w:themeFill="background1" w:themeFillShade="F2"/>
            <w:hideMark/>
          </w:tcPr>
          <w:p w14:paraId="3F16420D"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367</w:t>
            </w:r>
          </w:p>
          <w:p w14:paraId="0D38931C" w14:textId="31D56A6A"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2.4%</w:t>
            </w:r>
          </w:p>
        </w:tc>
        <w:tc>
          <w:tcPr>
            <w:tcW w:w="469" w:type="pct"/>
            <w:tcBorders>
              <w:top w:val="single" w:sz="4" w:space="0" w:color="BFE7FF" w:themeColor="text2" w:themeTint="33"/>
            </w:tcBorders>
            <w:shd w:val="clear" w:color="auto" w:fill="F2F2F2" w:themeFill="background1" w:themeFillShade="F2"/>
            <w:hideMark/>
          </w:tcPr>
          <w:p w14:paraId="5B58C436"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808</w:t>
            </w:r>
          </w:p>
          <w:p w14:paraId="4E705A36" w14:textId="148D950D"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5.4%</w:t>
            </w:r>
          </w:p>
        </w:tc>
        <w:tc>
          <w:tcPr>
            <w:cnfStyle w:val="000100000000" w:firstRow="0" w:lastRow="0" w:firstColumn="0" w:lastColumn="1" w:oddVBand="0" w:evenVBand="0" w:oddHBand="0" w:evenHBand="0" w:firstRowFirstColumn="0" w:firstRowLastColumn="0" w:lastRowFirstColumn="0" w:lastRowLastColumn="0"/>
            <w:tcW w:w="469" w:type="pct"/>
            <w:tcBorders>
              <w:top w:val="single" w:sz="4" w:space="0" w:color="BFE7FF" w:themeColor="text2" w:themeTint="33"/>
            </w:tcBorders>
            <w:shd w:val="clear" w:color="auto" w:fill="F2F2F2" w:themeFill="background1" w:themeFillShade="F2"/>
            <w:hideMark/>
          </w:tcPr>
          <w:p w14:paraId="0EB68B24" w14:textId="77777777" w:rsidR="00726925" w:rsidRPr="00EE604C" w:rsidRDefault="00726925" w:rsidP="00726925">
            <w:pPr>
              <w:pStyle w:val="TableTextRight"/>
              <w:rPr>
                <w:rFonts w:asciiTheme="minorHAnsi" w:hAnsiTheme="minorHAnsi" w:cstheme="minorHAnsi"/>
                <w:color w:val="000000"/>
                <w:szCs w:val="22"/>
                <w:lang w:val="en-AU"/>
              </w:rPr>
            </w:pPr>
            <w:r w:rsidRPr="00EE604C">
              <w:rPr>
                <w:rFonts w:asciiTheme="minorHAnsi" w:hAnsiTheme="minorHAnsi" w:cstheme="minorHAnsi"/>
                <w:color w:val="000000"/>
                <w:szCs w:val="22"/>
              </w:rPr>
              <w:t>15,097</w:t>
            </w:r>
          </w:p>
          <w:p w14:paraId="47419692" w14:textId="3A01442E" w:rsidR="00726925" w:rsidRPr="00EE604C" w:rsidRDefault="00726925" w:rsidP="00726925">
            <w:pPr>
              <w:pStyle w:val="TableTextRight"/>
              <w:rPr>
                <w:rFonts w:asciiTheme="minorHAnsi" w:hAnsiTheme="minorHAnsi" w:cstheme="minorHAnsi"/>
                <w:color w:val="000000"/>
                <w:szCs w:val="22"/>
                <w:lang w:val="en-AU"/>
              </w:rPr>
            </w:pPr>
            <w:r w:rsidRPr="00EE604C">
              <w:rPr>
                <w:rFonts w:asciiTheme="minorHAnsi" w:hAnsiTheme="minorHAnsi" w:cstheme="minorHAnsi"/>
                <w:color w:val="000000"/>
                <w:szCs w:val="22"/>
              </w:rPr>
              <w:t>100.0%</w:t>
            </w:r>
          </w:p>
        </w:tc>
      </w:tr>
      <w:tr w:rsidR="00726925" w:rsidRPr="00EE604C" w14:paraId="287B7F03" w14:textId="77777777" w:rsidTr="00EE604C">
        <w:tc>
          <w:tcPr>
            <w:cnfStyle w:val="001000000000" w:firstRow="0" w:lastRow="0" w:firstColumn="1" w:lastColumn="0" w:oddVBand="0" w:evenVBand="0" w:oddHBand="0" w:evenHBand="0" w:firstRowFirstColumn="0" w:firstRowLastColumn="0" w:lastRowFirstColumn="0" w:lastRowLastColumn="0"/>
            <w:tcW w:w="778" w:type="pct"/>
            <w:tcBorders>
              <w:top w:val="single" w:sz="4" w:space="0" w:color="BFE7FF" w:themeColor="text2" w:themeTint="33"/>
            </w:tcBorders>
            <w:hideMark/>
          </w:tcPr>
          <w:p w14:paraId="30274CDD" w14:textId="40EE5D28" w:rsidR="00726925" w:rsidRPr="00EE604C" w:rsidRDefault="00726925" w:rsidP="0008761F">
            <w:pPr>
              <w:pStyle w:val="TableHeading2Row"/>
              <w:rPr>
                <w:rFonts w:cstheme="minorHAnsi"/>
                <w:b w:val="0"/>
                <w:szCs w:val="22"/>
                <w:lang w:val="en-AU"/>
              </w:rPr>
            </w:pPr>
            <w:r w:rsidRPr="00EE604C">
              <w:rPr>
                <w:rFonts w:cstheme="minorHAnsi"/>
                <w:szCs w:val="22"/>
                <w:lang w:val="en-CA"/>
              </w:rPr>
              <w:t>Expenditure</w:t>
            </w:r>
          </w:p>
        </w:tc>
        <w:tc>
          <w:tcPr>
            <w:tcW w:w="469" w:type="pct"/>
            <w:tcBorders>
              <w:top w:val="single" w:sz="4" w:space="0" w:color="BFE7FF" w:themeColor="text2" w:themeTint="33"/>
            </w:tcBorders>
            <w:hideMark/>
          </w:tcPr>
          <w:p w14:paraId="72867F0C"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$107,424</w:t>
            </w:r>
          </w:p>
          <w:p w14:paraId="6EBC964B" w14:textId="2CC4E85F"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2.1%</w:t>
            </w:r>
          </w:p>
        </w:tc>
        <w:tc>
          <w:tcPr>
            <w:tcW w:w="469" w:type="pct"/>
            <w:tcBorders>
              <w:top w:val="single" w:sz="4" w:space="0" w:color="BFE7FF" w:themeColor="text2" w:themeTint="33"/>
            </w:tcBorders>
            <w:hideMark/>
          </w:tcPr>
          <w:p w14:paraId="6001DAAB"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$217,755</w:t>
            </w:r>
          </w:p>
          <w:p w14:paraId="53DEBD8C" w14:textId="422EB5A0"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4.2%</w:t>
            </w:r>
          </w:p>
        </w:tc>
        <w:tc>
          <w:tcPr>
            <w:tcW w:w="469" w:type="pct"/>
            <w:tcBorders>
              <w:top w:val="single" w:sz="4" w:space="0" w:color="BFE7FF" w:themeColor="text2" w:themeTint="33"/>
            </w:tcBorders>
            <w:hideMark/>
          </w:tcPr>
          <w:p w14:paraId="316B560E"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$1,231,995</w:t>
            </w:r>
          </w:p>
          <w:p w14:paraId="231A78E8" w14:textId="7DD13006"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23.9%</w:t>
            </w:r>
          </w:p>
        </w:tc>
        <w:tc>
          <w:tcPr>
            <w:tcW w:w="469" w:type="pct"/>
            <w:tcBorders>
              <w:top w:val="single" w:sz="4" w:space="0" w:color="BFE7FF" w:themeColor="text2" w:themeTint="33"/>
            </w:tcBorders>
            <w:hideMark/>
          </w:tcPr>
          <w:p w14:paraId="70D90DC5"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$714,571</w:t>
            </w:r>
          </w:p>
          <w:p w14:paraId="499D15FA" w14:textId="51F24104"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13.9%</w:t>
            </w:r>
          </w:p>
        </w:tc>
        <w:tc>
          <w:tcPr>
            <w:tcW w:w="469" w:type="pct"/>
            <w:tcBorders>
              <w:top w:val="single" w:sz="12" w:space="0" w:color="0079C1" w:themeColor="text2"/>
            </w:tcBorders>
            <w:hideMark/>
          </w:tcPr>
          <w:p w14:paraId="452D40DE"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$2,294,655</w:t>
            </w:r>
          </w:p>
          <w:p w14:paraId="2A60EC6A" w14:textId="741E66E0"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44.6%</w:t>
            </w:r>
          </w:p>
        </w:tc>
        <w:tc>
          <w:tcPr>
            <w:tcW w:w="469" w:type="pct"/>
            <w:tcBorders>
              <w:top w:val="single" w:sz="4" w:space="0" w:color="BFE7FF" w:themeColor="text2" w:themeTint="33"/>
            </w:tcBorders>
            <w:hideMark/>
          </w:tcPr>
          <w:p w14:paraId="73D456B8"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$151,990</w:t>
            </w:r>
          </w:p>
          <w:p w14:paraId="635A7B1E" w14:textId="340FCB4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3.0%</w:t>
            </w:r>
          </w:p>
        </w:tc>
        <w:tc>
          <w:tcPr>
            <w:tcW w:w="469" w:type="pct"/>
            <w:tcBorders>
              <w:top w:val="single" w:sz="4" w:space="0" w:color="BFE7FF" w:themeColor="text2" w:themeTint="33"/>
            </w:tcBorders>
            <w:hideMark/>
          </w:tcPr>
          <w:p w14:paraId="14F8D600"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$147,022</w:t>
            </w:r>
          </w:p>
          <w:p w14:paraId="21321B39" w14:textId="2936882E"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2.9%</w:t>
            </w:r>
          </w:p>
        </w:tc>
        <w:tc>
          <w:tcPr>
            <w:tcW w:w="469" w:type="pct"/>
            <w:tcBorders>
              <w:top w:val="single" w:sz="4" w:space="0" w:color="BFE7FF" w:themeColor="text2" w:themeTint="33"/>
            </w:tcBorders>
            <w:hideMark/>
          </w:tcPr>
          <w:p w14:paraId="1F815350"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$282,062</w:t>
            </w:r>
          </w:p>
          <w:p w14:paraId="1A4B0DB6" w14:textId="3F65DB0F"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5.5%</w:t>
            </w:r>
          </w:p>
        </w:tc>
        <w:tc>
          <w:tcPr>
            <w:cnfStyle w:val="000100000000" w:firstRow="0" w:lastRow="0" w:firstColumn="0" w:lastColumn="1" w:oddVBand="0" w:evenVBand="0" w:oddHBand="0" w:evenHBand="0" w:firstRowFirstColumn="0" w:firstRowLastColumn="0" w:lastRowFirstColumn="0" w:lastRowLastColumn="0"/>
            <w:tcW w:w="469" w:type="pct"/>
            <w:tcBorders>
              <w:top w:val="single" w:sz="4" w:space="0" w:color="BFE7FF" w:themeColor="text2" w:themeTint="33"/>
            </w:tcBorders>
            <w:hideMark/>
          </w:tcPr>
          <w:p w14:paraId="5E1A9B19" w14:textId="77777777" w:rsidR="00726925" w:rsidRPr="00EE604C" w:rsidRDefault="00726925" w:rsidP="00726925">
            <w:pPr>
              <w:pStyle w:val="TableTextRight"/>
              <w:rPr>
                <w:rFonts w:asciiTheme="minorHAnsi" w:hAnsiTheme="minorHAnsi" w:cstheme="minorHAnsi"/>
                <w:color w:val="000000"/>
                <w:szCs w:val="22"/>
                <w:lang w:val="en-AU"/>
              </w:rPr>
            </w:pPr>
            <w:r w:rsidRPr="00EE604C">
              <w:rPr>
                <w:rFonts w:asciiTheme="minorHAnsi" w:hAnsiTheme="minorHAnsi" w:cstheme="minorHAnsi"/>
                <w:color w:val="000000"/>
                <w:szCs w:val="22"/>
              </w:rPr>
              <w:t>$5,147,474</w:t>
            </w:r>
          </w:p>
          <w:p w14:paraId="4C59B4D7" w14:textId="3DBCF256" w:rsidR="00726925" w:rsidRPr="00EE604C" w:rsidRDefault="00726925" w:rsidP="00726925">
            <w:pPr>
              <w:pStyle w:val="TableTextRight"/>
              <w:rPr>
                <w:rFonts w:asciiTheme="minorHAnsi" w:hAnsiTheme="minorHAnsi" w:cstheme="minorHAnsi"/>
                <w:color w:val="000000"/>
                <w:szCs w:val="22"/>
                <w:lang w:val="en-AU"/>
              </w:rPr>
            </w:pPr>
            <w:r w:rsidRPr="00EE604C">
              <w:rPr>
                <w:rFonts w:asciiTheme="minorHAnsi" w:hAnsiTheme="minorHAnsi" w:cstheme="minorHAnsi"/>
                <w:szCs w:val="22"/>
              </w:rPr>
              <w:t>100.0%</w:t>
            </w:r>
          </w:p>
        </w:tc>
      </w:tr>
      <w:tr w:rsidR="00A127F8" w:rsidRPr="00EE604C" w14:paraId="2CB09AFA" w14:textId="77777777" w:rsidTr="00EE60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hideMark/>
          </w:tcPr>
          <w:p w14:paraId="3CCEACAD" w14:textId="43B930E0" w:rsidR="008845A2" w:rsidRPr="00EE604C" w:rsidRDefault="008845A2" w:rsidP="0008761F">
            <w:pPr>
              <w:pStyle w:val="TableHeading2Row"/>
              <w:rPr>
                <w:rFonts w:cstheme="minorHAnsi"/>
                <w:szCs w:val="22"/>
                <w:lang w:val="en-AU"/>
              </w:rPr>
            </w:pPr>
            <w:r w:rsidRPr="00EE604C">
              <w:rPr>
                <w:rFonts w:cstheme="minorHAnsi"/>
                <w:szCs w:val="22"/>
                <w:lang w:val="en-CA"/>
              </w:rPr>
              <w:t xml:space="preserve">Total </w:t>
            </w:r>
            <w:r w:rsidR="00EE604C" w:rsidRPr="00EE604C">
              <w:rPr>
                <w:rFonts w:cstheme="minorHAnsi"/>
                <w:szCs w:val="22"/>
                <w:lang w:val="en-CA"/>
              </w:rPr>
              <w:t>$</w:t>
            </w:r>
            <w:r w:rsidRPr="00EE604C">
              <w:rPr>
                <w:rFonts w:cstheme="minorHAnsi"/>
                <w:szCs w:val="22"/>
                <w:lang w:val="en-CA"/>
              </w:rPr>
              <w:t xml:space="preserve"> per consumer</w:t>
            </w:r>
          </w:p>
        </w:tc>
        <w:tc>
          <w:tcPr>
            <w:tcW w:w="469" w:type="pct"/>
            <w:hideMark/>
          </w:tcPr>
          <w:p w14:paraId="5FC34DC6"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$278.30</w:t>
            </w:r>
          </w:p>
        </w:tc>
        <w:tc>
          <w:tcPr>
            <w:tcW w:w="469" w:type="pct"/>
            <w:hideMark/>
          </w:tcPr>
          <w:p w14:paraId="628B9878"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$834.31</w:t>
            </w:r>
          </w:p>
        </w:tc>
        <w:tc>
          <w:tcPr>
            <w:tcW w:w="469" w:type="pct"/>
            <w:hideMark/>
          </w:tcPr>
          <w:p w14:paraId="206510E2"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$315.09</w:t>
            </w:r>
          </w:p>
        </w:tc>
        <w:tc>
          <w:tcPr>
            <w:tcW w:w="469" w:type="pct"/>
            <w:hideMark/>
          </w:tcPr>
          <w:p w14:paraId="6045670C"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$430.72</w:t>
            </w:r>
          </w:p>
        </w:tc>
        <w:tc>
          <w:tcPr>
            <w:tcW w:w="469" w:type="pct"/>
            <w:hideMark/>
          </w:tcPr>
          <w:p w14:paraId="618F12FF"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$321.56</w:t>
            </w:r>
          </w:p>
        </w:tc>
        <w:tc>
          <w:tcPr>
            <w:tcW w:w="469" w:type="pct"/>
            <w:hideMark/>
          </w:tcPr>
          <w:p w14:paraId="48D8A018"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$266.65</w:t>
            </w:r>
          </w:p>
        </w:tc>
        <w:tc>
          <w:tcPr>
            <w:tcW w:w="469" w:type="pct"/>
            <w:hideMark/>
          </w:tcPr>
          <w:p w14:paraId="3982A24B"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$400.60</w:t>
            </w:r>
          </w:p>
        </w:tc>
        <w:tc>
          <w:tcPr>
            <w:tcW w:w="469" w:type="pct"/>
            <w:hideMark/>
          </w:tcPr>
          <w:p w14:paraId="6398EE76"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2"/>
                <w:lang w:val="en-AU"/>
              </w:rPr>
            </w:pPr>
            <w:r w:rsidRPr="00EE604C">
              <w:rPr>
                <w:rFonts w:asciiTheme="minorHAnsi" w:hAnsiTheme="minorHAnsi" w:cstheme="minorHAnsi"/>
                <w:szCs w:val="22"/>
              </w:rPr>
              <w:t>$349.09</w:t>
            </w:r>
          </w:p>
        </w:tc>
        <w:tc>
          <w:tcPr>
            <w:cnfStyle w:val="000100000000" w:firstRow="0" w:lastRow="0" w:firstColumn="0" w:lastColumn="1" w:oddVBand="0" w:evenVBand="0" w:oddHBand="0" w:evenHBand="0" w:firstRowFirstColumn="0" w:firstRowLastColumn="0" w:lastRowFirstColumn="0" w:lastRowLastColumn="0"/>
            <w:tcW w:w="469" w:type="pct"/>
            <w:hideMark/>
          </w:tcPr>
          <w:p w14:paraId="7D010F30" w14:textId="77777777" w:rsidR="008845A2" w:rsidRPr="00EE604C" w:rsidRDefault="008845A2" w:rsidP="00726925">
            <w:pPr>
              <w:pStyle w:val="TableTextRight"/>
              <w:rPr>
                <w:rFonts w:asciiTheme="minorHAnsi" w:hAnsiTheme="minorHAnsi" w:cstheme="minorHAnsi"/>
                <w:color w:val="000000"/>
                <w:szCs w:val="22"/>
                <w:lang w:val="en-AU"/>
              </w:rPr>
            </w:pPr>
            <w:r w:rsidRPr="00EE604C">
              <w:rPr>
                <w:rFonts w:asciiTheme="minorHAnsi" w:hAnsiTheme="minorHAnsi" w:cstheme="minorHAnsi"/>
                <w:color w:val="000000"/>
                <w:szCs w:val="22"/>
              </w:rPr>
              <w:t>$340.96</w:t>
            </w:r>
          </w:p>
        </w:tc>
      </w:tr>
    </w:tbl>
    <w:p w14:paraId="3B84A192" w14:textId="77777777" w:rsidR="00143C46" w:rsidRDefault="00143C46" w:rsidP="00143C46">
      <w:bookmarkStart w:id="69" w:name="_Ref59302431"/>
      <w:bookmarkStart w:id="70" w:name="_Toc59402397"/>
    </w:p>
    <w:p w14:paraId="01CBF092" w14:textId="50A09518" w:rsidR="004A3055" w:rsidRPr="00736110" w:rsidRDefault="004A3055" w:rsidP="00143C46">
      <w:r w:rsidRPr="00736110">
        <w:t>Table </w:t>
      </w:r>
      <w:r w:rsidR="006870B9">
        <w:fldChar w:fldCharType="begin"/>
      </w:r>
      <w:r w:rsidR="006870B9">
        <w:instrText xml:space="preserve"> STYLEREF 1 \s </w:instrText>
      </w:r>
      <w:r w:rsidR="006870B9">
        <w:fldChar w:fldCharType="separate"/>
      </w:r>
      <w:r w:rsidR="00CC3F04">
        <w:rPr>
          <w:noProof/>
        </w:rPr>
        <w:t>2</w:t>
      </w:r>
      <w:r w:rsidR="006870B9">
        <w:fldChar w:fldCharType="end"/>
      </w:r>
      <w:r w:rsidR="009F14D1">
        <w:t>-10</w:t>
      </w:r>
      <w:bookmarkEnd w:id="69"/>
      <w:r w:rsidRPr="00736110">
        <w:t>:</w:t>
      </w:r>
      <w:r w:rsidRPr="00736110">
        <w:tab/>
        <w:t>CHSP consumers and expenditure</w:t>
      </w:r>
      <w:r w:rsidR="009F14D1">
        <w:t xml:space="preserve"> by State</w:t>
      </w:r>
      <w:r w:rsidRPr="00736110">
        <w:t xml:space="preserve"> 2018-19</w:t>
      </w:r>
      <w:r>
        <w:t xml:space="preserve"> – </w:t>
      </w:r>
      <w:r w:rsidRPr="004A3055">
        <w:t>Home</w:t>
      </w:r>
      <w:r w:rsidR="00B11C7D">
        <w:t> </w:t>
      </w:r>
      <w:r w:rsidRPr="004A3055">
        <w:t>Modifications</w:t>
      </w:r>
      <w:bookmarkEnd w:id="70"/>
    </w:p>
    <w:tbl>
      <w:tblPr>
        <w:tblStyle w:val="AHALight"/>
        <w:tblW w:w="14601" w:type="dxa"/>
        <w:tblLayout w:type="fixed"/>
        <w:tblLook w:val="07E0" w:firstRow="1" w:lastRow="1" w:firstColumn="1" w:lastColumn="1" w:noHBand="1" w:noVBand="1"/>
        <w:tblCaption w:val="Home modifications"/>
        <w:tblDescription w:val="Shows the number and percentage of consumers, and the amount and percentage of expenditure in each state and territory."/>
      </w:tblPr>
      <w:tblGrid>
        <w:gridCol w:w="2268"/>
        <w:gridCol w:w="1370"/>
        <w:gridCol w:w="1370"/>
        <w:gridCol w:w="1371"/>
        <w:gridCol w:w="1370"/>
        <w:gridCol w:w="1370"/>
        <w:gridCol w:w="1371"/>
        <w:gridCol w:w="1370"/>
        <w:gridCol w:w="1370"/>
        <w:gridCol w:w="1371"/>
      </w:tblGrid>
      <w:tr w:rsidR="004A3055" w:rsidRPr="00EE604C" w14:paraId="6E646915" w14:textId="77777777" w:rsidTr="00EE6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07D8BBD4" w14:textId="77777777" w:rsidR="004A3055" w:rsidRPr="00EE604C" w:rsidRDefault="004A3055" w:rsidP="00B303C0">
            <w:pPr>
              <w:rPr>
                <w:szCs w:val="22"/>
              </w:rPr>
            </w:pPr>
            <w:r w:rsidRPr="00EE604C">
              <w:rPr>
                <w:szCs w:val="22"/>
              </w:rPr>
              <w:t>CHSP</w:t>
            </w:r>
          </w:p>
        </w:tc>
        <w:tc>
          <w:tcPr>
            <w:tcW w:w="1370" w:type="dxa"/>
            <w:hideMark/>
          </w:tcPr>
          <w:p w14:paraId="20AA5CA2"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NSW</w:t>
            </w:r>
          </w:p>
        </w:tc>
        <w:tc>
          <w:tcPr>
            <w:tcW w:w="1370" w:type="dxa"/>
            <w:hideMark/>
          </w:tcPr>
          <w:p w14:paraId="42B06831"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Vic</w:t>
            </w:r>
          </w:p>
        </w:tc>
        <w:tc>
          <w:tcPr>
            <w:tcW w:w="1371" w:type="dxa"/>
            <w:hideMark/>
          </w:tcPr>
          <w:p w14:paraId="0499F6FC"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Qld</w:t>
            </w:r>
          </w:p>
        </w:tc>
        <w:tc>
          <w:tcPr>
            <w:tcW w:w="1370" w:type="dxa"/>
            <w:hideMark/>
          </w:tcPr>
          <w:p w14:paraId="21A4CECE"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WA</w:t>
            </w:r>
          </w:p>
        </w:tc>
        <w:tc>
          <w:tcPr>
            <w:tcW w:w="1370" w:type="dxa"/>
            <w:hideMark/>
          </w:tcPr>
          <w:p w14:paraId="4A9E8396"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SA</w:t>
            </w:r>
          </w:p>
        </w:tc>
        <w:tc>
          <w:tcPr>
            <w:tcW w:w="1371" w:type="dxa"/>
            <w:hideMark/>
          </w:tcPr>
          <w:p w14:paraId="3E2AE7A9"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Tas</w:t>
            </w:r>
          </w:p>
        </w:tc>
        <w:tc>
          <w:tcPr>
            <w:tcW w:w="1370" w:type="dxa"/>
            <w:hideMark/>
          </w:tcPr>
          <w:p w14:paraId="0F0613E4"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ACT</w:t>
            </w:r>
          </w:p>
        </w:tc>
        <w:tc>
          <w:tcPr>
            <w:tcW w:w="1370" w:type="dxa"/>
            <w:hideMark/>
          </w:tcPr>
          <w:p w14:paraId="7735CEF7"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NT</w:t>
            </w:r>
          </w:p>
        </w:tc>
        <w:tc>
          <w:tcPr>
            <w:cnfStyle w:val="000100000000" w:firstRow="0" w:lastRow="0" w:firstColumn="0" w:lastColumn="1" w:oddVBand="0" w:evenVBand="0" w:oddHBand="0" w:evenHBand="0" w:firstRowFirstColumn="0" w:firstRowLastColumn="0" w:lastRowFirstColumn="0" w:lastRowLastColumn="0"/>
            <w:tcW w:w="1371" w:type="dxa"/>
            <w:hideMark/>
          </w:tcPr>
          <w:p w14:paraId="6651E253" w14:textId="77777777" w:rsidR="004A3055" w:rsidRPr="00EE604C" w:rsidRDefault="004A3055" w:rsidP="00B303C0">
            <w:pPr>
              <w:jc w:val="right"/>
              <w:rPr>
                <w:szCs w:val="22"/>
              </w:rPr>
            </w:pPr>
            <w:r w:rsidRPr="00EE604C">
              <w:rPr>
                <w:szCs w:val="22"/>
              </w:rPr>
              <w:t>Total</w:t>
            </w:r>
          </w:p>
        </w:tc>
      </w:tr>
      <w:tr w:rsidR="00726925" w:rsidRPr="00EE604C" w14:paraId="7E9DBED7" w14:textId="77777777" w:rsidTr="00EE604C">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BFE7FF" w:themeColor="text2" w:themeTint="33"/>
            </w:tcBorders>
            <w:shd w:val="clear" w:color="auto" w:fill="F2F2F2" w:themeFill="background1" w:themeFillShade="F2"/>
            <w:hideMark/>
          </w:tcPr>
          <w:p w14:paraId="4C84FC6D" w14:textId="0DDA0675" w:rsidR="00726925" w:rsidRPr="00EE604C" w:rsidRDefault="00726925" w:rsidP="00726925">
            <w:pPr>
              <w:pStyle w:val="TableHeading2Row"/>
              <w:rPr>
                <w:szCs w:val="22"/>
                <w:lang w:val="en-AU"/>
              </w:rPr>
            </w:pPr>
            <w:r w:rsidRPr="00EE604C">
              <w:rPr>
                <w:szCs w:val="22"/>
                <w:lang w:val="en-CA"/>
              </w:rPr>
              <w:t>Consumers</w:t>
            </w:r>
          </w:p>
        </w:tc>
        <w:tc>
          <w:tcPr>
            <w:tcW w:w="1370" w:type="dxa"/>
            <w:tcBorders>
              <w:top w:val="single" w:sz="4" w:space="0" w:color="BFE7FF" w:themeColor="text2" w:themeTint="33"/>
            </w:tcBorders>
            <w:shd w:val="clear" w:color="auto" w:fill="F2F2F2" w:themeFill="background1" w:themeFillShade="F2"/>
            <w:hideMark/>
          </w:tcPr>
          <w:p w14:paraId="1EBEF27F"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13,405</w:t>
            </w:r>
          </w:p>
          <w:p w14:paraId="24D4CE65" w14:textId="1E69BC2B"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27.4%</w:t>
            </w:r>
          </w:p>
        </w:tc>
        <w:tc>
          <w:tcPr>
            <w:tcW w:w="1370" w:type="dxa"/>
            <w:tcBorders>
              <w:top w:val="single" w:sz="4" w:space="0" w:color="BFE7FF" w:themeColor="text2" w:themeTint="33"/>
              <w:right w:val="single" w:sz="12" w:space="0" w:color="0079C1" w:themeColor="text2"/>
            </w:tcBorders>
            <w:shd w:val="clear" w:color="auto" w:fill="F2F2F2" w:themeFill="background1" w:themeFillShade="F2"/>
            <w:hideMark/>
          </w:tcPr>
          <w:p w14:paraId="54C72274"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10,876</w:t>
            </w:r>
          </w:p>
          <w:p w14:paraId="12FEC8A5" w14:textId="7681A4F6"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22.3%</w:t>
            </w:r>
          </w:p>
        </w:tc>
        <w:tc>
          <w:tcPr>
            <w:tcW w:w="1371" w:type="dxa"/>
            <w:tcBorders>
              <w:top w:val="single" w:sz="12" w:space="0" w:color="0079C1" w:themeColor="text2"/>
              <w:left w:val="single" w:sz="12" w:space="0" w:color="0079C1" w:themeColor="text2"/>
              <w:right w:val="single" w:sz="12" w:space="0" w:color="0079C1" w:themeColor="text2"/>
            </w:tcBorders>
            <w:shd w:val="clear" w:color="auto" w:fill="F2F2F2" w:themeFill="background1" w:themeFillShade="F2"/>
            <w:hideMark/>
          </w:tcPr>
          <w:p w14:paraId="1B588D1A"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16,470</w:t>
            </w:r>
          </w:p>
          <w:p w14:paraId="53640E26" w14:textId="2F29D91E"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33.7%</w:t>
            </w:r>
          </w:p>
        </w:tc>
        <w:tc>
          <w:tcPr>
            <w:tcW w:w="1370" w:type="dxa"/>
            <w:tcBorders>
              <w:top w:val="single" w:sz="4" w:space="0" w:color="BFE7FF" w:themeColor="text2" w:themeTint="33"/>
              <w:left w:val="single" w:sz="12" w:space="0" w:color="0079C1" w:themeColor="text2"/>
            </w:tcBorders>
            <w:shd w:val="clear" w:color="auto" w:fill="F2F2F2" w:themeFill="background1" w:themeFillShade="F2"/>
            <w:hideMark/>
          </w:tcPr>
          <w:p w14:paraId="6AF5C927"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1,702</w:t>
            </w:r>
          </w:p>
          <w:p w14:paraId="407FA816" w14:textId="7232BC79"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3.5%</w:t>
            </w:r>
          </w:p>
        </w:tc>
        <w:tc>
          <w:tcPr>
            <w:tcW w:w="1370" w:type="dxa"/>
            <w:tcBorders>
              <w:top w:val="single" w:sz="4" w:space="0" w:color="BFE7FF" w:themeColor="text2" w:themeTint="33"/>
            </w:tcBorders>
            <w:shd w:val="clear" w:color="auto" w:fill="F2F2F2" w:themeFill="background1" w:themeFillShade="F2"/>
            <w:hideMark/>
          </w:tcPr>
          <w:p w14:paraId="435E5727"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5,767</w:t>
            </w:r>
          </w:p>
          <w:p w14:paraId="7C603D7D" w14:textId="154238C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11.8%</w:t>
            </w:r>
          </w:p>
        </w:tc>
        <w:tc>
          <w:tcPr>
            <w:tcW w:w="1371" w:type="dxa"/>
            <w:tcBorders>
              <w:top w:val="single" w:sz="4" w:space="0" w:color="BFE7FF" w:themeColor="text2" w:themeTint="33"/>
            </w:tcBorders>
            <w:shd w:val="clear" w:color="auto" w:fill="F2F2F2" w:themeFill="background1" w:themeFillShade="F2"/>
            <w:hideMark/>
          </w:tcPr>
          <w:p w14:paraId="43B07BD4"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37</w:t>
            </w:r>
          </w:p>
          <w:p w14:paraId="1323DB06" w14:textId="648B550C"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0.1%</w:t>
            </w:r>
          </w:p>
        </w:tc>
        <w:tc>
          <w:tcPr>
            <w:tcW w:w="1370" w:type="dxa"/>
            <w:tcBorders>
              <w:top w:val="single" w:sz="4" w:space="0" w:color="BFE7FF" w:themeColor="text2" w:themeTint="33"/>
            </w:tcBorders>
            <w:shd w:val="clear" w:color="auto" w:fill="F2F2F2" w:themeFill="background1" w:themeFillShade="F2"/>
            <w:hideMark/>
          </w:tcPr>
          <w:p w14:paraId="58C04DAD"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275</w:t>
            </w:r>
          </w:p>
          <w:p w14:paraId="61963D55" w14:textId="6470D886"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0.6%</w:t>
            </w:r>
          </w:p>
        </w:tc>
        <w:tc>
          <w:tcPr>
            <w:tcW w:w="1370" w:type="dxa"/>
            <w:tcBorders>
              <w:top w:val="single" w:sz="4" w:space="0" w:color="BFE7FF" w:themeColor="text2" w:themeTint="33"/>
            </w:tcBorders>
            <w:shd w:val="clear" w:color="auto" w:fill="F2F2F2" w:themeFill="background1" w:themeFillShade="F2"/>
            <w:hideMark/>
          </w:tcPr>
          <w:p w14:paraId="02B92313"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303</w:t>
            </w:r>
          </w:p>
          <w:p w14:paraId="5BBBE302" w14:textId="13833DB0"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0.6%</w:t>
            </w:r>
          </w:p>
        </w:tc>
        <w:tc>
          <w:tcPr>
            <w:cnfStyle w:val="000100000000" w:firstRow="0" w:lastRow="0" w:firstColumn="0" w:lastColumn="1" w:oddVBand="0" w:evenVBand="0" w:oddHBand="0" w:evenHBand="0" w:firstRowFirstColumn="0" w:firstRowLastColumn="0" w:lastRowFirstColumn="0" w:lastRowLastColumn="0"/>
            <w:tcW w:w="1371" w:type="dxa"/>
            <w:tcBorders>
              <w:top w:val="single" w:sz="4" w:space="0" w:color="BFE7FF" w:themeColor="text2" w:themeTint="33"/>
            </w:tcBorders>
            <w:shd w:val="clear" w:color="auto" w:fill="F2F2F2" w:themeFill="background1" w:themeFillShade="F2"/>
            <w:hideMark/>
          </w:tcPr>
          <w:p w14:paraId="1BFC2598" w14:textId="77777777" w:rsidR="00726925" w:rsidRPr="00EE604C" w:rsidRDefault="00726925" w:rsidP="00726925">
            <w:pPr>
              <w:pStyle w:val="TableTextRight"/>
              <w:rPr>
                <w:color w:val="000000"/>
                <w:szCs w:val="22"/>
                <w:lang w:val="en-AU"/>
              </w:rPr>
            </w:pPr>
            <w:r w:rsidRPr="00EE604C">
              <w:rPr>
                <w:color w:val="000000"/>
                <w:szCs w:val="22"/>
              </w:rPr>
              <w:t>48,835</w:t>
            </w:r>
          </w:p>
          <w:p w14:paraId="5200AA9A" w14:textId="333AE6AD" w:rsidR="00726925" w:rsidRPr="00EE604C" w:rsidRDefault="00726925" w:rsidP="00726925">
            <w:pPr>
              <w:pStyle w:val="TableTextRight"/>
              <w:rPr>
                <w:color w:val="000000"/>
                <w:szCs w:val="22"/>
                <w:lang w:val="en-AU"/>
              </w:rPr>
            </w:pPr>
            <w:r w:rsidRPr="00EE604C">
              <w:rPr>
                <w:color w:val="000000"/>
                <w:szCs w:val="22"/>
              </w:rPr>
              <w:t>100.0%</w:t>
            </w:r>
          </w:p>
        </w:tc>
      </w:tr>
      <w:tr w:rsidR="00726925" w:rsidRPr="00EE604C" w14:paraId="387C6D96" w14:textId="77777777" w:rsidTr="00EE604C">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BFE7FF" w:themeColor="text2" w:themeTint="33"/>
            </w:tcBorders>
            <w:hideMark/>
          </w:tcPr>
          <w:p w14:paraId="52396300" w14:textId="415BE190" w:rsidR="00726925" w:rsidRPr="00EE604C" w:rsidRDefault="00726925" w:rsidP="00726925">
            <w:pPr>
              <w:pStyle w:val="TableHeading2Row"/>
              <w:rPr>
                <w:szCs w:val="22"/>
                <w:lang w:val="en-AU"/>
              </w:rPr>
            </w:pPr>
            <w:r w:rsidRPr="00EE604C">
              <w:rPr>
                <w:szCs w:val="22"/>
                <w:lang w:val="en-CA"/>
              </w:rPr>
              <w:t>Expenditure</w:t>
            </w:r>
          </w:p>
        </w:tc>
        <w:tc>
          <w:tcPr>
            <w:tcW w:w="1370" w:type="dxa"/>
            <w:tcBorders>
              <w:top w:val="single" w:sz="4" w:space="0" w:color="BFE7FF" w:themeColor="text2" w:themeTint="33"/>
            </w:tcBorders>
            <w:hideMark/>
          </w:tcPr>
          <w:p w14:paraId="38E76BB2"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$17,610,189</w:t>
            </w:r>
          </w:p>
          <w:p w14:paraId="7E97CCB8" w14:textId="211B644E"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49.6%</w:t>
            </w:r>
          </w:p>
        </w:tc>
        <w:tc>
          <w:tcPr>
            <w:tcW w:w="1370" w:type="dxa"/>
            <w:tcBorders>
              <w:top w:val="single" w:sz="4" w:space="0" w:color="BFE7FF" w:themeColor="text2" w:themeTint="33"/>
            </w:tcBorders>
            <w:hideMark/>
          </w:tcPr>
          <w:p w14:paraId="21F95CFA"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$2,788,929</w:t>
            </w:r>
          </w:p>
          <w:p w14:paraId="209597E5" w14:textId="76709625"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7.9%</w:t>
            </w:r>
          </w:p>
        </w:tc>
        <w:tc>
          <w:tcPr>
            <w:tcW w:w="1371" w:type="dxa"/>
            <w:tcBorders>
              <w:top w:val="single" w:sz="12" w:space="0" w:color="0079C1" w:themeColor="text2"/>
            </w:tcBorders>
            <w:hideMark/>
          </w:tcPr>
          <w:p w14:paraId="530805C0"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$9,687,175</w:t>
            </w:r>
          </w:p>
          <w:p w14:paraId="25F0F925" w14:textId="75D16FFD"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27.3%</w:t>
            </w:r>
          </w:p>
        </w:tc>
        <w:tc>
          <w:tcPr>
            <w:tcW w:w="1370" w:type="dxa"/>
            <w:tcBorders>
              <w:top w:val="single" w:sz="4" w:space="0" w:color="BFE7FF" w:themeColor="text2" w:themeTint="33"/>
            </w:tcBorders>
            <w:hideMark/>
          </w:tcPr>
          <w:p w14:paraId="24BDA6C4"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$1,368,076</w:t>
            </w:r>
          </w:p>
          <w:p w14:paraId="2892C8D3" w14:textId="1AB38638"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3.9%</w:t>
            </w:r>
          </w:p>
        </w:tc>
        <w:tc>
          <w:tcPr>
            <w:tcW w:w="1370" w:type="dxa"/>
            <w:tcBorders>
              <w:top w:val="single" w:sz="4" w:space="0" w:color="BFE7FF" w:themeColor="text2" w:themeTint="33"/>
            </w:tcBorders>
            <w:hideMark/>
          </w:tcPr>
          <w:p w14:paraId="0D7DA68C"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$2,931,331</w:t>
            </w:r>
          </w:p>
          <w:p w14:paraId="222F0BF7" w14:textId="286B0E9F"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8.3%</w:t>
            </w:r>
          </w:p>
        </w:tc>
        <w:tc>
          <w:tcPr>
            <w:tcW w:w="1371" w:type="dxa"/>
            <w:tcBorders>
              <w:top w:val="single" w:sz="4" w:space="0" w:color="BFE7FF" w:themeColor="text2" w:themeTint="33"/>
            </w:tcBorders>
            <w:hideMark/>
          </w:tcPr>
          <w:p w14:paraId="4BB08746"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$278,398</w:t>
            </w:r>
          </w:p>
          <w:p w14:paraId="01EAB6E2" w14:textId="4E427500"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0.8%</w:t>
            </w:r>
          </w:p>
        </w:tc>
        <w:tc>
          <w:tcPr>
            <w:tcW w:w="1370" w:type="dxa"/>
            <w:tcBorders>
              <w:top w:val="single" w:sz="4" w:space="0" w:color="BFE7FF" w:themeColor="text2" w:themeTint="33"/>
            </w:tcBorders>
            <w:hideMark/>
          </w:tcPr>
          <w:p w14:paraId="38D7433C"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$581,347</w:t>
            </w:r>
          </w:p>
          <w:p w14:paraId="2476BFC4" w14:textId="353B330F"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1.6%</w:t>
            </w:r>
          </w:p>
        </w:tc>
        <w:tc>
          <w:tcPr>
            <w:tcW w:w="1370" w:type="dxa"/>
            <w:tcBorders>
              <w:top w:val="single" w:sz="4" w:space="0" w:color="BFE7FF" w:themeColor="text2" w:themeTint="33"/>
            </w:tcBorders>
            <w:hideMark/>
          </w:tcPr>
          <w:p w14:paraId="51818F10"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$230,388</w:t>
            </w:r>
          </w:p>
          <w:p w14:paraId="7AA77681" w14:textId="725A41A2"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0.6%</w:t>
            </w:r>
          </w:p>
        </w:tc>
        <w:tc>
          <w:tcPr>
            <w:cnfStyle w:val="000100000000" w:firstRow="0" w:lastRow="0" w:firstColumn="0" w:lastColumn="1" w:oddVBand="0" w:evenVBand="0" w:oddHBand="0" w:evenHBand="0" w:firstRowFirstColumn="0" w:firstRowLastColumn="0" w:lastRowFirstColumn="0" w:lastRowLastColumn="0"/>
            <w:tcW w:w="1371" w:type="dxa"/>
            <w:tcBorders>
              <w:top w:val="single" w:sz="4" w:space="0" w:color="BFE7FF" w:themeColor="text2" w:themeTint="33"/>
            </w:tcBorders>
            <w:hideMark/>
          </w:tcPr>
          <w:p w14:paraId="5BD2877A" w14:textId="77777777" w:rsidR="00726925" w:rsidRPr="00EE604C" w:rsidRDefault="00726925" w:rsidP="00726925">
            <w:pPr>
              <w:pStyle w:val="TableTextRight"/>
              <w:rPr>
                <w:szCs w:val="22"/>
                <w:lang w:val="en-AU"/>
              </w:rPr>
            </w:pPr>
            <w:r w:rsidRPr="00EE604C">
              <w:rPr>
                <w:szCs w:val="22"/>
              </w:rPr>
              <w:t>$35,475,833</w:t>
            </w:r>
          </w:p>
          <w:p w14:paraId="057A1B78" w14:textId="36A44A28" w:rsidR="00726925" w:rsidRPr="00EE604C" w:rsidRDefault="00726925" w:rsidP="00726925">
            <w:pPr>
              <w:pStyle w:val="TableTextRight"/>
              <w:rPr>
                <w:szCs w:val="22"/>
                <w:lang w:val="en-AU"/>
              </w:rPr>
            </w:pPr>
            <w:r w:rsidRPr="00EE604C">
              <w:rPr>
                <w:szCs w:val="22"/>
              </w:rPr>
              <w:t>100.0%</w:t>
            </w:r>
          </w:p>
        </w:tc>
      </w:tr>
      <w:tr w:rsidR="008845A2" w:rsidRPr="00EE604C" w14:paraId="2A364D9E" w14:textId="77777777" w:rsidTr="00EE60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338B9A66" w14:textId="667169FB" w:rsidR="008845A2" w:rsidRPr="00EE604C" w:rsidRDefault="008845A2" w:rsidP="0008761F">
            <w:pPr>
              <w:pStyle w:val="TableHeading2Row"/>
              <w:rPr>
                <w:szCs w:val="22"/>
                <w:lang w:val="en-AU"/>
              </w:rPr>
            </w:pPr>
            <w:r w:rsidRPr="00EE604C">
              <w:rPr>
                <w:szCs w:val="22"/>
                <w:lang w:val="en-CA"/>
              </w:rPr>
              <w:t xml:space="preserve">Total </w:t>
            </w:r>
            <w:r w:rsidR="00726925" w:rsidRPr="00EE604C">
              <w:rPr>
                <w:szCs w:val="22"/>
                <w:lang w:val="en-CA"/>
              </w:rPr>
              <w:t xml:space="preserve">$ </w:t>
            </w:r>
            <w:r w:rsidRPr="00EE604C">
              <w:rPr>
                <w:szCs w:val="22"/>
                <w:lang w:val="en-CA"/>
              </w:rPr>
              <w:t>per consumer</w:t>
            </w:r>
          </w:p>
        </w:tc>
        <w:tc>
          <w:tcPr>
            <w:tcW w:w="1370" w:type="dxa"/>
            <w:hideMark/>
          </w:tcPr>
          <w:p w14:paraId="0DAF19EB"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$1,313.70</w:t>
            </w:r>
          </w:p>
        </w:tc>
        <w:tc>
          <w:tcPr>
            <w:tcW w:w="1370" w:type="dxa"/>
            <w:hideMark/>
          </w:tcPr>
          <w:p w14:paraId="1181FE34"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$256.43</w:t>
            </w:r>
          </w:p>
        </w:tc>
        <w:tc>
          <w:tcPr>
            <w:tcW w:w="1371" w:type="dxa"/>
            <w:hideMark/>
          </w:tcPr>
          <w:p w14:paraId="4301BC59"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$588.17</w:t>
            </w:r>
          </w:p>
        </w:tc>
        <w:tc>
          <w:tcPr>
            <w:tcW w:w="1370" w:type="dxa"/>
            <w:hideMark/>
          </w:tcPr>
          <w:p w14:paraId="34A389A9"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$803.80</w:t>
            </w:r>
          </w:p>
        </w:tc>
        <w:tc>
          <w:tcPr>
            <w:tcW w:w="1370" w:type="dxa"/>
            <w:hideMark/>
          </w:tcPr>
          <w:p w14:paraId="00E4DE62"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$508.29</w:t>
            </w:r>
          </w:p>
        </w:tc>
        <w:tc>
          <w:tcPr>
            <w:tcW w:w="1371" w:type="dxa"/>
            <w:hideMark/>
          </w:tcPr>
          <w:p w14:paraId="6733FBBD"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$7,524.27</w:t>
            </w:r>
          </w:p>
        </w:tc>
        <w:tc>
          <w:tcPr>
            <w:tcW w:w="1370" w:type="dxa"/>
            <w:hideMark/>
          </w:tcPr>
          <w:p w14:paraId="504D6CF5"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$2,113.99</w:t>
            </w:r>
          </w:p>
        </w:tc>
        <w:tc>
          <w:tcPr>
            <w:tcW w:w="1370" w:type="dxa"/>
            <w:hideMark/>
          </w:tcPr>
          <w:p w14:paraId="4559DC81"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$760.36</w:t>
            </w:r>
          </w:p>
        </w:tc>
        <w:tc>
          <w:tcPr>
            <w:cnfStyle w:val="000100000000" w:firstRow="0" w:lastRow="0" w:firstColumn="0" w:lastColumn="1" w:oddVBand="0" w:evenVBand="0" w:oddHBand="0" w:evenHBand="0" w:firstRowFirstColumn="0" w:firstRowLastColumn="0" w:lastRowFirstColumn="0" w:lastRowLastColumn="0"/>
            <w:tcW w:w="1371" w:type="dxa"/>
            <w:hideMark/>
          </w:tcPr>
          <w:p w14:paraId="236D111D" w14:textId="77777777" w:rsidR="008845A2" w:rsidRPr="00EE604C" w:rsidRDefault="008845A2" w:rsidP="00726925">
            <w:pPr>
              <w:pStyle w:val="TableTextRight"/>
              <w:rPr>
                <w:szCs w:val="22"/>
                <w:lang w:val="en-AU"/>
              </w:rPr>
            </w:pPr>
            <w:r w:rsidRPr="00EE604C">
              <w:rPr>
                <w:szCs w:val="22"/>
              </w:rPr>
              <w:t>$726.44</w:t>
            </w:r>
          </w:p>
        </w:tc>
      </w:tr>
    </w:tbl>
    <w:p w14:paraId="28DEA15F" w14:textId="77777777" w:rsidR="00143C46" w:rsidRDefault="00143C46" w:rsidP="00143C46">
      <w:bookmarkStart w:id="71" w:name="_Ref59302433"/>
      <w:bookmarkStart w:id="72" w:name="_Toc59402398"/>
    </w:p>
    <w:p w14:paraId="457FB41B" w14:textId="0EB3F585" w:rsidR="004A3055" w:rsidRPr="00736110" w:rsidRDefault="004A3055" w:rsidP="00143C46">
      <w:r w:rsidRPr="00736110">
        <w:t>Table </w:t>
      </w:r>
      <w:r w:rsidR="006870B9">
        <w:fldChar w:fldCharType="begin"/>
      </w:r>
      <w:r w:rsidR="006870B9">
        <w:instrText xml:space="preserve"> STYLEREF 1 \s </w:instrText>
      </w:r>
      <w:r w:rsidR="006870B9">
        <w:fldChar w:fldCharType="separate"/>
      </w:r>
      <w:r w:rsidR="00CC3F04">
        <w:rPr>
          <w:noProof/>
        </w:rPr>
        <w:t>2</w:t>
      </w:r>
      <w:r w:rsidR="006870B9">
        <w:fldChar w:fldCharType="end"/>
      </w:r>
      <w:r w:rsidR="003122D1">
        <w:t>-11</w:t>
      </w:r>
      <w:bookmarkEnd w:id="71"/>
      <w:r w:rsidRPr="00736110">
        <w:t>:</w:t>
      </w:r>
      <w:r w:rsidRPr="00736110">
        <w:tab/>
        <w:t>CHSP consumers and expenditure 2018-19</w:t>
      </w:r>
      <w:r>
        <w:t xml:space="preserve"> </w:t>
      </w:r>
      <w:bookmarkEnd w:id="72"/>
      <w:r w:rsidR="003122D1">
        <w:t>AT and Home Modifications</w:t>
      </w:r>
    </w:p>
    <w:tbl>
      <w:tblPr>
        <w:tblStyle w:val="AHALight"/>
        <w:tblW w:w="14601" w:type="dxa"/>
        <w:tblLayout w:type="fixed"/>
        <w:tblLook w:val="07E0" w:firstRow="1" w:lastRow="1" w:firstColumn="1" w:lastColumn="1" w:noHBand="1" w:noVBand="1"/>
        <w:tblCaption w:val="AT &amp; HM"/>
        <w:tblDescription w:val="Shows the number and percentage of consumers, and the amount and percentage of expenditure in each state and territory."/>
      </w:tblPr>
      <w:tblGrid>
        <w:gridCol w:w="2268"/>
        <w:gridCol w:w="1370"/>
        <w:gridCol w:w="1370"/>
        <w:gridCol w:w="1371"/>
        <w:gridCol w:w="1370"/>
        <w:gridCol w:w="1370"/>
        <w:gridCol w:w="1371"/>
        <w:gridCol w:w="1370"/>
        <w:gridCol w:w="1370"/>
        <w:gridCol w:w="1371"/>
      </w:tblGrid>
      <w:tr w:rsidR="004A3055" w:rsidRPr="00EE604C" w14:paraId="7EA609A2" w14:textId="77777777" w:rsidTr="00726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4F2D563C" w14:textId="77777777" w:rsidR="004A3055" w:rsidRPr="00EE604C" w:rsidRDefault="004A3055" w:rsidP="00B303C0">
            <w:pPr>
              <w:rPr>
                <w:szCs w:val="22"/>
              </w:rPr>
            </w:pPr>
            <w:r w:rsidRPr="00EE604C">
              <w:rPr>
                <w:szCs w:val="22"/>
              </w:rPr>
              <w:t>CHSP</w:t>
            </w:r>
          </w:p>
        </w:tc>
        <w:tc>
          <w:tcPr>
            <w:tcW w:w="1370" w:type="dxa"/>
            <w:hideMark/>
          </w:tcPr>
          <w:p w14:paraId="19522141"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NSW</w:t>
            </w:r>
          </w:p>
        </w:tc>
        <w:tc>
          <w:tcPr>
            <w:tcW w:w="1370" w:type="dxa"/>
            <w:hideMark/>
          </w:tcPr>
          <w:p w14:paraId="7ED26BD6"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Vic</w:t>
            </w:r>
          </w:p>
        </w:tc>
        <w:tc>
          <w:tcPr>
            <w:tcW w:w="1371" w:type="dxa"/>
            <w:hideMark/>
          </w:tcPr>
          <w:p w14:paraId="697FFDE8"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Qld</w:t>
            </w:r>
          </w:p>
        </w:tc>
        <w:tc>
          <w:tcPr>
            <w:tcW w:w="1370" w:type="dxa"/>
            <w:hideMark/>
          </w:tcPr>
          <w:p w14:paraId="6E3C8F36"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WA</w:t>
            </w:r>
          </w:p>
        </w:tc>
        <w:tc>
          <w:tcPr>
            <w:tcW w:w="1370" w:type="dxa"/>
            <w:hideMark/>
          </w:tcPr>
          <w:p w14:paraId="244EF3F8"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SA</w:t>
            </w:r>
          </w:p>
        </w:tc>
        <w:tc>
          <w:tcPr>
            <w:tcW w:w="1371" w:type="dxa"/>
            <w:hideMark/>
          </w:tcPr>
          <w:p w14:paraId="03F2338F"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Tas</w:t>
            </w:r>
          </w:p>
        </w:tc>
        <w:tc>
          <w:tcPr>
            <w:tcW w:w="1370" w:type="dxa"/>
            <w:hideMark/>
          </w:tcPr>
          <w:p w14:paraId="7DB0ACD8"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ACT</w:t>
            </w:r>
          </w:p>
        </w:tc>
        <w:tc>
          <w:tcPr>
            <w:tcW w:w="1370" w:type="dxa"/>
            <w:hideMark/>
          </w:tcPr>
          <w:p w14:paraId="7DE3C7A3" w14:textId="77777777" w:rsidR="004A3055" w:rsidRPr="00EE604C" w:rsidRDefault="004A3055" w:rsidP="00B303C0">
            <w:pPr>
              <w:jc w:val="right"/>
              <w:cnfStyle w:val="100000000000" w:firstRow="1" w:lastRow="0" w:firstColumn="0" w:lastColumn="0" w:oddVBand="0" w:evenVBand="0" w:oddHBand="0" w:evenHBand="0" w:firstRowFirstColumn="0" w:firstRowLastColumn="0" w:lastRowFirstColumn="0" w:lastRowLastColumn="0"/>
              <w:rPr>
                <w:szCs w:val="22"/>
              </w:rPr>
            </w:pPr>
            <w:r w:rsidRPr="00EE604C">
              <w:rPr>
                <w:szCs w:val="22"/>
              </w:rPr>
              <w:t>NT</w:t>
            </w:r>
          </w:p>
        </w:tc>
        <w:tc>
          <w:tcPr>
            <w:cnfStyle w:val="000100000000" w:firstRow="0" w:lastRow="0" w:firstColumn="0" w:lastColumn="1" w:oddVBand="0" w:evenVBand="0" w:oddHBand="0" w:evenHBand="0" w:firstRowFirstColumn="0" w:firstRowLastColumn="0" w:lastRowFirstColumn="0" w:lastRowLastColumn="0"/>
            <w:tcW w:w="1371" w:type="dxa"/>
            <w:hideMark/>
          </w:tcPr>
          <w:p w14:paraId="266EAB15" w14:textId="77777777" w:rsidR="004A3055" w:rsidRPr="00EE604C" w:rsidRDefault="004A3055" w:rsidP="00B303C0">
            <w:pPr>
              <w:jc w:val="right"/>
              <w:rPr>
                <w:szCs w:val="22"/>
              </w:rPr>
            </w:pPr>
            <w:r w:rsidRPr="00EE604C">
              <w:rPr>
                <w:szCs w:val="22"/>
              </w:rPr>
              <w:t>Total</w:t>
            </w:r>
          </w:p>
        </w:tc>
      </w:tr>
      <w:tr w:rsidR="00726925" w:rsidRPr="00EE604C" w14:paraId="57DD9D9B" w14:textId="77777777" w:rsidTr="00726925">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BFE7FF" w:themeColor="text2" w:themeTint="33"/>
            </w:tcBorders>
            <w:shd w:val="clear" w:color="auto" w:fill="F2F2F2" w:themeFill="background1" w:themeFillShade="F2"/>
            <w:hideMark/>
          </w:tcPr>
          <w:p w14:paraId="3239D86C" w14:textId="3FD21F6F" w:rsidR="00726925" w:rsidRPr="00EE604C" w:rsidRDefault="00726925" w:rsidP="00726925">
            <w:pPr>
              <w:pStyle w:val="TableHeading2Row"/>
              <w:rPr>
                <w:szCs w:val="22"/>
                <w:lang w:val="en-AU"/>
              </w:rPr>
            </w:pPr>
            <w:r w:rsidRPr="00EE604C">
              <w:rPr>
                <w:szCs w:val="22"/>
                <w:lang w:val="en-CA"/>
              </w:rPr>
              <w:t>Consumers</w:t>
            </w:r>
          </w:p>
        </w:tc>
        <w:tc>
          <w:tcPr>
            <w:tcW w:w="1370" w:type="dxa"/>
            <w:tcBorders>
              <w:top w:val="single" w:sz="4" w:space="0" w:color="BFE7FF" w:themeColor="text2" w:themeTint="33"/>
            </w:tcBorders>
            <w:shd w:val="clear" w:color="auto" w:fill="F2F2F2" w:themeFill="background1" w:themeFillShade="F2"/>
            <w:hideMark/>
          </w:tcPr>
          <w:p w14:paraId="120FF6A4"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13,791</w:t>
            </w:r>
          </w:p>
          <w:p w14:paraId="703077FC" w14:textId="7F8551AB"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21.6</w:t>
            </w:r>
            <w:r w:rsidR="00EE604C">
              <w:rPr>
                <w:szCs w:val="22"/>
              </w:rPr>
              <w:t>%</w:t>
            </w:r>
          </w:p>
        </w:tc>
        <w:tc>
          <w:tcPr>
            <w:tcW w:w="1370" w:type="dxa"/>
            <w:tcBorders>
              <w:top w:val="single" w:sz="4" w:space="0" w:color="BFE7FF" w:themeColor="text2" w:themeTint="33"/>
            </w:tcBorders>
            <w:shd w:val="clear" w:color="auto" w:fill="F2F2F2" w:themeFill="background1" w:themeFillShade="F2"/>
            <w:hideMark/>
          </w:tcPr>
          <w:p w14:paraId="512BD466"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11,137</w:t>
            </w:r>
          </w:p>
          <w:p w14:paraId="0E77FF47" w14:textId="15C5227C"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17.4</w:t>
            </w:r>
            <w:r w:rsidR="00EE604C">
              <w:rPr>
                <w:szCs w:val="22"/>
              </w:rPr>
              <w:t>%</w:t>
            </w:r>
          </w:p>
        </w:tc>
        <w:tc>
          <w:tcPr>
            <w:tcW w:w="1371" w:type="dxa"/>
            <w:tcBorders>
              <w:top w:val="single" w:sz="4" w:space="0" w:color="BFE7FF" w:themeColor="text2" w:themeTint="33"/>
            </w:tcBorders>
            <w:shd w:val="clear" w:color="auto" w:fill="F2F2F2" w:themeFill="background1" w:themeFillShade="F2"/>
            <w:hideMark/>
          </w:tcPr>
          <w:p w14:paraId="7029F6CA"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20,380</w:t>
            </w:r>
          </w:p>
          <w:p w14:paraId="2C88FCAB" w14:textId="04B9E574"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31.9</w:t>
            </w:r>
            <w:r w:rsidR="00EE604C">
              <w:rPr>
                <w:szCs w:val="22"/>
              </w:rPr>
              <w:t>%</w:t>
            </w:r>
          </w:p>
        </w:tc>
        <w:tc>
          <w:tcPr>
            <w:tcW w:w="1370" w:type="dxa"/>
            <w:tcBorders>
              <w:top w:val="single" w:sz="4" w:space="0" w:color="BFE7FF" w:themeColor="text2" w:themeTint="33"/>
            </w:tcBorders>
            <w:shd w:val="clear" w:color="auto" w:fill="F2F2F2" w:themeFill="background1" w:themeFillShade="F2"/>
            <w:hideMark/>
          </w:tcPr>
          <w:p w14:paraId="651256B9"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3,361</w:t>
            </w:r>
          </w:p>
          <w:p w14:paraId="1E51F69A" w14:textId="682D7F49"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5.3</w:t>
            </w:r>
            <w:r w:rsidR="00EE604C">
              <w:rPr>
                <w:szCs w:val="22"/>
              </w:rPr>
              <w:t>%</w:t>
            </w:r>
          </w:p>
        </w:tc>
        <w:tc>
          <w:tcPr>
            <w:tcW w:w="1370" w:type="dxa"/>
            <w:tcBorders>
              <w:top w:val="single" w:sz="4" w:space="0" w:color="BFE7FF" w:themeColor="text2" w:themeTint="33"/>
            </w:tcBorders>
            <w:shd w:val="clear" w:color="auto" w:fill="F2F2F2" w:themeFill="background1" w:themeFillShade="F2"/>
            <w:hideMark/>
          </w:tcPr>
          <w:p w14:paraId="270C6E7C"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12,903</w:t>
            </w:r>
          </w:p>
          <w:p w14:paraId="496E3A8D" w14:textId="5F96368C"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20.2</w:t>
            </w:r>
            <w:r w:rsidR="00EE604C">
              <w:rPr>
                <w:szCs w:val="22"/>
              </w:rPr>
              <w:t>%</w:t>
            </w:r>
          </w:p>
        </w:tc>
        <w:tc>
          <w:tcPr>
            <w:tcW w:w="1371" w:type="dxa"/>
            <w:tcBorders>
              <w:top w:val="single" w:sz="4" w:space="0" w:color="BFE7FF" w:themeColor="text2" w:themeTint="33"/>
            </w:tcBorders>
            <w:shd w:val="clear" w:color="auto" w:fill="F2F2F2" w:themeFill="background1" w:themeFillShade="F2"/>
            <w:hideMark/>
          </w:tcPr>
          <w:p w14:paraId="57996275"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607</w:t>
            </w:r>
          </w:p>
          <w:p w14:paraId="24C90D70" w14:textId="2982EE82"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0.9</w:t>
            </w:r>
            <w:r w:rsidR="00EE604C">
              <w:rPr>
                <w:szCs w:val="22"/>
              </w:rPr>
              <w:t>%</w:t>
            </w:r>
          </w:p>
        </w:tc>
        <w:tc>
          <w:tcPr>
            <w:tcW w:w="1370" w:type="dxa"/>
            <w:tcBorders>
              <w:top w:val="single" w:sz="4" w:space="0" w:color="BFE7FF" w:themeColor="text2" w:themeTint="33"/>
            </w:tcBorders>
            <w:shd w:val="clear" w:color="auto" w:fill="F2F2F2" w:themeFill="background1" w:themeFillShade="F2"/>
            <w:hideMark/>
          </w:tcPr>
          <w:p w14:paraId="35C27FE0"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642</w:t>
            </w:r>
          </w:p>
          <w:p w14:paraId="50154FD6" w14:textId="3AA068E6"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1.0</w:t>
            </w:r>
            <w:r w:rsidR="00EE604C">
              <w:rPr>
                <w:szCs w:val="22"/>
              </w:rPr>
              <w:t>%</w:t>
            </w:r>
          </w:p>
        </w:tc>
        <w:tc>
          <w:tcPr>
            <w:tcW w:w="1370" w:type="dxa"/>
            <w:tcBorders>
              <w:top w:val="single" w:sz="4" w:space="0" w:color="BFE7FF" w:themeColor="text2" w:themeTint="33"/>
            </w:tcBorders>
            <w:shd w:val="clear" w:color="auto" w:fill="F2F2F2" w:themeFill="background1" w:themeFillShade="F2"/>
            <w:hideMark/>
          </w:tcPr>
          <w:p w14:paraId="1BE1380C"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1,111</w:t>
            </w:r>
          </w:p>
          <w:p w14:paraId="5CA4AFE3" w14:textId="772032E5"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1.7</w:t>
            </w:r>
            <w:r w:rsidR="00EE604C">
              <w:rPr>
                <w:szCs w:val="22"/>
              </w:rPr>
              <w:t>%</w:t>
            </w:r>
          </w:p>
        </w:tc>
        <w:tc>
          <w:tcPr>
            <w:cnfStyle w:val="000100000000" w:firstRow="0" w:lastRow="0" w:firstColumn="0" w:lastColumn="1" w:oddVBand="0" w:evenVBand="0" w:oddHBand="0" w:evenHBand="0" w:firstRowFirstColumn="0" w:firstRowLastColumn="0" w:lastRowFirstColumn="0" w:lastRowLastColumn="0"/>
            <w:tcW w:w="1371" w:type="dxa"/>
            <w:tcBorders>
              <w:top w:val="single" w:sz="4" w:space="0" w:color="BFE7FF" w:themeColor="text2" w:themeTint="33"/>
            </w:tcBorders>
            <w:shd w:val="clear" w:color="auto" w:fill="F2F2F2" w:themeFill="background1" w:themeFillShade="F2"/>
            <w:hideMark/>
          </w:tcPr>
          <w:p w14:paraId="0F1907CC" w14:textId="77777777" w:rsidR="00726925" w:rsidRPr="00EE604C" w:rsidRDefault="00726925" w:rsidP="00726925">
            <w:pPr>
              <w:pStyle w:val="TableTextRight"/>
              <w:rPr>
                <w:szCs w:val="22"/>
                <w:lang w:val="en-AU"/>
              </w:rPr>
            </w:pPr>
            <w:r w:rsidRPr="00EE604C">
              <w:rPr>
                <w:szCs w:val="22"/>
              </w:rPr>
              <w:t>63,932</w:t>
            </w:r>
          </w:p>
          <w:p w14:paraId="34FC8DED" w14:textId="74DDA35C" w:rsidR="00726925" w:rsidRPr="00EE604C" w:rsidRDefault="00726925" w:rsidP="00726925">
            <w:pPr>
              <w:pStyle w:val="TableTextRight"/>
              <w:rPr>
                <w:szCs w:val="22"/>
                <w:lang w:val="en-AU"/>
              </w:rPr>
            </w:pPr>
            <w:r w:rsidRPr="00EE604C">
              <w:rPr>
                <w:szCs w:val="22"/>
              </w:rPr>
              <w:t>100.0</w:t>
            </w:r>
            <w:r w:rsidR="00EE604C">
              <w:rPr>
                <w:szCs w:val="22"/>
              </w:rPr>
              <w:t>%</w:t>
            </w:r>
          </w:p>
        </w:tc>
      </w:tr>
      <w:tr w:rsidR="00726925" w:rsidRPr="00EE604C" w14:paraId="3A30ED14" w14:textId="77777777" w:rsidTr="00726925">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BFE7FF" w:themeColor="text2" w:themeTint="33"/>
            </w:tcBorders>
            <w:hideMark/>
          </w:tcPr>
          <w:p w14:paraId="186454D7" w14:textId="343AE261" w:rsidR="00726925" w:rsidRPr="00EE604C" w:rsidRDefault="00726925" w:rsidP="00726925">
            <w:pPr>
              <w:pStyle w:val="TableHeading2Row"/>
              <w:rPr>
                <w:szCs w:val="22"/>
                <w:lang w:val="en-AU"/>
              </w:rPr>
            </w:pPr>
            <w:r w:rsidRPr="00EE604C">
              <w:rPr>
                <w:szCs w:val="22"/>
                <w:lang w:val="en-CA"/>
              </w:rPr>
              <w:t>Expenditure</w:t>
            </w:r>
          </w:p>
        </w:tc>
        <w:tc>
          <w:tcPr>
            <w:tcW w:w="1370" w:type="dxa"/>
            <w:tcBorders>
              <w:top w:val="single" w:sz="4" w:space="0" w:color="BFE7FF" w:themeColor="text2" w:themeTint="33"/>
            </w:tcBorders>
            <w:hideMark/>
          </w:tcPr>
          <w:p w14:paraId="770D5220"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$17,717,613</w:t>
            </w:r>
          </w:p>
          <w:p w14:paraId="5C17871B" w14:textId="55149AB2"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43.6%</w:t>
            </w:r>
          </w:p>
        </w:tc>
        <w:tc>
          <w:tcPr>
            <w:tcW w:w="1370" w:type="dxa"/>
            <w:tcBorders>
              <w:top w:val="single" w:sz="4" w:space="0" w:color="BFE7FF" w:themeColor="text2" w:themeTint="33"/>
            </w:tcBorders>
            <w:hideMark/>
          </w:tcPr>
          <w:p w14:paraId="6A7AE9B8"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$3,006,684</w:t>
            </w:r>
          </w:p>
          <w:p w14:paraId="0DA71032" w14:textId="086532CE"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7.4%</w:t>
            </w:r>
          </w:p>
        </w:tc>
        <w:tc>
          <w:tcPr>
            <w:tcW w:w="1371" w:type="dxa"/>
            <w:tcBorders>
              <w:top w:val="single" w:sz="4" w:space="0" w:color="BFE7FF" w:themeColor="text2" w:themeTint="33"/>
            </w:tcBorders>
            <w:hideMark/>
          </w:tcPr>
          <w:p w14:paraId="13F4CFC7"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$10,919,170</w:t>
            </w:r>
          </w:p>
          <w:p w14:paraId="5D250B87" w14:textId="31D3B9AB"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26.9%</w:t>
            </w:r>
          </w:p>
        </w:tc>
        <w:tc>
          <w:tcPr>
            <w:tcW w:w="1370" w:type="dxa"/>
            <w:tcBorders>
              <w:top w:val="single" w:sz="4" w:space="0" w:color="BFE7FF" w:themeColor="text2" w:themeTint="33"/>
            </w:tcBorders>
            <w:hideMark/>
          </w:tcPr>
          <w:p w14:paraId="43233CF2"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$2,082,647</w:t>
            </w:r>
          </w:p>
          <w:p w14:paraId="7138312D" w14:textId="39E5E8C8"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5.1%</w:t>
            </w:r>
          </w:p>
        </w:tc>
        <w:tc>
          <w:tcPr>
            <w:tcW w:w="1370" w:type="dxa"/>
            <w:tcBorders>
              <w:top w:val="single" w:sz="4" w:space="0" w:color="BFE7FF" w:themeColor="text2" w:themeTint="33"/>
            </w:tcBorders>
            <w:hideMark/>
          </w:tcPr>
          <w:p w14:paraId="56C1954A"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$5,225,986</w:t>
            </w:r>
          </w:p>
          <w:p w14:paraId="13C38436" w14:textId="5B89266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12.9%</w:t>
            </w:r>
          </w:p>
        </w:tc>
        <w:tc>
          <w:tcPr>
            <w:tcW w:w="1371" w:type="dxa"/>
            <w:tcBorders>
              <w:top w:val="single" w:sz="4" w:space="0" w:color="BFE7FF" w:themeColor="text2" w:themeTint="33"/>
            </w:tcBorders>
            <w:hideMark/>
          </w:tcPr>
          <w:p w14:paraId="7831A86F"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$430,388</w:t>
            </w:r>
          </w:p>
          <w:p w14:paraId="4EB3BEA5" w14:textId="2417AE5A"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1.1%</w:t>
            </w:r>
          </w:p>
        </w:tc>
        <w:tc>
          <w:tcPr>
            <w:tcW w:w="1370" w:type="dxa"/>
            <w:tcBorders>
              <w:top w:val="single" w:sz="4" w:space="0" w:color="BFE7FF" w:themeColor="text2" w:themeTint="33"/>
            </w:tcBorders>
            <w:hideMark/>
          </w:tcPr>
          <w:p w14:paraId="7BB110C5"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$728,369</w:t>
            </w:r>
          </w:p>
          <w:p w14:paraId="60A58E2A" w14:textId="52DD5445"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1.8%</w:t>
            </w:r>
          </w:p>
        </w:tc>
        <w:tc>
          <w:tcPr>
            <w:tcW w:w="1370" w:type="dxa"/>
            <w:tcBorders>
              <w:top w:val="single" w:sz="4" w:space="0" w:color="BFE7FF" w:themeColor="text2" w:themeTint="33"/>
            </w:tcBorders>
            <w:hideMark/>
          </w:tcPr>
          <w:p w14:paraId="452AD8BA" w14:textId="77777777"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$512,450</w:t>
            </w:r>
          </w:p>
          <w:p w14:paraId="4A4BD360" w14:textId="17C93755" w:rsidR="00726925" w:rsidRPr="00EE604C" w:rsidRDefault="00726925" w:rsidP="00726925">
            <w:pPr>
              <w:pStyle w:val="TableTextRight"/>
              <w:cnfStyle w:val="000000000000" w:firstRow="0" w:lastRow="0" w:firstColumn="0" w:lastColumn="0" w:oddVBand="0" w:evenVBand="0" w:oddHBand="0" w:evenHBand="0" w:firstRowFirstColumn="0" w:firstRowLastColumn="0" w:lastRowFirstColumn="0" w:lastRowLastColumn="0"/>
              <w:rPr>
                <w:szCs w:val="22"/>
                <w:lang w:val="en-AU"/>
              </w:rPr>
            </w:pPr>
            <w:r w:rsidRPr="00EE604C">
              <w:rPr>
                <w:szCs w:val="22"/>
              </w:rPr>
              <w:t>1.3%</w:t>
            </w:r>
          </w:p>
        </w:tc>
        <w:tc>
          <w:tcPr>
            <w:cnfStyle w:val="000100000000" w:firstRow="0" w:lastRow="0" w:firstColumn="0" w:lastColumn="1" w:oddVBand="0" w:evenVBand="0" w:oddHBand="0" w:evenHBand="0" w:firstRowFirstColumn="0" w:firstRowLastColumn="0" w:lastRowFirstColumn="0" w:lastRowLastColumn="0"/>
            <w:tcW w:w="1371" w:type="dxa"/>
            <w:tcBorders>
              <w:top w:val="single" w:sz="4" w:space="0" w:color="BFE7FF" w:themeColor="text2" w:themeTint="33"/>
            </w:tcBorders>
            <w:hideMark/>
          </w:tcPr>
          <w:p w14:paraId="49E3C4B5" w14:textId="77777777" w:rsidR="00726925" w:rsidRPr="00EE604C" w:rsidRDefault="00726925" w:rsidP="00726925">
            <w:pPr>
              <w:pStyle w:val="TableTextRight"/>
              <w:rPr>
                <w:szCs w:val="22"/>
                <w:lang w:val="en-AU"/>
              </w:rPr>
            </w:pPr>
            <w:r w:rsidRPr="00EE604C">
              <w:rPr>
                <w:szCs w:val="22"/>
              </w:rPr>
              <w:t>$40,623,307</w:t>
            </w:r>
          </w:p>
          <w:p w14:paraId="59F8D5DA" w14:textId="41FE3D54" w:rsidR="00726925" w:rsidRPr="00EE604C" w:rsidRDefault="00726925" w:rsidP="00726925">
            <w:pPr>
              <w:pStyle w:val="TableTextRight"/>
              <w:rPr>
                <w:szCs w:val="22"/>
                <w:lang w:val="en-AU"/>
              </w:rPr>
            </w:pPr>
            <w:r w:rsidRPr="00EE604C">
              <w:rPr>
                <w:szCs w:val="22"/>
              </w:rPr>
              <w:t>100.0%</w:t>
            </w:r>
          </w:p>
        </w:tc>
      </w:tr>
      <w:tr w:rsidR="008845A2" w:rsidRPr="00EE604C" w14:paraId="5F6A7EA7" w14:textId="77777777" w:rsidTr="0072692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7CFA4E74" w14:textId="7CC52749" w:rsidR="008845A2" w:rsidRPr="00EE604C" w:rsidRDefault="008845A2" w:rsidP="0008761F">
            <w:pPr>
              <w:pStyle w:val="TableHeading2Row"/>
              <w:rPr>
                <w:szCs w:val="22"/>
                <w:lang w:val="en-AU"/>
              </w:rPr>
            </w:pPr>
            <w:r w:rsidRPr="00EE604C">
              <w:rPr>
                <w:szCs w:val="22"/>
                <w:lang w:val="en-CA"/>
              </w:rPr>
              <w:t xml:space="preserve">Total </w:t>
            </w:r>
            <w:r w:rsidR="00726925" w:rsidRPr="00EE604C">
              <w:rPr>
                <w:szCs w:val="22"/>
                <w:lang w:val="en-CA"/>
              </w:rPr>
              <w:t xml:space="preserve">$ </w:t>
            </w:r>
            <w:r w:rsidRPr="00EE604C">
              <w:rPr>
                <w:szCs w:val="22"/>
                <w:lang w:val="en-CA"/>
              </w:rPr>
              <w:t>per consumer</w:t>
            </w:r>
          </w:p>
        </w:tc>
        <w:tc>
          <w:tcPr>
            <w:tcW w:w="1370" w:type="dxa"/>
            <w:hideMark/>
          </w:tcPr>
          <w:p w14:paraId="29A0C3E2"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$1,284.72</w:t>
            </w:r>
          </w:p>
        </w:tc>
        <w:tc>
          <w:tcPr>
            <w:tcW w:w="1370" w:type="dxa"/>
            <w:hideMark/>
          </w:tcPr>
          <w:p w14:paraId="178785CD"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$269.97</w:t>
            </w:r>
          </w:p>
        </w:tc>
        <w:tc>
          <w:tcPr>
            <w:tcW w:w="1371" w:type="dxa"/>
            <w:hideMark/>
          </w:tcPr>
          <w:p w14:paraId="4524D500"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$535.78</w:t>
            </w:r>
          </w:p>
        </w:tc>
        <w:tc>
          <w:tcPr>
            <w:tcW w:w="1370" w:type="dxa"/>
            <w:hideMark/>
          </w:tcPr>
          <w:p w14:paraId="310C3E70"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$619.65</w:t>
            </w:r>
          </w:p>
        </w:tc>
        <w:tc>
          <w:tcPr>
            <w:tcW w:w="1370" w:type="dxa"/>
            <w:hideMark/>
          </w:tcPr>
          <w:p w14:paraId="3DC41592"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$405.02</w:t>
            </w:r>
          </w:p>
        </w:tc>
        <w:tc>
          <w:tcPr>
            <w:tcW w:w="1371" w:type="dxa"/>
            <w:hideMark/>
          </w:tcPr>
          <w:p w14:paraId="267C5570"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$709.04</w:t>
            </w:r>
          </w:p>
        </w:tc>
        <w:tc>
          <w:tcPr>
            <w:tcW w:w="1370" w:type="dxa"/>
            <w:hideMark/>
          </w:tcPr>
          <w:p w14:paraId="0AE66389"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$1,134.53</w:t>
            </w:r>
          </w:p>
        </w:tc>
        <w:tc>
          <w:tcPr>
            <w:tcW w:w="1370" w:type="dxa"/>
            <w:hideMark/>
          </w:tcPr>
          <w:p w14:paraId="43853AF0" w14:textId="77777777" w:rsidR="008845A2" w:rsidRPr="00EE604C" w:rsidRDefault="008845A2" w:rsidP="00726925">
            <w:pPr>
              <w:pStyle w:val="TableTextRight"/>
              <w:cnfStyle w:val="010000000000" w:firstRow="0" w:lastRow="1" w:firstColumn="0" w:lastColumn="0" w:oddVBand="0" w:evenVBand="0" w:oddHBand="0" w:evenHBand="0" w:firstRowFirstColumn="0" w:firstRowLastColumn="0" w:lastRowFirstColumn="0" w:lastRowLastColumn="0"/>
              <w:rPr>
                <w:szCs w:val="22"/>
                <w:lang w:val="en-AU"/>
              </w:rPr>
            </w:pPr>
            <w:r w:rsidRPr="00EE604C">
              <w:rPr>
                <w:szCs w:val="22"/>
              </w:rPr>
              <w:t>$461.25</w:t>
            </w:r>
          </w:p>
        </w:tc>
        <w:tc>
          <w:tcPr>
            <w:cnfStyle w:val="000100000000" w:firstRow="0" w:lastRow="0" w:firstColumn="0" w:lastColumn="1" w:oddVBand="0" w:evenVBand="0" w:oddHBand="0" w:evenHBand="0" w:firstRowFirstColumn="0" w:firstRowLastColumn="0" w:lastRowFirstColumn="0" w:lastRowLastColumn="0"/>
            <w:tcW w:w="1371" w:type="dxa"/>
            <w:hideMark/>
          </w:tcPr>
          <w:p w14:paraId="6932DD8E" w14:textId="77777777" w:rsidR="008845A2" w:rsidRPr="00EE604C" w:rsidRDefault="008845A2" w:rsidP="00726925">
            <w:pPr>
              <w:pStyle w:val="TableTextRight"/>
              <w:rPr>
                <w:szCs w:val="22"/>
                <w:lang w:val="en-AU"/>
              </w:rPr>
            </w:pPr>
            <w:r w:rsidRPr="00EE604C">
              <w:rPr>
                <w:szCs w:val="22"/>
              </w:rPr>
              <w:t>$635.34</w:t>
            </w:r>
          </w:p>
        </w:tc>
      </w:tr>
    </w:tbl>
    <w:p w14:paraId="1389C65B" w14:textId="77777777" w:rsidR="008845A2" w:rsidRPr="00F6404A" w:rsidRDefault="008845A2" w:rsidP="00F6404A"/>
    <w:p w14:paraId="278B43F0" w14:textId="77777777" w:rsidR="008845A2" w:rsidRPr="00F6404A" w:rsidRDefault="008845A2" w:rsidP="00F6404A">
      <w:pPr>
        <w:sectPr w:rsidR="008845A2" w:rsidRPr="00F6404A" w:rsidSect="00E57F6B">
          <w:pgSz w:w="16840" w:h="11907" w:code="9"/>
          <w:pgMar w:top="851" w:right="1134" w:bottom="851" w:left="1134" w:header="510" w:footer="567" w:gutter="0"/>
          <w:cols w:space="720"/>
          <w:docGrid w:linePitch="272"/>
        </w:sectPr>
      </w:pPr>
    </w:p>
    <w:p w14:paraId="3282DC57" w14:textId="77777777" w:rsidR="00445164" w:rsidRDefault="00445164" w:rsidP="001F66E2">
      <w:pPr>
        <w:pStyle w:val="Heading4"/>
        <w:spacing w:before="0"/>
        <w:rPr>
          <w:lang w:val="en-AU"/>
        </w:rPr>
      </w:pPr>
      <w:r>
        <w:rPr>
          <w:lang w:val="en-AU"/>
        </w:rPr>
        <w:lastRenderedPageBreak/>
        <w:t>Levels and distribution of funds across Aged Care Programs</w:t>
      </w:r>
    </w:p>
    <w:p w14:paraId="614BBC69" w14:textId="4578C544" w:rsidR="00445164" w:rsidRDefault="00445164" w:rsidP="00381F14">
      <w:pPr>
        <w:pStyle w:val="Paragraph"/>
      </w:pPr>
      <w:r>
        <w:rPr>
          <w:lang w:val="en-AU"/>
        </w:rPr>
        <w:t xml:space="preserve">Stakeholders reported </w:t>
      </w:r>
      <w:r>
        <w:t xml:space="preserve">that the current levels and distribution of funding within national aged care programs are sub-optimal. There is </w:t>
      </w:r>
      <w:r w:rsidR="00D23AD5">
        <w:t xml:space="preserve">a lack of </w:t>
      </w:r>
      <w:r>
        <w:t xml:space="preserve">consistency across aged care programs. </w:t>
      </w:r>
    </w:p>
    <w:p w14:paraId="48B28727" w14:textId="3FCE981D" w:rsidR="00445164" w:rsidRPr="005A179A" w:rsidRDefault="00445164" w:rsidP="001F66E2">
      <w:pPr>
        <w:pStyle w:val="ParaKeep"/>
      </w:pPr>
      <w:r>
        <w:t>Within CHSP</w:t>
      </w:r>
      <w:r w:rsidR="001F66E2">
        <w:t xml:space="preserve">, </w:t>
      </w:r>
      <w:r w:rsidRPr="005A179A">
        <w:t>Stakeholders reported that:</w:t>
      </w:r>
    </w:p>
    <w:p w14:paraId="03F7C554" w14:textId="77777777" w:rsidR="00445164" w:rsidRPr="0042567A" w:rsidRDefault="00445164" w:rsidP="001F66E2">
      <w:pPr>
        <w:pStyle w:val="Bullet1"/>
      </w:pPr>
      <w:r>
        <w:t>The $</w:t>
      </w:r>
      <w:r w:rsidRPr="0042567A">
        <w:t>500 AT funding cap is considered too low</w:t>
      </w:r>
    </w:p>
    <w:p w14:paraId="5359D90B" w14:textId="42BF8A74" w:rsidR="00445164" w:rsidRDefault="00445164" w:rsidP="001F66E2">
      <w:pPr>
        <w:pStyle w:val="Bullet1"/>
      </w:pPr>
      <w:r w:rsidRPr="0042567A">
        <w:t>Consumers often have long waits for assessment and provision of AT, which reduces the benefits</w:t>
      </w:r>
      <w:r>
        <w:t>.</w:t>
      </w:r>
    </w:p>
    <w:p w14:paraId="38E8574F" w14:textId="77777777" w:rsidR="00445164" w:rsidRDefault="00445164" w:rsidP="005A179A">
      <w:pPr>
        <w:pStyle w:val="ParaKeep"/>
      </w:pPr>
      <w:r>
        <w:t>Within HCP:</w:t>
      </w:r>
    </w:p>
    <w:p w14:paraId="446A4325" w14:textId="49AB25AF" w:rsidR="00445164" w:rsidRDefault="00445164" w:rsidP="00445164">
      <w:pPr>
        <w:pStyle w:val="Bullet1Keep"/>
      </w:pPr>
      <w:r>
        <w:t>Consumers determine what to spend within their Home Care Packages</w:t>
      </w:r>
      <w:r w:rsidR="00F80723">
        <w:t xml:space="preserve">. </w:t>
      </w:r>
      <w:r>
        <w:t>The lack of access to dedicated AT funding means consumers sometimes need to make difficult choices between paying care costs and buying AT. It has also been reported that people may be unwilling to pay for the required AT assessment out of their package, in order to save funds for services.</w:t>
      </w:r>
    </w:p>
    <w:p w14:paraId="3B9ECD4A" w14:textId="0F8D024F" w:rsidR="00445164" w:rsidRDefault="00445164" w:rsidP="00445164">
      <w:pPr>
        <w:pStyle w:val="Paragraph"/>
      </w:pPr>
      <w:r>
        <w:t>Across aged care programs, stakeholders considered that n</w:t>
      </w:r>
      <w:r w:rsidRPr="00E570F3">
        <w:t>ational</w:t>
      </w:r>
      <w:r>
        <w:rPr>
          <w:lang w:val="en-AU"/>
        </w:rPr>
        <w:t xml:space="preserve"> aged care programs are not generally designed to meet the changing AT needs of consumers through their life and as they transition from one program to another</w:t>
      </w:r>
      <w:r w:rsidR="00F80723">
        <w:rPr>
          <w:lang w:val="en-AU"/>
        </w:rPr>
        <w:t xml:space="preserve">. </w:t>
      </w:r>
    </w:p>
    <w:p w14:paraId="56366A78" w14:textId="77777777" w:rsidR="00445164" w:rsidRDefault="00445164" w:rsidP="00445164">
      <w:pPr>
        <w:pStyle w:val="Paragraph"/>
      </w:pPr>
      <w:r>
        <w:rPr>
          <w:lang w:val="en-AU"/>
        </w:rPr>
        <w:t xml:space="preserve">Each program has different funding arrangements and guidelines in the delivery of AT for consumers. </w:t>
      </w:r>
      <w:r>
        <w:t>Rules for what happens to AT varies across programs. For example, TCP does not provide AT on an ongoing basis, but those who purchase AT through their HCP or through the CHSP own the equipment outright.</w:t>
      </w:r>
    </w:p>
    <w:p w14:paraId="009F6E97" w14:textId="0CEC1BF6" w:rsidR="00445164" w:rsidRDefault="00445164" w:rsidP="00445164">
      <w:pPr>
        <w:pStyle w:val="Paragraph"/>
        <w:rPr>
          <w:lang w:val="en-AU"/>
        </w:rPr>
      </w:pPr>
      <w:r>
        <w:t xml:space="preserve">An option for adjusting capping on funding within the CHSP is discussed in </w:t>
      </w:r>
      <w:r w:rsidRPr="005C5B17">
        <w:rPr>
          <w:rStyle w:val="Italic"/>
        </w:rPr>
        <w:t>Chapter </w:t>
      </w:r>
      <w:r w:rsidRPr="00CC535A">
        <w:rPr>
          <w:rStyle w:val="Italic"/>
          <w:highlight w:val="yellow"/>
        </w:rPr>
        <w:fldChar w:fldCharType="begin"/>
      </w:r>
      <w:r w:rsidRPr="005C5B17">
        <w:rPr>
          <w:rStyle w:val="Italic"/>
        </w:rPr>
        <w:instrText xml:space="preserve"> REF _Ref41837212 \n \h </w:instrText>
      </w:r>
      <w:r w:rsidRPr="00CC535A">
        <w:rPr>
          <w:rStyle w:val="Italic"/>
          <w:highlight w:val="yellow"/>
        </w:rPr>
        <w:instrText xml:space="preserve"> \* MERGEFORMAT </w:instrText>
      </w:r>
      <w:r w:rsidRPr="00CC535A">
        <w:rPr>
          <w:rStyle w:val="Italic"/>
          <w:highlight w:val="yellow"/>
        </w:rPr>
      </w:r>
      <w:r w:rsidRPr="00CC535A">
        <w:rPr>
          <w:rStyle w:val="Italic"/>
          <w:highlight w:val="yellow"/>
        </w:rPr>
        <w:fldChar w:fldCharType="separate"/>
      </w:r>
      <w:r w:rsidR="00CC3F04">
        <w:rPr>
          <w:rStyle w:val="Italic"/>
        </w:rPr>
        <w:t>4</w:t>
      </w:r>
      <w:r w:rsidRPr="00CC535A">
        <w:rPr>
          <w:rStyle w:val="Italic"/>
          <w:highlight w:val="yellow"/>
        </w:rPr>
        <w:fldChar w:fldCharType="end"/>
      </w:r>
      <w:r>
        <w:t>.</w:t>
      </w:r>
    </w:p>
    <w:p w14:paraId="7F624708" w14:textId="77777777" w:rsidR="00445164" w:rsidRPr="0027028C" w:rsidRDefault="00445164" w:rsidP="00445164">
      <w:pPr>
        <w:pStyle w:val="Heading4"/>
        <w:rPr>
          <w:lang w:val="en-AU"/>
        </w:rPr>
      </w:pPr>
      <w:r w:rsidRPr="0027028C">
        <w:rPr>
          <w:lang w:val="en-AU"/>
        </w:rPr>
        <w:t>P</w:t>
      </w:r>
      <w:r>
        <w:rPr>
          <w:lang w:val="en-AU"/>
        </w:rPr>
        <w:t xml:space="preserve">rocurement </w:t>
      </w:r>
      <w:r w:rsidRPr="0027028C">
        <w:rPr>
          <w:lang w:val="en-AU"/>
        </w:rPr>
        <w:t>within AT programs</w:t>
      </w:r>
    </w:p>
    <w:p w14:paraId="784BF63D" w14:textId="77777777" w:rsidR="00445164" w:rsidRDefault="00445164" w:rsidP="00445164">
      <w:pPr>
        <w:pStyle w:val="ParaKeep"/>
      </w:pPr>
      <w:r>
        <w:t xml:space="preserve">There is no uniform approach to the procurement of AT. Existing programs have differing program rules: </w:t>
      </w:r>
    </w:p>
    <w:p w14:paraId="153282F7" w14:textId="77777777" w:rsidR="00445164" w:rsidRDefault="00445164" w:rsidP="00381F14">
      <w:pPr>
        <w:pStyle w:val="Bullet1"/>
      </w:pPr>
      <w:r>
        <w:t>Under CHSP, it is the responsibility of service providers to procure and provide AT. Stakeholders expressed concern in some cases that AT may be provided at higher prices than could be obtained by other means.</w:t>
      </w:r>
    </w:p>
    <w:p w14:paraId="4DD6FA7F" w14:textId="77777777" w:rsidR="00445164" w:rsidRDefault="00445164" w:rsidP="00381F14">
      <w:pPr>
        <w:pStyle w:val="Bullet1"/>
      </w:pPr>
      <w:r>
        <w:t>Under HCP, package recipients receive funds to purchase AT, but HCP consumers can determine can purchase AT directly or with the assistance of their service provider</w:t>
      </w:r>
    </w:p>
    <w:p w14:paraId="4B54BFE4" w14:textId="26EC980A" w:rsidR="00445164" w:rsidRDefault="00445164" w:rsidP="00381F14">
      <w:pPr>
        <w:pStyle w:val="Bullet1"/>
      </w:pPr>
      <w:r>
        <w:t>Stakeholders reported that for some AT categories, the individual buying power of NDIS participants has driven up the cost of AT products, however this could not be verified</w:t>
      </w:r>
      <w:r w:rsidR="00F80723">
        <w:t xml:space="preserve">. </w:t>
      </w:r>
      <w:r>
        <w:t>Some state schemes utilised their State health purchasing contracts to procure AT and reported cost savings compared to schemes such as the NDIS where consumers often paid retail prices</w:t>
      </w:r>
      <w:r w:rsidR="00F80723">
        <w:t xml:space="preserve">. </w:t>
      </w:r>
    </w:p>
    <w:p w14:paraId="0D525AEF" w14:textId="73C19D69" w:rsidR="001F66E2" w:rsidRDefault="00445164" w:rsidP="00445164">
      <w:pPr>
        <w:pStyle w:val="Paragraph"/>
      </w:pPr>
      <w:r w:rsidRPr="005C5B17">
        <w:rPr>
          <w:rStyle w:val="Italic"/>
        </w:rPr>
        <w:t>Chapter </w:t>
      </w:r>
      <w:r w:rsidRPr="00CC535A">
        <w:rPr>
          <w:rStyle w:val="Italic"/>
          <w:highlight w:val="yellow"/>
        </w:rPr>
        <w:fldChar w:fldCharType="begin"/>
      </w:r>
      <w:r w:rsidRPr="005C5B17">
        <w:rPr>
          <w:rStyle w:val="Italic"/>
        </w:rPr>
        <w:instrText xml:space="preserve"> REF _Ref41837212 \n \h </w:instrText>
      </w:r>
      <w:r w:rsidRPr="00CC535A">
        <w:rPr>
          <w:rStyle w:val="Italic"/>
          <w:highlight w:val="yellow"/>
        </w:rPr>
        <w:instrText xml:space="preserve"> \* MERGEFORMAT </w:instrText>
      </w:r>
      <w:r w:rsidRPr="00CC535A">
        <w:rPr>
          <w:rStyle w:val="Italic"/>
          <w:highlight w:val="yellow"/>
        </w:rPr>
      </w:r>
      <w:r w:rsidRPr="00CC535A">
        <w:rPr>
          <w:rStyle w:val="Italic"/>
          <w:highlight w:val="yellow"/>
        </w:rPr>
        <w:fldChar w:fldCharType="separate"/>
      </w:r>
      <w:r w:rsidR="00CC3F04">
        <w:rPr>
          <w:rStyle w:val="Italic"/>
        </w:rPr>
        <w:t>4</w:t>
      </w:r>
      <w:r w:rsidRPr="00CC535A">
        <w:rPr>
          <w:rStyle w:val="Italic"/>
          <w:highlight w:val="yellow"/>
        </w:rPr>
        <w:fldChar w:fldCharType="end"/>
      </w:r>
      <w:r>
        <w:t xml:space="preserve"> details an option for the establishment of a national procurement process to leverage the buying power of the Commonwealth Government. </w:t>
      </w:r>
    </w:p>
    <w:p w14:paraId="38EBEC27" w14:textId="77777777" w:rsidR="001F66E2" w:rsidRDefault="001F66E2">
      <w:pPr>
        <w:rPr>
          <w:color w:val="000000" w:themeColor="text1"/>
          <w:lang w:eastAsia="en-US"/>
        </w:rPr>
      </w:pPr>
      <w:r>
        <w:br w:type="page"/>
      </w:r>
    </w:p>
    <w:p w14:paraId="24BA0E7A" w14:textId="77777777" w:rsidR="008845A2" w:rsidRPr="00805DBA" w:rsidRDefault="008845A2" w:rsidP="008845A2">
      <w:pPr>
        <w:pStyle w:val="Heading3"/>
      </w:pPr>
      <w:r w:rsidRPr="00805DBA">
        <w:lastRenderedPageBreak/>
        <w:t>AT information</w:t>
      </w:r>
    </w:p>
    <w:p w14:paraId="10CA3251" w14:textId="6881BB8D" w:rsidR="008845A2" w:rsidRDefault="008845A2" w:rsidP="008845A2">
      <w:pPr>
        <w:pStyle w:val="ParaKeep"/>
      </w:pPr>
      <w:r w:rsidRPr="000722B0">
        <w:t xml:space="preserve">Consumer understanding of AT </w:t>
      </w:r>
      <w:r w:rsidRPr="00BC4B91">
        <w:rPr>
          <w:rStyle w:val="ParagraphChar"/>
        </w:rPr>
        <w:t xml:space="preserve">is often poor and many reportedly do not even know of the existence of AT that may assist them. </w:t>
      </w:r>
      <w:r>
        <w:t>The results from the mapping phase indicates that:</w:t>
      </w:r>
    </w:p>
    <w:p w14:paraId="37F918A8" w14:textId="7288750E" w:rsidR="008845A2" w:rsidRPr="000722B0" w:rsidRDefault="008845A2" w:rsidP="008845A2">
      <w:pPr>
        <w:pStyle w:val="Bullet1"/>
      </w:pPr>
      <w:r w:rsidRPr="00BC4B91">
        <w:rPr>
          <w:rStyle w:val="ParagraphChar"/>
        </w:rPr>
        <w:t xml:space="preserve">Consumers </w:t>
      </w:r>
      <w:r>
        <w:rPr>
          <w:rStyle w:val="ParagraphChar"/>
        </w:rPr>
        <w:t>need</w:t>
      </w:r>
      <w:r w:rsidRPr="00BC4B91">
        <w:rPr>
          <w:rStyle w:val="ParagraphChar"/>
        </w:rPr>
        <w:t xml:space="preserve"> an independent </w:t>
      </w:r>
      <w:r>
        <w:rPr>
          <w:rStyle w:val="ParagraphChar"/>
        </w:rPr>
        <w:t xml:space="preserve">and trusted </w:t>
      </w:r>
      <w:r w:rsidRPr="00BC4B91">
        <w:rPr>
          <w:rStyle w:val="ParagraphChar"/>
        </w:rPr>
        <w:t>source of information</w:t>
      </w:r>
      <w:r>
        <w:rPr>
          <w:rStyle w:val="ParagraphChar"/>
        </w:rPr>
        <w:t>.</w:t>
      </w:r>
      <w:r w:rsidRPr="00BC4B91">
        <w:rPr>
          <w:rStyle w:val="ParagraphChar"/>
        </w:rPr>
        <w:t xml:space="preserve"> </w:t>
      </w:r>
      <w:r>
        <w:rPr>
          <w:rStyle w:val="ParagraphChar"/>
        </w:rPr>
        <w:t xml:space="preserve">This is particularly important as </w:t>
      </w:r>
      <w:r w:rsidRPr="00BC4B91">
        <w:rPr>
          <w:rStyle w:val="ParagraphChar"/>
        </w:rPr>
        <w:t>AT is a broad umbrella term that encompasses a wide range of products from low</w:t>
      </w:r>
      <w:r w:rsidRPr="00071E14">
        <w:t>-cost, simple daily living aids, to smart technologies for use around the home, and even highly complex and customised products.</w:t>
      </w:r>
      <w:r w:rsidRPr="00BB757E">
        <w:t xml:space="preserve"> </w:t>
      </w:r>
      <w:r w:rsidRPr="000722B0">
        <w:t xml:space="preserve">The term ‘assistive technology’ is often used interchangeably with </w:t>
      </w:r>
      <w:r>
        <w:t>‘</w:t>
      </w:r>
      <w:r w:rsidRPr="000722B0">
        <w:t>aids and equipment</w:t>
      </w:r>
      <w:r>
        <w:t>’</w:t>
      </w:r>
      <w:r w:rsidRPr="000722B0">
        <w:t xml:space="preserve"> and is not widely understood by consumers</w:t>
      </w:r>
      <w:r>
        <w:t>.</w:t>
      </w:r>
    </w:p>
    <w:p w14:paraId="6A33A697" w14:textId="309E4DA3" w:rsidR="008845A2" w:rsidRDefault="008845A2" w:rsidP="008845A2">
      <w:pPr>
        <w:pStyle w:val="Bullet1"/>
      </w:pPr>
      <w:r>
        <w:t>When they do look, consumers</w:t>
      </w:r>
      <w:r w:rsidRPr="005C1C72">
        <w:t xml:space="preserve"> </w:t>
      </w:r>
      <w:r>
        <w:t>often find it difficult to locate i</w:t>
      </w:r>
      <w:r w:rsidRPr="000722B0">
        <w:t xml:space="preserve">nformation about AT and its suitability </w:t>
      </w:r>
      <w:r>
        <w:t>to their circumstances</w:t>
      </w:r>
      <w:r w:rsidR="00F80723">
        <w:t xml:space="preserve">. </w:t>
      </w:r>
    </w:p>
    <w:p w14:paraId="5A8AEC95" w14:textId="35B39504" w:rsidR="008845A2" w:rsidRDefault="008845A2" w:rsidP="008845A2">
      <w:pPr>
        <w:pStyle w:val="Bullet1"/>
      </w:pPr>
      <w:r>
        <w:t xml:space="preserve">Consumers may perceive AT to be designed primarily for people with disabilities, which can deter consumers from seeking advice—this stigma can be </w:t>
      </w:r>
      <w:r w:rsidR="000752F8">
        <w:t>felt particularly by</w:t>
      </w:r>
      <w:r>
        <w:t xml:space="preserve"> those with low-level needs.</w:t>
      </w:r>
    </w:p>
    <w:p w14:paraId="1EA30864" w14:textId="122F8AA9" w:rsidR="008845A2" w:rsidRPr="00AE3252" w:rsidRDefault="008845A2" w:rsidP="008845A2">
      <w:pPr>
        <w:pStyle w:val="Bullet1"/>
      </w:pPr>
      <w:r>
        <w:t>Much AT can be purchased ‘off the shelf’ by consumers, without assessment or prescription</w:t>
      </w:r>
      <w:r w:rsidR="00F80723">
        <w:t xml:space="preserve">. </w:t>
      </w:r>
      <w:r>
        <w:t>High rates of abandonment, however, suggest that consumers would benefit from receiving the appropriate information and advice to make an informed choice</w:t>
      </w:r>
      <w:r w:rsidR="00F80723">
        <w:t xml:space="preserve">. </w:t>
      </w:r>
    </w:p>
    <w:p w14:paraId="6F85AC42" w14:textId="77777777" w:rsidR="008845A2" w:rsidRPr="000722B0" w:rsidRDefault="008845A2" w:rsidP="008845A2">
      <w:pPr>
        <w:pStyle w:val="Bullet1"/>
      </w:pPr>
      <w:r w:rsidRPr="000722B0">
        <w:t>Consumers find out about AT from many different channels including family, friends, pharmacies and major retail stores, online resources and clinicians such as GPs and allied health professionals.</w:t>
      </w:r>
    </w:p>
    <w:p w14:paraId="762E4833" w14:textId="77777777" w:rsidR="008845A2" w:rsidRDefault="008845A2" w:rsidP="008845A2">
      <w:pPr>
        <w:pStyle w:val="Bullet1"/>
      </w:pPr>
      <w:r>
        <w:t>Important information such as the eligibility for AT programs and out-of-pocket costs is often difficult for consumers to find.</w:t>
      </w:r>
    </w:p>
    <w:p w14:paraId="6894BFD7" w14:textId="77777777" w:rsidR="008845A2" w:rsidRDefault="008845A2" w:rsidP="008845A2">
      <w:pPr>
        <w:pStyle w:val="Bullet1"/>
      </w:pPr>
      <w:r>
        <w:t>GPs and other health professionals also have knowledge gaps in relation to AT, including what products, services and programs are available, and how consumers can access them.</w:t>
      </w:r>
    </w:p>
    <w:p w14:paraId="2D9089ED" w14:textId="0E457F5D" w:rsidR="008845A2" w:rsidRDefault="00B84AD9" w:rsidP="005D03BD">
      <w:pPr>
        <w:pStyle w:val="Paragraph"/>
      </w:pPr>
      <w:r w:rsidRPr="00E45923">
        <w:t>For</w:t>
      </w:r>
      <w:r w:rsidR="008845A2">
        <w:t xml:space="preserve"> examples of a range of information and advice resources</w:t>
      </w:r>
      <w:r>
        <w:t xml:space="preserve">, see </w:t>
      </w:r>
      <w:r w:rsidRPr="00E45923">
        <w:rPr>
          <w:rStyle w:val="Italic"/>
        </w:rPr>
        <w:t xml:space="preserve">Supplementary Technical Report, Appendix </w:t>
      </w:r>
      <w:r w:rsidR="008A5255" w:rsidRPr="00E45923">
        <w:rPr>
          <w:rStyle w:val="Italic"/>
        </w:rPr>
        <w:t>F</w:t>
      </w:r>
      <w:r w:rsidR="008845A2">
        <w:t xml:space="preserve">. </w:t>
      </w:r>
    </w:p>
    <w:p w14:paraId="1D081561" w14:textId="2F097CF6" w:rsidR="008845A2" w:rsidRPr="00FB576B" w:rsidRDefault="008845A2" w:rsidP="005D03BD">
      <w:pPr>
        <w:pStyle w:val="Paragraph"/>
        <w:rPr>
          <w:lang w:val="en-AU"/>
        </w:rPr>
      </w:pPr>
      <w:r>
        <w:t xml:space="preserve">A suite of new </w:t>
      </w:r>
      <w:r w:rsidR="008A5255">
        <w:t>i</w:t>
      </w:r>
      <w:r>
        <w:t xml:space="preserve">nformation and advice resources are proposed in </w:t>
      </w:r>
      <w:r w:rsidRPr="005C5B17">
        <w:rPr>
          <w:rStyle w:val="Italic"/>
        </w:rPr>
        <w:t>Chapter </w:t>
      </w:r>
      <w:r w:rsidRPr="00CC535A">
        <w:rPr>
          <w:rStyle w:val="Italic"/>
          <w:highlight w:val="yellow"/>
        </w:rPr>
        <w:fldChar w:fldCharType="begin"/>
      </w:r>
      <w:r w:rsidRPr="005C5B17">
        <w:rPr>
          <w:rStyle w:val="Italic"/>
        </w:rPr>
        <w:instrText xml:space="preserve"> REF _Ref41837212 \n \h </w:instrText>
      </w:r>
      <w:r w:rsidRPr="00CC535A">
        <w:rPr>
          <w:rStyle w:val="Italic"/>
          <w:highlight w:val="yellow"/>
        </w:rPr>
        <w:instrText xml:space="preserve"> \* MERGEFORMAT </w:instrText>
      </w:r>
      <w:r w:rsidRPr="00CC535A">
        <w:rPr>
          <w:rStyle w:val="Italic"/>
          <w:highlight w:val="yellow"/>
        </w:rPr>
      </w:r>
      <w:r w:rsidRPr="00CC535A">
        <w:rPr>
          <w:rStyle w:val="Italic"/>
          <w:highlight w:val="yellow"/>
        </w:rPr>
        <w:fldChar w:fldCharType="separate"/>
      </w:r>
      <w:r w:rsidR="00CC3F04">
        <w:rPr>
          <w:rStyle w:val="Italic"/>
        </w:rPr>
        <w:t>4</w:t>
      </w:r>
      <w:r w:rsidRPr="00CC535A">
        <w:rPr>
          <w:rStyle w:val="Italic"/>
          <w:highlight w:val="yellow"/>
        </w:rPr>
        <w:fldChar w:fldCharType="end"/>
      </w:r>
      <w:r>
        <w:t>.</w:t>
      </w:r>
    </w:p>
    <w:p w14:paraId="5A28DA44" w14:textId="77777777" w:rsidR="008845A2" w:rsidRPr="00805DBA" w:rsidRDefault="008845A2" w:rsidP="008845A2">
      <w:pPr>
        <w:pStyle w:val="Heading3"/>
      </w:pPr>
      <w:r w:rsidRPr="00805DBA">
        <w:t>AT assessment</w:t>
      </w:r>
    </w:p>
    <w:p w14:paraId="6C4A4D19" w14:textId="4CCEA225" w:rsidR="008845A2" w:rsidRDefault="008845A2" w:rsidP="005D03BD">
      <w:pPr>
        <w:pStyle w:val="ParaKeep"/>
        <w:rPr>
          <w:lang w:eastAsia="en-AU"/>
        </w:rPr>
      </w:pPr>
      <w:r>
        <w:rPr>
          <w:lang w:eastAsia="en-AU"/>
        </w:rPr>
        <w:t>As detailed in</w:t>
      </w:r>
      <w:r w:rsidRPr="00A57E02">
        <w:rPr>
          <w:rStyle w:val="Italic"/>
        </w:rPr>
        <w:t xml:space="preserve"> Section</w:t>
      </w:r>
      <w:r w:rsidR="00F80723" w:rsidRPr="00A57E02">
        <w:rPr>
          <w:rStyle w:val="Italic"/>
        </w:rPr>
        <w:t> </w:t>
      </w:r>
      <w:r w:rsidRPr="00E35AA6">
        <w:rPr>
          <w:i/>
          <w:highlight w:val="yellow"/>
          <w:lang w:eastAsia="en-AU"/>
        </w:rPr>
        <w:fldChar w:fldCharType="begin"/>
      </w:r>
      <w:r w:rsidRPr="00E35AA6">
        <w:rPr>
          <w:i/>
          <w:lang w:eastAsia="en-AU"/>
        </w:rPr>
        <w:instrText xml:space="preserve"> REF _Ref42073889 \r \h </w:instrText>
      </w:r>
      <w:r>
        <w:rPr>
          <w:i/>
          <w:highlight w:val="yellow"/>
          <w:lang w:eastAsia="en-AU"/>
        </w:rPr>
        <w:instrText xml:space="preserve"> \* MERGEFORMAT </w:instrText>
      </w:r>
      <w:r w:rsidRPr="00E35AA6">
        <w:rPr>
          <w:i/>
          <w:highlight w:val="yellow"/>
          <w:lang w:eastAsia="en-AU"/>
        </w:rPr>
      </w:r>
      <w:r w:rsidRPr="00E35AA6">
        <w:rPr>
          <w:i/>
          <w:highlight w:val="yellow"/>
          <w:lang w:eastAsia="en-AU"/>
        </w:rPr>
        <w:fldChar w:fldCharType="separate"/>
      </w:r>
      <w:r w:rsidR="00CC3F04">
        <w:rPr>
          <w:i/>
          <w:lang w:eastAsia="en-AU"/>
        </w:rPr>
        <w:t>0</w:t>
      </w:r>
      <w:r w:rsidRPr="00E35AA6">
        <w:rPr>
          <w:i/>
          <w:highlight w:val="yellow"/>
          <w:lang w:eastAsia="en-AU"/>
        </w:rPr>
        <w:fldChar w:fldCharType="end"/>
      </w:r>
      <w:r>
        <w:rPr>
          <w:lang w:eastAsia="en-AU"/>
        </w:rPr>
        <w:t xml:space="preserve">, AT can range broadly in complexity including: </w:t>
      </w:r>
    </w:p>
    <w:p w14:paraId="797CB595" w14:textId="77777777" w:rsidR="008845A2" w:rsidRPr="00023E71" w:rsidRDefault="008845A2" w:rsidP="008845A2">
      <w:pPr>
        <w:pStyle w:val="Bullet1"/>
      </w:pPr>
      <w:r>
        <w:t>Low risk AT for ADLs that is generally available and does not require prescription or advice by an allied health professional</w:t>
      </w:r>
    </w:p>
    <w:p w14:paraId="404F1EEC" w14:textId="02A267B4" w:rsidR="008845A2" w:rsidRPr="008D5745" w:rsidRDefault="009F37C7" w:rsidP="008845A2">
      <w:pPr>
        <w:pStyle w:val="Bullet1"/>
      </w:pPr>
      <w:r>
        <w:t>Under advice</w:t>
      </w:r>
      <w:r w:rsidR="008845A2">
        <w:t xml:space="preserve"> AT that is generally available but would benefit from written or professional advice to ensure it is used appropriately</w:t>
      </w:r>
    </w:p>
    <w:p w14:paraId="36621F13" w14:textId="77777777" w:rsidR="008845A2" w:rsidRPr="005232D6" w:rsidRDefault="008845A2" w:rsidP="008845A2">
      <w:pPr>
        <w:pStyle w:val="Bullet1"/>
      </w:pPr>
      <w:r>
        <w:t xml:space="preserve">Prescribed AT that requires a comprehensive assessment by an allied health professional. </w:t>
      </w:r>
    </w:p>
    <w:p w14:paraId="6D4EDF7C" w14:textId="3DC0264D" w:rsidR="008845A2" w:rsidRDefault="005B4896" w:rsidP="008845A2">
      <w:pPr>
        <w:pStyle w:val="Paragraph"/>
      </w:pPr>
      <w:r w:rsidRPr="000645B7">
        <w:rPr>
          <w:rFonts w:eastAsia="Arial Unicode MS"/>
        </w:rPr>
        <w:t xml:space="preserve">A </w:t>
      </w:r>
      <w:r w:rsidR="008845A2">
        <w:t>comprehensive AT assessment undertaken by an allied health professional is a multifaceted activity that involves consideration of the consumer’s health condition (including anticipating the course of the health condition), wellbeing, personal factors, home and other environmental factors as part of the process of selecting the most appropriate AT solution(s)</w:t>
      </w:r>
      <w:r w:rsidR="00F80723">
        <w:t xml:space="preserve">. </w:t>
      </w:r>
    </w:p>
    <w:p w14:paraId="05E0921C" w14:textId="3B8BB716" w:rsidR="008845A2" w:rsidRDefault="008845A2" w:rsidP="008845A2">
      <w:pPr>
        <w:pStyle w:val="Paragraph"/>
        <w:rPr>
          <w:rStyle w:val="Bold"/>
          <w:rFonts w:eastAsia="Arial Unicode MS"/>
        </w:rPr>
      </w:pPr>
      <w:r>
        <w:t>However, it is not always clear to the consumer, especially a consumer outside of the aged care system, what the pathway to accessing an appropriate AT assessment may be</w:t>
      </w:r>
      <w:r w:rsidR="00D1045A">
        <w:t>,</w:t>
      </w:r>
      <w:r w:rsidR="009D7EC2">
        <w:t xml:space="preserve"> or when AT is or is not required</w:t>
      </w:r>
      <w:r>
        <w:t>.</w:t>
      </w:r>
    </w:p>
    <w:p w14:paraId="1351EB9B" w14:textId="77777777" w:rsidR="008845A2" w:rsidRDefault="008845A2" w:rsidP="008845A2">
      <w:pPr>
        <w:pStyle w:val="ParaKeep"/>
      </w:pPr>
      <w:r>
        <w:lastRenderedPageBreak/>
        <w:t>Stakeholders reported that:</w:t>
      </w:r>
    </w:p>
    <w:p w14:paraId="48C84BF6" w14:textId="554C16F6" w:rsidR="008845A2" w:rsidRDefault="008845A2" w:rsidP="008845A2">
      <w:pPr>
        <w:pStyle w:val="Bullet1"/>
        <w:numPr>
          <w:ilvl w:val="0"/>
          <w:numId w:val="2"/>
        </w:numPr>
      </w:pPr>
      <w:r>
        <w:t xml:space="preserve">There is a range of low level, low-risk AT </w:t>
      </w:r>
      <w:bookmarkStart w:id="73" w:name="_Toc31094654"/>
      <w:r>
        <w:t>that can be purchas</w:t>
      </w:r>
      <w:bookmarkEnd w:id="73"/>
      <w:r>
        <w:t>ed directly without requiring a professional assessment</w:t>
      </w:r>
      <w:r w:rsidR="00F80723">
        <w:t xml:space="preserve">. </w:t>
      </w:r>
      <w:r>
        <w:t>While stakeholders identified that there is some risk in the use of any AT, these risks can be minimised</w:t>
      </w:r>
      <w:r w:rsidRPr="00CA303D">
        <w:t xml:space="preserve"> </w:t>
      </w:r>
      <w:r>
        <w:t xml:space="preserve">with clear information and guidance. However, stakeholders reported that there is no common agreement on what </w:t>
      </w:r>
      <w:r w:rsidR="009652BD">
        <w:t>AT products should be categorised as low-risk</w:t>
      </w:r>
      <w:r w:rsidR="00F80723">
        <w:t xml:space="preserve">. </w:t>
      </w:r>
      <w:r>
        <w:t>The new TGA determination may assist in more clearly defining low-risk AT</w:t>
      </w:r>
      <w:r w:rsidR="00EC4322">
        <w:t>.</w:t>
      </w:r>
    </w:p>
    <w:p w14:paraId="4716EE1D" w14:textId="0E45B4EA" w:rsidR="008845A2" w:rsidRPr="00AE3252" w:rsidRDefault="008845A2" w:rsidP="008845A2">
      <w:pPr>
        <w:pStyle w:val="Bullet1"/>
        <w:numPr>
          <w:ilvl w:val="0"/>
          <w:numId w:val="2"/>
        </w:numPr>
      </w:pPr>
      <w:r>
        <w:t>Much AT can be purchased ‘off the shelf’ by consumers, without assessment or prescription</w:t>
      </w:r>
      <w:r w:rsidR="00F80723">
        <w:t xml:space="preserve">. </w:t>
      </w:r>
      <w:r w:rsidR="00D1045A">
        <w:t>C</w:t>
      </w:r>
      <w:r>
        <w:t xml:space="preserve">onsumers can access common </w:t>
      </w:r>
      <w:r w:rsidR="00487B34">
        <w:t>low-cost</w:t>
      </w:r>
      <w:r>
        <w:t xml:space="preserve"> AT for everyday living from a wide range of retail and online suppliers. However, studies </w:t>
      </w:r>
      <w:r w:rsidRPr="00EC48FA">
        <w:t>consistently show that 30</w:t>
      </w:r>
      <w:r>
        <w:t>%</w:t>
      </w:r>
      <w:r w:rsidRPr="00EC48FA">
        <w:t xml:space="preserve"> to 50% </w:t>
      </w:r>
      <w:r>
        <w:t>of</w:t>
      </w:r>
      <w:r w:rsidRPr="00EC48FA">
        <w:t xml:space="preserve"> AT is discarded (Scherer, 1998</w:t>
      </w:r>
      <w:r>
        <w:t>)</w:t>
      </w:r>
      <w:r w:rsidR="00F80723">
        <w:t xml:space="preserve">. </w:t>
      </w:r>
      <w:r>
        <w:t>High rates of abandonment suggest that consumers would benefit from receiving the appropriate information and advice to make an informed choice</w:t>
      </w:r>
      <w:r w:rsidR="00F80723">
        <w:t xml:space="preserve">. </w:t>
      </w:r>
    </w:p>
    <w:p w14:paraId="55B9AEE4" w14:textId="77777777" w:rsidR="008845A2" w:rsidRDefault="008845A2" w:rsidP="008845A2">
      <w:pPr>
        <w:pStyle w:val="Bullet1"/>
        <w:numPr>
          <w:ilvl w:val="0"/>
          <w:numId w:val="2"/>
        </w:numPr>
      </w:pPr>
      <w:r>
        <w:t>Where an assessment may be required, consumers may be unwilling or unable to pay for the appropriate AT assessment, or they may not understand the importance of having fit-for-purpose AT.</w:t>
      </w:r>
    </w:p>
    <w:p w14:paraId="4F77514B" w14:textId="77777777" w:rsidR="008845A2" w:rsidRDefault="008845A2" w:rsidP="008845A2">
      <w:pPr>
        <w:pStyle w:val="Bullet1"/>
        <w:numPr>
          <w:ilvl w:val="0"/>
          <w:numId w:val="2"/>
        </w:numPr>
      </w:pPr>
      <w:r>
        <w:t>Stakeholders highlighted the need for clear assessment pathways to be considered and funded as part of AT program to ensure appropriate prescribing/referral, consumer training and support in AT usage, and to maximise the likelihood of consumer uptake and ongoing use of the AT.</w:t>
      </w:r>
    </w:p>
    <w:p w14:paraId="2F769CBD" w14:textId="28C22300" w:rsidR="008845A2" w:rsidRDefault="008845A2" w:rsidP="008845A2">
      <w:pPr>
        <w:pStyle w:val="Bullet1"/>
      </w:pPr>
      <w:r>
        <w:t xml:space="preserve">Stakeholders also stated that GPs, who </w:t>
      </w:r>
      <w:r w:rsidR="00E92B09">
        <w:t xml:space="preserve">are </w:t>
      </w:r>
      <w:r>
        <w:t>often the initial contact for consumers, may be unaware of referral pathways for AT or may refer consumers inappropriately. resulting in expensive and unnecessary assessments.</w:t>
      </w:r>
    </w:p>
    <w:p w14:paraId="7467C71D" w14:textId="77777777" w:rsidR="008845A2" w:rsidRPr="005A179A" w:rsidRDefault="008845A2" w:rsidP="005A179A">
      <w:pPr>
        <w:pStyle w:val="Bullet1Keep"/>
      </w:pPr>
      <w:r w:rsidRPr="005A179A">
        <w:t>Within the aged care system, RAS and ACAT assessors are the gatekeepers to AT, which poses a number of issues, including:</w:t>
      </w:r>
    </w:p>
    <w:p w14:paraId="4C4E962D" w14:textId="77777777" w:rsidR="008845A2" w:rsidRDefault="008845A2" w:rsidP="00B303C0">
      <w:pPr>
        <w:pStyle w:val="Bullet2"/>
      </w:pPr>
      <w:r>
        <w:t>Assessors may lack the confidence and knowledge to effectively prescribe AT</w:t>
      </w:r>
    </w:p>
    <w:p w14:paraId="7DE412E3" w14:textId="77777777" w:rsidR="008845A2" w:rsidRDefault="008845A2" w:rsidP="00B303C0">
      <w:pPr>
        <w:pStyle w:val="Bullet2"/>
      </w:pPr>
      <w:r>
        <w:t>The scope of practice of assessors is contested in relation to what types of AT they can prescribe and to which consumers</w:t>
      </w:r>
    </w:p>
    <w:p w14:paraId="31B586CD" w14:textId="77777777" w:rsidR="008845A2" w:rsidRDefault="008845A2" w:rsidP="00B303C0">
      <w:pPr>
        <w:pStyle w:val="Bullet2"/>
      </w:pPr>
      <w:r>
        <w:t>While it is recognised that allied health input is necessary for complex AT, workforce issues create delays, especially in rural and remote areas</w:t>
      </w:r>
    </w:p>
    <w:p w14:paraId="1C013586" w14:textId="31D6DC1C" w:rsidR="008845A2" w:rsidRDefault="006363F7" w:rsidP="00B303C0">
      <w:pPr>
        <w:pStyle w:val="Bullet2"/>
      </w:pPr>
      <w:r>
        <w:t>For</w:t>
      </w:r>
      <w:r w:rsidR="008845A2">
        <w:t xml:space="preserve"> allied health workers who see few AT consumers </w:t>
      </w:r>
      <w:r>
        <w:t xml:space="preserve">each </w:t>
      </w:r>
      <w:r w:rsidR="008845A2">
        <w:t>year, it may be challenging to keep their AT skills current.</w:t>
      </w:r>
    </w:p>
    <w:p w14:paraId="756F215B" w14:textId="5C9EBF03" w:rsidR="008845A2" w:rsidRDefault="008845A2" w:rsidP="008845A2">
      <w:pPr>
        <w:pStyle w:val="Bullet1"/>
      </w:pPr>
      <w:r>
        <w:t>Most stakeholders felt that non-clinically trained assessors, including RAS assessors, could, with the appropriate training and support, assess and prescribe low-risk AT, especially with access to allied health professionals for advice</w:t>
      </w:r>
      <w:r w:rsidR="00F80723">
        <w:t xml:space="preserve">. </w:t>
      </w:r>
      <w:r>
        <w:t>For more complex AT, allied health workers are generally considered the most appropriate professionals to prescribe, assess and install AT and train consumers</w:t>
      </w:r>
      <w:r w:rsidR="00F80723">
        <w:t xml:space="preserve">. </w:t>
      </w:r>
    </w:p>
    <w:p w14:paraId="435F8B6E" w14:textId="5904A051" w:rsidR="008845A2" w:rsidRDefault="008845A2" w:rsidP="008845A2">
      <w:pPr>
        <w:pStyle w:val="Bullet1"/>
      </w:pPr>
      <w:r>
        <w:t>Stakeholders noted that delays in providing AT following can</w:t>
      </w:r>
      <w:r w:rsidDel="006363F7">
        <w:t xml:space="preserve"> </w:t>
      </w:r>
      <w:r>
        <w:t>have negative consequences for consumers</w:t>
      </w:r>
      <w:r w:rsidR="00F80723">
        <w:t xml:space="preserve">. </w:t>
      </w:r>
      <w:r>
        <w:t>Stakeholders suggested that recommended AT and home modifications may no longer be fit for purpose if there is a delay of more than six weeks between assessment for, and provision of AT.</w:t>
      </w:r>
      <w:r w:rsidRPr="004520AE">
        <w:t xml:space="preserve"> </w:t>
      </w:r>
    </w:p>
    <w:p w14:paraId="4374E00A" w14:textId="3DD5C2A8" w:rsidR="008845A2" w:rsidRDefault="008845A2" w:rsidP="00F054BF">
      <w:pPr>
        <w:pStyle w:val="Paragraph"/>
      </w:pPr>
      <w:r>
        <w:t>Th</w:t>
      </w:r>
      <w:r w:rsidR="007B48D0">
        <w:t xml:space="preserve">ese findings </w:t>
      </w:r>
      <w:r>
        <w:t>suggest</w:t>
      </w:r>
      <w:r w:rsidR="007B48D0">
        <w:t xml:space="preserve"> </w:t>
      </w:r>
      <w:r>
        <w:t xml:space="preserve">that greater clarity and timeliness on what type of AT can be prescribed and by whom, will support more appropriate referrals and assessments, and potentially reduce unnecessary allied health assessments. </w:t>
      </w:r>
    </w:p>
    <w:p w14:paraId="75C3BABE" w14:textId="67E30493" w:rsidR="008845A2" w:rsidRPr="00BB163C" w:rsidRDefault="008845A2" w:rsidP="005D03BD">
      <w:pPr>
        <w:pStyle w:val="Paragraph"/>
        <w:rPr>
          <w:lang w:val="en-AU"/>
        </w:rPr>
      </w:pPr>
      <w:r>
        <w:t xml:space="preserve">The CHSP options proposed in </w:t>
      </w:r>
      <w:r w:rsidRPr="005C5B17">
        <w:rPr>
          <w:rStyle w:val="Italic"/>
        </w:rPr>
        <w:t>Chapter </w:t>
      </w:r>
      <w:r w:rsidRPr="00CC535A">
        <w:rPr>
          <w:rStyle w:val="Italic"/>
          <w:highlight w:val="yellow"/>
        </w:rPr>
        <w:fldChar w:fldCharType="begin"/>
      </w:r>
      <w:r w:rsidRPr="005C5B17">
        <w:rPr>
          <w:rStyle w:val="Italic"/>
        </w:rPr>
        <w:instrText xml:space="preserve"> REF _Ref41837212 \n \h </w:instrText>
      </w:r>
      <w:r w:rsidRPr="00CC535A">
        <w:rPr>
          <w:rStyle w:val="Italic"/>
          <w:highlight w:val="yellow"/>
        </w:rPr>
        <w:instrText xml:space="preserve"> \* MERGEFORMAT </w:instrText>
      </w:r>
      <w:r w:rsidRPr="00CC535A">
        <w:rPr>
          <w:rStyle w:val="Italic"/>
          <w:highlight w:val="yellow"/>
        </w:rPr>
      </w:r>
      <w:r w:rsidRPr="00CC535A">
        <w:rPr>
          <w:rStyle w:val="Italic"/>
          <w:highlight w:val="yellow"/>
        </w:rPr>
        <w:fldChar w:fldCharType="separate"/>
      </w:r>
      <w:r w:rsidR="00CC3F04">
        <w:rPr>
          <w:rStyle w:val="Italic"/>
        </w:rPr>
        <w:t>4</w:t>
      </w:r>
      <w:r w:rsidRPr="00CC535A">
        <w:rPr>
          <w:rStyle w:val="Italic"/>
          <w:highlight w:val="yellow"/>
        </w:rPr>
        <w:fldChar w:fldCharType="end"/>
      </w:r>
      <w:r>
        <w:t xml:space="preserve"> seek to increase information and advice</w:t>
      </w:r>
      <w:r w:rsidR="00487B34">
        <w:t>,</w:t>
      </w:r>
      <w:r>
        <w:t xml:space="preserve"> and support existing RAS assessors to refer consumers to resources for low-risk AT</w:t>
      </w:r>
      <w:r w:rsidR="00F80723">
        <w:t xml:space="preserve">. </w:t>
      </w:r>
      <w:r>
        <w:t>Continued education and training for RAS assessors will also support appropriate referrals</w:t>
      </w:r>
      <w:r w:rsidR="00F80723">
        <w:t xml:space="preserve">. </w:t>
      </w:r>
      <w:r>
        <w:t>Clear program guidelines</w:t>
      </w:r>
      <w:r w:rsidDel="00BB767B">
        <w:t xml:space="preserve"> </w:t>
      </w:r>
      <w:r>
        <w:t xml:space="preserve">are suggested, including </w:t>
      </w:r>
      <w:r>
        <w:lastRenderedPageBreak/>
        <w:t xml:space="preserve">guidelines in relation to AT assessment, the transferability of AT between programs and clarity on product ownership. </w:t>
      </w:r>
    </w:p>
    <w:p w14:paraId="70E0066D" w14:textId="77777777" w:rsidR="008845A2" w:rsidRPr="00805DBA" w:rsidRDefault="008845A2" w:rsidP="008845A2">
      <w:pPr>
        <w:pStyle w:val="Heading3"/>
      </w:pPr>
      <w:r w:rsidRPr="00805DBA">
        <w:t>AT market and evolving technology</w:t>
      </w:r>
    </w:p>
    <w:p w14:paraId="5D638A18" w14:textId="113CB010" w:rsidR="008845A2" w:rsidRDefault="008845A2" w:rsidP="008B2EF4">
      <w:pPr>
        <w:pStyle w:val="Paragraph"/>
      </w:pPr>
      <w:r>
        <w:t>The AT market is rapidly expanding</w:t>
      </w:r>
      <w:r w:rsidR="00F80723">
        <w:t xml:space="preserve">. </w:t>
      </w:r>
      <w:r>
        <w:t>Estimates of national expenditure on AT fall between $3.6 and $4.5 billion annually across all sectors (ATSA 2014)</w:t>
      </w:r>
      <w:r w:rsidR="00F80723">
        <w:t xml:space="preserve">. </w:t>
      </w:r>
      <w:r>
        <w:t xml:space="preserve">The NDIA advises it expects to spend $1.06 billion per annum on AT in 2019-20, with the aim of creating Australia as a hub of AT innovation </w:t>
      </w:r>
      <w:r>
        <w:fldChar w:fldCharType="begin" w:fldLock="1"/>
      </w:r>
      <w:r>
        <w:instrText>ADDIN CSL_CITATION {"citationItems":[{"id":"ITEM-1","itemData":{"author":[{"dropping-particle":"","family":"NDIS","given":"","non-dropping-particle":"","parse-names":false,"suffix":""}],"id":"ITEM-1","issued":{"date-parts":[["2015"]]},"publisher":"National Disability Insurance Scheme","title":"Assistive technology strategy","type":"book"},"uris":["http://www.mendeley.com/documents/?uuid=113d5aa4-040e-4a15-a55a-b0782f259c37"]}],"mendeley":{"formattedCitation":"(NDIS 2015)","plainTextFormattedCitation":"(NDIS 2015)","previouslyFormattedCitation":"(NDIS 2015)"},"properties":{"noteIndex":0},"schema":"https://github.com/citation-style-language/schema/raw/master/csl-citation.json"}</w:instrText>
      </w:r>
      <w:r>
        <w:fldChar w:fldCharType="separate"/>
      </w:r>
      <w:r>
        <w:rPr>
          <w:noProof/>
        </w:rPr>
        <w:t>(NDIS 2015)</w:t>
      </w:r>
      <w:r>
        <w:fldChar w:fldCharType="end"/>
      </w:r>
    </w:p>
    <w:p w14:paraId="4EB5965B" w14:textId="564FF17D" w:rsidR="008845A2" w:rsidRDefault="008845A2" w:rsidP="008B2EF4">
      <w:pPr>
        <w:pStyle w:val="ParaKeep"/>
      </w:pPr>
      <w:r>
        <w:t>Rapidly changing technology creates both challenges and opportunities for governments, service providers and consumers</w:t>
      </w:r>
      <w:r w:rsidR="00F80723">
        <w:t xml:space="preserve">. </w:t>
      </w:r>
      <w:r>
        <w:t>The review identified emerging technologies in several areas, including:</w:t>
      </w:r>
    </w:p>
    <w:p w14:paraId="27560085" w14:textId="77777777" w:rsidR="008845A2" w:rsidRDefault="008845A2" w:rsidP="00F80723">
      <w:pPr>
        <w:pStyle w:val="Bullet1"/>
      </w:pPr>
      <w:r>
        <w:t>Access to and control of technologies (e.g. eye gaze trackers, speech recognition software)</w:t>
      </w:r>
    </w:p>
    <w:p w14:paraId="295EB187" w14:textId="77777777" w:rsidR="008845A2" w:rsidRDefault="008845A2" w:rsidP="00F80723">
      <w:pPr>
        <w:pStyle w:val="Bullet1"/>
      </w:pPr>
      <w:r>
        <w:t>Software/device technology (e.g. apps that support daily activities)</w:t>
      </w:r>
    </w:p>
    <w:p w14:paraId="30CD5F43" w14:textId="77777777" w:rsidR="008845A2" w:rsidRDefault="008845A2" w:rsidP="00F80723">
      <w:pPr>
        <w:pStyle w:val="Bullet1"/>
      </w:pPr>
      <w:r>
        <w:t>Mobility (e.g. high-tech wheelchairs)</w:t>
      </w:r>
    </w:p>
    <w:p w14:paraId="51CC514D" w14:textId="77777777" w:rsidR="008845A2" w:rsidRDefault="008845A2" w:rsidP="00F80723">
      <w:pPr>
        <w:pStyle w:val="Bullet1"/>
      </w:pPr>
      <w:r>
        <w:t>Support for independent living (e.g. activity monitoring systems, telecare)</w:t>
      </w:r>
    </w:p>
    <w:p w14:paraId="2657C726" w14:textId="77777777" w:rsidR="008845A2" w:rsidRDefault="008845A2" w:rsidP="00F80723">
      <w:pPr>
        <w:pStyle w:val="Bullet1"/>
      </w:pPr>
      <w:r>
        <w:t>Artificial intelligence and automation</w:t>
      </w:r>
    </w:p>
    <w:p w14:paraId="107FBDEC" w14:textId="77777777" w:rsidR="008845A2" w:rsidRDefault="008845A2" w:rsidP="00F80723">
      <w:pPr>
        <w:pStyle w:val="Bullet1"/>
      </w:pPr>
      <w:r>
        <w:t>Continued evolution of sensor technologies</w:t>
      </w:r>
    </w:p>
    <w:p w14:paraId="0FA5B44B" w14:textId="77777777" w:rsidR="008845A2" w:rsidRDefault="008845A2" w:rsidP="00F80723">
      <w:pPr>
        <w:pStyle w:val="Bullet1"/>
      </w:pPr>
      <w:r>
        <w:t>Virtual and augmented reality</w:t>
      </w:r>
    </w:p>
    <w:p w14:paraId="63026581" w14:textId="77777777" w:rsidR="008845A2" w:rsidRDefault="008845A2" w:rsidP="00F80723">
      <w:pPr>
        <w:pStyle w:val="Bullet1"/>
      </w:pPr>
      <w:r>
        <w:t>Voice-activated technology</w:t>
      </w:r>
    </w:p>
    <w:p w14:paraId="6DFCF1E8" w14:textId="77777777" w:rsidR="008845A2" w:rsidRDefault="008845A2" w:rsidP="00F80723">
      <w:pPr>
        <w:pStyle w:val="Bullet1"/>
      </w:pPr>
      <w:r>
        <w:t>Haptic technology—which involves application of touch sensations to the user.</w:t>
      </w:r>
    </w:p>
    <w:p w14:paraId="1BD94EA4" w14:textId="4244360C" w:rsidR="008845A2" w:rsidRDefault="008845A2" w:rsidP="008B2EF4">
      <w:pPr>
        <w:pStyle w:val="Paragraph"/>
      </w:pPr>
      <w:r>
        <w:t xml:space="preserve">Mainstream technologies—notably smart phone and tablet apps—are increasingly showing potential for older people (McDonald et al. 2013) and people living with disabilities </w:t>
      </w:r>
      <w:r>
        <w:fldChar w:fldCharType="begin" w:fldLock="1"/>
      </w:r>
      <w:r>
        <w:instrText>ADDIN CSL_CITATION {"citationItems":[{"id":"ITEM-1","itemData":{"author":[{"dropping-particle":"","family":"NDIS","given":"","non-dropping-particle":"","parse-names":false,"suffix":""}],"id":"ITEM-1","issued":{"date-parts":[["2015"]]},"publisher":"National Disability Insurance Scheme","title":"Assistive technology strategy","type":"book"},"uris":["http://www.mendeley.com/documents/?uuid=113d5aa4-040e-4a15-a55a-b0782f259c37","http://www.mendeley.com/documents/?uuid=96eb975d-fc97-4671-a68e-7683aff5efc3"]}],"mendeley":{"formattedCitation":"(NDIS 2015)","plainTextFormattedCitation":"(NDIS 2015)","previouslyFormattedCitation":"(NDIS 2015)"},"properties":{"noteIndex":0},"schema":"https://github.com/citation-style-language/schema/raw/master/csl-citation.json"}</w:instrText>
      </w:r>
      <w:r>
        <w:fldChar w:fldCharType="separate"/>
      </w:r>
      <w:r>
        <w:rPr>
          <w:noProof/>
        </w:rPr>
        <w:t>(NDIS 2015)</w:t>
      </w:r>
      <w:r>
        <w:fldChar w:fldCharType="end"/>
      </w:r>
      <w:r w:rsidR="00F80723">
        <w:t xml:space="preserve">. </w:t>
      </w:r>
      <w:r>
        <w:t>New horizons for AT include smart homes and the internet of things (</w:t>
      </w:r>
      <w:r w:rsidRPr="004743D5">
        <w:t>a system of interrelated computing devices, mechanical and digital machines</w:t>
      </w:r>
      <w:r>
        <w:t>)—both of which involve the use of internet-connected devices—have the capacity to assist older people to control their environment and everyday activities.</w:t>
      </w:r>
    </w:p>
    <w:p w14:paraId="7AAA98B4" w14:textId="4719687F" w:rsidR="008845A2" w:rsidRDefault="007B6C01" w:rsidP="008B2EF4">
      <w:pPr>
        <w:pStyle w:val="Paragraph"/>
      </w:pPr>
      <w:r>
        <w:t>Any future AT</w:t>
      </w:r>
      <w:r w:rsidR="00C23EC3">
        <w:t xml:space="preserve"> program solution </w:t>
      </w:r>
      <w:r>
        <w:t xml:space="preserve">must </w:t>
      </w:r>
      <w:r w:rsidR="0051228B">
        <w:t xml:space="preserve">keep abreast of </w:t>
      </w:r>
      <w:r w:rsidR="0072041C">
        <w:t xml:space="preserve">evolving technologies to ensure </w:t>
      </w:r>
      <w:r w:rsidR="000C01D2">
        <w:t xml:space="preserve">that </w:t>
      </w:r>
      <w:r w:rsidR="003E0FC9">
        <w:t>consumers can access the most appropriate products at affordable prices.</w:t>
      </w:r>
    </w:p>
    <w:p w14:paraId="1B5C96BD" w14:textId="1C8CA3EC" w:rsidR="005F5FA1" w:rsidRPr="00EC48FA" w:rsidRDefault="00580566" w:rsidP="00DF654E">
      <w:pPr>
        <w:pStyle w:val="Heading3"/>
      </w:pPr>
      <w:r>
        <w:t xml:space="preserve">Rental </w:t>
      </w:r>
      <w:r w:rsidR="005F5FA1" w:rsidRPr="00EC48FA">
        <w:t>markets</w:t>
      </w:r>
    </w:p>
    <w:p w14:paraId="4A0F8ACE" w14:textId="47D09D36" w:rsidR="005F5FA1" w:rsidRPr="00EC48FA" w:rsidRDefault="005F5FA1" w:rsidP="005F5FA1">
      <w:pPr>
        <w:pStyle w:val="Paragraph"/>
      </w:pPr>
      <w:r w:rsidRPr="00EC48FA">
        <w:t>Stakeholders suggested that rental markets can be effective in the supply of equipment needed for short</w:t>
      </w:r>
      <w:r>
        <w:t>-</w:t>
      </w:r>
      <w:r w:rsidRPr="00EC48FA">
        <w:t>term requirements, such as when someone is discharged from hospital</w:t>
      </w:r>
      <w:r w:rsidR="00F80723">
        <w:t xml:space="preserve">. </w:t>
      </w:r>
      <w:r w:rsidRPr="00EC48FA">
        <w:t>Leasing arrangements are generally relatively low-cost for consumers and have the added benefit of enabling consumers to ‘try before they buy’.</w:t>
      </w:r>
    </w:p>
    <w:p w14:paraId="514CD8E0" w14:textId="15EF5ACB" w:rsidR="005F5FA1" w:rsidRPr="00EC48FA" w:rsidRDefault="005F5FA1" w:rsidP="005F5FA1">
      <w:pPr>
        <w:pStyle w:val="Paragraph"/>
      </w:pPr>
      <w:r w:rsidRPr="00EC48FA">
        <w:t>Hospitals use loan pools for short</w:t>
      </w:r>
      <w:r>
        <w:t>-</w:t>
      </w:r>
      <w:r w:rsidRPr="00EC48FA">
        <w:t>term AT for transition care and some ILCs/state aids and equipment schemes also use loan pools or leasing arrangements</w:t>
      </w:r>
      <w:r w:rsidR="00F80723">
        <w:t xml:space="preserve">. </w:t>
      </w:r>
      <w:r w:rsidRPr="00EC48FA">
        <w:t>Other state</w:t>
      </w:r>
      <w:r w:rsidR="00285EDF">
        <w:t xml:space="preserve"> and territory</w:t>
      </w:r>
      <w:r w:rsidRPr="00EC48FA">
        <w:t xml:space="preserve"> programs have ceased leasing or refurbishing equipment because it was not cost-effective.</w:t>
      </w:r>
    </w:p>
    <w:p w14:paraId="0C28F3A0" w14:textId="42234790" w:rsidR="005F5FA1" w:rsidRPr="00EC48FA" w:rsidRDefault="007339A9" w:rsidP="005F5FA1">
      <w:pPr>
        <w:pStyle w:val="Paragraph"/>
      </w:pPr>
      <w:r w:rsidRPr="004470C2">
        <w:t xml:space="preserve">The review team </w:t>
      </w:r>
      <w:r w:rsidR="00104FDE">
        <w:t xml:space="preserve">was </w:t>
      </w:r>
      <w:r w:rsidR="00E562EE" w:rsidRPr="004470C2">
        <w:t>advised that some</w:t>
      </w:r>
      <w:r w:rsidR="005F5FA1" w:rsidRPr="004470C2">
        <w:t xml:space="preserve"> private AT</w:t>
      </w:r>
      <w:r w:rsidR="005F5FA1" w:rsidRPr="004F0565">
        <w:rPr>
          <w:b/>
          <w:bCs/>
        </w:rPr>
        <w:t xml:space="preserve"> </w:t>
      </w:r>
      <w:r w:rsidR="005F5FA1" w:rsidRPr="00EC48FA">
        <w:t>suppliers prefer to sell new equipment, rather than hire equipment because of the administrative costs associated with leasing</w:t>
      </w:r>
      <w:r w:rsidR="005F5FA1">
        <w:t xml:space="preserve"> such as</w:t>
      </w:r>
      <w:r w:rsidR="005F5FA1" w:rsidRPr="00EC48FA">
        <w:t xml:space="preserve"> following </w:t>
      </w:r>
      <w:r w:rsidR="005F5FA1">
        <w:t xml:space="preserve">up customers, </w:t>
      </w:r>
      <w:r w:rsidR="005F5FA1" w:rsidRPr="00EC48FA">
        <w:t>managing returns and maintenance of leasing items.</w:t>
      </w:r>
    </w:p>
    <w:p w14:paraId="45094EBA" w14:textId="05A3D295" w:rsidR="005F5FA1" w:rsidRPr="00FC2D77" w:rsidRDefault="005F5FA1" w:rsidP="00FC2D77">
      <w:pPr>
        <w:pStyle w:val="Paragraph"/>
        <w:rPr>
          <w:b/>
        </w:rPr>
      </w:pPr>
      <w:r w:rsidRPr="004470C2">
        <w:lastRenderedPageBreak/>
        <w:t>Services and suppliers report wastage of loan pool items if they are not returned or if there is no effective system for return</w:t>
      </w:r>
      <w:r w:rsidR="00F80723">
        <w:rPr>
          <w:b/>
          <w:bCs/>
        </w:rPr>
        <w:t xml:space="preserve">. </w:t>
      </w:r>
      <w:r w:rsidRPr="00EC48FA">
        <w:t>Others found it difficult to determine how a rental market could be maximised but because there are so many providers of equipment and user needs vary</w:t>
      </w:r>
      <w:r w:rsidR="00F80723">
        <w:t xml:space="preserve">. </w:t>
      </w:r>
      <w:r w:rsidR="00E562EE">
        <w:t xml:space="preserve">Any consideration of national leasing or loan arrangements would need to be costed separately to determine whether this </w:t>
      </w:r>
      <w:r w:rsidR="00B3126C">
        <w:t>is a</w:t>
      </w:r>
      <w:r w:rsidR="00E562EE">
        <w:t xml:space="preserve"> </w:t>
      </w:r>
      <w:r w:rsidR="00915A83">
        <w:t>cost-effective</w:t>
      </w:r>
      <w:r w:rsidR="00E562EE">
        <w:t xml:space="preserve"> approach.</w:t>
      </w:r>
    </w:p>
    <w:p w14:paraId="7DB13B41" w14:textId="77777777" w:rsidR="008845A2" w:rsidRPr="00805DBA" w:rsidRDefault="008845A2" w:rsidP="008845A2">
      <w:pPr>
        <w:pStyle w:val="Heading3"/>
      </w:pPr>
      <w:r w:rsidRPr="00805DBA">
        <w:t>Intersection between aged care, health and disability sectors</w:t>
      </w:r>
    </w:p>
    <w:p w14:paraId="133B3536" w14:textId="77777777" w:rsidR="008845A2" w:rsidRDefault="008845A2" w:rsidP="008845A2">
      <w:pPr>
        <w:pStyle w:val="Paragraph"/>
      </w:pPr>
      <w:r>
        <w:t>Stakeholders frequently cited inequities between the aged care, health and disability sectors as a major challenge within the AT landscape, with age seen as a major cause of inequity.</w:t>
      </w:r>
    </w:p>
    <w:p w14:paraId="61751130" w14:textId="04C18155" w:rsidR="008845A2" w:rsidRDefault="008845A2" w:rsidP="008845A2">
      <w:pPr>
        <w:pStyle w:val="Paragraph"/>
      </w:pPr>
      <w:r>
        <w:t xml:space="preserve">For example, a consumer aged 65 years or older is ineligible for NDIS support </w:t>
      </w:r>
      <w:r w:rsidR="005A2A7D">
        <w:t xml:space="preserve">if they were not an NDIS recipient </w:t>
      </w:r>
      <w:r w:rsidR="00145588">
        <w:t>before the age of 65</w:t>
      </w:r>
      <w:r w:rsidR="00F80723">
        <w:t xml:space="preserve">. </w:t>
      </w:r>
      <w:r w:rsidR="00164879">
        <w:t xml:space="preserve">This </w:t>
      </w:r>
      <w:r w:rsidR="00186706">
        <w:t>consumer</w:t>
      </w:r>
      <w:r>
        <w:t xml:space="preserve"> is less likely to have their AT needs met than a consumer with the same condition who is aged 64 and is eligible for NDIS funding for the rest of their lives</w:t>
      </w:r>
      <w:r w:rsidR="00F80723">
        <w:t xml:space="preserve">. </w:t>
      </w:r>
      <w:r>
        <w:t>This was seen as creating a two-tiered system, with older people who must rely on the aged care system for AT often missing out.</w:t>
      </w:r>
    </w:p>
    <w:p w14:paraId="759FCAD4" w14:textId="77777777" w:rsidR="00E864D7" w:rsidRDefault="008845A2" w:rsidP="005D03BD">
      <w:pPr>
        <w:pStyle w:val="Paragraph"/>
      </w:pPr>
      <w:r>
        <w:t xml:space="preserve">A clear national </w:t>
      </w:r>
      <w:r w:rsidR="00EC05DB">
        <w:t xml:space="preserve">framework for AT </w:t>
      </w:r>
      <w:r>
        <w:t>will support greater definition on what AT is provided and funded by the aged care, health and disability sectors.</w:t>
      </w:r>
    </w:p>
    <w:p w14:paraId="0D44E449" w14:textId="63455376" w:rsidR="008845A2" w:rsidRDefault="008845A2" w:rsidP="005D03BD">
      <w:pPr>
        <w:pStyle w:val="Paragraph"/>
      </w:pPr>
      <w:r>
        <w:br w:type="page"/>
      </w:r>
    </w:p>
    <w:p w14:paraId="2534CE90" w14:textId="77777777" w:rsidR="0085724F" w:rsidRPr="00636B05" w:rsidRDefault="0085724F" w:rsidP="0085724F">
      <w:bookmarkStart w:id="74" w:name="_Toc31102670"/>
      <w:bookmarkStart w:id="75" w:name="_Ref31526161"/>
      <w:bookmarkStart w:id="76" w:name="_Ref31526191"/>
      <w:bookmarkStart w:id="77" w:name="_Ref15049211"/>
      <w:bookmarkStart w:id="78" w:name="_Toc22634476"/>
    </w:p>
    <w:p w14:paraId="0EED189D" w14:textId="06634FFC" w:rsidR="00C21C5F" w:rsidRPr="00B42789" w:rsidRDefault="0031014A" w:rsidP="00FC4AAF">
      <w:pPr>
        <w:pStyle w:val="Heading1"/>
        <w:rPr>
          <w:color w:val="auto"/>
        </w:rPr>
      </w:pPr>
      <w:bookmarkStart w:id="79" w:name="_Toc59402377"/>
      <w:bookmarkEnd w:id="74"/>
      <w:bookmarkEnd w:id="75"/>
      <w:bookmarkEnd w:id="76"/>
      <w:r w:rsidRPr="00B42789">
        <w:rPr>
          <w:color w:val="auto"/>
        </w:rPr>
        <w:t>Cost</w:t>
      </w:r>
      <w:r w:rsidR="00FE0FC4" w:rsidRPr="00B42789">
        <w:rPr>
          <w:color w:val="auto"/>
        </w:rPr>
        <w:t>-</w:t>
      </w:r>
      <w:r w:rsidRPr="00B42789">
        <w:rPr>
          <w:color w:val="auto"/>
        </w:rPr>
        <w:t>benefit analysis</w:t>
      </w:r>
      <w:bookmarkEnd w:id="79"/>
      <w:r w:rsidR="00C21C5F" w:rsidRPr="00B42789">
        <w:rPr>
          <w:color w:val="auto"/>
        </w:rPr>
        <w:br w:type="page"/>
      </w:r>
    </w:p>
    <w:p w14:paraId="72149A09" w14:textId="70968F59" w:rsidR="0081212C" w:rsidRPr="00710DE6" w:rsidRDefault="0081212C" w:rsidP="0081212C">
      <w:pPr>
        <w:pStyle w:val="Heading2"/>
      </w:pPr>
      <w:bookmarkStart w:id="80" w:name="_Toc59402378"/>
      <w:r w:rsidRPr="00C42D4D">
        <w:lastRenderedPageBreak/>
        <w:t>Introduction</w:t>
      </w:r>
      <w:bookmarkEnd w:id="80"/>
    </w:p>
    <w:p w14:paraId="312B779C" w14:textId="7CF24730" w:rsidR="002735CF" w:rsidRPr="002735CF" w:rsidRDefault="00AE19F9" w:rsidP="002735CF">
      <w:pPr>
        <w:pStyle w:val="Paragraph"/>
      </w:pPr>
      <w:r>
        <w:t xml:space="preserve">AHA undertook a cost-benefit analysis to </w:t>
      </w:r>
      <w:r w:rsidR="00D61925">
        <w:t>determine</w:t>
      </w:r>
      <w:r w:rsidR="00D40F5E">
        <w:t xml:space="preserve"> </w:t>
      </w:r>
      <w:r w:rsidR="00D40F5E" w:rsidRPr="00D92D26">
        <w:t>whether ‘</w:t>
      </w:r>
      <w:r w:rsidR="00D40F5E" w:rsidRPr="00E570F3">
        <w:rPr>
          <w:rStyle w:val="Italic"/>
        </w:rPr>
        <w:t xml:space="preserve">there is a cost benefit for the provision of AT to older Australians, and if so, what </w:t>
      </w:r>
      <w:r w:rsidR="009C3D27" w:rsidRPr="00E570F3">
        <w:rPr>
          <w:rStyle w:val="Italic"/>
        </w:rPr>
        <w:t>model</w:t>
      </w:r>
      <w:r w:rsidR="00D40F5E" w:rsidRPr="00E570F3">
        <w:rPr>
          <w:rStyle w:val="Italic"/>
        </w:rPr>
        <w:t xml:space="preserve"> of AT support provides the greatest cost benefits?</w:t>
      </w:r>
      <w:r w:rsidR="00D40F5E" w:rsidRPr="00D92D26">
        <w:t>’</w:t>
      </w:r>
      <w:r w:rsidR="00D40F5E">
        <w:t>.</w:t>
      </w:r>
    </w:p>
    <w:p w14:paraId="22E04510" w14:textId="36510E2F" w:rsidR="0081212C" w:rsidRDefault="0081212C" w:rsidP="00E570F3">
      <w:pPr>
        <w:pStyle w:val="ParaKeep"/>
      </w:pPr>
      <w:r>
        <w:t>This section</w:t>
      </w:r>
      <w:r w:rsidR="002479A1">
        <w:t xml:space="preserve"> outlines</w:t>
      </w:r>
      <w:r>
        <w:t xml:space="preserve">: </w:t>
      </w:r>
    </w:p>
    <w:p w14:paraId="01FACD61" w14:textId="182DFFC9" w:rsidR="006121A7" w:rsidRDefault="00A1515D" w:rsidP="006121A7">
      <w:pPr>
        <w:pStyle w:val="Bullet1"/>
      </w:pPr>
      <w:r>
        <w:t xml:space="preserve">Cost analysis </w:t>
      </w:r>
      <w:r w:rsidR="00226271">
        <w:t xml:space="preserve">results </w:t>
      </w:r>
    </w:p>
    <w:p w14:paraId="71351DCA" w14:textId="71BF74C3" w:rsidR="00C40267" w:rsidRDefault="0081212C" w:rsidP="00C40267">
      <w:pPr>
        <w:pStyle w:val="Bullet1"/>
      </w:pPr>
      <w:r>
        <w:t>Ben</w:t>
      </w:r>
      <w:r w:rsidR="00C40267">
        <w:t xml:space="preserve">efit analysis </w:t>
      </w:r>
      <w:r w:rsidR="00226271">
        <w:t xml:space="preserve">results </w:t>
      </w:r>
    </w:p>
    <w:p w14:paraId="440E2D7E" w14:textId="0566A36A" w:rsidR="00226271" w:rsidRDefault="00226271" w:rsidP="00C40267">
      <w:pPr>
        <w:pStyle w:val="Bullet1"/>
      </w:pPr>
      <w:r>
        <w:t>Cost-benefit</w:t>
      </w:r>
      <w:r w:rsidR="00C242E1">
        <w:t xml:space="preserve"> analysis results.</w:t>
      </w:r>
    </w:p>
    <w:p w14:paraId="2D97D1CB" w14:textId="4C65512B" w:rsidR="004E173E" w:rsidRDefault="00077CAB" w:rsidP="00F054BF">
      <w:pPr>
        <w:pStyle w:val="Paragraph"/>
      </w:pPr>
      <w:r w:rsidRPr="007A7C02">
        <w:rPr>
          <w:rStyle w:val="Italic"/>
        </w:rPr>
        <w:t>Chapter </w:t>
      </w:r>
      <w:r w:rsidR="00765683">
        <w:rPr>
          <w:i/>
          <w:iCs/>
        </w:rPr>
        <w:fldChar w:fldCharType="begin"/>
      </w:r>
      <w:r w:rsidR="00765683">
        <w:rPr>
          <w:i/>
        </w:rPr>
        <w:instrText xml:space="preserve"> REF _Ref41837212 \n \h </w:instrText>
      </w:r>
      <w:r w:rsidR="00765683">
        <w:rPr>
          <w:i/>
          <w:iCs/>
        </w:rPr>
      </w:r>
      <w:r w:rsidR="00765683">
        <w:rPr>
          <w:i/>
          <w:iCs/>
        </w:rPr>
        <w:fldChar w:fldCharType="separate"/>
      </w:r>
      <w:r w:rsidR="00CC3F04">
        <w:rPr>
          <w:i/>
        </w:rPr>
        <w:t>4</w:t>
      </w:r>
      <w:r w:rsidR="00765683">
        <w:rPr>
          <w:i/>
          <w:iCs/>
        </w:rPr>
        <w:fldChar w:fldCharType="end"/>
      </w:r>
      <w:r w:rsidR="002C6657">
        <w:t xml:space="preserve"> applies </w:t>
      </w:r>
      <w:r w:rsidR="003472F1">
        <w:t>cost</w:t>
      </w:r>
      <w:r>
        <w:t>-</w:t>
      </w:r>
      <w:r w:rsidR="003472F1">
        <w:t>benefit</w:t>
      </w:r>
      <w:r w:rsidR="002C6657">
        <w:t xml:space="preserve"> results </w:t>
      </w:r>
      <w:r w:rsidR="00271DBA">
        <w:t>to future program options.</w:t>
      </w:r>
    </w:p>
    <w:p w14:paraId="09F2304B" w14:textId="471F9395" w:rsidR="00BA26F5" w:rsidRDefault="002C2C23" w:rsidP="00BA26F5">
      <w:pPr>
        <w:pStyle w:val="Heading3"/>
      </w:pPr>
      <w:r>
        <w:t xml:space="preserve">Seven steps of the </w:t>
      </w:r>
      <w:r w:rsidRPr="009203D8">
        <w:t>cost-benefit analysis</w:t>
      </w:r>
    </w:p>
    <w:p w14:paraId="2DFCC025" w14:textId="1C8BAB15" w:rsidR="00EA432D" w:rsidRPr="0023490F" w:rsidRDefault="00EA432D" w:rsidP="00EA432D">
      <w:pPr>
        <w:pStyle w:val="ParaKeep"/>
        <w:rPr>
          <w:b/>
          <w:bCs/>
          <w:lang w:eastAsia="en-AU"/>
        </w:rPr>
      </w:pPr>
      <w:r w:rsidRPr="00636B05">
        <w:rPr>
          <w:lang w:eastAsia="en-AU"/>
        </w:rPr>
        <w:t xml:space="preserve">The </w:t>
      </w:r>
      <w:r>
        <w:rPr>
          <w:lang w:eastAsia="en-AU"/>
        </w:rPr>
        <w:t>7</w:t>
      </w:r>
      <w:r w:rsidRPr="00636B05">
        <w:rPr>
          <w:lang w:eastAsia="en-AU"/>
        </w:rPr>
        <w:t xml:space="preserve"> key steps of this cost–benefit analysis are summarised in</w:t>
      </w:r>
      <w:r w:rsidRPr="00636B05">
        <w:rPr>
          <w:i/>
          <w:lang w:eastAsia="en-AU"/>
        </w:rPr>
        <w:t xml:space="preserve"> </w:t>
      </w:r>
      <w:r w:rsidRPr="00042DC2">
        <w:rPr>
          <w:rStyle w:val="Italic"/>
        </w:rPr>
        <w:fldChar w:fldCharType="begin"/>
      </w:r>
      <w:r w:rsidRPr="00042DC2">
        <w:rPr>
          <w:rStyle w:val="Italic"/>
        </w:rPr>
        <w:instrText xml:space="preserve"> REF _Ref42010738 \h </w:instrText>
      </w:r>
      <w:r>
        <w:rPr>
          <w:rStyle w:val="Italic"/>
        </w:rPr>
        <w:instrText xml:space="preserve"> \* MERGEFORMAT </w:instrText>
      </w:r>
      <w:r w:rsidRPr="00042DC2">
        <w:rPr>
          <w:rStyle w:val="Italic"/>
        </w:rPr>
      </w:r>
      <w:r w:rsidRPr="00042DC2">
        <w:rPr>
          <w:rStyle w:val="Italic"/>
        </w:rPr>
        <w:fldChar w:fldCharType="separate"/>
      </w:r>
      <w:r w:rsidR="00CC3F04" w:rsidRPr="00CC3F04">
        <w:rPr>
          <w:rStyle w:val="Italic"/>
        </w:rPr>
        <w:t>Figure 3</w:t>
      </w:r>
      <w:r w:rsidR="00CC3F04" w:rsidRPr="00CC3F04">
        <w:rPr>
          <w:rStyle w:val="Italic"/>
        </w:rPr>
        <w:noBreakHyphen/>
        <w:t>1</w:t>
      </w:r>
      <w:r w:rsidRPr="00042DC2">
        <w:rPr>
          <w:rStyle w:val="Italic"/>
        </w:rPr>
        <w:fldChar w:fldCharType="end"/>
      </w:r>
      <w:r w:rsidRPr="00636B05">
        <w:rPr>
          <w:lang w:eastAsia="en-AU"/>
        </w:rPr>
        <w:t>.</w:t>
      </w:r>
    </w:p>
    <w:p w14:paraId="69521312" w14:textId="6E28FF35" w:rsidR="004A4EFD" w:rsidRDefault="004A4EFD" w:rsidP="00143C46">
      <w:bookmarkStart w:id="81" w:name="_Ref42010738"/>
      <w:bookmarkStart w:id="82" w:name="_Ref42010735"/>
      <w:bookmarkStart w:id="83" w:name="_Toc42086375"/>
      <w:bookmarkStart w:id="84" w:name="_Toc59402412"/>
      <w:r>
        <w:t>Figure </w:t>
      </w:r>
      <w:r w:rsidR="00B303C0">
        <w:fldChar w:fldCharType="begin"/>
      </w:r>
      <w:r w:rsidR="00B303C0">
        <w:instrText xml:space="preserve"> STYLEREF 1 \s </w:instrText>
      </w:r>
      <w:r w:rsidR="00B303C0">
        <w:fldChar w:fldCharType="separate"/>
      </w:r>
      <w:r w:rsidR="00CC3F04">
        <w:rPr>
          <w:noProof/>
        </w:rPr>
        <w:t>3</w:t>
      </w:r>
      <w:r w:rsidR="00B303C0">
        <w:fldChar w:fldCharType="end"/>
      </w:r>
      <w:r w:rsidR="00B303C0">
        <w:noBreakHyphen/>
      </w:r>
      <w:r w:rsidR="00B303C0">
        <w:fldChar w:fldCharType="begin"/>
      </w:r>
      <w:r w:rsidR="00B303C0">
        <w:instrText xml:space="preserve"> SEQ Figure \* ARABIC \s 1 </w:instrText>
      </w:r>
      <w:r w:rsidR="00B303C0">
        <w:fldChar w:fldCharType="separate"/>
      </w:r>
      <w:r w:rsidR="00CC3F04">
        <w:rPr>
          <w:noProof/>
        </w:rPr>
        <w:t>1</w:t>
      </w:r>
      <w:r w:rsidR="00B303C0">
        <w:fldChar w:fldCharType="end"/>
      </w:r>
      <w:bookmarkEnd w:id="81"/>
      <w:r>
        <w:t>:</w:t>
      </w:r>
      <w:r>
        <w:rPr>
          <w:lang w:eastAsia="en-AU"/>
        </w:rPr>
        <w:tab/>
        <w:t>S</w:t>
      </w:r>
      <w:r w:rsidRPr="00636B05">
        <w:rPr>
          <w:lang w:eastAsia="en-AU"/>
        </w:rPr>
        <w:t>teps of t</w:t>
      </w:r>
      <w:r w:rsidR="00235BF4">
        <w:rPr>
          <w:lang w:eastAsia="en-AU"/>
        </w:rPr>
        <w:t xml:space="preserve">he </w:t>
      </w:r>
      <w:r w:rsidRPr="00636B05">
        <w:rPr>
          <w:lang w:eastAsia="en-AU"/>
        </w:rPr>
        <w:t>cost–benefit analysis</w:t>
      </w:r>
      <w:bookmarkEnd w:id="82"/>
      <w:bookmarkEnd w:id="83"/>
      <w:bookmarkEnd w:id="84"/>
    </w:p>
    <w:p w14:paraId="4A5E298D" w14:textId="5166BA36" w:rsidR="00EF612F" w:rsidRDefault="00EF612F" w:rsidP="00436C03">
      <w:r w:rsidRPr="00436C03">
        <w:rPr>
          <w:noProof/>
          <w:shd w:val="clear" w:color="auto" w:fill="F2F2F2" w:themeFill="background1" w:themeFillShade="F2"/>
          <w:lang w:val="en-AU" w:eastAsia="en-AU"/>
        </w:rPr>
        <w:drawing>
          <wp:inline distT="0" distB="0" distL="0" distR="0" wp14:anchorId="6D029BBB" wp14:editId="66F7BFC4">
            <wp:extent cx="5486400" cy="5150427"/>
            <wp:effectExtent l="38100" t="38100" r="38100" b="31750"/>
            <wp:docPr id="24" name="Diagram 24" descr="1: Establish and distribute the prevalence of older Australians living and home and experiencing functional decline.&#10;2: Cost AT products for each of the 4 impairment categories over a 1-year and 5-year time horizon.&#10;3: Use 'real life' archetypes to cost and benchmark AT products.&#10;4: Cost AT for total population.&#10;5: Cost AT products for current home care program client populations.&#10;6: Cost AT products and services for future program options.&#10;7: Establish the benefits of AT for future program option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7BD19428" w14:textId="2167F599" w:rsidR="007C5E4A" w:rsidRDefault="00C46F88" w:rsidP="00C46F88">
      <w:pPr>
        <w:pStyle w:val="Paragraph"/>
      </w:pPr>
      <w:r>
        <w:t>For a detailed description of the a</w:t>
      </w:r>
      <w:r w:rsidRPr="009203D8">
        <w:t>pproach to the cost-benefit analysis</w:t>
      </w:r>
      <w:r>
        <w:t xml:space="preserve">, see </w:t>
      </w:r>
      <w:r w:rsidRPr="00BA541B">
        <w:rPr>
          <w:rStyle w:val="Italic"/>
        </w:rPr>
        <w:t xml:space="preserve">Supplementary Technical Report, </w:t>
      </w:r>
      <w:r w:rsidRPr="008A5255">
        <w:rPr>
          <w:rStyle w:val="Italic"/>
        </w:rPr>
        <w:t>Appendix A</w:t>
      </w:r>
      <w:r>
        <w:t>.</w:t>
      </w:r>
      <w:r w:rsidRPr="009203D8">
        <w:t xml:space="preserve"> </w:t>
      </w:r>
    </w:p>
    <w:p w14:paraId="6A06987E" w14:textId="499AB577" w:rsidR="00C46F88" w:rsidRDefault="00C46F88" w:rsidP="005D03BD">
      <w:pPr>
        <w:pStyle w:val="Heading3"/>
      </w:pPr>
      <w:r>
        <w:lastRenderedPageBreak/>
        <w:t>Prevalence and distribution</w:t>
      </w:r>
    </w:p>
    <w:p w14:paraId="2729D6C7" w14:textId="7B82C2B9" w:rsidR="00650859" w:rsidRDefault="00650859" w:rsidP="00C00685">
      <w:pPr>
        <w:pStyle w:val="Paragraph"/>
      </w:pPr>
      <w:r>
        <w:t>A core concept in this cost-benefit analysis is the concept of impairment and functional decline.</w:t>
      </w:r>
      <w:r w:rsidR="00410F76">
        <w:t xml:space="preserve"> </w:t>
      </w:r>
      <w:r w:rsidR="00C00685">
        <w:t xml:space="preserve">The </w:t>
      </w:r>
      <w:r w:rsidRPr="00636B05">
        <w:rPr>
          <w:rStyle w:val="CrossReference"/>
        </w:rPr>
        <w:t>ABS Survey of Disability, Ageing and Carers</w:t>
      </w:r>
      <w:r w:rsidRPr="00636B05">
        <w:t xml:space="preserve"> (ABS SDAC) </w:t>
      </w:r>
      <w:r>
        <w:t>measures of impairment was used to reflect population impairment levels as an indicator of a consumers need for AT</w:t>
      </w:r>
      <w:r w:rsidR="002829AB">
        <w:t xml:space="preserve"> </w:t>
      </w:r>
      <w:r w:rsidR="002829AB">
        <w:fldChar w:fldCharType="begin" w:fldLock="1"/>
      </w:r>
      <w:r w:rsidR="002829AB">
        <w:instrText>ADDIN CSL_CITATION {"citationItems":[{"id":"ITEM-1","itemData":{"author":[{"dropping-particle":"","family":"Australian Bureau of Statistics","given":"","non-dropping-particle":"","parse-names":false,"suffix":""}],"container-title":"4430.0 - Disability, Ageing and Carers, Australia","id":"ITEM-1","issue":"Sdac 18","issued":{"date-parts":[["2012"]]},"title":"Survey of Disability, Ageing and Carers","type":"article-journal"},"uris":["http://www.mendeley.com/documents/?uuid=e19db826-7f5a-418a-8b64-6e5c47fc36bf"]}],"mendeley":{"formattedCitation":"(Australian Bureau of Statistics 2012)","plainTextFormattedCitation":"(Australian Bureau of Statistics 2012)","previouslyFormattedCitation":"(Australian Bureau of Statistics 2012)"},"properties":{"noteIndex":0},"schema":"https://github.com/citation-style-language/schema/raw/master/csl-citation.json"}</w:instrText>
      </w:r>
      <w:r w:rsidR="002829AB">
        <w:fldChar w:fldCharType="separate"/>
      </w:r>
      <w:r w:rsidR="002829AB" w:rsidRPr="002829AB">
        <w:rPr>
          <w:noProof/>
        </w:rPr>
        <w:t>(Australian Bureau of Statistics 2012)</w:t>
      </w:r>
      <w:r w:rsidR="002829AB">
        <w:fldChar w:fldCharType="end"/>
      </w:r>
      <w:r w:rsidR="002829AB">
        <w:t>.</w:t>
      </w:r>
      <w:r>
        <w:t xml:space="preserve"> </w:t>
      </w:r>
    </w:p>
    <w:p w14:paraId="0B215B13" w14:textId="2677FDBF" w:rsidR="00650859" w:rsidRDefault="00650859" w:rsidP="00B303C0">
      <w:pPr>
        <w:pStyle w:val="Bullet2"/>
        <w:numPr>
          <w:ilvl w:val="0"/>
          <w:numId w:val="0"/>
        </w:numPr>
      </w:pPr>
      <w:r>
        <w:t xml:space="preserve">The </w:t>
      </w:r>
      <w:r w:rsidRPr="00636B05">
        <w:t>ABS SDAC</w:t>
      </w:r>
      <w:r>
        <w:t xml:space="preserve"> </w:t>
      </w:r>
      <w:r w:rsidRPr="00636B05">
        <w:t>levels of core activity limitation</w:t>
      </w:r>
      <w:r>
        <w:t xml:space="preserve"> </w:t>
      </w:r>
      <w:r w:rsidRPr="00636B05">
        <w:t>classify functional decline</w:t>
      </w:r>
      <w:r w:rsidR="00C00685">
        <w:t xml:space="preserve"> into four categories</w:t>
      </w:r>
      <w:r w:rsidR="009D36B6">
        <w:t xml:space="preserve">: Mild, Moderate, Severe and Profound. </w:t>
      </w:r>
      <w:r w:rsidRPr="00636B05">
        <w:t xml:space="preserve">The limitation categories are based on whether a person needs help, has difficulty, or uses aids or equipment with any of the core mobility, self-care and communication activities of daily </w:t>
      </w:r>
      <w:r>
        <w:t xml:space="preserve">living. </w:t>
      </w:r>
    </w:p>
    <w:p w14:paraId="5B26446A" w14:textId="5CBCD3E9" w:rsidR="00C46F88" w:rsidRDefault="00C46F88" w:rsidP="00C46F88">
      <w:pPr>
        <w:pStyle w:val="ParaKeep"/>
      </w:pPr>
      <w:r w:rsidRPr="00D3473E">
        <w:rPr>
          <w:i/>
          <w:iCs/>
          <w:szCs w:val="22"/>
        </w:rPr>
        <w:fldChar w:fldCharType="begin"/>
      </w:r>
      <w:r w:rsidRPr="00D3473E">
        <w:rPr>
          <w:i/>
          <w:iCs/>
          <w:szCs w:val="22"/>
        </w:rPr>
        <w:instrText xml:space="preserve"> REF _Ref42009215 \h  \* MERGEFORMAT </w:instrText>
      </w:r>
      <w:r w:rsidRPr="00D3473E">
        <w:rPr>
          <w:i/>
          <w:iCs/>
          <w:szCs w:val="22"/>
        </w:rPr>
      </w:r>
      <w:r w:rsidRPr="00D3473E">
        <w:rPr>
          <w:i/>
          <w:iCs/>
          <w:szCs w:val="22"/>
        </w:rPr>
        <w:fldChar w:fldCharType="separate"/>
      </w:r>
      <w:r w:rsidR="00CC3F04" w:rsidRPr="00CC3F04">
        <w:rPr>
          <w:i/>
          <w:iCs/>
          <w:szCs w:val="22"/>
        </w:rPr>
        <w:t>Table 3</w:t>
      </w:r>
      <w:r w:rsidR="00CC3F04" w:rsidRPr="00CC3F04">
        <w:rPr>
          <w:i/>
          <w:iCs/>
          <w:szCs w:val="22"/>
        </w:rPr>
        <w:noBreakHyphen/>
        <w:t>1</w:t>
      </w:r>
      <w:r w:rsidRPr="00D3473E">
        <w:rPr>
          <w:i/>
          <w:iCs/>
          <w:szCs w:val="22"/>
        </w:rPr>
        <w:fldChar w:fldCharType="end"/>
      </w:r>
      <w:r>
        <w:t xml:space="preserve"> details the number of people participating in aged care programs across the four impairment categories. The model was based on:</w:t>
      </w:r>
    </w:p>
    <w:p w14:paraId="661B8BEB" w14:textId="77777777" w:rsidR="00C46F88" w:rsidRPr="007A7C02" w:rsidRDefault="00C46F88" w:rsidP="00C46F88">
      <w:pPr>
        <w:pStyle w:val="Bullet1"/>
      </w:pPr>
      <w:r w:rsidRPr="007A7C02">
        <w:t xml:space="preserve">688,394 consumers outside the aged care system </w:t>
      </w:r>
    </w:p>
    <w:p w14:paraId="49D3A869" w14:textId="77777777" w:rsidR="00C46F88" w:rsidRDefault="00C46F88" w:rsidP="00C46F88">
      <w:pPr>
        <w:pStyle w:val="Bullet1"/>
      </w:pPr>
      <w:r>
        <w:t>971,842 consumers in the aged care system (excluding residential aged care facilities).</w:t>
      </w:r>
    </w:p>
    <w:p w14:paraId="57F0AF84" w14:textId="58934B2E" w:rsidR="00C46F88" w:rsidRPr="00736110" w:rsidRDefault="00C46F88" w:rsidP="00143C46">
      <w:bookmarkStart w:id="85" w:name="_Ref42009215"/>
      <w:bookmarkStart w:id="86" w:name="_Toc59402399"/>
      <w:r w:rsidRPr="00736110">
        <w:t>Table </w:t>
      </w:r>
      <w:r w:rsidR="006870B9">
        <w:fldChar w:fldCharType="begin"/>
      </w:r>
      <w:r w:rsidR="006870B9">
        <w:instrText xml:space="preserve"> STYLEREF 1 \s </w:instrText>
      </w:r>
      <w:r w:rsidR="006870B9">
        <w:fldChar w:fldCharType="separate"/>
      </w:r>
      <w:r w:rsidR="00CC3F04">
        <w:rPr>
          <w:noProof/>
        </w:rPr>
        <w:t>3</w:t>
      </w:r>
      <w:r w:rsidR="006870B9">
        <w:fldChar w:fldCharType="end"/>
      </w:r>
      <w:r w:rsidR="003122D1">
        <w:t>-1</w:t>
      </w:r>
      <w:bookmarkEnd w:id="85"/>
      <w:r w:rsidRPr="00736110">
        <w:t>:</w:t>
      </w:r>
      <w:r w:rsidRPr="00736110">
        <w:tab/>
        <w:t>Consumers outside of aged care and in aged care programs</w:t>
      </w:r>
      <w:bookmarkEnd w:id="86"/>
    </w:p>
    <w:tbl>
      <w:tblPr>
        <w:tblStyle w:val="AHALight"/>
        <w:tblW w:w="5000" w:type="pct"/>
        <w:tblLayout w:type="fixed"/>
        <w:tblLook w:val="05E0" w:firstRow="1" w:lastRow="1" w:firstColumn="1" w:lastColumn="1" w:noHBand="0" w:noVBand="1"/>
        <w:tblCaption w:val="Consumers in and outside of aged care, by SDAC limitation level"/>
        <w:tblDescription w:val="Number of consumers by aged care program. &#10;The numbers are given by each of the 4 SDAC limitation levels, as well as in total."/>
      </w:tblPr>
      <w:tblGrid>
        <w:gridCol w:w="2552"/>
        <w:gridCol w:w="1417"/>
        <w:gridCol w:w="1417"/>
        <w:gridCol w:w="1418"/>
        <w:gridCol w:w="1417"/>
        <w:gridCol w:w="1418"/>
      </w:tblGrid>
      <w:tr w:rsidR="00C46F88" w:rsidRPr="001F4C2C" w14:paraId="47C1F715" w14:textId="77777777" w:rsidTr="001F4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478A3FF5" w14:textId="77777777" w:rsidR="00C46F88" w:rsidRPr="001F4C2C" w:rsidRDefault="00C46F88" w:rsidP="00A5365D">
            <w:pPr>
              <w:rPr>
                <w:szCs w:val="22"/>
              </w:rPr>
            </w:pPr>
            <w:r w:rsidRPr="001F4C2C">
              <w:rPr>
                <w:szCs w:val="22"/>
              </w:rPr>
              <w:t xml:space="preserve">Program </w:t>
            </w:r>
          </w:p>
        </w:tc>
        <w:tc>
          <w:tcPr>
            <w:tcW w:w="1417" w:type="dxa"/>
          </w:tcPr>
          <w:p w14:paraId="1DC46E27" w14:textId="77777777" w:rsidR="00C46F88" w:rsidRPr="001F4C2C" w:rsidRDefault="00C46F88" w:rsidP="00A5365D">
            <w:pPr>
              <w:jc w:val="right"/>
              <w:cnfStyle w:val="100000000000" w:firstRow="1" w:lastRow="0" w:firstColumn="0" w:lastColumn="0" w:oddVBand="0" w:evenVBand="0" w:oddHBand="0" w:evenHBand="0" w:firstRowFirstColumn="0" w:firstRowLastColumn="0" w:lastRowFirstColumn="0" w:lastRowLastColumn="0"/>
              <w:rPr>
                <w:szCs w:val="22"/>
              </w:rPr>
            </w:pPr>
            <w:r w:rsidRPr="001F4C2C">
              <w:rPr>
                <w:szCs w:val="22"/>
              </w:rPr>
              <w:t>Mild</w:t>
            </w:r>
          </w:p>
        </w:tc>
        <w:tc>
          <w:tcPr>
            <w:tcW w:w="1417" w:type="dxa"/>
            <w:noWrap/>
          </w:tcPr>
          <w:p w14:paraId="13C280F9" w14:textId="77777777" w:rsidR="00C46F88" w:rsidRPr="001F4C2C" w:rsidRDefault="00C46F88" w:rsidP="00A5365D">
            <w:pPr>
              <w:jc w:val="right"/>
              <w:cnfStyle w:val="100000000000" w:firstRow="1" w:lastRow="0" w:firstColumn="0" w:lastColumn="0" w:oddVBand="0" w:evenVBand="0" w:oddHBand="0" w:evenHBand="0" w:firstRowFirstColumn="0" w:firstRowLastColumn="0" w:lastRowFirstColumn="0" w:lastRowLastColumn="0"/>
              <w:rPr>
                <w:szCs w:val="22"/>
              </w:rPr>
            </w:pPr>
            <w:r w:rsidRPr="001F4C2C">
              <w:rPr>
                <w:szCs w:val="22"/>
              </w:rPr>
              <w:t>Moderate</w:t>
            </w:r>
          </w:p>
        </w:tc>
        <w:tc>
          <w:tcPr>
            <w:tcW w:w="1418" w:type="dxa"/>
            <w:noWrap/>
          </w:tcPr>
          <w:p w14:paraId="27DA89C7" w14:textId="77777777" w:rsidR="00C46F88" w:rsidRPr="001F4C2C" w:rsidRDefault="00C46F88" w:rsidP="00A5365D">
            <w:pPr>
              <w:jc w:val="right"/>
              <w:cnfStyle w:val="100000000000" w:firstRow="1" w:lastRow="0" w:firstColumn="0" w:lastColumn="0" w:oddVBand="0" w:evenVBand="0" w:oddHBand="0" w:evenHBand="0" w:firstRowFirstColumn="0" w:firstRowLastColumn="0" w:lastRowFirstColumn="0" w:lastRowLastColumn="0"/>
              <w:rPr>
                <w:szCs w:val="22"/>
              </w:rPr>
            </w:pPr>
            <w:r w:rsidRPr="001F4C2C">
              <w:rPr>
                <w:szCs w:val="22"/>
              </w:rPr>
              <w:t>Severe</w:t>
            </w:r>
          </w:p>
        </w:tc>
        <w:tc>
          <w:tcPr>
            <w:tcW w:w="1417" w:type="dxa"/>
          </w:tcPr>
          <w:p w14:paraId="05E46F6A" w14:textId="77777777" w:rsidR="00C46F88" w:rsidRPr="001F4C2C" w:rsidRDefault="00C46F88" w:rsidP="00A5365D">
            <w:pPr>
              <w:jc w:val="right"/>
              <w:cnfStyle w:val="100000000000" w:firstRow="1" w:lastRow="0" w:firstColumn="0" w:lastColumn="0" w:oddVBand="0" w:evenVBand="0" w:oddHBand="0" w:evenHBand="0" w:firstRowFirstColumn="0" w:firstRowLastColumn="0" w:lastRowFirstColumn="0" w:lastRowLastColumn="0"/>
              <w:rPr>
                <w:szCs w:val="22"/>
              </w:rPr>
            </w:pPr>
            <w:r w:rsidRPr="001F4C2C">
              <w:rPr>
                <w:szCs w:val="22"/>
              </w:rPr>
              <w:t>Profound</w:t>
            </w:r>
          </w:p>
        </w:tc>
        <w:tc>
          <w:tcPr>
            <w:cnfStyle w:val="000100000000" w:firstRow="0" w:lastRow="0" w:firstColumn="0" w:lastColumn="1" w:oddVBand="0" w:evenVBand="0" w:oddHBand="0" w:evenHBand="0" w:firstRowFirstColumn="0" w:firstRowLastColumn="0" w:lastRowFirstColumn="0" w:lastRowLastColumn="0"/>
            <w:tcW w:w="1418" w:type="dxa"/>
          </w:tcPr>
          <w:p w14:paraId="2792DA00" w14:textId="77777777" w:rsidR="00C46F88" w:rsidRPr="001F4C2C" w:rsidRDefault="00C46F88" w:rsidP="00A5365D">
            <w:pPr>
              <w:jc w:val="right"/>
              <w:rPr>
                <w:szCs w:val="22"/>
              </w:rPr>
            </w:pPr>
            <w:r w:rsidRPr="001F4C2C">
              <w:rPr>
                <w:szCs w:val="22"/>
              </w:rPr>
              <w:t>Total</w:t>
            </w:r>
          </w:p>
        </w:tc>
      </w:tr>
      <w:tr w:rsidR="00C46F88" w:rsidRPr="001F4C2C" w14:paraId="410C6358" w14:textId="77777777" w:rsidTr="001F4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noWrap/>
          </w:tcPr>
          <w:p w14:paraId="7730CC99" w14:textId="77777777" w:rsidR="00C46F88" w:rsidRPr="001F4C2C" w:rsidRDefault="00C46F88" w:rsidP="00A5365D">
            <w:pPr>
              <w:rPr>
                <w:szCs w:val="22"/>
              </w:rPr>
            </w:pPr>
            <w:r w:rsidRPr="001F4C2C">
              <w:rPr>
                <w:szCs w:val="22"/>
              </w:rPr>
              <w:t>Consumers outside of the aged care system</w:t>
            </w:r>
          </w:p>
        </w:tc>
        <w:tc>
          <w:tcPr>
            <w:tcW w:w="1417" w:type="dxa"/>
          </w:tcPr>
          <w:p w14:paraId="2625FFF8" w14:textId="77777777" w:rsidR="00C46F88" w:rsidRPr="001F4C2C" w:rsidRDefault="00C46F88" w:rsidP="00A5365D">
            <w:pPr>
              <w:pStyle w:val="TableTextRight"/>
              <w:cnfStyle w:val="000000100000" w:firstRow="0" w:lastRow="0" w:firstColumn="0" w:lastColumn="0" w:oddVBand="0" w:evenVBand="0" w:oddHBand="1" w:evenHBand="0" w:firstRowFirstColumn="0" w:firstRowLastColumn="0" w:lastRowFirstColumn="0" w:lastRowLastColumn="0"/>
              <w:rPr>
                <w:szCs w:val="22"/>
              </w:rPr>
            </w:pPr>
            <w:r w:rsidRPr="001F4C2C">
              <w:rPr>
                <w:szCs w:val="22"/>
              </w:rPr>
              <w:t>506,616</w:t>
            </w:r>
          </w:p>
        </w:tc>
        <w:tc>
          <w:tcPr>
            <w:tcW w:w="1417" w:type="dxa"/>
            <w:noWrap/>
          </w:tcPr>
          <w:p w14:paraId="1AD9A6A3" w14:textId="77777777" w:rsidR="00C46F88" w:rsidRPr="001F4C2C" w:rsidRDefault="00C46F88" w:rsidP="00A5365D">
            <w:pPr>
              <w:pStyle w:val="TableTextRight"/>
              <w:cnfStyle w:val="000000100000" w:firstRow="0" w:lastRow="0" w:firstColumn="0" w:lastColumn="0" w:oddVBand="0" w:evenVBand="0" w:oddHBand="1" w:evenHBand="0" w:firstRowFirstColumn="0" w:firstRowLastColumn="0" w:lastRowFirstColumn="0" w:lastRowLastColumn="0"/>
              <w:rPr>
                <w:szCs w:val="22"/>
              </w:rPr>
            </w:pPr>
            <w:r w:rsidRPr="001F4C2C">
              <w:rPr>
                <w:szCs w:val="22"/>
              </w:rPr>
              <w:t>137,060</w:t>
            </w:r>
          </w:p>
        </w:tc>
        <w:tc>
          <w:tcPr>
            <w:tcW w:w="1418" w:type="dxa"/>
            <w:noWrap/>
          </w:tcPr>
          <w:p w14:paraId="2ADA7104" w14:textId="77777777" w:rsidR="00C46F88" w:rsidRPr="001F4C2C" w:rsidRDefault="00C46F88" w:rsidP="00A5365D">
            <w:pPr>
              <w:pStyle w:val="TableTextRight"/>
              <w:cnfStyle w:val="000000100000" w:firstRow="0" w:lastRow="0" w:firstColumn="0" w:lastColumn="0" w:oddVBand="0" w:evenVBand="0" w:oddHBand="1" w:evenHBand="0" w:firstRowFirstColumn="0" w:firstRowLastColumn="0" w:lastRowFirstColumn="0" w:lastRowLastColumn="0"/>
              <w:rPr>
                <w:szCs w:val="22"/>
              </w:rPr>
            </w:pPr>
            <w:r w:rsidRPr="001F4C2C">
              <w:rPr>
                <w:szCs w:val="22"/>
              </w:rPr>
              <w:t>41,355</w:t>
            </w:r>
          </w:p>
        </w:tc>
        <w:tc>
          <w:tcPr>
            <w:tcW w:w="1417" w:type="dxa"/>
          </w:tcPr>
          <w:p w14:paraId="192E69F7" w14:textId="77777777" w:rsidR="00C46F88" w:rsidRPr="001F4C2C" w:rsidRDefault="00C46F88" w:rsidP="00A5365D">
            <w:pPr>
              <w:pStyle w:val="TableTextRight"/>
              <w:cnfStyle w:val="000000100000" w:firstRow="0" w:lastRow="0" w:firstColumn="0" w:lastColumn="0" w:oddVBand="0" w:evenVBand="0" w:oddHBand="1" w:evenHBand="0" w:firstRowFirstColumn="0" w:firstRowLastColumn="0" w:lastRowFirstColumn="0" w:lastRowLastColumn="0"/>
              <w:rPr>
                <w:szCs w:val="22"/>
              </w:rPr>
            </w:pPr>
            <w:r w:rsidRPr="001F4C2C">
              <w:rPr>
                <w:szCs w:val="22"/>
              </w:rPr>
              <w:t>3,364</w:t>
            </w:r>
          </w:p>
        </w:tc>
        <w:tc>
          <w:tcPr>
            <w:cnfStyle w:val="000100000000" w:firstRow="0" w:lastRow="0" w:firstColumn="0" w:lastColumn="1" w:oddVBand="0" w:evenVBand="0" w:oddHBand="0" w:evenHBand="0" w:firstRowFirstColumn="0" w:firstRowLastColumn="0" w:lastRowFirstColumn="0" w:lastRowLastColumn="0"/>
            <w:tcW w:w="1418" w:type="dxa"/>
          </w:tcPr>
          <w:p w14:paraId="24A3F576" w14:textId="77777777" w:rsidR="00C46F88" w:rsidRPr="001F4C2C" w:rsidRDefault="00C46F88" w:rsidP="00A5365D">
            <w:pPr>
              <w:jc w:val="right"/>
              <w:rPr>
                <w:szCs w:val="22"/>
              </w:rPr>
            </w:pPr>
            <w:r w:rsidRPr="001F4C2C">
              <w:rPr>
                <w:szCs w:val="22"/>
              </w:rPr>
              <w:t>688,394</w:t>
            </w:r>
          </w:p>
        </w:tc>
      </w:tr>
      <w:tr w:rsidR="00C46F88" w:rsidRPr="001F4C2C" w14:paraId="469C7BA0" w14:textId="77777777" w:rsidTr="001F4C2C">
        <w:tc>
          <w:tcPr>
            <w:cnfStyle w:val="001000000000" w:firstRow="0" w:lastRow="0" w:firstColumn="1" w:lastColumn="0" w:oddVBand="0" w:evenVBand="0" w:oddHBand="0" w:evenHBand="0" w:firstRowFirstColumn="0" w:firstRowLastColumn="0" w:lastRowFirstColumn="0" w:lastRowLastColumn="0"/>
            <w:tcW w:w="2552" w:type="dxa"/>
            <w:noWrap/>
          </w:tcPr>
          <w:p w14:paraId="134BF8A5" w14:textId="77777777" w:rsidR="00C46F88" w:rsidRPr="001F4C2C" w:rsidRDefault="00C46F88" w:rsidP="00A5365D">
            <w:pPr>
              <w:rPr>
                <w:szCs w:val="22"/>
              </w:rPr>
            </w:pPr>
            <w:r w:rsidRPr="001F4C2C">
              <w:rPr>
                <w:szCs w:val="22"/>
              </w:rPr>
              <w:t>CHSP target cohort</w:t>
            </w:r>
          </w:p>
        </w:tc>
        <w:tc>
          <w:tcPr>
            <w:tcW w:w="1417" w:type="dxa"/>
          </w:tcPr>
          <w:p w14:paraId="648E84F7" w14:textId="77777777" w:rsidR="00C46F88" w:rsidRPr="001F4C2C" w:rsidRDefault="00C46F88" w:rsidP="00A5365D">
            <w:pPr>
              <w:pStyle w:val="TableTextRight"/>
              <w:cnfStyle w:val="000000000000" w:firstRow="0" w:lastRow="0" w:firstColumn="0" w:lastColumn="0" w:oddVBand="0" w:evenVBand="0" w:oddHBand="0" w:evenHBand="0" w:firstRowFirstColumn="0" w:firstRowLastColumn="0" w:lastRowFirstColumn="0" w:lastRowLastColumn="0"/>
              <w:rPr>
                <w:szCs w:val="22"/>
              </w:rPr>
            </w:pPr>
            <w:r w:rsidRPr="001F4C2C">
              <w:rPr>
                <w:szCs w:val="22"/>
              </w:rPr>
              <w:t>270,984</w:t>
            </w:r>
          </w:p>
        </w:tc>
        <w:tc>
          <w:tcPr>
            <w:tcW w:w="1417" w:type="dxa"/>
            <w:noWrap/>
          </w:tcPr>
          <w:p w14:paraId="4A8FEC52" w14:textId="77777777" w:rsidR="00C46F88" w:rsidRPr="001F4C2C" w:rsidRDefault="00C46F88" w:rsidP="00A5365D">
            <w:pPr>
              <w:pStyle w:val="TableTextRight"/>
              <w:cnfStyle w:val="000000000000" w:firstRow="0" w:lastRow="0" w:firstColumn="0" w:lastColumn="0" w:oddVBand="0" w:evenVBand="0" w:oddHBand="0" w:evenHBand="0" w:firstRowFirstColumn="0" w:firstRowLastColumn="0" w:lastRowFirstColumn="0" w:lastRowLastColumn="0"/>
              <w:rPr>
                <w:szCs w:val="22"/>
              </w:rPr>
            </w:pPr>
            <w:r w:rsidRPr="001F4C2C">
              <w:rPr>
                <w:szCs w:val="22"/>
              </w:rPr>
              <w:t>200,000</w:t>
            </w:r>
          </w:p>
        </w:tc>
        <w:tc>
          <w:tcPr>
            <w:tcW w:w="1418" w:type="dxa"/>
            <w:noWrap/>
          </w:tcPr>
          <w:p w14:paraId="0E69D18B" w14:textId="77777777" w:rsidR="00C46F88" w:rsidRPr="001F4C2C" w:rsidRDefault="00C46F88" w:rsidP="00A5365D">
            <w:pPr>
              <w:pStyle w:val="TableTextRight"/>
              <w:cnfStyle w:val="000000000000" w:firstRow="0" w:lastRow="0" w:firstColumn="0" w:lastColumn="0" w:oddVBand="0" w:evenVBand="0" w:oddHBand="0" w:evenHBand="0" w:firstRowFirstColumn="0" w:firstRowLastColumn="0" w:lastRowFirstColumn="0" w:lastRowLastColumn="0"/>
              <w:rPr>
                <w:szCs w:val="22"/>
              </w:rPr>
            </w:pPr>
            <w:r w:rsidRPr="001F4C2C">
              <w:rPr>
                <w:szCs w:val="22"/>
              </w:rPr>
              <w:t>90,444</w:t>
            </w:r>
          </w:p>
        </w:tc>
        <w:tc>
          <w:tcPr>
            <w:tcW w:w="1417" w:type="dxa"/>
          </w:tcPr>
          <w:p w14:paraId="0C988D7A" w14:textId="77777777" w:rsidR="00C46F88" w:rsidRPr="001F4C2C" w:rsidRDefault="00C46F88" w:rsidP="00A5365D">
            <w:pPr>
              <w:pStyle w:val="TableTextRight"/>
              <w:cnfStyle w:val="000000000000" w:firstRow="0" w:lastRow="0" w:firstColumn="0" w:lastColumn="0" w:oddVBand="0" w:evenVBand="0" w:oddHBand="0" w:evenHBand="0" w:firstRowFirstColumn="0" w:firstRowLastColumn="0" w:lastRowFirstColumn="0" w:lastRowLastColumn="0"/>
              <w:rPr>
                <w:szCs w:val="22"/>
              </w:rPr>
            </w:pPr>
            <w:r w:rsidRPr="001F4C2C">
              <w:rPr>
                <w:szCs w:val="22"/>
              </w:rPr>
              <w:t>250,000</w:t>
            </w:r>
          </w:p>
        </w:tc>
        <w:tc>
          <w:tcPr>
            <w:cnfStyle w:val="000100000000" w:firstRow="0" w:lastRow="0" w:firstColumn="0" w:lastColumn="1" w:oddVBand="0" w:evenVBand="0" w:oddHBand="0" w:evenHBand="0" w:firstRowFirstColumn="0" w:firstRowLastColumn="0" w:lastRowFirstColumn="0" w:lastRowLastColumn="0"/>
            <w:tcW w:w="1418" w:type="dxa"/>
          </w:tcPr>
          <w:p w14:paraId="53783BD7" w14:textId="77777777" w:rsidR="00C46F88" w:rsidRPr="001F4C2C" w:rsidRDefault="00C46F88" w:rsidP="00A5365D">
            <w:pPr>
              <w:jc w:val="right"/>
              <w:rPr>
                <w:szCs w:val="22"/>
              </w:rPr>
            </w:pPr>
            <w:r w:rsidRPr="001F4C2C">
              <w:rPr>
                <w:szCs w:val="22"/>
              </w:rPr>
              <w:t>811,428</w:t>
            </w:r>
          </w:p>
        </w:tc>
      </w:tr>
      <w:tr w:rsidR="00C46F88" w:rsidRPr="001F4C2C" w14:paraId="677A2874" w14:textId="77777777" w:rsidTr="001F4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noWrap/>
          </w:tcPr>
          <w:p w14:paraId="7C3F7EC4" w14:textId="77777777" w:rsidR="00C46F88" w:rsidRPr="001F4C2C" w:rsidRDefault="00C46F88" w:rsidP="00A5365D">
            <w:pPr>
              <w:rPr>
                <w:szCs w:val="22"/>
              </w:rPr>
            </w:pPr>
            <w:r w:rsidRPr="001F4C2C">
              <w:rPr>
                <w:szCs w:val="22"/>
              </w:rPr>
              <w:t>HCP 1 &amp; 2 target cohort</w:t>
            </w:r>
          </w:p>
        </w:tc>
        <w:tc>
          <w:tcPr>
            <w:tcW w:w="1417" w:type="dxa"/>
          </w:tcPr>
          <w:p w14:paraId="2AEF16A5" w14:textId="77777777" w:rsidR="00C46F88" w:rsidRPr="001F4C2C" w:rsidRDefault="00C46F88" w:rsidP="001F4C2C">
            <w:pPr>
              <w:pStyle w:val="Invisible"/>
              <w:cnfStyle w:val="000000100000" w:firstRow="0" w:lastRow="0" w:firstColumn="0" w:lastColumn="0" w:oddVBand="0" w:evenVBand="0" w:oddHBand="1" w:evenHBand="0" w:firstRowFirstColumn="0" w:firstRowLastColumn="0" w:lastRowFirstColumn="0" w:lastRowLastColumn="0"/>
            </w:pPr>
            <w:r w:rsidRPr="001F4C2C">
              <w:t>0</w:t>
            </w:r>
          </w:p>
        </w:tc>
        <w:tc>
          <w:tcPr>
            <w:tcW w:w="1417" w:type="dxa"/>
            <w:noWrap/>
          </w:tcPr>
          <w:p w14:paraId="31449215" w14:textId="77777777" w:rsidR="00C46F88" w:rsidRPr="001F4C2C" w:rsidRDefault="00C46F88" w:rsidP="00A5365D">
            <w:pPr>
              <w:pStyle w:val="TableTextRight"/>
              <w:cnfStyle w:val="000000100000" w:firstRow="0" w:lastRow="0" w:firstColumn="0" w:lastColumn="0" w:oddVBand="0" w:evenVBand="0" w:oddHBand="1" w:evenHBand="0" w:firstRowFirstColumn="0" w:firstRowLastColumn="0" w:lastRowFirstColumn="0" w:lastRowLastColumn="0"/>
              <w:rPr>
                <w:szCs w:val="22"/>
              </w:rPr>
            </w:pPr>
            <w:r w:rsidRPr="001F4C2C">
              <w:rPr>
                <w:szCs w:val="22"/>
              </w:rPr>
              <w:t>2,336</w:t>
            </w:r>
          </w:p>
        </w:tc>
        <w:tc>
          <w:tcPr>
            <w:tcW w:w="1418" w:type="dxa"/>
            <w:noWrap/>
          </w:tcPr>
          <w:p w14:paraId="2EA4F6D0" w14:textId="77777777" w:rsidR="00C46F88" w:rsidRPr="001F4C2C" w:rsidRDefault="00C46F88" w:rsidP="00A5365D">
            <w:pPr>
              <w:pStyle w:val="TableTextRight"/>
              <w:cnfStyle w:val="000000100000" w:firstRow="0" w:lastRow="0" w:firstColumn="0" w:lastColumn="0" w:oddVBand="0" w:evenVBand="0" w:oddHBand="1" w:evenHBand="0" w:firstRowFirstColumn="0" w:firstRowLastColumn="0" w:lastRowFirstColumn="0" w:lastRowLastColumn="0"/>
              <w:rPr>
                <w:szCs w:val="22"/>
              </w:rPr>
            </w:pPr>
            <w:r w:rsidRPr="001F4C2C">
              <w:rPr>
                <w:szCs w:val="22"/>
              </w:rPr>
              <w:t>52,003</w:t>
            </w:r>
          </w:p>
        </w:tc>
        <w:tc>
          <w:tcPr>
            <w:tcW w:w="1417" w:type="dxa"/>
          </w:tcPr>
          <w:p w14:paraId="099D5279" w14:textId="32AAFB15" w:rsidR="00C46F88" w:rsidRPr="001F4C2C" w:rsidRDefault="00E57F6B" w:rsidP="001F4C2C">
            <w:pPr>
              <w:pStyle w:val="Invisible"/>
              <w:cnfStyle w:val="000000100000" w:firstRow="0" w:lastRow="0" w:firstColumn="0" w:lastColumn="0" w:oddVBand="0" w:evenVBand="0" w:oddHBand="1" w:evenHBand="0" w:firstRowFirstColumn="0" w:firstRowLastColumn="0" w:lastRowFirstColumn="0" w:lastRowLastColumn="0"/>
            </w:pPr>
            <w:r w:rsidRPr="001F4C2C">
              <w:t>N/​A</w:t>
            </w:r>
          </w:p>
        </w:tc>
        <w:tc>
          <w:tcPr>
            <w:cnfStyle w:val="000100000000" w:firstRow="0" w:lastRow="0" w:firstColumn="0" w:lastColumn="1" w:oddVBand="0" w:evenVBand="0" w:oddHBand="0" w:evenHBand="0" w:firstRowFirstColumn="0" w:firstRowLastColumn="0" w:lastRowFirstColumn="0" w:lastRowLastColumn="0"/>
            <w:tcW w:w="1418" w:type="dxa"/>
          </w:tcPr>
          <w:p w14:paraId="73719551" w14:textId="77777777" w:rsidR="00C46F88" w:rsidRPr="001F4C2C" w:rsidRDefault="00C46F88" w:rsidP="00A5365D">
            <w:pPr>
              <w:jc w:val="right"/>
              <w:rPr>
                <w:szCs w:val="22"/>
              </w:rPr>
            </w:pPr>
            <w:r w:rsidRPr="001F4C2C">
              <w:rPr>
                <w:szCs w:val="22"/>
              </w:rPr>
              <w:t>54,339</w:t>
            </w:r>
          </w:p>
        </w:tc>
      </w:tr>
      <w:tr w:rsidR="00C46F88" w:rsidRPr="001F4C2C" w14:paraId="67B442AE" w14:textId="77777777" w:rsidTr="001F4C2C">
        <w:tc>
          <w:tcPr>
            <w:cnfStyle w:val="001000000000" w:firstRow="0" w:lastRow="0" w:firstColumn="1" w:lastColumn="0" w:oddVBand="0" w:evenVBand="0" w:oddHBand="0" w:evenHBand="0" w:firstRowFirstColumn="0" w:firstRowLastColumn="0" w:lastRowFirstColumn="0" w:lastRowLastColumn="0"/>
            <w:tcW w:w="2552" w:type="dxa"/>
            <w:noWrap/>
          </w:tcPr>
          <w:p w14:paraId="546ED6DC" w14:textId="77777777" w:rsidR="00C46F88" w:rsidRPr="001F4C2C" w:rsidRDefault="00C46F88" w:rsidP="00A5365D">
            <w:pPr>
              <w:rPr>
                <w:szCs w:val="22"/>
              </w:rPr>
            </w:pPr>
            <w:r w:rsidRPr="001F4C2C">
              <w:rPr>
                <w:szCs w:val="22"/>
              </w:rPr>
              <w:t>HCP 3 &amp; 4 target cohort</w:t>
            </w:r>
          </w:p>
        </w:tc>
        <w:tc>
          <w:tcPr>
            <w:tcW w:w="1417" w:type="dxa"/>
          </w:tcPr>
          <w:p w14:paraId="3B35A544" w14:textId="77777777" w:rsidR="00C46F88" w:rsidRPr="001F4C2C" w:rsidRDefault="00C46F88" w:rsidP="001F4C2C">
            <w:pPr>
              <w:pStyle w:val="Invisible"/>
              <w:cnfStyle w:val="000000000000" w:firstRow="0" w:lastRow="0" w:firstColumn="0" w:lastColumn="0" w:oddVBand="0" w:evenVBand="0" w:oddHBand="0" w:evenHBand="0" w:firstRowFirstColumn="0" w:firstRowLastColumn="0" w:lastRowFirstColumn="0" w:lastRowLastColumn="0"/>
            </w:pPr>
            <w:r w:rsidRPr="001F4C2C">
              <w:t>0</w:t>
            </w:r>
          </w:p>
        </w:tc>
        <w:tc>
          <w:tcPr>
            <w:tcW w:w="1417" w:type="dxa"/>
            <w:noWrap/>
          </w:tcPr>
          <w:p w14:paraId="1411F866" w14:textId="30B9418B" w:rsidR="00C46F88" w:rsidRPr="001F4C2C" w:rsidRDefault="00E57F6B" w:rsidP="001F4C2C">
            <w:pPr>
              <w:pStyle w:val="Invisible"/>
              <w:cnfStyle w:val="000000000000" w:firstRow="0" w:lastRow="0" w:firstColumn="0" w:lastColumn="0" w:oddVBand="0" w:evenVBand="0" w:oddHBand="0" w:evenHBand="0" w:firstRowFirstColumn="0" w:firstRowLastColumn="0" w:lastRowFirstColumn="0" w:lastRowLastColumn="0"/>
            </w:pPr>
            <w:r w:rsidRPr="001F4C2C">
              <w:t>N/​A</w:t>
            </w:r>
          </w:p>
        </w:tc>
        <w:tc>
          <w:tcPr>
            <w:tcW w:w="1418" w:type="dxa"/>
            <w:noWrap/>
          </w:tcPr>
          <w:p w14:paraId="10731A9A" w14:textId="77777777" w:rsidR="00C46F88" w:rsidRPr="001F4C2C" w:rsidRDefault="00C46F88" w:rsidP="00A5365D">
            <w:pPr>
              <w:pStyle w:val="TableTextRight"/>
              <w:cnfStyle w:val="000000000000" w:firstRow="0" w:lastRow="0" w:firstColumn="0" w:lastColumn="0" w:oddVBand="0" w:evenVBand="0" w:oddHBand="0" w:evenHBand="0" w:firstRowFirstColumn="0" w:firstRowLastColumn="0" w:lastRowFirstColumn="0" w:lastRowLastColumn="0"/>
              <w:rPr>
                <w:szCs w:val="22"/>
              </w:rPr>
            </w:pPr>
            <w:r w:rsidRPr="001F4C2C">
              <w:rPr>
                <w:szCs w:val="22"/>
              </w:rPr>
              <w:t>26,411</w:t>
            </w:r>
          </w:p>
        </w:tc>
        <w:tc>
          <w:tcPr>
            <w:tcW w:w="1417" w:type="dxa"/>
          </w:tcPr>
          <w:p w14:paraId="2AD04C9B" w14:textId="77777777" w:rsidR="00C46F88" w:rsidRPr="001F4C2C" w:rsidRDefault="00C46F88" w:rsidP="00A5365D">
            <w:pPr>
              <w:pStyle w:val="TableTextRight"/>
              <w:cnfStyle w:val="000000000000" w:firstRow="0" w:lastRow="0" w:firstColumn="0" w:lastColumn="0" w:oddVBand="0" w:evenVBand="0" w:oddHBand="0" w:evenHBand="0" w:firstRowFirstColumn="0" w:firstRowLastColumn="0" w:lastRowFirstColumn="0" w:lastRowLastColumn="0"/>
              <w:rPr>
                <w:szCs w:val="22"/>
              </w:rPr>
            </w:pPr>
            <w:r w:rsidRPr="001F4C2C">
              <w:rPr>
                <w:szCs w:val="22"/>
              </w:rPr>
              <w:t>52,689</w:t>
            </w:r>
          </w:p>
        </w:tc>
        <w:tc>
          <w:tcPr>
            <w:cnfStyle w:val="000100000000" w:firstRow="0" w:lastRow="0" w:firstColumn="0" w:lastColumn="1" w:oddVBand="0" w:evenVBand="0" w:oddHBand="0" w:evenHBand="0" w:firstRowFirstColumn="0" w:firstRowLastColumn="0" w:lastRowFirstColumn="0" w:lastRowLastColumn="0"/>
            <w:tcW w:w="1418" w:type="dxa"/>
          </w:tcPr>
          <w:p w14:paraId="141794CD" w14:textId="77777777" w:rsidR="00C46F88" w:rsidRPr="001F4C2C" w:rsidRDefault="00C46F88" w:rsidP="00A5365D">
            <w:pPr>
              <w:jc w:val="right"/>
              <w:rPr>
                <w:szCs w:val="22"/>
              </w:rPr>
            </w:pPr>
            <w:r w:rsidRPr="001F4C2C">
              <w:rPr>
                <w:szCs w:val="22"/>
              </w:rPr>
              <w:t>79100 </w:t>
            </w:r>
          </w:p>
        </w:tc>
      </w:tr>
      <w:tr w:rsidR="00C46F88" w:rsidRPr="001F4C2C" w14:paraId="2EEBAF86" w14:textId="77777777" w:rsidTr="001F4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noWrap/>
          </w:tcPr>
          <w:p w14:paraId="096EEE9F" w14:textId="77777777" w:rsidR="00C46F88" w:rsidRPr="001F4C2C" w:rsidRDefault="00C46F88" w:rsidP="00A5365D">
            <w:pPr>
              <w:rPr>
                <w:szCs w:val="22"/>
              </w:rPr>
            </w:pPr>
            <w:r w:rsidRPr="001F4C2C">
              <w:rPr>
                <w:szCs w:val="22"/>
              </w:rPr>
              <w:t>Transition Care Program and STRC</w:t>
            </w:r>
          </w:p>
        </w:tc>
        <w:tc>
          <w:tcPr>
            <w:tcW w:w="1417" w:type="dxa"/>
          </w:tcPr>
          <w:p w14:paraId="7FC50254" w14:textId="77777777" w:rsidR="00C46F88" w:rsidRPr="001F4C2C" w:rsidRDefault="00C46F88" w:rsidP="001F4C2C">
            <w:pPr>
              <w:pStyle w:val="Invisible"/>
              <w:cnfStyle w:val="000000100000" w:firstRow="0" w:lastRow="0" w:firstColumn="0" w:lastColumn="0" w:oddVBand="0" w:evenVBand="0" w:oddHBand="1" w:evenHBand="0" w:firstRowFirstColumn="0" w:firstRowLastColumn="0" w:lastRowFirstColumn="0" w:lastRowLastColumn="0"/>
            </w:pPr>
            <w:r w:rsidRPr="001F4C2C">
              <w:t>0</w:t>
            </w:r>
          </w:p>
        </w:tc>
        <w:tc>
          <w:tcPr>
            <w:tcW w:w="1417" w:type="dxa"/>
            <w:noWrap/>
          </w:tcPr>
          <w:p w14:paraId="43F7560A" w14:textId="0D997D0E" w:rsidR="00C46F88" w:rsidRPr="001F4C2C" w:rsidRDefault="00E57F6B" w:rsidP="001F4C2C">
            <w:pPr>
              <w:pStyle w:val="Invisible"/>
              <w:cnfStyle w:val="000000100000" w:firstRow="0" w:lastRow="0" w:firstColumn="0" w:lastColumn="0" w:oddVBand="0" w:evenVBand="0" w:oddHBand="1" w:evenHBand="0" w:firstRowFirstColumn="0" w:firstRowLastColumn="0" w:lastRowFirstColumn="0" w:lastRowLastColumn="0"/>
            </w:pPr>
            <w:r w:rsidRPr="001F4C2C">
              <w:t>N/​A</w:t>
            </w:r>
          </w:p>
        </w:tc>
        <w:tc>
          <w:tcPr>
            <w:tcW w:w="1418" w:type="dxa"/>
            <w:noWrap/>
          </w:tcPr>
          <w:p w14:paraId="02AC8B7D" w14:textId="77777777" w:rsidR="00C46F88" w:rsidRPr="001F4C2C" w:rsidRDefault="00C46F88" w:rsidP="00A5365D">
            <w:pPr>
              <w:pStyle w:val="TableTextRight"/>
              <w:cnfStyle w:val="000000100000" w:firstRow="0" w:lastRow="0" w:firstColumn="0" w:lastColumn="0" w:oddVBand="0" w:evenVBand="0" w:oddHBand="1" w:evenHBand="0" w:firstRowFirstColumn="0" w:firstRowLastColumn="0" w:lastRowFirstColumn="0" w:lastRowLastColumn="0"/>
              <w:rPr>
                <w:szCs w:val="22"/>
              </w:rPr>
            </w:pPr>
            <w:r w:rsidRPr="001F4C2C">
              <w:rPr>
                <w:szCs w:val="22"/>
              </w:rPr>
              <w:t>13,488</w:t>
            </w:r>
          </w:p>
        </w:tc>
        <w:tc>
          <w:tcPr>
            <w:tcW w:w="1417" w:type="dxa"/>
          </w:tcPr>
          <w:p w14:paraId="306FE353" w14:textId="77777777" w:rsidR="00C46F88" w:rsidRPr="001F4C2C" w:rsidRDefault="00C46F88" w:rsidP="00A5365D">
            <w:pPr>
              <w:pStyle w:val="TableTextRight"/>
              <w:cnfStyle w:val="000000100000" w:firstRow="0" w:lastRow="0" w:firstColumn="0" w:lastColumn="0" w:oddVBand="0" w:evenVBand="0" w:oddHBand="1" w:evenHBand="0" w:firstRowFirstColumn="0" w:firstRowLastColumn="0" w:lastRowFirstColumn="0" w:lastRowLastColumn="0"/>
              <w:rPr>
                <w:szCs w:val="22"/>
              </w:rPr>
            </w:pPr>
            <w:r w:rsidRPr="001F4C2C">
              <w:rPr>
                <w:szCs w:val="22"/>
              </w:rPr>
              <w:t>13,488</w:t>
            </w:r>
          </w:p>
        </w:tc>
        <w:tc>
          <w:tcPr>
            <w:cnfStyle w:val="000100000000" w:firstRow="0" w:lastRow="0" w:firstColumn="0" w:lastColumn="1" w:oddVBand="0" w:evenVBand="0" w:oddHBand="0" w:evenHBand="0" w:firstRowFirstColumn="0" w:firstRowLastColumn="0" w:lastRowFirstColumn="0" w:lastRowLastColumn="0"/>
            <w:tcW w:w="1418" w:type="dxa"/>
          </w:tcPr>
          <w:p w14:paraId="4F70A160" w14:textId="77777777" w:rsidR="00C46F88" w:rsidRPr="001F4C2C" w:rsidRDefault="00C46F88" w:rsidP="00A5365D">
            <w:pPr>
              <w:jc w:val="right"/>
              <w:rPr>
                <w:szCs w:val="22"/>
              </w:rPr>
            </w:pPr>
            <w:r w:rsidRPr="001F4C2C">
              <w:rPr>
                <w:szCs w:val="22"/>
              </w:rPr>
              <w:t>26,975</w:t>
            </w:r>
          </w:p>
        </w:tc>
      </w:tr>
      <w:tr w:rsidR="00C46F88" w:rsidRPr="001F4C2C" w14:paraId="3BC7C49E" w14:textId="77777777" w:rsidTr="001F4C2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noWrap/>
          </w:tcPr>
          <w:p w14:paraId="22B984BE" w14:textId="77777777" w:rsidR="00C46F88" w:rsidRPr="001F4C2C" w:rsidRDefault="00C46F88" w:rsidP="00A5365D">
            <w:pPr>
              <w:rPr>
                <w:szCs w:val="22"/>
              </w:rPr>
            </w:pPr>
            <w:r w:rsidRPr="001F4C2C">
              <w:rPr>
                <w:szCs w:val="22"/>
              </w:rPr>
              <w:t>Total</w:t>
            </w:r>
          </w:p>
        </w:tc>
        <w:tc>
          <w:tcPr>
            <w:tcW w:w="1417" w:type="dxa"/>
          </w:tcPr>
          <w:p w14:paraId="4226376D" w14:textId="77777777" w:rsidR="00C46F88" w:rsidRPr="001F4C2C" w:rsidRDefault="00C46F88" w:rsidP="00A5365D">
            <w:pPr>
              <w:jc w:val="right"/>
              <w:cnfStyle w:val="010000000000" w:firstRow="0" w:lastRow="1" w:firstColumn="0" w:lastColumn="0" w:oddVBand="0" w:evenVBand="0" w:oddHBand="0" w:evenHBand="0" w:firstRowFirstColumn="0" w:firstRowLastColumn="0" w:lastRowFirstColumn="0" w:lastRowLastColumn="0"/>
              <w:rPr>
                <w:szCs w:val="22"/>
              </w:rPr>
            </w:pPr>
            <w:r w:rsidRPr="001F4C2C">
              <w:rPr>
                <w:szCs w:val="22"/>
              </w:rPr>
              <w:t>777,600</w:t>
            </w:r>
          </w:p>
        </w:tc>
        <w:tc>
          <w:tcPr>
            <w:tcW w:w="1417" w:type="dxa"/>
            <w:noWrap/>
          </w:tcPr>
          <w:p w14:paraId="4F293899" w14:textId="77777777" w:rsidR="00C46F88" w:rsidRPr="001F4C2C" w:rsidRDefault="00C46F88" w:rsidP="00A5365D">
            <w:pPr>
              <w:jc w:val="right"/>
              <w:cnfStyle w:val="010000000000" w:firstRow="0" w:lastRow="1" w:firstColumn="0" w:lastColumn="0" w:oddVBand="0" w:evenVBand="0" w:oddHBand="0" w:evenHBand="0" w:firstRowFirstColumn="0" w:firstRowLastColumn="0" w:lastRowFirstColumn="0" w:lastRowLastColumn="0"/>
              <w:rPr>
                <w:szCs w:val="22"/>
              </w:rPr>
            </w:pPr>
            <w:r w:rsidRPr="001F4C2C">
              <w:rPr>
                <w:szCs w:val="22"/>
              </w:rPr>
              <w:t>339,396</w:t>
            </w:r>
          </w:p>
        </w:tc>
        <w:tc>
          <w:tcPr>
            <w:tcW w:w="1418" w:type="dxa"/>
            <w:noWrap/>
          </w:tcPr>
          <w:p w14:paraId="7B6D23EA" w14:textId="77777777" w:rsidR="00C46F88" w:rsidRPr="001F4C2C" w:rsidRDefault="00C46F88" w:rsidP="00A5365D">
            <w:pPr>
              <w:jc w:val="right"/>
              <w:cnfStyle w:val="010000000000" w:firstRow="0" w:lastRow="1" w:firstColumn="0" w:lastColumn="0" w:oddVBand="0" w:evenVBand="0" w:oddHBand="0" w:evenHBand="0" w:firstRowFirstColumn="0" w:firstRowLastColumn="0" w:lastRowFirstColumn="0" w:lastRowLastColumn="0"/>
              <w:rPr>
                <w:szCs w:val="22"/>
              </w:rPr>
            </w:pPr>
            <w:r w:rsidRPr="001F4C2C">
              <w:rPr>
                <w:szCs w:val="22"/>
              </w:rPr>
              <w:t>223,700</w:t>
            </w:r>
          </w:p>
        </w:tc>
        <w:tc>
          <w:tcPr>
            <w:tcW w:w="1417" w:type="dxa"/>
          </w:tcPr>
          <w:p w14:paraId="2507BC26" w14:textId="77777777" w:rsidR="00C46F88" w:rsidRPr="001F4C2C" w:rsidRDefault="00C46F88" w:rsidP="00A5365D">
            <w:pPr>
              <w:jc w:val="right"/>
              <w:cnfStyle w:val="010000000000" w:firstRow="0" w:lastRow="1" w:firstColumn="0" w:lastColumn="0" w:oddVBand="0" w:evenVBand="0" w:oddHBand="0" w:evenHBand="0" w:firstRowFirstColumn="0" w:firstRowLastColumn="0" w:lastRowFirstColumn="0" w:lastRowLastColumn="0"/>
              <w:rPr>
                <w:szCs w:val="22"/>
              </w:rPr>
            </w:pPr>
            <w:r w:rsidRPr="001F4C2C">
              <w:rPr>
                <w:szCs w:val="22"/>
              </w:rPr>
              <w:t>319,540</w:t>
            </w:r>
          </w:p>
        </w:tc>
        <w:tc>
          <w:tcPr>
            <w:cnfStyle w:val="000100000000" w:firstRow="0" w:lastRow="0" w:firstColumn="0" w:lastColumn="1" w:oddVBand="0" w:evenVBand="0" w:oddHBand="0" w:evenHBand="0" w:firstRowFirstColumn="0" w:firstRowLastColumn="0" w:lastRowFirstColumn="0" w:lastRowLastColumn="0"/>
            <w:tcW w:w="1418" w:type="dxa"/>
          </w:tcPr>
          <w:p w14:paraId="34C9C643" w14:textId="77777777" w:rsidR="00C46F88" w:rsidRPr="001F4C2C" w:rsidRDefault="00C46F88" w:rsidP="00A5365D">
            <w:pPr>
              <w:jc w:val="right"/>
              <w:rPr>
                <w:szCs w:val="22"/>
              </w:rPr>
            </w:pPr>
            <w:r w:rsidRPr="001F4C2C">
              <w:rPr>
                <w:szCs w:val="22"/>
              </w:rPr>
              <w:t>1,660,236</w:t>
            </w:r>
          </w:p>
        </w:tc>
      </w:tr>
    </w:tbl>
    <w:p w14:paraId="247C306E" w14:textId="14B5D914" w:rsidR="00422BB6" w:rsidRDefault="006728C7" w:rsidP="005D03BD">
      <w:pPr>
        <w:pStyle w:val="Heading3"/>
      </w:pPr>
      <w:r w:rsidRPr="00636B05">
        <w:t>Costing AT</w:t>
      </w:r>
      <w:r w:rsidR="003D1387">
        <w:t xml:space="preserve"> </w:t>
      </w:r>
      <w:r w:rsidR="00ED715C">
        <w:t xml:space="preserve">Products and </w:t>
      </w:r>
      <w:r w:rsidR="003D1387">
        <w:t>kits</w:t>
      </w:r>
    </w:p>
    <w:p w14:paraId="04EFD589" w14:textId="25DEC738" w:rsidR="00C37A62" w:rsidRDefault="003D1387" w:rsidP="00C37A62">
      <w:pPr>
        <w:pStyle w:val="ParaKeep"/>
      </w:pPr>
      <w:r>
        <w:t>E</w:t>
      </w:r>
      <w:r w:rsidRPr="00636B05">
        <w:t xml:space="preserve">vidence from the </w:t>
      </w:r>
      <w:r>
        <w:t>Rapid Evidence Review (</w:t>
      </w:r>
      <w:r w:rsidRPr="00636B05">
        <w:t>RER</w:t>
      </w:r>
      <w:r>
        <w:t xml:space="preserve">) </w:t>
      </w:r>
      <w:r w:rsidRPr="00636B05">
        <w:t xml:space="preserve">and from additional published literature, combined with expert opinion, was used to </w:t>
      </w:r>
      <w:r>
        <w:t xml:space="preserve">develop a </w:t>
      </w:r>
      <w:r w:rsidR="00C37A62">
        <w:t xml:space="preserve">list of </w:t>
      </w:r>
      <w:r w:rsidR="00C37A62" w:rsidRPr="00636B05">
        <w:t xml:space="preserve">AT Products to reflect </w:t>
      </w:r>
      <w:r w:rsidR="00C37A62">
        <w:t xml:space="preserve">the </w:t>
      </w:r>
      <w:r w:rsidR="00C37A62" w:rsidRPr="00636B05">
        <w:t xml:space="preserve">AT requirements for </w:t>
      </w:r>
      <w:r>
        <w:t xml:space="preserve">older </w:t>
      </w:r>
      <w:r w:rsidR="00C37A62" w:rsidRPr="00636B05">
        <w:t>Australian</w:t>
      </w:r>
      <w:r>
        <w:t>s</w:t>
      </w:r>
      <w:r w:rsidR="00C37A62" w:rsidRPr="00636B05">
        <w:t xml:space="preserve"> who are living at home with functional decline</w:t>
      </w:r>
      <w:r w:rsidR="00363CAE">
        <w:t>.</w:t>
      </w:r>
    </w:p>
    <w:p w14:paraId="452281CA" w14:textId="52FCD6C4" w:rsidR="006728C7" w:rsidRPr="00636B05" w:rsidRDefault="00200F69" w:rsidP="006728C7">
      <w:pPr>
        <w:pStyle w:val="Paragraph"/>
      </w:pPr>
      <w:r>
        <w:t xml:space="preserve">From </w:t>
      </w:r>
      <w:r w:rsidR="00E43CEF">
        <w:t>these products, s</w:t>
      </w:r>
      <w:r w:rsidR="004134BB">
        <w:t>eventeen</w:t>
      </w:r>
      <w:r w:rsidR="00C54308" w:rsidRPr="00636B05">
        <w:t xml:space="preserve"> </w:t>
      </w:r>
      <w:r w:rsidR="006728C7" w:rsidRPr="00636B05">
        <w:t xml:space="preserve">AT kits were developed </w:t>
      </w:r>
      <w:r w:rsidR="006728C7">
        <w:t>that group</w:t>
      </w:r>
      <w:r w:rsidR="006728C7" w:rsidRPr="00636B05">
        <w:t xml:space="preserve"> together AT Products</w:t>
      </w:r>
      <w:r w:rsidR="00963A76">
        <w:t xml:space="preserve"> </w:t>
      </w:r>
      <w:r w:rsidR="00802822">
        <w:t>that are recommended or prescribed together</w:t>
      </w:r>
      <w:r w:rsidR="00963A76">
        <w:t>.</w:t>
      </w:r>
      <w:r w:rsidR="006728C7" w:rsidRPr="00636B05">
        <w:t xml:space="preserve"> (</w:t>
      </w:r>
      <w:r w:rsidR="006728C7" w:rsidRPr="00636B05">
        <w:rPr>
          <w:i/>
          <w:iCs/>
        </w:rPr>
        <w:fldChar w:fldCharType="begin"/>
      </w:r>
      <w:r w:rsidR="006728C7" w:rsidRPr="00636B05">
        <w:rPr>
          <w:i/>
          <w:iCs/>
        </w:rPr>
        <w:instrText xml:space="preserve"> REF _Ref34748917 \h  \* MERGEFORMAT </w:instrText>
      </w:r>
      <w:r w:rsidR="006728C7" w:rsidRPr="00636B05">
        <w:rPr>
          <w:i/>
          <w:iCs/>
        </w:rPr>
      </w:r>
      <w:r w:rsidR="006728C7" w:rsidRPr="00636B05">
        <w:rPr>
          <w:i/>
          <w:iCs/>
        </w:rPr>
        <w:fldChar w:fldCharType="separate"/>
      </w:r>
      <w:r w:rsidR="00CC3F04" w:rsidRPr="00CC3F04">
        <w:rPr>
          <w:i/>
          <w:iCs/>
        </w:rPr>
        <w:t>Table 3</w:t>
      </w:r>
      <w:r w:rsidR="00CC3F04" w:rsidRPr="00CC3F04">
        <w:rPr>
          <w:i/>
          <w:iCs/>
        </w:rPr>
        <w:noBreakHyphen/>
        <w:t>2</w:t>
      </w:r>
      <w:r w:rsidR="006728C7" w:rsidRPr="00636B05">
        <w:rPr>
          <w:i/>
          <w:iCs/>
        </w:rPr>
        <w:fldChar w:fldCharType="end"/>
      </w:r>
      <w:r w:rsidR="006728C7" w:rsidRPr="00636B05">
        <w:t>). The kits were developed in consultation with four expert allied health professionals who prescribe AT in their day-to-day practice and were therefore able to advise on common items prescribed for older Australians</w:t>
      </w:r>
      <w:r w:rsidR="00F80723">
        <w:t xml:space="preserve">. </w:t>
      </w:r>
    </w:p>
    <w:p w14:paraId="5C5C9555" w14:textId="59F37D81" w:rsidR="007C5E4A" w:rsidRDefault="006728C7" w:rsidP="006728C7">
      <w:pPr>
        <w:pStyle w:val="Paragraph"/>
      </w:pPr>
      <w:r w:rsidRPr="00636B05">
        <w:t xml:space="preserve">These kits </w:t>
      </w:r>
      <w:r w:rsidR="00D51C32">
        <w:t>were</w:t>
      </w:r>
      <w:r w:rsidR="00D51C32" w:rsidRPr="00636B05">
        <w:t xml:space="preserve"> </w:t>
      </w:r>
      <w:r w:rsidRPr="00636B05">
        <w:t>used to estimate costs for common groups of items used to address an activity of daily living</w:t>
      </w:r>
      <w:r w:rsidR="00F80723">
        <w:t xml:space="preserve">. </w:t>
      </w:r>
      <w:r w:rsidRPr="00636B05">
        <w:t>Each kit was costed based on the sum of individual product costs.</w:t>
      </w:r>
      <w:r>
        <w:t xml:space="preserve"> Costing is based on product costs only; AT services are not included.</w:t>
      </w:r>
      <w:r w:rsidR="00C148B6">
        <w:t xml:space="preserve"> </w:t>
      </w:r>
      <w:r w:rsidR="008E0D65">
        <w:t>Items that are currently subsidised by other national programs</w:t>
      </w:r>
      <w:r w:rsidR="00BC7DC0">
        <w:t>,</w:t>
      </w:r>
      <w:r w:rsidR="008E0D65">
        <w:t xml:space="preserve"> such as continence products</w:t>
      </w:r>
      <w:r w:rsidR="00BC7DC0">
        <w:t>,</w:t>
      </w:r>
      <w:r w:rsidR="008E0D65">
        <w:t xml:space="preserve"> were not included in the kits.</w:t>
      </w:r>
    </w:p>
    <w:p w14:paraId="6D229753" w14:textId="77777777" w:rsidR="007C5E4A" w:rsidRDefault="007C5E4A">
      <w:pPr>
        <w:rPr>
          <w:color w:val="000000" w:themeColor="text1"/>
          <w:lang w:eastAsia="en-US"/>
        </w:rPr>
      </w:pPr>
      <w:r>
        <w:br w:type="page"/>
      </w:r>
    </w:p>
    <w:p w14:paraId="62405645" w14:textId="3EC46963" w:rsidR="006728C7" w:rsidRPr="00736110" w:rsidRDefault="006728C7" w:rsidP="00143C46">
      <w:bookmarkStart w:id="87" w:name="_Ref34748917"/>
      <w:bookmarkStart w:id="88" w:name="_Toc35011689"/>
      <w:bookmarkStart w:id="89" w:name="_Toc59402400"/>
      <w:r w:rsidRPr="00736110">
        <w:lastRenderedPageBreak/>
        <w:t>Table </w:t>
      </w:r>
      <w:r w:rsidR="006870B9">
        <w:fldChar w:fldCharType="begin"/>
      </w:r>
      <w:r w:rsidR="006870B9">
        <w:instrText xml:space="preserve"> STYLEREF 1 \s </w:instrText>
      </w:r>
      <w:r w:rsidR="006870B9">
        <w:fldChar w:fldCharType="separate"/>
      </w:r>
      <w:r w:rsidR="00CC3F04">
        <w:rPr>
          <w:noProof/>
        </w:rPr>
        <w:t>3</w:t>
      </w:r>
      <w:r w:rsidR="006870B9">
        <w:fldChar w:fldCharType="end"/>
      </w:r>
      <w:r w:rsidR="006870B9">
        <w:noBreakHyphen/>
      </w:r>
      <w:r w:rsidR="006870B9">
        <w:fldChar w:fldCharType="begin"/>
      </w:r>
      <w:r w:rsidR="006870B9">
        <w:instrText xml:space="preserve"> SEQ Table \* ARABIC \s 1 </w:instrText>
      </w:r>
      <w:r w:rsidR="006870B9">
        <w:fldChar w:fldCharType="separate"/>
      </w:r>
      <w:r w:rsidR="00CC3F04">
        <w:rPr>
          <w:noProof/>
        </w:rPr>
        <w:t>2</w:t>
      </w:r>
      <w:r w:rsidR="006870B9">
        <w:fldChar w:fldCharType="end"/>
      </w:r>
      <w:bookmarkEnd w:id="87"/>
      <w:r w:rsidRPr="00736110">
        <w:t>:</w:t>
      </w:r>
      <w:r w:rsidRPr="00736110">
        <w:tab/>
        <w:t>AT kits</w:t>
      </w:r>
      <w:bookmarkEnd w:id="88"/>
      <w:bookmarkEnd w:id="89"/>
    </w:p>
    <w:tbl>
      <w:tblPr>
        <w:tblStyle w:val="AHALight"/>
        <w:tblW w:w="5001" w:type="pct"/>
        <w:tblLook w:val="04A0" w:firstRow="1" w:lastRow="0" w:firstColumn="1" w:lastColumn="0" w:noHBand="0" w:noVBand="1"/>
        <w:tblCaption w:val="AT kits"/>
        <w:tblDescription w:val="List of AT kit types, their purpose, and the products included in each kit."/>
      </w:tblPr>
      <w:tblGrid>
        <w:gridCol w:w="1699"/>
        <w:gridCol w:w="2389"/>
        <w:gridCol w:w="5553"/>
      </w:tblGrid>
      <w:tr w:rsidR="001245C0" w:rsidRPr="00636B05" w14:paraId="470EE8AD" w14:textId="77777777" w:rsidTr="005D0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593A9352" w14:textId="77777777" w:rsidR="006728C7" w:rsidRPr="00636B05" w:rsidRDefault="006728C7" w:rsidP="00767E24">
            <w:pPr>
              <w:pStyle w:val="TableHeading1"/>
            </w:pPr>
            <w:r w:rsidRPr="00636B05">
              <w:t>AT kit</w:t>
            </w:r>
          </w:p>
        </w:tc>
        <w:tc>
          <w:tcPr>
            <w:tcW w:w="1239" w:type="pct"/>
          </w:tcPr>
          <w:p w14:paraId="37328D1A" w14:textId="77777777" w:rsidR="006728C7" w:rsidRPr="00636B05" w:rsidRDefault="006728C7" w:rsidP="00767E24">
            <w:pPr>
              <w:pStyle w:val="TableHeading1"/>
              <w:cnfStyle w:val="100000000000" w:firstRow="1" w:lastRow="0" w:firstColumn="0" w:lastColumn="0" w:oddVBand="0" w:evenVBand="0" w:oddHBand="0" w:evenHBand="0" w:firstRowFirstColumn="0" w:firstRowLastColumn="0" w:lastRowFirstColumn="0" w:lastRowLastColumn="0"/>
            </w:pPr>
            <w:r w:rsidRPr="00636B05">
              <w:t>Purpose</w:t>
            </w:r>
          </w:p>
        </w:tc>
        <w:tc>
          <w:tcPr>
            <w:tcW w:w="2879" w:type="pct"/>
          </w:tcPr>
          <w:p w14:paraId="295BEFE5" w14:textId="44CE5498" w:rsidR="006728C7" w:rsidRPr="00636B05" w:rsidRDefault="006728C7" w:rsidP="00767E24">
            <w:pPr>
              <w:pStyle w:val="TableHeading1"/>
              <w:cnfStyle w:val="100000000000" w:firstRow="1" w:lastRow="0" w:firstColumn="0" w:lastColumn="0" w:oddVBand="0" w:evenVBand="0" w:oddHBand="0" w:evenHBand="0" w:firstRowFirstColumn="0" w:firstRowLastColumn="0" w:lastRowFirstColumn="0" w:lastRowLastColumn="0"/>
            </w:pPr>
            <w:r w:rsidRPr="00636B05">
              <w:t xml:space="preserve">AT </w:t>
            </w:r>
            <w:r w:rsidR="00AE58A7">
              <w:t>Products</w:t>
            </w:r>
            <w:r w:rsidR="00246388">
              <w:t xml:space="preserve"> included in kit</w:t>
            </w:r>
          </w:p>
        </w:tc>
      </w:tr>
      <w:tr w:rsidR="0048025B" w:rsidRPr="00636B05" w14:paraId="1EBE6B02" w14:textId="77777777" w:rsidTr="005D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22010F70" w14:textId="77777777" w:rsidR="006728C7" w:rsidRPr="00636B05" w:rsidRDefault="006728C7" w:rsidP="001825F8">
            <w:pPr>
              <w:pStyle w:val="TableTextKeep"/>
            </w:pPr>
            <w:r w:rsidRPr="00636B05">
              <w:t>Bathing</w:t>
            </w:r>
          </w:p>
        </w:tc>
        <w:tc>
          <w:tcPr>
            <w:tcW w:w="1239" w:type="pct"/>
          </w:tcPr>
          <w:p w14:paraId="1DBA0652" w14:textId="77777777" w:rsidR="006728C7" w:rsidRPr="00636B05" w:rsidRDefault="006728C7" w:rsidP="00767E24">
            <w:pPr>
              <w:pStyle w:val="TableText"/>
              <w:cnfStyle w:val="000000100000" w:firstRow="0" w:lastRow="0" w:firstColumn="0" w:lastColumn="0" w:oddVBand="0" w:evenVBand="0" w:oddHBand="1" w:evenHBand="0" w:firstRowFirstColumn="0" w:firstRowLastColumn="0" w:lastRowFirstColumn="0" w:lastRowLastColumn="0"/>
            </w:pPr>
            <w:r w:rsidRPr="00636B05">
              <w:t>Bathing</w:t>
            </w:r>
          </w:p>
        </w:tc>
        <w:tc>
          <w:tcPr>
            <w:tcW w:w="2879" w:type="pct"/>
          </w:tcPr>
          <w:p w14:paraId="049127F9" w14:textId="1BC8C6CE"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 xml:space="preserve">Toe </w:t>
            </w:r>
            <w:r w:rsidR="00240718" w:rsidRPr="00636B05">
              <w:t>wash</w:t>
            </w:r>
            <w:r w:rsidR="00240718">
              <w:t>er</w:t>
            </w:r>
          </w:p>
          <w:p w14:paraId="4FB72711" w14:textId="3A33032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 xml:space="preserve">Toe </w:t>
            </w:r>
            <w:r w:rsidR="00240718" w:rsidRPr="00636B05">
              <w:t>dry</w:t>
            </w:r>
            <w:r w:rsidR="00240718">
              <w:t>er</w:t>
            </w:r>
          </w:p>
          <w:p w14:paraId="40628613"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Long-handled sponge</w:t>
            </w:r>
          </w:p>
        </w:tc>
      </w:tr>
      <w:tr w:rsidR="006728C7" w:rsidRPr="00636B05" w14:paraId="19CBBD97" w14:textId="77777777" w:rsidTr="005D03BD">
        <w:tc>
          <w:tcPr>
            <w:cnfStyle w:val="001000000000" w:firstRow="0" w:lastRow="0" w:firstColumn="1" w:lastColumn="0" w:oddVBand="0" w:evenVBand="0" w:oddHBand="0" w:evenHBand="0" w:firstRowFirstColumn="0" w:firstRowLastColumn="0" w:lastRowFirstColumn="0" w:lastRowLastColumn="0"/>
            <w:tcW w:w="881" w:type="pct"/>
          </w:tcPr>
          <w:p w14:paraId="0A1BF8FB" w14:textId="77777777" w:rsidR="006728C7" w:rsidRPr="00636B05" w:rsidRDefault="006728C7" w:rsidP="00767E24">
            <w:pPr>
              <w:pStyle w:val="TableText"/>
            </w:pPr>
            <w:r w:rsidRPr="00636B05">
              <w:t>Bathroom</w:t>
            </w:r>
          </w:p>
        </w:tc>
        <w:tc>
          <w:tcPr>
            <w:tcW w:w="1239" w:type="pct"/>
          </w:tcPr>
          <w:p w14:paraId="6E2B7312" w14:textId="77777777" w:rsidR="006728C7" w:rsidRPr="00636B05" w:rsidRDefault="006728C7" w:rsidP="00767E24">
            <w:pPr>
              <w:pStyle w:val="TableText"/>
              <w:cnfStyle w:val="000000000000" w:firstRow="0" w:lastRow="0" w:firstColumn="0" w:lastColumn="0" w:oddVBand="0" w:evenVBand="0" w:oddHBand="0" w:evenHBand="0" w:firstRowFirstColumn="0" w:firstRowLastColumn="0" w:lastRowFirstColumn="0" w:lastRowLastColumn="0"/>
            </w:pPr>
            <w:r w:rsidRPr="00636B05">
              <w:t>Access to bathing and showering</w:t>
            </w:r>
          </w:p>
        </w:tc>
        <w:tc>
          <w:tcPr>
            <w:tcW w:w="2879" w:type="pct"/>
          </w:tcPr>
          <w:p w14:paraId="13EA7B18"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Handheld shower hose</w:t>
            </w:r>
          </w:p>
          <w:p w14:paraId="2580FD72"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Switchcock or adjustable hand shower on rail</w:t>
            </w:r>
          </w:p>
          <w:p w14:paraId="6087BAF4"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Non-slip bathmat</w:t>
            </w:r>
          </w:p>
          <w:p w14:paraId="521C19DA"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Two handrails</w:t>
            </w:r>
          </w:p>
          <w:p w14:paraId="1B1899AA"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Thermostatic mixer or tempering valve</w:t>
            </w:r>
          </w:p>
        </w:tc>
      </w:tr>
      <w:tr w:rsidR="0048025B" w:rsidRPr="00636B05" w14:paraId="19A6A25B" w14:textId="77777777" w:rsidTr="005D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3835117D" w14:textId="77777777" w:rsidR="006728C7" w:rsidRPr="00636B05" w:rsidRDefault="006728C7" w:rsidP="00767E24">
            <w:pPr>
              <w:pStyle w:val="TableText"/>
            </w:pPr>
            <w:r w:rsidRPr="00636B05">
              <w:t>Bed</w:t>
            </w:r>
          </w:p>
        </w:tc>
        <w:tc>
          <w:tcPr>
            <w:tcW w:w="1239" w:type="pct"/>
          </w:tcPr>
          <w:p w14:paraId="66ECB4C3" w14:textId="77777777" w:rsidR="006728C7" w:rsidRPr="00636B05" w:rsidRDefault="006728C7" w:rsidP="00767E24">
            <w:pPr>
              <w:pStyle w:val="TableText"/>
              <w:cnfStyle w:val="000000100000" w:firstRow="0" w:lastRow="0" w:firstColumn="0" w:lastColumn="0" w:oddVBand="0" w:evenVBand="0" w:oddHBand="1" w:evenHBand="0" w:firstRowFirstColumn="0" w:firstRowLastColumn="0" w:lastRowFirstColumn="0" w:lastRowLastColumn="0"/>
            </w:pPr>
            <w:r w:rsidRPr="00636B05">
              <w:t>Getting in and out of bed</w:t>
            </w:r>
          </w:p>
        </w:tc>
        <w:tc>
          <w:tcPr>
            <w:tcW w:w="2879" w:type="pct"/>
          </w:tcPr>
          <w:p w14:paraId="21DF7A34"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Bed ladder</w:t>
            </w:r>
          </w:p>
          <w:p w14:paraId="155FDCCF"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Bed support</w:t>
            </w:r>
          </w:p>
        </w:tc>
      </w:tr>
      <w:tr w:rsidR="00706140" w:rsidRPr="00636B05" w14:paraId="13C55B11" w14:textId="77777777" w:rsidTr="005D03BD">
        <w:trPr>
          <w:trHeight w:val="356"/>
        </w:trPr>
        <w:tc>
          <w:tcPr>
            <w:cnfStyle w:val="001000000000" w:firstRow="0" w:lastRow="0" w:firstColumn="1" w:lastColumn="0" w:oddVBand="0" w:evenVBand="0" w:oddHBand="0" w:evenHBand="0" w:firstRowFirstColumn="0" w:firstRowLastColumn="0" w:lastRowFirstColumn="0" w:lastRowLastColumn="0"/>
            <w:tcW w:w="881" w:type="pct"/>
          </w:tcPr>
          <w:p w14:paraId="28AF3688" w14:textId="77777777" w:rsidR="006728C7" w:rsidRPr="00636B05" w:rsidRDefault="006728C7" w:rsidP="00767E24">
            <w:pPr>
              <w:pStyle w:val="TableText"/>
            </w:pPr>
            <w:r w:rsidRPr="00636B05">
              <w:t>Car driving</w:t>
            </w:r>
          </w:p>
        </w:tc>
        <w:tc>
          <w:tcPr>
            <w:tcW w:w="1239" w:type="pct"/>
          </w:tcPr>
          <w:p w14:paraId="64CBBF18" w14:textId="77777777" w:rsidR="006728C7" w:rsidRPr="00636B05" w:rsidRDefault="006728C7" w:rsidP="00767E24">
            <w:pPr>
              <w:pStyle w:val="TableText"/>
              <w:cnfStyle w:val="000000000000" w:firstRow="0" w:lastRow="0" w:firstColumn="0" w:lastColumn="0" w:oddVBand="0" w:evenVBand="0" w:oddHBand="0" w:evenHBand="0" w:firstRowFirstColumn="0" w:firstRowLastColumn="0" w:lastRowFirstColumn="0" w:lastRowLastColumn="0"/>
            </w:pPr>
            <w:r w:rsidRPr="00636B05">
              <w:t>Driving a car</w:t>
            </w:r>
          </w:p>
        </w:tc>
        <w:tc>
          <w:tcPr>
            <w:tcW w:w="2879" w:type="pct"/>
          </w:tcPr>
          <w:p w14:paraId="776EE4B1"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Hand controls</w:t>
            </w:r>
          </w:p>
          <w:p w14:paraId="7448467F"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Wheelchair trailer</w:t>
            </w:r>
          </w:p>
        </w:tc>
      </w:tr>
      <w:tr w:rsidR="0048025B" w:rsidRPr="00636B05" w14:paraId="205A5181" w14:textId="77777777" w:rsidTr="005D03BD">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81" w:type="pct"/>
          </w:tcPr>
          <w:p w14:paraId="1543686E" w14:textId="77777777" w:rsidR="006728C7" w:rsidRPr="00636B05" w:rsidRDefault="006728C7" w:rsidP="00767E24">
            <w:pPr>
              <w:pStyle w:val="TableText"/>
            </w:pPr>
            <w:r w:rsidRPr="00636B05">
              <w:t>Car transfer</w:t>
            </w:r>
          </w:p>
        </w:tc>
        <w:tc>
          <w:tcPr>
            <w:tcW w:w="1239" w:type="pct"/>
          </w:tcPr>
          <w:p w14:paraId="560A01DA" w14:textId="77777777" w:rsidR="006728C7" w:rsidRPr="00636B05" w:rsidRDefault="006728C7" w:rsidP="00767E24">
            <w:pPr>
              <w:pStyle w:val="TableText"/>
              <w:cnfStyle w:val="000000100000" w:firstRow="0" w:lastRow="0" w:firstColumn="0" w:lastColumn="0" w:oddVBand="0" w:evenVBand="0" w:oddHBand="1" w:evenHBand="0" w:firstRowFirstColumn="0" w:firstRowLastColumn="0" w:lastRowFirstColumn="0" w:lastRowLastColumn="0"/>
            </w:pPr>
            <w:r w:rsidRPr="00636B05">
              <w:t>Getting into and out of a car</w:t>
            </w:r>
          </w:p>
        </w:tc>
        <w:tc>
          <w:tcPr>
            <w:tcW w:w="2879" w:type="pct"/>
          </w:tcPr>
          <w:p w14:paraId="58F5E362"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Swivel mat</w:t>
            </w:r>
          </w:p>
          <w:p w14:paraId="6C21029C"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Transfer handle</w:t>
            </w:r>
          </w:p>
          <w:p w14:paraId="496E1CF9"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Boot winch for manual wheelchair storage</w:t>
            </w:r>
          </w:p>
        </w:tc>
      </w:tr>
      <w:tr w:rsidR="006728C7" w:rsidRPr="00636B05" w14:paraId="700F7A90" w14:textId="77777777" w:rsidTr="005D03BD">
        <w:tc>
          <w:tcPr>
            <w:cnfStyle w:val="001000000000" w:firstRow="0" w:lastRow="0" w:firstColumn="1" w:lastColumn="0" w:oddVBand="0" w:evenVBand="0" w:oddHBand="0" w:evenHBand="0" w:firstRowFirstColumn="0" w:firstRowLastColumn="0" w:lastRowFirstColumn="0" w:lastRowLastColumn="0"/>
            <w:tcW w:w="881" w:type="pct"/>
          </w:tcPr>
          <w:p w14:paraId="43F57B8F" w14:textId="77777777" w:rsidR="006728C7" w:rsidRPr="00636B05" w:rsidRDefault="006728C7" w:rsidP="00767E24">
            <w:pPr>
              <w:pStyle w:val="TableText"/>
            </w:pPr>
            <w:r w:rsidRPr="00636B05">
              <w:t>Cleaning</w:t>
            </w:r>
          </w:p>
        </w:tc>
        <w:tc>
          <w:tcPr>
            <w:tcW w:w="1239" w:type="pct"/>
          </w:tcPr>
          <w:p w14:paraId="3B91F18B" w14:textId="77777777" w:rsidR="006728C7" w:rsidRPr="00636B05" w:rsidRDefault="006728C7" w:rsidP="00767E24">
            <w:pPr>
              <w:pStyle w:val="TableText"/>
              <w:cnfStyle w:val="000000000000" w:firstRow="0" w:lastRow="0" w:firstColumn="0" w:lastColumn="0" w:oddVBand="0" w:evenVBand="0" w:oddHBand="0" w:evenHBand="0" w:firstRowFirstColumn="0" w:firstRowLastColumn="0" w:lastRowFirstColumn="0" w:lastRowLastColumn="0"/>
            </w:pPr>
            <w:r w:rsidRPr="00636B05">
              <w:t>Cleaning the house</w:t>
            </w:r>
          </w:p>
        </w:tc>
        <w:tc>
          <w:tcPr>
            <w:tcW w:w="2879" w:type="pct"/>
          </w:tcPr>
          <w:p w14:paraId="68EC3E1B"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Long-handled dustpan</w:t>
            </w:r>
          </w:p>
          <w:p w14:paraId="4A177F21"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Long-handled duster</w:t>
            </w:r>
          </w:p>
          <w:p w14:paraId="0274EF5B"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Lightweight power sweeper</w:t>
            </w:r>
          </w:p>
          <w:p w14:paraId="5B0F2BC8"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Ergonomic mop</w:t>
            </w:r>
          </w:p>
        </w:tc>
      </w:tr>
      <w:tr w:rsidR="0048025B" w:rsidRPr="00636B05" w14:paraId="613A0B5A" w14:textId="77777777" w:rsidTr="005D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1CDDCE2A" w14:textId="77777777" w:rsidR="006728C7" w:rsidRPr="00636B05" w:rsidRDefault="006728C7" w:rsidP="00767E24">
            <w:pPr>
              <w:pStyle w:val="TableText"/>
            </w:pPr>
            <w:r w:rsidRPr="00636B05">
              <w:t>Communication and information</w:t>
            </w:r>
          </w:p>
        </w:tc>
        <w:tc>
          <w:tcPr>
            <w:tcW w:w="1239" w:type="pct"/>
          </w:tcPr>
          <w:p w14:paraId="043AF1CF" w14:textId="77777777" w:rsidR="006728C7" w:rsidRPr="00636B05" w:rsidRDefault="006728C7" w:rsidP="00767E24">
            <w:pPr>
              <w:pStyle w:val="TableText"/>
              <w:cnfStyle w:val="000000100000" w:firstRow="0" w:lastRow="0" w:firstColumn="0" w:lastColumn="0" w:oddVBand="0" w:evenVBand="0" w:oddHBand="1" w:evenHBand="0" w:firstRowFirstColumn="0" w:firstRowLastColumn="0" w:lastRowFirstColumn="0" w:lastRowLastColumn="0"/>
            </w:pPr>
            <w:r w:rsidRPr="00636B05">
              <w:t>Communicating; accessing information</w:t>
            </w:r>
          </w:p>
        </w:tc>
        <w:tc>
          <w:tcPr>
            <w:tcW w:w="2879" w:type="pct"/>
          </w:tcPr>
          <w:p w14:paraId="645B4FCA"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Large-button and GPS-enabled mobile phone (monitoring and safety)</w:t>
            </w:r>
          </w:p>
          <w:p w14:paraId="1E10DE10"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Magnification for newsprint</w:t>
            </w:r>
          </w:p>
          <w:p w14:paraId="0823D1F3"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Smart AT from mainstream stores (e.g. Google Play)</w:t>
            </w:r>
          </w:p>
        </w:tc>
      </w:tr>
      <w:tr w:rsidR="0048025B" w:rsidRPr="00636B05" w14:paraId="014A6B28" w14:textId="77777777" w:rsidTr="005D03BD">
        <w:tc>
          <w:tcPr>
            <w:cnfStyle w:val="001000000000" w:firstRow="0" w:lastRow="0" w:firstColumn="1" w:lastColumn="0" w:oddVBand="0" w:evenVBand="0" w:oddHBand="0" w:evenHBand="0" w:firstRowFirstColumn="0" w:firstRowLastColumn="0" w:lastRowFirstColumn="0" w:lastRowLastColumn="0"/>
            <w:tcW w:w="881" w:type="pct"/>
          </w:tcPr>
          <w:p w14:paraId="5F02059F" w14:textId="77777777" w:rsidR="006728C7" w:rsidRPr="00636B05" w:rsidRDefault="006728C7" w:rsidP="00767E24">
            <w:pPr>
              <w:pStyle w:val="TableText"/>
            </w:pPr>
            <w:r w:rsidRPr="00636B05">
              <w:t>Dressing</w:t>
            </w:r>
          </w:p>
        </w:tc>
        <w:tc>
          <w:tcPr>
            <w:tcW w:w="1239" w:type="pct"/>
          </w:tcPr>
          <w:p w14:paraId="6B9E8E2F" w14:textId="77777777" w:rsidR="006728C7" w:rsidRPr="00636B05" w:rsidRDefault="006728C7" w:rsidP="00767E24">
            <w:pPr>
              <w:pStyle w:val="TableText"/>
              <w:cnfStyle w:val="000000000000" w:firstRow="0" w:lastRow="0" w:firstColumn="0" w:lastColumn="0" w:oddVBand="0" w:evenVBand="0" w:oddHBand="0" w:evenHBand="0" w:firstRowFirstColumn="0" w:firstRowLastColumn="0" w:lastRowFirstColumn="0" w:lastRowLastColumn="0"/>
            </w:pPr>
            <w:r w:rsidRPr="00636B05">
              <w:t>Dressing and undressing</w:t>
            </w:r>
          </w:p>
        </w:tc>
        <w:tc>
          <w:tcPr>
            <w:tcW w:w="2879" w:type="pct"/>
          </w:tcPr>
          <w:p w14:paraId="3CC190B8"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Sock donner</w:t>
            </w:r>
          </w:p>
          <w:p w14:paraId="68D9AF32"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Button hook</w:t>
            </w:r>
          </w:p>
          <w:p w14:paraId="0222EE87"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Dressing stick</w:t>
            </w:r>
          </w:p>
          <w:p w14:paraId="112570F6"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Long-handled shoehorn</w:t>
            </w:r>
          </w:p>
          <w:p w14:paraId="646B3E85"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Long-handled reacher</w:t>
            </w:r>
          </w:p>
        </w:tc>
      </w:tr>
      <w:tr w:rsidR="006728C7" w:rsidRPr="00636B05" w14:paraId="798B5E8B" w14:textId="77777777" w:rsidTr="005D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1EFD9428" w14:textId="77777777" w:rsidR="006728C7" w:rsidRPr="00636B05" w:rsidRDefault="006728C7" w:rsidP="00767E24">
            <w:pPr>
              <w:pStyle w:val="TableText"/>
            </w:pPr>
            <w:r w:rsidRPr="00636B05">
              <w:t>Eating and drinking</w:t>
            </w:r>
          </w:p>
        </w:tc>
        <w:tc>
          <w:tcPr>
            <w:tcW w:w="1239" w:type="pct"/>
          </w:tcPr>
          <w:p w14:paraId="012985F9" w14:textId="77777777" w:rsidR="006728C7" w:rsidRPr="00636B05" w:rsidRDefault="006728C7" w:rsidP="00767E24">
            <w:pPr>
              <w:pStyle w:val="TableText"/>
              <w:cnfStyle w:val="000000100000" w:firstRow="0" w:lastRow="0" w:firstColumn="0" w:lastColumn="0" w:oddVBand="0" w:evenVBand="0" w:oddHBand="1" w:evenHBand="0" w:firstRowFirstColumn="0" w:firstRowLastColumn="0" w:lastRowFirstColumn="0" w:lastRowLastColumn="0"/>
            </w:pPr>
            <w:r w:rsidRPr="00636B05">
              <w:t>Eating and drinking</w:t>
            </w:r>
          </w:p>
        </w:tc>
        <w:tc>
          <w:tcPr>
            <w:tcW w:w="2879" w:type="pct"/>
          </w:tcPr>
          <w:p w14:paraId="31054C5B"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Two-handled and/or insulated shatterproof cups</w:t>
            </w:r>
          </w:p>
          <w:p w14:paraId="334F054E"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Built-up handle cutlery</w:t>
            </w:r>
          </w:p>
        </w:tc>
      </w:tr>
      <w:tr w:rsidR="0048025B" w:rsidRPr="00636B05" w14:paraId="56FDA25A" w14:textId="77777777" w:rsidTr="005D03BD">
        <w:tc>
          <w:tcPr>
            <w:cnfStyle w:val="001000000000" w:firstRow="0" w:lastRow="0" w:firstColumn="1" w:lastColumn="0" w:oddVBand="0" w:evenVBand="0" w:oddHBand="0" w:evenHBand="0" w:firstRowFirstColumn="0" w:firstRowLastColumn="0" w:lastRowFirstColumn="0" w:lastRowLastColumn="0"/>
            <w:tcW w:w="881" w:type="pct"/>
          </w:tcPr>
          <w:p w14:paraId="72B6F932" w14:textId="77777777" w:rsidR="006728C7" w:rsidRPr="00636B05" w:rsidRDefault="006728C7" w:rsidP="00767E24">
            <w:pPr>
              <w:pStyle w:val="TableText"/>
            </w:pPr>
            <w:r w:rsidRPr="00636B05">
              <w:t>Home access</w:t>
            </w:r>
          </w:p>
        </w:tc>
        <w:tc>
          <w:tcPr>
            <w:tcW w:w="1239" w:type="pct"/>
          </w:tcPr>
          <w:p w14:paraId="7082F95C" w14:textId="77777777" w:rsidR="006728C7" w:rsidRPr="00636B05" w:rsidRDefault="006728C7" w:rsidP="00767E24">
            <w:pPr>
              <w:pStyle w:val="TableText"/>
              <w:cnfStyle w:val="000000000000" w:firstRow="0" w:lastRow="0" w:firstColumn="0" w:lastColumn="0" w:oddVBand="0" w:evenVBand="0" w:oddHBand="0" w:evenHBand="0" w:firstRowFirstColumn="0" w:firstRowLastColumn="0" w:lastRowFirstColumn="0" w:lastRowLastColumn="0"/>
            </w:pPr>
            <w:r w:rsidRPr="00636B05">
              <w:t>Entering and exiting the home; access throughout the home</w:t>
            </w:r>
          </w:p>
        </w:tc>
        <w:tc>
          <w:tcPr>
            <w:tcW w:w="2879" w:type="pct"/>
          </w:tcPr>
          <w:p w14:paraId="6BA5248C"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Handrails at entrances/​exits</w:t>
            </w:r>
          </w:p>
          <w:p w14:paraId="3977FEE1"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Partial room adaptations</w:t>
            </w:r>
          </w:p>
          <w:p w14:paraId="4B79C67E"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Doorway adjustment</w:t>
            </w:r>
          </w:p>
          <w:p w14:paraId="19C0B7ED"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Ramp</w:t>
            </w:r>
          </w:p>
          <w:p w14:paraId="115CC502"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Accessible doorbell</w:t>
            </w:r>
          </w:p>
          <w:p w14:paraId="2EFEA343"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Adapted key</w:t>
            </w:r>
          </w:p>
          <w:p w14:paraId="79CA0A64"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Step platform</w:t>
            </w:r>
          </w:p>
        </w:tc>
      </w:tr>
      <w:tr w:rsidR="00240718" w:rsidRPr="00636B05" w14:paraId="37D6BCE2" w14:textId="77777777" w:rsidTr="005D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5B4A32A2" w14:textId="77777777" w:rsidR="006728C7" w:rsidRPr="00636B05" w:rsidRDefault="006728C7" w:rsidP="00767E24">
            <w:pPr>
              <w:pStyle w:val="TableText"/>
            </w:pPr>
            <w:r w:rsidRPr="00636B05">
              <w:lastRenderedPageBreak/>
              <w:t>Home safety</w:t>
            </w:r>
          </w:p>
        </w:tc>
        <w:tc>
          <w:tcPr>
            <w:tcW w:w="1239" w:type="pct"/>
          </w:tcPr>
          <w:p w14:paraId="488545D2" w14:textId="77777777" w:rsidR="006728C7" w:rsidRPr="00636B05" w:rsidRDefault="006728C7" w:rsidP="00767E24">
            <w:pPr>
              <w:pStyle w:val="TableText"/>
              <w:cnfStyle w:val="000000100000" w:firstRow="0" w:lastRow="0" w:firstColumn="0" w:lastColumn="0" w:oddVBand="0" w:evenVBand="0" w:oddHBand="1" w:evenHBand="0" w:firstRowFirstColumn="0" w:firstRowLastColumn="0" w:lastRowFirstColumn="0" w:lastRowLastColumn="0"/>
            </w:pPr>
            <w:r w:rsidRPr="00636B05">
              <w:t>Maintaining a home free from risk and harm</w:t>
            </w:r>
          </w:p>
        </w:tc>
        <w:tc>
          <w:tcPr>
            <w:tcW w:w="2879" w:type="pct"/>
          </w:tcPr>
          <w:p w14:paraId="3BD46261"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Audible smoke alarms</w:t>
            </w:r>
          </w:p>
          <w:p w14:paraId="5DCEFBF4"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Rug fasteners</w:t>
            </w:r>
          </w:p>
          <w:p w14:paraId="68A49BE0"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Lighting</w:t>
            </w:r>
          </w:p>
          <w:p w14:paraId="0DFCD138"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Wall bumpers</w:t>
            </w:r>
          </w:p>
          <w:p w14:paraId="36F319F3"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Doorway lip ramps</w:t>
            </w:r>
          </w:p>
          <w:p w14:paraId="2737597E" w14:textId="376D4756"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Mix of other falls prevention measures (e.g. </w:t>
            </w:r>
            <w:r w:rsidR="00377F61">
              <w:t>s</w:t>
            </w:r>
            <w:r w:rsidRPr="00636B05">
              <w:t>afety treads, colour contrast strips)</w:t>
            </w:r>
          </w:p>
          <w:p w14:paraId="117104ED"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Double-hinged toilet door</w:t>
            </w:r>
          </w:p>
        </w:tc>
      </w:tr>
      <w:tr w:rsidR="0048025B" w:rsidRPr="00636B05" w14:paraId="738EA9C4" w14:textId="77777777" w:rsidTr="005D03BD">
        <w:tc>
          <w:tcPr>
            <w:cnfStyle w:val="001000000000" w:firstRow="0" w:lastRow="0" w:firstColumn="1" w:lastColumn="0" w:oddVBand="0" w:evenVBand="0" w:oddHBand="0" w:evenHBand="0" w:firstRowFirstColumn="0" w:firstRowLastColumn="0" w:lastRowFirstColumn="0" w:lastRowLastColumn="0"/>
            <w:tcW w:w="881" w:type="pct"/>
          </w:tcPr>
          <w:p w14:paraId="4418FA33" w14:textId="77777777" w:rsidR="006728C7" w:rsidRPr="00636B05" w:rsidRDefault="006728C7" w:rsidP="00767E24">
            <w:pPr>
              <w:pStyle w:val="TableText"/>
            </w:pPr>
            <w:r w:rsidRPr="00636B05">
              <w:t>Food preparation</w:t>
            </w:r>
          </w:p>
        </w:tc>
        <w:tc>
          <w:tcPr>
            <w:tcW w:w="1239" w:type="pct"/>
          </w:tcPr>
          <w:p w14:paraId="0D43570A" w14:textId="77777777" w:rsidR="006728C7" w:rsidRPr="00636B05" w:rsidRDefault="006728C7" w:rsidP="00767E24">
            <w:pPr>
              <w:pStyle w:val="TableText"/>
              <w:cnfStyle w:val="000000000000" w:firstRow="0" w:lastRow="0" w:firstColumn="0" w:lastColumn="0" w:oddVBand="0" w:evenVBand="0" w:oddHBand="0" w:evenHBand="0" w:firstRowFirstColumn="0" w:firstRowLastColumn="0" w:lastRowFirstColumn="0" w:lastRowLastColumn="0"/>
            </w:pPr>
            <w:r w:rsidRPr="00636B05">
              <w:t>Food preparation in the kitchen</w:t>
            </w:r>
          </w:p>
        </w:tc>
        <w:tc>
          <w:tcPr>
            <w:tcW w:w="2879" w:type="pct"/>
          </w:tcPr>
          <w:p w14:paraId="6B6ECC4F"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Powered can opener</w:t>
            </w:r>
          </w:p>
          <w:p w14:paraId="14A0DCF3"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Large-grip peeler</w:t>
            </w:r>
          </w:p>
          <w:p w14:paraId="7A491FA1"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Buttering board</w:t>
            </w:r>
          </w:p>
          <w:p w14:paraId="624F5D05"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Jar opener</w:t>
            </w:r>
          </w:p>
          <w:p w14:paraId="19B07AA3"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Kettle tipper</w:t>
            </w:r>
          </w:p>
          <w:p w14:paraId="225D6F52"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Tap turner</w:t>
            </w:r>
          </w:p>
          <w:p w14:paraId="758467CA"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Kitchen trolley</w:t>
            </w:r>
          </w:p>
        </w:tc>
      </w:tr>
      <w:tr w:rsidR="006728C7" w:rsidRPr="00636B05" w14:paraId="706D9013" w14:textId="77777777" w:rsidTr="005D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4313A7EF" w14:textId="77777777" w:rsidR="006728C7" w:rsidRPr="00636B05" w:rsidRDefault="006728C7" w:rsidP="00767E24">
            <w:pPr>
              <w:pStyle w:val="TableText"/>
            </w:pPr>
            <w:r w:rsidRPr="00636B05">
              <w:t>Kitchen modification</w:t>
            </w:r>
          </w:p>
        </w:tc>
        <w:tc>
          <w:tcPr>
            <w:tcW w:w="1239" w:type="pct"/>
          </w:tcPr>
          <w:p w14:paraId="641E4CAC" w14:textId="77777777" w:rsidR="006728C7" w:rsidRPr="00636B05" w:rsidRDefault="006728C7" w:rsidP="00767E24">
            <w:pPr>
              <w:pStyle w:val="TableText"/>
              <w:cnfStyle w:val="000000100000" w:firstRow="0" w:lastRow="0" w:firstColumn="0" w:lastColumn="0" w:oddVBand="0" w:evenVBand="0" w:oddHBand="1" w:evenHBand="0" w:firstRowFirstColumn="0" w:firstRowLastColumn="0" w:lastRowFirstColumn="0" w:lastRowLastColumn="0"/>
            </w:pPr>
            <w:r w:rsidRPr="00636B05">
              <w:t xml:space="preserve">Modifying the kitchen environment for kitchen access </w:t>
            </w:r>
          </w:p>
        </w:tc>
        <w:tc>
          <w:tcPr>
            <w:tcW w:w="2879" w:type="pct"/>
          </w:tcPr>
          <w:p w14:paraId="79703BF2" w14:textId="4BC1A3F1"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Microwave and stealth shelf</w:t>
            </w:r>
          </w:p>
          <w:p w14:paraId="61B8AE78"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Under-sink clearance</w:t>
            </w:r>
          </w:p>
          <w:p w14:paraId="050A1FAB" w14:textId="77777777" w:rsidR="006728C7" w:rsidRPr="00636B05" w:rsidRDefault="006728C7" w:rsidP="00767E24">
            <w:pPr>
              <w:pStyle w:val="TableBullet1"/>
              <w:cnfStyle w:val="000000100000" w:firstRow="0" w:lastRow="0" w:firstColumn="0" w:lastColumn="0" w:oddVBand="0" w:evenVBand="0" w:oddHBand="1" w:evenHBand="0" w:firstRowFirstColumn="0" w:firstRowLastColumn="0" w:lastRowFirstColumn="0" w:lastRowLastColumn="0"/>
            </w:pPr>
            <w:r w:rsidRPr="00636B05">
              <w:t>Accessible cupboards</w:t>
            </w:r>
          </w:p>
        </w:tc>
      </w:tr>
      <w:tr w:rsidR="0048025B" w:rsidRPr="00636B05" w14:paraId="77F93D8D" w14:textId="77777777" w:rsidTr="005D03BD">
        <w:tc>
          <w:tcPr>
            <w:cnfStyle w:val="001000000000" w:firstRow="0" w:lastRow="0" w:firstColumn="1" w:lastColumn="0" w:oddVBand="0" w:evenVBand="0" w:oddHBand="0" w:evenHBand="0" w:firstRowFirstColumn="0" w:firstRowLastColumn="0" w:lastRowFirstColumn="0" w:lastRowLastColumn="0"/>
            <w:tcW w:w="881" w:type="pct"/>
          </w:tcPr>
          <w:p w14:paraId="363D2882" w14:textId="77777777" w:rsidR="006728C7" w:rsidRPr="00636B05" w:rsidRDefault="006728C7" w:rsidP="00767E24">
            <w:pPr>
              <w:pStyle w:val="TableText"/>
            </w:pPr>
            <w:r w:rsidRPr="00636B05">
              <w:t>Laundry</w:t>
            </w:r>
          </w:p>
        </w:tc>
        <w:tc>
          <w:tcPr>
            <w:tcW w:w="1239" w:type="pct"/>
          </w:tcPr>
          <w:p w14:paraId="6347C397" w14:textId="77777777" w:rsidR="006728C7" w:rsidRPr="00636B05" w:rsidRDefault="006728C7" w:rsidP="00767E24">
            <w:pPr>
              <w:pStyle w:val="TableText"/>
              <w:cnfStyle w:val="000000000000" w:firstRow="0" w:lastRow="0" w:firstColumn="0" w:lastColumn="0" w:oddVBand="0" w:evenVBand="0" w:oddHBand="0" w:evenHBand="0" w:firstRowFirstColumn="0" w:firstRowLastColumn="0" w:lastRowFirstColumn="0" w:lastRowLastColumn="0"/>
            </w:pPr>
            <w:r w:rsidRPr="00636B05">
              <w:t>Modifying the laundry environment for laundry access; completing laundry tasks</w:t>
            </w:r>
          </w:p>
        </w:tc>
        <w:tc>
          <w:tcPr>
            <w:tcW w:w="2879" w:type="pct"/>
          </w:tcPr>
          <w:p w14:paraId="532752D1"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Drying rack</w:t>
            </w:r>
          </w:p>
          <w:p w14:paraId="26A10966"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Laundry trolley</w:t>
            </w:r>
          </w:p>
          <w:p w14:paraId="0AF24FFF"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Easy grip pegs</w:t>
            </w:r>
          </w:p>
          <w:p w14:paraId="0CF3971F" w14:textId="77777777" w:rsidR="006728C7" w:rsidRPr="00636B05" w:rsidRDefault="006728C7" w:rsidP="00767E24">
            <w:pPr>
              <w:pStyle w:val="TableBullet1"/>
              <w:cnfStyle w:val="000000000000" w:firstRow="0" w:lastRow="0" w:firstColumn="0" w:lastColumn="0" w:oddVBand="0" w:evenVBand="0" w:oddHBand="0" w:evenHBand="0" w:firstRowFirstColumn="0" w:firstRowLastColumn="0" w:lastRowFirstColumn="0" w:lastRowLastColumn="0"/>
            </w:pPr>
            <w:r w:rsidRPr="00636B05">
              <w:t>Side opening appliances or stealth shelf</w:t>
            </w:r>
          </w:p>
        </w:tc>
      </w:tr>
      <w:tr w:rsidR="00B21E2D" w:rsidRPr="00636B05" w14:paraId="27EBE91D" w14:textId="77777777" w:rsidTr="005D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0A1ED929" w14:textId="50657745" w:rsidR="00B21E2D" w:rsidRPr="00636B05" w:rsidRDefault="00B21E2D" w:rsidP="00767E24">
            <w:pPr>
              <w:pStyle w:val="TableText"/>
            </w:pPr>
            <w:r>
              <w:t xml:space="preserve">Outdoor </w:t>
            </w:r>
          </w:p>
        </w:tc>
        <w:tc>
          <w:tcPr>
            <w:tcW w:w="1239" w:type="pct"/>
          </w:tcPr>
          <w:p w14:paraId="5C7D9E88" w14:textId="3D69B2D9" w:rsidR="00B21E2D" w:rsidRPr="00636B05" w:rsidRDefault="00B207B3" w:rsidP="00767E24">
            <w:pPr>
              <w:pStyle w:val="TableText"/>
              <w:cnfStyle w:val="000000100000" w:firstRow="0" w:lastRow="0" w:firstColumn="0" w:lastColumn="0" w:oddVBand="0" w:evenVBand="0" w:oddHBand="1" w:evenHBand="0" w:firstRowFirstColumn="0" w:firstRowLastColumn="0" w:lastRowFirstColumn="0" w:lastRowLastColumn="0"/>
            </w:pPr>
            <w:r>
              <w:t>Gardening and lawn care</w:t>
            </w:r>
          </w:p>
        </w:tc>
        <w:tc>
          <w:tcPr>
            <w:tcW w:w="2879" w:type="pct"/>
          </w:tcPr>
          <w:p w14:paraId="3B161C78" w14:textId="77777777" w:rsidR="00B21E2D" w:rsidRDefault="00B207B3" w:rsidP="00767E24">
            <w:pPr>
              <w:pStyle w:val="TableBullet1"/>
              <w:cnfStyle w:val="000000100000" w:firstRow="0" w:lastRow="0" w:firstColumn="0" w:lastColumn="0" w:oddVBand="0" w:evenVBand="0" w:oddHBand="1" w:evenHBand="0" w:firstRowFirstColumn="0" w:firstRowLastColumn="0" w:lastRowFirstColumn="0" w:lastRowLastColumn="0"/>
            </w:pPr>
            <w:r>
              <w:t>Lightweight mower</w:t>
            </w:r>
          </w:p>
          <w:p w14:paraId="664149CF" w14:textId="77777777" w:rsidR="00B207B3" w:rsidRDefault="00C46EB3" w:rsidP="00767E24">
            <w:pPr>
              <w:pStyle w:val="TableBullet1"/>
              <w:cnfStyle w:val="000000100000" w:firstRow="0" w:lastRow="0" w:firstColumn="0" w:lastColumn="0" w:oddVBand="0" w:evenVBand="0" w:oddHBand="1" w:evenHBand="0" w:firstRowFirstColumn="0" w:firstRowLastColumn="0" w:lastRowFirstColumn="0" w:lastRowLastColumn="0"/>
            </w:pPr>
            <w:r>
              <w:t>Long handled pruner</w:t>
            </w:r>
          </w:p>
          <w:p w14:paraId="7A6A9A2D" w14:textId="77777777" w:rsidR="00C46EB3" w:rsidRDefault="00C46EB3" w:rsidP="00767E24">
            <w:pPr>
              <w:pStyle w:val="TableBullet1"/>
              <w:cnfStyle w:val="000000100000" w:firstRow="0" w:lastRow="0" w:firstColumn="0" w:lastColumn="0" w:oddVBand="0" w:evenVBand="0" w:oddHBand="1" w:evenHBand="0" w:firstRowFirstColumn="0" w:firstRowLastColumn="0" w:lastRowFirstColumn="0" w:lastRowLastColumn="0"/>
            </w:pPr>
            <w:r>
              <w:t>Wheelie bin trolley</w:t>
            </w:r>
          </w:p>
          <w:p w14:paraId="2F5B4550" w14:textId="77777777" w:rsidR="00C46EB3" w:rsidRDefault="00C46EB3" w:rsidP="00767E24">
            <w:pPr>
              <w:pStyle w:val="TableBullet1"/>
              <w:cnfStyle w:val="000000100000" w:firstRow="0" w:lastRow="0" w:firstColumn="0" w:lastColumn="0" w:oddVBand="0" w:evenVBand="0" w:oddHBand="1" w:evenHBand="0" w:firstRowFirstColumn="0" w:firstRowLastColumn="0" w:lastRowFirstColumn="0" w:lastRowLastColumn="0"/>
            </w:pPr>
            <w:r>
              <w:t>Level access paving</w:t>
            </w:r>
          </w:p>
          <w:p w14:paraId="5A37C0CA" w14:textId="7B4B44BE" w:rsidR="00C46EB3" w:rsidRPr="00636B05" w:rsidRDefault="00C46EB3" w:rsidP="00767E24">
            <w:pPr>
              <w:pStyle w:val="TableBullet1"/>
              <w:cnfStyle w:val="000000100000" w:firstRow="0" w:lastRow="0" w:firstColumn="0" w:lastColumn="0" w:oddVBand="0" w:evenVBand="0" w:oddHBand="1" w:evenHBand="0" w:firstRowFirstColumn="0" w:firstRowLastColumn="0" w:lastRowFirstColumn="0" w:lastRowLastColumn="0"/>
            </w:pPr>
            <w:r>
              <w:t>Heavy duty reacher</w:t>
            </w:r>
          </w:p>
        </w:tc>
      </w:tr>
      <w:tr w:rsidR="0048025B" w:rsidRPr="00636B05" w14:paraId="51682718" w14:textId="77777777" w:rsidTr="005D03BD">
        <w:tc>
          <w:tcPr>
            <w:cnfStyle w:val="001000000000" w:firstRow="0" w:lastRow="0" w:firstColumn="1" w:lastColumn="0" w:oddVBand="0" w:evenVBand="0" w:oddHBand="0" w:evenHBand="0" w:firstRowFirstColumn="0" w:firstRowLastColumn="0" w:lastRowFirstColumn="0" w:lastRowLastColumn="0"/>
            <w:tcW w:w="881" w:type="pct"/>
          </w:tcPr>
          <w:p w14:paraId="423CAE3A" w14:textId="1E18F5D3" w:rsidR="007513EC" w:rsidRDefault="007513EC" w:rsidP="00767E24">
            <w:pPr>
              <w:pStyle w:val="TableText"/>
            </w:pPr>
            <w:r>
              <w:t>Memory support</w:t>
            </w:r>
          </w:p>
        </w:tc>
        <w:tc>
          <w:tcPr>
            <w:tcW w:w="1239" w:type="pct"/>
          </w:tcPr>
          <w:p w14:paraId="2CF4B9DE" w14:textId="437551D7" w:rsidR="007513EC" w:rsidRDefault="00E82B61" w:rsidP="00767E24">
            <w:pPr>
              <w:pStyle w:val="TableText"/>
              <w:cnfStyle w:val="000000000000" w:firstRow="0" w:lastRow="0" w:firstColumn="0" w:lastColumn="0" w:oddVBand="0" w:evenVBand="0" w:oddHBand="0" w:evenHBand="0" w:firstRowFirstColumn="0" w:firstRowLastColumn="0" w:lastRowFirstColumn="0" w:lastRowLastColumn="0"/>
            </w:pPr>
            <w:r>
              <w:t xml:space="preserve">Products </w:t>
            </w:r>
            <w:r w:rsidRPr="00E82B61">
              <w:t>for alarming, indicating, reminding and signalling</w:t>
            </w:r>
          </w:p>
        </w:tc>
        <w:tc>
          <w:tcPr>
            <w:tcW w:w="2879" w:type="pct"/>
          </w:tcPr>
          <w:p w14:paraId="26B1B335" w14:textId="77777777" w:rsidR="007513EC" w:rsidRDefault="007513EC" w:rsidP="00767E24">
            <w:pPr>
              <w:pStyle w:val="TableBullet1"/>
              <w:cnfStyle w:val="000000000000" w:firstRow="0" w:lastRow="0" w:firstColumn="0" w:lastColumn="0" w:oddVBand="0" w:evenVBand="0" w:oddHBand="0" w:evenHBand="0" w:firstRowFirstColumn="0" w:firstRowLastColumn="0" w:lastRowFirstColumn="0" w:lastRowLastColumn="0"/>
            </w:pPr>
            <w:r w:rsidRPr="007513EC">
              <w:t>Automated reminder watch</w:t>
            </w:r>
          </w:p>
          <w:p w14:paraId="0EF427C1" w14:textId="165D2E29" w:rsidR="007513EC" w:rsidRDefault="007513EC" w:rsidP="00767E24">
            <w:pPr>
              <w:pStyle w:val="TableBullet1"/>
              <w:cnfStyle w:val="000000000000" w:firstRow="0" w:lastRow="0" w:firstColumn="0" w:lastColumn="0" w:oddVBand="0" w:evenVBand="0" w:oddHBand="0" w:evenHBand="0" w:firstRowFirstColumn="0" w:firstRowLastColumn="0" w:lastRowFirstColumn="0" w:lastRowLastColumn="0"/>
            </w:pPr>
            <w:r w:rsidRPr="007513EC">
              <w:t>GPS tracker</w:t>
            </w:r>
          </w:p>
          <w:p w14:paraId="438B4879" w14:textId="4C49405D" w:rsidR="007513EC" w:rsidRDefault="007513EC">
            <w:pPr>
              <w:pStyle w:val="TableBullet1"/>
              <w:cnfStyle w:val="000000000000" w:firstRow="0" w:lastRow="0" w:firstColumn="0" w:lastColumn="0" w:oddVBand="0" w:evenVBand="0" w:oddHBand="0" w:evenHBand="0" w:firstRowFirstColumn="0" w:firstRowLastColumn="0" w:lastRowFirstColumn="0" w:lastRowLastColumn="0"/>
            </w:pPr>
            <w:r>
              <w:t>L</w:t>
            </w:r>
            <w:r w:rsidRPr="007513EC">
              <w:t>arge print calendar</w:t>
            </w:r>
          </w:p>
        </w:tc>
      </w:tr>
      <w:tr w:rsidR="00A155CD" w:rsidRPr="00636B05" w14:paraId="2A4E36D0" w14:textId="77777777" w:rsidTr="005D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1CB1D3DC" w14:textId="6ED2AB5B" w:rsidR="00A155CD" w:rsidRDefault="00A155CD" w:rsidP="00767E24">
            <w:pPr>
              <w:pStyle w:val="TableText"/>
            </w:pPr>
            <w:r>
              <w:t xml:space="preserve">Sensory </w:t>
            </w:r>
          </w:p>
        </w:tc>
        <w:tc>
          <w:tcPr>
            <w:tcW w:w="1239" w:type="pct"/>
          </w:tcPr>
          <w:p w14:paraId="6D195ED5" w14:textId="0670F09D" w:rsidR="00A155CD" w:rsidRDefault="00384DD1" w:rsidP="00767E24">
            <w:pPr>
              <w:pStyle w:val="TableText"/>
              <w:cnfStyle w:val="000000100000" w:firstRow="0" w:lastRow="0" w:firstColumn="0" w:lastColumn="0" w:oddVBand="0" w:evenVBand="0" w:oddHBand="1" w:evenHBand="0" w:firstRowFirstColumn="0" w:firstRowLastColumn="0" w:lastRowFirstColumn="0" w:lastRowLastColumn="0"/>
            </w:pPr>
            <w:r>
              <w:t>P</w:t>
            </w:r>
            <w:r w:rsidRPr="00384DD1">
              <w:t>roducts that record, play and display audio and visual information</w:t>
            </w:r>
          </w:p>
        </w:tc>
        <w:tc>
          <w:tcPr>
            <w:tcW w:w="2879" w:type="pct"/>
          </w:tcPr>
          <w:p w14:paraId="548E8A65" w14:textId="76567A97" w:rsidR="00BD6289" w:rsidRDefault="00BD6289" w:rsidP="00767E24">
            <w:pPr>
              <w:pStyle w:val="TableBullet1"/>
              <w:cnfStyle w:val="000000100000" w:firstRow="0" w:lastRow="0" w:firstColumn="0" w:lastColumn="0" w:oddVBand="0" w:evenVBand="0" w:oddHBand="1" w:evenHBand="0" w:firstRowFirstColumn="0" w:firstRowLastColumn="0" w:lastRowFirstColumn="0" w:lastRowLastColumn="0"/>
            </w:pPr>
            <w:r w:rsidRPr="00BD6289">
              <w:t>TV/FM receivers</w:t>
            </w:r>
          </w:p>
          <w:p w14:paraId="34D6D3B9" w14:textId="77777777" w:rsidR="00BD6289" w:rsidRDefault="00BD6289" w:rsidP="00767E24">
            <w:pPr>
              <w:pStyle w:val="TableBullet1"/>
              <w:cnfStyle w:val="000000100000" w:firstRow="0" w:lastRow="0" w:firstColumn="0" w:lastColumn="0" w:oddVBand="0" w:evenVBand="0" w:oddHBand="1" w:evenHBand="0" w:firstRowFirstColumn="0" w:firstRowLastColumn="0" w:lastRowFirstColumn="0" w:lastRowLastColumn="0"/>
            </w:pPr>
            <w:r>
              <w:t>L</w:t>
            </w:r>
            <w:r w:rsidRPr="00BD6289">
              <w:t>ighting</w:t>
            </w:r>
          </w:p>
          <w:p w14:paraId="26AB95D0" w14:textId="77777777" w:rsidR="00BD6289" w:rsidRDefault="00BD6289" w:rsidP="00767E24">
            <w:pPr>
              <w:pStyle w:val="TableBullet1"/>
              <w:cnfStyle w:val="000000100000" w:firstRow="0" w:lastRow="0" w:firstColumn="0" w:lastColumn="0" w:oddVBand="0" w:evenVBand="0" w:oddHBand="1" w:evenHBand="0" w:firstRowFirstColumn="0" w:firstRowLastColumn="0" w:lastRowFirstColumn="0" w:lastRowLastColumn="0"/>
            </w:pPr>
            <w:r>
              <w:t>C</w:t>
            </w:r>
            <w:r w:rsidRPr="00BD6289">
              <w:t>omputer software</w:t>
            </w:r>
          </w:p>
          <w:p w14:paraId="7F731B1F" w14:textId="77777777" w:rsidR="00BD6289" w:rsidRDefault="00BD6289" w:rsidP="00767E24">
            <w:pPr>
              <w:pStyle w:val="TableBullet1"/>
              <w:cnfStyle w:val="000000100000" w:firstRow="0" w:lastRow="0" w:firstColumn="0" w:lastColumn="0" w:oddVBand="0" w:evenVBand="0" w:oddHBand="1" w:evenHBand="0" w:firstRowFirstColumn="0" w:firstRowLastColumn="0" w:lastRowFirstColumn="0" w:lastRowLastColumn="0"/>
            </w:pPr>
            <w:r w:rsidRPr="00BD6289">
              <w:t>CCTV</w:t>
            </w:r>
          </w:p>
          <w:p w14:paraId="44C1A5D8" w14:textId="77777777" w:rsidR="00BD6289" w:rsidRDefault="00BD6289" w:rsidP="00767E24">
            <w:pPr>
              <w:pStyle w:val="TableBullet1"/>
              <w:cnfStyle w:val="000000100000" w:firstRow="0" w:lastRow="0" w:firstColumn="0" w:lastColumn="0" w:oddVBand="0" w:evenVBand="0" w:oddHBand="1" w:evenHBand="0" w:firstRowFirstColumn="0" w:firstRowLastColumn="0" w:lastRowFirstColumn="0" w:lastRowLastColumn="0"/>
            </w:pPr>
            <w:r>
              <w:t>L</w:t>
            </w:r>
            <w:r w:rsidRPr="00BD6289">
              <w:t>arge print</w:t>
            </w:r>
          </w:p>
          <w:p w14:paraId="238B319F" w14:textId="77777777" w:rsidR="00BD6289" w:rsidRDefault="00BD6289" w:rsidP="00767E24">
            <w:pPr>
              <w:pStyle w:val="TableBullet1"/>
              <w:cnfStyle w:val="000000100000" w:firstRow="0" w:lastRow="0" w:firstColumn="0" w:lastColumn="0" w:oddVBand="0" w:evenVBand="0" w:oddHBand="1" w:evenHBand="0" w:firstRowFirstColumn="0" w:firstRowLastColumn="0" w:lastRowFirstColumn="0" w:lastRowLastColumn="0"/>
            </w:pPr>
            <w:r w:rsidRPr="00BD6289">
              <w:t>ORCA</w:t>
            </w:r>
            <w:r>
              <w:t>M</w:t>
            </w:r>
          </w:p>
          <w:p w14:paraId="01580F43" w14:textId="101640A0" w:rsidR="00A155CD" w:rsidRDefault="00BD6289" w:rsidP="00767E24">
            <w:pPr>
              <w:pStyle w:val="TableBullet1"/>
              <w:cnfStyle w:val="000000100000" w:firstRow="0" w:lastRow="0" w:firstColumn="0" w:lastColumn="0" w:oddVBand="0" w:evenVBand="0" w:oddHBand="1" w:evenHBand="0" w:firstRowFirstColumn="0" w:firstRowLastColumn="0" w:lastRowFirstColumn="0" w:lastRowLastColumn="0"/>
            </w:pPr>
            <w:r w:rsidRPr="00BD6289">
              <w:t>Vibrating or light alarms for doorbell, phone, smoke detectors; hearing product</w:t>
            </w:r>
            <w:r>
              <w:t>s</w:t>
            </w:r>
          </w:p>
        </w:tc>
      </w:tr>
    </w:tbl>
    <w:p w14:paraId="197C0294" w14:textId="77777777" w:rsidR="007C5E4A" w:rsidRPr="007C5E4A" w:rsidRDefault="007C5E4A" w:rsidP="007C5E4A">
      <w:pPr>
        <w:rPr>
          <w:rFonts w:eastAsia="Arial Unicode MS"/>
        </w:rPr>
      </w:pPr>
      <w:bookmarkStart w:id="90" w:name="_Ref42674301"/>
      <w:r w:rsidRPr="007C5E4A">
        <w:br w:type="page"/>
      </w:r>
    </w:p>
    <w:p w14:paraId="4F27C95F" w14:textId="0D79ECBF" w:rsidR="000170A1" w:rsidRDefault="000170A1" w:rsidP="005D03BD">
      <w:pPr>
        <w:pStyle w:val="Heading3"/>
      </w:pPr>
      <w:r>
        <w:lastRenderedPageBreak/>
        <w:t xml:space="preserve">Costing ADL </w:t>
      </w:r>
      <w:r w:rsidR="00985E4E">
        <w:t>kits</w:t>
      </w:r>
      <w:bookmarkEnd w:id="90"/>
    </w:p>
    <w:p w14:paraId="2B54A0C3" w14:textId="5B722F57" w:rsidR="000170A1" w:rsidRDefault="00B95180" w:rsidP="00E570F3">
      <w:pPr>
        <w:pStyle w:val="ParaKeep"/>
      </w:pPr>
      <w:r>
        <w:t>Of the 17 AT Kits, s</w:t>
      </w:r>
      <w:r w:rsidR="000170A1">
        <w:t>ix were selected</w:t>
      </w:r>
      <w:r w:rsidR="008E0D65">
        <w:t xml:space="preserve"> </w:t>
      </w:r>
      <w:r w:rsidR="000170A1">
        <w:t xml:space="preserve">to represent </w:t>
      </w:r>
      <w:r w:rsidR="0043755C">
        <w:t xml:space="preserve">low-cost AT to support common activities of daily living </w:t>
      </w:r>
      <w:r w:rsidR="00A24FFC">
        <w:t xml:space="preserve">(ADL) </w:t>
      </w:r>
      <w:r w:rsidR="0043755C">
        <w:t xml:space="preserve">that could be provided to any consumer </w:t>
      </w:r>
      <w:r>
        <w:t>w</w:t>
      </w:r>
      <w:r w:rsidR="00FC5CE4">
        <w:t xml:space="preserve">ho requires them </w:t>
      </w:r>
      <w:r w:rsidR="004C6351">
        <w:t>(</w:t>
      </w:r>
      <w:r w:rsidR="00E50455" w:rsidRPr="00E50455">
        <w:rPr>
          <w:i/>
          <w:iCs/>
          <w:highlight w:val="yellow"/>
        </w:rPr>
        <w:fldChar w:fldCharType="begin"/>
      </w:r>
      <w:r w:rsidR="00E50455" w:rsidRPr="00E50455">
        <w:rPr>
          <w:i/>
          <w:iCs/>
        </w:rPr>
        <w:instrText xml:space="preserve"> REF _Ref42009042 \h </w:instrText>
      </w:r>
      <w:r w:rsidR="00E50455">
        <w:rPr>
          <w:i/>
          <w:iCs/>
          <w:highlight w:val="yellow"/>
        </w:rPr>
        <w:instrText xml:space="preserve"> \* MERGEFORMAT </w:instrText>
      </w:r>
      <w:r w:rsidR="00E50455" w:rsidRPr="00E50455">
        <w:rPr>
          <w:i/>
          <w:iCs/>
          <w:highlight w:val="yellow"/>
        </w:rPr>
      </w:r>
      <w:r w:rsidR="00E50455" w:rsidRPr="00E50455">
        <w:rPr>
          <w:i/>
          <w:iCs/>
          <w:highlight w:val="yellow"/>
        </w:rPr>
        <w:fldChar w:fldCharType="separate"/>
      </w:r>
      <w:r w:rsidR="00CC3F04" w:rsidRPr="00CC3F04">
        <w:rPr>
          <w:i/>
          <w:iCs/>
        </w:rPr>
        <w:t>Table 3</w:t>
      </w:r>
      <w:r w:rsidR="00CC3F04" w:rsidRPr="00CC3F04">
        <w:rPr>
          <w:i/>
          <w:iCs/>
        </w:rPr>
        <w:noBreakHyphen/>
        <w:t>3</w:t>
      </w:r>
      <w:r w:rsidR="00E50455" w:rsidRPr="00E50455">
        <w:rPr>
          <w:i/>
          <w:iCs/>
          <w:highlight w:val="yellow"/>
        </w:rPr>
        <w:fldChar w:fldCharType="end"/>
      </w:r>
      <w:r w:rsidR="004C6351">
        <w:t>)</w:t>
      </w:r>
      <w:r w:rsidR="00F80723">
        <w:t xml:space="preserve">. </w:t>
      </w:r>
      <w:r w:rsidR="004A0BBA">
        <w:t xml:space="preserve">These </w:t>
      </w:r>
      <w:r w:rsidR="00A24FFC">
        <w:t xml:space="preserve">ADL </w:t>
      </w:r>
      <w:r w:rsidR="00985E4E">
        <w:t xml:space="preserve">kits </w:t>
      </w:r>
      <w:r w:rsidR="004A0BBA">
        <w:t>correspond to common service</w:t>
      </w:r>
      <w:r w:rsidR="00487B34">
        <w:t xml:space="preserve"> type</w:t>
      </w:r>
      <w:r w:rsidR="004A0BBA">
        <w:t xml:space="preserve">s provided </w:t>
      </w:r>
      <w:r w:rsidR="00B56262">
        <w:t>under the CHSP</w:t>
      </w:r>
      <w:r w:rsidR="00487B34">
        <w:t xml:space="preserve"> Community and Home care program</w:t>
      </w:r>
      <w:r w:rsidR="00695C44">
        <w:t>.</w:t>
      </w:r>
    </w:p>
    <w:p w14:paraId="027D39B8" w14:textId="3908D4BE" w:rsidR="009102F5" w:rsidRPr="00736110" w:rsidRDefault="009102F5" w:rsidP="00143C46">
      <w:bookmarkStart w:id="91" w:name="_Ref42009042"/>
      <w:bookmarkStart w:id="92" w:name="_Toc59402401"/>
      <w:r w:rsidRPr="00736110">
        <w:t>Table </w:t>
      </w:r>
      <w:r w:rsidR="006870B9">
        <w:fldChar w:fldCharType="begin"/>
      </w:r>
      <w:r w:rsidR="006870B9">
        <w:instrText xml:space="preserve"> STYLEREF 1 \s </w:instrText>
      </w:r>
      <w:r w:rsidR="006870B9">
        <w:fldChar w:fldCharType="separate"/>
      </w:r>
      <w:r w:rsidR="00CC3F04">
        <w:rPr>
          <w:noProof/>
        </w:rPr>
        <w:t>3</w:t>
      </w:r>
      <w:r w:rsidR="006870B9">
        <w:fldChar w:fldCharType="end"/>
      </w:r>
      <w:r w:rsidR="006870B9">
        <w:noBreakHyphen/>
      </w:r>
      <w:r w:rsidR="006870B9">
        <w:fldChar w:fldCharType="begin"/>
      </w:r>
      <w:r w:rsidR="006870B9">
        <w:instrText xml:space="preserve"> SEQ Table \* ARABIC \s 1 </w:instrText>
      </w:r>
      <w:r w:rsidR="006870B9">
        <w:fldChar w:fldCharType="separate"/>
      </w:r>
      <w:r w:rsidR="00CC3F04">
        <w:rPr>
          <w:noProof/>
        </w:rPr>
        <w:t>3</w:t>
      </w:r>
      <w:r w:rsidR="006870B9">
        <w:fldChar w:fldCharType="end"/>
      </w:r>
      <w:bookmarkEnd w:id="91"/>
      <w:r w:rsidRPr="00736110">
        <w:t>:</w:t>
      </w:r>
      <w:r w:rsidRPr="00736110">
        <w:tab/>
        <w:t>ADL kits</w:t>
      </w:r>
      <w:bookmarkEnd w:id="92"/>
    </w:p>
    <w:tbl>
      <w:tblPr>
        <w:tblStyle w:val="AHALight"/>
        <w:tblW w:w="5001" w:type="pct"/>
        <w:tblLook w:val="04A0" w:firstRow="1" w:lastRow="0" w:firstColumn="1" w:lastColumn="0" w:noHBand="0" w:noVBand="1"/>
        <w:tblCaption w:val="Activities of daily living (ADL) kits (extracted from the previous table)"/>
        <w:tblDescription w:val="List of six low-cost AT kits to support common activities of daily living, their purpose, and the AT items in each kit."/>
      </w:tblPr>
      <w:tblGrid>
        <w:gridCol w:w="1699"/>
        <w:gridCol w:w="2389"/>
        <w:gridCol w:w="5553"/>
      </w:tblGrid>
      <w:tr w:rsidR="001245C0" w:rsidRPr="00636B05" w14:paraId="235D6AEF" w14:textId="77777777" w:rsidTr="005D0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191C0C7B" w14:textId="77777777" w:rsidR="009102F5" w:rsidRPr="00636B05" w:rsidRDefault="009102F5" w:rsidP="00DA46B7">
            <w:pPr>
              <w:pStyle w:val="TableHeading1"/>
            </w:pPr>
            <w:r w:rsidRPr="00636B05">
              <w:t>AT kit</w:t>
            </w:r>
          </w:p>
        </w:tc>
        <w:tc>
          <w:tcPr>
            <w:tcW w:w="1239" w:type="pct"/>
          </w:tcPr>
          <w:p w14:paraId="64178CD9" w14:textId="77777777" w:rsidR="009102F5" w:rsidRPr="00636B05" w:rsidRDefault="009102F5" w:rsidP="00DA46B7">
            <w:pPr>
              <w:pStyle w:val="TableHeading1"/>
              <w:cnfStyle w:val="100000000000" w:firstRow="1" w:lastRow="0" w:firstColumn="0" w:lastColumn="0" w:oddVBand="0" w:evenVBand="0" w:oddHBand="0" w:evenHBand="0" w:firstRowFirstColumn="0" w:firstRowLastColumn="0" w:lastRowFirstColumn="0" w:lastRowLastColumn="0"/>
            </w:pPr>
            <w:r w:rsidRPr="00636B05">
              <w:t>Purpose</w:t>
            </w:r>
          </w:p>
        </w:tc>
        <w:tc>
          <w:tcPr>
            <w:tcW w:w="2879" w:type="pct"/>
          </w:tcPr>
          <w:p w14:paraId="76833A38" w14:textId="77777777" w:rsidR="009102F5" w:rsidRPr="00636B05" w:rsidRDefault="009102F5" w:rsidP="00DA46B7">
            <w:pPr>
              <w:pStyle w:val="TableHeading1"/>
              <w:cnfStyle w:val="100000000000" w:firstRow="1" w:lastRow="0" w:firstColumn="0" w:lastColumn="0" w:oddVBand="0" w:evenVBand="0" w:oddHBand="0" w:evenHBand="0" w:firstRowFirstColumn="0" w:firstRowLastColumn="0" w:lastRowFirstColumn="0" w:lastRowLastColumn="0"/>
            </w:pPr>
            <w:r w:rsidRPr="00636B05">
              <w:t>AT items</w:t>
            </w:r>
          </w:p>
        </w:tc>
      </w:tr>
      <w:tr w:rsidR="009102F5" w:rsidRPr="00636B05" w14:paraId="317103FA" w14:textId="77777777" w:rsidTr="005D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51DC1E93" w14:textId="77777777" w:rsidR="009102F5" w:rsidRPr="00636B05" w:rsidRDefault="009102F5" w:rsidP="00DA46B7">
            <w:pPr>
              <w:pStyle w:val="TableText"/>
            </w:pPr>
            <w:r w:rsidRPr="00636B05">
              <w:t>Bathing</w:t>
            </w:r>
          </w:p>
        </w:tc>
        <w:tc>
          <w:tcPr>
            <w:tcW w:w="1239" w:type="pct"/>
          </w:tcPr>
          <w:p w14:paraId="048DDFBF" w14:textId="77777777" w:rsidR="009102F5" w:rsidRPr="00636B05" w:rsidRDefault="009102F5" w:rsidP="00DA46B7">
            <w:pPr>
              <w:pStyle w:val="TableText"/>
              <w:cnfStyle w:val="000000100000" w:firstRow="0" w:lastRow="0" w:firstColumn="0" w:lastColumn="0" w:oddVBand="0" w:evenVBand="0" w:oddHBand="1" w:evenHBand="0" w:firstRowFirstColumn="0" w:firstRowLastColumn="0" w:lastRowFirstColumn="0" w:lastRowLastColumn="0"/>
            </w:pPr>
            <w:r w:rsidRPr="00636B05">
              <w:t>Bathing</w:t>
            </w:r>
          </w:p>
        </w:tc>
        <w:tc>
          <w:tcPr>
            <w:tcW w:w="2879" w:type="pct"/>
          </w:tcPr>
          <w:p w14:paraId="51CD5CE8"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Toe washing</w:t>
            </w:r>
          </w:p>
          <w:p w14:paraId="4E7204CD"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Toe drying</w:t>
            </w:r>
          </w:p>
          <w:p w14:paraId="072F021F" w14:textId="2CC47DDE" w:rsidR="00DA4E0A" w:rsidRPr="00636B05" w:rsidRDefault="009102F5" w:rsidP="00112865">
            <w:pPr>
              <w:pStyle w:val="TableBullet1"/>
              <w:cnfStyle w:val="000000100000" w:firstRow="0" w:lastRow="0" w:firstColumn="0" w:lastColumn="0" w:oddVBand="0" w:evenVBand="0" w:oddHBand="1" w:evenHBand="0" w:firstRowFirstColumn="0" w:firstRowLastColumn="0" w:lastRowFirstColumn="0" w:lastRowLastColumn="0"/>
            </w:pPr>
            <w:r w:rsidRPr="00636B05">
              <w:t>Long-handled sponge</w:t>
            </w:r>
          </w:p>
        </w:tc>
      </w:tr>
      <w:tr w:rsidR="009102F5" w:rsidRPr="00636B05" w14:paraId="7E0DD02E" w14:textId="77777777" w:rsidTr="005D03BD">
        <w:tc>
          <w:tcPr>
            <w:cnfStyle w:val="001000000000" w:firstRow="0" w:lastRow="0" w:firstColumn="1" w:lastColumn="0" w:oddVBand="0" w:evenVBand="0" w:oddHBand="0" w:evenHBand="0" w:firstRowFirstColumn="0" w:firstRowLastColumn="0" w:lastRowFirstColumn="0" w:lastRowLastColumn="0"/>
            <w:tcW w:w="881" w:type="pct"/>
          </w:tcPr>
          <w:p w14:paraId="723E6071" w14:textId="77777777" w:rsidR="009102F5" w:rsidRPr="00636B05" w:rsidRDefault="009102F5" w:rsidP="00DA46B7">
            <w:pPr>
              <w:pStyle w:val="TableText"/>
            </w:pPr>
            <w:r w:rsidRPr="00636B05">
              <w:t>Cleaning</w:t>
            </w:r>
          </w:p>
        </w:tc>
        <w:tc>
          <w:tcPr>
            <w:tcW w:w="1239" w:type="pct"/>
          </w:tcPr>
          <w:p w14:paraId="5E06D1F3" w14:textId="77777777" w:rsidR="009102F5" w:rsidRPr="00636B05" w:rsidRDefault="009102F5" w:rsidP="00DA46B7">
            <w:pPr>
              <w:pStyle w:val="TableText"/>
              <w:cnfStyle w:val="000000000000" w:firstRow="0" w:lastRow="0" w:firstColumn="0" w:lastColumn="0" w:oddVBand="0" w:evenVBand="0" w:oddHBand="0" w:evenHBand="0" w:firstRowFirstColumn="0" w:firstRowLastColumn="0" w:lastRowFirstColumn="0" w:lastRowLastColumn="0"/>
            </w:pPr>
            <w:r w:rsidRPr="00636B05">
              <w:t>Cleaning the house</w:t>
            </w:r>
          </w:p>
        </w:tc>
        <w:tc>
          <w:tcPr>
            <w:tcW w:w="2879" w:type="pct"/>
          </w:tcPr>
          <w:p w14:paraId="46B13DB4" w14:textId="77777777" w:rsidR="009102F5" w:rsidRPr="00636B05" w:rsidRDefault="009102F5" w:rsidP="00DA46B7">
            <w:pPr>
              <w:pStyle w:val="TableBullet1"/>
              <w:cnfStyle w:val="000000000000" w:firstRow="0" w:lastRow="0" w:firstColumn="0" w:lastColumn="0" w:oddVBand="0" w:evenVBand="0" w:oddHBand="0" w:evenHBand="0" w:firstRowFirstColumn="0" w:firstRowLastColumn="0" w:lastRowFirstColumn="0" w:lastRowLastColumn="0"/>
            </w:pPr>
            <w:r w:rsidRPr="00636B05">
              <w:t>Long-handled dustpan</w:t>
            </w:r>
          </w:p>
          <w:p w14:paraId="189907D9" w14:textId="77777777" w:rsidR="009102F5" w:rsidRPr="00636B05" w:rsidRDefault="009102F5" w:rsidP="00DA46B7">
            <w:pPr>
              <w:pStyle w:val="TableBullet1"/>
              <w:cnfStyle w:val="000000000000" w:firstRow="0" w:lastRow="0" w:firstColumn="0" w:lastColumn="0" w:oddVBand="0" w:evenVBand="0" w:oddHBand="0" w:evenHBand="0" w:firstRowFirstColumn="0" w:firstRowLastColumn="0" w:lastRowFirstColumn="0" w:lastRowLastColumn="0"/>
            </w:pPr>
            <w:r w:rsidRPr="00636B05">
              <w:t>Long-handled duster</w:t>
            </w:r>
          </w:p>
          <w:p w14:paraId="41CEC10F" w14:textId="77777777" w:rsidR="009102F5" w:rsidRPr="00636B05" w:rsidRDefault="009102F5" w:rsidP="00DA46B7">
            <w:pPr>
              <w:pStyle w:val="TableBullet1"/>
              <w:cnfStyle w:val="000000000000" w:firstRow="0" w:lastRow="0" w:firstColumn="0" w:lastColumn="0" w:oddVBand="0" w:evenVBand="0" w:oddHBand="0" w:evenHBand="0" w:firstRowFirstColumn="0" w:firstRowLastColumn="0" w:lastRowFirstColumn="0" w:lastRowLastColumn="0"/>
            </w:pPr>
            <w:r w:rsidRPr="00636B05">
              <w:t>Lightweight power sweeper</w:t>
            </w:r>
          </w:p>
          <w:p w14:paraId="33D14340" w14:textId="77777777" w:rsidR="009102F5" w:rsidRPr="00636B05" w:rsidRDefault="009102F5" w:rsidP="00DA46B7">
            <w:pPr>
              <w:pStyle w:val="TableBullet1"/>
              <w:cnfStyle w:val="000000000000" w:firstRow="0" w:lastRow="0" w:firstColumn="0" w:lastColumn="0" w:oddVBand="0" w:evenVBand="0" w:oddHBand="0" w:evenHBand="0" w:firstRowFirstColumn="0" w:firstRowLastColumn="0" w:lastRowFirstColumn="0" w:lastRowLastColumn="0"/>
            </w:pPr>
            <w:r w:rsidRPr="00636B05">
              <w:t>Ergonomic mop</w:t>
            </w:r>
          </w:p>
        </w:tc>
      </w:tr>
      <w:tr w:rsidR="009102F5" w:rsidRPr="00636B05" w14:paraId="668C1E02" w14:textId="77777777" w:rsidTr="005D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3DB01FBB" w14:textId="77777777" w:rsidR="009102F5" w:rsidRPr="00636B05" w:rsidRDefault="009102F5" w:rsidP="00DA46B7">
            <w:pPr>
              <w:pStyle w:val="TableText"/>
            </w:pPr>
            <w:r w:rsidRPr="00636B05">
              <w:t>Dressing</w:t>
            </w:r>
          </w:p>
        </w:tc>
        <w:tc>
          <w:tcPr>
            <w:tcW w:w="1239" w:type="pct"/>
          </w:tcPr>
          <w:p w14:paraId="28BE0BB2" w14:textId="77777777" w:rsidR="009102F5" w:rsidRPr="00636B05" w:rsidRDefault="009102F5" w:rsidP="00DA46B7">
            <w:pPr>
              <w:pStyle w:val="TableText"/>
              <w:cnfStyle w:val="000000100000" w:firstRow="0" w:lastRow="0" w:firstColumn="0" w:lastColumn="0" w:oddVBand="0" w:evenVBand="0" w:oddHBand="1" w:evenHBand="0" w:firstRowFirstColumn="0" w:firstRowLastColumn="0" w:lastRowFirstColumn="0" w:lastRowLastColumn="0"/>
            </w:pPr>
            <w:r w:rsidRPr="00636B05">
              <w:t>Dressing and undressing</w:t>
            </w:r>
          </w:p>
        </w:tc>
        <w:tc>
          <w:tcPr>
            <w:tcW w:w="2879" w:type="pct"/>
          </w:tcPr>
          <w:p w14:paraId="1DD37F70"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Sock donner</w:t>
            </w:r>
          </w:p>
          <w:p w14:paraId="55CCA202"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Button hook</w:t>
            </w:r>
          </w:p>
          <w:p w14:paraId="26701B04"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Dressing stick</w:t>
            </w:r>
          </w:p>
          <w:p w14:paraId="35C93EB2"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Long-handled shoehorn</w:t>
            </w:r>
          </w:p>
          <w:p w14:paraId="04770F21"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Long-handled reacher</w:t>
            </w:r>
          </w:p>
        </w:tc>
      </w:tr>
      <w:tr w:rsidR="009102F5" w:rsidRPr="00636B05" w14:paraId="74775652" w14:textId="77777777" w:rsidTr="005D03BD">
        <w:tc>
          <w:tcPr>
            <w:cnfStyle w:val="001000000000" w:firstRow="0" w:lastRow="0" w:firstColumn="1" w:lastColumn="0" w:oddVBand="0" w:evenVBand="0" w:oddHBand="0" w:evenHBand="0" w:firstRowFirstColumn="0" w:firstRowLastColumn="0" w:lastRowFirstColumn="0" w:lastRowLastColumn="0"/>
            <w:tcW w:w="881" w:type="pct"/>
          </w:tcPr>
          <w:p w14:paraId="28681555" w14:textId="77777777" w:rsidR="009102F5" w:rsidRPr="00636B05" w:rsidRDefault="009102F5" w:rsidP="00DA46B7">
            <w:pPr>
              <w:pStyle w:val="TableText"/>
            </w:pPr>
            <w:r w:rsidRPr="00636B05">
              <w:t>Eating and drinking</w:t>
            </w:r>
          </w:p>
        </w:tc>
        <w:tc>
          <w:tcPr>
            <w:tcW w:w="1239" w:type="pct"/>
          </w:tcPr>
          <w:p w14:paraId="3C073938" w14:textId="77777777" w:rsidR="009102F5" w:rsidRPr="00636B05" w:rsidRDefault="009102F5" w:rsidP="00DA46B7">
            <w:pPr>
              <w:pStyle w:val="TableText"/>
              <w:cnfStyle w:val="000000000000" w:firstRow="0" w:lastRow="0" w:firstColumn="0" w:lastColumn="0" w:oddVBand="0" w:evenVBand="0" w:oddHBand="0" w:evenHBand="0" w:firstRowFirstColumn="0" w:firstRowLastColumn="0" w:lastRowFirstColumn="0" w:lastRowLastColumn="0"/>
            </w:pPr>
            <w:r w:rsidRPr="00636B05">
              <w:t>Eating and drinking</w:t>
            </w:r>
          </w:p>
        </w:tc>
        <w:tc>
          <w:tcPr>
            <w:tcW w:w="2879" w:type="pct"/>
          </w:tcPr>
          <w:p w14:paraId="7C2ADCED" w14:textId="77777777" w:rsidR="009102F5" w:rsidRPr="00636B05" w:rsidRDefault="009102F5" w:rsidP="00DA46B7">
            <w:pPr>
              <w:pStyle w:val="TableBullet1"/>
              <w:cnfStyle w:val="000000000000" w:firstRow="0" w:lastRow="0" w:firstColumn="0" w:lastColumn="0" w:oddVBand="0" w:evenVBand="0" w:oddHBand="0" w:evenHBand="0" w:firstRowFirstColumn="0" w:firstRowLastColumn="0" w:lastRowFirstColumn="0" w:lastRowLastColumn="0"/>
            </w:pPr>
            <w:r w:rsidRPr="00636B05">
              <w:t>Two-handled and/or insulated shatterproof cups</w:t>
            </w:r>
          </w:p>
          <w:p w14:paraId="136A6A29" w14:textId="77777777" w:rsidR="009102F5" w:rsidRPr="00636B05" w:rsidRDefault="009102F5" w:rsidP="00DA46B7">
            <w:pPr>
              <w:pStyle w:val="TableBullet1"/>
              <w:cnfStyle w:val="000000000000" w:firstRow="0" w:lastRow="0" w:firstColumn="0" w:lastColumn="0" w:oddVBand="0" w:evenVBand="0" w:oddHBand="0" w:evenHBand="0" w:firstRowFirstColumn="0" w:firstRowLastColumn="0" w:lastRowFirstColumn="0" w:lastRowLastColumn="0"/>
            </w:pPr>
            <w:r w:rsidRPr="00636B05">
              <w:t>Built-up handle cutlery</w:t>
            </w:r>
          </w:p>
        </w:tc>
      </w:tr>
      <w:tr w:rsidR="009102F5" w:rsidRPr="00636B05" w14:paraId="323ED92A" w14:textId="77777777" w:rsidTr="005D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3D9E6426" w14:textId="77777777" w:rsidR="009102F5" w:rsidRPr="00636B05" w:rsidRDefault="009102F5" w:rsidP="00DA46B7">
            <w:pPr>
              <w:pStyle w:val="TableText"/>
            </w:pPr>
            <w:r w:rsidRPr="00636B05">
              <w:t>Food preparation</w:t>
            </w:r>
          </w:p>
        </w:tc>
        <w:tc>
          <w:tcPr>
            <w:tcW w:w="1239" w:type="pct"/>
          </w:tcPr>
          <w:p w14:paraId="0074C9C5" w14:textId="77777777" w:rsidR="009102F5" w:rsidRPr="00636B05" w:rsidRDefault="009102F5" w:rsidP="00DA46B7">
            <w:pPr>
              <w:pStyle w:val="TableText"/>
              <w:cnfStyle w:val="000000100000" w:firstRow="0" w:lastRow="0" w:firstColumn="0" w:lastColumn="0" w:oddVBand="0" w:evenVBand="0" w:oddHBand="1" w:evenHBand="0" w:firstRowFirstColumn="0" w:firstRowLastColumn="0" w:lastRowFirstColumn="0" w:lastRowLastColumn="0"/>
            </w:pPr>
            <w:r w:rsidRPr="00636B05">
              <w:t>Food preparation in the kitchen</w:t>
            </w:r>
          </w:p>
        </w:tc>
        <w:tc>
          <w:tcPr>
            <w:tcW w:w="2879" w:type="pct"/>
          </w:tcPr>
          <w:p w14:paraId="1B6D3461"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Powered can opener</w:t>
            </w:r>
          </w:p>
          <w:p w14:paraId="477F2E5A"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Large-grip peeler</w:t>
            </w:r>
          </w:p>
          <w:p w14:paraId="7522121D"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Buttering board</w:t>
            </w:r>
          </w:p>
          <w:p w14:paraId="371DDBC5"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Jar opener</w:t>
            </w:r>
          </w:p>
          <w:p w14:paraId="0F84EA83" w14:textId="77777777" w:rsidR="009102F5" w:rsidRPr="00636B05" w:rsidRDefault="009102F5" w:rsidP="00DA46B7">
            <w:pPr>
              <w:pStyle w:val="TableBullet1"/>
              <w:cnfStyle w:val="000000100000" w:firstRow="0" w:lastRow="0" w:firstColumn="0" w:lastColumn="0" w:oddVBand="0" w:evenVBand="0" w:oddHBand="1" w:evenHBand="0" w:firstRowFirstColumn="0" w:firstRowLastColumn="0" w:lastRowFirstColumn="0" w:lastRowLastColumn="0"/>
            </w:pPr>
            <w:r w:rsidRPr="00636B05">
              <w:t>Kettle tipper</w:t>
            </w:r>
          </w:p>
          <w:p w14:paraId="2A810238" w14:textId="034EE0D3" w:rsidR="009102F5" w:rsidRPr="00636B05" w:rsidRDefault="009102F5">
            <w:pPr>
              <w:pStyle w:val="TableBullet1"/>
              <w:cnfStyle w:val="000000100000" w:firstRow="0" w:lastRow="0" w:firstColumn="0" w:lastColumn="0" w:oddVBand="0" w:evenVBand="0" w:oddHBand="1" w:evenHBand="0" w:firstRowFirstColumn="0" w:firstRowLastColumn="0" w:lastRowFirstColumn="0" w:lastRowLastColumn="0"/>
            </w:pPr>
            <w:r w:rsidRPr="00636B05">
              <w:t>Tap turner</w:t>
            </w:r>
          </w:p>
        </w:tc>
      </w:tr>
      <w:tr w:rsidR="009102F5" w:rsidRPr="00636B05" w14:paraId="01294D53" w14:textId="77777777" w:rsidTr="005D03BD">
        <w:tc>
          <w:tcPr>
            <w:cnfStyle w:val="001000000000" w:firstRow="0" w:lastRow="0" w:firstColumn="1" w:lastColumn="0" w:oddVBand="0" w:evenVBand="0" w:oddHBand="0" w:evenHBand="0" w:firstRowFirstColumn="0" w:firstRowLastColumn="0" w:lastRowFirstColumn="0" w:lastRowLastColumn="0"/>
            <w:tcW w:w="881" w:type="pct"/>
          </w:tcPr>
          <w:p w14:paraId="111DCDFE" w14:textId="77777777" w:rsidR="009102F5" w:rsidRPr="00636B05" w:rsidRDefault="009102F5" w:rsidP="00DA46B7">
            <w:pPr>
              <w:pStyle w:val="TableText"/>
            </w:pPr>
            <w:r w:rsidRPr="00636B05">
              <w:t>Laundry</w:t>
            </w:r>
          </w:p>
        </w:tc>
        <w:tc>
          <w:tcPr>
            <w:tcW w:w="1239" w:type="pct"/>
          </w:tcPr>
          <w:p w14:paraId="3F7431E3" w14:textId="77777777" w:rsidR="009102F5" w:rsidRPr="00636B05" w:rsidRDefault="009102F5" w:rsidP="00DA46B7">
            <w:pPr>
              <w:pStyle w:val="TableText"/>
              <w:cnfStyle w:val="000000000000" w:firstRow="0" w:lastRow="0" w:firstColumn="0" w:lastColumn="0" w:oddVBand="0" w:evenVBand="0" w:oddHBand="0" w:evenHBand="0" w:firstRowFirstColumn="0" w:firstRowLastColumn="0" w:lastRowFirstColumn="0" w:lastRowLastColumn="0"/>
            </w:pPr>
            <w:r w:rsidRPr="00636B05">
              <w:t>Modifying the laundry environment for laundry access; completing laundry tasks</w:t>
            </w:r>
          </w:p>
        </w:tc>
        <w:tc>
          <w:tcPr>
            <w:tcW w:w="2879" w:type="pct"/>
          </w:tcPr>
          <w:p w14:paraId="67AA962C" w14:textId="77777777" w:rsidR="009102F5" w:rsidRPr="00636B05" w:rsidRDefault="009102F5" w:rsidP="00DA46B7">
            <w:pPr>
              <w:pStyle w:val="TableBullet1"/>
              <w:cnfStyle w:val="000000000000" w:firstRow="0" w:lastRow="0" w:firstColumn="0" w:lastColumn="0" w:oddVBand="0" w:evenVBand="0" w:oddHBand="0" w:evenHBand="0" w:firstRowFirstColumn="0" w:firstRowLastColumn="0" w:lastRowFirstColumn="0" w:lastRowLastColumn="0"/>
            </w:pPr>
            <w:r w:rsidRPr="00636B05">
              <w:t>Drying rack</w:t>
            </w:r>
          </w:p>
          <w:p w14:paraId="1650057B" w14:textId="77777777" w:rsidR="009102F5" w:rsidRPr="00636B05" w:rsidRDefault="009102F5" w:rsidP="00DA46B7">
            <w:pPr>
              <w:pStyle w:val="TableBullet1"/>
              <w:cnfStyle w:val="000000000000" w:firstRow="0" w:lastRow="0" w:firstColumn="0" w:lastColumn="0" w:oddVBand="0" w:evenVBand="0" w:oddHBand="0" w:evenHBand="0" w:firstRowFirstColumn="0" w:firstRowLastColumn="0" w:lastRowFirstColumn="0" w:lastRowLastColumn="0"/>
            </w:pPr>
            <w:r w:rsidRPr="00636B05">
              <w:t>Laundry trolley</w:t>
            </w:r>
          </w:p>
          <w:p w14:paraId="16EEFDF4" w14:textId="77777777" w:rsidR="009102F5" w:rsidRPr="00636B05" w:rsidRDefault="009102F5" w:rsidP="00DA46B7">
            <w:pPr>
              <w:pStyle w:val="TableBullet1"/>
              <w:cnfStyle w:val="000000000000" w:firstRow="0" w:lastRow="0" w:firstColumn="0" w:lastColumn="0" w:oddVBand="0" w:evenVBand="0" w:oddHBand="0" w:evenHBand="0" w:firstRowFirstColumn="0" w:firstRowLastColumn="0" w:lastRowFirstColumn="0" w:lastRowLastColumn="0"/>
            </w:pPr>
            <w:r w:rsidRPr="00636B05">
              <w:t>Easy grip pegs</w:t>
            </w:r>
          </w:p>
          <w:p w14:paraId="69912AF1" w14:textId="77777777" w:rsidR="009102F5" w:rsidRPr="00636B05" w:rsidRDefault="009102F5" w:rsidP="00DA46B7">
            <w:pPr>
              <w:pStyle w:val="TableBullet1"/>
              <w:cnfStyle w:val="000000000000" w:firstRow="0" w:lastRow="0" w:firstColumn="0" w:lastColumn="0" w:oddVBand="0" w:evenVBand="0" w:oddHBand="0" w:evenHBand="0" w:firstRowFirstColumn="0" w:firstRowLastColumn="0" w:lastRowFirstColumn="0" w:lastRowLastColumn="0"/>
            </w:pPr>
            <w:r w:rsidRPr="00636B05">
              <w:t>Side opening appliances or stealth shelf</w:t>
            </w:r>
          </w:p>
        </w:tc>
      </w:tr>
    </w:tbl>
    <w:p w14:paraId="0B2C5A35" w14:textId="09D88BD9" w:rsidR="00953709" w:rsidRDefault="006728C7" w:rsidP="007C5E4A">
      <w:pPr>
        <w:pStyle w:val="Heading3"/>
        <w:spacing w:after="0"/>
      </w:pPr>
      <w:r w:rsidRPr="00636B05">
        <w:lastRenderedPageBreak/>
        <w:t>Costing AT Services</w:t>
      </w:r>
    </w:p>
    <w:p w14:paraId="48BF2790" w14:textId="77B08CA4" w:rsidR="0049160A" w:rsidRDefault="002F21BF" w:rsidP="00E864D7">
      <w:pPr>
        <w:pStyle w:val="ParaKeep"/>
      </w:pPr>
      <w:r>
        <w:t xml:space="preserve">This </w:t>
      </w:r>
      <w:r w:rsidR="00404FED">
        <w:t>review</w:t>
      </w:r>
      <w:r>
        <w:t xml:space="preserve"> proposes new </w:t>
      </w:r>
      <w:r w:rsidR="00F6003A">
        <w:t>program option</w:t>
      </w:r>
      <w:r>
        <w:t>s for consumers outside of the aged care system</w:t>
      </w:r>
      <w:r w:rsidR="00F80723">
        <w:t xml:space="preserve">. </w:t>
      </w:r>
      <w:r w:rsidR="00F6003A">
        <w:t xml:space="preserve">Services that relate to these new program options </w:t>
      </w:r>
      <w:r w:rsidR="006E4A94">
        <w:t>include</w:t>
      </w:r>
      <w:r w:rsidR="00ED5DD4">
        <w:t xml:space="preserve"> information, advice and a new </w:t>
      </w:r>
      <w:r w:rsidR="00781D37">
        <w:t xml:space="preserve">Digital </w:t>
      </w:r>
      <w:r w:rsidR="00ED5DD4">
        <w:t>AT Screen.</w:t>
      </w:r>
      <w:r w:rsidR="00410F76">
        <w:t xml:space="preserve"> </w:t>
      </w:r>
      <w:r w:rsidR="00ED5DD4">
        <w:t>These are discussed and costed in</w:t>
      </w:r>
      <w:r w:rsidR="0049160A">
        <w:t xml:space="preserve"> </w:t>
      </w:r>
      <w:r w:rsidR="0049160A" w:rsidRPr="0049160A">
        <w:rPr>
          <w:i/>
          <w:iCs/>
        </w:rPr>
        <w:t>Section</w:t>
      </w:r>
      <w:r w:rsidR="00ED5DD4" w:rsidRPr="0049160A">
        <w:rPr>
          <w:i/>
          <w:iCs/>
        </w:rPr>
        <w:t xml:space="preserve"> </w:t>
      </w:r>
      <w:r w:rsidR="0049160A" w:rsidRPr="0049160A">
        <w:rPr>
          <w:i/>
          <w:iCs/>
        </w:rPr>
        <w:fldChar w:fldCharType="begin"/>
      </w:r>
      <w:r w:rsidR="0049160A" w:rsidRPr="0049160A">
        <w:rPr>
          <w:i/>
          <w:iCs/>
        </w:rPr>
        <w:instrText xml:space="preserve"> REF _Ref41837212 \r \h </w:instrText>
      </w:r>
      <w:r w:rsidR="0049160A">
        <w:rPr>
          <w:i/>
          <w:iCs/>
        </w:rPr>
        <w:instrText xml:space="preserve"> \* MERGEFORMAT </w:instrText>
      </w:r>
      <w:r w:rsidR="0049160A" w:rsidRPr="0049160A">
        <w:rPr>
          <w:i/>
          <w:iCs/>
        </w:rPr>
      </w:r>
      <w:r w:rsidR="0049160A" w:rsidRPr="0049160A">
        <w:rPr>
          <w:i/>
          <w:iCs/>
        </w:rPr>
        <w:fldChar w:fldCharType="separate"/>
      </w:r>
      <w:r w:rsidR="00CC3F04">
        <w:rPr>
          <w:i/>
          <w:iCs/>
        </w:rPr>
        <w:t>4</w:t>
      </w:r>
      <w:r w:rsidR="0049160A" w:rsidRPr="0049160A">
        <w:rPr>
          <w:i/>
          <w:iCs/>
        </w:rPr>
        <w:fldChar w:fldCharType="end"/>
      </w:r>
      <w:r w:rsidR="0049160A">
        <w:t xml:space="preserve">. </w:t>
      </w:r>
      <w:r w:rsidR="00812399">
        <w:t>These services are designed to support the appropriate provision of AT and aid in minimising abandonment.</w:t>
      </w:r>
    </w:p>
    <w:p w14:paraId="4644FCC7" w14:textId="4ECE524D" w:rsidR="00682951" w:rsidRDefault="00FC5B19" w:rsidP="00E864D7">
      <w:pPr>
        <w:pStyle w:val="ParaKeep"/>
      </w:pPr>
      <w:r>
        <w:t xml:space="preserve">The </w:t>
      </w:r>
      <w:r w:rsidR="00DE0622">
        <w:t>program</w:t>
      </w:r>
      <w:r>
        <w:t xml:space="preserve"> options proposed in </w:t>
      </w:r>
      <w:r w:rsidRPr="0049160A">
        <w:rPr>
          <w:i/>
          <w:iCs/>
        </w:rPr>
        <w:t xml:space="preserve">Section </w:t>
      </w:r>
      <w:r w:rsidRPr="0049160A">
        <w:rPr>
          <w:i/>
          <w:iCs/>
        </w:rPr>
        <w:fldChar w:fldCharType="begin"/>
      </w:r>
      <w:r w:rsidRPr="0049160A">
        <w:rPr>
          <w:i/>
          <w:iCs/>
        </w:rPr>
        <w:instrText xml:space="preserve"> REF _Ref41837212 \r \h </w:instrText>
      </w:r>
      <w:r>
        <w:rPr>
          <w:i/>
          <w:iCs/>
        </w:rPr>
        <w:instrText xml:space="preserve"> \* MERGEFORMAT </w:instrText>
      </w:r>
      <w:r w:rsidRPr="0049160A">
        <w:rPr>
          <w:i/>
          <w:iCs/>
        </w:rPr>
      </w:r>
      <w:r w:rsidRPr="0049160A">
        <w:rPr>
          <w:i/>
          <w:iCs/>
        </w:rPr>
        <w:fldChar w:fldCharType="separate"/>
      </w:r>
      <w:r w:rsidR="00CC3F04">
        <w:rPr>
          <w:i/>
          <w:iCs/>
        </w:rPr>
        <w:t>4</w:t>
      </w:r>
      <w:r w:rsidRPr="0049160A">
        <w:rPr>
          <w:i/>
          <w:iCs/>
        </w:rPr>
        <w:fldChar w:fldCharType="end"/>
      </w:r>
      <w:r>
        <w:rPr>
          <w:i/>
          <w:iCs/>
        </w:rPr>
        <w:t xml:space="preserve"> </w:t>
      </w:r>
      <w:r w:rsidR="00010F78">
        <w:t>will boost the availability of AT</w:t>
      </w:r>
      <w:r w:rsidR="00F80723">
        <w:t xml:space="preserve">. </w:t>
      </w:r>
      <w:r w:rsidR="00010F78">
        <w:t xml:space="preserve">Additional </w:t>
      </w:r>
      <w:r w:rsidR="00BE7D2D">
        <w:t xml:space="preserve">CHSP </w:t>
      </w:r>
      <w:r w:rsidR="00010F78">
        <w:t xml:space="preserve">allied </w:t>
      </w:r>
      <w:r w:rsidR="00487B34">
        <w:t>health assessments</w:t>
      </w:r>
      <w:r w:rsidR="00010F78">
        <w:t xml:space="preserve"> needed to provide AT assessments have been costed </w:t>
      </w:r>
      <w:r w:rsidR="006E4A94">
        <w:t>in the model and use</w:t>
      </w:r>
      <w:r w:rsidR="0064126D">
        <w:t xml:space="preserve"> the average costs of a</w:t>
      </w:r>
      <w:r w:rsidR="006E4A94">
        <w:t xml:space="preserve"> CHSP</w:t>
      </w:r>
      <w:r w:rsidR="0064126D">
        <w:t xml:space="preserve"> allied health assessment</w:t>
      </w:r>
      <w:r w:rsidR="0064126D" w:rsidRPr="009D064D">
        <w:t xml:space="preserve"> </w:t>
      </w:r>
      <w:r w:rsidR="0064126D">
        <w:t>based on 2018-19 CHSP program data</w:t>
      </w:r>
      <w:r w:rsidR="00DE0622">
        <w:t>. A total cost of</w:t>
      </w:r>
      <w:r w:rsidR="0064126D">
        <w:t xml:space="preserve"> $</w:t>
      </w:r>
      <w:r w:rsidR="00B15DC9">
        <w:t>133.</w:t>
      </w:r>
      <w:r w:rsidR="00D21FC9">
        <w:t>38</w:t>
      </w:r>
      <w:r w:rsidR="0064126D">
        <w:t xml:space="preserve"> </w:t>
      </w:r>
      <w:r w:rsidR="000C16D6">
        <w:t xml:space="preserve">per assessment is </w:t>
      </w:r>
      <w:r w:rsidR="00D21FC9">
        <w:t xml:space="preserve">based on </w:t>
      </w:r>
      <w:r w:rsidR="00420921">
        <w:t xml:space="preserve">the actual unit price </w:t>
      </w:r>
      <w:r w:rsidR="00A36EFF">
        <w:t>derived from</w:t>
      </w:r>
      <w:r w:rsidR="00420921">
        <w:t xml:space="preserve"> the </w:t>
      </w:r>
      <w:r w:rsidR="004F5CC3">
        <w:t xml:space="preserve">draft </w:t>
      </w:r>
      <w:r w:rsidR="00420921">
        <w:t>2019</w:t>
      </w:r>
      <w:r w:rsidR="004F5CC3">
        <w:t xml:space="preserve"> Deloitte </w:t>
      </w:r>
      <w:r w:rsidR="00420921">
        <w:t>CHSP</w:t>
      </w:r>
      <w:r w:rsidR="004F5CC3">
        <w:t xml:space="preserve"> Data Study report</w:t>
      </w:r>
      <w:r w:rsidR="0033607E">
        <w:t xml:space="preserve"> </w:t>
      </w:r>
      <w:r w:rsidR="00161D52">
        <w:fldChar w:fldCharType="begin" w:fldLock="1"/>
      </w:r>
      <w:r w:rsidR="00161D52">
        <w:instrText>ADDIN CSL_CITATION {"citationItems":[{"id":"ITEM-1","itemData":{"author":[{"dropping-particle":"","family":"Deloitte Access Economics","given":"","non-dropping-particle":"","parse-names":false,"suffix":""}],"id":"ITEM-1","issued":{"date-parts":[["2019"]]},"title":"CHSP Data Study - Draft Report (Commerical in Confidence).","type":"article-journal"},"uris":["http://www.mendeley.com/documents/?uuid=ed0d8c87-a9ca-4b49-82c8-35d13ad4cbee"]}],"mendeley":{"formattedCitation":"(Deloitte Access Economics 2019)","plainTextFormattedCitation":"(Deloitte Access Economics 2019)","previouslyFormattedCitation":"(Deloitte Access Economics 2019)"},"properties":{"noteIndex":0},"schema":"https://github.com/citation-style-language/schema/raw/master/csl-citation.json"}</w:instrText>
      </w:r>
      <w:r w:rsidR="00161D52">
        <w:fldChar w:fldCharType="separate"/>
      </w:r>
      <w:r w:rsidR="00161D52" w:rsidRPr="00161D52">
        <w:rPr>
          <w:noProof/>
        </w:rPr>
        <w:t>(Deloitte Access Economics 2019)</w:t>
      </w:r>
      <w:r w:rsidR="00161D52">
        <w:fldChar w:fldCharType="end"/>
      </w:r>
      <w:r w:rsidR="00161D52">
        <w:t xml:space="preserve">. </w:t>
      </w:r>
    </w:p>
    <w:p w14:paraId="01E52AF4" w14:textId="02B07EDB" w:rsidR="009361EB" w:rsidRDefault="00E32D9B" w:rsidP="00454DFC">
      <w:pPr>
        <w:pStyle w:val="Heading3"/>
      </w:pPr>
      <w:r>
        <w:t>AT cost</w:t>
      </w:r>
      <w:r w:rsidR="007816EC">
        <w:t xml:space="preserve"> results</w:t>
      </w:r>
    </w:p>
    <w:p w14:paraId="71245A62" w14:textId="0B029B59" w:rsidR="00E32D9B" w:rsidRDefault="00CE6DE1" w:rsidP="00E32D9B">
      <w:pPr>
        <w:pStyle w:val="Paragraph"/>
        <w:rPr>
          <w:lang w:eastAsia="en-AU"/>
        </w:rPr>
      </w:pPr>
      <w:r>
        <w:rPr>
          <w:lang w:eastAsia="en-AU"/>
        </w:rPr>
        <w:t xml:space="preserve">The </w:t>
      </w:r>
      <w:r w:rsidR="007816EC">
        <w:rPr>
          <w:lang w:eastAsia="en-AU"/>
        </w:rPr>
        <w:t>c</w:t>
      </w:r>
      <w:r w:rsidR="00C2726F">
        <w:rPr>
          <w:lang w:eastAsia="en-AU"/>
        </w:rPr>
        <w:t>ost-benefit approach</w:t>
      </w:r>
      <w:r w:rsidR="004C7772">
        <w:rPr>
          <w:lang w:eastAsia="en-AU"/>
        </w:rPr>
        <w:t xml:space="preserve"> </w:t>
      </w:r>
      <w:r w:rsidR="00040F4D">
        <w:rPr>
          <w:lang w:eastAsia="en-AU"/>
        </w:rPr>
        <w:t>involved</w:t>
      </w:r>
      <w:r w:rsidR="00926B1A">
        <w:rPr>
          <w:lang w:eastAsia="en-AU"/>
        </w:rPr>
        <w:t xml:space="preserve"> </w:t>
      </w:r>
      <w:r w:rsidR="00B50210">
        <w:rPr>
          <w:lang w:eastAsia="en-AU"/>
        </w:rPr>
        <w:t xml:space="preserve">calculating </w:t>
      </w:r>
      <w:r w:rsidR="00FC4999">
        <w:rPr>
          <w:lang w:eastAsia="en-AU"/>
        </w:rPr>
        <w:t>total costs</w:t>
      </w:r>
      <w:r w:rsidR="00C2726F">
        <w:rPr>
          <w:lang w:eastAsia="en-AU"/>
        </w:rPr>
        <w:t xml:space="preserve"> for the total population </w:t>
      </w:r>
      <w:r w:rsidR="006D4FC0">
        <w:rPr>
          <w:lang w:eastAsia="en-AU"/>
        </w:rPr>
        <w:t xml:space="preserve">of older Australians </w:t>
      </w:r>
      <w:r w:rsidR="00C2726F">
        <w:rPr>
          <w:lang w:eastAsia="en-AU"/>
        </w:rPr>
        <w:t>and for aged care program cohorts</w:t>
      </w:r>
      <w:r w:rsidR="004C7772">
        <w:rPr>
          <w:lang w:eastAsia="en-AU"/>
        </w:rPr>
        <w:t xml:space="preserve">. </w:t>
      </w:r>
      <w:r w:rsidR="00F6001E">
        <w:rPr>
          <w:lang w:eastAsia="en-AU"/>
        </w:rPr>
        <w:t xml:space="preserve">Real life CHSP case </w:t>
      </w:r>
      <w:r w:rsidR="00C86BE2">
        <w:rPr>
          <w:lang w:eastAsia="en-AU"/>
        </w:rPr>
        <w:t xml:space="preserve">studies, known as ‘archetypes’ were also used to test </w:t>
      </w:r>
      <w:r w:rsidR="001267F5">
        <w:rPr>
          <w:lang w:eastAsia="en-AU"/>
        </w:rPr>
        <w:t>costing results.</w:t>
      </w:r>
      <w:r w:rsidR="00410F76">
        <w:rPr>
          <w:lang w:eastAsia="en-AU"/>
        </w:rPr>
        <w:t xml:space="preserve"> </w:t>
      </w:r>
    </w:p>
    <w:p w14:paraId="3A2289E0" w14:textId="703A0DA4" w:rsidR="001267F5" w:rsidRPr="00E32D9B" w:rsidRDefault="007816EC" w:rsidP="00E32D9B">
      <w:pPr>
        <w:pStyle w:val="Paragraph"/>
        <w:rPr>
          <w:lang w:eastAsia="en-AU"/>
        </w:rPr>
      </w:pPr>
      <w:r>
        <w:rPr>
          <w:rStyle w:val="Italic"/>
        </w:rPr>
        <w:t xml:space="preserve">The </w:t>
      </w:r>
      <w:r w:rsidRPr="00BA541B">
        <w:rPr>
          <w:rStyle w:val="Italic"/>
        </w:rPr>
        <w:t xml:space="preserve">Supplementary Technical Report, </w:t>
      </w:r>
      <w:r w:rsidRPr="008A5255">
        <w:rPr>
          <w:rStyle w:val="Italic"/>
        </w:rPr>
        <w:t>Appendix A</w:t>
      </w:r>
      <w:r>
        <w:t xml:space="preserve"> p</w:t>
      </w:r>
      <w:r w:rsidR="00053FD1">
        <w:t>rovides the</w:t>
      </w:r>
      <w:r w:rsidRPr="009203D8">
        <w:t xml:space="preserve"> </w:t>
      </w:r>
      <w:r w:rsidR="001267F5">
        <w:rPr>
          <w:lang w:eastAsia="en-AU"/>
        </w:rPr>
        <w:t xml:space="preserve">AT cost results </w:t>
      </w:r>
      <w:r w:rsidR="00053FD1">
        <w:rPr>
          <w:lang w:eastAsia="en-AU"/>
        </w:rPr>
        <w:t xml:space="preserve">from these phases, with the costs </w:t>
      </w:r>
      <w:r w:rsidR="002C61AC">
        <w:rPr>
          <w:lang w:eastAsia="en-AU"/>
        </w:rPr>
        <w:t xml:space="preserve">and the benefits </w:t>
      </w:r>
      <w:r w:rsidR="00053FD1">
        <w:rPr>
          <w:lang w:eastAsia="en-AU"/>
        </w:rPr>
        <w:t xml:space="preserve">for </w:t>
      </w:r>
      <w:r w:rsidR="00A26ED4">
        <w:rPr>
          <w:lang w:eastAsia="en-AU"/>
        </w:rPr>
        <w:t xml:space="preserve">future model options </w:t>
      </w:r>
      <w:r w:rsidR="00053FD1">
        <w:rPr>
          <w:lang w:eastAsia="en-AU"/>
        </w:rPr>
        <w:t>outline</w:t>
      </w:r>
      <w:r w:rsidR="002C61AC">
        <w:rPr>
          <w:lang w:eastAsia="en-AU"/>
        </w:rPr>
        <w:t>d</w:t>
      </w:r>
      <w:r w:rsidR="00A26ED4">
        <w:rPr>
          <w:lang w:eastAsia="en-AU"/>
        </w:rPr>
        <w:t xml:space="preserve"> in </w:t>
      </w:r>
      <w:r w:rsidR="00FD215C" w:rsidRPr="00604AFF">
        <w:rPr>
          <w:i/>
          <w:iCs/>
          <w:lang w:eastAsia="en-AU"/>
        </w:rPr>
        <w:t>Section</w:t>
      </w:r>
      <w:r w:rsidR="00024EEE" w:rsidRPr="00604AFF">
        <w:rPr>
          <w:i/>
          <w:iCs/>
          <w:lang w:eastAsia="en-AU"/>
        </w:rPr>
        <w:t xml:space="preserve"> </w:t>
      </w:r>
      <w:r w:rsidR="002C61AC">
        <w:rPr>
          <w:i/>
          <w:iCs/>
          <w:lang w:eastAsia="en-AU"/>
        </w:rPr>
        <w:fldChar w:fldCharType="begin"/>
      </w:r>
      <w:r w:rsidR="002C61AC">
        <w:rPr>
          <w:i/>
          <w:iCs/>
          <w:lang w:eastAsia="en-AU"/>
        </w:rPr>
        <w:instrText xml:space="preserve"> REF _Ref42673156 \r \h </w:instrText>
      </w:r>
      <w:r w:rsidR="002C61AC">
        <w:rPr>
          <w:i/>
          <w:iCs/>
          <w:lang w:eastAsia="en-AU"/>
        </w:rPr>
      </w:r>
      <w:r w:rsidR="002C61AC">
        <w:rPr>
          <w:i/>
          <w:iCs/>
          <w:lang w:eastAsia="en-AU"/>
        </w:rPr>
        <w:fldChar w:fldCharType="separate"/>
      </w:r>
      <w:r w:rsidR="00CC3F04">
        <w:rPr>
          <w:i/>
          <w:iCs/>
          <w:lang w:eastAsia="en-AU"/>
        </w:rPr>
        <w:t>4.4</w:t>
      </w:r>
      <w:r w:rsidR="002C61AC">
        <w:rPr>
          <w:i/>
          <w:iCs/>
          <w:lang w:eastAsia="en-AU"/>
        </w:rPr>
        <w:fldChar w:fldCharType="end"/>
      </w:r>
      <w:r w:rsidR="00EC4322">
        <w:rPr>
          <w:i/>
          <w:iCs/>
          <w:lang w:eastAsia="en-AU"/>
        </w:rPr>
        <w:t>.</w:t>
      </w:r>
      <w:r w:rsidR="00410F76">
        <w:rPr>
          <w:lang w:eastAsia="en-AU"/>
        </w:rPr>
        <w:t xml:space="preserve"> </w:t>
      </w:r>
    </w:p>
    <w:p w14:paraId="3F91822F" w14:textId="77777777" w:rsidR="003E135A" w:rsidRPr="00DF526E" w:rsidRDefault="003E135A" w:rsidP="003E135A">
      <w:pPr>
        <w:pStyle w:val="Heading2"/>
      </w:pPr>
      <w:bookmarkStart w:id="93" w:name="_Toc42243703"/>
      <w:bookmarkStart w:id="94" w:name="_Ref42672869"/>
      <w:bookmarkStart w:id="95" w:name="_Toc59402379"/>
      <w:r w:rsidRPr="00DF526E">
        <w:t>Benefits of AT</w:t>
      </w:r>
      <w:bookmarkEnd w:id="93"/>
      <w:bookmarkEnd w:id="94"/>
      <w:bookmarkEnd w:id="95"/>
    </w:p>
    <w:p w14:paraId="4C3C1A44" w14:textId="77777777" w:rsidR="003E135A" w:rsidRPr="00805DBA" w:rsidRDefault="003E135A" w:rsidP="003E135A">
      <w:pPr>
        <w:pStyle w:val="Heading3"/>
      </w:pPr>
      <w:r w:rsidRPr="00805DBA">
        <w:t xml:space="preserve">Introduction </w:t>
      </w:r>
    </w:p>
    <w:p w14:paraId="38C890B3" w14:textId="77777777" w:rsidR="003E135A" w:rsidRDefault="003E135A" w:rsidP="003E135A">
      <w:pPr>
        <w:pStyle w:val="ParaKeep"/>
      </w:pPr>
      <w:r w:rsidRPr="00DF526E">
        <w:t xml:space="preserve">The benefits of AT for people with disability and older people are widely acknowledged and are increasingly supported by </w:t>
      </w:r>
      <w:r>
        <w:t xml:space="preserve">the literature as well as consistently reported in consultations. </w:t>
      </w:r>
      <w:r w:rsidRPr="00DF526E">
        <w:t>AT has four distinct beneficiaries: consumers, carers, service providers (aged care, disability and health care) and governments.</w:t>
      </w:r>
      <w:r>
        <w:t xml:space="preserve"> </w:t>
      </w:r>
    </w:p>
    <w:p w14:paraId="0163EF62" w14:textId="77777777" w:rsidR="003E135A" w:rsidRPr="00DF526E" w:rsidRDefault="003E135A" w:rsidP="003E135A">
      <w:pPr>
        <w:pStyle w:val="ParaKeep"/>
      </w:pPr>
      <w:r>
        <w:t>The benefits of AT for different beneficiaries can be summarised as follows:</w:t>
      </w:r>
    </w:p>
    <w:p w14:paraId="71E33999" w14:textId="77777777" w:rsidR="003E135A" w:rsidRPr="00DF526E" w:rsidRDefault="003E135A" w:rsidP="003E135A">
      <w:pPr>
        <w:pStyle w:val="ParaKeep"/>
        <w:rPr>
          <w:lang w:eastAsia="en-AU"/>
        </w:rPr>
      </w:pPr>
      <w:r w:rsidRPr="00DF526E">
        <w:rPr>
          <w:rStyle w:val="Bold"/>
        </w:rPr>
        <w:t>Consumer</w:t>
      </w:r>
      <w:r w:rsidRPr="00DF526E">
        <w:rPr>
          <w:lang w:eastAsia="en-AU"/>
        </w:rPr>
        <w:t xml:space="preserve"> benefits include:</w:t>
      </w:r>
    </w:p>
    <w:p w14:paraId="352588DC" w14:textId="77777777" w:rsidR="003E135A" w:rsidRPr="00DF526E" w:rsidRDefault="003E135A" w:rsidP="003E135A">
      <w:pPr>
        <w:pStyle w:val="Bullet1"/>
      </w:pPr>
      <w:r w:rsidRPr="00DF526E">
        <w:t>Increased independence and autonomy</w:t>
      </w:r>
    </w:p>
    <w:p w14:paraId="7C00430C" w14:textId="77777777" w:rsidR="003E135A" w:rsidRPr="00DF526E" w:rsidRDefault="003E135A" w:rsidP="003E135A">
      <w:pPr>
        <w:pStyle w:val="Bullet1"/>
      </w:pPr>
      <w:r w:rsidRPr="00DF526E">
        <w:t>Maintenance of personal care</w:t>
      </w:r>
    </w:p>
    <w:p w14:paraId="31192F7A" w14:textId="77777777" w:rsidR="003E135A" w:rsidRPr="00DF526E" w:rsidRDefault="003E135A" w:rsidP="003E135A">
      <w:pPr>
        <w:pStyle w:val="Bullet1"/>
      </w:pPr>
      <w:r w:rsidRPr="00DF526E">
        <w:t>Reduced personal pain or injury</w:t>
      </w:r>
    </w:p>
    <w:p w14:paraId="2E3F2893" w14:textId="77777777" w:rsidR="003E135A" w:rsidRPr="00DF526E" w:rsidRDefault="003E135A" w:rsidP="003E135A">
      <w:pPr>
        <w:pStyle w:val="Bullet1"/>
      </w:pPr>
      <w:r w:rsidRPr="00DF526E">
        <w:t>Slower functional decline</w:t>
      </w:r>
    </w:p>
    <w:p w14:paraId="48044D4B" w14:textId="77777777" w:rsidR="003E135A" w:rsidRPr="00DF526E" w:rsidRDefault="003E135A" w:rsidP="003E135A">
      <w:pPr>
        <w:pStyle w:val="Bullet1"/>
      </w:pPr>
      <w:r w:rsidRPr="00DF526E">
        <w:t>Reduced risk and improved safety (e.g.</w:t>
      </w:r>
      <w:r>
        <w:t> </w:t>
      </w:r>
      <w:r w:rsidRPr="00DF526E">
        <w:t>falls prevention)</w:t>
      </w:r>
    </w:p>
    <w:p w14:paraId="6816116F" w14:textId="77777777" w:rsidR="003E135A" w:rsidRPr="00DF526E" w:rsidRDefault="003E135A" w:rsidP="003E135A">
      <w:pPr>
        <w:pStyle w:val="Bullet1"/>
      </w:pPr>
      <w:r>
        <w:t>Increased productivity</w:t>
      </w:r>
    </w:p>
    <w:p w14:paraId="31A7AB56" w14:textId="09D2654E" w:rsidR="003E135A" w:rsidRPr="00DF526E" w:rsidRDefault="003E135A" w:rsidP="003E135A">
      <w:pPr>
        <w:pStyle w:val="Bullet1"/>
      </w:pPr>
      <w:r w:rsidRPr="00DF526E">
        <w:t xml:space="preserve">Improvements in aspects of wellbeing including confidence, satisfaction, quality of life, social inclusion, community participation and a sense of security </w:t>
      </w:r>
      <w:r w:rsidRPr="00DF526E">
        <w:fldChar w:fldCharType="begin" w:fldLock="1"/>
      </w:r>
      <w:r w:rsidR="002829AB">
        <w:instrText>ADDIN CSL_CITATION {"citationItems":[{"id":"ITEM-1","itemData":{"DOI":"10.1080/17483107.2016.1272140","ISSN":"17483115","abstract":"Purpose: To explore the acceptability and value of three wearable GPS devices for older persons and individuals with a disability and safety concerns when accessing the community. Methods: This pilot study explored six wearers’ and their support persons’ experience of using three different wearable GPS devices (a pendant, watch, and mini GPS phone), each for a two-week period. Results: Participants identified safety as the main value of using a wearable GPS device. The acceptability and value of these devices was strongly influenced by device features, ease of use, cost, appearance, the reliability of the GPS coordinates, the wearer’s health condition and the users familiarity with technology. Overall, participants indicated that they preferred the pendant. Conclusions: Wearable GPS devices are potentially useful in providing individuals who have safety concerns with reassurance and access to assistance as required. To ensure successful utilization, future device design and device selection should consider the user’s familiarity with technology and their health condition. This study also revealed that not all wearable GPS devices provide continuous location tracking. It is therefore critical to ensure that the device’s location tracking functions address the wearer’s requirements and reason for using the device.Implications for Rehabilitation The acceptability and usability of wearable GPS devices is strongly influenced by the device features, ease of use, cost, appearance, the reliability of the device to provide accurate and timely GPS coordinates, as well as the health condition of the wearer and their familiarity with technology. Wearable GPS devices need to be simple to use and support and training is essential to ensure they are successfully utilized. Not all wearable GPS devices provide continuous location tracking and accuracy of location is impacted by line of sight to satellites. Therefore, care needs to be taken when choosing a suitable device, to ensure that the device’s location tracking features are based on the wearer’s requirements and value behind using the device.","author":[{"dropping-particle":"","family":"Williamson","given":"Brittany","non-dropping-particle":"","parse-names":false,"suffix":""},{"dropping-particle":"","family":"Aplin","given":"Tammy","non-dropping-particle":"","parse-names":false,"suffix":""},{"dropping-particle":"","family":"Jonge","given":"Desleigh","non-dropping-particle":"de","parse-names":false,"suffix":""},{"dropping-particle":"","family":"Goyne","given":"Matthew","non-dropping-particle":"","parse-names":false,"suffix":""}],"container-title":"Disability and Rehabilitation: Assistive Technology","id":"ITEM-1","issue":"8","issued":{"date-parts":[["2017"]]},"page":"822-831","title":"Tracking down a solution: Exploring the acceptability and value of wearable GPS devices for older persons, individuals with a disability and their support persons","type":"article-journal","volume":"12"},"uris":["http://www.mendeley.com/documents/?uuid=72aa824b-ebb2-479a-bbf4-549a11461a86","http://www.mendeley.com/documents/?uuid=a50fcf52-28d4-489e-b2f4-5481e81bdc7c"]},{"id":"ITEM-2","itemData":{"ISBN":"9789240694811","abstract":"The National Aged Care Alliance (the Alliance) comprises 50 peak national organisations in aged care, representing consumer groups, providers, unions and health professionals, working together to determine a more positive future for aged care in Australia. As a leading voice for improvements to aged care for the past decade, the Alliance strives to implement its vision for ageing in Australia, that: Every older Australian is able to live well, with dignity and independence, as part of their community and in a place of their choosing, with a choice of appropriate and affordable support and care services when they need them. 1 Further information about the Alliance is available at http://www.naca.asn.au/.","author":[{"dropping-particle":"","family":"Layton","given":"N.","non-dropping-particle":"","parse-names":false,"suffix":""},{"dropping-particle":"","family":"Irlam","given":"C.","non-dropping-particle":"","parse-names":false,"suffix":""}],"id":"ITEM-2","issued":{"date-parts":[["2018"]]},"publisher":"National Aged Care Alliance","publisher-place":"Canberra","title":"Assistive technology for older Australians: Rapid evidence review and economic pathway analysis","type":"book"},"uris":["http://www.mendeley.com/documents/?uuid=5171371d-65fc-4041-86d9-dc40df9c6925","http://www.mendeley.com/documents/?uuid=2d4562c6-3dd4-4350-b7c8-3643cf0ac585"]},{"id":"ITEM-3","itemData":{"author":[{"dropping-particle":"","family":"McDonald","given":"Rachael","non-dropping-particle":"","parse-names":false,"suffix":""},{"dropping-particle":"","family":"Thomacos","given":"Nikos","non-dropping-particle":"","parse-names":false,"suffix":""},{"dropping-particle":"","family":"Inglis","given":"Katherine","non-dropping-particle":"","parse-names":false,"suffix":""}],"id":"ITEM-3","issued":{"date-parts":[["2013"]]},"publisher":"Research report # 0413-022-026-RR1, Institute for Safety, Compensation and Recovery Research","title":"Review of current and emerging assistive technologies for the reduction of care attendant hours: cost effectiveness , decision making tools and emerging practices","type":"book"},"uris":["http://www.mendeley.com/documents/?uuid=6ca6be6d-6c2e-48a7-9e38-af031218eb4c","http://www.mendeley.com/documents/?uuid=32568a5a-e841-4249-9421-01b8d2e63360","http://www.mendeley.com/documents/?uuid=23375bb9-b9cc-474c-8c66-87e67ef87d83"]},{"id":"ITEM-4","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arnett","given":"K","non-dropping-particle":"","parse-names":false,"suffix":""},{"dropping-particle":"","family":"Livingstone","given":"A","non-dropping-particle":"","parse-names":false,"suffix":""},{"dropping-particle":"","family":"Margelis","given":"G","non-dropping-particle":"","parse-names":false,"suffix":""},{"dropping-particle":"","family":"Tomlins","given":"G","non-dropping-particle":"","parse-names":false,"suffix":""},{"dropping-particle":"","family":"Young","given":"R","non-dropping-particle":"","parse-names":false,"suffix":""}],"id":"ITEM-4","issued":{"date-parts":[["2019"]]},"publisher":"Aged Care Industry Information Technology Council","title":"Aged and community sector technology and innovative practice: Discussion paper 2019","type":"book"},"uris":["http://www.mendeley.com/documents/?uuid=7ed830c5-6bf2-49b7-a1bf-9c7c1b6955cf","http://www.mendeley.com/documents/?uuid=20004443-caf5-4fee-af98-a84408df59f4","http://www.mendeley.com/documents/?uuid=c85bf37f-5eaf-46ad-9510-bed65935f705"]}],"mendeley":{"formattedCitation":"(Williamson et al. 2017, Layton &amp; Irlam 2018, McDonald et al. 2013, Barnett et al. 2019)","manualFormatting":"(Williamson et al. 2017, Layton &amp; Irlam 2018, McDonald et al. 2013, Barnett et al. 2019)","plainTextFormattedCitation":"(Williamson et al. 2017, Layton &amp; Irlam 2018, McDonald et al. 2013, Barnett et al. 2019)","previouslyFormattedCitation":"(Williamson et al. 2017, Layton &amp; Irlam 2018, McDonald et al. 2013, Barnett et al. 2019)"},"properties":{"noteIndex":0},"schema":"https://github.com/citation-style-language/schema/raw/master/csl-citation.json"}</w:instrText>
      </w:r>
      <w:r w:rsidRPr="00DF526E">
        <w:fldChar w:fldCharType="separate"/>
      </w:r>
      <w:r w:rsidRPr="00DF526E">
        <w:rPr>
          <w:noProof/>
        </w:rPr>
        <w:t>(Williamson et al. 2017, Layton &amp; Irlam 2018, McDonald et al. 2013, Barnett et al. 2019)</w:t>
      </w:r>
      <w:r w:rsidRPr="00DF526E">
        <w:fldChar w:fldCharType="end"/>
      </w:r>
      <w:r w:rsidRPr="00DF526E">
        <w:t>.</w:t>
      </w:r>
    </w:p>
    <w:p w14:paraId="0864DE2F" w14:textId="77777777" w:rsidR="003E135A" w:rsidRPr="00DF526E" w:rsidRDefault="003E135A" w:rsidP="003E135A">
      <w:pPr>
        <w:pStyle w:val="ParaKeep"/>
      </w:pPr>
      <w:r w:rsidRPr="00DF526E">
        <w:lastRenderedPageBreak/>
        <w:t xml:space="preserve">Consumers may also benefit from AT in a residential aged care setting </w:t>
      </w:r>
      <w:r w:rsidRPr="00DF526E">
        <w:fldChar w:fldCharType="begin" w:fldLock="1"/>
      </w:r>
      <w:r w:rsidRPr="00DF526E">
        <w:instrText>ADDIN CSL_CITATION {"citationItems":[{"id":"ITEM-1","itemData":{"DOI":"10.1016/j.ijmedinf.2015.05.014","ISSN":"1386-5056","abstract":"BACKGROUND: Recently, a number of Information and Communication Technologies have emerged with the aim to provide innovative and efficient ways to help seniors in their daily life and to reduce the cost of healthcare. Studies have been conducted to introduce an assistive technology to support seniors and to investigate the acceptance of these assistive technologies; however, research illustrating the effectiveness of assistive technologies is scant. METHOD: This study undertakes a systematic literature review of ScienceDirect, PubMed, ProQuest and IEEE Explore databases to investigate current empirical studies on the assistive technologies applied in aged care. Our systematic review of an initial set of 2035 studies published from 2000 to 2014 examines the role of assistive technologies in seniors' daily lives, from enhancements in their mobility to improvements in the social connectedness and decreases in readmission to hospitals. RESULTS: This study found eight key issues in aged care that have been targeted by researchers from different disciplines (e.g., ICT, health and social science), namely, dependent living, fall risk, chronic disease, dementia, social isolation, depression, poor well-being, and poor medication management. This paper also identified the assistive technologies that have been proposed to overcome those problems, and we categorised these assistive technologies into six clusters, namely, general ICT, robotics, telemedicine, sensor technology, medication management applications, and video games. In addition, we analyzed the effectiveness of the identified technologies and noted that some technologies can change and enhance seniors' daily lives and relieve their problems. Our analysis showed a significant growth in the number of publications in this area in the past few years. It also showed that most of the studies in this area have been conducted in North America. CONCLUSION: Assistive technologies are a reality and can be applied to improve quality of life, especially among older age groups. This study identified various assistive technologies proposed by ICT researchers to assist the elderly. We also identified the effectiveness of the proposed technologies. This review shows that, although assistive technologies have been positively evaluated, more studies are needed regarding the outcome and effectiveness of these technologies.","author":[{"dropping-particle":"","family":"Khosravi","given":"P","non-dropping-particle":"","parse-names":false,"suffix":""},{"dropping-particle":"","family":"Ghapanchi","given":"A H","non-dropping-particle":"","parse-names":false,"suffix":""}],"container-title":"Int J Med Inform","edition":"2015/07/29","id":"ITEM-1","issue":"1","issued":{"date-parts":[["2016"]]},"language":"eng","note":"1872-8243\nKhosravi, Pouria\nGhapanchi, Amir Hossein\nJournal Article\nReview\nIreland\nInt J Med Inform. 2016 Jan;85(1):17-26. doi: 10.1016/j.ijmedinf.2015.05.014. Epub 2015 Jun 11.","page":"17-26","publisher-place":"School of Information and Communication Technology, Griffith University, Gold Coast, Queensland 4222, Australia. Electronic address: pouria.khosravi@griffithuni.edu.au. School of Information and Communication Technology, Griffith University, Gold Coast, Q","title":"Investigating the effectiveness of technologies applied to assist seniors: A systematic literature review","type":"article-journal","volume":"85"},"uris":["http://www.mendeley.com/documents/?uuid=52d3dee5-55fb-4264-ba54-1b29a1c051c8","http://www.mendeley.com/documents/?uuid=1fb5648d-7750-43d9-9cba-1a02ca486d5d"]}],"mendeley":{"formattedCitation":"(Khosravi &amp; Ghapanchi 2016)","plainTextFormattedCitation":"(Khosravi &amp; Ghapanchi 2016)","previouslyFormattedCitation":"(Khosravi &amp; Ghapanchi 2016)"},"properties":{"noteIndex":0},"schema":"https://github.com/citation-style-language/schema/raw/master/csl-citation.json"}</w:instrText>
      </w:r>
      <w:r w:rsidRPr="00DF526E">
        <w:fldChar w:fldCharType="separate"/>
      </w:r>
      <w:r w:rsidRPr="00DF526E">
        <w:rPr>
          <w:noProof/>
        </w:rPr>
        <w:t>(Khosravi &amp; Ghapanchi 2016)</w:t>
      </w:r>
      <w:r w:rsidRPr="00DF526E">
        <w:fldChar w:fldCharType="end"/>
      </w:r>
      <w:r w:rsidRPr="00DF526E">
        <w:t>, including managing:</w:t>
      </w:r>
    </w:p>
    <w:p w14:paraId="20AC5FAF" w14:textId="77777777" w:rsidR="003E135A" w:rsidRPr="00DF526E" w:rsidRDefault="003E135A" w:rsidP="003E135A">
      <w:pPr>
        <w:pStyle w:val="Bullet1"/>
      </w:pPr>
      <w:r w:rsidRPr="00DF526E">
        <w:t>Chronic disease</w:t>
      </w:r>
    </w:p>
    <w:p w14:paraId="0FDF6F4E" w14:textId="77777777" w:rsidR="003E135A" w:rsidRPr="00DF526E" w:rsidRDefault="003E135A" w:rsidP="003E135A">
      <w:pPr>
        <w:pStyle w:val="Bullet1"/>
      </w:pPr>
      <w:r w:rsidRPr="00DF526E">
        <w:t>Dementia</w:t>
      </w:r>
    </w:p>
    <w:p w14:paraId="09BDB5B1" w14:textId="77777777" w:rsidR="003E135A" w:rsidRPr="00DF526E" w:rsidRDefault="003E135A" w:rsidP="003E135A">
      <w:pPr>
        <w:pStyle w:val="Bullet1"/>
      </w:pPr>
      <w:r w:rsidRPr="00DF526E">
        <w:t>Mental health issues</w:t>
      </w:r>
    </w:p>
    <w:p w14:paraId="4DEFFD2C" w14:textId="77777777" w:rsidR="003E135A" w:rsidRPr="00DF526E" w:rsidRDefault="003E135A" w:rsidP="003E135A">
      <w:pPr>
        <w:pStyle w:val="Bullet1"/>
      </w:pPr>
      <w:r w:rsidRPr="00DF526E">
        <w:t>Medication.</w:t>
      </w:r>
    </w:p>
    <w:p w14:paraId="0AD071D4" w14:textId="77777777" w:rsidR="003E135A" w:rsidRPr="00DF526E" w:rsidRDefault="003E135A" w:rsidP="003E135A">
      <w:pPr>
        <w:pStyle w:val="ParaKeep"/>
      </w:pPr>
      <w:r w:rsidRPr="00DF526E">
        <w:rPr>
          <w:rStyle w:val="Bold"/>
        </w:rPr>
        <w:t>Carer</w:t>
      </w:r>
      <w:r w:rsidRPr="00DF526E">
        <w:t xml:space="preserve"> benefits include:</w:t>
      </w:r>
    </w:p>
    <w:p w14:paraId="79AB9A9E" w14:textId="77777777" w:rsidR="003E135A" w:rsidRPr="005A179A" w:rsidRDefault="003E135A" w:rsidP="005A179A">
      <w:pPr>
        <w:pStyle w:val="Bullet1Keep"/>
      </w:pPr>
      <w:r w:rsidRPr="005A179A">
        <w:t>Improved relationships</w:t>
      </w:r>
    </w:p>
    <w:p w14:paraId="47579FFA" w14:textId="77777777" w:rsidR="003E135A" w:rsidRPr="00E570F3" w:rsidRDefault="003E135A" w:rsidP="003E135A">
      <w:pPr>
        <w:pStyle w:val="Bullet1"/>
      </w:pPr>
      <w:r w:rsidRPr="00E570F3">
        <w:t>Burden relief.</w:t>
      </w:r>
    </w:p>
    <w:p w14:paraId="07A107F9" w14:textId="77777777" w:rsidR="003E135A" w:rsidRPr="00F42B3F" w:rsidRDefault="003E135A" w:rsidP="003E135A">
      <w:pPr>
        <w:pStyle w:val="ParaKeep"/>
      </w:pPr>
      <w:r w:rsidRPr="00642F5C">
        <w:rPr>
          <w:rStyle w:val="Bold"/>
        </w:rPr>
        <w:t>Service provider</w:t>
      </w:r>
      <w:r w:rsidRPr="004470C2">
        <w:t xml:space="preserve"> </w:t>
      </w:r>
      <w:r w:rsidRPr="00642F5C">
        <w:t>benefits include:</w:t>
      </w:r>
    </w:p>
    <w:p w14:paraId="47BBA03E" w14:textId="77777777" w:rsidR="003E135A" w:rsidRPr="00DF526E" w:rsidRDefault="003E135A" w:rsidP="003E135A">
      <w:pPr>
        <w:pStyle w:val="Bullet1"/>
      </w:pPr>
      <w:r w:rsidRPr="00DF526E">
        <w:t>Supporting care-planning, care management, and medication management</w:t>
      </w:r>
    </w:p>
    <w:p w14:paraId="03FF3AA0" w14:textId="77777777" w:rsidR="003E135A" w:rsidRPr="00DF526E" w:rsidRDefault="003E135A" w:rsidP="003E135A">
      <w:pPr>
        <w:pStyle w:val="Bullet1"/>
      </w:pPr>
      <w:r w:rsidRPr="00DF526E">
        <w:t>Alleviating consumer frustration</w:t>
      </w:r>
    </w:p>
    <w:p w14:paraId="7178C644" w14:textId="77777777" w:rsidR="003E135A" w:rsidRPr="00DF526E" w:rsidRDefault="003E135A" w:rsidP="003E135A">
      <w:pPr>
        <w:pStyle w:val="Bullet1"/>
      </w:pPr>
      <w:r w:rsidRPr="00DF526E">
        <w:t>Providing more choice</w:t>
      </w:r>
    </w:p>
    <w:p w14:paraId="415B1D1B" w14:textId="77777777" w:rsidR="003E135A" w:rsidRPr="00DF526E" w:rsidRDefault="003E135A" w:rsidP="003E135A">
      <w:pPr>
        <w:pStyle w:val="Bullet1"/>
      </w:pPr>
      <w:r w:rsidRPr="00DF526E">
        <w:t>Conserving consumer energy</w:t>
      </w:r>
    </w:p>
    <w:p w14:paraId="5F787F21" w14:textId="77777777" w:rsidR="003E135A" w:rsidRPr="00DF526E" w:rsidRDefault="003E135A" w:rsidP="003E135A">
      <w:pPr>
        <w:pStyle w:val="Bullet1"/>
      </w:pPr>
      <w:r w:rsidRPr="00DF526E">
        <w:t>Enabling more function and activity</w:t>
      </w:r>
    </w:p>
    <w:p w14:paraId="2CB20B87" w14:textId="77777777" w:rsidR="003E135A" w:rsidRDefault="003E135A" w:rsidP="003E135A">
      <w:pPr>
        <w:pStyle w:val="Bullet1"/>
      </w:pPr>
      <w:r>
        <w:t>Increasing</w:t>
      </w:r>
      <w:r w:rsidRPr="00DF526E">
        <w:t xml:space="preserve"> safety in the home for support workers.</w:t>
      </w:r>
    </w:p>
    <w:p w14:paraId="4570FB28" w14:textId="77777777" w:rsidR="003E135A" w:rsidRPr="00805DBA" w:rsidRDefault="003E135A" w:rsidP="003E135A">
      <w:pPr>
        <w:pStyle w:val="Heading3"/>
      </w:pPr>
      <w:r w:rsidRPr="00805DBA">
        <w:t>Costing benefits</w:t>
      </w:r>
    </w:p>
    <w:p w14:paraId="1A600174" w14:textId="7EB0EABC" w:rsidR="003E135A" w:rsidRDefault="003E135A" w:rsidP="003E135A">
      <w:pPr>
        <w:pStyle w:val="ParaKeep"/>
      </w:pPr>
      <w:r w:rsidRPr="0085000F">
        <w:t xml:space="preserve">The benefits of access to, and use of, </w:t>
      </w:r>
      <w:r>
        <w:t>AT</w:t>
      </w:r>
      <w:r w:rsidRPr="0085000F">
        <w:t xml:space="preserve"> </w:t>
      </w:r>
      <w:r>
        <w:t>are</w:t>
      </w:r>
      <w:r w:rsidRPr="0085000F">
        <w:t xml:space="preserve"> well documented</w:t>
      </w:r>
      <w:r w:rsidR="002829AB">
        <w:t xml:space="preserve"> </w:t>
      </w:r>
      <w:r w:rsidR="002829AB">
        <w:fldChar w:fldCharType="begin" w:fldLock="1"/>
      </w:r>
      <w:r w:rsidR="002829AB">
        <w:instrText>ADDIN CSL_CITATION {"citationItems":[{"id":"ITEM-1","itemData":{"author":[{"dropping-particle":"","family":"Alshabeb","given":"A","non-dropping-particle":"","parse-names":false,"suffix":""},{"dropping-particle":"","family":"Abdulrahman","given":"O","non-dropping-particle":"","parse-names":false,"suffix":""}],"id":"ITEM-1","issue":"8","issued":{"date-parts":[["2019"]]},"page":"210-215","title":"Critical analysis of the benefits and drawbacks of assistive technology with special needs","type":"article-journal","volume":"6"},"uris":["http://www.mendeley.com/documents/?uuid=6e1b8546-0fde-45b9-af38-53574042d806"]}],"mendeley":{"formattedCitation":"(Alshabeb &amp; Abdulrahman 2019)","plainTextFormattedCitation":"(Alshabeb &amp; Abdulrahman 2019)","previouslyFormattedCitation":"(Alshabeb &amp; Abdulrahman 2019)"},"properties":{"noteIndex":0},"schema":"https://github.com/citation-style-language/schema/raw/master/csl-citation.json"}</w:instrText>
      </w:r>
      <w:r w:rsidR="002829AB">
        <w:fldChar w:fldCharType="separate"/>
      </w:r>
      <w:r w:rsidR="002829AB" w:rsidRPr="002829AB">
        <w:rPr>
          <w:noProof/>
        </w:rPr>
        <w:t>(Alshabeb &amp; Abdulrahman 2019)</w:t>
      </w:r>
      <w:r w:rsidR="002829AB">
        <w:fldChar w:fldCharType="end"/>
      </w:r>
      <w:r w:rsidR="002829AB">
        <w:t xml:space="preserve"> </w:t>
      </w:r>
      <w:r w:rsidR="002829AB">
        <w:fldChar w:fldCharType="begin" w:fldLock="1"/>
      </w:r>
      <w:r w:rsidR="002829AB">
        <w:instrText>ADDIN CSL_CITATION {"citationItems":[{"id":"ITEM-1","itemData":{"author":[{"dropping-particle":"","family":"Clay","given":"S.L","non-dropping-particle":"","parse-names":false,"suffix":""},{"dropping-particle":"","family":"Alston","given":"R.J","non-dropping-particle":"","parse-names":false,"suffix":""}],"container-title":"Technology and Disability","id":"ITEM-1","issued":{"date-parts":[["2016"]]},"page":"111-121","title":"The benefits of assistive technology use by persons with physical conditions: An examination of difficulty levels in areas of functioning","type":"article-journal","volume":"28"},"uris":["http://www.mendeley.com/documents/?uuid=36b82321-73a5-4c40-bfbd-fdbb982cf019"]}],"mendeley":{"formattedCitation":"(Clay &amp; Alston 2016)","plainTextFormattedCitation":"(Clay &amp; Alston 2016)","previouslyFormattedCitation":"(Clay &amp; Alston 2016)"},"properties":{"noteIndex":0},"schema":"https://github.com/citation-style-language/schema/raw/master/csl-citation.json"}</w:instrText>
      </w:r>
      <w:r w:rsidR="002829AB">
        <w:fldChar w:fldCharType="separate"/>
      </w:r>
      <w:r w:rsidR="002829AB" w:rsidRPr="002829AB">
        <w:rPr>
          <w:noProof/>
        </w:rPr>
        <w:t>(Clay &amp; Alston 2016)</w:t>
      </w:r>
      <w:r w:rsidR="002829AB">
        <w:fldChar w:fldCharType="end"/>
      </w:r>
      <w:r w:rsidR="002829AB">
        <w:t>;</w:t>
      </w:r>
      <w:r>
        <w:t xml:space="preserve"> h</w:t>
      </w:r>
      <w:r w:rsidRPr="0085000F">
        <w:t>owever, the</w:t>
      </w:r>
      <w:r>
        <w:t>y</w:t>
      </w:r>
      <w:r w:rsidRPr="0085000F">
        <w:t xml:space="preserve"> are rarely costed through a robust economic evaluation. </w:t>
      </w:r>
      <w:r>
        <w:t>Given that the available literature is limited in both quality and quantity, the benefits analysis used a two-pronged approach</w:t>
      </w:r>
      <w:r w:rsidDel="00CD7ED4">
        <w:t>:</w:t>
      </w:r>
    </w:p>
    <w:p w14:paraId="70248366" w14:textId="77777777" w:rsidR="003E135A" w:rsidRDefault="003E135A" w:rsidP="003E135A">
      <w:pPr>
        <w:pStyle w:val="Bullet1"/>
      </w:pPr>
      <w:r>
        <w:t xml:space="preserve">Rapid Evidence Review </w:t>
      </w:r>
    </w:p>
    <w:p w14:paraId="43D1CC1A" w14:textId="34CAB9DD" w:rsidR="003E135A" w:rsidRDefault="003E135A" w:rsidP="003E135A">
      <w:pPr>
        <w:pStyle w:val="Bullet1"/>
      </w:pPr>
      <w:r>
        <w:t xml:space="preserve">Delphi </w:t>
      </w:r>
      <w:r w:rsidR="005C7054">
        <w:t>Technique</w:t>
      </w:r>
      <w:r>
        <w:t xml:space="preserve">. </w:t>
      </w:r>
    </w:p>
    <w:p w14:paraId="628FD896" w14:textId="1F4B89DE" w:rsidR="003E135A" w:rsidRPr="00805DBA" w:rsidRDefault="003E135A" w:rsidP="003E135A">
      <w:pPr>
        <w:pStyle w:val="Heading3"/>
      </w:pPr>
      <w:r w:rsidRPr="00805DBA">
        <w:t>Rapid Evidence Review</w:t>
      </w:r>
    </w:p>
    <w:p w14:paraId="4374D5D9" w14:textId="77777777" w:rsidR="003E135A" w:rsidRPr="003561FC" w:rsidRDefault="003E135A" w:rsidP="003E135A">
      <w:pPr>
        <w:pStyle w:val="Heading4"/>
      </w:pPr>
      <w:r w:rsidRPr="003561FC">
        <w:t>Methods</w:t>
      </w:r>
    </w:p>
    <w:p w14:paraId="743CBA20" w14:textId="0387F9BF" w:rsidR="003E135A" w:rsidRPr="008E680E" w:rsidRDefault="003E135A" w:rsidP="00E864D7">
      <w:pPr>
        <w:pStyle w:val="ParaKeep"/>
      </w:pPr>
      <w:r w:rsidRPr="008E680E">
        <w:t xml:space="preserve">AHA undertook a </w:t>
      </w:r>
      <w:r w:rsidRPr="0085000F">
        <w:t xml:space="preserve">Rapid Evidence Review (RER) to examine the available evidence on whether AT effectively improves independence, autonomy, safety and participation for the target population </w:t>
      </w:r>
      <w:r>
        <w:t>through the identification of</w:t>
      </w:r>
      <w:r w:rsidRPr="0085000F">
        <w:t xml:space="preserve"> literature highlighting </w:t>
      </w:r>
      <w:r>
        <w:t xml:space="preserve">the </w:t>
      </w:r>
      <w:r w:rsidRPr="0085000F">
        <w:t>economic outcomes of AT</w:t>
      </w:r>
      <w:r w:rsidR="00F80723">
        <w:t xml:space="preserve">. </w:t>
      </w:r>
    </w:p>
    <w:p w14:paraId="71E24BCB" w14:textId="2CA2E9A6" w:rsidR="00392C98" w:rsidRDefault="003E135A" w:rsidP="003E135A">
      <w:pPr>
        <w:pStyle w:val="ParaKeep"/>
      </w:pPr>
      <w:r w:rsidRPr="008A6515">
        <w:rPr>
          <w:rStyle w:val="Italic"/>
        </w:rPr>
        <w:fldChar w:fldCharType="begin"/>
      </w:r>
      <w:r w:rsidRPr="008A6515">
        <w:rPr>
          <w:rStyle w:val="Italic"/>
        </w:rPr>
        <w:instrText xml:space="preserve"> REF _Ref42012596 \h </w:instrText>
      </w:r>
      <w:r>
        <w:rPr>
          <w:rStyle w:val="Italic"/>
        </w:rPr>
        <w:instrText xml:space="preserve"> \* MERGEFORMAT </w:instrText>
      </w:r>
      <w:r w:rsidRPr="008A6515">
        <w:rPr>
          <w:rStyle w:val="Italic"/>
        </w:rPr>
      </w:r>
      <w:r w:rsidRPr="008A6515">
        <w:rPr>
          <w:rStyle w:val="Italic"/>
        </w:rPr>
        <w:fldChar w:fldCharType="separate"/>
      </w:r>
      <w:r w:rsidR="00CC3F04" w:rsidRPr="00CC3F04">
        <w:rPr>
          <w:rStyle w:val="Italic"/>
        </w:rPr>
        <w:t>Figure 3</w:t>
      </w:r>
      <w:r w:rsidR="00CC3F04" w:rsidRPr="00CC3F04">
        <w:rPr>
          <w:rStyle w:val="Italic"/>
        </w:rPr>
        <w:noBreakHyphen/>
        <w:t>2</w:t>
      </w:r>
      <w:r w:rsidRPr="008A6515">
        <w:rPr>
          <w:rStyle w:val="Italic"/>
        </w:rPr>
        <w:fldChar w:fldCharType="end"/>
      </w:r>
      <w:r>
        <w:t xml:space="preserve"> summarises the results of the RER search</w:t>
      </w:r>
      <w:r w:rsidR="00F80723">
        <w:t xml:space="preserve">. </w:t>
      </w:r>
    </w:p>
    <w:p w14:paraId="2D8000D0" w14:textId="77777777" w:rsidR="00143C46" w:rsidRDefault="00143C46">
      <w:bookmarkStart w:id="96" w:name="_Ref42012596"/>
      <w:bookmarkStart w:id="97" w:name="_Toc42243783"/>
      <w:bookmarkStart w:id="98" w:name="_Toc59402413"/>
      <w:r>
        <w:br w:type="page"/>
      </w:r>
    </w:p>
    <w:p w14:paraId="04FBACE2" w14:textId="47E81525" w:rsidR="003E135A" w:rsidRPr="00736110" w:rsidRDefault="003E135A" w:rsidP="00143C46">
      <w:r w:rsidRPr="00736110">
        <w:lastRenderedPageBreak/>
        <w:t>Figure </w:t>
      </w:r>
      <w:r w:rsidR="00B303C0">
        <w:fldChar w:fldCharType="begin"/>
      </w:r>
      <w:r w:rsidR="00B303C0">
        <w:instrText xml:space="preserve"> STYLEREF 1 \s </w:instrText>
      </w:r>
      <w:r w:rsidR="00B303C0">
        <w:fldChar w:fldCharType="separate"/>
      </w:r>
      <w:r w:rsidR="00CC3F04">
        <w:rPr>
          <w:noProof/>
        </w:rPr>
        <w:t>3</w:t>
      </w:r>
      <w:r w:rsidR="00B303C0">
        <w:fldChar w:fldCharType="end"/>
      </w:r>
      <w:r w:rsidR="00B303C0">
        <w:noBreakHyphen/>
      </w:r>
      <w:r w:rsidR="00B303C0">
        <w:fldChar w:fldCharType="begin"/>
      </w:r>
      <w:r w:rsidR="00B303C0">
        <w:instrText xml:space="preserve"> SEQ Figure \* ARABIC \s 1 </w:instrText>
      </w:r>
      <w:r w:rsidR="00B303C0">
        <w:fldChar w:fldCharType="separate"/>
      </w:r>
      <w:r w:rsidR="00CC3F04">
        <w:rPr>
          <w:noProof/>
        </w:rPr>
        <w:t>2</w:t>
      </w:r>
      <w:r w:rsidR="00B303C0">
        <w:fldChar w:fldCharType="end"/>
      </w:r>
      <w:bookmarkEnd w:id="96"/>
      <w:r w:rsidRPr="00736110">
        <w:t>:</w:t>
      </w:r>
      <w:r w:rsidRPr="00736110">
        <w:tab/>
        <w:t>RER search results</w:t>
      </w:r>
      <w:bookmarkEnd w:id="97"/>
      <w:bookmarkEnd w:id="98"/>
    </w:p>
    <w:p w14:paraId="469F0BAB" w14:textId="1215DCF6" w:rsidR="003E135A" w:rsidRDefault="00720885" w:rsidP="005D03BD">
      <w:r>
        <w:rPr>
          <w:noProof/>
          <w:lang w:val="en-AU" w:eastAsia="en-AU"/>
        </w:rPr>
        <w:drawing>
          <wp:inline distT="0" distB="0" distL="0" distR="0" wp14:anchorId="359D7DE2" wp14:editId="4984BEE2">
            <wp:extent cx="6134735" cy="3727938"/>
            <wp:effectExtent l="0" t="0" r="75565" b="63500"/>
            <wp:docPr id="906" name="Diagram 906" descr="3,233 papers identified in initial EBSCOhost search&#10;- 310 duplicates removed&#10;= 2,923 papers exported to Excel database&#10;Title and abstract screened for inclusion and exclusion criteria&#10;= 162 papers selected for full-text review&#10;= 39 papers identified as relevant&#10;- 25 excluded due to non-AT focus, lack of costing data, etc&#10;+6 papers identified through NACA RER and reference lists&#10;= 20 papers in final yeild, examined to determine ROB &amp; CHEERS scor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6F7CD8F7" w14:textId="27D53899" w:rsidR="00392C98" w:rsidRDefault="00392C98" w:rsidP="00392C98">
      <w:pPr>
        <w:pStyle w:val="ParaKeep"/>
      </w:pPr>
      <w:r>
        <w:t xml:space="preserve">This indicates that: </w:t>
      </w:r>
    </w:p>
    <w:p w14:paraId="239C5DE3" w14:textId="77777777" w:rsidR="00392C98" w:rsidRDefault="00392C98" w:rsidP="00392C98">
      <w:pPr>
        <w:pStyle w:val="Bullet1"/>
      </w:pPr>
      <w:r>
        <w:t xml:space="preserve">Of the initial </w:t>
      </w:r>
      <w:r w:rsidRPr="000D198E">
        <w:t>2,923 </w:t>
      </w:r>
      <w:r>
        <w:t xml:space="preserve">unique papers identified, </w:t>
      </w:r>
      <w:r w:rsidRPr="000D198E">
        <w:t xml:space="preserve">162 papers </w:t>
      </w:r>
      <w:r>
        <w:t>had a</w:t>
      </w:r>
      <w:r w:rsidRPr="000D198E">
        <w:t xml:space="preserve"> full text review.</w:t>
      </w:r>
    </w:p>
    <w:p w14:paraId="40CAA582" w14:textId="77777777" w:rsidR="00392C98" w:rsidRDefault="00392C98" w:rsidP="00392C98">
      <w:pPr>
        <w:pStyle w:val="Bullet1"/>
      </w:pPr>
      <w:r>
        <w:t>39</w:t>
      </w:r>
      <w:r w:rsidRPr="000D198E">
        <w:t xml:space="preserve"> of these papers were identified </w:t>
      </w:r>
      <w:r>
        <w:t xml:space="preserve">and reviewed, with </w:t>
      </w:r>
      <w:r w:rsidRPr="000D198E">
        <w:t>25</w:t>
      </w:r>
      <w:r>
        <w:t xml:space="preserve"> papers </w:t>
      </w:r>
      <w:r w:rsidRPr="000D198E">
        <w:t>excluded</w:t>
      </w:r>
      <w:r>
        <w:t xml:space="preserve">. </w:t>
      </w:r>
      <w:r w:rsidRPr="000D198E">
        <w:t>Papers were excluded for multiple reasons (</w:t>
      </w:r>
      <w:r>
        <w:t xml:space="preserve">see </w:t>
      </w:r>
      <w:r>
        <w:rPr>
          <w:i/>
        </w:rPr>
        <w:t xml:space="preserve">Supplementary Technical Report Appendix B) </w:t>
      </w:r>
      <w:r>
        <w:t xml:space="preserve">but </w:t>
      </w:r>
      <w:r w:rsidRPr="000D198E">
        <w:t>most commonly because the paper was not specific to AT or the paper reported the prevalence of AT but not the cost</w:t>
      </w:r>
      <w:r>
        <w:t>.</w:t>
      </w:r>
      <w:r w:rsidRPr="000D198E">
        <w:t xml:space="preserve"> </w:t>
      </w:r>
    </w:p>
    <w:p w14:paraId="393C301D" w14:textId="77777777" w:rsidR="00392C98" w:rsidRDefault="00392C98" w:rsidP="00392C98">
      <w:pPr>
        <w:pStyle w:val="Bullet1"/>
      </w:pPr>
      <w:r w:rsidRPr="000D198E">
        <w:t xml:space="preserve">An additional six papers were identified through the </w:t>
      </w:r>
      <w:r w:rsidRPr="00E570F3">
        <w:rPr>
          <w:rStyle w:val="Italic"/>
        </w:rPr>
        <w:t>National Aged Care Alliance Position paper: Assistive technology for older Australians study</w:t>
      </w:r>
      <w:r>
        <w:rPr>
          <w:rStyle w:val="Italic"/>
        </w:rPr>
        <w:t xml:space="preserve"> </w:t>
      </w:r>
      <w:r>
        <w:fldChar w:fldCharType="begin" w:fldLock="1"/>
      </w:r>
      <w:r>
        <w:instrText>ADDIN CSL_CITATION {"citationItems":[{"id":"ITEM-1","itemData":{"ISBN":"9789240694811","abstract":"The National Aged Care Alliance (the Alliance) comprises 50 peak national organisations in aged care, representing consumer groups, providers, unions and health professionals, working together to determine a more positive future for aged care in Australia. As a leading voice for improvements to aged care for the past decade, the Alliance strives to implement its vision for ageing in Australia, that: Every older Australian is able to live well, with dignity and independence, as part of their community and in a place of their choosing, with a choice of appropriate and affordable support and care services when they need them. 1 Further information about the Alliance is available at http://www.naca.asn.au/.","author":[{"dropping-particle":"","family":"National Aged Care Alliance","given":"","non-dropping-particle":"","parse-names":false,"suffix":""}],"id":"ITEM-1","issue":"June","issued":{"date-parts":[["2018"]]},"title":"Position paper: Assistive technology for older Australians","type":"book"},"uris":["http://www.mendeley.com/documents/?uuid=95ce157c-871b-42a5-b039-6a23c5ec0ca8"]}],"mendeley":{"formattedCitation":"(National Aged Care Alliance 2018)","plainTextFormattedCitation":"(National Aged Care Alliance 2018)","previouslyFormattedCitation":"(National Aged Care Alliance 2018)"},"properties":{"noteIndex":0},"schema":"https://github.com/citation-style-language/schema/raw/master/csl-citation.json"}</w:instrText>
      </w:r>
      <w:r>
        <w:fldChar w:fldCharType="separate"/>
      </w:r>
      <w:r w:rsidRPr="007E1949">
        <w:rPr>
          <w:noProof/>
        </w:rPr>
        <w:t>(National Aged Care Alliance 2018)</w:t>
      </w:r>
      <w:r>
        <w:fldChar w:fldCharType="end"/>
      </w:r>
      <w:r>
        <w:t xml:space="preserve"> RER </w:t>
      </w:r>
      <w:r w:rsidRPr="000D198E">
        <w:t>and reference lists and were subsequently included</w:t>
      </w:r>
    </w:p>
    <w:p w14:paraId="550E91BD" w14:textId="77777777" w:rsidR="00392C98" w:rsidRDefault="00392C98" w:rsidP="00392C98">
      <w:pPr>
        <w:pStyle w:val="Bullet1"/>
      </w:pPr>
      <w:r w:rsidRPr="000D198E">
        <w:t>This resulted in a final yield of 20 papers.</w:t>
      </w:r>
      <w:r>
        <w:t xml:space="preserve"> </w:t>
      </w:r>
      <w:r w:rsidRPr="000D198E">
        <w:t xml:space="preserve">The 20 included papers were examined to determine </w:t>
      </w:r>
      <w:r>
        <w:t>the</w:t>
      </w:r>
      <w:r w:rsidRPr="000D198E">
        <w:t xml:space="preserve"> </w:t>
      </w:r>
      <w:r>
        <w:t>quality of the papers and to calculate risk of bias (</w:t>
      </w:r>
      <w:r w:rsidRPr="000D198E">
        <w:t>ROB</w:t>
      </w:r>
      <w:r>
        <w:t>)</w:t>
      </w:r>
      <w:r w:rsidRPr="000D198E">
        <w:t xml:space="preserve"> and </w:t>
      </w:r>
      <w:r>
        <w:t xml:space="preserve">quality </w:t>
      </w:r>
      <w:r w:rsidRPr="00864334">
        <w:rPr>
          <w:rFonts w:cstheme="minorHAnsi"/>
          <w:szCs w:val="22"/>
        </w:rPr>
        <w:t>(</w:t>
      </w:r>
      <w:r w:rsidRPr="00B36F1F">
        <w:rPr>
          <w:rFonts w:eastAsia="Calibri" w:cstheme="minorHAnsi"/>
          <w:szCs w:val="22"/>
          <w:lang w:val="en-AU"/>
        </w:rPr>
        <w:t>consolidated health economic evaluation reporting standards (CHEERS))</w:t>
      </w:r>
      <w:r w:rsidRPr="00864334">
        <w:rPr>
          <w:rFonts w:cstheme="minorHAnsi"/>
          <w:szCs w:val="22"/>
        </w:rPr>
        <w:t xml:space="preserve"> scores</w:t>
      </w:r>
      <w:r w:rsidRPr="000D198E">
        <w:t xml:space="preserve"> for each.</w:t>
      </w:r>
    </w:p>
    <w:p w14:paraId="52BA0CBA" w14:textId="21CE6279" w:rsidR="003E135A" w:rsidRDefault="003E135A" w:rsidP="003E135A">
      <w:pPr>
        <w:pStyle w:val="Paragraph"/>
      </w:pPr>
      <w:r w:rsidRPr="000D198E">
        <w:t xml:space="preserve">Overall, </w:t>
      </w:r>
      <w:r>
        <w:t xml:space="preserve">there was </w:t>
      </w:r>
      <w:r w:rsidRPr="000D198E">
        <w:t xml:space="preserve">significant variation in quality among the </w:t>
      </w:r>
      <w:r>
        <w:t>included</w:t>
      </w:r>
      <w:r w:rsidRPr="000D198E">
        <w:t xml:space="preserve"> studies</w:t>
      </w:r>
      <w:r w:rsidR="00F80723">
        <w:t xml:space="preserve">. </w:t>
      </w:r>
      <w:r>
        <w:t>Notably,</w:t>
      </w:r>
      <w:r w:rsidRPr="000D198E">
        <w:t xml:space="preserve"> the level of evidence and the quality of the included studies </w:t>
      </w:r>
      <w:r>
        <w:t>wa</w:t>
      </w:r>
      <w:r w:rsidRPr="000D198E">
        <w:t xml:space="preserve">s generally low, and the risk of bias for the included studies was generally high. This compromises the robustness and generalisability of the findings from the </w:t>
      </w:r>
      <w:r w:rsidR="003110AD">
        <w:t>RER.</w:t>
      </w:r>
    </w:p>
    <w:p w14:paraId="12FA74B6" w14:textId="25657EC9" w:rsidR="003E135A" w:rsidRDefault="00510476" w:rsidP="003E135A">
      <w:pPr>
        <w:pStyle w:val="Paragraph"/>
      </w:pPr>
      <w:bookmarkStart w:id="99" w:name="_Hlk42456292"/>
      <w:r>
        <w:t>Eighty percent</w:t>
      </w:r>
      <w:r w:rsidR="00461EBB">
        <w:t xml:space="preserve"> (n=16) of the selected studies demonstrated that AT was more effective than the comparison group who did not receive AT. </w:t>
      </w:r>
      <w:r w:rsidR="003110AD">
        <w:t>A total of 35</w:t>
      </w:r>
      <w:r>
        <w:t xml:space="preserve"> percent</w:t>
      </w:r>
      <w:r w:rsidR="00461EBB">
        <w:t xml:space="preserve"> demonstrated a cost savings </w:t>
      </w:r>
      <w:r w:rsidR="003110AD">
        <w:t xml:space="preserve">while </w:t>
      </w:r>
      <w:r w:rsidR="00461EBB">
        <w:t>60</w:t>
      </w:r>
      <w:r w:rsidR="003110AD">
        <w:t xml:space="preserve"> percent</w:t>
      </w:r>
      <w:r w:rsidR="00461EBB">
        <w:t xml:space="preserve"> </w:t>
      </w:r>
      <w:r w:rsidR="006F40B6">
        <w:t xml:space="preserve">reported </w:t>
      </w:r>
      <w:r w:rsidR="00461EBB">
        <w:t xml:space="preserve">either no cost difference or </w:t>
      </w:r>
      <w:r w:rsidR="006F40B6">
        <w:t xml:space="preserve">provided </w:t>
      </w:r>
      <w:r w:rsidR="00461EBB">
        <w:t xml:space="preserve">insufficient cost data. While it was determined that these findings were insufficient to represent robust cost savings to calculate benefits, these studies did indicate </w:t>
      </w:r>
      <w:r w:rsidR="00250AF8">
        <w:t>a</w:t>
      </w:r>
      <w:r w:rsidR="00461EBB">
        <w:t xml:space="preserve"> positive direction for AT cost and effectiveness outcomes. </w:t>
      </w:r>
      <w:bookmarkEnd w:id="99"/>
      <w:r w:rsidR="003E135A">
        <w:t xml:space="preserve">For this reason, AHA undertook a Delphi </w:t>
      </w:r>
      <w:r w:rsidR="006122FC">
        <w:t>technique</w:t>
      </w:r>
      <w:r w:rsidR="00BE5653">
        <w:t xml:space="preserve"> </w:t>
      </w:r>
      <w:r w:rsidR="003E135A">
        <w:t xml:space="preserve">to supplement the results of the RER. </w:t>
      </w:r>
    </w:p>
    <w:p w14:paraId="2D5C2935" w14:textId="77777777" w:rsidR="003E135A" w:rsidRPr="00805DBA" w:rsidRDefault="003E135A" w:rsidP="003E135A">
      <w:pPr>
        <w:pStyle w:val="Heading3"/>
      </w:pPr>
      <w:bookmarkStart w:id="100" w:name="_Ref42249345"/>
      <w:r w:rsidRPr="00805DBA">
        <w:lastRenderedPageBreak/>
        <w:t>Delphi technique</w:t>
      </w:r>
      <w:bookmarkEnd w:id="100"/>
    </w:p>
    <w:p w14:paraId="43A5ADD8" w14:textId="77777777" w:rsidR="003E135A" w:rsidRPr="009F61CC" w:rsidRDefault="003E135A" w:rsidP="003E135A">
      <w:pPr>
        <w:pStyle w:val="Heading4"/>
      </w:pPr>
      <w:r w:rsidRPr="009F61CC">
        <w:t>Methods</w:t>
      </w:r>
    </w:p>
    <w:p w14:paraId="460B1E45" w14:textId="1EAB1FD2" w:rsidR="003E135A" w:rsidRDefault="003E135A" w:rsidP="003E135A">
      <w:pPr>
        <w:pStyle w:val="Paragraph"/>
      </w:pPr>
      <w:r>
        <w:t xml:space="preserve">The second approach to costing benefits </w:t>
      </w:r>
      <w:r w:rsidRPr="0085000F">
        <w:t xml:space="preserve">used the Delphi technique to develop a consensus statement </w:t>
      </w:r>
      <w:r>
        <w:t xml:space="preserve">from a group of experts </w:t>
      </w:r>
      <w:r w:rsidRPr="0085000F">
        <w:t xml:space="preserve">on the economic benefits of </w:t>
      </w:r>
      <w:r>
        <w:t>AT</w:t>
      </w:r>
      <w:r w:rsidRPr="0085000F">
        <w:t xml:space="preserve">. </w:t>
      </w:r>
      <w:r>
        <w:t>The</w:t>
      </w:r>
      <w:r w:rsidRPr="0085000F">
        <w:t xml:space="preserve"> Delphi technique is used to examine complex problems through an iterative process guided by expert opinions</w:t>
      </w:r>
      <w:r w:rsidR="002829AB">
        <w:t xml:space="preserve"> </w:t>
      </w:r>
      <w:r w:rsidR="002829AB">
        <w:fldChar w:fldCharType="begin" w:fldLock="1"/>
      </w:r>
      <w:r w:rsidR="002829AB">
        <w:instrText>ADDIN CSL_CITATION {"citationItems":[{"id":"ITEM-1","itemData":{"ISSN":"14777029","abstract":"Delphi is a frequently used research method in the information systems (IS) field. The last fifteen years have seen many variants of the Delphi Method proposed and used in IS research. However, these variants do not seem to be properly derived; while all variants share certain characteristics, their reasoning for differentiation inconsistently varies. It seems that researchers tend to create \"new\" Delphi Method variants, although the underlying modification of the Delphi Method is, in fact, minor. This leads to a heterogeneity of Delphi Method variants and undermines scientific rigor when using Delphi. The study addresses this deficit and (1) identifies different variants of Delphi and determines their characteristics, (2) critically reflects to what extent a clear distinction between these variants exists, (3) shows the clearly distinguishable Delphi Method variants and their characteristics, (4) develops a proposed taxonomy of Delphi Method variants, and (5) evaluates and applies this taxonomy. The proposed taxonomy helps clearly differentiate Delphi Method variants and enhances methodological rigor when using the Delphi Method.","author":[{"dropping-particle":"","family":"Strasser","given":"Artur","non-dropping-particle":"","parse-names":false,"suffix":""}],"container-title":"Electronic Journal of Business Research Methods","id":"ITEM-1","issue":"2","issued":{"date-parts":[["2017"]]},"page":"120-133","title":"Delphi method variants in information systems research: Taxonomy development and application","type":"article-journal","volume":"15"},"uris":["http://www.mendeley.com/documents/?uuid=e8b3f5d0-16ad-40d5-a099-cd3d4061052f"]}],"mendeley":{"formattedCitation":"(Strasser 2017)","plainTextFormattedCitation":"(Strasser 2017)","previouslyFormattedCitation":"(Strasser 2017)"},"properties":{"noteIndex":0},"schema":"https://github.com/citation-style-language/schema/raw/master/csl-citation.json"}</w:instrText>
      </w:r>
      <w:r w:rsidR="002829AB">
        <w:fldChar w:fldCharType="separate"/>
      </w:r>
      <w:r w:rsidR="002829AB" w:rsidRPr="002829AB">
        <w:rPr>
          <w:noProof/>
        </w:rPr>
        <w:t>(Strasser 2017)</w:t>
      </w:r>
      <w:r w:rsidR="002829AB">
        <w:fldChar w:fldCharType="end"/>
      </w:r>
      <w:r w:rsidR="002829AB">
        <w:t>.</w:t>
      </w:r>
      <w:r w:rsidRPr="002A213E">
        <w:t xml:space="preserve"> </w:t>
      </w:r>
      <w:r w:rsidR="008A5255">
        <w:t xml:space="preserve">For details </w:t>
      </w:r>
      <w:r>
        <w:t>of the method and results of the Delphi technique</w:t>
      </w:r>
      <w:r w:rsidR="008A5255">
        <w:t xml:space="preserve">, see </w:t>
      </w:r>
      <w:r w:rsidR="008A5255" w:rsidRPr="00861FC9">
        <w:rPr>
          <w:rStyle w:val="Italic"/>
        </w:rPr>
        <w:t>Supplementary Technical Report,</w:t>
      </w:r>
      <w:r w:rsidRPr="00861FC9">
        <w:rPr>
          <w:rStyle w:val="Italic"/>
        </w:rPr>
        <w:t xml:space="preserve"> </w:t>
      </w:r>
      <w:r w:rsidR="008A5255" w:rsidRPr="00861FC9">
        <w:rPr>
          <w:rStyle w:val="Italic"/>
        </w:rPr>
        <w:t>Appendix C</w:t>
      </w:r>
      <w:r>
        <w:t>.</w:t>
      </w:r>
    </w:p>
    <w:p w14:paraId="33951F00" w14:textId="170D3A8F" w:rsidR="003E135A" w:rsidRDefault="003E135A" w:rsidP="005D03BD">
      <w:pPr>
        <w:pStyle w:val="Paragraph"/>
      </w:pPr>
      <w:r>
        <w:t xml:space="preserve">AHA convened a </w:t>
      </w:r>
      <w:r w:rsidRPr="008E680E">
        <w:t xml:space="preserve">panel of nine people with a broad range of </w:t>
      </w:r>
      <w:r>
        <w:t xml:space="preserve">AT, reablement, government, </w:t>
      </w:r>
      <w:r w:rsidR="004B78A3">
        <w:t xml:space="preserve">and </w:t>
      </w:r>
      <w:r>
        <w:t xml:space="preserve">health economics </w:t>
      </w:r>
      <w:r w:rsidRPr="008E680E">
        <w:t>expertise and lived experience</w:t>
      </w:r>
      <w:r>
        <w:t xml:space="preserve"> of AT</w:t>
      </w:r>
      <w:r w:rsidRPr="008E680E">
        <w:t xml:space="preserve">. </w:t>
      </w:r>
    </w:p>
    <w:p w14:paraId="7AD305FC" w14:textId="77777777" w:rsidR="003E135A" w:rsidRDefault="003E135A" w:rsidP="003E135A">
      <w:pPr>
        <w:pStyle w:val="ParaKeep"/>
      </w:pPr>
      <w:r w:rsidRPr="008E680E">
        <w:t>The Delphi technique</w:t>
      </w:r>
      <w:r>
        <w:t xml:space="preserve"> used</w:t>
      </w:r>
      <w:r w:rsidRPr="008E680E">
        <w:t xml:space="preserve"> in this </w:t>
      </w:r>
      <w:r>
        <w:t>review</w:t>
      </w:r>
      <w:r w:rsidRPr="008E680E">
        <w:t xml:space="preserve"> in</w:t>
      </w:r>
      <w:r>
        <w:t>volved</w:t>
      </w:r>
      <w:r w:rsidRPr="008E680E">
        <w:t xml:space="preserve"> a three-stage iterative process conducted over three consecutive days</w:t>
      </w:r>
      <w:r>
        <w:t xml:space="preserve"> (</w:t>
      </w:r>
      <w:r w:rsidRPr="007D44EF">
        <w:t>5</w:t>
      </w:r>
      <w:r>
        <w:t> May </w:t>
      </w:r>
      <w:r w:rsidRPr="008E680E">
        <w:t xml:space="preserve">2020 to </w:t>
      </w:r>
      <w:r>
        <w:t>7 May </w:t>
      </w:r>
      <w:r w:rsidRPr="008E680E">
        <w:t>2020)</w:t>
      </w:r>
      <w:r>
        <w:t>:</w:t>
      </w:r>
    </w:p>
    <w:p w14:paraId="0C997D3A" w14:textId="1BE68862" w:rsidR="003E135A" w:rsidRDefault="003E135A" w:rsidP="003E135A">
      <w:pPr>
        <w:pStyle w:val="Bullet1Keep"/>
      </w:pPr>
      <w:r w:rsidRPr="008E680E">
        <w:t>Iteration 1</w:t>
      </w:r>
      <w:r>
        <w:t xml:space="preserve"> began </w:t>
      </w:r>
      <w:r w:rsidRPr="008E680E">
        <w:t>with a</w:t>
      </w:r>
      <w:r>
        <w:t>n anonymous</w:t>
      </w:r>
      <w:r w:rsidRPr="008E680E">
        <w:t xml:space="preserve"> </w:t>
      </w:r>
      <w:r w:rsidRPr="00071752">
        <w:rPr>
          <w:rStyle w:val="Bold"/>
        </w:rPr>
        <w:t>pre-survey</w:t>
      </w:r>
      <w:r w:rsidRPr="008E680E">
        <w:t xml:space="preserve"> </w:t>
      </w:r>
      <w:r>
        <w:t>on 5</w:t>
      </w:r>
      <w:r w:rsidR="00695176">
        <w:t> </w:t>
      </w:r>
      <w:r>
        <w:t>May</w:t>
      </w:r>
      <w:r w:rsidR="00695176">
        <w:t> </w:t>
      </w:r>
      <w:r>
        <w:t xml:space="preserve">2020 </w:t>
      </w:r>
      <w:r w:rsidRPr="008E680E">
        <w:t xml:space="preserve">to </w:t>
      </w:r>
      <w:r>
        <w:t>the group to gather</w:t>
      </w:r>
      <w:r w:rsidRPr="008E680E">
        <w:t xml:space="preserve"> individual opinion</w:t>
      </w:r>
      <w:r>
        <w:t>s</w:t>
      </w:r>
      <w:r w:rsidRPr="008E680E">
        <w:t xml:space="preserve"> without any influences</w:t>
      </w:r>
      <w:r>
        <w:t xml:space="preserve"> on a series of survey questions. </w:t>
      </w:r>
    </w:p>
    <w:p w14:paraId="7765C41A" w14:textId="2409E2F1" w:rsidR="003E135A" w:rsidRDefault="003E135A" w:rsidP="003E135A">
      <w:pPr>
        <w:pStyle w:val="Bullet1Keep"/>
      </w:pPr>
      <w:r w:rsidRPr="008E680E">
        <w:t>Iteration 2</w:t>
      </w:r>
      <w:r>
        <w:t xml:space="preserve"> involved</w:t>
      </w:r>
      <w:r w:rsidRPr="008E680E">
        <w:t xml:space="preserve"> a </w:t>
      </w:r>
      <w:r>
        <w:t>two</w:t>
      </w:r>
      <w:r w:rsidRPr="008E680E">
        <w:t xml:space="preserve">-hour </w:t>
      </w:r>
      <w:r>
        <w:t>online</w:t>
      </w:r>
      <w:r w:rsidRPr="008E680E">
        <w:t xml:space="preserve"> </w:t>
      </w:r>
      <w:r w:rsidRPr="00071752">
        <w:rPr>
          <w:rStyle w:val="Bold"/>
        </w:rPr>
        <w:t>focus group</w:t>
      </w:r>
      <w:r w:rsidRPr="00866FD2">
        <w:rPr>
          <w:rStyle w:val="FootnoteReference"/>
        </w:rPr>
        <w:footnoteReference w:id="3"/>
      </w:r>
      <w:r>
        <w:t xml:space="preserve"> on </w:t>
      </w:r>
      <w:r w:rsidR="00F054BF">
        <w:t>6 </w:t>
      </w:r>
      <w:r>
        <w:t>May</w:t>
      </w:r>
      <w:r w:rsidR="00F054BF">
        <w:t> </w:t>
      </w:r>
      <w:r>
        <w:t xml:space="preserve">2020, </w:t>
      </w:r>
      <w:r w:rsidRPr="008E680E">
        <w:t>which began with a presentation of the RER and pre-survey results, followed by a group discussion to elicit individual and group opinions and gain consensus</w:t>
      </w:r>
    </w:p>
    <w:p w14:paraId="162115D4" w14:textId="429CB921" w:rsidR="003E135A" w:rsidRPr="008E680E" w:rsidRDefault="003E135A" w:rsidP="003E135A">
      <w:pPr>
        <w:pStyle w:val="Bullet1"/>
      </w:pPr>
      <w:r w:rsidRPr="008E680E">
        <w:t>Iteration 3</w:t>
      </w:r>
      <w:r>
        <w:t xml:space="preserve"> consisted of</w:t>
      </w:r>
      <w:r w:rsidRPr="008E680E">
        <w:t xml:space="preserve"> a </w:t>
      </w:r>
      <w:r w:rsidRPr="00071752">
        <w:rPr>
          <w:rStyle w:val="Bold"/>
        </w:rPr>
        <w:t>post-survey</w:t>
      </w:r>
      <w:r>
        <w:rPr>
          <w:rStyle w:val="Bold"/>
        </w:rPr>
        <w:t xml:space="preserve"> </w:t>
      </w:r>
      <w:r w:rsidRPr="00695176">
        <w:t>on 7</w:t>
      </w:r>
      <w:r w:rsidR="00695176" w:rsidRPr="004470C2">
        <w:t> </w:t>
      </w:r>
      <w:r w:rsidRPr="00695176">
        <w:t>May</w:t>
      </w:r>
      <w:r w:rsidR="00695176">
        <w:t> </w:t>
      </w:r>
      <w:r w:rsidRPr="00695176">
        <w:t>2020</w:t>
      </w:r>
      <w:r>
        <w:t xml:space="preserve">, </w:t>
      </w:r>
      <w:r w:rsidRPr="008E680E">
        <w:t xml:space="preserve">which </w:t>
      </w:r>
      <w:r>
        <w:t>included a summary of the focus group results and duplicated the questions detailed in the pre-survey,</w:t>
      </w:r>
      <w:r w:rsidRPr="008E680E">
        <w:t xml:space="preserve"> to </w:t>
      </w:r>
      <w:r>
        <w:t>gather</w:t>
      </w:r>
      <w:r w:rsidRPr="008E680E">
        <w:t xml:space="preserve"> individual opinion</w:t>
      </w:r>
      <w:r>
        <w:t>s</w:t>
      </w:r>
      <w:r w:rsidRPr="008E680E">
        <w:t xml:space="preserve"> which may have been influenced by the </w:t>
      </w:r>
      <w:r>
        <w:t>focus group discussion</w:t>
      </w:r>
      <w:r w:rsidRPr="008E680E">
        <w:t>.</w:t>
      </w:r>
    </w:p>
    <w:p w14:paraId="0E4F2D93" w14:textId="6706D818" w:rsidR="003E135A" w:rsidRDefault="003E135A" w:rsidP="003E135A">
      <w:pPr>
        <w:pStyle w:val="Paragraph"/>
      </w:pPr>
      <w:r w:rsidRPr="007D3E7B">
        <w:t xml:space="preserve">The </w:t>
      </w:r>
      <w:r>
        <w:t xml:space="preserve">survey </w:t>
      </w:r>
      <w:r w:rsidRPr="007D3E7B">
        <w:t>questions were designed to draw out the qualitative and quantitative benefits of AT for older Australians</w:t>
      </w:r>
      <w:r>
        <w:t xml:space="preserve"> and included four archetype cases were presented to represent people with a mild, moderate, severe or profound activity </w:t>
      </w:r>
      <w:r w:rsidRPr="00FE2C60">
        <w:t>limitation.</w:t>
      </w:r>
    </w:p>
    <w:p w14:paraId="514B4775" w14:textId="75513120" w:rsidR="003E135A" w:rsidRPr="000D198E" w:rsidRDefault="003E135A" w:rsidP="003E135A">
      <w:pPr>
        <w:pStyle w:val="Heading4"/>
      </w:pPr>
      <w:r w:rsidRPr="000D198E">
        <w:t>Results</w:t>
      </w:r>
    </w:p>
    <w:p w14:paraId="70E4A6AE" w14:textId="77777777" w:rsidR="003E135A" w:rsidRPr="00143C46" w:rsidRDefault="003E135A" w:rsidP="00143C46">
      <w:pPr>
        <w:rPr>
          <w:b/>
          <w:sz w:val="24"/>
        </w:rPr>
      </w:pPr>
      <w:r w:rsidRPr="00143C46">
        <w:rPr>
          <w:b/>
          <w:sz w:val="24"/>
        </w:rPr>
        <w:t xml:space="preserve">Benefits of AT </w:t>
      </w:r>
    </w:p>
    <w:p w14:paraId="0EDB6709" w14:textId="4037D118" w:rsidR="003E135A" w:rsidRPr="00CF5BA7" w:rsidRDefault="004B78A3" w:rsidP="003E135A">
      <w:pPr>
        <w:pStyle w:val="ParaKeep"/>
        <w:rPr>
          <w:lang w:val="en-AU"/>
        </w:rPr>
      </w:pPr>
      <w:r>
        <w:t>Over</w:t>
      </w:r>
      <w:r w:rsidR="003E135A">
        <w:t xml:space="preserve"> the three iterations a moderate or strong consensus </w:t>
      </w:r>
      <w:r>
        <w:t>developed</w:t>
      </w:r>
      <w:r w:rsidR="003E135A">
        <w:t xml:space="preserve"> for agreement on a number of items in particular for:</w:t>
      </w:r>
    </w:p>
    <w:p w14:paraId="120C87A2" w14:textId="77777777" w:rsidR="003E135A" w:rsidRDefault="003E135A" w:rsidP="005D03BD">
      <w:pPr>
        <w:pStyle w:val="Bullet1Keep"/>
      </w:pPr>
      <w:r>
        <w:t>Benefits for the health and aged care system</w:t>
      </w:r>
    </w:p>
    <w:p w14:paraId="05BC10A5" w14:textId="77777777" w:rsidR="003E135A" w:rsidRDefault="003E135A" w:rsidP="005C1C72">
      <w:pPr>
        <w:pStyle w:val="Bullet1"/>
      </w:pPr>
      <w:r>
        <w:t>Benefits for the families and carers</w:t>
      </w:r>
    </w:p>
    <w:p w14:paraId="1AD745A9" w14:textId="2CBFAEA4" w:rsidR="003E135A" w:rsidRDefault="003E135A" w:rsidP="003E135A">
      <w:pPr>
        <w:pStyle w:val="Paragraph"/>
      </w:pPr>
      <w:r>
        <w:t>Both the RER and the Delphi technique supported increasing investment in AT, reporting a consistent direction for the results and reporting a cost-benefit for AT</w:t>
      </w:r>
      <w:r w:rsidR="00F80723">
        <w:t xml:space="preserve">. </w:t>
      </w:r>
      <w:r>
        <w:t xml:space="preserve">The Delphi </w:t>
      </w:r>
      <w:r w:rsidR="006122FC">
        <w:t>technique</w:t>
      </w:r>
      <w:r>
        <w:t xml:space="preserve"> reported more conservative results</w:t>
      </w:r>
      <w:r w:rsidR="00157E3D">
        <w:t xml:space="preserve"> than the RER</w:t>
      </w:r>
      <w:r>
        <w:t xml:space="preserve"> and these results have been used in calculating the AT benefits and return on investment. </w:t>
      </w:r>
    </w:p>
    <w:p w14:paraId="67C00AA4" w14:textId="7FD83399" w:rsidR="003E135A" w:rsidRDefault="003E135A" w:rsidP="003E135A">
      <w:pPr>
        <w:pStyle w:val="Paragraph"/>
      </w:pPr>
      <w:r w:rsidRPr="00D8346C">
        <w:rPr>
          <w:i/>
          <w:iCs/>
        </w:rPr>
        <w:fldChar w:fldCharType="begin"/>
      </w:r>
      <w:r w:rsidRPr="00D8346C">
        <w:rPr>
          <w:i/>
          <w:iCs/>
        </w:rPr>
        <w:instrText xml:space="preserve"> REF _Ref42016665 \h </w:instrText>
      </w:r>
      <w:r>
        <w:rPr>
          <w:i/>
          <w:iCs/>
        </w:rPr>
        <w:instrText xml:space="preserve"> \* MERGEFORMAT </w:instrText>
      </w:r>
      <w:r w:rsidRPr="00D8346C">
        <w:rPr>
          <w:i/>
          <w:iCs/>
        </w:rPr>
      </w:r>
      <w:r w:rsidRPr="00D8346C">
        <w:rPr>
          <w:i/>
          <w:iCs/>
        </w:rPr>
        <w:fldChar w:fldCharType="separate"/>
      </w:r>
      <w:r w:rsidR="00CC3F04" w:rsidRPr="00CC3F04">
        <w:rPr>
          <w:i/>
          <w:iCs/>
        </w:rPr>
        <w:t>Table 3</w:t>
      </w:r>
      <w:r w:rsidR="00CC3F04" w:rsidRPr="00CC3F04">
        <w:rPr>
          <w:i/>
          <w:iCs/>
        </w:rPr>
        <w:noBreakHyphen/>
        <w:t>4</w:t>
      </w:r>
      <w:r w:rsidRPr="00D8346C">
        <w:rPr>
          <w:i/>
          <w:iCs/>
        </w:rPr>
        <w:fldChar w:fldCharType="end"/>
      </w:r>
      <w:r>
        <w:rPr>
          <w:i/>
          <w:iCs/>
        </w:rPr>
        <w:t xml:space="preserve"> </w:t>
      </w:r>
      <w:r>
        <w:t xml:space="preserve">summarises the results from the Delphi </w:t>
      </w:r>
      <w:r w:rsidR="006122FC">
        <w:t>technique</w:t>
      </w:r>
      <w:r>
        <w:t xml:space="preserve"> for each archetype representing an impairment category</w:t>
      </w:r>
      <w:r w:rsidR="00F80723">
        <w:t xml:space="preserve">. </w:t>
      </w:r>
    </w:p>
    <w:p w14:paraId="4D6524C5" w14:textId="77777777" w:rsidR="003E135A" w:rsidRDefault="003E135A" w:rsidP="005D03BD">
      <w:pPr>
        <w:pStyle w:val="ParaKeep"/>
      </w:pPr>
      <w:r>
        <w:lastRenderedPageBreak/>
        <w:t xml:space="preserve">This indicated that there was a combined benefit of: </w:t>
      </w:r>
    </w:p>
    <w:p w14:paraId="3C4088B0" w14:textId="77777777" w:rsidR="003E135A" w:rsidRPr="00A6533A" w:rsidRDefault="003E135A" w:rsidP="00392C98">
      <w:pPr>
        <w:pStyle w:val="Bullet1Keep"/>
        <w:rPr>
          <w:rStyle w:val="Bold"/>
        </w:rPr>
      </w:pPr>
      <w:r w:rsidRPr="00A6533A">
        <w:rPr>
          <w:rStyle w:val="Bold"/>
        </w:rPr>
        <w:t>$17 for mild impairment</w:t>
      </w:r>
    </w:p>
    <w:p w14:paraId="12C889BA" w14:textId="77777777" w:rsidR="003E135A" w:rsidRDefault="003E135A" w:rsidP="003E135A">
      <w:pPr>
        <w:pStyle w:val="Indent1"/>
      </w:pPr>
      <w:r>
        <w:t>Benefits for a mild impairment were attributed to reduced GP visits (100%). Future cost offsets were noted by panellists but these were not costed due to the significant degree of variation in panellists’ views on the following:</w:t>
      </w:r>
    </w:p>
    <w:p w14:paraId="32586A7B" w14:textId="77777777" w:rsidR="003E135A" w:rsidRDefault="003E135A" w:rsidP="00B303C0">
      <w:pPr>
        <w:pStyle w:val="Bullet2"/>
      </w:pPr>
      <w:r>
        <w:t xml:space="preserve">Delays in the need </w:t>
      </w:r>
      <w:r w:rsidRPr="00847629">
        <w:t>to increase unpaid formal care, paid carer support and paid formal care</w:t>
      </w:r>
      <w:r>
        <w:t xml:space="preserve">, estimated between 2 and 12 years. </w:t>
      </w:r>
    </w:p>
    <w:p w14:paraId="04F9B639" w14:textId="77777777" w:rsidR="003E135A" w:rsidRDefault="003E135A" w:rsidP="00B303C0">
      <w:pPr>
        <w:pStyle w:val="Bullet2"/>
      </w:pPr>
      <w:r>
        <w:t xml:space="preserve">Delays in the need </w:t>
      </w:r>
      <w:r w:rsidRPr="00847629">
        <w:t xml:space="preserve">for residential aged care admission </w:t>
      </w:r>
      <w:r>
        <w:t>(not in the foreseeable future)</w:t>
      </w:r>
      <w:r w:rsidRPr="00847629">
        <w:t>.</w:t>
      </w:r>
    </w:p>
    <w:p w14:paraId="6210560A" w14:textId="0A05452E" w:rsidR="00455317" w:rsidRPr="004470C2" w:rsidRDefault="00574DE3" w:rsidP="005D03BD">
      <w:pPr>
        <w:pStyle w:val="Indent1"/>
      </w:pPr>
      <w:r w:rsidRPr="00574DE3">
        <w:t xml:space="preserve">The panel </w:t>
      </w:r>
      <w:r w:rsidR="00455317">
        <w:t>considered that for a person with</w:t>
      </w:r>
      <w:r w:rsidRPr="00574DE3">
        <w:t xml:space="preserve"> a mild impairment (largely independent and not using </w:t>
      </w:r>
      <w:r w:rsidR="00DD55D4">
        <w:t xml:space="preserve">aged care </w:t>
      </w:r>
      <w:r w:rsidRPr="00574DE3">
        <w:t>services)</w:t>
      </w:r>
      <w:r w:rsidR="00455317">
        <w:t>,</w:t>
      </w:r>
      <w:r w:rsidRPr="00574DE3">
        <w:t xml:space="preserve"> there was little immediate cost savings</w:t>
      </w:r>
      <w:r w:rsidR="00F33401">
        <w:t xml:space="preserve">, </w:t>
      </w:r>
      <w:r w:rsidRPr="00574DE3">
        <w:t>report</w:t>
      </w:r>
      <w:r w:rsidR="00052C09">
        <w:t>ing</w:t>
      </w:r>
      <w:r w:rsidRPr="00574DE3">
        <w:t xml:space="preserve"> a savings of $17 per year</w:t>
      </w:r>
      <w:r w:rsidR="00861FC9">
        <w:t xml:space="preserve">. </w:t>
      </w:r>
      <w:r w:rsidR="00455317">
        <w:t>However, t</w:t>
      </w:r>
      <w:r w:rsidR="00455317" w:rsidRPr="00455317">
        <w:t xml:space="preserve">he panel </w:t>
      </w:r>
      <w:r w:rsidR="00455317">
        <w:t>considered that the</w:t>
      </w:r>
      <w:r w:rsidR="00455317" w:rsidRPr="00455317">
        <w:t xml:space="preserve"> mild group has a significant long</w:t>
      </w:r>
      <w:r w:rsidR="0007592C">
        <w:t>-</w:t>
      </w:r>
      <w:r w:rsidR="00455317" w:rsidRPr="00455317">
        <w:t>term cost-</w:t>
      </w:r>
      <w:r w:rsidR="00861FC9">
        <w:t>savings</w:t>
      </w:r>
      <w:r w:rsidR="00370DF2">
        <w:t xml:space="preserve"> through delays in accessing services</w:t>
      </w:r>
      <w:r w:rsidR="00861FC9">
        <w:t xml:space="preserve"> </w:t>
      </w:r>
      <w:r w:rsidR="0007592C">
        <w:t>which is not included in the return on investment calculation.</w:t>
      </w:r>
      <w:r w:rsidR="000002E3">
        <w:t xml:space="preserve"> Th</w:t>
      </w:r>
      <w:r w:rsidR="00FD681A">
        <w:t xml:space="preserve">ese potential cost offsets were reinforced </w:t>
      </w:r>
      <w:r w:rsidR="00455317" w:rsidRPr="00455317">
        <w:t>by the Gore</w:t>
      </w:r>
      <w:r w:rsidR="000002E3">
        <w:t xml:space="preserve"> et.al </w:t>
      </w:r>
      <w:r w:rsidR="00D21D7D">
        <w:t>research</w:t>
      </w:r>
      <w:r w:rsidR="00455317" w:rsidRPr="00455317">
        <w:t xml:space="preserve"> which emphasised the need to slow the progression of functional decline</w:t>
      </w:r>
      <w:r w:rsidR="00D21D7D">
        <w:t xml:space="preserve"> </w:t>
      </w:r>
      <w:r w:rsidR="002829AB">
        <w:fldChar w:fldCharType="begin" w:fldLock="1"/>
      </w:r>
      <w:r w:rsidR="002829AB">
        <w:instrText>ADDIN CSL_CITATION {"citationItems":[{"id":"ITEM-1","itemData":{"DOI":"10.1093/ageing/afy145","abstract":"Population ageing, which has come about through the combination of increases in life expectancy, larger postwar cohorts reaching older age and reductions in fertility, is challenging societies and particularly health and care providers, worldwide. In Europe, the USA and Japan, there have been increases in years spent with disability and dependency. The majority of such research, as well as professional health and social care practice, measures loss of functional capability or need for social care, by aggregate disability scores, based around activities of daily living and instrumental activities of daily living. Although useful for defining whether an individual has passed a threshold, aggregate scores obscure how functional decline unfolds, and therefore where early intervention might improve intrinsic capacity and reverse or slow down decline, or maintain function. We propose a framework, the compression of functional decline (CFD), based on the latest understanding of the hierarchy of age-related functional decline, which has the potential to (i) help people understand how to live better for longer, (ii) allow the various stakeholders to be able to measure, at a population level, whether that is happening and (iii) identify which interventions are most effective at which stages. CFD is coherent with the World Health Organisation's Healthy Ageing model and is more easily understood by stakeholders and older people themselves, than current indicators such as frailty. CFD thus provides a realistic view of age-related functional decline in the context of modifiable behaviour to counter widespread public misconceptions about ageing and inform improvements.","author":[{"dropping-particle":"","family":"Gore","given":"Peter G","non-dropping-particle":"","parse-names":false,"suffix":""},{"dropping-particle":"","family":"Kingston","given":"Andrew","non-dropping-particle":"","parse-names":false,"suffix":""},{"dropping-particle":"","family":"Johnson","given":"Garth R","non-dropping-particle":"","parse-names":false,"suffix":""},{"dropping-particle":"","family":"Kirkwood","given":"Thomas B L","non-dropping-particle":"","parse-names":false,"suffix":""},{"dropping-particle":"","family":"Jagger","given":"Carol","non-dropping-particle":"","parse-names":false,"suffix":""}],"container-title":"Age and Ageing","id":"ITEM-1","issued":{"date-parts":[["2018"]]},"page":"764-768","title":"New horizons in the compression of functional decline","type":"article-journal","volume":"47"},"uris":["http://www.mendeley.com/documents/?uuid=eb3152b8-23bb-39b1-8d40-052f15ed97a8"]}],"mendeley":{"formattedCitation":"(Gore et al. 2018)","plainTextFormattedCitation":"(Gore et al. 2018)","previouslyFormattedCitation":"(Gore et al. 2018)"},"properties":{"noteIndex":0},"schema":"https://github.com/citation-style-language/schema/raw/master/csl-citation.json"}</w:instrText>
      </w:r>
      <w:r w:rsidR="002829AB">
        <w:fldChar w:fldCharType="separate"/>
      </w:r>
      <w:r w:rsidR="002829AB" w:rsidRPr="002829AB">
        <w:rPr>
          <w:noProof/>
        </w:rPr>
        <w:t>(Gore et al. 2018)</w:t>
      </w:r>
      <w:r w:rsidR="002829AB">
        <w:fldChar w:fldCharType="end"/>
      </w:r>
      <w:r w:rsidR="00455317" w:rsidRPr="004470C2">
        <w:t>.</w:t>
      </w:r>
    </w:p>
    <w:p w14:paraId="7AD04B65" w14:textId="230DC376" w:rsidR="003E135A" w:rsidRPr="005A179A" w:rsidRDefault="003E135A" w:rsidP="00455317">
      <w:pPr>
        <w:pStyle w:val="Bullet1Keep"/>
        <w:rPr>
          <w:rStyle w:val="Bold"/>
        </w:rPr>
      </w:pPr>
      <w:r w:rsidRPr="005A179A">
        <w:rPr>
          <w:rStyle w:val="Bold"/>
        </w:rPr>
        <w:t>$2,835 for moderate impairment</w:t>
      </w:r>
    </w:p>
    <w:p w14:paraId="23E965B8" w14:textId="77777777" w:rsidR="003E135A" w:rsidRDefault="003E135A" w:rsidP="003E135A">
      <w:pPr>
        <w:pStyle w:val="Indent1"/>
      </w:pPr>
      <w:r>
        <w:t>Benefits for a moderate impairment were attributed to reduced hospitalisation (98.9%), reduced falls (20.3%), and reduced GP visits (0.7%), however there was an increase in paid formal care despite the provision of AT (20.0%).</w:t>
      </w:r>
      <w:r w:rsidRPr="00BA1D03">
        <w:t xml:space="preserve"> </w:t>
      </w:r>
      <w:r>
        <w:t>Future cost offsets were noted by panellists but these were not costed due to the significant degree of variation in panellists’ views on the following:</w:t>
      </w:r>
    </w:p>
    <w:p w14:paraId="4BEFF96B" w14:textId="77777777" w:rsidR="003E135A" w:rsidRDefault="003E135A" w:rsidP="00B303C0">
      <w:pPr>
        <w:pStyle w:val="Bullet2"/>
      </w:pPr>
      <w:r>
        <w:t xml:space="preserve">Delays in the need </w:t>
      </w:r>
      <w:r w:rsidRPr="00847629">
        <w:t>to increase unpaid formal care, paid carer support and paid formal care</w:t>
      </w:r>
      <w:r>
        <w:t xml:space="preserve">—estimated between </w:t>
      </w:r>
      <w:r w:rsidRPr="005A179A">
        <w:rPr>
          <w:rStyle w:val="Bold"/>
        </w:rPr>
        <w:t xml:space="preserve">1 and 10 years. </w:t>
      </w:r>
    </w:p>
    <w:p w14:paraId="504052D7" w14:textId="6010D206" w:rsidR="003E135A" w:rsidRDefault="003E135A" w:rsidP="00B303C0">
      <w:pPr>
        <w:pStyle w:val="Bullet2"/>
      </w:pPr>
      <w:r>
        <w:t>Delays in the need</w:t>
      </w:r>
      <w:r w:rsidRPr="00847629">
        <w:t xml:space="preserve"> for residential aged care admission</w:t>
      </w:r>
      <w:r>
        <w:t xml:space="preserve">—estimated between </w:t>
      </w:r>
      <w:r w:rsidRPr="005A179A">
        <w:rPr>
          <w:rStyle w:val="Bold"/>
        </w:rPr>
        <w:t>6</w:t>
      </w:r>
      <w:r w:rsidR="005A179A">
        <w:rPr>
          <w:rStyle w:val="Bold"/>
        </w:rPr>
        <w:t> </w:t>
      </w:r>
      <w:r w:rsidRPr="005A179A">
        <w:rPr>
          <w:rStyle w:val="Bold"/>
        </w:rPr>
        <w:t>months and 10</w:t>
      </w:r>
      <w:r w:rsidR="005A179A">
        <w:rPr>
          <w:rStyle w:val="Bold"/>
        </w:rPr>
        <w:t> </w:t>
      </w:r>
      <w:r w:rsidRPr="005A179A">
        <w:rPr>
          <w:rStyle w:val="Bold"/>
        </w:rPr>
        <w:t>years</w:t>
      </w:r>
    </w:p>
    <w:p w14:paraId="4EB6DB32" w14:textId="77777777" w:rsidR="003E135A" w:rsidRPr="00A6533A" w:rsidRDefault="003E135A" w:rsidP="00392C98">
      <w:pPr>
        <w:pStyle w:val="Bullet1Keep"/>
        <w:rPr>
          <w:rStyle w:val="Bold"/>
        </w:rPr>
      </w:pPr>
      <w:r w:rsidRPr="00A6533A">
        <w:rPr>
          <w:rStyle w:val="Bold"/>
        </w:rPr>
        <w:t>$3,345 for severe impairment</w:t>
      </w:r>
    </w:p>
    <w:p w14:paraId="5803E5E1" w14:textId="385D68C6" w:rsidR="003E135A" w:rsidRDefault="003E135A" w:rsidP="003E135A">
      <w:pPr>
        <w:pStyle w:val="Indent1"/>
      </w:pPr>
      <w:r>
        <w:t>B</w:t>
      </w:r>
      <w:r w:rsidRPr="00BA1D03">
        <w:t>enefits</w:t>
      </w:r>
      <w:r>
        <w:t xml:space="preserve"> for a severe impairment were attributed to reduced hospitalisations (100.6%), reduced unpaid informal care (6.7%), and reduced GP visits (1.1%), however there was an increase in paid formal care despite the provision of AT (8.5%). Delays in the need </w:t>
      </w:r>
      <w:r w:rsidRPr="00847629">
        <w:t>to increase unpaid formal care, paid carer support and paid formal care</w:t>
      </w:r>
      <w:r w:rsidR="00830ACD">
        <w:t xml:space="preserve"> were </w:t>
      </w:r>
      <w:r>
        <w:t xml:space="preserve">estimated </w:t>
      </w:r>
      <w:r w:rsidR="00830ACD">
        <w:t xml:space="preserve">at </w:t>
      </w:r>
      <w:r>
        <w:t xml:space="preserve">between </w:t>
      </w:r>
      <w:r w:rsidRPr="00BA1D03">
        <w:t xml:space="preserve">1 and 10 years. </w:t>
      </w:r>
    </w:p>
    <w:p w14:paraId="2896C4FA" w14:textId="77777777" w:rsidR="003E135A" w:rsidRPr="00A6533A" w:rsidRDefault="003E135A" w:rsidP="00392C98">
      <w:pPr>
        <w:pStyle w:val="Bullet1Keep"/>
        <w:rPr>
          <w:rStyle w:val="Bold"/>
        </w:rPr>
      </w:pPr>
      <w:r w:rsidRPr="00A6533A">
        <w:rPr>
          <w:rStyle w:val="Bold"/>
        </w:rPr>
        <w:t>$13,555 for profound impairments</w:t>
      </w:r>
    </w:p>
    <w:p w14:paraId="3B0F754D" w14:textId="77777777" w:rsidR="003E135A" w:rsidRPr="00D8346C" w:rsidRDefault="003E135A" w:rsidP="003E135A">
      <w:pPr>
        <w:pStyle w:val="Paragraph"/>
        <w:ind w:left="720"/>
      </w:pPr>
      <w:r>
        <w:t>Benefits for a profound impairment were attributed to reduced hospitalisations (70.3%), reduced unpaid informal care (13.3%), reduced GP visits (1.6%), reduced paid carer support (10.8%), reduced paid formal care (2.1%) and reduced days in a Residential aged care (0.3%).</w:t>
      </w:r>
    </w:p>
    <w:p w14:paraId="65D76036" w14:textId="12A47EC0" w:rsidR="00292794" w:rsidRDefault="003E135A" w:rsidP="003E135A">
      <w:pPr>
        <w:pStyle w:val="Paragraph"/>
      </w:pPr>
      <w:r>
        <w:t>For every dollar spent on AT products and kits, as well as AT services, the quantified benefits were almost 6-fold (</w:t>
      </w:r>
      <w:r w:rsidRPr="00C74848">
        <w:rPr>
          <w:rStyle w:val="Italic"/>
        </w:rPr>
        <w:fldChar w:fldCharType="begin"/>
      </w:r>
      <w:r w:rsidRPr="00C74848">
        <w:rPr>
          <w:rStyle w:val="Italic"/>
        </w:rPr>
        <w:instrText xml:space="preserve"> REF _Ref42016665 \h </w:instrText>
      </w:r>
      <w:r>
        <w:rPr>
          <w:rStyle w:val="Italic"/>
        </w:rPr>
        <w:instrText xml:space="preserve"> \* MERGEFORMAT </w:instrText>
      </w:r>
      <w:r w:rsidRPr="00C74848">
        <w:rPr>
          <w:rStyle w:val="Italic"/>
        </w:rPr>
      </w:r>
      <w:r w:rsidRPr="00C74848">
        <w:rPr>
          <w:rStyle w:val="Italic"/>
        </w:rPr>
        <w:fldChar w:fldCharType="separate"/>
      </w:r>
      <w:r w:rsidR="00CC3F04" w:rsidRPr="00CC3F04">
        <w:rPr>
          <w:rStyle w:val="Italic"/>
        </w:rPr>
        <w:t>Table 3</w:t>
      </w:r>
      <w:r w:rsidR="00CC3F04" w:rsidRPr="00CC3F04">
        <w:rPr>
          <w:rStyle w:val="Italic"/>
        </w:rPr>
        <w:noBreakHyphen/>
        <w:t>4</w:t>
      </w:r>
      <w:r w:rsidRPr="00C74848">
        <w:rPr>
          <w:rStyle w:val="Italic"/>
        </w:rPr>
        <w:fldChar w:fldCharType="end"/>
      </w:r>
      <w:r>
        <w:t>), although these do vary according to the level of impairment, with the most benefits procured for the archetype with moderate impairment.</w:t>
      </w:r>
    </w:p>
    <w:p w14:paraId="3C4DA156" w14:textId="1FC372D7" w:rsidR="003E135A" w:rsidRDefault="00292794" w:rsidP="003E135A">
      <w:pPr>
        <w:pStyle w:val="Paragraph"/>
      </w:pPr>
      <w:r>
        <w:t>Quantifying the cost-benefit is difficult due to reliance on an RER with a low yield and generally low-quality included papers, as well as the subjective nature of the Delphi technique</w:t>
      </w:r>
      <w:r w:rsidR="00F80723">
        <w:t xml:space="preserve">. </w:t>
      </w:r>
      <w:r>
        <w:t xml:space="preserve">However, due to the high level of consistency between the </w:t>
      </w:r>
      <w:r w:rsidR="005C7054">
        <w:t>findings from the</w:t>
      </w:r>
      <w:r>
        <w:t xml:space="preserve"> two</w:t>
      </w:r>
      <w:r w:rsidR="00410F76">
        <w:t xml:space="preserve"> </w:t>
      </w:r>
      <w:r>
        <w:t>processes, we are confident that the provision of AT results in a strong cost-benefit to our society</w:t>
      </w:r>
      <w:r w:rsidR="00CF78CA">
        <w:t xml:space="preserve"> and we have presented the conservative Delphi cost benefits (</w:t>
      </w:r>
      <w:r w:rsidR="00CF78CA" w:rsidRPr="00436102">
        <w:rPr>
          <w:i/>
        </w:rPr>
        <w:t>Table 3-9</w:t>
      </w:r>
      <w:r w:rsidR="00CF78CA">
        <w:t>)</w:t>
      </w:r>
      <w:r w:rsidR="00DF6158">
        <w:t xml:space="preserve"> as a return on investment for every $1 spent on combined AT products, kits and services.</w:t>
      </w:r>
    </w:p>
    <w:p w14:paraId="1E6D1029" w14:textId="77777777" w:rsidR="00143C46" w:rsidRDefault="00143C46">
      <w:bookmarkStart w:id="101" w:name="_Ref42016665"/>
      <w:bookmarkStart w:id="102" w:name="_Toc42243730"/>
      <w:bookmarkStart w:id="103" w:name="_Toc59402402"/>
      <w:r>
        <w:br w:type="page"/>
      </w:r>
    </w:p>
    <w:p w14:paraId="09332508" w14:textId="3331F411" w:rsidR="003E135A" w:rsidRPr="00736110" w:rsidRDefault="003E135A" w:rsidP="00143C46">
      <w:r w:rsidRPr="00736110">
        <w:lastRenderedPageBreak/>
        <w:t>Table </w:t>
      </w:r>
      <w:r w:rsidR="006870B9">
        <w:fldChar w:fldCharType="begin"/>
      </w:r>
      <w:r w:rsidR="006870B9">
        <w:instrText xml:space="preserve"> STYLEREF 1 \s </w:instrText>
      </w:r>
      <w:r w:rsidR="006870B9">
        <w:fldChar w:fldCharType="separate"/>
      </w:r>
      <w:r w:rsidR="00CC3F04">
        <w:rPr>
          <w:noProof/>
        </w:rPr>
        <w:t>3</w:t>
      </w:r>
      <w:r w:rsidR="006870B9">
        <w:fldChar w:fldCharType="end"/>
      </w:r>
      <w:r w:rsidR="003122D1">
        <w:t>-4</w:t>
      </w:r>
      <w:bookmarkEnd w:id="101"/>
      <w:r w:rsidRPr="00736110">
        <w:t>:</w:t>
      </w:r>
      <w:r w:rsidRPr="00736110">
        <w:tab/>
        <w:t xml:space="preserve">Cost-benefit of AT products </w:t>
      </w:r>
      <w:r w:rsidR="003122D1">
        <w:t xml:space="preserve">and </w:t>
      </w:r>
      <w:r w:rsidRPr="00736110">
        <w:t>AT services</w:t>
      </w:r>
      <w:bookmarkEnd w:id="102"/>
      <w:bookmarkEnd w:id="103"/>
    </w:p>
    <w:tbl>
      <w:tblPr>
        <w:tblStyle w:val="AHALight"/>
        <w:tblW w:w="0" w:type="auto"/>
        <w:tblBorders>
          <w:top w:val="single" w:sz="4" w:space="0" w:color="D9D9D9" w:themeColor="background1" w:themeShade="D9"/>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7E0" w:firstRow="1" w:lastRow="1" w:firstColumn="1" w:lastColumn="1" w:noHBand="1" w:noVBand="1"/>
        <w:tblCaption w:val="Cost-benefit by impairment level"/>
      </w:tblPr>
      <w:tblGrid>
        <w:gridCol w:w="2268"/>
        <w:gridCol w:w="1292"/>
        <w:gridCol w:w="1577"/>
        <w:gridCol w:w="1577"/>
        <w:gridCol w:w="1577"/>
        <w:gridCol w:w="1156"/>
      </w:tblGrid>
      <w:tr w:rsidR="00892FCF" w:rsidRPr="00392C98" w14:paraId="56F03A16" w14:textId="77777777" w:rsidTr="00FE0F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right w:val="none" w:sz="0" w:space="0" w:color="auto"/>
              <w:tl2br w:val="none" w:sz="0" w:space="0" w:color="auto"/>
              <w:tr2bl w:val="none" w:sz="0" w:space="0" w:color="auto"/>
            </w:tcBorders>
            <w:hideMark/>
          </w:tcPr>
          <w:p w14:paraId="0911D265" w14:textId="373E8C86" w:rsidR="00AD6853" w:rsidRPr="00392C98" w:rsidRDefault="007C5E4A" w:rsidP="00392C98">
            <w:pPr>
              <w:pStyle w:val="TableHeading1"/>
            </w:pPr>
            <w:r w:rsidRPr="00392C98">
              <w:t>Cost/​benefit</w:t>
            </w:r>
          </w:p>
        </w:tc>
        <w:tc>
          <w:tcPr>
            <w:tcW w:w="1195" w:type="dxa"/>
            <w:tcBorders>
              <w:top w:val="none" w:sz="0" w:space="0" w:color="auto"/>
              <w:left w:val="none" w:sz="0" w:space="0" w:color="auto"/>
              <w:tl2br w:val="none" w:sz="0" w:space="0" w:color="auto"/>
              <w:tr2bl w:val="none" w:sz="0" w:space="0" w:color="auto"/>
            </w:tcBorders>
            <w:hideMark/>
          </w:tcPr>
          <w:p w14:paraId="0BC130B2" w14:textId="77777777" w:rsidR="00AD6853" w:rsidRPr="00392C98" w:rsidRDefault="00AD6853" w:rsidP="00392C98">
            <w:pPr>
              <w:pStyle w:val="TableHeading1"/>
              <w:jc w:val="right"/>
              <w:cnfStyle w:val="100000000000" w:firstRow="1" w:lastRow="0" w:firstColumn="0" w:lastColumn="0" w:oddVBand="0" w:evenVBand="0" w:oddHBand="0" w:evenHBand="0" w:firstRowFirstColumn="0" w:firstRowLastColumn="0" w:lastRowFirstColumn="0" w:lastRowLastColumn="0"/>
            </w:pPr>
            <w:r w:rsidRPr="00392C98">
              <w:t>Mild impairment</w:t>
            </w:r>
          </w:p>
        </w:tc>
        <w:tc>
          <w:tcPr>
            <w:tcW w:w="1577" w:type="dxa"/>
            <w:tcBorders>
              <w:top w:val="none" w:sz="0" w:space="0" w:color="auto"/>
              <w:tl2br w:val="none" w:sz="0" w:space="0" w:color="auto"/>
              <w:tr2bl w:val="none" w:sz="0" w:space="0" w:color="auto"/>
            </w:tcBorders>
            <w:hideMark/>
          </w:tcPr>
          <w:p w14:paraId="0D75CDC6" w14:textId="77777777" w:rsidR="00AD6853" w:rsidRPr="00392C98" w:rsidRDefault="00AD6853" w:rsidP="00392C98">
            <w:pPr>
              <w:pStyle w:val="TableHeading1"/>
              <w:jc w:val="right"/>
              <w:cnfStyle w:val="100000000000" w:firstRow="1" w:lastRow="0" w:firstColumn="0" w:lastColumn="0" w:oddVBand="0" w:evenVBand="0" w:oddHBand="0" w:evenHBand="0" w:firstRowFirstColumn="0" w:firstRowLastColumn="0" w:lastRowFirstColumn="0" w:lastRowLastColumn="0"/>
            </w:pPr>
            <w:r w:rsidRPr="00392C98">
              <w:t>Moderate impairment</w:t>
            </w:r>
          </w:p>
        </w:tc>
        <w:tc>
          <w:tcPr>
            <w:tcW w:w="1577" w:type="dxa"/>
            <w:tcBorders>
              <w:top w:val="none" w:sz="0" w:space="0" w:color="auto"/>
              <w:tl2br w:val="none" w:sz="0" w:space="0" w:color="auto"/>
              <w:tr2bl w:val="none" w:sz="0" w:space="0" w:color="auto"/>
            </w:tcBorders>
            <w:hideMark/>
          </w:tcPr>
          <w:p w14:paraId="7B63DED6" w14:textId="77777777" w:rsidR="00AD6853" w:rsidRPr="00392C98" w:rsidRDefault="00AD6853" w:rsidP="00392C98">
            <w:pPr>
              <w:pStyle w:val="TableHeading1"/>
              <w:jc w:val="right"/>
              <w:cnfStyle w:val="100000000000" w:firstRow="1" w:lastRow="0" w:firstColumn="0" w:lastColumn="0" w:oddVBand="0" w:evenVBand="0" w:oddHBand="0" w:evenHBand="0" w:firstRowFirstColumn="0" w:firstRowLastColumn="0" w:lastRowFirstColumn="0" w:lastRowLastColumn="0"/>
            </w:pPr>
            <w:r w:rsidRPr="00392C98">
              <w:t>Severe impairment</w:t>
            </w:r>
          </w:p>
        </w:tc>
        <w:tc>
          <w:tcPr>
            <w:tcW w:w="1577" w:type="dxa"/>
            <w:tcBorders>
              <w:top w:val="none" w:sz="0" w:space="0" w:color="auto"/>
              <w:tl2br w:val="none" w:sz="0" w:space="0" w:color="auto"/>
              <w:tr2bl w:val="none" w:sz="0" w:space="0" w:color="auto"/>
            </w:tcBorders>
            <w:hideMark/>
          </w:tcPr>
          <w:p w14:paraId="4168B85B" w14:textId="77777777" w:rsidR="00AD6853" w:rsidRPr="00392C98" w:rsidRDefault="00AD6853" w:rsidP="00392C98">
            <w:pPr>
              <w:pStyle w:val="TableHeading1"/>
              <w:jc w:val="right"/>
              <w:cnfStyle w:val="100000000000" w:firstRow="1" w:lastRow="0" w:firstColumn="0" w:lastColumn="0" w:oddVBand="0" w:evenVBand="0" w:oddHBand="0" w:evenHBand="0" w:firstRowFirstColumn="0" w:firstRowLastColumn="0" w:lastRowFirstColumn="0" w:lastRowLastColumn="0"/>
            </w:pPr>
            <w:r w:rsidRPr="00392C98">
              <w:t>Profound impairment</w:t>
            </w:r>
          </w:p>
        </w:tc>
        <w:tc>
          <w:tcPr>
            <w:cnfStyle w:val="000100000000" w:firstRow="0" w:lastRow="0" w:firstColumn="0" w:lastColumn="1" w:oddVBand="0" w:evenVBand="0" w:oddHBand="0" w:evenHBand="0" w:firstRowFirstColumn="0" w:firstRowLastColumn="0" w:lastRowFirstColumn="0" w:lastRowLastColumn="0"/>
            <w:tcW w:w="1156" w:type="dxa"/>
            <w:tcBorders>
              <w:top w:val="none" w:sz="0" w:space="0" w:color="auto"/>
              <w:right w:val="none" w:sz="0" w:space="0" w:color="auto"/>
              <w:tl2br w:val="none" w:sz="0" w:space="0" w:color="auto"/>
              <w:tr2bl w:val="none" w:sz="0" w:space="0" w:color="auto"/>
            </w:tcBorders>
            <w:hideMark/>
          </w:tcPr>
          <w:p w14:paraId="69755FFC" w14:textId="44C2621E" w:rsidR="00AD6853" w:rsidRPr="00392C98" w:rsidRDefault="00642311" w:rsidP="00392C98">
            <w:pPr>
              <w:pStyle w:val="TableHeading1"/>
              <w:jc w:val="right"/>
            </w:pPr>
            <w:r w:rsidRPr="00392C98">
              <w:t>Total</w:t>
            </w:r>
          </w:p>
        </w:tc>
      </w:tr>
      <w:tr w:rsidR="00F513E6" w:rsidRPr="00392C98" w14:paraId="34221327" w14:textId="77777777" w:rsidTr="00FE0FC4">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0079C1" w:themeColor="text2"/>
            </w:tcBorders>
            <w:hideMark/>
          </w:tcPr>
          <w:p w14:paraId="58F13B47" w14:textId="2B1C0BC9" w:rsidR="00AD6853" w:rsidRPr="00392C98" w:rsidRDefault="00AD6853" w:rsidP="00642311">
            <w:pPr>
              <w:rPr>
                <w:szCs w:val="22"/>
              </w:rPr>
            </w:pPr>
            <w:r w:rsidRPr="00392C98">
              <w:rPr>
                <w:szCs w:val="22"/>
              </w:rPr>
              <w:t xml:space="preserve">Cost of AT </w:t>
            </w:r>
            <w:r w:rsidR="00985E4E" w:rsidRPr="00392C98">
              <w:rPr>
                <w:szCs w:val="22"/>
              </w:rPr>
              <w:t xml:space="preserve">products </w:t>
            </w:r>
          </w:p>
        </w:tc>
        <w:tc>
          <w:tcPr>
            <w:tcW w:w="1195" w:type="dxa"/>
            <w:tcBorders>
              <w:top w:val="single" w:sz="4" w:space="0" w:color="0079C1" w:themeColor="text2"/>
              <w:right w:val="nil"/>
            </w:tcBorders>
            <w:hideMark/>
          </w:tcPr>
          <w:p w14:paraId="397BF21A"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$287</w:t>
            </w:r>
          </w:p>
        </w:tc>
        <w:tc>
          <w:tcPr>
            <w:tcW w:w="1577" w:type="dxa"/>
            <w:tcBorders>
              <w:top w:val="single" w:sz="4" w:space="0" w:color="0079C1" w:themeColor="text2"/>
              <w:left w:val="nil"/>
              <w:bottom w:val="single" w:sz="4" w:space="0" w:color="D9D9D9" w:themeColor="background1" w:themeShade="D9"/>
              <w:right w:val="nil"/>
            </w:tcBorders>
            <w:hideMark/>
          </w:tcPr>
          <w:p w14:paraId="6303AB15"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$40</w:t>
            </w:r>
          </w:p>
        </w:tc>
        <w:tc>
          <w:tcPr>
            <w:tcW w:w="1577" w:type="dxa"/>
            <w:tcBorders>
              <w:top w:val="single" w:sz="4" w:space="0" w:color="0079C1" w:themeColor="text2"/>
              <w:left w:val="nil"/>
              <w:bottom w:val="single" w:sz="4" w:space="0" w:color="D9D9D9" w:themeColor="background1" w:themeShade="D9"/>
              <w:right w:val="nil"/>
            </w:tcBorders>
            <w:hideMark/>
          </w:tcPr>
          <w:p w14:paraId="1EC72417"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$773</w:t>
            </w:r>
          </w:p>
        </w:tc>
        <w:tc>
          <w:tcPr>
            <w:tcW w:w="1577" w:type="dxa"/>
            <w:tcBorders>
              <w:top w:val="single" w:sz="4" w:space="0" w:color="0079C1" w:themeColor="text2"/>
              <w:left w:val="nil"/>
              <w:bottom w:val="single" w:sz="4" w:space="0" w:color="D9D9D9" w:themeColor="background1" w:themeShade="D9"/>
              <w:right w:val="nil"/>
            </w:tcBorders>
            <w:hideMark/>
          </w:tcPr>
          <w:p w14:paraId="58C04991"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$1,174</w:t>
            </w:r>
          </w:p>
        </w:tc>
        <w:tc>
          <w:tcPr>
            <w:cnfStyle w:val="000100000000" w:firstRow="0" w:lastRow="0" w:firstColumn="0" w:lastColumn="1" w:oddVBand="0" w:evenVBand="0" w:oddHBand="0" w:evenHBand="0" w:firstRowFirstColumn="0" w:firstRowLastColumn="0" w:lastRowFirstColumn="0" w:lastRowLastColumn="0"/>
            <w:tcW w:w="1156" w:type="dxa"/>
            <w:tcBorders>
              <w:top w:val="single" w:sz="4" w:space="0" w:color="0079C1" w:themeColor="text2"/>
              <w:left w:val="nil"/>
            </w:tcBorders>
            <w:hideMark/>
          </w:tcPr>
          <w:p w14:paraId="63D316E4" w14:textId="77777777" w:rsidR="00AD6853" w:rsidRPr="00392C98" w:rsidRDefault="00AD6853" w:rsidP="00C97CE8">
            <w:pPr>
              <w:jc w:val="right"/>
              <w:rPr>
                <w:szCs w:val="22"/>
              </w:rPr>
            </w:pPr>
            <w:r w:rsidRPr="00392C98">
              <w:rPr>
                <w:szCs w:val="22"/>
              </w:rPr>
              <w:t>$2,274</w:t>
            </w:r>
          </w:p>
        </w:tc>
      </w:tr>
      <w:tr w:rsidR="00F513E6" w:rsidRPr="00392C98" w14:paraId="47CC2F68" w14:textId="77777777" w:rsidTr="00FE0FC4">
        <w:tc>
          <w:tcPr>
            <w:cnfStyle w:val="001000000000" w:firstRow="0" w:lastRow="0" w:firstColumn="1" w:lastColumn="0" w:oddVBand="0" w:evenVBand="0" w:oddHBand="0" w:evenHBand="0" w:firstRowFirstColumn="0" w:firstRowLastColumn="0" w:lastRowFirstColumn="0" w:lastRowLastColumn="0"/>
            <w:tcW w:w="2268" w:type="dxa"/>
            <w:hideMark/>
          </w:tcPr>
          <w:p w14:paraId="1A458F58" w14:textId="6DFCDF48" w:rsidR="00AD6853" w:rsidRPr="00392C98" w:rsidRDefault="00AD6853" w:rsidP="00642311">
            <w:pPr>
              <w:rPr>
                <w:szCs w:val="22"/>
              </w:rPr>
            </w:pPr>
            <w:r w:rsidRPr="00392C98">
              <w:rPr>
                <w:szCs w:val="22"/>
              </w:rPr>
              <w:t>Cost of AT </w:t>
            </w:r>
            <w:r w:rsidR="00985E4E" w:rsidRPr="00392C98">
              <w:rPr>
                <w:szCs w:val="22"/>
              </w:rPr>
              <w:t>services</w:t>
            </w:r>
          </w:p>
        </w:tc>
        <w:tc>
          <w:tcPr>
            <w:tcW w:w="1195" w:type="dxa"/>
            <w:tcBorders>
              <w:right w:val="nil"/>
            </w:tcBorders>
            <w:hideMark/>
          </w:tcPr>
          <w:p w14:paraId="7998E414"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$144</w:t>
            </w:r>
          </w:p>
        </w:tc>
        <w:tc>
          <w:tcPr>
            <w:tcW w:w="1577" w:type="dxa"/>
            <w:tcBorders>
              <w:left w:val="nil"/>
              <w:bottom w:val="single" w:sz="4" w:space="0" w:color="D9D9D9" w:themeColor="background1" w:themeShade="D9"/>
              <w:right w:val="nil"/>
            </w:tcBorders>
            <w:hideMark/>
          </w:tcPr>
          <w:p w14:paraId="7972CD8C"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$20</w:t>
            </w:r>
          </w:p>
        </w:tc>
        <w:tc>
          <w:tcPr>
            <w:tcW w:w="1577" w:type="dxa"/>
            <w:tcBorders>
              <w:left w:val="nil"/>
              <w:bottom w:val="single" w:sz="4" w:space="0" w:color="D9D9D9" w:themeColor="background1" w:themeShade="D9"/>
              <w:right w:val="nil"/>
            </w:tcBorders>
            <w:hideMark/>
          </w:tcPr>
          <w:p w14:paraId="44445E7B"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$387</w:t>
            </w:r>
          </w:p>
        </w:tc>
        <w:tc>
          <w:tcPr>
            <w:tcW w:w="1577" w:type="dxa"/>
            <w:tcBorders>
              <w:left w:val="nil"/>
              <w:bottom w:val="single" w:sz="4" w:space="0" w:color="D9D9D9" w:themeColor="background1" w:themeShade="D9"/>
              <w:right w:val="nil"/>
            </w:tcBorders>
            <w:hideMark/>
          </w:tcPr>
          <w:p w14:paraId="0DE980CF"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$587</w:t>
            </w:r>
          </w:p>
        </w:tc>
        <w:tc>
          <w:tcPr>
            <w:cnfStyle w:val="000100000000" w:firstRow="0" w:lastRow="0" w:firstColumn="0" w:lastColumn="1" w:oddVBand="0" w:evenVBand="0" w:oddHBand="0" w:evenHBand="0" w:firstRowFirstColumn="0" w:firstRowLastColumn="0" w:lastRowFirstColumn="0" w:lastRowLastColumn="0"/>
            <w:tcW w:w="1156" w:type="dxa"/>
            <w:tcBorders>
              <w:left w:val="nil"/>
            </w:tcBorders>
            <w:hideMark/>
          </w:tcPr>
          <w:p w14:paraId="51FF3CCC" w14:textId="77777777" w:rsidR="00AD6853" w:rsidRPr="00392C98" w:rsidRDefault="00AD6853" w:rsidP="00C97CE8">
            <w:pPr>
              <w:jc w:val="right"/>
              <w:rPr>
                <w:szCs w:val="22"/>
              </w:rPr>
            </w:pPr>
            <w:r w:rsidRPr="00392C98">
              <w:rPr>
                <w:szCs w:val="22"/>
              </w:rPr>
              <w:t>$1,138</w:t>
            </w:r>
          </w:p>
        </w:tc>
      </w:tr>
      <w:tr w:rsidR="00F513E6" w:rsidRPr="00392C98" w14:paraId="411A977A" w14:textId="77777777" w:rsidTr="00FE0FC4">
        <w:tc>
          <w:tcPr>
            <w:cnfStyle w:val="001000000000" w:firstRow="0" w:lastRow="0" w:firstColumn="1" w:lastColumn="0" w:oddVBand="0" w:evenVBand="0" w:oddHBand="0" w:evenHBand="0" w:firstRowFirstColumn="0" w:firstRowLastColumn="0" w:lastRowFirstColumn="0" w:lastRowLastColumn="0"/>
            <w:tcW w:w="2268" w:type="dxa"/>
            <w:hideMark/>
          </w:tcPr>
          <w:p w14:paraId="7F4385B0" w14:textId="77777777" w:rsidR="00AD6853" w:rsidRPr="00392C98" w:rsidRDefault="00AD6853" w:rsidP="00C97CE8">
            <w:pPr>
              <w:rPr>
                <w:szCs w:val="22"/>
              </w:rPr>
            </w:pPr>
            <w:r w:rsidRPr="00392C98">
              <w:rPr>
                <w:szCs w:val="22"/>
              </w:rPr>
              <w:t>Combined AT costs</w:t>
            </w:r>
          </w:p>
        </w:tc>
        <w:tc>
          <w:tcPr>
            <w:tcW w:w="1195" w:type="dxa"/>
            <w:tcBorders>
              <w:right w:val="nil"/>
            </w:tcBorders>
            <w:hideMark/>
          </w:tcPr>
          <w:p w14:paraId="5C6CBA21" w14:textId="77777777" w:rsidR="00AD6853" w:rsidRPr="00392C98" w:rsidRDefault="00AD6853" w:rsidP="00C97CE8">
            <w:pPr>
              <w:jc w:val="right"/>
              <w:cnfStyle w:val="000000000000" w:firstRow="0" w:lastRow="0" w:firstColumn="0" w:lastColumn="0" w:oddVBand="0" w:evenVBand="0" w:oddHBand="0" w:evenHBand="0" w:firstRowFirstColumn="0" w:firstRowLastColumn="0" w:lastRowFirstColumn="0" w:lastRowLastColumn="0"/>
              <w:rPr>
                <w:rStyle w:val="Bold"/>
                <w:szCs w:val="22"/>
              </w:rPr>
            </w:pPr>
            <w:r w:rsidRPr="00392C98">
              <w:rPr>
                <w:rStyle w:val="Bold"/>
                <w:szCs w:val="22"/>
              </w:rPr>
              <w:t>$431</w:t>
            </w:r>
          </w:p>
        </w:tc>
        <w:tc>
          <w:tcPr>
            <w:tcW w:w="1577" w:type="dxa"/>
            <w:tcBorders>
              <w:left w:val="nil"/>
              <w:bottom w:val="single" w:sz="4" w:space="0" w:color="D9D9D9" w:themeColor="background1" w:themeShade="D9"/>
              <w:right w:val="nil"/>
            </w:tcBorders>
            <w:hideMark/>
          </w:tcPr>
          <w:p w14:paraId="522D744E" w14:textId="77777777" w:rsidR="00AD6853" w:rsidRPr="00392C98" w:rsidRDefault="00AD6853" w:rsidP="00C97CE8">
            <w:pPr>
              <w:jc w:val="right"/>
              <w:cnfStyle w:val="000000000000" w:firstRow="0" w:lastRow="0" w:firstColumn="0" w:lastColumn="0" w:oddVBand="0" w:evenVBand="0" w:oddHBand="0" w:evenHBand="0" w:firstRowFirstColumn="0" w:firstRowLastColumn="0" w:lastRowFirstColumn="0" w:lastRowLastColumn="0"/>
              <w:rPr>
                <w:rStyle w:val="Bold"/>
                <w:szCs w:val="22"/>
              </w:rPr>
            </w:pPr>
            <w:r w:rsidRPr="00392C98">
              <w:rPr>
                <w:rStyle w:val="Bold"/>
                <w:szCs w:val="22"/>
              </w:rPr>
              <w:t>$60</w:t>
            </w:r>
          </w:p>
        </w:tc>
        <w:tc>
          <w:tcPr>
            <w:tcW w:w="1577" w:type="dxa"/>
            <w:tcBorders>
              <w:left w:val="nil"/>
              <w:bottom w:val="single" w:sz="4" w:space="0" w:color="D9D9D9" w:themeColor="background1" w:themeShade="D9"/>
              <w:right w:val="nil"/>
            </w:tcBorders>
            <w:hideMark/>
          </w:tcPr>
          <w:p w14:paraId="34D3B8E4" w14:textId="77777777" w:rsidR="00AD6853" w:rsidRPr="00392C98" w:rsidRDefault="00AD6853" w:rsidP="00C97CE8">
            <w:pPr>
              <w:jc w:val="right"/>
              <w:cnfStyle w:val="000000000000" w:firstRow="0" w:lastRow="0" w:firstColumn="0" w:lastColumn="0" w:oddVBand="0" w:evenVBand="0" w:oddHBand="0" w:evenHBand="0" w:firstRowFirstColumn="0" w:firstRowLastColumn="0" w:lastRowFirstColumn="0" w:lastRowLastColumn="0"/>
              <w:rPr>
                <w:rStyle w:val="Bold"/>
                <w:szCs w:val="22"/>
              </w:rPr>
            </w:pPr>
            <w:r w:rsidRPr="00392C98">
              <w:rPr>
                <w:rStyle w:val="Bold"/>
                <w:szCs w:val="22"/>
              </w:rPr>
              <w:t>$1,160</w:t>
            </w:r>
          </w:p>
        </w:tc>
        <w:tc>
          <w:tcPr>
            <w:tcW w:w="1577" w:type="dxa"/>
            <w:tcBorders>
              <w:left w:val="nil"/>
              <w:bottom w:val="single" w:sz="4" w:space="0" w:color="D9D9D9" w:themeColor="background1" w:themeShade="D9"/>
              <w:right w:val="nil"/>
            </w:tcBorders>
            <w:hideMark/>
          </w:tcPr>
          <w:p w14:paraId="3968D387" w14:textId="77777777" w:rsidR="00AD6853" w:rsidRPr="00392C98" w:rsidRDefault="00AD6853" w:rsidP="00C97CE8">
            <w:pPr>
              <w:jc w:val="right"/>
              <w:cnfStyle w:val="000000000000" w:firstRow="0" w:lastRow="0" w:firstColumn="0" w:lastColumn="0" w:oddVBand="0" w:evenVBand="0" w:oddHBand="0" w:evenHBand="0" w:firstRowFirstColumn="0" w:firstRowLastColumn="0" w:lastRowFirstColumn="0" w:lastRowLastColumn="0"/>
              <w:rPr>
                <w:rStyle w:val="Bold"/>
                <w:szCs w:val="22"/>
              </w:rPr>
            </w:pPr>
            <w:r w:rsidRPr="00392C98">
              <w:rPr>
                <w:rStyle w:val="Bold"/>
                <w:szCs w:val="22"/>
              </w:rPr>
              <w:t>$1,761</w:t>
            </w:r>
          </w:p>
        </w:tc>
        <w:tc>
          <w:tcPr>
            <w:cnfStyle w:val="000100000000" w:firstRow="0" w:lastRow="0" w:firstColumn="0" w:lastColumn="1" w:oddVBand="0" w:evenVBand="0" w:oddHBand="0" w:evenHBand="0" w:firstRowFirstColumn="0" w:firstRowLastColumn="0" w:lastRowFirstColumn="0" w:lastRowLastColumn="0"/>
            <w:tcW w:w="1156" w:type="dxa"/>
            <w:tcBorders>
              <w:left w:val="nil"/>
            </w:tcBorders>
            <w:hideMark/>
          </w:tcPr>
          <w:p w14:paraId="0587AD93" w14:textId="77777777" w:rsidR="00AD6853" w:rsidRPr="00392C98" w:rsidRDefault="00AD6853" w:rsidP="00C97CE8">
            <w:pPr>
              <w:jc w:val="right"/>
              <w:rPr>
                <w:szCs w:val="22"/>
              </w:rPr>
            </w:pPr>
            <w:r w:rsidRPr="00392C98">
              <w:rPr>
                <w:szCs w:val="22"/>
              </w:rPr>
              <w:t>$3,412</w:t>
            </w:r>
          </w:p>
        </w:tc>
      </w:tr>
      <w:tr w:rsidR="00F513E6" w:rsidRPr="00392C98" w14:paraId="5F779410" w14:textId="77777777" w:rsidTr="00FE0FC4">
        <w:tc>
          <w:tcPr>
            <w:cnfStyle w:val="001000000000" w:firstRow="0" w:lastRow="0" w:firstColumn="1" w:lastColumn="0" w:oddVBand="0" w:evenVBand="0" w:oddHBand="0" w:evenHBand="0" w:firstRowFirstColumn="0" w:firstRowLastColumn="0" w:lastRowFirstColumn="0" w:lastRowLastColumn="0"/>
            <w:tcW w:w="2268" w:type="dxa"/>
            <w:hideMark/>
          </w:tcPr>
          <w:p w14:paraId="3431EA34" w14:textId="77777777" w:rsidR="00AD6853" w:rsidRPr="00392C98" w:rsidRDefault="00AD6853" w:rsidP="00642311">
            <w:pPr>
              <w:rPr>
                <w:szCs w:val="22"/>
              </w:rPr>
            </w:pPr>
            <w:r w:rsidRPr="00392C98">
              <w:rPr>
                <w:szCs w:val="22"/>
              </w:rPr>
              <w:t>Benefit of AT</w:t>
            </w:r>
          </w:p>
        </w:tc>
        <w:tc>
          <w:tcPr>
            <w:tcW w:w="1195" w:type="dxa"/>
            <w:tcBorders>
              <w:right w:val="nil"/>
            </w:tcBorders>
            <w:hideMark/>
          </w:tcPr>
          <w:p w14:paraId="79F2A048"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$17</w:t>
            </w:r>
          </w:p>
        </w:tc>
        <w:tc>
          <w:tcPr>
            <w:tcW w:w="1577" w:type="dxa"/>
            <w:tcBorders>
              <w:left w:val="nil"/>
              <w:bottom w:val="single" w:sz="4" w:space="0" w:color="D9D9D9" w:themeColor="background1" w:themeShade="D9"/>
              <w:right w:val="nil"/>
            </w:tcBorders>
            <w:hideMark/>
          </w:tcPr>
          <w:p w14:paraId="6BFBF0BA"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$2,835</w:t>
            </w:r>
          </w:p>
        </w:tc>
        <w:tc>
          <w:tcPr>
            <w:tcW w:w="1577" w:type="dxa"/>
            <w:tcBorders>
              <w:left w:val="nil"/>
              <w:bottom w:val="single" w:sz="4" w:space="0" w:color="D9D9D9" w:themeColor="background1" w:themeShade="D9"/>
              <w:right w:val="nil"/>
            </w:tcBorders>
            <w:hideMark/>
          </w:tcPr>
          <w:p w14:paraId="3B4EF21A"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$3,345</w:t>
            </w:r>
          </w:p>
        </w:tc>
        <w:tc>
          <w:tcPr>
            <w:tcW w:w="1577" w:type="dxa"/>
            <w:tcBorders>
              <w:left w:val="nil"/>
              <w:bottom w:val="single" w:sz="4" w:space="0" w:color="D9D9D9" w:themeColor="background1" w:themeShade="D9"/>
              <w:right w:val="nil"/>
            </w:tcBorders>
            <w:hideMark/>
          </w:tcPr>
          <w:p w14:paraId="5EAAA3E3" w14:textId="77777777" w:rsidR="00AD6853" w:rsidRPr="00392C98" w:rsidRDefault="00AD6853" w:rsidP="009313A7">
            <w:pPr>
              <w:pStyle w:val="TableTextRight"/>
              <w:cnfStyle w:val="000000000000" w:firstRow="0" w:lastRow="0" w:firstColumn="0" w:lastColumn="0" w:oddVBand="0" w:evenVBand="0" w:oddHBand="0" w:evenHBand="0" w:firstRowFirstColumn="0" w:firstRowLastColumn="0" w:lastRowFirstColumn="0" w:lastRowLastColumn="0"/>
              <w:rPr>
                <w:szCs w:val="22"/>
              </w:rPr>
            </w:pPr>
            <w:r w:rsidRPr="00392C98">
              <w:rPr>
                <w:szCs w:val="22"/>
              </w:rPr>
              <w:t>$13,555</w:t>
            </w:r>
          </w:p>
        </w:tc>
        <w:tc>
          <w:tcPr>
            <w:cnfStyle w:val="000100000000" w:firstRow="0" w:lastRow="0" w:firstColumn="0" w:lastColumn="1" w:oddVBand="0" w:evenVBand="0" w:oddHBand="0" w:evenHBand="0" w:firstRowFirstColumn="0" w:firstRowLastColumn="0" w:lastRowFirstColumn="0" w:lastRowLastColumn="0"/>
            <w:tcW w:w="1156" w:type="dxa"/>
            <w:tcBorders>
              <w:left w:val="nil"/>
            </w:tcBorders>
            <w:hideMark/>
          </w:tcPr>
          <w:p w14:paraId="535E3081" w14:textId="77777777" w:rsidR="00AD6853" w:rsidRPr="00392C98" w:rsidRDefault="00AD6853" w:rsidP="00C97CE8">
            <w:pPr>
              <w:jc w:val="right"/>
              <w:rPr>
                <w:szCs w:val="22"/>
              </w:rPr>
            </w:pPr>
            <w:r w:rsidRPr="00392C98">
              <w:rPr>
                <w:szCs w:val="22"/>
              </w:rPr>
              <w:t>$19,752</w:t>
            </w:r>
          </w:p>
        </w:tc>
      </w:tr>
      <w:tr w:rsidR="00117CC7" w:rsidRPr="00392C98" w14:paraId="2407D318" w14:textId="77777777" w:rsidTr="00FE0FC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E2F4FF" w:themeFill="accent1" w:themeFillTint="33"/>
            <w:hideMark/>
          </w:tcPr>
          <w:p w14:paraId="0978036E" w14:textId="77777777" w:rsidR="00AD6853" w:rsidRPr="00392C98" w:rsidRDefault="00AD6853" w:rsidP="00642311">
            <w:pPr>
              <w:rPr>
                <w:szCs w:val="22"/>
              </w:rPr>
            </w:pPr>
            <w:r w:rsidRPr="00392C98">
              <w:rPr>
                <w:szCs w:val="22"/>
              </w:rPr>
              <w:t>Return on investment</w:t>
            </w:r>
          </w:p>
        </w:tc>
        <w:tc>
          <w:tcPr>
            <w:tcW w:w="1195" w:type="dxa"/>
            <w:shd w:val="clear" w:color="auto" w:fill="E2F4FF" w:themeFill="accent1" w:themeFillTint="33"/>
            <w:hideMark/>
          </w:tcPr>
          <w:p w14:paraId="5C284FBA" w14:textId="0B6EEC40" w:rsidR="00AD6853" w:rsidRPr="00392C98" w:rsidRDefault="00AD6853" w:rsidP="00C97CE8">
            <w:pPr>
              <w:jc w:val="right"/>
              <w:cnfStyle w:val="010000000000" w:firstRow="0" w:lastRow="1" w:firstColumn="0" w:lastColumn="0" w:oddVBand="0" w:evenVBand="0" w:oddHBand="0" w:evenHBand="0" w:firstRowFirstColumn="0" w:firstRowLastColumn="0" w:lastRowFirstColumn="0" w:lastRowLastColumn="0"/>
              <w:rPr>
                <w:szCs w:val="22"/>
              </w:rPr>
            </w:pPr>
            <w:r w:rsidRPr="00392C98">
              <w:rPr>
                <w:szCs w:val="22"/>
              </w:rPr>
              <w:t>$0.04</w:t>
            </w:r>
            <w:r w:rsidR="00993E71" w:rsidRPr="00392C98">
              <w:rPr>
                <w:szCs w:val="22"/>
                <w:vertAlign w:val="superscript"/>
              </w:rPr>
              <w:t>*</w:t>
            </w:r>
          </w:p>
        </w:tc>
        <w:tc>
          <w:tcPr>
            <w:tcW w:w="1577" w:type="dxa"/>
            <w:shd w:val="clear" w:color="auto" w:fill="E2F4FF" w:themeFill="accent1" w:themeFillTint="33"/>
            <w:hideMark/>
          </w:tcPr>
          <w:p w14:paraId="11877853" w14:textId="77777777" w:rsidR="00AD6853" w:rsidRPr="00392C98" w:rsidRDefault="00AD6853" w:rsidP="00C97CE8">
            <w:pPr>
              <w:jc w:val="right"/>
              <w:cnfStyle w:val="010000000000" w:firstRow="0" w:lastRow="1" w:firstColumn="0" w:lastColumn="0" w:oddVBand="0" w:evenVBand="0" w:oddHBand="0" w:evenHBand="0" w:firstRowFirstColumn="0" w:firstRowLastColumn="0" w:lastRowFirstColumn="0" w:lastRowLastColumn="0"/>
              <w:rPr>
                <w:szCs w:val="22"/>
              </w:rPr>
            </w:pPr>
            <w:r w:rsidRPr="00392C98">
              <w:rPr>
                <w:szCs w:val="22"/>
              </w:rPr>
              <w:t>$47.25</w:t>
            </w:r>
          </w:p>
        </w:tc>
        <w:tc>
          <w:tcPr>
            <w:tcW w:w="1577" w:type="dxa"/>
            <w:shd w:val="clear" w:color="auto" w:fill="E2F4FF" w:themeFill="accent1" w:themeFillTint="33"/>
            <w:hideMark/>
          </w:tcPr>
          <w:p w14:paraId="151FD542" w14:textId="77777777" w:rsidR="00AD6853" w:rsidRPr="00392C98" w:rsidRDefault="00AD6853" w:rsidP="00C97CE8">
            <w:pPr>
              <w:jc w:val="right"/>
              <w:cnfStyle w:val="010000000000" w:firstRow="0" w:lastRow="1" w:firstColumn="0" w:lastColumn="0" w:oddVBand="0" w:evenVBand="0" w:oddHBand="0" w:evenHBand="0" w:firstRowFirstColumn="0" w:firstRowLastColumn="0" w:lastRowFirstColumn="0" w:lastRowLastColumn="0"/>
              <w:rPr>
                <w:szCs w:val="22"/>
              </w:rPr>
            </w:pPr>
            <w:r w:rsidRPr="00392C98">
              <w:rPr>
                <w:szCs w:val="22"/>
              </w:rPr>
              <w:t>$2.88</w:t>
            </w:r>
          </w:p>
        </w:tc>
        <w:tc>
          <w:tcPr>
            <w:tcW w:w="1577" w:type="dxa"/>
            <w:shd w:val="clear" w:color="auto" w:fill="E2F4FF" w:themeFill="accent1" w:themeFillTint="33"/>
            <w:hideMark/>
          </w:tcPr>
          <w:p w14:paraId="0144F4EF" w14:textId="77777777" w:rsidR="00AD6853" w:rsidRPr="00392C98" w:rsidRDefault="00AD6853" w:rsidP="00C97CE8">
            <w:pPr>
              <w:jc w:val="right"/>
              <w:cnfStyle w:val="010000000000" w:firstRow="0" w:lastRow="1" w:firstColumn="0" w:lastColumn="0" w:oddVBand="0" w:evenVBand="0" w:oddHBand="0" w:evenHBand="0" w:firstRowFirstColumn="0" w:firstRowLastColumn="0" w:lastRowFirstColumn="0" w:lastRowLastColumn="0"/>
              <w:rPr>
                <w:szCs w:val="22"/>
              </w:rPr>
            </w:pPr>
            <w:r w:rsidRPr="00392C98">
              <w:rPr>
                <w:szCs w:val="22"/>
              </w:rPr>
              <w:t>$7.70</w:t>
            </w:r>
          </w:p>
        </w:tc>
        <w:tc>
          <w:tcPr>
            <w:cnfStyle w:val="000100000000" w:firstRow="0" w:lastRow="0" w:firstColumn="0" w:lastColumn="1" w:oddVBand="0" w:evenVBand="0" w:oddHBand="0" w:evenHBand="0" w:firstRowFirstColumn="0" w:firstRowLastColumn="0" w:lastRowFirstColumn="0" w:lastRowLastColumn="0"/>
            <w:tcW w:w="1156" w:type="dxa"/>
            <w:shd w:val="clear" w:color="auto" w:fill="E2F4FF" w:themeFill="accent1" w:themeFillTint="33"/>
            <w:hideMark/>
          </w:tcPr>
          <w:p w14:paraId="4D7531E4" w14:textId="77777777" w:rsidR="00AD6853" w:rsidRPr="00392C98" w:rsidRDefault="00AD6853" w:rsidP="00C97CE8">
            <w:pPr>
              <w:jc w:val="right"/>
              <w:rPr>
                <w:szCs w:val="22"/>
              </w:rPr>
            </w:pPr>
            <w:r w:rsidRPr="00392C98">
              <w:rPr>
                <w:szCs w:val="22"/>
              </w:rPr>
              <w:t>$57.87</w:t>
            </w:r>
          </w:p>
        </w:tc>
      </w:tr>
    </w:tbl>
    <w:p w14:paraId="3CAECB02" w14:textId="4DDBF484" w:rsidR="007E19A8" w:rsidRPr="00436102" w:rsidRDefault="00993E71" w:rsidP="00186D90">
      <w:pPr>
        <w:pStyle w:val="Note"/>
      </w:pPr>
      <w:r>
        <w:t>*</w:t>
      </w:r>
      <w:r w:rsidR="007E19A8" w:rsidRPr="00436102">
        <w:t xml:space="preserve">This figure is likely to be an underestimate as it does not </w:t>
      </w:r>
      <w:r>
        <w:t>include likely</w:t>
      </w:r>
      <w:r w:rsidR="007E19A8" w:rsidRPr="00436102">
        <w:t xml:space="preserve"> </w:t>
      </w:r>
      <w:r w:rsidR="00EC4322" w:rsidRPr="00436102">
        <w:t>longer-term</w:t>
      </w:r>
      <w:r w:rsidR="007E19A8" w:rsidRPr="00436102">
        <w:t xml:space="preserve"> cost offsets</w:t>
      </w:r>
      <w:r w:rsidR="000B430E">
        <w:t xml:space="preserve"> </w:t>
      </w:r>
      <w:r w:rsidR="00D9339C">
        <w:t>arising from</w:t>
      </w:r>
      <w:r w:rsidR="000B430E">
        <w:t xml:space="preserve"> delays in accessing </w:t>
      </w:r>
      <w:r w:rsidR="00EC4322">
        <w:t xml:space="preserve">more costly aged </w:t>
      </w:r>
      <w:r w:rsidR="000B430E">
        <w:t>care services.</w:t>
      </w:r>
    </w:p>
    <w:p w14:paraId="4F30A063" w14:textId="374C459D" w:rsidR="003E135A" w:rsidRDefault="003E135A" w:rsidP="003E135A">
      <w:pPr>
        <w:pStyle w:val="Paragraph"/>
      </w:pPr>
      <w:r>
        <w:t xml:space="preserve">The Delphi </w:t>
      </w:r>
      <w:r w:rsidR="006122FC">
        <w:t xml:space="preserve">technique </w:t>
      </w:r>
      <w:r>
        <w:t>results were used to cost the benefits for the different program options (</w:t>
      </w:r>
      <w:r>
        <w:rPr>
          <w:i/>
          <w:iCs/>
        </w:rPr>
        <w:t>Chapter </w:t>
      </w:r>
      <w:r w:rsidRPr="006A2F81">
        <w:rPr>
          <w:i/>
          <w:iCs/>
        </w:rPr>
        <w:fldChar w:fldCharType="begin"/>
      </w:r>
      <w:r w:rsidRPr="006A2F81">
        <w:rPr>
          <w:i/>
          <w:iCs/>
        </w:rPr>
        <w:instrText xml:space="preserve"> REF _Ref41837212 \r \h </w:instrText>
      </w:r>
      <w:r>
        <w:rPr>
          <w:i/>
          <w:iCs/>
        </w:rPr>
        <w:instrText xml:space="preserve"> \* MERGEFORMAT </w:instrText>
      </w:r>
      <w:r w:rsidRPr="006A2F81">
        <w:rPr>
          <w:i/>
          <w:iCs/>
        </w:rPr>
      </w:r>
      <w:r w:rsidRPr="006A2F81">
        <w:rPr>
          <w:i/>
          <w:iCs/>
        </w:rPr>
        <w:fldChar w:fldCharType="separate"/>
      </w:r>
      <w:r w:rsidR="00CC3F04">
        <w:rPr>
          <w:i/>
          <w:iCs/>
        </w:rPr>
        <w:t>4</w:t>
      </w:r>
      <w:r w:rsidRPr="006A2F81">
        <w:rPr>
          <w:i/>
          <w:iCs/>
        </w:rPr>
        <w:fldChar w:fldCharType="end"/>
      </w:r>
      <w:r>
        <w:t>)</w:t>
      </w:r>
      <w:r w:rsidR="00EC4322">
        <w:t>.</w:t>
      </w:r>
    </w:p>
    <w:p w14:paraId="64D07CB4" w14:textId="7E54F021" w:rsidR="00112865" w:rsidRPr="00B74D60" w:rsidRDefault="008A5255" w:rsidP="00B74D60">
      <w:pPr>
        <w:pStyle w:val="Paragraph"/>
      </w:pPr>
      <w:r>
        <w:rPr>
          <w:lang w:val="en-AU"/>
        </w:rPr>
        <w:t>For details</w:t>
      </w:r>
      <w:r w:rsidDel="007D349D">
        <w:rPr>
          <w:lang w:val="en-AU"/>
        </w:rPr>
        <w:t xml:space="preserve"> </w:t>
      </w:r>
      <w:r w:rsidR="003E135A">
        <w:rPr>
          <w:lang w:val="en-AU"/>
        </w:rPr>
        <w:t xml:space="preserve">of the </w:t>
      </w:r>
      <w:r w:rsidR="003E135A" w:rsidRPr="00847629">
        <w:rPr>
          <w:lang w:val="en-AU"/>
        </w:rPr>
        <w:t>benefits and the methodology for costing the modelled cost data</w:t>
      </w:r>
      <w:r>
        <w:rPr>
          <w:lang w:val="en-AU"/>
        </w:rPr>
        <w:t xml:space="preserve">, see </w:t>
      </w:r>
      <w:r w:rsidRPr="008E0D98">
        <w:rPr>
          <w:rStyle w:val="Italic"/>
        </w:rPr>
        <w:t>Supplementary Technical Report, Appendix C</w:t>
      </w:r>
      <w:r w:rsidR="003E135A">
        <w:rPr>
          <w:lang w:val="en-AU"/>
        </w:rPr>
        <w:t xml:space="preserve">. </w:t>
      </w:r>
      <w:r w:rsidR="00112865" w:rsidRPr="00B74D60">
        <w:rPr>
          <w:lang w:eastAsia="en-AU"/>
        </w:rPr>
        <w:br w:type="page"/>
      </w:r>
    </w:p>
    <w:p w14:paraId="30A4C137" w14:textId="58AA632A" w:rsidR="00112865" w:rsidRPr="00C06CDE" w:rsidRDefault="00112865" w:rsidP="000A7D2B">
      <w:pPr>
        <w:pStyle w:val="Paragraph"/>
        <w:rPr>
          <w:lang w:eastAsia="en-AU"/>
        </w:rPr>
      </w:pPr>
    </w:p>
    <w:p w14:paraId="422A21F0" w14:textId="7F1633A3" w:rsidR="00172E6D" w:rsidRPr="00B42789" w:rsidRDefault="0031014A" w:rsidP="0065114D">
      <w:pPr>
        <w:pStyle w:val="Heading1"/>
        <w:rPr>
          <w:color w:val="auto"/>
          <w:lang w:eastAsia="en-AU"/>
        </w:rPr>
      </w:pPr>
      <w:bookmarkStart w:id="104" w:name="_Toc42281453"/>
      <w:bookmarkStart w:id="105" w:name="_Toc42281454"/>
      <w:bookmarkStart w:id="106" w:name="_Toc42281455"/>
      <w:bookmarkStart w:id="107" w:name="_Toc42281456"/>
      <w:bookmarkStart w:id="108" w:name="_Toc42281457"/>
      <w:bookmarkStart w:id="109" w:name="_Toc42281458"/>
      <w:bookmarkStart w:id="110" w:name="_Toc42281459"/>
      <w:bookmarkStart w:id="111" w:name="_Toc42281460"/>
      <w:bookmarkStart w:id="112" w:name="_Toc42281461"/>
      <w:bookmarkStart w:id="113" w:name="_Toc42281462"/>
      <w:bookmarkStart w:id="114" w:name="_Toc42281463"/>
      <w:bookmarkStart w:id="115" w:name="_Toc42281464"/>
      <w:bookmarkStart w:id="116" w:name="_Toc42281465"/>
      <w:bookmarkStart w:id="117" w:name="_Toc42281466"/>
      <w:bookmarkStart w:id="118" w:name="_Toc42281467"/>
      <w:bookmarkStart w:id="119" w:name="_Toc42281468"/>
      <w:bookmarkStart w:id="120" w:name="_Toc42281469"/>
      <w:bookmarkStart w:id="121" w:name="_Toc42281470"/>
      <w:bookmarkStart w:id="122" w:name="_Toc42281518"/>
      <w:bookmarkStart w:id="123" w:name="_Toc42281519"/>
      <w:bookmarkStart w:id="124" w:name="_Toc42281520"/>
      <w:bookmarkStart w:id="125" w:name="_Toc42281521"/>
      <w:bookmarkStart w:id="126" w:name="_Toc42281522"/>
      <w:bookmarkStart w:id="127" w:name="_Toc42281523"/>
      <w:bookmarkStart w:id="128" w:name="_Toc42281524"/>
      <w:bookmarkStart w:id="129" w:name="_Toc42281525"/>
      <w:bookmarkStart w:id="130" w:name="_Toc42281526"/>
      <w:bookmarkStart w:id="131" w:name="_Toc42281527"/>
      <w:bookmarkStart w:id="132" w:name="_Toc42281528"/>
      <w:bookmarkStart w:id="133" w:name="_Toc42281529"/>
      <w:bookmarkStart w:id="134" w:name="_Toc42281530"/>
      <w:bookmarkStart w:id="135" w:name="_Toc42281531"/>
      <w:bookmarkStart w:id="136" w:name="_Toc42281532"/>
      <w:bookmarkStart w:id="137" w:name="_Toc42281533"/>
      <w:bookmarkStart w:id="138" w:name="_Toc42281534"/>
      <w:bookmarkStart w:id="139" w:name="_Toc42281535"/>
      <w:bookmarkStart w:id="140" w:name="_Toc42281536"/>
      <w:bookmarkStart w:id="141" w:name="_Toc42281537"/>
      <w:bookmarkStart w:id="142" w:name="_Toc42281538"/>
      <w:bookmarkStart w:id="143" w:name="_Toc42281539"/>
      <w:bookmarkStart w:id="144" w:name="_Toc42281540"/>
      <w:bookmarkStart w:id="145" w:name="_Toc42281541"/>
      <w:bookmarkStart w:id="146" w:name="_Toc42281542"/>
      <w:bookmarkStart w:id="147" w:name="_Toc42281543"/>
      <w:bookmarkStart w:id="148" w:name="_Toc42281544"/>
      <w:bookmarkStart w:id="149" w:name="_Toc42281545"/>
      <w:bookmarkStart w:id="150" w:name="_Toc42281546"/>
      <w:bookmarkStart w:id="151" w:name="_Toc42281547"/>
      <w:bookmarkStart w:id="152" w:name="_Toc42281548"/>
      <w:bookmarkStart w:id="153" w:name="_Toc42281550"/>
      <w:bookmarkStart w:id="154" w:name="_Toc42281551"/>
      <w:bookmarkStart w:id="155" w:name="_Toc42281552"/>
      <w:bookmarkStart w:id="156" w:name="_Toc42281554"/>
      <w:bookmarkStart w:id="157" w:name="_Toc42281555"/>
      <w:bookmarkStart w:id="158" w:name="_Toc42281556"/>
      <w:bookmarkStart w:id="159" w:name="_Toc42281558"/>
      <w:bookmarkStart w:id="160" w:name="_Toc42281559"/>
      <w:bookmarkStart w:id="161" w:name="_Toc42281560"/>
      <w:bookmarkStart w:id="162" w:name="_Toc42281562"/>
      <w:bookmarkStart w:id="163" w:name="_Toc42281563"/>
      <w:bookmarkStart w:id="164" w:name="_Toc42281564"/>
      <w:bookmarkStart w:id="165" w:name="_Toc42281565"/>
      <w:bookmarkStart w:id="166" w:name="_Toc42281566"/>
      <w:bookmarkStart w:id="167" w:name="_Toc42281569"/>
      <w:bookmarkStart w:id="168" w:name="_Toc42281571"/>
      <w:bookmarkStart w:id="169" w:name="_Toc42281572"/>
      <w:bookmarkStart w:id="170" w:name="_Toc42281573"/>
      <w:bookmarkStart w:id="171" w:name="_Toc42281574"/>
      <w:bookmarkStart w:id="172" w:name="_Toc42281575"/>
      <w:bookmarkStart w:id="173" w:name="_Toc42281576"/>
      <w:bookmarkStart w:id="174" w:name="_Toc42281577"/>
      <w:bookmarkStart w:id="175" w:name="_Toc42281578"/>
      <w:bookmarkStart w:id="176" w:name="_Toc42281579"/>
      <w:bookmarkStart w:id="177" w:name="_Toc42281580"/>
      <w:bookmarkStart w:id="178" w:name="_Toc42281581"/>
      <w:bookmarkStart w:id="179" w:name="_Toc42281582"/>
      <w:bookmarkStart w:id="180" w:name="_Toc42281584"/>
      <w:bookmarkStart w:id="181" w:name="_Toc42281585"/>
      <w:bookmarkStart w:id="182" w:name="_Toc42281586"/>
      <w:bookmarkStart w:id="183" w:name="_Toc42281587"/>
      <w:bookmarkStart w:id="184" w:name="_Toc42281588"/>
      <w:bookmarkStart w:id="185" w:name="_Toc42281589"/>
      <w:bookmarkStart w:id="186" w:name="_Toc42281591"/>
      <w:bookmarkStart w:id="187" w:name="_Toc42281592"/>
      <w:bookmarkStart w:id="188" w:name="_Toc42281593"/>
      <w:bookmarkStart w:id="189" w:name="_Toc42281594"/>
      <w:bookmarkStart w:id="190" w:name="_Toc42281595"/>
      <w:bookmarkStart w:id="191" w:name="_Toc42281596"/>
      <w:bookmarkStart w:id="192" w:name="_Toc42281598"/>
      <w:bookmarkStart w:id="193" w:name="_Toc42281599"/>
      <w:bookmarkStart w:id="194" w:name="_Toc42281600"/>
      <w:bookmarkStart w:id="195" w:name="_Toc42281601"/>
      <w:bookmarkStart w:id="196" w:name="_Toc42281602"/>
      <w:bookmarkStart w:id="197" w:name="_Toc42281603"/>
      <w:bookmarkStart w:id="198" w:name="_Toc42281605"/>
      <w:bookmarkStart w:id="199" w:name="_Toc42281606"/>
      <w:bookmarkStart w:id="200" w:name="_Toc42281607"/>
      <w:bookmarkStart w:id="201" w:name="_Toc42281608"/>
      <w:bookmarkStart w:id="202" w:name="_Toc42281609"/>
      <w:bookmarkStart w:id="203" w:name="_Toc42281610"/>
      <w:bookmarkStart w:id="204" w:name="_Toc42281612"/>
      <w:bookmarkStart w:id="205" w:name="_Toc42281613"/>
      <w:bookmarkStart w:id="206" w:name="_Toc42281614"/>
      <w:bookmarkStart w:id="207" w:name="_Toc42281615"/>
      <w:bookmarkStart w:id="208" w:name="_Toc42281616"/>
      <w:bookmarkStart w:id="209" w:name="_Toc42281617"/>
      <w:bookmarkStart w:id="210" w:name="_Toc42281619"/>
      <w:bookmarkStart w:id="211" w:name="_Toc42281620"/>
      <w:bookmarkStart w:id="212" w:name="_Ref41837212"/>
      <w:bookmarkStart w:id="213" w:name="_Toc5940238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B42789">
        <w:rPr>
          <w:noProof/>
          <w:color w:val="auto"/>
          <w:lang w:eastAsia="en-AU"/>
        </w:rPr>
        <w:t>Future options</w:t>
      </w:r>
      <w:bookmarkEnd w:id="212"/>
      <w:bookmarkEnd w:id="213"/>
    </w:p>
    <w:p w14:paraId="35FB12CE" w14:textId="754A65A3" w:rsidR="00AE54F4" w:rsidRPr="00636B05" w:rsidRDefault="00AE54F4" w:rsidP="00172E6D">
      <w:r w:rsidRPr="00636B05">
        <w:br w:type="page"/>
      </w:r>
    </w:p>
    <w:p w14:paraId="5D8BF62C" w14:textId="0AD7A683" w:rsidR="0033604A" w:rsidRPr="00710DE6" w:rsidRDefault="0033604A" w:rsidP="0033604A">
      <w:pPr>
        <w:pStyle w:val="Heading2"/>
      </w:pPr>
      <w:bookmarkStart w:id="214" w:name="_Toc59402381"/>
      <w:bookmarkStart w:id="215" w:name="_Ref515894820"/>
      <w:bookmarkStart w:id="216" w:name="_Ref515894828"/>
      <w:bookmarkEnd w:id="77"/>
      <w:bookmarkEnd w:id="78"/>
      <w:r w:rsidRPr="00C42D4D">
        <w:lastRenderedPageBreak/>
        <w:t>Introduction</w:t>
      </w:r>
      <w:bookmarkEnd w:id="214"/>
    </w:p>
    <w:p w14:paraId="3C67FFF0" w14:textId="7799FBDD" w:rsidR="000B5D9C" w:rsidRDefault="000B5D9C" w:rsidP="00651B4E">
      <w:pPr>
        <w:pStyle w:val="ParaKeep"/>
        <w:rPr>
          <w:rFonts w:eastAsia="Calibri"/>
        </w:rPr>
      </w:pPr>
      <w:r>
        <w:rPr>
          <w:rFonts w:eastAsia="Calibri"/>
        </w:rPr>
        <w:t>This section outlines the proposed:</w:t>
      </w:r>
    </w:p>
    <w:p w14:paraId="7CD27D64" w14:textId="2036A1F2" w:rsidR="000B5D9C" w:rsidRDefault="008F141C" w:rsidP="00651B4E">
      <w:pPr>
        <w:pStyle w:val="Bullet1"/>
        <w:rPr>
          <w:rFonts w:eastAsia="Calibri"/>
        </w:rPr>
      </w:pPr>
      <w:r>
        <w:rPr>
          <w:rFonts w:eastAsia="Calibri"/>
        </w:rPr>
        <w:t xml:space="preserve">Vision </w:t>
      </w:r>
      <w:r w:rsidR="00917794">
        <w:rPr>
          <w:rFonts w:eastAsia="Calibri"/>
        </w:rPr>
        <w:t xml:space="preserve">and principles for a new national </w:t>
      </w:r>
      <w:r>
        <w:rPr>
          <w:rFonts w:eastAsia="Calibri"/>
        </w:rPr>
        <w:t xml:space="preserve">framework for </w:t>
      </w:r>
      <w:r w:rsidR="00917794">
        <w:rPr>
          <w:rFonts w:eastAsia="Calibri"/>
        </w:rPr>
        <w:t xml:space="preserve">AT </w:t>
      </w:r>
    </w:p>
    <w:p w14:paraId="435585C7" w14:textId="338BC3A7" w:rsidR="000B5D9C" w:rsidRDefault="00C929C8" w:rsidP="00651B4E">
      <w:pPr>
        <w:pStyle w:val="Bullet1"/>
        <w:rPr>
          <w:rFonts w:eastAsia="Calibri"/>
        </w:rPr>
      </w:pPr>
      <w:r>
        <w:rPr>
          <w:rFonts w:eastAsia="Calibri"/>
        </w:rPr>
        <w:t>Consumer</w:t>
      </w:r>
      <w:r w:rsidR="000B5D9C">
        <w:rPr>
          <w:rFonts w:eastAsia="Calibri"/>
        </w:rPr>
        <w:t xml:space="preserve"> </w:t>
      </w:r>
      <w:r w:rsidR="00550847">
        <w:rPr>
          <w:rFonts w:eastAsia="Calibri"/>
        </w:rPr>
        <w:t>p</w:t>
      </w:r>
      <w:r w:rsidR="000B5D9C">
        <w:rPr>
          <w:rFonts w:eastAsia="Calibri"/>
        </w:rPr>
        <w:t>athways and a description of the components of the pathway</w:t>
      </w:r>
      <w:r w:rsidR="0040756B">
        <w:rPr>
          <w:rFonts w:eastAsia="Calibri"/>
        </w:rPr>
        <w:t>s</w:t>
      </w:r>
    </w:p>
    <w:p w14:paraId="0C036C6E" w14:textId="5AFF3966" w:rsidR="000B5D9C" w:rsidRDefault="0033604A" w:rsidP="00651B4E">
      <w:pPr>
        <w:pStyle w:val="Bullet1"/>
        <w:rPr>
          <w:rFonts w:eastAsia="Calibri"/>
        </w:rPr>
      </w:pPr>
      <w:r>
        <w:rPr>
          <w:rFonts w:eastAsia="Calibri"/>
        </w:rPr>
        <w:t xml:space="preserve">Future </w:t>
      </w:r>
      <w:r w:rsidR="00550847">
        <w:rPr>
          <w:rFonts w:eastAsia="Calibri"/>
        </w:rPr>
        <w:t>p</w:t>
      </w:r>
      <w:r>
        <w:rPr>
          <w:rFonts w:eastAsia="Calibri"/>
        </w:rPr>
        <w:t>rogram options, including costs and benefits of options</w:t>
      </w:r>
      <w:r w:rsidR="000B5D9C">
        <w:rPr>
          <w:rFonts w:eastAsia="Calibri"/>
        </w:rPr>
        <w:t>.</w:t>
      </w:r>
    </w:p>
    <w:p w14:paraId="725E13BF" w14:textId="2797AFC3" w:rsidR="000E0465" w:rsidRDefault="000E0465" w:rsidP="00F054BF">
      <w:pPr>
        <w:pStyle w:val="Paragraph"/>
        <w:rPr>
          <w:rFonts w:eastAsia="Calibri"/>
        </w:rPr>
      </w:pPr>
      <w:r>
        <w:rPr>
          <w:rFonts w:eastAsia="Calibri"/>
        </w:rPr>
        <w:t xml:space="preserve">Sections </w:t>
      </w:r>
      <w:r w:rsidR="00BA1E60">
        <w:rPr>
          <w:rFonts w:eastAsia="Calibri"/>
        </w:rPr>
        <w:t>4.2</w:t>
      </w:r>
      <w:r w:rsidR="00CC2821">
        <w:rPr>
          <w:rFonts w:eastAsia="Calibri"/>
        </w:rPr>
        <w:t xml:space="preserve"> and </w:t>
      </w:r>
      <w:r w:rsidR="00BA1E60">
        <w:rPr>
          <w:rFonts w:eastAsia="Calibri"/>
        </w:rPr>
        <w:t>4.3</w:t>
      </w:r>
      <w:r w:rsidR="00CC2821">
        <w:rPr>
          <w:rFonts w:eastAsia="Calibri"/>
        </w:rPr>
        <w:t xml:space="preserve"> </w:t>
      </w:r>
      <w:r w:rsidR="00BA1E60">
        <w:rPr>
          <w:rFonts w:eastAsia="Calibri"/>
        </w:rPr>
        <w:t xml:space="preserve">identify </w:t>
      </w:r>
      <w:r w:rsidR="00CC2821">
        <w:rPr>
          <w:rFonts w:eastAsia="Calibri"/>
        </w:rPr>
        <w:t>a range of issues that could be addressed moving forward</w:t>
      </w:r>
      <w:r w:rsidR="00487B34">
        <w:rPr>
          <w:rFonts w:eastAsia="Calibri"/>
        </w:rPr>
        <w:t>.</w:t>
      </w:r>
    </w:p>
    <w:p w14:paraId="49501DD5" w14:textId="5AEB4C87" w:rsidR="000E0465" w:rsidRPr="000E0465" w:rsidRDefault="00917794" w:rsidP="00651B4E">
      <w:pPr>
        <w:pStyle w:val="Heading2"/>
        <w:rPr>
          <w:lang w:val="en-CA"/>
        </w:rPr>
      </w:pPr>
      <w:bookmarkStart w:id="217" w:name="_Toc59402382"/>
      <w:r>
        <w:rPr>
          <w:lang w:val="en-CA"/>
        </w:rPr>
        <w:t xml:space="preserve">Program vision </w:t>
      </w:r>
      <w:r w:rsidR="00487B34">
        <w:rPr>
          <w:lang w:val="en-CA"/>
        </w:rPr>
        <w:t>and core elements</w:t>
      </w:r>
      <w:bookmarkEnd w:id="217"/>
      <w:r w:rsidR="00487B34">
        <w:rPr>
          <w:lang w:val="en-CA"/>
        </w:rPr>
        <w:t xml:space="preserve"> </w:t>
      </w:r>
    </w:p>
    <w:p w14:paraId="5D5F223E" w14:textId="6321BFB7" w:rsidR="00411C9D" w:rsidRPr="002B6D96" w:rsidRDefault="00411C9D" w:rsidP="00F054BF">
      <w:pPr>
        <w:pStyle w:val="Paragraph"/>
        <w:rPr>
          <w:lang w:val="en-CA"/>
        </w:rPr>
      </w:pPr>
      <w:r w:rsidRPr="00DF526E">
        <w:t xml:space="preserve">The benefits of AT for older people are widely acknowledged and are increasingly supported by </w:t>
      </w:r>
      <w:r>
        <w:t>the literature—in addition to being consistently reported in our consultations with all stakeholder groups</w:t>
      </w:r>
      <w:r w:rsidR="00F80723">
        <w:t xml:space="preserve">. </w:t>
      </w:r>
      <w:r w:rsidR="00F050D9">
        <w:t xml:space="preserve">However, the findings from this review suggest that </w:t>
      </w:r>
      <w:r w:rsidR="00723D95">
        <w:t xml:space="preserve">these benefits are not being realised due to </w:t>
      </w:r>
      <w:r w:rsidR="002335A6">
        <w:t xml:space="preserve">a range of issues, including </w:t>
      </w:r>
      <w:r w:rsidR="00912758">
        <w:t>lack of information and awareness, and inequitable access to AT.</w:t>
      </w:r>
    </w:p>
    <w:p w14:paraId="73DCBDA4" w14:textId="52A8F813" w:rsidR="00411C9D" w:rsidRDefault="00411C9D" w:rsidP="00F054BF">
      <w:pPr>
        <w:pStyle w:val="Paragraph"/>
      </w:pPr>
      <w:r>
        <w:t xml:space="preserve">The findings from the </w:t>
      </w:r>
      <w:r w:rsidR="008F141C">
        <w:t>RER</w:t>
      </w:r>
      <w:r>
        <w:t xml:space="preserve"> and Delphi technique were consistent </w:t>
      </w:r>
      <w:r w:rsidR="008F141C">
        <w:t xml:space="preserve">in </w:t>
      </w:r>
      <w:r>
        <w:t xml:space="preserve">the </w:t>
      </w:r>
      <w:r w:rsidR="008F141C">
        <w:t>range</w:t>
      </w:r>
      <w:r w:rsidDel="008F141C">
        <w:t xml:space="preserve"> and </w:t>
      </w:r>
      <w:r>
        <w:t xml:space="preserve">direction of </w:t>
      </w:r>
      <w:r w:rsidDel="008F141C">
        <w:t>benefits identified</w:t>
      </w:r>
      <w:r>
        <w:t xml:space="preserve">. Both reported that the benefits of AT outweighed its costs, supporting the increasing use of AT as an intervention for older Australians. </w:t>
      </w:r>
    </w:p>
    <w:p w14:paraId="7E844B97" w14:textId="5F65E705" w:rsidR="001705C4" w:rsidRPr="001705C4" w:rsidRDefault="001705C4" w:rsidP="00B74D60">
      <w:pPr>
        <w:pStyle w:val="ParaKeep"/>
        <w:rPr>
          <w:lang w:val="en-CA"/>
        </w:rPr>
      </w:pPr>
      <w:r>
        <w:rPr>
          <w:lang w:val="en-CA"/>
        </w:rPr>
        <w:t xml:space="preserve">With this in mind, </w:t>
      </w:r>
      <w:r w:rsidR="001B027C" w:rsidRPr="00C929C8">
        <w:rPr>
          <w:lang w:val="en-CA"/>
        </w:rPr>
        <w:t xml:space="preserve">the </w:t>
      </w:r>
      <w:r w:rsidR="0074745B">
        <w:rPr>
          <w:lang w:val="en-CA"/>
        </w:rPr>
        <w:t xml:space="preserve">proposed </w:t>
      </w:r>
      <w:r w:rsidR="008A3448">
        <w:rPr>
          <w:lang w:val="en-CA"/>
        </w:rPr>
        <w:t xml:space="preserve">new national </w:t>
      </w:r>
      <w:r w:rsidR="00101DEF">
        <w:rPr>
          <w:lang w:val="en-CA"/>
        </w:rPr>
        <w:t xml:space="preserve">framework for AT </w:t>
      </w:r>
      <w:r w:rsidRPr="001705C4">
        <w:rPr>
          <w:lang w:val="en-CA"/>
        </w:rPr>
        <w:t>for older Australians is designed to improve access to AT</w:t>
      </w:r>
      <w:r>
        <w:rPr>
          <w:lang w:val="en-CA"/>
        </w:rPr>
        <w:t xml:space="preserve"> </w:t>
      </w:r>
      <w:r w:rsidR="00550847">
        <w:rPr>
          <w:lang w:val="en-CA"/>
        </w:rPr>
        <w:t xml:space="preserve">and </w:t>
      </w:r>
      <w:r w:rsidRPr="001705C4">
        <w:rPr>
          <w:lang w:val="en-CA"/>
        </w:rPr>
        <w:t>align</w:t>
      </w:r>
      <w:r>
        <w:rPr>
          <w:lang w:val="en-CA"/>
        </w:rPr>
        <w:t>s</w:t>
      </w:r>
      <w:r w:rsidR="00BF6AC9">
        <w:rPr>
          <w:lang w:val="en-CA"/>
        </w:rPr>
        <w:t xml:space="preserve"> well with the </w:t>
      </w:r>
      <w:r>
        <w:rPr>
          <w:lang w:val="en-CA"/>
        </w:rPr>
        <w:t>Department’s ongoing focus on wellness and</w:t>
      </w:r>
      <w:r w:rsidRPr="001705C4">
        <w:rPr>
          <w:lang w:val="en-CA"/>
        </w:rPr>
        <w:t xml:space="preserve"> </w:t>
      </w:r>
      <w:r w:rsidR="00BF6AC9">
        <w:rPr>
          <w:lang w:val="en-CA"/>
        </w:rPr>
        <w:t>reablement</w:t>
      </w:r>
      <w:r w:rsidR="00F80723">
        <w:rPr>
          <w:lang w:val="en-CA"/>
        </w:rPr>
        <w:t xml:space="preserve">. </w:t>
      </w:r>
      <w:r w:rsidR="00101DEF">
        <w:rPr>
          <w:lang w:val="en-CA"/>
        </w:rPr>
        <w:t>It is underpinned by</w:t>
      </w:r>
      <w:r w:rsidR="008A3448">
        <w:rPr>
          <w:lang w:val="en-CA"/>
        </w:rPr>
        <w:t xml:space="preserve"> the following </w:t>
      </w:r>
      <w:r w:rsidR="00487B34">
        <w:rPr>
          <w:lang w:val="en-CA"/>
        </w:rPr>
        <w:t>core elements</w:t>
      </w:r>
      <w:r w:rsidRPr="001705C4">
        <w:rPr>
          <w:lang w:val="en-CA"/>
        </w:rPr>
        <w:t>:</w:t>
      </w:r>
    </w:p>
    <w:p w14:paraId="0039C338" w14:textId="77777777" w:rsidR="0019178D" w:rsidRDefault="0019178D" w:rsidP="00A5365D">
      <w:pPr>
        <w:pStyle w:val="Bullet1"/>
        <w:rPr>
          <w:lang w:val="en-CA"/>
        </w:rPr>
      </w:pPr>
      <w:r w:rsidRPr="00A6533A">
        <w:rPr>
          <w:rStyle w:val="Bold"/>
        </w:rPr>
        <w:t>Providing free and easily accessible information and advice</w:t>
      </w:r>
      <w:r>
        <w:rPr>
          <w:lang w:val="en-CA"/>
        </w:rPr>
        <w:t xml:space="preserve"> to older consumers—including the significant proportion of consumers who are not receiving Commonwealth-funded aged care services. Trusted information and independent advice through multiple channels will increase consumer AT awareness and literacy so that they can make informed decisions at the right time. </w:t>
      </w:r>
    </w:p>
    <w:p w14:paraId="4302EC7F" w14:textId="77777777" w:rsidR="0019178D" w:rsidRPr="0096374E" w:rsidRDefault="0019178D" w:rsidP="00A5365D">
      <w:pPr>
        <w:pStyle w:val="Bullet1"/>
        <w:rPr>
          <w:lang w:val="en-CA"/>
        </w:rPr>
      </w:pPr>
      <w:r w:rsidRPr="00A6533A">
        <w:rPr>
          <w:rStyle w:val="Bold"/>
        </w:rPr>
        <w:t>Extending the reach of the national framework</w:t>
      </w:r>
      <w:r w:rsidRPr="0096374E">
        <w:rPr>
          <w:lang w:val="en-AU"/>
        </w:rPr>
        <w:t xml:space="preserve"> to </w:t>
      </w:r>
      <w:r>
        <w:rPr>
          <w:lang w:val="en-AU"/>
        </w:rPr>
        <w:t xml:space="preserve">provide AT to ageing </w:t>
      </w:r>
      <w:r w:rsidRPr="0096374E">
        <w:rPr>
          <w:lang w:val="en-AU"/>
        </w:rPr>
        <w:t>consumers currently outside of aged care</w:t>
      </w:r>
      <w:r>
        <w:rPr>
          <w:lang w:val="en-AU"/>
        </w:rPr>
        <w:t xml:space="preserve"> (as well as those in the system)</w:t>
      </w:r>
      <w:r w:rsidRPr="0096374E">
        <w:rPr>
          <w:lang w:val="en-AU"/>
        </w:rPr>
        <w:t>—</w:t>
      </w:r>
      <w:r>
        <w:rPr>
          <w:lang w:val="en-AU"/>
        </w:rPr>
        <w:t xml:space="preserve">thus </w:t>
      </w:r>
      <w:r w:rsidRPr="0096374E">
        <w:rPr>
          <w:lang w:val="en-AU"/>
        </w:rPr>
        <w:t xml:space="preserve">delaying the need for more complex and costly aged and health care support. </w:t>
      </w:r>
    </w:p>
    <w:p w14:paraId="6237A3F8" w14:textId="77777777" w:rsidR="0019178D" w:rsidRPr="00BC4B91" w:rsidRDefault="0019178D" w:rsidP="00A5365D">
      <w:pPr>
        <w:pStyle w:val="Bullet1"/>
        <w:rPr>
          <w:lang w:val="en-CA"/>
        </w:rPr>
      </w:pPr>
      <w:r w:rsidRPr="00A6533A">
        <w:rPr>
          <w:rStyle w:val="Bold"/>
        </w:rPr>
        <w:t>Intervening earlier in the ageing process</w:t>
      </w:r>
      <w:r w:rsidRPr="0096374E">
        <w:rPr>
          <w:lang w:val="en-AU"/>
        </w:rPr>
        <w:t xml:space="preserve"> </w:t>
      </w:r>
      <w:r>
        <w:rPr>
          <w:lang w:val="en-AU"/>
        </w:rPr>
        <w:t xml:space="preserve">to not only maximise </w:t>
      </w:r>
      <w:r w:rsidRPr="00806715">
        <w:rPr>
          <w:lang w:val="en-AU"/>
        </w:rPr>
        <w:t>the return on investment</w:t>
      </w:r>
      <w:r>
        <w:rPr>
          <w:lang w:val="en-AU"/>
        </w:rPr>
        <w:t>,</w:t>
      </w:r>
      <w:r w:rsidRPr="00806715">
        <w:rPr>
          <w:lang w:val="en-AU"/>
        </w:rPr>
        <w:t xml:space="preserve"> </w:t>
      </w:r>
      <w:r>
        <w:rPr>
          <w:lang w:val="en-AU"/>
        </w:rPr>
        <w:t xml:space="preserve">but also </w:t>
      </w:r>
      <w:r w:rsidRPr="0096374E">
        <w:rPr>
          <w:lang w:val="en-AU"/>
        </w:rPr>
        <w:t xml:space="preserve">slow functional decline and </w:t>
      </w:r>
      <w:r>
        <w:rPr>
          <w:lang w:val="en-AU"/>
        </w:rPr>
        <w:t>assist consumers at home</w:t>
      </w:r>
      <w:r w:rsidRPr="0096374E">
        <w:rPr>
          <w:lang w:val="en-AU"/>
        </w:rPr>
        <w:t>.</w:t>
      </w:r>
      <w:r>
        <w:rPr>
          <w:lang w:val="en-AU"/>
        </w:rPr>
        <w:t xml:space="preserve"> This includes p</w:t>
      </w:r>
      <w:r w:rsidRPr="0096374E">
        <w:rPr>
          <w:lang w:val="en-AU"/>
        </w:rPr>
        <w:t>roviding—for the first time—funded access to low-</w:t>
      </w:r>
      <w:r>
        <w:rPr>
          <w:lang w:val="en-AU"/>
        </w:rPr>
        <w:t>risk</w:t>
      </w:r>
      <w:r w:rsidRPr="0096374E">
        <w:rPr>
          <w:lang w:val="en-AU"/>
        </w:rPr>
        <w:t xml:space="preserve"> AT that assists </w:t>
      </w:r>
      <w:r>
        <w:rPr>
          <w:lang w:val="en-AU"/>
        </w:rPr>
        <w:t xml:space="preserve">consumers in their </w:t>
      </w:r>
      <w:r w:rsidRPr="0096374E">
        <w:rPr>
          <w:lang w:val="en-AU"/>
        </w:rPr>
        <w:t>ADL</w:t>
      </w:r>
      <w:r>
        <w:rPr>
          <w:lang w:val="en-AU"/>
        </w:rPr>
        <w:t>s</w:t>
      </w:r>
      <w:r w:rsidRPr="0096374E">
        <w:rPr>
          <w:lang w:val="en-AU"/>
        </w:rPr>
        <w:t xml:space="preserve">, such as bathing, dressing, and </w:t>
      </w:r>
      <w:r>
        <w:rPr>
          <w:lang w:val="en-AU"/>
        </w:rPr>
        <w:t>household cleaning</w:t>
      </w:r>
      <w:r w:rsidRPr="0096374E">
        <w:rPr>
          <w:lang w:val="en-CA"/>
        </w:rPr>
        <w:t xml:space="preserve">. </w:t>
      </w:r>
      <w:r>
        <w:rPr>
          <w:lang w:val="en-CA"/>
        </w:rPr>
        <w:t xml:space="preserve">The proposed ADL kits have been deliberately designed to assist in, and supplement, relatively high-cost CHSP service types including personal care and domestic assistance. </w:t>
      </w:r>
    </w:p>
    <w:p w14:paraId="0B9A5589" w14:textId="77777777" w:rsidR="0019178D" w:rsidRDefault="0019178D" w:rsidP="00A5365D">
      <w:pPr>
        <w:pStyle w:val="Bullet1Keep"/>
      </w:pPr>
      <w:r w:rsidRPr="005A179A">
        <w:rPr>
          <w:rStyle w:val="Bold"/>
        </w:rPr>
        <w:t>Expanding the limited CHSP funded AT list</w:t>
      </w:r>
      <w:r>
        <w:t xml:space="preserve"> to better reflect the ISO international AT categories, including:</w:t>
      </w:r>
    </w:p>
    <w:p w14:paraId="3AD02696" w14:textId="77777777" w:rsidR="0019178D" w:rsidRDefault="0019178D" w:rsidP="00B303C0">
      <w:pPr>
        <w:pStyle w:val="Bullet2"/>
      </w:pPr>
      <w:r>
        <w:t xml:space="preserve">AT to </w:t>
      </w:r>
      <w:r w:rsidRPr="0096374E">
        <w:t>enhance home safety, including rug fasteners, wall bumpers and falls prevention measures such as safety treads</w:t>
      </w:r>
    </w:p>
    <w:p w14:paraId="5E651CB6" w14:textId="77777777" w:rsidR="0019178D" w:rsidRPr="0096374E" w:rsidRDefault="0019178D" w:rsidP="00B303C0">
      <w:pPr>
        <w:pStyle w:val="Bullet2"/>
      </w:pPr>
      <w:r w:rsidRPr="0096374E">
        <w:t>AT for domestic activities, including cleaning and outdoor maintenance</w:t>
      </w:r>
    </w:p>
    <w:p w14:paraId="680B5240" w14:textId="77777777" w:rsidR="0019178D" w:rsidRPr="00FF248E" w:rsidRDefault="0019178D" w:rsidP="00B303C0">
      <w:pPr>
        <w:pStyle w:val="Bullet2"/>
        <w:rPr>
          <w:lang w:val="en-CA"/>
        </w:rPr>
      </w:pPr>
      <w:r w:rsidRPr="0096374E">
        <w:t>AT for postural support, including chair raisers and bed transfer aids.</w:t>
      </w:r>
    </w:p>
    <w:p w14:paraId="155F3CD1" w14:textId="1C886ACB" w:rsidR="0019178D" w:rsidRPr="00A6533A" w:rsidRDefault="0019178D" w:rsidP="007C5E4A">
      <w:pPr>
        <w:pStyle w:val="Bullet1Keep"/>
        <w:rPr>
          <w:rStyle w:val="Bold"/>
        </w:rPr>
      </w:pPr>
      <w:r w:rsidRPr="00A6533A">
        <w:rPr>
          <w:rStyle w:val="Bold"/>
        </w:rPr>
        <w:lastRenderedPageBreak/>
        <w:t>Increasing equity in state and territory CHSP funding allocations to ensure access for older Australians</w:t>
      </w:r>
      <w:r w:rsidR="00EC4322">
        <w:rPr>
          <w:rStyle w:val="Bold"/>
        </w:rPr>
        <w:t>.</w:t>
      </w:r>
    </w:p>
    <w:p w14:paraId="01ACD00F" w14:textId="77777777" w:rsidR="0019178D" w:rsidRPr="008A472F" w:rsidRDefault="0019178D" w:rsidP="0019178D">
      <w:pPr>
        <w:pStyle w:val="Bullet1"/>
        <w:rPr>
          <w:lang w:val="en-AU"/>
        </w:rPr>
      </w:pPr>
      <w:r w:rsidRPr="00A6533A">
        <w:rPr>
          <w:rStyle w:val="Bold"/>
        </w:rPr>
        <w:t xml:space="preserve">Building the evidence base </w:t>
      </w:r>
      <w:r w:rsidRPr="008A472F">
        <w:rPr>
          <w:lang w:val="en-AU"/>
        </w:rPr>
        <w:t>for AT use in the home</w:t>
      </w:r>
      <w:r>
        <w:rPr>
          <w:lang w:val="en-AU"/>
        </w:rPr>
        <w:t xml:space="preserve"> </w:t>
      </w:r>
      <w:r w:rsidRPr="008A472F">
        <w:rPr>
          <w:lang w:val="en-AU"/>
        </w:rPr>
        <w:t xml:space="preserve">to inform future directions in aged care. This is particularly important given the paucity of peer-reviewed literature and AT program reviews. </w:t>
      </w:r>
    </w:p>
    <w:p w14:paraId="0E1BB78E" w14:textId="3E0D2045" w:rsidR="00E57F6B" w:rsidRPr="007C5E4A" w:rsidRDefault="00E57F6B" w:rsidP="00E864D7">
      <w:pPr>
        <w:pStyle w:val="TextBoxHeading"/>
        <w:pBdr>
          <w:top w:val="single" w:sz="24" w:space="1" w:color="E2F4FF" w:themeColor="accent1" w:themeTint="33"/>
          <w:left w:val="single" w:sz="24" w:space="4" w:color="E2F4FF" w:themeColor="accent1" w:themeTint="33"/>
          <w:bottom w:val="single" w:sz="24" w:space="1" w:color="E2F4FF" w:themeColor="accent1" w:themeTint="33"/>
          <w:right w:val="single" w:sz="24" w:space="4" w:color="E2F4FF" w:themeColor="accent1" w:themeTint="33"/>
        </w:pBdr>
        <w:rPr>
          <w:rStyle w:val="Bold"/>
          <w:b w:val="0"/>
        </w:rPr>
      </w:pPr>
      <w:r w:rsidRPr="007C5E4A">
        <w:rPr>
          <w:rStyle w:val="Bold"/>
          <w:b w:val="0"/>
        </w:rPr>
        <w:t xml:space="preserve">Vision: </w:t>
      </w:r>
      <w:r w:rsidRPr="00E864D7">
        <w:rPr>
          <w:bdr w:val="single" w:sz="24" w:space="0" w:color="E2F4FF" w:themeColor="accent1" w:themeTint="33"/>
          <w:shd w:val="clear" w:color="auto" w:fill="E2F4FF" w:themeFill="accent1" w:themeFillTint="33"/>
        </w:rPr>
        <w:t>Older people across Australia have access to AT that maintains or improves their functional capacity and independence</w:t>
      </w:r>
      <w:r w:rsidRPr="007C5E4A">
        <w:t xml:space="preserve"> to allow them to live at home as long as possible.</w:t>
      </w:r>
    </w:p>
    <w:p w14:paraId="4F966806" w14:textId="62D087CA" w:rsidR="00292794" w:rsidRDefault="00262E9E" w:rsidP="00292794">
      <w:pPr>
        <w:pStyle w:val="Heading2"/>
      </w:pPr>
      <w:bookmarkStart w:id="218" w:name="_Toc42281624"/>
      <w:bookmarkStart w:id="219" w:name="_Toc42243707"/>
      <w:bookmarkStart w:id="220" w:name="_Toc59402383"/>
      <w:bookmarkStart w:id="221" w:name="_Ref41998370"/>
      <w:bookmarkStart w:id="222" w:name="_Ref42076392"/>
      <w:bookmarkEnd w:id="218"/>
      <w:r>
        <w:rPr>
          <w:lang w:val="en-CA"/>
        </w:rPr>
        <w:t>AT framework</w:t>
      </w:r>
      <w:bookmarkEnd w:id="219"/>
      <w:bookmarkEnd w:id="220"/>
    </w:p>
    <w:p w14:paraId="58217B34" w14:textId="59475057" w:rsidR="00292794" w:rsidRDefault="008652B8" w:rsidP="00292794">
      <w:pPr>
        <w:pStyle w:val="ParaKeep"/>
        <w:rPr>
          <w:lang w:val="en-CA"/>
        </w:rPr>
      </w:pPr>
      <w:r w:rsidRPr="008652B8">
        <w:rPr>
          <w:rStyle w:val="Italic"/>
          <w:i w:val="0"/>
          <w:iCs/>
        </w:rPr>
        <w:fldChar w:fldCharType="begin"/>
      </w:r>
      <w:r w:rsidRPr="008652B8">
        <w:rPr>
          <w:rStyle w:val="Italic"/>
          <w:i w:val="0"/>
          <w:iCs/>
        </w:rPr>
        <w:instrText xml:space="preserve"> REF _Ref43287057 \h  \* MERGEFORMAT </w:instrText>
      </w:r>
      <w:r w:rsidRPr="008652B8">
        <w:rPr>
          <w:rStyle w:val="Italic"/>
          <w:i w:val="0"/>
          <w:iCs/>
        </w:rPr>
      </w:r>
      <w:r w:rsidRPr="008652B8">
        <w:rPr>
          <w:rStyle w:val="Italic"/>
          <w:i w:val="0"/>
          <w:iCs/>
        </w:rPr>
        <w:fldChar w:fldCharType="separate"/>
      </w:r>
      <w:r w:rsidR="00CC3F04" w:rsidRPr="00CC3F04">
        <w:rPr>
          <w:i/>
          <w:iCs/>
        </w:rPr>
        <w:t>Figure 4</w:t>
      </w:r>
      <w:r w:rsidR="00CC3F04" w:rsidRPr="00CC3F04">
        <w:rPr>
          <w:i/>
          <w:iCs/>
        </w:rPr>
        <w:noBreakHyphen/>
        <w:t>1</w:t>
      </w:r>
      <w:r w:rsidRPr="008652B8">
        <w:rPr>
          <w:rStyle w:val="Italic"/>
          <w:i w:val="0"/>
          <w:iCs/>
        </w:rPr>
        <w:fldChar w:fldCharType="end"/>
      </w:r>
      <w:r>
        <w:rPr>
          <w:rStyle w:val="Italic"/>
          <w:i w:val="0"/>
          <w:iCs/>
        </w:rPr>
        <w:t xml:space="preserve"> </w:t>
      </w:r>
      <w:r w:rsidR="00292794">
        <w:rPr>
          <w:lang w:val="en-CA"/>
        </w:rPr>
        <w:t xml:space="preserve">outlines a </w:t>
      </w:r>
      <w:r w:rsidR="00594F7B">
        <w:rPr>
          <w:lang w:val="en-CA"/>
        </w:rPr>
        <w:t xml:space="preserve">proposed </w:t>
      </w:r>
      <w:r w:rsidR="00262E9E">
        <w:rPr>
          <w:lang w:val="en-CA"/>
        </w:rPr>
        <w:t>AT framework</w:t>
      </w:r>
      <w:r w:rsidR="00292794">
        <w:rPr>
          <w:lang w:val="en-CA"/>
        </w:rPr>
        <w:t xml:space="preserve"> which opens up access to AT through:</w:t>
      </w:r>
    </w:p>
    <w:p w14:paraId="17806F9B" w14:textId="7DBBADF7" w:rsidR="00292794" w:rsidRDefault="00292794" w:rsidP="002A11B7">
      <w:pPr>
        <w:pStyle w:val="Bullet1"/>
        <w:numPr>
          <w:ilvl w:val="0"/>
          <w:numId w:val="25"/>
        </w:numPr>
        <w:rPr>
          <w:lang w:val="en-CA"/>
        </w:rPr>
      </w:pPr>
      <w:r>
        <w:rPr>
          <w:lang w:val="en-CA"/>
        </w:rPr>
        <w:t xml:space="preserve">New AT information and </w:t>
      </w:r>
      <w:r w:rsidR="00EC4322">
        <w:rPr>
          <w:lang w:val="en-CA"/>
        </w:rPr>
        <w:t>advice services</w:t>
      </w:r>
    </w:p>
    <w:p w14:paraId="35464E7F" w14:textId="49D3F8D9" w:rsidR="00292794" w:rsidRDefault="00EC4322" w:rsidP="002A11B7">
      <w:pPr>
        <w:pStyle w:val="Bullet1"/>
        <w:numPr>
          <w:ilvl w:val="0"/>
          <w:numId w:val="25"/>
        </w:numPr>
        <w:rPr>
          <w:lang w:val="en-CA"/>
        </w:rPr>
      </w:pPr>
      <w:r>
        <w:rPr>
          <w:lang w:val="en-CA"/>
        </w:rPr>
        <w:t>A n</w:t>
      </w:r>
      <w:r w:rsidR="00292794">
        <w:rPr>
          <w:lang w:val="en-CA"/>
        </w:rPr>
        <w:t xml:space="preserve">ew </w:t>
      </w:r>
      <w:r w:rsidR="00D41B92">
        <w:rPr>
          <w:lang w:val="en-CA"/>
        </w:rPr>
        <w:t xml:space="preserve">digital </w:t>
      </w:r>
      <w:r w:rsidR="00292794">
        <w:rPr>
          <w:lang w:val="en-CA"/>
        </w:rPr>
        <w:t xml:space="preserve">AT screening </w:t>
      </w:r>
      <w:r w:rsidR="00D41B92">
        <w:rPr>
          <w:lang w:val="en-CA"/>
        </w:rPr>
        <w:t>tool</w:t>
      </w:r>
    </w:p>
    <w:p w14:paraId="653E3906" w14:textId="77777777" w:rsidR="00292794" w:rsidRDefault="00292794" w:rsidP="002A11B7">
      <w:pPr>
        <w:pStyle w:val="Bullet1"/>
        <w:numPr>
          <w:ilvl w:val="0"/>
          <w:numId w:val="25"/>
        </w:numPr>
        <w:rPr>
          <w:lang w:val="en-CA"/>
        </w:rPr>
      </w:pPr>
      <w:r>
        <w:rPr>
          <w:lang w:val="en-CA"/>
        </w:rPr>
        <w:t>An expanded range of AT products, including ADL kits.</w:t>
      </w:r>
    </w:p>
    <w:p w14:paraId="4AA27151" w14:textId="77777777" w:rsidR="00E57F6B" w:rsidRDefault="00292794" w:rsidP="00292794">
      <w:pPr>
        <w:pStyle w:val="Paragraph"/>
        <w:rPr>
          <w:lang w:val="en-CA"/>
        </w:rPr>
      </w:pPr>
      <w:r>
        <w:rPr>
          <w:lang w:val="en-CA"/>
        </w:rPr>
        <w:t>These components are described in the following sections.</w:t>
      </w:r>
      <w:bookmarkStart w:id="223" w:name="_Toc42243785"/>
    </w:p>
    <w:p w14:paraId="248FF317" w14:textId="1E534882" w:rsidR="00E57F6B" w:rsidRDefault="00E57F6B" w:rsidP="00292794">
      <w:pPr>
        <w:pStyle w:val="Paragraph"/>
        <w:rPr>
          <w:lang w:val="en-CA"/>
        </w:rPr>
        <w:sectPr w:rsidR="00E57F6B" w:rsidSect="00E57F6B">
          <w:headerReference w:type="first" r:id="rId41"/>
          <w:footerReference w:type="first" r:id="rId42"/>
          <w:pgSz w:w="11907" w:h="16840" w:code="9"/>
          <w:pgMar w:top="851" w:right="1134" w:bottom="851" w:left="1134" w:header="510" w:footer="567" w:gutter="0"/>
          <w:cols w:space="680"/>
          <w:docGrid w:linePitch="299"/>
        </w:sectPr>
      </w:pPr>
    </w:p>
    <w:p w14:paraId="7061DCA1" w14:textId="055E14DB" w:rsidR="00292794" w:rsidRPr="00736110" w:rsidRDefault="00292794" w:rsidP="00143C46">
      <w:bookmarkStart w:id="224" w:name="_Ref43287057"/>
      <w:bookmarkStart w:id="225" w:name="_Ref59381794"/>
      <w:bookmarkStart w:id="226" w:name="_Ref59381923"/>
      <w:bookmarkStart w:id="227" w:name="_Toc59402414"/>
      <w:r w:rsidRPr="00736110">
        <w:lastRenderedPageBreak/>
        <w:t>Figure </w:t>
      </w:r>
      <w:r w:rsidR="00B303C0">
        <w:fldChar w:fldCharType="begin"/>
      </w:r>
      <w:r w:rsidR="00B303C0">
        <w:instrText xml:space="preserve"> STYLEREF 1 \s </w:instrText>
      </w:r>
      <w:r w:rsidR="00B303C0">
        <w:fldChar w:fldCharType="separate"/>
      </w:r>
      <w:r w:rsidR="00CC3F04">
        <w:rPr>
          <w:noProof/>
        </w:rPr>
        <w:t>4</w:t>
      </w:r>
      <w:r w:rsidR="00B303C0">
        <w:fldChar w:fldCharType="end"/>
      </w:r>
      <w:r w:rsidR="00B303C0">
        <w:noBreakHyphen/>
      </w:r>
      <w:r w:rsidR="00B303C0">
        <w:fldChar w:fldCharType="begin"/>
      </w:r>
      <w:r w:rsidR="00B303C0">
        <w:instrText xml:space="preserve"> SEQ Figure \* ARABIC \s 1 </w:instrText>
      </w:r>
      <w:r w:rsidR="00B303C0">
        <w:fldChar w:fldCharType="separate"/>
      </w:r>
      <w:r w:rsidR="00CC3F04">
        <w:rPr>
          <w:noProof/>
        </w:rPr>
        <w:t>1</w:t>
      </w:r>
      <w:r w:rsidR="00B303C0">
        <w:fldChar w:fldCharType="end"/>
      </w:r>
      <w:bookmarkEnd w:id="224"/>
      <w:r w:rsidRPr="00736110">
        <w:t>:</w:t>
      </w:r>
      <w:r w:rsidR="004E519F">
        <w:tab/>
      </w:r>
      <w:r w:rsidRPr="00736110">
        <w:t xml:space="preserve">Outline of the </w:t>
      </w:r>
      <w:r w:rsidR="00262E9E" w:rsidRPr="00736110">
        <w:t>AT</w:t>
      </w:r>
      <w:r w:rsidR="008E575D">
        <w:t> </w:t>
      </w:r>
      <w:r w:rsidR="00262E9E" w:rsidRPr="00736110">
        <w:t>Framework</w:t>
      </w:r>
      <w:bookmarkEnd w:id="225"/>
      <w:bookmarkEnd w:id="226"/>
      <w:bookmarkEnd w:id="227"/>
      <w:r w:rsidRPr="00736110">
        <w:t xml:space="preserve"> </w:t>
      </w:r>
      <w:bookmarkEnd w:id="223"/>
    </w:p>
    <w:p w14:paraId="46B50FB3" w14:textId="5322E473" w:rsidR="00186D90" w:rsidRDefault="00EA3403" w:rsidP="00186D90">
      <w:r w:rsidRPr="00EA3403">
        <w:rPr>
          <w:noProof/>
          <w:lang w:val="en-AU" w:eastAsia="en-AU"/>
        </w:rPr>
        <w:drawing>
          <wp:inline distT="0" distB="0" distL="0" distR="0" wp14:anchorId="7CA2E20C" wp14:editId="0FC6D123">
            <wp:extent cx="8366528" cy="5868000"/>
            <wp:effectExtent l="0" t="0" r="0" b="0"/>
            <wp:docPr id="909" name="Picture 909" descr="Flow chart depicting new and existing pathways for consumers. See Appendix A for long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Picture 908" descr="Flow chart depicting new and existing pathways for consumers. See Appendix A for long descrip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66528" cy="5868000"/>
                    </a:xfrm>
                    <a:prstGeom prst="rect">
                      <a:avLst/>
                    </a:prstGeom>
                    <a:noFill/>
                  </pic:spPr>
                </pic:pic>
              </a:graphicData>
            </a:graphic>
          </wp:inline>
        </w:drawing>
      </w:r>
    </w:p>
    <w:p w14:paraId="1D792298" w14:textId="69BBC9F6" w:rsidR="00392C98" w:rsidRDefault="00186D90" w:rsidP="00186D90">
      <w:pPr>
        <w:pStyle w:val="Note"/>
      </w:pPr>
      <w:r>
        <w:t xml:space="preserve">Note: This figure also appears as </w:t>
      </w:r>
      <w:r>
        <w:fldChar w:fldCharType="begin"/>
      </w:r>
      <w:r>
        <w:instrText xml:space="preserve"> REF _Ref59381842 \h </w:instrText>
      </w:r>
      <w:r>
        <w:fldChar w:fldCharType="separate"/>
      </w:r>
      <w:r w:rsidR="00CC3F04">
        <w:t>Figure </w:t>
      </w:r>
      <w:r w:rsidR="00CC3F04">
        <w:rPr>
          <w:noProof/>
        </w:rPr>
        <w:t>1</w:t>
      </w:r>
      <w:r w:rsidR="00CC3F04">
        <w:noBreakHyphen/>
      </w:r>
      <w:r w:rsidR="00CC3F04">
        <w:rPr>
          <w:noProof/>
        </w:rPr>
        <w:t>1</w:t>
      </w:r>
      <w:r w:rsidR="00CC3F04">
        <w:t>:</w:t>
      </w:r>
      <w:r w:rsidR="00CC3F04">
        <w:tab/>
      </w:r>
      <w:r w:rsidR="00CC3F04" w:rsidRPr="00736110">
        <w:t xml:space="preserve">Proposed </w:t>
      </w:r>
      <w:r w:rsidR="00CC3F04">
        <w:t>n</w:t>
      </w:r>
      <w:r w:rsidR="00CC3F04" w:rsidRPr="00736110">
        <w:t xml:space="preserve">ational </w:t>
      </w:r>
      <w:r w:rsidR="00CC3F04">
        <w:t>f</w:t>
      </w:r>
      <w:r w:rsidR="00CC3F04" w:rsidRPr="00736110">
        <w:t>ramework of AT support, showing new and existing consumer pathways</w:t>
      </w:r>
      <w:r>
        <w:fldChar w:fldCharType="end"/>
      </w:r>
    </w:p>
    <w:p w14:paraId="0A53CD2A" w14:textId="32BE24EA" w:rsidR="00E57F6B" w:rsidRDefault="00E57F6B" w:rsidP="00E57F6B">
      <w:pPr>
        <w:sectPr w:rsidR="00E57F6B" w:rsidSect="00E57F6B">
          <w:pgSz w:w="16840" w:h="11907" w:orient="landscape" w:code="9"/>
          <w:pgMar w:top="851" w:right="1134" w:bottom="851" w:left="1134" w:header="510" w:footer="567" w:gutter="0"/>
          <w:cols w:space="680"/>
          <w:docGrid w:linePitch="299"/>
        </w:sectPr>
      </w:pPr>
    </w:p>
    <w:bookmarkEnd w:id="221"/>
    <w:bookmarkEnd w:id="222"/>
    <w:p w14:paraId="204F4C4E" w14:textId="422C9A18" w:rsidR="008A3448" w:rsidRPr="00805DBA" w:rsidRDefault="00D94FD6" w:rsidP="001F66E2">
      <w:pPr>
        <w:pStyle w:val="Heading3"/>
        <w:spacing w:before="0"/>
      </w:pPr>
      <w:r>
        <w:lastRenderedPageBreak/>
        <w:t xml:space="preserve">AT </w:t>
      </w:r>
      <w:r w:rsidR="00943346">
        <w:t>Solutions</w:t>
      </w:r>
      <w:r>
        <w:t xml:space="preserve">: </w:t>
      </w:r>
      <w:r w:rsidR="004A42AF" w:rsidRPr="00805DBA">
        <w:t>i</w:t>
      </w:r>
      <w:r w:rsidR="008A3448" w:rsidRPr="00805DBA">
        <w:t xml:space="preserve">nformation and advice </w:t>
      </w:r>
    </w:p>
    <w:p w14:paraId="60B085DA" w14:textId="53C0F3F6" w:rsidR="000F4A3A" w:rsidRPr="000F4A3A" w:rsidRDefault="000F4A3A" w:rsidP="000F4A3A">
      <w:pPr>
        <w:pStyle w:val="Paragraph"/>
        <w:rPr>
          <w:lang w:val="en-CA"/>
        </w:rPr>
      </w:pPr>
      <w:r>
        <w:rPr>
          <w:lang w:val="en-CA" w:eastAsia="en-AU"/>
        </w:rPr>
        <w:t>T</w:t>
      </w:r>
      <w:r w:rsidR="008A3448" w:rsidRPr="008B5E9D">
        <w:rPr>
          <w:lang w:val="en-CA" w:eastAsia="en-AU"/>
        </w:rPr>
        <w:t>h</w:t>
      </w:r>
      <w:r w:rsidR="00D94FD6">
        <w:rPr>
          <w:lang w:val="en-CA" w:eastAsia="en-AU"/>
        </w:rPr>
        <w:t xml:space="preserve">e </w:t>
      </w:r>
      <w:r w:rsidR="00943346">
        <w:rPr>
          <w:lang w:val="en-CA" w:eastAsia="en-AU"/>
        </w:rPr>
        <w:t xml:space="preserve">AT Solutions suite of </w:t>
      </w:r>
      <w:r w:rsidR="0013154E">
        <w:rPr>
          <w:lang w:val="en-CA" w:eastAsia="en-AU"/>
        </w:rPr>
        <w:t>services</w:t>
      </w:r>
      <w:r w:rsidR="00D94FD6">
        <w:rPr>
          <w:lang w:val="en-CA" w:eastAsia="en-AU"/>
        </w:rPr>
        <w:t xml:space="preserve"> comprises three</w:t>
      </w:r>
      <w:r w:rsidR="008A3448" w:rsidRPr="008B5E9D">
        <w:rPr>
          <w:lang w:val="en-CA" w:eastAsia="en-AU"/>
        </w:rPr>
        <w:t xml:space="preserve"> </w:t>
      </w:r>
      <w:r w:rsidR="004A42AF" w:rsidRPr="008B5E9D">
        <w:rPr>
          <w:lang w:val="en-CA" w:eastAsia="en-AU"/>
        </w:rPr>
        <w:t>i</w:t>
      </w:r>
      <w:r w:rsidR="008A3448" w:rsidRPr="008B5E9D">
        <w:rPr>
          <w:lang w:val="en-CA" w:eastAsia="en-AU"/>
        </w:rPr>
        <w:t>nformation and advice initiatives</w:t>
      </w:r>
      <w:r w:rsidR="000F5F16" w:rsidRPr="008B5E9D">
        <w:rPr>
          <w:lang w:val="en-CA" w:eastAsia="en-AU"/>
        </w:rPr>
        <w:t>—</w:t>
      </w:r>
      <w:r w:rsidR="008A3448" w:rsidRPr="008B5E9D">
        <w:rPr>
          <w:lang w:val="en-CA" w:eastAsia="en-AU"/>
        </w:rPr>
        <w:t xml:space="preserve">the AT Solutions </w:t>
      </w:r>
      <w:r w:rsidR="008A3448" w:rsidRPr="008B5E9D">
        <w:t>website, AT Solutions app</w:t>
      </w:r>
      <w:r w:rsidR="00CD5FAB" w:rsidRPr="008B5E9D">
        <w:t xml:space="preserve"> </w:t>
      </w:r>
      <w:r w:rsidR="008A3448" w:rsidRPr="008B5E9D">
        <w:t>and AT Solutions hotline</w:t>
      </w:r>
      <w:r w:rsidR="00F80723">
        <w:t xml:space="preserve">. </w:t>
      </w:r>
      <w:r w:rsidR="00D94FD6">
        <w:t>It wi</w:t>
      </w:r>
      <w:r>
        <w:t xml:space="preserve">ll offer multiple channels for </w:t>
      </w:r>
      <w:r>
        <w:rPr>
          <w:lang w:val="en-CA"/>
        </w:rPr>
        <w:t>ol</w:t>
      </w:r>
      <w:r w:rsidR="0040756B" w:rsidRPr="008B5E9D">
        <w:rPr>
          <w:lang w:val="en-CA"/>
        </w:rPr>
        <w:t xml:space="preserve">der Australians </w:t>
      </w:r>
      <w:r>
        <w:rPr>
          <w:lang w:val="en-CA"/>
        </w:rPr>
        <w:t xml:space="preserve">to </w:t>
      </w:r>
      <w:r w:rsidR="008A3448" w:rsidRPr="008B5E9D">
        <w:rPr>
          <w:lang w:val="en-CA"/>
        </w:rPr>
        <w:t xml:space="preserve">access </w:t>
      </w:r>
      <w:r>
        <w:rPr>
          <w:lang w:val="en-CA"/>
        </w:rPr>
        <w:t>impartial</w:t>
      </w:r>
      <w:r w:rsidR="008A3448" w:rsidRPr="008B5E9D">
        <w:rPr>
          <w:lang w:val="en-CA"/>
        </w:rPr>
        <w:t xml:space="preserve"> information and evidence-based advice about AT products and services that will meet their needs</w:t>
      </w:r>
      <w:r w:rsidR="00F80723">
        <w:rPr>
          <w:lang w:val="en-CA"/>
        </w:rPr>
        <w:t xml:space="preserve">. </w:t>
      </w:r>
      <w:r w:rsidRPr="000F4A3A">
        <w:rPr>
          <w:lang w:val="en-CA"/>
        </w:rPr>
        <w:t xml:space="preserve">These resources would be </w:t>
      </w:r>
      <w:r w:rsidR="00D94FD6">
        <w:rPr>
          <w:lang w:val="en-CA"/>
        </w:rPr>
        <w:t xml:space="preserve">freely </w:t>
      </w:r>
      <w:r w:rsidRPr="000F4A3A">
        <w:rPr>
          <w:lang w:val="en-CA"/>
        </w:rPr>
        <w:t>available to consumers both within and outside the aged care system.</w:t>
      </w:r>
    </w:p>
    <w:p w14:paraId="2FA859C5" w14:textId="04476663" w:rsidR="008A3448" w:rsidRPr="008B5E9D" w:rsidRDefault="00781218" w:rsidP="008A3448">
      <w:pPr>
        <w:pStyle w:val="Paragraph"/>
        <w:rPr>
          <w:lang w:val="en-CA" w:eastAsia="en-AU"/>
        </w:rPr>
      </w:pPr>
      <w:r w:rsidRPr="008B5E9D">
        <w:rPr>
          <w:lang w:val="en-CA"/>
        </w:rPr>
        <w:t xml:space="preserve">A </w:t>
      </w:r>
      <w:r w:rsidR="00781D37">
        <w:rPr>
          <w:lang w:val="en-CA"/>
        </w:rPr>
        <w:t>D</w:t>
      </w:r>
      <w:r w:rsidR="00D41B92">
        <w:rPr>
          <w:lang w:val="en-CA"/>
        </w:rPr>
        <w:t xml:space="preserve">igital </w:t>
      </w:r>
      <w:r w:rsidR="008A0922" w:rsidRPr="008B5E9D">
        <w:rPr>
          <w:lang w:val="en-CA"/>
        </w:rPr>
        <w:t>AT</w:t>
      </w:r>
      <w:r w:rsidR="008A0922" w:rsidRPr="008B5E9D" w:rsidDel="00D41B92">
        <w:rPr>
          <w:lang w:val="en-CA"/>
        </w:rPr>
        <w:t xml:space="preserve"> </w:t>
      </w:r>
      <w:r w:rsidR="00D41B92" w:rsidRPr="008B5E9D">
        <w:rPr>
          <w:lang w:val="en-CA"/>
        </w:rPr>
        <w:t>Screen</w:t>
      </w:r>
      <w:r w:rsidR="00D41B92">
        <w:rPr>
          <w:lang w:val="en-CA"/>
        </w:rPr>
        <w:t xml:space="preserve"> tool</w:t>
      </w:r>
      <w:r w:rsidR="00D41B92" w:rsidRPr="008B5E9D">
        <w:rPr>
          <w:lang w:val="en-CA"/>
        </w:rPr>
        <w:t xml:space="preserve"> </w:t>
      </w:r>
      <w:r w:rsidR="008A0922" w:rsidRPr="008B5E9D">
        <w:rPr>
          <w:lang w:val="en-CA"/>
        </w:rPr>
        <w:t>(detailed below)</w:t>
      </w:r>
      <w:r w:rsidRPr="008B5E9D">
        <w:rPr>
          <w:lang w:val="en-CA"/>
        </w:rPr>
        <w:t xml:space="preserve"> </w:t>
      </w:r>
      <w:r w:rsidR="000F4A3A">
        <w:rPr>
          <w:lang w:val="en-CA"/>
        </w:rPr>
        <w:t>w</w:t>
      </w:r>
      <w:r w:rsidR="001A015C">
        <w:rPr>
          <w:lang w:val="en-CA"/>
        </w:rPr>
        <w:t>ould</w:t>
      </w:r>
      <w:r w:rsidRPr="008B5E9D">
        <w:rPr>
          <w:lang w:val="en-CA"/>
        </w:rPr>
        <w:t xml:space="preserve"> </w:t>
      </w:r>
      <w:r w:rsidR="00483EF3">
        <w:rPr>
          <w:lang w:val="en-CA"/>
        </w:rPr>
        <w:t>drive</w:t>
      </w:r>
      <w:r w:rsidRPr="008B5E9D">
        <w:rPr>
          <w:lang w:val="en-CA"/>
        </w:rPr>
        <w:t xml:space="preserve"> the </w:t>
      </w:r>
      <w:r w:rsidR="00AC4B11" w:rsidRPr="008B5E9D">
        <w:rPr>
          <w:lang w:val="en-CA"/>
        </w:rPr>
        <w:t>website and app</w:t>
      </w:r>
      <w:r w:rsidR="00391DA8">
        <w:rPr>
          <w:lang w:val="en-CA"/>
        </w:rPr>
        <w:t xml:space="preserve">, </w:t>
      </w:r>
      <w:r w:rsidR="00AC4B11" w:rsidRPr="008B5E9D">
        <w:rPr>
          <w:lang w:val="en-CA"/>
        </w:rPr>
        <w:t>and w</w:t>
      </w:r>
      <w:r w:rsidR="00D94FD6">
        <w:rPr>
          <w:lang w:val="en-CA"/>
        </w:rPr>
        <w:t>ould</w:t>
      </w:r>
      <w:r w:rsidR="00AC4B11" w:rsidRPr="008B5E9D">
        <w:rPr>
          <w:lang w:val="en-CA"/>
        </w:rPr>
        <w:t xml:space="preserve"> be used by </w:t>
      </w:r>
      <w:r w:rsidR="000F4A3A">
        <w:rPr>
          <w:lang w:val="en-CA"/>
        </w:rPr>
        <w:t>h</w:t>
      </w:r>
      <w:r w:rsidR="00AC4B11" w:rsidRPr="008B5E9D">
        <w:rPr>
          <w:lang w:val="en-CA"/>
        </w:rPr>
        <w:t xml:space="preserve">otline staff to assist consumers. </w:t>
      </w:r>
    </w:p>
    <w:p w14:paraId="5D4A64CD" w14:textId="4F1947E8" w:rsidR="008A3448" w:rsidRPr="008B5E9D" w:rsidRDefault="008A3448" w:rsidP="0040756B">
      <w:pPr>
        <w:pStyle w:val="ParaKeep"/>
      </w:pPr>
      <w:r w:rsidRPr="008B5E9D">
        <w:t>These information and advice resources are designed to complement the existing My Aged Care website, call centre and resources, so that:</w:t>
      </w:r>
    </w:p>
    <w:p w14:paraId="08859DB3" w14:textId="03AD9C5F" w:rsidR="00CA7EC4" w:rsidRPr="00AE57A0" w:rsidRDefault="00CA7EC4" w:rsidP="00CA7EC4">
      <w:pPr>
        <w:pStyle w:val="Bullet1"/>
        <w:numPr>
          <w:ilvl w:val="0"/>
          <w:numId w:val="2"/>
        </w:numPr>
        <w:rPr>
          <w:lang w:val="en-CA"/>
        </w:rPr>
      </w:pPr>
      <w:r>
        <w:rPr>
          <w:lang w:val="en-CA"/>
        </w:rPr>
        <w:t xml:space="preserve">Referrals and links can be made </w:t>
      </w:r>
      <w:r w:rsidRPr="00AE57A0">
        <w:rPr>
          <w:lang w:val="en-CA"/>
        </w:rPr>
        <w:t xml:space="preserve">from the </w:t>
      </w:r>
      <w:r w:rsidR="006C65DE">
        <w:rPr>
          <w:lang w:val="en-CA"/>
        </w:rPr>
        <w:t>AT Solutions suite of services</w:t>
      </w:r>
      <w:r>
        <w:rPr>
          <w:lang w:val="en-CA"/>
        </w:rPr>
        <w:t xml:space="preserve"> to My Aged Care</w:t>
      </w:r>
      <w:r w:rsidRPr="00AE57A0">
        <w:rPr>
          <w:lang w:val="en-CA"/>
        </w:rPr>
        <w:t xml:space="preserve">, especially for </w:t>
      </w:r>
      <w:r>
        <w:rPr>
          <w:lang w:val="en-CA"/>
        </w:rPr>
        <w:t>consumers</w:t>
      </w:r>
      <w:r w:rsidRPr="00AE57A0">
        <w:rPr>
          <w:lang w:val="en-CA"/>
        </w:rPr>
        <w:t xml:space="preserve"> with more complex needs</w:t>
      </w:r>
      <w:r w:rsidR="00EC4322">
        <w:rPr>
          <w:lang w:val="en-CA"/>
        </w:rPr>
        <w:t>.</w:t>
      </w:r>
      <w:r w:rsidRPr="00AE57A0">
        <w:rPr>
          <w:lang w:val="en-CA"/>
        </w:rPr>
        <w:t xml:space="preserve"> </w:t>
      </w:r>
    </w:p>
    <w:p w14:paraId="08FF9B7F" w14:textId="4C69FA1E" w:rsidR="00CA7EC4" w:rsidRDefault="00CA7EC4" w:rsidP="00CA7EC4">
      <w:pPr>
        <w:pStyle w:val="Bullet1"/>
        <w:numPr>
          <w:ilvl w:val="0"/>
          <w:numId w:val="2"/>
        </w:numPr>
        <w:rPr>
          <w:lang w:val="en-CA"/>
        </w:rPr>
      </w:pPr>
      <w:r w:rsidRPr="00AE57A0">
        <w:rPr>
          <w:lang w:val="en-CA"/>
        </w:rPr>
        <w:t xml:space="preserve">The My Aged Care website </w:t>
      </w:r>
      <w:r>
        <w:rPr>
          <w:lang w:val="en-CA"/>
        </w:rPr>
        <w:t>and call centre can</w:t>
      </w:r>
      <w:r w:rsidRPr="00AE57A0">
        <w:rPr>
          <w:lang w:val="en-CA"/>
        </w:rPr>
        <w:t xml:space="preserve"> also link to the </w:t>
      </w:r>
      <w:r w:rsidR="006C65DE">
        <w:rPr>
          <w:lang w:val="en-CA"/>
        </w:rPr>
        <w:t>AT Solutions suite of services</w:t>
      </w:r>
      <w:r w:rsidRPr="00AE57A0">
        <w:rPr>
          <w:lang w:val="en-CA"/>
        </w:rPr>
        <w:t xml:space="preserve"> </w:t>
      </w:r>
      <w:r>
        <w:rPr>
          <w:lang w:val="en-CA"/>
        </w:rPr>
        <w:t>so that</w:t>
      </w:r>
      <w:r w:rsidRPr="00AE57A0">
        <w:rPr>
          <w:lang w:val="en-CA"/>
        </w:rPr>
        <w:t xml:space="preserve"> consumers </w:t>
      </w:r>
      <w:r>
        <w:rPr>
          <w:lang w:val="en-CA"/>
        </w:rPr>
        <w:t>can readily source</w:t>
      </w:r>
      <w:r w:rsidRPr="00AE57A0">
        <w:rPr>
          <w:lang w:val="en-CA"/>
        </w:rPr>
        <w:t xml:space="preserve"> further information </w:t>
      </w:r>
      <w:r>
        <w:rPr>
          <w:lang w:val="en-CA"/>
        </w:rPr>
        <w:t xml:space="preserve">and advice </w:t>
      </w:r>
      <w:r w:rsidRPr="00AE57A0">
        <w:rPr>
          <w:lang w:val="en-CA"/>
        </w:rPr>
        <w:t>on AT</w:t>
      </w:r>
      <w:r>
        <w:rPr>
          <w:lang w:val="en-CA"/>
        </w:rPr>
        <w:t xml:space="preserve"> and how it can assist them</w:t>
      </w:r>
      <w:r w:rsidR="00EC4322">
        <w:rPr>
          <w:lang w:val="en-CA"/>
        </w:rPr>
        <w:t>.</w:t>
      </w:r>
    </w:p>
    <w:p w14:paraId="5AFB9364" w14:textId="2B62B643" w:rsidR="00E03BF7" w:rsidRPr="00E03BF7" w:rsidRDefault="00E03BF7" w:rsidP="00E03BF7">
      <w:pPr>
        <w:pStyle w:val="Bullet1"/>
        <w:numPr>
          <w:ilvl w:val="0"/>
          <w:numId w:val="2"/>
        </w:numPr>
        <w:rPr>
          <w:lang w:val="en-CA"/>
        </w:rPr>
      </w:pPr>
      <w:r>
        <w:rPr>
          <w:lang w:val="en-CA"/>
        </w:rPr>
        <w:t xml:space="preserve">In addition to </w:t>
      </w:r>
      <w:r w:rsidRPr="001E0F19">
        <w:rPr>
          <w:lang w:val="en-CA"/>
        </w:rPr>
        <w:t>My Aged Care call centre staff</w:t>
      </w:r>
      <w:r>
        <w:rPr>
          <w:lang w:val="en-CA"/>
        </w:rPr>
        <w:t>, t</w:t>
      </w:r>
      <w:r w:rsidRPr="00AE57A0">
        <w:rPr>
          <w:lang w:val="en-CA"/>
        </w:rPr>
        <w:t xml:space="preserve">he </w:t>
      </w:r>
      <w:r w:rsidR="006C65DE">
        <w:rPr>
          <w:lang w:val="en-CA"/>
        </w:rPr>
        <w:t>AT Solutions suite of services</w:t>
      </w:r>
      <w:r>
        <w:rPr>
          <w:lang w:val="en-CA"/>
        </w:rPr>
        <w:t xml:space="preserve"> can</w:t>
      </w:r>
      <w:r w:rsidRPr="00AE57A0">
        <w:rPr>
          <w:lang w:val="en-CA"/>
        </w:rPr>
        <w:t xml:space="preserve"> become a </w:t>
      </w:r>
      <w:r>
        <w:rPr>
          <w:lang w:val="en-CA"/>
        </w:rPr>
        <w:t xml:space="preserve">valuable </w:t>
      </w:r>
      <w:r w:rsidRPr="00AE57A0">
        <w:rPr>
          <w:lang w:val="en-CA"/>
        </w:rPr>
        <w:t xml:space="preserve">resource </w:t>
      </w:r>
      <w:r>
        <w:rPr>
          <w:lang w:val="en-CA"/>
        </w:rPr>
        <w:t>for</w:t>
      </w:r>
      <w:r w:rsidRPr="00AE57A0">
        <w:rPr>
          <w:lang w:val="en-CA"/>
        </w:rPr>
        <w:t xml:space="preserve"> </w:t>
      </w:r>
      <w:r>
        <w:rPr>
          <w:lang w:val="en-CA"/>
        </w:rPr>
        <w:t>RAS and ACAT</w:t>
      </w:r>
      <w:r w:rsidRPr="00AE57A0">
        <w:rPr>
          <w:lang w:val="en-CA"/>
        </w:rPr>
        <w:t xml:space="preserve"> assessors and </w:t>
      </w:r>
      <w:r>
        <w:rPr>
          <w:lang w:val="en-CA"/>
        </w:rPr>
        <w:t xml:space="preserve">CHSP </w:t>
      </w:r>
      <w:r w:rsidRPr="00AE57A0">
        <w:rPr>
          <w:lang w:val="en-CA"/>
        </w:rPr>
        <w:t>service providers</w:t>
      </w:r>
      <w:r>
        <w:rPr>
          <w:lang w:val="en-CA"/>
        </w:rPr>
        <w:t xml:space="preserve"> to refer their </w:t>
      </w:r>
      <w:r w:rsidR="00C929C8">
        <w:rPr>
          <w:lang w:val="en-CA"/>
        </w:rPr>
        <w:t>consumer</w:t>
      </w:r>
      <w:r>
        <w:rPr>
          <w:lang w:val="en-CA"/>
        </w:rPr>
        <w:t>s to when needing to appropriately access AT.</w:t>
      </w:r>
    </w:p>
    <w:p w14:paraId="59E79355" w14:textId="16EA62A7" w:rsidR="002A6585" w:rsidRPr="000F5F16" w:rsidRDefault="00D94FD6" w:rsidP="00C929C8">
      <w:pPr>
        <w:pStyle w:val="Paragraph"/>
        <w:rPr>
          <w:rFonts w:eastAsia="Arial Unicode MS"/>
        </w:rPr>
      </w:pPr>
      <w:r w:rsidRPr="007A4E5F">
        <w:t xml:space="preserve">While each initiative in the </w:t>
      </w:r>
      <w:r w:rsidR="006C65DE" w:rsidRPr="007A4E5F">
        <w:t>AT Solutions suite of services</w:t>
      </w:r>
      <w:r w:rsidRPr="007A4E5F">
        <w:t xml:space="preserve"> is costed separately, </w:t>
      </w:r>
      <w:r w:rsidR="0074745B" w:rsidRPr="007A4E5F">
        <w:t>the</w:t>
      </w:r>
      <w:r w:rsidR="0074745B">
        <w:t xml:space="preserve">re </w:t>
      </w:r>
      <w:r w:rsidRPr="007A4E5F">
        <w:t>would be efficiencies in procuring them as an integrated suite of services</w:t>
      </w:r>
      <w:r w:rsidR="00F80723" w:rsidRPr="007A4E5F">
        <w:t xml:space="preserve">. </w:t>
      </w:r>
      <w:r w:rsidR="006D2AF2" w:rsidRPr="000F5F16">
        <w:rPr>
          <w:rStyle w:val="Italic"/>
        </w:rPr>
        <w:fldChar w:fldCharType="begin"/>
      </w:r>
      <w:r w:rsidR="006D2AF2" w:rsidRPr="000F5F16">
        <w:rPr>
          <w:rStyle w:val="Italic"/>
        </w:rPr>
        <w:instrText xml:space="preserve"> REF _Ref42016691 \h </w:instrText>
      </w:r>
      <w:r w:rsidR="000F5F16">
        <w:rPr>
          <w:rStyle w:val="Italic"/>
        </w:rPr>
        <w:instrText xml:space="preserve"> \* MERGEFORMAT </w:instrText>
      </w:r>
      <w:r w:rsidR="006D2AF2" w:rsidRPr="000F5F16">
        <w:rPr>
          <w:rStyle w:val="Italic"/>
        </w:rPr>
      </w:r>
      <w:r w:rsidR="006D2AF2" w:rsidRPr="000F5F16">
        <w:rPr>
          <w:rStyle w:val="Italic"/>
        </w:rPr>
        <w:fldChar w:fldCharType="separate"/>
      </w:r>
      <w:r w:rsidR="00CC3F04" w:rsidRPr="00CC3F04">
        <w:rPr>
          <w:rStyle w:val="Italic"/>
        </w:rPr>
        <w:t>Table 4</w:t>
      </w:r>
      <w:r w:rsidR="00CC3F04" w:rsidRPr="00CC3F04">
        <w:rPr>
          <w:rStyle w:val="Italic"/>
        </w:rPr>
        <w:noBreakHyphen/>
        <w:t>1</w:t>
      </w:r>
      <w:r w:rsidR="006D2AF2" w:rsidRPr="000F5F16">
        <w:rPr>
          <w:rStyle w:val="Italic"/>
        </w:rPr>
        <w:fldChar w:fldCharType="end"/>
      </w:r>
      <w:r w:rsidR="000F5F16">
        <w:rPr>
          <w:rStyle w:val="Italic"/>
        </w:rPr>
        <w:t xml:space="preserve"> </w:t>
      </w:r>
      <w:r w:rsidR="008A3448">
        <w:rPr>
          <w:lang w:val="en-CA"/>
        </w:rPr>
        <w:t>provides further detail on</w:t>
      </w:r>
      <w:r>
        <w:rPr>
          <w:lang w:val="en-CA"/>
        </w:rPr>
        <w:t xml:space="preserve"> the </w:t>
      </w:r>
      <w:r w:rsidR="006C65DE">
        <w:rPr>
          <w:lang w:val="en-CA"/>
        </w:rPr>
        <w:t>AT Solutions suite of services</w:t>
      </w:r>
      <w:r w:rsidR="008A3448">
        <w:rPr>
          <w:lang w:val="en-CA"/>
        </w:rPr>
        <w:t>.</w:t>
      </w:r>
    </w:p>
    <w:p w14:paraId="20CC1FA0" w14:textId="422F987D" w:rsidR="008A3448" w:rsidRPr="00805DBA" w:rsidRDefault="00BD52CB" w:rsidP="00805DBA">
      <w:pPr>
        <w:pStyle w:val="Heading3"/>
      </w:pPr>
      <w:bookmarkStart w:id="228" w:name="_Ref42239562"/>
      <w:r>
        <w:t>Digital</w:t>
      </w:r>
      <w:r w:rsidRPr="00805DBA">
        <w:t xml:space="preserve"> </w:t>
      </w:r>
      <w:r w:rsidR="008A3448" w:rsidRPr="00805DBA">
        <w:t xml:space="preserve">AT </w:t>
      </w:r>
      <w:r w:rsidR="00907D70" w:rsidRPr="00805DBA">
        <w:t>S</w:t>
      </w:r>
      <w:r w:rsidR="008A3448" w:rsidRPr="00805DBA">
        <w:t xml:space="preserve">creen </w:t>
      </w:r>
      <w:bookmarkEnd w:id="228"/>
    </w:p>
    <w:p w14:paraId="2A1C2868" w14:textId="65DF8832" w:rsidR="0046683B" w:rsidRDefault="00483EF3" w:rsidP="0046683B">
      <w:pPr>
        <w:pStyle w:val="Paragraph"/>
        <w:rPr>
          <w:lang w:val="en-CA"/>
        </w:rPr>
      </w:pPr>
      <w:r>
        <w:rPr>
          <w:lang w:val="en-CA" w:eastAsia="en-AU"/>
        </w:rPr>
        <w:t xml:space="preserve">Underpinning the </w:t>
      </w:r>
      <w:r w:rsidR="006C65DE">
        <w:rPr>
          <w:lang w:val="en-CA" w:eastAsia="en-AU"/>
        </w:rPr>
        <w:t>AT Solutions suite of services</w:t>
      </w:r>
      <w:r>
        <w:rPr>
          <w:lang w:val="en-CA" w:eastAsia="en-AU"/>
        </w:rPr>
        <w:t xml:space="preserve"> is </w:t>
      </w:r>
      <w:r w:rsidR="00D94FD6">
        <w:rPr>
          <w:lang w:val="en-CA" w:eastAsia="en-AU"/>
        </w:rPr>
        <w:t>a</w:t>
      </w:r>
      <w:r w:rsidR="0046683B">
        <w:rPr>
          <w:lang w:val="en-CA" w:eastAsia="en-AU"/>
        </w:rPr>
        <w:t xml:space="preserve"> </w:t>
      </w:r>
      <w:r w:rsidR="00781D37">
        <w:rPr>
          <w:lang w:val="en-CA" w:eastAsia="en-AU"/>
        </w:rPr>
        <w:t>D</w:t>
      </w:r>
      <w:r w:rsidR="00BD52CB">
        <w:rPr>
          <w:lang w:val="en-CA" w:eastAsia="en-AU"/>
        </w:rPr>
        <w:t>igital</w:t>
      </w:r>
      <w:r w:rsidR="00BD52CB" w:rsidRPr="00074C85">
        <w:rPr>
          <w:lang w:val="en-CA" w:eastAsia="en-AU"/>
        </w:rPr>
        <w:t xml:space="preserve"> </w:t>
      </w:r>
      <w:r w:rsidR="0046683B" w:rsidRPr="00074C85">
        <w:rPr>
          <w:lang w:val="en-CA" w:eastAsia="en-AU"/>
        </w:rPr>
        <w:t xml:space="preserve">AT </w:t>
      </w:r>
      <w:r w:rsidR="0046683B">
        <w:rPr>
          <w:lang w:val="en-CA" w:eastAsia="en-AU"/>
        </w:rPr>
        <w:t>s</w:t>
      </w:r>
      <w:r w:rsidR="0046683B" w:rsidRPr="00074C85">
        <w:rPr>
          <w:lang w:val="en-CA" w:eastAsia="en-AU"/>
        </w:rPr>
        <w:t>creening tool</w:t>
      </w:r>
      <w:r w:rsidR="00F80723">
        <w:rPr>
          <w:lang w:val="en-CA" w:eastAsia="en-AU"/>
        </w:rPr>
        <w:t xml:space="preserve">. </w:t>
      </w:r>
      <w:r w:rsidR="0046683B">
        <w:rPr>
          <w:lang w:val="en-CA" w:eastAsia="en-AU"/>
        </w:rPr>
        <w:t>Th</w:t>
      </w:r>
      <w:r w:rsidR="00D95E44">
        <w:rPr>
          <w:lang w:val="en-CA" w:eastAsia="en-AU"/>
        </w:rPr>
        <w:t>is</w:t>
      </w:r>
      <w:r w:rsidR="001A015C">
        <w:rPr>
          <w:lang w:val="en-CA" w:eastAsia="en-AU"/>
        </w:rPr>
        <w:t xml:space="preserve"> tool</w:t>
      </w:r>
      <w:r w:rsidR="0046683B">
        <w:rPr>
          <w:lang w:val="en-CA" w:eastAsia="en-AU"/>
        </w:rPr>
        <w:t xml:space="preserve"> </w:t>
      </w:r>
      <w:r w:rsidR="00D94FD6">
        <w:rPr>
          <w:lang w:val="en-CA" w:eastAsia="en-AU"/>
        </w:rPr>
        <w:t>will enable</w:t>
      </w:r>
      <w:r w:rsidR="0046683B">
        <w:rPr>
          <w:lang w:val="en-CA" w:eastAsia="en-AU"/>
        </w:rPr>
        <w:t xml:space="preserve"> consumers to</w:t>
      </w:r>
      <w:r w:rsidR="0046683B" w:rsidRPr="007D7FA1">
        <w:rPr>
          <w:lang w:eastAsia="en-AU"/>
        </w:rPr>
        <w:t xml:space="preserve"> identify </w:t>
      </w:r>
      <w:r w:rsidR="00E64E4F">
        <w:rPr>
          <w:lang w:eastAsia="en-AU"/>
        </w:rPr>
        <w:t>ADLs</w:t>
      </w:r>
      <w:r w:rsidR="0046683B" w:rsidRPr="007D7FA1">
        <w:rPr>
          <w:lang w:eastAsia="en-AU"/>
        </w:rPr>
        <w:t xml:space="preserve"> they have difficulties with</w:t>
      </w:r>
      <w:r w:rsidR="0046683B">
        <w:rPr>
          <w:lang w:eastAsia="en-AU"/>
        </w:rPr>
        <w:t>,</w:t>
      </w:r>
      <w:r w:rsidR="0046683B" w:rsidRPr="007D7FA1">
        <w:rPr>
          <w:lang w:eastAsia="en-AU"/>
        </w:rPr>
        <w:t xml:space="preserve"> and </w:t>
      </w:r>
      <w:r w:rsidR="0046683B">
        <w:rPr>
          <w:lang w:eastAsia="en-AU"/>
        </w:rPr>
        <w:t xml:space="preserve">then </w:t>
      </w:r>
      <w:r w:rsidR="00D94FD6">
        <w:rPr>
          <w:lang w:eastAsia="en-AU"/>
        </w:rPr>
        <w:t xml:space="preserve">assist in identifying </w:t>
      </w:r>
      <w:r w:rsidR="0046683B">
        <w:rPr>
          <w:lang w:eastAsia="en-AU"/>
        </w:rPr>
        <w:t xml:space="preserve">AT </w:t>
      </w:r>
      <w:r w:rsidR="0046683B" w:rsidRPr="007D7FA1">
        <w:rPr>
          <w:lang w:eastAsia="en-AU"/>
        </w:rPr>
        <w:t xml:space="preserve">that </w:t>
      </w:r>
      <w:r w:rsidR="0046683B">
        <w:rPr>
          <w:lang w:eastAsia="en-AU"/>
        </w:rPr>
        <w:t>can</w:t>
      </w:r>
      <w:r w:rsidR="0046683B" w:rsidRPr="007D7FA1">
        <w:rPr>
          <w:lang w:eastAsia="en-AU"/>
        </w:rPr>
        <w:t xml:space="preserve"> help them maintain or improve </w:t>
      </w:r>
      <w:r w:rsidR="0046683B">
        <w:rPr>
          <w:lang w:eastAsia="en-AU"/>
        </w:rPr>
        <w:t xml:space="preserve">functioning </w:t>
      </w:r>
      <w:r w:rsidR="00854D93">
        <w:rPr>
          <w:lang w:eastAsia="en-AU"/>
        </w:rPr>
        <w:t>for</w:t>
      </w:r>
      <w:r w:rsidR="0046683B" w:rsidDel="00854D93">
        <w:rPr>
          <w:lang w:eastAsia="en-AU"/>
        </w:rPr>
        <w:t xml:space="preserve"> these </w:t>
      </w:r>
      <w:r w:rsidR="00E64E4F">
        <w:rPr>
          <w:lang w:eastAsia="en-AU"/>
        </w:rPr>
        <w:t>ADLs</w:t>
      </w:r>
      <w:r w:rsidR="00F80723">
        <w:rPr>
          <w:lang w:eastAsia="en-AU"/>
        </w:rPr>
        <w:t xml:space="preserve">. </w:t>
      </w:r>
      <w:r w:rsidR="0046683B">
        <w:rPr>
          <w:lang w:eastAsia="en-AU"/>
        </w:rPr>
        <w:t xml:space="preserve">It will also identify consumers with more complex needs and refer them either to My Aged Care </w:t>
      </w:r>
      <w:r w:rsidR="0074745B">
        <w:rPr>
          <w:lang w:eastAsia="en-AU"/>
        </w:rPr>
        <w:t xml:space="preserve">call </w:t>
      </w:r>
      <w:r w:rsidR="00551AEE">
        <w:rPr>
          <w:lang w:eastAsia="en-AU"/>
        </w:rPr>
        <w:t>centre or</w:t>
      </w:r>
      <w:r w:rsidR="0046683B">
        <w:rPr>
          <w:lang w:eastAsia="en-AU"/>
        </w:rPr>
        <w:t xml:space="preserve"> flag the need for the consumer to contact an allied health professional</w:t>
      </w:r>
      <w:r w:rsidR="00F80723">
        <w:rPr>
          <w:lang w:eastAsia="en-AU"/>
        </w:rPr>
        <w:t xml:space="preserve">. </w:t>
      </w:r>
      <w:r w:rsidR="00D95E44" w:rsidRPr="00D95E44">
        <w:rPr>
          <w:lang w:eastAsia="en-AU"/>
        </w:rPr>
        <w:t xml:space="preserve">The advice provided </w:t>
      </w:r>
      <w:r w:rsidR="00D95E44">
        <w:rPr>
          <w:lang w:eastAsia="en-AU"/>
        </w:rPr>
        <w:t>would be</w:t>
      </w:r>
      <w:r w:rsidR="00D95E44" w:rsidRPr="00D95E44">
        <w:rPr>
          <w:lang w:eastAsia="en-AU"/>
        </w:rPr>
        <w:t xml:space="preserve"> independent and evidence-based, and not tied to any equipment providers</w:t>
      </w:r>
      <w:r w:rsidR="00F80723">
        <w:rPr>
          <w:lang w:eastAsia="en-AU"/>
        </w:rPr>
        <w:t xml:space="preserve">. </w:t>
      </w:r>
      <w:r w:rsidR="0046683B">
        <w:rPr>
          <w:lang w:val="en-CA"/>
        </w:rPr>
        <w:t xml:space="preserve">AT screens are already in use in </w:t>
      </w:r>
      <w:r w:rsidR="00D94FD6">
        <w:rPr>
          <w:lang w:val="en-CA"/>
        </w:rPr>
        <w:t>countries including England</w:t>
      </w:r>
      <w:r w:rsidR="00551AEE">
        <w:rPr>
          <w:lang w:val="en-CA"/>
        </w:rPr>
        <w:t xml:space="preserve">, </w:t>
      </w:r>
      <w:r w:rsidR="00F5729E">
        <w:rPr>
          <w:lang w:val="en-CA"/>
        </w:rPr>
        <w:t xml:space="preserve">New Zealand and the US </w:t>
      </w:r>
      <w:r w:rsidR="0046683B">
        <w:rPr>
          <w:lang w:val="en-CA"/>
        </w:rPr>
        <w:t xml:space="preserve">and </w:t>
      </w:r>
      <w:r w:rsidR="00D94FD6">
        <w:rPr>
          <w:lang w:val="en-CA"/>
        </w:rPr>
        <w:t xml:space="preserve">would </w:t>
      </w:r>
      <w:r w:rsidR="0046683B">
        <w:rPr>
          <w:lang w:val="en-CA"/>
        </w:rPr>
        <w:t>take around 20 minutes to complete.</w:t>
      </w:r>
    </w:p>
    <w:p w14:paraId="49AACFC9" w14:textId="732AA222" w:rsidR="007D5F84" w:rsidRDefault="001D4F10" w:rsidP="00C929C8">
      <w:pPr>
        <w:pStyle w:val="Paragraph"/>
        <w:rPr>
          <w:lang w:val="en-CA" w:eastAsia="en-AU"/>
        </w:rPr>
      </w:pPr>
      <w:r>
        <w:rPr>
          <w:lang w:val="en-CA" w:eastAsia="en-AU"/>
        </w:rPr>
        <w:t xml:space="preserve">The </w:t>
      </w:r>
      <w:r w:rsidR="00624765">
        <w:rPr>
          <w:lang w:val="en-CA" w:eastAsia="en-AU"/>
        </w:rPr>
        <w:t>D</w:t>
      </w:r>
      <w:r w:rsidR="00D41B92">
        <w:rPr>
          <w:lang w:val="en-CA" w:eastAsia="en-AU"/>
        </w:rPr>
        <w:t xml:space="preserve">igital </w:t>
      </w:r>
      <w:r>
        <w:rPr>
          <w:lang w:val="en-CA" w:eastAsia="en-AU"/>
        </w:rPr>
        <w:t xml:space="preserve">AT screening tool would ideally be </w:t>
      </w:r>
      <w:r w:rsidRPr="002F3BE0">
        <w:rPr>
          <w:lang w:val="en-CA" w:eastAsia="en-AU"/>
        </w:rPr>
        <w:t xml:space="preserve">linked to a </w:t>
      </w:r>
      <w:r w:rsidRPr="004470C2">
        <w:t>central database</w:t>
      </w:r>
      <w:r w:rsidRPr="002F3BE0">
        <w:rPr>
          <w:lang w:val="en-CA" w:eastAsia="en-AU"/>
        </w:rPr>
        <w:t xml:space="preserve"> to</w:t>
      </w:r>
      <w:r>
        <w:rPr>
          <w:lang w:val="en-CA" w:eastAsia="en-AU"/>
        </w:rPr>
        <w:t xml:space="preserve"> collate information</w:t>
      </w:r>
      <w:r w:rsidR="00D95E44">
        <w:rPr>
          <w:lang w:val="en-CA" w:eastAsia="en-AU"/>
        </w:rPr>
        <w:t xml:space="preserve">—collected through the </w:t>
      </w:r>
      <w:r w:rsidR="006C65DE">
        <w:rPr>
          <w:lang w:val="en-CA" w:eastAsia="en-AU"/>
        </w:rPr>
        <w:t xml:space="preserve">AT Solutions suite of </w:t>
      </w:r>
      <w:r w:rsidR="00E64E4F">
        <w:rPr>
          <w:lang w:val="en-CA" w:eastAsia="en-AU"/>
        </w:rPr>
        <w:t>services</w:t>
      </w:r>
      <w:r w:rsidR="00D95E44">
        <w:rPr>
          <w:lang w:val="en-CA" w:eastAsia="en-AU"/>
        </w:rPr>
        <w:t>—</w:t>
      </w:r>
      <w:r>
        <w:rPr>
          <w:lang w:val="en-CA" w:eastAsia="en-AU"/>
        </w:rPr>
        <w:t>on the extent and areas of consumer functional limitations, common AT requirements and the AT products and supports recommended and/or provided</w:t>
      </w:r>
      <w:r w:rsidR="00F80723">
        <w:rPr>
          <w:lang w:val="en-CA" w:eastAsia="en-AU"/>
        </w:rPr>
        <w:t xml:space="preserve">. </w:t>
      </w:r>
    </w:p>
    <w:p w14:paraId="4C8CF30E" w14:textId="77777777" w:rsidR="00624765" w:rsidRDefault="001D4F10" w:rsidP="00EA7626">
      <w:pPr>
        <w:pStyle w:val="Paragraph"/>
        <w:rPr>
          <w:lang w:val="en-CA"/>
        </w:rPr>
      </w:pPr>
      <w:r w:rsidRPr="00C66D0A">
        <w:rPr>
          <w:lang w:val="en-CA"/>
        </w:rPr>
        <w:t>Captur</w:t>
      </w:r>
      <w:r>
        <w:rPr>
          <w:lang w:val="en-CA"/>
        </w:rPr>
        <w:t>ing this</w:t>
      </w:r>
      <w:r w:rsidRPr="00C66D0A">
        <w:rPr>
          <w:lang w:val="en-CA"/>
        </w:rPr>
        <w:t xml:space="preserve"> data </w:t>
      </w:r>
      <w:r>
        <w:rPr>
          <w:lang w:val="en-CA"/>
        </w:rPr>
        <w:t>would</w:t>
      </w:r>
      <w:r w:rsidRPr="00617D78">
        <w:rPr>
          <w:lang w:val="en-CA"/>
        </w:rPr>
        <w:t xml:space="preserve"> </w:t>
      </w:r>
      <w:r>
        <w:rPr>
          <w:lang w:val="en-CA"/>
        </w:rPr>
        <w:t xml:space="preserve">enable </w:t>
      </w:r>
      <w:r w:rsidR="00D95E44">
        <w:rPr>
          <w:lang w:val="en-CA" w:eastAsia="en-AU"/>
        </w:rPr>
        <w:t>h</w:t>
      </w:r>
      <w:r>
        <w:rPr>
          <w:lang w:val="en-CA" w:eastAsia="en-AU"/>
        </w:rPr>
        <w:t>otline staff to</w:t>
      </w:r>
      <w:r>
        <w:rPr>
          <w:lang w:val="en-CA"/>
        </w:rPr>
        <w:t xml:space="preserve"> </w:t>
      </w:r>
      <w:r w:rsidRPr="00617D78">
        <w:rPr>
          <w:lang w:val="en-CA"/>
        </w:rPr>
        <w:t>follow</w:t>
      </w:r>
      <w:r>
        <w:rPr>
          <w:lang w:val="en-CA"/>
        </w:rPr>
        <w:t>-</w:t>
      </w:r>
      <w:r w:rsidRPr="00617D78">
        <w:rPr>
          <w:lang w:val="en-CA"/>
        </w:rPr>
        <w:t xml:space="preserve">up </w:t>
      </w:r>
      <w:r>
        <w:rPr>
          <w:lang w:val="en-CA"/>
        </w:rPr>
        <w:t>with consumers, and identify outcomes from the screening process including what consumers ultimately did or did not purchase and how useful it was to their independence</w:t>
      </w:r>
      <w:r w:rsidR="00F80723">
        <w:rPr>
          <w:lang w:val="en-CA"/>
        </w:rPr>
        <w:t xml:space="preserve">. </w:t>
      </w:r>
    </w:p>
    <w:p w14:paraId="2E0606C7" w14:textId="3767E541" w:rsidR="006D2AF2" w:rsidRPr="009C0F37" w:rsidRDefault="001D4F10" w:rsidP="00EB38F4">
      <w:pPr>
        <w:pStyle w:val="Paragraph"/>
        <w:rPr>
          <w:lang w:val="en-CA"/>
        </w:rPr>
      </w:pPr>
      <w:r w:rsidRPr="00802859">
        <w:rPr>
          <w:lang w:val="en-CA"/>
        </w:rPr>
        <w:t xml:space="preserve">Funding for </w:t>
      </w:r>
      <w:r w:rsidR="00D95E44">
        <w:rPr>
          <w:lang w:val="en-CA"/>
        </w:rPr>
        <w:t>h</w:t>
      </w:r>
      <w:r w:rsidRPr="00802859">
        <w:rPr>
          <w:lang w:val="en-CA"/>
        </w:rPr>
        <w:t>otline staff to make a 15-minute follow-up call with consumers after an AT screen</w:t>
      </w:r>
      <w:r w:rsidR="003A2DE6">
        <w:rPr>
          <w:lang w:val="en-CA"/>
        </w:rPr>
        <w:t xml:space="preserve"> </w:t>
      </w:r>
      <w:r w:rsidRPr="00802859">
        <w:rPr>
          <w:lang w:val="en-CA"/>
        </w:rPr>
        <w:t xml:space="preserve">is </w:t>
      </w:r>
      <w:r>
        <w:rPr>
          <w:lang w:val="en-CA"/>
        </w:rPr>
        <w:t xml:space="preserve">included in the estimated costs of the </w:t>
      </w:r>
      <w:r w:rsidR="006C65DE">
        <w:rPr>
          <w:lang w:val="en-CA"/>
        </w:rPr>
        <w:t>AT Solutions suite of services</w:t>
      </w:r>
      <w:r>
        <w:rPr>
          <w:lang w:val="en-CA"/>
        </w:rPr>
        <w:t xml:space="preserve"> and are </w:t>
      </w:r>
      <w:r w:rsidRPr="00802859">
        <w:rPr>
          <w:lang w:val="en-CA"/>
        </w:rPr>
        <w:t xml:space="preserve">recommended </w:t>
      </w:r>
      <w:r>
        <w:rPr>
          <w:lang w:val="en-CA"/>
        </w:rPr>
        <w:t>to be trialled in the AT pilot funded under the AT investment fund</w:t>
      </w:r>
      <w:r w:rsidRPr="00802859">
        <w:rPr>
          <w:lang w:val="en-CA"/>
        </w:rPr>
        <w:t xml:space="preserve"> (see </w:t>
      </w:r>
      <w:r w:rsidRPr="00802859">
        <w:rPr>
          <w:i/>
        </w:rPr>
        <w:t>Section </w:t>
      </w:r>
      <w:r w:rsidR="00E4319E">
        <w:rPr>
          <w:i/>
        </w:rPr>
        <w:fldChar w:fldCharType="begin"/>
      </w:r>
      <w:r w:rsidR="00E4319E">
        <w:rPr>
          <w:i/>
        </w:rPr>
        <w:instrText xml:space="preserve"> REF _Ref42674205 \r \h </w:instrText>
      </w:r>
      <w:r w:rsidR="00E4319E">
        <w:rPr>
          <w:i/>
        </w:rPr>
      </w:r>
      <w:r w:rsidR="00E4319E">
        <w:rPr>
          <w:i/>
        </w:rPr>
        <w:fldChar w:fldCharType="separate"/>
      </w:r>
      <w:r w:rsidR="00CC3F04">
        <w:rPr>
          <w:i/>
        </w:rPr>
        <w:t>4.3.5</w:t>
      </w:r>
      <w:r w:rsidR="00E4319E">
        <w:rPr>
          <w:i/>
        </w:rPr>
        <w:fldChar w:fldCharType="end"/>
      </w:r>
      <w:r w:rsidRPr="00802859">
        <w:rPr>
          <w:lang w:val="en-CA"/>
        </w:rPr>
        <w:t>)</w:t>
      </w:r>
      <w:r w:rsidR="00F80723">
        <w:rPr>
          <w:lang w:val="en-CA"/>
        </w:rPr>
        <w:t xml:space="preserve">. </w:t>
      </w:r>
      <w:r>
        <w:rPr>
          <w:lang w:val="en-CA"/>
        </w:rPr>
        <w:t>This would</w:t>
      </w:r>
      <w:r w:rsidR="00D10109">
        <w:rPr>
          <w:lang w:val="en-CA"/>
        </w:rPr>
        <w:t>,</w:t>
      </w:r>
      <w:r>
        <w:rPr>
          <w:lang w:val="en-CA"/>
        </w:rPr>
        <w:t xml:space="preserve"> for the first time assist the Department in building</w:t>
      </w:r>
      <w:r w:rsidRPr="00C66D0A">
        <w:rPr>
          <w:lang w:val="en-CA"/>
        </w:rPr>
        <w:t xml:space="preserve"> an evidence base</w:t>
      </w:r>
      <w:r>
        <w:rPr>
          <w:lang w:val="en-CA"/>
        </w:rPr>
        <w:t>—and designing future programs—</w:t>
      </w:r>
      <w:r w:rsidRPr="00C66D0A">
        <w:rPr>
          <w:lang w:val="en-CA"/>
        </w:rPr>
        <w:t>for AT</w:t>
      </w:r>
      <w:r>
        <w:rPr>
          <w:lang w:val="en-CA"/>
        </w:rPr>
        <w:t xml:space="preserve"> use </w:t>
      </w:r>
      <w:r w:rsidR="00D10109">
        <w:rPr>
          <w:lang w:val="en-CA"/>
        </w:rPr>
        <w:t xml:space="preserve">with </w:t>
      </w:r>
      <w:r>
        <w:rPr>
          <w:lang w:val="en-CA"/>
        </w:rPr>
        <w:t>ageing consumers</w:t>
      </w:r>
      <w:r w:rsidRPr="00C66D0A">
        <w:rPr>
          <w:lang w:val="en-CA"/>
        </w:rPr>
        <w:t>.</w:t>
      </w:r>
      <w:r w:rsidR="00EB38F4">
        <w:rPr>
          <w:lang w:val="en-CA"/>
        </w:rPr>
        <w:t xml:space="preserve"> This follow-up is also proposed as a strategy for reducing abandonment.</w:t>
      </w:r>
    </w:p>
    <w:p w14:paraId="3BCB219B" w14:textId="0240DFFD" w:rsidR="006D2AF2" w:rsidRPr="00736110" w:rsidRDefault="006D2AF2" w:rsidP="00143C46">
      <w:bookmarkStart w:id="229" w:name="_Ref42016691"/>
      <w:bookmarkStart w:id="230" w:name="_Toc59402403"/>
      <w:r w:rsidRPr="00736110">
        <w:lastRenderedPageBreak/>
        <w:t>Table </w:t>
      </w:r>
      <w:r w:rsidR="006870B9">
        <w:fldChar w:fldCharType="begin"/>
      </w:r>
      <w:r w:rsidR="006870B9">
        <w:instrText xml:space="preserve"> STYLEREF 1 \s </w:instrText>
      </w:r>
      <w:r w:rsidR="006870B9">
        <w:fldChar w:fldCharType="separate"/>
      </w:r>
      <w:r w:rsidR="00CC3F04">
        <w:rPr>
          <w:noProof/>
        </w:rPr>
        <w:t>4</w:t>
      </w:r>
      <w:r w:rsidR="006870B9">
        <w:fldChar w:fldCharType="end"/>
      </w:r>
      <w:r w:rsidR="003122D1">
        <w:t>-1</w:t>
      </w:r>
      <w:bookmarkEnd w:id="229"/>
      <w:r w:rsidRPr="00736110">
        <w:t>:</w:t>
      </w:r>
      <w:r w:rsidRPr="00736110">
        <w:tab/>
      </w:r>
      <w:r w:rsidR="00874A5D" w:rsidRPr="00736110">
        <w:t xml:space="preserve">Indicative </w:t>
      </w:r>
      <w:r w:rsidR="006C65DE" w:rsidRPr="00736110">
        <w:t>AT Solutions suite of services</w:t>
      </w:r>
      <w:r w:rsidR="00874A5D" w:rsidRPr="00736110">
        <w:t xml:space="preserve"> characteristics</w:t>
      </w:r>
      <w:bookmarkEnd w:id="230"/>
    </w:p>
    <w:tbl>
      <w:tblPr>
        <w:tblStyle w:val="AHALight"/>
        <w:tblW w:w="9639" w:type="dxa"/>
        <w:tblLook w:val="04A0" w:firstRow="1" w:lastRow="0" w:firstColumn="1" w:lastColumn="0" w:noHBand="0" w:noVBand="1"/>
        <w:tblCaption w:val="AT Solutions services"/>
        <w:tblDescription w:val="List of AT Solutions services and their respective characteristics"/>
      </w:tblPr>
      <w:tblGrid>
        <w:gridCol w:w="2043"/>
        <w:gridCol w:w="7596"/>
      </w:tblGrid>
      <w:tr w:rsidR="001C1126" w:rsidRPr="00FE0C2F" w14:paraId="59EC7F8F" w14:textId="77777777" w:rsidTr="00081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dxa"/>
          </w:tcPr>
          <w:p w14:paraId="4E3316F4" w14:textId="4098D1D1" w:rsidR="001C1126" w:rsidRPr="00F77F4D" w:rsidRDefault="001C1126" w:rsidP="0008190B">
            <w:pPr>
              <w:pStyle w:val="TableHeading1"/>
            </w:pPr>
            <w:r>
              <w:t>Service</w:t>
            </w:r>
          </w:p>
        </w:tc>
        <w:tc>
          <w:tcPr>
            <w:tcW w:w="7596" w:type="dxa"/>
          </w:tcPr>
          <w:p w14:paraId="19046D94" w14:textId="338D4997" w:rsidR="001C1126" w:rsidRPr="00EC401D" w:rsidRDefault="001C1126" w:rsidP="0008190B">
            <w:pPr>
              <w:pStyle w:val="TableHeading1"/>
              <w:cnfStyle w:val="100000000000" w:firstRow="1" w:lastRow="0" w:firstColumn="0" w:lastColumn="0" w:oddVBand="0" w:evenVBand="0" w:oddHBand="0" w:evenHBand="0" w:firstRowFirstColumn="0" w:firstRowLastColumn="0" w:lastRowFirstColumn="0" w:lastRowLastColumn="0"/>
              <w:rPr>
                <w:lang w:val="en-CA"/>
              </w:rPr>
            </w:pPr>
            <w:r>
              <w:rPr>
                <w:lang w:val="en-CA"/>
              </w:rPr>
              <w:t>Characteristics</w:t>
            </w:r>
          </w:p>
        </w:tc>
      </w:tr>
      <w:tr w:rsidR="001C1126" w:rsidRPr="00FE0C2F" w14:paraId="45B812AD" w14:textId="77777777" w:rsidTr="00081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dxa"/>
          </w:tcPr>
          <w:p w14:paraId="28FEB199" w14:textId="4C3A2311" w:rsidR="001C1126" w:rsidRPr="00EC401D" w:rsidRDefault="001C1126" w:rsidP="0008190B">
            <w:pPr>
              <w:pStyle w:val="TableHeading2Row"/>
              <w:rPr>
                <w:lang w:val="en-CA"/>
              </w:rPr>
            </w:pPr>
            <w:r w:rsidRPr="00F77F4D">
              <w:t>AT Solutions Website</w:t>
            </w:r>
          </w:p>
        </w:tc>
        <w:tc>
          <w:tcPr>
            <w:tcW w:w="7596" w:type="dxa"/>
          </w:tcPr>
          <w:p w14:paraId="0FBB8CF5" w14:textId="1C489EBE" w:rsidR="001C1126" w:rsidRPr="00DF4B0D" w:rsidRDefault="001C1126" w:rsidP="00715646">
            <w:pPr>
              <w:pStyle w:val="TableText"/>
              <w:cnfStyle w:val="000000100000" w:firstRow="0" w:lastRow="0" w:firstColumn="0" w:lastColumn="0" w:oddVBand="0" w:evenVBand="0" w:oddHBand="1" w:evenHBand="0" w:firstRowFirstColumn="0" w:firstRowLastColumn="0" w:lastRowFirstColumn="0" w:lastRowLastColumn="0"/>
            </w:pPr>
            <w:r w:rsidRPr="00EC401D">
              <w:rPr>
                <w:lang w:val="en-CA"/>
              </w:rPr>
              <w:t xml:space="preserve">AT Solutions website is designed to provide AT information and advice to older Australians to assist them to remain independent and living at home. The AT Solutions website could be designed to: </w:t>
            </w:r>
          </w:p>
          <w:p w14:paraId="291B55FE" w14:textId="59779906" w:rsidR="001C1126" w:rsidRPr="00DF4B0D" w:rsidRDefault="001C1126" w:rsidP="00715646">
            <w:pPr>
              <w:pStyle w:val="TableBullet1"/>
              <w:cnfStyle w:val="000000100000" w:firstRow="0" w:lastRow="0" w:firstColumn="0" w:lastColumn="0" w:oddVBand="0" w:evenVBand="0" w:oddHBand="1" w:evenHBand="0" w:firstRowFirstColumn="0" w:firstRowLastColumn="0" w:lastRowFirstColumn="0" w:lastRowLastColumn="0"/>
            </w:pPr>
            <w:r w:rsidRPr="00E8230C">
              <w:t xml:space="preserve">Provide information on AT strategies for older Australians, especially in relation to </w:t>
            </w:r>
            <w:r>
              <w:t>ADLs</w:t>
            </w:r>
            <w:r w:rsidRPr="00E8230C">
              <w:t xml:space="preserve"> </w:t>
            </w:r>
          </w:p>
          <w:p w14:paraId="18BEB396" w14:textId="5C366EB8" w:rsidR="001C1126" w:rsidRPr="00DF4B0D" w:rsidRDefault="001C1126" w:rsidP="00715646">
            <w:pPr>
              <w:pStyle w:val="TableBullet1"/>
              <w:cnfStyle w:val="000000100000" w:firstRow="0" w:lastRow="0" w:firstColumn="0" w:lastColumn="0" w:oddVBand="0" w:evenVBand="0" w:oddHBand="1" w:evenHBand="0" w:firstRowFirstColumn="0" w:firstRowLastColumn="0" w:lastRowFirstColumn="0" w:lastRowLastColumn="0"/>
            </w:pPr>
            <w:r w:rsidRPr="00E8230C">
              <w:t>Provide</w:t>
            </w:r>
            <w:r>
              <w:t xml:space="preserve"> a</w:t>
            </w:r>
            <w:r w:rsidRPr="00E8230C">
              <w:t xml:space="preserve"> </w:t>
            </w:r>
            <w:r>
              <w:t>Digital</w:t>
            </w:r>
            <w:r w:rsidRPr="00E8230C">
              <w:t xml:space="preserve"> AT Screening tool</w:t>
            </w:r>
            <w:r w:rsidRPr="00E8230C" w:rsidDel="00907782">
              <w:t xml:space="preserve"> </w:t>
            </w:r>
            <w:r w:rsidRPr="00E8230C">
              <w:t>that can guide consumers, through a series of question</w:t>
            </w:r>
            <w:r>
              <w:t>s</w:t>
            </w:r>
            <w:r w:rsidRPr="00E8230C">
              <w:t xml:space="preserve">, to AT products and services that will meet their needs </w:t>
            </w:r>
          </w:p>
          <w:p w14:paraId="66FC51D0" w14:textId="77777777" w:rsidR="001C1126" w:rsidRPr="00DF4B0D" w:rsidRDefault="001C1126" w:rsidP="00715646">
            <w:pPr>
              <w:pStyle w:val="TableBullet1"/>
              <w:cnfStyle w:val="000000100000" w:firstRow="0" w:lastRow="0" w:firstColumn="0" w:lastColumn="0" w:oddVBand="0" w:evenVBand="0" w:oddHBand="1" w:evenHBand="0" w:firstRowFirstColumn="0" w:firstRowLastColumn="0" w:lastRowFirstColumn="0" w:lastRowLastColumn="0"/>
            </w:pPr>
            <w:r w:rsidRPr="00E8230C">
              <w:t>Link consumers to information about AT product suppliers and services in their locality</w:t>
            </w:r>
          </w:p>
          <w:p w14:paraId="78DB8DF9" w14:textId="2154DF4D" w:rsidR="001C1126" w:rsidRPr="00DF4B0D" w:rsidRDefault="001C1126" w:rsidP="00715646">
            <w:pPr>
              <w:pStyle w:val="TableBullet1"/>
              <w:cnfStyle w:val="000000100000" w:firstRow="0" w:lastRow="0" w:firstColumn="0" w:lastColumn="0" w:oddVBand="0" w:evenVBand="0" w:oddHBand="1" w:evenHBand="0" w:firstRowFirstColumn="0" w:firstRowLastColumn="0" w:lastRowFirstColumn="0" w:lastRowLastColumn="0"/>
            </w:pPr>
            <w:r>
              <w:t>Include</w:t>
            </w:r>
            <w:r w:rsidRPr="00E8230C">
              <w:t xml:space="preserve"> a supplier portal that will enable suppliers to update products and prices (listing prices could be a condition of participation) to enable participants to search and compare prices. Alternatively, this could link to one or more ILC databases</w:t>
            </w:r>
          </w:p>
          <w:p w14:paraId="19E27B80" w14:textId="1DC92894" w:rsidR="001C1126" w:rsidRPr="00DF4B0D" w:rsidRDefault="001C1126" w:rsidP="00715646">
            <w:pPr>
              <w:pStyle w:val="TableBullet1"/>
              <w:cnfStyle w:val="000000100000" w:firstRow="0" w:lastRow="0" w:firstColumn="0" w:lastColumn="0" w:oddVBand="0" w:evenVBand="0" w:oddHBand="1" w:evenHBand="0" w:firstRowFirstColumn="0" w:firstRowLastColumn="0" w:lastRowFirstColumn="0" w:lastRowLastColumn="0"/>
            </w:pPr>
            <w:r w:rsidRPr="00E8230C">
              <w:t xml:space="preserve">Link consumers to information about </w:t>
            </w:r>
            <w:r>
              <w:t>other national and state</w:t>
            </w:r>
            <w:r w:rsidRPr="00E8230C">
              <w:t xml:space="preserve"> AT programs and subsidies</w:t>
            </w:r>
          </w:p>
          <w:p w14:paraId="20A8A2A9" w14:textId="4926748E" w:rsidR="001C1126" w:rsidRPr="00DF4B0D" w:rsidRDefault="001C1126" w:rsidP="00715646">
            <w:pPr>
              <w:pStyle w:val="TableBullet1"/>
              <w:cnfStyle w:val="000000100000" w:firstRow="0" w:lastRow="0" w:firstColumn="0" w:lastColumn="0" w:oddVBand="0" w:evenVBand="0" w:oddHBand="1" w:evenHBand="0" w:firstRowFirstColumn="0" w:firstRowLastColumn="0" w:lastRowFirstColumn="0" w:lastRowLastColumn="0"/>
            </w:pPr>
            <w:r w:rsidRPr="00E8230C">
              <w:t>Provide a resource for GPs and allied health professionals on AT product options and programs</w:t>
            </w:r>
            <w:r w:rsidRPr="00EC401D">
              <w:t>.</w:t>
            </w:r>
          </w:p>
          <w:p w14:paraId="70A003A0" w14:textId="145DFE91" w:rsidR="001C1126" w:rsidRPr="00C200CA" w:rsidRDefault="001C1126" w:rsidP="002E3A49">
            <w:pPr>
              <w:pStyle w:val="TableText"/>
              <w:cnfStyle w:val="000000100000" w:firstRow="0" w:lastRow="0" w:firstColumn="0" w:lastColumn="0" w:oddVBand="0" w:evenVBand="0" w:oddHBand="1" w:evenHBand="0" w:firstRowFirstColumn="0" w:firstRowLastColumn="0" w:lastRowFirstColumn="0" w:lastRowLastColumn="0"/>
            </w:pPr>
            <w:r w:rsidRPr="00EC401D">
              <w:rPr>
                <w:lang w:val="en-CA"/>
              </w:rPr>
              <w:t xml:space="preserve">This could be extended to have a </w:t>
            </w:r>
            <w:r>
              <w:rPr>
                <w:lang w:val="en-CA"/>
              </w:rPr>
              <w:t xml:space="preserve">wellness and </w:t>
            </w:r>
            <w:r w:rsidRPr="00EC401D">
              <w:rPr>
                <w:lang w:val="en-CA"/>
              </w:rPr>
              <w:t>reablement focus, which could also include rehabilitation and exercise strategies or links to approaches for ageing well that complement AT approaches</w:t>
            </w:r>
            <w:r>
              <w:rPr>
                <w:lang w:val="en-CA"/>
              </w:rPr>
              <w:t xml:space="preserve">. </w:t>
            </w:r>
          </w:p>
        </w:tc>
      </w:tr>
      <w:tr w:rsidR="001C1126" w:rsidRPr="00EF19D9" w14:paraId="6960BF22" w14:textId="77777777" w:rsidTr="0008190B">
        <w:tc>
          <w:tcPr>
            <w:cnfStyle w:val="001000000000" w:firstRow="0" w:lastRow="0" w:firstColumn="1" w:lastColumn="0" w:oddVBand="0" w:evenVBand="0" w:oddHBand="0" w:evenHBand="0" w:firstRowFirstColumn="0" w:firstRowLastColumn="0" w:lastRowFirstColumn="0" w:lastRowLastColumn="0"/>
            <w:tcW w:w="2043" w:type="dxa"/>
          </w:tcPr>
          <w:p w14:paraId="6ED96D05" w14:textId="2F42255B" w:rsidR="001C1126" w:rsidRPr="00EC401D" w:rsidRDefault="001C1126" w:rsidP="0008190B">
            <w:pPr>
              <w:pStyle w:val="TableHeading2Row"/>
            </w:pPr>
            <w:r w:rsidRPr="00E8230C">
              <w:t xml:space="preserve">AT Solutions </w:t>
            </w:r>
            <w:r>
              <w:t>App</w:t>
            </w:r>
          </w:p>
        </w:tc>
        <w:tc>
          <w:tcPr>
            <w:tcW w:w="7596" w:type="dxa"/>
          </w:tcPr>
          <w:p w14:paraId="622F3FC8" w14:textId="347104FF" w:rsidR="001C1126" w:rsidRPr="00715646" w:rsidRDefault="001C1126" w:rsidP="00715646">
            <w:pPr>
              <w:pStyle w:val="TableText"/>
              <w:cnfStyle w:val="000000000000" w:firstRow="0" w:lastRow="0" w:firstColumn="0" w:lastColumn="0" w:oddVBand="0" w:evenVBand="0" w:oddHBand="0" w:evenHBand="0" w:firstRowFirstColumn="0" w:firstRowLastColumn="0" w:lastRowFirstColumn="0" w:lastRowLastColumn="0"/>
            </w:pPr>
            <w:r w:rsidRPr="00EC401D">
              <w:t>The AT solutions app would be designed as a companion application with similar features to the website with a focus on the AT Screening assessment and links to local suppliers and providers, as detailed for the AT Solutions website, to display on a smart phone interface</w:t>
            </w:r>
            <w:r>
              <w:t>.</w:t>
            </w:r>
          </w:p>
          <w:p w14:paraId="4E673B74" w14:textId="13EC538D" w:rsidR="001C1126" w:rsidRPr="00EC401D" w:rsidRDefault="001C1126" w:rsidP="00715646">
            <w:pPr>
              <w:pStyle w:val="TableText"/>
              <w:cnfStyle w:val="000000000000" w:firstRow="0" w:lastRow="0" w:firstColumn="0" w:lastColumn="0" w:oddVBand="0" w:evenVBand="0" w:oddHBand="0" w:evenHBand="0" w:firstRowFirstColumn="0" w:firstRowLastColumn="0" w:lastRowFirstColumn="0" w:lastRowLastColumn="0"/>
              <w:rPr>
                <w:b/>
                <w:lang w:val="en-CA" w:eastAsia="en-AU"/>
              </w:rPr>
            </w:pPr>
            <w:r w:rsidRPr="00EC401D">
              <w:rPr>
                <w:lang w:val="en-CA"/>
              </w:rPr>
              <w:t>This could be extended to have a reablement focus, which could also include rehabilitation and exercise strategies or links to approaches for ageing well that complement AT approaches.</w:t>
            </w:r>
          </w:p>
        </w:tc>
      </w:tr>
      <w:tr w:rsidR="001C1126" w:rsidRPr="008779AA" w14:paraId="416E12A0" w14:textId="77777777" w:rsidTr="000819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dxa"/>
          </w:tcPr>
          <w:p w14:paraId="3287CE96" w14:textId="0CC4D403" w:rsidR="001C1126" w:rsidRPr="00EC401D" w:rsidRDefault="001C1126" w:rsidP="0008190B">
            <w:pPr>
              <w:pStyle w:val="TableHeading2Row"/>
            </w:pPr>
            <w:r w:rsidRPr="00E8230C">
              <w:t xml:space="preserve">AT Solutions </w:t>
            </w:r>
            <w:r>
              <w:t>Hotline</w:t>
            </w:r>
          </w:p>
        </w:tc>
        <w:tc>
          <w:tcPr>
            <w:tcW w:w="7596" w:type="dxa"/>
          </w:tcPr>
          <w:p w14:paraId="12B5F10D" w14:textId="6FFD7AE6" w:rsidR="001C1126" w:rsidRPr="00715646" w:rsidRDefault="001C1126" w:rsidP="001014AC">
            <w:pPr>
              <w:pStyle w:val="TableText"/>
              <w:cnfStyle w:val="000000100000" w:firstRow="0" w:lastRow="0" w:firstColumn="0" w:lastColumn="0" w:oddVBand="0" w:evenVBand="0" w:oddHBand="1" w:evenHBand="0" w:firstRowFirstColumn="0" w:firstRowLastColumn="0" w:lastRowFirstColumn="0" w:lastRowLastColumn="0"/>
            </w:pPr>
            <w:r w:rsidRPr="00EC401D">
              <w:t xml:space="preserve">The </w:t>
            </w:r>
            <w:r>
              <w:t>n</w:t>
            </w:r>
            <w:r w:rsidRPr="00EC401D">
              <w:t xml:space="preserve">ational hotline would provide a call centre to respond to consumers and health professionals’ enquiries from the AT Solutions </w:t>
            </w:r>
            <w:r>
              <w:t>website, App</w:t>
            </w:r>
            <w:r w:rsidRPr="00EC401D">
              <w:t xml:space="preserve"> and phone call enquiries during business hours 8am to 5pm Mon to Friday</w:t>
            </w:r>
            <w:r>
              <w:t>. Features could include:</w:t>
            </w:r>
            <w:r w:rsidR="00410F76">
              <w:t xml:space="preserve"> </w:t>
            </w:r>
          </w:p>
          <w:p w14:paraId="0A6288E8" w14:textId="0FF3A920" w:rsidR="001C1126" w:rsidRPr="005E7096" w:rsidRDefault="001C1126" w:rsidP="006D2AF2">
            <w:pPr>
              <w:pStyle w:val="TableBullet1"/>
              <w:cnfStyle w:val="000000100000" w:firstRow="0" w:lastRow="0" w:firstColumn="0" w:lastColumn="0" w:oddVBand="0" w:evenVBand="0" w:oddHBand="1" w:evenHBand="0" w:firstRowFirstColumn="0" w:firstRowLastColumn="0" w:lastRowFirstColumn="0" w:lastRowLastColumn="0"/>
            </w:pPr>
            <w:r w:rsidRPr="00EC401D">
              <w:t>Support by trained AT consultants and Allied Health professionals</w:t>
            </w:r>
            <w:r>
              <w:t>, who could respond to m</w:t>
            </w:r>
            <w:r w:rsidRPr="00EC401D">
              <w:t xml:space="preserve">ore complex calls </w:t>
            </w:r>
            <w:r>
              <w:t>and</w:t>
            </w:r>
            <w:r w:rsidRPr="00B948E2">
              <w:t xml:space="preserve"> queries from Allied Health Professionals seeking </w:t>
            </w:r>
            <w:r>
              <w:t xml:space="preserve">specialised </w:t>
            </w:r>
            <w:r w:rsidRPr="00B948E2">
              <w:t>AT advice</w:t>
            </w:r>
            <w:r w:rsidR="00F72E3B">
              <w:t>.</w:t>
            </w:r>
            <w:r w:rsidRPr="00B948E2">
              <w:t xml:space="preserve"> </w:t>
            </w:r>
          </w:p>
          <w:p w14:paraId="5353659D" w14:textId="4128825C" w:rsidR="001C1126" w:rsidRPr="00EC401D" w:rsidRDefault="001C1126" w:rsidP="006D2AF2">
            <w:pPr>
              <w:pStyle w:val="TableBullet1"/>
              <w:cnfStyle w:val="000000100000" w:firstRow="0" w:lastRow="0" w:firstColumn="0" w:lastColumn="0" w:oddVBand="0" w:evenVBand="0" w:oddHBand="1" w:evenHBand="0" w:firstRowFirstColumn="0" w:firstRowLastColumn="0" w:lastRowFirstColumn="0" w:lastRowLastColumn="0"/>
              <w:rPr>
                <w:b/>
              </w:rPr>
            </w:pPr>
            <w:r w:rsidRPr="00EC401D">
              <w:t xml:space="preserve">Links </w:t>
            </w:r>
            <w:r>
              <w:t>from the</w:t>
            </w:r>
            <w:r w:rsidRPr="00EC401D">
              <w:t xml:space="preserve"> existing My Aged Care website and My Aged Care call centre to divert </w:t>
            </w:r>
            <w:r>
              <w:t>consumer</w:t>
            </w:r>
            <w:r w:rsidRPr="00EC401D">
              <w:t xml:space="preserve">s who do not need My Aged Care services to the </w:t>
            </w:r>
            <w:r>
              <w:t>hotline</w:t>
            </w:r>
            <w:r w:rsidRPr="00EC401D">
              <w:t>.</w:t>
            </w:r>
          </w:p>
        </w:tc>
      </w:tr>
    </w:tbl>
    <w:p w14:paraId="28F42346" w14:textId="77777777" w:rsidR="0008190B" w:rsidRPr="0008190B" w:rsidRDefault="0008190B" w:rsidP="0008190B">
      <w:pPr>
        <w:rPr>
          <w:rFonts w:eastAsia="Arial Unicode MS"/>
        </w:rPr>
      </w:pPr>
      <w:r w:rsidRPr="0008190B">
        <w:br w:type="page"/>
      </w:r>
    </w:p>
    <w:p w14:paraId="5508EE4E" w14:textId="6FABB2B8" w:rsidR="008A3448" w:rsidRPr="00805DBA" w:rsidRDefault="008A3448" w:rsidP="00805DBA">
      <w:pPr>
        <w:pStyle w:val="Heading3"/>
      </w:pPr>
      <w:r w:rsidRPr="00805DBA">
        <w:lastRenderedPageBreak/>
        <w:t>Expanded range of AT products</w:t>
      </w:r>
    </w:p>
    <w:p w14:paraId="52AB0E30" w14:textId="77777777" w:rsidR="008A3448" w:rsidRPr="00BA0667" w:rsidRDefault="008A3448" w:rsidP="00B74D60">
      <w:pPr>
        <w:pStyle w:val="Heading4"/>
        <w:rPr>
          <w:lang w:val="en-CA"/>
        </w:rPr>
      </w:pPr>
      <w:r w:rsidRPr="00BA0667">
        <w:rPr>
          <w:lang w:val="en-CA"/>
        </w:rPr>
        <w:t xml:space="preserve">ADL Kits </w:t>
      </w:r>
    </w:p>
    <w:p w14:paraId="71C35B9A" w14:textId="7A3BACBE" w:rsidR="001245C0" w:rsidRPr="001245C0" w:rsidRDefault="008C6C8F" w:rsidP="001245C0">
      <w:pPr>
        <w:pStyle w:val="Paragraph"/>
        <w:rPr>
          <w:lang w:eastAsia="en-AU"/>
        </w:rPr>
      </w:pPr>
      <w:r>
        <w:rPr>
          <w:lang w:val="en-CA" w:eastAsia="en-AU"/>
        </w:rPr>
        <w:t xml:space="preserve">A centrepiece of the new AT </w:t>
      </w:r>
      <w:r w:rsidR="0086412F">
        <w:rPr>
          <w:lang w:val="en-CA" w:eastAsia="en-AU"/>
        </w:rPr>
        <w:t xml:space="preserve">framework </w:t>
      </w:r>
      <w:r>
        <w:rPr>
          <w:lang w:val="en-CA" w:eastAsia="en-AU"/>
        </w:rPr>
        <w:t xml:space="preserve">are </w:t>
      </w:r>
      <w:r w:rsidR="00F553BD">
        <w:rPr>
          <w:lang w:val="en-CA" w:eastAsia="en-AU"/>
        </w:rPr>
        <w:t>ADL</w:t>
      </w:r>
      <w:r>
        <w:rPr>
          <w:lang w:val="en-CA" w:eastAsia="en-AU"/>
        </w:rPr>
        <w:t xml:space="preserve"> kits</w:t>
      </w:r>
      <w:r w:rsidR="001245C0">
        <w:rPr>
          <w:lang w:val="en-CA" w:eastAsia="en-AU"/>
        </w:rPr>
        <w:t>—selected by a</w:t>
      </w:r>
      <w:r w:rsidR="001245C0" w:rsidRPr="001245C0">
        <w:rPr>
          <w:lang w:val="en-CA" w:eastAsia="en-AU"/>
        </w:rPr>
        <w:t xml:space="preserve">n expert panel of clinicians including OTs and </w:t>
      </w:r>
      <w:r w:rsidR="00550825">
        <w:rPr>
          <w:lang w:val="en-CA" w:eastAsia="en-AU"/>
        </w:rPr>
        <w:t>p</w:t>
      </w:r>
      <w:r w:rsidR="00550825" w:rsidRPr="001245C0">
        <w:rPr>
          <w:lang w:val="en-CA" w:eastAsia="en-AU"/>
        </w:rPr>
        <w:t>hysiotherapists</w:t>
      </w:r>
      <w:r w:rsidR="001245C0">
        <w:rPr>
          <w:lang w:val="en-CA" w:eastAsia="en-AU"/>
        </w:rPr>
        <w:t>.</w:t>
      </w:r>
      <w:r w:rsidR="001245C0" w:rsidRPr="001245C0">
        <w:rPr>
          <w:lang w:val="en-CA" w:eastAsia="en-AU"/>
        </w:rPr>
        <w:t xml:space="preserve"> </w:t>
      </w:r>
      <w:r w:rsidR="001B038F">
        <w:rPr>
          <w:lang w:val="en-CA" w:eastAsia="en-AU"/>
        </w:rPr>
        <w:t xml:space="preserve">Kits are proposed </w:t>
      </w:r>
      <w:r w:rsidR="008E4ACF">
        <w:rPr>
          <w:lang w:val="en-CA" w:eastAsia="en-AU"/>
        </w:rPr>
        <w:t xml:space="preserve">because </w:t>
      </w:r>
      <w:r w:rsidR="001B038F">
        <w:rPr>
          <w:lang w:val="en-CA" w:eastAsia="en-AU"/>
        </w:rPr>
        <w:t>they reflect the increasing recognition that ageing consumers</w:t>
      </w:r>
      <w:r w:rsidR="001B038F" w:rsidRPr="001B038F">
        <w:rPr>
          <w:lang w:eastAsia="en-AU"/>
        </w:rPr>
        <w:t xml:space="preserve"> usually require multiple AT products</w:t>
      </w:r>
      <w:r w:rsidR="001B038F">
        <w:rPr>
          <w:lang w:eastAsia="en-AU"/>
        </w:rPr>
        <w:t>, in addition to</w:t>
      </w:r>
      <w:r w:rsidR="001B038F" w:rsidRPr="001B038F">
        <w:rPr>
          <w:lang w:eastAsia="en-AU"/>
        </w:rPr>
        <w:t xml:space="preserve"> related supports such as reablement strategies.</w:t>
      </w:r>
      <w:r w:rsidR="001B038F">
        <w:rPr>
          <w:lang w:eastAsia="en-AU"/>
        </w:rPr>
        <w:t xml:space="preserve"> Each </w:t>
      </w:r>
      <w:r w:rsidR="001245C0">
        <w:rPr>
          <w:lang w:val="en-CA" w:eastAsia="en-AU"/>
        </w:rPr>
        <w:t>ADL kit consist</w:t>
      </w:r>
      <w:r w:rsidR="001B038F">
        <w:rPr>
          <w:lang w:val="en-CA" w:eastAsia="en-AU"/>
        </w:rPr>
        <w:t>s</w:t>
      </w:r>
      <w:r w:rsidR="001245C0">
        <w:rPr>
          <w:lang w:val="en-CA" w:eastAsia="en-AU"/>
        </w:rPr>
        <w:t xml:space="preserve"> of a number of low-level AT products that often go hand-in-hand: for instance, a consumer with arthritis that has difficulty turning taps most probably also could benefit from a jar opener</w:t>
      </w:r>
      <w:r w:rsidR="00F80723">
        <w:rPr>
          <w:lang w:val="en-CA" w:eastAsia="en-AU"/>
        </w:rPr>
        <w:t xml:space="preserve">. </w:t>
      </w:r>
    </w:p>
    <w:p w14:paraId="06A5D5A9" w14:textId="5913C1D5" w:rsidR="008C6C8F" w:rsidRDefault="008C6C8F" w:rsidP="008C6C8F">
      <w:pPr>
        <w:pStyle w:val="Paragraph"/>
        <w:rPr>
          <w:lang w:val="en-CA" w:eastAsia="en-AU"/>
        </w:rPr>
      </w:pPr>
      <w:r>
        <w:rPr>
          <w:lang w:val="en-CA" w:eastAsia="en-AU"/>
        </w:rPr>
        <w:t>Six ADL kits are proposed</w:t>
      </w:r>
      <w:r w:rsidR="00833CBA">
        <w:rPr>
          <w:lang w:val="en-CA" w:eastAsia="en-AU"/>
        </w:rPr>
        <w:t xml:space="preserve"> to be funded by the program</w:t>
      </w:r>
      <w:r>
        <w:rPr>
          <w:lang w:val="en-CA" w:eastAsia="en-AU"/>
        </w:rPr>
        <w:t>—Bathing, Cleaning, Dressing, Eating and Drinking, Food Preparation and Laundry kits</w:t>
      </w:r>
      <w:r w:rsidR="00CA5F40">
        <w:rPr>
          <w:lang w:val="en-CA" w:eastAsia="en-AU"/>
        </w:rPr>
        <w:t xml:space="preserve"> (</w:t>
      </w:r>
      <w:r w:rsidR="00CA5F40" w:rsidRPr="00CA5F40">
        <w:rPr>
          <w:i/>
          <w:iCs/>
          <w:lang w:val="en-CA" w:eastAsia="en-AU"/>
        </w:rPr>
        <w:t>Section</w:t>
      </w:r>
      <w:r w:rsidR="006060A7">
        <w:rPr>
          <w:i/>
          <w:iCs/>
          <w:lang w:val="en-CA" w:eastAsia="en-AU"/>
        </w:rPr>
        <w:t> </w:t>
      </w:r>
      <w:r w:rsidR="00FF310C">
        <w:rPr>
          <w:i/>
          <w:iCs/>
          <w:lang w:val="en-CA" w:eastAsia="en-AU"/>
        </w:rPr>
        <w:fldChar w:fldCharType="begin"/>
      </w:r>
      <w:r w:rsidR="00FF310C">
        <w:rPr>
          <w:i/>
          <w:iCs/>
          <w:lang w:val="en-CA" w:eastAsia="en-AU"/>
        </w:rPr>
        <w:instrText xml:space="preserve"> REF _Ref42674301 \r \h </w:instrText>
      </w:r>
      <w:r w:rsidR="00FF310C">
        <w:rPr>
          <w:i/>
          <w:iCs/>
          <w:lang w:val="en-CA" w:eastAsia="en-AU"/>
        </w:rPr>
      </w:r>
      <w:r w:rsidR="00FF310C">
        <w:rPr>
          <w:i/>
          <w:iCs/>
          <w:lang w:val="en-CA" w:eastAsia="en-AU"/>
        </w:rPr>
        <w:fldChar w:fldCharType="separate"/>
      </w:r>
      <w:r w:rsidR="00CC3F04">
        <w:rPr>
          <w:i/>
          <w:iCs/>
          <w:lang w:val="en-CA" w:eastAsia="en-AU"/>
        </w:rPr>
        <w:t>0</w:t>
      </w:r>
      <w:r w:rsidR="00FF310C">
        <w:rPr>
          <w:i/>
          <w:iCs/>
          <w:lang w:val="en-CA" w:eastAsia="en-AU"/>
        </w:rPr>
        <w:fldChar w:fldCharType="end"/>
      </w:r>
      <w:r w:rsidR="00CA5F40">
        <w:rPr>
          <w:lang w:val="en-CA" w:eastAsia="en-AU"/>
        </w:rPr>
        <w:t>)</w:t>
      </w:r>
      <w:r w:rsidR="00F80723">
        <w:rPr>
          <w:lang w:val="en-CA" w:eastAsia="en-AU"/>
        </w:rPr>
        <w:t xml:space="preserve">. </w:t>
      </w:r>
    </w:p>
    <w:p w14:paraId="23026DDE" w14:textId="38900A2B" w:rsidR="008C6C8F" w:rsidRDefault="008C6C8F" w:rsidP="00B74D60">
      <w:pPr>
        <w:pStyle w:val="ParaKeep"/>
        <w:rPr>
          <w:lang w:val="en-CA" w:eastAsia="en-AU"/>
        </w:rPr>
      </w:pPr>
      <w:r>
        <w:rPr>
          <w:lang w:val="en-CA" w:eastAsia="en-AU"/>
        </w:rPr>
        <w:t xml:space="preserve">These ADL kits </w:t>
      </w:r>
      <w:r w:rsidR="001B038F">
        <w:rPr>
          <w:lang w:val="en-CA" w:eastAsia="en-AU"/>
        </w:rPr>
        <w:t>w</w:t>
      </w:r>
      <w:r>
        <w:rPr>
          <w:lang w:val="en-CA" w:eastAsia="en-AU"/>
        </w:rPr>
        <w:t xml:space="preserve">ould be provided to consumers: </w:t>
      </w:r>
    </w:p>
    <w:p w14:paraId="2F3D9D57" w14:textId="36E1DA33" w:rsidR="008C6C8F" w:rsidRDefault="00915A83" w:rsidP="008C6C8F">
      <w:pPr>
        <w:pStyle w:val="Bullet1"/>
        <w:numPr>
          <w:ilvl w:val="0"/>
          <w:numId w:val="2"/>
        </w:numPr>
        <w:rPr>
          <w:lang w:val="en-CA"/>
        </w:rPr>
      </w:pPr>
      <w:r>
        <w:t>Outside</w:t>
      </w:r>
      <w:r w:rsidR="008C6C8F">
        <w:rPr>
          <w:lang w:val="en-CA"/>
        </w:rPr>
        <w:t xml:space="preserve"> of aged care </w:t>
      </w:r>
      <w:bookmarkStart w:id="231" w:name="_Hlk42065406"/>
      <w:r w:rsidR="008C6C8F">
        <w:rPr>
          <w:lang w:val="en-CA"/>
        </w:rPr>
        <w:t xml:space="preserve">who could benefit from AT in one of the six ADLs above, </w:t>
      </w:r>
      <w:bookmarkEnd w:id="231"/>
      <w:r w:rsidR="008C6C8F">
        <w:rPr>
          <w:lang w:val="en-CA"/>
        </w:rPr>
        <w:t xml:space="preserve">following a </w:t>
      </w:r>
      <w:r w:rsidR="00781D37">
        <w:rPr>
          <w:lang w:val="en-CA"/>
        </w:rPr>
        <w:t>Digital</w:t>
      </w:r>
      <w:r w:rsidR="008C6C8F">
        <w:rPr>
          <w:lang w:val="en-CA"/>
        </w:rPr>
        <w:t xml:space="preserve"> AT screen by AT Solutions hotline staff</w:t>
      </w:r>
      <w:r w:rsidR="00F72E3B">
        <w:rPr>
          <w:lang w:val="en-CA"/>
        </w:rPr>
        <w:t>.</w:t>
      </w:r>
    </w:p>
    <w:p w14:paraId="69C9D537" w14:textId="00ED45C3" w:rsidR="008C6C8F" w:rsidRDefault="008C6C8F" w:rsidP="008C6C8F">
      <w:pPr>
        <w:pStyle w:val="Bullet1"/>
        <w:numPr>
          <w:ilvl w:val="0"/>
          <w:numId w:val="2"/>
        </w:numPr>
        <w:rPr>
          <w:lang w:val="en-CA"/>
        </w:rPr>
      </w:pPr>
      <w:r>
        <w:rPr>
          <w:lang w:val="en-CA"/>
        </w:rPr>
        <w:t xml:space="preserve">Inside the aged care system </w:t>
      </w:r>
      <w:r w:rsidRPr="001F2CC2">
        <w:rPr>
          <w:lang w:val="en-CA"/>
        </w:rPr>
        <w:t xml:space="preserve">who could benefit from AT in one of the six ADLs above, </w:t>
      </w:r>
      <w:r>
        <w:rPr>
          <w:lang w:val="en-CA"/>
        </w:rPr>
        <w:t>following a RAS or ACAT assessment</w:t>
      </w:r>
      <w:r w:rsidR="00F72E3B">
        <w:rPr>
          <w:lang w:val="en-CA"/>
        </w:rPr>
        <w:t>.</w:t>
      </w:r>
    </w:p>
    <w:p w14:paraId="110E81D7" w14:textId="19C889AD" w:rsidR="00310E58" w:rsidRDefault="00310E58" w:rsidP="00B74D60">
      <w:pPr>
        <w:pStyle w:val="ParaKeep"/>
        <w:rPr>
          <w:lang w:val="en-CA" w:eastAsia="en-AU"/>
        </w:rPr>
      </w:pPr>
      <w:r>
        <w:rPr>
          <w:lang w:val="en-CA" w:eastAsia="en-AU"/>
        </w:rPr>
        <w:t xml:space="preserve">Costed options in this model </w:t>
      </w:r>
      <w:r w:rsidR="001A7747">
        <w:rPr>
          <w:lang w:val="en-CA" w:eastAsia="en-AU"/>
        </w:rPr>
        <w:t>i</w:t>
      </w:r>
      <w:r>
        <w:rPr>
          <w:lang w:val="en-CA" w:eastAsia="en-AU"/>
        </w:rPr>
        <w:t xml:space="preserve">nclude the costs of ADL kits for: </w:t>
      </w:r>
    </w:p>
    <w:p w14:paraId="7497D385" w14:textId="77777777" w:rsidR="00310E58" w:rsidRDefault="00310E58" w:rsidP="005C1C72">
      <w:pPr>
        <w:pStyle w:val="Bullet1"/>
        <w:rPr>
          <w:lang w:val="en-CA"/>
        </w:rPr>
      </w:pPr>
      <w:r>
        <w:rPr>
          <w:lang w:val="en-CA"/>
        </w:rPr>
        <w:t xml:space="preserve">Consumers outside of aged care </w:t>
      </w:r>
    </w:p>
    <w:p w14:paraId="7F9A7AEA" w14:textId="77777777" w:rsidR="00310E58" w:rsidRDefault="00310E58" w:rsidP="005C1C72">
      <w:pPr>
        <w:pStyle w:val="Bullet1"/>
        <w:rPr>
          <w:lang w:val="en-CA"/>
        </w:rPr>
      </w:pPr>
      <w:r>
        <w:rPr>
          <w:lang w:val="en-CA"/>
        </w:rPr>
        <w:t xml:space="preserve">All CHSP reablement consumers </w:t>
      </w:r>
    </w:p>
    <w:p w14:paraId="646A6EE6" w14:textId="77777777" w:rsidR="00310E58" w:rsidRDefault="00310E58" w:rsidP="005C1C72">
      <w:pPr>
        <w:pStyle w:val="Bullet1"/>
        <w:rPr>
          <w:lang w:val="en-CA"/>
        </w:rPr>
      </w:pPr>
      <w:r>
        <w:rPr>
          <w:lang w:val="en-CA"/>
        </w:rPr>
        <w:t>All new CHSP consumers</w:t>
      </w:r>
    </w:p>
    <w:p w14:paraId="622D4C30" w14:textId="2F9FF687" w:rsidR="007C5E4A" w:rsidRDefault="00310E58" w:rsidP="005C1C72">
      <w:pPr>
        <w:pStyle w:val="Bullet1"/>
        <w:rPr>
          <w:lang w:val="en-CA"/>
        </w:rPr>
      </w:pPr>
      <w:r>
        <w:rPr>
          <w:lang w:val="en-CA"/>
        </w:rPr>
        <w:t xml:space="preserve">All new HCP Level 1 and 2 consumers. </w:t>
      </w:r>
    </w:p>
    <w:p w14:paraId="26C16685" w14:textId="77777777" w:rsidR="007C5E4A" w:rsidRDefault="007C5E4A">
      <w:pPr>
        <w:rPr>
          <w:lang w:val="en-CA" w:eastAsia="en-AU"/>
        </w:rPr>
      </w:pPr>
      <w:r>
        <w:rPr>
          <w:lang w:val="en-CA"/>
        </w:rPr>
        <w:br w:type="page"/>
      </w:r>
    </w:p>
    <w:p w14:paraId="7E2B1871" w14:textId="13973DC8" w:rsidR="008A3448" w:rsidRPr="00D45973" w:rsidRDefault="008A3448" w:rsidP="00B74D60">
      <w:pPr>
        <w:pStyle w:val="Heading3"/>
        <w:rPr>
          <w:lang w:val="en-CA"/>
        </w:rPr>
      </w:pPr>
      <w:r w:rsidRPr="00D45973">
        <w:rPr>
          <w:lang w:val="en-CA"/>
        </w:rPr>
        <w:lastRenderedPageBreak/>
        <w:t xml:space="preserve">Expanded categories of </w:t>
      </w:r>
      <w:r w:rsidR="001B038F">
        <w:rPr>
          <w:lang w:val="en-CA"/>
        </w:rPr>
        <w:t xml:space="preserve">AT </w:t>
      </w:r>
      <w:r w:rsidRPr="00D45973">
        <w:rPr>
          <w:lang w:val="en-CA"/>
        </w:rPr>
        <w:t>products</w:t>
      </w:r>
    </w:p>
    <w:p w14:paraId="3CAB45A1" w14:textId="7AADCB71" w:rsidR="00E35108" w:rsidRPr="00074C85" w:rsidRDefault="00E35108" w:rsidP="000461A1">
      <w:pPr>
        <w:pStyle w:val="ParaKeep"/>
        <w:rPr>
          <w:lang w:val="en-CA" w:eastAsia="en-AU"/>
        </w:rPr>
      </w:pPr>
      <w:r>
        <w:rPr>
          <w:lang w:val="en-CA" w:eastAsia="en-AU"/>
        </w:rPr>
        <w:t xml:space="preserve">In addition to the low-level AT provided in the ADL kits, there is also an opportunity to expand the range of AT products that are funded under the existing CHSP </w:t>
      </w:r>
      <w:r w:rsidR="005B4896">
        <w:rPr>
          <w:lang w:val="en-CA" w:eastAsia="en-AU"/>
        </w:rPr>
        <w:t xml:space="preserve">Goods, Equipment and AT </w:t>
      </w:r>
      <w:r w:rsidR="007039B5">
        <w:rPr>
          <w:lang w:val="en-CA" w:eastAsia="en-AU"/>
        </w:rPr>
        <w:t xml:space="preserve">service </w:t>
      </w:r>
      <w:r w:rsidR="00F72E3B">
        <w:rPr>
          <w:lang w:val="en-CA" w:eastAsia="en-AU"/>
        </w:rPr>
        <w:t>type</w:t>
      </w:r>
      <w:r w:rsidR="00F80723">
        <w:rPr>
          <w:lang w:val="en-CA" w:eastAsia="en-AU"/>
        </w:rPr>
        <w:t xml:space="preserve">. </w:t>
      </w:r>
      <w:r>
        <w:rPr>
          <w:lang w:val="en-CA" w:eastAsia="en-AU"/>
        </w:rPr>
        <w:t xml:space="preserve">Comparison with the international standard of AT (AS/ISO </w:t>
      </w:r>
      <w:r w:rsidRPr="00971931">
        <w:rPr>
          <w:lang w:val="en-CA" w:eastAsia="en-AU"/>
        </w:rPr>
        <w:t>9999</w:t>
      </w:r>
      <w:r>
        <w:rPr>
          <w:lang w:val="en-CA" w:eastAsia="en-AU"/>
        </w:rPr>
        <w:t xml:space="preserve"> which</w:t>
      </w:r>
      <w:r w:rsidRPr="00971931">
        <w:rPr>
          <w:lang w:val="en-CA" w:eastAsia="en-AU"/>
        </w:rPr>
        <w:t xml:space="preserve"> categoris</w:t>
      </w:r>
      <w:r>
        <w:rPr>
          <w:lang w:val="en-CA" w:eastAsia="en-AU"/>
        </w:rPr>
        <w:t xml:space="preserve">es </w:t>
      </w:r>
      <w:r w:rsidRPr="00971931">
        <w:rPr>
          <w:lang w:val="en-CA" w:eastAsia="en-AU"/>
        </w:rPr>
        <w:t>Assistive products</w:t>
      </w:r>
      <w:r>
        <w:rPr>
          <w:lang w:val="en-CA" w:eastAsia="en-AU"/>
        </w:rPr>
        <w:t xml:space="preserve"> internationally) found that while the </w:t>
      </w:r>
      <w:r w:rsidR="007039B5">
        <w:rPr>
          <w:lang w:val="en-CA" w:eastAsia="en-AU"/>
        </w:rPr>
        <w:t>Good, Equipment and AT</w:t>
      </w:r>
      <w:r>
        <w:rPr>
          <w:lang w:val="en-CA" w:eastAsia="en-AU"/>
        </w:rPr>
        <w:t xml:space="preserve"> </w:t>
      </w:r>
      <w:r w:rsidR="007039B5">
        <w:rPr>
          <w:lang w:val="en-CA" w:eastAsia="en-AU"/>
        </w:rPr>
        <w:t xml:space="preserve">service </w:t>
      </w:r>
      <w:r w:rsidR="00F72E3B">
        <w:rPr>
          <w:lang w:val="en-CA" w:eastAsia="en-AU"/>
        </w:rPr>
        <w:t>type</w:t>
      </w:r>
      <w:r w:rsidR="007039B5">
        <w:rPr>
          <w:lang w:val="en-CA" w:eastAsia="en-AU"/>
        </w:rPr>
        <w:t xml:space="preserve"> </w:t>
      </w:r>
      <w:r>
        <w:rPr>
          <w:lang w:val="en-CA" w:eastAsia="en-AU"/>
        </w:rPr>
        <w:t xml:space="preserve">provides funding for AT under most categories, it did not explicitly </w:t>
      </w:r>
      <w:r w:rsidR="007039B5">
        <w:rPr>
          <w:lang w:val="en-CA" w:eastAsia="en-AU"/>
        </w:rPr>
        <w:t>cover</w:t>
      </w:r>
      <w:r>
        <w:rPr>
          <w:lang w:val="en-CA" w:eastAsia="en-AU"/>
        </w:rPr>
        <w:t xml:space="preserve"> all categories</w:t>
      </w:r>
      <w:r w:rsidR="00F80723">
        <w:rPr>
          <w:lang w:val="en-CA" w:eastAsia="en-AU"/>
        </w:rPr>
        <w:t xml:space="preserve">. </w:t>
      </w:r>
      <w:r>
        <w:rPr>
          <w:lang w:val="en-CA" w:eastAsia="en-AU"/>
        </w:rPr>
        <w:t xml:space="preserve">Missing </w:t>
      </w:r>
      <w:r w:rsidR="005B4896" w:rsidRPr="00971931">
        <w:rPr>
          <w:lang w:eastAsia="en-AU"/>
        </w:rPr>
        <w:t>categories</w:t>
      </w:r>
      <w:r w:rsidRPr="00971931">
        <w:rPr>
          <w:lang w:eastAsia="en-AU"/>
        </w:rPr>
        <w:t xml:space="preserve"> </w:t>
      </w:r>
      <w:r>
        <w:rPr>
          <w:lang w:eastAsia="en-AU"/>
        </w:rPr>
        <w:t xml:space="preserve">of AT </w:t>
      </w:r>
      <w:r w:rsidRPr="00971931">
        <w:rPr>
          <w:lang w:eastAsia="en-AU"/>
        </w:rPr>
        <w:t>include:</w:t>
      </w:r>
    </w:p>
    <w:p w14:paraId="119B1452" w14:textId="77777777" w:rsidR="00E35108" w:rsidRPr="00971931" w:rsidRDefault="00E35108" w:rsidP="000461A1">
      <w:pPr>
        <w:pStyle w:val="Bullet1"/>
      </w:pPr>
      <w:r w:rsidRPr="00971931">
        <w:t>AT to enhance home safety, including rug fasteners, wall bumpers and falls prevention measures such as safety treads</w:t>
      </w:r>
    </w:p>
    <w:p w14:paraId="056757AC" w14:textId="77777777" w:rsidR="00E35108" w:rsidRPr="00971931" w:rsidRDefault="00E35108" w:rsidP="000461A1">
      <w:pPr>
        <w:pStyle w:val="Bullet1"/>
      </w:pPr>
      <w:r w:rsidRPr="00971931">
        <w:t>AT for domestic activities, including cleaning and outdoor maintenance</w:t>
      </w:r>
    </w:p>
    <w:p w14:paraId="689B18B4" w14:textId="77777777" w:rsidR="00E35108" w:rsidRDefault="00E35108" w:rsidP="000461A1">
      <w:pPr>
        <w:pStyle w:val="Bullet1"/>
        <w:rPr>
          <w:lang w:val="en-CA"/>
        </w:rPr>
      </w:pPr>
      <w:r w:rsidRPr="00971931">
        <w:t>AT for postural support, including chair raisers and bed transfer aids.</w:t>
      </w:r>
    </w:p>
    <w:p w14:paraId="7C171C72" w14:textId="46B0FD91" w:rsidR="005B4279" w:rsidRPr="008652B8" w:rsidRDefault="005B4279" w:rsidP="008652B8">
      <w:pPr>
        <w:pStyle w:val="ParaKeep"/>
        <w:rPr>
          <w:lang w:val="en-CA" w:eastAsia="en-AU"/>
        </w:rPr>
      </w:pPr>
      <w:r w:rsidRPr="005B4279">
        <w:rPr>
          <w:i/>
          <w:iCs/>
          <w:lang w:val="en-CA" w:eastAsia="en-AU"/>
        </w:rPr>
        <w:fldChar w:fldCharType="begin"/>
      </w:r>
      <w:r w:rsidRPr="005B4279">
        <w:rPr>
          <w:i/>
          <w:iCs/>
          <w:lang w:val="en-CA" w:eastAsia="en-AU"/>
        </w:rPr>
        <w:instrText xml:space="preserve"> REF _Ref42582400 \h </w:instrText>
      </w:r>
      <w:r>
        <w:rPr>
          <w:i/>
          <w:iCs/>
          <w:lang w:val="en-CA" w:eastAsia="en-AU"/>
        </w:rPr>
        <w:instrText xml:space="preserve"> \* MERGEFORMAT </w:instrText>
      </w:r>
      <w:r w:rsidRPr="005B4279">
        <w:rPr>
          <w:i/>
          <w:iCs/>
          <w:lang w:val="en-CA" w:eastAsia="en-AU"/>
        </w:rPr>
      </w:r>
      <w:r w:rsidRPr="005B4279">
        <w:rPr>
          <w:i/>
          <w:iCs/>
          <w:lang w:val="en-CA" w:eastAsia="en-AU"/>
        </w:rPr>
        <w:fldChar w:fldCharType="separate"/>
      </w:r>
      <w:r w:rsidR="00CC3F04" w:rsidRPr="00CC3F04">
        <w:rPr>
          <w:i/>
          <w:iCs/>
        </w:rPr>
        <w:t>Table 4</w:t>
      </w:r>
      <w:r w:rsidR="00CC3F04" w:rsidRPr="00CC3F04">
        <w:rPr>
          <w:i/>
          <w:iCs/>
        </w:rPr>
        <w:noBreakHyphen/>
        <w:t>2</w:t>
      </w:r>
      <w:r w:rsidRPr="005B4279">
        <w:rPr>
          <w:i/>
          <w:iCs/>
          <w:lang w:val="en-CA" w:eastAsia="en-AU"/>
        </w:rPr>
        <w:fldChar w:fldCharType="end"/>
      </w:r>
      <w:r>
        <w:rPr>
          <w:lang w:val="en-CA" w:eastAsia="en-AU"/>
        </w:rPr>
        <w:t xml:space="preserve"> </w:t>
      </w:r>
      <w:r w:rsidRPr="008652B8">
        <w:rPr>
          <w:lang w:val="en-CA" w:eastAsia="en-AU"/>
        </w:rPr>
        <w:t xml:space="preserve">details the difference between AT categories currently funded and the broader range AT costed in this report. This includes suggested category amendments to be consistent with ISO categories. </w:t>
      </w:r>
    </w:p>
    <w:p w14:paraId="7FC0EEA3" w14:textId="4415D387" w:rsidR="00A9294E" w:rsidRPr="00736110" w:rsidRDefault="00A9294E" w:rsidP="00143C46">
      <w:bookmarkStart w:id="232" w:name="_Ref42582400"/>
      <w:bookmarkStart w:id="233" w:name="_Ref42582391"/>
      <w:bookmarkStart w:id="234" w:name="_Toc59402404"/>
      <w:r w:rsidRPr="00736110">
        <w:t>Table </w:t>
      </w:r>
      <w:r w:rsidR="006870B9">
        <w:fldChar w:fldCharType="begin"/>
      </w:r>
      <w:r w:rsidR="006870B9">
        <w:instrText xml:space="preserve"> STYLEREF 1 \s </w:instrText>
      </w:r>
      <w:r w:rsidR="006870B9">
        <w:fldChar w:fldCharType="separate"/>
      </w:r>
      <w:r w:rsidR="00CC3F04">
        <w:rPr>
          <w:noProof/>
        </w:rPr>
        <w:t>4</w:t>
      </w:r>
      <w:r w:rsidR="006870B9">
        <w:fldChar w:fldCharType="end"/>
      </w:r>
      <w:r w:rsidR="006870B9">
        <w:noBreakHyphen/>
      </w:r>
      <w:r w:rsidR="006870B9">
        <w:fldChar w:fldCharType="begin"/>
      </w:r>
      <w:r w:rsidR="006870B9">
        <w:instrText xml:space="preserve"> SEQ Table \* ARABIC \s 1 </w:instrText>
      </w:r>
      <w:r w:rsidR="006870B9">
        <w:fldChar w:fldCharType="separate"/>
      </w:r>
      <w:r w:rsidR="00CC3F04">
        <w:rPr>
          <w:noProof/>
        </w:rPr>
        <w:t>2</w:t>
      </w:r>
      <w:r w:rsidR="006870B9">
        <w:fldChar w:fldCharType="end"/>
      </w:r>
      <w:bookmarkEnd w:id="232"/>
      <w:r w:rsidRPr="00736110">
        <w:t>:</w:t>
      </w:r>
      <w:r w:rsidRPr="00736110">
        <w:tab/>
      </w:r>
      <w:bookmarkEnd w:id="233"/>
      <w:r w:rsidR="008652B8">
        <w:t>CHSP categories and suggested changes</w:t>
      </w:r>
      <w:bookmarkEnd w:id="234"/>
    </w:p>
    <w:tbl>
      <w:tblPr>
        <w:tblStyle w:val="AHALight"/>
        <w:tblW w:w="9747" w:type="dxa"/>
        <w:tblLayout w:type="fixed"/>
        <w:tblLook w:val="06A0" w:firstRow="1" w:lastRow="0" w:firstColumn="1" w:lastColumn="0" w:noHBand="1" w:noVBand="1"/>
        <w:tblCaption w:val="Suggested changes to CHSP categories"/>
        <w:tblDescription w:val="List of CHSP sub-categories, suggested change, and rationale."/>
      </w:tblPr>
      <w:tblGrid>
        <w:gridCol w:w="1985"/>
        <w:gridCol w:w="3118"/>
        <w:gridCol w:w="4644"/>
      </w:tblGrid>
      <w:tr w:rsidR="00722B76" w:rsidRPr="000461A1" w14:paraId="7CEED481" w14:textId="77777777" w:rsidTr="007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hideMark/>
          </w:tcPr>
          <w:p w14:paraId="67A8CBB7" w14:textId="0A7F5DB8" w:rsidR="00767F03" w:rsidRPr="000461A1" w:rsidRDefault="00DE0D68" w:rsidP="000461A1">
            <w:r>
              <w:t xml:space="preserve">CHSP </w:t>
            </w:r>
            <w:r w:rsidR="00767F03" w:rsidRPr="000461A1">
              <w:t>Sub-category</w:t>
            </w:r>
          </w:p>
        </w:tc>
        <w:tc>
          <w:tcPr>
            <w:tcW w:w="3118" w:type="dxa"/>
          </w:tcPr>
          <w:p w14:paraId="6C144EF9" w14:textId="4A5939B3" w:rsidR="00767F03" w:rsidRPr="000461A1" w:rsidRDefault="00DE0D68" w:rsidP="0008190B">
            <w:pPr>
              <w:cnfStyle w:val="100000000000" w:firstRow="1" w:lastRow="0" w:firstColumn="0" w:lastColumn="0" w:oddVBand="0" w:evenVBand="0" w:oddHBand="0" w:evenHBand="0" w:firstRowFirstColumn="0" w:firstRowLastColumn="0" w:lastRowFirstColumn="0" w:lastRowLastColumn="0"/>
            </w:pPr>
            <w:r>
              <w:t>Suggestion</w:t>
            </w:r>
          </w:p>
        </w:tc>
        <w:tc>
          <w:tcPr>
            <w:tcW w:w="4644" w:type="dxa"/>
            <w:hideMark/>
          </w:tcPr>
          <w:p w14:paraId="62269353" w14:textId="77777777" w:rsidR="00767F03" w:rsidRPr="000461A1" w:rsidRDefault="00767F03" w:rsidP="0008190B">
            <w:pPr>
              <w:cnfStyle w:val="100000000000" w:firstRow="1" w:lastRow="0" w:firstColumn="0" w:lastColumn="0" w:oddVBand="0" w:evenVBand="0" w:oddHBand="0" w:evenHBand="0" w:firstRowFirstColumn="0" w:firstRowLastColumn="0" w:lastRowFirstColumn="0" w:lastRowLastColumn="0"/>
            </w:pPr>
            <w:r w:rsidRPr="000461A1">
              <w:t>Rationale</w:t>
            </w:r>
          </w:p>
        </w:tc>
      </w:tr>
      <w:tr w:rsidR="00800CA8" w:rsidRPr="000461A1" w14:paraId="1434233F" w14:textId="77777777" w:rsidTr="00720885">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hideMark/>
          </w:tcPr>
          <w:p w14:paraId="5CFAA4D7" w14:textId="77777777" w:rsidR="00767F03" w:rsidRPr="000461A1" w:rsidRDefault="00767F03" w:rsidP="000461A1">
            <w:r w:rsidRPr="000461A1">
              <w:t xml:space="preserve">Support and mobility aids </w:t>
            </w:r>
          </w:p>
        </w:tc>
        <w:tc>
          <w:tcPr>
            <w:tcW w:w="3118" w:type="dxa"/>
            <w:shd w:val="clear" w:color="auto" w:fill="F2F2F2" w:themeFill="background1" w:themeFillShade="F2"/>
          </w:tcPr>
          <w:p w14:paraId="129ECA78" w14:textId="13757988" w:rsidR="00767F03" w:rsidRPr="000461A1" w:rsidRDefault="00A9294E" w:rsidP="006060A7">
            <w:pPr>
              <w:cnfStyle w:val="000000000000" w:firstRow="0" w:lastRow="0" w:firstColumn="0" w:lastColumn="0" w:oddVBand="0" w:evenVBand="0" w:oddHBand="0" w:evenHBand="0" w:firstRowFirstColumn="0" w:firstRowLastColumn="0" w:lastRowFirstColumn="0" w:lastRowLastColumn="0"/>
            </w:pPr>
            <w:r w:rsidRPr="000461A1">
              <w:t>Retain and rename</w:t>
            </w:r>
            <w:r w:rsidR="006060A7">
              <w:t xml:space="preserve"> </w:t>
            </w:r>
            <w:r w:rsidRPr="000461A1">
              <w:t>‘</w:t>
            </w:r>
            <w:r w:rsidR="00767F03" w:rsidRPr="000461A1">
              <w:t>Personal mobility</w:t>
            </w:r>
            <w:r w:rsidR="00833CBA" w:rsidRPr="000461A1">
              <w:t xml:space="preserve"> AT’</w:t>
            </w:r>
          </w:p>
        </w:tc>
        <w:tc>
          <w:tcPr>
            <w:tcW w:w="4644" w:type="dxa"/>
            <w:shd w:val="clear" w:color="auto" w:fill="F2F2F2" w:themeFill="background1" w:themeFillShade="F2"/>
          </w:tcPr>
          <w:p w14:paraId="70CA1929" w14:textId="77777777" w:rsidR="00767F03" w:rsidRPr="000461A1" w:rsidRDefault="00767F03" w:rsidP="000461A1">
            <w:pPr>
              <w:cnfStyle w:val="000000000000" w:firstRow="0" w:lastRow="0" w:firstColumn="0" w:lastColumn="0" w:oddVBand="0" w:evenVBand="0" w:oddHBand="0" w:evenHBand="0" w:firstRowFirstColumn="0" w:firstRowLastColumn="0" w:lastRowFirstColumn="0" w:lastRowLastColumn="0"/>
            </w:pPr>
            <w:r w:rsidRPr="000461A1">
              <w:t>Retain: covered in ISO category 'Assistive products for activities and participation relating to personal mobility and transportation'</w:t>
            </w:r>
          </w:p>
        </w:tc>
      </w:tr>
      <w:tr w:rsidR="00722B76" w:rsidRPr="000461A1" w14:paraId="0DCA126D" w14:textId="77777777" w:rsidTr="00720885">
        <w:tc>
          <w:tcPr>
            <w:cnfStyle w:val="001000000000" w:firstRow="0" w:lastRow="0" w:firstColumn="1" w:lastColumn="0" w:oddVBand="0" w:evenVBand="0" w:oddHBand="0" w:evenHBand="0" w:firstRowFirstColumn="0" w:firstRowLastColumn="0" w:lastRowFirstColumn="0" w:lastRowLastColumn="0"/>
            <w:tcW w:w="1985" w:type="dxa"/>
            <w:hideMark/>
          </w:tcPr>
          <w:p w14:paraId="2F38EA59" w14:textId="77777777" w:rsidR="00767F03" w:rsidRPr="000461A1" w:rsidRDefault="00767F03" w:rsidP="000461A1">
            <w:r w:rsidRPr="000461A1">
              <w:t>Car modification</w:t>
            </w:r>
          </w:p>
        </w:tc>
        <w:tc>
          <w:tcPr>
            <w:tcW w:w="3118" w:type="dxa"/>
          </w:tcPr>
          <w:p w14:paraId="05D22C08" w14:textId="7FE810D7" w:rsidR="00767F03" w:rsidRPr="000461A1" w:rsidRDefault="00A9294E" w:rsidP="000461A1">
            <w:pPr>
              <w:cnfStyle w:val="000000000000" w:firstRow="0" w:lastRow="0" w:firstColumn="0" w:lastColumn="0" w:oddVBand="0" w:evenVBand="0" w:oddHBand="0" w:evenHBand="0" w:firstRowFirstColumn="0" w:firstRowLastColumn="0" w:lastRowFirstColumn="0" w:lastRowLastColumn="0"/>
            </w:pPr>
            <w:r w:rsidRPr="000461A1">
              <w:t xml:space="preserve">Merge into ‘Personal mobility </w:t>
            </w:r>
            <w:r w:rsidR="00833CBA" w:rsidRPr="000461A1">
              <w:t>AT’</w:t>
            </w:r>
          </w:p>
        </w:tc>
        <w:tc>
          <w:tcPr>
            <w:tcW w:w="4644" w:type="dxa"/>
          </w:tcPr>
          <w:p w14:paraId="6AEFD4F8" w14:textId="31D3357B" w:rsidR="00767F03" w:rsidRPr="000461A1" w:rsidRDefault="00767F03" w:rsidP="000461A1">
            <w:pPr>
              <w:cnfStyle w:val="000000000000" w:firstRow="0" w:lastRow="0" w:firstColumn="0" w:lastColumn="0" w:oddVBand="0" w:evenVBand="0" w:oddHBand="0" w:evenHBand="0" w:firstRowFirstColumn="0" w:firstRowLastColumn="0" w:lastRowFirstColumn="0" w:lastRowLastColumn="0"/>
            </w:pPr>
            <w:r w:rsidRPr="000461A1">
              <w:t>Merge into expanded category above, to be part of ISO category, 'Assistive products for activities and participation relating to personal mobility and transportation'.</w:t>
            </w:r>
          </w:p>
        </w:tc>
      </w:tr>
      <w:tr w:rsidR="00800CA8" w:rsidRPr="000461A1" w14:paraId="31383F8A" w14:textId="77777777" w:rsidTr="00720885">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hideMark/>
          </w:tcPr>
          <w:p w14:paraId="1C319B78" w14:textId="77777777" w:rsidR="00767F03" w:rsidRPr="000461A1" w:rsidRDefault="00767F03" w:rsidP="000461A1">
            <w:r w:rsidRPr="000461A1">
              <w:t>Communication aids</w:t>
            </w:r>
          </w:p>
        </w:tc>
        <w:tc>
          <w:tcPr>
            <w:tcW w:w="3118" w:type="dxa"/>
            <w:shd w:val="clear" w:color="auto" w:fill="F2F2F2" w:themeFill="background1" w:themeFillShade="F2"/>
          </w:tcPr>
          <w:p w14:paraId="6B51618B" w14:textId="5130A179" w:rsidR="00767F03" w:rsidRPr="000461A1" w:rsidRDefault="00767F03" w:rsidP="000461A1">
            <w:pPr>
              <w:cnfStyle w:val="000000000000" w:firstRow="0" w:lastRow="0" w:firstColumn="0" w:lastColumn="0" w:oddVBand="0" w:evenVBand="0" w:oddHBand="0" w:evenHBand="0" w:firstRowFirstColumn="0" w:firstRowLastColumn="0" w:lastRowFirstColumn="0" w:lastRowLastColumn="0"/>
            </w:pPr>
            <w:r w:rsidRPr="000461A1">
              <w:t>Communication and information management</w:t>
            </w:r>
            <w:r w:rsidR="00833CBA" w:rsidRPr="000461A1">
              <w:t xml:space="preserve"> AT</w:t>
            </w:r>
          </w:p>
        </w:tc>
        <w:tc>
          <w:tcPr>
            <w:tcW w:w="4644" w:type="dxa"/>
            <w:shd w:val="clear" w:color="auto" w:fill="F2F2F2" w:themeFill="background1" w:themeFillShade="F2"/>
          </w:tcPr>
          <w:p w14:paraId="2C1809AF" w14:textId="77777777" w:rsidR="00767F03" w:rsidRPr="000461A1" w:rsidRDefault="00767F03" w:rsidP="000461A1">
            <w:pPr>
              <w:cnfStyle w:val="000000000000" w:firstRow="0" w:lastRow="0" w:firstColumn="0" w:lastColumn="0" w:oddVBand="0" w:evenVBand="0" w:oddHBand="0" w:evenHBand="0" w:firstRowFirstColumn="0" w:firstRowLastColumn="0" w:lastRowFirstColumn="0" w:lastRowLastColumn="0"/>
            </w:pPr>
            <w:r w:rsidRPr="000461A1">
              <w:t>Retain: covered in ISO category 'Assistive products for communication and information management'.</w:t>
            </w:r>
          </w:p>
        </w:tc>
      </w:tr>
      <w:tr w:rsidR="00722B76" w:rsidRPr="000461A1" w14:paraId="6CE0E232" w14:textId="77777777" w:rsidTr="00720885">
        <w:tc>
          <w:tcPr>
            <w:cnfStyle w:val="001000000000" w:firstRow="0" w:lastRow="0" w:firstColumn="1" w:lastColumn="0" w:oddVBand="0" w:evenVBand="0" w:oddHBand="0" w:evenHBand="0" w:firstRowFirstColumn="0" w:firstRowLastColumn="0" w:lastRowFirstColumn="0" w:lastRowLastColumn="0"/>
            <w:tcW w:w="1985" w:type="dxa"/>
            <w:hideMark/>
          </w:tcPr>
          <w:p w14:paraId="55EA571D" w14:textId="77777777" w:rsidR="00767F03" w:rsidRPr="000461A1" w:rsidRDefault="00767F03" w:rsidP="000461A1">
            <w:r w:rsidRPr="000461A1">
              <w:t>Reading aids</w:t>
            </w:r>
          </w:p>
        </w:tc>
        <w:tc>
          <w:tcPr>
            <w:tcW w:w="3118" w:type="dxa"/>
          </w:tcPr>
          <w:p w14:paraId="61BFC25A" w14:textId="1278BC9E" w:rsidR="00767F03" w:rsidRPr="000461A1" w:rsidRDefault="00833CBA" w:rsidP="000461A1">
            <w:pPr>
              <w:cnfStyle w:val="000000000000" w:firstRow="0" w:lastRow="0" w:firstColumn="0" w:lastColumn="0" w:oddVBand="0" w:evenVBand="0" w:oddHBand="0" w:evenHBand="0" w:firstRowFirstColumn="0" w:firstRowLastColumn="0" w:lastRowFirstColumn="0" w:lastRowLastColumn="0"/>
            </w:pPr>
            <w:r w:rsidRPr="000461A1">
              <w:t>Merge into Communication and information management AT</w:t>
            </w:r>
          </w:p>
        </w:tc>
        <w:tc>
          <w:tcPr>
            <w:tcW w:w="4644" w:type="dxa"/>
          </w:tcPr>
          <w:p w14:paraId="148FD4BC" w14:textId="77777777" w:rsidR="00767F03" w:rsidRPr="000461A1" w:rsidRDefault="00767F03" w:rsidP="000461A1">
            <w:pPr>
              <w:cnfStyle w:val="000000000000" w:firstRow="0" w:lastRow="0" w:firstColumn="0" w:lastColumn="0" w:oddVBand="0" w:evenVBand="0" w:oddHBand="0" w:evenHBand="0" w:firstRowFirstColumn="0" w:firstRowLastColumn="0" w:lastRowFirstColumn="0" w:lastRowLastColumn="0"/>
            </w:pPr>
            <w:r w:rsidRPr="000461A1">
              <w:t>Merge into expanded category to be part of ICT AT in ISO category, 'Assistive products for communication and information management</w:t>
            </w:r>
          </w:p>
        </w:tc>
      </w:tr>
      <w:tr w:rsidR="00800CA8" w:rsidRPr="000461A1" w14:paraId="7A510E79" w14:textId="77777777" w:rsidTr="00720885">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hideMark/>
          </w:tcPr>
          <w:p w14:paraId="0A529752" w14:textId="77777777" w:rsidR="00767F03" w:rsidRPr="000461A1" w:rsidRDefault="00767F03" w:rsidP="000461A1">
            <w:r w:rsidRPr="000461A1">
              <w:t>Medical care aids</w:t>
            </w:r>
          </w:p>
        </w:tc>
        <w:tc>
          <w:tcPr>
            <w:tcW w:w="3118" w:type="dxa"/>
            <w:shd w:val="clear" w:color="auto" w:fill="F2F2F2" w:themeFill="background1" w:themeFillShade="F2"/>
          </w:tcPr>
          <w:p w14:paraId="6776AA14" w14:textId="2486314F" w:rsidR="00767F03" w:rsidRPr="000461A1" w:rsidRDefault="00833CBA" w:rsidP="000461A1">
            <w:pPr>
              <w:cnfStyle w:val="000000000000" w:firstRow="0" w:lastRow="0" w:firstColumn="0" w:lastColumn="0" w:oddVBand="0" w:evenVBand="0" w:oddHBand="0" w:evenHBand="0" w:firstRowFirstColumn="0" w:firstRowLastColumn="0" w:lastRowFirstColumn="0" w:lastRowLastColumn="0"/>
            </w:pPr>
            <w:r w:rsidRPr="000461A1">
              <w:t>B</w:t>
            </w:r>
            <w:r w:rsidR="00767F03" w:rsidRPr="000461A1">
              <w:t>ody</w:t>
            </w:r>
            <w:r w:rsidRPr="000461A1">
              <w:t xml:space="preserve"> monitoring and support AT</w:t>
            </w:r>
          </w:p>
        </w:tc>
        <w:tc>
          <w:tcPr>
            <w:tcW w:w="4644" w:type="dxa"/>
            <w:shd w:val="clear" w:color="auto" w:fill="F2F2F2" w:themeFill="background1" w:themeFillShade="F2"/>
          </w:tcPr>
          <w:p w14:paraId="4E67AC7D" w14:textId="77777777" w:rsidR="00767F03" w:rsidRPr="000461A1" w:rsidRDefault="00767F03" w:rsidP="000461A1">
            <w:pPr>
              <w:cnfStyle w:val="000000000000" w:firstRow="0" w:lastRow="0" w:firstColumn="0" w:lastColumn="0" w:oddVBand="0" w:evenVBand="0" w:oddHBand="0" w:evenHBand="0" w:firstRowFirstColumn="0" w:firstRowLastColumn="0" w:lastRowFirstColumn="0" w:lastRowLastColumn="0"/>
            </w:pPr>
            <w:r w:rsidRPr="000461A1">
              <w:t>Retain: covered in ISO category 'Assistive products for measuring, supporting, training or replacing body functions'</w:t>
            </w:r>
          </w:p>
        </w:tc>
      </w:tr>
      <w:tr w:rsidR="00722B76" w:rsidRPr="000461A1" w14:paraId="291891EC" w14:textId="77777777" w:rsidTr="00720885">
        <w:tc>
          <w:tcPr>
            <w:cnfStyle w:val="001000000000" w:firstRow="0" w:lastRow="0" w:firstColumn="1" w:lastColumn="0" w:oddVBand="0" w:evenVBand="0" w:oddHBand="0" w:evenHBand="0" w:firstRowFirstColumn="0" w:firstRowLastColumn="0" w:lastRowFirstColumn="0" w:lastRowLastColumn="0"/>
            <w:tcW w:w="1985" w:type="dxa"/>
            <w:hideMark/>
          </w:tcPr>
          <w:p w14:paraId="12A53AB6" w14:textId="77777777" w:rsidR="00767F03" w:rsidRPr="000461A1" w:rsidRDefault="00767F03" w:rsidP="000461A1">
            <w:r w:rsidRPr="000461A1">
              <w:t>Self-care aids</w:t>
            </w:r>
          </w:p>
        </w:tc>
        <w:tc>
          <w:tcPr>
            <w:tcW w:w="3118" w:type="dxa"/>
          </w:tcPr>
          <w:p w14:paraId="4CF7DA38" w14:textId="0B31229A" w:rsidR="00767F03" w:rsidRPr="000461A1" w:rsidRDefault="00F72E3B" w:rsidP="000461A1">
            <w:pPr>
              <w:cnfStyle w:val="000000000000" w:firstRow="0" w:lastRow="0" w:firstColumn="0" w:lastColumn="0" w:oddVBand="0" w:evenVBand="0" w:oddHBand="0" w:evenHBand="0" w:firstRowFirstColumn="0" w:firstRowLastColumn="0" w:lastRowFirstColumn="0" w:lastRowLastColumn="0"/>
            </w:pPr>
            <w:r w:rsidRPr="000461A1">
              <w:t>Self-care</w:t>
            </w:r>
            <w:r w:rsidR="00767F03" w:rsidRPr="000461A1">
              <w:t xml:space="preserve"> </w:t>
            </w:r>
            <w:r w:rsidR="00833CBA" w:rsidRPr="000461A1">
              <w:t>AT</w:t>
            </w:r>
          </w:p>
        </w:tc>
        <w:tc>
          <w:tcPr>
            <w:tcW w:w="4644" w:type="dxa"/>
          </w:tcPr>
          <w:p w14:paraId="5B7B6D2F" w14:textId="77777777" w:rsidR="00767F03" w:rsidRPr="000461A1" w:rsidRDefault="00767F03" w:rsidP="000461A1">
            <w:pPr>
              <w:cnfStyle w:val="000000000000" w:firstRow="0" w:lastRow="0" w:firstColumn="0" w:lastColumn="0" w:oddVBand="0" w:evenVBand="0" w:oddHBand="0" w:evenHBand="0" w:firstRowFirstColumn="0" w:firstRowLastColumn="0" w:lastRowFirstColumn="0" w:lastRowLastColumn="0"/>
            </w:pPr>
            <w:r w:rsidRPr="000461A1">
              <w:t>Retain: covered in ISO category 'Assistive products for self-care activities and participation in self-care'.</w:t>
            </w:r>
          </w:p>
        </w:tc>
      </w:tr>
      <w:tr w:rsidR="00800CA8" w:rsidRPr="000461A1" w14:paraId="673426CE" w14:textId="77777777" w:rsidTr="00720885">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hideMark/>
          </w:tcPr>
          <w:p w14:paraId="2EA2C927" w14:textId="77777777" w:rsidR="00767F03" w:rsidRPr="000461A1" w:rsidRDefault="00767F03" w:rsidP="000461A1">
            <w:r w:rsidRPr="000461A1">
              <w:t>Other goods and equipment</w:t>
            </w:r>
          </w:p>
        </w:tc>
        <w:tc>
          <w:tcPr>
            <w:tcW w:w="3118" w:type="dxa"/>
            <w:shd w:val="clear" w:color="auto" w:fill="F2F2F2" w:themeFill="background1" w:themeFillShade="F2"/>
          </w:tcPr>
          <w:p w14:paraId="767C274E" w14:textId="00D0685D" w:rsidR="00767F03" w:rsidRPr="000461A1" w:rsidRDefault="00767F03" w:rsidP="000461A1">
            <w:pPr>
              <w:cnfStyle w:val="000000000000" w:firstRow="0" w:lastRow="0" w:firstColumn="0" w:lastColumn="0" w:oddVBand="0" w:evenVBand="0" w:oddHBand="0" w:evenHBand="0" w:firstRowFirstColumn="0" w:firstRowLastColumn="0" w:lastRowFirstColumn="0" w:lastRowLastColumn="0"/>
            </w:pPr>
            <w:r w:rsidRPr="000461A1">
              <w:t xml:space="preserve">Other </w:t>
            </w:r>
            <w:r w:rsidR="00833CBA" w:rsidRPr="000461A1">
              <w:t>AT</w:t>
            </w:r>
          </w:p>
        </w:tc>
        <w:tc>
          <w:tcPr>
            <w:tcW w:w="4644" w:type="dxa"/>
            <w:shd w:val="clear" w:color="auto" w:fill="F2F2F2" w:themeFill="background1" w:themeFillShade="F2"/>
          </w:tcPr>
          <w:p w14:paraId="13FCE043" w14:textId="249835EF" w:rsidR="00767F03" w:rsidRPr="000461A1" w:rsidRDefault="00E57F6B" w:rsidP="00E57F6B">
            <w:pPr>
              <w:pStyle w:val="Invisible"/>
              <w:cnfStyle w:val="000000000000" w:firstRow="0" w:lastRow="0" w:firstColumn="0" w:lastColumn="0" w:oddVBand="0" w:evenVBand="0" w:oddHBand="0" w:evenHBand="0" w:firstRowFirstColumn="0" w:firstRowLastColumn="0" w:lastRowFirstColumn="0" w:lastRowLastColumn="0"/>
            </w:pPr>
            <w:r>
              <w:t>N/​A</w:t>
            </w:r>
          </w:p>
        </w:tc>
      </w:tr>
      <w:tr w:rsidR="00800CA8" w:rsidRPr="000461A1" w14:paraId="6A80A48C" w14:textId="77777777" w:rsidTr="00720885">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tcPr>
          <w:p w14:paraId="2FE4B19C" w14:textId="6B37C8AB" w:rsidR="00767F03" w:rsidRPr="000461A1" w:rsidRDefault="00E57F6B" w:rsidP="00E57F6B">
            <w:pPr>
              <w:pStyle w:val="Invisible"/>
            </w:pPr>
            <w:r w:rsidRPr="000461A1">
              <w:t>Other goods and equipment</w:t>
            </w:r>
          </w:p>
        </w:tc>
        <w:tc>
          <w:tcPr>
            <w:tcW w:w="3118" w:type="dxa"/>
            <w:shd w:val="clear" w:color="auto" w:fill="F2F2F2" w:themeFill="background1" w:themeFillShade="F2"/>
          </w:tcPr>
          <w:p w14:paraId="5375B40F" w14:textId="6C35466D" w:rsidR="00767F03" w:rsidRPr="000461A1" w:rsidRDefault="00D939BC" w:rsidP="000461A1">
            <w:pPr>
              <w:cnfStyle w:val="000000000000" w:firstRow="0" w:lastRow="0" w:firstColumn="0" w:lastColumn="0" w:oddVBand="0" w:evenVBand="0" w:oddHBand="0" w:evenHBand="0" w:firstRowFirstColumn="0" w:firstRowLastColumn="0" w:lastRowFirstColumn="0" w:lastRowLastColumn="0"/>
            </w:pPr>
            <w:r w:rsidRPr="000461A1">
              <w:t>F</w:t>
            </w:r>
            <w:r w:rsidR="00833CBA" w:rsidRPr="000461A1">
              <w:t>urnishings and fixtures</w:t>
            </w:r>
            <w:r w:rsidRPr="000461A1">
              <w:t xml:space="preserve"> AT</w:t>
            </w:r>
          </w:p>
        </w:tc>
        <w:tc>
          <w:tcPr>
            <w:tcW w:w="4644" w:type="dxa"/>
            <w:shd w:val="clear" w:color="auto" w:fill="F2F2F2" w:themeFill="background1" w:themeFillShade="F2"/>
          </w:tcPr>
          <w:p w14:paraId="6589975C" w14:textId="77777777" w:rsidR="00767F03" w:rsidRPr="000461A1" w:rsidRDefault="00767F03" w:rsidP="000461A1">
            <w:pPr>
              <w:cnfStyle w:val="000000000000" w:firstRow="0" w:lastRow="0" w:firstColumn="0" w:lastColumn="0" w:oddVBand="0" w:evenVBand="0" w:oddHBand="0" w:evenHBand="0" w:firstRowFirstColumn="0" w:firstRowLastColumn="0" w:lastRowFirstColumn="0" w:lastRowLastColumn="0"/>
            </w:pPr>
            <w:r w:rsidRPr="000461A1">
              <w:t>Include a new ISO category not currently covered: 'Furnishings, fixtures and other assistive products for supporting activities in indoor and outdoor human-made environments'.</w:t>
            </w:r>
          </w:p>
        </w:tc>
      </w:tr>
      <w:tr w:rsidR="00722B76" w:rsidRPr="000461A1" w14:paraId="2BB67A18" w14:textId="77777777" w:rsidTr="00720885">
        <w:tc>
          <w:tcPr>
            <w:cnfStyle w:val="001000000000" w:firstRow="0" w:lastRow="0" w:firstColumn="1" w:lastColumn="0" w:oddVBand="0" w:evenVBand="0" w:oddHBand="0" w:evenHBand="0" w:firstRowFirstColumn="0" w:firstRowLastColumn="0" w:lastRowFirstColumn="0" w:lastRowLastColumn="0"/>
            <w:tcW w:w="1985" w:type="dxa"/>
            <w:shd w:val="clear" w:color="auto" w:fill="F2F2F2" w:themeFill="background1" w:themeFillShade="F2"/>
          </w:tcPr>
          <w:p w14:paraId="64357FED" w14:textId="0B2218E9" w:rsidR="00767F03" w:rsidRPr="000461A1" w:rsidRDefault="00E57F6B" w:rsidP="00E57F6B">
            <w:pPr>
              <w:pStyle w:val="Invisible"/>
            </w:pPr>
            <w:r w:rsidRPr="000461A1">
              <w:t>Other goods and equipment</w:t>
            </w:r>
          </w:p>
        </w:tc>
        <w:tc>
          <w:tcPr>
            <w:tcW w:w="3118" w:type="dxa"/>
            <w:shd w:val="clear" w:color="auto" w:fill="F2F2F2" w:themeFill="background1" w:themeFillShade="F2"/>
          </w:tcPr>
          <w:p w14:paraId="17E12286" w14:textId="1E32E729" w:rsidR="00767F03" w:rsidRPr="000461A1" w:rsidRDefault="00767F03" w:rsidP="000461A1">
            <w:pPr>
              <w:cnfStyle w:val="000000000000" w:firstRow="0" w:lastRow="0" w:firstColumn="0" w:lastColumn="0" w:oddVBand="0" w:evenVBand="0" w:oddHBand="0" w:evenHBand="0" w:firstRowFirstColumn="0" w:firstRowLastColumn="0" w:lastRowFirstColumn="0" w:lastRowLastColumn="0"/>
            </w:pPr>
            <w:r w:rsidRPr="000461A1">
              <w:t xml:space="preserve">Domestic </w:t>
            </w:r>
            <w:r w:rsidR="00D939BC" w:rsidRPr="000461A1">
              <w:t>activities AT</w:t>
            </w:r>
          </w:p>
        </w:tc>
        <w:tc>
          <w:tcPr>
            <w:tcW w:w="4644" w:type="dxa"/>
            <w:shd w:val="clear" w:color="auto" w:fill="F2F2F2" w:themeFill="background1" w:themeFillShade="F2"/>
          </w:tcPr>
          <w:p w14:paraId="32F63E08" w14:textId="77777777" w:rsidR="00767F03" w:rsidRPr="000461A1" w:rsidRDefault="00767F03" w:rsidP="000461A1">
            <w:pPr>
              <w:cnfStyle w:val="000000000000" w:firstRow="0" w:lastRow="0" w:firstColumn="0" w:lastColumn="0" w:oddVBand="0" w:evenVBand="0" w:oddHBand="0" w:evenHBand="0" w:firstRowFirstColumn="0" w:firstRowLastColumn="0" w:lastRowFirstColumn="0" w:lastRowLastColumn="0"/>
            </w:pPr>
            <w:r w:rsidRPr="000461A1">
              <w:t>Include a new ISO category not currently covered: 'Assistive products for domestic activities and participation in domestic life'.</w:t>
            </w:r>
          </w:p>
        </w:tc>
      </w:tr>
    </w:tbl>
    <w:p w14:paraId="3998196E" w14:textId="020D485B" w:rsidR="008A3448" w:rsidRPr="00805DBA" w:rsidRDefault="008A3448" w:rsidP="00805DBA">
      <w:pPr>
        <w:pStyle w:val="Heading3"/>
      </w:pPr>
      <w:bookmarkStart w:id="235" w:name="_Ref42674205"/>
      <w:r w:rsidRPr="00805DBA">
        <w:lastRenderedPageBreak/>
        <w:t>Investment fund</w:t>
      </w:r>
      <w:bookmarkEnd w:id="235"/>
    </w:p>
    <w:p w14:paraId="3F4A7EC7" w14:textId="0413522B" w:rsidR="00260E40" w:rsidRDefault="00260E40" w:rsidP="00722B76">
      <w:pPr>
        <w:pStyle w:val="ParaKeep"/>
        <w:rPr>
          <w:lang w:val="en-CA"/>
        </w:rPr>
      </w:pPr>
      <w:r>
        <w:rPr>
          <w:lang w:val="en-CA"/>
        </w:rPr>
        <w:t xml:space="preserve">The </w:t>
      </w:r>
      <w:r w:rsidR="005474B8">
        <w:rPr>
          <w:lang w:val="en-CA"/>
        </w:rPr>
        <w:t xml:space="preserve">proposed </w:t>
      </w:r>
      <w:r>
        <w:rPr>
          <w:lang w:val="en-CA"/>
        </w:rPr>
        <w:t xml:space="preserve">AT </w:t>
      </w:r>
      <w:r w:rsidR="005474B8">
        <w:rPr>
          <w:lang w:val="en-CA"/>
        </w:rPr>
        <w:t xml:space="preserve">framework </w:t>
      </w:r>
      <w:r>
        <w:rPr>
          <w:lang w:val="en-CA"/>
        </w:rPr>
        <w:t>would be supported and strengthened by an investment fund</w:t>
      </w:r>
      <w:r w:rsidR="00F80723">
        <w:rPr>
          <w:lang w:val="en-CA"/>
        </w:rPr>
        <w:t xml:space="preserve">. </w:t>
      </w:r>
      <w:r>
        <w:rPr>
          <w:lang w:val="en-CA"/>
        </w:rPr>
        <w:t>This fund</w:t>
      </w:r>
      <w:r w:rsidDel="005474B8">
        <w:rPr>
          <w:lang w:val="en-CA"/>
        </w:rPr>
        <w:t xml:space="preserve"> </w:t>
      </w:r>
      <w:r w:rsidR="005474B8">
        <w:rPr>
          <w:lang w:val="en-CA"/>
        </w:rPr>
        <w:t xml:space="preserve">could </w:t>
      </w:r>
      <w:r>
        <w:rPr>
          <w:lang w:val="en-CA"/>
        </w:rPr>
        <w:t>be used to design, develop and promote the AT program, in addition to building the evidence base for AT use in aged care</w:t>
      </w:r>
      <w:r w:rsidR="00F80723">
        <w:rPr>
          <w:lang w:val="en-CA"/>
        </w:rPr>
        <w:t xml:space="preserve">. </w:t>
      </w:r>
      <w:r>
        <w:rPr>
          <w:lang w:val="en-CA"/>
        </w:rPr>
        <w:t>Specific uses of the investment fund include</w:t>
      </w:r>
      <w:r w:rsidR="005474B8">
        <w:rPr>
          <w:lang w:val="en-CA"/>
        </w:rPr>
        <w:t xml:space="preserve"> to</w:t>
      </w:r>
      <w:r>
        <w:rPr>
          <w:lang w:val="en-CA"/>
        </w:rPr>
        <w:t xml:space="preserve">: </w:t>
      </w:r>
    </w:p>
    <w:p w14:paraId="27EE78BA" w14:textId="77777777" w:rsidR="00260E40" w:rsidRDefault="00260E40" w:rsidP="00260E40">
      <w:pPr>
        <w:pStyle w:val="Bullet1"/>
        <w:numPr>
          <w:ilvl w:val="0"/>
          <w:numId w:val="2"/>
        </w:numPr>
        <w:rPr>
          <w:lang w:val="en-CA"/>
        </w:rPr>
      </w:pPr>
      <w:r>
        <w:rPr>
          <w:lang w:val="en-CA"/>
        </w:rPr>
        <w:t xml:space="preserve">Design the </w:t>
      </w:r>
      <w:r w:rsidRPr="0081252D">
        <w:rPr>
          <w:lang w:val="en-CA"/>
        </w:rPr>
        <w:t>model</w:t>
      </w:r>
      <w:r>
        <w:rPr>
          <w:lang w:val="en-CA"/>
        </w:rPr>
        <w:t xml:space="preserve"> underpinning the AT program, once the Department has selected the options—outlined in this review—it wishes to pursue</w:t>
      </w:r>
      <w:r w:rsidRPr="0081252D">
        <w:rPr>
          <w:lang w:val="en-CA"/>
        </w:rPr>
        <w:t xml:space="preserve"> </w:t>
      </w:r>
    </w:p>
    <w:p w14:paraId="029A48A6" w14:textId="7FB15060" w:rsidR="00260E40" w:rsidRPr="00DD79F8" w:rsidRDefault="00260E40" w:rsidP="00260E40">
      <w:pPr>
        <w:pStyle w:val="Bullet1"/>
        <w:rPr>
          <w:lang w:val="en-CA"/>
        </w:rPr>
      </w:pPr>
      <w:r w:rsidRPr="00DD79F8">
        <w:rPr>
          <w:lang w:val="en-CA"/>
        </w:rPr>
        <w:t>Conduct a pilot</w:t>
      </w:r>
      <w:r>
        <w:rPr>
          <w:lang w:val="en-CA"/>
        </w:rPr>
        <w:t xml:space="preserve"> to refine the model before national roll-out</w:t>
      </w:r>
      <w:r w:rsidR="00F80723">
        <w:rPr>
          <w:lang w:val="en-CA"/>
        </w:rPr>
        <w:t xml:space="preserve">. </w:t>
      </w:r>
      <w:r>
        <w:rPr>
          <w:lang w:val="en-CA"/>
        </w:rPr>
        <w:t xml:space="preserve">We note that the </w:t>
      </w:r>
      <w:r w:rsidRPr="007A7C02">
        <w:rPr>
          <w:rStyle w:val="Italic"/>
        </w:rPr>
        <w:t>Promoting Independent Living</w:t>
      </w:r>
      <w:r>
        <w:rPr>
          <w:lang w:val="en-CA"/>
        </w:rPr>
        <w:t xml:space="preserve"> reablement trial has RAS assessors at five RAS organisations </w:t>
      </w:r>
      <w:r w:rsidRPr="00DD79F8">
        <w:rPr>
          <w:lang w:val="en-CA"/>
        </w:rPr>
        <w:t xml:space="preserve">trained </w:t>
      </w:r>
      <w:r>
        <w:rPr>
          <w:lang w:val="en-CA"/>
        </w:rPr>
        <w:t>to better understand and recommend low-level AT to consumers</w:t>
      </w:r>
      <w:r w:rsidR="00F80723">
        <w:rPr>
          <w:lang w:val="en-CA"/>
        </w:rPr>
        <w:t xml:space="preserve">. </w:t>
      </w:r>
      <w:r>
        <w:rPr>
          <w:lang w:val="en-CA"/>
        </w:rPr>
        <w:t xml:space="preserve">Utilising these trained RAS assessors for a pilot has merit. </w:t>
      </w:r>
    </w:p>
    <w:p w14:paraId="73E1A9F2" w14:textId="77777777" w:rsidR="00260E40" w:rsidRDefault="00260E40" w:rsidP="00260E40">
      <w:pPr>
        <w:pStyle w:val="Bullet1"/>
        <w:numPr>
          <w:ilvl w:val="0"/>
          <w:numId w:val="2"/>
        </w:numPr>
        <w:rPr>
          <w:lang w:val="en-CA"/>
        </w:rPr>
      </w:pPr>
      <w:r>
        <w:rPr>
          <w:lang w:val="en-CA"/>
        </w:rPr>
        <w:t>Develop and test the AT screening tool</w:t>
      </w:r>
    </w:p>
    <w:p w14:paraId="3341981C" w14:textId="77777777" w:rsidR="00260E40" w:rsidRDefault="00260E40" w:rsidP="00260E40">
      <w:pPr>
        <w:pStyle w:val="Bullet1"/>
        <w:numPr>
          <w:ilvl w:val="0"/>
          <w:numId w:val="2"/>
        </w:numPr>
        <w:rPr>
          <w:lang w:val="en-CA"/>
        </w:rPr>
      </w:pPr>
      <w:r>
        <w:rPr>
          <w:lang w:val="en-CA"/>
        </w:rPr>
        <w:t>Build and test the AT Solutions website and app</w:t>
      </w:r>
    </w:p>
    <w:p w14:paraId="76754A01" w14:textId="57B14FE7" w:rsidR="00260E40" w:rsidRDefault="00260E40" w:rsidP="00260E40">
      <w:pPr>
        <w:pStyle w:val="Bullet1"/>
        <w:numPr>
          <w:ilvl w:val="0"/>
          <w:numId w:val="2"/>
        </w:numPr>
        <w:rPr>
          <w:lang w:val="en-CA"/>
        </w:rPr>
      </w:pPr>
      <w:r>
        <w:rPr>
          <w:lang w:val="en-CA"/>
        </w:rPr>
        <w:t xml:space="preserve">Promote the AT </w:t>
      </w:r>
      <w:r w:rsidR="000E1174">
        <w:rPr>
          <w:lang w:val="en-CA"/>
        </w:rPr>
        <w:t>Solutions suite of services</w:t>
      </w:r>
      <w:r>
        <w:rPr>
          <w:lang w:val="en-CA"/>
        </w:rPr>
        <w:t>, the free AT screen and the value of low-level AT in maintaining independence and reablement generally</w:t>
      </w:r>
    </w:p>
    <w:p w14:paraId="32CFA645" w14:textId="0CA4EE6B" w:rsidR="008A3448" w:rsidRDefault="00260E40" w:rsidP="00260E40">
      <w:pPr>
        <w:pStyle w:val="Bullet1"/>
        <w:numPr>
          <w:ilvl w:val="0"/>
          <w:numId w:val="2"/>
        </w:numPr>
        <w:rPr>
          <w:lang w:val="en-CA"/>
        </w:rPr>
      </w:pPr>
      <w:r w:rsidRPr="0028780F">
        <w:rPr>
          <w:lang w:val="en-CA"/>
        </w:rPr>
        <w:t>Collate</w:t>
      </w:r>
      <w:r>
        <w:rPr>
          <w:lang w:val="en-CA"/>
        </w:rPr>
        <w:t>,</w:t>
      </w:r>
      <w:r w:rsidRPr="00262870">
        <w:rPr>
          <w:lang w:val="en-CA"/>
        </w:rPr>
        <w:t xml:space="preserve"> evaluate </w:t>
      </w:r>
      <w:r>
        <w:rPr>
          <w:lang w:val="en-CA"/>
        </w:rPr>
        <w:t xml:space="preserve">and report on </w:t>
      </w:r>
      <w:r w:rsidRPr="00262870">
        <w:rPr>
          <w:lang w:val="en-CA"/>
        </w:rPr>
        <w:t xml:space="preserve">data </w:t>
      </w:r>
      <w:r>
        <w:rPr>
          <w:lang w:val="en-CA"/>
        </w:rPr>
        <w:t xml:space="preserve">derived from the AT screen </w:t>
      </w:r>
      <w:r w:rsidRPr="00262870">
        <w:rPr>
          <w:lang w:val="en-CA"/>
        </w:rPr>
        <w:t xml:space="preserve">and </w:t>
      </w:r>
      <w:r>
        <w:rPr>
          <w:lang w:val="en-CA"/>
        </w:rPr>
        <w:t>collected during consumer follow-up to refine the AT program and inform Departmental policy directions in aged care</w:t>
      </w:r>
      <w:r w:rsidR="008A3448">
        <w:rPr>
          <w:lang w:val="en-CA"/>
        </w:rPr>
        <w:t xml:space="preserve">. </w:t>
      </w:r>
    </w:p>
    <w:p w14:paraId="4A7C5F2E" w14:textId="48404377" w:rsidR="00F14006" w:rsidRPr="00805DBA" w:rsidRDefault="00F14006" w:rsidP="00F14006">
      <w:pPr>
        <w:pStyle w:val="Heading3"/>
      </w:pPr>
      <w:r w:rsidRPr="00805DBA">
        <w:t xml:space="preserve">AT </w:t>
      </w:r>
      <w:r w:rsidR="001945F1">
        <w:t xml:space="preserve">administration </w:t>
      </w:r>
      <w:r w:rsidRPr="00805DBA">
        <w:t xml:space="preserve">agency </w:t>
      </w:r>
    </w:p>
    <w:p w14:paraId="205C441A" w14:textId="7A0787D6" w:rsidR="00F14006" w:rsidRPr="00350EBB" w:rsidRDefault="00F14006" w:rsidP="00F14006">
      <w:pPr>
        <w:pStyle w:val="Paragraph"/>
        <w:rPr>
          <w:lang w:val="en-CA" w:eastAsia="en-AU"/>
        </w:rPr>
      </w:pPr>
      <w:bookmarkStart w:id="236" w:name="_Hlk41909250"/>
      <w:r w:rsidRPr="00350EBB">
        <w:rPr>
          <w:lang w:val="en-CA" w:eastAsia="en-AU"/>
        </w:rPr>
        <w:t>Currently, AT is procured under di</w:t>
      </w:r>
      <w:r>
        <w:rPr>
          <w:lang w:val="en-CA" w:eastAsia="en-AU"/>
        </w:rPr>
        <w:t>sparate and disconnected</w:t>
      </w:r>
      <w:r w:rsidRPr="00350EBB">
        <w:rPr>
          <w:lang w:val="en-CA" w:eastAsia="en-AU"/>
        </w:rPr>
        <w:t xml:space="preserve"> program</w:t>
      </w:r>
      <w:r>
        <w:rPr>
          <w:lang w:val="en-CA" w:eastAsia="en-AU"/>
        </w:rPr>
        <w:t xml:space="preserve">s, representing a </w:t>
      </w:r>
      <w:r w:rsidR="005474B8">
        <w:rPr>
          <w:lang w:val="en-CA" w:eastAsia="en-AU"/>
        </w:rPr>
        <w:t xml:space="preserve">missed </w:t>
      </w:r>
      <w:r>
        <w:rPr>
          <w:lang w:val="en-CA" w:eastAsia="en-AU"/>
        </w:rPr>
        <w:t>opportunity to leverage</w:t>
      </w:r>
      <w:r w:rsidRPr="00350EBB">
        <w:rPr>
          <w:lang w:val="en-CA" w:eastAsia="en-AU"/>
        </w:rPr>
        <w:t xml:space="preserve"> </w:t>
      </w:r>
      <w:r>
        <w:rPr>
          <w:lang w:val="en-CA" w:eastAsia="en-AU"/>
        </w:rPr>
        <w:t>the breadth and reach of a national program</w:t>
      </w:r>
      <w:r w:rsidR="00F80723">
        <w:rPr>
          <w:lang w:val="en-CA" w:eastAsia="en-AU"/>
        </w:rPr>
        <w:t xml:space="preserve">. </w:t>
      </w:r>
      <w:r>
        <w:rPr>
          <w:lang w:val="en-CA" w:eastAsia="en-AU"/>
        </w:rPr>
        <w:t>CHSP</w:t>
      </w:r>
      <w:r w:rsidRPr="00350EBB">
        <w:rPr>
          <w:lang w:val="en-CA" w:eastAsia="en-AU"/>
        </w:rPr>
        <w:t xml:space="preserve"> services providers are responsible for procuring and supplying AT products funded under the program</w:t>
      </w:r>
      <w:r>
        <w:rPr>
          <w:lang w:val="en-CA" w:eastAsia="en-AU"/>
        </w:rPr>
        <w:t>,</w:t>
      </w:r>
      <w:r w:rsidR="009F37C7">
        <w:rPr>
          <w:lang w:val="en-CA" w:eastAsia="en-AU"/>
        </w:rPr>
        <w:t xml:space="preserve"> </w:t>
      </w:r>
      <w:r>
        <w:rPr>
          <w:lang w:val="en-CA" w:eastAsia="en-AU"/>
        </w:rPr>
        <w:t>and</w:t>
      </w:r>
      <w:r w:rsidRPr="00350EBB">
        <w:rPr>
          <w:lang w:val="en-CA" w:eastAsia="en-AU"/>
        </w:rPr>
        <w:t xml:space="preserve"> arranging home modification services</w:t>
      </w:r>
      <w:r w:rsidR="00F80723">
        <w:rPr>
          <w:lang w:val="en-CA" w:eastAsia="en-AU"/>
        </w:rPr>
        <w:t xml:space="preserve">. </w:t>
      </w:r>
      <w:r w:rsidRPr="00350EBB">
        <w:rPr>
          <w:lang w:val="en-CA" w:eastAsia="en-AU"/>
        </w:rPr>
        <w:t xml:space="preserve">In Home Care Packages, service providers work with </w:t>
      </w:r>
      <w:r>
        <w:rPr>
          <w:lang w:val="en-CA" w:eastAsia="en-AU"/>
        </w:rPr>
        <w:t>consumer</w:t>
      </w:r>
      <w:r w:rsidRPr="00350EBB">
        <w:rPr>
          <w:lang w:val="en-CA" w:eastAsia="en-AU"/>
        </w:rPr>
        <w:t xml:space="preserve">s to determine what is funded within package limits with AT purchased directly by </w:t>
      </w:r>
      <w:r>
        <w:rPr>
          <w:lang w:val="en-CA" w:eastAsia="en-AU"/>
        </w:rPr>
        <w:t>consumer</w:t>
      </w:r>
      <w:r w:rsidRPr="00350EBB">
        <w:rPr>
          <w:lang w:val="en-CA" w:eastAsia="en-AU"/>
        </w:rPr>
        <w:t xml:space="preserve">s. </w:t>
      </w:r>
    </w:p>
    <w:p w14:paraId="3331024E" w14:textId="164BB39D" w:rsidR="001C564F" w:rsidRDefault="005474B8" w:rsidP="001C564F">
      <w:pPr>
        <w:pStyle w:val="Paragraph"/>
        <w:rPr>
          <w:lang w:val="en-CA"/>
        </w:rPr>
      </w:pPr>
      <w:bookmarkStart w:id="237" w:name="_Toc42243708"/>
      <w:bookmarkStart w:id="238" w:name="_Ref42278401"/>
      <w:bookmarkStart w:id="239" w:name="_Toc41943068"/>
      <w:bookmarkEnd w:id="236"/>
      <w:r>
        <w:rPr>
          <w:lang w:val="en-CA" w:eastAsia="en-AU"/>
        </w:rPr>
        <w:t>A</w:t>
      </w:r>
      <w:r w:rsidR="001C564F">
        <w:rPr>
          <w:lang w:val="en-CA" w:eastAsia="en-AU"/>
        </w:rPr>
        <w:t xml:space="preserve"> public</w:t>
      </w:r>
      <w:r>
        <w:rPr>
          <w:lang w:val="en-CA" w:eastAsia="en-AU"/>
        </w:rPr>
        <w:t>-</w:t>
      </w:r>
      <w:r w:rsidR="001C564F">
        <w:rPr>
          <w:lang w:val="en-CA" w:eastAsia="en-AU"/>
        </w:rPr>
        <w:t xml:space="preserve">facing </w:t>
      </w:r>
      <w:r w:rsidR="00C131B8">
        <w:rPr>
          <w:lang w:val="en-CA" w:eastAsia="en-AU"/>
        </w:rPr>
        <w:t>agency</w:t>
      </w:r>
      <w:r w:rsidR="001C564F">
        <w:rPr>
          <w:lang w:val="en-CA" w:eastAsia="en-AU"/>
        </w:rPr>
        <w:t xml:space="preserve"> </w:t>
      </w:r>
      <w:r w:rsidR="009F37C7">
        <w:rPr>
          <w:lang w:val="en-CA" w:eastAsia="en-AU"/>
        </w:rPr>
        <w:t>is suggested</w:t>
      </w:r>
      <w:r w:rsidR="001C564F">
        <w:rPr>
          <w:lang w:val="en-CA" w:eastAsia="en-AU"/>
        </w:rPr>
        <w:t xml:space="preserve"> to package and send</w:t>
      </w:r>
      <w:r>
        <w:rPr>
          <w:lang w:val="en-CA" w:eastAsia="en-AU"/>
        </w:rPr>
        <w:t xml:space="preserve"> ADL</w:t>
      </w:r>
      <w:r w:rsidR="001C564F">
        <w:rPr>
          <w:lang w:val="en-CA" w:eastAsia="en-AU"/>
        </w:rPr>
        <w:t xml:space="preserve"> kit orders directly to the public. There may be </w:t>
      </w:r>
      <w:r w:rsidR="001C564F" w:rsidRPr="00350EBB">
        <w:rPr>
          <w:lang w:val="en-CA" w:eastAsia="en-AU"/>
        </w:rPr>
        <w:t xml:space="preserve">considerable </w:t>
      </w:r>
      <w:r w:rsidR="001C564F">
        <w:rPr>
          <w:lang w:val="en-CA" w:eastAsia="en-AU"/>
        </w:rPr>
        <w:t>efficiencies</w:t>
      </w:r>
      <w:r w:rsidR="001C564F" w:rsidRPr="00350EBB">
        <w:rPr>
          <w:lang w:val="en-CA" w:eastAsia="en-AU"/>
        </w:rPr>
        <w:t xml:space="preserve"> in establish</w:t>
      </w:r>
      <w:r w:rsidR="001C564F">
        <w:rPr>
          <w:lang w:val="en-CA" w:eastAsia="en-AU"/>
        </w:rPr>
        <w:t>ing</w:t>
      </w:r>
      <w:r w:rsidR="001C564F" w:rsidRPr="00350EBB">
        <w:rPr>
          <w:lang w:val="en-CA" w:eastAsia="en-AU"/>
        </w:rPr>
        <w:t xml:space="preserve"> a </w:t>
      </w:r>
      <w:r w:rsidR="001C564F">
        <w:rPr>
          <w:lang w:val="en-CA" w:eastAsia="en-AU"/>
        </w:rPr>
        <w:t>national</w:t>
      </w:r>
      <w:r w:rsidR="001C564F" w:rsidRPr="00350EBB">
        <w:rPr>
          <w:lang w:val="en-CA" w:eastAsia="en-AU"/>
        </w:rPr>
        <w:t xml:space="preserve"> AT</w:t>
      </w:r>
      <w:r w:rsidR="001C564F">
        <w:rPr>
          <w:lang w:val="en-CA" w:eastAsia="en-AU"/>
        </w:rPr>
        <w:t xml:space="preserve"> administrative</w:t>
      </w:r>
      <w:r w:rsidR="001C564F" w:rsidRPr="00350EBB">
        <w:rPr>
          <w:lang w:val="en-CA" w:eastAsia="en-AU"/>
        </w:rPr>
        <w:t xml:space="preserve"> </w:t>
      </w:r>
      <w:r w:rsidR="001C564F">
        <w:rPr>
          <w:lang w:val="en-CA" w:eastAsia="en-AU"/>
        </w:rPr>
        <w:t>agency</w:t>
      </w:r>
      <w:r>
        <w:rPr>
          <w:lang w:val="en-CA" w:eastAsia="en-AU"/>
        </w:rPr>
        <w:t xml:space="preserve"> </w:t>
      </w:r>
      <w:r w:rsidR="001C564F">
        <w:rPr>
          <w:lang w:val="en-CA"/>
        </w:rPr>
        <w:t xml:space="preserve">to contract suppliers, </w:t>
      </w:r>
      <w:r w:rsidR="001C564F" w:rsidRPr="00350EBB">
        <w:rPr>
          <w:lang w:val="en-CA"/>
        </w:rPr>
        <w:t>procure</w:t>
      </w:r>
      <w:r w:rsidR="001C564F">
        <w:rPr>
          <w:lang w:val="en-CA"/>
        </w:rPr>
        <w:t xml:space="preserve"> AT equipment, </w:t>
      </w:r>
      <w:r w:rsidR="00270A84">
        <w:rPr>
          <w:lang w:val="en-CA"/>
        </w:rPr>
        <w:t>and</w:t>
      </w:r>
      <w:r w:rsidR="001C564F">
        <w:rPr>
          <w:lang w:val="en-CA"/>
        </w:rPr>
        <w:t xml:space="preserve"> </w:t>
      </w:r>
      <w:r w:rsidR="001C564F" w:rsidRPr="00350EBB">
        <w:rPr>
          <w:lang w:val="en-CA"/>
        </w:rPr>
        <w:t>packag</w:t>
      </w:r>
      <w:r w:rsidR="001C564F">
        <w:rPr>
          <w:lang w:val="en-CA"/>
        </w:rPr>
        <w:t>e</w:t>
      </w:r>
      <w:r w:rsidR="001C564F" w:rsidRPr="00350EBB">
        <w:rPr>
          <w:lang w:val="en-CA"/>
        </w:rPr>
        <w:t xml:space="preserve"> and distribu</w:t>
      </w:r>
      <w:r w:rsidR="001C564F">
        <w:rPr>
          <w:lang w:val="en-CA"/>
        </w:rPr>
        <w:t>te</w:t>
      </w:r>
      <w:r w:rsidR="001C564F" w:rsidRPr="00350EBB">
        <w:rPr>
          <w:lang w:val="en-CA"/>
        </w:rPr>
        <w:t xml:space="preserve"> AT products </w:t>
      </w:r>
      <w:r w:rsidR="001C564F">
        <w:rPr>
          <w:lang w:val="en-CA"/>
        </w:rPr>
        <w:t>to</w:t>
      </w:r>
      <w:r w:rsidR="001C564F" w:rsidRPr="00350EBB">
        <w:rPr>
          <w:lang w:val="en-CA"/>
        </w:rPr>
        <w:t xml:space="preserve"> consumers</w:t>
      </w:r>
      <w:r w:rsidR="00F80723">
        <w:rPr>
          <w:lang w:val="en-CA"/>
        </w:rPr>
        <w:t xml:space="preserve">. </w:t>
      </w:r>
    </w:p>
    <w:p w14:paraId="7A32297F" w14:textId="77777777" w:rsidR="001C564F" w:rsidRPr="00350EBB" w:rsidRDefault="001C564F" w:rsidP="001C564F">
      <w:pPr>
        <w:pStyle w:val="Paragraph"/>
        <w:rPr>
          <w:lang w:val="en-CA"/>
        </w:rPr>
      </w:pPr>
      <w:r>
        <w:rPr>
          <w:lang w:val="en-CA"/>
        </w:rPr>
        <w:t>The AT administration agency could also manage all AT procurement and delivery for aged care programs.</w:t>
      </w:r>
    </w:p>
    <w:p w14:paraId="716EF20F" w14:textId="229212D1" w:rsidR="001C564F" w:rsidRDefault="001C564F" w:rsidP="00A67346">
      <w:pPr>
        <w:pStyle w:val="ParaKeep"/>
        <w:rPr>
          <w:lang w:val="en-CA" w:eastAsia="en-AU"/>
        </w:rPr>
      </w:pPr>
      <w:r>
        <w:rPr>
          <w:lang w:val="en-CA" w:eastAsia="en-AU"/>
        </w:rPr>
        <w:t>The option of a</w:t>
      </w:r>
      <w:r w:rsidR="00915A83">
        <w:rPr>
          <w:lang w:val="en-CA" w:eastAsia="en-AU"/>
        </w:rPr>
        <w:t>n</w:t>
      </w:r>
      <w:r>
        <w:rPr>
          <w:lang w:val="en-CA" w:eastAsia="en-AU"/>
        </w:rPr>
        <w:t xml:space="preserve"> AT administration</w:t>
      </w:r>
      <w:r w:rsidR="00915A83">
        <w:rPr>
          <w:lang w:val="en-CA" w:eastAsia="en-AU"/>
        </w:rPr>
        <w:t xml:space="preserve"> </w:t>
      </w:r>
      <w:r>
        <w:rPr>
          <w:lang w:val="en-CA" w:eastAsia="en-AU"/>
        </w:rPr>
        <w:t>agency has been included and costed on the following basis:</w:t>
      </w:r>
    </w:p>
    <w:p w14:paraId="48490C48" w14:textId="1D9EA64F" w:rsidR="001C564F" w:rsidRPr="000A45A2" w:rsidRDefault="001C564F" w:rsidP="001C564F">
      <w:pPr>
        <w:pStyle w:val="Bullet1"/>
        <w:numPr>
          <w:ilvl w:val="0"/>
          <w:numId w:val="2"/>
        </w:numPr>
      </w:pPr>
      <w:r w:rsidRPr="000A45A2">
        <w:rPr>
          <w:lang w:val="en-CA"/>
        </w:rPr>
        <w:t xml:space="preserve">If the agency administers ADL kits </w:t>
      </w:r>
      <w:r>
        <w:rPr>
          <w:lang w:val="en-CA"/>
        </w:rPr>
        <w:t xml:space="preserve">only </w:t>
      </w:r>
      <w:r w:rsidRPr="000A45A2">
        <w:rPr>
          <w:lang w:val="en-CA"/>
        </w:rPr>
        <w:t>(which are estimated to have an average cost of $121.47), 50% administration costs have been included for contracting suppliers, packaging and distribution costs</w:t>
      </w:r>
      <w:r w:rsidR="00F72E3B">
        <w:rPr>
          <w:lang w:val="en-CA"/>
        </w:rPr>
        <w:t>.</w:t>
      </w:r>
    </w:p>
    <w:p w14:paraId="3568F01D" w14:textId="452843A2" w:rsidR="001C564F" w:rsidRDefault="001C564F" w:rsidP="001C564F">
      <w:pPr>
        <w:pStyle w:val="Bullet1"/>
        <w:numPr>
          <w:ilvl w:val="0"/>
          <w:numId w:val="2"/>
        </w:numPr>
      </w:pPr>
      <w:r>
        <w:t>If the agency administers all AT products supplied under the CHSP program, then an estimated administration cost of 30% has been added for contracting suppliers, procurement, packaging and distribution. The administration costs are lower compared to the</w:t>
      </w:r>
      <w:r w:rsidRPr="00C9231B">
        <w:t xml:space="preserve"> administration costs</w:t>
      </w:r>
      <w:r>
        <w:t xml:space="preserve"> for ADL kits as there are single AT items that do not require packaging into kits</w:t>
      </w:r>
      <w:r w:rsidR="00F72E3B">
        <w:t>.</w:t>
      </w:r>
    </w:p>
    <w:p w14:paraId="4D51085B" w14:textId="0C1C7E64" w:rsidR="00F14006" w:rsidRDefault="00F14006" w:rsidP="00A67346">
      <w:pPr>
        <w:pStyle w:val="Paragraph"/>
      </w:pPr>
      <w:r>
        <w:rPr>
          <w:lang w:val="en-CA"/>
        </w:rPr>
        <w:t xml:space="preserve">The administration of the </w:t>
      </w:r>
      <w:r>
        <w:t>National Epidermolysis Bullosa (EB) Dressing Scheme is a model that could be considered as an example of the type of central administration process that is required (see</w:t>
      </w:r>
      <w:r>
        <w:rPr>
          <w:b/>
          <w:bCs/>
        </w:rPr>
        <w:t xml:space="preserve"> </w:t>
      </w:r>
      <w:hyperlink r:id="rId43" w:history="1">
        <w:r w:rsidR="009B0D00" w:rsidRPr="009B0D00">
          <w:rPr>
            <w:rStyle w:val="Hyperlink"/>
            <w:bCs/>
            <w:noProof w:val="0"/>
          </w:rPr>
          <w:t>EB Dressings</w:t>
        </w:r>
      </w:hyperlink>
      <w:r w:rsidR="009B0D00">
        <w:rPr>
          <w:b/>
          <w:bCs/>
        </w:rPr>
        <w:t xml:space="preserve"> </w:t>
      </w:r>
      <w:r w:rsidR="009B0D00" w:rsidRPr="009B0D00">
        <w:rPr>
          <w:noProof/>
        </w:rPr>
        <w:t>webpage</w:t>
      </w:r>
      <w:r>
        <w:t xml:space="preserve"> for further details).</w:t>
      </w:r>
    </w:p>
    <w:p w14:paraId="2D2F74D3" w14:textId="77777777" w:rsidR="00143C46" w:rsidRDefault="00143C46">
      <w:pPr>
        <w:rPr>
          <w:b/>
          <w:sz w:val="24"/>
        </w:rPr>
      </w:pPr>
      <w:r>
        <w:rPr>
          <w:b/>
          <w:sz w:val="24"/>
        </w:rPr>
        <w:br w:type="page"/>
      </w:r>
    </w:p>
    <w:p w14:paraId="38BA7B3A" w14:textId="781DE036" w:rsidR="00F14006" w:rsidRPr="00143C46" w:rsidRDefault="00F14006" w:rsidP="00143C46">
      <w:pPr>
        <w:rPr>
          <w:b/>
          <w:sz w:val="24"/>
        </w:rPr>
      </w:pPr>
      <w:r w:rsidRPr="00143C46">
        <w:rPr>
          <w:b/>
          <w:sz w:val="24"/>
        </w:rPr>
        <w:lastRenderedPageBreak/>
        <w:t>National Epidermolysis Bullosa (EB) Dressing Scheme</w:t>
      </w:r>
    </w:p>
    <w:p w14:paraId="651636AF" w14:textId="2BFB7469" w:rsidR="00F14006" w:rsidRDefault="00F14006" w:rsidP="00A67346">
      <w:pPr>
        <w:pStyle w:val="Paragraph"/>
        <w:rPr>
          <w:lang w:val="en-CA"/>
        </w:rPr>
      </w:pPr>
      <w:r w:rsidRPr="00701241">
        <w:rPr>
          <w:lang w:val="en-CA"/>
        </w:rPr>
        <w:t xml:space="preserve">The National Epidermolysis Bullosa (EB) Dressing Scheme is managed by </w:t>
      </w:r>
      <w:r w:rsidR="001945F1">
        <w:rPr>
          <w:lang w:val="en-CA"/>
        </w:rPr>
        <w:t>an external contractor</w:t>
      </w:r>
      <w:r w:rsidRPr="00701241">
        <w:rPr>
          <w:lang w:val="en-CA"/>
        </w:rPr>
        <w:t xml:space="preserve"> for</w:t>
      </w:r>
      <w:r w:rsidR="003F7D1C">
        <w:rPr>
          <w:lang w:val="en-CA"/>
        </w:rPr>
        <w:t xml:space="preserve"> the</w:t>
      </w:r>
      <w:r w:rsidRPr="00701241">
        <w:rPr>
          <w:lang w:val="en-CA"/>
        </w:rPr>
        <w:t xml:space="preserve"> Australian Government Department of Health.</w:t>
      </w:r>
    </w:p>
    <w:p w14:paraId="203CD6E1" w14:textId="77777777" w:rsidR="00F14006" w:rsidRDefault="00F14006" w:rsidP="00A67346">
      <w:pPr>
        <w:pStyle w:val="Paragraph"/>
        <w:rPr>
          <w:lang w:val="en-CA"/>
        </w:rPr>
      </w:pPr>
      <w:r w:rsidRPr="00701241">
        <w:rPr>
          <w:lang w:val="en-CA"/>
        </w:rPr>
        <w:t>Under the National Epidermolysis Bullosa (EB) Dressing scheme, the contractor is responsible for providing dressings for patients with Epidermolysis Bullosa.</w:t>
      </w:r>
    </w:p>
    <w:p w14:paraId="590C4084" w14:textId="19722412" w:rsidR="00F14006" w:rsidRPr="00701241" w:rsidRDefault="00F14006" w:rsidP="003122D1">
      <w:pPr>
        <w:pStyle w:val="Paragraph"/>
        <w:ind w:right="-142"/>
        <w:rPr>
          <w:lang w:val="en-CA"/>
        </w:rPr>
      </w:pPr>
      <w:r>
        <w:rPr>
          <w:lang w:val="en-CA"/>
        </w:rPr>
        <w:t>P</w:t>
      </w:r>
      <w:r w:rsidRPr="00701241">
        <w:rPr>
          <w:lang w:val="en-CA"/>
        </w:rPr>
        <w:t xml:space="preserve">rospective </w:t>
      </w:r>
      <w:r>
        <w:rPr>
          <w:lang w:val="en-CA"/>
        </w:rPr>
        <w:t>consumer</w:t>
      </w:r>
      <w:r w:rsidRPr="00701241">
        <w:rPr>
          <w:lang w:val="en-CA"/>
        </w:rPr>
        <w:t xml:space="preserve">s must first complete an application process with </w:t>
      </w:r>
      <w:r w:rsidR="001945F1">
        <w:rPr>
          <w:lang w:val="en-CA"/>
        </w:rPr>
        <w:t>the contractor</w:t>
      </w:r>
      <w:r w:rsidRPr="00701241">
        <w:rPr>
          <w:lang w:val="en-CA"/>
        </w:rPr>
        <w:t xml:space="preserve"> to confirm eligibility. When eligibility is established, </w:t>
      </w:r>
      <w:r w:rsidR="001945F1">
        <w:rPr>
          <w:lang w:val="en-CA"/>
        </w:rPr>
        <w:t>the contractor</w:t>
      </w:r>
      <w:r w:rsidRPr="00701241">
        <w:rPr>
          <w:lang w:val="en-CA"/>
        </w:rPr>
        <w:t xml:space="preserve"> contacts the </w:t>
      </w:r>
      <w:r>
        <w:rPr>
          <w:lang w:val="en-CA"/>
        </w:rPr>
        <w:t>consumer</w:t>
      </w:r>
      <w:r w:rsidRPr="00701241">
        <w:rPr>
          <w:lang w:val="en-CA"/>
        </w:rPr>
        <w:t xml:space="preserve"> at least one week prior to the scheduled delivery date to confirm order details and organise payment. Orders are delivered directly to the </w:t>
      </w:r>
      <w:r>
        <w:rPr>
          <w:lang w:val="en-CA"/>
        </w:rPr>
        <w:t>consumer</w:t>
      </w:r>
      <w:r w:rsidRPr="00701241">
        <w:rPr>
          <w:lang w:val="en-CA"/>
        </w:rPr>
        <w:t xml:space="preserve"> monthly. </w:t>
      </w:r>
      <w:r w:rsidR="001945F1">
        <w:rPr>
          <w:lang w:val="en-CA"/>
        </w:rPr>
        <w:t>The contractor</w:t>
      </w:r>
      <w:r w:rsidRPr="00701241">
        <w:rPr>
          <w:lang w:val="en-CA"/>
        </w:rPr>
        <w:t xml:space="preserve"> also has </w:t>
      </w:r>
      <w:r w:rsidR="00915A83" w:rsidRPr="00701241">
        <w:rPr>
          <w:lang w:val="en-CA"/>
        </w:rPr>
        <w:t>an</w:t>
      </w:r>
      <w:r w:rsidRPr="00701241">
        <w:rPr>
          <w:lang w:val="en-CA"/>
        </w:rPr>
        <w:t xml:space="preserve"> EB customer support team and provides advice on the products best suited to the </w:t>
      </w:r>
      <w:r>
        <w:rPr>
          <w:lang w:val="en-CA"/>
        </w:rPr>
        <w:t>consumer</w:t>
      </w:r>
      <w:r w:rsidRPr="00701241">
        <w:rPr>
          <w:lang w:val="en-CA"/>
        </w:rPr>
        <w:t>’s needs.</w:t>
      </w:r>
      <w:r w:rsidR="003F7D1C">
        <w:rPr>
          <w:lang w:val="en-CA"/>
        </w:rPr>
        <w:t xml:space="preserve"> </w:t>
      </w:r>
      <w:r w:rsidR="003F7D1C" w:rsidRPr="00701241">
        <w:rPr>
          <w:lang w:val="en-CA"/>
        </w:rPr>
        <w:t xml:space="preserve">As part of its role, the contractor also </w:t>
      </w:r>
      <w:r w:rsidR="003F7D1C">
        <w:rPr>
          <w:lang w:val="en-CA"/>
        </w:rPr>
        <w:t>c</w:t>
      </w:r>
      <w:r w:rsidR="003F7D1C" w:rsidRPr="00701241">
        <w:rPr>
          <w:lang w:val="en-CA"/>
        </w:rPr>
        <w:t>ontracts suppliers</w:t>
      </w:r>
      <w:r w:rsidR="003F7D1C">
        <w:rPr>
          <w:lang w:val="en-CA"/>
        </w:rPr>
        <w:t xml:space="preserve"> </w:t>
      </w:r>
      <w:r w:rsidR="003F7D1C" w:rsidRPr="0099548C">
        <w:rPr>
          <w:lang w:val="en-CA"/>
        </w:rPr>
        <w:t xml:space="preserve">and arranges product delivery to </w:t>
      </w:r>
      <w:r w:rsidR="003F7D1C">
        <w:rPr>
          <w:lang w:val="en-CA"/>
        </w:rPr>
        <w:t>consumer</w:t>
      </w:r>
      <w:r w:rsidR="003F7D1C" w:rsidRPr="0099548C">
        <w:rPr>
          <w:lang w:val="en-CA"/>
        </w:rPr>
        <w:t>s</w:t>
      </w:r>
      <w:r w:rsidR="003F7D1C">
        <w:t xml:space="preserve">. </w:t>
      </w:r>
    </w:p>
    <w:p w14:paraId="6B3B9A99" w14:textId="77777777" w:rsidR="009728D4" w:rsidRPr="009728D4" w:rsidRDefault="009728D4" w:rsidP="00381126">
      <w:pPr>
        <w:pStyle w:val="Heading4"/>
        <w:rPr>
          <w:lang w:val="en-CA"/>
        </w:rPr>
      </w:pPr>
      <w:r w:rsidRPr="009728D4">
        <w:rPr>
          <w:lang w:val="en-CA"/>
        </w:rPr>
        <w:t xml:space="preserve">Leasing and loan arrangements </w:t>
      </w:r>
    </w:p>
    <w:p w14:paraId="39AA9368" w14:textId="17C91446" w:rsidR="00C131B8" w:rsidRDefault="00C131B8" w:rsidP="00A67346">
      <w:pPr>
        <w:pStyle w:val="ParaKeep"/>
        <w:rPr>
          <w:lang w:val="en-CA"/>
        </w:rPr>
      </w:pPr>
      <w:r>
        <w:rPr>
          <w:lang w:val="en-CA"/>
        </w:rPr>
        <w:t>The role of</w:t>
      </w:r>
      <w:r w:rsidDel="003F7D1C">
        <w:rPr>
          <w:lang w:val="en-CA"/>
        </w:rPr>
        <w:t xml:space="preserve"> </w:t>
      </w:r>
      <w:r w:rsidR="003F7D1C">
        <w:rPr>
          <w:lang w:val="en-CA"/>
        </w:rPr>
        <w:t xml:space="preserve">the </w:t>
      </w:r>
      <w:r>
        <w:rPr>
          <w:lang w:val="en-CA"/>
        </w:rPr>
        <w:t>national agency could be extended to include AT equipment leasing and loan arrangements</w:t>
      </w:r>
      <w:r w:rsidR="00F80723">
        <w:rPr>
          <w:lang w:val="en-CA"/>
        </w:rPr>
        <w:t xml:space="preserve">. </w:t>
      </w:r>
      <w:r>
        <w:rPr>
          <w:lang w:val="en-CA"/>
        </w:rPr>
        <w:t>One option is to consider the development of short-term equipment loan or leasing arrangements with Independent Living Centres or State Aids and Equipment Programs, to facilitate consumer ‘try before you buy’ options</w:t>
      </w:r>
      <w:r w:rsidR="00F80723">
        <w:rPr>
          <w:lang w:val="en-CA"/>
        </w:rPr>
        <w:t xml:space="preserve">. </w:t>
      </w:r>
      <w:r>
        <w:rPr>
          <w:lang w:val="en-CA"/>
        </w:rPr>
        <w:t xml:space="preserve">Another option may be to explore no-interest loans to consumers on low incomes to purchase high cost AT. This has proven an effective </w:t>
      </w:r>
      <w:r w:rsidR="00F72E3B">
        <w:rPr>
          <w:lang w:val="en-CA"/>
        </w:rPr>
        <w:t>strategy to</w:t>
      </w:r>
      <w:r>
        <w:rPr>
          <w:lang w:val="en-CA"/>
        </w:rPr>
        <w:t xml:space="preserve"> increase access, facilitate some program cost recovery and could also be considered as part of the AT administration agency role</w:t>
      </w:r>
      <w:r w:rsidR="00F80723">
        <w:rPr>
          <w:lang w:val="en-CA"/>
        </w:rPr>
        <w:t xml:space="preserve">. </w:t>
      </w:r>
      <w:r>
        <w:rPr>
          <w:lang w:val="en-CA"/>
        </w:rPr>
        <w:t xml:space="preserve">This would however need to be further examined as part of the detailed program design phase and could be included as part of a pilot. </w:t>
      </w:r>
    </w:p>
    <w:p w14:paraId="5FE5C1F0" w14:textId="4C8D726F" w:rsidR="00DD6ACA" w:rsidRDefault="00C131B8" w:rsidP="00C131B8">
      <w:pPr>
        <w:pStyle w:val="Paragraph"/>
      </w:pPr>
      <w:r>
        <w:rPr>
          <w:lang w:val="en-CA"/>
        </w:rPr>
        <w:t xml:space="preserve">An AT Solutions provider could be contracted </w:t>
      </w:r>
      <w:r>
        <w:t>to undertake AT procurement and supply, as well as operate the AT Solutions suite of services.</w:t>
      </w:r>
    </w:p>
    <w:p w14:paraId="696BDF6B" w14:textId="77777777" w:rsidR="00DD6ACA" w:rsidRDefault="00DD6ACA">
      <w:pPr>
        <w:rPr>
          <w:color w:val="000000" w:themeColor="text1"/>
          <w:lang w:eastAsia="en-US"/>
        </w:rPr>
      </w:pPr>
      <w:r>
        <w:br w:type="page"/>
      </w:r>
    </w:p>
    <w:p w14:paraId="60A1618A" w14:textId="77777777" w:rsidR="00292794" w:rsidRDefault="00292794" w:rsidP="00292794">
      <w:pPr>
        <w:pStyle w:val="Heading2"/>
        <w:rPr>
          <w:lang w:val="en-CA"/>
        </w:rPr>
      </w:pPr>
      <w:bookmarkStart w:id="240" w:name="_Ref42673156"/>
      <w:bookmarkStart w:id="241" w:name="_Toc59402384"/>
      <w:r>
        <w:rPr>
          <w:lang w:val="en-CA"/>
        </w:rPr>
        <w:lastRenderedPageBreak/>
        <w:t>Program options</w:t>
      </w:r>
      <w:bookmarkEnd w:id="237"/>
      <w:bookmarkEnd w:id="238"/>
      <w:bookmarkEnd w:id="240"/>
      <w:bookmarkEnd w:id="241"/>
    </w:p>
    <w:p w14:paraId="4F2F1617" w14:textId="720958EC" w:rsidR="00AD7213" w:rsidRDefault="00625B7C" w:rsidP="00AD7213">
      <w:pPr>
        <w:pStyle w:val="Paragraph"/>
      </w:pPr>
      <w:r>
        <w:rPr>
          <w:lang w:val="en-CA"/>
        </w:rPr>
        <w:t>Nine program options have been costed and modelled for benefits to the consumer, carers and the Department as system manager</w:t>
      </w:r>
      <w:r w:rsidRPr="00FB1B5F">
        <w:t xml:space="preserve"> </w:t>
      </w:r>
      <w:r w:rsidR="00AD7213" w:rsidRPr="00FB1B5F">
        <w:t>(</w:t>
      </w:r>
      <w:r w:rsidR="00DD6ACA">
        <w:rPr>
          <w:i/>
          <w:iCs/>
        </w:rPr>
        <w:fldChar w:fldCharType="begin"/>
      </w:r>
      <w:r w:rsidR="00DD6ACA">
        <w:instrText xml:space="preserve"> REF _Ref59323374 \h </w:instrText>
      </w:r>
      <w:r w:rsidR="00DD6ACA">
        <w:rPr>
          <w:i/>
          <w:iCs/>
        </w:rPr>
      </w:r>
      <w:r w:rsidR="00DD6ACA">
        <w:rPr>
          <w:i/>
          <w:iCs/>
        </w:rPr>
        <w:fldChar w:fldCharType="separate"/>
      </w:r>
      <w:r w:rsidR="00CC3F04">
        <w:t>Table </w:t>
      </w:r>
      <w:r w:rsidR="00CC3F04">
        <w:rPr>
          <w:noProof/>
        </w:rPr>
        <w:t>4</w:t>
      </w:r>
      <w:r w:rsidR="00CC3F04">
        <w:noBreakHyphen/>
      </w:r>
      <w:r w:rsidR="00CC3F04">
        <w:rPr>
          <w:noProof/>
        </w:rPr>
        <w:t>3</w:t>
      </w:r>
      <w:r w:rsidR="00DD6ACA">
        <w:rPr>
          <w:i/>
          <w:iCs/>
        </w:rPr>
        <w:fldChar w:fldCharType="end"/>
      </w:r>
      <w:r w:rsidR="00AD7213" w:rsidRPr="00FB1B5F">
        <w:t>)</w:t>
      </w:r>
      <w:r w:rsidR="00AD7213">
        <w:t>.</w:t>
      </w:r>
      <w:r w:rsidR="00410F76">
        <w:t xml:space="preserve"> </w:t>
      </w:r>
      <w:r w:rsidR="00AD7213" w:rsidRPr="00FB1B5F">
        <w:t xml:space="preserve">Each option </w:t>
      </w:r>
      <w:r w:rsidR="00DA3B41">
        <w:t>could be adopted</w:t>
      </w:r>
      <w:r w:rsidR="00AD7213" w:rsidRPr="00FB1B5F">
        <w:t xml:space="preserve"> in isolation, or in combination as long as the c</w:t>
      </w:r>
      <w:r w:rsidR="00AD7213">
        <w:t>onsumers</w:t>
      </w:r>
      <w:r w:rsidR="00AD7213" w:rsidRPr="00FB1B5F">
        <w:t xml:space="preserve"> in each group do not overlap. </w:t>
      </w:r>
    </w:p>
    <w:p w14:paraId="3B64464E" w14:textId="351BAE7B" w:rsidR="009E5295" w:rsidRDefault="00DD6ACA" w:rsidP="00143C46">
      <w:bookmarkStart w:id="242" w:name="_Ref59323374"/>
      <w:bookmarkStart w:id="243" w:name="_Toc59402405"/>
      <w:r>
        <w:t>Table </w:t>
      </w:r>
      <w:r>
        <w:fldChar w:fldCharType="begin"/>
      </w:r>
      <w:r>
        <w:instrText xml:space="preserve"> STYLEREF 1 \s </w:instrText>
      </w:r>
      <w:r>
        <w:fldChar w:fldCharType="separate"/>
      </w:r>
      <w:r w:rsidR="00CC3F04">
        <w:rPr>
          <w:noProof/>
        </w:rPr>
        <w:t>4</w:t>
      </w:r>
      <w:r>
        <w:fldChar w:fldCharType="end"/>
      </w:r>
      <w:r w:rsidR="003122D1">
        <w:t>-3</w:t>
      </w:r>
      <w:bookmarkEnd w:id="242"/>
      <w:r>
        <w:t>:</w:t>
      </w:r>
      <w:r>
        <w:tab/>
      </w:r>
      <w:r w:rsidRPr="00736110">
        <w:t xml:space="preserve">AT </w:t>
      </w:r>
      <w:r>
        <w:t>program options, cohort costs</w:t>
      </w:r>
      <w:r w:rsidRPr="00736110">
        <w:t xml:space="preserve"> and return on investment</w:t>
      </w:r>
      <w:bookmarkEnd w:id="243"/>
    </w:p>
    <w:tbl>
      <w:tblPr>
        <w:tblStyle w:val="AHALight"/>
        <w:tblW w:w="5000" w:type="pct"/>
        <w:tblLook w:val="06A0" w:firstRow="1" w:lastRow="0" w:firstColumn="1" w:lastColumn="0" w:noHBand="1" w:noVBand="1"/>
        <w:tblDescription w:val="Summary of AT program options, cohort costs and return on investment."/>
      </w:tblPr>
      <w:tblGrid>
        <w:gridCol w:w="1276"/>
        <w:gridCol w:w="3827"/>
        <w:gridCol w:w="993"/>
        <w:gridCol w:w="1559"/>
        <w:gridCol w:w="1984"/>
      </w:tblGrid>
      <w:tr w:rsidR="009E5295" w14:paraId="58F724AB" w14:textId="77777777" w:rsidTr="00216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Mar>
              <w:left w:w="57" w:type="dxa"/>
              <w:right w:w="57" w:type="dxa"/>
            </w:tcMar>
          </w:tcPr>
          <w:p w14:paraId="5E0EBE93" w14:textId="77777777" w:rsidR="009E5295" w:rsidRDefault="009E5295" w:rsidP="0021642C">
            <w:pPr>
              <w:pStyle w:val="TableHeading1"/>
            </w:pPr>
            <w:r>
              <w:t>Type</w:t>
            </w:r>
          </w:p>
        </w:tc>
        <w:tc>
          <w:tcPr>
            <w:tcW w:w="3827" w:type="dxa"/>
            <w:tcMar>
              <w:left w:w="57" w:type="dxa"/>
              <w:right w:w="57" w:type="dxa"/>
            </w:tcMar>
          </w:tcPr>
          <w:p w14:paraId="76B2086E" w14:textId="77777777" w:rsidR="009E5295" w:rsidRDefault="009E5295" w:rsidP="0021642C">
            <w:pPr>
              <w:pStyle w:val="TableHeading1"/>
              <w:cnfStyle w:val="100000000000" w:firstRow="1" w:lastRow="0" w:firstColumn="0" w:lastColumn="0" w:oddVBand="0" w:evenVBand="0" w:oddHBand="0" w:evenHBand="0" w:firstRowFirstColumn="0" w:firstRowLastColumn="0" w:lastRowFirstColumn="0" w:lastRowLastColumn="0"/>
            </w:pPr>
            <w:r>
              <w:t>Program options</w:t>
            </w:r>
          </w:p>
        </w:tc>
        <w:tc>
          <w:tcPr>
            <w:tcW w:w="993" w:type="dxa"/>
            <w:tcMar>
              <w:left w:w="57" w:type="dxa"/>
              <w:right w:w="57" w:type="dxa"/>
            </w:tcMar>
          </w:tcPr>
          <w:p w14:paraId="26FA6DE8" w14:textId="77777777" w:rsidR="009E5295" w:rsidRDefault="009E5295" w:rsidP="0021642C">
            <w:pPr>
              <w:pStyle w:val="TableHeading1"/>
              <w:jc w:val="center"/>
              <w:cnfStyle w:val="100000000000" w:firstRow="1" w:lastRow="0" w:firstColumn="0" w:lastColumn="0" w:oddVBand="0" w:evenVBand="0" w:oddHBand="0" w:evenHBand="0" w:firstRowFirstColumn="0" w:firstRowLastColumn="0" w:lastRowFirstColumn="0" w:lastRowLastColumn="0"/>
            </w:pPr>
            <w:r>
              <w:t>Cohort</w:t>
            </w:r>
          </w:p>
        </w:tc>
        <w:tc>
          <w:tcPr>
            <w:tcW w:w="1559" w:type="dxa"/>
            <w:tcMar>
              <w:left w:w="57" w:type="dxa"/>
              <w:right w:w="57" w:type="dxa"/>
            </w:tcMar>
          </w:tcPr>
          <w:p w14:paraId="70572031" w14:textId="77777777" w:rsidR="009E5295" w:rsidRDefault="009E5295" w:rsidP="0021642C">
            <w:pPr>
              <w:pStyle w:val="TableHeading1"/>
              <w:jc w:val="center"/>
              <w:cnfStyle w:val="100000000000" w:firstRow="1" w:lastRow="0" w:firstColumn="0" w:lastColumn="0" w:oddVBand="0" w:evenVBand="0" w:oddHBand="0" w:evenHBand="0" w:firstRowFirstColumn="0" w:firstRowLastColumn="0" w:lastRowFirstColumn="0" w:lastRowLastColumn="0"/>
            </w:pPr>
            <w:r>
              <w:t>Cost per year</w:t>
            </w:r>
            <w:r>
              <w:br/>
              <w:t>($ millions)</w:t>
            </w:r>
          </w:p>
        </w:tc>
        <w:tc>
          <w:tcPr>
            <w:tcW w:w="1984" w:type="dxa"/>
            <w:tcMar>
              <w:left w:w="57" w:type="dxa"/>
              <w:right w:w="57" w:type="dxa"/>
            </w:tcMar>
          </w:tcPr>
          <w:p w14:paraId="597AD982" w14:textId="77777777" w:rsidR="009E5295" w:rsidRDefault="009E5295" w:rsidP="0021642C">
            <w:pPr>
              <w:pStyle w:val="TableHeading1"/>
              <w:jc w:val="center"/>
              <w:cnfStyle w:val="100000000000" w:firstRow="1" w:lastRow="0" w:firstColumn="0" w:lastColumn="0" w:oddVBand="0" w:evenVBand="0" w:oddHBand="0" w:evenHBand="0" w:firstRowFirstColumn="0" w:firstRowLastColumn="0" w:lastRowFirstColumn="0" w:lastRowLastColumn="0"/>
            </w:pPr>
            <w:r>
              <w:t>ROI</w:t>
            </w:r>
            <w:r>
              <w:br/>
              <w:t>(for every $1 spent)</w:t>
            </w:r>
          </w:p>
        </w:tc>
      </w:tr>
      <w:tr w:rsidR="009E5295" w14:paraId="7722E8C8" w14:textId="77777777" w:rsidTr="0021642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79C1" w:themeColor="text2"/>
              <w:bottom w:val="single" w:sz="4" w:space="0" w:color="F2F2F2" w:themeColor="background1" w:themeShade="F2"/>
            </w:tcBorders>
            <w:shd w:val="clear" w:color="auto" w:fill="F2F2F2" w:themeFill="background1" w:themeFillShade="F2"/>
            <w:tcMar>
              <w:left w:w="57" w:type="dxa"/>
              <w:right w:w="57" w:type="dxa"/>
            </w:tcMar>
          </w:tcPr>
          <w:p w14:paraId="1C46A929" w14:textId="77777777" w:rsidR="009E5295" w:rsidRDefault="009E5295" w:rsidP="0021642C">
            <w:pPr>
              <w:pStyle w:val="TableText"/>
            </w:pPr>
            <w:r>
              <w:t>ADL kits</w:t>
            </w:r>
          </w:p>
        </w:tc>
        <w:tc>
          <w:tcPr>
            <w:tcW w:w="3827" w:type="dxa"/>
            <w:tcBorders>
              <w:top w:val="single" w:sz="4" w:space="0" w:color="0079C1" w:themeColor="text2"/>
              <w:bottom w:val="single" w:sz="4" w:space="0" w:color="FFFFFF" w:themeColor="background1"/>
            </w:tcBorders>
            <w:shd w:val="clear" w:color="auto" w:fill="E2F4FF" w:themeFill="accent1" w:themeFillTint="33"/>
            <w:tcMar>
              <w:left w:w="57" w:type="dxa"/>
              <w:right w:w="57" w:type="dxa"/>
            </w:tcMar>
          </w:tcPr>
          <w:p w14:paraId="5DD45918" w14:textId="77777777" w:rsidR="009E5295" w:rsidRDefault="009E5295" w:rsidP="0021642C">
            <w:pPr>
              <w:pStyle w:val="TableList1"/>
              <w:cnfStyle w:val="000000000000" w:firstRow="0" w:lastRow="0" w:firstColumn="0" w:lastColumn="0" w:oddVBand="0" w:evenVBand="0" w:oddHBand="0" w:evenHBand="0" w:firstRowFirstColumn="0" w:firstRowLastColumn="0" w:lastRowFirstColumn="0" w:lastRowLastColumn="0"/>
            </w:pPr>
            <w:r>
              <w:t>Consumers outside aged care system</w:t>
            </w:r>
          </w:p>
        </w:tc>
        <w:tc>
          <w:tcPr>
            <w:tcW w:w="993" w:type="dxa"/>
            <w:tcBorders>
              <w:top w:val="single" w:sz="4" w:space="0" w:color="0079C1" w:themeColor="text2"/>
              <w:bottom w:val="single" w:sz="4" w:space="0" w:color="FFFFFF" w:themeColor="background1"/>
            </w:tcBorders>
            <w:shd w:val="clear" w:color="auto" w:fill="E2F4FF" w:themeFill="accent1" w:themeFillTint="33"/>
            <w:tcMar>
              <w:left w:w="57" w:type="dxa"/>
              <w:right w:w="57" w:type="dxa"/>
            </w:tcMar>
          </w:tcPr>
          <w:p w14:paraId="366AC755" w14:textId="77777777" w:rsidR="009E5295" w:rsidRPr="00401F7D"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16,521</w:t>
            </w:r>
          </w:p>
        </w:tc>
        <w:tc>
          <w:tcPr>
            <w:tcW w:w="1559" w:type="dxa"/>
            <w:tcBorders>
              <w:top w:val="single" w:sz="4" w:space="0" w:color="0079C1" w:themeColor="text2"/>
              <w:bottom w:val="single" w:sz="4" w:space="0" w:color="BFE7FF" w:themeColor="text2" w:themeTint="33"/>
            </w:tcBorders>
            <w:shd w:val="clear" w:color="auto" w:fill="0079C1" w:themeFill="text2"/>
            <w:tcMar>
              <w:left w:w="57" w:type="dxa"/>
              <w:right w:w="57" w:type="dxa"/>
            </w:tcMar>
          </w:tcPr>
          <w:p w14:paraId="396DEB02"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$2.0 m</w:t>
            </w:r>
          </w:p>
        </w:tc>
        <w:tc>
          <w:tcPr>
            <w:tcW w:w="1984" w:type="dxa"/>
            <w:tcBorders>
              <w:top w:val="single" w:sz="4" w:space="0" w:color="0079C1" w:themeColor="text2"/>
              <w:bottom w:val="single" w:sz="4" w:space="0" w:color="BFE7FF" w:themeColor="text2" w:themeTint="33"/>
            </w:tcBorders>
            <w:shd w:val="clear" w:color="auto" w:fill="005990" w:themeFill="text2" w:themeFillShade="BF"/>
            <w:tcMar>
              <w:left w:w="57" w:type="dxa"/>
              <w:right w:w="57" w:type="dxa"/>
            </w:tcMar>
          </w:tcPr>
          <w:p w14:paraId="48DD917B"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$6.95</w:t>
            </w:r>
          </w:p>
        </w:tc>
      </w:tr>
      <w:tr w:rsidR="009E5295" w14:paraId="509327F2" w14:textId="77777777" w:rsidTr="0021642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4" w:space="0" w:color="F2F2F2" w:themeColor="background1" w:themeShade="F2"/>
            </w:tcBorders>
            <w:shd w:val="clear" w:color="auto" w:fill="F2F2F2" w:themeFill="background1" w:themeFillShade="F2"/>
            <w:tcMar>
              <w:left w:w="57" w:type="dxa"/>
              <w:right w:w="57" w:type="dxa"/>
            </w:tcMar>
          </w:tcPr>
          <w:p w14:paraId="11493D57" w14:textId="77777777" w:rsidR="009E5295" w:rsidRPr="00CC012F" w:rsidRDefault="009E5295" w:rsidP="0021642C">
            <w:pPr>
              <w:pStyle w:val="Invisible"/>
            </w:pPr>
            <w:r w:rsidRPr="00CC012F">
              <w:t>ADL kits</w:t>
            </w:r>
          </w:p>
        </w:tc>
        <w:tc>
          <w:tcPr>
            <w:tcW w:w="3827"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41C2EFAC" w14:textId="77777777" w:rsidR="009E5295" w:rsidRDefault="009E5295" w:rsidP="0021642C">
            <w:pPr>
              <w:pStyle w:val="TableList1"/>
              <w:cnfStyle w:val="000000000000" w:firstRow="0" w:lastRow="0" w:firstColumn="0" w:lastColumn="0" w:oddVBand="0" w:evenVBand="0" w:oddHBand="0" w:evenHBand="0" w:firstRowFirstColumn="0" w:firstRowLastColumn="0" w:lastRowFirstColumn="0" w:lastRowLastColumn="0"/>
            </w:pPr>
            <w:r>
              <w:t>CHSP reablement consumers</w:t>
            </w:r>
          </w:p>
        </w:tc>
        <w:tc>
          <w:tcPr>
            <w:tcW w:w="993"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6E7174BF" w14:textId="77777777" w:rsidR="009E5295" w:rsidRPr="00401F7D"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32,457</w:t>
            </w:r>
          </w:p>
        </w:tc>
        <w:tc>
          <w:tcPr>
            <w:tcW w:w="1559" w:type="dxa"/>
            <w:tcBorders>
              <w:top w:val="single" w:sz="4" w:space="0" w:color="BFE7FF" w:themeColor="text2" w:themeTint="33"/>
              <w:bottom w:val="single" w:sz="4" w:space="0" w:color="BFE7FF" w:themeColor="text2" w:themeTint="33"/>
            </w:tcBorders>
            <w:shd w:val="clear" w:color="auto" w:fill="0079C1" w:themeFill="text2"/>
            <w:tcMar>
              <w:left w:w="57" w:type="dxa"/>
              <w:right w:w="57" w:type="dxa"/>
            </w:tcMar>
          </w:tcPr>
          <w:p w14:paraId="1198A65F"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$3.9 m</w:t>
            </w:r>
          </w:p>
        </w:tc>
        <w:tc>
          <w:tcPr>
            <w:tcW w:w="1984" w:type="dxa"/>
            <w:tcBorders>
              <w:top w:val="single" w:sz="4" w:space="0" w:color="BFE7FF" w:themeColor="text2" w:themeTint="33"/>
              <w:bottom w:val="single" w:sz="4" w:space="0" w:color="BFE7FF" w:themeColor="text2" w:themeTint="33"/>
            </w:tcBorders>
            <w:shd w:val="clear" w:color="auto" w:fill="005990" w:themeFill="text2" w:themeFillShade="BF"/>
            <w:tcMar>
              <w:left w:w="57" w:type="dxa"/>
              <w:right w:w="57" w:type="dxa"/>
            </w:tcMar>
          </w:tcPr>
          <w:p w14:paraId="28333C0B"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$18.13</w:t>
            </w:r>
          </w:p>
        </w:tc>
      </w:tr>
      <w:tr w:rsidR="009E5295" w14:paraId="5A2DC628" w14:textId="77777777" w:rsidTr="0021642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4" w:space="0" w:color="F2F2F2" w:themeColor="background1" w:themeShade="F2"/>
            </w:tcBorders>
            <w:shd w:val="clear" w:color="auto" w:fill="F2F2F2" w:themeFill="background1" w:themeFillShade="F2"/>
            <w:tcMar>
              <w:left w:w="57" w:type="dxa"/>
              <w:right w:w="57" w:type="dxa"/>
            </w:tcMar>
          </w:tcPr>
          <w:p w14:paraId="3870405D" w14:textId="77777777" w:rsidR="009E5295" w:rsidRPr="00CC012F" w:rsidRDefault="009E5295" w:rsidP="0021642C">
            <w:pPr>
              <w:pStyle w:val="Invisible"/>
            </w:pPr>
            <w:r w:rsidRPr="00CC012F">
              <w:t>ADL kits</w:t>
            </w:r>
          </w:p>
        </w:tc>
        <w:tc>
          <w:tcPr>
            <w:tcW w:w="3827"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4561F445" w14:textId="77777777" w:rsidR="009E5295" w:rsidRDefault="009E5295" w:rsidP="0021642C">
            <w:pPr>
              <w:pStyle w:val="TableList1"/>
              <w:cnfStyle w:val="000000000000" w:firstRow="0" w:lastRow="0" w:firstColumn="0" w:lastColumn="0" w:oddVBand="0" w:evenVBand="0" w:oddHBand="0" w:evenHBand="0" w:firstRowFirstColumn="0" w:firstRowLastColumn="0" w:lastRowFirstColumn="0" w:lastRowLastColumn="0"/>
            </w:pPr>
            <w:r>
              <w:t>CHSP reablement and reassessed consumers</w:t>
            </w:r>
          </w:p>
        </w:tc>
        <w:tc>
          <w:tcPr>
            <w:tcW w:w="993"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59E4D5A7" w14:textId="77777777" w:rsidR="009E5295" w:rsidRPr="00401F7D"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64,914</w:t>
            </w:r>
          </w:p>
        </w:tc>
        <w:tc>
          <w:tcPr>
            <w:tcW w:w="1559" w:type="dxa"/>
            <w:tcBorders>
              <w:top w:val="single" w:sz="4" w:space="0" w:color="BFE7FF" w:themeColor="text2" w:themeTint="33"/>
              <w:bottom w:val="single" w:sz="4" w:space="0" w:color="BFE7FF" w:themeColor="text2" w:themeTint="33"/>
            </w:tcBorders>
            <w:shd w:val="clear" w:color="auto" w:fill="0079C1" w:themeFill="text2"/>
            <w:tcMar>
              <w:left w:w="57" w:type="dxa"/>
              <w:right w:w="57" w:type="dxa"/>
            </w:tcMar>
          </w:tcPr>
          <w:p w14:paraId="3AE558A9"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$7.9</w:t>
            </w:r>
          </w:p>
        </w:tc>
        <w:tc>
          <w:tcPr>
            <w:tcW w:w="1984" w:type="dxa"/>
            <w:tcBorders>
              <w:top w:val="single" w:sz="4" w:space="0" w:color="BFE7FF" w:themeColor="text2" w:themeTint="33"/>
              <w:bottom w:val="single" w:sz="4" w:space="0" w:color="BFE7FF" w:themeColor="text2" w:themeTint="33"/>
            </w:tcBorders>
            <w:shd w:val="clear" w:color="auto" w:fill="005990" w:themeFill="text2" w:themeFillShade="BF"/>
            <w:tcMar>
              <w:left w:w="57" w:type="dxa"/>
              <w:right w:w="57" w:type="dxa"/>
            </w:tcMar>
          </w:tcPr>
          <w:p w14:paraId="0B8721F1"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$33.83</w:t>
            </w:r>
          </w:p>
        </w:tc>
      </w:tr>
      <w:tr w:rsidR="009E5295" w14:paraId="53D206B6" w14:textId="77777777" w:rsidTr="0021642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4" w:space="0" w:color="F2F2F2" w:themeColor="background1" w:themeShade="F2"/>
            </w:tcBorders>
            <w:shd w:val="clear" w:color="auto" w:fill="F2F2F2" w:themeFill="background1" w:themeFillShade="F2"/>
            <w:tcMar>
              <w:left w:w="57" w:type="dxa"/>
              <w:right w:w="57" w:type="dxa"/>
            </w:tcMar>
          </w:tcPr>
          <w:p w14:paraId="2917E1CC" w14:textId="77777777" w:rsidR="009E5295" w:rsidRPr="00CC012F" w:rsidRDefault="009E5295" w:rsidP="0021642C">
            <w:pPr>
              <w:pStyle w:val="Invisible"/>
            </w:pPr>
            <w:r w:rsidRPr="00CC012F">
              <w:t>ADL kits</w:t>
            </w:r>
          </w:p>
        </w:tc>
        <w:tc>
          <w:tcPr>
            <w:tcW w:w="3827"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143E0CDA" w14:textId="77777777" w:rsidR="009E5295" w:rsidRDefault="009E5295" w:rsidP="0021642C">
            <w:pPr>
              <w:pStyle w:val="TableList1"/>
              <w:cnfStyle w:val="000000000000" w:firstRow="0" w:lastRow="0" w:firstColumn="0" w:lastColumn="0" w:oddVBand="0" w:evenVBand="0" w:oddHBand="0" w:evenHBand="0" w:firstRowFirstColumn="0" w:firstRowLastColumn="0" w:lastRowFirstColumn="0" w:lastRowLastColumn="0"/>
            </w:pPr>
            <w:r>
              <w:t>New CHSP and reassessed consumers</w:t>
            </w:r>
          </w:p>
        </w:tc>
        <w:tc>
          <w:tcPr>
            <w:tcW w:w="993"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2B7FD473" w14:textId="77777777" w:rsidR="009E5295" w:rsidRPr="00401F7D"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194,780</w:t>
            </w:r>
          </w:p>
        </w:tc>
        <w:tc>
          <w:tcPr>
            <w:tcW w:w="1559" w:type="dxa"/>
            <w:tcBorders>
              <w:top w:val="single" w:sz="4" w:space="0" w:color="BFE7FF" w:themeColor="text2" w:themeTint="33"/>
              <w:bottom w:val="single" w:sz="4" w:space="0" w:color="BFE7FF" w:themeColor="text2" w:themeTint="33"/>
            </w:tcBorders>
            <w:shd w:val="clear" w:color="auto" w:fill="0079C1" w:themeFill="text2"/>
            <w:tcMar>
              <w:left w:w="57" w:type="dxa"/>
              <w:right w:w="57" w:type="dxa"/>
            </w:tcMar>
          </w:tcPr>
          <w:p w14:paraId="6205FDAB"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$23.6 m</w:t>
            </w:r>
          </w:p>
        </w:tc>
        <w:tc>
          <w:tcPr>
            <w:tcW w:w="1984" w:type="dxa"/>
            <w:tcBorders>
              <w:top w:val="single" w:sz="4" w:space="0" w:color="BFE7FF" w:themeColor="text2" w:themeTint="33"/>
              <w:bottom w:val="single" w:sz="4" w:space="0" w:color="BFE7FF" w:themeColor="text2" w:themeTint="33"/>
            </w:tcBorders>
            <w:shd w:val="clear" w:color="auto" w:fill="005990" w:themeFill="text2" w:themeFillShade="BF"/>
            <w:tcMar>
              <w:left w:w="57" w:type="dxa"/>
              <w:right w:w="57" w:type="dxa"/>
            </w:tcMar>
          </w:tcPr>
          <w:p w14:paraId="1AE16450"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$23.71</w:t>
            </w:r>
          </w:p>
        </w:tc>
      </w:tr>
      <w:tr w:rsidR="009E5295" w14:paraId="44115E34" w14:textId="77777777" w:rsidTr="0021642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36" w:space="0" w:color="FFFFFF" w:themeColor="background1"/>
            </w:tcBorders>
            <w:shd w:val="clear" w:color="auto" w:fill="F2F2F2" w:themeFill="background1" w:themeFillShade="F2"/>
            <w:tcMar>
              <w:left w:w="57" w:type="dxa"/>
              <w:right w:w="57" w:type="dxa"/>
            </w:tcMar>
          </w:tcPr>
          <w:p w14:paraId="3B58500E" w14:textId="77777777" w:rsidR="009E5295" w:rsidRPr="00CC012F" w:rsidRDefault="009E5295" w:rsidP="0021642C">
            <w:pPr>
              <w:pStyle w:val="Invisible"/>
            </w:pPr>
            <w:r w:rsidRPr="00CC012F">
              <w:t>ADL kits</w:t>
            </w:r>
          </w:p>
        </w:tc>
        <w:tc>
          <w:tcPr>
            <w:tcW w:w="3827" w:type="dxa"/>
            <w:tcBorders>
              <w:top w:val="single" w:sz="4" w:space="0" w:color="FFFFFF" w:themeColor="background1"/>
              <w:bottom w:val="single" w:sz="36" w:space="0" w:color="FFFFFF" w:themeColor="background1"/>
            </w:tcBorders>
            <w:shd w:val="clear" w:color="auto" w:fill="E2F4FF" w:themeFill="accent1" w:themeFillTint="33"/>
            <w:tcMar>
              <w:left w:w="57" w:type="dxa"/>
              <w:right w:w="57" w:type="dxa"/>
            </w:tcMar>
          </w:tcPr>
          <w:p w14:paraId="4603FE0E" w14:textId="77777777" w:rsidR="009E5295" w:rsidRDefault="009E5295" w:rsidP="0021642C">
            <w:pPr>
              <w:pStyle w:val="TableList1"/>
              <w:cnfStyle w:val="000000000000" w:firstRow="0" w:lastRow="0" w:firstColumn="0" w:lastColumn="0" w:oddVBand="0" w:evenVBand="0" w:oddHBand="0" w:evenHBand="0" w:firstRowFirstColumn="0" w:firstRowLastColumn="0" w:lastRowFirstColumn="0" w:lastRowLastColumn="0"/>
            </w:pPr>
            <w:r>
              <w:t>New HCP level 1 and 2 consumers</w:t>
            </w:r>
          </w:p>
        </w:tc>
        <w:tc>
          <w:tcPr>
            <w:tcW w:w="993" w:type="dxa"/>
            <w:tcBorders>
              <w:top w:val="single" w:sz="4" w:space="0" w:color="FFFFFF" w:themeColor="background1"/>
              <w:bottom w:val="single" w:sz="36" w:space="0" w:color="FFFFFF" w:themeColor="background1"/>
            </w:tcBorders>
            <w:shd w:val="clear" w:color="auto" w:fill="E2F4FF" w:themeFill="accent1" w:themeFillTint="33"/>
            <w:tcMar>
              <w:left w:w="57" w:type="dxa"/>
              <w:right w:w="57" w:type="dxa"/>
            </w:tcMar>
          </w:tcPr>
          <w:p w14:paraId="2236382E" w14:textId="77777777" w:rsidR="009E5295" w:rsidRPr="00401F7D"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43,852</w:t>
            </w:r>
          </w:p>
        </w:tc>
        <w:tc>
          <w:tcPr>
            <w:tcW w:w="1559" w:type="dxa"/>
            <w:tcBorders>
              <w:top w:val="single" w:sz="4" w:space="0" w:color="BFE7FF" w:themeColor="text2" w:themeTint="33"/>
              <w:bottom w:val="single" w:sz="36" w:space="0" w:color="FFFFFF" w:themeColor="background1"/>
            </w:tcBorders>
            <w:shd w:val="clear" w:color="auto" w:fill="0079C1" w:themeFill="text2"/>
            <w:tcMar>
              <w:left w:w="57" w:type="dxa"/>
              <w:right w:w="57" w:type="dxa"/>
            </w:tcMar>
          </w:tcPr>
          <w:p w14:paraId="1515EF11"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$5.3 m</w:t>
            </w:r>
          </w:p>
        </w:tc>
        <w:tc>
          <w:tcPr>
            <w:tcW w:w="1984" w:type="dxa"/>
            <w:tcBorders>
              <w:top w:val="single" w:sz="4" w:space="0" w:color="BFE7FF" w:themeColor="text2" w:themeTint="33"/>
              <w:bottom w:val="single" w:sz="36" w:space="0" w:color="FFFFFF" w:themeColor="background1"/>
            </w:tcBorders>
            <w:shd w:val="clear" w:color="auto" w:fill="005990" w:themeFill="text2" w:themeFillShade="BF"/>
            <w:tcMar>
              <w:left w:w="57" w:type="dxa"/>
              <w:right w:w="57" w:type="dxa"/>
            </w:tcMar>
          </w:tcPr>
          <w:p w14:paraId="0581150E"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$27.36</w:t>
            </w:r>
          </w:p>
        </w:tc>
      </w:tr>
      <w:tr w:rsidR="009E5295" w14:paraId="16BDDBA6" w14:textId="77777777" w:rsidTr="0021642C">
        <w:tc>
          <w:tcPr>
            <w:cnfStyle w:val="001000000000" w:firstRow="0" w:lastRow="0" w:firstColumn="1" w:lastColumn="0" w:oddVBand="0" w:evenVBand="0" w:oddHBand="0" w:evenHBand="0" w:firstRowFirstColumn="0" w:firstRowLastColumn="0" w:lastRowFirstColumn="0" w:lastRowLastColumn="0"/>
            <w:tcW w:w="1276" w:type="dxa"/>
            <w:tcBorders>
              <w:top w:val="single" w:sz="36" w:space="0" w:color="FFFFFF" w:themeColor="background1"/>
              <w:bottom w:val="single" w:sz="4" w:space="0" w:color="F2F2F2" w:themeColor="background1" w:themeShade="F2"/>
            </w:tcBorders>
            <w:shd w:val="clear" w:color="auto" w:fill="F2F2F2" w:themeFill="background1" w:themeFillShade="F2"/>
            <w:tcMar>
              <w:left w:w="57" w:type="dxa"/>
              <w:right w:w="57" w:type="dxa"/>
            </w:tcMar>
          </w:tcPr>
          <w:p w14:paraId="6957B97E" w14:textId="77777777" w:rsidR="009E5295" w:rsidRDefault="009E5295" w:rsidP="0021642C">
            <w:pPr>
              <w:pStyle w:val="TableText"/>
            </w:pPr>
            <w:r>
              <w:t>CHSP AT boost</w:t>
            </w:r>
          </w:p>
        </w:tc>
        <w:tc>
          <w:tcPr>
            <w:tcW w:w="3827" w:type="dxa"/>
            <w:tcBorders>
              <w:top w:val="single" w:sz="36" w:space="0" w:color="FFFFFF" w:themeColor="background1"/>
              <w:bottom w:val="single" w:sz="4" w:space="0" w:color="FFFFFF" w:themeColor="background1"/>
            </w:tcBorders>
            <w:shd w:val="clear" w:color="auto" w:fill="E2F4FF" w:themeFill="accent1" w:themeFillTint="33"/>
            <w:tcMar>
              <w:left w:w="57" w:type="dxa"/>
              <w:right w:w="57" w:type="dxa"/>
            </w:tcMar>
          </w:tcPr>
          <w:p w14:paraId="65741759" w14:textId="77777777" w:rsidR="009E5295" w:rsidRDefault="009E5295" w:rsidP="0021642C">
            <w:pPr>
              <w:pStyle w:val="TableList1"/>
              <w:cnfStyle w:val="000000000000" w:firstRow="0" w:lastRow="0" w:firstColumn="0" w:lastColumn="0" w:oddVBand="0" w:evenVBand="0" w:oddHBand="0" w:evenHBand="0" w:firstRowFirstColumn="0" w:firstRowLastColumn="0" w:lastRowFirstColumn="0" w:lastRowLastColumn="0"/>
            </w:pPr>
            <w:r>
              <w:t>State CHSP AT funding equity</w:t>
            </w:r>
          </w:p>
        </w:tc>
        <w:tc>
          <w:tcPr>
            <w:tcW w:w="993" w:type="dxa"/>
            <w:tcBorders>
              <w:top w:val="single" w:sz="36" w:space="0" w:color="FFFFFF" w:themeColor="background1"/>
              <w:bottom w:val="single" w:sz="4" w:space="0" w:color="FFFFFF" w:themeColor="background1"/>
            </w:tcBorders>
            <w:shd w:val="clear" w:color="auto" w:fill="E2F4FF" w:themeFill="accent1" w:themeFillTint="33"/>
            <w:tcMar>
              <w:left w:w="57" w:type="dxa"/>
              <w:right w:w="57" w:type="dxa"/>
            </w:tcMar>
          </w:tcPr>
          <w:p w14:paraId="31B0A5D9" w14:textId="77777777" w:rsidR="009E5295" w:rsidRPr="00401F7D"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60,301</w:t>
            </w:r>
          </w:p>
        </w:tc>
        <w:tc>
          <w:tcPr>
            <w:tcW w:w="1559" w:type="dxa"/>
            <w:tcBorders>
              <w:top w:val="single" w:sz="36" w:space="0" w:color="FFFFFF" w:themeColor="background1"/>
              <w:bottom w:val="single" w:sz="4" w:space="0" w:color="BFE7FF" w:themeColor="text2" w:themeTint="33"/>
            </w:tcBorders>
            <w:shd w:val="clear" w:color="auto" w:fill="0079C1" w:themeFill="text2"/>
            <w:tcMar>
              <w:left w:w="57" w:type="dxa"/>
              <w:right w:w="57" w:type="dxa"/>
            </w:tcMar>
          </w:tcPr>
          <w:p w14:paraId="60D73A9D"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$22.9 m</w:t>
            </w:r>
          </w:p>
        </w:tc>
        <w:tc>
          <w:tcPr>
            <w:tcW w:w="1984" w:type="dxa"/>
            <w:tcBorders>
              <w:top w:val="single" w:sz="36" w:space="0" w:color="FFFFFF" w:themeColor="background1"/>
              <w:bottom w:val="single" w:sz="4" w:space="0" w:color="BFE7FF" w:themeColor="text2" w:themeTint="33"/>
            </w:tcBorders>
            <w:shd w:val="clear" w:color="auto" w:fill="005990" w:themeFill="text2" w:themeFillShade="BF"/>
            <w:tcMar>
              <w:left w:w="57" w:type="dxa"/>
              <w:right w:w="57" w:type="dxa"/>
            </w:tcMar>
          </w:tcPr>
          <w:p w14:paraId="3BF08F7F"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$15.41</w:t>
            </w:r>
          </w:p>
        </w:tc>
      </w:tr>
      <w:tr w:rsidR="009E5295" w14:paraId="37CA0C3E" w14:textId="77777777" w:rsidTr="0021642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4" w:space="0" w:color="F2F2F2" w:themeColor="background1" w:themeShade="F2"/>
            </w:tcBorders>
            <w:shd w:val="clear" w:color="auto" w:fill="F2F2F2" w:themeFill="background1" w:themeFillShade="F2"/>
            <w:tcMar>
              <w:left w:w="57" w:type="dxa"/>
              <w:right w:w="57" w:type="dxa"/>
            </w:tcMar>
          </w:tcPr>
          <w:p w14:paraId="0CA020FC" w14:textId="77777777" w:rsidR="009E5295" w:rsidRDefault="009E5295" w:rsidP="0021642C">
            <w:pPr>
              <w:pStyle w:val="Invisible"/>
            </w:pPr>
            <w:r>
              <w:t>CHSP AT boost</w:t>
            </w:r>
          </w:p>
        </w:tc>
        <w:tc>
          <w:tcPr>
            <w:tcW w:w="3827"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761E276E" w14:textId="77777777" w:rsidR="009E5295" w:rsidRDefault="009E5295" w:rsidP="0021642C">
            <w:pPr>
              <w:pStyle w:val="TableList1"/>
              <w:cnfStyle w:val="000000000000" w:firstRow="0" w:lastRow="0" w:firstColumn="0" w:lastColumn="0" w:oddVBand="0" w:evenVBand="0" w:oddHBand="0" w:evenHBand="0" w:firstRowFirstColumn="0" w:firstRowLastColumn="0" w:lastRowFirstColumn="0" w:lastRowLastColumn="0"/>
            </w:pPr>
            <w:r>
              <w:t>State CHSP HM funding equity</w:t>
            </w:r>
          </w:p>
        </w:tc>
        <w:tc>
          <w:tcPr>
            <w:tcW w:w="993"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7DDB9687" w14:textId="77777777" w:rsidR="009E5295" w:rsidRPr="00401F7D"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64,354</w:t>
            </w:r>
          </w:p>
        </w:tc>
        <w:tc>
          <w:tcPr>
            <w:tcW w:w="1559" w:type="dxa"/>
            <w:tcBorders>
              <w:top w:val="single" w:sz="4" w:space="0" w:color="BFE7FF" w:themeColor="text2" w:themeTint="33"/>
              <w:bottom w:val="single" w:sz="4" w:space="0" w:color="BFE7FF" w:themeColor="text2" w:themeTint="33"/>
            </w:tcBorders>
            <w:shd w:val="clear" w:color="auto" w:fill="0079C1" w:themeFill="text2"/>
            <w:tcMar>
              <w:left w:w="57" w:type="dxa"/>
              <w:right w:w="57" w:type="dxa"/>
            </w:tcMar>
          </w:tcPr>
          <w:p w14:paraId="6C2AA4B6"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$49.3 m</w:t>
            </w:r>
          </w:p>
        </w:tc>
        <w:tc>
          <w:tcPr>
            <w:tcW w:w="1984" w:type="dxa"/>
            <w:tcBorders>
              <w:top w:val="single" w:sz="4" w:space="0" w:color="BFE7FF" w:themeColor="text2" w:themeTint="33"/>
              <w:bottom w:val="single" w:sz="4" w:space="0" w:color="BFE7FF" w:themeColor="text2" w:themeTint="33"/>
            </w:tcBorders>
            <w:shd w:val="clear" w:color="auto" w:fill="005990" w:themeFill="text2" w:themeFillShade="BF"/>
            <w:tcMar>
              <w:left w:w="57" w:type="dxa"/>
              <w:right w:w="57" w:type="dxa"/>
            </w:tcMar>
          </w:tcPr>
          <w:p w14:paraId="3AFDDB12"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$7.24</w:t>
            </w:r>
          </w:p>
        </w:tc>
      </w:tr>
      <w:tr w:rsidR="009E5295" w14:paraId="3BD3E585" w14:textId="77777777" w:rsidTr="0021642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4" w:space="0" w:color="F2F2F2" w:themeColor="background1" w:themeShade="F2"/>
            </w:tcBorders>
            <w:shd w:val="clear" w:color="auto" w:fill="F2F2F2" w:themeFill="background1" w:themeFillShade="F2"/>
            <w:tcMar>
              <w:left w:w="57" w:type="dxa"/>
              <w:right w:w="57" w:type="dxa"/>
            </w:tcMar>
          </w:tcPr>
          <w:p w14:paraId="5D448408" w14:textId="77777777" w:rsidR="009E5295" w:rsidRDefault="009E5295" w:rsidP="0021642C">
            <w:pPr>
              <w:pStyle w:val="Invisible"/>
            </w:pPr>
            <w:r>
              <w:t>CHSP AT boost</w:t>
            </w:r>
          </w:p>
        </w:tc>
        <w:tc>
          <w:tcPr>
            <w:tcW w:w="3827"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288A1B1F" w14:textId="77777777" w:rsidR="009E5295" w:rsidRDefault="009E5295" w:rsidP="0021642C">
            <w:pPr>
              <w:pStyle w:val="TableList1"/>
              <w:cnfStyle w:val="000000000000" w:firstRow="0" w:lastRow="0" w:firstColumn="0" w:lastColumn="0" w:oddVBand="0" w:evenVBand="0" w:oddHBand="0" w:evenHBand="0" w:firstRowFirstColumn="0" w:firstRowLastColumn="0" w:lastRowFirstColumn="0" w:lastRowLastColumn="0"/>
            </w:pPr>
            <w:r>
              <w:t>State CHSP AT funding parity and expended AT list and $1,500 cap</w:t>
            </w:r>
          </w:p>
        </w:tc>
        <w:tc>
          <w:tcPr>
            <w:tcW w:w="993" w:type="dxa"/>
            <w:tcBorders>
              <w:top w:val="single" w:sz="4" w:space="0" w:color="FFFFFF" w:themeColor="background1"/>
              <w:bottom w:val="single" w:sz="4" w:space="0" w:color="FFFFFF" w:themeColor="background1"/>
            </w:tcBorders>
            <w:shd w:val="clear" w:color="auto" w:fill="E2F4FF" w:themeFill="accent1" w:themeFillTint="33"/>
            <w:tcMar>
              <w:left w:w="57" w:type="dxa"/>
              <w:right w:w="57" w:type="dxa"/>
            </w:tcMar>
          </w:tcPr>
          <w:p w14:paraId="553F4389" w14:textId="77777777" w:rsidR="009E5295" w:rsidRPr="00401F7D"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60,301</w:t>
            </w:r>
          </w:p>
        </w:tc>
        <w:tc>
          <w:tcPr>
            <w:tcW w:w="1559" w:type="dxa"/>
            <w:tcBorders>
              <w:top w:val="single" w:sz="4" w:space="0" w:color="BFE7FF" w:themeColor="text2" w:themeTint="33"/>
              <w:bottom w:val="single" w:sz="4" w:space="0" w:color="BFE7FF" w:themeColor="text2" w:themeTint="33"/>
            </w:tcBorders>
            <w:shd w:val="clear" w:color="auto" w:fill="0079C1" w:themeFill="text2"/>
            <w:tcMar>
              <w:left w:w="57" w:type="dxa"/>
              <w:right w:w="57" w:type="dxa"/>
            </w:tcMar>
          </w:tcPr>
          <w:p w14:paraId="770EBF59"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$63.9 m</w:t>
            </w:r>
          </w:p>
        </w:tc>
        <w:tc>
          <w:tcPr>
            <w:tcW w:w="1984" w:type="dxa"/>
            <w:tcBorders>
              <w:top w:val="single" w:sz="4" w:space="0" w:color="BFE7FF" w:themeColor="text2" w:themeTint="33"/>
              <w:bottom w:val="single" w:sz="4" w:space="0" w:color="BFE7FF" w:themeColor="text2" w:themeTint="33"/>
            </w:tcBorders>
            <w:shd w:val="clear" w:color="auto" w:fill="005990" w:themeFill="text2" w:themeFillShade="BF"/>
            <w:tcMar>
              <w:left w:w="57" w:type="dxa"/>
              <w:right w:w="57" w:type="dxa"/>
            </w:tcMar>
          </w:tcPr>
          <w:p w14:paraId="0BCFBEB5"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$5.15</w:t>
            </w:r>
          </w:p>
        </w:tc>
      </w:tr>
      <w:tr w:rsidR="009E5295" w14:paraId="5CF82835" w14:textId="77777777" w:rsidTr="0021642C">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2F2F2" w:themeColor="background1" w:themeShade="F2"/>
              <w:bottom w:val="single" w:sz="36" w:space="0" w:color="FFFFFF" w:themeColor="background1"/>
            </w:tcBorders>
            <w:shd w:val="clear" w:color="auto" w:fill="F2F2F2" w:themeFill="background1" w:themeFillShade="F2"/>
            <w:tcMar>
              <w:left w:w="57" w:type="dxa"/>
              <w:right w:w="57" w:type="dxa"/>
            </w:tcMar>
          </w:tcPr>
          <w:p w14:paraId="4B18E8E5" w14:textId="77777777" w:rsidR="009E5295" w:rsidRDefault="009E5295" w:rsidP="0021642C">
            <w:pPr>
              <w:pStyle w:val="Invisible"/>
            </w:pPr>
            <w:r>
              <w:t>CHSP AT boost</w:t>
            </w:r>
          </w:p>
        </w:tc>
        <w:tc>
          <w:tcPr>
            <w:tcW w:w="3827" w:type="dxa"/>
            <w:tcBorders>
              <w:top w:val="single" w:sz="4" w:space="0" w:color="FFFFFF" w:themeColor="background1"/>
              <w:bottom w:val="single" w:sz="36" w:space="0" w:color="FFFFFF" w:themeColor="background1"/>
            </w:tcBorders>
            <w:shd w:val="clear" w:color="auto" w:fill="E2F4FF" w:themeFill="accent1" w:themeFillTint="33"/>
            <w:tcMar>
              <w:left w:w="57" w:type="dxa"/>
              <w:right w:w="57" w:type="dxa"/>
            </w:tcMar>
          </w:tcPr>
          <w:p w14:paraId="15AB8145" w14:textId="77777777" w:rsidR="009E5295" w:rsidRDefault="009E5295" w:rsidP="0021642C">
            <w:pPr>
              <w:pStyle w:val="TableList1"/>
              <w:cnfStyle w:val="000000000000" w:firstRow="0" w:lastRow="0" w:firstColumn="0" w:lastColumn="0" w:oddVBand="0" w:evenVBand="0" w:oddHBand="0" w:evenHBand="0" w:firstRowFirstColumn="0" w:firstRowLastColumn="0" w:lastRowFirstColumn="0" w:lastRowLastColumn="0"/>
            </w:pPr>
            <w:r>
              <w:t>Expanded AT list for new CHSP consumers</w:t>
            </w:r>
          </w:p>
        </w:tc>
        <w:tc>
          <w:tcPr>
            <w:tcW w:w="993" w:type="dxa"/>
            <w:tcBorders>
              <w:top w:val="single" w:sz="4" w:space="0" w:color="FFFFFF" w:themeColor="background1"/>
              <w:bottom w:val="single" w:sz="36" w:space="0" w:color="FFFFFF" w:themeColor="background1"/>
            </w:tcBorders>
            <w:shd w:val="clear" w:color="auto" w:fill="E2F4FF" w:themeFill="accent1" w:themeFillTint="33"/>
            <w:tcMar>
              <w:left w:w="57" w:type="dxa"/>
              <w:right w:w="57" w:type="dxa"/>
            </w:tcMar>
          </w:tcPr>
          <w:p w14:paraId="6F8AF301" w14:textId="77777777" w:rsidR="009E5295" w:rsidRPr="00401F7D"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rPr>
            </w:pPr>
            <w:r w:rsidRPr="00401F7D">
              <w:rPr>
                <w:b/>
                <w:bCs/>
              </w:rPr>
              <w:t>162,286</w:t>
            </w:r>
          </w:p>
        </w:tc>
        <w:tc>
          <w:tcPr>
            <w:tcW w:w="1559" w:type="dxa"/>
            <w:tcBorders>
              <w:top w:val="single" w:sz="4" w:space="0" w:color="BFE7FF" w:themeColor="text2" w:themeTint="33"/>
              <w:bottom w:val="single" w:sz="36" w:space="0" w:color="FFFFFF" w:themeColor="background1"/>
            </w:tcBorders>
            <w:shd w:val="clear" w:color="auto" w:fill="0079C1" w:themeFill="text2"/>
            <w:tcMar>
              <w:left w:w="57" w:type="dxa"/>
              <w:right w:w="57" w:type="dxa"/>
            </w:tcMar>
          </w:tcPr>
          <w:p w14:paraId="40995D62"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$61.0 m</w:t>
            </w:r>
          </w:p>
        </w:tc>
        <w:tc>
          <w:tcPr>
            <w:tcW w:w="1984" w:type="dxa"/>
            <w:tcBorders>
              <w:top w:val="single" w:sz="4" w:space="0" w:color="BFE7FF" w:themeColor="text2" w:themeTint="33"/>
              <w:bottom w:val="single" w:sz="36" w:space="0" w:color="FFFFFF" w:themeColor="background1"/>
            </w:tcBorders>
            <w:shd w:val="clear" w:color="auto" w:fill="005990" w:themeFill="text2" w:themeFillShade="BF"/>
            <w:tcMar>
              <w:left w:w="57" w:type="dxa"/>
              <w:right w:w="57" w:type="dxa"/>
            </w:tcMar>
          </w:tcPr>
          <w:p w14:paraId="56A0415B"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$6.55</w:t>
            </w:r>
          </w:p>
        </w:tc>
      </w:tr>
      <w:tr w:rsidR="009E5295" w14:paraId="53FA4B96" w14:textId="77777777" w:rsidTr="0021642C">
        <w:tc>
          <w:tcPr>
            <w:cnfStyle w:val="001000000000" w:firstRow="0" w:lastRow="0" w:firstColumn="1" w:lastColumn="0" w:oddVBand="0" w:evenVBand="0" w:oddHBand="0" w:evenHBand="0" w:firstRowFirstColumn="0" w:firstRowLastColumn="0" w:lastRowFirstColumn="0" w:lastRowLastColumn="0"/>
            <w:tcW w:w="1276" w:type="dxa"/>
            <w:tcBorders>
              <w:top w:val="single" w:sz="36" w:space="0" w:color="FFFFFF" w:themeColor="background1"/>
              <w:bottom w:val="single" w:sz="4" w:space="0" w:color="0079C1" w:themeColor="text2"/>
            </w:tcBorders>
            <w:shd w:val="clear" w:color="auto" w:fill="F2F2F2" w:themeFill="background1" w:themeFillShade="F2"/>
            <w:tcMar>
              <w:left w:w="57" w:type="dxa"/>
              <w:right w:w="57" w:type="dxa"/>
            </w:tcMar>
          </w:tcPr>
          <w:p w14:paraId="372B6587" w14:textId="77777777" w:rsidR="009E5295" w:rsidRDefault="009E5295" w:rsidP="0021642C">
            <w:pPr>
              <w:pStyle w:val="TableText"/>
            </w:pPr>
            <w:r>
              <w:t>Foundation costs</w:t>
            </w:r>
          </w:p>
        </w:tc>
        <w:tc>
          <w:tcPr>
            <w:tcW w:w="3827" w:type="dxa"/>
            <w:tcBorders>
              <w:top w:val="single" w:sz="36" w:space="0" w:color="FFFFFF" w:themeColor="background1"/>
              <w:bottom w:val="single" w:sz="4" w:space="0" w:color="0079C1" w:themeColor="text2"/>
            </w:tcBorders>
            <w:shd w:val="clear" w:color="auto" w:fill="E2F4FF" w:themeFill="accent1" w:themeFillTint="33"/>
            <w:tcMar>
              <w:left w:w="57" w:type="dxa"/>
              <w:right w:w="57" w:type="dxa"/>
            </w:tcMar>
          </w:tcPr>
          <w:p w14:paraId="16E2B194" w14:textId="77777777" w:rsidR="009E5295" w:rsidRDefault="009E5295" w:rsidP="0021642C">
            <w:pPr>
              <w:pStyle w:val="TableBullet1"/>
              <w:cnfStyle w:val="000000000000" w:firstRow="0" w:lastRow="0" w:firstColumn="0" w:lastColumn="0" w:oddVBand="0" w:evenVBand="0" w:oddHBand="0" w:evenHBand="0" w:firstRowFirstColumn="0" w:firstRowLastColumn="0" w:lastRowFirstColumn="0" w:lastRowLastColumn="0"/>
            </w:pPr>
            <w:r>
              <w:t>AT Solutions: website, app, hotline</w:t>
            </w:r>
          </w:p>
          <w:p w14:paraId="11C343D3" w14:textId="77777777" w:rsidR="009E5295" w:rsidRDefault="009E5295" w:rsidP="0021642C">
            <w:pPr>
              <w:pStyle w:val="TableBullet1"/>
              <w:cnfStyle w:val="000000000000" w:firstRow="0" w:lastRow="0" w:firstColumn="0" w:lastColumn="0" w:oddVBand="0" w:evenVBand="0" w:oddHBand="0" w:evenHBand="0" w:firstRowFirstColumn="0" w:firstRowLastColumn="0" w:lastRowFirstColumn="0" w:lastRowLastColumn="0"/>
            </w:pPr>
            <w:r>
              <w:t>Investment fund: AT screen, AT pilot, Promotion and evaluation</w:t>
            </w:r>
          </w:p>
        </w:tc>
        <w:tc>
          <w:tcPr>
            <w:tcW w:w="993" w:type="dxa"/>
            <w:tcBorders>
              <w:top w:val="single" w:sz="36" w:space="0" w:color="FFFFFF" w:themeColor="background1"/>
              <w:bottom w:val="single" w:sz="4" w:space="0" w:color="0079C1" w:themeColor="text2"/>
            </w:tcBorders>
            <w:shd w:val="clear" w:color="auto" w:fill="E2F4FF" w:themeFill="accent1" w:themeFillTint="33"/>
            <w:tcMar>
              <w:left w:w="57" w:type="dxa"/>
              <w:right w:w="57" w:type="dxa"/>
            </w:tcMar>
          </w:tcPr>
          <w:p w14:paraId="0B0DACF4" w14:textId="77777777" w:rsidR="009E5295" w:rsidRPr="00401F7D"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E2F4FF" w:themeColor="accent1" w:themeTint="33"/>
                <w:sz w:val="20"/>
                <w:szCs w:val="20"/>
              </w:rPr>
            </w:pPr>
            <w:r w:rsidRPr="00401F7D">
              <w:rPr>
                <w:b/>
                <w:bCs/>
                <w:color w:val="E2F4FF" w:themeColor="accent1" w:themeTint="33"/>
                <w:sz w:val="20"/>
                <w:szCs w:val="20"/>
              </w:rPr>
              <w:t>N/​A</w:t>
            </w:r>
          </w:p>
        </w:tc>
        <w:tc>
          <w:tcPr>
            <w:tcW w:w="1559" w:type="dxa"/>
            <w:tcBorders>
              <w:top w:val="single" w:sz="36" w:space="0" w:color="FFFFFF" w:themeColor="background1"/>
              <w:bottom w:val="single" w:sz="4" w:space="0" w:color="0079C1" w:themeColor="text2"/>
            </w:tcBorders>
            <w:shd w:val="clear" w:color="auto" w:fill="0079C1" w:themeFill="text2"/>
            <w:tcMar>
              <w:left w:w="57" w:type="dxa"/>
              <w:right w:w="57" w:type="dxa"/>
            </w:tcMar>
          </w:tcPr>
          <w:p w14:paraId="26B0C211"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673A6">
              <w:rPr>
                <w:b/>
                <w:bCs/>
                <w:color w:val="FFFFFF" w:themeColor="background1"/>
              </w:rPr>
              <w:t>$4.9</w:t>
            </w:r>
          </w:p>
        </w:tc>
        <w:tc>
          <w:tcPr>
            <w:tcW w:w="1984" w:type="dxa"/>
            <w:tcBorders>
              <w:top w:val="single" w:sz="36" w:space="0" w:color="FFFFFF" w:themeColor="background1"/>
              <w:bottom w:val="single" w:sz="4" w:space="0" w:color="0079C1" w:themeColor="text2"/>
            </w:tcBorders>
            <w:shd w:val="clear" w:color="auto" w:fill="005990" w:themeFill="text2" w:themeFillShade="BF"/>
            <w:tcMar>
              <w:left w:w="57" w:type="dxa"/>
              <w:right w:w="57" w:type="dxa"/>
            </w:tcMar>
          </w:tcPr>
          <w:p w14:paraId="6611CD35" w14:textId="77777777" w:rsidR="009E5295" w:rsidRPr="00C673A6" w:rsidRDefault="009E5295" w:rsidP="0021642C">
            <w:pPr>
              <w:pStyle w:val="TableT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01F7D">
              <w:rPr>
                <w:b/>
                <w:bCs/>
                <w:color w:val="005990" w:themeColor="text2" w:themeShade="BF"/>
              </w:rPr>
              <w:t>N/​A</w:t>
            </w:r>
          </w:p>
        </w:tc>
      </w:tr>
    </w:tbl>
    <w:p w14:paraId="5C6F4A6B" w14:textId="77777777" w:rsidR="00AD7213" w:rsidRDefault="00AD7213" w:rsidP="00AD7213">
      <w:pPr>
        <w:pStyle w:val="Paragraph"/>
      </w:pPr>
      <w:r>
        <w:t>The selection of options will be influenced by the areas where the Department would see most value.</w:t>
      </w:r>
    </w:p>
    <w:p w14:paraId="3909A073" w14:textId="13E4BAA8" w:rsidR="00AC2009" w:rsidRDefault="00F72E3B" w:rsidP="00AC2009">
      <w:pPr>
        <w:pStyle w:val="Paragraph"/>
      </w:pPr>
      <w:r>
        <w:t>The</w:t>
      </w:r>
      <w:r w:rsidR="00E01A2B">
        <w:t xml:space="preserve"> </w:t>
      </w:r>
      <w:r w:rsidR="00AC2009">
        <w:t xml:space="preserve">Foundation costs </w:t>
      </w:r>
      <w:r>
        <w:t xml:space="preserve">include the costs </w:t>
      </w:r>
      <w:r w:rsidR="00AC2009">
        <w:t>for the AT Solutions suite of services and the investment fund</w:t>
      </w:r>
      <w:r>
        <w:t>—</w:t>
      </w:r>
      <w:r w:rsidR="00AC2009">
        <w:t>as core costs to underpin each product option.</w:t>
      </w:r>
    </w:p>
    <w:p w14:paraId="2A27E591" w14:textId="6841DB0C" w:rsidR="00292794" w:rsidRPr="00410F76" w:rsidRDefault="00AC2009" w:rsidP="00A67346">
      <w:pPr>
        <w:pStyle w:val="ParaKeep"/>
      </w:pPr>
      <w:r>
        <w:t xml:space="preserve">The costs for each option </w:t>
      </w:r>
      <w:r w:rsidR="00270A84">
        <w:t>include</w:t>
      </w:r>
      <w:r w:rsidR="00292794" w:rsidRPr="006D384E">
        <w:t xml:space="preserve"> </w:t>
      </w:r>
      <w:r w:rsidR="007D6D41">
        <w:t>F</w:t>
      </w:r>
      <w:r w:rsidR="00292794" w:rsidRPr="006D384E">
        <w:t xml:space="preserve">oundation </w:t>
      </w:r>
      <w:r w:rsidR="007D6D41">
        <w:t>costs</w:t>
      </w:r>
      <w:r w:rsidR="00292794" w:rsidRPr="006D384E">
        <w:t xml:space="preserve"> of </w:t>
      </w:r>
      <w:r w:rsidR="00292794" w:rsidRPr="00714BFE">
        <w:rPr>
          <w:color w:val="auto"/>
        </w:rPr>
        <w:t>$</w:t>
      </w:r>
      <w:r w:rsidR="00605E47">
        <w:rPr>
          <w:color w:val="auto"/>
        </w:rPr>
        <w:t>4.9</w:t>
      </w:r>
      <w:r w:rsidR="00410F76">
        <w:rPr>
          <w:color w:val="auto"/>
        </w:rPr>
        <w:t> </w:t>
      </w:r>
      <w:r w:rsidR="00270A84">
        <w:rPr>
          <w:color w:val="auto"/>
        </w:rPr>
        <w:t>m</w:t>
      </w:r>
      <w:r w:rsidR="00410F76">
        <w:rPr>
          <w:color w:val="auto"/>
        </w:rPr>
        <w:t>illion</w:t>
      </w:r>
      <w:r w:rsidR="00A53A37" w:rsidRPr="006D384E">
        <w:rPr>
          <w:lang w:val="en-CA"/>
        </w:rPr>
        <w:t xml:space="preserve"> </w:t>
      </w:r>
      <w:r w:rsidR="00292794" w:rsidRPr="006D384E">
        <w:rPr>
          <w:lang w:val="en-CA"/>
        </w:rPr>
        <w:t xml:space="preserve">per annum </w:t>
      </w:r>
      <w:r w:rsidR="00292794" w:rsidRPr="006D384E">
        <w:t>for:</w:t>
      </w:r>
    </w:p>
    <w:p w14:paraId="579EBDDF" w14:textId="25D67AFA" w:rsidR="00292794" w:rsidRPr="006D384E" w:rsidRDefault="00292794" w:rsidP="00A67346">
      <w:pPr>
        <w:pStyle w:val="Bullet1"/>
        <w:rPr>
          <w:lang w:val="en-CA"/>
        </w:rPr>
      </w:pPr>
      <w:r w:rsidRPr="006D384E">
        <w:rPr>
          <w:lang w:val="en-CA"/>
        </w:rPr>
        <w:t xml:space="preserve">Information and advice initiatives, including the </w:t>
      </w:r>
      <w:r w:rsidR="000E1174">
        <w:rPr>
          <w:lang w:val="en-CA"/>
        </w:rPr>
        <w:t>AT Solutions suite of services</w:t>
      </w:r>
      <w:r w:rsidRPr="006D384E">
        <w:rPr>
          <w:lang w:val="en-CA"/>
        </w:rPr>
        <w:t xml:space="preserve"> and AT screen </w:t>
      </w:r>
    </w:p>
    <w:p w14:paraId="7FE6F7D0" w14:textId="77777777" w:rsidR="00292794" w:rsidRPr="006D384E" w:rsidRDefault="00292794" w:rsidP="00A67346">
      <w:pPr>
        <w:pStyle w:val="Bullet1"/>
        <w:rPr>
          <w:lang w:val="en-CA"/>
        </w:rPr>
      </w:pPr>
      <w:r w:rsidRPr="006D384E">
        <w:rPr>
          <w:lang w:val="en-CA"/>
        </w:rPr>
        <w:t>Investment funding.</w:t>
      </w:r>
    </w:p>
    <w:p w14:paraId="1400E3CC" w14:textId="4E4E75DF" w:rsidR="00E57F6B" w:rsidRDefault="00292794" w:rsidP="00292794">
      <w:pPr>
        <w:pStyle w:val="Paragraph"/>
      </w:pPr>
      <w:r>
        <w:rPr>
          <w:lang w:val="en-CA" w:eastAsia="en-AU"/>
        </w:rPr>
        <w:t xml:space="preserve">Each option draws on one or more costed pathways, </w:t>
      </w:r>
      <w:r>
        <w:t xml:space="preserve">detailed in </w:t>
      </w:r>
      <w:r w:rsidRPr="00A67346">
        <w:rPr>
          <w:rStyle w:val="Italic"/>
        </w:rPr>
        <w:t>Section</w:t>
      </w:r>
      <w:r w:rsidR="00A67346" w:rsidRPr="00A67346">
        <w:rPr>
          <w:rStyle w:val="Italic"/>
        </w:rPr>
        <w:t> </w:t>
      </w:r>
      <w:r w:rsidRPr="00A67346">
        <w:rPr>
          <w:rStyle w:val="Italic"/>
        </w:rPr>
        <w:t>4.4.1</w:t>
      </w:r>
      <w:r>
        <w:t>.</w:t>
      </w:r>
    </w:p>
    <w:p w14:paraId="37E38B1B" w14:textId="4939BFD9" w:rsidR="00292794" w:rsidRDefault="00F65851" w:rsidP="00292794">
      <w:pPr>
        <w:pStyle w:val="Heading3"/>
      </w:pPr>
      <w:bookmarkStart w:id="244" w:name="_Ref42618014"/>
      <w:r>
        <w:br w:type="column"/>
      </w:r>
      <w:r w:rsidR="00292794">
        <w:lastRenderedPageBreak/>
        <w:t>Budget options</w:t>
      </w:r>
      <w:bookmarkEnd w:id="244"/>
    </w:p>
    <w:p w14:paraId="72058954" w14:textId="139A7C3E" w:rsidR="00813ACE" w:rsidRDefault="00813ACE" w:rsidP="00A67346">
      <w:pPr>
        <w:pStyle w:val="Paragraph"/>
      </w:pPr>
      <w:r>
        <w:t>The Department has requested that options be developed for three budget envelopes—$30</w:t>
      </w:r>
      <w:r w:rsidR="004E519F">
        <w:t> </w:t>
      </w:r>
      <w:r>
        <w:t>million, $50</w:t>
      </w:r>
      <w:r w:rsidR="004E519F">
        <w:t> </w:t>
      </w:r>
      <w:r>
        <w:t>million and $100</w:t>
      </w:r>
      <w:r w:rsidR="004E519F">
        <w:t> </w:t>
      </w:r>
      <w:r>
        <w:t>million dollars per annum</w:t>
      </w:r>
      <w:r w:rsidR="00F80723">
        <w:t xml:space="preserve">. </w:t>
      </w:r>
      <w:r>
        <w:t xml:space="preserve">We have costed each AT option so that it is possible to pick and choose and combine options in a variety of ways. </w:t>
      </w:r>
    </w:p>
    <w:p w14:paraId="59724F94" w14:textId="36E12C1E" w:rsidR="00813ACE" w:rsidRDefault="00813ACE" w:rsidP="00A67346">
      <w:pPr>
        <w:pStyle w:val="ParaKeep"/>
      </w:pPr>
      <w:r>
        <w:t>While the</w:t>
      </w:r>
      <w:r w:rsidRPr="003D0787">
        <w:t xml:space="preserve"> selection of options will be influenced by the areas where the Department would see most value</w:t>
      </w:r>
      <w:r>
        <w:t xml:space="preserve">, possible budget options that approximate the </w:t>
      </w:r>
      <w:r w:rsidR="00915A83">
        <w:t>proposed budget</w:t>
      </w:r>
      <w:r>
        <w:t xml:space="preserve"> envelopes include:</w:t>
      </w:r>
    </w:p>
    <w:p w14:paraId="2D7DF688" w14:textId="77777777" w:rsidR="00F443C7" w:rsidRPr="00F443C7" w:rsidRDefault="00F443C7" w:rsidP="00F443C7">
      <w:pPr>
        <w:pStyle w:val="Bullet1Keep"/>
        <w:rPr>
          <w:b/>
        </w:rPr>
      </w:pPr>
      <w:r w:rsidRPr="00F443C7">
        <w:rPr>
          <w:b/>
        </w:rPr>
        <w:t>$27.8 million option includes AT for consumers outside of aged care, CHSP and HCP consumers:</w:t>
      </w:r>
    </w:p>
    <w:p w14:paraId="54677CD9" w14:textId="2733E030" w:rsidR="00F443C7" w:rsidRDefault="00F443C7" w:rsidP="00B303C0">
      <w:pPr>
        <w:pStyle w:val="Bullet2"/>
      </w:pPr>
      <w:r>
        <w:t>Foundation costs ($4.9</w:t>
      </w:r>
      <w:r w:rsidR="00691CA5">
        <w:t> </w:t>
      </w:r>
      <w:r>
        <w:t>m</w:t>
      </w:r>
      <w:r w:rsidR="00691CA5">
        <w:t>illion</w:t>
      </w:r>
      <w:r>
        <w:t>)</w:t>
      </w:r>
    </w:p>
    <w:p w14:paraId="212D6893" w14:textId="0A1D57DF" w:rsidR="00F443C7" w:rsidRDefault="00F443C7" w:rsidP="00B303C0">
      <w:pPr>
        <w:pStyle w:val="Bullet2"/>
      </w:pPr>
      <w:r>
        <w:t>Option 1: ADL kits for eligible consumers outside of aged care ($2.0</w:t>
      </w:r>
      <w:r w:rsidR="00691CA5">
        <w:t> </w:t>
      </w:r>
      <w:r>
        <w:t>m</w:t>
      </w:r>
      <w:r w:rsidR="00691CA5">
        <w:t>illion</w:t>
      </w:r>
      <w:r>
        <w:t>)</w:t>
      </w:r>
    </w:p>
    <w:p w14:paraId="66119DC6" w14:textId="46203BA0" w:rsidR="00F443C7" w:rsidRDefault="00F443C7" w:rsidP="00B303C0">
      <w:pPr>
        <w:pStyle w:val="Bullet2"/>
      </w:pPr>
      <w:r>
        <w:t>Option 3: ADL kits for new CHSP reablement and reassessed consumers ($7.9</w:t>
      </w:r>
      <w:r w:rsidR="00691CA5">
        <w:t> </w:t>
      </w:r>
      <w:r>
        <w:t>m</w:t>
      </w:r>
      <w:r w:rsidR="00691CA5">
        <w:t>illion</w:t>
      </w:r>
      <w:r>
        <w:t>)</w:t>
      </w:r>
    </w:p>
    <w:p w14:paraId="4CDEB4FB" w14:textId="094C835F" w:rsidR="00F443C7" w:rsidRDefault="00F443C7" w:rsidP="00B303C0">
      <w:pPr>
        <w:pStyle w:val="Bullet2"/>
      </w:pPr>
      <w:r>
        <w:t>Option 5: ADL kits for new Home Care Package 1 and 2 consumers ($5.3</w:t>
      </w:r>
      <w:r w:rsidR="00691CA5">
        <w:t> </w:t>
      </w:r>
      <w:r>
        <w:t>m</w:t>
      </w:r>
      <w:r w:rsidR="00691CA5">
        <w:t>illion</w:t>
      </w:r>
      <w:r>
        <w:t>)</w:t>
      </w:r>
    </w:p>
    <w:p w14:paraId="16D1EB49" w14:textId="08FB8B50" w:rsidR="00F443C7" w:rsidRDefault="00F443C7" w:rsidP="00B303C0">
      <w:pPr>
        <w:pStyle w:val="Bullet2"/>
      </w:pPr>
      <w:r>
        <w:t>AT Administrator: 50% of ADL product costs ($7.6</w:t>
      </w:r>
      <w:r w:rsidR="00691CA5">
        <w:t> </w:t>
      </w:r>
      <w:r>
        <w:t>m</w:t>
      </w:r>
      <w:r w:rsidR="00691CA5">
        <w:t>illion</w:t>
      </w:r>
      <w:r>
        <w:t>)</w:t>
      </w:r>
    </w:p>
    <w:p w14:paraId="69A90658" w14:textId="04B2ABCD" w:rsidR="002A11B7" w:rsidRPr="00CD0E77" w:rsidRDefault="002A11B7" w:rsidP="002A11B7">
      <w:pPr>
        <w:pStyle w:val="Bullet1Keep"/>
        <w:rPr>
          <w:b/>
          <w:bCs/>
        </w:rPr>
      </w:pPr>
      <w:r w:rsidRPr="00CD0E77">
        <w:rPr>
          <w:b/>
          <w:bCs/>
        </w:rPr>
        <w:t>$48.7</w:t>
      </w:r>
      <w:r w:rsidR="00691CA5">
        <w:rPr>
          <w:b/>
          <w:bCs/>
        </w:rPr>
        <w:t> </w:t>
      </w:r>
      <w:r w:rsidRPr="00CD0E77">
        <w:rPr>
          <w:b/>
          <w:bCs/>
        </w:rPr>
        <w:t>million option includes AT for consumers outside of aged care, CHSP and HCP consumers:</w:t>
      </w:r>
    </w:p>
    <w:p w14:paraId="1465594E" w14:textId="1842ECBA" w:rsidR="002A11B7" w:rsidRDefault="002A11B7" w:rsidP="00B303C0">
      <w:pPr>
        <w:pStyle w:val="Bullet2"/>
      </w:pPr>
      <w:r>
        <w:t>Foundation costs ($4.9</w:t>
      </w:r>
      <w:r w:rsidR="00691CA5">
        <w:t> </w:t>
      </w:r>
      <w:r w:rsidR="009F37C7">
        <w:t>m</w:t>
      </w:r>
      <w:r w:rsidR="00691CA5">
        <w:t>illion</w:t>
      </w:r>
      <w:r>
        <w:t>)</w:t>
      </w:r>
    </w:p>
    <w:p w14:paraId="0F1FB811" w14:textId="59B590D5" w:rsidR="002A11B7" w:rsidRDefault="002A11B7" w:rsidP="00B303C0">
      <w:pPr>
        <w:pStyle w:val="Bullet2"/>
      </w:pPr>
      <w:r>
        <w:t>Option 1: ADL kits for eligible consumers outside of aged care ($2.0</w:t>
      </w:r>
      <w:r w:rsidR="00691CA5">
        <w:t> </w:t>
      </w:r>
      <w:r>
        <w:t>m</w:t>
      </w:r>
      <w:r w:rsidR="00691CA5">
        <w:t>illion</w:t>
      </w:r>
      <w:r>
        <w:t>)</w:t>
      </w:r>
    </w:p>
    <w:p w14:paraId="4EE51687" w14:textId="435B5239" w:rsidR="002A11B7" w:rsidRDefault="002A11B7" w:rsidP="00B303C0">
      <w:pPr>
        <w:pStyle w:val="Bullet2"/>
      </w:pPr>
      <w:r>
        <w:t>Option 2: ADL kits for new CHSP reablement ($3.9</w:t>
      </w:r>
      <w:r w:rsidR="00691CA5">
        <w:t> </w:t>
      </w:r>
      <w:r>
        <w:t>m</w:t>
      </w:r>
      <w:r w:rsidR="00691CA5">
        <w:t>illion</w:t>
      </w:r>
      <w:r>
        <w:t>)</w:t>
      </w:r>
    </w:p>
    <w:p w14:paraId="459E1548" w14:textId="79FAF688" w:rsidR="002A11B7" w:rsidRDefault="002A11B7" w:rsidP="00B303C0">
      <w:pPr>
        <w:pStyle w:val="Bullet2"/>
      </w:pPr>
      <w:r>
        <w:t>Option 5: ADL kits for new Home Care Package Level 1 and 2 consumers ($5.3</w:t>
      </w:r>
      <w:r w:rsidR="00691CA5">
        <w:t> </w:t>
      </w:r>
      <w:r>
        <w:t>m</w:t>
      </w:r>
      <w:r w:rsidR="00691CA5">
        <w:t>illion</w:t>
      </w:r>
      <w:r>
        <w:t>)</w:t>
      </w:r>
    </w:p>
    <w:p w14:paraId="5CA335A2" w14:textId="2D4AB373" w:rsidR="002A11B7" w:rsidRDefault="002A11B7" w:rsidP="00B303C0">
      <w:pPr>
        <w:pStyle w:val="Bullet2"/>
      </w:pPr>
      <w:r>
        <w:t>Option 6: State CHSP AT funding ($20.6</w:t>
      </w:r>
      <w:r w:rsidR="00691CA5">
        <w:t> </w:t>
      </w:r>
      <w:r>
        <w:t>m</w:t>
      </w:r>
      <w:r w:rsidR="00691CA5">
        <w:t>illion</w:t>
      </w:r>
      <w:r>
        <w:t>)</w:t>
      </w:r>
    </w:p>
    <w:p w14:paraId="7C4D76D1" w14:textId="73628561" w:rsidR="002A11B7" w:rsidRDefault="002A11B7" w:rsidP="00B303C0">
      <w:pPr>
        <w:pStyle w:val="Bullet2"/>
      </w:pPr>
      <w:r>
        <w:t>AT Administrator: 30% of AT product costs ($9.6</w:t>
      </w:r>
      <w:r w:rsidR="00691CA5">
        <w:t> </w:t>
      </w:r>
      <w:r>
        <w:t>m</w:t>
      </w:r>
      <w:r w:rsidR="00691CA5">
        <w:t>illion</w:t>
      </w:r>
      <w:r>
        <w:t>)</w:t>
      </w:r>
    </w:p>
    <w:p w14:paraId="42D43081" w14:textId="535BD318" w:rsidR="002A11B7" w:rsidRDefault="002A11B7" w:rsidP="00B303C0">
      <w:pPr>
        <w:pStyle w:val="Bullet2"/>
      </w:pPr>
      <w:r>
        <w:t>Additional allied health assessments ($2.4</w:t>
      </w:r>
      <w:r w:rsidR="00691CA5">
        <w:t> </w:t>
      </w:r>
      <w:r>
        <w:t>m</w:t>
      </w:r>
      <w:r w:rsidR="00691CA5">
        <w:t>illion</w:t>
      </w:r>
      <w:r>
        <w:t>).</w:t>
      </w:r>
    </w:p>
    <w:p w14:paraId="61559303" w14:textId="315BED58" w:rsidR="002A11B7" w:rsidRPr="002A11B7" w:rsidRDefault="002A11B7" w:rsidP="002A11B7">
      <w:pPr>
        <w:pStyle w:val="Bullet1Keep"/>
        <w:rPr>
          <w:b/>
        </w:rPr>
      </w:pPr>
      <w:r w:rsidRPr="002A11B7">
        <w:rPr>
          <w:b/>
        </w:rPr>
        <w:t>$100.1</w:t>
      </w:r>
      <w:r w:rsidR="00691CA5">
        <w:rPr>
          <w:b/>
        </w:rPr>
        <w:t> </w:t>
      </w:r>
      <w:r w:rsidRPr="002A11B7">
        <w:rPr>
          <w:b/>
        </w:rPr>
        <w:t>million option for consumers outside of aged care and CHSP consumers:</w:t>
      </w:r>
    </w:p>
    <w:p w14:paraId="2AF5C53D" w14:textId="63E0DA81" w:rsidR="002A11B7" w:rsidRDefault="002A11B7" w:rsidP="00B303C0">
      <w:pPr>
        <w:pStyle w:val="Bullet2"/>
      </w:pPr>
      <w:r>
        <w:t>Foundation costs ($4.9</w:t>
      </w:r>
      <w:r w:rsidR="00691CA5">
        <w:t> </w:t>
      </w:r>
      <w:r>
        <w:t>m</w:t>
      </w:r>
      <w:r w:rsidR="00691CA5">
        <w:t>illion</w:t>
      </w:r>
      <w:r>
        <w:t>)</w:t>
      </w:r>
    </w:p>
    <w:p w14:paraId="319C8542" w14:textId="0AF4818C" w:rsidR="002A11B7" w:rsidRDefault="002A11B7" w:rsidP="00B303C0">
      <w:pPr>
        <w:pStyle w:val="Bullet2"/>
      </w:pPr>
      <w:r>
        <w:t>Option 1: ADL kits for eligible consumers outside of aged care ($2.0</w:t>
      </w:r>
      <w:r w:rsidR="00691CA5">
        <w:t> </w:t>
      </w:r>
      <w:r>
        <w:t>m</w:t>
      </w:r>
      <w:r w:rsidR="00691CA5">
        <w:t>illion</w:t>
      </w:r>
      <w:r>
        <w:t>)</w:t>
      </w:r>
    </w:p>
    <w:p w14:paraId="5CB1157C" w14:textId="7C7EE3DF" w:rsidR="002A11B7" w:rsidRDefault="002A11B7" w:rsidP="00B303C0">
      <w:pPr>
        <w:pStyle w:val="Bullet2"/>
      </w:pPr>
      <w:r>
        <w:t>Option 3: ADL kits for new CHSP reablement and reassessed consumers ($7.9</w:t>
      </w:r>
      <w:r w:rsidR="00691CA5">
        <w:t> </w:t>
      </w:r>
      <w:r>
        <w:t>m</w:t>
      </w:r>
      <w:r w:rsidR="00691CA5">
        <w:t>illion</w:t>
      </w:r>
      <w:r>
        <w:t>)</w:t>
      </w:r>
    </w:p>
    <w:p w14:paraId="10920E17" w14:textId="3ABE2284" w:rsidR="002A11B7" w:rsidRDefault="002A11B7" w:rsidP="00B303C0">
      <w:pPr>
        <w:pStyle w:val="Bullet2"/>
      </w:pPr>
      <w:r>
        <w:t>Option 8: Expanded AT list with state equity up to a cap of $1500 ($61.5</w:t>
      </w:r>
      <w:r w:rsidR="00691CA5">
        <w:t> </w:t>
      </w:r>
      <w:r>
        <w:t>m</w:t>
      </w:r>
      <w:r w:rsidR="00691CA5">
        <w:t>illion</w:t>
      </w:r>
      <w:r>
        <w:t>)</w:t>
      </w:r>
    </w:p>
    <w:p w14:paraId="4E334C3D" w14:textId="10FFECB6" w:rsidR="002A11B7" w:rsidRDefault="002A11B7" w:rsidP="00B303C0">
      <w:pPr>
        <w:pStyle w:val="Bullet2"/>
      </w:pPr>
      <w:r>
        <w:t>AT Administrator: 30% of AT product costs ($21.4</w:t>
      </w:r>
      <w:r w:rsidR="00691CA5">
        <w:t> </w:t>
      </w:r>
      <w:r>
        <w:t>m</w:t>
      </w:r>
      <w:r w:rsidR="00691CA5">
        <w:t>illion</w:t>
      </w:r>
      <w:r>
        <w:t>)</w:t>
      </w:r>
    </w:p>
    <w:p w14:paraId="2100AFBB" w14:textId="2A62D5B4" w:rsidR="00143C46" w:rsidRDefault="002A11B7" w:rsidP="00B303C0">
      <w:pPr>
        <w:pStyle w:val="Bullet2"/>
      </w:pPr>
      <w:r>
        <w:t>Additional allied health assessments ($2.4</w:t>
      </w:r>
      <w:r w:rsidR="00691CA5">
        <w:t> </w:t>
      </w:r>
      <w:r>
        <w:t>m</w:t>
      </w:r>
      <w:r w:rsidR="00691CA5">
        <w:t>illion</w:t>
      </w:r>
      <w:r>
        <w:t>).</w:t>
      </w:r>
    </w:p>
    <w:p w14:paraId="2CAD2133" w14:textId="77777777" w:rsidR="00143C46" w:rsidRDefault="00143C46">
      <w:pPr>
        <w:rPr>
          <w:rFonts w:eastAsia="Arial Unicode MS"/>
          <w:lang w:val="en-AU" w:eastAsia="en-AU"/>
        </w:rPr>
      </w:pPr>
      <w:r>
        <w:br w:type="page"/>
      </w:r>
    </w:p>
    <w:bookmarkEnd w:id="215"/>
    <w:bookmarkEnd w:id="216"/>
    <w:bookmarkEnd w:id="239"/>
    <w:p w14:paraId="15F456A8" w14:textId="7D91F5AB" w:rsidR="00610381" w:rsidRPr="009B2707" w:rsidRDefault="00610381" w:rsidP="00F65851">
      <w:pPr>
        <w:pStyle w:val="Heading4"/>
        <w:pBdr>
          <w:top w:val="single" w:sz="24" w:space="1" w:color="E2F4FF" w:themeColor="accent1" w:themeTint="33"/>
          <w:left w:val="single" w:sz="24" w:space="4" w:color="E2F4FF" w:themeColor="accent1" w:themeTint="33"/>
          <w:bottom w:val="single" w:sz="24" w:space="1" w:color="E2F4FF" w:themeColor="accent1" w:themeTint="33"/>
          <w:right w:val="single" w:sz="24" w:space="4" w:color="E2F4FF" w:themeColor="accent1" w:themeTint="33"/>
        </w:pBdr>
        <w:shd w:val="clear" w:color="auto" w:fill="E2F4FF" w:themeFill="accent1" w:themeFillTint="33"/>
        <w:spacing w:before="0"/>
      </w:pPr>
      <w:r w:rsidRPr="009B2707">
        <w:lastRenderedPageBreak/>
        <w:t xml:space="preserve">1. ADL kits for </w:t>
      </w:r>
      <w:r>
        <w:t>consumers outside of aged care</w:t>
      </w:r>
    </w:p>
    <w:p w14:paraId="7EBE9E0F" w14:textId="6E2B2F75" w:rsidR="00ED05C0" w:rsidRPr="00736110" w:rsidRDefault="00EA17F9" w:rsidP="00143C46">
      <w:r w:rsidRPr="00D37220">
        <w:rPr>
          <w:rStyle w:val="Bold"/>
        </w:rPr>
        <w:t>Benefit:</w:t>
      </w:r>
      <w:r>
        <w:rPr>
          <w:rStyle w:val="Bold"/>
        </w:rPr>
        <w:t xml:space="preserve"> </w:t>
      </w:r>
      <w:r w:rsidRPr="00736110">
        <w:t>$13,946,426</w:t>
      </w:r>
      <w:r>
        <w:t xml:space="preserve"> </w:t>
      </w:r>
      <w:r w:rsidRPr="00EA17F9">
        <w:rPr>
          <w:color w:val="0079C1" w:themeColor="text2"/>
        </w:rPr>
        <w:t>|</w:t>
      </w:r>
      <w:r>
        <w:t xml:space="preserve"> </w:t>
      </w:r>
      <w:r w:rsidR="00ED05C0" w:rsidRPr="00D37220">
        <w:rPr>
          <w:rStyle w:val="Bold"/>
        </w:rPr>
        <w:t>Cost:</w:t>
      </w:r>
      <w:r w:rsidR="00ED05C0">
        <w:rPr>
          <w:rStyle w:val="Bold"/>
        </w:rPr>
        <w:t xml:space="preserve"> </w:t>
      </w:r>
      <w:r w:rsidR="00ED05C0" w:rsidRPr="00736110">
        <w:t>$2,006,779</w:t>
      </w:r>
      <w:r>
        <w:t xml:space="preserve"> </w:t>
      </w:r>
      <w:r w:rsidRPr="00EA17F9">
        <w:rPr>
          <w:color w:val="0079C1" w:themeColor="text2"/>
        </w:rPr>
        <w:t>|</w:t>
      </w:r>
      <w:r>
        <w:t xml:space="preserve"> </w:t>
      </w:r>
      <w:r w:rsidRPr="00EA17F9">
        <w:rPr>
          <w:rStyle w:val="Bold"/>
        </w:rPr>
        <w:t>Users:</w:t>
      </w:r>
      <w:r>
        <w:t xml:space="preserve"> </w:t>
      </w:r>
      <w:r w:rsidRPr="00736110">
        <w:t>16,521</w:t>
      </w:r>
      <w:r>
        <w:t xml:space="preserve"> </w:t>
      </w:r>
      <w:r w:rsidRPr="00EA17F9">
        <w:rPr>
          <w:color w:val="0079C1" w:themeColor="text2"/>
        </w:rPr>
        <w:t>|</w:t>
      </w:r>
      <w:r w:rsidRPr="00EA17F9">
        <w:t xml:space="preserve"> </w:t>
      </w:r>
      <w:r w:rsidRPr="00EA17F9">
        <w:rPr>
          <w:rStyle w:val="Bold"/>
        </w:rPr>
        <w:t>Program:</w:t>
      </w:r>
      <w:r>
        <w:t xml:space="preserve"> None</w:t>
      </w:r>
    </w:p>
    <w:p w14:paraId="62A8E530" w14:textId="537999CC" w:rsidR="00610381" w:rsidRPr="00736110" w:rsidRDefault="00ED05C0" w:rsidP="00D37220">
      <w:pPr>
        <w:pStyle w:val="ParaKeep"/>
      </w:pPr>
      <w:r>
        <w:rPr>
          <w:rStyle w:val="Bold"/>
        </w:rPr>
        <w:t>Description</w:t>
      </w:r>
      <w:r w:rsidRPr="00D37220">
        <w:rPr>
          <w:rStyle w:val="Bold"/>
        </w:rPr>
        <w:t>:</w:t>
      </w:r>
      <w:r>
        <w:rPr>
          <w:rStyle w:val="Bold"/>
        </w:rPr>
        <w:t xml:space="preserve"> </w:t>
      </w:r>
      <w:r w:rsidR="00610381" w:rsidRPr="00736110">
        <w:t>A choice of one of six Activity of Daily Living (ADL) kits per year per consumer in the community—includes those over 65 years old, outside of aged care with mild or moderate functional limitation. Each ADL kit assists the consumer maintain independence with one of the following activities:</w:t>
      </w:r>
    </w:p>
    <w:p w14:paraId="046D535C" w14:textId="77777777" w:rsidR="00610381" w:rsidRPr="009B2707" w:rsidRDefault="00610381" w:rsidP="00D37220">
      <w:pPr>
        <w:pStyle w:val="Bullet1Keep"/>
      </w:pPr>
      <w:r w:rsidRPr="0079110B">
        <w:t>Bathing</w:t>
      </w:r>
    </w:p>
    <w:p w14:paraId="712399A1" w14:textId="77777777" w:rsidR="00610381" w:rsidRPr="009B2707" w:rsidRDefault="00610381" w:rsidP="00D37220">
      <w:pPr>
        <w:pStyle w:val="Bullet1Keep"/>
      </w:pPr>
      <w:r w:rsidRPr="0079110B">
        <w:t>D</w:t>
      </w:r>
      <w:r w:rsidRPr="009B2707">
        <w:t>ressing</w:t>
      </w:r>
    </w:p>
    <w:p w14:paraId="7DC9B1F1" w14:textId="77777777" w:rsidR="00610381" w:rsidRPr="009B2707" w:rsidRDefault="00610381" w:rsidP="00D37220">
      <w:pPr>
        <w:pStyle w:val="Bullet1Keep"/>
      </w:pPr>
      <w:r w:rsidRPr="0079110B">
        <w:t>H</w:t>
      </w:r>
      <w:r w:rsidRPr="009B2707">
        <w:t>ousehold cleaning</w:t>
      </w:r>
    </w:p>
    <w:p w14:paraId="3DBC5F84" w14:textId="77777777" w:rsidR="00610381" w:rsidRPr="009B2707" w:rsidRDefault="00610381" w:rsidP="00D37220">
      <w:pPr>
        <w:pStyle w:val="Bullet1Keep"/>
      </w:pPr>
      <w:r w:rsidRPr="0079110B">
        <w:t>L</w:t>
      </w:r>
      <w:r w:rsidRPr="009B2707">
        <w:t>aundry</w:t>
      </w:r>
    </w:p>
    <w:p w14:paraId="7EA91341" w14:textId="77777777" w:rsidR="00610381" w:rsidRPr="009B2707" w:rsidRDefault="00610381" w:rsidP="00D37220">
      <w:pPr>
        <w:pStyle w:val="Bullet1Keep"/>
      </w:pPr>
      <w:r w:rsidRPr="0079110B">
        <w:t>Food preparation</w:t>
      </w:r>
    </w:p>
    <w:p w14:paraId="3754AFAE" w14:textId="77777777" w:rsidR="00610381" w:rsidRPr="0079110B" w:rsidRDefault="00610381" w:rsidP="00D37220">
      <w:pPr>
        <w:pStyle w:val="Bullet1Keep"/>
      </w:pPr>
      <w:r w:rsidRPr="0079110B">
        <w:t>Eating and drinking.</w:t>
      </w:r>
    </w:p>
    <w:p w14:paraId="51662AA6" w14:textId="5CFFEF65" w:rsidR="00D37220" w:rsidRPr="00736110" w:rsidRDefault="00D37220" w:rsidP="00D37220">
      <w:pPr>
        <w:pStyle w:val="ParaKeep"/>
      </w:pPr>
      <w:r w:rsidRPr="00D37220">
        <w:rPr>
          <w:rStyle w:val="Bold"/>
        </w:rPr>
        <w:t>Target cohort:</w:t>
      </w:r>
      <w:r>
        <w:rPr>
          <w:rStyle w:val="Bold"/>
        </w:rPr>
        <w:t xml:space="preserve"> </w:t>
      </w:r>
      <w:r w:rsidRPr="00736110">
        <w:t xml:space="preserve">There are an estimated 688,394 consumers outside the aged care system with functional limitation. There is no data available to quantify how many of this cohort have difficulty with ADLs, nor how many would benefit from low-level AT in ADL kits. </w:t>
      </w:r>
    </w:p>
    <w:p w14:paraId="0AB0DDF5" w14:textId="0B35DB85" w:rsidR="00D37220" w:rsidRPr="00736110" w:rsidRDefault="00D37220" w:rsidP="00410F76">
      <w:pPr>
        <w:pStyle w:val="Paragraph"/>
      </w:pPr>
      <w:r w:rsidRPr="00D37220">
        <w:rPr>
          <w:rStyle w:val="Bold"/>
        </w:rPr>
        <w:t>Estimated annual users:</w:t>
      </w:r>
      <w:r>
        <w:rPr>
          <w:rStyle w:val="Bold"/>
        </w:rPr>
        <w:t xml:space="preserve"> </w:t>
      </w:r>
      <w:r w:rsidRPr="00736110">
        <w:t xml:space="preserve">A total of 16,521 consumers. It is expected that 3% of consumers outside the aged care system will use the hotline (3% of 688,294). Of these 20,652, around 80% (n=16,521) of those who contact the AT hotline, will </w:t>
      </w:r>
      <w:r w:rsidRPr="00410F76">
        <w:t>complete</w:t>
      </w:r>
      <w:r w:rsidRPr="00736110">
        <w:t xml:space="preserve"> the AT screen and be eligible for an ADL kit due to identified AT needs</w:t>
      </w:r>
    </w:p>
    <w:p w14:paraId="6A11C761" w14:textId="77777777" w:rsidR="00610381" w:rsidRPr="009B2707" w:rsidRDefault="00610381" w:rsidP="00F65851">
      <w:pPr>
        <w:pStyle w:val="Heading4"/>
        <w:pBdr>
          <w:top w:val="single" w:sz="24" w:space="1" w:color="E2F4FF" w:themeColor="accent1" w:themeTint="33"/>
          <w:left w:val="single" w:sz="24" w:space="4" w:color="E2F4FF" w:themeColor="accent1" w:themeTint="33"/>
          <w:bottom w:val="single" w:sz="24" w:space="1" w:color="E2F4FF" w:themeColor="accent1" w:themeTint="33"/>
          <w:right w:val="single" w:sz="24" w:space="4" w:color="E2F4FF" w:themeColor="accent1" w:themeTint="33"/>
        </w:pBdr>
        <w:shd w:val="clear" w:color="auto" w:fill="E2F4FF" w:themeFill="accent1" w:themeFillTint="33"/>
      </w:pPr>
      <w:r w:rsidRPr="009B2707">
        <w:t xml:space="preserve">2. ADL kits for CHSP reablement </w:t>
      </w:r>
      <w:r>
        <w:t>consumer</w:t>
      </w:r>
      <w:r w:rsidRPr="009B2707">
        <w:t xml:space="preserve">s </w:t>
      </w:r>
    </w:p>
    <w:p w14:paraId="1F4E38A5" w14:textId="53AE6AFE" w:rsidR="00EA17F9" w:rsidRPr="00736110" w:rsidRDefault="00EA17F9" w:rsidP="00143C46">
      <w:r w:rsidRPr="00D37220">
        <w:rPr>
          <w:rStyle w:val="Bold"/>
        </w:rPr>
        <w:t>Benefit:</w:t>
      </w:r>
      <w:r>
        <w:t xml:space="preserve"> </w:t>
      </w:r>
      <w:r w:rsidRPr="002C12DA">
        <w:t>$71,474,465</w:t>
      </w:r>
      <w:r>
        <w:t xml:space="preserve"> </w:t>
      </w:r>
      <w:r w:rsidRPr="00EA17F9">
        <w:rPr>
          <w:color w:val="0079C1" w:themeColor="text2"/>
        </w:rPr>
        <w:t>|</w:t>
      </w:r>
      <w:r>
        <w:t xml:space="preserve"> </w:t>
      </w:r>
      <w:r w:rsidRPr="00D37220">
        <w:rPr>
          <w:rStyle w:val="Bold"/>
        </w:rPr>
        <w:t>Cost:</w:t>
      </w:r>
      <w:r>
        <w:t xml:space="preserve"> </w:t>
      </w:r>
      <w:r w:rsidRPr="00736110">
        <w:t>$3,942,418</w:t>
      </w:r>
      <w:r>
        <w:t xml:space="preserve"> </w:t>
      </w:r>
      <w:r w:rsidRPr="00EA17F9">
        <w:rPr>
          <w:color w:val="0079C1" w:themeColor="text2"/>
        </w:rPr>
        <w:t>|</w:t>
      </w:r>
      <w:r>
        <w:t xml:space="preserve"> </w:t>
      </w:r>
      <w:r w:rsidRPr="00EA17F9">
        <w:rPr>
          <w:rStyle w:val="Bold"/>
        </w:rPr>
        <w:t>Users:</w:t>
      </w:r>
      <w:r>
        <w:t xml:space="preserve"> </w:t>
      </w:r>
      <w:r w:rsidRPr="00736110">
        <w:t>32,457</w:t>
      </w:r>
      <w:r>
        <w:t xml:space="preserve"> </w:t>
      </w:r>
      <w:r w:rsidRPr="00EA17F9">
        <w:rPr>
          <w:color w:val="0079C1" w:themeColor="text2"/>
        </w:rPr>
        <w:t>|</w:t>
      </w:r>
      <w:r w:rsidRPr="00EA17F9">
        <w:t xml:space="preserve"> </w:t>
      </w:r>
      <w:r w:rsidRPr="00EA17F9">
        <w:rPr>
          <w:rStyle w:val="Bold"/>
        </w:rPr>
        <w:t>Program:</w:t>
      </w:r>
      <w:r>
        <w:t xml:space="preserve"> </w:t>
      </w:r>
      <w:r w:rsidRPr="00CC5976">
        <w:t>CHSP</w:t>
      </w:r>
    </w:p>
    <w:p w14:paraId="471AC395" w14:textId="28040054" w:rsidR="00610381" w:rsidRPr="00736110" w:rsidRDefault="00EA17F9" w:rsidP="00D37220">
      <w:pPr>
        <w:pStyle w:val="ParaKeep"/>
        <w:rPr>
          <w:highlight w:val="yellow"/>
        </w:rPr>
      </w:pPr>
      <w:r>
        <w:rPr>
          <w:rStyle w:val="Bold"/>
        </w:rPr>
        <w:t>Description</w:t>
      </w:r>
      <w:r w:rsidRPr="00D37220">
        <w:rPr>
          <w:rStyle w:val="Bold"/>
        </w:rPr>
        <w:t>:</w:t>
      </w:r>
      <w:r>
        <w:rPr>
          <w:rStyle w:val="Bold"/>
        </w:rPr>
        <w:t xml:space="preserve"> </w:t>
      </w:r>
      <w:r w:rsidR="00610381" w:rsidRPr="00736110">
        <w:t>A choice of one of six ADL kits available for each CHSP consumer</w:t>
      </w:r>
      <w:r w:rsidR="00610381" w:rsidRPr="00736110">
        <w:rPr>
          <w:rFonts w:eastAsiaTheme="minorHAnsi"/>
        </w:rPr>
        <w:t xml:space="preserve"> undergoing a period of </w:t>
      </w:r>
      <w:r w:rsidR="00610381" w:rsidRPr="00736110">
        <w:t>reablement. These ADL kits are the same as those identified in option one above. However, these ADL kits are provided by the RAS assessor after an assessment is completed and a need for low-level AT is identified.</w:t>
      </w:r>
    </w:p>
    <w:p w14:paraId="3DC86114" w14:textId="77777777" w:rsidR="00D37220" w:rsidRPr="00736110" w:rsidRDefault="00D37220" w:rsidP="00D37220">
      <w:pPr>
        <w:pStyle w:val="ParaKeep"/>
      </w:pPr>
      <w:r w:rsidRPr="00D37220">
        <w:rPr>
          <w:rStyle w:val="Bold"/>
        </w:rPr>
        <w:t>Target cohort:</w:t>
      </w:r>
      <w:r>
        <w:rPr>
          <w:rStyle w:val="Bold"/>
        </w:rPr>
        <w:t xml:space="preserve"> </w:t>
      </w:r>
      <w:r w:rsidRPr="00736110">
        <w:t xml:space="preserve">All CHSP consumers undergoing a reablement period, where assistance in one of the activities is identified during their RAS assessment. These consumers have mild or moderate functional limitations. </w:t>
      </w:r>
    </w:p>
    <w:p w14:paraId="5642E132" w14:textId="268A8653" w:rsidR="00143C46" w:rsidRDefault="00D37220" w:rsidP="00EA17F9">
      <w:pPr>
        <w:pStyle w:val="Paragraph"/>
      </w:pPr>
      <w:r w:rsidRPr="00D37220">
        <w:rPr>
          <w:rStyle w:val="Bold"/>
        </w:rPr>
        <w:t>Estimated annual users:</w:t>
      </w:r>
      <w:r>
        <w:rPr>
          <w:rStyle w:val="Bold"/>
        </w:rPr>
        <w:t xml:space="preserve"> </w:t>
      </w:r>
      <w:r w:rsidRPr="00736110">
        <w:t xml:space="preserve">32,457 CHSP consumers undergoing reablement annually (increasing each year by 7%), assuming that 20% of all new CHSP consumers undergo a reablement period and can benefit from an ADL kit. </w:t>
      </w:r>
    </w:p>
    <w:p w14:paraId="2B4FE5A3" w14:textId="77777777" w:rsidR="00143C46" w:rsidRDefault="00143C46">
      <w:pPr>
        <w:rPr>
          <w:color w:val="000000" w:themeColor="text1"/>
          <w:lang w:eastAsia="en-US"/>
        </w:rPr>
      </w:pPr>
      <w:r>
        <w:br w:type="page"/>
      </w:r>
    </w:p>
    <w:p w14:paraId="1561AED6" w14:textId="77777777" w:rsidR="00610381" w:rsidRPr="009B2707" w:rsidRDefault="00610381" w:rsidP="009E5295">
      <w:pPr>
        <w:pStyle w:val="Heading4"/>
        <w:pBdr>
          <w:top w:val="single" w:sz="24" w:space="1" w:color="E2F4FF" w:themeColor="accent1" w:themeTint="33"/>
          <w:left w:val="single" w:sz="24" w:space="4" w:color="E2F4FF" w:themeColor="accent1" w:themeTint="33"/>
          <w:bottom w:val="single" w:sz="24" w:space="1" w:color="E2F4FF" w:themeColor="accent1" w:themeTint="33"/>
          <w:right w:val="single" w:sz="24" w:space="4" w:color="E2F4FF" w:themeColor="accent1" w:themeTint="33"/>
        </w:pBdr>
        <w:shd w:val="clear" w:color="auto" w:fill="E2F4FF" w:themeFill="accent1" w:themeFillTint="33"/>
        <w:rPr>
          <w:szCs w:val="20"/>
        </w:rPr>
      </w:pPr>
      <w:r w:rsidRPr="00F7435C">
        <w:lastRenderedPageBreak/>
        <w:t>3. ADL kit</w:t>
      </w:r>
      <w:r>
        <w:t>s</w:t>
      </w:r>
      <w:r w:rsidRPr="00F7435C">
        <w:t xml:space="preserve"> </w:t>
      </w:r>
      <w:r>
        <w:t>for reablement—and existing</w:t>
      </w:r>
      <w:r w:rsidRPr="007A4E5F">
        <w:rPr>
          <w:rFonts w:eastAsiaTheme="minorHAnsi"/>
        </w:rPr>
        <w:t xml:space="preserve"> </w:t>
      </w:r>
      <w:r>
        <w:t>r</w:t>
      </w:r>
      <w:r w:rsidRPr="00E64C93">
        <w:t>eassessed</w:t>
      </w:r>
      <w:r>
        <w:t>—</w:t>
      </w:r>
      <w:r w:rsidRPr="00A154F1">
        <w:t xml:space="preserve">CHSP </w:t>
      </w:r>
      <w:r>
        <w:t xml:space="preserve">consumer </w:t>
      </w:r>
    </w:p>
    <w:p w14:paraId="2773EB42" w14:textId="626955AD" w:rsidR="00EA17F9" w:rsidRPr="00736110" w:rsidRDefault="00EA17F9" w:rsidP="00143C46">
      <w:r w:rsidRPr="00D37220">
        <w:rPr>
          <w:rStyle w:val="Bold"/>
        </w:rPr>
        <w:t>Benefit:</w:t>
      </w:r>
      <w:r>
        <w:t xml:space="preserve"> </w:t>
      </w:r>
      <w:r w:rsidRPr="002C12DA">
        <w:rPr>
          <w:rFonts w:ascii="Calibri" w:hAnsi="Calibri" w:cs="Calibri"/>
          <w:color w:val="000000"/>
          <w:szCs w:val="20"/>
        </w:rPr>
        <w:t>$266,752,194</w:t>
      </w:r>
      <w:r>
        <w:t xml:space="preserve"> </w:t>
      </w:r>
      <w:r w:rsidRPr="00EA17F9">
        <w:rPr>
          <w:color w:val="0079C1" w:themeColor="text2"/>
        </w:rPr>
        <w:t>|</w:t>
      </w:r>
      <w:r>
        <w:t xml:space="preserve"> </w:t>
      </w:r>
      <w:r w:rsidRPr="00D37220">
        <w:rPr>
          <w:rStyle w:val="Bold"/>
        </w:rPr>
        <w:t>Cost:</w:t>
      </w:r>
      <w:r>
        <w:t xml:space="preserve"> </w:t>
      </w:r>
      <w:r w:rsidRPr="00736110">
        <w:t>$7,884,819</w:t>
      </w:r>
      <w:r>
        <w:t xml:space="preserve"> </w:t>
      </w:r>
      <w:r w:rsidRPr="00EA17F9">
        <w:rPr>
          <w:color w:val="0079C1" w:themeColor="text2"/>
        </w:rPr>
        <w:t>|</w:t>
      </w:r>
      <w:r>
        <w:t xml:space="preserve"> </w:t>
      </w:r>
      <w:r w:rsidRPr="00EA17F9">
        <w:rPr>
          <w:rStyle w:val="Bold"/>
        </w:rPr>
        <w:t>Users:</w:t>
      </w:r>
      <w:r>
        <w:t xml:space="preserve"> 64,914 </w:t>
      </w:r>
      <w:r w:rsidRPr="00EA17F9">
        <w:rPr>
          <w:color w:val="0079C1" w:themeColor="text2"/>
        </w:rPr>
        <w:t>|</w:t>
      </w:r>
      <w:r w:rsidRPr="00EA17F9">
        <w:t xml:space="preserve"> </w:t>
      </w:r>
      <w:r w:rsidRPr="00EA17F9">
        <w:rPr>
          <w:rStyle w:val="Bold"/>
        </w:rPr>
        <w:t>Program:</w:t>
      </w:r>
      <w:r>
        <w:t xml:space="preserve"> CHSP</w:t>
      </w:r>
    </w:p>
    <w:p w14:paraId="5F7D081B" w14:textId="343C32FD" w:rsidR="00610381" w:rsidRPr="009B2707" w:rsidRDefault="00EA17F9" w:rsidP="00D37220">
      <w:pPr>
        <w:pStyle w:val="ParaKeep"/>
      </w:pPr>
      <w:r>
        <w:rPr>
          <w:rStyle w:val="Bold"/>
        </w:rPr>
        <w:t>Description</w:t>
      </w:r>
      <w:r w:rsidRPr="00D37220">
        <w:rPr>
          <w:rStyle w:val="Bold"/>
        </w:rPr>
        <w:t>:</w:t>
      </w:r>
      <w:r>
        <w:rPr>
          <w:rStyle w:val="Bold"/>
        </w:rPr>
        <w:t xml:space="preserve"> </w:t>
      </w:r>
      <w:r w:rsidR="00610381" w:rsidRPr="009B2707">
        <w:t>An extension to option two above</w:t>
      </w:r>
      <w:r w:rsidR="00610381">
        <w:t xml:space="preserve">. </w:t>
      </w:r>
      <w:r w:rsidR="00610381" w:rsidRPr="009B2707">
        <w:t xml:space="preserve">In addition to CHSP reablement </w:t>
      </w:r>
      <w:r w:rsidR="00610381">
        <w:t>consumer</w:t>
      </w:r>
      <w:r w:rsidR="00610381" w:rsidRPr="009B2707">
        <w:t xml:space="preserve">s, a choice of one of six ADL kits is also available for 5% of existing CHSP </w:t>
      </w:r>
      <w:r w:rsidR="00610381">
        <w:t>consumer</w:t>
      </w:r>
      <w:r w:rsidR="00610381" w:rsidRPr="009B2707">
        <w:t>s who undergo a reassessment and a need for low-level AT is identified</w:t>
      </w:r>
      <w:r w:rsidR="00610381">
        <w:t xml:space="preserve">. </w:t>
      </w:r>
      <w:r w:rsidR="00610381" w:rsidRPr="009B2707">
        <w:t>These ADL kits are the same as those identified in option one above and are provided by the RAS assessor after the reassessment is completed.</w:t>
      </w:r>
      <w:r w:rsidR="00610381" w:rsidRPr="00695176">
        <w:t xml:space="preserve"> </w:t>
      </w:r>
    </w:p>
    <w:p w14:paraId="07EEB81F" w14:textId="185613CC" w:rsidR="00D37220" w:rsidRPr="009B2707" w:rsidRDefault="00D37220" w:rsidP="00D37220">
      <w:pPr>
        <w:pStyle w:val="ParaKeep"/>
        <w:rPr>
          <w:color w:val="000000"/>
        </w:rPr>
      </w:pPr>
      <w:r w:rsidRPr="00D37220">
        <w:rPr>
          <w:rStyle w:val="Bold"/>
        </w:rPr>
        <w:t>Target cohort:</w:t>
      </w:r>
      <w:r>
        <w:rPr>
          <w:rStyle w:val="Bold"/>
        </w:rPr>
        <w:t xml:space="preserve"> </w:t>
      </w:r>
      <w:r w:rsidRPr="009B2707">
        <w:t xml:space="preserve">All CHSP </w:t>
      </w:r>
      <w:r>
        <w:t>consumer</w:t>
      </w:r>
      <w:r w:rsidRPr="009B2707">
        <w:t>s—undergoing a reablement period or having a reassessment—where assistance in one of the activities is identified during their RAS assessment.</w:t>
      </w:r>
    </w:p>
    <w:p w14:paraId="26DDBCA9" w14:textId="325E1C23" w:rsidR="00D37220" w:rsidRPr="009B2707" w:rsidRDefault="00D37220" w:rsidP="00D37220">
      <w:pPr>
        <w:pStyle w:val="ParaKeep"/>
      </w:pPr>
      <w:r w:rsidRPr="00D37220">
        <w:rPr>
          <w:rStyle w:val="Bold"/>
        </w:rPr>
        <w:t>Estimated annual users:</w:t>
      </w:r>
      <w:r>
        <w:rPr>
          <w:rStyle w:val="Bold"/>
        </w:rPr>
        <w:t xml:space="preserve"> </w:t>
      </w:r>
      <w:r w:rsidR="00EA17F9">
        <w:t>64,914</w:t>
      </w:r>
      <w:r w:rsidR="00410F76">
        <w:t xml:space="preserve"> </w:t>
      </w:r>
      <w:r w:rsidRPr="009B2707">
        <w:t xml:space="preserve">CHSP </w:t>
      </w:r>
      <w:r>
        <w:t>consumer</w:t>
      </w:r>
      <w:r w:rsidRPr="009B2707">
        <w:t>s, including:</w:t>
      </w:r>
    </w:p>
    <w:p w14:paraId="239B7617" w14:textId="77777777" w:rsidR="00D37220" w:rsidRPr="00E64C93" w:rsidRDefault="00D37220" w:rsidP="00D37220">
      <w:pPr>
        <w:pStyle w:val="Bullet1Keep"/>
      </w:pPr>
      <w:r>
        <w:t>32,457</w:t>
      </w:r>
      <w:r w:rsidRPr="00E64C93">
        <w:t xml:space="preserve"> CHSP </w:t>
      </w:r>
      <w:r>
        <w:t>consumer</w:t>
      </w:r>
      <w:r w:rsidRPr="00E64C93">
        <w:t>s undergoing reablement</w:t>
      </w:r>
      <w:r>
        <w:t xml:space="preserve"> </w:t>
      </w:r>
    </w:p>
    <w:p w14:paraId="1E0E09E7" w14:textId="77777777" w:rsidR="00D37220" w:rsidRPr="003A062F" w:rsidRDefault="00D37220" w:rsidP="00EA17F9">
      <w:pPr>
        <w:pStyle w:val="Bullet1"/>
      </w:pPr>
      <w:r>
        <w:t>32457 CHSP consumers being reassessed.</w:t>
      </w:r>
    </w:p>
    <w:p w14:paraId="063CD4DD" w14:textId="3B627270" w:rsidR="00610381" w:rsidRPr="009B2707" w:rsidRDefault="00610381" w:rsidP="009E5295">
      <w:pPr>
        <w:pStyle w:val="Heading4"/>
        <w:pBdr>
          <w:top w:val="single" w:sz="24" w:space="1" w:color="E2F4FF" w:themeColor="accent1" w:themeTint="33"/>
          <w:left w:val="single" w:sz="24" w:space="4" w:color="E2F4FF" w:themeColor="accent1" w:themeTint="33"/>
          <w:bottom w:val="single" w:sz="24" w:space="1" w:color="E2F4FF" w:themeColor="accent1" w:themeTint="33"/>
          <w:right w:val="single" w:sz="24" w:space="4" w:color="E2F4FF" w:themeColor="accent1" w:themeTint="33"/>
        </w:pBdr>
        <w:shd w:val="clear" w:color="auto" w:fill="E2F4FF" w:themeFill="accent1" w:themeFillTint="33"/>
        <w:rPr>
          <w:szCs w:val="20"/>
        </w:rPr>
      </w:pPr>
      <w:r w:rsidRPr="00E64C93">
        <w:t>4. ADL kit</w:t>
      </w:r>
      <w:r>
        <w:t>s</w:t>
      </w:r>
      <w:r w:rsidRPr="00E64C93">
        <w:t xml:space="preserve"> for all new</w:t>
      </w:r>
      <w:r w:rsidRPr="0056537B">
        <w:t>—and existing reassessed—</w:t>
      </w:r>
      <w:r w:rsidRPr="00A154F1">
        <w:t xml:space="preserve">CHSP </w:t>
      </w:r>
      <w:r>
        <w:t>consumer</w:t>
      </w:r>
      <w:r w:rsidRPr="0056537B">
        <w:t>s</w:t>
      </w:r>
    </w:p>
    <w:p w14:paraId="6CE26AAB" w14:textId="55825837" w:rsidR="00EA17F9" w:rsidRPr="00736110" w:rsidRDefault="00EA17F9" w:rsidP="00143C46">
      <w:r w:rsidRPr="00D37220">
        <w:rPr>
          <w:rStyle w:val="Bold"/>
        </w:rPr>
        <w:t>Benefit:</w:t>
      </w:r>
      <w:r>
        <w:t xml:space="preserve"> </w:t>
      </w:r>
      <w:r w:rsidRPr="002C12DA">
        <w:t>$560,881,353</w:t>
      </w:r>
      <w:r>
        <w:t xml:space="preserve"> </w:t>
      </w:r>
      <w:r w:rsidRPr="00EA17F9">
        <w:rPr>
          <w:color w:val="0079C1" w:themeColor="text2"/>
        </w:rPr>
        <w:t>|</w:t>
      </w:r>
      <w:r>
        <w:t xml:space="preserve"> </w:t>
      </w:r>
      <w:r w:rsidRPr="00D37220">
        <w:rPr>
          <w:rStyle w:val="Bold"/>
        </w:rPr>
        <w:t>Cost:</w:t>
      </w:r>
      <w:r>
        <w:t xml:space="preserve"> </w:t>
      </w:r>
      <w:r w:rsidRPr="00736110">
        <w:t>$23,658,964</w:t>
      </w:r>
      <w:r>
        <w:t xml:space="preserve"> </w:t>
      </w:r>
      <w:r w:rsidRPr="00EA17F9">
        <w:rPr>
          <w:color w:val="0079C1" w:themeColor="text2"/>
        </w:rPr>
        <w:t>|</w:t>
      </w:r>
      <w:r>
        <w:t xml:space="preserve"> </w:t>
      </w:r>
      <w:r w:rsidRPr="00EA17F9">
        <w:rPr>
          <w:rStyle w:val="Bold"/>
        </w:rPr>
        <w:t>Users:</w:t>
      </w:r>
      <w:r>
        <w:t xml:space="preserve"> </w:t>
      </w:r>
      <w:bookmarkStart w:id="245" w:name="_Hlk59205277"/>
      <w:r>
        <w:t>194,780</w:t>
      </w:r>
      <w:r w:rsidRPr="0079110B">
        <w:t xml:space="preserve"> </w:t>
      </w:r>
      <w:bookmarkEnd w:id="245"/>
      <w:r w:rsidRPr="00EA17F9">
        <w:rPr>
          <w:color w:val="0079C1" w:themeColor="text2"/>
        </w:rPr>
        <w:t>|</w:t>
      </w:r>
      <w:r w:rsidRPr="00EA17F9">
        <w:t xml:space="preserve"> </w:t>
      </w:r>
      <w:r w:rsidRPr="00EA17F9">
        <w:rPr>
          <w:rStyle w:val="Bold"/>
        </w:rPr>
        <w:t>Program:</w:t>
      </w:r>
      <w:r>
        <w:t xml:space="preserve"> CHSP</w:t>
      </w:r>
    </w:p>
    <w:p w14:paraId="66BED921" w14:textId="70D15075" w:rsidR="00610381" w:rsidRPr="0079110B" w:rsidRDefault="00EA17F9" w:rsidP="00D37220">
      <w:pPr>
        <w:pStyle w:val="ParaKeep"/>
      </w:pPr>
      <w:r>
        <w:rPr>
          <w:rStyle w:val="Bold"/>
        </w:rPr>
        <w:t>Description</w:t>
      </w:r>
      <w:r w:rsidRPr="00D37220">
        <w:rPr>
          <w:rStyle w:val="Bold"/>
        </w:rPr>
        <w:t>:</w:t>
      </w:r>
      <w:r>
        <w:rPr>
          <w:rStyle w:val="Bold"/>
        </w:rPr>
        <w:t xml:space="preserve"> </w:t>
      </w:r>
      <w:r w:rsidR="00610381" w:rsidRPr="0079110B">
        <w:t xml:space="preserve">A further extension to option two above, providing an ADL kit to all CHSP </w:t>
      </w:r>
      <w:r w:rsidR="00610381">
        <w:t>consumer</w:t>
      </w:r>
      <w:r w:rsidR="00610381" w:rsidRPr="0079110B">
        <w:t>s after a RAS assessment that identifies a need for low-level AT</w:t>
      </w:r>
      <w:r w:rsidR="00610381">
        <w:t xml:space="preserve">. </w:t>
      </w:r>
      <w:r w:rsidR="00610381" w:rsidRPr="0079110B">
        <w:t>ADL kits are the same as those identified in option one above and are provided by the RAS assessor after the reassessment is completed.</w:t>
      </w:r>
    </w:p>
    <w:p w14:paraId="677104DB" w14:textId="5E994A0E" w:rsidR="00D37220" w:rsidRPr="0079110B" w:rsidRDefault="00D37220" w:rsidP="00D37220">
      <w:pPr>
        <w:pStyle w:val="ParaKeep"/>
      </w:pPr>
      <w:r w:rsidRPr="00D37220">
        <w:rPr>
          <w:rStyle w:val="Bold"/>
        </w:rPr>
        <w:t>Target cohort:</w:t>
      </w:r>
      <w:r>
        <w:rPr>
          <w:rStyle w:val="Bold"/>
        </w:rPr>
        <w:t xml:space="preserve"> </w:t>
      </w:r>
      <w:r w:rsidRPr="0079110B">
        <w:t xml:space="preserve">All CHSP </w:t>
      </w:r>
      <w:r>
        <w:t>consumer</w:t>
      </w:r>
      <w:r w:rsidRPr="0079110B">
        <w:t>s—including those not undergoing reablement—where assistance in one of the activities is identified during their RAS assessment.</w:t>
      </w:r>
    </w:p>
    <w:p w14:paraId="47C802A8" w14:textId="0C9E4D3A" w:rsidR="00D37220" w:rsidRPr="0079110B" w:rsidRDefault="00D37220" w:rsidP="00D37220">
      <w:pPr>
        <w:pStyle w:val="ParaKeep"/>
      </w:pPr>
      <w:r w:rsidRPr="00D37220">
        <w:rPr>
          <w:rStyle w:val="Bold"/>
        </w:rPr>
        <w:t>Estimated annual users:</w:t>
      </w:r>
      <w:r>
        <w:rPr>
          <w:rStyle w:val="Bold"/>
        </w:rPr>
        <w:t xml:space="preserve"> </w:t>
      </w:r>
      <w:r w:rsidR="00EA17F9">
        <w:t>194,780</w:t>
      </w:r>
      <w:r w:rsidR="00EA17F9" w:rsidRPr="0079110B">
        <w:t xml:space="preserve"> </w:t>
      </w:r>
      <w:r w:rsidRPr="0079110B">
        <w:t xml:space="preserve">CHSP </w:t>
      </w:r>
      <w:r>
        <w:t>consumer</w:t>
      </w:r>
      <w:r w:rsidRPr="0079110B">
        <w:t>s, including:</w:t>
      </w:r>
    </w:p>
    <w:p w14:paraId="5F1ACA16" w14:textId="77777777" w:rsidR="00D37220" w:rsidRPr="009B2707" w:rsidRDefault="00D37220" w:rsidP="00D37220">
      <w:pPr>
        <w:pStyle w:val="Bullet1Keep"/>
      </w:pPr>
      <w:r w:rsidRPr="0079110B">
        <w:t>1</w:t>
      </w:r>
      <w:r>
        <w:t xml:space="preserve">62,286 </w:t>
      </w:r>
      <w:r w:rsidRPr="009B2707">
        <w:t xml:space="preserve">new CHSP </w:t>
      </w:r>
      <w:r>
        <w:t>consumer</w:t>
      </w:r>
      <w:r w:rsidRPr="009B2707">
        <w:t xml:space="preserve">s not undergoing reablement </w:t>
      </w:r>
    </w:p>
    <w:p w14:paraId="21C78CC7" w14:textId="77777777" w:rsidR="00D37220" w:rsidRPr="0079110B" w:rsidRDefault="00D37220" w:rsidP="00EA17F9">
      <w:pPr>
        <w:pStyle w:val="Bullet1"/>
      </w:pPr>
      <w:r>
        <w:t>32,494</w:t>
      </w:r>
      <w:r w:rsidRPr="0079110B">
        <w:t xml:space="preserve"> CHSP </w:t>
      </w:r>
      <w:r>
        <w:t>consumer</w:t>
      </w:r>
      <w:r w:rsidRPr="0079110B">
        <w:t>s being reassessed.</w:t>
      </w:r>
    </w:p>
    <w:p w14:paraId="6422E5A1" w14:textId="77777777" w:rsidR="00610381" w:rsidRPr="009B2707" w:rsidRDefault="00610381" w:rsidP="009E5295">
      <w:pPr>
        <w:pStyle w:val="Heading4"/>
        <w:pBdr>
          <w:top w:val="single" w:sz="24" w:space="1" w:color="E2F4FF" w:themeColor="accent1" w:themeTint="33"/>
          <w:left w:val="single" w:sz="24" w:space="4" w:color="E2F4FF" w:themeColor="accent1" w:themeTint="33"/>
          <w:bottom w:val="single" w:sz="24" w:space="1" w:color="E2F4FF" w:themeColor="accent1" w:themeTint="33"/>
          <w:right w:val="single" w:sz="24" w:space="4" w:color="E2F4FF" w:themeColor="accent1" w:themeTint="33"/>
        </w:pBdr>
        <w:shd w:val="clear" w:color="auto" w:fill="E2F4FF" w:themeFill="accent1" w:themeFillTint="33"/>
      </w:pPr>
      <w:r w:rsidRPr="009B2707">
        <w:t>5. An ADL kit for new HCP Level 1 and 2 consumers</w:t>
      </w:r>
    </w:p>
    <w:p w14:paraId="6E78AE73" w14:textId="52CB880B" w:rsidR="00EA17F9" w:rsidRPr="00736110" w:rsidRDefault="00EA17F9" w:rsidP="00143C46">
      <w:r w:rsidRPr="00D37220">
        <w:rPr>
          <w:rStyle w:val="Bold"/>
        </w:rPr>
        <w:t>Benefit:</w:t>
      </w:r>
      <w:r>
        <w:t xml:space="preserve"> </w:t>
      </w:r>
      <w:r w:rsidRPr="002C12DA">
        <w:rPr>
          <w:rFonts w:ascii="Calibri" w:hAnsi="Calibri" w:cs="Calibri"/>
          <w:color w:val="000000"/>
          <w:szCs w:val="20"/>
        </w:rPr>
        <w:t>$145,722,084</w:t>
      </w:r>
      <w:r>
        <w:t xml:space="preserve"> </w:t>
      </w:r>
      <w:r w:rsidRPr="00EA17F9">
        <w:rPr>
          <w:color w:val="0079C1" w:themeColor="text2"/>
        </w:rPr>
        <w:t>|</w:t>
      </w:r>
      <w:r>
        <w:t xml:space="preserve"> </w:t>
      </w:r>
      <w:r w:rsidRPr="00D37220">
        <w:rPr>
          <w:rStyle w:val="Bold"/>
        </w:rPr>
        <w:t>Cost:</w:t>
      </w:r>
      <w:r>
        <w:t xml:space="preserve"> </w:t>
      </w:r>
      <w:r w:rsidRPr="00736110">
        <w:t>$5,326,431</w:t>
      </w:r>
      <w:r>
        <w:t xml:space="preserve"> </w:t>
      </w:r>
      <w:r w:rsidRPr="00EA17F9">
        <w:rPr>
          <w:color w:val="0079C1" w:themeColor="text2"/>
        </w:rPr>
        <w:t>|</w:t>
      </w:r>
      <w:r>
        <w:t xml:space="preserve"> </w:t>
      </w:r>
      <w:r w:rsidRPr="00EA17F9">
        <w:rPr>
          <w:rStyle w:val="Bold"/>
        </w:rPr>
        <w:t>Users:</w:t>
      </w:r>
      <w:r>
        <w:t xml:space="preserve"> </w:t>
      </w:r>
      <w:r w:rsidRPr="0079110B">
        <w:rPr>
          <w:rFonts w:cstheme="minorHAnsi"/>
          <w:szCs w:val="20"/>
        </w:rPr>
        <w:t>43,85</w:t>
      </w:r>
      <w:r>
        <w:rPr>
          <w:rFonts w:cstheme="minorHAnsi"/>
          <w:szCs w:val="20"/>
        </w:rPr>
        <w:t>2</w:t>
      </w:r>
      <w:r>
        <w:t xml:space="preserve"> </w:t>
      </w:r>
      <w:r w:rsidRPr="00EA17F9">
        <w:rPr>
          <w:color w:val="0079C1" w:themeColor="text2"/>
        </w:rPr>
        <w:t>|</w:t>
      </w:r>
      <w:r w:rsidRPr="00EA17F9">
        <w:t xml:space="preserve"> </w:t>
      </w:r>
      <w:r w:rsidRPr="00EA17F9">
        <w:rPr>
          <w:rStyle w:val="Bold"/>
        </w:rPr>
        <w:t>Program:</w:t>
      </w:r>
      <w:r>
        <w:t xml:space="preserve"> HCP</w:t>
      </w:r>
    </w:p>
    <w:p w14:paraId="29D046D4" w14:textId="3B22507E" w:rsidR="00610381" w:rsidRPr="00736110" w:rsidRDefault="00EA17F9" w:rsidP="00C447F6">
      <w:pPr>
        <w:pStyle w:val="ParaKeep"/>
        <w:rPr>
          <w:highlight w:val="yellow"/>
        </w:rPr>
      </w:pPr>
      <w:r>
        <w:rPr>
          <w:rStyle w:val="Bold"/>
        </w:rPr>
        <w:t>Description</w:t>
      </w:r>
      <w:r w:rsidRPr="00D37220">
        <w:rPr>
          <w:rStyle w:val="Bold"/>
        </w:rPr>
        <w:t>:</w:t>
      </w:r>
      <w:r>
        <w:rPr>
          <w:rStyle w:val="Bold"/>
        </w:rPr>
        <w:t xml:space="preserve"> </w:t>
      </w:r>
      <w:r w:rsidR="00610381" w:rsidRPr="00736110">
        <w:t>A choice of one of six Activity of Daily Living (ADL) kits for new Home Care Package (HCP) Level 1 and 2 consumers. These ADL kits are described in option one above.</w:t>
      </w:r>
    </w:p>
    <w:p w14:paraId="7B00519F" w14:textId="15226FF4" w:rsidR="00C447F6" w:rsidRPr="0079110B" w:rsidRDefault="00D37220" w:rsidP="00C447F6">
      <w:pPr>
        <w:pStyle w:val="ParaKeep"/>
        <w:rPr>
          <w:rFonts w:cstheme="minorHAnsi"/>
          <w:color w:val="000000"/>
          <w:szCs w:val="20"/>
        </w:rPr>
      </w:pPr>
      <w:r w:rsidRPr="00D37220">
        <w:rPr>
          <w:rStyle w:val="Bold"/>
        </w:rPr>
        <w:t>Target cohort:</w:t>
      </w:r>
      <w:r w:rsidR="00C447F6">
        <w:rPr>
          <w:rStyle w:val="Bold"/>
        </w:rPr>
        <w:t xml:space="preserve"> </w:t>
      </w:r>
      <w:r w:rsidR="00C447F6" w:rsidRPr="0079110B">
        <w:rPr>
          <w:rFonts w:cstheme="minorHAnsi"/>
          <w:szCs w:val="20"/>
        </w:rPr>
        <w:t xml:space="preserve">New </w:t>
      </w:r>
      <w:r w:rsidR="00C447F6">
        <w:rPr>
          <w:rFonts w:cstheme="minorHAnsi"/>
          <w:szCs w:val="20"/>
        </w:rPr>
        <w:t>consumer</w:t>
      </w:r>
      <w:r w:rsidR="00C447F6" w:rsidRPr="0079110B">
        <w:rPr>
          <w:rFonts w:cstheme="minorHAnsi"/>
          <w:szCs w:val="20"/>
        </w:rPr>
        <w:t xml:space="preserve">s approved for a HCP level 1 and 2 package. </w:t>
      </w:r>
    </w:p>
    <w:p w14:paraId="48B0E92D" w14:textId="6CCB3496" w:rsidR="00143C46" w:rsidRDefault="00D37220" w:rsidP="00EA17F9">
      <w:pPr>
        <w:pStyle w:val="Paragraph"/>
        <w:rPr>
          <w:rFonts w:cstheme="minorHAnsi"/>
          <w:szCs w:val="20"/>
        </w:rPr>
      </w:pPr>
      <w:r w:rsidRPr="00D37220">
        <w:rPr>
          <w:rStyle w:val="Bold"/>
        </w:rPr>
        <w:t>Estimated annual users:</w:t>
      </w:r>
      <w:r w:rsidR="00C447F6">
        <w:rPr>
          <w:rStyle w:val="Bold"/>
        </w:rPr>
        <w:t xml:space="preserve"> </w:t>
      </w:r>
      <w:r w:rsidR="00C447F6" w:rsidRPr="0079110B">
        <w:rPr>
          <w:rFonts w:cstheme="minorHAnsi"/>
          <w:szCs w:val="20"/>
        </w:rPr>
        <w:t>43,85</w:t>
      </w:r>
      <w:r w:rsidR="00C447F6">
        <w:rPr>
          <w:rFonts w:cstheme="minorHAnsi"/>
          <w:szCs w:val="20"/>
        </w:rPr>
        <w:t>2</w:t>
      </w:r>
      <w:r w:rsidR="00C447F6" w:rsidRPr="0079110B">
        <w:rPr>
          <w:rFonts w:cstheme="minorHAnsi"/>
          <w:szCs w:val="20"/>
        </w:rPr>
        <w:t xml:space="preserve"> HCP </w:t>
      </w:r>
      <w:r w:rsidR="00C447F6">
        <w:rPr>
          <w:rFonts w:cstheme="minorHAnsi"/>
          <w:szCs w:val="20"/>
        </w:rPr>
        <w:t>consumer</w:t>
      </w:r>
      <w:r w:rsidR="00C447F6" w:rsidRPr="0079110B">
        <w:rPr>
          <w:rFonts w:cstheme="minorHAnsi"/>
          <w:szCs w:val="20"/>
        </w:rPr>
        <w:t>s</w:t>
      </w:r>
    </w:p>
    <w:p w14:paraId="4AAD4299" w14:textId="77777777" w:rsidR="00143C46" w:rsidRDefault="00143C46">
      <w:pPr>
        <w:rPr>
          <w:rFonts w:cstheme="minorHAnsi"/>
          <w:color w:val="000000" w:themeColor="text1"/>
          <w:szCs w:val="20"/>
          <w:lang w:eastAsia="en-US"/>
        </w:rPr>
      </w:pPr>
      <w:r>
        <w:rPr>
          <w:rFonts w:cstheme="minorHAnsi"/>
          <w:szCs w:val="20"/>
        </w:rPr>
        <w:br w:type="page"/>
      </w:r>
    </w:p>
    <w:p w14:paraId="1ABB35C5" w14:textId="77777777" w:rsidR="00610381" w:rsidRPr="009B2707" w:rsidRDefault="00610381" w:rsidP="009E5295">
      <w:pPr>
        <w:pStyle w:val="Heading4"/>
        <w:pBdr>
          <w:top w:val="single" w:sz="24" w:space="1" w:color="E2F4FF" w:themeColor="accent1" w:themeTint="33"/>
          <w:left w:val="single" w:sz="24" w:space="4" w:color="E2F4FF" w:themeColor="accent1" w:themeTint="33"/>
          <w:bottom w:val="single" w:sz="24" w:space="1" w:color="E2F4FF" w:themeColor="accent1" w:themeTint="33"/>
          <w:right w:val="single" w:sz="24" w:space="4" w:color="E2F4FF" w:themeColor="accent1" w:themeTint="33"/>
        </w:pBdr>
        <w:shd w:val="clear" w:color="auto" w:fill="E2F4FF" w:themeFill="accent1" w:themeFillTint="33"/>
      </w:pPr>
      <w:r w:rsidRPr="009B2707">
        <w:lastRenderedPageBreak/>
        <w:t>6. CHSP</w:t>
      </w:r>
      <w:r w:rsidRPr="009B2707" w:rsidDel="00A15E9F">
        <w:t xml:space="preserve"> </w:t>
      </w:r>
      <w:r>
        <w:t>equity</w:t>
      </w:r>
      <w:r w:rsidRPr="009B2707">
        <w:t xml:space="preserve"> in state and territory </w:t>
      </w:r>
      <w:r>
        <w:t>AT funding</w:t>
      </w:r>
      <w:r w:rsidRPr="009B2707">
        <w:t xml:space="preserve"> </w:t>
      </w:r>
    </w:p>
    <w:p w14:paraId="0F3E4D68" w14:textId="145F8BB8" w:rsidR="00EA17F9" w:rsidRPr="00736110" w:rsidRDefault="00EA17F9" w:rsidP="00143C46">
      <w:r w:rsidRPr="00D37220">
        <w:rPr>
          <w:rStyle w:val="Bold"/>
        </w:rPr>
        <w:t>Benefit:</w:t>
      </w:r>
      <w:r>
        <w:t xml:space="preserve"> </w:t>
      </w:r>
      <w:r>
        <w:rPr>
          <w:rFonts w:ascii="Calibri" w:hAnsi="Calibri" w:cs="Calibri"/>
          <w:color w:val="000000"/>
        </w:rPr>
        <w:t>$</w:t>
      </w:r>
      <w:r w:rsidRPr="002C12DA">
        <w:rPr>
          <w:rFonts w:ascii="Calibri" w:hAnsi="Calibri" w:cs="Calibri"/>
          <w:color w:val="000000"/>
        </w:rPr>
        <w:t>316,797,985</w:t>
      </w:r>
      <w:r>
        <w:t xml:space="preserve"> </w:t>
      </w:r>
      <w:r w:rsidRPr="00EA17F9">
        <w:rPr>
          <w:color w:val="0079C1" w:themeColor="text2"/>
        </w:rPr>
        <w:t>|</w:t>
      </w:r>
      <w:r>
        <w:t xml:space="preserve"> </w:t>
      </w:r>
      <w:r w:rsidRPr="00D37220">
        <w:rPr>
          <w:rStyle w:val="Bold"/>
        </w:rPr>
        <w:t>Cost:</w:t>
      </w:r>
      <w:r>
        <w:t xml:space="preserve"> </w:t>
      </w:r>
      <w:r w:rsidRPr="00736110">
        <w:t>$20,562,641</w:t>
      </w:r>
      <w:r>
        <w:t xml:space="preserve"> </w:t>
      </w:r>
      <w:r w:rsidRPr="00EA17F9">
        <w:rPr>
          <w:color w:val="0079C1" w:themeColor="text2"/>
        </w:rPr>
        <w:t>|</w:t>
      </w:r>
      <w:r>
        <w:t xml:space="preserve"> </w:t>
      </w:r>
      <w:r w:rsidRPr="00EA17F9">
        <w:rPr>
          <w:rStyle w:val="Bold"/>
        </w:rPr>
        <w:t>Users:</w:t>
      </w:r>
      <w:r>
        <w:t xml:space="preserve"> </w:t>
      </w:r>
      <w:r w:rsidRPr="00736110">
        <w:t xml:space="preserve">60,301 </w:t>
      </w:r>
      <w:r w:rsidRPr="00EA17F9">
        <w:rPr>
          <w:color w:val="0079C1" w:themeColor="text2"/>
        </w:rPr>
        <w:t>|</w:t>
      </w:r>
      <w:r w:rsidRPr="00EA17F9">
        <w:t xml:space="preserve"> </w:t>
      </w:r>
      <w:r w:rsidRPr="00EA17F9">
        <w:rPr>
          <w:rStyle w:val="Bold"/>
        </w:rPr>
        <w:t>Program:</w:t>
      </w:r>
      <w:r>
        <w:t xml:space="preserve"> CHSP</w:t>
      </w:r>
    </w:p>
    <w:p w14:paraId="1B0A7480" w14:textId="0817FD5D" w:rsidR="00610381" w:rsidRPr="009B2707" w:rsidRDefault="00EA17F9" w:rsidP="00C447F6">
      <w:pPr>
        <w:pStyle w:val="ParaKeep"/>
      </w:pPr>
      <w:r>
        <w:rPr>
          <w:rStyle w:val="Bold"/>
        </w:rPr>
        <w:t>Description</w:t>
      </w:r>
      <w:r w:rsidRPr="00D37220">
        <w:rPr>
          <w:rStyle w:val="Bold"/>
        </w:rPr>
        <w:t>:</w:t>
      </w:r>
      <w:r>
        <w:rPr>
          <w:rStyle w:val="Bold"/>
        </w:rPr>
        <w:t xml:space="preserve"> </w:t>
      </w:r>
      <w:r w:rsidR="00610381" w:rsidRPr="009B2707">
        <w:t>This option equalises AT and home modification CHSP funding for each jurisdiction nationally</w:t>
      </w:r>
      <w:r w:rsidR="00610381">
        <w:t xml:space="preserve">. </w:t>
      </w:r>
      <w:r w:rsidR="00610381" w:rsidRPr="009B2707">
        <w:t>This means that each state and territory would receive funding so that its</w:t>
      </w:r>
      <w:r w:rsidR="00610381" w:rsidRPr="009B2707">
        <w:rPr>
          <w:rFonts w:eastAsiaTheme="minorHAnsi"/>
        </w:rPr>
        <w:t xml:space="preserve"> </w:t>
      </w:r>
      <w:r w:rsidR="00610381" w:rsidRPr="009B2707">
        <w:t xml:space="preserve">CHSP </w:t>
      </w:r>
      <w:r w:rsidR="00610381">
        <w:t>consumer</w:t>
      </w:r>
      <w:r w:rsidR="00610381" w:rsidRPr="009B2707">
        <w:t>s:</w:t>
      </w:r>
    </w:p>
    <w:p w14:paraId="7B24133C" w14:textId="77777777" w:rsidR="00610381" w:rsidRPr="009B2707" w:rsidRDefault="00610381" w:rsidP="00C447F6">
      <w:pPr>
        <w:pStyle w:val="Bullet1Keep"/>
      </w:pPr>
      <w:r w:rsidRPr="0079110B">
        <w:t xml:space="preserve">have the same access as CHSP </w:t>
      </w:r>
      <w:r>
        <w:t>consumer</w:t>
      </w:r>
      <w:r w:rsidRPr="0079110B">
        <w:t>s in the jurisdiction with the greate</w:t>
      </w:r>
      <w:r w:rsidRPr="009B2707">
        <w:t xml:space="preserve">st current access (3.8% of SA CHSP </w:t>
      </w:r>
      <w:r>
        <w:t>consumer</w:t>
      </w:r>
      <w:r w:rsidRPr="009B2707">
        <w:t xml:space="preserve">s for AT and 4.1% of QLD CHSP </w:t>
      </w:r>
      <w:r>
        <w:t>consumer</w:t>
      </w:r>
      <w:r w:rsidRPr="009B2707">
        <w:t xml:space="preserve">s for home modifications) </w:t>
      </w:r>
    </w:p>
    <w:p w14:paraId="3202E29A" w14:textId="77777777" w:rsidR="00610381" w:rsidRPr="009B2707" w:rsidRDefault="00610381" w:rsidP="00C447F6">
      <w:pPr>
        <w:pStyle w:val="Bullet1Keep"/>
      </w:pPr>
      <w:r w:rsidRPr="0079110B">
        <w:t xml:space="preserve">each receive on average the amount of AT and home modifications funding equal to the national average </w:t>
      </w:r>
      <w:r>
        <w:t>consumer</w:t>
      </w:r>
      <w:r w:rsidRPr="0079110B">
        <w:t xml:space="preserve"> ($341 for AT and $726 for home modification</w:t>
      </w:r>
      <w:r w:rsidRPr="009B2707">
        <w:t>s).</w:t>
      </w:r>
    </w:p>
    <w:p w14:paraId="33BC06E3" w14:textId="77777777" w:rsidR="00610381" w:rsidRPr="00736110" w:rsidRDefault="00610381" w:rsidP="00C447F6">
      <w:pPr>
        <w:pStyle w:val="ParaKeep"/>
      </w:pPr>
      <w:r w:rsidRPr="00736110">
        <w:t xml:space="preserve">This option includes funding for the additional </w:t>
      </w:r>
      <w:r>
        <w:t>45,204</w:t>
      </w:r>
      <w:r w:rsidRPr="00736110">
        <w:t xml:space="preserve"> allied health assessments needed to appropriately prescribe the AT and home modifications identified for </w:t>
      </w:r>
      <w:r>
        <w:t>equity</w:t>
      </w:r>
      <w:r w:rsidRPr="00736110">
        <w:t>.</w:t>
      </w:r>
    </w:p>
    <w:p w14:paraId="6E17FD22" w14:textId="2528A164" w:rsidR="00C447F6" w:rsidRPr="00736110" w:rsidRDefault="00D37220" w:rsidP="00ED05C0">
      <w:pPr>
        <w:pStyle w:val="ParaKeep"/>
      </w:pPr>
      <w:r w:rsidRPr="00D37220">
        <w:rPr>
          <w:rStyle w:val="Bold"/>
        </w:rPr>
        <w:t>Target cohort:</w:t>
      </w:r>
      <w:r w:rsidR="00C447F6">
        <w:rPr>
          <w:rStyle w:val="Bold"/>
        </w:rPr>
        <w:t xml:space="preserve"> </w:t>
      </w:r>
      <w:r w:rsidR="00C447F6" w:rsidRPr="00736110">
        <w:t>All CHSP consumers prescribed AT by a RAS, ACAT or CHSP</w:t>
      </w:r>
      <w:r w:rsidR="00C447F6" w:rsidRPr="00736110">
        <w:noBreakHyphen/>
        <w:t>funded allied health professional.</w:t>
      </w:r>
    </w:p>
    <w:p w14:paraId="4B611B43" w14:textId="77777777" w:rsidR="00ED05C0" w:rsidRPr="00736110" w:rsidRDefault="00ED05C0" w:rsidP="00EA17F9">
      <w:pPr>
        <w:pStyle w:val="Paragraph"/>
      </w:pPr>
      <w:r w:rsidRPr="00D37220">
        <w:rPr>
          <w:rStyle w:val="Bold"/>
        </w:rPr>
        <w:t>Estimated annual users:</w:t>
      </w:r>
      <w:r>
        <w:rPr>
          <w:rStyle w:val="Bold"/>
        </w:rPr>
        <w:t xml:space="preserve"> </w:t>
      </w:r>
      <w:r w:rsidRPr="00736110">
        <w:t>60,301 CHSP consumers</w:t>
      </w:r>
    </w:p>
    <w:p w14:paraId="514FCF14" w14:textId="77777777" w:rsidR="00610381" w:rsidRPr="009B2707" w:rsidRDefault="00610381" w:rsidP="009E5295">
      <w:pPr>
        <w:pStyle w:val="Heading4"/>
        <w:pBdr>
          <w:top w:val="single" w:sz="24" w:space="1" w:color="E2F4FF" w:themeColor="accent1" w:themeTint="33"/>
          <w:left w:val="single" w:sz="24" w:space="4" w:color="E2F4FF" w:themeColor="accent1" w:themeTint="33"/>
          <w:bottom w:val="single" w:sz="24" w:space="1" w:color="E2F4FF" w:themeColor="accent1" w:themeTint="33"/>
          <w:right w:val="single" w:sz="24" w:space="4" w:color="E2F4FF" w:themeColor="accent1" w:themeTint="33"/>
        </w:pBdr>
        <w:shd w:val="clear" w:color="auto" w:fill="E2F4FF" w:themeFill="accent1" w:themeFillTint="33"/>
      </w:pPr>
      <w:r>
        <w:t>7</w:t>
      </w:r>
      <w:r w:rsidRPr="009B2707">
        <w:t xml:space="preserve">. CHSP </w:t>
      </w:r>
      <w:r>
        <w:t>equity</w:t>
      </w:r>
      <w:r w:rsidRPr="009B2707">
        <w:t xml:space="preserve"> in state and territory </w:t>
      </w:r>
      <w:r>
        <w:t>Home modification funding</w:t>
      </w:r>
      <w:r w:rsidRPr="009B2707">
        <w:t xml:space="preserve"> </w:t>
      </w:r>
    </w:p>
    <w:p w14:paraId="536C043C" w14:textId="01891890" w:rsidR="00EA17F9" w:rsidRPr="00736110" w:rsidRDefault="00EA17F9" w:rsidP="00143C46">
      <w:r w:rsidRPr="00D37220">
        <w:rPr>
          <w:rStyle w:val="Bold"/>
        </w:rPr>
        <w:t>Benefit:</w:t>
      </w:r>
      <w:r>
        <w:t xml:space="preserve"> </w:t>
      </w:r>
      <w:r>
        <w:rPr>
          <w:rFonts w:ascii="Calibri" w:hAnsi="Calibri" w:cs="Calibri"/>
          <w:color w:val="000000"/>
        </w:rPr>
        <w:t>$</w:t>
      </w:r>
      <w:r w:rsidRPr="002C12DA">
        <w:rPr>
          <w:rFonts w:ascii="Calibri" w:hAnsi="Calibri" w:cs="Calibri"/>
          <w:color w:val="000000"/>
        </w:rPr>
        <w:t>338,090,870</w:t>
      </w:r>
      <w:r>
        <w:t xml:space="preserve"> </w:t>
      </w:r>
      <w:r w:rsidRPr="00EA17F9">
        <w:rPr>
          <w:color w:val="0079C1" w:themeColor="text2"/>
        </w:rPr>
        <w:t>|</w:t>
      </w:r>
      <w:r>
        <w:t xml:space="preserve"> </w:t>
      </w:r>
      <w:r w:rsidRPr="00D37220">
        <w:rPr>
          <w:rStyle w:val="Bold"/>
        </w:rPr>
        <w:t>Cost:</w:t>
      </w:r>
      <w:r>
        <w:t xml:space="preserve"> </w:t>
      </w:r>
      <w:r w:rsidRPr="00736110">
        <w:t>$</w:t>
      </w:r>
      <w:r>
        <w:t xml:space="preserve">46,721,004 </w:t>
      </w:r>
      <w:r w:rsidRPr="00EA17F9">
        <w:rPr>
          <w:color w:val="0079C1" w:themeColor="text2"/>
        </w:rPr>
        <w:t>|</w:t>
      </w:r>
      <w:r>
        <w:t xml:space="preserve"> </w:t>
      </w:r>
      <w:r w:rsidRPr="00EA17F9">
        <w:rPr>
          <w:rStyle w:val="Bold"/>
        </w:rPr>
        <w:t>Users:</w:t>
      </w:r>
      <w:r>
        <w:t xml:space="preserve"> 64,354</w:t>
      </w:r>
      <w:r w:rsidRPr="00736110">
        <w:t xml:space="preserve"> </w:t>
      </w:r>
      <w:r w:rsidRPr="00EA17F9">
        <w:rPr>
          <w:color w:val="0079C1" w:themeColor="text2"/>
        </w:rPr>
        <w:t>|</w:t>
      </w:r>
      <w:r w:rsidRPr="00EA17F9">
        <w:t xml:space="preserve"> </w:t>
      </w:r>
      <w:r w:rsidRPr="00EA17F9">
        <w:rPr>
          <w:rStyle w:val="Bold"/>
        </w:rPr>
        <w:t>Program:</w:t>
      </w:r>
      <w:r>
        <w:t xml:space="preserve"> CHSP</w:t>
      </w:r>
    </w:p>
    <w:p w14:paraId="7DC809B4" w14:textId="178557ED" w:rsidR="00610381" w:rsidRPr="006E0574" w:rsidRDefault="00EA17F9" w:rsidP="00C447F6">
      <w:pPr>
        <w:pStyle w:val="ParaKeep"/>
      </w:pPr>
      <w:r>
        <w:rPr>
          <w:rStyle w:val="Bold"/>
        </w:rPr>
        <w:t>Description</w:t>
      </w:r>
      <w:r w:rsidRPr="00D37220">
        <w:rPr>
          <w:rStyle w:val="Bold"/>
        </w:rPr>
        <w:t>:</w:t>
      </w:r>
      <w:r>
        <w:rPr>
          <w:rStyle w:val="Bold"/>
        </w:rPr>
        <w:t xml:space="preserve"> </w:t>
      </w:r>
      <w:r w:rsidR="00610381" w:rsidRPr="009B2707">
        <w:t>This option equalises AT and home modification CHSP funding for each jurisdiction nationally</w:t>
      </w:r>
      <w:r w:rsidR="00610381">
        <w:t xml:space="preserve">. </w:t>
      </w:r>
      <w:r w:rsidR="00610381" w:rsidRPr="009B2707">
        <w:t>This means that each state and territory would receive funding so that its</w:t>
      </w:r>
      <w:r w:rsidR="00610381" w:rsidRPr="009B2707">
        <w:rPr>
          <w:rFonts w:eastAsiaTheme="minorHAnsi"/>
        </w:rPr>
        <w:t xml:space="preserve"> </w:t>
      </w:r>
      <w:r w:rsidR="00610381" w:rsidRPr="009B2707">
        <w:t xml:space="preserve">CHSP </w:t>
      </w:r>
      <w:r w:rsidR="00610381">
        <w:t>consumer</w:t>
      </w:r>
      <w:r w:rsidR="00610381" w:rsidRPr="009B2707">
        <w:t>s</w:t>
      </w:r>
      <w:r w:rsidR="00610381">
        <w:t xml:space="preserve"> receive equity based on an average national spend of </w:t>
      </w:r>
      <w:r w:rsidR="00610381" w:rsidRPr="0079110B">
        <w:t xml:space="preserve">$726 </w:t>
      </w:r>
      <w:r w:rsidR="00610381">
        <w:t>pe person per year f</w:t>
      </w:r>
      <w:r w:rsidR="00610381" w:rsidRPr="0079110B">
        <w:t>or home modification</w:t>
      </w:r>
      <w:r w:rsidR="00610381" w:rsidRPr="009B2707">
        <w:t>s.</w:t>
      </w:r>
    </w:p>
    <w:p w14:paraId="7E293D9E" w14:textId="77777777" w:rsidR="00610381" w:rsidRPr="00736110" w:rsidRDefault="00610381" w:rsidP="00C447F6">
      <w:pPr>
        <w:pStyle w:val="ParaKeep"/>
      </w:pPr>
      <w:r w:rsidRPr="00736110">
        <w:t xml:space="preserve">This option includes funding for the additional </w:t>
      </w:r>
      <w:r>
        <w:t xml:space="preserve">16,875 </w:t>
      </w:r>
      <w:r w:rsidRPr="00736110">
        <w:t xml:space="preserve">allied health assessments needed to appropriately prescribe the AT and home modifications identified for </w:t>
      </w:r>
      <w:r>
        <w:t>equity</w:t>
      </w:r>
      <w:r w:rsidRPr="00736110">
        <w:t>.</w:t>
      </w:r>
    </w:p>
    <w:p w14:paraId="6CC008E1" w14:textId="77777777" w:rsidR="00C447F6" w:rsidRPr="00736110" w:rsidRDefault="00D37220" w:rsidP="00ED05C0">
      <w:pPr>
        <w:pStyle w:val="ParaKeep"/>
      </w:pPr>
      <w:r w:rsidRPr="00D37220">
        <w:rPr>
          <w:rStyle w:val="Bold"/>
        </w:rPr>
        <w:t>Target cohort:</w:t>
      </w:r>
      <w:r w:rsidR="00C447F6">
        <w:rPr>
          <w:rStyle w:val="Bold"/>
        </w:rPr>
        <w:t xml:space="preserve"> </w:t>
      </w:r>
      <w:r w:rsidR="00C447F6" w:rsidRPr="00736110">
        <w:t>All CHSP consumers prescribed home modifications by a RAS, ACAT or CHSP</w:t>
      </w:r>
      <w:r w:rsidR="00C447F6" w:rsidRPr="00736110">
        <w:noBreakHyphen/>
        <w:t>funded allied health professional.</w:t>
      </w:r>
    </w:p>
    <w:p w14:paraId="1B64E30B" w14:textId="2BC89218" w:rsidR="00143C46" w:rsidRDefault="00ED05C0" w:rsidP="00EA17F9">
      <w:pPr>
        <w:pStyle w:val="Paragraph"/>
      </w:pPr>
      <w:r w:rsidRPr="00D37220">
        <w:rPr>
          <w:rStyle w:val="Bold"/>
        </w:rPr>
        <w:t>Estimated annual users:</w:t>
      </w:r>
      <w:r>
        <w:rPr>
          <w:rStyle w:val="Bold"/>
        </w:rPr>
        <w:t xml:space="preserve"> </w:t>
      </w:r>
      <w:r>
        <w:t>64,354</w:t>
      </w:r>
      <w:r w:rsidRPr="00736110">
        <w:t xml:space="preserve"> CHSP consumers</w:t>
      </w:r>
    </w:p>
    <w:p w14:paraId="48997C55" w14:textId="77777777" w:rsidR="00143C46" w:rsidRDefault="00143C46">
      <w:pPr>
        <w:rPr>
          <w:color w:val="000000" w:themeColor="text1"/>
          <w:lang w:eastAsia="en-US"/>
        </w:rPr>
      </w:pPr>
      <w:r>
        <w:br w:type="page"/>
      </w:r>
    </w:p>
    <w:p w14:paraId="08E142F6" w14:textId="5A8C8868" w:rsidR="00610381" w:rsidRPr="009B2707" w:rsidRDefault="00610381" w:rsidP="009E5295">
      <w:pPr>
        <w:pStyle w:val="Heading4"/>
        <w:pBdr>
          <w:top w:val="single" w:sz="24" w:space="1" w:color="E2F4FF" w:themeColor="accent1" w:themeTint="33"/>
          <w:left w:val="single" w:sz="24" w:space="4" w:color="E2F4FF" w:themeColor="accent1" w:themeTint="33"/>
          <w:bottom w:val="single" w:sz="24" w:space="1" w:color="E2F4FF" w:themeColor="accent1" w:themeTint="33"/>
          <w:right w:val="single" w:sz="24" w:space="4" w:color="E2F4FF" w:themeColor="accent1" w:themeTint="33"/>
        </w:pBdr>
        <w:shd w:val="clear" w:color="auto" w:fill="E2F4FF" w:themeFill="accent1" w:themeFillTint="33"/>
      </w:pPr>
      <w:r>
        <w:lastRenderedPageBreak/>
        <w:t>8. Expanded AT list with state CHSP AT funding equity up to a $1</w:t>
      </w:r>
      <w:r w:rsidR="009E5295">
        <w:t>,</w:t>
      </w:r>
      <w:r>
        <w:t>500 cap</w:t>
      </w:r>
    </w:p>
    <w:p w14:paraId="723E180D" w14:textId="183F6CDD" w:rsidR="00EA17F9" w:rsidRPr="00736110" w:rsidRDefault="00EA17F9" w:rsidP="00143C46">
      <w:r w:rsidRPr="00D37220">
        <w:rPr>
          <w:rStyle w:val="Bold"/>
        </w:rPr>
        <w:t>Benefit:</w:t>
      </w:r>
      <w:r>
        <w:t xml:space="preserve"> $</w:t>
      </w:r>
      <w:r w:rsidRPr="002C12DA">
        <w:t>3</w:t>
      </w:r>
      <w:r>
        <w:t xml:space="preserve">16,797,985 </w:t>
      </w:r>
      <w:r w:rsidRPr="00EA17F9">
        <w:rPr>
          <w:color w:val="0079C1" w:themeColor="text2"/>
        </w:rPr>
        <w:t>|</w:t>
      </w:r>
      <w:r>
        <w:t xml:space="preserve"> </w:t>
      </w:r>
      <w:r w:rsidRPr="00D37220">
        <w:rPr>
          <w:rStyle w:val="Bold"/>
        </w:rPr>
        <w:t>Cost:</w:t>
      </w:r>
      <w:r>
        <w:t xml:space="preserve"> </w:t>
      </w:r>
      <w:r w:rsidRPr="00736110">
        <w:t>$61,507,020</w:t>
      </w:r>
      <w:r>
        <w:t xml:space="preserve"> </w:t>
      </w:r>
      <w:r w:rsidRPr="00EA17F9">
        <w:rPr>
          <w:color w:val="0079C1" w:themeColor="text2"/>
        </w:rPr>
        <w:t>|</w:t>
      </w:r>
      <w:r>
        <w:t xml:space="preserve"> </w:t>
      </w:r>
      <w:r w:rsidRPr="00EA17F9">
        <w:rPr>
          <w:rStyle w:val="Bold"/>
        </w:rPr>
        <w:t>Users:</w:t>
      </w:r>
      <w:r>
        <w:t xml:space="preserve"> </w:t>
      </w:r>
      <w:r w:rsidRPr="00ED05C0">
        <w:t xml:space="preserve">60,301 </w:t>
      </w:r>
      <w:r w:rsidRPr="00EA17F9">
        <w:rPr>
          <w:color w:val="0079C1" w:themeColor="text2"/>
        </w:rPr>
        <w:t>|</w:t>
      </w:r>
      <w:r w:rsidRPr="00EA17F9">
        <w:t xml:space="preserve"> </w:t>
      </w:r>
      <w:r w:rsidRPr="00EA17F9">
        <w:rPr>
          <w:rStyle w:val="Bold"/>
        </w:rPr>
        <w:t>Program:</w:t>
      </w:r>
      <w:r>
        <w:t xml:space="preserve"> CHSP</w:t>
      </w:r>
    </w:p>
    <w:p w14:paraId="44D2811A" w14:textId="4F24E30E" w:rsidR="00610381" w:rsidRPr="00736110" w:rsidRDefault="00EA17F9" w:rsidP="00C447F6">
      <w:pPr>
        <w:pStyle w:val="ParaKeep"/>
      </w:pPr>
      <w:r>
        <w:rPr>
          <w:rStyle w:val="Bold"/>
        </w:rPr>
        <w:t>Description</w:t>
      </w:r>
      <w:r w:rsidRPr="00D37220">
        <w:rPr>
          <w:rStyle w:val="Bold"/>
        </w:rPr>
        <w:t>:</w:t>
      </w:r>
      <w:r>
        <w:rPr>
          <w:rStyle w:val="Bold"/>
        </w:rPr>
        <w:t xml:space="preserve"> </w:t>
      </w:r>
      <w:r w:rsidR="00610381" w:rsidRPr="00736110">
        <w:t>This option funds an expanded list of AT products up to a cap of $1,500 per person. New categories include:</w:t>
      </w:r>
    </w:p>
    <w:p w14:paraId="5AAFA2F4" w14:textId="77777777" w:rsidR="00610381" w:rsidRPr="009B2707" w:rsidRDefault="00610381" w:rsidP="00ED05C0">
      <w:pPr>
        <w:pStyle w:val="Bullet1Keep"/>
      </w:pPr>
      <w:r w:rsidRPr="0079110B">
        <w:t xml:space="preserve">AT to enhance home safety, including </w:t>
      </w:r>
      <w:r w:rsidRPr="009B2707">
        <w:t>rug fasteners, wall bumpers and falls prevention measures such as safety treads</w:t>
      </w:r>
    </w:p>
    <w:p w14:paraId="1F0B42AF" w14:textId="77777777" w:rsidR="00610381" w:rsidRPr="009B2707" w:rsidRDefault="00610381" w:rsidP="00ED05C0">
      <w:pPr>
        <w:pStyle w:val="Bullet1Keep"/>
      </w:pPr>
      <w:r w:rsidRPr="0079110B">
        <w:t>AT for domestic activities</w:t>
      </w:r>
      <w:r w:rsidRPr="009B2707">
        <w:t>, including cleaning and outdoor maintenance</w:t>
      </w:r>
    </w:p>
    <w:p w14:paraId="0E09F776" w14:textId="77777777" w:rsidR="00610381" w:rsidRDefault="00610381" w:rsidP="00ED05C0">
      <w:pPr>
        <w:pStyle w:val="Bullet1Keep"/>
      </w:pPr>
      <w:r w:rsidRPr="0079110B">
        <w:t>AT for postural support, including chair raisers and bed transfer aids.</w:t>
      </w:r>
    </w:p>
    <w:p w14:paraId="2F673313" w14:textId="77777777" w:rsidR="00610381" w:rsidRPr="00736110" w:rsidRDefault="00610381" w:rsidP="00C447F6">
      <w:pPr>
        <w:pStyle w:val="ParaKeep"/>
      </w:pPr>
      <w:r w:rsidRPr="00736110">
        <w:t xml:space="preserve">This option includes funding for the additional </w:t>
      </w:r>
      <w:r>
        <w:t xml:space="preserve">48,686 </w:t>
      </w:r>
      <w:r w:rsidRPr="00736110">
        <w:t xml:space="preserve">allied health assessments needed to </w:t>
      </w:r>
      <w:r>
        <w:t>deliver the additional AT.</w:t>
      </w:r>
      <w:r w:rsidRPr="0079110B">
        <w:t xml:space="preserve"> </w:t>
      </w:r>
    </w:p>
    <w:p w14:paraId="10B8B6C1" w14:textId="5F27ED31" w:rsidR="00ED05C0" w:rsidRPr="00736110" w:rsidRDefault="00D37220" w:rsidP="00ED05C0">
      <w:pPr>
        <w:pStyle w:val="ParaKeep"/>
      </w:pPr>
      <w:r w:rsidRPr="00D37220">
        <w:rPr>
          <w:rStyle w:val="Bold"/>
        </w:rPr>
        <w:t>Target cohort:</w:t>
      </w:r>
      <w:r w:rsidR="00ED05C0">
        <w:rPr>
          <w:rStyle w:val="Bold"/>
        </w:rPr>
        <w:t xml:space="preserve"> </w:t>
      </w:r>
      <w:r w:rsidR="00ED05C0" w:rsidRPr="00736110">
        <w:t>All CHSP consumers prescribed under advice AT by RAS assessors, or AT or home modifications by a CHSP</w:t>
      </w:r>
      <w:r w:rsidR="00ED05C0" w:rsidRPr="00736110">
        <w:noBreakHyphen/>
        <w:t>funded allied health professional.</w:t>
      </w:r>
    </w:p>
    <w:p w14:paraId="010DCCB2" w14:textId="6952BB95" w:rsidR="00ED05C0" w:rsidRPr="00ED05C0" w:rsidRDefault="00D37220" w:rsidP="00EA17F9">
      <w:pPr>
        <w:pStyle w:val="Paragraph"/>
      </w:pPr>
      <w:r w:rsidRPr="00D37220">
        <w:rPr>
          <w:rStyle w:val="Bold"/>
        </w:rPr>
        <w:t>Estimated annual users:</w:t>
      </w:r>
      <w:r w:rsidR="00ED05C0">
        <w:rPr>
          <w:rStyle w:val="Bold"/>
        </w:rPr>
        <w:t xml:space="preserve"> </w:t>
      </w:r>
      <w:r w:rsidR="00ED05C0" w:rsidRPr="00ED05C0">
        <w:t>60,301 CHSP consumers</w:t>
      </w:r>
    </w:p>
    <w:p w14:paraId="3405FD7C" w14:textId="77777777" w:rsidR="00610381" w:rsidRPr="009B2707" w:rsidRDefault="00610381" w:rsidP="009E5295">
      <w:pPr>
        <w:pStyle w:val="Heading4"/>
        <w:pBdr>
          <w:top w:val="single" w:sz="24" w:space="1" w:color="E2F4FF" w:themeColor="accent1" w:themeTint="33"/>
          <w:left w:val="single" w:sz="24" w:space="4" w:color="E2F4FF" w:themeColor="accent1" w:themeTint="33"/>
          <w:bottom w:val="single" w:sz="24" w:space="1" w:color="E2F4FF" w:themeColor="accent1" w:themeTint="33"/>
          <w:right w:val="single" w:sz="24" w:space="4" w:color="E2F4FF" w:themeColor="accent1" w:themeTint="33"/>
        </w:pBdr>
        <w:shd w:val="clear" w:color="auto" w:fill="E2F4FF" w:themeFill="accent1" w:themeFillTint="33"/>
      </w:pPr>
      <w:r>
        <w:t>9</w:t>
      </w:r>
      <w:r w:rsidRPr="009B2707">
        <w:t xml:space="preserve">. </w:t>
      </w:r>
      <w:r>
        <w:t>Expanded CHSP AT list for all new CHSP consumers</w:t>
      </w:r>
    </w:p>
    <w:p w14:paraId="7009372A" w14:textId="74499A3D" w:rsidR="00EA17F9" w:rsidRPr="00736110" w:rsidRDefault="00EA17F9" w:rsidP="00143C46">
      <w:r w:rsidRPr="00D37220">
        <w:rPr>
          <w:rStyle w:val="Bold"/>
        </w:rPr>
        <w:t>Benefit:</w:t>
      </w:r>
      <w:r>
        <w:t xml:space="preserve"> </w:t>
      </w:r>
      <w:r w:rsidRPr="00265B8C">
        <w:rPr>
          <w:rFonts w:ascii="Calibri" w:hAnsi="Calibri" w:cs="Calibri"/>
          <w:color w:val="000000"/>
          <w:szCs w:val="20"/>
        </w:rPr>
        <w:t>$</w:t>
      </w:r>
      <w:r>
        <w:rPr>
          <w:rFonts w:ascii="Calibri" w:hAnsi="Calibri" w:cs="Calibri"/>
          <w:color w:val="000000"/>
          <w:szCs w:val="20"/>
        </w:rPr>
        <w:t>357,372,325</w:t>
      </w:r>
      <w:r>
        <w:t xml:space="preserve"> </w:t>
      </w:r>
      <w:r w:rsidRPr="00EA17F9">
        <w:rPr>
          <w:color w:val="0079C1" w:themeColor="text2"/>
        </w:rPr>
        <w:t>|</w:t>
      </w:r>
      <w:r>
        <w:t xml:space="preserve"> </w:t>
      </w:r>
      <w:r w:rsidRPr="00D37220">
        <w:rPr>
          <w:rStyle w:val="Bold"/>
        </w:rPr>
        <w:t>Cost:</w:t>
      </w:r>
      <w:r>
        <w:t xml:space="preserve"> </w:t>
      </w:r>
      <w:r w:rsidRPr="00736110">
        <w:t>$54,533,714</w:t>
      </w:r>
      <w:r>
        <w:t xml:space="preserve"> </w:t>
      </w:r>
      <w:r w:rsidRPr="00EA17F9">
        <w:rPr>
          <w:color w:val="0079C1" w:themeColor="text2"/>
        </w:rPr>
        <w:t>|</w:t>
      </w:r>
      <w:r>
        <w:t xml:space="preserve"> </w:t>
      </w:r>
      <w:r w:rsidRPr="00EA17F9">
        <w:rPr>
          <w:rStyle w:val="Bold"/>
        </w:rPr>
        <w:t>Users:</w:t>
      </w:r>
      <w:r>
        <w:t xml:space="preserve"> </w:t>
      </w:r>
      <w:r w:rsidRPr="00736110">
        <w:t>162,286</w:t>
      </w:r>
      <w:r w:rsidRPr="00736110">
        <w:rPr>
          <w:rFonts w:eastAsiaTheme="minorHAnsi"/>
        </w:rPr>
        <w:t xml:space="preserve"> </w:t>
      </w:r>
      <w:r w:rsidRPr="00EA17F9">
        <w:rPr>
          <w:color w:val="0079C1" w:themeColor="text2"/>
        </w:rPr>
        <w:t>|</w:t>
      </w:r>
      <w:r w:rsidRPr="00EA17F9">
        <w:t xml:space="preserve"> </w:t>
      </w:r>
      <w:r w:rsidRPr="00EA17F9">
        <w:rPr>
          <w:rStyle w:val="Bold"/>
        </w:rPr>
        <w:t>Program:</w:t>
      </w:r>
      <w:r>
        <w:t xml:space="preserve"> CHSP</w:t>
      </w:r>
    </w:p>
    <w:p w14:paraId="64DA594F" w14:textId="02D1CB72" w:rsidR="00610381" w:rsidRDefault="00EA17F9" w:rsidP="00C447F6">
      <w:pPr>
        <w:pStyle w:val="ParaKeep"/>
      </w:pPr>
      <w:r>
        <w:rPr>
          <w:rStyle w:val="Bold"/>
        </w:rPr>
        <w:t>Description</w:t>
      </w:r>
      <w:r w:rsidRPr="00D37220">
        <w:rPr>
          <w:rStyle w:val="Bold"/>
        </w:rPr>
        <w:t>:</w:t>
      </w:r>
      <w:r>
        <w:rPr>
          <w:rStyle w:val="Bold"/>
        </w:rPr>
        <w:t xml:space="preserve"> </w:t>
      </w:r>
      <w:r w:rsidR="00610381" w:rsidRPr="00736110">
        <w:t>This option funds an expanded list of AT products for up to 162,286 new CHSP consumers</w:t>
      </w:r>
    </w:p>
    <w:p w14:paraId="27A10EAE" w14:textId="77777777" w:rsidR="00610381" w:rsidRPr="0079110B" w:rsidRDefault="00610381" w:rsidP="00C447F6">
      <w:pPr>
        <w:pStyle w:val="ParaKeep"/>
      </w:pPr>
      <w:r w:rsidRPr="00736110">
        <w:t xml:space="preserve">This option includes funding for the additional </w:t>
      </w:r>
      <w:r>
        <w:t xml:space="preserve">18,090 </w:t>
      </w:r>
      <w:r w:rsidRPr="00736110">
        <w:t xml:space="preserve">allied health assessments needed to </w:t>
      </w:r>
      <w:r>
        <w:t>deliver the additional AT</w:t>
      </w:r>
      <w:r w:rsidRPr="00736110">
        <w:t>.</w:t>
      </w:r>
      <w:r w:rsidRPr="0079110B">
        <w:t xml:space="preserve"> </w:t>
      </w:r>
    </w:p>
    <w:p w14:paraId="5D1040C9" w14:textId="77777777" w:rsidR="00ED05C0" w:rsidRPr="00736110" w:rsidRDefault="00D37220" w:rsidP="00ED05C0">
      <w:pPr>
        <w:pStyle w:val="ParaKeep"/>
      </w:pPr>
      <w:r w:rsidRPr="00D37220">
        <w:rPr>
          <w:rStyle w:val="Bold"/>
        </w:rPr>
        <w:t>Target cohort:</w:t>
      </w:r>
      <w:r w:rsidRPr="00D37220">
        <w:rPr>
          <w:rStyle w:val="Bold"/>
        </w:rPr>
        <w:tab/>
      </w:r>
      <w:r w:rsidR="00ED05C0" w:rsidRPr="00736110">
        <w:t>All CHSP consumers prescribed under advice AT by RAS assessors, or AT or home modifications by a CHSP</w:t>
      </w:r>
      <w:r w:rsidR="00ED05C0" w:rsidRPr="00736110">
        <w:noBreakHyphen/>
        <w:t>funded allied health professional.</w:t>
      </w:r>
    </w:p>
    <w:p w14:paraId="2EEFB813" w14:textId="090185D9" w:rsidR="00ED05C0" w:rsidRPr="00736110" w:rsidRDefault="00D37220" w:rsidP="00EA17F9">
      <w:pPr>
        <w:pStyle w:val="Paragraph"/>
      </w:pPr>
      <w:r w:rsidRPr="00D37220">
        <w:rPr>
          <w:rStyle w:val="Bold"/>
        </w:rPr>
        <w:t>Estimated annual users:</w:t>
      </w:r>
      <w:r w:rsidR="00ED05C0">
        <w:rPr>
          <w:rStyle w:val="Bold"/>
        </w:rPr>
        <w:t xml:space="preserve"> </w:t>
      </w:r>
      <w:r w:rsidR="00ED05C0" w:rsidRPr="00736110">
        <w:t>162,286</w:t>
      </w:r>
      <w:r w:rsidR="00ED05C0" w:rsidRPr="00736110">
        <w:rPr>
          <w:rFonts w:eastAsiaTheme="minorHAnsi"/>
        </w:rPr>
        <w:t xml:space="preserve"> </w:t>
      </w:r>
      <w:r w:rsidR="00ED05C0" w:rsidRPr="00736110">
        <w:t>CHSP consumers</w:t>
      </w:r>
    </w:p>
    <w:p w14:paraId="4FF464E5" w14:textId="128A265B" w:rsidR="00610381" w:rsidRPr="00610381" w:rsidRDefault="00610381" w:rsidP="00610381">
      <w:pPr>
        <w:rPr>
          <w:rFonts w:eastAsia="Arial Unicode MS"/>
        </w:rPr>
      </w:pPr>
      <w:r w:rsidRPr="00610381">
        <w:br w:type="page"/>
      </w:r>
    </w:p>
    <w:p w14:paraId="360B476D" w14:textId="03C9F85A" w:rsidR="0066061A" w:rsidRDefault="0066061A" w:rsidP="0066061A">
      <w:pPr>
        <w:pStyle w:val="Heading3"/>
      </w:pPr>
      <w:r>
        <w:lastRenderedPageBreak/>
        <w:t>Conclusion</w:t>
      </w:r>
    </w:p>
    <w:p w14:paraId="30389B30" w14:textId="77777777" w:rsidR="009D5D82" w:rsidRDefault="009D5D82" w:rsidP="009D5D82">
      <w:pPr>
        <w:pStyle w:val="Paragraph"/>
        <w:rPr>
          <w:rFonts w:ascii="Calibri" w:eastAsiaTheme="minorHAnsi" w:hAnsi="Calibri"/>
          <w:szCs w:val="20"/>
          <w:lang w:val="en-AU" w:eastAsia="en-AU"/>
        </w:rPr>
      </w:pPr>
      <w:r>
        <w:rPr>
          <w:lang w:eastAsia="en-AU"/>
        </w:rPr>
        <w:t xml:space="preserve">The breadth and number of challenges hindering access to AT demonstrate the timeliness of this review. Issues at key stages in a typical ageing consumer’s journey—from a lack of independent information and readily available advice, to clinical assessment where necessary before provision of AT products—means that consumers might not know of, or be able to obtain, the AT they need at the right time to maintain their independence. </w:t>
      </w:r>
    </w:p>
    <w:p w14:paraId="06A64167" w14:textId="6E76AAF1" w:rsidR="009D5D82" w:rsidRDefault="009D5D82" w:rsidP="009D5D82">
      <w:pPr>
        <w:pStyle w:val="ParaKeep"/>
      </w:pPr>
      <w:r>
        <w:t>Our economic modelling found that the benefits of AT outweigh its costs, supporting the increasing use of AT as an intervention for</w:t>
      </w:r>
      <w:r>
        <w:rPr>
          <w:color w:val="auto"/>
        </w:rPr>
        <w:t xml:space="preserve"> </w:t>
      </w:r>
      <w:r>
        <w:t>older Australians. We have developed and individually costed nine program options from which the Department can design a new national AT approach. Options range from $2</w:t>
      </w:r>
      <w:r w:rsidR="00410F76">
        <w:t> </w:t>
      </w:r>
      <w:r>
        <w:t>m</w:t>
      </w:r>
      <w:r w:rsidR="00410F76">
        <w:t>illion</w:t>
      </w:r>
      <w:r>
        <w:t xml:space="preserve"> to $61</w:t>
      </w:r>
      <w:r w:rsidR="00410F76">
        <w:t> </w:t>
      </w:r>
      <w:r>
        <w:t>m</w:t>
      </w:r>
      <w:r w:rsidR="00410F76">
        <w:t>illion</w:t>
      </w:r>
      <w:r>
        <w:t>, and each has a positive return on investment, ranging from $3.90 to $25.63 for every $1</w:t>
      </w:r>
      <w:r w:rsidR="00E80252">
        <w:t> </w:t>
      </w:r>
      <w:r>
        <w:t>spent. These options provide for:</w:t>
      </w:r>
    </w:p>
    <w:p w14:paraId="3327D267" w14:textId="77777777" w:rsidR="009D5D82" w:rsidRDefault="009D5D82" w:rsidP="002A11B7">
      <w:pPr>
        <w:pStyle w:val="Bullet1"/>
        <w:numPr>
          <w:ilvl w:val="0"/>
          <w:numId w:val="27"/>
        </w:numPr>
      </w:pPr>
      <w:r>
        <w:t xml:space="preserve">Impartial AT information and consistent, evidence-based advice for all ageing consumers </w:t>
      </w:r>
    </w:p>
    <w:p w14:paraId="19BF85EC" w14:textId="77777777" w:rsidR="009D5D82" w:rsidRDefault="009D5D82" w:rsidP="002A11B7">
      <w:pPr>
        <w:pStyle w:val="Bullet1"/>
        <w:numPr>
          <w:ilvl w:val="0"/>
          <w:numId w:val="27"/>
        </w:numPr>
      </w:pPr>
      <w:r>
        <w:t>ADL kits that assist in everyday tasks at home, for consumers outside and inside aged care</w:t>
      </w:r>
    </w:p>
    <w:p w14:paraId="638173AB" w14:textId="416BF586" w:rsidR="009D5D82" w:rsidRDefault="00FB6540" w:rsidP="002A11B7">
      <w:pPr>
        <w:pStyle w:val="Bullet1"/>
        <w:numPr>
          <w:ilvl w:val="0"/>
          <w:numId w:val="27"/>
        </w:numPr>
      </w:pPr>
      <w:r>
        <w:t>Boosting</w:t>
      </w:r>
      <w:r w:rsidR="009D5D82">
        <w:t xml:space="preserve"> existing CHSP AT funding, including state funding equity and expanding the categories of AT products available.</w:t>
      </w:r>
    </w:p>
    <w:p w14:paraId="783F4527" w14:textId="77777777" w:rsidR="009D5D82" w:rsidRDefault="009D5D82" w:rsidP="009D5D82">
      <w:pPr>
        <w:pStyle w:val="Paragraph"/>
        <w:rPr>
          <w:lang w:eastAsia="en-AU"/>
        </w:rPr>
      </w:pPr>
      <w:r>
        <w:rPr>
          <w:lang w:eastAsia="en-AU"/>
        </w:rPr>
        <w:t xml:space="preserve">There are benefits for the health and aged care systems, although the evidence quantifying these benefits is still emerging. </w:t>
      </w:r>
    </w:p>
    <w:p w14:paraId="51755F3F" w14:textId="16672493" w:rsidR="00ED54F2" w:rsidRDefault="009D5D82" w:rsidP="009D5D82">
      <w:r w:rsidRPr="009D5D82">
        <w:rPr>
          <w:rStyle w:val="ParagraphChar"/>
        </w:rPr>
        <w:t>There is still much that is unknown in the use and application of AT for older Australians. At the very least, there is an opportunity to open up access to consumers not in the aged care system through the provision of information and advice. With additional funding, there may be considerable benefit in both expanding the AT product range as well as the level of funding available for AT programs. Regardless, a staged approach involving an initial trial is suggested to ensure that a national rollout of the new approach builds an evidence base to ensure that it is appropriate for consumers and cost effective</w:t>
      </w:r>
      <w:r w:rsidRPr="00323E76">
        <w:t>.</w:t>
      </w:r>
    </w:p>
    <w:p w14:paraId="7605BADD" w14:textId="77777777" w:rsidR="00912956" w:rsidRDefault="00912956" w:rsidP="009D5D82">
      <w:pPr>
        <w:sectPr w:rsidR="00912956" w:rsidSect="00A127F8">
          <w:pgSz w:w="11907" w:h="16840" w:code="9"/>
          <w:pgMar w:top="851" w:right="1134" w:bottom="851" w:left="1134" w:header="510" w:footer="567" w:gutter="0"/>
          <w:cols w:space="708"/>
          <w:docGrid w:linePitch="360"/>
        </w:sectPr>
      </w:pPr>
    </w:p>
    <w:p w14:paraId="3B25E27D" w14:textId="2B0916E3" w:rsidR="00912956" w:rsidRPr="00143C46" w:rsidRDefault="00143C46">
      <w:pPr>
        <w:rPr>
          <w:b/>
          <w:sz w:val="56"/>
          <w:szCs w:val="56"/>
        </w:rPr>
      </w:pPr>
      <w:bookmarkStart w:id="246" w:name="_Alt_text_long"/>
      <w:bookmarkEnd w:id="246"/>
      <w:r w:rsidRPr="00143C46">
        <w:rPr>
          <w:b/>
          <w:sz w:val="56"/>
          <w:szCs w:val="56"/>
        </w:rPr>
        <w:lastRenderedPageBreak/>
        <w:t>APPENDIX A Alt text long descriptions</w:t>
      </w:r>
      <w:r w:rsidR="00912956" w:rsidRPr="00143C46">
        <w:rPr>
          <w:b/>
          <w:sz w:val="56"/>
          <w:szCs w:val="56"/>
        </w:rPr>
        <w:br w:type="page"/>
      </w:r>
    </w:p>
    <w:p w14:paraId="71748C57" w14:textId="61B8F178" w:rsidR="00186D90" w:rsidRPr="00DA22A3" w:rsidRDefault="00DA22A3" w:rsidP="00DA22A3">
      <w:pPr>
        <w:rPr>
          <w:b/>
          <w:sz w:val="32"/>
          <w:szCs w:val="32"/>
        </w:rPr>
      </w:pPr>
      <w:bookmarkStart w:id="247" w:name="_Figure_1-1/​Figure_4-1:"/>
      <w:bookmarkEnd w:id="247"/>
      <w:r w:rsidRPr="00DA22A3">
        <w:rPr>
          <w:b/>
          <w:sz w:val="32"/>
          <w:szCs w:val="32"/>
        </w:rPr>
        <w:lastRenderedPageBreak/>
        <w:t>.1</w:t>
      </w:r>
      <w:r w:rsidRPr="00DA22A3">
        <w:rPr>
          <w:b/>
          <w:sz w:val="32"/>
          <w:szCs w:val="32"/>
        </w:rPr>
        <w:tab/>
      </w:r>
      <w:r w:rsidR="008E575D" w:rsidRPr="00DA22A3">
        <w:rPr>
          <w:b/>
          <w:sz w:val="32"/>
          <w:szCs w:val="32"/>
        </w:rPr>
        <w:fldChar w:fldCharType="begin"/>
      </w:r>
      <w:r w:rsidR="008E575D" w:rsidRPr="00DA22A3">
        <w:rPr>
          <w:b/>
          <w:sz w:val="32"/>
          <w:szCs w:val="32"/>
        </w:rPr>
        <w:instrText xml:space="preserve"> REF _Ref59196570 \h </w:instrText>
      </w:r>
      <w:r w:rsidRPr="00DA22A3">
        <w:rPr>
          <w:b/>
          <w:sz w:val="32"/>
          <w:szCs w:val="32"/>
        </w:rPr>
        <w:instrText xml:space="preserve"> \* MERGEFORMAT </w:instrText>
      </w:r>
      <w:r w:rsidR="008E575D" w:rsidRPr="00DA22A3">
        <w:rPr>
          <w:b/>
          <w:sz w:val="32"/>
          <w:szCs w:val="32"/>
        </w:rPr>
      </w:r>
      <w:r w:rsidR="008E575D" w:rsidRPr="00DA22A3">
        <w:rPr>
          <w:b/>
          <w:sz w:val="32"/>
          <w:szCs w:val="32"/>
        </w:rPr>
        <w:fldChar w:fldCharType="separate"/>
      </w:r>
      <w:r w:rsidR="00CC3F04" w:rsidRPr="00DA22A3">
        <w:rPr>
          <w:b/>
          <w:sz w:val="32"/>
          <w:szCs w:val="32"/>
        </w:rPr>
        <w:t>Figure</w:t>
      </w:r>
      <w:r w:rsidR="003122D1" w:rsidRPr="00DA22A3">
        <w:rPr>
          <w:b/>
          <w:sz w:val="32"/>
          <w:szCs w:val="32"/>
        </w:rPr>
        <w:t>s</w:t>
      </w:r>
      <w:r w:rsidR="00CC3F04" w:rsidRPr="00DA22A3">
        <w:rPr>
          <w:b/>
          <w:sz w:val="32"/>
          <w:szCs w:val="32"/>
        </w:rPr>
        <w:t> </w:t>
      </w:r>
      <w:r w:rsidR="00CC3F04" w:rsidRPr="00DA22A3">
        <w:rPr>
          <w:b/>
          <w:noProof/>
          <w:sz w:val="32"/>
          <w:szCs w:val="32"/>
        </w:rPr>
        <w:t>1</w:t>
      </w:r>
      <w:r w:rsidR="00CC3F04" w:rsidRPr="00DA22A3">
        <w:rPr>
          <w:b/>
          <w:sz w:val="32"/>
          <w:szCs w:val="32"/>
        </w:rPr>
        <w:noBreakHyphen/>
      </w:r>
      <w:r w:rsidR="00CC3F04" w:rsidRPr="00DA22A3">
        <w:rPr>
          <w:b/>
          <w:noProof/>
          <w:sz w:val="32"/>
          <w:szCs w:val="32"/>
        </w:rPr>
        <w:t>1</w:t>
      </w:r>
      <w:r w:rsidR="008E575D" w:rsidRPr="00DA22A3">
        <w:rPr>
          <w:b/>
          <w:sz w:val="32"/>
          <w:szCs w:val="32"/>
        </w:rPr>
        <w:fldChar w:fldCharType="end"/>
      </w:r>
      <w:r w:rsidR="003122D1" w:rsidRPr="00DA22A3">
        <w:rPr>
          <w:b/>
          <w:sz w:val="32"/>
          <w:szCs w:val="32"/>
        </w:rPr>
        <w:t xml:space="preserve"> and </w:t>
      </w:r>
      <w:r w:rsidR="00186D90" w:rsidRPr="00DA22A3">
        <w:rPr>
          <w:b/>
          <w:sz w:val="32"/>
          <w:szCs w:val="32"/>
        </w:rPr>
        <w:fldChar w:fldCharType="begin"/>
      </w:r>
      <w:r w:rsidR="00186D90" w:rsidRPr="00DA22A3">
        <w:rPr>
          <w:b/>
          <w:sz w:val="32"/>
          <w:szCs w:val="32"/>
        </w:rPr>
        <w:instrText xml:space="preserve"> REF _Ref59381923 \h </w:instrText>
      </w:r>
      <w:r w:rsidRPr="00DA22A3">
        <w:rPr>
          <w:b/>
          <w:sz w:val="32"/>
          <w:szCs w:val="32"/>
        </w:rPr>
        <w:instrText xml:space="preserve"> \* MERGEFORMAT </w:instrText>
      </w:r>
      <w:r w:rsidR="00186D90" w:rsidRPr="00DA22A3">
        <w:rPr>
          <w:b/>
          <w:sz w:val="32"/>
          <w:szCs w:val="32"/>
        </w:rPr>
      </w:r>
      <w:r w:rsidR="00186D90" w:rsidRPr="00DA22A3">
        <w:rPr>
          <w:b/>
          <w:sz w:val="32"/>
          <w:szCs w:val="32"/>
        </w:rPr>
        <w:fldChar w:fldCharType="separate"/>
      </w:r>
      <w:r w:rsidR="00CC3F04" w:rsidRPr="00DA22A3">
        <w:rPr>
          <w:b/>
          <w:noProof/>
          <w:sz w:val="32"/>
          <w:szCs w:val="32"/>
        </w:rPr>
        <w:t>4</w:t>
      </w:r>
      <w:r w:rsidR="00CC3F04" w:rsidRPr="00DA22A3">
        <w:rPr>
          <w:b/>
          <w:sz w:val="32"/>
          <w:szCs w:val="32"/>
        </w:rPr>
        <w:noBreakHyphen/>
      </w:r>
      <w:r w:rsidR="00CC3F04" w:rsidRPr="00DA22A3">
        <w:rPr>
          <w:b/>
          <w:noProof/>
          <w:sz w:val="32"/>
          <w:szCs w:val="32"/>
        </w:rPr>
        <w:t>1</w:t>
      </w:r>
      <w:r w:rsidR="00CC3F04" w:rsidRPr="00DA22A3">
        <w:rPr>
          <w:b/>
          <w:sz w:val="32"/>
          <w:szCs w:val="32"/>
        </w:rPr>
        <w:t>:</w:t>
      </w:r>
      <w:r w:rsidR="00CC3F04" w:rsidRPr="00DA22A3">
        <w:rPr>
          <w:b/>
          <w:sz w:val="32"/>
          <w:szCs w:val="32"/>
        </w:rPr>
        <w:tab/>
        <w:t>Outline of the AT Framework</w:t>
      </w:r>
      <w:r w:rsidR="00186D90" w:rsidRPr="00DA22A3">
        <w:rPr>
          <w:b/>
          <w:sz w:val="32"/>
          <w:szCs w:val="32"/>
        </w:rPr>
        <w:fldChar w:fldCharType="end"/>
      </w:r>
    </w:p>
    <w:p w14:paraId="443B26E1" w14:textId="77777777" w:rsidR="00EA3403" w:rsidRDefault="00EA3403" w:rsidP="00EA3403">
      <w:pPr>
        <w:pStyle w:val="Paragraph"/>
        <w:rPr>
          <w:rFonts w:ascii="Calibri" w:hAnsi="Calibri"/>
          <w:szCs w:val="22"/>
        </w:rPr>
      </w:pPr>
      <w:r>
        <w:t>This flow chart depicts new and existing pathways for consumers. To the left is a box labelled ‘Aging consumer – opening access to all the community’. This is accompanied by an arrow moving down the page indicating increasing functional limitation.</w:t>
      </w:r>
    </w:p>
    <w:p w14:paraId="2C4F5E28" w14:textId="77777777" w:rsidR="00EA3403" w:rsidRDefault="00EA3403" w:rsidP="00EA3403">
      <w:pPr>
        <w:pStyle w:val="Paragraph"/>
        <w:rPr>
          <w:sz w:val="20"/>
          <w:szCs w:val="20"/>
        </w:rPr>
      </w:pPr>
      <w:r>
        <w:t>Moving right, the chart is divided into 3 swim lanes: information and advice, assessment, and funder (which is subdivided into government and consumer).</w:t>
      </w:r>
    </w:p>
    <w:p w14:paraId="7BDBE4E4" w14:textId="77777777" w:rsidR="00EA3403" w:rsidRPr="00EA3403" w:rsidRDefault="00EA3403" w:rsidP="00EA3403">
      <w:pPr>
        <w:pStyle w:val="Paragraph"/>
        <w:rPr>
          <w:color w:val="auto"/>
        </w:rPr>
      </w:pPr>
      <w:r>
        <w:t xml:space="preserve">There are two paths to for the aging consumer to get information and advice. The new path </w:t>
      </w:r>
      <w:r>
        <w:rPr>
          <w:color w:val="auto"/>
        </w:rPr>
        <w:t xml:space="preserve">applies to </w:t>
      </w:r>
      <w:r w:rsidRPr="00EA3403">
        <w:rPr>
          <w:color w:val="auto"/>
        </w:rPr>
        <w:t xml:space="preserve">consumers not in the aged care system and leads to the new AT Solutions services, comprised of a website, app and national hotline. </w:t>
      </w:r>
    </w:p>
    <w:p w14:paraId="3DE90028" w14:textId="550A5B78" w:rsidR="00EA3403" w:rsidRPr="00EA3403" w:rsidRDefault="00EA3403" w:rsidP="00EA3403">
      <w:pPr>
        <w:pStyle w:val="Paragraph"/>
        <w:rPr>
          <w:color w:val="auto"/>
        </w:rPr>
      </w:pPr>
      <w:r w:rsidRPr="00EA3403">
        <w:rPr>
          <w:color w:val="auto"/>
        </w:rPr>
        <w:t>The old path leads to My Aged Care call centre for consumers seeking government funded AT services. There is a new path showing cross-referral between the My Aged Care call centre and AT Solutions services.</w:t>
      </w:r>
    </w:p>
    <w:p w14:paraId="2EB7C5CA" w14:textId="77777777" w:rsidR="00EA3403" w:rsidRPr="00EA3403" w:rsidRDefault="00EA3403" w:rsidP="00EA3403">
      <w:pPr>
        <w:pStyle w:val="Paragraph"/>
        <w:rPr>
          <w:color w:val="auto"/>
        </w:rPr>
      </w:pPr>
      <w:r w:rsidRPr="00EA3403">
        <w:rPr>
          <w:color w:val="auto"/>
        </w:rPr>
        <w:t>The next step on the consumer pathway is assessment. The new AT Solutions services culminate in a Standard AT screen. The Standard AT screen has two outcomes, both of which apply only to consumers outside aged care. The first is government-funded ADL kits (which is a new option under the proposed framework). The second is consumer-funded AT products.</w:t>
      </w:r>
    </w:p>
    <w:p w14:paraId="5B2BA641" w14:textId="77777777" w:rsidR="00EA3403" w:rsidRPr="00EA3403" w:rsidRDefault="00EA3403" w:rsidP="00EA3403">
      <w:pPr>
        <w:pStyle w:val="Paragraph"/>
        <w:rPr>
          <w:color w:val="auto"/>
        </w:rPr>
      </w:pPr>
      <w:r w:rsidRPr="00EA3403">
        <w:rPr>
          <w:color w:val="auto"/>
        </w:rPr>
        <w:t>The My Aged Care call centre leads to RAS &amp; ACAT assessment.</w:t>
      </w:r>
    </w:p>
    <w:p w14:paraId="3495FD95" w14:textId="77777777" w:rsidR="00EA3403" w:rsidRPr="00EA3403" w:rsidRDefault="00EA3403" w:rsidP="00EA3403">
      <w:pPr>
        <w:pStyle w:val="ParaKeep"/>
      </w:pPr>
      <w:r w:rsidRPr="00EA3403">
        <w:t>The RAS &amp; ACAT assessment has 3 potential outcomes:</w:t>
      </w:r>
    </w:p>
    <w:p w14:paraId="792DFB2B" w14:textId="77777777" w:rsidR="00EA3403" w:rsidRPr="00EA3403" w:rsidRDefault="00EA3403" w:rsidP="00EA3403">
      <w:pPr>
        <w:pStyle w:val="List1"/>
        <w:numPr>
          <w:ilvl w:val="0"/>
          <w:numId w:val="34"/>
        </w:numPr>
        <w:tabs>
          <w:tab w:val="clear" w:pos="6095"/>
          <w:tab w:val="num" w:pos="5800"/>
        </w:tabs>
        <w:ind w:left="850"/>
      </w:pPr>
      <w:r w:rsidRPr="00EA3403">
        <w:t>The consumer is assessed as not eligible for CHSP or HCP and is recommended AT that is not government funded. This leads to an existing path that culminates in consumer-funded AT products.</w:t>
      </w:r>
    </w:p>
    <w:p w14:paraId="740989BE" w14:textId="77777777" w:rsidR="00EA3403" w:rsidRPr="00EA3403" w:rsidRDefault="00EA3403" w:rsidP="00EA3403">
      <w:pPr>
        <w:pStyle w:val="List1"/>
        <w:numPr>
          <w:ilvl w:val="0"/>
          <w:numId w:val="23"/>
        </w:numPr>
        <w:tabs>
          <w:tab w:val="clear" w:pos="6095"/>
          <w:tab w:val="num" w:pos="5800"/>
        </w:tabs>
        <w:ind w:left="850"/>
      </w:pPr>
      <w:r w:rsidRPr="00EA3403">
        <w:t>The consumer is assessed as eligible for CHSP. This leads to two possible paths:</w:t>
      </w:r>
    </w:p>
    <w:p w14:paraId="2CF6383C" w14:textId="77777777" w:rsidR="00EA3403" w:rsidRPr="00EA3403" w:rsidRDefault="00EA3403" w:rsidP="00EA3403">
      <w:pPr>
        <w:pStyle w:val="List3"/>
        <w:numPr>
          <w:ilvl w:val="2"/>
          <w:numId w:val="33"/>
        </w:numPr>
        <w:ind w:left="1134"/>
      </w:pPr>
      <w:r w:rsidRPr="00EA3403">
        <w:t>A new path directly to government-funded ADL kits</w:t>
      </w:r>
    </w:p>
    <w:p w14:paraId="7CD81329" w14:textId="3BE5ED99" w:rsidR="00EA3403" w:rsidRPr="00EA3403" w:rsidRDefault="00EA3403" w:rsidP="00EA3403">
      <w:pPr>
        <w:pStyle w:val="List3"/>
        <w:numPr>
          <w:ilvl w:val="2"/>
          <w:numId w:val="33"/>
        </w:numPr>
        <w:ind w:left="1134"/>
      </w:pPr>
      <w:r w:rsidRPr="00EA3403">
        <w:t xml:space="preserve">An existing path to CHSP allied health assessments (but with new elements). This assessment could lead accessing existing government-funded AT projects, accessing new government-funded ADL Kits or accessing an expanded range of AT products not previously funded by the </w:t>
      </w:r>
      <w:r>
        <w:t>g</w:t>
      </w:r>
      <w:r w:rsidRPr="00EA3403">
        <w:t>overnment</w:t>
      </w:r>
      <w:r>
        <w:t>.</w:t>
      </w:r>
    </w:p>
    <w:p w14:paraId="08640309" w14:textId="77777777" w:rsidR="00EA3403" w:rsidRDefault="00EA3403" w:rsidP="00EA3403">
      <w:pPr>
        <w:pStyle w:val="List1"/>
        <w:numPr>
          <w:ilvl w:val="0"/>
          <w:numId w:val="23"/>
        </w:numPr>
        <w:tabs>
          <w:tab w:val="clear" w:pos="6095"/>
          <w:tab w:val="num" w:pos="5800"/>
        </w:tabs>
        <w:ind w:left="850"/>
      </w:pPr>
      <w:r>
        <w:t>The consumer is assessed as eligible for HCP. This leads to two possible paths:</w:t>
      </w:r>
    </w:p>
    <w:p w14:paraId="7FD51C8C" w14:textId="77777777" w:rsidR="00EA3403" w:rsidRDefault="00EA3403" w:rsidP="00EA3403">
      <w:pPr>
        <w:pStyle w:val="List3"/>
        <w:numPr>
          <w:ilvl w:val="2"/>
          <w:numId w:val="33"/>
        </w:numPr>
        <w:ind w:left="1134"/>
      </w:pPr>
      <w:r>
        <w:t>A new path directly to government-funded ADL kits</w:t>
      </w:r>
    </w:p>
    <w:p w14:paraId="2DB5347A" w14:textId="77777777" w:rsidR="00EA3403" w:rsidRDefault="00EA3403" w:rsidP="00EA3403">
      <w:pPr>
        <w:pStyle w:val="List3"/>
        <w:numPr>
          <w:ilvl w:val="2"/>
          <w:numId w:val="33"/>
        </w:numPr>
        <w:ind w:left="1134"/>
      </w:pPr>
      <w:r>
        <w:t>An existing path to HCP funding package, which the consumer can use to purchase AT.</w:t>
      </w:r>
    </w:p>
    <w:p w14:paraId="721FB022" w14:textId="37AE84E7" w:rsidR="00EA3403" w:rsidRDefault="00EA3403" w:rsidP="00D16D9C">
      <w:pPr>
        <w:pStyle w:val="Paragraph"/>
      </w:pPr>
      <w:r>
        <w:t>There is a separate box along the bottom of the figure (indicating that it underpins the options above). This box represents the proposed new AT investment Fund to develop and promote AT solutions services, and to conduct an AT pilot and program evaluation.</w:t>
      </w:r>
    </w:p>
    <w:p w14:paraId="6A449A00" w14:textId="1EB89692" w:rsidR="00CD751D" w:rsidRPr="00DA22A3" w:rsidRDefault="00290F13" w:rsidP="00DA22A3">
      <w:pPr>
        <w:rPr>
          <w:b/>
          <w:sz w:val="32"/>
          <w:szCs w:val="32"/>
        </w:rPr>
      </w:pPr>
      <w:r w:rsidRPr="00DA22A3">
        <w:rPr>
          <w:b/>
          <w:sz w:val="32"/>
          <w:szCs w:val="32"/>
        </w:rPr>
        <w:br w:type="page"/>
      </w:r>
      <w:r w:rsidR="00DA22A3" w:rsidRPr="00DA22A3">
        <w:rPr>
          <w:b/>
          <w:sz w:val="32"/>
          <w:szCs w:val="32"/>
        </w:rPr>
        <w:lastRenderedPageBreak/>
        <w:t>.1</w:t>
      </w:r>
      <w:r w:rsidR="00DA22A3" w:rsidRPr="00DA22A3">
        <w:rPr>
          <w:b/>
          <w:sz w:val="32"/>
          <w:szCs w:val="32"/>
        </w:rPr>
        <w:tab/>
      </w:r>
      <w:r w:rsidR="00CD751D" w:rsidRPr="00DA22A3">
        <w:rPr>
          <w:b/>
          <w:sz w:val="32"/>
          <w:szCs w:val="32"/>
        </w:rPr>
        <w:fldChar w:fldCharType="begin"/>
      </w:r>
      <w:r w:rsidR="00CD751D" w:rsidRPr="00DA22A3">
        <w:rPr>
          <w:b/>
          <w:sz w:val="32"/>
          <w:szCs w:val="32"/>
        </w:rPr>
        <w:instrText xml:space="preserve"> REF _Ref59363820 \h </w:instrText>
      </w:r>
      <w:r w:rsidR="00DA22A3" w:rsidRPr="00DA22A3">
        <w:rPr>
          <w:b/>
          <w:sz w:val="32"/>
          <w:szCs w:val="32"/>
        </w:rPr>
        <w:instrText xml:space="preserve"> \* MERGEFORMAT </w:instrText>
      </w:r>
      <w:r w:rsidR="00CD751D" w:rsidRPr="00DA22A3">
        <w:rPr>
          <w:b/>
          <w:sz w:val="32"/>
          <w:szCs w:val="32"/>
        </w:rPr>
      </w:r>
      <w:r w:rsidR="00CD751D" w:rsidRPr="00DA22A3">
        <w:rPr>
          <w:b/>
          <w:sz w:val="32"/>
          <w:szCs w:val="32"/>
        </w:rPr>
        <w:fldChar w:fldCharType="separate"/>
      </w:r>
      <w:r w:rsidR="00CC3F04" w:rsidRPr="00DA22A3">
        <w:rPr>
          <w:b/>
          <w:sz w:val="32"/>
          <w:szCs w:val="32"/>
        </w:rPr>
        <w:t>Figure 2</w:t>
      </w:r>
      <w:r w:rsidR="00CC3F04" w:rsidRPr="00DA22A3">
        <w:rPr>
          <w:b/>
          <w:sz w:val="32"/>
          <w:szCs w:val="32"/>
        </w:rPr>
        <w:noBreakHyphen/>
        <w:t>1:</w:t>
      </w:r>
      <w:r w:rsidR="00CC3F04" w:rsidRPr="00DA22A3">
        <w:rPr>
          <w:b/>
          <w:sz w:val="32"/>
          <w:szCs w:val="32"/>
        </w:rPr>
        <w:tab/>
        <w:t>AT Review methodology</w:t>
      </w:r>
      <w:r w:rsidR="00CD751D" w:rsidRPr="00DA22A3">
        <w:rPr>
          <w:b/>
          <w:sz w:val="32"/>
          <w:szCs w:val="32"/>
        </w:rPr>
        <w:fldChar w:fldCharType="end"/>
      </w:r>
    </w:p>
    <w:p w14:paraId="64D4D4D4" w14:textId="77777777" w:rsidR="00CD751D" w:rsidRDefault="00CD751D" w:rsidP="00CD751D">
      <w:pPr>
        <w:pStyle w:val="Paragraph"/>
      </w:pPr>
      <w:r>
        <w:t>Gannt chart overview of the project activities in 4 phases: planning, mapping, modelling and reporting.</w:t>
      </w:r>
    </w:p>
    <w:p w14:paraId="53F5B942" w14:textId="77777777" w:rsidR="00CD751D" w:rsidRDefault="00CD751D" w:rsidP="00CD751D">
      <w:pPr>
        <w:pStyle w:val="ParaKeep"/>
      </w:pPr>
      <w:r>
        <w:t>The chart is divided horizontally into 8 sections corresponding to the months of the project (from November 2019 to June 2020). The phases are shown in sequence, each covering approximately 2 months, as follows:</w:t>
      </w:r>
    </w:p>
    <w:p w14:paraId="14D0F691" w14:textId="77777777" w:rsidR="00CD751D" w:rsidRDefault="00CD751D" w:rsidP="00CD751D">
      <w:pPr>
        <w:pStyle w:val="List1"/>
        <w:keepNext/>
        <w:keepLines/>
        <w:numPr>
          <w:ilvl w:val="0"/>
          <w:numId w:val="29"/>
        </w:numPr>
        <w:ind w:left="709"/>
      </w:pPr>
      <w:r>
        <w:t>Planning (11 November 2019 to 16 December 2019)</w:t>
      </w:r>
    </w:p>
    <w:p w14:paraId="2F8FC722" w14:textId="77777777" w:rsidR="00CD751D" w:rsidRDefault="00CD751D" w:rsidP="00CD751D">
      <w:pPr>
        <w:pStyle w:val="List1"/>
        <w:keepNext/>
        <w:keepLines/>
        <w:ind w:left="709"/>
      </w:pPr>
      <w:r>
        <w:t>Mapping (17 December 2019 to 31 January 2020)</w:t>
      </w:r>
    </w:p>
    <w:p w14:paraId="39D72E81" w14:textId="77777777" w:rsidR="00CD751D" w:rsidRDefault="00CD751D" w:rsidP="00CD751D">
      <w:pPr>
        <w:pStyle w:val="List1"/>
        <w:keepNext/>
        <w:keepLines/>
        <w:ind w:left="709"/>
      </w:pPr>
      <w:r>
        <w:t>Modelling (1 February 2020 to 31 May 2020)</w:t>
      </w:r>
    </w:p>
    <w:p w14:paraId="0F1FEBD3" w14:textId="77777777" w:rsidR="00CD751D" w:rsidRDefault="00CD751D" w:rsidP="00CD751D">
      <w:pPr>
        <w:pStyle w:val="List1"/>
        <w:keepNext/>
        <w:keepLines/>
        <w:ind w:left="709"/>
      </w:pPr>
      <w:r>
        <w:t>Reporting (31 Jan 2020 to 9 June 2020).</w:t>
      </w:r>
    </w:p>
    <w:p w14:paraId="56A6B2C7" w14:textId="77777777" w:rsidR="00CD751D" w:rsidRDefault="00CD751D" w:rsidP="00CD751D">
      <w:pPr>
        <w:pStyle w:val="Paragraph"/>
      </w:pPr>
      <w:r>
        <w:t>The phases are also shown down the left side and divide the chart vertically into 4 sections. The tasks involved in each phase are shown under the corresponding phase and month.</w:t>
      </w:r>
    </w:p>
    <w:p w14:paraId="54254DD0" w14:textId="77777777" w:rsidR="00CD751D" w:rsidRDefault="00CD751D" w:rsidP="00CD751D">
      <w:pPr>
        <w:pStyle w:val="ParaKeep"/>
      </w:pPr>
      <w:r>
        <w:t>The tasks involved in the planning phase are:</w:t>
      </w:r>
    </w:p>
    <w:p w14:paraId="36271661" w14:textId="77777777" w:rsidR="00CD751D" w:rsidRDefault="00CD751D" w:rsidP="00CD751D">
      <w:pPr>
        <w:pStyle w:val="Bullet1"/>
      </w:pPr>
      <w:r>
        <w:t>Project initiation meeting (November 2019)</w:t>
      </w:r>
    </w:p>
    <w:p w14:paraId="14925DB5" w14:textId="77777777" w:rsidR="00CD751D" w:rsidRDefault="00CD751D" w:rsidP="00CD751D">
      <w:pPr>
        <w:pStyle w:val="Bullet1"/>
      </w:pPr>
      <w:r>
        <w:t>Project plan (December 2019)</w:t>
      </w:r>
    </w:p>
    <w:p w14:paraId="4E21B3C2" w14:textId="77777777" w:rsidR="00CD751D" w:rsidRDefault="00CD751D" w:rsidP="00CD751D">
      <w:pPr>
        <w:pStyle w:val="ParaKeep"/>
      </w:pPr>
      <w:r>
        <w:t>The tasks involved in the mapping phase are:</w:t>
      </w:r>
    </w:p>
    <w:p w14:paraId="7DF9EC7E" w14:textId="77777777" w:rsidR="00CD751D" w:rsidRDefault="00CD751D" w:rsidP="00CD751D">
      <w:pPr>
        <w:pStyle w:val="Bullet1"/>
      </w:pPr>
      <w:r>
        <w:t>Desktop review of data and documentation (December 2019 to January 2020)</w:t>
      </w:r>
    </w:p>
    <w:p w14:paraId="77F2A7DD" w14:textId="77777777" w:rsidR="00CD751D" w:rsidRDefault="00CD751D" w:rsidP="00CD751D">
      <w:pPr>
        <w:pStyle w:val="Bullet1"/>
      </w:pPr>
      <w:r>
        <w:t>Rapid evidence review (December 2019 to January 2020)</w:t>
      </w:r>
    </w:p>
    <w:p w14:paraId="331EC07F" w14:textId="77777777" w:rsidR="00CD751D" w:rsidRDefault="00CD751D" w:rsidP="00CD751D">
      <w:pPr>
        <w:pStyle w:val="Bullet1"/>
      </w:pPr>
      <w:r>
        <w:t>Mapping current AT programs (December 2019 to January 2020)</w:t>
      </w:r>
    </w:p>
    <w:p w14:paraId="3DCBA1AD" w14:textId="77777777" w:rsidR="00CD751D" w:rsidRDefault="00CD751D" w:rsidP="00CD751D">
      <w:pPr>
        <w:pStyle w:val="Bullet1"/>
      </w:pPr>
      <w:r>
        <w:t>Consultations (December 2019 to May 2020)</w:t>
      </w:r>
    </w:p>
    <w:p w14:paraId="48064602" w14:textId="77777777" w:rsidR="00CD751D" w:rsidRDefault="00CD751D" w:rsidP="00CD751D">
      <w:pPr>
        <w:pStyle w:val="ParaKeep"/>
      </w:pPr>
      <w:r>
        <w:t>The tasks involved in the modelling phase are:</w:t>
      </w:r>
    </w:p>
    <w:p w14:paraId="33B8A49A" w14:textId="77777777" w:rsidR="00CD751D" w:rsidRDefault="00CD751D" w:rsidP="00CD751D">
      <w:pPr>
        <w:pStyle w:val="Bullet1"/>
      </w:pPr>
      <w:r>
        <w:t>Cost-benefit analysis (February 2020 to May 2020)</w:t>
      </w:r>
    </w:p>
    <w:p w14:paraId="4D8F74AC" w14:textId="77777777" w:rsidR="00CD751D" w:rsidRDefault="00CD751D" w:rsidP="00CD751D">
      <w:pPr>
        <w:pStyle w:val="Bullet1"/>
      </w:pPr>
      <w:r>
        <w:t>Model refinement (February 2020 to May 2020)</w:t>
      </w:r>
    </w:p>
    <w:p w14:paraId="137BC454" w14:textId="77777777" w:rsidR="00CD751D" w:rsidRDefault="00CD751D" w:rsidP="00CD751D">
      <w:pPr>
        <w:pStyle w:val="Bullet1"/>
      </w:pPr>
      <w:r>
        <w:t>Options development (February 2020 to May 2020)</w:t>
      </w:r>
    </w:p>
    <w:p w14:paraId="0E2775D4" w14:textId="77777777" w:rsidR="00CD751D" w:rsidRDefault="00CD751D" w:rsidP="00CD751D">
      <w:pPr>
        <w:pStyle w:val="Bullet1"/>
      </w:pPr>
      <w:r>
        <w:t>Delphi focus group (May 2020)</w:t>
      </w:r>
    </w:p>
    <w:p w14:paraId="1ADFF90B" w14:textId="77777777" w:rsidR="00CD751D" w:rsidRDefault="00CD751D" w:rsidP="00CD751D">
      <w:pPr>
        <w:pStyle w:val="ParaKeep"/>
      </w:pPr>
      <w:r>
        <w:t>The tasks involved in the mapping phase are:</w:t>
      </w:r>
    </w:p>
    <w:p w14:paraId="1D61E939" w14:textId="77777777" w:rsidR="00CD751D" w:rsidRDefault="00CD751D" w:rsidP="00CD751D">
      <w:pPr>
        <w:pStyle w:val="Bullet1"/>
      </w:pPr>
      <w:r>
        <w:t>Report on Initial Findings (January 2020)</w:t>
      </w:r>
    </w:p>
    <w:p w14:paraId="503CFB75" w14:textId="77777777" w:rsidR="00CD751D" w:rsidRDefault="00CD751D" w:rsidP="00CD751D">
      <w:pPr>
        <w:pStyle w:val="Bullet1"/>
      </w:pPr>
      <w:r>
        <w:t>Interim Report (March 2020)</w:t>
      </w:r>
    </w:p>
    <w:p w14:paraId="4E87A9D8" w14:textId="77777777" w:rsidR="00CD751D" w:rsidRDefault="00CD751D" w:rsidP="00CD751D">
      <w:pPr>
        <w:pStyle w:val="Bullet1"/>
      </w:pPr>
      <w:r>
        <w:t>Interim Report Workshop (April 2020)</w:t>
      </w:r>
    </w:p>
    <w:p w14:paraId="458BA45A" w14:textId="77777777" w:rsidR="00CD751D" w:rsidRDefault="00CD751D" w:rsidP="00CD751D">
      <w:pPr>
        <w:pStyle w:val="Bullet1"/>
      </w:pPr>
      <w:r>
        <w:t>Options workshop with the Department of Health (May 2020)</w:t>
      </w:r>
    </w:p>
    <w:p w14:paraId="192CE538" w14:textId="77777777" w:rsidR="00CD751D" w:rsidRDefault="00CD751D" w:rsidP="00CD751D">
      <w:pPr>
        <w:pStyle w:val="Bullet1"/>
      </w:pPr>
      <w:r>
        <w:t>Final Report (June 2020)</w:t>
      </w:r>
    </w:p>
    <w:p w14:paraId="6A62449F" w14:textId="77777777" w:rsidR="00CD751D" w:rsidRDefault="00CD751D" w:rsidP="00CD751D">
      <w:pPr>
        <w:pStyle w:val="Bullet1"/>
      </w:pPr>
      <w:r>
        <w:t>Regular project management updates with the Department (November 2019 to June 2020)</w:t>
      </w:r>
    </w:p>
    <w:p w14:paraId="56EF7934" w14:textId="77777777" w:rsidR="00CD751D" w:rsidRDefault="00CD751D" w:rsidP="00CD751D">
      <w:r>
        <w:br w:type="page"/>
      </w:r>
    </w:p>
    <w:p w14:paraId="1C200921" w14:textId="77777777" w:rsidR="00290F13" w:rsidRDefault="00290F13" w:rsidP="00290F13"/>
    <w:p w14:paraId="11FFA81E" w14:textId="1E70A47D" w:rsidR="00ED54F2" w:rsidRPr="00017633" w:rsidRDefault="00ED54F2" w:rsidP="002C09B8">
      <w:pPr>
        <w:pStyle w:val="Heading5"/>
        <w:rPr>
          <w:color w:val="auto"/>
        </w:rPr>
      </w:pPr>
      <w:bookmarkStart w:id="248" w:name="_Toc59402386"/>
      <w:bookmarkStart w:id="249" w:name="_GoBack"/>
      <w:bookmarkEnd w:id="249"/>
      <w:r w:rsidRPr="00017633">
        <w:rPr>
          <w:color w:val="auto"/>
        </w:rPr>
        <w:t>Cited references</w:t>
      </w:r>
      <w:bookmarkEnd w:id="248"/>
    </w:p>
    <w:p w14:paraId="27D83DCF" w14:textId="26286EF1" w:rsidR="00290F13" w:rsidRPr="00DA22A3" w:rsidRDefault="00290F13">
      <w:pPr>
        <w:rPr>
          <w:b/>
          <w:color w:val="000000" w:themeColor="text1"/>
        </w:rPr>
      </w:pPr>
      <w:r>
        <w:br w:type="page"/>
      </w:r>
      <w:r w:rsidR="00DA22A3" w:rsidRPr="00DA22A3">
        <w:rPr>
          <w:b/>
        </w:rPr>
        <w:lastRenderedPageBreak/>
        <w:t>APPENDIX A</w:t>
      </w:r>
      <w:r w:rsidR="00DA22A3" w:rsidRPr="00DA22A3">
        <w:rPr>
          <w:b/>
        </w:rPr>
        <w:tab/>
        <w:t>Cited References</w:t>
      </w:r>
    </w:p>
    <w:p w14:paraId="32EAFFFD" w14:textId="340AE0BE" w:rsidR="00161D52" w:rsidRPr="00161D52" w:rsidRDefault="002829AB" w:rsidP="00410F76">
      <w:pPr>
        <w:pStyle w:val="References"/>
        <w:rPr>
          <w:noProof/>
        </w:rPr>
      </w:pPr>
      <w:r>
        <w:fldChar w:fldCharType="begin" w:fldLock="1"/>
      </w:r>
      <w:r>
        <w:instrText xml:space="preserve">ADDIN Mendeley Bibliography CSL_BIBLIOGRAPHY </w:instrText>
      </w:r>
      <w:r>
        <w:fldChar w:fldCharType="separate"/>
      </w:r>
      <w:r w:rsidR="00161D52" w:rsidRPr="00161D52">
        <w:rPr>
          <w:noProof/>
        </w:rPr>
        <w:t>Alshabeb, A &amp; Abdulrahman, O 2019, Critical analysis of the benefits and drawbacks of assistive technology with special needs, , vol. 6, no. 8, pp. 210–215.</w:t>
      </w:r>
    </w:p>
    <w:p w14:paraId="7C6B4FD1" w14:textId="77777777" w:rsidR="00161D52" w:rsidRPr="00161D52" w:rsidRDefault="00161D52" w:rsidP="00410F76">
      <w:pPr>
        <w:pStyle w:val="References"/>
        <w:rPr>
          <w:noProof/>
        </w:rPr>
      </w:pPr>
      <w:r w:rsidRPr="00161D52">
        <w:rPr>
          <w:noProof/>
        </w:rPr>
        <w:t xml:space="preserve">Australian Bureau of Statistics 2012, Survey of Disability, Ageing and Carers, </w:t>
      </w:r>
      <w:r w:rsidRPr="00161D52">
        <w:rPr>
          <w:i/>
          <w:iCs/>
          <w:noProof/>
        </w:rPr>
        <w:t>4430.0 - Disability, Ageing and Carers, Australia</w:t>
      </w:r>
      <w:r w:rsidRPr="00161D52">
        <w:rPr>
          <w:noProof/>
        </w:rPr>
        <w:t>, , no. Sdac 18.</w:t>
      </w:r>
    </w:p>
    <w:p w14:paraId="3BE20CFF" w14:textId="77777777" w:rsidR="00161D52" w:rsidRPr="00161D52" w:rsidRDefault="00161D52" w:rsidP="00410F76">
      <w:pPr>
        <w:pStyle w:val="References"/>
        <w:rPr>
          <w:noProof/>
        </w:rPr>
      </w:pPr>
      <w:r w:rsidRPr="00161D52">
        <w:rPr>
          <w:noProof/>
        </w:rPr>
        <w:t>Australian Bureau of Statistics 2019, Disability, ageing and carers: Summary of findings, Cat. no. 4430.0, viewed 28 January 2020, &lt;https://www.abs.gov.au/ausstats/abs@.nsf/mf/4430.0&gt;.</w:t>
      </w:r>
    </w:p>
    <w:p w14:paraId="6A196714" w14:textId="77777777" w:rsidR="00161D52" w:rsidRPr="00161D52" w:rsidRDefault="00161D52" w:rsidP="00410F76">
      <w:pPr>
        <w:pStyle w:val="References"/>
        <w:rPr>
          <w:noProof/>
        </w:rPr>
      </w:pPr>
      <w:r w:rsidRPr="00161D52">
        <w:rPr>
          <w:noProof/>
        </w:rPr>
        <w:t>Australian Government Department of Health 2018a, Ageing and aged care, viewed 20 January 2020, &lt;https://www.health.gov.au/resources/corporate-plan-2018-2019/our-performance/ageing-and-aged-care&gt;.</w:t>
      </w:r>
    </w:p>
    <w:p w14:paraId="6B945F4D" w14:textId="77777777" w:rsidR="00161D52" w:rsidRPr="00161D52" w:rsidRDefault="00161D52" w:rsidP="00410F76">
      <w:pPr>
        <w:pStyle w:val="References"/>
        <w:rPr>
          <w:noProof/>
        </w:rPr>
      </w:pPr>
      <w:r w:rsidRPr="00161D52">
        <w:rPr>
          <w:noProof/>
        </w:rPr>
        <w:t>Australian Government Department of Health 2018b, Ageing and aged care, viewed 25 May 2020, &lt;https://www.health.gov.au/resources/corporate-plan-2018-2019/our-performance/ageing-and-aged-care&gt;.</w:t>
      </w:r>
    </w:p>
    <w:p w14:paraId="36190289" w14:textId="77777777" w:rsidR="00161D52" w:rsidRPr="00161D52" w:rsidRDefault="00161D52" w:rsidP="00410F76">
      <w:pPr>
        <w:pStyle w:val="References"/>
        <w:rPr>
          <w:noProof/>
        </w:rPr>
      </w:pPr>
      <w:r w:rsidRPr="00161D52">
        <w:rPr>
          <w:noProof/>
        </w:rPr>
        <w:t>Barnett, K, Livingstone, A, Margelis, G, Tomlins, G, &amp; Young, R 2019, Aged and community sector technology and innovative practice: Discussion paper 2019, Aged Care Industry Information Technology Council.</w:t>
      </w:r>
    </w:p>
    <w:p w14:paraId="78831B75" w14:textId="2D1B615B" w:rsidR="00161D52" w:rsidRPr="00161D52" w:rsidRDefault="00161D52" w:rsidP="00410F76">
      <w:pPr>
        <w:pStyle w:val="References"/>
        <w:rPr>
          <w:noProof/>
        </w:rPr>
      </w:pPr>
      <w:r w:rsidRPr="00161D52">
        <w:rPr>
          <w:noProof/>
        </w:rPr>
        <w:t xml:space="preserve">Clay, S. &amp; Alston, R. 2016, The benefits of assistive technology use by persons with physical conditions: An examination of difficulty levels in areas of functioning, </w:t>
      </w:r>
      <w:r w:rsidRPr="00161D52">
        <w:rPr>
          <w:i/>
          <w:iCs/>
          <w:noProof/>
        </w:rPr>
        <w:t>Technology and Disability</w:t>
      </w:r>
      <w:r w:rsidRPr="00161D52">
        <w:rPr>
          <w:noProof/>
        </w:rPr>
        <w:t>, vol. 28, pp.</w:t>
      </w:r>
      <w:r w:rsidR="00410F76">
        <w:rPr>
          <w:noProof/>
        </w:rPr>
        <w:t> </w:t>
      </w:r>
      <w:r w:rsidRPr="00161D52">
        <w:rPr>
          <w:noProof/>
        </w:rPr>
        <w:t>111</w:t>
      </w:r>
      <w:r w:rsidR="00410F76">
        <w:rPr>
          <w:noProof/>
        </w:rPr>
        <w:noBreakHyphen/>
      </w:r>
      <w:r w:rsidRPr="00161D52">
        <w:rPr>
          <w:noProof/>
        </w:rPr>
        <w:t>121.</w:t>
      </w:r>
    </w:p>
    <w:p w14:paraId="58C1419A" w14:textId="77777777" w:rsidR="00161D52" w:rsidRPr="00161D52" w:rsidRDefault="00161D52" w:rsidP="00410F76">
      <w:pPr>
        <w:pStyle w:val="References"/>
        <w:rPr>
          <w:noProof/>
        </w:rPr>
      </w:pPr>
      <w:r w:rsidRPr="00161D52">
        <w:rPr>
          <w:noProof/>
        </w:rPr>
        <w:t>Deloitte Access Economics 2019, CHSP Data Study - Draft Report (Commerical in Confidence).</w:t>
      </w:r>
    </w:p>
    <w:p w14:paraId="08FE9295" w14:textId="77777777" w:rsidR="00161D52" w:rsidRPr="00161D52" w:rsidRDefault="00161D52" w:rsidP="00410F76">
      <w:pPr>
        <w:pStyle w:val="References"/>
        <w:rPr>
          <w:noProof/>
        </w:rPr>
      </w:pPr>
      <w:r w:rsidRPr="00161D52">
        <w:rPr>
          <w:noProof/>
        </w:rPr>
        <w:t>Department of Health 2017, Legislated review of aged care 2017, Commonwealth of Australia, Canberra.</w:t>
      </w:r>
    </w:p>
    <w:p w14:paraId="294A053E" w14:textId="77777777" w:rsidR="00161D52" w:rsidRPr="00161D52" w:rsidRDefault="00161D52" w:rsidP="00410F76">
      <w:pPr>
        <w:pStyle w:val="References"/>
        <w:rPr>
          <w:noProof/>
        </w:rPr>
      </w:pPr>
      <w:r w:rsidRPr="00161D52">
        <w:rPr>
          <w:noProof/>
        </w:rPr>
        <w:t xml:space="preserve">Gore, PG, Kingston, A, Johnson, GR, Kirkwood, TBL, &amp; Jagger, C 2018, New horizons in the compression of functional decline, </w:t>
      </w:r>
      <w:r w:rsidRPr="00161D52">
        <w:rPr>
          <w:i/>
          <w:iCs/>
          <w:noProof/>
        </w:rPr>
        <w:t>Age and Ageing</w:t>
      </w:r>
      <w:r w:rsidRPr="00161D52">
        <w:rPr>
          <w:noProof/>
        </w:rPr>
        <w:t>, vol. 47, pp. 764–768.</w:t>
      </w:r>
    </w:p>
    <w:p w14:paraId="17B7EE52" w14:textId="77777777" w:rsidR="00161D52" w:rsidRPr="00161D52" w:rsidRDefault="00161D52" w:rsidP="00410F76">
      <w:pPr>
        <w:pStyle w:val="References"/>
        <w:rPr>
          <w:noProof/>
        </w:rPr>
      </w:pPr>
      <w:r w:rsidRPr="00161D52">
        <w:rPr>
          <w:noProof/>
        </w:rPr>
        <w:t>International Organization for Standardization 2016, Assistive products for persons with disability — Classification and terminology.</w:t>
      </w:r>
    </w:p>
    <w:p w14:paraId="063E8E9E" w14:textId="77777777" w:rsidR="00161D52" w:rsidRPr="00161D52" w:rsidRDefault="00161D52" w:rsidP="00410F76">
      <w:pPr>
        <w:pStyle w:val="References"/>
        <w:rPr>
          <w:noProof/>
        </w:rPr>
      </w:pPr>
      <w:r w:rsidRPr="00161D52">
        <w:rPr>
          <w:noProof/>
        </w:rPr>
        <w:t xml:space="preserve">Khosravi, P &amp; Ghapanchi, AH 2016, Investigating the effectiveness of technologies applied to assist seniors: A systematic literature review, </w:t>
      </w:r>
      <w:r w:rsidRPr="00161D52">
        <w:rPr>
          <w:i/>
          <w:iCs/>
          <w:noProof/>
        </w:rPr>
        <w:t>Int J Med Inform</w:t>
      </w:r>
      <w:r w:rsidRPr="00161D52">
        <w:rPr>
          <w:noProof/>
        </w:rPr>
        <w:t>, vol. 85, no. 1, pp. 17–26.</w:t>
      </w:r>
    </w:p>
    <w:p w14:paraId="28F1FA2C" w14:textId="77777777" w:rsidR="00161D52" w:rsidRPr="00161D52" w:rsidRDefault="00161D52" w:rsidP="00410F76">
      <w:pPr>
        <w:pStyle w:val="References"/>
        <w:rPr>
          <w:noProof/>
        </w:rPr>
      </w:pPr>
      <w:r w:rsidRPr="00161D52">
        <w:rPr>
          <w:noProof/>
        </w:rPr>
        <w:t>Layton, N &amp; Irlam, C 2018, Assistive technology for older Australians: Rapid evidence review and economic pathway analysis, National Aged Care Alliance, Canberra.</w:t>
      </w:r>
    </w:p>
    <w:p w14:paraId="66173B5B" w14:textId="77777777" w:rsidR="00161D52" w:rsidRPr="00161D52" w:rsidRDefault="00161D52" w:rsidP="00410F76">
      <w:pPr>
        <w:pStyle w:val="References"/>
        <w:rPr>
          <w:noProof/>
        </w:rPr>
      </w:pPr>
      <w:r w:rsidRPr="00161D52">
        <w:rPr>
          <w:noProof/>
        </w:rPr>
        <w:t>McDonald, R, Thomacos, N, &amp; Inglis, K 2013, Review of current and emerging assistive technologies for the reduction of care attendant hours: cost effectiveness , decision making tools and emerging practices, Research report # 0413-022-026-RR1, Institute for Safety, Compensation and Recovery Research.</w:t>
      </w:r>
    </w:p>
    <w:p w14:paraId="244CF5F1" w14:textId="77777777" w:rsidR="00161D52" w:rsidRPr="00161D52" w:rsidRDefault="00161D52" w:rsidP="00410F76">
      <w:pPr>
        <w:pStyle w:val="References"/>
        <w:rPr>
          <w:noProof/>
        </w:rPr>
      </w:pPr>
      <w:r w:rsidRPr="00161D52">
        <w:rPr>
          <w:noProof/>
        </w:rPr>
        <w:t>National Aged Care Alliance 2018, Position paper: Assistive technology for older Australians.</w:t>
      </w:r>
    </w:p>
    <w:p w14:paraId="3783D6E6" w14:textId="77777777" w:rsidR="00161D52" w:rsidRPr="00161D52" w:rsidRDefault="00161D52" w:rsidP="00410F76">
      <w:pPr>
        <w:pStyle w:val="References"/>
        <w:rPr>
          <w:noProof/>
        </w:rPr>
      </w:pPr>
      <w:r w:rsidRPr="00161D52">
        <w:rPr>
          <w:noProof/>
        </w:rPr>
        <w:t>NDIS 2015, Assistive technology strategy, National Disability Insurance Scheme.</w:t>
      </w:r>
    </w:p>
    <w:p w14:paraId="57D7FFCF" w14:textId="76A5AA59" w:rsidR="00161D52" w:rsidRPr="00161D52" w:rsidRDefault="00161D52" w:rsidP="00410F76">
      <w:pPr>
        <w:pStyle w:val="References"/>
        <w:rPr>
          <w:noProof/>
        </w:rPr>
      </w:pPr>
      <w:r w:rsidRPr="00161D52">
        <w:rPr>
          <w:noProof/>
        </w:rPr>
        <w:t>Royal Commission into Aged Care Quality and Safety 2019, Royal Commission into Aged Care Interim Report, viewed 10 June 2020, &lt;https://agedcare.royalcommission.gov.au/publications/Pages/</w:t>
      </w:r>
      <w:r w:rsidR="00410F76">
        <w:rPr>
          <w:noProof/>
        </w:rPr>
        <w:t>‌</w:t>
      </w:r>
      <w:r w:rsidRPr="00161D52">
        <w:rPr>
          <w:noProof/>
        </w:rPr>
        <w:t>interim-report.aspx&gt;.</w:t>
      </w:r>
    </w:p>
    <w:p w14:paraId="147D8244" w14:textId="77777777" w:rsidR="00161D52" w:rsidRPr="00161D52" w:rsidRDefault="00161D52" w:rsidP="00410F76">
      <w:pPr>
        <w:pStyle w:val="References"/>
        <w:rPr>
          <w:noProof/>
        </w:rPr>
      </w:pPr>
      <w:r w:rsidRPr="00161D52">
        <w:rPr>
          <w:noProof/>
        </w:rPr>
        <w:lastRenderedPageBreak/>
        <w:t xml:space="preserve">Smith, RO, Scherer, MJ, Cooper, R, Bell, D, Hobbs, DA, Pettersson, C, Seymour, N, Borg, J, Johnson, MJ, Lane, JP, Sujatha, S, Rao, PVM, Obiedat, QM, MacLachlan, M, &amp; Bauer, S 2018, Assistive technology products: a position paper from the first global research, innovation, and education on assistive technology (GREAT) summit, </w:t>
      </w:r>
      <w:r w:rsidRPr="00161D52">
        <w:rPr>
          <w:i/>
          <w:iCs/>
          <w:noProof/>
        </w:rPr>
        <w:t>Disability and Rehabilitation: Assistive Technology</w:t>
      </w:r>
      <w:r w:rsidRPr="00161D52">
        <w:rPr>
          <w:noProof/>
        </w:rPr>
        <w:t>, vol. 13, no. 5, pp. 473–485.</w:t>
      </w:r>
    </w:p>
    <w:p w14:paraId="2DFB2AEB" w14:textId="77777777" w:rsidR="00161D52" w:rsidRPr="00161D52" w:rsidRDefault="00161D52" w:rsidP="00410F76">
      <w:pPr>
        <w:pStyle w:val="References"/>
        <w:rPr>
          <w:noProof/>
        </w:rPr>
      </w:pPr>
      <w:r w:rsidRPr="00161D52">
        <w:rPr>
          <w:noProof/>
        </w:rPr>
        <w:t xml:space="preserve">Strasser, A 2017, Delphi method variants in information systems research: Taxonomy development and application, </w:t>
      </w:r>
      <w:r w:rsidRPr="00161D52">
        <w:rPr>
          <w:i/>
          <w:iCs/>
          <w:noProof/>
        </w:rPr>
        <w:t>Electronic Journal of Business Research Methods</w:t>
      </w:r>
      <w:r w:rsidRPr="00161D52">
        <w:rPr>
          <w:noProof/>
        </w:rPr>
        <w:t>, vol. 15, no. 2, pp. 120–133.</w:t>
      </w:r>
    </w:p>
    <w:p w14:paraId="17AA4666" w14:textId="77777777" w:rsidR="00161D52" w:rsidRPr="00161D52" w:rsidRDefault="00161D52" w:rsidP="00410F76">
      <w:pPr>
        <w:pStyle w:val="References"/>
        <w:rPr>
          <w:noProof/>
        </w:rPr>
      </w:pPr>
      <w:r w:rsidRPr="00161D52">
        <w:rPr>
          <w:noProof/>
        </w:rPr>
        <w:t>Therapeutic Goods Administration 2020, TGA Draft Determination.</w:t>
      </w:r>
    </w:p>
    <w:p w14:paraId="7A5B8667" w14:textId="77777777" w:rsidR="00161D52" w:rsidRPr="00161D52" w:rsidRDefault="00161D52" w:rsidP="00410F76">
      <w:pPr>
        <w:pStyle w:val="References"/>
        <w:rPr>
          <w:noProof/>
        </w:rPr>
      </w:pPr>
      <w:r w:rsidRPr="00161D52">
        <w:rPr>
          <w:noProof/>
        </w:rPr>
        <w:t xml:space="preserve">Williamson, B, Aplin, T, de Jonge, D, &amp; Goyne, M 2017, Tracking down a solution: Exploring the acceptability and value of wearable GPS devices for older persons, individuals with a disability and their support persons, </w:t>
      </w:r>
      <w:r w:rsidRPr="00161D52">
        <w:rPr>
          <w:i/>
          <w:iCs/>
          <w:noProof/>
        </w:rPr>
        <w:t>Disability and Rehabilitation: Assistive Technology</w:t>
      </w:r>
      <w:r w:rsidRPr="00161D52">
        <w:rPr>
          <w:noProof/>
        </w:rPr>
        <w:t>, vol. 12, no. 8, pp. 822–831.</w:t>
      </w:r>
    </w:p>
    <w:p w14:paraId="244004F9" w14:textId="77777777" w:rsidR="00161D52" w:rsidRPr="00161D52" w:rsidRDefault="00161D52" w:rsidP="00410F76">
      <w:pPr>
        <w:pStyle w:val="References"/>
        <w:rPr>
          <w:noProof/>
        </w:rPr>
      </w:pPr>
      <w:r w:rsidRPr="00161D52">
        <w:rPr>
          <w:noProof/>
        </w:rPr>
        <w:t>World Health Organization n.d., Assistive devices and technologies, viewed 15 January 2020, &lt;https://www.who.int/disabilities/technology/en/&gt;.</w:t>
      </w:r>
    </w:p>
    <w:p w14:paraId="2BD3119B" w14:textId="1C526A83" w:rsidR="002829AB" w:rsidRPr="002829AB" w:rsidRDefault="002829AB" w:rsidP="002829AB">
      <w:pPr>
        <w:pStyle w:val="Paragraph"/>
        <w:rPr>
          <w:lang w:eastAsia="en-GB"/>
        </w:rPr>
      </w:pPr>
      <w:r>
        <w:rPr>
          <w:lang w:eastAsia="en-GB"/>
        </w:rPr>
        <w:fldChar w:fldCharType="end"/>
      </w:r>
    </w:p>
    <w:sectPr w:rsidR="002829AB" w:rsidRPr="002829AB" w:rsidSect="00410F76">
      <w:headerReference w:type="default" r:id="rId44"/>
      <w:pgSz w:w="11907" w:h="16840" w:code="9"/>
      <w:pgMar w:top="851" w:right="1134" w:bottom="851" w:left="1134"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3FA20" w14:textId="77777777" w:rsidR="003D454A" w:rsidRDefault="003D454A" w:rsidP="0063537E">
      <w:r>
        <w:separator/>
      </w:r>
    </w:p>
  </w:endnote>
  <w:endnote w:type="continuationSeparator" w:id="0">
    <w:p w14:paraId="6FF1CA0C" w14:textId="77777777" w:rsidR="003D454A" w:rsidRDefault="003D454A" w:rsidP="0063537E">
      <w:r>
        <w:continuationSeparator/>
      </w:r>
    </w:p>
  </w:endnote>
  <w:endnote w:type="continuationNotice" w:id="1">
    <w:p w14:paraId="3D5CCC4D" w14:textId="77777777" w:rsidR="003D454A" w:rsidRDefault="003D4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45 Light">
    <w:altName w:val="Calibri"/>
    <w:charset w:val="00"/>
    <w:family w:val="auto"/>
    <w:pitch w:val="variable"/>
    <w:sig w:usb0="8000002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68114" w14:textId="77777777" w:rsidR="003D454A" w:rsidRDefault="003D454A" w:rsidP="001D1370">
    <w:pPr>
      <w:pStyle w:val="Footer"/>
    </w:pPr>
    <w:r>
      <w:fldChar w:fldCharType="begin"/>
    </w:r>
    <w:r>
      <w:instrText xml:space="preserve">PAGE  </w:instrText>
    </w:r>
    <w:r>
      <w:fldChar w:fldCharType="separate"/>
    </w:r>
    <w:r>
      <w:t>64</w:t>
    </w:r>
    <w:r>
      <w:fldChar w:fldCharType="end"/>
    </w:r>
  </w:p>
  <w:p w14:paraId="3F32DA72" w14:textId="77777777" w:rsidR="003D454A" w:rsidRDefault="003D454A" w:rsidP="008E6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C548" w14:textId="53C620EB" w:rsidR="003D454A" w:rsidRPr="000D185F" w:rsidRDefault="003D454A" w:rsidP="008E6557">
    <w:pPr>
      <w:pStyle w:val="Footer"/>
    </w:pPr>
    <w:r w:rsidRPr="000D185F">
      <w:t xml:space="preserve"> </w:t>
    </w:r>
    <w:r w:rsidR="00B346C7">
      <w:fldChar w:fldCharType="begin"/>
    </w:r>
    <w:r w:rsidR="00B346C7">
      <w:instrText>STYLEREF Title \* MERGEFORMAT</w:instrText>
    </w:r>
    <w:r w:rsidR="00B346C7">
      <w:fldChar w:fldCharType="separate"/>
    </w:r>
    <w:r w:rsidR="00B42789">
      <w:t>Final Report</w:t>
    </w:r>
    <w:r w:rsidR="00B346C7">
      <w:fldChar w:fldCharType="end"/>
    </w:r>
    <w:r w:rsidRPr="000D185F">
      <w:t xml:space="preserve"> |</w:t>
    </w:r>
    <w:r w:rsidRPr="000D185F">
      <w:rPr>
        <w:b/>
      </w:rPr>
      <w:t xml:space="preserve"> </w:t>
    </w:r>
    <w:r w:rsidRPr="000D185F">
      <w:fldChar w:fldCharType="begin"/>
    </w:r>
    <w:r w:rsidRPr="000D185F">
      <w:instrText xml:space="preserve"> PAGE   \* MERGEFORMAT </w:instrText>
    </w:r>
    <w:r w:rsidRPr="000D185F">
      <w:fldChar w:fldCharType="separate"/>
    </w:r>
    <w:r w:rsidR="00B42789">
      <w:t>iii</w:t>
    </w:r>
    <w:r w:rsidRPr="000D18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FF77" w14:textId="4D68F06C" w:rsidR="003D454A" w:rsidRPr="000D185F" w:rsidRDefault="00B346C7" w:rsidP="000D185F">
    <w:pPr>
      <w:pStyle w:val="Footer"/>
    </w:pPr>
    <w:r>
      <w:fldChar w:fldCharType="begin"/>
    </w:r>
    <w:r>
      <w:instrText>STYLEREF "Title 2" \* MERGEFORMAT</w:instrText>
    </w:r>
    <w:r>
      <w:fldChar w:fldCharType="separate"/>
    </w:r>
    <w:r w:rsidR="003D454A" w:rsidRPr="009B0D00">
      <w:rPr>
        <w:lang w:val="en-US"/>
      </w:rPr>
      <w:t>Review of Assistive Technology Programs in Australia</w:t>
    </w:r>
    <w:r>
      <w:rPr>
        <w:lang w:val="en-US"/>
      </w:rPr>
      <w:fldChar w:fldCharType="end"/>
    </w:r>
    <w:r w:rsidR="003D454A" w:rsidRPr="000D185F">
      <w:t xml:space="preserve">: </w:t>
    </w:r>
    <w:r>
      <w:fldChar w:fldCharType="begin"/>
    </w:r>
    <w:r>
      <w:instrText>STYLEREF Title \* MERGEFORMAT</w:instrText>
    </w:r>
    <w:r>
      <w:fldChar w:fldCharType="separate"/>
    </w:r>
    <w:r w:rsidR="003D454A">
      <w:t>Final Report</w:t>
    </w:r>
    <w:r>
      <w:fldChar w:fldCharType="end"/>
    </w:r>
    <w:r w:rsidR="003D454A" w:rsidRPr="000D185F">
      <w:t xml:space="preserve"> </w:t>
    </w:r>
    <w:r w:rsidR="003D454A" w:rsidRPr="00DC3960">
      <w:t xml:space="preserve">| </w:t>
    </w:r>
    <w:r w:rsidR="003D454A" w:rsidRPr="00DC3960">
      <w:fldChar w:fldCharType="begin"/>
    </w:r>
    <w:r w:rsidR="003D454A" w:rsidRPr="00DC3960">
      <w:instrText xml:space="preserve"> PAGE   \* MERGEFORMAT </w:instrText>
    </w:r>
    <w:r w:rsidR="003D454A" w:rsidRPr="00DC3960">
      <w:fldChar w:fldCharType="separate"/>
    </w:r>
    <w:r w:rsidR="003D454A">
      <w:t>1</w:t>
    </w:r>
    <w:r w:rsidR="003D454A" w:rsidRPr="00DC396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5344" w14:textId="77777777" w:rsidR="003D454A" w:rsidRDefault="003D454A" w:rsidP="0074178E">
    <w:r w:rsidRPr="009B184C">
      <w:rPr>
        <w:noProof/>
        <w:lang w:val="en-AU" w:eastAsia="en-AU"/>
      </w:rPr>
      <w:drawing>
        <wp:inline distT="0" distB="0" distL="0" distR="0" wp14:anchorId="076FB040" wp14:editId="62C92CB7">
          <wp:extent cx="2952750" cy="260350"/>
          <wp:effectExtent l="0" t="0" r="6350" b="6350"/>
          <wp:docPr id="2" name="Picture 2" descr="A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A_Logo_Landscape_With_Strapline.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2952750" cy="260350"/>
                  </a:xfrm>
                  <a:prstGeom prst="rect">
                    <a:avLst/>
                  </a:prstGeom>
                  <a:ln>
                    <a:noFill/>
                  </a:ln>
                  <a:extLst>
                    <a:ext uri="{53640926-AAD7-44D8-BBD7-CCE9431645EC}">
                      <a14:shadowObscured xmlns:a14="http://schemas.microsoft.com/office/drawing/2010/main"/>
                    </a:ext>
                  </a:extLst>
                </pic:spPr>
              </pic:pic>
            </a:graphicData>
          </a:graphic>
        </wp:inline>
      </w:drawing>
    </w:r>
  </w:p>
  <w:p w14:paraId="65704C24" w14:textId="77777777" w:rsidR="003D454A" w:rsidRPr="000B10CE" w:rsidRDefault="003D454A" w:rsidP="0074178E">
    <w:pPr>
      <w:pStyle w:val="Insidecover"/>
    </w:pPr>
    <w:r w:rsidRPr="000B10CE">
      <w:t>Level 6, 140 Bourke St, Melbourne VIC 3000</w:t>
    </w:r>
  </w:p>
  <w:p w14:paraId="2025E542" w14:textId="77777777" w:rsidR="003D454A" w:rsidRPr="000B10CE" w:rsidRDefault="003D454A" w:rsidP="0074178E">
    <w:pPr>
      <w:pStyle w:val="Insidecover"/>
    </w:pPr>
    <w:r w:rsidRPr="000B10CE">
      <w:t>Locked Bag 32005, Collins Street East, VIC 8006</w:t>
    </w:r>
  </w:p>
  <w:p w14:paraId="68D8E932" w14:textId="77777777" w:rsidR="003D454A" w:rsidRPr="000B10CE" w:rsidRDefault="003D454A" w:rsidP="0074178E">
    <w:pPr>
      <w:pStyle w:val="Insidecover"/>
    </w:pPr>
    <w:r w:rsidRPr="000B10CE">
      <w:t>(03) 9663 1950</w:t>
    </w:r>
  </w:p>
  <w:p w14:paraId="6477034C" w14:textId="77777777" w:rsidR="003D454A" w:rsidRPr="000B10CE" w:rsidRDefault="003D454A" w:rsidP="0074178E">
    <w:pPr>
      <w:pStyle w:val="Insidecover"/>
    </w:pPr>
    <w:r w:rsidRPr="000B10CE">
      <w:t>aha@ahaconsulting.com.au</w:t>
    </w:r>
  </w:p>
  <w:p w14:paraId="44C6562C" w14:textId="77777777" w:rsidR="003D454A" w:rsidRPr="000B10CE" w:rsidRDefault="003D454A" w:rsidP="0074178E">
    <w:pPr>
      <w:pStyle w:val="Insidecover"/>
    </w:pPr>
    <w:r w:rsidRPr="000B10CE">
      <w:t>www.ahaconsulting.com.au</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8350" w14:textId="4908C2C2" w:rsidR="003D454A" w:rsidRPr="000D185F" w:rsidRDefault="00B42789" w:rsidP="000D185F">
    <w:pPr>
      <w:pStyle w:val="Footer"/>
    </w:pPr>
    <w:r>
      <w:rPr>
        <w:lang w:val="en-AU" w:eastAsia="en-AU"/>
      </w:rPr>
      <w:t xml:space="preserve">“Australian Healthcare Associates </w:t>
    </w:r>
    <w:r w:rsidR="00B346C7">
      <w:fldChar w:fldCharType="begin"/>
    </w:r>
    <w:r w:rsidR="00B346C7">
      <w:instrText>STYLEREF "Title 2" \* MERGEFORMAT</w:instrText>
    </w:r>
    <w:r w:rsidR="00B346C7">
      <w:fldChar w:fldCharType="separate"/>
    </w:r>
    <w:r w:rsidR="00B346C7" w:rsidRPr="00B346C7">
      <w:rPr>
        <w:lang w:val="en-US"/>
      </w:rPr>
      <w:t>Review of Assistive Technology Programs in Australia</w:t>
    </w:r>
    <w:r w:rsidR="00B346C7">
      <w:rPr>
        <w:lang w:val="en-US"/>
      </w:rPr>
      <w:fldChar w:fldCharType="end"/>
    </w:r>
    <w:r w:rsidR="003D454A" w:rsidRPr="000D185F">
      <w:t xml:space="preserve">: </w:t>
    </w:r>
    <w:r w:rsidR="00B346C7">
      <w:fldChar w:fldCharType="begin"/>
    </w:r>
    <w:r w:rsidR="00B346C7">
      <w:instrText>STYLER</w:instrText>
    </w:r>
    <w:r w:rsidR="00B346C7">
      <w:instrText>EF Title \* MERGEFORMAT</w:instrText>
    </w:r>
    <w:r w:rsidR="00B346C7">
      <w:fldChar w:fldCharType="separate"/>
    </w:r>
    <w:r w:rsidR="00B346C7">
      <w:t>Final Report</w:t>
    </w:r>
    <w:r w:rsidR="00B346C7">
      <w:fldChar w:fldCharType="end"/>
    </w:r>
    <w:r w:rsidR="003D454A" w:rsidRPr="000D185F">
      <w:t xml:space="preserve"> </w:t>
    </w:r>
    <w:r w:rsidR="003D454A" w:rsidRPr="00DC3960">
      <w:t xml:space="preserve">| </w:t>
    </w:r>
    <w:r w:rsidR="003D454A" w:rsidRPr="00DC3960">
      <w:fldChar w:fldCharType="begin"/>
    </w:r>
    <w:r w:rsidR="003D454A" w:rsidRPr="00DC3960">
      <w:instrText xml:space="preserve"> PAGE   \* MERGEFORMAT </w:instrText>
    </w:r>
    <w:r w:rsidR="003D454A" w:rsidRPr="00DC3960">
      <w:fldChar w:fldCharType="separate"/>
    </w:r>
    <w:r w:rsidR="00B346C7">
      <w:t>67</w:t>
    </w:r>
    <w:r w:rsidR="003D454A" w:rsidRPr="00DC3960">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94D5" w14:textId="2D8EDF44" w:rsidR="003D454A" w:rsidRDefault="00B42789" w:rsidP="00902000">
    <w:pPr>
      <w:pStyle w:val="Footer"/>
    </w:pPr>
    <w:r>
      <w:rPr>
        <w:lang w:val="en-AU" w:eastAsia="en-AU"/>
      </w:rPr>
      <w:t xml:space="preserve">Australian Healthcare Associates </w:t>
    </w:r>
    <w:r w:rsidR="00B346C7">
      <w:fldChar w:fldCharType="begin"/>
    </w:r>
    <w:r w:rsidR="00B346C7">
      <w:instrText>STYLEREF "Title 2" \* MERGEFORMAT</w:instrText>
    </w:r>
    <w:r w:rsidR="00B346C7">
      <w:fldChar w:fldCharType="separate"/>
    </w:r>
    <w:r w:rsidR="00B346C7" w:rsidRPr="00B346C7">
      <w:rPr>
        <w:lang w:val="en-US"/>
      </w:rPr>
      <w:t>Review of Assistive Technology Programs in Australia</w:t>
    </w:r>
    <w:r w:rsidR="00B346C7">
      <w:rPr>
        <w:lang w:val="en-US"/>
      </w:rPr>
      <w:fldChar w:fldCharType="end"/>
    </w:r>
    <w:r w:rsidR="003D454A" w:rsidRPr="000D185F">
      <w:t xml:space="preserve">: </w:t>
    </w:r>
    <w:r w:rsidR="00B346C7">
      <w:fldChar w:fldCharType="begin"/>
    </w:r>
    <w:r w:rsidR="00B346C7">
      <w:instrText>STYLEREF Title \* MERGEFORMAT</w:instrText>
    </w:r>
    <w:r w:rsidR="00B346C7">
      <w:fldChar w:fldCharType="separate"/>
    </w:r>
    <w:r w:rsidR="00B346C7">
      <w:t>Final Report</w:t>
    </w:r>
    <w:r w:rsidR="00B346C7">
      <w:fldChar w:fldCharType="end"/>
    </w:r>
    <w:r w:rsidR="003D454A" w:rsidRPr="000D185F">
      <w:t xml:space="preserve"> </w:t>
    </w:r>
    <w:r w:rsidR="003D454A" w:rsidRPr="00DC3960">
      <w:t xml:space="preserve">| </w:t>
    </w:r>
    <w:r w:rsidR="003D454A" w:rsidRPr="00DC3960">
      <w:fldChar w:fldCharType="begin"/>
    </w:r>
    <w:r w:rsidR="003D454A" w:rsidRPr="00DC3960">
      <w:instrText xml:space="preserve"> PAGE   \* MERGEFORMAT </w:instrText>
    </w:r>
    <w:r w:rsidR="003D454A" w:rsidRPr="00DC3960">
      <w:fldChar w:fldCharType="separate"/>
    </w:r>
    <w:r w:rsidR="00B346C7">
      <w:t>i</w:t>
    </w:r>
    <w:r w:rsidR="003D454A" w:rsidRPr="00DC396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304D" w14:textId="07857317" w:rsidR="003D454A" w:rsidRDefault="003D454A">
    <w:pPr>
      <w:pStyle w:val="Footer"/>
    </w:pPr>
    <w:r w:rsidRPr="005D5206">
      <w:t xml:space="preserve"> |</w:t>
    </w:r>
    <w:r>
      <w:t xml:space="preserve"> </w:t>
    </w:r>
    <w:r w:rsidRPr="002E6DAF">
      <w:rPr>
        <w:rStyle w:val="Strong"/>
        <w:b w:val="0"/>
      </w:rPr>
      <w:fldChar w:fldCharType="begin"/>
    </w:r>
    <w:r w:rsidRPr="002E6DAF">
      <w:rPr>
        <w:rStyle w:val="Strong"/>
      </w:rPr>
      <w:instrText xml:space="preserve"> PAGE   \* MERGEFORMAT </w:instrText>
    </w:r>
    <w:r w:rsidRPr="002E6DAF">
      <w:rPr>
        <w:rStyle w:val="Strong"/>
        <w:b w:val="0"/>
      </w:rPr>
      <w:fldChar w:fldCharType="separate"/>
    </w:r>
    <w:r w:rsidR="00B346C7" w:rsidRPr="00B346C7">
      <w:rPr>
        <w:rStyle w:val="Strong"/>
        <w:b w:val="0"/>
        <w:noProof/>
      </w:rPr>
      <w:t>63</w:t>
    </w:r>
    <w:r w:rsidRPr="002E6DAF">
      <w:rPr>
        <w:rStyle w:val="Strong"/>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F5B39" w14:textId="77777777" w:rsidR="003D454A" w:rsidRDefault="003D454A" w:rsidP="0063537E">
      <w:r>
        <w:separator/>
      </w:r>
    </w:p>
  </w:footnote>
  <w:footnote w:type="continuationSeparator" w:id="0">
    <w:p w14:paraId="18D21736" w14:textId="77777777" w:rsidR="003D454A" w:rsidRDefault="003D454A" w:rsidP="0063537E">
      <w:r>
        <w:continuationSeparator/>
      </w:r>
    </w:p>
  </w:footnote>
  <w:footnote w:type="continuationNotice" w:id="1">
    <w:p w14:paraId="4B5879BD" w14:textId="77777777" w:rsidR="003D454A" w:rsidRDefault="003D454A"/>
  </w:footnote>
  <w:footnote w:id="2">
    <w:p w14:paraId="3363D48D" w14:textId="77777777" w:rsidR="003D454A" w:rsidRPr="00E0181D" w:rsidRDefault="003D454A" w:rsidP="008845A2">
      <w:pPr>
        <w:pStyle w:val="FootnoteText"/>
        <w:rPr>
          <w:lang w:val="en-US"/>
        </w:rPr>
      </w:pPr>
      <w:r>
        <w:rPr>
          <w:rStyle w:val="FootnoteReference"/>
        </w:rPr>
        <w:footnoteRef/>
      </w:r>
      <w:r>
        <w:t xml:space="preserve"> Non-Indigenous </w:t>
      </w:r>
      <w:r>
        <w:rPr>
          <w:lang w:val="en-US"/>
        </w:rPr>
        <w:t xml:space="preserve">people aged 65 years and older and Aboriginal and Torres Strait Islanders aged 50 years and over. This is a derived total based with </w:t>
      </w:r>
      <w:r w:rsidRPr="00AE2A5A">
        <w:t>1,066,800</w:t>
      </w:r>
      <w:r>
        <w:rPr>
          <w:b/>
          <w:bCs/>
        </w:rPr>
        <w:t xml:space="preserve"> </w:t>
      </w:r>
      <w:r>
        <w:t xml:space="preserve">non-Indigenous Australians aged (65+) (ABS SDAC, 2018) and </w:t>
      </w:r>
      <w:r w:rsidRPr="00AE2A5A">
        <w:t>76,836</w:t>
      </w:r>
      <w:r>
        <w:rPr>
          <w:b/>
          <w:bCs/>
        </w:rPr>
        <w:t xml:space="preserve"> </w:t>
      </w:r>
      <w:r>
        <w:t>Aboriginal and Torres Strait Islanders (50+) (ABS 2016).</w:t>
      </w:r>
    </w:p>
  </w:footnote>
  <w:footnote w:id="3">
    <w:p w14:paraId="0A1B3D8F" w14:textId="41D41AFD" w:rsidR="003D454A" w:rsidRDefault="003D454A" w:rsidP="003E135A">
      <w:pPr>
        <w:pStyle w:val="FootnoteText"/>
      </w:pPr>
      <w:r>
        <w:rPr>
          <w:rStyle w:val="FootnoteReference"/>
        </w:rPr>
        <w:footnoteRef/>
      </w:r>
      <w:r>
        <w:t xml:space="preserve"> D</w:t>
      </w:r>
      <w:r w:rsidRPr="008E680E">
        <w:t>ue to the national COVID-19 restrictions in place at the time</w:t>
      </w:r>
      <w:r>
        <w:t>,</w:t>
      </w:r>
      <w:r w:rsidRPr="008E680E">
        <w:t xml:space="preserve"> </w:t>
      </w:r>
      <w:r>
        <w:t>t</w:t>
      </w:r>
      <w:r w:rsidRPr="008E680E">
        <w:t xml:space="preserve">he focus group was held via an on-line platform </w:t>
      </w:r>
      <w:r>
        <w:t xml:space="preserve">zoom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E4F2" w14:textId="28B99B6E" w:rsidR="003D454A" w:rsidRDefault="00B346C7" w:rsidP="00F139F1">
    <w:pPr>
      <w:pStyle w:val="Header"/>
    </w:pPr>
    <w:r>
      <w:fldChar w:fldCharType="begin"/>
    </w:r>
    <w:r>
      <w:instrText>STYLEREF  "TOC Heading"  \* MERGEFORMAT</w:instrText>
    </w:r>
    <w:r>
      <w:fldChar w:fldCharType="separate"/>
    </w:r>
    <w:r w:rsidR="003D454A">
      <w:t>Contents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CE63" w14:textId="4952CC3B" w:rsidR="003D454A" w:rsidRDefault="00B346C7">
    <w:pPr>
      <w:pStyle w:val="Header"/>
    </w:pPr>
    <w:r>
      <w:fldChar w:fldCharType="begin"/>
    </w:r>
    <w:r>
      <w:instrText>STYLEREF  "TOC Heading"  \* MERGEFORMAT</w:instrText>
    </w:r>
    <w:r>
      <w:fldChar w:fldCharType="separate"/>
    </w:r>
    <w:r>
      <w:t>Abbreviations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DF4B9" w14:textId="258B16F1" w:rsidR="003D454A" w:rsidRPr="00B42789" w:rsidRDefault="003D454A" w:rsidP="00F139F1">
    <w:pPr>
      <w:pStyle w:val="Header"/>
      <w:rPr>
        <w:color w:val="auto"/>
      </w:rPr>
    </w:pPr>
    <w:r w:rsidRPr="00B42789">
      <w:rPr>
        <w:color w:val="auto"/>
      </w:rPr>
      <w:fldChar w:fldCharType="begin"/>
    </w:r>
    <w:r w:rsidRPr="00B42789">
      <w:rPr>
        <w:color w:val="auto"/>
      </w:rPr>
      <w:instrText>STYLEREF  "Heading 1,h1" \n  \* MERGEFORMAT</w:instrText>
    </w:r>
    <w:r w:rsidRPr="00B42789">
      <w:rPr>
        <w:color w:val="auto"/>
      </w:rPr>
      <w:fldChar w:fldCharType="separate"/>
    </w:r>
    <w:r w:rsidR="00B346C7">
      <w:rPr>
        <w:color w:val="auto"/>
      </w:rPr>
      <w:t>4</w:t>
    </w:r>
    <w:r w:rsidRPr="00B42789">
      <w:rPr>
        <w:color w:val="auto"/>
      </w:rPr>
      <w:fldChar w:fldCharType="end"/>
    </w:r>
    <w:r w:rsidRPr="00B42789">
      <w:rPr>
        <w:color w:val="auto"/>
      </w:rPr>
      <w:t>.</w:t>
    </w:r>
    <w:r w:rsidRPr="00B42789">
      <w:rPr>
        <w:color w:val="auto"/>
      </w:rPr>
      <w:tab/>
    </w:r>
    <w:r w:rsidRPr="00B42789">
      <w:rPr>
        <w:color w:val="auto"/>
      </w:rPr>
      <w:fldChar w:fldCharType="begin"/>
    </w:r>
    <w:r w:rsidRPr="00B42789">
      <w:rPr>
        <w:color w:val="auto"/>
      </w:rPr>
      <w:instrText>STYLEREF  "Heading 1,h1"  \* MERGEFORMAT</w:instrText>
    </w:r>
    <w:r w:rsidRPr="00B42789">
      <w:rPr>
        <w:color w:val="auto"/>
      </w:rPr>
      <w:fldChar w:fldCharType="separate"/>
    </w:r>
    <w:r w:rsidR="00B346C7">
      <w:rPr>
        <w:color w:val="auto"/>
      </w:rPr>
      <w:t>Future options</w:t>
    </w:r>
    <w:r w:rsidRPr="00B42789">
      <w:rPr>
        <w:color w:val="auto"/>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62BB" w14:textId="49AE19A2" w:rsidR="003D454A" w:rsidRPr="00410F76" w:rsidRDefault="003D454A" w:rsidP="00410F7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053F" w14:textId="505672BE" w:rsidR="003D454A" w:rsidRPr="00290F13" w:rsidRDefault="00B346C7" w:rsidP="00F139F1">
    <w:pPr>
      <w:pStyle w:val="Header"/>
    </w:pPr>
    <w:r>
      <w:fldChar w:fldCharType="begin"/>
    </w:r>
    <w:r>
      <w:instrText>STYLEREF  "Heading 5" \n  \* MERGEFORMAT</w:instrText>
    </w:r>
    <w:r>
      <w:fldChar w:fldCharType="separate"/>
    </w:r>
    <w:r w:rsidRPr="00B346C7">
      <w:rPr>
        <w:b/>
        <w:bCs/>
      </w:rPr>
      <w:t>Appendix A</w:t>
    </w:r>
    <w:r>
      <w:rPr>
        <w:b/>
        <w:bCs/>
      </w:rPr>
      <w:fldChar w:fldCharType="end"/>
    </w:r>
    <w:r w:rsidR="003D454A" w:rsidRPr="00290F13">
      <w:t>.</w:t>
    </w:r>
    <w:r w:rsidR="003D454A" w:rsidRPr="00290F13">
      <w:tab/>
    </w:r>
    <w:r>
      <w:fldChar w:fldCharType="begin"/>
    </w:r>
    <w:r>
      <w:instrText>STYLERE</w:instrText>
    </w:r>
    <w:r>
      <w:instrText>F  "Heading 5"  \* MERGEFORMAT</w:instrText>
    </w:r>
    <w:r>
      <w:fldChar w:fldCharType="separate"/>
    </w:r>
    <w:r w:rsidRPr="00B346C7">
      <w:rPr>
        <w:b/>
        <w:bCs/>
      </w:rPr>
      <w:t>Cited references</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F60"/>
    <w:multiLevelType w:val="multilevel"/>
    <w:tmpl w:val="CE623E40"/>
    <w:lvl w:ilvl="0">
      <w:start w:val="1"/>
      <w:numFmt w:val="decimal"/>
      <w:pStyle w:val="Heading1"/>
      <w:lvlText w:val="%1"/>
      <w:lvlJc w:val="left"/>
      <w:pPr>
        <w:tabs>
          <w:tab w:val="num" w:pos="1418"/>
        </w:tabs>
        <w:ind w:left="851" w:hanging="851"/>
      </w:pPr>
      <w:rPr>
        <w:rFonts w:hint="default"/>
        <w:color w:val="auto"/>
      </w:rPr>
    </w:lvl>
    <w:lvl w:ilvl="1">
      <w:start w:val="1"/>
      <w:numFmt w:val="decimal"/>
      <w:pStyle w:val="Heading2"/>
      <w:lvlText w:val="%1.%2"/>
      <w:lvlJc w:val="left"/>
      <w:pPr>
        <w:tabs>
          <w:tab w:val="num" w:pos="1418"/>
        </w:tabs>
        <w:ind w:left="851" w:hanging="851"/>
      </w:pPr>
      <w:rPr>
        <w:rFonts w:hint="default"/>
        <w:b/>
        <w:bCs w:val="0"/>
        <w:sz w:val="40"/>
        <w:szCs w:val="40"/>
      </w:rPr>
    </w:lvl>
    <w:lvl w:ilvl="2">
      <w:start w:val="1"/>
      <w:numFmt w:val="decimal"/>
      <w:pStyle w:val="Heading3"/>
      <w:lvlText w:val="%1.%2.%3"/>
      <w:lvlJc w:val="left"/>
      <w:pPr>
        <w:ind w:left="851" w:hanging="851"/>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Heading4"/>
      <w:suff w:val="nothing"/>
      <w:lvlText w:val=""/>
      <w:lvlJc w:val="left"/>
      <w:pPr>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Restart w:val="1"/>
      <w:pStyle w:val="Heading5"/>
      <w:lvlText w:val="Appendix %5"/>
      <w:lvlJc w:val="left"/>
      <w:pPr>
        <w:tabs>
          <w:tab w:val="num" w:pos="3545"/>
        </w:tabs>
        <w:ind w:left="2694" w:firstLine="0"/>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5.%6"/>
      <w:lvlJc w:val="left"/>
      <w:pPr>
        <w:ind w:left="851" w:hanging="851"/>
      </w:pPr>
      <w:rPr>
        <w:rFonts w:hint="default"/>
      </w:rPr>
    </w:lvl>
    <w:lvl w:ilvl="6">
      <w:start w:val="1"/>
      <w:numFmt w:val="decimal"/>
      <w:pStyle w:val="Heading7"/>
      <w:lvlText w:val="%5.%6.%7"/>
      <w:lvlJc w:val="left"/>
      <w:pPr>
        <w:tabs>
          <w:tab w:val="num" w:pos="1418"/>
        </w:tabs>
        <w:ind w:left="851" w:hanging="851"/>
      </w:pPr>
      <w:rPr>
        <w:rFonts w:hint="default"/>
      </w:rPr>
    </w:lvl>
    <w:lvl w:ilvl="7">
      <w:start w:val="1"/>
      <w:numFmt w:val="none"/>
      <w:pStyle w:val="Heading8"/>
      <w:suff w:val="nothing"/>
      <w:lvlText w:val=""/>
      <w:lvlJc w:val="left"/>
      <w:pPr>
        <w:ind w:left="851" w:hanging="851"/>
      </w:pPr>
      <w:rPr>
        <w:rFonts w:hint="default"/>
      </w:rPr>
    </w:lvl>
    <w:lvl w:ilvl="8">
      <w:start w:val="1"/>
      <w:numFmt w:val="none"/>
      <w:pStyle w:val="Heading9"/>
      <w:suff w:val="nothing"/>
      <w:lvlText w:val=""/>
      <w:lvlJc w:val="left"/>
      <w:pPr>
        <w:ind w:left="851" w:hanging="851"/>
      </w:pPr>
      <w:rPr>
        <w:rFonts w:hint="default"/>
      </w:rPr>
    </w:lvl>
  </w:abstractNum>
  <w:abstractNum w:abstractNumId="1" w15:restartNumberingAfterBreak="0">
    <w:nsid w:val="060E7E0E"/>
    <w:multiLevelType w:val="hybridMultilevel"/>
    <w:tmpl w:val="1BB8BB68"/>
    <w:lvl w:ilvl="0" w:tplc="C4DE345C">
      <w:start w:val="1"/>
      <w:numFmt w:val="decimal"/>
      <w:pStyle w:val="TableList1"/>
      <w:lvlText w:val="%1."/>
      <w:lvlJc w:val="left"/>
      <w:pPr>
        <w:ind w:left="284" w:hanging="284"/>
      </w:pPr>
      <w:rPr>
        <w:rFonts w:hint="default"/>
      </w:rPr>
    </w:lvl>
    <w:lvl w:ilvl="1" w:tplc="F626CB2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36B35"/>
    <w:multiLevelType w:val="hybridMultilevel"/>
    <w:tmpl w:val="6ABC2546"/>
    <w:lvl w:ilvl="0" w:tplc="6FBE3C1C">
      <w:start w:val="1"/>
      <w:numFmt w:val="bullet"/>
      <w:pStyle w:val="TableBullet2"/>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5839F7"/>
    <w:multiLevelType w:val="multilevel"/>
    <w:tmpl w:val="C8142CA2"/>
    <w:styleLink w:val="Bullets"/>
    <w:lvl w:ilvl="0">
      <w:start w:val="1"/>
      <w:numFmt w:val="bullet"/>
      <w:lvlText w:val=""/>
      <w:lvlJc w:val="left"/>
      <w:pPr>
        <w:tabs>
          <w:tab w:val="num" w:pos="680"/>
        </w:tabs>
        <w:ind w:left="680" w:hanging="680"/>
      </w:pPr>
      <w:rPr>
        <w:rFonts w:ascii="Wingdings" w:hAnsi="Wingdings" w:hint="default"/>
      </w:rPr>
    </w:lvl>
    <w:lvl w:ilvl="1">
      <w:start w:val="1"/>
      <w:numFmt w:val="none"/>
      <w:lvlText w:val="-"/>
      <w:lvlJc w:val="left"/>
      <w:pPr>
        <w:tabs>
          <w:tab w:val="num" w:pos="1361"/>
        </w:tabs>
        <w:ind w:left="1361" w:hanging="681"/>
      </w:pPr>
      <w:rPr>
        <w:rFonts w:hint="default"/>
      </w:rPr>
    </w:lvl>
    <w:lvl w:ilvl="2">
      <w:start w:val="1"/>
      <w:numFmt w:val="bullet"/>
      <w:lvlText w:val=""/>
      <w:lvlJc w:val="left"/>
      <w:pPr>
        <w:tabs>
          <w:tab w:val="num" w:pos="2041"/>
        </w:tabs>
        <w:ind w:left="2041" w:hanging="68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3280AB5"/>
    <w:multiLevelType w:val="hybridMultilevel"/>
    <w:tmpl w:val="CF601642"/>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A7F1C"/>
    <w:multiLevelType w:val="hybridMultilevel"/>
    <w:tmpl w:val="C99C216A"/>
    <w:lvl w:ilvl="0" w:tplc="3D0A2986">
      <w:start w:val="1"/>
      <w:numFmt w:val="upperLetter"/>
      <w:pStyle w:val="ListAlpha"/>
      <w:lvlText w:val="%1."/>
      <w:lvlJc w:val="left"/>
      <w:pPr>
        <w:ind w:left="1321" w:hanging="360"/>
      </w:p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08090019" w:tentative="1">
      <w:start w:val="1"/>
      <w:numFmt w:val="lowerLetter"/>
      <w:lvlText w:val="%5."/>
      <w:lvlJc w:val="left"/>
      <w:pPr>
        <w:ind w:left="4201" w:hanging="360"/>
      </w:p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6" w15:restartNumberingAfterBreak="0">
    <w:nsid w:val="24D54216"/>
    <w:multiLevelType w:val="hybridMultilevel"/>
    <w:tmpl w:val="F6F6D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345E6"/>
    <w:multiLevelType w:val="multilevel"/>
    <w:tmpl w:val="75744E7C"/>
    <w:lvl w:ilvl="0">
      <w:start w:val="1"/>
      <w:numFmt w:val="decimal"/>
      <w:lvlText w:val="%1."/>
      <w:lvlJc w:val="left"/>
      <w:pPr>
        <w:ind w:left="425" w:firstLine="284"/>
      </w:pPr>
      <w:rPr>
        <w:rFonts w:ascii="Calibri" w:hAnsi="Calibri" w:hint="default"/>
        <w:sz w:val="24"/>
      </w:rPr>
    </w:lvl>
    <w:lvl w:ilvl="1">
      <w:start w:val="1"/>
      <w:numFmt w:val="lowerLetter"/>
      <w:lvlText w:val="%2."/>
      <w:lvlJc w:val="left"/>
      <w:pPr>
        <w:tabs>
          <w:tab w:val="num" w:pos="1559"/>
        </w:tabs>
        <w:ind w:left="1559" w:hanging="425"/>
      </w:pPr>
      <w:rPr>
        <w:rFonts w:hint="default"/>
      </w:rPr>
    </w:lvl>
    <w:lvl w:ilvl="2">
      <w:start w:val="1"/>
      <w:numFmt w:val="lowerRoman"/>
      <w:pStyle w:val="List3"/>
      <w:lvlText w:val="%3."/>
      <w:lvlJc w:val="left"/>
      <w:pPr>
        <w:ind w:left="1843"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89515A"/>
    <w:multiLevelType w:val="hybridMultilevel"/>
    <w:tmpl w:val="862489B2"/>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2A5A0BDE"/>
    <w:multiLevelType w:val="hybridMultilevel"/>
    <w:tmpl w:val="C62E88E0"/>
    <w:lvl w:ilvl="0" w:tplc="6FC8C6E0">
      <w:start w:val="1"/>
      <w:numFmt w:val="bullet"/>
      <w:lvlText w:val="•"/>
      <w:lvlJc w:val="left"/>
      <w:pPr>
        <w:tabs>
          <w:tab w:val="num" w:pos="720"/>
        </w:tabs>
        <w:ind w:left="720" w:hanging="360"/>
      </w:pPr>
      <w:rPr>
        <w:rFonts w:ascii="Times New Roman" w:hAnsi="Times New Roman" w:hint="default"/>
      </w:rPr>
    </w:lvl>
    <w:lvl w:ilvl="1" w:tplc="1690F278" w:tentative="1">
      <w:start w:val="1"/>
      <w:numFmt w:val="bullet"/>
      <w:lvlText w:val="•"/>
      <w:lvlJc w:val="left"/>
      <w:pPr>
        <w:tabs>
          <w:tab w:val="num" w:pos="1440"/>
        </w:tabs>
        <w:ind w:left="1440" w:hanging="360"/>
      </w:pPr>
      <w:rPr>
        <w:rFonts w:ascii="Times New Roman" w:hAnsi="Times New Roman" w:hint="default"/>
      </w:rPr>
    </w:lvl>
    <w:lvl w:ilvl="2" w:tplc="831AFF8C" w:tentative="1">
      <w:start w:val="1"/>
      <w:numFmt w:val="bullet"/>
      <w:lvlText w:val="•"/>
      <w:lvlJc w:val="left"/>
      <w:pPr>
        <w:tabs>
          <w:tab w:val="num" w:pos="2160"/>
        </w:tabs>
        <w:ind w:left="2160" w:hanging="360"/>
      </w:pPr>
      <w:rPr>
        <w:rFonts w:ascii="Times New Roman" w:hAnsi="Times New Roman" w:hint="default"/>
      </w:rPr>
    </w:lvl>
    <w:lvl w:ilvl="3" w:tplc="6BFAEE5E" w:tentative="1">
      <w:start w:val="1"/>
      <w:numFmt w:val="bullet"/>
      <w:lvlText w:val="•"/>
      <w:lvlJc w:val="left"/>
      <w:pPr>
        <w:tabs>
          <w:tab w:val="num" w:pos="2880"/>
        </w:tabs>
        <w:ind w:left="2880" w:hanging="360"/>
      </w:pPr>
      <w:rPr>
        <w:rFonts w:ascii="Times New Roman" w:hAnsi="Times New Roman" w:hint="default"/>
      </w:rPr>
    </w:lvl>
    <w:lvl w:ilvl="4" w:tplc="172C4A7E" w:tentative="1">
      <w:start w:val="1"/>
      <w:numFmt w:val="bullet"/>
      <w:lvlText w:val="•"/>
      <w:lvlJc w:val="left"/>
      <w:pPr>
        <w:tabs>
          <w:tab w:val="num" w:pos="3600"/>
        </w:tabs>
        <w:ind w:left="3600" w:hanging="360"/>
      </w:pPr>
      <w:rPr>
        <w:rFonts w:ascii="Times New Roman" w:hAnsi="Times New Roman" w:hint="default"/>
      </w:rPr>
    </w:lvl>
    <w:lvl w:ilvl="5" w:tplc="40489A3E" w:tentative="1">
      <w:start w:val="1"/>
      <w:numFmt w:val="bullet"/>
      <w:lvlText w:val="•"/>
      <w:lvlJc w:val="left"/>
      <w:pPr>
        <w:tabs>
          <w:tab w:val="num" w:pos="4320"/>
        </w:tabs>
        <w:ind w:left="4320" w:hanging="360"/>
      </w:pPr>
      <w:rPr>
        <w:rFonts w:ascii="Times New Roman" w:hAnsi="Times New Roman" w:hint="default"/>
      </w:rPr>
    </w:lvl>
    <w:lvl w:ilvl="6" w:tplc="C2B2AD20" w:tentative="1">
      <w:start w:val="1"/>
      <w:numFmt w:val="bullet"/>
      <w:lvlText w:val="•"/>
      <w:lvlJc w:val="left"/>
      <w:pPr>
        <w:tabs>
          <w:tab w:val="num" w:pos="5040"/>
        </w:tabs>
        <w:ind w:left="5040" w:hanging="360"/>
      </w:pPr>
      <w:rPr>
        <w:rFonts w:ascii="Times New Roman" w:hAnsi="Times New Roman" w:hint="default"/>
      </w:rPr>
    </w:lvl>
    <w:lvl w:ilvl="7" w:tplc="23EC67DE" w:tentative="1">
      <w:start w:val="1"/>
      <w:numFmt w:val="bullet"/>
      <w:lvlText w:val="•"/>
      <w:lvlJc w:val="left"/>
      <w:pPr>
        <w:tabs>
          <w:tab w:val="num" w:pos="5760"/>
        </w:tabs>
        <w:ind w:left="5760" w:hanging="360"/>
      </w:pPr>
      <w:rPr>
        <w:rFonts w:ascii="Times New Roman" w:hAnsi="Times New Roman" w:hint="default"/>
      </w:rPr>
    </w:lvl>
    <w:lvl w:ilvl="8" w:tplc="1E1C650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355AA5"/>
    <w:multiLevelType w:val="hybridMultilevel"/>
    <w:tmpl w:val="90E6630A"/>
    <w:lvl w:ilvl="0" w:tplc="FCACF8B2">
      <w:start w:val="1"/>
      <w:numFmt w:val="bullet"/>
      <w:lvlText w:val=""/>
      <w:lvlJc w:val="left"/>
      <w:pPr>
        <w:ind w:left="720" w:hanging="360"/>
      </w:pPr>
      <w:rPr>
        <w:rFonts w:ascii="Symbol" w:hAnsi="Symbol" w:hint="default"/>
      </w:rPr>
    </w:lvl>
    <w:lvl w:ilvl="1" w:tplc="D7486B00">
      <w:start w:val="1"/>
      <w:numFmt w:val="bullet"/>
      <w:pStyle w:val="Bullet2"/>
      <w:lvlText w:val=""/>
      <w:lvlJc w:val="left"/>
      <w:pPr>
        <w:ind w:left="1440" w:hanging="360"/>
      </w:pPr>
      <w:rPr>
        <w:rFonts w:ascii="Symbol" w:hAnsi="Symbol" w:hint="default"/>
      </w:rPr>
    </w:lvl>
    <w:lvl w:ilvl="2" w:tplc="493CD5C2">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F2050A"/>
    <w:multiLevelType w:val="hybridMultilevel"/>
    <w:tmpl w:val="E006F9B4"/>
    <w:lvl w:ilvl="0" w:tplc="02B07F3E">
      <w:start w:val="1"/>
      <w:numFmt w:val="bullet"/>
      <w:pStyle w:val="Bullet3"/>
      <w:lvlText w:val="o"/>
      <w:lvlJc w:val="left"/>
      <w:pPr>
        <w:ind w:left="1494" w:hanging="360"/>
      </w:pPr>
      <w:rPr>
        <w:rFonts w:ascii="Courier New" w:hAnsi="Courier New" w:cs="Courier New" w:hint="default"/>
      </w:rPr>
    </w:lvl>
    <w:lvl w:ilvl="1" w:tplc="C3AE677E">
      <w:start w:val="1"/>
      <w:numFmt w:val="bullet"/>
      <w:lvlText w:val=""/>
      <w:lvlJc w:val="left"/>
      <w:pPr>
        <w:ind w:left="1298" w:hanging="360"/>
      </w:pPr>
      <w:rPr>
        <w:rFonts w:ascii="Symbol" w:hAnsi="Symbol" w:hint="default"/>
      </w:rPr>
    </w:lvl>
    <w:lvl w:ilvl="2" w:tplc="3500B6E2">
      <w:start w:val="1"/>
      <w:numFmt w:val="bullet"/>
      <w:lvlText w:val="•"/>
      <w:lvlJc w:val="left"/>
      <w:pPr>
        <w:ind w:left="2018" w:hanging="360"/>
      </w:pPr>
      <w:rPr>
        <w:rFonts w:ascii="Arial" w:hAnsi="Arial"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304B57D9"/>
    <w:multiLevelType w:val="multilevel"/>
    <w:tmpl w:val="9AFAFC2A"/>
    <w:lvl w:ilvl="0">
      <w:start w:val="1"/>
      <w:numFmt w:val="decimal"/>
      <w:lvlText w:val="%1"/>
      <w:lvlJc w:val="left"/>
      <w:pPr>
        <w:ind w:left="1277" w:hanging="1277"/>
      </w:pPr>
      <w:rPr>
        <w:rFonts w:hint="default"/>
      </w:rPr>
    </w:lvl>
    <w:lvl w:ilvl="1">
      <w:start w:val="1"/>
      <w:numFmt w:val="decimal"/>
      <w:lvlText w:val="%1.%2"/>
      <w:lvlJc w:val="left"/>
      <w:pPr>
        <w:ind w:left="851" w:hanging="851"/>
      </w:pPr>
      <w:rPr>
        <w:rFonts w:hint="default"/>
        <w:b/>
        <w:bCs w:val="0"/>
        <w:sz w:val="40"/>
        <w:szCs w:val="40"/>
      </w:rPr>
    </w:lvl>
    <w:lvl w:ilvl="2">
      <w:start w:val="1"/>
      <w:numFmt w:val="decimal"/>
      <w:lvlText w:val="%1.%2.%3"/>
      <w:lvlJc w:val="left"/>
      <w:pPr>
        <w:ind w:left="851" w:hanging="851"/>
      </w:pPr>
      <w:rPr>
        <w:rFonts w:hint="default"/>
      </w:rPr>
    </w:lvl>
    <w:lvl w:ilvl="3">
      <w:start w:val="1"/>
      <w:numFmt w:val="none"/>
      <w:lvlText w:val=""/>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Appendix %4%5"/>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4%5.%6"/>
      <w:lvlJc w:val="left"/>
      <w:pPr>
        <w:ind w:left="0" w:firstLine="0"/>
      </w:pPr>
      <w:rPr>
        <w:rFonts w:hint="default"/>
      </w:rPr>
    </w:lvl>
    <w:lvl w:ilvl="6">
      <w:start w:val="1"/>
      <w:numFmt w:val="decimal"/>
      <w:lvlText w:val="%5.%6.%7"/>
      <w:lvlJc w:val="left"/>
      <w:pPr>
        <w:ind w:left="-32767" w:firstLine="32767"/>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84D1F1F"/>
    <w:multiLevelType w:val="hybridMultilevel"/>
    <w:tmpl w:val="68BA178A"/>
    <w:lvl w:ilvl="0" w:tplc="E21CD096">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A34E19"/>
    <w:multiLevelType w:val="hybridMultilevel"/>
    <w:tmpl w:val="F65A7BFC"/>
    <w:lvl w:ilvl="0" w:tplc="1F58E3DA">
      <w:start w:val="1"/>
      <w:numFmt w:val="bullet"/>
      <w:pStyle w:val="TableBullet1"/>
      <w:lvlText w:val=""/>
      <w:lvlJc w:val="left"/>
      <w:pPr>
        <w:ind w:left="473" w:hanging="360"/>
      </w:pPr>
      <w:rPr>
        <w:rFonts w:ascii="Symbol" w:hAnsi="Symbol" w:hint="default"/>
        <w:caps w:val="0"/>
        <w:strike w:val="0"/>
        <w:dstrike w:val="0"/>
        <w:vanish w:val="0"/>
        <w:sz w:val="20"/>
        <w:vertAlign w:val="baseline"/>
      </w:rPr>
    </w:lvl>
    <w:lvl w:ilvl="1" w:tplc="08090003">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5" w15:restartNumberingAfterBreak="0">
    <w:nsid w:val="423D514F"/>
    <w:multiLevelType w:val="hybridMultilevel"/>
    <w:tmpl w:val="37B0B37C"/>
    <w:lvl w:ilvl="0" w:tplc="910C0BA2">
      <w:start w:val="1"/>
      <w:numFmt w:val="decimal"/>
      <w:pStyle w:val="Tablelistindented"/>
      <w:lvlText w:val="%1."/>
      <w:lvlJc w:val="left"/>
      <w:pPr>
        <w:ind w:left="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BE133F"/>
    <w:multiLevelType w:val="hybridMultilevel"/>
    <w:tmpl w:val="27D44B42"/>
    <w:lvl w:ilvl="0" w:tplc="B7EC4D28">
      <w:start w:val="1"/>
      <w:numFmt w:val="bullet"/>
      <w:pStyle w:val="Bullet1Inden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7" w15:restartNumberingAfterBreak="0">
    <w:nsid w:val="4B855FE0"/>
    <w:multiLevelType w:val="multilevel"/>
    <w:tmpl w:val="B258617C"/>
    <w:name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5Appendix %7"/>
      <w:lvlJc w:val="left"/>
      <w:pPr>
        <w:ind w:left="1418" w:hanging="1418"/>
      </w:pPr>
      <w:rPr>
        <w:rFonts w:hint="default"/>
      </w:rPr>
    </w:lvl>
    <w:lvl w:ilvl="7">
      <w:start w:val="1"/>
      <w:numFmt w:val="decimal"/>
      <w:lvlText w:val="%7.%8"/>
      <w:lvlJc w:val="left"/>
      <w:pPr>
        <w:ind w:left="851" w:hanging="851"/>
      </w:pPr>
      <w:rPr>
        <w:rFonts w:hint="default"/>
      </w:rPr>
    </w:lvl>
    <w:lvl w:ilvl="8">
      <w:start w:val="1"/>
      <w:numFmt w:val="decimal"/>
      <w:lvlText w:val="%7.%8.%9"/>
      <w:lvlJc w:val="left"/>
      <w:pPr>
        <w:ind w:left="851" w:hanging="851"/>
      </w:pPr>
      <w:rPr>
        <w:rFonts w:hint="default"/>
      </w:rPr>
    </w:lvl>
  </w:abstractNum>
  <w:abstractNum w:abstractNumId="18" w15:restartNumberingAfterBreak="0">
    <w:nsid w:val="54BA1E5A"/>
    <w:multiLevelType w:val="multilevel"/>
    <w:tmpl w:val="BFDAA25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6E42E98"/>
    <w:multiLevelType w:val="hybridMultilevel"/>
    <w:tmpl w:val="280000FA"/>
    <w:lvl w:ilvl="0" w:tplc="2A44F47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324C8"/>
    <w:multiLevelType w:val="multilevel"/>
    <w:tmpl w:val="7136AF96"/>
    <w:lvl w:ilvl="0">
      <w:start w:val="1"/>
      <w:numFmt w:val="decimal"/>
      <w:lvlText w:val="%1."/>
      <w:lvlJc w:val="left"/>
      <w:pPr>
        <w:ind w:left="425" w:firstLine="284"/>
      </w:pPr>
      <w:rPr>
        <w:rFonts w:ascii="Calibri" w:hAnsi="Calibri" w:hint="default"/>
        <w:sz w:val="24"/>
      </w:rPr>
    </w:lvl>
    <w:lvl w:ilvl="1">
      <w:start w:val="1"/>
      <w:numFmt w:val="lowerLetter"/>
      <w:pStyle w:val="List2"/>
      <w:lvlText w:val="%2."/>
      <w:lvlJc w:val="left"/>
      <w:pPr>
        <w:tabs>
          <w:tab w:val="num" w:pos="1559"/>
        </w:tabs>
        <w:ind w:left="1559" w:hanging="425"/>
      </w:pPr>
      <w:rPr>
        <w:rFonts w:hint="default"/>
      </w:rPr>
    </w:lvl>
    <w:lvl w:ilvl="2">
      <w:start w:val="1"/>
      <w:numFmt w:val="lowerRoman"/>
      <w:lvlText w:val="%3."/>
      <w:lvlJc w:val="left"/>
      <w:pPr>
        <w:ind w:left="1843"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764796"/>
    <w:multiLevelType w:val="multilevel"/>
    <w:tmpl w:val="71B22226"/>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i w:val="0"/>
      </w:rPr>
    </w:lvl>
    <w:lvl w:ilvl="2">
      <w:start w:val="1"/>
      <w:numFmt w:val="decimal"/>
      <w:lvlText w:val="%2.%3"/>
      <w:lvlJc w:val="left"/>
      <w:pPr>
        <w:tabs>
          <w:tab w:val="num" w:pos="720"/>
        </w:tabs>
        <w:ind w:left="720" w:hanging="720"/>
      </w:pPr>
      <w:rPr>
        <w:rFonts w:ascii="Times New Roman" w:hAnsi="Times New Roman" w:cs="Times New Roman" w:hint="default"/>
        <w:color w:val="auto"/>
        <w:sz w:val="22"/>
        <w:szCs w:val="22"/>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pStyle w:val="ListNumber2"/>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6644D72"/>
    <w:multiLevelType w:val="hybridMultilevel"/>
    <w:tmpl w:val="B5144C5C"/>
    <w:lvl w:ilvl="0" w:tplc="48122DF0">
      <w:start w:val="1"/>
      <w:numFmt w:val="decimal"/>
      <w:pStyle w:val="TextBox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876FF7"/>
    <w:multiLevelType w:val="hybridMultilevel"/>
    <w:tmpl w:val="32DC7AD2"/>
    <w:lvl w:ilvl="0" w:tplc="119497BC">
      <w:start w:val="1"/>
      <w:numFmt w:val="bullet"/>
      <w:pStyle w:val="Pullquotemed"/>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FF1FE5"/>
    <w:multiLevelType w:val="hybridMultilevel"/>
    <w:tmpl w:val="FFFFFFFF"/>
    <w:lvl w:ilvl="0" w:tplc="8D9C336A">
      <w:start w:val="1"/>
      <w:numFmt w:val="bullet"/>
      <w:lvlText w:val=""/>
      <w:lvlJc w:val="left"/>
      <w:pPr>
        <w:ind w:left="720" w:hanging="360"/>
      </w:pPr>
      <w:rPr>
        <w:rFonts w:ascii="Symbol" w:hAnsi="Symbol" w:hint="default"/>
      </w:rPr>
    </w:lvl>
    <w:lvl w:ilvl="1" w:tplc="F92CD336">
      <w:start w:val="1"/>
      <w:numFmt w:val="bullet"/>
      <w:lvlText w:val="o"/>
      <w:lvlJc w:val="left"/>
      <w:pPr>
        <w:ind w:left="1440" w:hanging="360"/>
      </w:pPr>
      <w:rPr>
        <w:rFonts w:ascii="Courier New" w:hAnsi="Courier New" w:hint="default"/>
      </w:rPr>
    </w:lvl>
    <w:lvl w:ilvl="2" w:tplc="593E00F6">
      <w:start w:val="1"/>
      <w:numFmt w:val="bullet"/>
      <w:lvlText w:val=""/>
      <w:lvlJc w:val="left"/>
      <w:pPr>
        <w:ind w:left="2160" w:hanging="360"/>
      </w:pPr>
      <w:rPr>
        <w:rFonts w:ascii="Wingdings" w:hAnsi="Wingdings" w:hint="default"/>
      </w:rPr>
    </w:lvl>
    <w:lvl w:ilvl="3" w:tplc="4D7CDDFA">
      <w:start w:val="1"/>
      <w:numFmt w:val="bullet"/>
      <w:lvlText w:val=""/>
      <w:lvlJc w:val="left"/>
      <w:pPr>
        <w:ind w:left="2880" w:hanging="360"/>
      </w:pPr>
      <w:rPr>
        <w:rFonts w:ascii="Symbol" w:hAnsi="Symbol" w:hint="default"/>
      </w:rPr>
    </w:lvl>
    <w:lvl w:ilvl="4" w:tplc="45C03A9C">
      <w:start w:val="1"/>
      <w:numFmt w:val="bullet"/>
      <w:lvlText w:val="o"/>
      <w:lvlJc w:val="left"/>
      <w:pPr>
        <w:ind w:left="3600" w:hanging="360"/>
      </w:pPr>
      <w:rPr>
        <w:rFonts w:ascii="Courier New" w:hAnsi="Courier New" w:hint="default"/>
      </w:rPr>
    </w:lvl>
    <w:lvl w:ilvl="5" w:tplc="DCA66578">
      <w:start w:val="1"/>
      <w:numFmt w:val="bullet"/>
      <w:lvlText w:val=""/>
      <w:lvlJc w:val="left"/>
      <w:pPr>
        <w:ind w:left="4320" w:hanging="360"/>
      </w:pPr>
      <w:rPr>
        <w:rFonts w:ascii="Wingdings" w:hAnsi="Wingdings" w:hint="default"/>
      </w:rPr>
    </w:lvl>
    <w:lvl w:ilvl="6" w:tplc="016CC644">
      <w:start w:val="1"/>
      <w:numFmt w:val="bullet"/>
      <w:lvlText w:val=""/>
      <w:lvlJc w:val="left"/>
      <w:pPr>
        <w:ind w:left="5040" w:hanging="360"/>
      </w:pPr>
      <w:rPr>
        <w:rFonts w:ascii="Symbol" w:hAnsi="Symbol" w:hint="default"/>
      </w:rPr>
    </w:lvl>
    <w:lvl w:ilvl="7" w:tplc="C2E0819E">
      <w:start w:val="1"/>
      <w:numFmt w:val="bullet"/>
      <w:lvlText w:val="o"/>
      <w:lvlJc w:val="left"/>
      <w:pPr>
        <w:ind w:left="5760" w:hanging="360"/>
      </w:pPr>
      <w:rPr>
        <w:rFonts w:ascii="Courier New" w:hAnsi="Courier New" w:hint="default"/>
      </w:rPr>
    </w:lvl>
    <w:lvl w:ilvl="8" w:tplc="F3A486E2">
      <w:start w:val="1"/>
      <w:numFmt w:val="bullet"/>
      <w:lvlText w:val=""/>
      <w:lvlJc w:val="left"/>
      <w:pPr>
        <w:ind w:left="6480" w:hanging="360"/>
      </w:pPr>
      <w:rPr>
        <w:rFonts w:ascii="Wingdings" w:hAnsi="Wingdings" w:hint="default"/>
      </w:rPr>
    </w:lvl>
  </w:abstractNum>
  <w:abstractNum w:abstractNumId="25" w15:restartNumberingAfterBreak="0">
    <w:nsid w:val="751906A0"/>
    <w:multiLevelType w:val="multilevel"/>
    <w:tmpl w:val="5C2C9CE6"/>
    <w:lvl w:ilvl="0">
      <w:start w:val="1"/>
      <w:numFmt w:val="decimal"/>
      <w:pStyle w:val="List1"/>
      <w:lvlText w:val="%1."/>
      <w:lvlJc w:val="left"/>
      <w:pPr>
        <w:tabs>
          <w:tab w:val="num" w:pos="6095"/>
        </w:tabs>
        <w:ind w:left="425" w:hanging="425"/>
      </w:pPr>
      <w:rPr>
        <w:rFonts w:hint="default"/>
      </w:rPr>
    </w:lvl>
    <w:lvl w:ilvl="1">
      <w:start w:val="1"/>
      <w:numFmt w:val="lowerLetter"/>
      <w:lvlText w:val="%2."/>
      <w:lvlJc w:val="left"/>
      <w:pPr>
        <w:tabs>
          <w:tab w:val="num" w:pos="850"/>
        </w:tabs>
        <w:ind w:left="425" w:firstLine="425"/>
      </w:pPr>
      <w:rPr>
        <w:rFonts w:hint="default"/>
      </w:rPr>
    </w:lvl>
    <w:lvl w:ilvl="2">
      <w:start w:val="1"/>
      <w:numFmt w:val="lowerRoman"/>
      <w:lvlText w:val="%3."/>
      <w:lvlJc w:val="left"/>
      <w:pPr>
        <w:ind w:left="850" w:firstLine="426"/>
      </w:pPr>
      <w:rPr>
        <w:rFonts w:hint="default"/>
      </w:rPr>
    </w:lvl>
    <w:lvl w:ilvl="3">
      <w:start w:val="1"/>
      <w:numFmt w:val="decimal"/>
      <w:lvlText w:val="(%4)"/>
      <w:lvlJc w:val="left"/>
      <w:pPr>
        <w:ind w:left="731" w:hanging="360"/>
      </w:pPr>
      <w:rPr>
        <w:rFonts w:hint="default"/>
      </w:rPr>
    </w:lvl>
    <w:lvl w:ilvl="4">
      <w:start w:val="1"/>
      <w:numFmt w:val="lowerLetter"/>
      <w:lvlText w:val="(%5)"/>
      <w:lvlJc w:val="left"/>
      <w:pPr>
        <w:ind w:left="1091" w:hanging="360"/>
      </w:pPr>
      <w:rPr>
        <w:rFonts w:hint="default"/>
      </w:rPr>
    </w:lvl>
    <w:lvl w:ilvl="5">
      <w:start w:val="1"/>
      <w:numFmt w:val="lowerRoman"/>
      <w:lvlText w:val="(%6)"/>
      <w:lvlJc w:val="left"/>
      <w:pPr>
        <w:ind w:left="1451" w:hanging="360"/>
      </w:pPr>
      <w:rPr>
        <w:rFonts w:hint="default"/>
      </w:rPr>
    </w:lvl>
    <w:lvl w:ilvl="6">
      <w:start w:val="1"/>
      <w:numFmt w:val="decimal"/>
      <w:lvlText w:val="%7."/>
      <w:lvlJc w:val="left"/>
      <w:pPr>
        <w:ind w:left="1811" w:hanging="360"/>
      </w:pPr>
      <w:rPr>
        <w:rFonts w:hint="default"/>
      </w:rPr>
    </w:lvl>
    <w:lvl w:ilvl="7">
      <w:start w:val="1"/>
      <w:numFmt w:val="lowerLetter"/>
      <w:lvlText w:val="%8."/>
      <w:lvlJc w:val="left"/>
      <w:pPr>
        <w:ind w:left="2171" w:hanging="360"/>
      </w:pPr>
      <w:rPr>
        <w:rFonts w:hint="default"/>
      </w:rPr>
    </w:lvl>
    <w:lvl w:ilvl="8">
      <w:start w:val="1"/>
      <w:numFmt w:val="lowerRoman"/>
      <w:lvlText w:val="%9."/>
      <w:lvlJc w:val="left"/>
      <w:pPr>
        <w:ind w:left="2531" w:hanging="360"/>
      </w:pPr>
      <w:rPr>
        <w:rFonts w:hint="default"/>
      </w:rPr>
    </w:lvl>
  </w:abstractNum>
  <w:abstractNum w:abstractNumId="26" w15:restartNumberingAfterBreak="0">
    <w:nsid w:val="79F03C58"/>
    <w:multiLevelType w:val="hybridMultilevel"/>
    <w:tmpl w:val="7BCCDCA8"/>
    <w:lvl w:ilvl="0" w:tplc="C4D26236">
      <w:start w:val="1"/>
      <w:numFmt w:val="bullet"/>
      <w:pStyle w:val="Not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B133E"/>
    <w:multiLevelType w:val="multilevel"/>
    <w:tmpl w:val="4320B390"/>
    <w:styleLink w:val="CurrentList1"/>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1296" w:hanging="1296"/>
      </w:pPr>
      <w:rPr>
        <w:rFonts w:hint="default"/>
      </w:rPr>
    </w:lvl>
    <w:lvl w:ilvl="7">
      <w:start w:val="1"/>
      <w:numFmt w:val="decimal"/>
      <w:lvlText w:val="%7.%8"/>
      <w:lvlJc w:val="left"/>
      <w:pPr>
        <w:ind w:left="851" w:hanging="851"/>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10"/>
  </w:num>
  <w:num w:numId="3">
    <w:abstractNumId w:val="25"/>
  </w:num>
  <w:num w:numId="4">
    <w:abstractNumId w:val="20"/>
  </w:num>
  <w:num w:numId="5">
    <w:abstractNumId w:val="7"/>
  </w:num>
  <w:num w:numId="6">
    <w:abstractNumId w:val="5"/>
  </w:num>
  <w:num w:numId="7">
    <w:abstractNumId w:val="26"/>
  </w:num>
  <w:num w:numId="8">
    <w:abstractNumId w:val="14"/>
  </w:num>
  <w:num w:numId="9">
    <w:abstractNumId w:val="2"/>
  </w:num>
  <w:num w:numId="10">
    <w:abstractNumId w:val="11"/>
  </w:num>
  <w:num w:numId="11">
    <w:abstractNumId w:val="27"/>
  </w:num>
  <w:num w:numId="12">
    <w:abstractNumId w:val="12"/>
  </w:num>
  <w:num w:numId="13">
    <w:abstractNumId w:val="1"/>
  </w:num>
  <w:num w:numId="14">
    <w:abstractNumId w:val="3"/>
  </w:num>
  <w:num w:numId="15">
    <w:abstractNumId w:val="18"/>
  </w:num>
  <w:num w:numId="16">
    <w:abstractNumId w:val="15"/>
  </w:num>
  <w:num w:numId="17">
    <w:abstractNumId w:val="16"/>
  </w:num>
  <w:num w:numId="18">
    <w:abstractNumId w:val="22"/>
  </w:num>
  <w:num w:numId="19">
    <w:abstractNumId w:val="8"/>
  </w:num>
  <w:num w:numId="20">
    <w:abstractNumId w:val="4"/>
  </w:num>
  <w:num w:numId="21">
    <w:abstractNumId w:val="23"/>
  </w:num>
  <w:num w:numId="22">
    <w:abstractNumId w:val="2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6"/>
  </w:num>
  <w:num w:numId="26">
    <w:abstractNumId w:val="24"/>
  </w:num>
  <w:num w:numId="27">
    <w:abstractNumId w:val="13"/>
  </w:num>
  <w:num w:numId="28">
    <w:abstractNumId w:val="1"/>
    <w:lvlOverride w:ilvl="0">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0"/>
  </w:num>
  <w:num w:numId="37">
    <w:abstractNumId w:val="0"/>
  </w:num>
  <w:num w:numId="38">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0" w:nlCheck="1" w:checkStyle="0"/>
  <w:activeWritingStyle w:appName="MSWord" w:lang="en-AU" w:vendorID="64" w:dllVersion="0" w:nlCheck="1" w:checkStyle="0"/>
  <w:activeWritingStyle w:appName="MSWord" w:lang="en-AU"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0F"/>
    <w:rsid w:val="000002E3"/>
    <w:rsid w:val="000007F7"/>
    <w:rsid w:val="000008BC"/>
    <w:rsid w:val="000009F9"/>
    <w:rsid w:val="000011FA"/>
    <w:rsid w:val="000011FD"/>
    <w:rsid w:val="0000123D"/>
    <w:rsid w:val="0000129B"/>
    <w:rsid w:val="000012A2"/>
    <w:rsid w:val="000014D4"/>
    <w:rsid w:val="0000151B"/>
    <w:rsid w:val="0000195D"/>
    <w:rsid w:val="00002A15"/>
    <w:rsid w:val="00002A44"/>
    <w:rsid w:val="00002C7F"/>
    <w:rsid w:val="00002F6A"/>
    <w:rsid w:val="000030BC"/>
    <w:rsid w:val="000033AC"/>
    <w:rsid w:val="00003678"/>
    <w:rsid w:val="00003724"/>
    <w:rsid w:val="0000383F"/>
    <w:rsid w:val="00003FEE"/>
    <w:rsid w:val="0000437C"/>
    <w:rsid w:val="000044C9"/>
    <w:rsid w:val="00004606"/>
    <w:rsid w:val="00004B50"/>
    <w:rsid w:val="00004B7C"/>
    <w:rsid w:val="00004C32"/>
    <w:rsid w:val="00004F8F"/>
    <w:rsid w:val="000051A2"/>
    <w:rsid w:val="00005228"/>
    <w:rsid w:val="00005437"/>
    <w:rsid w:val="0000546E"/>
    <w:rsid w:val="0000550E"/>
    <w:rsid w:val="000056D4"/>
    <w:rsid w:val="00005BA4"/>
    <w:rsid w:val="00005C07"/>
    <w:rsid w:val="00005D16"/>
    <w:rsid w:val="00005D91"/>
    <w:rsid w:val="00005DBA"/>
    <w:rsid w:val="00005F60"/>
    <w:rsid w:val="0000626B"/>
    <w:rsid w:val="00006333"/>
    <w:rsid w:val="00006510"/>
    <w:rsid w:val="0000673D"/>
    <w:rsid w:val="000069EE"/>
    <w:rsid w:val="00006DE8"/>
    <w:rsid w:val="0000706B"/>
    <w:rsid w:val="00007148"/>
    <w:rsid w:val="00007225"/>
    <w:rsid w:val="00007408"/>
    <w:rsid w:val="00007713"/>
    <w:rsid w:val="0000789A"/>
    <w:rsid w:val="00007981"/>
    <w:rsid w:val="00007AC3"/>
    <w:rsid w:val="00007E19"/>
    <w:rsid w:val="00010199"/>
    <w:rsid w:val="0001022E"/>
    <w:rsid w:val="000104A6"/>
    <w:rsid w:val="00010616"/>
    <w:rsid w:val="00010653"/>
    <w:rsid w:val="0001069F"/>
    <w:rsid w:val="00010704"/>
    <w:rsid w:val="000109B8"/>
    <w:rsid w:val="000109D6"/>
    <w:rsid w:val="00010A36"/>
    <w:rsid w:val="00010A99"/>
    <w:rsid w:val="00010BAE"/>
    <w:rsid w:val="00010F78"/>
    <w:rsid w:val="000110E8"/>
    <w:rsid w:val="000111B0"/>
    <w:rsid w:val="00011206"/>
    <w:rsid w:val="000115F8"/>
    <w:rsid w:val="00011A59"/>
    <w:rsid w:val="00011A9D"/>
    <w:rsid w:val="00011AF4"/>
    <w:rsid w:val="00011D0D"/>
    <w:rsid w:val="00011E1C"/>
    <w:rsid w:val="0001216E"/>
    <w:rsid w:val="0001217C"/>
    <w:rsid w:val="0001228C"/>
    <w:rsid w:val="0001233A"/>
    <w:rsid w:val="000123CF"/>
    <w:rsid w:val="0001286B"/>
    <w:rsid w:val="000129F0"/>
    <w:rsid w:val="00012A7D"/>
    <w:rsid w:val="00012B59"/>
    <w:rsid w:val="00012D70"/>
    <w:rsid w:val="00012ED9"/>
    <w:rsid w:val="00012F1D"/>
    <w:rsid w:val="0001345E"/>
    <w:rsid w:val="00013483"/>
    <w:rsid w:val="00013764"/>
    <w:rsid w:val="00013A59"/>
    <w:rsid w:val="00013FD1"/>
    <w:rsid w:val="0001423E"/>
    <w:rsid w:val="00014AA7"/>
    <w:rsid w:val="00014C5D"/>
    <w:rsid w:val="00014C6B"/>
    <w:rsid w:val="00014CA1"/>
    <w:rsid w:val="00014D59"/>
    <w:rsid w:val="00014F0C"/>
    <w:rsid w:val="00015197"/>
    <w:rsid w:val="0001575A"/>
    <w:rsid w:val="00015A4F"/>
    <w:rsid w:val="00015AC3"/>
    <w:rsid w:val="00015AD1"/>
    <w:rsid w:val="00015B49"/>
    <w:rsid w:val="00015FA4"/>
    <w:rsid w:val="0001614F"/>
    <w:rsid w:val="000162B7"/>
    <w:rsid w:val="0001641E"/>
    <w:rsid w:val="00016940"/>
    <w:rsid w:val="00016BC0"/>
    <w:rsid w:val="000170A1"/>
    <w:rsid w:val="00017306"/>
    <w:rsid w:val="00017605"/>
    <w:rsid w:val="00017633"/>
    <w:rsid w:val="000178FA"/>
    <w:rsid w:val="00017934"/>
    <w:rsid w:val="00017D62"/>
    <w:rsid w:val="00017DF5"/>
    <w:rsid w:val="00017FE0"/>
    <w:rsid w:val="00020083"/>
    <w:rsid w:val="000200CA"/>
    <w:rsid w:val="000200E3"/>
    <w:rsid w:val="0002030F"/>
    <w:rsid w:val="0002058E"/>
    <w:rsid w:val="000206BE"/>
    <w:rsid w:val="00020799"/>
    <w:rsid w:val="00020C25"/>
    <w:rsid w:val="00020DFB"/>
    <w:rsid w:val="00020F9A"/>
    <w:rsid w:val="0002168F"/>
    <w:rsid w:val="00021A1E"/>
    <w:rsid w:val="00021BE8"/>
    <w:rsid w:val="00021E60"/>
    <w:rsid w:val="00022027"/>
    <w:rsid w:val="0002256D"/>
    <w:rsid w:val="000228A7"/>
    <w:rsid w:val="00022AD3"/>
    <w:rsid w:val="00022B1F"/>
    <w:rsid w:val="00022C06"/>
    <w:rsid w:val="00022E71"/>
    <w:rsid w:val="000236A0"/>
    <w:rsid w:val="00023AB1"/>
    <w:rsid w:val="00023C90"/>
    <w:rsid w:val="00023E71"/>
    <w:rsid w:val="00023E95"/>
    <w:rsid w:val="0002418D"/>
    <w:rsid w:val="000241F5"/>
    <w:rsid w:val="00024B22"/>
    <w:rsid w:val="00024BFB"/>
    <w:rsid w:val="00024E15"/>
    <w:rsid w:val="00024EEE"/>
    <w:rsid w:val="000250E6"/>
    <w:rsid w:val="00025231"/>
    <w:rsid w:val="000252AC"/>
    <w:rsid w:val="00025447"/>
    <w:rsid w:val="000254E1"/>
    <w:rsid w:val="00025553"/>
    <w:rsid w:val="000257CE"/>
    <w:rsid w:val="00025834"/>
    <w:rsid w:val="00025853"/>
    <w:rsid w:val="000258B3"/>
    <w:rsid w:val="00025B9A"/>
    <w:rsid w:val="00025D5A"/>
    <w:rsid w:val="000263F4"/>
    <w:rsid w:val="0002645C"/>
    <w:rsid w:val="0002693A"/>
    <w:rsid w:val="00026A43"/>
    <w:rsid w:val="00026EFE"/>
    <w:rsid w:val="00026F5A"/>
    <w:rsid w:val="0002703A"/>
    <w:rsid w:val="00027399"/>
    <w:rsid w:val="0002752C"/>
    <w:rsid w:val="000275EF"/>
    <w:rsid w:val="000278C4"/>
    <w:rsid w:val="00027CDB"/>
    <w:rsid w:val="000303EE"/>
    <w:rsid w:val="00030E3E"/>
    <w:rsid w:val="00031068"/>
    <w:rsid w:val="000310F0"/>
    <w:rsid w:val="0003110B"/>
    <w:rsid w:val="00031286"/>
    <w:rsid w:val="00031364"/>
    <w:rsid w:val="00031755"/>
    <w:rsid w:val="00031A27"/>
    <w:rsid w:val="00031B97"/>
    <w:rsid w:val="000320F3"/>
    <w:rsid w:val="000327E7"/>
    <w:rsid w:val="00032BFD"/>
    <w:rsid w:val="00033068"/>
    <w:rsid w:val="0003306D"/>
    <w:rsid w:val="00033A66"/>
    <w:rsid w:val="00033AA7"/>
    <w:rsid w:val="00033E0B"/>
    <w:rsid w:val="00033E44"/>
    <w:rsid w:val="000341DA"/>
    <w:rsid w:val="00034328"/>
    <w:rsid w:val="00034431"/>
    <w:rsid w:val="000344AF"/>
    <w:rsid w:val="000346DA"/>
    <w:rsid w:val="00034851"/>
    <w:rsid w:val="000349C5"/>
    <w:rsid w:val="00034CA9"/>
    <w:rsid w:val="00034D15"/>
    <w:rsid w:val="00034D54"/>
    <w:rsid w:val="00034D71"/>
    <w:rsid w:val="00034FDF"/>
    <w:rsid w:val="0003519D"/>
    <w:rsid w:val="00035677"/>
    <w:rsid w:val="00035ED1"/>
    <w:rsid w:val="0003608D"/>
    <w:rsid w:val="000361A4"/>
    <w:rsid w:val="000361C4"/>
    <w:rsid w:val="000364F7"/>
    <w:rsid w:val="000368C4"/>
    <w:rsid w:val="00036D7A"/>
    <w:rsid w:val="00037143"/>
    <w:rsid w:val="00037402"/>
    <w:rsid w:val="000374C2"/>
    <w:rsid w:val="00037ABE"/>
    <w:rsid w:val="00037B17"/>
    <w:rsid w:val="00037FBC"/>
    <w:rsid w:val="00037FDC"/>
    <w:rsid w:val="000400C2"/>
    <w:rsid w:val="0004022E"/>
    <w:rsid w:val="000407BE"/>
    <w:rsid w:val="00040924"/>
    <w:rsid w:val="00040F4D"/>
    <w:rsid w:val="00041199"/>
    <w:rsid w:val="0004132D"/>
    <w:rsid w:val="00041521"/>
    <w:rsid w:val="00041787"/>
    <w:rsid w:val="0004190A"/>
    <w:rsid w:val="00041930"/>
    <w:rsid w:val="00041DB8"/>
    <w:rsid w:val="00041EFB"/>
    <w:rsid w:val="000424FF"/>
    <w:rsid w:val="00042503"/>
    <w:rsid w:val="0004287C"/>
    <w:rsid w:val="000429C9"/>
    <w:rsid w:val="000429F1"/>
    <w:rsid w:val="00042A57"/>
    <w:rsid w:val="00042A59"/>
    <w:rsid w:val="00042B44"/>
    <w:rsid w:val="00042C18"/>
    <w:rsid w:val="00042D1C"/>
    <w:rsid w:val="00042DC2"/>
    <w:rsid w:val="00042EE2"/>
    <w:rsid w:val="00043357"/>
    <w:rsid w:val="00043520"/>
    <w:rsid w:val="000435F7"/>
    <w:rsid w:val="000437DF"/>
    <w:rsid w:val="00043891"/>
    <w:rsid w:val="00043A96"/>
    <w:rsid w:val="00043B97"/>
    <w:rsid w:val="00043C9B"/>
    <w:rsid w:val="00043DC0"/>
    <w:rsid w:val="00043F0A"/>
    <w:rsid w:val="000447BE"/>
    <w:rsid w:val="000447D2"/>
    <w:rsid w:val="000449D3"/>
    <w:rsid w:val="000449EE"/>
    <w:rsid w:val="00044A38"/>
    <w:rsid w:val="00044DCF"/>
    <w:rsid w:val="00044EC4"/>
    <w:rsid w:val="000451AA"/>
    <w:rsid w:val="000451DB"/>
    <w:rsid w:val="000452C1"/>
    <w:rsid w:val="00045D6F"/>
    <w:rsid w:val="00045E3C"/>
    <w:rsid w:val="00045FC8"/>
    <w:rsid w:val="000461A1"/>
    <w:rsid w:val="000463E9"/>
    <w:rsid w:val="0004663D"/>
    <w:rsid w:val="00046B85"/>
    <w:rsid w:val="000471B0"/>
    <w:rsid w:val="0004725D"/>
    <w:rsid w:val="00047352"/>
    <w:rsid w:val="00047A27"/>
    <w:rsid w:val="00047DA0"/>
    <w:rsid w:val="0005010D"/>
    <w:rsid w:val="00050171"/>
    <w:rsid w:val="000509DF"/>
    <w:rsid w:val="00050A4C"/>
    <w:rsid w:val="0005102C"/>
    <w:rsid w:val="00051176"/>
    <w:rsid w:val="000511FF"/>
    <w:rsid w:val="000512E3"/>
    <w:rsid w:val="00051C49"/>
    <w:rsid w:val="00051E0D"/>
    <w:rsid w:val="00051F21"/>
    <w:rsid w:val="00052708"/>
    <w:rsid w:val="00052829"/>
    <w:rsid w:val="00052B44"/>
    <w:rsid w:val="00052C09"/>
    <w:rsid w:val="00052D8B"/>
    <w:rsid w:val="00052DD0"/>
    <w:rsid w:val="00052FA9"/>
    <w:rsid w:val="00053100"/>
    <w:rsid w:val="00053237"/>
    <w:rsid w:val="000532C1"/>
    <w:rsid w:val="0005344A"/>
    <w:rsid w:val="00053505"/>
    <w:rsid w:val="00053597"/>
    <w:rsid w:val="00053658"/>
    <w:rsid w:val="000537DF"/>
    <w:rsid w:val="00053CE4"/>
    <w:rsid w:val="00053FD1"/>
    <w:rsid w:val="00054053"/>
    <w:rsid w:val="00054078"/>
    <w:rsid w:val="00054340"/>
    <w:rsid w:val="000543A4"/>
    <w:rsid w:val="0005472B"/>
    <w:rsid w:val="00054736"/>
    <w:rsid w:val="00054780"/>
    <w:rsid w:val="00054831"/>
    <w:rsid w:val="00054986"/>
    <w:rsid w:val="00054A0E"/>
    <w:rsid w:val="00054BAE"/>
    <w:rsid w:val="00054C8D"/>
    <w:rsid w:val="0005502C"/>
    <w:rsid w:val="000551A0"/>
    <w:rsid w:val="0005535E"/>
    <w:rsid w:val="000556CF"/>
    <w:rsid w:val="0005573A"/>
    <w:rsid w:val="00055E19"/>
    <w:rsid w:val="00056555"/>
    <w:rsid w:val="00056AAA"/>
    <w:rsid w:val="00056C94"/>
    <w:rsid w:val="00057556"/>
    <w:rsid w:val="000575E1"/>
    <w:rsid w:val="000575E5"/>
    <w:rsid w:val="00057BA3"/>
    <w:rsid w:val="00057D3E"/>
    <w:rsid w:val="0006060D"/>
    <w:rsid w:val="00060765"/>
    <w:rsid w:val="000607CE"/>
    <w:rsid w:val="00060907"/>
    <w:rsid w:val="00060D1D"/>
    <w:rsid w:val="00060E1F"/>
    <w:rsid w:val="00060F70"/>
    <w:rsid w:val="00060FA6"/>
    <w:rsid w:val="00061437"/>
    <w:rsid w:val="0006181D"/>
    <w:rsid w:val="00061842"/>
    <w:rsid w:val="00061A43"/>
    <w:rsid w:val="00061C28"/>
    <w:rsid w:val="00061CD1"/>
    <w:rsid w:val="00061DF0"/>
    <w:rsid w:val="0006205C"/>
    <w:rsid w:val="000626BA"/>
    <w:rsid w:val="0006281E"/>
    <w:rsid w:val="00062AD5"/>
    <w:rsid w:val="00062CF6"/>
    <w:rsid w:val="000632AF"/>
    <w:rsid w:val="0006371F"/>
    <w:rsid w:val="00063C0E"/>
    <w:rsid w:val="00063CF6"/>
    <w:rsid w:val="00063D66"/>
    <w:rsid w:val="00063F46"/>
    <w:rsid w:val="00063F92"/>
    <w:rsid w:val="00064251"/>
    <w:rsid w:val="000645B7"/>
    <w:rsid w:val="0006491D"/>
    <w:rsid w:val="00064F9E"/>
    <w:rsid w:val="00065337"/>
    <w:rsid w:val="00065733"/>
    <w:rsid w:val="0006577F"/>
    <w:rsid w:val="0006578E"/>
    <w:rsid w:val="0006581E"/>
    <w:rsid w:val="00065929"/>
    <w:rsid w:val="000659F1"/>
    <w:rsid w:val="00065C78"/>
    <w:rsid w:val="00065DAC"/>
    <w:rsid w:val="00065E7C"/>
    <w:rsid w:val="00065EB7"/>
    <w:rsid w:val="0006651C"/>
    <w:rsid w:val="00066CD4"/>
    <w:rsid w:val="00066D34"/>
    <w:rsid w:val="000670F8"/>
    <w:rsid w:val="0006725F"/>
    <w:rsid w:val="00067276"/>
    <w:rsid w:val="000675DA"/>
    <w:rsid w:val="00067895"/>
    <w:rsid w:val="00067A90"/>
    <w:rsid w:val="0007020B"/>
    <w:rsid w:val="000709D8"/>
    <w:rsid w:val="00070AD6"/>
    <w:rsid w:val="00070FAA"/>
    <w:rsid w:val="000710E8"/>
    <w:rsid w:val="00071752"/>
    <w:rsid w:val="000719D2"/>
    <w:rsid w:val="00071D1D"/>
    <w:rsid w:val="0007248C"/>
    <w:rsid w:val="00072807"/>
    <w:rsid w:val="000728B4"/>
    <w:rsid w:val="00072A6B"/>
    <w:rsid w:val="00072B77"/>
    <w:rsid w:val="00073217"/>
    <w:rsid w:val="0007323F"/>
    <w:rsid w:val="00073547"/>
    <w:rsid w:val="00073E4B"/>
    <w:rsid w:val="000741E4"/>
    <w:rsid w:val="00074516"/>
    <w:rsid w:val="00074532"/>
    <w:rsid w:val="000745F7"/>
    <w:rsid w:val="00075161"/>
    <w:rsid w:val="000752F8"/>
    <w:rsid w:val="0007540E"/>
    <w:rsid w:val="00075504"/>
    <w:rsid w:val="00075780"/>
    <w:rsid w:val="0007592C"/>
    <w:rsid w:val="00075CF0"/>
    <w:rsid w:val="00075F82"/>
    <w:rsid w:val="00075F8B"/>
    <w:rsid w:val="000763AA"/>
    <w:rsid w:val="00076558"/>
    <w:rsid w:val="000766A1"/>
    <w:rsid w:val="00076752"/>
    <w:rsid w:val="00076810"/>
    <w:rsid w:val="00076B11"/>
    <w:rsid w:val="00076FAC"/>
    <w:rsid w:val="00077007"/>
    <w:rsid w:val="0007704A"/>
    <w:rsid w:val="00077074"/>
    <w:rsid w:val="00077105"/>
    <w:rsid w:val="00077370"/>
    <w:rsid w:val="00077455"/>
    <w:rsid w:val="00077575"/>
    <w:rsid w:val="000776D5"/>
    <w:rsid w:val="000776DB"/>
    <w:rsid w:val="000778CA"/>
    <w:rsid w:val="00077B44"/>
    <w:rsid w:val="00077CAB"/>
    <w:rsid w:val="00077DB8"/>
    <w:rsid w:val="00080132"/>
    <w:rsid w:val="00080334"/>
    <w:rsid w:val="0008044D"/>
    <w:rsid w:val="0008076A"/>
    <w:rsid w:val="000808B1"/>
    <w:rsid w:val="00080B78"/>
    <w:rsid w:val="00080C17"/>
    <w:rsid w:val="00080C5F"/>
    <w:rsid w:val="00080CFE"/>
    <w:rsid w:val="00080FDC"/>
    <w:rsid w:val="0008100E"/>
    <w:rsid w:val="0008143C"/>
    <w:rsid w:val="0008190B"/>
    <w:rsid w:val="00081BCE"/>
    <w:rsid w:val="00081D82"/>
    <w:rsid w:val="0008215B"/>
    <w:rsid w:val="00082F41"/>
    <w:rsid w:val="000831C3"/>
    <w:rsid w:val="000836E7"/>
    <w:rsid w:val="000838FC"/>
    <w:rsid w:val="000839A6"/>
    <w:rsid w:val="00083BDB"/>
    <w:rsid w:val="00083D88"/>
    <w:rsid w:val="0008466E"/>
    <w:rsid w:val="00084A09"/>
    <w:rsid w:val="00084B85"/>
    <w:rsid w:val="00084C2F"/>
    <w:rsid w:val="00084CE6"/>
    <w:rsid w:val="00085201"/>
    <w:rsid w:val="00085470"/>
    <w:rsid w:val="000854ED"/>
    <w:rsid w:val="00085AA9"/>
    <w:rsid w:val="00085BBA"/>
    <w:rsid w:val="00085C63"/>
    <w:rsid w:val="000862F0"/>
    <w:rsid w:val="00086411"/>
    <w:rsid w:val="0008660C"/>
    <w:rsid w:val="000866BA"/>
    <w:rsid w:val="00086B29"/>
    <w:rsid w:val="00086BA9"/>
    <w:rsid w:val="00086C10"/>
    <w:rsid w:val="00086D52"/>
    <w:rsid w:val="0008706C"/>
    <w:rsid w:val="00087427"/>
    <w:rsid w:val="0008761F"/>
    <w:rsid w:val="00087D8E"/>
    <w:rsid w:val="0009019B"/>
    <w:rsid w:val="00090280"/>
    <w:rsid w:val="000907A9"/>
    <w:rsid w:val="00090999"/>
    <w:rsid w:val="0009104A"/>
    <w:rsid w:val="00091219"/>
    <w:rsid w:val="000915C3"/>
    <w:rsid w:val="00091AF2"/>
    <w:rsid w:val="00091BAE"/>
    <w:rsid w:val="00091E0B"/>
    <w:rsid w:val="00091F78"/>
    <w:rsid w:val="0009228D"/>
    <w:rsid w:val="000922FB"/>
    <w:rsid w:val="000927CC"/>
    <w:rsid w:val="00092EA4"/>
    <w:rsid w:val="00092FE1"/>
    <w:rsid w:val="0009315C"/>
    <w:rsid w:val="0009329E"/>
    <w:rsid w:val="000935E1"/>
    <w:rsid w:val="00093BC9"/>
    <w:rsid w:val="00094206"/>
    <w:rsid w:val="000946EA"/>
    <w:rsid w:val="0009484F"/>
    <w:rsid w:val="000948F7"/>
    <w:rsid w:val="00094A0B"/>
    <w:rsid w:val="00094EF5"/>
    <w:rsid w:val="00094F78"/>
    <w:rsid w:val="00094F99"/>
    <w:rsid w:val="00095200"/>
    <w:rsid w:val="000956E4"/>
    <w:rsid w:val="00095BBF"/>
    <w:rsid w:val="00095ECD"/>
    <w:rsid w:val="00095FC4"/>
    <w:rsid w:val="000962B1"/>
    <w:rsid w:val="000964D8"/>
    <w:rsid w:val="00096609"/>
    <w:rsid w:val="00096698"/>
    <w:rsid w:val="0009672A"/>
    <w:rsid w:val="00096837"/>
    <w:rsid w:val="000969B1"/>
    <w:rsid w:val="00096A98"/>
    <w:rsid w:val="00096C6F"/>
    <w:rsid w:val="00097378"/>
    <w:rsid w:val="00097400"/>
    <w:rsid w:val="0009762F"/>
    <w:rsid w:val="0009789A"/>
    <w:rsid w:val="00097D13"/>
    <w:rsid w:val="00097D4E"/>
    <w:rsid w:val="00097D81"/>
    <w:rsid w:val="00097DBC"/>
    <w:rsid w:val="00097EBE"/>
    <w:rsid w:val="000A0096"/>
    <w:rsid w:val="000A02FF"/>
    <w:rsid w:val="000A0316"/>
    <w:rsid w:val="000A0389"/>
    <w:rsid w:val="000A0406"/>
    <w:rsid w:val="000A0618"/>
    <w:rsid w:val="000A0A6A"/>
    <w:rsid w:val="000A1133"/>
    <w:rsid w:val="000A11BE"/>
    <w:rsid w:val="000A1891"/>
    <w:rsid w:val="000A1E81"/>
    <w:rsid w:val="000A1EE8"/>
    <w:rsid w:val="000A2083"/>
    <w:rsid w:val="000A24B8"/>
    <w:rsid w:val="000A2810"/>
    <w:rsid w:val="000A2B28"/>
    <w:rsid w:val="000A2B63"/>
    <w:rsid w:val="000A3031"/>
    <w:rsid w:val="000A328D"/>
    <w:rsid w:val="000A3572"/>
    <w:rsid w:val="000A36A9"/>
    <w:rsid w:val="000A384C"/>
    <w:rsid w:val="000A3FDD"/>
    <w:rsid w:val="000A404C"/>
    <w:rsid w:val="000A40C4"/>
    <w:rsid w:val="000A41AB"/>
    <w:rsid w:val="000A4A7E"/>
    <w:rsid w:val="000A52C5"/>
    <w:rsid w:val="000A540A"/>
    <w:rsid w:val="000A590B"/>
    <w:rsid w:val="000A590E"/>
    <w:rsid w:val="000A596A"/>
    <w:rsid w:val="000A59D2"/>
    <w:rsid w:val="000A5A8B"/>
    <w:rsid w:val="000A5B21"/>
    <w:rsid w:val="000A6135"/>
    <w:rsid w:val="000A62B1"/>
    <w:rsid w:val="000A6337"/>
    <w:rsid w:val="000A679E"/>
    <w:rsid w:val="000A6B51"/>
    <w:rsid w:val="000A6BEF"/>
    <w:rsid w:val="000A6D43"/>
    <w:rsid w:val="000A6EAD"/>
    <w:rsid w:val="000A7180"/>
    <w:rsid w:val="000A7184"/>
    <w:rsid w:val="000A7A43"/>
    <w:rsid w:val="000A7D2B"/>
    <w:rsid w:val="000A7DBC"/>
    <w:rsid w:val="000B07A3"/>
    <w:rsid w:val="000B0C5F"/>
    <w:rsid w:val="000B10CE"/>
    <w:rsid w:val="000B11CB"/>
    <w:rsid w:val="000B1240"/>
    <w:rsid w:val="000B1244"/>
    <w:rsid w:val="000B1711"/>
    <w:rsid w:val="000B199B"/>
    <w:rsid w:val="000B1EEF"/>
    <w:rsid w:val="000B2168"/>
    <w:rsid w:val="000B247B"/>
    <w:rsid w:val="000B27DB"/>
    <w:rsid w:val="000B27E9"/>
    <w:rsid w:val="000B283D"/>
    <w:rsid w:val="000B2E66"/>
    <w:rsid w:val="000B2E97"/>
    <w:rsid w:val="000B2F59"/>
    <w:rsid w:val="000B31C1"/>
    <w:rsid w:val="000B3A0F"/>
    <w:rsid w:val="000B4102"/>
    <w:rsid w:val="000B430E"/>
    <w:rsid w:val="000B4371"/>
    <w:rsid w:val="000B47F5"/>
    <w:rsid w:val="000B48DD"/>
    <w:rsid w:val="000B4E25"/>
    <w:rsid w:val="000B4EDD"/>
    <w:rsid w:val="000B4F06"/>
    <w:rsid w:val="000B5151"/>
    <w:rsid w:val="000B51FC"/>
    <w:rsid w:val="000B5624"/>
    <w:rsid w:val="000B577A"/>
    <w:rsid w:val="000B59A8"/>
    <w:rsid w:val="000B5D9C"/>
    <w:rsid w:val="000B61A8"/>
    <w:rsid w:val="000B63CE"/>
    <w:rsid w:val="000B655B"/>
    <w:rsid w:val="000B6812"/>
    <w:rsid w:val="000B6AEC"/>
    <w:rsid w:val="000B6E8F"/>
    <w:rsid w:val="000B70A1"/>
    <w:rsid w:val="000B73DB"/>
    <w:rsid w:val="000B7401"/>
    <w:rsid w:val="000B7C74"/>
    <w:rsid w:val="000B7DB0"/>
    <w:rsid w:val="000B7E23"/>
    <w:rsid w:val="000B7ED4"/>
    <w:rsid w:val="000B7F87"/>
    <w:rsid w:val="000C0153"/>
    <w:rsid w:val="000C01D2"/>
    <w:rsid w:val="000C057F"/>
    <w:rsid w:val="000C068C"/>
    <w:rsid w:val="000C0E17"/>
    <w:rsid w:val="000C13E2"/>
    <w:rsid w:val="000C156D"/>
    <w:rsid w:val="000C16D6"/>
    <w:rsid w:val="000C1A62"/>
    <w:rsid w:val="000C1ECC"/>
    <w:rsid w:val="000C2691"/>
    <w:rsid w:val="000C29B4"/>
    <w:rsid w:val="000C2A8C"/>
    <w:rsid w:val="000C2CE5"/>
    <w:rsid w:val="000C2D71"/>
    <w:rsid w:val="000C302E"/>
    <w:rsid w:val="000C3116"/>
    <w:rsid w:val="000C31B3"/>
    <w:rsid w:val="000C34F4"/>
    <w:rsid w:val="000C3A88"/>
    <w:rsid w:val="000C3B85"/>
    <w:rsid w:val="000C3EF2"/>
    <w:rsid w:val="000C3F57"/>
    <w:rsid w:val="000C3FA3"/>
    <w:rsid w:val="000C419E"/>
    <w:rsid w:val="000C4932"/>
    <w:rsid w:val="000C4B30"/>
    <w:rsid w:val="000C51D6"/>
    <w:rsid w:val="000C5226"/>
    <w:rsid w:val="000C5256"/>
    <w:rsid w:val="000C554C"/>
    <w:rsid w:val="000C5850"/>
    <w:rsid w:val="000C5C78"/>
    <w:rsid w:val="000C602E"/>
    <w:rsid w:val="000C62E5"/>
    <w:rsid w:val="000C63E0"/>
    <w:rsid w:val="000C66DD"/>
    <w:rsid w:val="000C68D4"/>
    <w:rsid w:val="000C690F"/>
    <w:rsid w:val="000C7258"/>
    <w:rsid w:val="000C7312"/>
    <w:rsid w:val="000C73D3"/>
    <w:rsid w:val="000C7AA7"/>
    <w:rsid w:val="000C7B5B"/>
    <w:rsid w:val="000C7EEC"/>
    <w:rsid w:val="000D001A"/>
    <w:rsid w:val="000D0073"/>
    <w:rsid w:val="000D00B4"/>
    <w:rsid w:val="000D066A"/>
    <w:rsid w:val="000D0D12"/>
    <w:rsid w:val="000D1147"/>
    <w:rsid w:val="000D1305"/>
    <w:rsid w:val="000D1387"/>
    <w:rsid w:val="000D1523"/>
    <w:rsid w:val="000D185F"/>
    <w:rsid w:val="000D191F"/>
    <w:rsid w:val="000D19A7"/>
    <w:rsid w:val="000D1C97"/>
    <w:rsid w:val="000D1CA3"/>
    <w:rsid w:val="000D1D3A"/>
    <w:rsid w:val="000D2995"/>
    <w:rsid w:val="000D2BB3"/>
    <w:rsid w:val="000D2F1E"/>
    <w:rsid w:val="000D3410"/>
    <w:rsid w:val="000D380F"/>
    <w:rsid w:val="000D414E"/>
    <w:rsid w:val="000D436A"/>
    <w:rsid w:val="000D4A6C"/>
    <w:rsid w:val="000D4AC7"/>
    <w:rsid w:val="000D4B4C"/>
    <w:rsid w:val="000D4C03"/>
    <w:rsid w:val="000D4D8B"/>
    <w:rsid w:val="000D4D93"/>
    <w:rsid w:val="000D51CC"/>
    <w:rsid w:val="000D51F1"/>
    <w:rsid w:val="000D5E03"/>
    <w:rsid w:val="000D6B1B"/>
    <w:rsid w:val="000D6B2E"/>
    <w:rsid w:val="000D6E6B"/>
    <w:rsid w:val="000D6F19"/>
    <w:rsid w:val="000D6FB2"/>
    <w:rsid w:val="000D7B0D"/>
    <w:rsid w:val="000D7E04"/>
    <w:rsid w:val="000D7E98"/>
    <w:rsid w:val="000E0465"/>
    <w:rsid w:val="000E0663"/>
    <w:rsid w:val="000E07C7"/>
    <w:rsid w:val="000E091F"/>
    <w:rsid w:val="000E09EC"/>
    <w:rsid w:val="000E0F0B"/>
    <w:rsid w:val="000E1174"/>
    <w:rsid w:val="000E1289"/>
    <w:rsid w:val="000E12EB"/>
    <w:rsid w:val="000E1386"/>
    <w:rsid w:val="000E1A2B"/>
    <w:rsid w:val="000E1AD4"/>
    <w:rsid w:val="000E1C26"/>
    <w:rsid w:val="000E1E41"/>
    <w:rsid w:val="000E2227"/>
    <w:rsid w:val="000E2654"/>
    <w:rsid w:val="000E26E2"/>
    <w:rsid w:val="000E2E25"/>
    <w:rsid w:val="000E2FF8"/>
    <w:rsid w:val="000E30B0"/>
    <w:rsid w:val="000E31F2"/>
    <w:rsid w:val="000E3348"/>
    <w:rsid w:val="000E36E2"/>
    <w:rsid w:val="000E3ACA"/>
    <w:rsid w:val="000E3EF6"/>
    <w:rsid w:val="000E41EA"/>
    <w:rsid w:val="000E42B6"/>
    <w:rsid w:val="000E440F"/>
    <w:rsid w:val="000E45AD"/>
    <w:rsid w:val="000E461F"/>
    <w:rsid w:val="000E468C"/>
    <w:rsid w:val="000E47B8"/>
    <w:rsid w:val="000E4B1D"/>
    <w:rsid w:val="000E4C8C"/>
    <w:rsid w:val="000E4CC3"/>
    <w:rsid w:val="000E531D"/>
    <w:rsid w:val="000E5A04"/>
    <w:rsid w:val="000E5F47"/>
    <w:rsid w:val="000E5F6E"/>
    <w:rsid w:val="000E5F77"/>
    <w:rsid w:val="000E60EC"/>
    <w:rsid w:val="000E65C6"/>
    <w:rsid w:val="000E67AB"/>
    <w:rsid w:val="000E6B25"/>
    <w:rsid w:val="000E6E00"/>
    <w:rsid w:val="000E7A6B"/>
    <w:rsid w:val="000E7D25"/>
    <w:rsid w:val="000F0081"/>
    <w:rsid w:val="000F0180"/>
    <w:rsid w:val="000F0426"/>
    <w:rsid w:val="000F05E8"/>
    <w:rsid w:val="000F0F9E"/>
    <w:rsid w:val="000F1071"/>
    <w:rsid w:val="000F13C1"/>
    <w:rsid w:val="000F151B"/>
    <w:rsid w:val="000F18F5"/>
    <w:rsid w:val="000F1914"/>
    <w:rsid w:val="000F1B99"/>
    <w:rsid w:val="000F1DA9"/>
    <w:rsid w:val="000F2002"/>
    <w:rsid w:val="000F2AEA"/>
    <w:rsid w:val="000F2D61"/>
    <w:rsid w:val="000F2E18"/>
    <w:rsid w:val="000F2E47"/>
    <w:rsid w:val="000F2EDE"/>
    <w:rsid w:val="000F2FB7"/>
    <w:rsid w:val="000F32C4"/>
    <w:rsid w:val="000F3335"/>
    <w:rsid w:val="000F33E3"/>
    <w:rsid w:val="000F3446"/>
    <w:rsid w:val="000F3543"/>
    <w:rsid w:val="000F3835"/>
    <w:rsid w:val="000F3900"/>
    <w:rsid w:val="000F3AD3"/>
    <w:rsid w:val="000F3CB7"/>
    <w:rsid w:val="000F421C"/>
    <w:rsid w:val="000F4404"/>
    <w:rsid w:val="000F4A1E"/>
    <w:rsid w:val="000F4A3A"/>
    <w:rsid w:val="000F4A71"/>
    <w:rsid w:val="000F4D22"/>
    <w:rsid w:val="000F502A"/>
    <w:rsid w:val="000F5201"/>
    <w:rsid w:val="000F521C"/>
    <w:rsid w:val="000F53A7"/>
    <w:rsid w:val="000F575A"/>
    <w:rsid w:val="000F5A31"/>
    <w:rsid w:val="000F5C8C"/>
    <w:rsid w:val="000F5F16"/>
    <w:rsid w:val="000F5F9E"/>
    <w:rsid w:val="000F6576"/>
    <w:rsid w:val="000F6750"/>
    <w:rsid w:val="000F69BD"/>
    <w:rsid w:val="000F6BFE"/>
    <w:rsid w:val="000F7600"/>
    <w:rsid w:val="000F76C5"/>
    <w:rsid w:val="000F7B2D"/>
    <w:rsid w:val="000F7E27"/>
    <w:rsid w:val="000F7E42"/>
    <w:rsid w:val="000F7F72"/>
    <w:rsid w:val="000F7FD1"/>
    <w:rsid w:val="0010000F"/>
    <w:rsid w:val="00100162"/>
    <w:rsid w:val="001004E1"/>
    <w:rsid w:val="00100A0F"/>
    <w:rsid w:val="00100BAC"/>
    <w:rsid w:val="00100CEC"/>
    <w:rsid w:val="00100F9A"/>
    <w:rsid w:val="001010B0"/>
    <w:rsid w:val="00101219"/>
    <w:rsid w:val="001014AC"/>
    <w:rsid w:val="001014D0"/>
    <w:rsid w:val="001014FD"/>
    <w:rsid w:val="0010174B"/>
    <w:rsid w:val="0010177C"/>
    <w:rsid w:val="00101A10"/>
    <w:rsid w:val="00101DEF"/>
    <w:rsid w:val="00101E55"/>
    <w:rsid w:val="001029D5"/>
    <w:rsid w:val="00102B05"/>
    <w:rsid w:val="00102F4D"/>
    <w:rsid w:val="00102F96"/>
    <w:rsid w:val="00102FE2"/>
    <w:rsid w:val="00103042"/>
    <w:rsid w:val="001031D2"/>
    <w:rsid w:val="001031FA"/>
    <w:rsid w:val="001037B0"/>
    <w:rsid w:val="0010382C"/>
    <w:rsid w:val="001039EC"/>
    <w:rsid w:val="00103B96"/>
    <w:rsid w:val="00103C45"/>
    <w:rsid w:val="00103D5E"/>
    <w:rsid w:val="00103E75"/>
    <w:rsid w:val="001041D8"/>
    <w:rsid w:val="0010447E"/>
    <w:rsid w:val="00104585"/>
    <w:rsid w:val="0010475E"/>
    <w:rsid w:val="00104FA1"/>
    <w:rsid w:val="00104FDE"/>
    <w:rsid w:val="0010502B"/>
    <w:rsid w:val="00105134"/>
    <w:rsid w:val="00105219"/>
    <w:rsid w:val="0010540F"/>
    <w:rsid w:val="00105A77"/>
    <w:rsid w:val="00105ACA"/>
    <w:rsid w:val="00105ACD"/>
    <w:rsid w:val="00105C45"/>
    <w:rsid w:val="00105D89"/>
    <w:rsid w:val="00105DE2"/>
    <w:rsid w:val="00105EE3"/>
    <w:rsid w:val="00106002"/>
    <w:rsid w:val="001060AA"/>
    <w:rsid w:val="001062DC"/>
    <w:rsid w:val="0010697B"/>
    <w:rsid w:val="00106D34"/>
    <w:rsid w:val="001071BD"/>
    <w:rsid w:val="001072EA"/>
    <w:rsid w:val="0010737B"/>
    <w:rsid w:val="0010739B"/>
    <w:rsid w:val="00107964"/>
    <w:rsid w:val="001079E2"/>
    <w:rsid w:val="00107B7A"/>
    <w:rsid w:val="00107C1C"/>
    <w:rsid w:val="00107EC0"/>
    <w:rsid w:val="0011029C"/>
    <w:rsid w:val="00110329"/>
    <w:rsid w:val="00110418"/>
    <w:rsid w:val="0011047E"/>
    <w:rsid w:val="00110493"/>
    <w:rsid w:val="0011086B"/>
    <w:rsid w:val="00110FE9"/>
    <w:rsid w:val="001113AA"/>
    <w:rsid w:val="001113D8"/>
    <w:rsid w:val="001114E5"/>
    <w:rsid w:val="00111B2C"/>
    <w:rsid w:val="00111DF8"/>
    <w:rsid w:val="0011228C"/>
    <w:rsid w:val="0011275F"/>
    <w:rsid w:val="00112865"/>
    <w:rsid w:val="00113424"/>
    <w:rsid w:val="001135E0"/>
    <w:rsid w:val="00113B1C"/>
    <w:rsid w:val="00113C11"/>
    <w:rsid w:val="00113EA6"/>
    <w:rsid w:val="00114125"/>
    <w:rsid w:val="00114134"/>
    <w:rsid w:val="00114706"/>
    <w:rsid w:val="0011472C"/>
    <w:rsid w:val="0011487B"/>
    <w:rsid w:val="001149AC"/>
    <w:rsid w:val="00114E05"/>
    <w:rsid w:val="00114E0E"/>
    <w:rsid w:val="00114F86"/>
    <w:rsid w:val="001154CE"/>
    <w:rsid w:val="00115BC1"/>
    <w:rsid w:val="00115BC3"/>
    <w:rsid w:val="00115E56"/>
    <w:rsid w:val="0011600F"/>
    <w:rsid w:val="00116016"/>
    <w:rsid w:val="0011602B"/>
    <w:rsid w:val="00116310"/>
    <w:rsid w:val="00116383"/>
    <w:rsid w:val="001163E6"/>
    <w:rsid w:val="00116694"/>
    <w:rsid w:val="0011684D"/>
    <w:rsid w:val="0011691C"/>
    <w:rsid w:val="00116B91"/>
    <w:rsid w:val="00116D62"/>
    <w:rsid w:val="00116DF9"/>
    <w:rsid w:val="00116E5A"/>
    <w:rsid w:val="00117572"/>
    <w:rsid w:val="00117918"/>
    <w:rsid w:val="00117A31"/>
    <w:rsid w:val="00117CC7"/>
    <w:rsid w:val="00117D9F"/>
    <w:rsid w:val="00120461"/>
    <w:rsid w:val="001205D9"/>
    <w:rsid w:val="0012060F"/>
    <w:rsid w:val="001207BD"/>
    <w:rsid w:val="00120BC5"/>
    <w:rsid w:val="00120D8D"/>
    <w:rsid w:val="00121D45"/>
    <w:rsid w:val="00121ECD"/>
    <w:rsid w:val="001221A8"/>
    <w:rsid w:val="00122655"/>
    <w:rsid w:val="001229AB"/>
    <w:rsid w:val="00122C10"/>
    <w:rsid w:val="00122F87"/>
    <w:rsid w:val="00123058"/>
    <w:rsid w:val="00123282"/>
    <w:rsid w:val="00123536"/>
    <w:rsid w:val="00123E17"/>
    <w:rsid w:val="00123F85"/>
    <w:rsid w:val="0012445B"/>
    <w:rsid w:val="001245C0"/>
    <w:rsid w:val="00124897"/>
    <w:rsid w:val="001248A6"/>
    <w:rsid w:val="001249EB"/>
    <w:rsid w:val="00124E7E"/>
    <w:rsid w:val="001255E2"/>
    <w:rsid w:val="00125D3D"/>
    <w:rsid w:val="00125DBB"/>
    <w:rsid w:val="00126074"/>
    <w:rsid w:val="001260C5"/>
    <w:rsid w:val="0012615B"/>
    <w:rsid w:val="001267F5"/>
    <w:rsid w:val="00126818"/>
    <w:rsid w:val="00126EC5"/>
    <w:rsid w:val="00126ED8"/>
    <w:rsid w:val="0012714D"/>
    <w:rsid w:val="001272C0"/>
    <w:rsid w:val="001272DB"/>
    <w:rsid w:val="00127763"/>
    <w:rsid w:val="001279A2"/>
    <w:rsid w:val="00130088"/>
    <w:rsid w:val="0013018C"/>
    <w:rsid w:val="00130229"/>
    <w:rsid w:val="001305DC"/>
    <w:rsid w:val="00130794"/>
    <w:rsid w:val="00130C98"/>
    <w:rsid w:val="00130F19"/>
    <w:rsid w:val="00131089"/>
    <w:rsid w:val="0013114A"/>
    <w:rsid w:val="00131341"/>
    <w:rsid w:val="0013154E"/>
    <w:rsid w:val="001315FC"/>
    <w:rsid w:val="00131A68"/>
    <w:rsid w:val="00131DF0"/>
    <w:rsid w:val="00131E23"/>
    <w:rsid w:val="00132146"/>
    <w:rsid w:val="0013244F"/>
    <w:rsid w:val="00132E17"/>
    <w:rsid w:val="00132F96"/>
    <w:rsid w:val="0013336E"/>
    <w:rsid w:val="001334BF"/>
    <w:rsid w:val="00133851"/>
    <w:rsid w:val="00133AE3"/>
    <w:rsid w:val="00133DC4"/>
    <w:rsid w:val="001340CB"/>
    <w:rsid w:val="001341A3"/>
    <w:rsid w:val="0013471B"/>
    <w:rsid w:val="00134BAC"/>
    <w:rsid w:val="00134F35"/>
    <w:rsid w:val="0013503A"/>
    <w:rsid w:val="001351BF"/>
    <w:rsid w:val="00135551"/>
    <w:rsid w:val="00135AB0"/>
    <w:rsid w:val="00135C33"/>
    <w:rsid w:val="00135E8D"/>
    <w:rsid w:val="00135F87"/>
    <w:rsid w:val="00136179"/>
    <w:rsid w:val="00136265"/>
    <w:rsid w:val="0013627E"/>
    <w:rsid w:val="00136727"/>
    <w:rsid w:val="00136734"/>
    <w:rsid w:val="00136885"/>
    <w:rsid w:val="00136C0B"/>
    <w:rsid w:val="00137198"/>
    <w:rsid w:val="00137322"/>
    <w:rsid w:val="00137541"/>
    <w:rsid w:val="001377C3"/>
    <w:rsid w:val="001379D3"/>
    <w:rsid w:val="00137B1E"/>
    <w:rsid w:val="00137EBD"/>
    <w:rsid w:val="0014023C"/>
    <w:rsid w:val="00140428"/>
    <w:rsid w:val="0014076A"/>
    <w:rsid w:val="001408A9"/>
    <w:rsid w:val="00140C01"/>
    <w:rsid w:val="00140CB6"/>
    <w:rsid w:val="00140F4C"/>
    <w:rsid w:val="001410DB"/>
    <w:rsid w:val="00141262"/>
    <w:rsid w:val="0014129F"/>
    <w:rsid w:val="00141344"/>
    <w:rsid w:val="00141553"/>
    <w:rsid w:val="001416F9"/>
    <w:rsid w:val="001419DA"/>
    <w:rsid w:val="00141DD9"/>
    <w:rsid w:val="00141E21"/>
    <w:rsid w:val="001420CE"/>
    <w:rsid w:val="001420D1"/>
    <w:rsid w:val="001421A5"/>
    <w:rsid w:val="0014258E"/>
    <w:rsid w:val="00142796"/>
    <w:rsid w:val="00142BD7"/>
    <w:rsid w:val="00142BD8"/>
    <w:rsid w:val="00142D11"/>
    <w:rsid w:val="00142DDB"/>
    <w:rsid w:val="00142E7D"/>
    <w:rsid w:val="00143135"/>
    <w:rsid w:val="00143287"/>
    <w:rsid w:val="001434D3"/>
    <w:rsid w:val="00143C46"/>
    <w:rsid w:val="00143D6E"/>
    <w:rsid w:val="00144088"/>
    <w:rsid w:val="0014409E"/>
    <w:rsid w:val="001440B7"/>
    <w:rsid w:val="0014441D"/>
    <w:rsid w:val="0014450B"/>
    <w:rsid w:val="001449CF"/>
    <w:rsid w:val="00144D8D"/>
    <w:rsid w:val="00144DBC"/>
    <w:rsid w:val="0014511E"/>
    <w:rsid w:val="001454CA"/>
    <w:rsid w:val="00145588"/>
    <w:rsid w:val="00145B5D"/>
    <w:rsid w:val="00145BD5"/>
    <w:rsid w:val="00145DA2"/>
    <w:rsid w:val="00146610"/>
    <w:rsid w:val="001469A6"/>
    <w:rsid w:val="001469E1"/>
    <w:rsid w:val="0014711B"/>
    <w:rsid w:val="001474B0"/>
    <w:rsid w:val="0014784C"/>
    <w:rsid w:val="00147961"/>
    <w:rsid w:val="0014DB45"/>
    <w:rsid w:val="001502E3"/>
    <w:rsid w:val="001503F0"/>
    <w:rsid w:val="00150E8B"/>
    <w:rsid w:val="00150E91"/>
    <w:rsid w:val="00150F24"/>
    <w:rsid w:val="00150F9F"/>
    <w:rsid w:val="0015109E"/>
    <w:rsid w:val="00151719"/>
    <w:rsid w:val="00151881"/>
    <w:rsid w:val="0015192B"/>
    <w:rsid w:val="00151B7A"/>
    <w:rsid w:val="00151BE2"/>
    <w:rsid w:val="00151F31"/>
    <w:rsid w:val="00152162"/>
    <w:rsid w:val="0015221B"/>
    <w:rsid w:val="001522EB"/>
    <w:rsid w:val="0015254C"/>
    <w:rsid w:val="001525EB"/>
    <w:rsid w:val="001526F6"/>
    <w:rsid w:val="001527B3"/>
    <w:rsid w:val="00152965"/>
    <w:rsid w:val="00152BDB"/>
    <w:rsid w:val="00152C35"/>
    <w:rsid w:val="00152D5B"/>
    <w:rsid w:val="001530AF"/>
    <w:rsid w:val="0015313F"/>
    <w:rsid w:val="0015344B"/>
    <w:rsid w:val="0015362B"/>
    <w:rsid w:val="00153633"/>
    <w:rsid w:val="0015395E"/>
    <w:rsid w:val="00153A57"/>
    <w:rsid w:val="00153B5A"/>
    <w:rsid w:val="00154819"/>
    <w:rsid w:val="00154EEE"/>
    <w:rsid w:val="00155402"/>
    <w:rsid w:val="001557B1"/>
    <w:rsid w:val="00155835"/>
    <w:rsid w:val="00155D4F"/>
    <w:rsid w:val="00156277"/>
    <w:rsid w:val="001564C8"/>
    <w:rsid w:val="00156DF2"/>
    <w:rsid w:val="00157C09"/>
    <w:rsid w:val="00157E3D"/>
    <w:rsid w:val="0016047F"/>
    <w:rsid w:val="00160556"/>
    <w:rsid w:val="00160A35"/>
    <w:rsid w:val="00160DFA"/>
    <w:rsid w:val="001612D3"/>
    <w:rsid w:val="0016145C"/>
    <w:rsid w:val="001614F7"/>
    <w:rsid w:val="00161611"/>
    <w:rsid w:val="00161778"/>
    <w:rsid w:val="001617CF"/>
    <w:rsid w:val="001619DE"/>
    <w:rsid w:val="00161D52"/>
    <w:rsid w:val="001623C7"/>
    <w:rsid w:val="001624EF"/>
    <w:rsid w:val="00162A0B"/>
    <w:rsid w:val="00162A4E"/>
    <w:rsid w:val="00162CE2"/>
    <w:rsid w:val="00162F9E"/>
    <w:rsid w:val="00163201"/>
    <w:rsid w:val="0016326C"/>
    <w:rsid w:val="00163273"/>
    <w:rsid w:val="00163550"/>
    <w:rsid w:val="0016357A"/>
    <w:rsid w:val="00163BA9"/>
    <w:rsid w:val="00163D24"/>
    <w:rsid w:val="0016440D"/>
    <w:rsid w:val="001646E9"/>
    <w:rsid w:val="00164879"/>
    <w:rsid w:val="001649E9"/>
    <w:rsid w:val="00164AFB"/>
    <w:rsid w:val="00164E3E"/>
    <w:rsid w:val="0016501D"/>
    <w:rsid w:val="001652A6"/>
    <w:rsid w:val="001653DB"/>
    <w:rsid w:val="0016569B"/>
    <w:rsid w:val="0016594C"/>
    <w:rsid w:val="0016597E"/>
    <w:rsid w:val="001659FD"/>
    <w:rsid w:val="00165B40"/>
    <w:rsid w:val="001661B7"/>
    <w:rsid w:val="0016634F"/>
    <w:rsid w:val="001663A1"/>
    <w:rsid w:val="00166923"/>
    <w:rsid w:val="00166D2E"/>
    <w:rsid w:val="00167C72"/>
    <w:rsid w:val="00170082"/>
    <w:rsid w:val="00170380"/>
    <w:rsid w:val="001705C4"/>
    <w:rsid w:val="00170E69"/>
    <w:rsid w:val="00170FF8"/>
    <w:rsid w:val="001712B2"/>
    <w:rsid w:val="001712F4"/>
    <w:rsid w:val="00171E3D"/>
    <w:rsid w:val="00171FA9"/>
    <w:rsid w:val="0017202E"/>
    <w:rsid w:val="00172E6D"/>
    <w:rsid w:val="00172EF9"/>
    <w:rsid w:val="00173518"/>
    <w:rsid w:val="00173A3D"/>
    <w:rsid w:val="00173AA2"/>
    <w:rsid w:val="00174097"/>
    <w:rsid w:val="001740D6"/>
    <w:rsid w:val="0017462D"/>
    <w:rsid w:val="00174977"/>
    <w:rsid w:val="00174B76"/>
    <w:rsid w:val="00175002"/>
    <w:rsid w:val="001751E1"/>
    <w:rsid w:val="0017564D"/>
    <w:rsid w:val="00175B85"/>
    <w:rsid w:val="00175D09"/>
    <w:rsid w:val="00175D2C"/>
    <w:rsid w:val="00175D6D"/>
    <w:rsid w:val="00175FEF"/>
    <w:rsid w:val="00175FFB"/>
    <w:rsid w:val="001761F7"/>
    <w:rsid w:val="0017634C"/>
    <w:rsid w:val="00176358"/>
    <w:rsid w:val="0017639A"/>
    <w:rsid w:val="00176511"/>
    <w:rsid w:val="0017669F"/>
    <w:rsid w:val="001766B5"/>
    <w:rsid w:val="001767B3"/>
    <w:rsid w:val="001767CB"/>
    <w:rsid w:val="00176887"/>
    <w:rsid w:val="0017689C"/>
    <w:rsid w:val="00176A7D"/>
    <w:rsid w:val="00177656"/>
    <w:rsid w:val="00177A73"/>
    <w:rsid w:val="00177B96"/>
    <w:rsid w:val="00177C68"/>
    <w:rsid w:val="00177D52"/>
    <w:rsid w:val="00177E54"/>
    <w:rsid w:val="00177E98"/>
    <w:rsid w:val="00177F37"/>
    <w:rsid w:val="001802A2"/>
    <w:rsid w:val="00180365"/>
    <w:rsid w:val="00180AAE"/>
    <w:rsid w:val="00180D6D"/>
    <w:rsid w:val="00180E05"/>
    <w:rsid w:val="00180F8D"/>
    <w:rsid w:val="001814A7"/>
    <w:rsid w:val="00181985"/>
    <w:rsid w:val="00181FFE"/>
    <w:rsid w:val="00182165"/>
    <w:rsid w:val="00182295"/>
    <w:rsid w:val="001825D1"/>
    <w:rsid w:val="001825F8"/>
    <w:rsid w:val="00182945"/>
    <w:rsid w:val="001829E0"/>
    <w:rsid w:val="00182D7A"/>
    <w:rsid w:val="00182F97"/>
    <w:rsid w:val="00183861"/>
    <w:rsid w:val="00183961"/>
    <w:rsid w:val="00183AE4"/>
    <w:rsid w:val="00184335"/>
    <w:rsid w:val="0018434E"/>
    <w:rsid w:val="00184354"/>
    <w:rsid w:val="00184ADC"/>
    <w:rsid w:val="00184EED"/>
    <w:rsid w:val="00184F23"/>
    <w:rsid w:val="00185000"/>
    <w:rsid w:val="001851B2"/>
    <w:rsid w:val="001857A3"/>
    <w:rsid w:val="00185843"/>
    <w:rsid w:val="00185F04"/>
    <w:rsid w:val="00186172"/>
    <w:rsid w:val="001865BD"/>
    <w:rsid w:val="00186706"/>
    <w:rsid w:val="0018672D"/>
    <w:rsid w:val="0018699B"/>
    <w:rsid w:val="00186B44"/>
    <w:rsid w:val="00186D90"/>
    <w:rsid w:val="00186FA2"/>
    <w:rsid w:val="00187007"/>
    <w:rsid w:val="0018742B"/>
    <w:rsid w:val="0018746A"/>
    <w:rsid w:val="0018749E"/>
    <w:rsid w:val="00187853"/>
    <w:rsid w:val="00187BA0"/>
    <w:rsid w:val="00187BC0"/>
    <w:rsid w:val="00187C3D"/>
    <w:rsid w:val="00190061"/>
    <w:rsid w:val="001900BD"/>
    <w:rsid w:val="00190CB2"/>
    <w:rsid w:val="00190CD0"/>
    <w:rsid w:val="0019150C"/>
    <w:rsid w:val="00191538"/>
    <w:rsid w:val="001915F8"/>
    <w:rsid w:val="0019178D"/>
    <w:rsid w:val="001918D8"/>
    <w:rsid w:val="00191C39"/>
    <w:rsid w:val="0019223D"/>
    <w:rsid w:val="001922C3"/>
    <w:rsid w:val="0019231B"/>
    <w:rsid w:val="001923D9"/>
    <w:rsid w:val="0019260B"/>
    <w:rsid w:val="00192713"/>
    <w:rsid w:val="00192DDD"/>
    <w:rsid w:val="00192F07"/>
    <w:rsid w:val="00193837"/>
    <w:rsid w:val="001938C5"/>
    <w:rsid w:val="00193E46"/>
    <w:rsid w:val="00193F21"/>
    <w:rsid w:val="001940AC"/>
    <w:rsid w:val="0019457E"/>
    <w:rsid w:val="001945B2"/>
    <w:rsid w:val="001945F1"/>
    <w:rsid w:val="0019485B"/>
    <w:rsid w:val="00194862"/>
    <w:rsid w:val="00194C14"/>
    <w:rsid w:val="00194E1B"/>
    <w:rsid w:val="00194FDE"/>
    <w:rsid w:val="001956AA"/>
    <w:rsid w:val="001956FB"/>
    <w:rsid w:val="001957C6"/>
    <w:rsid w:val="00195E42"/>
    <w:rsid w:val="00196546"/>
    <w:rsid w:val="0019655C"/>
    <w:rsid w:val="001968C9"/>
    <w:rsid w:val="00196967"/>
    <w:rsid w:val="00196B26"/>
    <w:rsid w:val="00196B42"/>
    <w:rsid w:val="00196C27"/>
    <w:rsid w:val="00196C59"/>
    <w:rsid w:val="00196EAD"/>
    <w:rsid w:val="00196EE0"/>
    <w:rsid w:val="00196FA6"/>
    <w:rsid w:val="001971B2"/>
    <w:rsid w:val="00197338"/>
    <w:rsid w:val="0019771E"/>
    <w:rsid w:val="00197CEA"/>
    <w:rsid w:val="001A0022"/>
    <w:rsid w:val="001A015C"/>
    <w:rsid w:val="001A04E3"/>
    <w:rsid w:val="001A05BD"/>
    <w:rsid w:val="001A0C45"/>
    <w:rsid w:val="001A0E9C"/>
    <w:rsid w:val="001A1300"/>
    <w:rsid w:val="001A1381"/>
    <w:rsid w:val="001A145E"/>
    <w:rsid w:val="001A14FF"/>
    <w:rsid w:val="001A1652"/>
    <w:rsid w:val="001A17A6"/>
    <w:rsid w:val="001A1857"/>
    <w:rsid w:val="001A18B4"/>
    <w:rsid w:val="001A1AFB"/>
    <w:rsid w:val="001A1D18"/>
    <w:rsid w:val="001A224E"/>
    <w:rsid w:val="001A2477"/>
    <w:rsid w:val="001A2EF7"/>
    <w:rsid w:val="001A319B"/>
    <w:rsid w:val="001A37E3"/>
    <w:rsid w:val="001A38A5"/>
    <w:rsid w:val="001A39D8"/>
    <w:rsid w:val="001A3A04"/>
    <w:rsid w:val="001A3BDF"/>
    <w:rsid w:val="001A3C7C"/>
    <w:rsid w:val="001A3F36"/>
    <w:rsid w:val="001A46FA"/>
    <w:rsid w:val="001A48E6"/>
    <w:rsid w:val="001A4AE1"/>
    <w:rsid w:val="001A4B1D"/>
    <w:rsid w:val="001A4DD5"/>
    <w:rsid w:val="001A4E9F"/>
    <w:rsid w:val="001A530E"/>
    <w:rsid w:val="001A5372"/>
    <w:rsid w:val="001A56A0"/>
    <w:rsid w:val="001A58F2"/>
    <w:rsid w:val="001A5943"/>
    <w:rsid w:val="001A5A4D"/>
    <w:rsid w:val="001A5B42"/>
    <w:rsid w:val="001A5E8E"/>
    <w:rsid w:val="001A5F72"/>
    <w:rsid w:val="001A6506"/>
    <w:rsid w:val="001A67C3"/>
    <w:rsid w:val="001A6C1A"/>
    <w:rsid w:val="001A6FA7"/>
    <w:rsid w:val="001A7606"/>
    <w:rsid w:val="001A7627"/>
    <w:rsid w:val="001A7747"/>
    <w:rsid w:val="001A7A5D"/>
    <w:rsid w:val="001A7C33"/>
    <w:rsid w:val="001A7C6A"/>
    <w:rsid w:val="001A7C9C"/>
    <w:rsid w:val="001A7DDD"/>
    <w:rsid w:val="001A7F26"/>
    <w:rsid w:val="001B027C"/>
    <w:rsid w:val="001B0293"/>
    <w:rsid w:val="001B038F"/>
    <w:rsid w:val="001B040D"/>
    <w:rsid w:val="001B0431"/>
    <w:rsid w:val="001B0602"/>
    <w:rsid w:val="001B0710"/>
    <w:rsid w:val="001B0B32"/>
    <w:rsid w:val="001B0C6F"/>
    <w:rsid w:val="001B0D7B"/>
    <w:rsid w:val="001B0FAD"/>
    <w:rsid w:val="001B15EB"/>
    <w:rsid w:val="001B1ABD"/>
    <w:rsid w:val="001B1AEC"/>
    <w:rsid w:val="001B1BC9"/>
    <w:rsid w:val="001B1E83"/>
    <w:rsid w:val="001B2391"/>
    <w:rsid w:val="001B243F"/>
    <w:rsid w:val="001B244E"/>
    <w:rsid w:val="001B279C"/>
    <w:rsid w:val="001B29A0"/>
    <w:rsid w:val="001B2CEF"/>
    <w:rsid w:val="001B2E01"/>
    <w:rsid w:val="001B2EE0"/>
    <w:rsid w:val="001B30C4"/>
    <w:rsid w:val="001B3192"/>
    <w:rsid w:val="001B3286"/>
    <w:rsid w:val="001B3384"/>
    <w:rsid w:val="001B36AB"/>
    <w:rsid w:val="001B36C1"/>
    <w:rsid w:val="001B3816"/>
    <w:rsid w:val="001B3F6B"/>
    <w:rsid w:val="001B418D"/>
    <w:rsid w:val="001B4410"/>
    <w:rsid w:val="001B4AB2"/>
    <w:rsid w:val="001B4EC2"/>
    <w:rsid w:val="001B5312"/>
    <w:rsid w:val="001B53CD"/>
    <w:rsid w:val="001B59C2"/>
    <w:rsid w:val="001B5A7B"/>
    <w:rsid w:val="001B5B27"/>
    <w:rsid w:val="001B5BEA"/>
    <w:rsid w:val="001B65EE"/>
    <w:rsid w:val="001B680E"/>
    <w:rsid w:val="001B6833"/>
    <w:rsid w:val="001B691A"/>
    <w:rsid w:val="001B6A16"/>
    <w:rsid w:val="001B73C7"/>
    <w:rsid w:val="001B7573"/>
    <w:rsid w:val="001B7780"/>
    <w:rsid w:val="001B77CF"/>
    <w:rsid w:val="001B7B6B"/>
    <w:rsid w:val="001B7CC3"/>
    <w:rsid w:val="001B7D6D"/>
    <w:rsid w:val="001B7FF0"/>
    <w:rsid w:val="001C01A0"/>
    <w:rsid w:val="001C0558"/>
    <w:rsid w:val="001C0757"/>
    <w:rsid w:val="001C0909"/>
    <w:rsid w:val="001C0956"/>
    <w:rsid w:val="001C0973"/>
    <w:rsid w:val="001C0C3A"/>
    <w:rsid w:val="001C0CBD"/>
    <w:rsid w:val="001C0DB7"/>
    <w:rsid w:val="001C1126"/>
    <w:rsid w:val="001C12ED"/>
    <w:rsid w:val="001C133A"/>
    <w:rsid w:val="001C14C2"/>
    <w:rsid w:val="001C172C"/>
    <w:rsid w:val="001C1C51"/>
    <w:rsid w:val="001C1E65"/>
    <w:rsid w:val="001C1F1C"/>
    <w:rsid w:val="001C1F2C"/>
    <w:rsid w:val="001C2B28"/>
    <w:rsid w:val="001C2B53"/>
    <w:rsid w:val="001C2F3B"/>
    <w:rsid w:val="001C3226"/>
    <w:rsid w:val="001C325B"/>
    <w:rsid w:val="001C33AF"/>
    <w:rsid w:val="001C3ABA"/>
    <w:rsid w:val="001C3D82"/>
    <w:rsid w:val="001C3F3E"/>
    <w:rsid w:val="001C3FA3"/>
    <w:rsid w:val="001C4401"/>
    <w:rsid w:val="001C4A24"/>
    <w:rsid w:val="001C4C6B"/>
    <w:rsid w:val="001C4F61"/>
    <w:rsid w:val="001C4F9B"/>
    <w:rsid w:val="001C564F"/>
    <w:rsid w:val="001C5CD7"/>
    <w:rsid w:val="001C5D43"/>
    <w:rsid w:val="001C5D63"/>
    <w:rsid w:val="001C5E54"/>
    <w:rsid w:val="001C5FA1"/>
    <w:rsid w:val="001C60EE"/>
    <w:rsid w:val="001C6125"/>
    <w:rsid w:val="001C68A9"/>
    <w:rsid w:val="001C6983"/>
    <w:rsid w:val="001C71A0"/>
    <w:rsid w:val="001C72E2"/>
    <w:rsid w:val="001C73E4"/>
    <w:rsid w:val="001C7588"/>
    <w:rsid w:val="001C75BB"/>
    <w:rsid w:val="001C763E"/>
    <w:rsid w:val="001C77EC"/>
    <w:rsid w:val="001D00D4"/>
    <w:rsid w:val="001D0221"/>
    <w:rsid w:val="001D039E"/>
    <w:rsid w:val="001D04E1"/>
    <w:rsid w:val="001D0865"/>
    <w:rsid w:val="001D0EC7"/>
    <w:rsid w:val="001D1134"/>
    <w:rsid w:val="001D1370"/>
    <w:rsid w:val="001D1382"/>
    <w:rsid w:val="001D182E"/>
    <w:rsid w:val="001D18CD"/>
    <w:rsid w:val="001D18F6"/>
    <w:rsid w:val="001D1B09"/>
    <w:rsid w:val="001D1EBD"/>
    <w:rsid w:val="001D2231"/>
    <w:rsid w:val="001D2B63"/>
    <w:rsid w:val="001D3116"/>
    <w:rsid w:val="001D3B2E"/>
    <w:rsid w:val="001D3DDD"/>
    <w:rsid w:val="001D3FCF"/>
    <w:rsid w:val="001D4045"/>
    <w:rsid w:val="001D4A55"/>
    <w:rsid w:val="001D4F10"/>
    <w:rsid w:val="001D5503"/>
    <w:rsid w:val="001D5587"/>
    <w:rsid w:val="001D587F"/>
    <w:rsid w:val="001D5952"/>
    <w:rsid w:val="001D5CD6"/>
    <w:rsid w:val="001D61EE"/>
    <w:rsid w:val="001D63FA"/>
    <w:rsid w:val="001D653F"/>
    <w:rsid w:val="001D6560"/>
    <w:rsid w:val="001D6BC4"/>
    <w:rsid w:val="001D6C66"/>
    <w:rsid w:val="001D7282"/>
    <w:rsid w:val="001D73E6"/>
    <w:rsid w:val="001D73E7"/>
    <w:rsid w:val="001D74CA"/>
    <w:rsid w:val="001D754C"/>
    <w:rsid w:val="001D76EC"/>
    <w:rsid w:val="001D77B3"/>
    <w:rsid w:val="001D7A86"/>
    <w:rsid w:val="001E0290"/>
    <w:rsid w:val="001E06B2"/>
    <w:rsid w:val="001E06E2"/>
    <w:rsid w:val="001E075A"/>
    <w:rsid w:val="001E08F6"/>
    <w:rsid w:val="001E0A63"/>
    <w:rsid w:val="001E1157"/>
    <w:rsid w:val="001E15E3"/>
    <w:rsid w:val="001E1623"/>
    <w:rsid w:val="001E1A16"/>
    <w:rsid w:val="001E1C2B"/>
    <w:rsid w:val="001E1F23"/>
    <w:rsid w:val="001E1F80"/>
    <w:rsid w:val="001E206F"/>
    <w:rsid w:val="001E2152"/>
    <w:rsid w:val="001E2974"/>
    <w:rsid w:val="001E2B60"/>
    <w:rsid w:val="001E2E72"/>
    <w:rsid w:val="001E2FEF"/>
    <w:rsid w:val="001E33AB"/>
    <w:rsid w:val="001E37D6"/>
    <w:rsid w:val="001E4077"/>
    <w:rsid w:val="001E42D7"/>
    <w:rsid w:val="001E45C9"/>
    <w:rsid w:val="001E4947"/>
    <w:rsid w:val="001E4A8E"/>
    <w:rsid w:val="001E4ECD"/>
    <w:rsid w:val="001E507C"/>
    <w:rsid w:val="001E5441"/>
    <w:rsid w:val="001E587A"/>
    <w:rsid w:val="001E5ADB"/>
    <w:rsid w:val="001E5ADC"/>
    <w:rsid w:val="001E5DA3"/>
    <w:rsid w:val="001E60A5"/>
    <w:rsid w:val="001E61A7"/>
    <w:rsid w:val="001E624F"/>
    <w:rsid w:val="001E6282"/>
    <w:rsid w:val="001E6312"/>
    <w:rsid w:val="001E6BB0"/>
    <w:rsid w:val="001E6F44"/>
    <w:rsid w:val="001E7285"/>
    <w:rsid w:val="001E7446"/>
    <w:rsid w:val="001E796D"/>
    <w:rsid w:val="001E79A1"/>
    <w:rsid w:val="001E7D68"/>
    <w:rsid w:val="001E7DE7"/>
    <w:rsid w:val="001E7F8E"/>
    <w:rsid w:val="001F0090"/>
    <w:rsid w:val="001F00A7"/>
    <w:rsid w:val="001F021A"/>
    <w:rsid w:val="001F06AB"/>
    <w:rsid w:val="001F096A"/>
    <w:rsid w:val="001F0B81"/>
    <w:rsid w:val="001F1481"/>
    <w:rsid w:val="001F170B"/>
    <w:rsid w:val="001F1830"/>
    <w:rsid w:val="001F1DE9"/>
    <w:rsid w:val="001F295A"/>
    <w:rsid w:val="001F2AD9"/>
    <w:rsid w:val="001F2AE4"/>
    <w:rsid w:val="001F2D03"/>
    <w:rsid w:val="001F2E5D"/>
    <w:rsid w:val="001F2F2C"/>
    <w:rsid w:val="001F2F2E"/>
    <w:rsid w:val="001F3098"/>
    <w:rsid w:val="001F3183"/>
    <w:rsid w:val="001F345C"/>
    <w:rsid w:val="001F36C9"/>
    <w:rsid w:val="001F3704"/>
    <w:rsid w:val="001F3779"/>
    <w:rsid w:val="001F3829"/>
    <w:rsid w:val="001F3A4F"/>
    <w:rsid w:val="001F3E7B"/>
    <w:rsid w:val="001F4339"/>
    <w:rsid w:val="001F45D2"/>
    <w:rsid w:val="001F467A"/>
    <w:rsid w:val="001F4712"/>
    <w:rsid w:val="001F4907"/>
    <w:rsid w:val="001F4BAD"/>
    <w:rsid w:val="001F4BB5"/>
    <w:rsid w:val="001F4C2C"/>
    <w:rsid w:val="001F5005"/>
    <w:rsid w:val="001F52DC"/>
    <w:rsid w:val="001F535B"/>
    <w:rsid w:val="001F53AB"/>
    <w:rsid w:val="001F55CC"/>
    <w:rsid w:val="001F56C9"/>
    <w:rsid w:val="001F5AB0"/>
    <w:rsid w:val="001F5B10"/>
    <w:rsid w:val="001F5B6A"/>
    <w:rsid w:val="001F5FFB"/>
    <w:rsid w:val="001F64B9"/>
    <w:rsid w:val="001F6675"/>
    <w:rsid w:val="001F66E2"/>
    <w:rsid w:val="001F6903"/>
    <w:rsid w:val="001F6980"/>
    <w:rsid w:val="001F72E1"/>
    <w:rsid w:val="001F754C"/>
    <w:rsid w:val="001F75CE"/>
    <w:rsid w:val="001F7B35"/>
    <w:rsid w:val="001F7B5D"/>
    <w:rsid w:val="001F7B94"/>
    <w:rsid w:val="001F7DD9"/>
    <w:rsid w:val="00200255"/>
    <w:rsid w:val="002003BB"/>
    <w:rsid w:val="002003BE"/>
    <w:rsid w:val="00200A89"/>
    <w:rsid w:val="00200C2C"/>
    <w:rsid w:val="00200EB7"/>
    <w:rsid w:val="00200F69"/>
    <w:rsid w:val="00200F89"/>
    <w:rsid w:val="00200FDC"/>
    <w:rsid w:val="002013CE"/>
    <w:rsid w:val="002014D0"/>
    <w:rsid w:val="002018A5"/>
    <w:rsid w:val="002019A0"/>
    <w:rsid w:val="002021EA"/>
    <w:rsid w:val="002025E7"/>
    <w:rsid w:val="002027A1"/>
    <w:rsid w:val="002035FD"/>
    <w:rsid w:val="0020372C"/>
    <w:rsid w:val="00203E31"/>
    <w:rsid w:val="00203EFA"/>
    <w:rsid w:val="00203FC0"/>
    <w:rsid w:val="00204064"/>
    <w:rsid w:val="00204651"/>
    <w:rsid w:val="0020498D"/>
    <w:rsid w:val="0020503A"/>
    <w:rsid w:val="0020509F"/>
    <w:rsid w:val="00205336"/>
    <w:rsid w:val="00205725"/>
    <w:rsid w:val="0020573C"/>
    <w:rsid w:val="00205E76"/>
    <w:rsid w:val="002060BD"/>
    <w:rsid w:val="002061C7"/>
    <w:rsid w:val="00206341"/>
    <w:rsid w:val="002065E1"/>
    <w:rsid w:val="00206693"/>
    <w:rsid w:val="002066D5"/>
    <w:rsid w:val="00206A38"/>
    <w:rsid w:val="00206AB6"/>
    <w:rsid w:val="00206E9E"/>
    <w:rsid w:val="00206EB2"/>
    <w:rsid w:val="002070F6"/>
    <w:rsid w:val="002071CA"/>
    <w:rsid w:val="00207230"/>
    <w:rsid w:val="002072AD"/>
    <w:rsid w:val="00207787"/>
    <w:rsid w:val="00207A55"/>
    <w:rsid w:val="00207C30"/>
    <w:rsid w:val="00207DF2"/>
    <w:rsid w:val="00207EB7"/>
    <w:rsid w:val="00210074"/>
    <w:rsid w:val="0021015B"/>
    <w:rsid w:val="002102E5"/>
    <w:rsid w:val="00210335"/>
    <w:rsid w:val="00210585"/>
    <w:rsid w:val="0021069C"/>
    <w:rsid w:val="00210709"/>
    <w:rsid w:val="0021076D"/>
    <w:rsid w:val="002107B8"/>
    <w:rsid w:val="002107C3"/>
    <w:rsid w:val="00210A15"/>
    <w:rsid w:val="00211253"/>
    <w:rsid w:val="00211365"/>
    <w:rsid w:val="00211FE9"/>
    <w:rsid w:val="002121F0"/>
    <w:rsid w:val="00212369"/>
    <w:rsid w:val="002124CD"/>
    <w:rsid w:val="00212789"/>
    <w:rsid w:val="00212B14"/>
    <w:rsid w:val="00212C84"/>
    <w:rsid w:val="00212CE3"/>
    <w:rsid w:val="00212D04"/>
    <w:rsid w:val="0021329D"/>
    <w:rsid w:val="00213953"/>
    <w:rsid w:val="00213B0D"/>
    <w:rsid w:val="0021407C"/>
    <w:rsid w:val="002144F7"/>
    <w:rsid w:val="00215234"/>
    <w:rsid w:val="002153E8"/>
    <w:rsid w:val="002155B6"/>
    <w:rsid w:val="002155EE"/>
    <w:rsid w:val="00215C5E"/>
    <w:rsid w:val="00215DDE"/>
    <w:rsid w:val="00215EEE"/>
    <w:rsid w:val="00216003"/>
    <w:rsid w:val="0021642C"/>
    <w:rsid w:val="002165A8"/>
    <w:rsid w:val="00216F12"/>
    <w:rsid w:val="00217036"/>
    <w:rsid w:val="002175AA"/>
    <w:rsid w:val="002176B5"/>
    <w:rsid w:val="002176E6"/>
    <w:rsid w:val="002176EA"/>
    <w:rsid w:val="00217A59"/>
    <w:rsid w:val="00217AC5"/>
    <w:rsid w:val="00217BCC"/>
    <w:rsid w:val="00217F27"/>
    <w:rsid w:val="0022001B"/>
    <w:rsid w:val="002203D5"/>
    <w:rsid w:val="0022047B"/>
    <w:rsid w:val="0022076D"/>
    <w:rsid w:val="002207BC"/>
    <w:rsid w:val="002208AE"/>
    <w:rsid w:val="00220A66"/>
    <w:rsid w:val="00220A95"/>
    <w:rsid w:val="00221D44"/>
    <w:rsid w:val="00222054"/>
    <w:rsid w:val="002222C4"/>
    <w:rsid w:val="00222362"/>
    <w:rsid w:val="00222403"/>
    <w:rsid w:val="002226FC"/>
    <w:rsid w:val="00223034"/>
    <w:rsid w:val="002234AA"/>
    <w:rsid w:val="00223544"/>
    <w:rsid w:val="00223A50"/>
    <w:rsid w:val="00223AB7"/>
    <w:rsid w:val="00223CEA"/>
    <w:rsid w:val="00223D23"/>
    <w:rsid w:val="00223DB4"/>
    <w:rsid w:val="0022431C"/>
    <w:rsid w:val="0022431F"/>
    <w:rsid w:val="002244A6"/>
    <w:rsid w:val="002244B2"/>
    <w:rsid w:val="0022450C"/>
    <w:rsid w:val="00224DD9"/>
    <w:rsid w:val="00224EA7"/>
    <w:rsid w:val="00224FF6"/>
    <w:rsid w:val="0022502E"/>
    <w:rsid w:val="00225307"/>
    <w:rsid w:val="002254E8"/>
    <w:rsid w:val="0022562D"/>
    <w:rsid w:val="00225CDA"/>
    <w:rsid w:val="00226159"/>
    <w:rsid w:val="00226271"/>
    <w:rsid w:val="002262AF"/>
    <w:rsid w:val="00226599"/>
    <w:rsid w:val="00226729"/>
    <w:rsid w:val="002267E5"/>
    <w:rsid w:val="00226A25"/>
    <w:rsid w:val="00226D55"/>
    <w:rsid w:val="00226F9A"/>
    <w:rsid w:val="00227340"/>
    <w:rsid w:val="002273F1"/>
    <w:rsid w:val="00227CF2"/>
    <w:rsid w:val="002300AB"/>
    <w:rsid w:val="002300C4"/>
    <w:rsid w:val="00230153"/>
    <w:rsid w:val="002302ED"/>
    <w:rsid w:val="00230307"/>
    <w:rsid w:val="0023049D"/>
    <w:rsid w:val="00230A9E"/>
    <w:rsid w:val="002312FA"/>
    <w:rsid w:val="002313DF"/>
    <w:rsid w:val="00231B64"/>
    <w:rsid w:val="00231C25"/>
    <w:rsid w:val="00232032"/>
    <w:rsid w:val="0023207B"/>
    <w:rsid w:val="00232215"/>
    <w:rsid w:val="0023270A"/>
    <w:rsid w:val="0023295D"/>
    <w:rsid w:val="0023318D"/>
    <w:rsid w:val="002335A6"/>
    <w:rsid w:val="002335B8"/>
    <w:rsid w:val="00233D5B"/>
    <w:rsid w:val="00233F08"/>
    <w:rsid w:val="002343A8"/>
    <w:rsid w:val="002343B6"/>
    <w:rsid w:val="002344D1"/>
    <w:rsid w:val="002345AB"/>
    <w:rsid w:val="0023472E"/>
    <w:rsid w:val="00234EBB"/>
    <w:rsid w:val="0023534D"/>
    <w:rsid w:val="00235406"/>
    <w:rsid w:val="002355EB"/>
    <w:rsid w:val="002357C2"/>
    <w:rsid w:val="00235974"/>
    <w:rsid w:val="00235AD0"/>
    <w:rsid w:val="00235BF4"/>
    <w:rsid w:val="00236086"/>
    <w:rsid w:val="002365E7"/>
    <w:rsid w:val="00236625"/>
    <w:rsid w:val="00236665"/>
    <w:rsid w:val="00236A27"/>
    <w:rsid w:val="00236A3D"/>
    <w:rsid w:val="00236D43"/>
    <w:rsid w:val="00236DD5"/>
    <w:rsid w:val="00236E23"/>
    <w:rsid w:val="00236FC9"/>
    <w:rsid w:val="002372DD"/>
    <w:rsid w:val="00237595"/>
    <w:rsid w:val="002378EB"/>
    <w:rsid w:val="00237E11"/>
    <w:rsid w:val="00240523"/>
    <w:rsid w:val="00240718"/>
    <w:rsid w:val="00240B2C"/>
    <w:rsid w:val="00240BE2"/>
    <w:rsid w:val="00240E8B"/>
    <w:rsid w:val="002411A0"/>
    <w:rsid w:val="00241549"/>
    <w:rsid w:val="00241550"/>
    <w:rsid w:val="002418AE"/>
    <w:rsid w:val="0024191C"/>
    <w:rsid w:val="0024206A"/>
    <w:rsid w:val="002436E7"/>
    <w:rsid w:val="002438AA"/>
    <w:rsid w:val="002439AF"/>
    <w:rsid w:val="002444A2"/>
    <w:rsid w:val="002444E0"/>
    <w:rsid w:val="00244773"/>
    <w:rsid w:val="0024484E"/>
    <w:rsid w:val="00244F36"/>
    <w:rsid w:val="002451EE"/>
    <w:rsid w:val="0024531F"/>
    <w:rsid w:val="0024553A"/>
    <w:rsid w:val="00245742"/>
    <w:rsid w:val="00245A1A"/>
    <w:rsid w:val="00245B85"/>
    <w:rsid w:val="00245E02"/>
    <w:rsid w:val="00245F07"/>
    <w:rsid w:val="00246388"/>
    <w:rsid w:val="00246538"/>
    <w:rsid w:val="00246563"/>
    <w:rsid w:val="00246EE9"/>
    <w:rsid w:val="00246F0C"/>
    <w:rsid w:val="00247321"/>
    <w:rsid w:val="002476B2"/>
    <w:rsid w:val="002479A1"/>
    <w:rsid w:val="00247C4E"/>
    <w:rsid w:val="00247FAA"/>
    <w:rsid w:val="002501A7"/>
    <w:rsid w:val="002503EC"/>
    <w:rsid w:val="002505B9"/>
    <w:rsid w:val="00250AF8"/>
    <w:rsid w:val="00250B40"/>
    <w:rsid w:val="00250B87"/>
    <w:rsid w:val="00251324"/>
    <w:rsid w:val="002513B1"/>
    <w:rsid w:val="00251413"/>
    <w:rsid w:val="00251456"/>
    <w:rsid w:val="00251652"/>
    <w:rsid w:val="002519A2"/>
    <w:rsid w:val="00251E66"/>
    <w:rsid w:val="00251EDD"/>
    <w:rsid w:val="00252025"/>
    <w:rsid w:val="002520F4"/>
    <w:rsid w:val="00252435"/>
    <w:rsid w:val="002527EB"/>
    <w:rsid w:val="00252903"/>
    <w:rsid w:val="002529A5"/>
    <w:rsid w:val="00252B05"/>
    <w:rsid w:val="00252C48"/>
    <w:rsid w:val="00252D8C"/>
    <w:rsid w:val="00252F35"/>
    <w:rsid w:val="002532CF"/>
    <w:rsid w:val="00253390"/>
    <w:rsid w:val="00253509"/>
    <w:rsid w:val="00253814"/>
    <w:rsid w:val="00253913"/>
    <w:rsid w:val="002540E5"/>
    <w:rsid w:val="002540EB"/>
    <w:rsid w:val="0025467E"/>
    <w:rsid w:val="002547C3"/>
    <w:rsid w:val="00254A1A"/>
    <w:rsid w:val="00254B6E"/>
    <w:rsid w:val="00254D17"/>
    <w:rsid w:val="00255371"/>
    <w:rsid w:val="0025551C"/>
    <w:rsid w:val="002556BE"/>
    <w:rsid w:val="00255865"/>
    <w:rsid w:val="002558B9"/>
    <w:rsid w:val="0025603C"/>
    <w:rsid w:val="002560D6"/>
    <w:rsid w:val="00256282"/>
    <w:rsid w:val="00256952"/>
    <w:rsid w:val="002569E0"/>
    <w:rsid w:val="00256F98"/>
    <w:rsid w:val="00257C1A"/>
    <w:rsid w:val="002609A2"/>
    <w:rsid w:val="00260CC0"/>
    <w:rsid w:val="00260E40"/>
    <w:rsid w:val="00260E4D"/>
    <w:rsid w:val="00261029"/>
    <w:rsid w:val="00261131"/>
    <w:rsid w:val="002612B3"/>
    <w:rsid w:val="00261539"/>
    <w:rsid w:val="0026153F"/>
    <w:rsid w:val="002616E4"/>
    <w:rsid w:val="002616EF"/>
    <w:rsid w:val="00261878"/>
    <w:rsid w:val="0026187E"/>
    <w:rsid w:val="00261B14"/>
    <w:rsid w:val="002621FA"/>
    <w:rsid w:val="00262364"/>
    <w:rsid w:val="00262563"/>
    <w:rsid w:val="002625D7"/>
    <w:rsid w:val="0026260A"/>
    <w:rsid w:val="00262E9E"/>
    <w:rsid w:val="002635F2"/>
    <w:rsid w:val="00263683"/>
    <w:rsid w:val="00263959"/>
    <w:rsid w:val="002639AB"/>
    <w:rsid w:val="002639DD"/>
    <w:rsid w:val="002639F8"/>
    <w:rsid w:val="00263A27"/>
    <w:rsid w:val="00263B74"/>
    <w:rsid w:val="00263BB2"/>
    <w:rsid w:val="00263E85"/>
    <w:rsid w:val="0026404E"/>
    <w:rsid w:val="0026424F"/>
    <w:rsid w:val="0026431E"/>
    <w:rsid w:val="002645DF"/>
    <w:rsid w:val="002645FB"/>
    <w:rsid w:val="002646B0"/>
    <w:rsid w:val="00264988"/>
    <w:rsid w:val="002649A2"/>
    <w:rsid w:val="00264F87"/>
    <w:rsid w:val="00265B8C"/>
    <w:rsid w:val="00265C2C"/>
    <w:rsid w:val="00265FD7"/>
    <w:rsid w:val="00266240"/>
    <w:rsid w:val="0026646C"/>
    <w:rsid w:val="002666F9"/>
    <w:rsid w:val="00266E28"/>
    <w:rsid w:val="002671D5"/>
    <w:rsid w:val="00267224"/>
    <w:rsid w:val="002674CA"/>
    <w:rsid w:val="00267742"/>
    <w:rsid w:val="002677B1"/>
    <w:rsid w:val="00267D42"/>
    <w:rsid w:val="0027018A"/>
    <w:rsid w:val="0027028C"/>
    <w:rsid w:val="002703BC"/>
    <w:rsid w:val="002704D5"/>
    <w:rsid w:val="0027081C"/>
    <w:rsid w:val="002709FE"/>
    <w:rsid w:val="00270A84"/>
    <w:rsid w:val="00270AC8"/>
    <w:rsid w:val="00270D37"/>
    <w:rsid w:val="002712D4"/>
    <w:rsid w:val="00271438"/>
    <w:rsid w:val="00271480"/>
    <w:rsid w:val="0027169B"/>
    <w:rsid w:val="00271816"/>
    <w:rsid w:val="00271DBA"/>
    <w:rsid w:val="0027225E"/>
    <w:rsid w:val="00272342"/>
    <w:rsid w:val="00272AB5"/>
    <w:rsid w:val="00272E8F"/>
    <w:rsid w:val="0027324D"/>
    <w:rsid w:val="002735CF"/>
    <w:rsid w:val="0027382F"/>
    <w:rsid w:val="00273AB4"/>
    <w:rsid w:val="00273C72"/>
    <w:rsid w:val="00273CB5"/>
    <w:rsid w:val="00273D9D"/>
    <w:rsid w:val="00273DA4"/>
    <w:rsid w:val="00274076"/>
    <w:rsid w:val="002741AA"/>
    <w:rsid w:val="002741CC"/>
    <w:rsid w:val="00274291"/>
    <w:rsid w:val="00274458"/>
    <w:rsid w:val="00274B18"/>
    <w:rsid w:val="00274DD6"/>
    <w:rsid w:val="00274E90"/>
    <w:rsid w:val="00275226"/>
    <w:rsid w:val="0027553E"/>
    <w:rsid w:val="0027570D"/>
    <w:rsid w:val="002759AB"/>
    <w:rsid w:val="00275A85"/>
    <w:rsid w:val="00275A86"/>
    <w:rsid w:val="00275E3C"/>
    <w:rsid w:val="00275E42"/>
    <w:rsid w:val="00275FAF"/>
    <w:rsid w:val="0027625F"/>
    <w:rsid w:val="002768F6"/>
    <w:rsid w:val="00276BCB"/>
    <w:rsid w:val="00276C4B"/>
    <w:rsid w:val="00277220"/>
    <w:rsid w:val="00277227"/>
    <w:rsid w:val="0027724F"/>
    <w:rsid w:val="0027733E"/>
    <w:rsid w:val="002775D3"/>
    <w:rsid w:val="00277C42"/>
    <w:rsid w:val="0028001F"/>
    <w:rsid w:val="00280448"/>
    <w:rsid w:val="00280884"/>
    <w:rsid w:val="00280F09"/>
    <w:rsid w:val="00281266"/>
    <w:rsid w:val="00281460"/>
    <w:rsid w:val="00281853"/>
    <w:rsid w:val="00281BC7"/>
    <w:rsid w:val="00281C5A"/>
    <w:rsid w:val="00281C97"/>
    <w:rsid w:val="00281D30"/>
    <w:rsid w:val="00281F05"/>
    <w:rsid w:val="00282791"/>
    <w:rsid w:val="002829AB"/>
    <w:rsid w:val="00282B58"/>
    <w:rsid w:val="00282BE2"/>
    <w:rsid w:val="00282C19"/>
    <w:rsid w:val="00282E26"/>
    <w:rsid w:val="00282F14"/>
    <w:rsid w:val="002831D8"/>
    <w:rsid w:val="00283345"/>
    <w:rsid w:val="0028377C"/>
    <w:rsid w:val="002837A8"/>
    <w:rsid w:val="00283E5C"/>
    <w:rsid w:val="00284F2A"/>
    <w:rsid w:val="00285183"/>
    <w:rsid w:val="00285289"/>
    <w:rsid w:val="0028571A"/>
    <w:rsid w:val="00285A1A"/>
    <w:rsid w:val="00285EDF"/>
    <w:rsid w:val="0028600A"/>
    <w:rsid w:val="00286081"/>
    <w:rsid w:val="002862FB"/>
    <w:rsid w:val="0028696F"/>
    <w:rsid w:val="00286A17"/>
    <w:rsid w:val="00286A53"/>
    <w:rsid w:val="0028752E"/>
    <w:rsid w:val="002875CC"/>
    <w:rsid w:val="002877E5"/>
    <w:rsid w:val="002877F7"/>
    <w:rsid w:val="0028780F"/>
    <w:rsid w:val="00290461"/>
    <w:rsid w:val="0029054E"/>
    <w:rsid w:val="00290F13"/>
    <w:rsid w:val="00291204"/>
    <w:rsid w:val="0029142C"/>
    <w:rsid w:val="002915E6"/>
    <w:rsid w:val="00291D0D"/>
    <w:rsid w:val="0029237A"/>
    <w:rsid w:val="002923C9"/>
    <w:rsid w:val="0029258A"/>
    <w:rsid w:val="00292794"/>
    <w:rsid w:val="00292D9E"/>
    <w:rsid w:val="00293580"/>
    <w:rsid w:val="00293605"/>
    <w:rsid w:val="002937F7"/>
    <w:rsid w:val="00293BCF"/>
    <w:rsid w:val="00293F26"/>
    <w:rsid w:val="00294283"/>
    <w:rsid w:val="002942FC"/>
    <w:rsid w:val="00294652"/>
    <w:rsid w:val="00294706"/>
    <w:rsid w:val="002949B0"/>
    <w:rsid w:val="002949D3"/>
    <w:rsid w:val="00294B6D"/>
    <w:rsid w:val="002950D2"/>
    <w:rsid w:val="00295128"/>
    <w:rsid w:val="00295420"/>
    <w:rsid w:val="002954E7"/>
    <w:rsid w:val="0029606B"/>
    <w:rsid w:val="002960B0"/>
    <w:rsid w:val="0029610D"/>
    <w:rsid w:val="00296418"/>
    <w:rsid w:val="00296B0B"/>
    <w:rsid w:val="00296CAD"/>
    <w:rsid w:val="00296D6C"/>
    <w:rsid w:val="00296DC8"/>
    <w:rsid w:val="002973E0"/>
    <w:rsid w:val="0029799D"/>
    <w:rsid w:val="00297F94"/>
    <w:rsid w:val="002A011A"/>
    <w:rsid w:val="002A07AB"/>
    <w:rsid w:val="002A0BFF"/>
    <w:rsid w:val="002A0F60"/>
    <w:rsid w:val="002A1028"/>
    <w:rsid w:val="002A1180"/>
    <w:rsid w:val="002A11B7"/>
    <w:rsid w:val="002A1314"/>
    <w:rsid w:val="002A1786"/>
    <w:rsid w:val="002A1880"/>
    <w:rsid w:val="002A1ED7"/>
    <w:rsid w:val="002A211B"/>
    <w:rsid w:val="002A213E"/>
    <w:rsid w:val="002A2200"/>
    <w:rsid w:val="002A2384"/>
    <w:rsid w:val="002A23C5"/>
    <w:rsid w:val="002A249F"/>
    <w:rsid w:val="002A255F"/>
    <w:rsid w:val="002A2704"/>
    <w:rsid w:val="002A27E2"/>
    <w:rsid w:val="002A2889"/>
    <w:rsid w:val="002A29BC"/>
    <w:rsid w:val="002A2B1B"/>
    <w:rsid w:val="002A30F5"/>
    <w:rsid w:val="002A30FC"/>
    <w:rsid w:val="002A3163"/>
    <w:rsid w:val="002A3890"/>
    <w:rsid w:val="002A3949"/>
    <w:rsid w:val="002A399F"/>
    <w:rsid w:val="002A3D31"/>
    <w:rsid w:val="002A3EE6"/>
    <w:rsid w:val="002A4052"/>
    <w:rsid w:val="002A41B2"/>
    <w:rsid w:val="002A42B6"/>
    <w:rsid w:val="002A4519"/>
    <w:rsid w:val="002A4614"/>
    <w:rsid w:val="002A4638"/>
    <w:rsid w:val="002A46B6"/>
    <w:rsid w:val="002A49A1"/>
    <w:rsid w:val="002A4B3B"/>
    <w:rsid w:val="002A4E63"/>
    <w:rsid w:val="002A5014"/>
    <w:rsid w:val="002A51AF"/>
    <w:rsid w:val="002A56A0"/>
    <w:rsid w:val="002A56A2"/>
    <w:rsid w:val="002A586C"/>
    <w:rsid w:val="002A5945"/>
    <w:rsid w:val="002A634A"/>
    <w:rsid w:val="002A6479"/>
    <w:rsid w:val="002A6585"/>
    <w:rsid w:val="002A6AAE"/>
    <w:rsid w:val="002A6B52"/>
    <w:rsid w:val="002A6C87"/>
    <w:rsid w:val="002A6DB9"/>
    <w:rsid w:val="002A77CA"/>
    <w:rsid w:val="002A791D"/>
    <w:rsid w:val="002A79D8"/>
    <w:rsid w:val="002A7C52"/>
    <w:rsid w:val="002A7DDD"/>
    <w:rsid w:val="002A7E36"/>
    <w:rsid w:val="002A7F32"/>
    <w:rsid w:val="002B0370"/>
    <w:rsid w:val="002B0674"/>
    <w:rsid w:val="002B0E72"/>
    <w:rsid w:val="002B1052"/>
    <w:rsid w:val="002B11C5"/>
    <w:rsid w:val="002B13E3"/>
    <w:rsid w:val="002B1611"/>
    <w:rsid w:val="002B177E"/>
    <w:rsid w:val="002B1A50"/>
    <w:rsid w:val="002B1A5C"/>
    <w:rsid w:val="002B1B27"/>
    <w:rsid w:val="002B1C75"/>
    <w:rsid w:val="002B1F4E"/>
    <w:rsid w:val="002B2240"/>
    <w:rsid w:val="002B2269"/>
    <w:rsid w:val="002B226E"/>
    <w:rsid w:val="002B272A"/>
    <w:rsid w:val="002B2845"/>
    <w:rsid w:val="002B2BAE"/>
    <w:rsid w:val="002B2FFB"/>
    <w:rsid w:val="002B33F6"/>
    <w:rsid w:val="002B3507"/>
    <w:rsid w:val="002B3528"/>
    <w:rsid w:val="002B3628"/>
    <w:rsid w:val="002B3836"/>
    <w:rsid w:val="002B3DB2"/>
    <w:rsid w:val="002B4343"/>
    <w:rsid w:val="002B45E5"/>
    <w:rsid w:val="002B47AA"/>
    <w:rsid w:val="002B4853"/>
    <w:rsid w:val="002B498C"/>
    <w:rsid w:val="002B4BDE"/>
    <w:rsid w:val="002B55B8"/>
    <w:rsid w:val="002B55F5"/>
    <w:rsid w:val="002B5A32"/>
    <w:rsid w:val="002B5C1A"/>
    <w:rsid w:val="002B5ED9"/>
    <w:rsid w:val="002B6375"/>
    <w:rsid w:val="002B6593"/>
    <w:rsid w:val="002B699F"/>
    <w:rsid w:val="002B6E0B"/>
    <w:rsid w:val="002B7173"/>
    <w:rsid w:val="002B7854"/>
    <w:rsid w:val="002B78E3"/>
    <w:rsid w:val="002B790F"/>
    <w:rsid w:val="002B7A29"/>
    <w:rsid w:val="002C01E2"/>
    <w:rsid w:val="002C0303"/>
    <w:rsid w:val="002C0419"/>
    <w:rsid w:val="002C06B5"/>
    <w:rsid w:val="002C083A"/>
    <w:rsid w:val="002C08C0"/>
    <w:rsid w:val="002C09B8"/>
    <w:rsid w:val="002C0C65"/>
    <w:rsid w:val="002C1034"/>
    <w:rsid w:val="002C10F4"/>
    <w:rsid w:val="002C11A6"/>
    <w:rsid w:val="002C12DA"/>
    <w:rsid w:val="002C1641"/>
    <w:rsid w:val="002C1756"/>
    <w:rsid w:val="002C19CD"/>
    <w:rsid w:val="002C1A5F"/>
    <w:rsid w:val="002C22D7"/>
    <w:rsid w:val="002C25AF"/>
    <w:rsid w:val="002C263A"/>
    <w:rsid w:val="002C28E2"/>
    <w:rsid w:val="002C2C23"/>
    <w:rsid w:val="002C2D1E"/>
    <w:rsid w:val="002C2DAF"/>
    <w:rsid w:val="002C32D5"/>
    <w:rsid w:val="002C3382"/>
    <w:rsid w:val="002C33D8"/>
    <w:rsid w:val="002C358C"/>
    <w:rsid w:val="002C3714"/>
    <w:rsid w:val="002C37BA"/>
    <w:rsid w:val="002C39E9"/>
    <w:rsid w:val="002C3AA2"/>
    <w:rsid w:val="002C3F4D"/>
    <w:rsid w:val="002C3F50"/>
    <w:rsid w:val="002C473A"/>
    <w:rsid w:val="002C4754"/>
    <w:rsid w:val="002C4894"/>
    <w:rsid w:val="002C4A46"/>
    <w:rsid w:val="002C4D45"/>
    <w:rsid w:val="002C4F1A"/>
    <w:rsid w:val="002C4FEB"/>
    <w:rsid w:val="002C54A5"/>
    <w:rsid w:val="002C574A"/>
    <w:rsid w:val="002C57A8"/>
    <w:rsid w:val="002C5B48"/>
    <w:rsid w:val="002C5D3B"/>
    <w:rsid w:val="002C5D3D"/>
    <w:rsid w:val="002C5EF5"/>
    <w:rsid w:val="002C5FB1"/>
    <w:rsid w:val="002C6125"/>
    <w:rsid w:val="002C61AC"/>
    <w:rsid w:val="002C63ED"/>
    <w:rsid w:val="002C6454"/>
    <w:rsid w:val="002C6657"/>
    <w:rsid w:val="002C66F4"/>
    <w:rsid w:val="002C6CB1"/>
    <w:rsid w:val="002C6FA7"/>
    <w:rsid w:val="002C7050"/>
    <w:rsid w:val="002C72DC"/>
    <w:rsid w:val="002C7303"/>
    <w:rsid w:val="002C78DD"/>
    <w:rsid w:val="002C7E13"/>
    <w:rsid w:val="002D0AA4"/>
    <w:rsid w:val="002D0FCE"/>
    <w:rsid w:val="002D1148"/>
    <w:rsid w:val="002D149B"/>
    <w:rsid w:val="002D15BE"/>
    <w:rsid w:val="002D25CA"/>
    <w:rsid w:val="002D2678"/>
    <w:rsid w:val="002D2798"/>
    <w:rsid w:val="002D2881"/>
    <w:rsid w:val="002D29ED"/>
    <w:rsid w:val="002D2D80"/>
    <w:rsid w:val="002D2F49"/>
    <w:rsid w:val="002D2F74"/>
    <w:rsid w:val="002D31E3"/>
    <w:rsid w:val="002D374D"/>
    <w:rsid w:val="002D3884"/>
    <w:rsid w:val="002D3BF8"/>
    <w:rsid w:val="002D42C6"/>
    <w:rsid w:val="002D464A"/>
    <w:rsid w:val="002D48F4"/>
    <w:rsid w:val="002D4F62"/>
    <w:rsid w:val="002D4FEF"/>
    <w:rsid w:val="002D5283"/>
    <w:rsid w:val="002D52D5"/>
    <w:rsid w:val="002D53AD"/>
    <w:rsid w:val="002D5C12"/>
    <w:rsid w:val="002D5CDB"/>
    <w:rsid w:val="002D601B"/>
    <w:rsid w:val="002D66EE"/>
    <w:rsid w:val="002D6845"/>
    <w:rsid w:val="002D6C65"/>
    <w:rsid w:val="002D6DC8"/>
    <w:rsid w:val="002D708E"/>
    <w:rsid w:val="002D760F"/>
    <w:rsid w:val="002D7A14"/>
    <w:rsid w:val="002D7C8F"/>
    <w:rsid w:val="002D7F57"/>
    <w:rsid w:val="002E0049"/>
    <w:rsid w:val="002E02BE"/>
    <w:rsid w:val="002E0354"/>
    <w:rsid w:val="002E077C"/>
    <w:rsid w:val="002E07EA"/>
    <w:rsid w:val="002E0C12"/>
    <w:rsid w:val="002E0CED"/>
    <w:rsid w:val="002E0DD0"/>
    <w:rsid w:val="002E11E6"/>
    <w:rsid w:val="002E1686"/>
    <w:rsid w:val="002E1AF2"/>
    <w:rsid w:val="002E1C78"/>
    <w:rsid w:val="002E1E7F"/>
    <w:rsid w:val="002E1FE0"/>
    <w:rsid w:val="002E2034"/>
    <w:rsid w:val="002E21CB"/>
    <w:rsid w:val="002E223E"/>
    <w:rsid w:val="002E282C"/>
    <w:rsid w:val="002E287A"/>
    <w:rsid w:val="002E2915"/>
    <w:rsid w:val="002E29A8"/>
    <w:rsid w:val="002E2EDE"/>
    <w:rsid w:val="002E2F79"/>
    <w:rsid w:val="002E32FE"/>
    <w:rsid w:val="002E3400"/>
    <w:rsid w:val="002E3679"/>
    <w:rsid w:val="002E3A49"/>
    <w:rsid w:val="002E3EDC"/>
    <w:rsid w:val="002E4339"/>
    <w:rsid w:val="002E4984"/>
    <w:rsid w:val="002E4A00"/>
    <w:rsid w:val="002E4FA9"/>
    <w:rsid w:val="002E5257"/>
    <w:rsid w:val="002E5476"/>
    <w:rsid w:val="002E5522"/>
    <w:rsid w:val="002E553D"/>
    <w:rsid w:val="002E5660"/>
    <w:rsid w:val="002E57AC"/>
    <w:rsid w:val="002E586F"/>
    <w:rsid w:val="002E5C9B"/>
    <w:rsid w:val="002E607D"/>
    <w:rsid w:val="002E6296"/>
    <w:rsid w:val="002E66D0"/>
    <w:rsid w:val="002E680A"/>
    <w:rsid w:val="002E684C"/>
    <w:rsid w:val="002E68E5"/>
    <w:rsid w:val="002E6DAF"/>
    <w:rsid w:val="002E6F2C"/>
    <w:rsid w:val="002E71F6"/>
    <w:rsid w:val="002E7351"/>
    <w:rsid w:val="002E7755"/>
    <w:rsid w:val="002E77E7"/>
    <w:rsid w:val="002E78E0"/>
    <w:rsid w:val="002E7AED"/>
    <w:rsid w:val="002E7CAB"/>
    <w:rsid w:val="002E7EB2"/>
    <w:rsid w:val="002E7EBC"/>
    <w:rsid w:val="002F02C6"/>
    <w:rsid w:val="002F0381"/>
    <w:rsid w:val="002F08DA"/>
    <w:rsid w:val="002F0B4C"/>
    <w:rsid w:val="002F0DCD"/>
    <w:rsid w:val="002F1274"/>
    <w:rsid w:val="002F1288"/>
    <w:rsid w:val="002F14D8"/>
    <w:rsid w:val="002F14FB"/>
    <w:rsid w:val="002F18F2"/>
    <w:rsid w:val="002F1CA5"/>
    <w:rsid w:val="002F21BF"/>
    <w:rsid w:val="002F2235"/>
    <w:rsid w:val="002F241C"/>
    <w:rsid w:val="002F2AC0"/>
    <w:rsid w:val="002F2E47"/>
    <w:rsid w:val="002F2E5B"/>
    <w:rsid w:val="002F3495"/>
    <w:rsid w:val="002F3948"/>
    <w:rsid w:val="002F394F"/>
    <w:rsid w:val="002F39DA"/>
    <w:rsid w:val="002F3B5C"/>
    <w:rsid w:val="002F3BAE"/>
    <w:rsid w:val="002F3BED"/>
    <w:rsid w:val="002F3BF3"/>
    <w:rsid w:val="002F3E80"/>
    <w:rsid w:val="002F4286"/>
    <w:rsid w:val="002F42A6"/>
    <w:rsid w:val="002F4583"/>
    <w:rsid w:val="002F4D83"/>
    <w:rsid w:val="002F5658"/>
    <w:rsid w:val="002F5675"/>
    <w:rsid w:val="002F5717"/>
    <w:rsid w:val="002F579A"/>
    <w:rsid w:val="002F5C57"/>
    <w:rsid w:val="002F5CBD"/>
    <w:rsid w:val="002F601B"/>
    <w:rsid w:val="002F6179"/>
    <w:rsid w:val="002F6B66"/>
    <w:rsid w:val="002F6B73"/>
    <w:rsid w:val="002F6CEE"/>
    <w:rsid w:val="002F71C6"/>
    <w:rsid w:val="002F7216"/>
    <w:rsid w:val="002F7454"/>
    <w:rsid w:val="002F78F5"/>
    <w:rsid w:val="002F7C0D"/>
    <w:rsid w:val="002F7C32"/>
    <w:rsid w:val="00300128"/>
    <w:rsid w:val="00300567"/>
    <w:rsid w:val="003008E1"/>
    <w:rsid w:val="00300AAE"/>
    <w:rsid w:val="00300D15"/>
    <w:rsid w:val="00300E32"/>
    <w:rsid w:val="00301872"/>
    <w:rsid w:val="00301916"/>
    <w:rsid w:val="00301D69"/>
    <w:rsid w:val="0030222A"/>
    <w:rsid w:val="00302480"/>
    <w:rsid w:val="0030260F"/>
    <w:rsid w:val="003027E6"/>
    <w:rsid w:val="003028C2"/>
    <w:rsid w:val="00303600"/>
    <w:rsid w:val="0030376E"/>
    <w:rsid w:val="00303CF2"/>
    <w:rsid w:val="00303D57"/>
    <w:rsid w:val="0030457B"/>
    <w:rsid w:val="00304CF5"/>
    <w:rsid w:val="00304D17"/>
    <w:rsid w:val="0030502F"/>
    <w:rsid w:val="0030520F"/>
    <w:rsid w:val="00305550"/>
    <w:rsid w:val="00305768"/>
    <w:rsid w:val="00305CFA"/>
    <w:rsid w:val="003061F8"/>
    <w:rsid w:val="003065E3"/>
    <w:rsid w:val="003067E2"/>
    <w:rsid w:val="00306AF6"/>
    <w:rsid w:val="00307047"/>
    <w:rsid w:val="00307067"/>
    <w:rsid w:val="0030721A"/>
    <w:rsid w:val="00307288"/>
    <w:rsid w:val="003074CC"/>
    <w:rsid w:val="0030784F"/>
    <w:rsid w:val="00307B5A"/>
    <w:rsid w:val="00307D9B"/>
    <w:rsid w:val="00307E14"/>
    <w:rsid w:val="00307E94"/>
    <w:rsid w:val="00307F7A"/>
    <w:rsid w:val="003100A9"/>
    <w:rsid w:val="003100CA"/>
    <w:rsid w:val="00310137"/>
    <w:rsid w:val="00310141"/>
    <w:rsid w:val="0031014A"/>
    <w:rsid w:val="003101CD"/>
    <w:rsid w:val="003106FC"/>
    <w:rsid w:val="0031090C"/>
    <w:rsid w:val="00310981"/>
    <w:rsid w:val="00310DD5"/>
    <w:rsid w:val="00310E58"/>
    <w:rsid w:val="0031108A"/>
    <w:rsid w:val="003110AD"/>
    <w:rsid w:val="003113B6"/>
    <w:rsid w:val="003117CC"/>
    <w:rsid w:val="0031194B"/>
    <w:rsid w:val="00311EF2"/>
    <w:rsid w:val="003122D1"/>
    <w:rsid w:val="00312877"/>
    <w:rsid w:val="00312C81"/>
    <w:rsid w:val="00312D1C"/>
    <w:rsid w:val="00312E8B"/>
    <w:rsid w:val="00312EC9"/>
    <w:rsid w:val="00312F1B"/>
    <w:rsid w:val="00313484"/>
    <w:rsid w:val="003134A9"/>
    <w:rsid w:val="00313605"/>
    <w:rsid w:val="003136D0"/>
    <w:rsid w:val="003138CC"/>
    <w:rsid w:val="00313927"/>
    <w:rsid w:val="00313CC4"/>
    <w:rsid w:val="00313F7E"/>
    <w:rsid w:val="003140B9"/>
    <w:rsid w:val="003141D2"/>
    <w:rsid w:val="0031420C"/>
    <w:rsid w:val="003143F1"/>
    <w:rsid w:val="00314679"/>
    <w:rsid w:val="00314AA6"/>
    <w:rsid w:val="00314C68"/>
    <w:rsid w:val="00315162"/>
    <w:rsid w:val="0031532F"/>
    <w:rsid w:val="0031691B"/>
    <w:rsid w:val="00316C2C"/>
    <w:rsid w:val="00316C75"/>
    <w:rsid w:val="00316D93"/>
    <w:rsid w:val="003170C7"/>
    <w:rsid w:val="0031713B"/>
    <w:rsid w:val="00317416"/>
    <w:rsid w:val="00317B66"/>
    <w:rsid w:val="00317E71"/>
    <w:rsid w:val="00317EAE"/>
    <w:rsid w:val="00317F17"/>
    <w:rsid w:val="0032058A"/>
    <w:rsid w:val="0032081C"/>
    <w:rsid w:val="0032156D"/>
    <w:rsid w:val="0032190B"/>
    <w:rsid w:val="003219E9"/>
    <w:rsid w:val="003221B6"/>
    <w:rsid w:val="00322805"/>
    <w:rsid w:val="00322A67"/>
    <w:rsid w:val="00322C71"/>
    <w:rsid w:val="00323126"/>
    <w:rsid w:val="003231B3"/>
    <w:rsid w:val="003231B5"/>
    <w:rsid w:val="00323428"/>
    <w:rsid w:val="00323813"/>
    <w:rsid w:val="00323E76"/>
    <w:rsid w:val="00324374"/>
    <w:rsid w:val="00324B7B"/>
    <w:rsid w:val="00324D23"/>
    <w:rsid w:val="003251EF"/>
    <w:rsid w:val="0032544A"/>
    <w:rsid w:val="003255D3"/>
    <w:rsid w:val="0032562D"/>
    <w:rsid w:val="003256E3"/>
    <w:rsid w:val="0032576B"/>
    <w:rsid w:val="0032596C"/>
    <w:rsid w:val="00325BCC"/>
    <w:rsid w:val="00325E14"/>
    <w:rsid w:val="00326111"/>
    <w:rsid w:val="003263F4"/>
    <w:rsid w:val="003265C2"/>
    <w:rsid w:val="003268FA"/>
    <w:rsid w:val="0032694E"/>
    <w:rsid w:val="00326986"/>
    <w:rsid w:val="00326D63"/>
    <w:rsid w:val="00326F96"/>
    <w:rsid w:val="00327029"/>
    <w:rsid w:val="00327133"/>
    <w:rsid w:val="00327339"/>
    <w:rsid w:val="0032791C"/>
    <w:rsid w:val="00327949"/>
    <w:rsid w:val="00327C20"/>
    <w:rsid w:val="00327DC5"/>
    <w:rsid w:val="00327E39"/>
    <w:rsid w:val="00327E90"/>
    <w:rsid w:val="0033009D"/>
    <w:rsid w:val="00330214"/>
    <w:rsid w:val="003307E3"/>
    <w:rsid w:val="0033099A"/>
    <w:rsid w:val="00330FC8"/>
    <w:rsid w:val="0033159F"/>
    <w:rsid w:val="0033163A"/>
    <w:rsid w:val="0033182D"/>
    <w:rsid w:val="00331832"/>
    <w:rsid w:val="003319FB"/>
    <w:rsid w:val="00331BAE"/>
    <w:rsid w:val="00331BFB"/>
    <w:rsid w:val="00331E03"/>
    <w:rsid w:val="00331FAA"/>
    <w:rsid w:val="00331FE4"/>
    <w:rsid w:val="003320CB"/>
    <w:rsid w:val="0033230F"/>
    <w:rsid w:val="00332651"/>
    <w:rsid w:val="003327A8"/>
    <w:rsid w:val="003327F2"/>
    <w:rsid w:val="00332838"/>
    <w:rsid w:val="00332929"/>
    <w:rsid w:val="00333768"/>
    <w:rsid w:val="00333A7B"/>
    <w:rsid w:val="00333B9B"/>
    <w:rsid w:val="003345E0"/>
    <w:rsid w:val="00334C30"/>
    <w:rsid w:val="00334F7B"/>
    <w:rsid w:val="0033501B"/>
    <w:rsid w:val="0033550C"/>
    <w:rsid w:val="00335571"/>
    <w:rsid w:val="00335A82"/>
    <w:rsid w:val="00335E1A"/>
    <w:rsid w:val="0033604A"/>
    <w:rsid w:val="0033607E"/>
    <w:rsid w:val="00336BED"/>
    <w:rsid w:val="00336F5D"/>
    <w:rsid w:val="003372EC"/>
    <w:rsid w:val="00337A1D"/>
    <w:rsid w:val="00340176"/>
    <w:rsid w:val="003404B0"/>
    <w:rsid w:val="00340A88"/>
    <w:rsid w:val="0034112E"/>
    <w:rsid w:val="003417DB"/>
    <w:rsid w:val="00341815"/>
    <w:rsid w:val="0034210D"/>
    <w:rsid w:val="003423B2"/>
    <w:rsid w:val="00342502"/>
    <w:rsid w:val="003427EB"/>
    <w:rsid w:val="00342843"/>
    <w:rsid w:val="003428D9"/>
    <w:rsid w:val="00342D7F"/>
    <w:rsid w:val="00342E7B"/>
    <w:rsid w:val="00342E7C"/>
    <w:rsid w:val="00342F83"/>
    <w:rsid w:val="00343071"/>
    <w:rsid w:val="003434F7"/>
    <w:rsid w:val="003435C7"/>
    <w:rsid w:val="00343850"/>
    <w:rsid w:val="0034393B"/>
    <w:rsid w:val="00343BCB"/>
    <w:rsid w:val="003441E2"/>
    <w:rsid w:val="003442C2"/>
    <w:rsid w:val="003443B1"/>
    <w:rsid w:val="003445EC"/>
    <w:rsid w:val="00344867"/>
    <w:rsid w:val="00344CFE"/>
    <w:rsid w:val="00344DEC"/>
    <w:rsid w:val="0034585E"/>
    <w:rsid w:val="003460E3"/>
    <w:rsid w:val="003461A0"/>
    <w:rsid w:val="00346247"/>
    <w:rsid w:val="003469D2"/>
    <w:rsid w:val="003469E2"/>
    <w:rsid w:val="00346AD9"/>
    <w:rsid w:val="00346D9F"/>
    <w:rsid w:val="003472F1"/>
    <w:rsid w:val="0034750F"/>
    <w:rsid w:val="00347515"/>
    <w:rsid w:val="00347549"/>
    <w:rsid w:val="0034768C"/>
    <w:rsid w:val="00347A0D"/>
    <w:rsid w:val="00347E9F"/>
    <w:rsid w:val="00347F56"/>
    <w:rsid w:val="00350F18"/>
    <w:rsid w:val="00350FE9"/>
    <w:rsid w:val="00351018"/>
    <w:rsid w:val="00351718"/>
    <w:rsid w:val="00351E81"/>
    <w:rsid w:val="00351F5C"/>
    <w:rsid w:val="00352016"/>
    <w:rsid w:val="0035255D"/>
    <w:rsid w:val="003526B7"/>
    <w:rsid w:val="003529E2"/>
    <w:rsid w:val="00352AF3"/>
    <w:rsid w:val="00352DE3"/>
    <w:rsid w:val="00352EC7"/>
    <w:rsid w:val="00353246"/>
    <w:rsid w:val="003532F9"/>
    <w:rsid w:val="003536C7"/>
    <w:rsid w:val="003537D5"/>
    <w:rsid w:val="00353AB7"/>
    <w:rsid w:val="00353D33"/>
    <w:rsid w:val="00353F8C"/>
    <w:rsid w:val="0035400B"/>
    <w:rsid w:val="0035424F"/>
    <w:rsid w:val="003542A6"/>
    <w:rsid w:val="0035474E"/>
    <w:rsid w:val="00354878"/>
    <w:rsid w:val="00354ABB"/>
    <w:rsid w:val="00354D22"/>
    <w:rsid w:val="00354EAE"/>
    <w:rsid w:val="00354FE5"/>
    <w:rsid w:val="003552D3"/>
    <w:rsid w:val="00355521"/>
    <w:rsid w:val="003556A2"/>
    <w:rsid w:val="00355757"/>
    <w:rsid w:val="0035596D"/>
    <w:rsid w:val="00355A30"/>
    <w:rsid w:val="00355BA1"/>
    <w:rsid w:val="00355C5D"/>
    <w:rsid w:val="00356033"/>
    <w:rsid w:val="003560D8"/>
    <w:rsid w:val="00356260"/>
    <w:rsid w:val="00356A55"/>
    <w:rsid w:val="00356B66"/>
    <w:rsid w:val="00356C30"/>
    <w:rsid w:val="00356C7B"/>
    <w:rsid w:val="00356CD8"/>
    <w:rsid w:val="00356D0A"/>
    <w:rsid w:val="0035713D"/>
    <w:rsid w:val="003571AF"/>
    <w:rsid w:val="00357929"/>
    <w:rsid w:val="00357EAA"/>
    <w:rsid w:val="00357F73"/>
    <w:rsid w:val="003600B7"/>
    <w:rsid w:val="003606F6"/>
    <w:rsid w:val="00360718"/>
    <w:rsid w:val="00360A45"/>
    <w:rsid w:val="00360C25"/>
    <w:rsid w:val="003612C5"/>
    <w:rsid w:val="00361399"/>
    <w:rsid w:val="003614DE"/>
    <w:rsid w:val="0036153A"/>
    <w:rsid w:val="003615C8"/>
    <w:rsid w:val="00362118"/>
    <w:rsid w:val="0036256A"/>
    <w:rsid w:val="00362575"/>
    <w:rsid w:val="0036268F"/>
    <w:rsid w:val="003628A6"/>
    <w:rsid w:val="00362C22"/>
    <w:rsid w:val="00362C90"/>
    <w:rsid w:val="00362D5A"/>
    <w:rsid w:val="00363C67"/>
    <w:rsid w:val="00363CAE"/>
    <w:rsid w:val="00363F8F"/>
    <w:rsid w:val="00364276"/>
    <w:rsid w:val="003643D4"/>
    <w:rsid w:val="00364B49"/>
    <w:rsid w:val="00364D8E"/>
    <w:rsid w:val="00364DA8"/>
    <w:rsid w:val="00364ED2"/>
    <w:rsid w:val="00364EF1"/>
    <w:rsid w:val="0036503A"/>
    <w:rsid w:val="00365335"/>
    <w:rsid w:val="003657B2"/>
    <w:rsid w:val="00366087"/>
    <w:rsid w:val="00366339"/>
    <w:rsid w:val="00366462"/>
    <w:rsid w:val="0036657E"/>
    <w:rsid w:val="00366980"/>
    <w:rsid w:val="00366F52"/>
    <w:rsid w:val="003673E4"/>
    <w:rsid w:val="00367746"/>
    <w:rsid w:val="003677E9"/>
    <w:rsid w:val="00367918"/>
    <w:rsid w:val="00367940"/>
    <w:rsid w:val="00367BD2"/>
    <w:rsid w:val="00367CCA"/>
    <w:rsid w:val="003703F1"/>
    <w:rsid w:val="00370455"/>
    <w:rsid w:val="003704BD"/>
    <w:rsid w:val="003704E7"/>
    <w:rsid w:val="003709BF"/>
    <w:rsid w:val="00370A4E"/>
    <w:rsid w:val="00370D23"/>
    <w:rsid w:val="00370DF2"/>
    <w:rsid w:val="003715D1"/>
    <w:rsid w:val="003718A2"/>
    <w:rsid w:val="00371E50"/>
    <w:rsid w:val="00372181"/>
    <w:rsid w:val="003724D6"/>
    <w:rsid w:val="00372F10"/>
    <w:rsid w:val="00372F95"/>
    <w:rsid w:val="00373242"/>
    <w:rsid w:val="00373662"/>
    <w:rsid w:val="00373737"/>
    <w:rsid w:val="003737D5"/>
    <w:rsid w:val="00373966"/>
    <w:rsid w:val="00373DFA"/>
    <w:rsid w:val="00374001"/>
    <w:rsid w:val="0037417D"/>
    <w:rsid w:val="003741B7"/>
    <w:rsid w:val="0037422B"/>
    <w:rsid w:val="0037458D"/>
    <w:rsid w:val="00374753"/>
    <w:rsid w:val="0037493F"/>
    <w:rsid w:val="00374BEE"/>
    <w:rsid w:val="00374FDC"/>
    <w:rsid w:val="003750C2"/>
    <w:rsid w:val="003751DC"/>
    <w:rsid w:val="00375316"/>
    <w:rsid w:val="003757DB"/>
    <w:rsid w:val="00375819"/>
    <w:rsid w:val="003758A1"/>
    <w:rsid w:val="00375AB0"/>
    <w:rsid w:val="00375E92"/>
    <w:rsid w:val="00375F9D"/>
    <w:rsid w:val="0037624C"/>
    <w:rsid w:val="0037693B"/>
    <w:rsid w:val="003769CE"/>
    <w:rsid w:val="00376B92"/>
    <w:rsid w:val="00376C1D"/>
    <w:rsid w:val="00376D82"/>
    <w:rsid w:val="00376F03"/>
    <w:rsid w:val="00377D9F"/>
    <w:rsid w:val="00377DB6"/>
    <w:rsid w:val="00377F61"/>
    <w:rsid w:val="003805B6"/>
    <w:rsid w:val="00380BC5"/>
    <w:rsid w:val="00380E4F"/>
    <w:rsid w:val="0038103B"/>
    <w:rsid w:val="00381126"/>
    <w:rsid w:val="0038119D"/>
    <w:rsid w:val="00381275"/>
    <w:rsid w:val="0038144F"/>
    <w:rsid w:val="003814DE"/>
    <w:rsid w:val="00381677"/>
    <w:rsid w:val="00381C86"/>
    <w:rsid w:val="00381F14"/>
    <w:rsid w:val="00381F6A"/>
    <w:rsid w:val="003822D2"/>
    <w:rsid w:val="00382436"/>
    <w:rsid w:val="00382716"/>
    <w:rsid w:val="00382989"/>
    <w:rsid w:val="00382CEF"/>
    <w:rsid w:val="00382DDC"/>
    <w:rsid w:val="00382F11"/>
    <w:rsid w:val="0038320D"/>
    <w:rsid w:val="0038322C"/>
    <w:rsid w:val="00383575"/>
    <w:rsid w:val="003838EE"/>
    <w:rsid w:val="00383B05"/>
    <w:rsid w:val="00383B82"/>
    <w:rsid w:val="00384583"/>
    <w:rsid w:val="003848E0"/>
    <w:rsid w:val="00384C74"/>
    <w:rsid w:val="00384DD1"/>
    <w:rsid w:val="003850F1"/>
    <w:rsid w:val="00385146"/>
    <w:rsid w:val="003851DE"/>
    <w:rsid w:val="00385486"/>
    <w:rsid w:val="0038595A"/>
    <w:rsid w:val="00385D2C"/>
    <w:rsid w:val="0038602E"/>
    <w:rsid w:val="00386471"/>
    <w:rsid w:val="003869D2"/>
    <w:rsid w:val="00386A37"/>
    <w:rsid w:val="00386A3E"/>
    <w:rsid w:val="00386C4E"/>
    <w:rsid w:val="00386CF8"/>
    <w:rsid w:val="00386D07"/>
    <w:rsid w:val="00386F88"/>
    <w:rsid w:val="0038726D"/>
    <w:rsid w:val="00387C6D"/>
    <w:rsid w:val="00387D70"/>
    <w:rsid w:val="003900DD"/>
    <w:rsid w:val="00390194"/>
    <w:rsid w:val="0039034E"/>
    <w:rsid w:val="00390429"/>
    <w:rsid w:val="00390713"/>
    <w:rsid w:val="00390ACD"/>
    <w:rsid w:val="00391878"/>
    <w:rsid w:val="00391D8E"/>
    <w:rsid w:val="00391DA8"/>
    <w:rsid w:val="00392010"/>
    <w:rsid w:val="003920FE"/>
    <w:rsid w:val="00392375"/>
    <w:rsid w:val="0039238B"/>
    <w:rsid w:val="00392397"/>
    <w:rsid w:val="00392C98"/>
    <w:rsid w:val="00392F93"/>
    <w:rsid w:val="003931CE"/>
    <w:rsid w:val="0039383B"/>
    <w:rsid w:val="00393A76"/>
    <w:rsid w:val="00393DAE"/>
    <w:rsid w:val="00394143"/>
    <w:rsid w:val="0039443D"/>
    <w:rsid w:val="00394688"/>
    <w:rsid w:val="00394769"/>
    <w:rsid w:val="00394CC6"/>
    <w:rsid w:val="00394D0D"/>
    <w:rsid w:val="00395302"/>
    <w:rsid w:val="00395D28"/>
    <w:rsid w:val="00395D7E"/>
    <w:rsid w:val="0039649D"/>
    <w:rsid w:val="003966EF"/>
    <w:rsid w:val="0039743C"/>
    <w:rsid w:val="00397501"/>
    <w:rsid w:val="00397650"/>
    <w:rsid w:val="00397A9B"/>
    <w:rsid w:val="00397E56"/>
    <w:rsid w:val="00397E7B"/>
    <w:rsid w:val="003A0369"/>
    <w:rsid w:val="003A05CD"/>
    <w:rsid w:val="003A07C3"/>
    <w:rsid w:val="003A0B3B"/>
    <w:rsid w:val="003A1068"/>
    <w:rsid w:val="003A1325"/>
    <w:rsid w:val="003A135F"/>
    <w:rsid w:val="003A197F"/>
    <w:rsid w:val="003A19C8"/>
    <w:rsid w:val="003A2535"/>
    <w:rsid w:val="003A26A8"/>
    <w:rsid w:val="003A279E"/>
    <w:rsid w:val="003A2821"/>
    <w:rsid w:val="003A2841"/>
    <w:rsid w:val="003A2ABF"/>
    <w:rsid w:val="003A2DE6"/>
    <w:rsid w:val="003A30BB"/>
    <w:rsid w:val="003A32AA"/>
    <w:rsid w:val="003A32B5"/>
    <w:rsid w:val="003A3323"/>
    <w:rsid w:val="003A3763"/>
    <w:rsid w:val="003A399B"/>
    <w:rsid w:val="003A3F5E"/>
    <w:rsid w:val="003A4120"/>
    <w:rsid w:val="003A414C"/>
    <w:rsid w:val="003A420D"/>
    <w:rsid w:val="003A4589"/>
    <w:rsid w:val="003A472E"/>
    <w:rsid w:val="003A4765"/>
    <w:rsid w:val="003A47A0"/>
    <w:rsid w:val="003A4D33"/>
    <w:rsid w:val="003A4E06"/>
    <w:rsid w:val="003A54CC"/>
    <w:rsid w:val="003A566A"/>
    <w:rsid w:val="003A5BE8"/>
    <w:rsid w:val="003A5E37"/>
    <w:rsid w:val="003A60C2"/>
    <w:rsid w:val="003A671A"/>
    <w:rsid w:val="003A6C61"/>
    <w:rsid w:val="003A6CD8"/>
    <w:rsid w:val="003A6F96"/>
    <w:rsid w:val="003A73E0"/>
    <w:rsid w:val="003A78A1"/>
    <w:rsid w:val="003A795F"/>
    <w:rsid w:val="003A7CF1"/>
    <w:rsid w:val="003A7ECB"/>
    <w:rsid w:val="003B0189"/>
    <w:rsid w:val="003B0695"/>
    <w:rsid w:val="003B0884"/>
    <w:rsid w:val="003B0EC4"/>
    <w:rsid w:val="003B0FBC"/>
    <w:rsid w:val="003B12BC"/>
    <w:rsid w:val="003B1369"/>
    <w:rsid w:val="003B1457"/>
    <w:rsid w:val="003B1C78"/>
    <w:rsid w:val="003B1E63"/>
    <w:rsid w:val="003B2047"/>
    <w:rsid w:val="003B226C"/>
    <w:rsid w:val="003B243A"/>
    <w:rsid w:val="003B24AE"/>
    <w:rsid w:val="003B26B8"/>
    <w:rsid w:val="003B2877"/>
    <w:rsid w:val="003B2AB1"/>
    <w:rsid w:val="003B2E18"/>
    <w:rsid w:val="003B2F17"/>
    <w:rsid w:val="003B3271"/>
    <w:rsid w:val="003B3539"/>
    <w:rsid w:val="003B3CE4"/>
    <w:rsid w:val="003B471E"/>
    <w:rsid w:val="003B4C31"/>
    <w:rsid w:val="003B4D6D"/>
    <w:rsid w:val="003B5008"/>
    <w:rsid w:val="003B575C"/>
    <w:rsid w:val="003B5A9D"/>
    <w:rsid w:val="003B5BDE"/>
    <w:rsid w:val="003B5DDC"/>
    <w:rsid w:val="003B6217"/>
    <w:rsid w:val="003B6C94"/>
    <w:rsid w:val="003B6E85"/>
    <w:rsid w:val="003B707B"/>
    <w:rsid w:val="003B73F3"/>
    <w:rsid w:val="003B7A64"/>
    <w:rsid w:val="003C0046"/>
    <w:rsid w:val="003C00D7"/>
    <w:rsid w:val="003C0387"/>
    <w:rsid w:val="003C06A6"/>
    <w:rsid w:val="003C082D"/>
    <w:rsid w:val="003C0858"/>
    <w:rsid w:val="003C0C4A"/>
    <w:rsid w:val="003C0CE4"/>
    <w:rsid w:val="003C0CF3"/>
    <w:rsid w:val="003C0FE6"/>
    <w:rsid w:val="003C13A4"/>
    <w:rsid w:val="003C16EF"/>
    <w:rsid w:val="003C1A4A"/>
    <w:rsid w:val="003C1CE4"/>
    <w:rsid w:val="003C2153"/>
    <w:rsid w:val="003C22C0"/>
    <w:rsid w:val="003C2A82"/>
    <w:rsid w:val="003C2DFD"/>
    <w:rsid w:val="003C2E10"/>
    <w:rsid w:val="003C2F31"/>
    <w:rsid w:val="003C2F51"/>
    <w:rsid w:val="003C3346"/>
    <w:rsid w:val="003C350D"/>
    <w:rsid w:val="003C3706"/>
    <w:rsid w:val="003C3BE8"/>
    <w:rsid w:val="003C3CDB"/>
    <w:rsid w:val="003C3E20"/>
    <w:rsid w:val="003C413B"/>
    <w:rsid w:val="003C4252"/>
    <w:rsid w:val="003C4716"/>
    <w:rsid w:val="003C49CF"/>
    <w:rsid w:val="003C4D40"/>
    <w:rsid w:val="003C4FC6"/>
    <w:rsid w:val="003C50F4"/>
    <w:rsid w:val="003C519A"/>
    <w:rsid w:val="003C5933"/>
    <w:rsid w:val="003C594A"/>
    <w:rsid w:val="003C5AD1"/>
    <w:rsid w:val="003C5B45"/>
    <w:rsid w:val="003C5E7A"/>
    <w:rsid w:val="003C5E85"/>
    <w:rsid w:val="003C6348"/>
    <w:rsid w:val="003C66D3"/>
    <w:rsid w:val="003C66E8"/>
    <w:rsid w:val="003C6816"/>
    <w:rsid w:val="003C6AE4"/>
    <w:rsid w:val="003C6C78"/>
    <w:rsid w:val="003C6D66"/>
    <w:rsid w:val="003C6DC4"/>
    <w:rsid w:val="003C6EF8"/>
    <w:rsid w:val="003C7B46"/>
    <w:rsid w:val="003C7FF9"/>
    <w:rsid w:val="003D0600"/>
    <w:rsid w:val="003D0966"/>
    <w:rsid w:val="003D0ABF"/>
    <w:rsid w:val="003D0BC0"/>
    <w:rsid w:val="003D0E8C"/>
    <w:rsid w:val="003D0F72"/>
    <w:rsid w:val="003D1362"/>
    <w:rsid w:val="003D1387"/>
    <w:rsid w:val="003D164C"/>
    <w:rsid w:val="003D16E2"/>
    <w:rsid w:val="003D1860"/>
    <w:rsid w:val="003D21FD"/>
    <w:rsid w:val="003D2515"/>
    <w:rsid w:val="003D2601"/>
    <w:rsid w:val="003D2AE4"/>
    <w:rsid w:val="003D2CC0"/>
    <w:rsid w:val="003D2D54"/>
    <w:rsid w:val="003D2D9D"/>
    <w:rsid w:val="003D326C"/>
    <w:rsid w:val="003D36F4"/>
    <w:rsid w:val="003D37DF"/>
    <w:rsid w:val="003D3EE5"/>
    <w:rsid w:val="003D3F75"/>
    <w:rsid w:val="003D437B"/>
    <w:rsid w:val="003D4419"/>
    <w:rsid w:val="003D454A"/>
    <w:rsid w:val="003D4B26"/>
    <w:rsid w:val="003D4B6C"/>
    <w:rsid w:val="003D4E94"/>
    <w:rsid w:val="003D500C"/>
    <w:rsid w:val="003D52A7"/>
    <w:rsid w:val="003D52CD"/>
    <w:rsid w:val="003D55B1"/>
    <w:rsid w:val="003D56D0"/>
    <w:rsid w:val="003D59A6"/>
    <w:rsid w:val="003D5CC7"/>
    <w:rsid w:val="003D5ECC"/>
    <w:rsid w:val="003D628E"/>
    <w:rsid w:val="003D673D"/>
    <w:rsid w:val="003D6C78"/>
    <w:rsid w:val="003D6DAC"/>
    <w:rsid w:val="003D6F79"/>
    <w:rsid w:val="003D7A40"/>
    <w:rsid w:val="003E028C"/>
    <w:rsid w:val="003E032D"/>
    <w:rsid w:val="003E0C43"/>
    <w:rsid w:val="003E0CFA"/>
    <w:rsid w:val="003E0E93"/>
    <w:rsid w:val="003E0FC9"/>
    <w:rsid w:val="003E100B"/>
    <w:rsid w:val="003E11F3"/>
    <w:rsid w:val="003E11F4"/>
    <w:rsid w:val="003E135A"/>
    <w:rsid w:val="003E1BD8"/>
    <w:rsid w:val="003E1EE9"/>
    <w:rsid w:val="003E2362"/>
    <w:rsid w:val="003E2412"/>
    <w:rsid w:val="003E2439"/>
    <w:rsid w:val="003E24E6"/>
    <w:rsid w:val="003E25D8"/>
    <w:rsid w:val="003E263E"/>
    <w:rsid w:val="003E267F"/>
    <w:rsid w:val="003E273F"/>
    <w:rsid w:val="003E279D"/>
    <w:rsid w:val="003E29A9"/>
    <w:rsid w:val="003E2D58"/>
    <w:rsid w:val="003E2D89"/>
    <w:rsid w:val="003E2E88"/>
    <w:rsid w:val="003E315C"/>
    <w:rsid w:val="003E3805"/>
    <w:rsid w:val="003E39FE"/>
    <w:rsid w:val="003E3A08"/>
    <w:rsid w:val="003E3E52"/>
    <w:rsid w:val="003E4196"/>
    <w:rsid w:val="003E4542"/>
    <w:rsid w:val="003E46D6"/>
    <w:rsid w:val="003E48FD"/>
    <w:rsid w:val="003E4A14"/>
    <w:rsid w:val="003E4B3A"/>
    <w:rsid w:val="003E50DB"/>
    <w:rsid w:val="003E5209"/>
    <w:rsid w:val="003E5652"/>
    <w:rsid w:val="003E5689"/>
    <w:rsid w:val="003E5AC6"/>
    <w:rsid w:val="003E5BA7"/>
    <w:rsid w:val="003E5C24"/>
    <w:rsid w:val="003E5ED6"/>
    <w:rsid w:val="003E60B2"/>
    <w:rsid w:val="003E67C0"/>
    <w:rsid w:val="003E6E0A"/>
    <w:rsid w:val="003E7208"/>
    <w:rsid w:val="003E7281"/>
    <w:rsid w:val="003E73F7"/>
    <w:rsid w:val="003E7460"/>
    <w:rsid w:val="003E74D0"/>
    <w:rsid w:val="003E76BF"/>
    <w:rsid w:val="003E7809"/>
    <w:rsid w:val="003E7866"/>
    <w:rsid w:val="003E7A07"/>
    <w:rsid w:val="003E7B08"/>
    <w:rsid w:val="003E7B8E"/>
    <w:rsid w:val="003F0087"/>
    <w:rsid w:val="003F02ED"/>
    <w:rsid w:val="003F062F"/>
    <w:rsid w:val="003F0915"/>
    <w:rsid w:val="003F0974"/>
    <w:rsid w:val="003F10F5"/>
    <w:rsid w:val="003F1172"/>
    <w:rsid w:val="003F14D3"/>
    <w:rsid w:val="003F18F2"/>
    <w:rsid w:val="003F1A38"/>
    <w:rsid w:val="003F1A90"/>
    <w:rsid w:val="003F1D21"/>
    <w:rsid w:val="003F1E94"/>
    <w:rsid w:val="003F2440"/>
    <w:rsid w:val="003F24CF"/>
    <w:rsid w:val="003F2700"/>
    <w:rsid w:val="003F2C16"/>
    <w:rsid w:val="003F2C38"/>
    <w:rsid w:val="003F32C7"/>
    <w:rsid w:val="003F3C56"/>
    <w:rsid w:val="003F419D"/>
    <w:rsid w:val="003F423A"/>
    <w:rsid w:val="003F4941"/>
    <w:rsid w:val="003F4B95"/>
    <w:rsid w:val="003F4DB0"/>
    <w:rsid w:val="003F4F38"/>
    <w:rsid w:val="003F54A5"/>
    <w:rsid w:val="003F5868"/>
    <w:rsid w:val="003F5955"/>
    <w:rsid w:val="003F5A30"/>
    <w:rsid w:val="003F5B26"/>
    <w:rsid w:val="003F5DA5"/>
    <w:rsid w:val="003F5ECB"/>
    <w:rsid w:val="003F67FD"/>
    <w:rsid w:val="003F7677"/>
    <w:rsid w:val="003F7D1C"/>
    <w:rsid w:val="00400349"/>
    <w:rsid w:val="00400434"/>
    <w:rsid w:val="004007E4"/>
    <w:rsid w:val="00400F6C"/>
    <w:rsid w:val="00401199"/>
    <w:rsid w:val="0040192E"/>
    <w:rsid w:val="00401DD6"/>
    <w:rsid w:val="00401F7D"/>
    <w:rsid w:val="00401FBD"/>
    <w:rsid w:val="0040203F"/>
    <w:rsid w:val="0040244D"/>
    <w:rsid w:val="00402BEF"/>
    <w:rsid w:val="00402ED6"/>
    <w:rsid w:val="00403522"/>
    <w:rsid w:val="004036A1"/>
    <w:rsid w:val="0040378C"/>
    <w:rsid w:val="00403A49"/>
    <w:rsid w:val="00403B5E"/>
    <w:rsid w:val="00403D53"/>
    <w:rsid w:val="0040402C"/>
    <w:rsid w:val="00404043"/>
    <w:rsid w:val="004047E6"/>
    <w:rsid w:val="004048E2"/>
    <w:rsid w:val="00404B2F"/>
    <w:rsid w:val="00404B46"/>
    <w:rsid w:val="00404FED"/>
    <w:rsid w:val="00405128"/>
    <w:rsid w:val="00405521"/>
    <w:rsid w:val="004055F0"/>
    <w:rsid w:val="0040579C"/>
    <w:rsid w:val="0040597F"/>
    <w:rsid w:val="00406088"/>
    <w:rsid w:val="004064C7"/>
    <w:rsid w:val="004067D8"/>
    <w:rsid w:val="00406A47"/>
    <w:rsid w:val="00406B5B"/>
    <w:rsid w:val="00406E25"/>
    <w:rsid w:val="00407292"/>
    <w:rsid w:val="004072A9"/>
    <w:rsid w:val="0040735F"/>
    <w:rsid w:val="00407426"/>
    <w:rsid w:val="0040756B"/>
    <w:rsid w:val="0040774A"/>
    <w:rsid w:val="004079CF"/>
    <w:rsid w:val="00407C45"/>
    <w:rsid w:val="00407DE0"/>
    <w:rsid w:val="00407EDF"/>
    <w:rsid w:val="00407F71"/>
    <w:rsid w:val="0041035F"/>
    <w:rsid w:val="00410738"/>
    <w:rsid w:val="00410F76"/>
    <w:rsid w:val="004113CB"/>
    <w:rsid w:val="00411553"/>
    <w:rsid w:val="00411914"/>
    <w:rsid w:val="00411A4E"/>
    <w:rsid w:val="00411C9D"/>
    <w:rsid w:val="00411DBA"/>
    <w:rsid w:val="00411DCE"/>
    <w:rsid w:val="00411E28"/>
    <w:rsid w:val="00411E32"/>
    <w:rsid w:val="00411F10"/>
    <w:rsid w:val="00412152"/>
    <w:rsid w:val="0041219E"/>
    <w:rsid w:val="00412670"/>
    <w:rsid w:val="00412C0F"/>
    <w:rsid w:val="00412CB4"/>
    <w:rsid w:val="00413003"/>
    <w:rsid w:val="004130B7"/>
    <w:rsid w:val="004132BA"/>
    <w:rsid w:val="004134BB"/>
    <w:rsid w:val="00413907"/>
    <w:rsid w:val="00413AB6"/>
    <w:rsid w:val="00413F87"/>
    <w:rsid w:val="0041440C"/>
    <w:rsid w:val="00414DDA"/>
    <w:rsid w:val="00414E1E"/>
    <w:rsid w:val="00414FDD"/>
    <w:rsid w:val="004150D1"/>
    <w:rsid w:val="004156C7"/>
    <w:rsid w:val="004157C9"/>
    <w:rsid w:val="00415864"/>
    <w:rsid w:val="00415BC1"/>
    <w:rsid w:val="00415BD2"/>
    <w:rsid w:val="00416018"/>
    <w:rsid w:val="0041605C"/>
    <w:rsid w:val="00416144"/>
    <w:rsid w:val="0041628F"/>
    <w:rsid w:val="00416539"/>
    <w:rsid w:val="004165D6"/>
    <w:rsid w:val="0041680E"/>
    <w:rsid w:val="00416994"/>
    <w:rsid w:val="00416B46"/>
    <w:rsid w:val="00416F2A"/>
    <w:rsid w:val="004175E2"/>
    <w:rsid w:val="00417AD2"/>
    <w:rsid w:val="00420209"/>
    <w:rsid w:val="00420269"/>
    <w:rsid w:val="00420917"/>
    <w:rsid w:val="00420921"/>
    <w:rsid w:val="00420BF8"/>
    <w:rsid w:val="00420FB6"/>
    <w:rsid w:val="00421150"/>
    <w:rsid w:val="0042154E"/>
    <w:rsid w:val="0042163E"/>
    <w:rsid w:val="0042165C"/>
    <w:rsid w:val="004216B1"/>
    <w:rsid w:val="00421947"/>
    <w:rsid w:val="00421962"/>
    <w:rsid w:val="00421A15"/>
    <w:rsid w:val="00421A41"/>
    <w:rsid w:val="00421A4A"/>
    <w:rsid w:val="00421BC2"/>
    <w:rsid w:val="00421BD3"/>
    <w:rsid w:val="00421CA9"/>
    <w:rsid w:val="00422168"/>
    <w:rsid w:val="004225B8"/>
    <w:rsid w:val="00422738"/>
    <w:rsid w:val="004228A5"/>
    <w:rsid w:val="00422BB6"/>
    <w:rsid w:val="00422ECB"/>
    <w:rsid w:val="004231AF"/>
    <w:rsid w:val="00423280"/>
    <w:rsid w:val="004233DE"/>
    <w:rsid w:val="004238D7"/>
    <w:rsid w:val="00423908"/>
    <w:rsid w:val="00423BC1"/>
    <w:rsid w:val="00423C22"/>
    <w:rsid w:val="00423E5A"/>
    <w:rsid w:val="004242B3"/>
    <w:rsid w:val="0042434F"/>
    <w:rsid w:val="00424488"/>
    <w:rsid w:val="00424557"/>
    <w:rsid w:val="004245F5"/>
    <w:rsid w:val="00424BA3"/>
    <w:rsid w:val="00424F9E"/>
    <w:rsid w:val="00424FEA"/>
    <w:rsid w:val="004250E2"/>
    <w:rsid w:val="004251F1"/>
    <w:rsid w:val="00425627"/>
    <w:rsid w:val="0042567A"/>
    <w:rsid w:val="004257EC"/>
    <w:rsid w:val="00425861"/>
    <w:rsid w:val="004259A1"/>
    <w:rsid w:val="00425A0E"/>
    <w:rsid w:val="00425B39"/>
    <w:rsid w:val="00425C08"/>
    <w:rsid w:val="00425EE8"/>
    <w:rsid w:val="004263EB"/>
    <w:rsid w:val="00426431"/>
    <w:rsid w:val="00426455"/>
    <w:rsid w:val="0042676D"/>
    <w:rsid w:val="004268C4"/>
    <w:rsid w:val="00426A24"/>
    <w:rsid w:val="004277A8"/>
    <w:rsid w:val="004278E9"/>
    <w:rsid w:val="00427BB6"/>
    <w:rsid w:val="00427DAB"/>
    <w:rsid w:val="00427E28"/>
    <w:rsid w:val="00427FF6"/>
    <w:rsid w:val="00430023"/>
    <w:rsid w:val="004304DF"/>
    <w:rsid w:val="004309BD"/>
    <w:rsid w:val="00430B34"/>
    <w:rsid w:val="00430BC6"/>
    <w:rsid w:val="00430D88"/>
    <w:rsid w:val="00430DFF"/>
    <w:rsid w:val="00430E20"/>
    <w:rsid w:val="00430F50"/>
    <w:rsid w:val="00430FA2"/>
    <w:rsid w:val="00431B65"/>
    <w:rsid w:val="00431FF0"/>
    <w:rsid w:val="00432123"/>
    <w:rsid w:val="00432390"/>
    <w:rsid w:val="004328C4"/>
    <w:rsid w:val="004328D5"/>
    <w:rsid w:val="004329AC"/>
    <w:rsid w:val="004329B7"/>
    <w:rsid w:val="00432B9A"/>
    <w:rsid w:val="0043306C"/>
    <w:rsid w:val="00433104"/>
    <w:rsid w:val="004336F2"/>
    <w:rsid w:val="00433B01"/>
    <w:rsid w:val="00433E54"/>
    <w:rsid w:val="00433F37"/>
    <w:rsid w:val="0043415D"/>
    <w:rsid w:val="004347F9"/>
    <w:rsid w:val="004349A9"/>
    <w:rsid w:val="00434C03"/>
    <w:rsid w:val="00434C74"/>
    <w:rsid w:val="00435294"/>
    <w:rsid w:val="004352B5"/>
    <w:rsid w:val="00435566"/>
    <w:rsid w:val="00435A4A"/>
    <w:rsid w:val="00435A84"/>
    <w:rsid w:val="00435B26"/>
    <w:rsid w:val="00435CF8"/>
    <w:rsid w:val="00436102"/>
    <w:rsid w:val="004362B1"/>
    <w:rsid w:val="0043659B"/>
    <w:rsid w:val="00436919"/>
    <w:rsid w:val="00436C03"/>
    <w:rsid w:val="00436DB5"/>
    <w:rsid w:val="00436DCA"/>
    <w:rsid w:val="004372F7"/>
    <w:rsid w:val="004373FE"/>
    <w:rsid w:val="00437537"/>
    <w:rsid w:val="0043755C"/>
    <w:rsid w:val="004379A3"/>
    <w:rsid w:val="004379F8"/>
    <w:rsid w:val="00437A22"/>
    <w:rsid w:val="00437C2D"/>
    <w:rsid w:val="00437C5C"/>
    <w:rsid w:val="004403EC"/>
    <w:rsid w:val="0044070E"/>
    <w:rsid w:val="00440B3D"/>
    <w:rsid w:val="00440ECC"/>
    <w:rsid w:val="00440F99"/>
    <w:rsid w:val="0044130C"/>
    <w:rsid w:val="00441566"/>
    <w:rsid w:val="00441576"/>
    <w:rsid w:val="004419BD"/>
    <w:rsid w:val="004419DB"/>
    <w:rsid w:val="00441D4D"/>
    <w:rsid w:val="00441DA0"/>
    <w:rsid w:val="004426BD"/>
    <w:rsid w:val="00442BB9"/>
    <w:rsid w:val="00442C50"/>
    <w:rsid w:val="004430B9"/>
    <w:rsid w:val="004431EB"/>
    <w:rsid w:val="004432C3"/>
    <w:rsid w:val="0044339A"/>
    <w:rsid w:val="004434F7"/>
    <w:rsid w:val="00443881"/>
    <w:rsid w:val="0044389B"/>
    <w:rsid w:val="004438BD"/>
    <w:rsid w:val="00443BBF"/>
    <w:rsid w:val="00444551"/>
    <w:rsid w:val="004449B7"/>
    <w:rsid w:val="00444BB9"/>
    <w:rsid w:val="00445164"/>
    <w:rsid w:val="00445A97"/>
    <w:rsid w:val="00445C02"/>
    <w:rsid w:val="00445DD0"/>
    <w:rsid w:val="00446341"/>
    <w:rsid w:val="00446632"/>
    <w:rsid w:val="00446A77"/>
    <w:rsid w:val="00446ACC"/>
    <w:rsid w:val="00446B4B"/>
    <w:rsid w:val="00447062"/>
    <w:rsid w:val="004470C2"/>
    <w:rsid w:val="004472DC"/>
    <w:rsid w:val="0044732B"/>
    <w:rsid w:val="00447E57"/>
    <w:rsid w:val="00447E9E"/>
    <w:rsid w:val="0045007E"/>
    <w:rsid w:val="004501DD"/>
    <w:rsid w:val="00450254"/>
    <w:rsid w:val="0045069A"/>
    <w:rsid w:val="00450E2A"/>
    <w:rsid w:val="00450EE2"/>
    <w:rsid w:val="0045102D"/>
    <w:rsid w:val="004511AA"/>
    <w:rsid w:val="004512F3"/>
    <w:rsid w:val="004513AA"/>
    <w:rsid w:val="00451418"/>
    <w:rsid w:val="00451693"/>
    <w:rsid w:val="00451820"/>
    <w:rsid w:val="00451AA2"/>
    <w:rsid w:val="00451BBA"/>
    <w:rsid w:val="00451DF6"/>
    <w:rsid w:val="00451F0D"/>
    <w:rsid w:val="00451F7A"/>
    <w:rsid w:val="004520AE"/>
    <w:rsid w:val="00452670"/>
    <w:rsid w:val="0045314F"/>
    <w:rsid w:val="00453308"/>
    <w:rsid w:val="00453593"/>
    <w:rsid w:val="004537A2"/>
    <w:rsid w:val="00453C2D"/>
    <w:rsid w:val="0045445B"/>
    <w:rsid w:val="00454609"/>
    <w:rsid w:val="004549DE"/>
    <w:rsid w:val="00454B3D"/>
    <w:rsid w:val="00454CDD"/>
    <w:rsid w:val="00454DFC"/>
    <w:rsid w:val="00454F9F"/>
    <w:rsid w:val="00454FD8"/>
    <w:rsid w:val="004552D5"/>
    <w:rsid w:val="00455317"/>
    <w:rsid w:val="00455481"/>
    <w:rsid w:val="00455B48"/>
    <w:rsid w:val="00455C7F"/>
    <w:rsid w:val="00455D47"/>
    <w:rsid w:val="004565AF"/>
    <w:rsid w:val="004565B5"/>
    <w:rsid w:val="00456849"/>
    <w:rsid w:val="00456A01"/>
    <w:rsid w:val="00456A6C"/>
    <w:rsid w:val="00456B8E"/>
    <w:rsid w:val="00456C8D"/>
    <w:rsid w:val="00456F82"/>
    <w:rsid w:val="00457349"/>
    <w:rsid w:val="00457393"/>
    <w:rsid w:val="004577D6"/>
    <w:rsid w:val="004579CE"/>
    <w:rsid w:val="00457A81"/>
    <w:rsid w:val="00457D27"/>
    <w:rsid w:val="00457EE2"/>
    <w:rsid w:val="00460056"/>
    <w:rsid w:val="0046018A"/>
    <w:rsid w:val="004604D5"/>
    <w:rsid w:val="00460633"/>
    <w:rsid w:val="00460647"/>
    <w:rsid w:val="00460F2E"/>
    <w:rsid w:val="004611E7"/>
    <w:rsid w:val="004612D2"/>
    <w:rsid w:val="004613B4"/>
    <w:rsid w:val="00461791"/>
    <w:rsid w:val="00461BC4"/>
    <w:rsid w:val="00461C49"/>
    <w:rsid w:val="00461DAF"/>
    <w:rsid w:val="00461EBB"/>
    <w:rsid w:val="00461F65"/>
    <w:rsid w:val="00461FE1"/>
    <w:rsid w:val="0046275A"/>
    <w:rsid w:val="0046299E"/>
    <w:rsid w:val="00462B6C"/>
    <w:rsid w:val="004634E1"/>
    <w:rsid w:val="004635F4"/>
    <w:rsid w:val="0046381F"/>
    <w:rsid w:val="00463B51"/>
    <w:rsid w:val="00463C7C"/>
    <w:rsid w:val="004644FF"/>
    <w:rsid w:val="00464505"/>
    <w:rsid w:val="0046496D"/>
    <w:rsid w:val="00465390"/>
    <w:rsid w:val="004657DB"/>
    <w:rsid w:val="00465EC2"/>
    <w:rsid w:val="00465F0C"/>
    <w:rsid w:val="004665A5"/>
    <w:rsid w:val="004667D0"/>
    <w:rsid w:val="0046683B"/>
    <w:rsid w:val="0046697E"/>
    <w:rsid w:val="0046712F"/>
    <w:rsid w:val="004672BE"/>
    <w:rsid w:val="004676E6"/>
    <w:rsid w:val="0046779F"/>
    <w:rsid w:val="004677B0"/>
    <w:rsid w:val="00467AAF"/>
    <w:rsid w:val="00467C3C"/>
    <w:rsid w:val="00467C87"/>
    <w:rsid w:val="00470601"/>
    <w:rsid w:val="0047082A"/>
    <w:rsid w:val="00470E6A"/>
    <w:rsid w:val="00470EBF"/>
    <w:rsid w:val="004713BC"/>
    <w:rsid w:val="00471556"/>
    <w:rsid w:val="00471596"/>
    <w:rsid w:val="00471637"/>
    <w:rsid w:val="004716E8"/>
    <w:rsid w:val="004716F9"/>
    <w:rsid w:val="00471752"/>
    <w:rsid w:val="00471796"/>
    <w:rsid w:val="0047193A"/>
    <w:rsid w:val="00471C61"/>
    <w:rsid w:val="00471C90"/>
    <w:rsid w:val="00471D80"/>
    <w:rsid w:val="00472184"/>
    <w:rsid w:val="00472602"/>
    <w:rsid w:val="0047264D"/>
    <w:rsid w:val="00472C4C"/>
    <w:rsid w:val="00472FA5"/>
    <w:rsid w:val="004731F8"/>
    <w:rsid w:val="004733A9"/>
    <w:rsid w:val="0047355A"/>
    <w:rsid w:val="00473CEC"/>
    <w:rsid w:val="004742DB"/>
    <w:rsid w:val="004743D5"/>
    <w:rsid w:val="004744B8"/>
    <w:rsid w:val="00474683"/>
    <w:rsid w:val="0047483D"/>
    <w:rsid w:val="00474CD7"/>
    <w:rsid w:val="00474E1F"/>
    <w:rsid w:val="004750A9"/>
    <w:rsid w:val="0047535B"/>
    <w:rsid w:val="004753CB"/>
    <w:rsid w:val="00475914"/>
    <w:rsid w:val="00475B34"/>
    <w:rsid w:val="00475C41"/>
    <w:rsid w:val="00476735"/>
    <w:rsid w:val="00476817"/>
    <w:rsid w:val="004769C6"/>
    <w:rsid w:val="00476AD6"/>
    <w:rsid w:val="00477194"/>
    <w:rsid w:val="00477584"/>
    <w:rsid w:val="004775A0"/>
    <w:rsid w:val="00477611"/>
    <w:rsid w:val="0047761D"/>
    <w:rsid w:val="00477B19"/>
    <w:rsid w:val="00477BEA"/>
    <w:rsid w:val="004801C6"/>
    <w:rsid w:val="00480255"/>
    <w:rsid w:val="0048025B"/>
    <w:rsid w:val="004802AF"/>
    <w:rsid w:val="004802B0"/>
    <w:rsid w:val="0048038D"/>
    <w:rsid w:val="00480450"/>
    <w:rsid w:val="0048085F"/>
    <w:rsid w:val="004808C9"/>
    <w:rsid w:val="00480C24"/>
    <w:rsid w:val="00481033"/>
    <w:rsid w:val="00481147"/>
    <w:rsid w:val="0048190D"/>
    <w:rsid w:val="00481B98"/>
    <w:rsid w:val="00481F08"/>
    <w:rsid w:val="0048250F"/>
    <w:rsid w:val="00482519"/>
    <w:rsid w:val="0048263D"/>
    <w:rsid w:val="0048276B"/>
    <w:rsid w:val="00482B65"/>
    <w:rsid w:val="00483201"/>
    <w:rsid w:val="00483561"/>
    <w:rsid w:val="00483726"/>
    <w:rsid w:val="00483877"/>
    <w:rsid w:val="00483A62"/>
    <w:rsid w:val="00483AB8"/>
    <w:rsid w:val="00483E84"/>
    <w:rsid w:val="00483EF3"/>
    <w:rsid w:val="00484226"/>
    <w:rsid w:val="004844D6"/>
    <w:rsid w:val="0048464C"/>
    <w:rsid w:val="0048476C"/>
    <w:rsid w:val="00484898"/>
    <w:rsid w:val="004850D5"/>
    <w:rsid w:val="004850F2"/>
    <w:rsid w:val="0048527B"/>
    <w:rsid w:val="0048531B"/>
    <w:rsid w:val="0048684B"/>
    <w:rsid w:val="00486B43"/>
    <w:rsid w:val="00486C00"/>
    <w:rsid w:val="00487108"/>
    <w:rsid w:val="004874A0"/>
    <w:rsid w:val="004876CE"/>
    <w:rsid w:val="004878C1"/>
    <w:rsid w:val="0048796F"/>
    <w:rsid w:val="00487B34"/>
    <w:rsid w:val="00487D61"/>
    <w:rsid w:val="00487DEB"/>
    <w:rsid w:val="004900A9"/>
    <w:rsid w:val="004900F0"/>
    <w:rsid w:val="00490345"/>
    <w:rsid w:val="004904C8"/>
    <w:rsid w:val="004908F3"/>
    <w:rsid w:val="0049098C"/>
    <w:rsid w:val="0049160A"/>
    <w:rsid w:val="004918D9"/>
    <w:rsid w:val="00491FAA"/>
    <w:rsid w:val="00492042"/>
    <w:rsid w:val="0049205C"/>
    <w:rsid w:val="00492087"/>
    <w:rsid w:val="004922BF"/>
    <w:rsid w:val="004922F3"/>
    <w:rsid w:val="0049253E"/>
    <w:rsid w:val="00492D25"/>
    <w:rsid w:val="004931D6"/>
    <w:rsid w:val="00493343"/>
    <w:rsid w:val="00493366"/>
    <w:rsid w:val="00493619"/>
    <w:rsid w:val="0049384B"/>
    <w:rsid w:val="00493D40"/>
    <w:rsid w:val="0049409D"/>
    <w:rsid w:val="004941BB"/>
    <w:rsid w:val="004942B7"/>
    <w:rsid w:val="004943BB"/>
    <w:rsid w:val="0049447F"/>
    <w:rsid w:val="004946B9"/>
    <w:rsid w:val="00494AAD"/>
    <w:rsid w:val="00494B24"/>
    <w:rsid w:val="00494B73"/>
    <w:rsid w:val="00494C45"/>
    <w:rsid w:val="00494E1C"/>
    <w:rsid w:val="00495049"/>
    <w:rsid w:val="0049510A"/>
    <w:rsid w:val="0049520A"/>
    <w:rsid w:val="004958D7"/>
    <w:rsid w:val="004958D9"/>
    <w:rsid w:val="00495FE4"/>
    <w:rsid w:val="004960A9"/>
    <w:rsid w:val="0049673A"/>
    <w:rsid w:val="00496DF4"/>
    <w:rsid w:val="00496FB4"/>
    <w:rsid w:val="00497490"/>
    <w:rsid w:val="004974D0"/>
    <w:rsid w:val="00497808"/>
    <w:rsid w:val="00497EF3"/>
    <w:rsid w:val="004A0016"/>
    <w:rsid w:val="004A03A3"/>
    <w:rsid w:val="004A0789"/>
    <w:rsid w:val="004A0BBA"/>
    <w:rsid w:val="004A112F"/>
    <w:rsid w:val="004A148E"/>
    <w:rsid w:val="004A1AA5"/>
    <w:rsid w:val="004A1D82"/>
    <w:rsid w:val="004A1DB3"/>
    <w:rsid w:val="004A1E99"/>
    <w:rsid w:val="004A2023"/>
    <w:rsid w:val="004A2385"/>
    <w:rsid w:val="004A23CB"/>
    <w:rsid w:val="004A24A4"/>
    <w:rsid w:val="004A2E9B"/>
    <w:rsid w:val="004A2ED2"/>
    <w:rsid w:val="004A3055"/>
    <w:rsid w:val="004A3662"/>
    <w:rsid w:val="004A3C62"/>
    <w:rsid w:val="004A3F18"/>
    <w:rsid w:val="004A4178"/>
    <w:rsid w:val="004A4197"/>
    <w:rsid w:val="004A42AF"/>
    <w:rsid w:val="004A4419"/>
    <w:rsid w:val="004A47F2"/>
    <w:rsid w:val="004A4817"/>
    <w:rsid w:val="004A4977"/>
    <w:rsid w:val="004A4CDA"/>
    <w:rsid w:val="004A4EFD"/>
    <w:rsid w:val="004A5312"/>
    <w:rsid w:val="004A573D"/>
    <w:rsid w:val="004A5972"/>
    <w:rsid w:val="004A5BE7"/>
    <w:rsid w:val="004A5CC9"/>
    <w:rsid w:val="004A63B4"/>
    <w:rsid w:val="004A6901"/>
    <w:rsid w:val="004A6A97"/>
    <w:rsid w:val="004A6CAC"/>
    <w:rsid w:val="004A6CAE"/>
    <w:rsid w:val="004A70E7"/>
    <w:rsid w:val="004A7345"/>
    <w:rsid w:val="004A7A1B"/>
    <w:rsid w:val="004A7A22"/>
    <w:rsid w:val="004A7BAA"/>
    <w:rsid w:val="004A7C71"/>
    <w:rsid w:val="004A7DFA"/>
    <w:rsid w:val="004A7EC4"/>
    <w:rsid w:val="004B0305"/>
    <w:rsid w:val="004B03EA"/>
    <w:rsid w:val="004B03FA"/>
    <w:rsid w:val="004B060B"/>
    <w:rsid w:val="004B0882"/>
    <w:rsid w:val="004B095F"/>
    <w:rsid w:val="004B0CD2"/>
    <w:rsid w:val="004B0FF9"/>
    <w:rsid w:val="004B11F0"/>
    <w:rsid w:val="004B20F4"/>
    <w:rsid w:val="004B2625"/>
    <w:rsid w:val="004B2721"/>
    <w:rsid w:val="004B28A4"/>
    <w:rsid w:val="004B2B7C"/>
    <w:rsid w:val="004B2B96"/>
    <w:rsid w:val="004B2C5D"/>
    <w:rsid w:val="004B2CD5"/>
    <w:rsid w:val="004B30FF"/>
    <w:rsid w:val="004B3F8E"/>
    <w:rsid w:val="004B41BE"/>
    <w:rsid w:val="004B544D"/>
    <w:rsid w:val="004B54A8"/>
    <w:rsid w:val="004B555A"/>
    <w:rsid w:val="004B5931"/>
    <w:rsid w:val="004B6257"/>
    <w:rsid w:val="004B62B8"/>
    <w:rsid w:val="004B6491"/>
    <w:rsid w:val="004B6698"/>
    <w:rsid w:val="004B67D5"/>
    <w:rsid w:val="004B6C3A"/>
    <w:rsid w:val="004B716C"/>
    <w:rsid w:val="004B7430"/>
    <w:rsid w:val="004B7534"/>
    <w:rsid w:val="004B78A3"/>
    <w:rsid w:val="004B7A05"/>
    <w:rsid w:val="004B7CBC"/>
    <w:rsid w:val="004B7F85"/>
    <w:rsid w:val="004C0488"/>
    <w:rsid w:val="004C06AC"/>
    <w:rsid w:val="004C0E45"/>
    <w:rsid w:val="004C130A"/>
    <w:rsid w:val="004C13B3"/>
    <w:rsid w:val="004C1503"/>
    <w:rsid w:val="004C153A"/>
    <w:rsid w:val="004C161D"/>
    <w:rsid w:val="004C1657"/>
    <w:rsid w:val="004C1CA8"/>
    <w:rsid w:val="004C234F"/>
    <w:rsid w:val="004C23FC"/>
    <w:rsid w:val="004C283F"/>
    <w:rsid w:val="004C2C73"/>
    <w:rsid w:val="004C3036"/>
    <w:rsid w:val="004C32DD"/>
    <w:rsid w:val="004C3683"/>
    <w:rsid w:val="004C3875"/>
    <w:rsid w:val="004C3B33"/>
    <w:rsid w:val="004C3CF9"/>
    <w:rsid w:val="004C3F90"/>
    <w:rsid w:val="004C416C"/>
    <w:rsid w:val="004C4222"/>
    <w:rsid w:val="004C4533"/>
    <w:rsid w:val="004C45E4"/>
    <w:rsid w:val="004C47AB"/>
    <w:rsid w:val="004C490C"/>
    <w:rsid w:val="004C4AE6"/>
    <w:rsid w:val="004C4ECC"/>
    <w:rsid w:val="004C4FF9"/>
    <w:rsid w:val="004C5285"/>
    <w:rsid w:val="004C5413"/>
    <w:rsid w:val="004C557B"/>
    <w:rsid w:val="004C5BA6"/>
    <w:rsid w:val="004C5BB0"/>
    <w:rsid w:val="004C6137"/>
    <w:rsid w:val="004C6351"/>
    <w:rsid w:val="004C6568"/>
    <w:rsid w:val="004C6660"/>
    <w:rsid w:val="004C6B66"/>
    <w:rsid w:val="004C7229"/>
    <w:rsid w:val="004C733B"/>
    <w:rsid w:val="004C73F2"/>
    <w:rsid w:val="004C75FA"/>
    <w:rsid w:val="004C7772"/>
    <w:rsid w:val="004C7873"/>
    <w:rsid w:val="004C7A6F"/>
    <w:rsid w:val="004D010C"/>
    <w:rsid w:val="004D0AEF"/>
    <w:rsid w:val="004D0B50"/>
    <w:rsid w:val="004D0F16"/>
    <w:rsid w:val="004D1AE9"/>
    <w:rsid w:val="004D280D"/>
    <w:rsid w:val="004D2AD6"/>
    <w:rsid w:val="004D2E49"/>
    <w:rsid w:val="004D3050"/>
    <w:rsid w:val="004D3065"/>
    <w:rsid w:val="004D3096"/>
    <w:rsid w:val="004D3151"/>
    <w:rsid w:val="004D3189"/>
    <w:rsid w:val="004D31E9"/>
    <w:rsid w:val="004D35B8"/>
    <w:rsid w:val="004D3611"/>
    <w:rsid w:val="004D37B6"/>
    <w:rsid w:val="004D37C1"/>
    <w:rsid w:val="004D3936"/>
    <w:rsid w:val="004D3CB8"/>
    <w:rsid w:val="004D3CC4"/>
    <w:rsid w:val="004D3D43"/>
    <w:rsid w:val="004D3EC5"/>
    <w:rsid w:val="004D3F55"/>
    <w:rsid w:val="004D4413"/>
    <w:rsid w:val="004D4920"/>
    <w:rsid w:val="004D4948"/>
    <w:rsid w:val="004D4DB9"/>
    <w:rsid w:val="004D4FBA"/>
    <w:rsid w:val="004D53C1"/>
    <w:rsid w:val="004D5A3B"/>
    <w:rsid w:val="004D5DA9"/>
    <w:rsid w:val="004D5E63"/>
    <w:rsid w:val="004D5EBF"/>
    <w:rsid w:val="004D60F5"/>
    <w:rsid w:val="004D635C"/>
    <w:rsid w:val="004D6767"/>
    <w:rsid w:val="004D68CE"/>
    <w:rsid w:val="004D698B"/>
    <w:rsid w:val="004D6A0F"/>
    <w:rsid w:val="004D6CFB"/>
    <w:rsid w:val="004D6DA1"/>
    <w:rsid w:val="004D6E53"/>
    <w:rsid w:val="004D70DE"/>
    <w:rsid w:val="004D718A"/>
    <w:rsid w:val="004D785B"/>
    <w:rsid w:val="004D7B0C"/>
    <w:rsid w:val="004D7CA8"/>
    <w:rsid w:val="004E027C"/>
    <w:rsid w:val="004E0349"/>
    <w:rsid w:val="004E0616"/>
    <w:rsid w:val="004E06A1"/>
    <w:rsid w:val="004E077F"/>
    <w:rsid w:val="004E078A"/>
    <w:rsid w:val="004E0831"/>
    <w:rsid w:val="004E0878"/>
    <w:rsid w:val="004E0C6D"/>
    <w:rsid w:val="004E0CB3"/>
    <w:rsid w:val="004E0DC1"/>
    <w:rsid w:val="004E0F92"/>
    <w:rsid w:val="004E112E"/>
    <w:rsid w:val="004E14C2"/>
    <w:rsid w:val="004E159A"/>
    <w:rsid w:val="004E173E"/>
    <w:rsid w:val="004E18C1"/>
    <w:rsid w:val="004E1FD0"/>
    <w:rsid w:val="004E2105"/>
    <w:rsid w:val="004E2649"/>
    <w:rsid w:val="004E2680"/>
    <w:rsid w:val="004E269D"/>
    <w:rsid w:val="004E2881"/>
    <w:rsid w:val="004E2BF2"/>
    <w:rsid w:val="004E2BFE"/>
    <w:rsid w:val="004E2C10"/>
    <w:rsid w:val="004E2F68"/>
    <w:rsid w:val="004E3144"/>
    <w:rsid w:val="004E3334"/>
    <w:rsid w:val="004E34E9"/>
    <w:rsid w:val="004E3505"/>
    <w:rsid w:val="004E35AE"/>
    <w:rsid w:val="004E35DB"/>
    <w:rsid w:val="004E3790"/>
    <w:rsid w:val="004E395D"/>
    <w:rsid w:val="004E3A78"/>
    <w:rsid w:val="004E3ACA"/>
    <w:rsid w:val="004E3CA3"/>
    <w:rsid w:val="004E3E6A"/>
    <w:rsid w:val="004E3E8A"/>
    <w:rsid w:val="004E4254"/>
    <w:rsid w:val="004E4642"/>
    <w:rsid w:val="004E481D"/>
    <w:rsid w:val="004E498E"/>
    <w:rsid w:val="004E4B2C"/>
    <w:rsid w:val="004E4D15"/>
    <w:rsid w:val="004E5026"/>
    <w:rsid w:val="004E519F"/>
    <w:rsid w:val="004E568C"/>
    <w:rsid w:val="004E6011"/>
    <w:rsid w:val="004E6136"/>
    <w:rsid w:val="004E628F"/>
    <w:rsid w:val="004E62B8"/>
    <w:rsid w:val="004E69AB"/>
    <w:rsid w:val="004E6D6A"/>
    <w:rsid w:val="004E6E4B"/>
    <w:rsid w:val="004E711A"/>
    <w:rsid w:val="004E7652"/>
    <w:rsid w:val="004E7697"/>
    <w:rsid w:val="004E7719"/>
    <w:rsid w:val="004E78C0"/>
    <w:rsid w:val="004E7A03"/>
    <w:rsid w:val="004E7B77"/>
    <w:rsid w:val="004E7E4A"/>
    <w:rsid w:val="004F0031"/>
    <w:rsid w:val="004F00EB"/>
    <w:rsid w:val="004F0133"/>
    <w:rsid w:val="004F0565"/>
    <w:rsid w:val="004F0A10"/>
    <w:rsid w:val="004F0B06"/>
    <w:rsid w:val="004F1566"/>
    <w:rsid w:val="004F17CA"/>
    <w:rsid w:val="004F17D0"/>
    <w:rsid w:val="004F1C8D"/>
    <w:rsid w:val="004F1CAE"/>
    <w:rsid w:val="004F24E3"/>
    <w:rsid w:val="004F260B"/>
    <w:rsid w:val="004F2C15"/>
    <w:rsid w:val="004F2FB7"/>
    <w:rsid w:val="004F3104"/>
    <w:rsid w:val="004F3261"/>
    <w:rsid w:val="004F3625"/>
    <w:rsid w:val="004F3798"/>
    <w:rsid w:val="004F3FB7"/>
    <w:rsid w:val="004F42C1"/>
    <w:rsid w:val="004F4414"/>
    <w:rsid w:val="004F491C"/>
    <w:rsid w:val="004F4E27"/>
    <w:rsid w:val="004F4E95"/>
    <w:rsid w:val="004F52F9"/>
    <w:rsid w:val="004F5578"/>
    <w:rsid w:val="004F55D4"/>
    <w:rsid w:val="004F5731"/>
    <w:rsid w:val="004F58AE"/>
    <w:rsid w:val="004F5B2B"/>
    <w:rsid w:val="004F5CC3"/>
    <w:rsid w:val="004F5D65"/>
    <w:rsid w:val="004F615C"/>
    <w:rsid w:val="004F635E"/>
    <w:rsid w:val="004F65AA"/>
    <w:rsid w:val="004F65CF"/>
    <w:rsid w:val="004F67FE"/>
    <w:rsid w:val="004F6B5B"/>
    <w:rsid w:val="004F6EF9"/>
    <w:rsid w:val="004F76D1"/>
    <w:rsid w:val="004F771D"/>
    <w:rsid w:val="004F7771"/>
    <w:rsid w:val="004F7D9D"/>
    <w:rsid w:val="005000D5"/>
    <w:rsid w:val="0050025C"/>
    <w:rsid w:val="00500627"/>
    <w:rsid w:val="005009A0"/>
    <w:rsid w:val="00501659"/>
    <w:rsid w:val="00501B7E"/>
    <w:rsid w:val="00501F69"/>
    <w:rsid w:val="005021D5"/>
    <w:rsid w:val="005021DC"/>
    <w:rsid w:val="0050228C"/>
    <w:rsid w:val="00502445"/>
    <w:rsid w:val="0050245F"/>
    <w:rsid w:val="00502720"/>
    <w:rsid w:val="005027C8"/>
    <w:rsid w:val="00502A57"/>
    <w:rsid w:val="00502EA1"/>
    <w:rsid w:val="00502FF2"/>
    <w:rsid w:val="00503242"/>
    <w:rsid w:val="00503252"/>
    <w:rsid w:val="005037B7"/>
    <w:rsid w:val="00503D1B"/>
    <w:rsid w:val="005041DD"/>
    <w:rsid w:val="005041E7"/>
    <w:rsid w:val="00504B21"/>
    <w:rsid w:val="00504C04"/>
    <w:rsid w:val="00504DFD"/>
    <w:rsid w:val="005054B7"/>
    <w:rsid w:val="00505E48"/>
    <w:rsid w:val="005063AF"/>
    <w:rsid w:val="00506577"/>
    <w:rsid w:val="00506A90"/>
    <w:rsid w:val="00506FB9"/>
    <w:rsid w:val="005072A6"/>
    <w:rsid w:val="00507348"/>
    <w:rsid w:val="00507659"/>
    <w:rsid w:val="00507661"/>
    <w:rsid w:val="0050772F"/>
    <w:rsid w:val="00507E4F"/>
    <w:rsid w:val="00510476"/>
    <w:rsid w:val="00510785"/>
    <w:rsid w:val="005109BA"/>
    <w:rsid w:val="00510A58"/>
    <w:rsid w:val="00510C58"/>
    <w:rsid w:val="00511027"/>
    <w:rsid w:val="00511339"/>
    <w:rsid w:val="0051186B"/>
    <w:rsid w:val="00511C52"/>
    <w:rsid w:val="00511CFB"/>
    <w:rsid w:val="00511DB2"/>
    <w:rsid w:val="00511E1D"/>
    <w:rsid w:val="00511F81"/>
    <w:rsid w:val="0051228B"/>
    <w:rsid w:val="005122A7"/>
    <w:rsid w:val="005123F2"/>
    <w:rsid w:val="0051257F"/>
    <w:rsid w:val="005126BF"/>
    <w:rsid w:val="00512A02"/>
    <w:rsid w:val="00512E4A"/>
    <w:rsid w:val="00512E5A"/>
    <w:rsid w:val="005132B2"/>
    <w:rsid w:val="005134A6"/>
    <w:rsid w:val="00513912"/>
    <w:rsid w:val="00513B42"/>
    <w:rsid w:val="00513CC3"/>
    <w:rsid w:val="00513E43"/>
    <w:rsid w:val="00513EA8"/>
    <w:rsid w:val="00514118"/>
    <w:rsid w:val="005144E6"/>
    <w:rsid w:val="005145E8"/>
    <w:rsid w:val="005145F4"/>
    <w:rsid w:val="005145F7"/>
    <w:rsid w:val="005149D5"/>
    <w:rsid w:val="00514A1D"/>
    <w:rsid w:val="00514B85"/>
    <w:rsid w:val="00514ED8"/>
    <w:rsid w:val="005153C2"/>
    <w:rsid w:val="00515416"/>
    <w:rsid w:val="00515554"/>
    <w:rsid w:val="005156F5"/>
    <w:rsid w:val="0051588E"/>
    <w:rsid w:val="005159E2"/>
    <w:rsid w:val="00515B96"/>
    <w:rsid w:val="005162E6"/>
    <w:rsid w:val="0051634D"/>
    <w:rsid w:val="0051668E"/>
    <w:rsid w:val="005169C4"/>
    <w:rsid w:val="00516A43"/>
    <w:rsid w:val="00516A69"/>
    <w:rsid w:val="00516B4E"/>
    <w:rsid w:val="00516F5E"/>
    <w:rsid w:val="00517229"/>
    <w:rsid w:val="00517544"/>
    <w:rsid w:val="005175CC"/>
    <w:rsid w:val="005176A2"/>
    <w:rsid w:val="005177C0"/>
    <w:rsid w:val="005179DE"/>
    <w:rsid w:val="005179F5"/>
    <w:rsid w:val="00517A4A"/>
    <w:rsid w:val="00517BD5"/>
    <w:rsid w:val="005207E2"/>
    <w:rsid w:val="00520F40"/>
    <w:rsid w:val="0052110B"/>
    <w:rsid w:val="005214AF"/>
    <w:rsid w:val="00521735"/>
    <w:rsid w:val="005217DB"/>
    <w:rsid w:val="0052190F"/>
    <w:rsid w:val="00521C84"/>
    <w:rsid w:val="00521D34"/>
    <w:rsid w:val="0052248E"/>
    <w:rsid w:val="00522711"/>
    <w:rsid w:val="00522805"/>
    <w:rsid w:val="00522EF9"/>
    <w:rsid w:val="00523036"/>
    <w:rsid w:val="005232D6"/>
    <w:rsid w:val="0052347A"/>
    <w:rsid w:val="0052396B"/>
    <w:rsid w:val="00523B98"/>
    <w:rsid w:val="00523C2D"/>
    <w:rsid w:val="00524437"/>
    <w:rsid w:val="0052472A"/>
    <w:rsid w:val="005247D7"/>
    <w:rsid w:val="00524804"/>
    <w:rsid w:val="00524988"/>
    <w:rsid w:val="00524B1F"/>
    <w:rsid w:val="00524C61"/>
    <w:rsid w:val="00524DAC"/>
    <w:rsid w:val="00524E6D"/>
    <w:rsid w:val="00524FAF"/>
    <w:rsid w:val="00524FC0"/>
    <w:rsid w:val="005250E7"/>
    <w:rsid w:val="00525A32"/>
    <w:rsid w:val="00525B8C"/>
    <w:rsid w:val="00525DBE"/>
    <w:rsid w:val="00525E28"/>
    <w:rsid w:val="00525F52"/>
    <w:rsid w:val="00526105"/>
    <w:rsid w:val="00526765"/>
    <w:rsid w:val="005268D2"/>
    <w:rsid w:val="00526978"/>
    <w:rsid w:val="00526B81"/>
    <w:rsid w:val="00526C92"/>
    <w:rsid w:val="00526FBE"/>
    <w:rsid w:val="0052714A"/>
    <w:rsid w:val="00527232"/>
    <w:rsid w:val="005272BA"/>
    <w:rsid w:val="00527481"/>
    <w:rsid w:val="00527E82"/>
    <w:rsid w:val="00530073"/>
    <w:rsid w:val="00530219"/>
    <w:rsid w:val="0053024E"/>
    <w:rsid w:val="00530625"/>
    <w:rsid w:val="0053069A"/>
    <w:rsid w:val="005307AD"/>
    <w:rsid w:val="0053087E"/>
    <w:rsid w:val="00530B17"/>
    <w:rsid w:val="00530E69"/>
    <w:rsid w:val="00530F3B"/>
    <w:rsid w:val="005310F2"/>
    <w:rsid w:val="005317F6"/>
    <w:rsid w:val="00531D22"/>
    <w:rsid w:val="00531D50"/>
    <w:rsid w:val="005320E7"/>
    <w:rsid w:val="00532465"/>
    <w:rsid w:val="00532689"/>
    <w:rsid w:val="00532970"/>
    <w:rsid w:val="00532EF6"/>
    <w:rsid w:val="0053302C"/>
    <w:rsid w:val="00533068"/>
    <w:rsid w:val="005333F8"/>
    <w:rsid w:val="005334D0"/>
    <w:rsid w:val="0053363B"/>
    <w:rsid w:val="00533866"/>
    <w:rsid w:val="00533B61"/>
    <w:rsid w:val="00533FBD"/>
    <w:rsid w:val="00534211"/>
    <w:rsid w:val="0053462E"/>
    <w:rsid w:val="0053490B"/>
    <w:rsid w:val="00534AC4"/>
    <w:rsid w:val="00534BD3"/>
    <w:rsid w:val="00534D05"/>
    <w:rsid w:val="005354B6"/>
    <w:rsid w:val="005361A5"/>
    <w:rsid w:val="0053655C"/>
    <w:rsid w:val="005368FC"/>
    <w:rsid w:val="00536B20"/>
    <w:rsid w:val="00536D6D"/>
    <w:rsid w:val="005371D8"/>
    <w:rsid w:val="005372E6"/>
    <w:rsid w:val="00537615"/>
    <w:rsid w:val="005377C7"/>
    <w:rsid w:val="00537F64"/>
    <w:rsid w:val="00540922"/>
    <w:rsid w:val="00540D7C"/>
    <w:rsid w:val="00541026"/>
    <w:rsid w:val="005413D7"/>
    <w:rsid w:val="00541785"/>
    <w:rsid w:val="00541AD8"/>
    <w:rsid w:val="00541AE8"/>
    <w:rsid w:val="00541E6E"/>
    <w:rsid w:val="00541EE0"/>
    <w:rsid w:val="005421CA"/>
    <w:rsid w:val="00542465"/>
    <w:rsid w:val="00542A14"/>
    <w:rsid w:val="00542A22"/>
    <w:rsid w:val="00542BE1"/>
    <w:rsid w:val="00542C12"/>
    <w:rsid w:val="0054357E"/>
    <w:rsid w:val="005437FC"/>
    <w:rsid w:val="00543829"/>
    <w:rsid w:val="00543A65"/>
    <w:rsid w:val="00543AC8"/>
    <w:rsid w:val="00543D67"/>
    <w:rsid w:val="00543DA3"/>
    <w:rsid w:val="00543F1F"/>
    <w:rsid w:val="00543F48"/>
    <w:rsid w:val="00544253"/>
    <w:rsid w:val="0054433F"/>
    <w:rsid w:val="0054437F"/>
    <w:rsid w:val="00544423"/>
    <w:rsid w:val="005445C2"/>
    <w:rsid w:val="00544779"/>
    <w:rsid w:val="00544F14"/>
    <w:rsid w:val="005450CB"/>
    <w:rsid w:val="00545945"/>
    <w:rsid w:val="005460FD"/>
    <w:rsid w:val="005463F0"/>
    <w:rsid w:val="00546410"/>
    <w:rsid w:val="005466C3"/>
    <w:rsid w:val="00546A95"/>
    <w:rsid w:val="00546F89"/>
    <w:rsid w:val="00547407"/>
    <w:rsid w:val="005474B8"/>
    <w:rsid w:val="00547786"/>
    <w:rsid w:val="005479DB"/>
    <w:rsid w:val="00547C3B"/>
    <w:rsid w:val="00550108"/>
    <w:rsid w:val="00550825"/>
    <w:rsid w:val="00550847"/>
    <w:rsid w:val="005509F9"/>
    <w:rsid w:val="00550BBB"/>
    <w:rsid w:val="00550C1C"/>
    <w:rsid w:val="00550D0B"/>
    <w:rsid w:val="00550D6C"/>
    <w:rsid w:val="0055148D"/>
    <w:rsid w:val="005515D5"/>
    <w:rsid w:val="00551AEE"/>
    <w:rsid w:val="00551DC7"/>
    <w:rsid w:val="005520D0"/>
    <w:rsid w:val="00552166"/>
    <w:rsid w:val="005521D8"/>
    <w:rsid w:val="0055226E"/>
    <w:rsid w:val="00552688"/>
    <w:rsid w:val="00552C35"/>
    <w:rsid w:val="00552DD3"/>
    <w:rsid w:val="0055311A"/>
    <w:rsid w:val="0055335A"/>
    <w:rsid w:val="005536DA"/>
    <w:rsid w:val="0055381A"/>
    <w:rsid w:val="005539CB"/>
    <w:rsid w:val="00553E8D"/>
    <w:rsid w:val="00553F1B"/>
    <w:rsid w:val="00554429"/>
    <w:rsid w:val="00554786"/>
    <w:rsid w:val="00554960"/>
    <w:rsid w:val="00554C17"/>
    <w:rsid w:val="00554D80"/>
    <w:rsid w:val="00554EFF"/>
    <w:rsid w:val="0055547E"/>
    <w:rsid w:val="00555627"/>
    <w:rsid w:val="005557F2"/>
    <w:rsid w:val="005559E7"/>
    <w:rsid w:val="00555C73"/>
    <w:rsid w:val="00555DAC"/>
    <w:rsid w:val="00555E39"/>
    <w:rsid w:val="00555FF1"/>
    <w:rsid w:val="005566A5"/>
    <w:rsid w:val="005566C5"/>
    <w:rsid w:val="00556C81"/>
    <w:rsid w:val="00556EAE"/>
    <w:rsid w:val="00556EEF"/>
    <w:rsid w:val="00557363"/>
    <w:rsid w:val="005573A2"/>
    <w:rsid w:val="00557444"/>
    <w:rsid w:val="0055764D"/>
    <w:rsid w:val="00557DF3"/>
    <w:rsid w:val="00557DF9"/>
    <w:rsid w:val="00557E1F"/>
    <w:rsid w:val="00557F99"/>
    <w:rsid w:val="0056050B"/>
    <w:rsid w:val="00560751"/>
    <w:rsid w:val="00560B3F"/>
    <w:rsid w:val="005615E0"/>
    <w:rsid w:val="00561BDC"/>
    <w:rsid w:val="0056204A"/>
    <w:rsid w:val="005620CA"/>
    <w:rsid w:val="005620F4"/>
    <w:rsid w:val="00562410"/>
    <w:rsid w:val="005625C3"/>
    <w:rsid w:val="005625E0"/>
    <w:rsid w:val="00562631"/>
    <w:rsid w:val="0056270D"/>
    <w:rsid w:val="00562D07"/>
    <w:rsid w:val="00563019"/>
    <w:rsid w:val="00563075"/>
    <w:rsid w:val="0056316F"/>
    <w:rsid w:val="0056381F"/>
    <w:rsid w:val="00563B2D"/>
    <w:rsid w:val="00563BA8"/>
    <w:rsid w:val="00563C12"/>
    <w:rsid w:val="00563D07"/>
    <w:rsid w:val="0056403B"/>
    <w:rsid w:val="00564101"/>
    <w:rsid w:val="005644D5"/>
    <w:rsid w:val="00564704"/>
    <w:rsid w:val="00564773"/>
    <w:rsid w:val="0056477C"/>
    <w:rsid w:val="0056481B"/>
    <w:rsid w:val="005648C7"/>
    <w:rsid w:val="0056490C"/>
    <w:rsid w:val="00564B7C"/>
    <w:rsid w:val="00564D93"/>
    <w:rsid w:val="00565094"/>
    <w:rsid w:val="0056509B"/>
    <w:rsid w:val="005650C1"/>
    <w:rsid w:val="0056525F"/>
    <w:rsid w:val="0056528C"/>
    <w:rsid w:val="005655A9"/>
    <w:rsid w:val="00565793"/>
    <w:rsid w:val="00565D23"/>
    <w:rsid w:val="00565DBC"/>
    <w:rsid w:val="005664AD"/>
    <w:rsid w:val="0056697A"/>
    <w:rsid w:val="00566A82"/>
    <w:rsid w:val="00566AAE"/>
    <w:rsid w:val="00566E50"/>
    <w:rsid w:val="00566F25"/>
    <w:rsid w:val="00566FAA"/>
    <w:rsid w:val="00567177"/>
    <w:rsid w:val="00567265"/>
    <w:rsid w:val="005676FB"/>
    <w:rsid w:val="00567B38"/>
    <w:rsid w:val="00567EF7"/>
    <w:rsid w:val="0057002E"/>
    <w:rsid w:val="005704C7"/>
    <w:rsid w:val="005707B6"/>
    <w:rsid w:val="00570B51"/>
    <w:rsid w:val="00570DCC"/>
    <w:rsid w:val="00570DE0"/>
    <w:rsid w:val="00570F49"/>
    <w:rsid w:val="00570FDE"/>
    <w:rsid w:val="0057110D"/>
    <w:rsid w:val="005717EF"/>
    <w:rsid w:val="005718CB"/>
    <w:rsid w:val="0057219D"/>
    <w:rsid w:val="0057243B"/>
    <w:rsid w:val="005725DD"/>
    <w:rsid w:val="00572725"/>
    <w:rsid w:val="00572866"/>
    <w:rsid w:val="005728C8"/>
    <w:rsid w:val="00572A41"/>
    <w:rsid w:val="00572A7B"/>
    <w:rsid w:val="00572D3F"/>
    <w:rsid w:val="00572FB2"/>
    <w:rsid w:val="00573254"/>
    <w:rsid w:val="00573282"/>
    <w:rsid w:val="00573424"/>
    <w:rsid w:val="00573450"/>
    <w:rsid w:val="005734EA"/>
    <w:rsid w:val="00573540"/>
    <w:rsid w:val="005737E0"/>
    <w:rsid w:val="005739F2"/>
    <w:rsid w:val="00573B33"/>
    <w:rsid w:val="00573E0C"/>
    <w:rsid w:val="00574122"/>
    <w:rsid w:val="0057422A"/>
    <w:rsid w:val="00574321"/>
    <w:rsid w:val="0057466C"/>
    <w:rsid w:val="0057479C"/>
    <w:rsid w:val="005748D4"/>
    <w:rsid w:val="00574A1C"/>
    <w:rsid w:val="00574DE3"/>
    <w:rsid w:val="00574E50"/>
    <w:rsid w:val="00575834"/>
    <w:rsid w:val="0057598E"/>
    <w:rsid w:val="00575AAC"/>
    <w:rsid w:val="00576262"/>
    <w:rsid w:val="00576621"/>
    <w:rsid w:val="00576751"/>
    <w:rsid w:val="0057696E"/>
    <w:rsid w:val="00576A83"/>
    <w:rsid w:val="00576F43"/>
    <w:rsid w:val="00577318"/>
    <w:rsid w:val="00577936"/>
    <w:rsid w:val="00577F88"/>
    <w:rsid w:val="00580029"/>
    <w:rsid w:val="00580035"/>
    <w:rsid w:val="0058006C"/>
    <w:rsid w:val="00580566"/>
    <w:rsid w:val="005806F3"/>
    <w:rsid w:val="00580711"/>
    <w:rsid w:val="00580966"/>
    <w:rsid w:val="00580D54"/>
    <w:rsid w:val="00581742"/>
    <w:rsid w:val="00581B4C"/>
    <w:rsid w:val="00581BD5"/>
    <w:rsid w:val="00581C88"/>
    <w:rsid w:val="00582194"/>
    <w:rsid w:val="00582724"/>
    <w:rsid w:val="0058274A"/>
    <w:rsid w:val="005827F2"/>
    <w:rsid w:val="00582A33"/>
    <w:rsid w:val="00583105"/>
    <w:rsid w:val="005832D6"/>
    <w:rsid w:val="00583668"/>
    <w:rsid w:val="005836BB"/>
    <w:rsid w:val="00583A3D"/>
    <w:rsid w:val="00583A5C"/>
    <w:rsid w:val="0058403E"/>
    <w:rsid w:val="005843D0"/>
    <w:rsid w:val="005848D1"/>
    <w:rsid w:val="00584A52"/>
    <w:rsid w:val="00584BEF"/>
    <w:rsid w:val="00585212"/>
    <w:rsid w:val="0058523B"/>
    <w:rsid w:val="00585576"/>
    <w:rsid w:val="005856EE"/>
    <w:rsid w:val="00585923"/>
    <w:rsid w:val="005859B6"/>
    <w:rsid w:val="00585BAB"/>
    <w:rsid w:val="00585DCE"/>
    <w:rsid w:val="005861D8"/>
    <w:rsid w:val="00586634"/>
    <w:rsid w:val="00586839"/>
    <w:rsid w:val="005876AB"/>
    <w:rsid w:val="005876BE"/>
    <w:rsid w:val="0058772C"/>
    <w:rsid w:val="0058779B"/>
    <w:rsid w:val="00587C10"/>
    <w:rsid w:val="00587E20"/>
    <w:rsid w:val="00587F67"/>
    <w:rsid w:val="005903B4"/>
    <w:rsid w:val="0059083D"/>
    <w:rsid w:val="00590921"/>
    <w:rsid w:val="00590957"/>
    <w:rsid w:val="00590E76"/>
    <w:rsid w:val="00590F5B"/>
    <w:rsid w:val="005911E3"/>
    <w:rsid w:val="005917CB"/>
    <w:rsid w:val="0059187B"/>
    <w:rsid w:val="00591B48"/>
    <w:rsid w:val="00591BDC"/>
    <w:rsid w:val="005921CE"/>
    <w:rsid w:val="0059242F"/>
    <w:rsid w:val="00592896"/>
    <w:rsid w:val="00593139"/>
    <w:rsid w:val="005932BA"/>
    <w:rsid w:val="00593382"/>
    <w:rsid w:val="0059349A"/>
    <w:rsid w:val="0059375C"/>
    <w:rsid w:val="0059385A"/>
    <w:rsid w:val="00593ABB"/>
    <w:rsid w:val="00593AF6"/>
    <w:rsid w:val="00593F0D"/>
    <w:rsid w:val="00593F37"/>
    <w:rsid w:val="00593F99"/>
    <w:rsid w:val="00594081"/>
    <w:rsid w:val="0059412F"/>
    <w:rsid w:val="0059478C"/>
    <w:rsid w:val="00594BEA"/>
    <w:rsid w:val="00594F7B"/>
    <w:rsid w:val="005950E5"/>
    <w:rsid w:val="005951F2"/>
    <w:rsid w:val="00595552"/>
    <w:rsid w:val="0059556F"/>
    <w:rsid w:val="0059567E"/>
    <w:rsid w:val="005956AA"/>
    <w:rsid w:val="005958B5"/>
    <w:rsid w:val="00595B6A"/>
    <w:rsid w:val="00595C9B"/>
    <w:rsid w:val="00596843"/>
    <w:rsid w:val="00596898"/>
    <w:rsid w:val="00596ACF"/>
    <w:rsid w:val="005972A1"/>
    <w:rsid w:val="005972B1"/>
    <w:rsid w:val="005974AE"/>
    <w:rsid w:val="005974BE"/>
    <w:rsid w:val="00597529"/>
    <w:rsid w:val="00597548"/>
    <w:rsid w:val="00597636"/>
    <w:rsid w:val="00597861"/>
    <w:rsid w:val="005A0187"/>
    <w:rsid w:val="005A044D"/>
    <w:rsid w:val="005A0593"/>
    <w:rsid w:val="005A07BD"/>
    <w:rsid w:val="005A0949"/>
    <w:rsid w:val="005A0B86"/>
    <w:rsid w:val="005A0C92"/>
    <w:rsid w:val="005A0CBE"/>
    <w:rsid w:val="005A0EAC"/>
    <w:rsid w:val="005A1124"/>
    <w:rsid w:val="005A13C1"/>
    <w:rsid w:val="005A179A"/>
    <w:rsid w:val="005A19E1"/>
    <w:rsid w:val="005A1AF9"/>
    <w:rsid w:val="005A1D68"/>
    <w:rsid w:val="005A1E06"/>
    <w:rsid w:val="005A1F71"/>
    <w:rsid w:val="005A20DE"/>
    <w:rsid w:val="005A21E0"/>
    <w:rsid w:val="005A269E"/>
    <w:rsid w:val="005A26AE"/>
    <w:rsid w:val="005A2A22"/>
    <w:rsid w:val="005A2A7D"/>
    <w:rsid w:val="005A2B12"/>
    <w:rsid w:val="005A318A"/>
    <w:rsid w:val="005A31B2"/>
    <w:rsid w:val="005A3322"/>
    <w:rsid w:val="005A344B"/>
    <w:rsid w:val="005A349B"/>
    <w:rsid w:val="005A3988"/>
    <w:rsid w:val="005A3B2B"/>
    <w:rsid w:val="005A3EA6"/>
    <w:rsid w:val="005A4019"/>
    <w:rsid w:val="005A424D"/>
    <w:rsid w:val="005A4356"/>
    <w:rsid w:val="005A43CF"/>
    <w:rsid w:val="005A46A6"/>
    <w:rsid w:val="005A49CC"/>
    <w:rsid w:val="005A4B2A"/>
    <w:rsid w:val="005A4BF4"/>
    <w:rsid w:val="005A50FE"/>
    <w:rsid w:val="005A51CD"/>
    <w:rsid w:val="005A5592"/>
    <w:rsid w:val="005A567F"/>
    <w:rsid w:val="005A5694"/>
    <w:rsid w:val="005A5964"/>
    <w:rsid w:val="005A5D83"/>
    <w:rsid w:val="005A5DA6"/>
    <w:rsid w:val="005A5DE9"/>
    <w:rsid w:val="005A5F46"/>
    <w:rsid w:val="005A609D"/>
    <w:rsid w:val="005A60ED"/>
    <w:rsid w:val="005A639F"/>
    <w:rsid w:val="005A6616"/>
    <w:rsid w:val="005A69AD"/>
    <w:rsid w:val="005A6A06"/>
    <w:rsid w:val="005A6AD3"/>
    <w:rsid w:val="005A7E5F"/>
    <w:rsid w:val="005B00F5"/>
    <w:rsid w:val="005B047F"/>
    <w:rsid w:val="005B0709"/>
    <w:rsid w:val="005B07AC"/>
    <w:rsid w:val="005B0F68"/>
    <w:rsid w:val="005B10B1"/>
    <w:rsid w:val="005B12A1"/>
    <w:rsid w:val="005B18FD"/>
    <w:rsid w:val="005B1CE0"/>
    <w:rsid w:val="005B1F27"/>
    <w:rsid w:val="005B1F42"/>
    <w:rsid w:val="005B1FAE"/>
    <w:rsid w:val="005B21B8"/>
    <w:rsid w:val="005B26B0"/>
    <w:rsid w:val="005B299C"/>
    <w:rsid w:val="005B29F5"/>
    <w:rsid w:val="005B29FE"/>
    <w:rsid w:val="005B2A51"/>
    <w:rsid w:val="005B2A60"/>
    <w:rsid w:val="005B2A6F"/>
    <w:rsid w:val="005B2BBF"/>
    <w:rsid w:val="005B2C09"/>
    <w:rsid w:val="005B2F31"/>
    <w:rsid w:val="005B3028"/>
    <w:rsid w:val="005B31F3"/>
    <w:rsid w:val="005B337A"/>
    <w:rsid w:val="005B3444"/>
    <w:rsid w:val="005B35C2"/>
    <w:rsid w:val="005B378B"/>
    <w:rsid w:val="005B37AF"/>
    <w:rsid w:val="005B3D5D"/>
    <w:rsid w:val="005B3FCF"/>
    <w:rsid w:val="005B4279"/>
    <w:rsid w:val="005B47BC"/>
    <w:rsid w:val="005B4896"/>
    <w:rsid w:val="005B4A32"/>
    <w:rsid w:val="005B5669"/>
    <w:rsid w:val="005B60DE"/>
    <w:rsid w:val="005B6887"/>
    <w:rsid w:val="005B6AD2"/>
    <w:rsid w:val="005B6D85"/>
    <w:rsid w:val="005B6E6A"/>
    <w:rsid w:val="005B6F9C"/>
    <w:rsid w:val="005B7668"/>
    <w:rsid w:val="005B7835"/>
    <w:rsid w:val="005B7A0F"/>
    <w:rsid w:val="005B7CB8"/>
    <w:rsid w:val="005B7CE6"/>
    <w:rsid w:val="005B7E9E"/>
    <w:rsid w:val="005C049D"/>
    <w:rsid w:val="005C05C9"/>
    <w:rsid w:val="005C0A86"/>
    <w:rsid w:val="005C0C29"/>
    <w:rsid w:val="005C0CBE"/>
    <w:rsid w:val="005C0DC4"/>
    <w:rsid w:val="005C0FEB"/>
    <w:rsid w:val="005C1107"/>
    <w:rsid w:val="005C1246"/>
    <w:rsid w:val="005C157A"/>
    <w:rsid w:val="005C1817"/>
    <w:rsid w:val="005C1BD4"/>
    <w:rsid w:val="005C1C72"/>
    <w:rsid w:val="005C1EB1"/>
    <w:rsid w:val="005C2034"/>
    <w:rsid w:val="005C242E"/>
    <w:rsid w:val="005C24B0"/>
    <w:rsid w:val="005C25BC"/>
    <w:rsid w:val="005C2E76"/>
    <w:rsid w:val="005C317A"/>
    <w:rsid w:val="005C33AB"/>
    <w:rsid w:val="005C33AC"/>
    <w:rsid w:val="005C379D"/>
    <w:rsid w:val="005C38FF"/>
    <w:rsid w:val="005C3B5E"/>
    <w:rsid w:val="005C3CE3"/>
    <w:rsid w:val="005C4350"/>
    <w:rsid w:val="005C4821"/>
    <w:rsid w:val="005C48FF"/>
    <w:rsid w:val="005C4C2F"/>
    <w:rsid w:val="005C4D39"/>
    <w:rsid w:val="005C4DB9"/>
    <w:rsid w:val="005C50CB"/>
    <w:rsid w:val="005C558A"/>
    <w:rsid w:val="005C5616"/>
    <w:rsid w:val="005C58F0"/>
    <w:rsid w:val="005C5B17"/>
    <w:rsid w:val="005C61C6"/>
    <w:rsid w:val="005C660B"/>
    <w:rsid w:val="005C6B00"/>
    <w:rsid w:val="005C7054"/>
    <w:rsid w:val="005C70B4"/>
    <w:rsid w:val="005C737B"/>
    <w:rsid w:val="005C7454"/>
    <w:rsid w:val="005C74E2"/>
    <w:rsid w:val="005C7A49"/>
    <w:rsid w:val="005C7B39"/>
    <w:rsid w:val="005D02DF"/>
    <w:rsid w:val="005D03BD"/>
    <w:rsid w:val="005D04BA"/>
    <w:rsid w:val="005D051A"/>
    <w:rsid w:val="005D086D"/>
    <w:rsid w:val="005D0E13"/>
    <w:rsid w:val="005D0ECB"/>
    <w:rsid w:val="005D13F4"/>
    <w:rsid w:val="005D18F3"/>
    <w:rsid w:val="005D1A21"/>
    <w:rsid w:val="005D2180"/>
    <w:rsid w:val="005D21BC"/>
    <w:rsid w:val="005D2732"/>
    <w:rsid w:val="005D28D8"/>
    <w:rsid w:val="005D3191"/>
    <w:rsid w:val="005D368A"/>
    <w:rsid w:val="005D38E1"/>
    <w:rsid w:val="005D3966"/>
    <w:rsid w:val="005D39A1"/>
    <w:rsid w:val="005D3B5D"/>
    <w:rsid w:val="005D4035"/>
    <w:rsid w:val="005D4360"/>
    <w:rsid w:val="005D45E8"/>
    <w:rsid w:val="005D4DBD"/>
    <w:rsid w:val="005D4FB4"/>
    <w:rsid w:val="005D5206"/>
    <w:rsid w:val="005D5585"/>
    <w:rsid w:val="005D5A49"/>
    <w:rsid w:val="005D5A50"/>
    <w:rsid w:val="005D5AC9"/>
    <w:rsid w:val="005D5D42"/>
    <w:rsid w:val="005D6107"/>
    <w:rsid w:val="005D627F"/>
    <w:rsid w:val="005D6294"/>
    <w:rsid w:val="005D6354"/>
    <w:rsid w:val="005D63EE"/>
    <w:rsid w:val="005D6453"/>
    <w:rsid w:val="005D6598"/>
    <w:rsid w:val="005D6E4D"/>
    <w:rsid w:val="005D6FC2"/>
    <w:rsid w:val="005D72C9"/>
    <w:rsid w:val="005D7546"/>
    <w:rsid w:val="005D7AE2"/>
    <w:rsid w:val="005D7BFC"/>
    <w:rsid w:val="005D7D6D"/>
    <w:rsid w:val="005D7E2A"/>
    <w:rsid w:val="005E047B"/>
    <w:rsid w:val="005E05A0"/>
    <w:rsid w:val="005E0904"/>
    <w:rsid w:val="005E0DF6"/>
    <w:rsid w:val="005E1049"/>
    <w:rsid w:val="005E1359"/>
    <w:rsid w:val="005E1461"/>
    <w:rsid w:val="005E1554"/>
    <w:rsid w:val="005E1769"/>
    <w:rsid w:val="005E1B8D"/>
    <w:rsid w:val="005E1BA3"/>
    <w:rsid w:val="005E1CBF"/>
    <w:rsid w:val="005E1F09"/>
    <w:rsid w:val="005E1F84"/>
    <w:rsid w:val="005E2344"/>
    <w:rsid w:val="005E2512"/>
    <w:rsid w:val="005E2750"/>
    <w:rsid w:val="005E2CFE"/>
    <w:rsid w:val="005E2D0B"/>
    <w:rsid w:val="005E3091"/>
    <w:rsid w:val="005E36AD"/>
    <w:rsid w:val="005E36FE"/>
    <w:rsid w:val="005E379D"/>
    <w:rsid w:val="005E387D"/>
    <w:rsid w:val="005E3937"/>
    <w:rsid w:val="005E3B8F"/>
    <w:rsid w:val="005E3C8C"/>
    <w:rsid w:val="005E3F2C"/>
    <w:rsid w:val="005E3F94"/>
    <w:rsid w:val="005E3FF9"/>
    <w:rsid w:val="005E4113"/>
    <w:rsid w:val="005E4781"/>
    <w:rsid w:val="005E4AEB"/>
    <w:rsid w:val="005E4CA6"/>
    <w:rsid w:val="005E4FB0"/>
    <w:rsid w:val="005E5247"/>
    <w:rsid w:val="005E547E"/>
    <w:rsid w:val="005E5631"/>
    <w:rsid w:val="005E57F9"/>
    <w:rsid w:val="005E580B"/>
    <w:rsid w:val="005E5B87"/>
    <w:rsid w:val="005E6175"/>
    <w:rsid w:val="005E6C78"/>
    <w:rsid w:val="005E6FD3"/>
    <w:rsid w:val="005E7096"/>
    <w:rsid w:val="005E77A8"/>
    <w:rsid w:val="005E7808"/>
    <w:rsid w:val="005E7A60"/>
    <w:rsid w:val="005F02DB"/>
    <w:rsid w:val="005F059D"/>
    <w:rsid w:val="005F0D33"/>
    <w:rsid w:val="005F0DD9"/>
    <w:rsid w:val="005F0ED2"/>
    <w:rsid w:val="005F0F90"/>
    <w:rsid w:val="005F1132"/>
    <w:rsid w:val="005F1531"/>
    <w:rsid w:val="005F1559"/>
    <w:rsid w:val="005F17F2"/>
    <w:rsid w:val="005F1A66"/>
    <w:rsid w:val="005F1A6E"/>
    <w:rsid w:val="005F1F53"/>
    <w:rsid w:val="005F213B"/>
    <w:rsid w:val="005F2693"/>
    <w:rsid w:val="005F2902"/>
    <w:rsid w:val="005F2D9F"/>
    <w:rsid w:val="005F3207"/>
    <w:rsid w:val="005F32AF"/>
    <w:rsid w:val="005F34FB"/>
    <w:rsid w:val="005F3695"/>
    <w:rsid w:val="005F36B0"/>
    <w:rsid w:val="005F37AF"/>
    <w:rsid w:val="005F3E2F"/>
    <w:rsid w:val="005F3E93"/>
    <w:rsid w:val="005F3F71"/>
    <w:rsid w:val="005F47FC"/>
    <w:rsid w:val="005F4D40"/>
    <w:rsid w:val="005F4DFF"/>
    <w:rsid w:val="005F53E7"/>
    <w:rsid w:val="005F5489"/>
    <w:rsid w:val="005F5CD2"/>
    <w:rsid w:val="005F5FA1"/>
    <w:rsid w:val="005F6346"/>
    <w:rsid w:val="005F6454"/>
    <w:rsid w:val="005F68B0"/>
    <w:rsid w:val="005F6B51"/>
    <w:rsid w:val="005F749E"/>
    <w:rsid w:val="005F77E4"/>
    <w:rsid w:val="005F7C38"/>
    <w:rsid w:val="005F7DA8"/>
    <w:rsid w:val="005F7F96"/>
    <w:rsid w:val="00600179"/>
    <w:rsid w:val="0060096F"/>
    <w:rsid w:val="00600C18"/>
    <w:rsid w:val="00600E5E"/>
    <w:rsid w:val="006011B4"/>
    <w:rsid w:val="00601420"/>
    <w:rsid w:val="00601A12"/>
    <w:rsid w:val="00601CFD"/>
    <w:rsid w:val="006020B3"/>
    <w:rsid w:val="0060217A"/>
    <w:rsid w:val="00602632"/>
    <w:rsid w:val="00602723"/>
    <w:rsid w:val="00602C93"/>
    <w:rsid w:val="0060316B"/>
    <w:rsid w:val="00603262"/>
    <w:rsid w:val="0060367D"/>
    <w:rsid w:val="00603C44"/>
    <w:rsid w:val="0060455A"/>
    <w:rsid w:val="006046A6"/>
    <w:rsid w:val="006046E1"/>
    <w:rsid w:val="00604727"/>
    <w:rsid w:val="00604998"/>
    <w:rsid w:val="00604AFF"/>
    <w:rsid w:val="00604C3C"/>
    <w:rsid w:val="00604D2F"/>
    <w:rsid w:val="00605101"/>
    <w:rsid w:val="00605163"/>
    <w:rsid w:val="006051F7"/>
    <w:rsid w:val="00605224"/>
    <w:rsid w:val="00605295"/>
    <w:rsid w:val="006055FF"/>
    <w:rsid w:val="00605864"/>
    <w:rsid w:val="006059EB"/>
    <w:rsid w:val="00605E47"/>
    <w:rsid w:val="00606097"/>
    <w:rsid w:val="006060A7"/>
    <w:rsid w:val="00606213"/>
    <w:rsid w:val="006064AB"/>
    <w:rsid w:val="00606672"/>
    <w:rsid w:val="006069BA"/>
    <w:rsid w:val="00606E7F"/>
    <w:rsid w:val="006075DC"/>
    <w:rsid w:val="00607886"/>
    <w:rsid w:val="00607AA3"/>
    <w:rsid w:val="00607C0D"/>
    <w:rsid w:val="00607E94"/>
    <w:rsid w:val="00607EE5"/>
    <w:rsid w:val="00607EF4"/>
    <w:rsid w:val="00607FE7"/>
    <w:rsid w:val="00610381"/>
    <w:rsid w:val="006103EC"/>
    <w:rsid w:val="0061099F"/>
    <w:rsid w:val="00610A13"/>
    <w:rsid w:val="00610A1F"/>
    <w:rsid w:val="00611174"/>
    <w:rsid w:val="0061134B"/>
    <w:rsid w:val="006116BD"/>
    <w:rsid w:val="006116D1"/>
    <w:rsid w:val="0061181E"/>
    <w:rsid w:val="00611875"/>
    <w:rsid w:val="00611F76"/>
    <w:rsid w:val="00611F82"/>
    <w:rsid w:val="006120B0"/>
    <w:rsid w:val="006121A7"/>
    <w:rsid w:val="006121D3"/>
    <w:rsid w:val="006121E9"/>
    <w:rsid w:val="006122FC"/>
    <w:rsid w:val="0061245A"/>
    <w:rsid w:val="006126D6"/>
    <w:rsid w:val="0061291D"/>
    <w:rsid w:val="00612939"/>
    <w:rsid w:val="00612A59"/>
    <w:rsid w:val="00612F29"/>
    <w:rsid w:val="0061302C"/>
    <w:rsid w:val="00613208"/>
    <w:rsid w:val="006137B2"/>
    <w:rsid w:val="006139A1"/>
    <w:rsid w:val="00613A1D"/>
    <w:rsid w:val="00613AA3"/>
    <w:rsid w:val="00613D1F"/>
    <w:rsid w:val="00613D2D"/>
    <w:rsid w:val="00613E15"/>
    <w:rsid w:val="006141B4"/>
    <w:rsid w:val="00614281"/>
    <w:rsid w:val="0061457F"/>
    <w:rsid w:val="0061472D"/>
    <w:rsid w:val="00614E7F"/>
    <w:rsid w:val="00614E9F"/>
    <w:rsid w:val="00614EBC"/>
    <w:rsid w:val="006152A7"/>
    <w:rsid w:val="006152FB"/>
    <w:rsid w:val="00615524"/>
    <w:rsid w:val="00615572"/>
    <w:rsid w:val="006155DD"/>
    <w:rsid w:val="00615608"/>
    <w:rsid w:val="00615762"/>
    <w:rsid w:val="006158FB"/>
    <w:rsid w:val="006159F3"/>
    <w:rsid w:val="00615A35"/>
    <w:rsid w:val="00616259"/>
    <w:rsid w:val="0061634F"/>
    <w:rsid w:val="006168AA"/>
    <w:rsid w:val="00616AAD"/>
    <w:rsid w:val="00616C4F"/>
    <w:rsid w:val="00616D1B"/>
    <w:rsid w:val="00616F0A"/>
    <w:rsid w:val="0061742B"/>
    <w:rsid w:val="006174FC"/>
    <w:rsid w:val="00617512"/>
    <w:rsid w:val="0061757B"/>
    <w:rsid w:val="006175F1"/>
    <w:rsid w:val="0061797E"/>
    <w:rsid w:val="00617A6D"/>
    <w:rsid w:val="00617D42"/>
    <w:rsid w:val="00617E44"/>
    <w:rsid w:val="006206D7"/>
    <w:rsid w:val="006206E7"/>
    <w:rsid w:val="00620767"/>
    <w:rsid w:val="006208F7"/>
    <w:rsid w:val="00620927"/>
    <w:rsid w:val="00620C70"/>
    <w:rsid w:val="0062114C"/>
    <w:rsid w:val="00621513"/>
    <w:rsid w:val="0062160B"/>
    <w:rsid w:val="006221EE"/>
    <w:rsid w:val="0062236B"/>
    <w:rsid w:val="006224B4"/>
    <w:rsid w:val="00622E5E"/>
    <w:rsid w:val="00623154"/>
    <w:rsid w:val="006234EE"/>
    <w:rsid w:val="00623552"/>
    <w:rsid w:val="006236CF"/>
    <w:rsid w:val="00623854"/>
    <w:rsid w:val="00623D57"/>
    <w:rsid w:val="00623E9D"/>
    <w:rsid w:val="00624028"/>
    <w:rsid w:val="00624054"/>
    <w:rsid w:val="006241FD"/>
    <w:rsid w:val="00624765"/>
    <w:rsid w:val="00624C97"/>
    <w:rsid w:val="00624FCE"/>
    <w:rsid w:val="0062568D"/>
    <w:rsid w:val="006257BC"/>
    <w:rsid w:val="00625968"/>
    <w:rsid w:val="00625B7C"/>
    <w:rsid w:val="00626025"/>
    <w:rsid w:val="00626189"/>
    <w:rsid w:val="00626489"/>
    <w:rsid w:val="006265BD"/>
    <w:rsid w:val="006266AE"/>
    <w:rsid w:val="00626AC2"/>
    <w:rsid w:val="0062718F"/>
    <w:rsid w:val="00627460"/>
    <w:rsid w:val="0062751E"/>
    <w:rsid w:val="00627AC8"/>
    <w:rsid w:val="0063021D"/>
    <w:rsid w:val="00630846"/>
    <w:rsid w:val="00630A79"/>
    <w:rsid w:val="00630E22"/>
    <w:rsid w:val="00630E37"/>
    <w:rsid w:val="00630EE9"/>
    <w:rsid w:val="006310F5"/>
    <w:rsid w:val="0063169A"/>
    <w:rsid w:val="00631A57"/>
    <w:rsid w:val="00631B42"/>
    <w:rsid w:val="00631C3E"/>
    <w:rsid w:val="00631EE6"/>
    <w:rsid w:val="00631F49"/>
    <w:rsid w:val="00632406"/>
    <w:rsid w:val="006324B2"/>
    <w:rsid w:val="006325D7"/>
    <w:rsid w:val="0063276F"/>
    <w:rsid w:val="00632C69"/>
    <w:rsid w:val="00632F85"/>
    <w:rsid w:val="00633BFA"/>
    <w:rsid w:val="00633CA8"/>
    <w:rsid w:val="006340BB"/>
    <w:rsid w:val="0063451E"/>
    <w:rsid w:val="006347B0"/>
    <w:rsid w:val="00634834"/>
    <w:rsid w:val="00634A96"/>
    <w:rsid w:val="00634C41"/>
    <w:rsid w:val="00634D7B"/>
    <w:rsid w:val="0063508E"/>
    <w:rsid w:val="0063513E"/>
    <w:rsid w:val="006351CA"/>
    <w:rsid w:val="0063537E"/>
    <w:rsid w:val="006358E9"/>
    <w:rsid w:val="00635934"/>
    <w:rsid w:val="006359CC"/>
    <w:rsid w:val="00635D35"/>
    <w:rsid w:val="00635E6A"/>
    <w:rsid w:val="0063604E"/>
    <w:rsid w:val="006363F7"/>
    <w:rsid w:val="00636539"/>
    <w:rsid w:val="00636638"/>
    <w:rsid w:val="006366DA"/>
    <w:rsid w:val="006369E4"/>
    <w:rsid w:val="00636AF9"/>
    <w:rsid w:val="00636B05"/>
    <w:rsid w:val="00636B08"/>
    <w:rsid w:val="006370DD"/>
    <w:rsid w:val="00637237"/>
    <w:rsid w:val="00637826"/>
    <w:rsid w:val="00637BDD"/>
    <w:rsid w:val="00637C0A"/>
    <w:rsid w:val="00637D5A"/>
    <w:rsid w:val="00637FE4"/>
    <w:rsid w:val="006401F2"/>
    <w:rsid w:val="00640347"/>
    <w:rsid w:val="006403CB"/>
    <w:rsid w:val="00640420"/>
    <w:rsid w:val="006409CB"/>
    <w:rsid w:val="00640D56"/>
    <w:rsid w:val="00640F72"/>
    <w:rsid w:val="0064126D"/>
    <w:rsid w:val="006414AE"/>
    <w:rsid w:val="006415A0"/>
    <w:rsid w:val="00641A49"/>
    <w:rsid w:val="00641A64"/>
    <w:rsid w:val="00641DB4"/>
    <w:rsid w:val="0064206D"/>
    <w:rsid w:val="0064230B"/>
    <w:rsid w:val="00642311"/>
    <w:rsid w:val="00642423"/>
    <w:rsid w:val="00642519"/>
    <w:rsid w:val="00642F1D"/>
    <w:rsid w:val="00642F5C"/>
    <w:rsid w:val="006430CA"/>
    <w:rsid w:val="0064325D"/>
    <w:rsid w:val="00643522"/>
    <w:rsid w:val="00643902"/>
    <w:rsid w:val="00643AB4"/>
    <w:rsid w:val="00643C96"/>
    <w:rsid w:val="006442B8"/>
    <w:rsid w:val="00644511"/>
    <w:rsid w:val="00644E8D"/>
    <w:rsid w:val="00645052"/>
    <w:rsid w:val="00645060"/>
    <w:rsid w:val="00645072"/>
    <w:rsid w:val="0064520B"/>
    <w:rsid w:val="0064542C"/>
    <w:rsid w:val="00645469"/>
    <w:rsid w:val="00645659"/>
    <w:rsid w:val="006457B1"/>
    <w:rsid w:val="00645B2A"/>
    <w:rsid w:val="00645CDD"/>
    <w:rsid w:val="00645E32"/>
    <w:rsid w:val="00645EB8"/>
    <w:rsid w:val="00645FB3"/>
    <w:rsid w:val="006460C3"/>
    <w:rsid w:val="006460CE"/>
    <w:rsid w:val="006462F2"/>
    <w:rsid w:val="00646403"/>
    <w:rsid w:val="00646462"/>
    <w:rsid w:val="00646853"/>
    <w:rsid w:val="00646A8C"/>
    <w:rsid w:val="00646E49"/>
    <w:rsid w:val="00646E80"/>
    <w:rsid w:val="0064708D"/>
    <w:rsid w:val="00647348"/>
    <w:rsid w:val="0064764D"/>
    <w:rsid w:val="006478BF"/>
    <w:rsid w:val="00647DF6"/>
    <w:rsid w:val="00647EB3"/>
    <w:rsid w:val="00647EE9"/>
    <w:rsid w:val="00647F19"/>
    <w:rsid w:val="006500F7"/>
    <w:rsid w:val="00650859"/>
    <w:rsid w:val="00650958"/>
    <w:rsid w:val="00650B8E"/>
    <w:rsid w:val="00650C39"/>
    <w:rsid w:val="00650D17"/>
    <w:rsid w:val="00650D8D"/>
    <w:rsid w:val="0065114D"/>
    <w:rsid w:val="00651419"/>
    <w:rsid w:val="00651518"/>
    <w:rsid w:val="0065152B"/>
    <w:rsid w:val="0065165F"/>
    <w:rsid w:val="006516B9"/>
    <w:rsid w:val="0065186B"/>
    <w:rsid w:val="00651922"/>
    <w:rsid w:val="00651B4E"/>
    <w:rsid w:val="0065202F"/>
    <w:rsid w:val="006522A7"/>
    <w:rsid w:val="0065246C"/>
    <w:rsid w:val="00652745"/>
    <w:rsid w:val="0065281F"/>
    <w:rsid w:val="00652987"/>
    <w:rsid w:val="00652C64"/>
    <w:rsid w:val="00652CB9"/>
    <w:rsid w:val="00652E35"/>
    <w:rsid w:val="00652F39"/>
    <w:rsid w:val="006532CA"/>
    <w:rsid w:val="006534BF"/>
    <w:rsid w:val="00653A97"/>
    <w:rsid w:val="006542EE"/>
    <w:rsid w:val="006542F6"/>
    <w:rsid w:val="00654698"/>
    <w:rsid w:val="00654A90"/>
    <w:rsid w:val="00654BE9"/>
    <w:rsid w:val="00654EA6"/>
    <w:rsid w:val="00654FC8"/>
    <w:rsid w:val="006556C8"/>
    <w:rsid w:val="006557BF"/>
    <w:rsid w:val="00655E7B"/>
    <w:rsid w:val="006561F6"/>
    <w:rsid w:val="00656383"/>
    <w:rsid w:val="0065638D"/>
    <w:rsid w:val="00656B1F"/>
    <w:rsid w:val="0065704C"/>
    <w:rsid w:val="00657110"/>
    <w:rsid w:val="006572AC"/>
    <w:rsid w:val="0065747C"/>
    <w:rsid w:val="0065760B"/>
    <w:rsid w:val="0065768C"/>
    <w:rsid w:val="00657BD5"/>
    <w:rsid w:val="00657D75"/>
    <w:rsid w:val="00657E35"/>
    <w:rsid w:val="0066026F"/>
    <w:rsid w:val="006603BC"/>
    <w:rsid w:val="0066061A"/>
    <w:rsid w:val="006608C8"/>
    <w:rsid w:val="0066109D"/>
    <w:rsid w:val="00661101"/>
    <w:rsid w:val="006613D8"/>
    <w:rsid w:val="006614B9"/>
    <w:rsid w:val="00661A0E"/>
    <w:rsid w:val="00661B8D"/>
    <w:rsid w:val="00662194"/>
    <w:rsid w:val="006621DA"/>
    <w:rsid w:val="0066239E"/>
    <w:rsid w:val="006623DA"/>
    <w:rsid w:val="0066245D"/>
    <w:rsid w:val="00662668"/>
    <w:rsid w:val="006628E3"/>
    <w:rsid w:val="00662A29"/>
    <w:rsid w:val="00662B48"/>
    <w:rsid w:val="006630D7"/>
    <w:rsid w:val="00663184"/>
    <w:rsid w:val="0066358A"/>
    <w:rsid w:val="00663641"/>
    <w:rsid w:val="006636FE"/>
    <w:rsid w:val="00663D47"/>
    <w:rsid w:val="006640DB"/>
    <w:rsid w:val="0066411E"/>
    <w:rsid w:val="006642E3"/>
    <w:rsid w:val="00664486"/>
    <w:rsid w:val="00664859"/>
    <w:rsid w:val="00665163"/>
    <w:rsid w:val="0066549C"/>
    <w:rsid w:val="00665B96"/>
    <w:rsid w:val="00665DB5"/>
    <w:rsid w:val="006662B3"/>
    <w:rsid w:val="0066632A"/>
    <w:rsid w:val="006664EB"/>
    <w:rsid w:val="006665B3"/>
    <w:rsid w:val="006675BE"/>
    <w:rsid w:val="00667668"/>
    <w:rsid w:val="00667B90"/>
    <w:rsid w:val="00667BC6"/>
    <w:rsid w:val="00667BFC"/>
    <w:rsid w:val="00667E77"/>
    <w:rsid w:val="006702BC"/>
    <w:rsid w:val="0067047D"/>
    <w:rsid w:val="00670517"/>
    <w:rsid w:val="00670899"/>
    <w:rsid w:val="00671495"/>
    <w:rsid w:val="006714AF"/>
    <w:rsid w:val="00671741"/>
    <w:rsid w:val="006717BC"/>
    <w:rsid w:val="0067183A"/>
    <w:rsid w:val="00671957"/>
    <w:rsid w:val="00671AA0"/>
    <w:rsid w:val="0067211F"/>
    <w:rsid w:val="00672208"/>
    <w:rsid w:val="006727B1"/>
    <w:rsid w:val="006728C7"/>
    <w:rsid w:val="00672F9A"/>
    <w:rsid w:val="00673424"/>
    <w:rsid w:val="00673864"/>
    <w:rsid w:val="00673BD8"/>
    <w:rsid w:val="00673CC0"/>
    <w:rsid w:val="00673D4B"/>
    <w:rsid w:val="00673DEE"/>
    <w:rsid w:val="00674015"/>
    <w:rsid w:val="00674090"/>
    <w:rsid w:val="00674344"/>
    <w:rsid w:val="006744AB"/>
    <w:rsid w:val="00674A2E"/>
    <w:rsid w:val="00674BA6"/>
    <w:rsid w:val="00674DCE"/>
    <w:rsid w:val="0067544D"/>
    <w:rsid w:val="0067551F"/>
    <w:rsid w:val="00675778"/>
    <w:rsid w:val="006758A9"/>
    <w:rsid w:val="00675A00"/>
    <w:rsid w:val="00675BCD"/>
    <w:rsid w:val="00675C29"/>
    <w:rsid w:val="0067620C"/>
    <w:rsid w:val="00676302"/>
    <w:rsid w:val="00676412"/>
    <w:rsid w:val="00676693"/>
    <w:rsid w:val="006768E7"/>
    <w:rsid w:val="00676997"/>
    <w:rsid w:val="00676BBD"/>
    <w:rsid w:val="00676BF1"/>
    <w:rsid w:val="00676C72"/>
    <w:rsid w:val="00676D1C"/>
    <w:rsid w:val="00676D3C"/>
    <w:rsid w:val="00677040"/>
    <w:rsid w:val="006774A1"/>
    <w:rsid w:val="0067781E"/>
    <w:rsid w:val="00677FEF"/>
    <w:rsid w:val="006804AD"/>
    <w:rsid w:val="00680579"/>
    <w:rsid w:val="006805C2"/>
    <w:rsid w:val="0068061C"/>
    <w:rsid w:val="00681131"/>
    <w:rsid w:val="0068119B"/>
    <w:rsid w:val="00681444"/>
    <w:rsid w:val="006814D8"/>
    <w:rsid w:val="006814DB"/>
    <w:rsid w:val="006815A4"/>
    <w:rsid w:val="006816E4"/>
    <w:rsid w:val="00681737"/>
    <w:rsid w:val="00681A60"/>
    <w:rsid w:val="00681AA9"/>
    <w:rsid w:val="00681C7B"/>
    <w:rsid w:val="00681E89"/>
    <w:rsid w:val="00681F7C"/>
    <w:rsid w:val="006821E9"/>
    <w:rsid w:val="00682951"/>
    <w:rsid w:val="00683503"/>
    <w:rsid w:val="0068396C"/>
    <w:rsid w:val="00683A4E"/>
    <w:rsid w:val="00683D49"/>
    <w:rsid w:val="00683DA1"/>
    <w:rsid w:val="0068486E"/>
    <w:rsid w:val="00684A98"/>
    <w:rsid w:val="00684BAE"/>
    <w:rsid w:val="00684CD7"/>
    <w:rsid w:val="00684CE9"/>
    <w:rsid w:val="00684D2D"/>
    <w:rsid w:val="00684EB8"/>
    <w:rsid w:val="00684FE7"/>
    <w:rsid w:val="00685322"/>
    <w:rsid w:val="00685482"/>
    <w:rsid w:val="006854C9"/>
    <w:rsid w:val="006857C1"/>
    <w:rsid w:val="00685814"/>
    <w:rsid w:val="0068584B"/>
    <w:rsid w:val="00685869"/>
    <w:rsid w:val="0068589E"/>
    <w:rsid w:val="00685A4E"/>
    <w:rsid w:val="00685FC8"/>
    <w:rsid w:val="00686084"/>
    <w:rsid w:val="00686418"/>
    <w:rsid w:val="006867A6"/>
    <w:rsid w:val="00686885"/>
    <w:rsid w:val="006868AA"/>
    <w:rsid w:val="00686AE4"/>
    <w:rsid w:val="00686B12"/>
    <w:rsid w:val="006870B9"/>
    <w:rsid w:val="00687361"/>
    <w:rsid w:val="00687444"/>
    <w:rsid w:val="00687559"/>
    <w:rsid w:val="006876A0"/>
    <w:rsid w:val="00687B60"/>
    <w:rsid w:val="00687C80"/>
    <w:rsid w:val="006901B7"/>
    <w:rsid w:val="00690545"/>
    <w:rsid w:val="006905ED"/>
    <w:rsid w:val="0069066A"/>
    <w:rsid w:val="00690762"/>
    <w:rsid w:val="00690853"/>
    <w:rsid w:val="00690C0A"/>
    <w:rsid w:val="00690D9E"/>
    <w:rsid w:val="00690DCF"/>
    <w:rsid w:val="00690DF4"/>
    <w:rsid w:val="00690E70"/>
    <w:rsid w:val="006911A5"/>
    <w:rsid w:val="00691245"/>
    <w:rsid w:val="006915DC"/>
    <w:rsid w:val="00691B3D"/>
    <w:rsid w:val="00691CA5"/>
    <w:rsid w:val="00691E4A"/>
    <w:rsid w:val="006925FB"/>
    <w:rsid w:val="00692BE4"/>
    <w:rsid w:val="00692C5C"/>
    <w:rsid w:val="00692D44"/>
    <w:rsid w:val="006930C1"/>
    <w:rsid w:val="00693490"/>
    <w:rsid w:val="006937CE"/>
    <w:rsid w:val="00693815"/>
    <w:rsid w:val="00693835"/>
    <w:rsid w:val="00693A1F"/>
    <w:rsid w:val="00693BEA"/>
    <w:rsid w:val="006940FE"/>
    <w:rsid w:val="006942EC"/>
    <w:rsid w:val="00694314"/>
    <w:rsid w:val="00694368"/>
    <w:rsid w:val="00694445"/>
    <w:rsid w:val="006945A9"/>
    <w:rsid w:val="00694B05"/>
    <w:rsid w:val="00694B69"/>
    <w:rsid w:val="00694BD3"/>
    <w:rsid w:val="00694CD2"/>
    <w:rsid w:val="00694CE6"/>
    <w:rsid w:val="006950A6"/>
    <w:rsid w:val="00695176"/>
    <w:rsid w:val="0069528D"/>
    <w:rsid w:val="006957C4"/>
    <w:rsid w:val="00695824"/>
    <w:rsid w:val="00695A87"/>
    <w:rsid w:val="00695C44"/>
    <w:rsid w:val="00695CBE"/>
    <w:rsid w:val="00695DED"/>
    <w:rsid w:val="00696561"/>
    <w:rsid w:val="00696A04"/>
    <w:rsid w:val="00697939"/>
    <w:rsid w:val="00697B27"/>
    <w:rsid w:val="00697B8C"/>
    <w:rsid w:val="00697BE0"/>
    <w:rsid w:val="00697F8B"/>
    <w:rsid w:val="00697FFE"/>
    <w:rsid w:val="006A0068"/>
    <w:rsid w:val="006A0116"/>
    <w:rsid w:val="006A0615"/>
    <w:rsid w:val="006A0684"/>
    <w:rsid w:val="006A0725"/>
    <w:rsid w:val="006A0B25"/>
    <w:rsid w:val="006A0FFD"/>
    <w:rsid w:val="006A118D"/>
    <w:rsid w:val="006A12A7"/>
    <w:rsid w:val="006A1339"/>
    <w:rsid w:val="006A1595"/>
    <w:rsid w:val="006A18B1"/>
    <w:rsid w:val="006A19DA"/>
    <w:rsid w:val="006A1BAE"/>
    <w:rsid w:val="006A1BFE"/>
    <w:rsid w:val="006A1EB4"/>
    <w:rsid w:val="006A1FD0"/>
    <w:rsid w:val="006A22DD"/>
    <w:rsid w:val="006A23A9"/>
    <w:rsid w:val="006A2522"/>
    <w:rsid w:val="006A2791"/>
    <w:rsid w:val="006A2A82"/>
    <w:rsid w:val="006A2F81"/>
    <w:rsid w:val="006A2FF9"/>
    <w:rsid w:val="006A3120"/>
    <w:rsid w:val="006A321B"/>
    <w:rsid w:val="006A3531"/>
    <w:rsid w:val="006A381D"/>
    <w:rsid w:val="006A3A7D"/>
    <w:rsid w:val="006A3C0E"/>
    <w:rsid w:val="006A3D5D"/>
    <w:rsid w:val="006A4084"/>
    <w:rsid w:val="006A4128"/>
    <w:rsid w:val="006A4217"/>
    <w:rsid w:val="006A4299"/>
    <w:rsid w:val="006A437B"/>
    <w:rsid w:val="006A524C"/>
    <w:rsid w:val="006A533E"/>
    <w:rsid w:val="006A582F"/>
    <w:rsid w:val="006A59AE"/>
    <w:rsid w:val="006A5B18"/>
    <w:rsid w:val="006A5B2F"/>
    <w:rsid w:val="006A5BAB"/>
    <w:rsid w:val="006A5D48"/>
    <w:rsid w:val="006A5E1A"/>
    <w:rsid w:val="006A5FED"/>
    <w:rsid w:val="006A601F"/>
    <w:rsid w:val="006A604F"/>
    <w:rsid w:val="006A617E"/>
    <w:rsid w:val="006A645C"/>
    <w:rsid w:val="006A65ED"/>
    <w:rsid w:val="006A6718"/>
    <w:rsid w:val="006A6890"/>
    <w:rsid w:val="006A68BB"/>
    <w:rsid w:val="006A68EA"/>
    <w:rsid w:val="006A6AAC"/>
    <w:rsid w:val="006A6BA3"/>
    <w:rsid w:val="006A6BCC"/>
    <w:rsid w:val="006A6C83"/>
    <w:rsid w:val="006A6FE1"/>
    <w:rsid w:val="006A77C5"/>
    <w:rsid w:val="006A7B90"/>
    <w:rsid w:val="006A7C6A"/>
    <w:rsid w:val="006A7CB2"/>
    <w:rsid w:val="006B01D2"/>
    <w:rsid w:val="006B026E"/>
    <w:rsid w:val="006B0928"/>
    <w:rsid w:val="006B0DBA"/>
    <w:rsid w:val="006B0EB8"/>
    <w:rsid w:val="006B0EC8"/>
    <w:rsid w:val="006B0F4B"/>
    <w:rsid w:val="006B125D"/>
    <w:rsid w:val="006B1303"/>
    <w:rsid w:val="006B1586"/>
    <w:rsid w:val="006B16E1"/>
    <w:rsid w:val="006B18F9"/>
    <w:rsid w:val="006B1F21"/>
    <w:rsid w:val="006B1FD3"/>
    <w:rsid w:val="006B2310"/>
    <w:rsid w:val="006B241C"/>
    <w:rsid w:val="006B2944"/>
    <w:rsid w:val="006B2C26"/>
    <w:rsid w:val="006B2DF0"/>
    <w:rsid w:val="006B2FC0"/>
    <w:rsid w:val="006B3090"/>
    <w:rsid w:val="006B36E0"/>
    <w:rsid w:val="006B37D8"/>
    <w:rsid w:val="006B39B9"/>
    <w:rsid w:val="006B42B7"/>
    <w:rsid w:val="006B4376"/>
    <w:rsid w:val="006B4482"/>
    <w:rsid w:val="006B46BE"/>
    <w:rsid w:val="006B47C2"/>
    <w:rsid w:val="006B4A46"/>
    <w:rsid w:val="006B4B7F"/>
    <w:rsid w:val="006B4C49"/>
    <w:rsid w:val="006B4CA0"/>
    <w:rsid w:val="006B4F04"/>
    <w:rsid w:val="006B4FF9"/>
    <w:rsid w:val="006B50B8"/>
    <w:rsid w:val="006B5CF1"/>
    <w:rsid w:val="006B5E69"/>
    <w:rsid w:val="006B622E"/>
    <w:rsid w:val="006B63C2"/>
    <w:rsid w:val="006B6790"/>
    <w:rsid w:val="006B68C2"/>
    <w:rsid w:val="006B6E1D"/>
    <w:rsid w:val="006B753B"/>
    <w:rsid w:val="006B7866"/>
    <w:rsid w:val="006B7BDA"/>
    <w:rsid w:val="006B7F4E"/>
    <w:rsid w:val="006C008F"/>
    <w:rsid w:val="006C07E4"/>
    <w:rsid w:val="006C08FB"/>
    <w:rsid w:val="006C0CAF"/>
    <w:rsid w:val="006C11BB"/>
    <w:rsid w:val="006C12ED"/>
    <w:rsid w:val="006C13EA"/>
    <w:rsid w:val="006C1416"/>
    <w:rsid w:val="006C1522"/>
    <w:rsid w:val="006C17B3"/>
    <w:rsid w:val="006C20D6"/>
    <w:rsid w:val="006C2107"/>
    <w:rsid w:val="006C31B2"/>
    <w:rsid w:val="006C3376"/>
    <w:rsid w:val="006C3446"/>
    <w:rsid w:val="006C3662"/>
    <w:rsid w:val="006C3A4A"/>
    <w:rsid w:val="006C3DFA"/>
    <w:rsid w:val="006C3ED7"/>
    <w:rsid w:val="006C4171"/>
    <w:rsid w:val="006C44EB"/>
    <w:rsid w:val="006C482F"/>
    <w:rsid w:val="006C49AC"/>
    <w:rsid w:val="006C4B33"/>
    <w:rsid w:val="006C4E3A"/>
    <w:rsid w:val="006C53B0"/>
    <w:rsid w:val="006C54C8"/>
    <w:rsid w:val="006C54F3"/>
    <w:rsid w:val="006C58FE"/>
    <w:rsid w:val="006C5E77"/>
    <w:rsid w:val="006C5EBD"/>
    <w:rsid w:val="006C608B"/>
    <w:rsid w:val="006C642D"/>
    <w:rsid w:val="006C65B7"/>
    <w:rsid w:val="006C65DE"/>
    <w:rsid w:val="006C6825"/>
    <w:rsid w:val="006C69B7"/>
    <w:rsid w:val="006C69FB"/>
    <w:rsid w:val="006C6A50"/>
    <w:rsid w:val="006C6CAF"/>
    <w:rsid w:val="006C7032"/>
    <w:rsid w:val="006C73E4"/>
    <w:rsid w:val="006C76D3"/>
    <w:rsid w:val="006C7791"/>
    <w:rsid w:val="006C7DB2"/>
    <w:rsid w:val="006D0068"/>
    <w:rsid w:val="006D0172"/>
    <w:rsid w:val="006D0195"/>
    <w:rsid w:val="006D07B2"/>
    <w:rsid w:val="006D0973"/>
    <w:rsid w:val="006D0A3C"/>
    <w:rsid w:val="006D0D01"/>
    <w:rsid w:val="006D0E05"/>
    <w:rsid w:val="006D104D"/>
    <w:rsid w:val="006D1120"/>
    <w:rsid w:val="006D1137"/>
    <w:rsid w:val="006D1606"/>
    <w:rsid w:val="006D1A31"/>
    <w:rsid w:val="006D1C35"/>
    <w:rsid w:val="006D206D"/>
    <w:rsid w:val="006D20CD"/>
    <w:rsid w:val="006D2228"/>
    <w:rsid w:val="006D2691"/>
    <w:rsid w:val="006D2A58"/>
    <w:rsid w:val="006D2A70"/>
    <w:rsid w:val="006D2AC3"/>
    <w:rsid w:val="006D2AF2"/>
    <w:rsid w:val="006D2B74"/>
    <w:rsid w:val="006D2C6D"/>
    <w:rsid w:val="006D3390"/>
    <w:rsid w:val="006D3728"/>
    <w:rsid w:val="006D384E"/>
    <w:rsid w:val="006D43F2"/>
    <w:rsid w:val="006D4560"/>
    <w:rsid w:val="006D4620"/>
    <w:rsid w:val="006D46F2"/>
    <w:rsid w:val="006D46F6"/>
    <w:rsid w:val="006D48B5"/>
    <w:rsid w:val="006D4AF4"/>
    <w:rsid w:val="006D4B2C"/>
    <w:rsid w:val="006D4BB4"/>
    <w:rsid w:val="006D4FC0"/>
    <w:rsid w:val="006D50A6"/>
    <w:rsid w:val="006D50E2"/>
    <w:rsid w:val="006D511D"/>
    <w:rsid w:val="006D5339"/>
    <w:rsid w:val="006D536A"/>
    <w:rsid w:val="006D58EA"/>
    <w:rsid w:val="006D5F72"/>
    <w:rsid w:val="006D5FB7"/>
    <w:rsid w:val="006D6695"/>
    <w:rsid w:val="006D675F"/>
    <w:rsid w:val="006D69DF"/>
    <w:rsid w:val="006D6AA1"/>
    <w:rsid w:val="006D7123"/>
    <w:rsid w:val="006D7909"/>
    <w:rsid w:val="006E0489"/>
    <w:rsid w:val="006E0574"/>
    <w:rsid w:val="006E080A"/>
    <w:rsid w:val="006E09AF"/>
    <w:rsid w:val="006E0D39"/>
    <w:rsid w:val="006E0F6A"/>
    <w:rsid w:val="006E1788"/>
    <w:rsid w:val="006E18A5"/>
    <w:rsid w:val="006E1B02"/>
    <w:rsid w:val="006E20EB"/>
    <w:rsid w:val="006E25ED"/>
    <w:rsid w:val="006E27E3"/>
    <w:rsid w:val="006E29DA"/>
    <w:rsid w:val="006E32E8"/>
    <w:rsid w:val="006E33EF"/>
    <w:rsid w:val="006E34A6"/>
    <w:rsid w:val="006E357E"/>
    <w:rsid w:val="006E3713"/>
    <w:rsid w:val="006E3EF4"/>
    <w:rsid w:val="006E440B"/>
    <w:rsid w:val="006E4951"/>
    <w:rsid w:val="006E4A94"/>
    <w:rsid w:val="006E4F5F"/>
    <w:rsid w:val="006E4F63"/>
    <w:rsid w:val="006E4FD0"/>
    <w:rsid w:val="006E52AB"/>
    <w:rsid w:val="006E5469"/>
    <w:rsid w:val="006E58F6"/>
    <w:rsid w:val="006E5C59"/>
    <w:rsid w:val="006E5D54"/>
    <w:rsid w:val="006E5F3D"/>
    <w:rsid w:val="006E5FEE"/>
    <w:rsid w:val="006E607F"/>
    <w:rsid w:val="006E6639"/>
    <w:rsid w:val="006E6679"/>
    <w:rsid w:val="006E67B4"/>
    <w:rsid w:val="006E683C"/>
    <w:rsid w:val="006E6CC7"/>
    <w:rsid w:val="006E6ED8"/>
    <w:rsid w:val="006E71D1"/>
    <w:rsid w:val="006E7B9E"/>
    <w:rsid w:val="006E7DC0"/>
    <w:rsid w:val="006F0429"/>
    <w:rsid w:val="006F063F"/>
    <w:rsid w:val="006F08BB"/>
    <w:rsid w:val="006F09F1"/>
    <w:rsid w:val="006F0B12"/>
    <w:rsid w:val="006F1537"/>
    <w:rsid w:val="006F17B5"/>
    <w:rsid w:val="006F1885"/>
    <w:rsid w:val="006F18F7"/>
    <w:rsid w:val="006F19C4"/>
    <w:rsid w:val="006F1B4E"/>
    <w:rsid w:val="006F1ED9"/>
    <w:rsid w:val="006F2115"/>
    <w:rsid w:val="006F28B1"/>
    <w:rsid w:val="006F2901"/>
    <w:rsid w:val="006F2D28"/>
    <w:rsid w:val="006F316A"/>
    <w:rsid w:val="006F34E6"/>
    <w:rsid w:val="006F3C0E"/>
    <w:rsid w:val="006F3C80"/>
    <w:rsid w:val="006F3D72"/>
    <w:rsid w:val="006F3DE1"/>
    <w:rsid w:val="006F40B6"/>
    <w:rsid w:val="006F4106"/>
    <w:rsid w:val="006F4368"/>
    <w:rsid w:val="006F43DC"/>
    <w:rsid w:val="006F4BB0"/>
    <w:rsid w:val="006F4CFE"/>
    <w:rsid w:val="006F4DF3"/>
    <w:rsid w:val="006F5564"/>
    <w:rsid w:val="006F5BFB"/>
    <w:rsid w:val="006F5C1B"/>
    <w:rsid w:val="006F5C2C"/>
    <w:rsid w:val="006F5C9B"/>
    <w:rsid w:val="006F600B"/>
    <w:rsid w:val="006F637D"/>
    <w:rsid w:val="006F63DE"/>
    <w:rsid w:val="006F6506"/>
    <w:rsid w:val="006F65BC"/>
    <w:rsid w:val="006F6937"/>
    <w:rsid w:val="006F6BBA"/>
    <w:rsid w:val="006F70D3"/>
    <w:rsid w:val="006F71CE"/>
    <w:rsid w:val="006F7536"/>
    <w:rsid w:val="006F7551"/>
    <w:rsid w:val="006F758D"/>
    <w:rsid w:val="006F75FB"/>
    <w:rsid w:val="006F7A9B"/>
    <w:rsid w:val="006F7C39"/>
    <w:rsid w:val="006F7D79"/>
    <w:rsid w:val="00700A22"/>
    <w:rsid w:val="00700AD2"/>
    <w:rsid w:val="00700B2A"/>
    <w:rsid w:val="007011FC"/>
    <w:rsid w:val="00701241"/>
    <w:rsid w:val="00701244"/>
    <w:rsid w:val="007012AA"/>
    <w:rsid w:val="00701665"/>
    <w:rsid w:val="00701AEE"/>
    <w:rsid w:val="00701FD5"/>
    <w:rsid w:val="00702115"/>
    <w:rsid w:val="0070214C"/>
    <w:rsid w:val="00702789"/>
    <w:rsid w:val="00702905"/>
    <w:rsid w:val="0070299F"/>
    <w:rsid w:val="00702BBB"/>
    <w:rsid w:val="00702C14"/>
    <w:rsid w:val="00702FC8"/>
    <w:rsid w:val="007033B5"/>
    <w:rsid w:val="007034B1"/>
    <w:rsid w:val="0070355C"/>
    <w:rsid w:val="00703588"/>
    <w:rsid w:val="00703716"/>
    <w:rsid w:val="007037EA"/>
    <w:rsid w:val="0070380E"/>
    <w:rsid w:val="007039B5"/>
    <w:rsid w:val="00703EE4"/>
    <w:rsid w:val="0070404B"/>
    <w:rsid w:val="00704196"/>
    <w:rsid w:val="00704581"/>
    <w:rsid w:val="007045DF"/>
    <w:rsid w:val="0070481D"/>
    <w:rsid w:val="007048CD"/>
    <w:rsid w:val="00704D26"/>
    <w:rsid w:val="007050DB"/>
    <w:rsid w:val="007057CB"/>
    <w:rsid w:val="007057E4"/>
    <w:rsid w:val="007059DD"/>
    <w:rsid w:val="00705B28"/>
    <w:rsid w:val="00705CC3"/>
    <w:rsid w:val="00705F36"/>
    <w:rsid w:val="00705F8A"/>
    <w:rsid w:val="00705F90"/>
    <w:rsid w:val="00705FB4"/>
    <w:rsid w:val="00706110"/>
    <w:rsid w:val="00706140"/>
    <w:rsid w:val="00706687"/>
    <w:rsid w:val="00706D44"/>
    <w:rsid w:val="00706E8E"/>
    <w:rsid w:val="00707392"/>
    <w:rsid w:val="00707D0C"/>
    <w:rsid w:val="007100E1"/>
    <w:rsid w:val="0071029C"/>
    <w:rsid w:val="00710964"/>
    <w:rsid w:val="00710DE6"/>
    <w:rsid w:val="00710F35"/>
    <w:rsid w:val="00711373"/>
    <w:rsid w:val="007117AC"/>
    <w:rsid w:val="00711AC1"/>
    <w:rsid w:val="00711CA1"/>
    <w:rsid w:val="00711DFC"/>
    <w:rsid w:val="0071200A"/>
    <w:rsid w:val="00712023"/>
    <w:rsid w:val="007121A4"/>
    <w:rsid w:val="0071226B"/>
    <w:rsid w:val="0071240B"/>
    <w:rsid w:val="007126B0"/>
    <w:rsid w:val="007128DF"/>
    <w:rsid w:val="007129BE"/>
    <w:rsid w:val="00712ABA"/>
    <w:rsid w:val="00712BE3"/>
    <w:rsid w:val="00712D68"/>
    <w:rsid w:val="00713064"/>
    <w:rsid w:val="00713112"/>
    <w:rsid w:val="00713320"/>
    <w:rsid w:val="0071359D"/>
    <w:rsid w:val="00713782"/>
    <w:rsid w:val="00713EE3"/>
    <w:rsid w:val="0071408F"/>
    <w:rsid w:val="007140EB"/>
    <w:rsid w:val="00714121"/>
    <w:rsid w:val="00714274"/>
    <w:rsid w:val="007145A1"/>
    <w:rsid w:val="007145CB"/>
    <w:rsid w:val="00714C43"/>
    <w:rsid w:val="00714FC6"/>
    <w:rsid w:val="007150AB"/>
    <w:rsid w:val="007150D9"/>
    <w:rsid w:val="00715104"/>
    <w:rsid w:val="0071514A"/>
    <w:rsid w:val="0071542E"/>
    <w:rsid w:val="007155AC"/>
    <w:rsid w:val="00715646"/>
    <w:rsid w:val="00715678"/>
    <w:rsid w:val="00715742"/>
    <w:rsid w:val="00715899"/>
    <w:rsid w:val="00715AD4"/>
    <w:rsid w:val="00715C1E"/>
    <w:rsid w:val="007160BC"/>
    <w:rsid w:val="007161AD"/>
    <w:rsid w:val="00716634"/>
    <w:rsid w:val="00716B07"/>
    <w:rsid w:val="00716D2B"/>
    <w:rsid w:val="00716DF9"/>
    <w:rsid w:val="00716F1C"/>
    <w:rsid w:val="007171A9"/>
    <w:rsid w:val="007175FD"/>
    <w:rsid w:val="00717B68"/>
    <w:rsid w:val="0072041C"/>
    <w:rsid w:val="0072076E"/>
    <w:rsid w:val="007207C5"/>
    <w:rsid w:val="00720885"/>
    <w:rsid w:val="007208BF"/>
    <w:rsid w:val="00720B32"/>
    <w:rsid w:val="00720F01"/>
    <w:rsid w:val="00720FB2"/>
    <w:rsid w:val="00720FE6"/>
    <w:rsid w:val="0072111B"/>
    <w:rsid w:val="00721446"/>
    <w:rsid w:val="00721C54"/>
    <w:rsid w:val="00721D30"/>
    <w:rsid w:val="00721FE6"/>
    <w:rsid w:val="0072207B"/>
    <w:rsid w:val="00722132"/>
    <w:rsid w:val="0072228F"/>
    <w:rsid w:val="007222BB"/>
    <w:rsid w:val="007225F3"/>
    <w:rsid w:val="007226EC"/>
    <w:rsid w:val="0072282D"/>
    <w:rsid w:val="007229C7"/>
    <w:rsid w:val="00722AB6"/>
    <w:rsid w:val="00722B76"/>
    <w:rsid w:val="00722C2F"/>
    <w:rsid w:val="00723054"/>
    <w:rsid w:val="0072328E"/>
    <w:rsid w:val="00723481"/>
    <w:rsid w:val="007236C0"/>
    <w:rsid w:val="00723D95"/>
    <w:rsid w:val="00723E78"/>
    <w:rsid w:val="00723F13"/>
    <w:rsid w:val="00724039"/>
    <w:rsid w:val="00724108"/>
    <w:rsid w:val="00724278"/>
    <w:rsid w:val="0072428F"/>
    <w:rsid w:val="00724387"/>
    <w:rsid w:val="00724910"/>
    <w:rsid w:val="0072493D"/>
    <w:rsid w:val="00724AA0"/>
    <w:rsid w:val="00724C11"/>
    <w:rsid w:val="00724C50"/>
    <w:rsid w:val="00724E41"/>
    <w:rsid w:val="00725462"/>
    <w:rsid w:val="007255E2"/>
    <w:rsid w:val="00725632"/>
    <w:rsid w:val="00725758"/>
    <w:rsid w:val="00725824"/>
    <w:rsid w:val="00725C82"/>
    <w:rsid w:val="00725CB1"/>
    <w:rsid w:val="00725F8C"/>
    <w:rsid w:val="007264B4"/>
    <w:rsid w:val="007264EC"/>
    <w:rsid w:val="0072650B"/>
    <w:rsid w:val="007265DC"/>
    <w:rsid w:val="00726925"/>
    <w:rsid w:val="00726A3D"/>
    <w:rsid w:val="0072704E"/>
    <w:rsid w:val="007271B8"/>
    <w:rsid w:val="00727CE4"/>
    <w:rsid w:val="00727D00"/>
    <w:rsid w:val="00727DEC"/>
    <w:rsid w:val="007300F8"/>
    <w:rsid w:val="00730A98"/>
    <w:rsid w:val="00730C4C"/>
    <w:rsid w:val="00731126"/>
    <w:rsid w:val="007311DD"/>
    <w:rsid w:val="007312AA"/>
    <w:rsid w:val="0073172D"/>
    <w:rsid w:val="0073190D"/>
    <w:rsid w:val="00731965"/>
    <w:rsid w:val="00731B84"/>
    <w:rsid w:val="00731C12"/>
    <w:rsid w:val="00731DBE"/>
    <w:rsid w:val="00731E75"/>
    <w:rsid w:val="00731FA4"/>
    <w:rsid w:val="00732552"/>
    <w:rsid w:val="0073258D"/>
    <w:rsid w:val="007325D3"/>
    <w:rsid w:val="00732692"/>
    <w:rsid w:val="007327BB"/>
    <w:rsid w:val="00732E4A"/>
    <w:rsid w:val="00732EAF"/>
    <w:rsid w:val="00733544"/>
    <w:rsid w:val="00733633"/>
    <w:rsid w:val="00733690"/>
    <w:rsid w:val="0073398D"/>
    <w:rsid w:val="007339A9"/>
    <w:rsid w:val="00733A76"/>
    <w:rsid w:val="00734101"/>
    <w:rsid w:val="00734183"/>
    <w:rsid w:val="007342B6"/>
    <w:rsid w:val="007343B8"/>
    <w:rsid w:val="00734419"/>
    <w:rsid w:val="0073468C"/>
    <w:rsid w:val="007348D7"/>
    <w:rsid w:val="00734A50"/>
    <w:rsid w:val="00734D02"/>
    <w:rsid w:val="00734DEF"/>
    <w:rsid w:val="00734FCA"/>
    <w:rsid w:val="0073508F"/>
    <w:rsid w:val="00735215"/>
    <w:rsid w:val="007354A2"/>
    <w:rsid w:val="00735569"/>
    <w:rsid w:val="00735893"/>
    <w:rsid w:val="00735905"/>
    <w:rsid w:val="007359E5"/>
    <w:rsid w:val="00735AB3"/>
    <w:rsid w:val="00735D3C"/>
    <w:rsid w:val="00735F3F"/>
    <w:rsid w:val="00735FDB"/>
    <w:rsid w:val="00736028"/>
    <w:rsid w:val="00736034"/>
    <w:rsid w:val="007360C5"/>
    <w:rsid w:val="007360FC"/>
    <w:rsid w:val="00736110"/>
    <w:rsid w:val="0073660E"/>
    <w:rsid w:val="0073685D"/>
    <w:rsid w:val="00736963"/>
    <w:rsid w:val="00736B20"/>
    <w:rsid w:val="00736EB9"/>
    <w:rsid w:val="00737155"/>
    <w:rsid w:val="00737268"/>
    <w:rsid w:val="0073776B"/>
    <w:rsid w:val="00737885"/>
    <w:rsid w:val="007378D0"/>
    <w:rsid w:val="00737EA8"/>
    <w:rsid w:val="00737FEC"/>
    <w:rsid w:val="00740531"/>
    <w:rsid w:val="00740963"/>
    <w:rsid w:val="007409EB"/>
    <w:rsid w:val="007409F9"/>
    <w:rsid w:val="00740BA7"/>
    <w:rsid w:val="00740BD5"/>
    <w:rsid w:val="00740EA5"/>
    <w:rsid w:val="00740FF2"/>
    <w:rsid w:val="007413C0"/>
    <w:rsid w:val="007415F2"/>
    <w:rsid w:val="007416C5"/>
    <w:rsid w:val="0074173E"/>
    <w:rsid w:val="0074178E"/>
    <w:rsid w:val="00741828"/>
    <w:rsid w:val="007418D8"/>
    <w:rsid w:val="00741B2D"/>
    <w:rsid w:val="00741C98"/>
    <w:rsid w:val="00741F76"/>
    <w:rsid w:val="00742214"/>
    <w:rsid w:val="0074253F"/>
    <w:rsid w:val="0074316B"/>
    <w:rsid w:val="00743253"/>
    <w:rsid w:val="00743441"/>
    <w:rsid w:val="007438CD"/>
    <w:rsid w:val="00743A94"/>
    <w:rsid w:val="00743B24"/>
    <w:rsid w:val="00743C89"/>
    <w:rsid w:val="0074442E"/>
    <w:rsid w:val="00744742"/>
    <w:rsid w:val="00744916"/>
    <w:rsid w:val="00744B84"/>
    <w:rsid w:val="00744C35"/>
    <w:rsid w:val="00744FF6"/>
    <w:rsid w:val="007454BF"/>
    <w:rsid w:val="007459C9"/>
    <w:rsid w:val="00746203"/>
    <w:rsid w:val="007464E3"/>
    <w:rsid w:val="00746830"/>
    <w:rsid w:val="007468BD"/>
    <w:rsid w:val="00746AB6"/>
    <w:rsid w:val="0074745B"/>
    <w:rsid w:val="00747AA1"/>
    <w:rsid w:val="00747C5B"/>
    <w:rsid w:val="00747F57"/>
    <w:rsid w:val="00747FB0"/>
    <w:rsid w:val="007504FC"/>
    <w:rsid w:val="0075060F"/>
    <w:rsid w:val="00750A22"/>
    <w:rsid w:val="00750B05"/>
    <w:rsid w:val="00750B34"/>
    <w:rsid w:val="007511F4"/>
    <w:rsid w:val="007513EC"/>
    <w:rsid w:val="0075181D"/>
    <w:rsid w:val="00751AA6"/>
    <w:rsid w:val="00751B1F"/>
    <w:rsid w:val="00751FAB"/>
    <w:rsid w:val="007521B0"/>
    <w:rsid w:val="00752992"/>
    <w:rsid w:val="00752DE0"/>
    <w:rsid w:val="007530A7"/>
    <w:rsid w:val="007531B8"/>
    <w:rsid w:val="00753243"/>
    <w:rsid w:val="007534AC"/>
    <w:rsid w:val="00753B00"/>
    <w:rsid w:val="00754374"/>
    <w:rsid w:val="007543CA"/>
    <w:rsid w:val="00754522"/>
    <w:rsid w:val="007547B9"/>
    <w:rsid w:val="007547D8"/>
    <w:rsid w:val="00754960"/>
    <w:rsid w:val="00754CC8"/>
    <w:rsid w:val="00754D2C"/>
    <w:rsid w:val="00754E82"/>
    <w:rsid w:val="007550C9"/>
    <w:rsid w:val="0075524A"/>
    <w:rsid w:val="007552EE"/>
    <w:rsid w:val="0075539C"/>
    <w:rsid w:val="0075580A"/>
    <w:rsid w:val="00755D5E"/>
    <w:rsid w:val="00756042"/>
    <w:rsid w:val="007565E3"/>
    <w:rsid w:val="00756640"/>
    <w:rsid w:val="007567E8"/>
    <w:rsid w:val="007568C2"/>
    <w:rsid w:val="00756A07"/>
    <w:rsid w:val="00756C32"/>
    <w:rsid w:val="00756ED2"/>
    <w:rsid w:val="00757235"/>
    <w:rsid w:val="007575C1"/>
    <w:rsid w:val="00757DC7"/>
    <w:rsid w:val="007602EE"/>
    <w:rsid w:val="00760374"/>
    <w:rsid w:val="00760880"/>
    <w:rsid w:val="00760DC2"/>
    <w:rsid w:val="00760E51"/>
    <w:rsid w:val="00760FD2"/>
    <w:rsid w:val="00761162"/>
    <w:rsid w:val="007617D5"/>
    <w:rsid w:val="0076238E"/>
    <w:rsid w:val="00762DB9"/>
    <w:rsid w:val="007633B5"/>
    <w:rsid w:val="00763443"/>
    <w:rsid w:val="00763861"/>
    <w:rsid w:val="007639E8"/>
    <w:rsid w:val="00763AC4"/>
    <w:rsid w:val="00763EB4"/>
    <w:rsid w:val="00763FF7"/>
    <w:rsid w:val="007640C6"/>
    <w:rsid w:val="0076461D"/>
    <w:rsid w:val="00764848"/>
    <w:rsid w:val="00764924"/>
    <w:rsid w:val="00764C04"/>
    <w:rsid w:val="00765683"/>
    <w:rsid w:val="007656F7"/>
    <w:rsid w:val="0076570B"/>
    <w:rsid w:val="007658D7"/>
    <w:rsid w:val="00766017"/>
    <w:rsid w:val="0076615C"/>
    <w:rsid w:val="0076673E"/>
    <w:rsid w:val="00766965"/>
    <w:rsid w:val="00766EDE"/>
    <w:rsid w:val="00767220"/>
    <w:rsid w:val="00767221"/>
    <w:rsid w:val="00767386"/>
    <w:rsid w:val="00767413"/>
    <w:rsid w:val="00767474"/>
    <w:rsid w:val="00767480"/>
    <w:rsid w:val="00767515"/>
    <w:rsid w:val="00767853"/>
    <w:rsid w:val="0076789D"/>
    <w:rsid w:val="00767B5F"/>
    <w:rsid w:val="00767C59"/>
    <w:rsid w:val="00767E24"/>
    <w:rsid w:val="00767F03"/>
    <w:rsid w:val="007703C7"/>
    <w:rsid w:val="00770A03"/>
    <w:rsid w:val="00770A51"/>
    <w:rsid w:val="00770BFB"/>
    <w:rsid w:val="00770CB7"/>
    <w:rsid w:val="00770CFF"/>
    <w:rsid w:val="00771128"/>
    <w:rsid w:val="00771313"/>
    <w:rsid w:val="007714D7"/>
    <w:rsid w:val="007715B8"/>
    <w:rsid w:val="007718C5"/>
    <w:rsid w:val="007719F4"/>
    <w:rsid w:val="00771A15"/>
    <w:rsid w:val="00771B72"/>
    <w:rsid w:val="00771E37"/>
    <w:rsid w:val="007721A8"/>
    <w:rsid w:val="0077256B"/>
    <w:rsid w:val="007727DD"/>
    <w:rsid w:val="00772A17"/>
    <w:rsid w:val="00772A43"/>
    <w:rsid w:val="00772BFE"/>
    <w:rsid w:val="00772C17"/>
    <w:rsid w:val="00772D9A"/>
    <w:rsid w:val="00772E4F"/>
    <w:rsid w:val="00772EF5"/>
    <w:rsid w:val="007731A8"/>
    <w:rsid w:val="00773337"/>
    <w:rsid w:val="007734C3"/>
    <w:rsid w:val="0077376F"/>
    <w:rsid w:val="007740E0"/>
    <w:rsid w:val="00774304"/>
    <w:rsid w:val="007745FD"/>
    <w:rsid w:val="00774876"/>
    <w:rsid w:val="00774D0F"/>
    <w:rsid w:val="00774DA0"/>
    <w:rsid w:val="00774DCC"/>
    <w:rsid w:val="00774E03"/>
    <w:rsid w:val="00775062"/>
    <w:rsid w:val="007750A7"/>
    <w:rsid w:val="0077531C"/>
    <w:rsid w:val="00775337"/>
    <w:rsid w:val="00775E30"/>
    <w:rsid w:val="0077620F"/>
    <w:rsid w:val="00776A82"/>
    <w:rsid w:val="00776AD4"/>
    <w:rsid w:val="00776AE2"/>
    <w:rsid w:val="00776C52"/>
    <w:rsid w:val="00776E35"/>
    <w:rsid w:val="00776F83"/>
    <w:rsid w:val="00777614"/>
    <w:rsid w:val="0077793C"/>
    <w:rsid w:val="00777968"/>
    <w:rsid w:val="00777D48"/>
    <w:rsid w:val="007803B4"/>
    <w:rsid w:val="007804DC"/>
    <w:rsid w:val="00780779"/>
    <w:rsid w:val="00780BCF"/>
    <w:rsid w:val="00780C8B"/>
    <w:rsid w:val="00780DD6"/>
    <w:rsid w:val="00781003"/>
    <w:rsid w:val="00781218"/>
    <w:rsid w:val="00781399"/>
    <w:rsid w:val="0078142A"/>
    <w:rsid w:val="00781644"/>
    <w:rsid w:val="007816EC"/>
    <w:rsid w:val="00781873"/>
    <w:rsid w:val="00781A0D"/>
    <w:rsid w:val="00781D37"/>
    <w:rsid w:val="00781EC1"/>
    <w:rsid w:val="00781EF3"/>
    <w:rsid w:val="00781FED"/>
    <w:rsid w:val="00782080"/>
    <w:rsid w:val="00782AAF"/>
    <w:rsid w:val="00782C3E"/>
    <w:rsid w:val="00782DAB"/>
    <w:rsid w:val="00782E42"/>
    <w:rsid w:val="0078370D"/>
    <w:rsid w:val="00783A2C"/>
    <w:rsid w:val="00783B87"/>
    <w:rsid w:val="00783E0C"/>
    <w:rsid w:val="0078415C"/>
    <w:rsid w:val="00784282"/>
    <w:rsid w:val="007842C9"/>
    <w:rsid w:val="0078431A"/>
    <w:rsid w:val="0078491B"/>
    <w:rsid w:val="00784C66"/>
    <w:rsid w:val="00784C74"/>
    <w:rsid w:val="007850BE"/>
    <w:rsid w:val="007851F9"/>
    <w:rsid w:val="007852A4"/>
    <w:rsid w:val="007852B5"/>
    <w:rsid w:val="00785920"/>
    <w:rsid w:val="00785AF1"/>
    <w:rsid w:val="00785C42"/>
    <w:rsid w:val="00786050"/>
    <w:rsid w:val="007863AB"/>
    <w:rsid w:val="007868DF"/>
    <w:rsid w:val="0078696A"/>
    <w:rsid w:val="0078727D"/>
    <w:rsid w:val="00787521"/>
    <w:rsid w:val="007875A5"/>
    <w:rsid w:val="00787662"/>
    <w:rsid w:val="0078791B"/>
    <w:rsid w:val="00787A4F"/>
    <w:rsid w:val="00787E1E"/>
    <w:rsid w:val="00787E70"/>
    <w:rsid w:val="00790116"/>
    <w:rsid w:val="00790129"/>
    <w:rsid w:val="0079044F"/>
    <w:rsid w:val="0079051E"/>
    <w:rsid w:val="00790596"/>
    <w:rsid w:val="00790722"/>
    <w:rsid w:val="00790733"/>
    <w:rsid w:val="0079076B"/>
    <w:rsid w:val="00790AE6"/>
    <w:rsid w:val="00790BC8"/>
    <w:rsid w:val="00790C58"/>
    <w:rsid w:val="0079110B"/>
    <w:rsid w:val="00791202"/>
    <w:rsid w:val="00791328"/>
    <w:rsid w:val="007916D5"/>
    <w:rsid w:val="00791B89"/>
    <w:rsid w:val="00791D33"/>
    <w:rsid w:val="0079238F"/>
    <w:rsid w:val="007924C3"/>
    <w:rsid w:val="00792926"/>
    <w:rsid w:val="00792BCA"/>
    <w:rsid w:val="00792C35"/>
    <w:rsid w:val="007932D6"/>
    <w:rsid w:val="0079380B"/>
    <w:rsid w:val="00793951"/>
    <w:rsid w:val="00793D2B"/>
    <w:rsid w:val="00793E59"/>
    <w:rsid w:val="007940D1"/>
    <w:rsid w:val="00794320"/>
    <w:rsid w:val="00794870"/>
    <w:rsid w:val="007948F5"/>
    <w:rsid w:val="00794925"/>
    <w:rsid w:val="007949A2"/>
    <w:rsid w:val="00794C57"/>
    <w:rsid w:val="00794E84"/>
    <w:rsid w:val="00794F38"/>
    <w:rsid w:val="00794FCE"/>
    <w:rsid w:val="00795726"/>
    <w:rsid w:val="0079591D"/>
    <w:rsid w:val="00795B0D"/>
    <w:rsid w:val="00795BF7"/>
    <w:rsid w:val="00795DB5"/>
    <w:rsid w:val="00796069"/>
    <w:rsid w:val="007960BA"/>
    <w:rsid w:val="0079657D"/>
    <w:rsid w:val="00796590"/>
    <w:rsid w:val="007966C4"/>
    <w:rsid w:val="00796733"/>
    <w:rsid w:val="007968FF"/>
    <w:rsid w:val="00796EA8"/>
    <w:rsid w:val="00796F67"/>
    <w:rsid w:val="0079791B"/>
    <w:rsid w:val="0079794B"/>
    <w:rsid w:val="00797CCF"/>
    <w:rsid w:val="007A01A5"/>
    <w:rsid w:val="007A033E"/>
    <w:rsid w:val="007A069C"/>
    <w:rsid w:val="007A06F9"/>
    <w:rsid w:val="007A075C"/>
    <w:rsid w:val="007A0D07"/>
    <w:rsid w:val="007A0DEC"/>
    <w:rsid w:val="007A0F2E"/>
    <w:rsid w:val="007A0FCC"/>
    <w:rsid w:val="007A1290"/>
    <w:rsid w:val="007A1BEE"/>
    <w:rsid w:val="007A244C"/>
    <w:rsid w:val="007A2AAB"/>
    <w:rsid w:val="007A2D6E"/>
    <w:rsid w:val="007A2EE0"/>
    <w:rsid w:val="007A31FD"/>
    <w:rsid w:val="007A3543"/>
    <w:rsid w:val="007A3BBC"/>
    <w:rsid w:val="007A3C7F"/>
    <w:rsid w:val="007A4299"/>
    <w:rsid w:val="007A4807"/>
    <w:rsid w:val="007A4ADC"/>
    <w:rsid w:val="007A4B61"/>
    <w:rsid w:val="007A4D97"/>
    <w:rsid w:val="007A4DAA"/>
    <w:rsid w:val="007A4DD1"/>
    <w:rsid w:val="007A4E5F"/>
    <w:rsid w:val="007A4F7B"/>
    <w:rsid w:val="007A51BB"/>
    <w:rsid w:val="007A5401"/>
    <w:rsid w:val="007A5770"/>
    <w:rsid w:val="007A5800"/>
    <w:rsid w:val="007A5836"/>
    <w:rsid w:val="007A5BA2"/>
    <w:rsid w:val="007A5BDA"/>
    <w:rsid w:val="007A5EB1"/>
    <w:rsid w:val="007A6310"/>
    <w:rsid w:val="007A64C4"/>
    <w:rsid w:val="007A66BA"/>
    <w:rsid w:val="007A6751"/>
    <w:rsid w:val="007A6BE3"/>
    <w:rsid w:val="007A6F95"/>
    <w:rsid w:val="007A7223"/>
    <w:rsid w:val="007A7239"/>
    <w:rsid w:val="007A72ED"/>
    <w:rsid w:val="007A7437"/>
    <w:rsid w:val="007A746B"/>
    <w:rsid w:val="007A7A4A"/>
    <w:rsid w:val="007A7BA5"/>
    <w:rsid w:val="007A7C02"/>
    <w:rsid w:val="007A7F2A"/>
    <w:rsid w:val="007B0473"/>
    <w:rsid w:val="007B0BF9"/>
    <w:rsid w:val="007B0E04"/>
    <w:rsid w:val="007B0FAD"/>
    <w:rsid w:val="007B1035"/>
    <w:rsid w:val="007B109F"/>
    <w:rsid w:val="007B1140"/>
    <w:rsid w:val="007B1294"/>
    <w:rsid w:val="007B1470"/>
    <w:rsid w:val="007B190B"/>
    <w:rsid w:val="007B1B54"/>
    <w:rsid w:val="007B1CF7"/>
    <w:rsid w:val="007B1D40"/>
    <w:rsid w:val="007B1D90"/>
    <w:rsid w:val="007B2978"/>
    <w:rsid w:val="007B2DF5"/>
    <w:rsid w:val="007B2EE2"/>
    <w:rsid w:val="007B3202"/>
    <w:rsid w:val="007B3233"/>
    <w:rsid w:val="007B3291"/>
    <w:rsid w:val="007B364A"/>
    <w:rsid w:val="007B3A5F"/>
    <w:rsid w:val="007B3BF4"/>
    <w:rsid w:val="007B3EF3"/>
    <w:rsid w:val="007B3F55"/>
    <w:rsid w:val="007B3F6F"/>
    <w:rsid w:val="007B4541"/>
    <w:rsid w:val="007B45AA"/>
    <w:rsid w:val="007B48D0"/>
    <w:rsid w:val="007B4BAC"/>
    <w:rsid w:val="007B4EA7"/>
    <w:rsid w:val="007B5022"/>
    <w:rsid w:val="007B5417"/>
    <w:rsid w:val="007B54E0"/>
    <w:rsid w:val="007B558D"/>
    <w:rsid w:val="007B55AA"/>
    <w:rsid w:val="007B5682"/>
    <w:rsid w:val="007B5934"/>
    <w:rsid w:val="007B5BAF"/>
    <w:rsid w:val="007B5C5C"/>
    <w:rsid w:val="007B5CFC"/>
    <w:rsid w:val="007B5E4B"/>
    <w:rsid w:val="007B5F5D"/>
    <w:rsid w:val="007B618C"/>
    <w:rsid w:val="007B6225"/>
    <w:rsid w:val="007B63BC"/>
    <w:rsid w:val="007B63DD"/>
    <w:rsid w:val="007B697D"/>
    <w:rsid w:val="007B6A50"/>
    <w:rsid w:val="007B6B19"/>
    <w:rsid w:val="007B6C01"/>
    <w:rsid w:val="007B6C1F"/>
    <w:rsid w:val="007B6F50"/>
    <w:rsid w:val="007B7328"/>
    <w:rsid w:val="007B7381"/>
    <w:rsid w:val="007B7499"/>
    <w:rsid w:val="007B76F9"/>
    <w:rsid w:val="007C007C"/>
    <w:rsid w:val="007C010E"/>
    <w:rsid w:val="007C0656"/>
    <w:rsid w:val="007C06E6"/>
    <w:rsid w:val="007C09E7"/>
    <w:rsid w:val="007C0FE4"/>
    <w:rsid w:val="007C1245"/>
    <w:rsid w:val="007C14F0"/>
    <w:rsid w:val="007C152E"/>
    <w:rsid w:val="007C155A"/>
    <w:rsid w:val="007C1881"/>
    <w:rsid w:val="007C1D93"/>
    <w:rsid w:val="007C1F31"/>
    <w:rsid w:val="007C1F6B"/>
    <w:rsid w:val="007C20D3"/>
    <w:rsid w:val="007C26F5"/>
    <w:rsid w:val="007C2AC6"/>
    <w:rsid w:val="007C2B22"/>
    <w:rsid w:val="007C3753"/>
    <w:rsid w:val="007C3849"/>
    <w:rsid w:val="007C42FC"/>
    <w:rsid w:val="007C457C"/>
    <w:rsid w:val="007C45CB"/>
    <w:rsid w:val="007C4F08"/>
    <w:rsid w:val="007C56D7"/>
    <w:rsid w:val="007C5734"/>
    <w:rsid w:val="007C5AA8"/>
    <w:rsid w:val="007C5E4A"/>
    <w:rsid w:val="007C5F7A"/>
    <w:rsid w:val="007C6010"/>
    <w:rsid w:val="007C6311"/>
    <w:rsid w:val="007C68CD"/>
    <w:rsid w:val="007C788E"/>
    <w:rsid w:val="007C79AD"/>
    <w:rsid w:val="007C7A8C"/>
    <w:rsid w:val="007C7C4C"/>
    <w:rsid w:val="007C7DEE"/>
    <w:rsid w:val="007C7F38"/>
    <w:rsid w:val="007C7FA7"/>
    <w:rsid w:val="007D03A1"/>
    <w:rsid w:val="007D0494"/>
    <w:rsid w:val="007D0826"/>
    <w:rsid w:val="007D08C5"/>
    <w:rsid w:val="007D0A7F"/>
    <w:rsid w:val="007D0AF6"/>
    <w:rsid w:val="007D1044"/>
    <w:rsid w:val="007D1308"/>
    <w:rsid w:val="007D1443"/>
    <w:rsid w:val="007D1549"/>
    <w:rsid w:val="007D15F4"/>
    <w:rsid w:val="007D19F0"/>
    <w:rsid w:val="007D1BC9"/>
    <w:rsid w:val="007D24FB"/>
    <w:rsid w:val="007D2609"/>
    <w:rsid w:val="007D267C"/>
    <w:rsid w:val="007D2B59"/>
    <w:rsid w:val="007D2E16"/>
    <w:rsid w:val="007D2F1E"/>
    <w:rsid w:val="007D2FAF"/>
    <w:rsid w:val="007D2FB1"/>
    <w:rsid w:val="007D3109"/>
    <w:rsid w:val="007D3396"/>
    <w:rsid w:val="007D349D"/>
    <w:rsid w:val="007D355C"/>
    <w:rsid w:val="007D3659"/>
    <w:rsid w:val="007D36D6"/>
    <w:rsid w:val="007D3727"/>
    <w:rsid w:val="007D37B8"/>
    <w:rsid w:val="007D3AB9"/>
    <w:rsid w:val="007D3CEE"/>
    <w:rsid w:val="007D3E7B"/>
    <w:rsid w:val="007D446F"/>
    <w:rsid w:val="007D44EF"/>
    <w:rsid w:val="007D4807"/>
    <w:rsid w:val="007D49DA"/>
    <w:rsid w:val="007D4FA8"/>
    <w:rsid w:val="007D52DA"/>
    <w:rsid w:val="007D5ACB"/>
    <w:rsid w:val="007D5B89"/>
    <w:rsid w:val="007D5B93"/>
    <w:rsid w:val="007D5EEA"/>
    <w:rsid w:val="007D5F84"/>
    <w:rsid w:val="007D60B2"/>
    <w:rsid w:val="007D6417"/>
    <w:rsid w:val="007D6671"/>
    <w:rsid w:val="007D6940"/>
    <w:rsid w:val="007D6B8B"/>
    <w:rsid w:val="007D6D41"/>
    <w:rsid w:val="007D7269"/>
    <w:rsid w:val="007D7933"/>
    <w:rsid w:val="007D79E3"/>
    <w:rsid w:val="007D7B4F"/>
    <w:rsid w:val="007D7BDC"/>
    <w:rsid w:val="007E0B90"/>
    <w:rsid w:val="007E1557"/>
    <w:rsid w:val="007E1567"/>
    <w:rsid w:val="007E156C"/>
    <w:rsid w:val="007E15E7"/>
    <w:rsid w:val="007E1949"/>
    <w:rsid w:val="007E1961"/>
    <w:rsid w:val="007E19A8"/>
    <w:rsid w:val="007E19C1"/>
    <w:rsid w:val="007E1BA7"/>
    <w:rsid w:val="007E1EDA"/>
    <w:rsid w:val="007E1F64"/>
    <w:rsid w:val="007E21FC"/>
    <w:rsid w:val="007E241B"/>
    <w:rsid w:val="007E2535"/>
    <w:rsid w:val="007E290D"/>
    <w:rsid w:val="007E29FE"/>
    <w:rsid w:val="007E2D4B"/>
    <w:rsid w:val="007E33E8"/>
    <w:rsid w:val="007E3906"/>
    <w:rsid w:val="007E3964"/>
    <w:rsid w:val="007E3DCE"/>
    <w:rsid w:val="007E44C6"/>
    <w:rsid w:val="007E46CA"/>
    <w:rsid w:val="007E4735"/>
    <w:rsid w:val="007E48AE"/>
    <w:rsid w:val="007E4F73"/>
    <w:rsid w:val="007E5203"/>
    <w:rsid w:val="007E52D6"/>
    <w:rsid w:val="007E5308"/>
    <w:rsid w:val="007E633B"/>
    <w:rsid w:val="007E6DB5"/>
    <w:rsid w:val="007E6F33"/>
    <w:rsid w:val="007E77A3"/>
    <w:rsid w:val="007E77AD"/>
    <w:rsid w:val="007E7CC5"/>
    <w:rsid w:val="007E7F4E"/>
    <w:rsid w:val="007F01B2"/>
    <w:rsid w:val="007F04B3"/>
    <w:rsid w:val="007F04BC"/>
    <w:rsid w:val="007F04C6"/>
    <w:rsid w:val="007F050D"/>
    <w:rsid w:val="007F0510"/>
    <w:rsid w:val="007F0707"/>
    <w:rsid w:val="007F0904"/>
    <w:rsid w:val="007F09ED"/>
    <w:rsid w:val="007F0A0D"/>
    <w:rsid w:val="007F0C64"/>
    <w:rsid w:val="007F10A9"/>
    <w:rsid w:val="007F1803"/>
    <w:rsid w:val="007F1E88"/>
    <w:rsid w:val="007F1F7D"/>
    <w:rsid w:val="007F202A"/>
    <w:rsid w:val="007F219E"/>
    <w:rsid w:val="007F2281"/>
    <w:rsid w:val="007F2394"/>
    <w:rsid w:val="007F2548"/>
    <w:rsid w:val="007F266B"/>
    <w:rsid w:val="007F278D"/>
    <w:rsid w:val="007F289C"/>
    <w:rsid w:val="007F2B54"/>
    <w:rsid w:val="007F2BF1"/>
    <w:rsid w:val="007F2EAD"/>
    <w:rsid w:val="007F34D1"/>
    <w:rsid w:val="007F35A3"/>
    <w:rsid w:val="007F399B"/>
    <w:rsid w:val="007F3A59"/>
    <w:rsid w:val="007F3FA4"/>
    <w:rsid w:val="007F425F"/>
    <w:rsid w:val="007F428C"/>
    <w:rsid w:val="007F437C"/>
    <w:rsid w:val="007F4E3F"/>
    <w:rsid w:val="007F4EEE"/>
    <w:rsid w:val="007F5441"/>
    <w:rsid w:val="007F5655"/>
    <w:rsid w:val="007F5839"/>
    <w:rsid w:val="007F59DF"/>
    <w:rsid w:val="007F6338"/>
    <w:rsid w:val="007F63DE"/>
    <w:rsid w:val="007F696E"/>
    <w:rsid w:val="007F6D3A"/>
    <w:rsid w:val="007F6D7D"/>
    <w:rsid w:val="007F71FB"/>
    <w:rsid w:val="007F7407"/>
    <w:rsid w:val="007F7458"/>
    <w:rsid w:val="007F7738"/>
    <w:rsid w:val="007F7767"/>
    <w:rsid w:val="007F7BC7"/>
    <w:rsid w:val="007F7F6D"/>
    <w:rsid w:val="008000DB"/>
    <w:rsid w:val="00800430"/>
    <w:rsid w:val="00800568"/>
    <w:rsid w:val="0080067C"/>
    <w:rsid w:val="00800965"/>
    <w:rsid w:val="00800AB4"/>
    <w:rsid w:val="00800B65"/>
    <w:rsid w:val="00800CA8"/>
    <w:rsid w:val="008011C3"/>
    <w:rsid w:val="00801608"/>
    <w:rsid w:val="0080199D"/>
    <w:rsid w:val="00801E6B"/>
    <w:rsid w:val="00801FDF"/>
    <w:rsid w:val="0080202A"/>
    <w:rsid w:val="0080221F"/>
    <w:rsid w:val="008023B1"/>
    <w:rsid w:val="00802516"/>
    <w:rsid w:val="00802822"/>
    <w:rsid w:val="00802C60"/>
    <w:rsid w:val="00802DA5"/>
    <w:rsid w:val="00802ECD"/>
    <w:rsid w:val="0080308E"/>
    <w:rsid w:val="00803402"/>
    <w:rsid w:val="008039EB"/>
    <w:rsid w:val="00803CAF"/>
    <w:rsid w:val="008040AC"/>
    <w:rsid w:val="00804635"/>
    <w:rsid w:val="008049E4"/>
    <w:rsid w:val="00804A9D"/>
    <w:rsid w:val="00804CDA"/>
    <w:rsid w:val="00805228"/>
    <w:rsid w:val="00805245"/>
    <w:rsid w:val="008052DF"/>
    <w:rsid w:val="008052E0"/>
    <w:rsid w:val="00805471"/>
    <w:rsid w:val="008057A0"/>
    <w:rsid w:val="008057B8"/>
    <w:rsid w:val="00805A6D"/>
    <w:rsid w:val="00805AE5"/>
    <w:rsid w:val="00805B83"/>
    <w:rsid w:val="00805B90"/>
    <w:rsid w:val="00805DBA"/>
    <w:rsid w:val="00806013"/>
    <w:rsid w:val="0080620A"/>
    <w:rsid w:val="00806481"/>
    <w:rsid w:val="00806547"/>
    <w:rsid w:val="00806731"/>
    <w:rsid w:val="008068BE"/>
    <w:rsid w:val="00806A39"/>
    <w:rsid w:val="00806ADA"/>
    <w:rsid w:val="00806BD3"/>
    <w:rsid w:val="00806CF8"/>
    <w:rsid w:val="00806E47"/>
    <w:rsid w:val="008076A1"/>
    <w:rsid w:val="00807710"/>
    <w:rsid w:val="00807E71"/>
    <w:rsid w:val="008101C0"/>
    <w:rsid w:val="0081034F"/>
    <w:rsid w:val="0081037D"/>
    <w:rsid w:val="00810478"/>
    <w:rsid w:val="0081059A"/>
    <w:rsid w:val="00810654"/>
    <w:rsid w:val="008106D9"/>
    <w:rsid w:val="00810911"/>
    <w:rsid w:val="00810B12"/>
    <w:rsid w:val="00811287"/>
    <w:rsid w:val="00811731"/>
    <w:rsid w:val="0081192F"/>
    <w:rsid w:val="00811CA2"/>
    <w:rsid w:val="00811DA0"/>
    <w:rsid w:val="0081212C"/>
    <w:rsid w:val="008121EC"/>
    <w:rsid w:val="008122C9"/>
    <w:rsid w:val="00812399"/>
    <w:rsid w:val="008127B8"/>
    <w:rsid w:val="00812992"/>
    <w:rsid w:val="00812A68"/>
    <w:rsid w:val="00812B32"/>
    <w:rsid w:val="00812DB5"/>
    <w:rsid w:val="00812E83"/>
    <w:rsid w:val="008130FE"/>
    <w:rsid w:val="008133F1"/>
    <w:rsid w:val="00813882"/>
    <w:rsid w:val="008138EE"/>
    <w:rsid w:val="00813A7D"/>
    <w:rsid w:val="00813A9A"/>
    <w:rsid w:val="00813ACE"/>
    <w:rsid w:val="00813B31"/>
    <w:rsid w:val="00813BF2"/>
    <w:rsid w:val="00813DEB"/>
    <w:rsid w:val="00814169"/>
    <w:rsid w:val="008141FE"/>
    <w:rsid w:val="0081431B"/>
    <w:rsid w:val="00814499"/>
    <w:rsid w:val="008144C8"/>
    <w:rsid w:val="0081453B"/>
    <w:rsid w:val="00814616"/>
    <w:rsid w:val="0081461D"/>
    <w:rsid w:val="008146C9"/>
    <w:rsid w:val="008146F2"/>
    <w:rsid w:val="008148FE"/>
    <w:rsid w:val="00814B7F"/>
    <w:rsid w:val="00814BFD"/>
    <w:rsid w:val="00814CA8"/>
    <w:rsid w:val="00814D4E"/>
    <w:rsid w:val="00814E08"/>
    <w:rsid w:val="008152B9"/>
    <w:rsid w:val="00815502"/>
    <w:rsid w:val="008155B7"/>
    <w:rsid w:val="008158BB"/>
    <w:rsid w:val="008159E8"/>
    <w:rsid w:val="00815BA8"/>
    <w:rsid w:val="00815CA5"/>
    <w:rsid w:val="00815DE4"/>
    <w:rsid w:val="00816255"/>
    <w:rsid w:val="008165F3"/>
    <w:rsid w:val="008166DF"/>
    <w:rsid w:val="00816D43"/>
    <w:rsid w:val="00816EA3"/>
    <w:rsid w:val="0081708E"/>
    <w:rsid w:val="00817091"/>
    <w:rsid w:val="00820056"/>
    <w:rsid w:val="008201FF"/>
    <w:rsid w:val="008202AD"/>
    <w:rsid w:val="008204A5"/>
    <w:rsid w:val="0082079F"/>
    <w:rsid w:val="00820B34"/>
    <w:rsid w:val="0082122D"/>
    <w:rsid w:val="00821AB0"/>
    <w:rsid w:val="00821AC1"/>
    <w:rsid w:val="00821B94"/>
    <w:rsid w:val="00821D40"/>
    <w:rsid w:val="00821E43"/>
    <w:rsid w:val="0082209B"/>
    <w:rsid w:val="008220EE"/>
    <w:rsid w:val="008221C4"/>
    <w:rsid w:val="00822511"/>
    <w:rsid w:val="008227D8"/>
    <w:rsid w:val="00822961"/>
    <w:rsid w:val="00822D98"/>
    <w:rsid w:val="00822DD5"/>
    <w:rsid w:val="00822F28"/>
    <w:rsid w:val="008231E9"/>
    <w:rsid w:val="00823271"/>
    <w:rsid w:val="00823508"/>
    <w:rsid w:val="00823587"/>
    <w:rsid w:val="008239C4"/>
    <w:rsid w:val="00823AAB"/>
    <w:rsid w:val="00823B32"/>
    <w:rsid w:val="00823E1C"/>
    <w:rsid w:val="00823F9E"/>
    <w:rsid w:val="008249CB"/>
    <w:rsid w:val="00824C83"/>
    <w:rsid w:val="00824F35"/>
    <w:rsid w:val="00824FE2"/>
    <w:rsid w:val="008250D5"/>
    <w:rsid w:val="00825125"/>
    <w:rsid w:val="00825289"/>
    <w:rsid w:val="00825C1F"/>
    <w:rsid w:val="00825D20"/>
    <w:rsid w:val="0082601A"/>
    <w:rsid w:val="008261AF"/>
    <w:rsid w:val="008262FB"/>
    <w:rsid w:val="00826580"/>
    <w:rsid w:val="00826CD6"/>
    <w:rsid w:val="00827381"/>
    <w:rsid w:val="008274E2"/>
    <w:rsid w:val="00827544"/>
    <w:rsid w:val="008278F3"/>
    <w:rsid w:val="00827947"/>
    <w:rsid w:val="00827964"/>
    <w:rsid w:val="00827AB8"/>
    <w:rsid w:val="00827BCB"/>
    <w:rsid w:val="00827C7D"/>
    <w:rsid w:val="00827ED5"/>
    <w:rsid w:val="00830540"/>
    <w:rsid w:val="0083066E"/>
    <w:rsid w:val="00830A93"/>
    <w:rsid w:val="00830ACD"/>
    <w:rsid w:val="00830CDA"/>
    <w:rsid w:val="0083111B"/>
    <w:rsid w:val="008313BB"/>
    <w:rsid w:val="00831691"/>
    <w:rsid w:val="00831864"/>
    <w:rsid w:val="008318E6"/>
    <w:rsid w:val="008319C1"/>
    <w:rsid w:val="00832464"/>
    <w:rsid w:val="00832880"/>
    <w:rsid w:val="00832CBA"/>
    <w:rsid w:val="00833469"/>
    <w:rsid w:val="0083358D"/>
    <w:rsid w:val="0083377B"/>
    <w:rsid w:val="00833AB7"/>
    <w:rsid w:val="00833C95"/>
    <w:rsid w:val="00833CBA"/>
    <w:rsid w:val="00833E3B"/>
    <w:rsid w:val="00833E8E"/>
    <w:rsid w:val="00834167"/>
    <w:rsid w:val="00834401"/>
    <w:rsid w:val="008344AA"/>
    <w:rsid w:val="0083485E"/>
    <w:rsid w:val="00834B43"/>
    <w:rsid w:val="00834BB5"/>
    <w:rsid w:val="00835726"/>
    <w:rsid w:val="008357DD"/>
    <w:rsid w:val="00835CD8"/>
    <w:rsid w:val="00835D25"/>
    <w:rsid w:val="00835EAF"/>
    <w:rsid w:val="00836006"/>
    <w:rsid w:val="008364D8"/>
    <w:rsid w:val="008364F7"/>
    <w:rsid w:val="0083652D"/>
    <w:rsid w:val="008369D3"/>
    <w:rsid w:val="00836E52"/>
    <w:rsid w:val="00836FA0"/>
    <w:rsid w:val="008372BA"/>
    <w:rsid w:val="00837AA4"/>
    <w:rsid w:val="00837B56"/>
    <w:rsid w:val="00840113"/>
    <w:rsid w:val="008402F1"/>
    <w:rsid w:val="00840495"/>
    <w:rsid w:val="008405B6"/>
    <w:rsid w:val="0084060D"/>
    <w:rsid w:val="00840AC9"/>
    <w:rsid w:val="00840E70"/>
    <w:rsid w:val="008412D1"/>
    <w:rsid w:val="008413C8"/>
    <w:rsid w:val="008416AE"/>
    <w:rsid w:val="00841B71"/>
    <w:rsid w:val="00841FC6"/>
    <w:rsid w:val="008420E0"/>
    <w:rsid w:val="00842598"/>
    <w:rsid w:val="0084265F"/>
    <w:rsid w:val="00842825"/>
    <w:rsid w:val="00842A34"/>
    <w:rsid w:val="00842E67"/>
    <w:rsid w:val="008433F0"/>
    <w:rsid w:val="008434F1"/>
    <w:rsid w:val="008435B7"/>
    <w:rsid w:val="00843BB1"/>
    <w:rsid w:val="00843C9C"/>
    <w:rsid w:val="008445F2"/>
    <w:rsid w:val="00844892"/>
    <w:rsid w:val="00844EBA"/>
    <w:rsid w:val="0084545D"/>
    <w:rsid w:val="00845501"/>
    <w:rsid w:val="0084560C"/>
    <w:rsid w:val="00845BD7"/>
    <w:rsid w:val="00845BFB"/>
    <w:rsid w:val="00845CE9"/>
    <w:rsid w:val="00845F15"/>
    <w:rsid w:val="0084638D"/>
    <w:rsid w:val="00846575"/>
    <w:rsid w:val="00846664"/>
    <w:rsid w:val="008466CB"/>
    <w:rsid w:val="00846719"/>
    <w:rsid w:val="00846896"/>
    <w:rsid w:val="0084696D"/>
    <w:rsid w:val="00846976"/>
    <w:rsid w:val="00846E13"/>
    <w:rsid w:val="00847518"/>
    <w:rsid w:val="0084769F"/>
    <w:rsid w:val="008478CC"/>
    <w:rsid w:val="00847A63"/>
    <w:rsid w:val="00850125"/>
    <w:rsid w:val="008504CE"/>
    <w:rsid w:val="0085054D"/>
    <w:rsid w:val="008505F3"/>
    <w:rsid w:val="00850AB0"/>
    <w:rsid w:val="00850BD5"/>
    <w:rsid w:val="00850FCC"/>
    <w:rsid w:val="00851115"/>
    <w:rsid w:val="008514EA"/>
    <w:rsid w:val="00851665"/>
    <w:rsid w:val="00851755"/>
    <w:rsid w:val="008517F1"/>
    <w:rsid w:val="00851B7B"/>
    <w:rsid w:val="00852B97"/>
    <w:rsid w:val="00853221"/>
    <w:rsid w:val="0085368C"/>
    <w:rsid w:val="0085376B"/>
    <w:rsid w:val="00853E94"/>
    <w:rsid w:val="00853EF8"/>
    <w:rsid w:val="008540CC"/>
    <w:rsid w:val="00854518"/>
    <w:rsid w:val="00854610"/>
    <w:rsid w:val="0085471C"/>
    <w:rsid w:val="00854D93"/>
    <w:rsid w:val="00854E40"/>
    <w:rsid w:val="00855230"/>
    <w:rsid w:val="008557FF"/>
    <w:rsid w:val="0085594F"/>
    <w:rsid w:val="00855B0B"/>
    <w:rsid w:val="0085613C"/>
    <w:rsid w:val="00856211"/>
    <w:rsid w:val="0085665B"/>
    <w:rsid w:val="00856695"/>
    <w:rsid w:val="00856A04"/>
    <w:rsid w:val="00856A6C"/>
    <w:rsid w:val="00856C7A"/>
    <w:rsid w:val="00857103"/>
    <w:rsid w:val="0085724F"/>
    <w:rsid w:val="008574FE"/>
    <w:rsid w:val="008575FA"/>
    <w:rsid w:val="008576E1"/>
    <w:rsid w:val="00857854"/>
    <w:rsid w:val="00857A40"/>
    <w:rsid w:val="00857B34"/>
    <w:rsid w:val="00857B52"/>
    <w:rsid w:val="00857C3A"/>
    <w:rsid w:val="00857E2D"/>
    <w:rsid w:val="00860057"/>
    <w:rsid w:val="0086019F"/>
    <w:rsid w:val="008602DC"/>
    <w:rsid w:val="00860A43"/>
    <w:rsid w:val="00860A7F"/>
    <w:rsid w:val="00860C26"/>
    <w:rsid w:val="00861091"/>
    <w:rsid w:val="00861A7C"/>
    <w:rsid w:val="00861E92"/>
    <w:rsid w:val="00861FC9"/>
    <w:rsid w:val="00862696"/>
    <w:rsid w:val="0086278E"/>
    <w:rsid w:val="00862BF8"/>
    <w:rsid w:val="00862C53"/>
    <w:rsid w:val="00862DC5"/>
    <w:rsid w:val="00862DF4"/>
    <w:rsid w:val="0086330F"/>
    <w:rsid w:val="0086335E"/>
    <w:rsid w:val="0086351B"/>
    <w:rsid w:val="00863777"/>
    <w:rsid w:val="008637A7"/>
    <w:rsid w:val="00863BCB"/>
    <w:rsid w:val="00863C9E"/>
    <w:rsid w:val="00863E2F"/>
    <w:rsid w:val="00863E46"/>
    <w:rsid w:val="0086412F"/>
    <w:rsid w:val="00864334"/>
    <w:rsid w:val="008645D0"/>
    <w:rsid w:val="00864B6C"/>
    <w:rsid w:val="00864FA6"/>
    <w:rsid w:val="00865208"/>
    <w:rsid w:val="00865278"/>
    <w:rsid w:val="008652B8"/>
    <w:rsid w:val="008654DB"/>
    <w:rsid w:val="00865538"/>
    <w:rsid w:val="00865DE2"/>
    <w:rsid w:val="00866088"/>
    <w:rsid w:val="00866312"/>
    <w:rsid w:val="00866BCC"/>
    <w:rsid w:val="00866FD2"/>
    <w:rsid w:val="0086718A"/>
    <w:rsid w:val="008675DA"/>
    <w:rsid w:val="008676AE"/>
    <w:rsid w:val="00867747"/>
    <w:rsid w:val="00867BD7"/>
    <w:rsid w:val="00867F47"/>
    <w:rsid w:val="00870666"/>
    <w:rsid w:val="008706E4"/>
    <w:rsid w:val="00870D64"/>
    <w:rsid w:val="00871195"/>
    <w:rsid w:val="008714AB"/>
    <w:rsid w:val="00871536"/>
    <w:rsid w:val="00871729"/>
    <w:rsid w:val="00871784"/>
    <w:rsid w:val="00871BAB"/>
    <w:rsid w:val="00871CE2"/>
    <w:rsid w:val="00871D39"/>
    <w:rsid w:val="00871E99"/>
    <w:rsid w:val="00871F6D"/>
    <w:rsid w:val="00872828"/>
    <w:rsid w:val="00872ABF"/>
    <w:rsid w:val="00872BA1"/>
    <w:rsid w:val="00872C7A"/>
    <w:rsid w:val="00872EE6"/>
    <w:rsid w:val="00872F63"/>
    <w:rsid w:val="00872FAD"/>
    <w:rsid w:val="0087326D"/>
    <w:rsid w:val="008733B9"/>
    <w:rsid w:val="0087360F"/>
    <w:rsid w:val="0087382B"/>
    <w:rsid w:val="00873C7F"/>
    <w:rsid w:val="008743A2"/>
    <w:rsid w:val="00874A5D"/>
    <w:rsid w:val="00874DE8"/>
    <w:rsid w:val="00874F0F"/>
    <w:rsid w:val="00875130"/>
    <w:rsid w:val="00875204"/>
    <w:rsid w:val="00875230"/>
    <w:rsid w:val="0087587D"/>
    <w:rsid w:val="00875BEC"/>
    <w:rsid w:val="00875D57"/>
    <w:rsid w:val="00875FA3"/>
    <w:rsid w:val="00875FAD"/>
    <w:rsid w:val="008761F7"/>
    <w:rsid w:val="00876508"/>
    <w:rsid w:val="008765AD"/>
    <w:rsid w:val="0087673B"/>
    <w:rsid w:val="00876C11"/>
    <w:rsid w:val="00876FBA"/>
    <w:rsid w:val="00876FD3"/>
    <w:rsid w:val="00877183"/>
    <w:rsid w:val="0087730F"/>
    <w:rsid w:val="00877446"/>
    <w:rsid w:val="008774B9"/>
    <w:rsid w:val="00877774"/>
    <w:rsid w:val="00877867"/>
    <w:rsid w:val="00877B1E"/>
    <w:rsid w:val="00877B92"/>
    <w:rsid w:val="00877B9A"/>
    <w:rsid w:val="00877C2E"/>
    <w:rsid w:val="00877DAD"/>
    <w:rsid w:val="00880040"/>
    <w:rsid w:val="008804E9"/>
    <w:rsid w:val="0088097F"/>
    <w:rsid w:val="00880E0A"/>
    <w:rsid w:val="00881148"/>
    <w:rsid w:val="008812EC"/>
    <w:rsid w:val="008814AB"/>
    <w:rsid w:val="008814D6"/>
    <w:rsid w:val="00881506"/>
    <w:rsid w:val="008818A4"/>
    <w:rsid w:val="00882DB5"/>
    <w:rsid w:val="00882E56"/>
    <w:rsid w:val="00883247"/>
    <w:rsid w:val="00883560"/>
    <w:rsid w:val="00883C12"/>
    <w:rsid w:val="00883D84"/>
    <w:rsid w:val="00883EC5"/>
    <w:rsid w:val="00883F27"/>
    <w:rsid w:val="00884557"/>
    <w:rsid w:val="008845A2"/>
    <w:rsid w:val="00884A81"/>
    <w:rsid w:val="00885765"/>
    <w:rsid w:val="0088579A"/>
    <w:rsid w:val="00885DF4"/>
    <w:rsid w:val="0088605A"/>
    <w:rsid w:val="0088625C"/>
    <w:rsid w:val="00886CB4"/>
    <w:rsid w:val="00886D0D"/>
    <w:rsid w:val="00886DCA"/>
    <w:rsid w:val="00886F9B"/>
    <w:rsid w:val="0088709E"/>
    <w:rsid w:val="008872FB"/>
    <w:rsid w:val="00887372"/>
    <w:rsid w:val="00887806"/>
    <w:rsid w:val="00887E45"/>
    <w:rsid w:val="00887EE3"/>
    <w:rsid w:val="00890414"/>
    <w:rsid w:val="008906FB"/>
    <w:rsid w:val="00890789"/>
    <w:rsid w:val="00890FAE"/>
    <w:rsid w:val="008913D0"/>
    <w:rsid w:val="008913F6"/>
    <w:rsid w:val="00891518"/>
    <w:rsid w:val="00891681"/>
    <w:rsid w:val="008917B0"/>
    <w:rsid w:val="00891833"/>
    <w:rsid w:val="008918A3"/>
    <w:rsid w:val="00891991"/>
    <w:rsid w:val="00891C75"/>
    <w:rsid w:val="008921BC"/>
    <w:rsid w:val="00892258"/>
    <w:rsid w:val="00892326"/>
    <w:rsid w:val="0089246E"/>
    <w:rsid w:val="00892472"/>
    <w:rsid w:val="008925BA"/>
    <w:rsid w:val="0089261F"/>
    <w:rsid w:val="0089292C"/>
    <w:rsid w:val="00892FCF"/>
    <w:rsid w:val="008935ED"/>
    <w:rsid w:val="008938CB"/>
    <w:rsid w:val="008939E6"/>
    <w:rsid w:val="008945F1"/>
    <w:rsid w:val="00894701"/>
    <w:rsid w:val="00894EA1"/>
    <w:rsid w:val="00895D2C"/>
    <w:rsid w:val="008961DC"/>
    <w:rsid w:val="008964C1"/>
    <w:rsid w:val="00896699"/>
    <w:rsid w:val="008966DB"/>
    <w:rsid w:val="008975C1"/>
    <w:rsid w:val="00897A37"/>
    <w:rsid w:val="00897CB5"/>
    <w:rsid w:val="00897EDF"/>
    <w:rsid w:val="008A00D9"/>
    <w:rsid w:val="008A0292"/>
    <w:rsid w:val="008A0298"/>
    <w:rsid w:val="008A0922"/>
    <w:rsid w:val="008A0E26"/>
    <w:rsid w:val="008A0F4B"/>
    <w:rsid w:val="008A12A4"/>
    <w:rsid w:val="008A1551"/>
    <w:rsid w:val="008A190C"/>
    <w:rsid w:val="008A1A3F"/>
    <w:rsid w:val="008A1A41"/>
    <w:rsid w:val="008A1A86"/>
    <w:rsid w:val="008A2BA2"/>
    <w:rsid w:val="008A2DDD"/>
    <w:rsid w:val="008A2E9E"/>
    <w:rsid w:val="008A306F"/>
    <w:rsid w:val="008A3448"/>
    <w:rsid w:val="008A36B4"/>
    <w:rsid w:val="008A3857"/>
    <w:rsid w:val="008A3940"/>
    <w:rsid w:val="008A39D7"/>
    <w:rsid w:val="008A3A15"/>
    <w:rsid w:val="008A3BD9"/>
    <w:rsid w:val="008A3C32"/>
    <w:rsid w:val="008A433C"/>
    <w:rsid w:val="008A448D"/>
    <w:rsid w:val="008A472F"/>
    <w:rsid w:val="008A4801"/>
    <w:rsid w:val="008A483D"/>
    <w:rsid w:val="008A4AD6"/>
    <w:rsid w:val="008A4C43"/>
    <w:rsid w:val="008A5255"/>
    <w:rsid w:val="008A579B"/>
    <w:rsid w:val="008A57ED"/>
    <w:rsid w:val="008A5A99"/>
    <w:rsid w:val="008A5C76"/>
    <w:rsid w:val="008A5ED7"/>
    <w:rsid w:val="008A6515"/>
    <w:rsid w:val="008A665B"/>
    <w:rsid w:val="008A69F2"/>
    <w:rsid w:val="008A6BBB"/>
    <w:rsid w:val="008A6BE6"/>
    <w:rsid w:val="008A6C24"/>
    <w:rsid w:val="008A6EE5"/>
    <w:rsid w:val="008A7B8B"/>
    <w:rsid w:val="008A7FC6"/>
    <w:rsid w:val="008A7FCC"/>
    <w:rsid w:val="008B008B"/>
    <w:rsid w:val="008B00C7"/>
    <w:rsid w:val="008B0660"/>
    <w:rsid w:val="008B0A7B"/>
    <w:rsid w:val="008B0AE0"/>
    <w:rsid w:val="008B0AF1"/>
    <w:rsid w:val="008B0DF0"/>
    <w:rsid w:val="008B1BCF"/>
    <w:rsid w:val="008B1CC3"/>
    <w:rsid w:val="008B1E2F"/>
    <w:rsid w:val="008B1F00"/>
    <w:rsid w:val="008B1F8F"/>
    <w:rsid w:val="008B1F92"/>
    <w:rsid w:val="008B1FE0"/>
    <w:rsid w:val="008B243E"/>
    <w:rsid w:val="008B27B5"/>
    <w:rsid w:val="008B2835"/>
    <w:rsid w:val="008B2B38"/>
    <w:rsid w:val="008B2C79"/>
    <w:rsid w:val="008B2D60"/>
    <w:rsid w:val="008B2EF4"/>
    <w:rsid w:val="008B3012"/>
    <w:rsid w:val="008B327B"/>
    <w:rsid w:val="008B36D8"/>
    <w:rsid w:val="008B37F1"/>
    <w:rsid w:val="008B3A37"/>
    <w:rsid w:val="008B3BB0"/>
    <w:rsid w:val="008B4043"/>
    <w:rsid w:val="008B4567"/>
    <w:rsid w:val="008B45D0"/>
    <w:rsid w:val="008B4C8C"/>
    <w:rsid w:val="008B4F25"/>
    <w:rsid w:val="008B5032"/>
    <w:rsid w:val="008B5573"/>
    <w:rsid w:val="008B560E"/>
    <w:rsid w:val="008B583E"/>
    <w:rsid w:val="008B5C4E"/>
    <w:rsid w:val="008B5E9D"/>
    <w:rsid w:val="008B5F66"/>
    <w:rsid w:val="008B6056"/>
    <w:rsid w:val="008B6129"/>
    <w:rsid w:val="008B64C0"/>
    <w:rsid w:val="008B66E6"/>
    <w:rsid w:val="008B6ABD"/>
    <w:rsid w:val="008B72E1"/>
    <w:rsid w:val="008B7875"/>
    <w:rsid w:val="008B7958"/>
    <w:rsid w:val="008B7B00"/>
    <w:rsid w:val="008B7B34"/>
    <w:rsid w:val="008C015A"/>
    <w:rsid w:val="008C015E"/>
    <w:rsid w:val="008C02F9"/>
    <w:rsid w:val="008C0B7C"/>
    <w:rsid w:val="008C0E61"/>
    <w:rsid w:val="008C14DA"/>
    <w:rsid w:val="008C1A04"/>
    <w:rsid w:val="008C1A58"/>
    <w:rsid w:val="008C1F8F"/>
    <w:rsid w:val="008C2003"/>
    <w:rsid w:val="008C223F"/>
    <w:rsid w:val="008C23E8"/>
    <w:rsid w:val="008C2743"/>
    <w:rsid w:val="008C2A9C"/>
    <w:rsid w:val="008C2B6B"/>
    <w:rsid w:val="008C2B9C"/>
    <w:rsid w:val="008C2EAF"/>
    <w:rsid w:val="008C2EEF"/>
    <w:rsid w:val="008C3005"/>
    <w:rsid w:val="008C32BD"/>
    <w:rsid w:val="008C362E"/>
    <w:rsid w:val="008C440B"/>
    <w:rsid w:val="008C4530"/>
    <w:rsid w:val="008C4B41"/>
    <w:rsid w:val="008C5823"/>
    <w:rsid w:val="008C5A8A"/>
    <w:rsid w:val="008C5B5A"/>
    <w:rsid w:val="008C60AB"/>
    <w:rsid w:val="008C616E"/>
    <w:rsid w:val="008C6201"/>
    <w:rsid w:val="008C6A66"/>
    <w:rsid w:val="008C6C8F"/>
    <w:rsid w:val="008C71BA"/>
    <w:rsid w:val="008C7A78"/>
    <w:rsid w:val="008C7A83"/>
    <w:rsid w:val="008C7D18"/>
    <w:rsid w:val="008D0330"/>
    <w:rsid w:val="008D0451"/>
    <w:rsid w:val="008D0821"/>
    <w:rsid w:val="008D08F9"/>
    <w:rsid w:val="008D0B04"/>
    <w:rsid w:val="008D0BE6"/>
    <w:rsid w:val="008D0F80"/>
    <w:rsid w:val="008D0FB3"/>
    <w:rsid w:val="008D10C8"/>
    <w:rsid w:val="008D1192"/>
    <w:rsid w:val="008D1A9F"/>
    <w:rsid w:val="008D1EBC"/>
    <w:rsid w:val="008D1F18"/>
    <w:rsid w:val="008D21E2"/>
    <w:rsid w:val="008D2614"/>
    <w:rsid w:val="008D2648"/>
    <w:rsid w:val="008D2A2D"/>
    <w:rsid w:val="008D2E5E"/>
    <w:rsid w:val="008D2EDD"/>
    <w:rsid w:val="008D2EFC"/>
    <w:rsid w:val="008D3272"/>
    <w:rsid w:val="008D34EA"/>
    <w:rsid w:val="008D377E"/>
    <w:rsid w:val="008D392D"/>
    <w:rsid w:val="008D3A22"/>
    <w:rsid w:val="008D3ECC"/>
    <w:rsid w:val="008D4078"/>
    <w:rsid w:val="008D41CF"/>
    <w:rsid w:val="008D47C0"/>
    <w:rsid w:val="008D4F90"/>
    <w:rsid w:val="008D5022"/>
    <w:rsid w:val="008D526B"/>
    <w:rsid w:val="008D5745"/>
    <w:rsid w:val="008D5EEB"/>
    <w:rsid w:val="008D5F91"/>
    <w:rsid w:val="008D60E5"/>
    <w:rsid w:val="008D6165"/>
    <w:rsid w:val="008D6233"/>
    <w:rsid w:val="008D6421"/>
    <w:rsid w:val="008D64AC"/>
    <w:rsid w:val="008D6B64"/>
    <w:rsid w:val="008D6FE5"/>
    <w:rsid w:val="008D7117"/>
    <w:rsid w:val="008D714A"/>
    <w:rsid w:val="008D7382"/>
    <w:rsid w:val="008D73FE"/>
    <w:rsid w:val="008D7843"/>
    <w:rsid w:val="008D7D25"/>
    <w:rsid w:val="008D7D6F"/>
    <w:rsid w:val="008D7D99"/>
    <w:rsid w:val="008D7DD1"/>
    <w:rsid w:val="008D7F92"/>
    <w:rsid w:val="008D7FB8"/>
    <w:rsid w:val="008E0B1E"/>
    <w:rsid w:val="008E0D65"/>
    <w:rsid w:val="008E0D98"/>
    <w:rsid w:val="008E0F39"/>
    <w:rsid w:val="008E0FB4"/>
    <w:rsid w:val="008E14AB"/>
    <w:rsid w:val="008E173E"/>
    <w:rsid w:val="008E19E4"/>
    <w:rsid w:val="008E1E03"/>
    <w:rsid w:val="008E1FD5"/>
    <w:rsid w:val="008E2157"/>
    <w:rsid w:val="008E25C4"/>
    <w:rsid w:val="008E261F"/>
    <w:rsid w:val="008E26C0"/>
    <w:rsid w:val="008E2AD4"/>
    <w:rsid w:val="008E2C60"/>
    <w:rsid w:val="008E2E5A"/>
    <w:rsid w:val="008E30A7"/>
    <w:rsid w:val="008E32EB"/>
    <w:rsid w:val="008E3961"/>
    <w:rsid w:val="008E3B8D"/>
    <w:rsid w:val="008E3BCD"/>
    <w:rsid w:val="008E3F0D"/>
    <w:rsid w:val="008E3F1C"/>
    <w:rsid w:val="008E43B6"/>
    <w:rsid w:val="008E43E8"/>
    <w:rsid w:val="008E45DC"/>
    <w:rsid w:val="008E461D"/>
    <w:rsid w:val="008E4ACF"/>
    <w:rsid w:val="008E4C75"/>
    <w:rsid w:val="008E55DF"/>
    <w:rsid w:val="008E5600"/>
    <w:rsid w:val="008E575D"/>
    <w:rsid w:val="008E5A52"/>
    <w:rsid w:val="008E5AE8"/>
    <w:rsid w:val="008E6240"/>
    <w:rsid w:val="008E6407"/>
    <w:rsid w:val="008E6557"/>
    <w:rsid w:val="008E6750"/>
    <w:rsid w:val="008E71D4"/>
    <w:rsid w:val="008E76AC"/>
    <w:rsid w:val="008F00B4"/>
    <w:rsid w:val="008F01C8"/>
    <w:rsid w:val="008F022D"/>
    <w:rsid w:val="008F03AD"/>
    <w:rsid w:val="008F0BD1"/>
    <w:rsid w:val="008F0BE1"/>
    <w:rsid w:val="008F0CB7"/>
    <w:rsid w:val="008F1123"/>
    <w:rsid w:val="008F141C"/>
    <w:rsid w:val="008F147A"/>
    <w:rsid w:val="008F1667"/>
    <w:rsid w:val="008F1C56"/>
    <w:rsid w:val="008F2059"/>
    <w:rsid w:val="008F26F5"/>
    <w:rsid w:val="008F27BE"/>
    <w:rsid w:val="008F285B"/>
    <w:rsid w:val="008F2E41"/>
    <w:rsid w:val="008F353A"/>
    <w:rsid w:val="008F38AF"/>
    <w:rsid w:val="008F3AED"/>
    <w:rsid w:val="008F3CE0"/>
    <w:rsid w:val="008F3E92"/>
    <w:rsid w:val="008F43FC"/>
    <w:rsid w:val="008F44DD"/>
    <w:rsid w:val="008F4527"/>
    <w:rsid w:val="008F4AE9"/>
    <w:rsid w:val="008F4C48"/>
    <w:rsid w:val="008F4CFC"/>
    <w:rsid w:val="008F5510"/>
    <w:rsid w:val="008F584B"/>
    <w:rsid w:val="008F5A5F"/>
    <w:rsid w:val="008F5B3C"/>
    <w:rsid w:val="008F5F9F"/>
    <w:rsid w:val="008F6184"/>
    <w:rsid w:val="008F63A8"/>
    <w:rsid w:val="008F7130"/>
    <w:rsid w:val="008F7264"/>
    <w:rsid w:val="008F72B4"/>
    <w:rsid w:val="008F7694"/>
    <w:rsid w:val="008F7892"/>
    <w:rsid w:val="00900520"/>
    <w:rsid w:val="00900C98"/>
    <w:rsid w:val="00900DB3"/>
    <w:rsid w:val="00901162"/>
    <w:rsid w:val="00901455"/>
    <w:rsid w:val="0090145C"/>
    <w:rsid w:val="009014E4"/>
    <w:rsid w:val="009017A8"/>
    <w:rsid w:val="00901F3E"/>
    <w:rsid w:val="00902000"/>
    <w:rsid w:val="00902628"/>
    <w:rsid w:val="0090294D"/>
    <w:rsid w:val="00902BED"/>
    <w:rsid w:val="009032CD"/>
    <w:rsid w:val="00903686"/>
    <w:rsid w:val="00903CBB"/>
    <w:rsid w:val="00903D25"/>
    <w:rsid w:val="00903D3A"/>
    <w:rsid w:val="00904095"/>
    <w:rsid w:val="009049BA"/>
    <w:rsid w:val="00904F38"/>
    <w:rsid w:val="00905066"/>
    <w:rsid w:val="009050CA"/>
    <w:rsid w:val="00905697"/>
    <w:rsid w:val="00905927"/>
    <w:rsid w:val="00905BFB"/>
    <w:rsid w:val="00905DC6"/>
    <w:rsid w:val="009061E8"/>
    <w:rsid w:val="00906343"/>
    <w:rsid w:val="00906456"/>
    <w:rsid w:val="0090654C"/>
    <w:rsid w:val="00906933"/>
    <w:rsid w:val="00906942"/>
    <w:rsid w:val="00906AC1"/>
    <w:rsid w:val="00906B61"/>
    <w:rsid w:val="00906FAF"/>
    <w:rsid w:val="0090713E"/>
    <w:rsid w:val="00907169"/>
    <w:rsid w:val="00907431"/>
    <w:rsid w:val="00907440"/>
    <w:rsid w:val="00907493"/>
    <w:rsid w:val="00907782"/>
    <w:rsid w:val="00907CB2"/>
    <w:rsid w:val="00907D70"/>
    <w:rsid w:val="00907E65"/>
    <w:rsid w:val="00910175"/>
    <w:rsid w:val="009102E0"/>
    <w:rsid w:val="009102F5"/>
    <w:rsid w:val="00910A17"/>
    <w:rsid w:val="00910CD7"/>
    <w:rsid w:val="00911268"/>
    <w:rsid w:val="009112B7"/>
    <w:rsid w:val="009114B3"/>
    <w:rsid w:val="00911F1E"/>
    <w:rsid w:val="00911F77"/>
    <w:rsid w:val="00912077"/>
    <w:rsid w:val="0091234B"/>
    <w:rsid w:val="009123FD"/>
    <w:rsid w:val="0091242F"/>
    <w:rsid w:val="00912632"/>
    <w:rsid w:val="00912758"/>
    <w:rsid w:val="009127A7"/>
    <w:rsid w:val="00912956"/>
    <w:rsid w:val="00912E71"/>
    <w:rsid w:val="009130C9"/>
    <w:rsid w:val="0091313B"/>
    <w:rsid w:val="009134BC"/>
    <w:rsid w:val="00913AF4"/>
    <w:rsid w:val="00913C66"/>
    <w:rsid w:val="00913EAB"/>
    <w:rsid w:val="00913F6A"/>
    <w:rsid w:val="009140DC"/>
    <w:rsid w:val="00914505"/>
    <w:rsid w:val="00914609"/>
    <w:rsid w:val="00914641"/>
    <w:rsid w:val="009146AC"/>
    <w:rsid w:val="00915527"/>
    <w:rsid w:val="0091555F"/>
    <w:rsid w:val="009155BA"/>
    <w:rsid w:val="0091582D"/>
    <w:rsid w:val="00915A83"/>
    <w:rsid w:val="00915AD2"/>
    <w:rsid w:val="00916022"/>
    <w:rsid w:val="00916176"/>
    <w:rsid w:val="0091644B"/>
    <w:rsid w:val="00916550"/>
    <w:rsid w:val="00916667"/>
    <w:rsid w:val="00916753"/>
    <w:rsid w:val="00916EAF"/>
    <w:rsid w:val="00916EF6"/>
    <w:rsid w:val="00917063"/>
    <w:rsid w:val="0091720F"/>
    <w:rsid w:val="00917278"/>
    <w:rsid w:val="00917794"/>
    <w:rsid w:val="00917C6C"/>
    <w:rsid w:val="00917F03"/>
    <w:rsid w:val="00917FDB"/>
    <w:rsid w:val="009203D8"/>
    <w:rsid w:val="009208AF"/>
    <w:rsid w:val="0092095F"/>
    <w:rsid w:val="0092115A"/>
    <w:rsid w:val="0092128C"/>
    <w:rsid w:val="009214AC"/>
    <w:rsid w:val="009218E2"/>
    <w:rsid w:val="00921BAC"/>
    <w:rsid w:val="00921C23"/>
    <w:rsid w:val="00921E91"/>
    <w:rsid w:val="00921EB0"/>
    <w:rsid w:val="009220EA"/>
    <w:rsid w:val="0092216D"/>
    <w:rsid w:val="009222D5"/>
    <w:rsid w:val="0092266A"/>
    <w:rsid w:val="009229A5"/>
    <w:rsid w:val="00922C14"/>
    <w:rsid w:val="00922E7C"/>
    <w:rsid w:val="00923038"/>
    <w:rsid w:val="0092317A"/>
    <w:rsid w:val="009233CF"/>
    <w:rsid w:val="00923932"/>
    <w:rsid w:val="009239E4"/>
    <w:rsid w:val="0092421D"/>
    <w:rsid w:val="00924374"/>
    <w:rsid w:val="0092443B"/>
    <w:rsid w:val="009245FA"/>
    <w:rsid w:val="00924BA4"/>
    <w:rsid w:val="00924FD2"/>
    <w:rsid w:val="0092539A"/>
    <w:rsid w:val="009256F5"/>
    <w:rsid w:val="00925710"/>
    <w:rsid w:val="00925751"/>
    <w:rsid w:val="00925772"/>
    <w:rsid w:val="009257EB"/>
    <w:rsid w:val="00925833"/>
    <w:rsid w:val="009258DF"/>
    <w:rsid w:val="009259B9"/>
    <w:rsid w:val="00925A34"/>
    <w:rsid w:val="00925AB8"/>
    <w:rsid w:val="00925B1C"/>
    <w:rsid w:val="00925C60"/>
    <w:rsid w:val="00925F00"/>
    <w:rsid w:val="00926045"/>
    <w:rsid w:val="00926233"/>
    <w:rsid w:val="009264B8"/>
    <w:rsid w:val="00926B1A"/>
    <w:rsid w:val="0092715A"/>
    <w:rsid w:val="0092717A"/>
    <w:rsid w:val="00927780"/>
    <w:rsid w:val="00927B6E"/>
    <w:rsid w:val="00927D6F"/>
    <w:rsid w:val="00927EA9"/>
    <w:rsid w:val="00930117"/>
    <w:rsid w:val="009303CD"/>
    <w:rsid w:val="00930D97"/>
    <w:rsid w:val="00931035"/>
    <w:rsid w:val="009313A7"/>
    <w:rsid w:val="0093183C"/>
    <w:rsid w:val="00931EE2"/>
    <w:rsid w:val="0093211C"/>
    <w:rsid w:val="009324CE"/>
    <w:rsid w:val="00932BCB"/>
    <w:rsid w:val="0093368A"/>
    <w:rsid w:val="00933830"/>
    <w:rsid w:val="00933B7D"/>
    <w:rsid w:val="00933BF7"/>
    <w:rsid w:val="00933DFC"/>
    <w:rsid w:val="00934990"/>
    <w:rsid w:val="009349D0"/>
    <w:rsid w:val="00934DC0"/>
    <w:rsid w:val="00934EAE"/>
    <w:rsid w:val="0093599B"/>
    <w:rsid w:val="00935A03"/>
    <w:rsid w:val="00935C6D"/>
    <w:rsid w:val="00935CD5"/>
    <w:rsid w:val="00935D30"/>
    <w:rsid w:val="00935FD2"/>
    <w:rsid w:val="009361EB"/>
    <w:rsid w:val="00936300"/>
    <w:rsid w:val="009363A8"/>
    <w:rsid w:val="00936C1F"/>
    <w:rsid w:val="00937304"/>
    <w:rsid w:val="00937510"/>
    <w:rsid w:val="009377BA"/>
    <w:rsid w:val="00937864"/>
    <w:rsid w:val="00937C32"/>
    <w:rsid w:val="00937C56"/>
    <w:rsid w:val="00937CA7"/>
    <w:rsid w:val="009400F7"/>
    <w:rsid w:val="00940474"/>
    <w:rsid w:val="00940774"/>
    <w:rsid w:val="00940CB0"/>
    <w:rsid w:val="00940CD5"/>
    <w:rsid w:val="00940E17"/>
    <w:rsid w:val="00940F47"/>
    <w:rsid w:val="009413B9"/>
    <w:rsid w:val="00941610"/>
    <w:rsid w:val="00941860"/>
    <w:rsid w:val="00941DF9"/>
    <w:rsid w:val="009420D7"/>
    <w:rsid w:val="009421C4"/>
    <w:rsid w:val="0094222A"/>
    <w:rsid w:val="009423D0"/>
    <w:rsid w:val="00942432"/>
    <w:rsid w:val="009428B6"/>
    <w:rsid w:val="00942D94"/>
    <w:rsid w:val="00942E07"/>
    <w:rsid w:val="009430C6"/>
    <w:rsid w:val="00943289"/>
    <w:rsid w:val="00943346"/>
    <w:rsid w:val="00943727"/>
    <w:rsid w:val="00943B27"/>
    <w:rsid w:val="00943BDA"/>
    <w:rsid w:val="00943BEB"/>
    <w:rsid w:val="00943E91"/>
    <w:rsid w:val="00944B58"/>
    <w:rsid w:val="00944D40"/>
    <w:rsid w:val="00944E71"/>
    <w:rsid w:val="00944F1A"/>
    <w:rsid w:val="00945510"/>
    <w:rsid w:val="00945B97"/>
    <w:rsid w:val="00945BDD"/>
    <w:rsid w:val="009460AB"/>
    <w:rsid w:val="009460F4"/>
    <w:rsid w:val="00946370"/>
    <w:rsid w:val="0094675F"/>
    <w:rsid w:val="0094683F"/>
    <w:rsid w:val="00946D41"/>
    <w:rsid w:val="00946E13"/>
    <w:rsid w:val="00947170"/>
    <w:rsid w:val="009472E1"/>
    <w:rsid w:val="009473D8"/>
    <w:rsid w:val="009474A3"/>
    <w:rsid w:val="009476FD"/>
    <w:rsid w:val="00947B11"/>
    <w:rsid w:val="00950104"/>
    <w:rsid w:val="0095015E"/>
    <w:rsid w:val="00950596"/>
    <w:rsid w:val="0095077F"/>
    <w:rsid w:val="009507EE"/>
    <w:rsid w:val="009509F8"/>
    <w:rsid w:val="00950EC7"/>
    <w:rsid w:val="00950F01"/>
    <w:rsid w:val="00950FBE"/>
    <w:rsid w:val="00951005"/>
    <w:rsid w:val="00951088"/>
    <w:rsid w:val="009515A2"/>
    <w:rsid w:val="0095191E"/>
    <w:rsid w:val="00951BA9"/>
    <w:rsid w:val="00951F54"/>
    <w:rsid w:val="00952135"/>
    <w:rsid w:val="0095217E"/>
    <w:rsid w:val="00952B70"/>
    <w:rsid w:val="00952BE4"/>
    <w:rsid w:val="00952BFB"/>
    <w:rsid w:val="00953065"/>
    <w:rsid w:val="009530CC"/>
    <w:rsid w:val="009533DA"/>
    <w:rsid w:val="00953709"/>
    <w:rsid w:val="00953F06"/>
    <w:rsid w:val="00954227"/>
    <w:rsid w:val="00954520"/>
    <w:rsid w:val="0095498B"/>
    <w:rsid w:val="00954B22"/>
    <w:rsid w:val="00954B3C"/>
    <w:rsid w:val="00954B80"/>
    <w:rsid w:val="00954C73"/>
    <w:rsid w:val="00955134"/>
    <w:rsid w:val="0095542A"/>
    <w:rsid w:val="009554A3"/>
    <w:rsid w:val="0095591B"/>
    <w:rsid w:val="0095596F"/>
    <w:rsid w:val="00955E13"/>
    <w:rsid w:val="009566B2"/>
    <w:rsid w:val="0095674A"/>
    <w:rsid w:val="009567AD"/>
    <w:rsid w:val="00956C9B"/>
    <w:rsid w:val="009570FB"/>
    <w:rsid w:val="00957307"/>
    <w:rsid w:val="00957804"/>
    <w:rsid w:val="009579C9"/>
    <w:rsid w:val="00957B85"/>
    <w:rsid w:val="00960138"/>
    <w:rsid w:val="009605CF"/>
    <w:rsid w:val="0096066E"/>
    <w:rsid w:val="00960AA1"/>
    <w:rsid w:val="00960BC1"/>
    <w:rsid w:val="00960D12"/>
    <w:rsid w:val="00960D45"/>
    <w:rsid w:val="009614EE"/>
    <w:rsid w:val="00961923"/>
    <w:rsid w:val="009619E6"/>
    <w:rsid w:val="00962033"/>
    <w:rsid w:val="00962057"/>
    <w:rsid w:val="0096221A"/>
    <w:rsid w:val="009623CC"/>
    <w:rsid w:val="00962428"/>
    <w:rsid w:val="0096289B"/>
    <w:rsid w:val="00962C40"/>
    <w:rsid w:val="00962C6C"/>
    <w:rsid w:val="0096357B"/>
    <w:rsid w:val="00963815"/>
    <w:rsid w:val="00963881"/>
    <w:rsid w:val="009638DC"/>
    <w:rsid w:val="0096396B"/>
    <w:rsid w:val="00963A76"/>
    <w:rsid w:val="00963E20"/>
    <w:rsid w:val="00963FC9"/>
    <w:rsid w:val="0096429A"/>
    <w:rsid w:val="009643C2"/>
    <w:rsid w:val="009644BD"/>
    <w:rsid w:val="00964562"/>
    <w:rsid w:val="0096474E"/>
    <w:rsid w:val="009649DC"/>
    <w:rsid w:val="00964D43"/>
    <w:rsid w:val="00964EDA"/>
    <w:rsid w:val="00965031"/>
    <w:rsid w:val="00965076"/>
    <w:rsid w:val="00965238"/>
    <w:rsid w:val="009652BD"/>
    <w:rsid w:val="009652F9"/>
    <w:rsid w:val="00965586"/>
    <w:rsid w:val="00965A27"/>
    <w:rsid w:val="00965CCC"/>
    <w:rsid w:val="00965DCF"/>
    <w:rsid w:val="00965DD9"/>
    <w:rsid w:val="00965E1D"/>
    <w:rsid w:val="00965F2C"/>
    <w:rsid w:val="00966139"/>
    <w:rsid w:val="0096619B"/>
    <w:rsid w:val="00966257"/>
    <w:rsid w:val="00966629"/>
    <w:rsid w:val="009667FE"/>
    <w:rsid w:val="00966ACC"/>
    <w:rsid w:val="00967304"/>
    <w:rsid w:val="00967B18"/>
    <w:rsid w:val="00970021"/>
    <w:rsid w:val="00970105"/>
    <w:rsid w:val="009701E6"/>
    <w:rsid w:val="0097036C"/>
    <w:rsid w:val="009705ED"/>
    <w:rsid w:val="00970A2D"/>
    <w:rsid w:val="00970D03"/>
    <w:rsid w:val="00971858"/>
    <w:rsid w:val="009718D5"/>
    <w:rsid w:val="00971BAC"/>
    <w:rsid w:val="00971FF7"/>
    <w:rsid w:val="009720AF"/>
    <w:rsid w:val="00972315"/>
    <w:rsid w:val="0097238C"/>
    <w:rsid w:val="009723CC"/>
    <w:rsid w:val="00972470"/>
    <w:rsid w:val="009728D4"/>
    <w:rsid w:val="00972A32"/>
    <w:rsid w:val="00972A5C"/>
    <w:rsid w:val="00973373"/>
    <w:rsid w:val="009738EA"/>
    <w:rsid w:val="00973991"/>
    <w:rsid w:val="00973ADC"/>
    <w:rsid w:val="00973B06"/>
    <w:rsid w:val="00973F17"/>
    <w:rsid w:val="00973F96"/>
    <w:rsid w:val="00973FDE"/>
    <w:rsid w:val="00974223"/>
    <w:rsid w:val="0097433E"/>
    <w:rsid w:val="00974372"/>
    <w:rsid w:val="00974891"/>
    <w:rsid w:val="00974BBB"/>
    <w:rsid w:val="00974C31"/>
    <w:rsid w:val="0097575F"/>
    <w:rsid w:val="0097579F"/>
    <w:rsid w:val="0097589D"/>
    <w:rsid w:val="00975A78"/>
    <w:rsid w:val="00975ACC"/>
    <w:rsid w:val="00975B65"/>
    <w:rsid w:val="009763ED"/>
    <w:rsid w:val="009764BA"/>
    <w:rsid w:val="00976616"/>
    <w:rsid w:val="0097672E"/>
    <w:rsid w:val="00976874"/>
    <w:rsid w:val="00976B37"/>
    <w:rsid w:val="0097730C"/>
    <w:rsid w:val="00977342"/>
    <w:rsid w:val="009776B3"/>
    <w:rsid w:val="0097792F"/>
    <w:rsid w:val="00977C18"/>
    <w:rsid w:val="00977DA2"/>
    <w:rsid w:val="00977F48"/>
    <w:rsid w:val="009805D4"/>
    <w:rsid w:val="0098072D"/>
    <w:rsid w:val="00980835"/>
    <w:rsid w:val="009810E1"/>
    <w:rsid w:val="00981282"/>
    <w:rsid w:val="00981560"/>
    <w:rsid w:val="009817A2"/>
    <w:rsid w:val="00981B2D"/>
    <w:rsid w:val="00981BF4"/>
    <w:rsid w:val="00981E7F"/>
    <w:rsid w:val="009823EC"/>
    <w:rsid w:val="009824DA"/>
    <w:rsid w:val="0098252A"/>
    <w:rsid w:val="009825C1"/>
    <w:rsid w:val="0098327B"/>
    <w:rsid w:val="009833BA"/>
    <w:rsid w:val="009835D0"/>
    <w:rsid w:val="00983984"/>
    <w:rsid w:val="00983D63"/>
    <w:rsid w:val="00984254"/>
    <w:rsid w:val="009842C8"/>
    <w:rsid w:val="0098449D"/>
    <w:rsid w:val="00984AED"/>
    <w:rsid w:val="00984B2B"/>
    <w:rsid w:val="00985542"/>
    <w:rsid w:val="009857B8"/>
    <w:rsid w:val="00985848"/>
    <w:rsid w:val="009858D5"/>
    <w:rsid w:val="009858FC"/>
    <w:rsid w:val="00985952"/>
    <w:rsid w:val="00985D97"/>
    <w:rsid w:val="00985E4E"/>
    <w:rsid w:val="00985EEF"/>
    <w:rsid w:val="0098603D"/>
    <w:rsid w:val="00986195"/>
    <w:rsid w:val="009861A6"/>
    <w:rsid w:val="0098641B"/>
    <w:rsid w:val="0098673E"/>
    <w:rsid w:val="009869E9"/>
    <w:rsid w:val="009871FF"/>
    <w:rsid w:val="00987206"/>
    <w:rsid w:val="009872C1"/>
    <w:rsid w:val="00987629"/>
    <w:rsid w:val="009876B3"/>
    <w:rsid w:val="00987882"/>
    <w:rsid w:val="009878CA"/>
    <w:rsid w:val="00987C8B"/>
    <w:rsid w:val="00987F42"/>
    <w:rsid w:val="0099013E"/>
    <w:rsid w:val="0099042A"/>
    <w:rsid w:val="0099092F"/>
    <w:rsid w:val="009909C7"/>
    <w:rsid w:val="00990AF0"/>
    <w:rsid w:val="00990C19"/>
    <w:rsid w:val="00990DED"/>
    <w:rsid w:val="00990E23"/>
    <w:rsid w:val="00991148"/>
    <w:rsid w:val="00991727"/>
    <w:rsid w:val="009917CD"/>
    <w:rsid w:val="009919BC"/>
    <w:rsid w:val="00991AC8"/>
    <w:rsid w:val="00991BC3"/>
    <w:rsid w:val="00991D27"/>
    <w:rsid w:val="00992178"/>
    <w:rsid w:val="0099238C"/>
    <w:rsid w:val="009923FA"/>
    <w:rsid w:val="00992860"/>
    <w:rsid w:val="00992920"/>
    <w:rsid w:val="00992B44"/>
    <w:rsid w:val="00992DA3"/>
    <w:rsid w:val="00992FFB"/>
    <w:rsid w:val="00993226"/>
    <w:rsid w:val="009933D5"/>
    <w:rsid w:val="009935A7"/>
    <w:rsid w:val="009936A1"/>
    <w:rsid w:val="009938B3"/>
    <w:rsid w:val="009939D6"/>
    <w:rsid w:val="00993C5F"/>
    <w:rsid w:val="00993D6F"/>
    <w:rsid w:val="00993E71"/>
    <w:rsid w:val="009940CC"/>
    <w:rsid w:val="0099430C"/>
    <w:rsid w:val="00994329"/>
    <w:rsid w:val="009944EC"/>
    <w:rsid w:val="00994642"/>
    <w:rsid w:val="0099483F"/>
    <w:rsid w:val="00994857"/>
    <w:rsid w:val="00994C27"/>
    <w:rsid w:val="00994CF9"/>
    <w:rsid w:val="00994F9C"/>
    <w:rsid w:val="0099548C"/>
    <w:rsid w:val="009959A5"/>
    <w:rsid w:val="00995A6F"/>
    <w:rsid w:val="009960ED"/>
    <w:rsid w:val="00996241"/>
    <w:rsid w:val="00996292"/>
    <w:rsid w:val="009965EA"/>
    <w:rsid w:val="00996604"/>
    <w:rsid w:val="0099687E"/>
    <w:rsid w:val="00996FD6"/>
    <w:rsid w:val="009972B4"/>
    <w:rsid w:val="00997415"/>
    <w:rsid w:val="00997D88"/>
    <w:rsid w:val="009A001E"/>
    <w:rsid w:val="009A0158"/>
    <w:rsid w:val="009A0497"/>
    <w:rsid w:val="009A04B4"/>
    <w:rsid w:val="009A06A4"/>
    <w:rsid w:val="009A0777"/>
    <w:rsid w:val="009A100C"/>
    <w:rsid w:val="009A1860"/>
    <w:rsid w:val="009A1932"/>
    <w:rsid w:val="009A1E7B"/>
    <w:rsid w:val="009A20E7"/>
    <w:rsid w:val="009A2B0B"/>
    <w:rsid w:val="009A2C56"/>
    <w:rsid w:val="009A3160"/>
    <w:rsid w:val="009A32C0"/>
    <w:rsid w:val="009A3424"/>
    <w:rsid w:val="009A344A"/>
    <w:rsid w:val="009A35C7"/>
    <w:rsid w:val="009A38A5"/>
    <w:rsid w:val="009A38B5"/>
    <w:rsid w:val="009A3AD0"/>
    <w:rsid w:val="009A3CB8"/>
    <w:rsid w:val="009A3EFC"/>
    <w:rsid w:val="009A5129"/>
    <w:rsid w:val="009A56A9"/>
    <w:rsid w:val="009A5952"/>
    <w:rsid w:val="009A5B69"/>
    <w:rsid w:val="009A5E26"/>
    <w:rsid w:val="009A5F48"/>
    <w:rsid w:val="009A60AB"/>
    <w:rsid w:val="009A60E9"/>
    <w:rsid w:val="009A60F2"/>
    <w:rsid w:val="009A6314"/>
    <w:rsid w:val="009A67CE"/>
    <w:rsid w:val="009A6AC0"/>
    <w:rsid w:val="009A6D14"/>
    <w:rsid w:val="009A6D86"/>
    <w:rsid w:val="009A6D99"/>
    <w:rsid w:val="009A70A8"/>
    <w:rsid w:val="009A72D9"/>
    <w:rsid w:val="009B02A3"/>
    <w:rsid w:val="009B0332"/>
    <w:rsid w:val="009B0443"/>
    <w:rsid w:val="009B04D9"/>
    <w:rsid w:val="009B0590"/>
    <w:rsid w:val="009B0600"/>
    <w:rsid w:val="009B08FF"/>
    <w:rsid w:val="009B0D00"/>
    <w:rsid w:val="009B123C"/>
    <w:rsid w:val="009B129F"/>
    <w:rsid w:val="009B1323"/>
    <w:rsid w:val="009B133E"/>
    <w:rsid w:val="009B1727"/>
    <w:rsid w:val="009B184C"/>
    <w:rsid w:val="009B186F"/>
    <w:rsid w:val="009B1D00"/>
    <w:rsid w:val="009B2172"/>
    <w:rsid w:val="009B223E"/>
    <w:rsid w:val="009B22EB"/>
    <w:rsid w:val="009B2707"/>
    <w:rsid w:val="009B2742"/>
    <w:rsid w:val="009B283C"/>
    <w:rsid w:val="009B2961"/>
    <w:rsid w:val="009B2AAB"/>
    <w:rsid w:val="009B2CB7"/>
    <w:rsid w:val="009B2EAF"/>
    <w:rsid w:val="009B306A"/>
    <w:rsid w:val="009B3143"/>
    <w:rsid w:val="009B3194"/>
    <w:rsid w:val="009B32AC"/>
    <w:rsid w:val="009B332A"/>
    <w:rsid w:val="009B3493"/>
    <w:rsid w:val="009B34AA"/>
    <w:rsid w:val="009B3504"/>
    <w:rsid w:val="009B3D75"/>
    <w:rsid w:val="009B403F"/>
    <w:rsid w:val="009B4455"/>
    <w:rsid w:val="009B4854"/>
    <w:rsid w:val="009B4BA4"/>
    <w:rsid w:val="009B4CE9"/>
    <w:rsid w:val="009B4D60"/>
    <w:rsid w:val="009B5084"/>
    <w:rsid w:val="009B50EA"/>
    <w:rsid w:val="009B56D0"/>
    <w:rsid w:val="009B5BE2"/>
    <w:rsid w:val="009B5C8C"/>
    <w:rsid w:val="009B6026"/>
    <w:rsid w:val="009B6066"/>
    <w:rsid w:val="009B63B5"/>
    <w:rsid w:val="009B64BB"/>
    <w:rsid w:val="009B69C9"/>
    <w:rsid w:val="009B6C13"/>
    <w:rsid w:val="009B7011"/>
    <w:rsid w:val="009C0189"/>
    <w:rsid w:val="009C02FF"/>
    <w:rsid w:val="009C04F3"/>
    <w:rsid w:val="009C0B9F"/>
    <w:rsid w:val="009C0C42"/>
    <w:rsid w:val="009C0D19"/>
    <w:rsid w:val="009C0D66"/>
    <w:rsid w:val="009C0F37"/>
    <w:rsid w:val="009C174D"/>
    <w:rsid w:val="009C1785"/>
    <w:rsid w:val="009C17EF"/>
    <w:rsid w:val="009C1874"/>
    <w:rsid w:val="009C190A"/>
    <w:rsid w:val="009C1C2A"/>
    <w:rsid w:val="009C1DF3"/>
    <w:rsid w:val="009C1E27"/>
    <w:rsid w:val="009C20C8"/>
    <w:rsid w:val="009C21E4"/>
    <w:rsid w:val="009C2767"/>
    <w:rsid w:val="009C291D"/>
    <w:rsid w:val="009C2A85"/>
    <w:rsid w:val="009C2D81"/>
    <w:rsid w:val="009C2DCC"/>
    <w:rsid w:val="009C2FB6"/>
    <w:rsid w:val="009C3276"/>
    <w:rsid w:val="009C3522"/>
    <w:rsid w:val="009C354B"/>
    <w:rsid w:val="009C365F"/>
    <w:rsid w:val="009C3869"/>
    <w:rsid w:val="009C3A6D"/>
    <w:rsid w:val="009C3C31"/>
    <w:rsid w:val="009C3C92"/>
    <w:rsid w:val="009C3D27"/>
    <w:rsid w:val="009C3E43"/>
    <w:rsid w:val="009C3E9B"/>
    <w:rsid w:val="009C3F2A"/>
    <w:rsid w:val="009C419D"/>
    <w:rsid w:val="009C45CC"/>
    <w:rsid w:val="009C4717"/>
    <w:rsid w:val="009C4B25"/>
    <w:rsid w:val="009C4B4E"/>
    <w:rsid w:val="009C4D5A"/>
    <w:rsid w:val="009C51C6"/>
    <w:rsid w:val="009C54AA"/>
    <w:rsid w:val="009C5597"/>
    <w:rsid w:val="009C57EE"/>
    <w:rsid w:val="009C5AA3"/>
    <w:rsid w:val="009C5F1D"/>
    <w:rsid w:val="009C604A"/>
    <w:rsid w:val="009C608E"/>
    <w:rsid w:val="009C639D"/>
    <w:rsid w:val="009C6C41"/>
    <w:rsid w:val="009C7020"/>
    <w:rsid w:val="009C74E9"/>
    <w:rsid w:val="009C7974"/>
    <w:rsid w:val="009C7B65"/>
    <w:rsid w:val="009C7C3B"/>
    <w:rsid w:val="009C7CDB"/>
    <w:rsid w:val="009C7D3F"/>
    <w:rsid w:val="009D0270"/>
    <w:rsid w:val="009D064D"/>
    <w:rsid w:val="009D07AA"/>
    <w:rsid w:val="009D0E14"/>
    <w:rsid w:val="009D0F67"/>
    <w:rsid w:val="009D0FDD"/>
    <w:rsid w:val="009D11E6"/>
    <w:rsid w:val="009D1337"/>
    <w:rsid w:val="009D1490"/>
    <w:rsid w:val="009D1632"/>
    <w:rsid w:val="009D16B7"/>
    <w:rsid w:val="009D180A"/>
    <w:rsid w:val="009D1954"/>
    <w:rsid w:val="009D19A0"/>
    <w:rsid w:val="009D1E26"/>
    <w:rsid w:val="009D1F71"/>
    <w:rsid w:val="009D20C8"/>
    <w:rsid w:val="009D2756"/>
    <w:rsid w:val="009D2F77"/>
    <w:rsid w:val="009D32EC"/>
    <w:rsid w:val="009D3300"/>
    <w:rsid w:val="009D36B6"/>
    <w:rsid w:val="009D3748"/>
    <w:rsid w:val="009D377A"/>
    <w:rsid w:val="009D3AAF"/>
    <w:rsid w:val="009D3DA1"/>
    <w:rsid w:val="009D4047"/>
    <w:rsid w:val="009D4326"/>
    <w:rsid w:val="009D473E"/>
    <w:rsid w:val="009D480E"/>
    <w:rsid w:val="009D499B"/>
    <w:rsid w:val="009D4A4C"/>
    <w:rsid w:val="009D51E2"/>
    <w:rsid w:val="009D51FD"/>
    <w:rsid w:val="009D520D"/>
    <w:rsid w:val="009D5507"/>
    <w:rsid w:val="009D55CF"/>
    <w:rsid w:val="009D59CD"/>
    <w:rsid w:val="009D5C1A"/>
    <w:rsid w:val="009D5D82"/>
    <w:rsid w:val="009D611E"/>
    <w:rsid w:val="009D61F7"/>
    <w:rsid w:val="009D713A"/>
    <w:rsid w:val="009D76B0"/>
    <w:rsid w:val="009D7997"/>
    <w:rsid w:val="009D7A35"/>
    <w:rsid w:val="009D7C9D"/>
    <w:rsid w:val="009D7CE1"/>
    <w:rsid w:val="009D7E31"/>
    <w:rsid w:val="009D7EC2"/>
    <w:rsid w:val="009D7FCF"/>
    <w:rsid w:val="009E001F"/>
    <w:rsid w:val="009E0269"/>
    <w:rsid w:val="009E0347"/>
    <w:rsid w:val="009E03A2"/>
    <w:rsid w:val="009E0429"/>
    <w:rsid w:val="009E06CE"/>
    <w:rsid w:val="009E07CF"/>
    <w:rsid w:val="009E0BBA"/>
    <w:rsid w:val="009E113E"/>
    <w:rsid w:val="009E1788"/>
    <w:rsid w:val="009E1B1B"/>
    <w:rsid w:val="009E1ECC"/>
    <w:rsid w:val="009E1FFB"/>
    <w:rsid w:val="009E200E"/>
    <w:rsid w:val="009E2104"/>
    <w:rsid w:val="009E2544"/>
    <w:rsid w:val="009E25EF"/>
    <w:rsid w:val="009E263C"/>
    <w:rsid w:val="009E2815"/>
    <w:rsid w:val="009E2C68"/>
    <w:rsid w:val="009E30CA"/>
    <w:rsid w:val="009E31D6"/>
    <w:rsid w:val="009E3303"/>
    <w:rsid w:val="009E3346"/>
    <w:rsid w:val="009E34E5"/>
    <w:rsid w:val="009E3825"/>
    <w:rsid w:val="009E3D35"/>
    <w:rsid w:val="009E4212"/>
    <w:rsid w:val="009E42F9"/>
    <w:rsid w:val="009E4701"/>
    <w:rsid w:val="009E47DD"/>
    <w:rsid w:val="009E483F"/>
    <w:rsid w:val="009E49CE"/>
    <w:rsid w:val="009E4B70"/>
    <w:rsid w:val="009E51DA"/>
    <w:rsid w:val="009E51E9"/>
    <w:rsid w:val="009E5295"/>
    <w:rsid w:val="009E53F7"/>
    <w:rsid w:val="009E583C"/>
    <w:rsid w:val="009E5A18"/>
    <w:rsid w:val="009E5BBA"/>
    <w:rsid w:val="009E5D88"/>
    <w:rsid w:val="009E5E8A"/>
    <w:rsid w:val="009E600B"/>
    <w:rsid w:val="009E61CA"/>
    <w:rsid w:val="009E6248"/>
    <w:rsid w:val="009E6592"/>
    <w:rsid w:val="009E65A2"/>
    <w:rsid w:val="009E66C0"/>
    <w:rsid w:val="009E69F5"/>
    <w:rsid w:val="009E6AE5"/>
    <w:rsid w:val="009E6AF3"/>
    <w:rsid w:val="009E6BA4"/>
    <w:rsid w:val="009E6FF1"/>
    <w:rsid w:val="009E721D"/>
    <w:rsid w:val="009E739F"/>
    <w:rsid w:val="009E752C"/>
    <w:rsid w:val="009E7BD9"/>
    <w:rsid w:val="009E7C05"/>
    <w:rsid w:val="009F02F1"/>
    <w:rsid w:val="009F0746"/>
    <w:rsid w:val="009F08F6"/>
    <w:rsid w:val="009F0997"/>
    <w:rsid w:val="009F0B03"/>
    <w:rsid w:val="009F0CA7"/>
    <w:rsid w:val="009F0D55"/>
    <w:rsid w:val="009F0FB6"/>
    <w:rsid w:val="009F1105"/>
    <w:rsid w:val="009F1490"/>
    <w:rsid w:val="009F14D1"/>
    <w:rsid w:val="009F152B"/>
    <w:rsid w:val="009F15A2"/>
    <w:rsid w:val="009F17D0"/>
    <w:rsid w:val="009F1907"/>
    <w:rsid w:val="009F208E"/>
    <w:rsid w:val="009F239E"/>
    <w:rsid w:val="009F259C"/>
    <w:rsid w:val="009F2754"/>
    <w:rsid w:val="009F279A"/>
    <w:rsid w:val="009F2A86"/>
    <w:rsid w:val="009F2C33"/>
    <w:rsid w:val="009F2CB0"/>
    <w:rsid w:val="009F2CB9"/>
    <w:rsid w:val="009F35F1"/>
    <w:rsid w:val="009F37C7"/>
    <w:rsid w:val="009F38CC"/>
    <w:rsid w:val="009F3C78"/>
    <w:rsid w:val="009F3C7D"/>
    <w:rsid w:val="009F3D11"/>
    <w:rsid w:val="009F3DCD"/>
    <w:rsid w:val="009F434E"/>
    <w:rsid w:val="009F4B46"/>
    <w:rsid w:val="009F4D2F"/>
    <w:rsid w:val="009F4F8C"/>
    <w:rsid w:val="009F5060"/>
    <w:rsid w:val="009F53A5"/>
    <w:rsid w:val="009F566D"/>
    <w:rsid w:val="009F5739"/>
    <w:rsid w:val="009F5AC6"/>
    <w:rsid w:val="009F5BA9"/>
    <w:rsid w:val="009F5FF4"/>
    <w:rsid w:val="009F6311"/>
    <w:rsid w:val="009F6352"/>
    <w:rsid w:val="009F67E1"/>
    <w:rsid w:val="009F6AAB"/>
    <w:rsid w:val="009F6ABA"/>
    <w:rsid w:val="009F6D27"/>
    <w:rsid w:val="009F6EC9"/>
    <w:rsid w:val="009F7415"/>
    <w:rsid w:val="009F75EA"/>
    <w:rsid w:val="009F7776"/>
    <w:rsid w:val="009F7A7C"/>
    <w:rsid w:val="009F7A9E"/>
    <w:rsid w:val="009F7B59"/>
    <w:rsid w:val="009F7C17"/>
    <w:rsid w:val="009F7E2F"/>
    <w:rsid w:val="00A0020C"/>
    <w:rsid w:val="00A00271"/>
    <w:rsid w:val="00A002A7"/>
    <w:rsid w:val="00A002C4"/>
    <w:rsid w:val="00A004F1"/>
    <w:rsid w:val="00A0076C"/>
    <w:rsid w:val="00A008FC"/>
    <w:rsid w:val="00A009EB"/>
    <w:rsid w:val="00A00B8F"/>
    <w:rsid w:val="00A016B7"/>
    <w:rsid w:val="00A01905"/>
    <w:rsid w:val="00A019F4"/>
    <w:rsid w:val="00A01A52"/>
    <w:rsid w:val="00A01BBB"/>
    <w:rsid w:val="00A01C65"/>
    <w:rsid w:val="00A01EB9"/>
    <w:rsid w:val="00A020FE"/>
    <w:rsid w:val="00A02A30"/>
    <w:rsid w:val="00A03573"/>
    <w:rsid w:val="00A03914"/>
    <w:rsid w:val="00A03C5E"/>
    <w:rsid w:val="00A03C63"/>
    <w:rsid w:val="00A03C7E"/>
    <w:rsid w:val="00A045A0"/>
    <w:rsid w:val="00A04D72"/>
    <w:rsid w:val="00A04F2F"/>
    <w:rsid w:val="00A05135"/>
    <w:rsid w:val="00A05272"/>
    <w:rsid w:val="00A05475"/>
    <w:rsid w:val="00A0555B"/>
    <w:rsid w:val="00A05CC0"/>
    <w:rsid w:val="00A05FDA"/>
    <w:rsid w:val="00A06014"/>
    <w:rsid w:val="00A0628A"/>
    <w:rsid w:val="00A06322"/>
    <w:rsid w:val="00A068B0"/>
    <w:rsid w:val="00A07235"/>
    <w:rsid w:val="00A07527"/>
    <w:rsid w:val="00A077C9"/>
    <w:rsid w:val="00A07AD6"/>
    <w:rsid w:val="00A07EBA"/>
    <w:rsid w:val="00A10183"/>
    <w:rsid w:val="00A1042F"/>
    <w:rsid w:val="00A10B2F"/>
    <w:rsid w:val="00A10B78"/>
    <w:rsid w:val="00A11151"/>
    <w:rsid w:val="00A111BA"/>
    <w:rsid w:val="00A11EE5"/>
    <w:rsid w:val="00A12497"/>
    <w:rsid w:val="00A124FF"/>
    <w:rsid w:val="00A12597"/>
    <w:rsid w:val="00A1260F"/>
    <w:rsid w:val="00A127F8"/>
    <w:rsid w:val="00A12CAD"/>
    <w:rsid w:val="00A12E01"/>
    <w:rsid w:val="00A12E9F"/>
    <w:rsid w:val="00A12EA9"/>
    <w:rsid w:val="00A12FC2"/>
    <w:rsid w:val="00A1320E"/>
    <w:rsid w:val="00A13231"/>
    <w:rsid w:val="00A1360E"/>
    <w:rsid w:val="00A1360F"/>
    <w:rsid w:val="00A13997"/>
    <w:rsid w:val="00A13B65"/>
    <w:rsid w:val="00A13BC0"/>
    <w:rsid w:val="00A13F42"/>
    <w:rsid w:val="00A13FE2"/>
    <w:rsid w:val="00A1404E"/>
    <w:rsid w:val="00A141DD"/>
    <w:rsid w:val="00A14417"/>
    <w:rsid w:val="00A14FCE"/>
    <w:rsid w:val="00A1515D"/>
    <w:rsid w:val="00A1549B"/>
    <w:rsid w:val="00A1557E"/>
    <w:rsid w:val="00A155CD"/>
    <w:rsid w:val="00A159F7"/>
    <w:rsid w:val="00A15E39"/>
    <w:rsid w:val="00A15E9F"/>
    <w:rsid w:val="00A15F0F"/>
    <w:rsid w:val="00A16320"/>
    <w:rsid w:val="00A1666C"/>
    <w:rsid w:val="00A166DA"/>
    <w:rsid w:val="00A16B57"/>
    <w:rsid w:val="00A16C43"/>
    <w:rsid w:val="00A16D5D"/>
    <w:rsid w:val="00A16E66"/>
    <w:rsid w:val="00A16FAE"/>
    <w:rsid w:val="00A16FB0"/>
    <w:rsid w:val="00A170C2"/>
    <w:rsid w:val="00A1710B"/>
    <w:rsid w:val="00A1752A"/>
    <w:rsid w:val="00A20678"/>
    <w:rsid w:val="00A2070D"/>
    <w:rsid w:val="00A20990"/>
    <w:rsid w:val="00A20B22"/>
    <w:rsid w:val="00A20C52"/>
    <w:rsid w:val="00A20F40"/>
    <w:rsid w:val="00A20F61"/>
    <w:rsid w:val="00A21270"/>
    <w:rsid w:val="00A21463"/>
    <w:rsid w:val="00A216E6"/>
    <w:rsid w:val="00A21B8E"/>
    <w:rsid w:val="00A21F1C"/>
    <w:rsid w:val="00A21F60"/>
    <w:rsid w:val="00A21FDB"/>
    <w:rsid w:val="00A2201E"/>
    <w:rsid w:val="00A2228F"/>
    <w:rsid w:val="00A2230F"/>
    <w:rsid w:val="00A2232B"/>
    <w:rsid w:val="00A224FF"/>
    <w:rsid w:val="00A226D9"/>
    <w:rsid w:val="00A229F2"/>
    <w:rsid w:val="00A22BB7"/>
    <w:rsid w:val="00A22E8B"/>
    <w:rsid w:val="00A2332F"/>
    <w:rsid w:val="00A235F6"/>
    <w:rsid w:val="00A238E4"/>
    <w:rsid w:val="00A23967"/>
    <w:rsid w:val="00A23C84"/>
    <w:rsid w:val="00A23E9A"/>
    <w:rsid w:val="00A2407E"/>
    <w:rsid w:val="00A2412B"/>
    <w:rsid w:val="00A24195"/>
    <w:rsid w:val="00A24225"/>
    <w:rsid w:val="00A2441F"/>
    <w:rsid w:val="00A2476C"/>
    <w:rsid w:val="00A2497D"/>
    <w:rsid w:val="00A2498A"/>
    <w:rsid w:val="00A249E8"/>
    <w:rsid w:val="00A24EE9"/>
    <w:rsid w:val="00A24FFC"/>
    <w:rsid w:val="00A253A9"/>
    <w:rsid w:val="00A253D2"/>
    <w:rsid w:val="00A25BF1"/>
    <w:rsid w:val="00A25EF1"/>
    <w:rsid w:val="00A25F62"/>
    <w:rsid w:val="00A261E4"/>
    <w:rsid w:val="00A26605"/>
    <w:rsid w:val="00A266A6"/>
    <w:rsid w:val="00A2697B"/>
    <w:rsid w:val="00A26CDC"/>
    <w:rsid w:val="00A26CE3"/>
    <w:rsid w:val="00A26ED4"/>
    <w:rsid w:val="00A2706F"/>
    <w:rsid w:val="00A27872"/>
    <w:rsid w:val="00A302F1"/>
    <w:rsid w:val="00A30487"/>
    <w:rsid w:val="00A30C39"/>
    <w:rsid w:val="00A30C6F"/>
    <w:rsid w:val="00A30E93"/>
    <w:rsid w:val="00A30FF7"/>
    <w:rsid w:val="00A30FF8"/>
    <w:rsid w:val="00A3153B"/>
    <w:rsid w:val="00A318A7"/>
    <w:rsid w:val="00A3196A"/>
    <w:rsid w:val="00A31DC3"/>
    <w:rsid w:val="00A31F80"/>
    <w:rsid w:val="00A327F3"/>
    <w:rsid w:val="00A33181"/>
    <w:rsid w:val="00A336F8"/>
    <w:rsid w:val="00A33844"/>
    <w:rsid w:val="00A33909"/>
    <w:rsid w:val="00A339B1"/>
    <w:rsid w:val="00A33BA1"/>
    <w:rsid w:val="00A33BCF"/>
    <w:rsid w:val="00A33CB7"/>
    <w:rsid w:val="00A33E66"/>
    <w:rsid w:val="00A3456F"/>
    <w:rsid w:val="00A3458F"/>
    <w:rsid w:val="00A345A8"/>
    <w:rsid w:val="00A34851"/>
    <w:rsid w:val="00A34A0A"/>
    <w:rsid w:val="00A34FEB"/>
    <w:rsid w:val="00A35161"/>
    <w:rsid w:val="00A3554C"/>
    <w:rsid w:val="00A35A7E"/>
    <w:rsid w:val="00A35B9B"/>
    <w:rsid w:val="00A35EF7"/>
    <w:rsid w:val="00A362C0"/>
    <w:rsid w:val="00A36A90"/>
    <w:rsid w:val="00A36EFF"/>
    <w:rsid w:val="00A37269"/>
    <w:rsid w:val="00A3748B"/>
    <w:rsid w:val="00A375D1"/>
    <w:rsid w:val="00A3791C"/>
    <w:rsid w:val="00A37C9A"/>
    <w:rsid w:val="00A37ED9"/>
    <w:rsid w:val="00A37F43"/>
    <w:rsid w:val="00A40384"/>
    <w:rsid w:val="00A40793"/>
    <w:rsid w:val="00A40804"/>
    <w:rsid w:val="00A408E3"/>
    <w:rsid w:val="00A40A26"/>
    <w:rsid w:val="00A40C70"/>
    <w:rsid w:val="00A40CEA"/>
    <w:rsid w:val="00A411C0"/>
    <w:rsid w:val="00A413A9"/>
    <w:rsid w:val="00A41AA1"/>
    <w:rsid w:val="00A421B9"/>
    <w:rsid w:val="00A42E3C"/>
    <w:rsid w:val="00A42F04"/>
    <w:rsid w:val="00A43004"/>
    <w:rsid w:val="00A43310"/>
    <w:rsid w:val="00A43CAB"/>
    <w:rsid w:val="00A43D8B"/>
    <w:rsid w:val="00A4408F"/>
    <w:rsid w:val="00A448D4"/>
    <w:rsid w:val="00A448FA"/>
    <w:rsid w:val="00A44A0B"/>
    <w:rsid w:val="00A44B2E"/>
    <w:rsid w:val="00A44DDD"/>
    <w:rsid w:val="00A4527B"/>
    <w:rsid w:val="00A45755"/>
    <w:rsid w:val="00A45CA0"/>
    <w:rsid w:val="00A46249"/>
    <w:rsid w:val="00A4670B"/>
    <w:rsid w:val="00A468DE"/>
    <w:rsid w:val="00A46950"/>
    <w:rsid w:val="00A4699F"/>
    <w:rsid w:val="00A46F0C"/>
    <w:rsid w:val="00A47C4A"/>
    <w:rsid w:val="00A47CEC"/>
    <w:rsid w:val="00A5032E"/>
    <w:rsid w:val="00A506FE"/>
    <w:rsid w:val="00A5086E"/>
    <w:rsid w:val="00A50910"/>
    <w:rsid w:val="00A50B58"/>
    <w:rsid w:val="00A50D17"/>
    <w:rsid w:val="00A50EF8"/>
    <w:rsid w:val="00A50FBA"/>
    <w:rsid w:val="00A511F2"/>
    <w:rsid w:val="00A512C5"/>
    <w:rsid w:val="00A512DE"/>
    <w:rsid w:val="00A51551"/>
    <w:rsid w:val="00A5171F"/>
    <w:rsid w:val="00A51897"/>
    <w:rsid w:val="00A519AB"/>
    <w:rsid w:val="00A51DF9"/>
    <w:rsid w:val="00A521B1"/>
    <w:rsid w:val="00A52694"/>
    <w:rsid w:val="00A52CC2"/>
    <w:rsid w:val="00A531FD"/>
    <w:rsid w:val="00A533D4"/>
    <w:rsid w:val="00A533DC"/>
    <w:rsid w:val="00A5363A"/>
    <w:rsid w:val="00A5365D"/>
    <w:rsid w:val="00A539A2"/>
    <w:rsid w:val="00A53A37"/>
    <w:rsid w:val="00A53C4D"/>
    <w:rsid w:val="00A53ED6"/>
    <w:rsid w:val="00A5413E"/>
    <w:rsid w:val="00A54299"/>
    <w:rsid w:val="00A54507"/>
    <w:rsid w:val="00A5484D"/>
    <w:rsid w:val="00A548A5"/>
    <w:rsid w:val="00A54923"/>
    <w:rsid w:val="00A54DF1"/>
    <w:rsid w:val="00A5554F"/>
    <w:rsid w:val="00A55784"/>
    <w:rsid w:val="00A55B36"/>
    <w:rsid w:val="00A55C99"/>
    <w:rsid w:val="00A55FBE"/>
    <w:rsid w:val="00A560B7"/>
    <w:rsid w:val="00A563CD"/>
    <w:rsid w:val="00A5647D"/>
    <w:rsid w:val="00A565B8"/>
    <w:rsid w:val="00A565F9"/>
    <w:rsid w:val="00A56793"/>
    <w:rsid w:val="00A567F3"/>
    <w:rsid w:val="00A56E08"/>
    <w:rsid w:val="00A5709D"/>
    <w:rsid w:val="00A57731"/>
    <w:rsid w:val="00A5782E"/>
    <w:rsid w:val="00A57DD0"/>
    <w:rsid w:val="00A57E02"/>
    <w:rsid w:val="00A57E12"/>
    <w:rsid w:val="00A602A8"/>
    <w:rsid w:val="00A60888"/>
    <w:rsid w:val="00A61307"/>
    <w:rsid w:val="00A613AF"/>
    <w:rsid w:val="00A61528"/>
    <w:rsid w:val="00A619D5"/>
    <w:rsid w:val="00A61E53"/>
    <w:rsid w:val="00A61F4C"/>
    <w:rsid w:val="00A6221B"/>
    <w:rsid w:val="00A6233D"/>
    <w:rsid w:val="00A625AD"/>
    <w:rsid w:val="00A62862"/>
    <w:rsid w:val="00A62895"/>
    <w:rsid w:val="00A629EE"/>
    <w:rsid w:val="00A6341C"/>
    <w:rsid w:val="00A636D0"/>
    <w:rsid w:val="00A639D7"/>
    <w:rsid w:val="00A63C65"/>
    <w:rsid w:val="00A63C78"/>
    <w:rsid w:val="00A63CFE"/>
    <w:rsid w:val="00A63D2C"/>
    <w:rsid w:val="00A63DF1"/>
    <w:rsid w:val="00A640E9"/>
    <w:rsid w:val="00A641BC"/>
    <w:rsid w:val="00A64243"/>
    <w:rsid w:val="00A6442B"/>
    <w:rsid w:val="00A64632"/>
    <w:rsid w:val="00A6476B"/>
    <w:rsid w:val="00A64F8A"/>
    <w:rsid w:val="00A65006"/>
    <w:rsid w:val="00A65033"/>
    <w:rsid w:val="00A65219"/>
    <w:rsid w:val="00A6533A"/>
    <w:rsid w:val="00A655C5"/>
    <w:rsid w:val="00A657A0"/>
    <w:rsid w:val="00A659EC"/>
    <w:rsid w:val="00A65C0A"/>
    <w:rsid w:val="00A65F44"/>
    <w:rsid w:val="00A66152"/>
    <w:rsid w:val="00A661A9"/>
    <w:rsid w:val="00A661CE"/>
    <w:rsid w:val="00A665E9"/>
    <w:rsid w:val="00A66722"/>
    <w:rsid w:val="00A669FE"/>
    <w:rsid w:val="00A66E82"/>
    <w:rsid w:val="00A66EE0"/>
    <w:rsid w:val="00A6717A"/>
    <w:rsid w:val="00A67346"/>
    <w:rsid w:val="00A6734E"/>
    <w:rsid w:val="00A673ED"/>
    <w:rsid w:val="00A67454"/>
    <w:rsid w:val="00A675E1"/>
    <w:rsid w:val="00A677EC"/>
    <w:rsid w:val="00A67B32"/>
    <w:rsid w:val="00A67ECB"/>
    <w:rsid w:val="00A70042"/>
    <w:rsid w:val="00A70428"/>
    <w:rsid w:val="00A706C5"/>
    <w:rsid w:val="00A709F1"/>
    <w:rsid w:val="00A70DC6"/>
    <w:rsid w:val="00A71160"/>
    <w:rsid w:val="00A716A3"/>
    <w:rsid w:val="00A7201B"/>
    <w:rsid w:val="00A72189"/>
    <w:rsid w:val="00A72907"/>
    <w:rsid w:val="00A72C5D"/>
    <w:rsid w:val="00A73064"/>
    <w:rsid w:val="00A7349E"/>
    <w:rsid w:val="00A7354E"/>
    <w:rsid w:val="00A737F0"/>
    <w:rsid w:val="00A7383E"/>
    <w:rsid w:val="00A738FD"/>
    <w:rsid w:val="00A73D99"/>
    <w:rsid w:val="00A73DA1"/>
    <w:rsid w:val="00A740AB"/>
    <w:rsid w:val="00A7451C"/>
    <w:rsid w:val="00A748CD"/>
    <w:rsid w:val="00A74A6C"/>
    <w:rsid w:val="00A74B0A"/>
    <w:rsid w:val="00A74F07"/>
    <w:rsid w:val="00A7530A"/>
    <w:rsid w:val="00A75417"/>
    <w:rsid w:val="00A7583E"/>
    <w:rsid w:val="00A75A1B"/>
    <w:rsid w:val="00A75A88"/>
    <w:rsid w:val="00A75C76"/>
    <w:rsid w:val="00A7676A"/>
    <w:rsid w:val="00A76A92"/>
    <w:rsid w:val="00A76F48"/>
    <w:rsid w:val="00A772FC"/>
    <w:rsid w:val="00A77343"/>
    <w:rsid w:val="00A7750A"/>
    <w:rsid w:val="00A77D4E"/>
    <w:rsid w:val="00A801FC"/>
    <w:rsid w:val="00A803B5"/>
    <w:rsid w:val="00A8079A"/>
    <w:rsid w:val="00A80CD9"/>
    <w:rsid w:val="00A80EA0"/>
    <w:rsid w:val="00A80EE0"/>
    <w:rsid w:val="00A8122B"/>
    <w:rsid w:val="00A81356"/>
    <w:rsid w:val="00A81397"/>
    <w:rsid w:val="00A8153D"/>
    <w:rsid w:val="00A81934"/>
    <w:rsid w:val="00A81938"/>
    <w:rsid w:val="00A819AD"/>
    <w:rsid w:val="00A81EA1"/>
    <w:rsid w:val="00A82170"/>
    <w:rsid w:val="00A82BA6"/>
    <w:rsid w:val="00A82DCB"/>
    <w:rsid w:val="00A83099"/>
    <w:rsid w:val="00A830E0"/>
    <w:rsid w:val="00A83579"/>
    <w:rsid w:val="00A835C5"/>
    <w:rsid w:val="00A83828"/>
    <w:rsid w:val="00A83898"/>
    <w:rsid w:val="00A838EF"/>
    <w:rsid w:val="00A83AFD"/>
    <w:rsid w:val="00A83B2E"/>
    <w:rsid w:val="00A83E15"/>
    <w:rsid w:val="00A8408B"/>
    <w:rsid w:val="00A8416A"/>
    <w:rsid w:val="00A84790"/>
    <w:rsid w:val="00A84A45"/>
    <w:rsid w:val="00A84EED"/>
    <w:rsid w:val="00A84F2A"/>
    <w:rsid w:val="00A84F59"/>
    <w:rsid w:val="00A85190"/>
    <w:rsid w:val="00A85429"/>
    <w:rsid w:val="00A854F1"/>
    <w:rsid w:val="00A8569E"/>
    <w:rsid w:val="00A856EE"/>
    <w:rsid w:val="00A85714"/>
    <w:rsid w:val="00A8578B"/>
    <w:rsid w:val="00A85C0C"/>
    <w:rsid w:val="00A85C1A"/>
    <w:rsid w:val="00A8611F"/>
    <w:rsid w:val="00A86314"/>
    <w:rsid w:val="00A8638B"/>
    <w:rsid w:val="00A866FA"/>
    <w:rsid w:val="00A869E9"/>
    <w:rsid w:val="00A86A22"/>
    <w:rsid w:val="00A86C86"/>
    <w:rsid w:val="00A86CF4"/>
    <w:rsid w:val="00A873F5"/>
    <w:rsid w:val="00A876D3"/>
    <w:rsid w:val="00A87E12"/>
    <w:rsid w:val="00A87F19"/>
    <w:rsid w:val="00A90168"/>
    <w:rsid w:val="00A9017D"/>
    <w:rsid w:val="00A90264"/>
    <w:rsid w:val="00A903A0"/>
    <w:rsid w:val="00A9051C"/>
    <w:rsid w:val="00A9061A"/>
    <w:rsid w:val="00A90943"/>
    <w:rsid w:val="00A90F35"/>
    <w:rsid w:val="00A91905"/>
    <w:rsid w:val="00A91AC1"/>
    <w:rsid w:val="00A91CF7"/>
    <w:rsid w:val="00A926C6"/>
    <w:rsid w:val="00A92781"/>
    <w:rsid w:val="00A928A1"/>
    <w:rsid w:val="00A9294E"/>
    <w:rsid w:val="00A92992"/>
    <w:rsid w:val="00A92E10"/>
    <w:rsid w:val="00A93358"/>
    <w:rsid w:val="00A93674"/>
    <w:rsid w:val="00A93A0B"/>
    <w:rsid w:val="00A93AAA"/>
    <w:rsid w:val="00A93AC8"/>
    <w:rsid w:val="00A93CFA"/>
    <w:rsid w:val="00A93E52"/>
    <w:rsid w:val="00A93E87"/>
    <w:rsid w:val="00A9412B"/>
    <w:rsid w:val="00A941C2"/>
    <w:rsid w:val="00A947F5"/>
    <w:rsid w:val="00A94D49"/>
    <w:rsid w:val="00A95604"/>
    <w:rsid w:val="00A95916"/>
    <w:rsid w:val="00A959B9"/>
    <w:rsid w:val="00A95EA3"/>
    <w:rsid w:val="00A95EE3"/>
    <w:rsid w:val="00A96054"/>
    <w:rsid w:val="00A9612F"/>
    <w:rsid w:val="00A96412"/>
    <w:rsid w:val="00A964F2"/>
    <w:rsid w:val="00A967EE"/>
    <w:rsid w:val="00A96885"/>
    <w:rsid w:val="00A96CF6"/>
    <w:rsid w:val="00A96EF6"/>
    <w:rsid w:val="00A9702B"/>
    <w:rsid w:val="00A973B1"/>
    <w:rsid w:val="00A9741F"/>
    <w:rsid w:val="00A97D14"/>
    <w:rsid w:val="00A97D47"/>
    <w:rsid w:val="00A97ECC"/>
    <w:rsid w:val="00A97F43"/>
    <w:rsid w:val="00AA0117"/>
    <w:rsid w:val="00AA012F"/>
    <w:rsid w:val="00AA065B"/>
    <w:rsid w:val="00AA0A12"/>
    <w:rsid w:val="00AA0A86"/>
    <w:rsid w:val="00AA0D03"/>
    <w:rsid w:val="00AA145E"/>
    <w:rsid w:val="00AA1AB2"/>
    <w:rsid w:val="00AA1F8C"/>
    <w:rsid w:val="00AA2334"/>
    <w:rsid w:val="00AA2340"/>
    <w:rsid w:val="00AA2426"/>
    <w:rsid w:val="00AA3294"/>
    <w:rsid w:val="00AA34D7"/>
    <w:rsid w:val="00AA357E"/>
    <w:rsid w:val="00AA36A6"/>
    <w:rsid w:val="00AA3B9B"/>
    <w:rsid w:val="00AA3C0D"/>
    <w:rsid w:val="00AA3C46"/>
    <w:rsid w:val="00AA3DB6"/>
    <w:rsid w:val="00AA3F0F"/>
    <w:rsid w:val="00AA418A"/>
    <w:rsid w:val="00AA4502"/>
    <w:rsid w:val="00AA48C1"/>
    <w:rsid w:val="00AA4A3D"/>
    <w:rsid w:val="00AA4AB9"/>
    <w:rsid w:val="00AA4D3D"/>
    <w:rsid w:val="00AA50A5"/>
    <w:rsid w:val="00AA5165"/>
    <w:rsid w:val="00AA5184"/>
    <w:rsid w:val="00AA5903"/>
    <w:rsid w:val="00AA5955"/>
    <w:rsid w:val="00AA5F3E"/>
    <w:rsid w:val="00AA67E0"/>
    <w:rsid w:val="00AA69D6"/>
    <w:rsid w:val="00AA6BCF"/>
    <w:rsid w:val="00AA716E"/>
    <w:rsid w:val="00AA7265"/>
    <w:rsid w:val="00AA7426"/>
    <w:rsid w:val="00AA7494"/>
    <w:rsid w:val="00AA7B01"/>
    <w:rsid w:val="00AA7C67"/>
    <w:rsid w:val="00AA7D56"/>
    <w:rsid w:val="00AA7D75"/>
    <w:rsid w:val="00AB0126"/>
    <w:rsid w:val="00AB019D"/>
    <w:rsid w:val="00AB0815"/>
    <w:rsid w:val="00AB0A36"/>
    <w:rsid w:val="00AB0A57"/>
    <w:rsid w:val="00AB0B7E"/>
    <w:rsid w:val="00AB0C23"/>
    <w:rsid w:val="00AB0D2E"/>
    <w:rsid w:val="00AB1299"/>
    <w:rsid w:val="00AB14B7"/>
    <w:rsid w:val="00AB175B"/>
    <w:rsid w:val="00AB1971"/>
    <w:rsid w:val="00AB1E18"/>
    <w:rsid w:val="00AB1EE5"/>
    <w:rsid w:val="00AB222D"/>
    <w:rsid w:val="00AB236C"/>
    <w:rsid w:val="00AB254F"/>
    <w:rsid w:val="00AB2601"/>
    <w:rsid w:val="00AB291E"/>
    <w:rsid w:val="00AB2BC3"/>
    <w:rsid w:val="00AB2FAD"/>
    <w:rsid w:val="00AB3094"/>
    <w:rsid w:val="00AB3150"/>
    <w:rsid w:val="00AB3676"/>
    <w:rsid w:val="00AB3DA8"/>
    <w:rsid w:val="00AB403D"/>
    <w:rsid w:val="00AB4264"/>
    <w:rsid w:val="00AB442C"/>
    <w:rsid w:val="00AB445E"/>
    <w:rsid w:val="00AB4603"/>
    <w:rsid w:val="00AB4716"/>
    <w:rsid w:val="00AB4782"/>
    <w:rsid w:val="00AB48AC"/>
    <w:rsid w:val="00AB4A62"/>
    <w:rsid w:val="00AB4CB2"/>
    <w:rsid w:val="00AB4CB3"/>
    <w:rsid w:val="00AB4E71"/>
    <w:rsid w:val="00AB4EC0"/>
    <w:rsid w:val="00AB55BB"/>
    <w:rsid w:val="00AB56EE"/>
    <w:rsid w:val="00AB5CD3"/>
    <w:rsid w:val="00AB5E98"/>
    <w:rsid w:val="00AB602C"/>
    <w:rsid w:val="00AB617F"/>
    <w:rsid w:val="00AB6243"/>
    <w:rsid w:val="00AB630F"/>
    <w:rsid w:val="00AB6454"/>
    <w:rsid w:val="00AB65B3"/>
    <w:rsid w:val="00AB65DA"/>
    <w:rsid w:val="00AB6704"/>
    <w:rsid w:val="00AB6748"/>
    <w:rsid w:val="00AB68EC"/>
    <w:rsid w:val="00AB6B0C"/>
    <w:rsid w:val="00AB707F"/>
    <w:rsid w:val="00AB756C"/>
    <w:rsid w:val="00AB77C7"/>
    <w:rsid w:val="00AB7845"/>
    <w:rsid w:val="00AB79FB"/>
    <w:rsid w:val="00AB7B31"/>
    <w:rsid w:val="00AB7DBA"/>
    <w:rsid w:val="00AC05CC"/>
    <w:rsid w:val="00AC065D"/>
    <w:rsid w:val="00AC0841"/>
    <w:rsid w:val="00AC164C"/>
    <w:rsid w:val="00AC1795"/>
    <w:rsid w:val="00AC1CFD"/>
    <w:rsid w:val="00AC1D6C"/>
    <w:rsid w:val="00AC2009"/>
    <w:rsid w:val="00AC2365"/>
    <w:rsid w:val="00AC2426"/>
    <w:rsid w:val="00AC2597"/>
    <w:rsid w:val="00AC272A"/>
    <w:rsid w:val="00AC2C1E"/>
    <w:rsid w:val="00AC3078"/>
    <w:rsid w:val="00AC31B9"/>
    <w:rsid w:val="00AC36B5"/>
    <w:rsid w:val="00AC3CA7"/>
    <w:rsid w:val="00AC3E24"/>
    <w:rsid w:val="00AC403B"/>
    <w:rsid w:val="00AC4154"/>
    <w:rsid w:val="00AC4225"/>
    <w:rsid w:val="00AC4737"/>
    <w:rsid w:val="00AC4895"/>
    <w:rsid w:val="00AC4944"/>
    <w:rsid w:val="00AC4B11"/>
    <w:rsid w:val="00AC4E65"/>
    <w:rsid w:val="00AC506C"/>
    <w:rsid w:val="00AC53CB"/>
    <w:rsid w:val="00AC5417"/>
    <w:rsid w:val="00AC57C4"/>
    <w:rsid w:val="00AC6091"/>
    <w:rsid w:val="00AC6136"/>
    <w:rsid w:val="00AC63C9"/>
    <w:rsid w:val="00AC6970"/>
    <w:rsid w:val="00AC6DB3"/>
    <w:rsid w:val="00AC6F52"/>
    <w:rsid w:val="00AC6FA6"/>
    <w:rsid w:val="00AC74E2"/>
    <w:rsid w:val="00AC7780"/>
    <w:rsid w:val="00AC7817"/>
    <w:rsid w:val="00AC7892"/>
    <w:rsid w:val="00AC78D2"/>
    <w:rsid w:val="00AC7A69"/>
    <w:rsid w:val="00AC7D3C"/>
    <w:rsid w:val="00AC7D85"/>
    <w:rsid w:val="00AC7E64"/>
    <w:rsid w:val="00AC7E82"/>
    <w:rsid w:val="00AC7F43"/>
    <w:rsid w:val="00AD00D1"/>
    <w:rsid w:val="00AD01FC"/>
    <w:rsid w:val="00AD0211"/>
    <w:rsid w:val="00AD0292"/>
    <w:rsid w:val="00AD04FB"/>
    <w:rsid w:val="00AD0797"/>
    <w:rsid w:val="00AD07F7"/>
    <w:rsid w:val="00AD08C9"/>
    <w:rsid w:val="00AD0AF2"/>
    <w:rsid w:val="00AD0DC6"/>
    <w:rsid w:val="00AD107D"/>
    <w:rsid w:val="00AD10E9"/>
    <w:rsid w:val="00AD12AE"/>
    <w:rsid w:val="00AD1391"/>
    <w:rsid w:val="00AD175E"/>
    <w:rsid w:val="00AD17C7"/>
    <w:rsid w:val="00AD1857"/>
    <w:rsid w:val="00AD19B4"/>
    <w:rsid w:val="00AD1FB3"/>
    <w:rsid w:val="00AD23E3"/>
    <w:rsid w:val="00AD2468"/>
    <w:rsid w:val="00AD2526"/>
    <w:rsid w:val="00AD273B"/>
    <w:rsid w:val="00AD2865"/>
    <w:rsid w:val="00AD2A63"/>
    <w:rsid w:val="00AD2B3F"/>
    <w:rsid w:val="00AD33EA"/>
    <w:rsid w:val="00AD3906"/>
    <w:rsid w:val="00AD3938"/>
    <w:rsid w:val="00AD3BCB"/>
    <w:rsid w:val="00AD3FBA"/>
    <w:rsid w:val="00AD4060"/>
    <w:rsid w:val="00AD4131"/>
    <w:rsid w:val="00AD475C"/>
    <w:rsid w:val="00AD4884"/>
    <w:rsid w:val="00AD48E0"/>
    <w:rsid w:val="00AD49C3"/>
    <w:rsid w:val="00AD49D8"/>
    <w:rsid w:val="00AD4A2E"/>
    <w:rsid w:val="00AD4C58"/>
    <w:rsid w:val="00AD50B7"/>
    <w:rsid w:val="00AD52A9"/>
    <w:rsid w:val="00AD55B3"/>
    <w:rsid w:val="00AD5C96"/>
    <w:rsid w:val="00AD5D1B"/>
    <w:rsid w:val="00AD5FB4"/>
    <w:rsid w:val="00AD61C3"/>
    <w:rsid w:val="00AD6200"/>
    <w:rsid w:val="00AD6208"/>
    <w:rsid w:val="00AD65C6"/>
    <w:rsid w:val="00AD67EB"/>
    <w:rsid w:val="00AD67FC"/>
    <w:rsid w:val="00AD6853"/>
    <w:rsid w:val="00AD68C6"/>
    <w:rsid w:val="00AD6979"/>
    <w:rsid w:val="00AD6A1C"/>
    <w:rsid w:val="00AD6B6B"/>
    <w:rsid w:val="00AD6C7A"/>
    <w:rsid w:val="00AD70A2"/>
    <w:rsid w:val="00AD7213"/>
    <w:rsid w:val="00AD740B"/>
    <w:rsid w:val="00AD75D2"/>
    <w:rsid w:val="00AD7C8E"/>
    <w:rsid w:val="00AD7D2A"/>
    <w:rsid w:val="00AD7D65"/>
    <w:rsid w:val="00AD7F2F"/>
    <w:rsid w:val="00AE008E"/>
    <w:rsid w:val="00AE01B6"/>
    <w:rsid w:val="00AE07F5"/>
    <w:rsid w:val="00AE0ACF"/>
    <w:rsid w:val="00AE0E48"/>
    <w:rsid w:val="00AE1330"/>
    <w:rsid w:val="00AE16EA"/>
    <w:rsid w:val="00AE184D"/>
    <w:rsid w:val="00AE19F9"/>
    <w:rsid w:val="00AE1DC0"/>
    <w:rsid w:val="00AE20C6"/>
    <w:rsid w:val="00AE2378"/>
    <w:rsid w:val="00AE240E"/>
    <w:rsid w:val="00AE2839"/>
    <w:rsid w:val="00AE2A0B"/>
    <w:rsid w:val="00AE2A5A"/>
    <w:rsid w:val="00AE2C8A"/>
    <w:rsid w:val="00AE2CC0"/>
    <w:rsid w:val="00AE2F11"/>
    <w:rsid w:val="00AE3070"/>
    <w:rsid w:val="00AE340B"/>
    <w:rsid w:val="00AE34F4"/>
    <w:rsid w:val="00AE3541"/>
    <w:rsid w:val="00AE384D"/>
    <w:rsid w:val="00AE38E8"/>
    <w:rsid w:val="00AE3B09"/>
    <w:rsid w:val="00AE4357"/>
    <w:rsid w:val="00AE44DA"/>
    <w:rsid w:val="00AE46EF"/>
    <w:rsid w:val="00AE47F8"/>
    <w:rsid w:val="00AE492F"/>
    <w:rsid w:val="00AE5268"/>
    <w:rsid w:val="00AE54F4"/>
    <w:rsid w:val="00AE583F"/>
    <w:rsid w:val="00AE58A7"/>
    <w:rsid w:val="00AE5C31"/>
    <w:rsid w:val="00AE5C47"/>
    <w:rsid w:val="00AE5CB7"/>
    <w:rsid w:val="00AE5D01"/>
    <w:rsid w:val="00AE607F"/>
    <w:rsid w:val="00AE62CD"/>
    <w:rsid w:val="00AE66FF"/>
    <w:rsid w:val="00AE6DD5"/>
    <w:rsid w:val="00AE6F1E"/>
    <w:rsid w:val="00AE7750"/>
    <w:rsid w:val="00AE7D3D"/>
    <w:rsid w:val="00AF020D"/>
    <w:rsid w:val="00AF03C9"/>
    <w:rsid w:val="00AF0581"/>
    <w:rsid w:val="00AF07CA"/>
    <w:rsid w:val="00AF092A"/>
    <w:rsid w:val="00AF0F0A"/>
    <w:rsid w:val="00AF1EE1"/>
    <w:rsid w:val="00AF2053"/>
    <w:rsid w:val="00AF2286"/>
    <w:rsid w:val="00AF23AE"/>
    <w:rsid w:val="00AF25C3"/>
    <w:rsid w:val="00AF2ACB"/>
    <w:rsid w:val="00AF2B7B"/>
    <w:rsid w:val="00AF2E66"/>
    <w:rsid w:val="00AF2EB5"/>
    <w:rsid w:val="00AF2F34"/>
    <w:rsid w:val="00AF2F56"/>
    <w:rsid w:val="00AF2F67"/>
    <w:rsid w:val="00AF30BB"/>
    <w:rsid w:val="00AF344A"/>
    <w:rsid w:val="00AF3BE9"/>
    <w:rsid w:val="00AF3CA2"/>
    <w:rsid w:val="00AF3DD2"/>
    <w:rsid w:val="00AF4078"/>
    <w:rsid w:val="00AF42F6"/>
    <w:rsid w:val="00AF44B9"/>
    <w:rsid w:val="00AF4B1F"/>
    <w:rsid w:val="00AF4B4C"/>
    <w:rsid w:val="00AF4D69"/>
    <w:rsid w:val="00AF4EF4"/>
    <w:rsid w:val="00AF4EFA"/>
    <w:rsid w:val="00AF5478"/>
    <w:rsid w:val="00AF59AA"/>
    <w:rsid w:val="00AF5A92"/>
    <w:rsid w:val="00AF5BBE"/>
    <w:rsid w:val="00AF5D0B"/>
    <w:rsid w:val="00AF64D1"/>
    <w:rsid w:val="00AF6857"/>
    <w:rsid w:val="00AF6897"/>
    <w:rsid w:val="00AF696D"/>
    <w:rsid w:val="00AF6B9A"/>
    <w:rsid w:val="00AF6C74"/>
    <w:rsid w:val="00AF6C8A"/>
    <w:rsid w:val="00AF6E17"/>
    <w:rsid w:val="00AF7162"/>
    <w:rsid w:val="00AF7480"/>
    <w:rsid w:val="00AF7798"/>
    <w:rsid w:val="00AF7934"/>
    <w:rsid w:val="00AF7A57"/>
    <w:rsid w:val="00B0065D"/>
    <w:rsid w:val="00B00D05"/>
    <w:rsid w:val="00B00F8C"/>
    <w:rsid w:val="00B012B7"/>
    <w:rsid w:val="00B012FF"/>
    <w:rsid w:val="00B016D5"/>
    <w:rsid w:val="00B01BF0"/>
    <w:rsid w:val="00B021ED"/>
    <w:rsid w:val="00B022E9"/>
    <w:rsid w:val="00B028E2"/>
    <w:rsid w:val="00B02950"/>
    <w:rsid w:val="00B029C0"/>
    <w:rsid w:val="00B02DC4"/>
    <w:rsid w:val="00B0300C"/>
    <w:rsid w:val="00B03422"/>
    <w:rsid w:val="00B03529"/>
    <w:rsid w:val="00B03C78"/>
    <w:rsid w:val="00B03E7E"/>
    <w:rsid w:val="00B041D5"/>
    <w:rsid w:val="00B0424C"/>
    <w:rsid w:val="00B04841"/>
    <w:rsid w:val="00B04A8E"/>
    <w:rsid w:val="00B04B85"/>
    <w:rsid w:val="00B04BAB"/>
    <w:rsid w:val="00B050B8"/>
    <w:rsid w:val="00B05246"/>
    <w:rsid w:val="00B05298"/>
    <w:rsid w:val="00B05312"/>
    <w:rsid w:val="00B05863"/>
    <w:rsid w:val="00B05CB5"/>
    <w:rsid w:val="00B05D97"/>
    <w:rsid w:val="00B062CB"/>
    <w:rsid w:val="00B06383"/>
    <w:rsid w:val="00B074FF"/>
    <w:rsid w:val="00B075D5"/>
    <w:rsid w:val="00B076F4"/>
    <w:rsid w:val="00B07896"/>
    <w:rsid w:val="00B07B50"/>
    <w:rsid w:val="00B07D93"/>
    <w:rsid w:val="00B101FC"/>
    <w:rsid w:val="00B1023B"/>
    <w:rsid w:val="00B10836"/>
    <w:rsid w:val="00B10CF4"/>
    <w:rsid w:val="00B10F69"/>
    <w:rsid w:val="00B11100"/>
    <w:rsid w:val="00B11219"/>
    <w:rsid w:val="00B1146A"/>
    <w:rsid w:val="00B115F9"/>
    <w:rsid w:val="00B11628"/>
    <w:rsid w:val="00B116BD"/>
    <w:rsid w:val="00B11704"/>
    <w:rsid w:val="00B117AA"/>
    <w:rsid w:val="00B11813"/>
    <w:rsid w:val="00B11879"/>
    <w:rsid w:val="00B1188A"/>
    <w:rsid w:val="00B11934"/>
    <w:rsid w:val="00B11C7D"/>
    <w:rsid w:val="00B11CE4"/>
    <w:rsid w:val="00B11E4E"/>
    <w:rsid w:val="00B11F1D"/>
    <w:rsid w:val="00B1203A"/>
    <w:rsid w:val="00B1256F"/>
    <w:rsid w:val="00B127C1"/>
    <w:rsid w:val="00B12847"/>
    <w:rsid w:val="00B12D6A"/>
    <w:rsid w:val="00B13003"/>
    <w:rsid w:val="00B1390B"/>
    <w:rsid w:val="00B13A87"/>
    <w:rsid w:val="00B13AA1"/>
    <w:rsid w:val="00B13EBF"/>
    <w:rsid w:val="00B13F8C"/>
    <w:rsid w:val="00B14659"/>
    <w:rsid w:val="00B15376"/>
    <w:rsid w:val="00B1547E"/>
    <w:rsid w:val="00B156C9"/>
    <w:rsid w:val="00B15B51"/>
    <w:rsid w:val="00B15DC9"/>
    <w:rsid w:val="00B15E56"/>
    <w:rsid w:val="00B161D9"/>
    <w:rsid w:val="00B16328"/>
    <w:rsid w:val="00B164FD"/>
    <w:rsid w:val="00B16591"/>
    <w:rsid w:val="00B1674D"/>
    <w:rsid w:val="00B16B2B"/>
    <w:rsid w:val="00B16C12"/>
    <w:rsid w:val="00B16D71"/>
    <w:rsid w:val="00B16EE5"/>
    <w:rsid w:val="00B16FDA"/>
    <w:rsid w:val="00B1709D"/>
    <w:rsid w:val="00B17371"/>
    <w:rsid w:val="00B17642"/>
    <w:rsid w:val="00B1773F"/>
    <w:rsid w:val="00B17D0C"/>
    <w:rsid w:val="00B17D13"/>
    <w:rsid w:val="00B201C8"/>
    <w:rsid w:val="00B2022D"/>
    <w:rsid w:val="00B205F5"/>
    <w:rsid w:val="00B20620"/>
    <w:rsid w:val="00B207B3"/>
    <w:rsid w:val="00B20835"/>
    <w:rsid w:val="00B208BE"/>
    <w:rsid w:val="00B209F5"/>
    <w:rsid w:val="00B20D83"/>
    <w:rsid w:val="00B20F13"/>
    <w:rsid w:val="00B21142"/>
    <w:rsid w:val="00B21DFC"/>
    <w:rsid w:val="00B21E2D"/>
    <w:rsid w:val="00B21F00"/>
    <w:rsid w:val="00B21FE3"/>
    <w:rsid w:val="00B22564"/>
    <w:rsid w:val="00B2257C"/>
    <w:rsid w:val="00B22625"/>
    <w:rsid w:val="00B22A9A"/>
    <w:rsid w:val="00B22AC1"/>
    <w:rsid w:val="00B22D4B"/>
    <w:rsid w:val="00B22F7C"/>
    <w:rsid w:val="00B2364C"/>
    <w:rsid w:val="00B23787"/>
    <w:rsid w:val="00B23AF0"/>
    <w:rsid w:val="00B23B1C"/>
    <w:rsid w:val="00B240BA"/>
    <w:rsid w:val="00B2461E"/>
    <w:rsid w:val="00B2490B"/>
    <w:rsid w:val="00B24BE4"/>
    <w:rsid w:val="00B2525C"/>
    <w:rsid w:val="00B2534F"/>
    <w:rsid w:val="00B25472"/>
    <w:rsid w:val="00B25AE7"/>
    <w:rsid w:val="00B25CB1"/>
    <w:rsid w:val="00B264BA"/>
    <w:rsid w:val="00B2686E"/>
    <w:rsid w:val="00B26A59"/>
    <w:rsid w:val="00B26B79"/>
    <w:rsid w:val="00B2788F"/>
    <w:rsid w:val="00B27AAA"/>
    <w:rsid w:val="00B27D83"/>
    <w:rsid w:val="00B27FD5"/>
    <w:rsid w:val="00B3010B"/>
    <w:rsid w:val="00B303B3"/>
    <w:rsid w:val="00B303C0"/>
    <w:rsid w:val="00B304E9"/>
    <w:rsid w:val="00B3063A"/>
    <w:rsid w:val="00B307B4"/>
    <w:rsid w:val="00B30819"/>
    <w:rsid w:val="00B3104D"/>
    <w:rsid w:val="00B31121"/>
    <w:rsid w:val="00B3126C"/>
    <w:rsid w:val="00B31A5B"/>
    <w:rsid w:val="00B31C0F"/>
    <w:rsid w:val="00B31F89"/>
    <w:rsid w:val="00B32340"/>
    <w:rsid w:val="00B323F0"/>
    <w:rsid w:val="00B3257E"/>
    <w:rsid w:val="00B32A89"/>
    <w:rsid w:val="00B32C8B"/>
    <w:rsid w:val="00B32E7D"/>
    <w:rsid w:val="00B32EC4"/>
    <w:rsid w:val="00B330ED"/>
    <w:rsid w:val="00B332FE"/>
    <w:rsid w:val="00B338CA"/>
    <w:rsid w:val="00B339EC"/>
    <w:rsid w:val="00B33B94"/>
    <w:rsid w:val="00B34204"/>
    <w:rsid w:val="00B346C7"/>
    <w:rsid w:val="00B34C26"/>
    <w:rsid w:val="00B34CD9"/>
    <w:rsid w:val="00B34ED5"/>
    <w:rsid w:val="00B34FB5"/>
    <w:rsid w:val="00B34FEA"/>
    <w:rsid w:val="00B3562A"/>
    <w:rsid w:val="00B35948"/>
    <w:rsid w:val="00B35A94"/>
    <w:rsid w:val="00B35ACF"/>
    <w:rsid w:val="00B35F96"/>
    <w:rsid w:val="00B3604D"/>
    <w:rsid w:val="00B365FE"/>
    <w:rsid w:val="00B36625"/>
    <w:rsid w:val="00B36DB5"/>
    <w:rsid w:val="00B36DEC"/>
    <w:rsid w:val="00B3717C"/>
    <w:rsid w:val="00B3719B"/>
    <w:rsid w:val="00B37725"/>
    <w:rsid w:val="00B37C29"/>
    <w:rsid w:val="00B37D5E"/>
    <w:rsid w:val="00B37D65"/>
    <w:rsid w:val="00B37F29"/>
    <w:rsid w:val="00B4010C"/>
    <w:rsid w:val="00B402B7"/>
    <w:rsid w:val="00B40406"/>
    <w:rsid w:val="00B405FE"/>
    <w:rsid w:val="00B4078D"/>
    <w:rsid w:val="00B407CE"/>
    <w:rsid w:val="00B40978"/>
    <w:rsid w:val="00B4130D"/>
    <w:rsid w:val="00B4135E"/>
    <w:rsid w:val="00B4160C"/>
    <w:rsid w:val="00B41C7A"/>
    <w:rsid w:val="00B420D4"/>
    <w:rsid w:val="00B4225B"/>
    <w:rsid w:val="00B423A5"/>
    <w:rsid w:val="00B426D4"/>
    <w:rsid w:val="00B42719"/>
    <w:rsid w:val="00B42789"/>
    <w:rsid w:val="00B42BF2"/>
    <w:rsid w:val="00B42F4F"/>
    <w:rsid w:val="00B4301F"/>
    <w:rsid w:val="00B430FA"/>
    <w:rsid w:val="00B431A6"/>
    <w:rsid w:val="00B432B2"/>
    <w:rsid w:val="00B4373F"/>
    <w:rsid w:val="00B438C0"/>
    <w:rsid w:val="00B43987"/>
    <w:rsid w:val="00B44101"/>
    <w:rsid w:val="00B444EB"/>
    <w:rsid w:val="00B44647"/>
    <w:rsid w:val="00B44739"/>
    <w:rsid w:val="00B44918"/>
    <w:rsid w:val="00B44972"/>
    <w:rsid w:val="00B455F4"/>
    <w:rsid w:val="00B4568F"/>
    <w:rsid w:val="00B45C39"/>
    <w:rsid w:val="00B45CB0"/>
    <w:rsid w:val="00B45CFD"/>
    <w:rsid w:val="00B45DB2"/>
    <w:rsid w:val="00B4601D"/>
    <w:rsid w:val="00B46069"/>
    <w:rsid w:val="00B46331"/>
    <w:rsid w:val="00B46707"/>
    <w:rsid w:val="00B46B07"/>
    <w:rsid w:val="00B4702F"/>
    <w:rsid w:val="00B472CE"/>
    <w:rsid w:val="00B475B4"/>
    <w:rsid w:val="00B47878"/>
    <w:rsid w:val="00B47A24"/>
    <w:rsid w:val="00B47EF3"/>
    <w:rsid w:val="00B50210"/>
    <w:rsid w:val="00B50311"/>
    <w:rsid w:val="00B506C5"/>
    <w:rsid w:val="00B509FF"/>
    <w:rsid w:val="00B50BB0"/>
    <w:rsid w:val="00B5143F"/>
    <w:rsid w:val="00B514AF"/>
    <w:rsid w:val="00B51944"/>
    <w:rsid w:val="00B51AA9"/>
    <w:rsid w:val="00B51AD2"/>
    <w:rsid w:val="00B51C0D"/>
    <w:rsid w:val="00B51DD5"/>
    <w:rsid w:val="00B51E4C"/>
    <w:rsid w:val="00B51F44"/>
    <w:rsid w:val="00B521E4"/>
    <w:rsid w:val="00B52A41"/>
    <w:rsid w:val="00B52D27"/>
    <w:rsid w:val="00B52FD9"/>
    <w:rsid w:val="00B53305"/>
    <w:rsid w:val="00B53327"/>
    <w:rsid w:val="00B5337D"/>
    <w:rsid w:val="00B53547"/>
    <w:rsid w:val="00B5360A"/>
    <w:rsid w:val="00B536DD"/>
    <w:rsid w:val="00B537A0"/>
    <w:rsid w:val="00B53C4D"/>
    <w:rsid w:val="00B53D15"/>
    <w:rsid w:val="00B53DE8"/>
    <w:rsid w:val="00B540A4"/>
    <w:rsid w:val="00B54284"/>
    <w:rsid w:val="00B5430C"/>
    <w:rsid w:val="00B5455C"/>
    <w:rsid w:val="00B546FE"/>
    <w:rsid w:val="00B54710"/>
    <w:rsid w:val="00B5492F"/>
    <w:rsid w:val="00B549B1"/>
    <w:rsid w:val="00B54A02"/>
    <w:rsid w:val="00B555B7"/>
    <w:rsid w:val="00B56188"/>
    <w:rsid w:val="00B56262"/>
    <w:rsid w:val="00B562A2"/>
    <w:rsid w:val="00B56BAD"/>
    <w:rsid w:val="00B56D09"/>
    <w:rsid w:val="00B574CB"/>
    <w:rsid w:val="00B579AF"/>
    <w:rsid w:val="00B57A3A"/>
    <w:rsid w:val="00B57C97"/>
    <w:rsid w:val="00B57D83"/>
    <w:rsid w:val="00B60B66"/>
    <w:rsid w:val="00B60B76"/>
    <w:rsid w:val="00B61141"/>
    <w:rsid w:val="00B613D7"/>
    <w:rsid w:val="00B6228A"/>
    <w:rsid w:val="00B622D2"/>
    <w:rsid w:val="00B62EF0"/>
    <w:rsid w:val="00B633A8"/>
    <w:rsid w:val="00B63419"/>
    <w:rsid w:val="00B63539"/>
    <w:rsid w:val="00B63892"/>
    <w:rsid w:val="00B6389A"/>
    <w:rsid w:val="00B639E4"/>
    <w:rsid w:val="00B63F3B"/>
    <w:rsid w:val="00B63FAD"/>
    <w:rsid w:val="00B64212"/>
    <w:rsid w:val="00B648D0"/>
    <w:rsid w:val="00B64F6C"/>
    <w:rsid w:val="00B652C9"/>
    <w:rsid w:val="00B652D4"/>
    <w:rsid w:val="00B653C2"/>
    <w:rsid w:val="00B6554E"/>
    <w:rsid w:val="00B65659"/>
    <w:rsid w:val="00B65EA2"/>
    <w:rsid w:val="00B66C2A"/>
    <w:rsid w:val="00B6714D"/>
    <w:rsid w:val="00B671DD"/>
    <w:rsid w:val="00B673D6"/>
    <w:rsid w:val="00B67438"/>
    <w:rsid w:val="00B70031"/>
    <w:rsid w:val="00B702B0"/>
    <w:rsid w:val="00B7049C"/>
    <w:rsid w:val="00B704E3"/>
    <w:rsid w:val="00B705B1"/>
    <w:rsid w:val="00B70681"/>
    <w:rsid w:val="00B70839"/>
    <w:rsid w:val="00B70A0F"/>
    <w:rsid w:val="00B70AD8"/>
    <w:rsid w:val="00B70B97"/>
    <w:rsid w:val="00B70C0E"/>
    <w:rsid w:val="00B70CA4"/>
    <w:rsid w:val="00B70D84"/>
    <w:rsid w:val="00B70F07"/>
    <w:rsid w:val="00B70FF7"/>
    <w:rsid w:val="00B71014"/>
    <w:rsid w:val="00B711B7"/>
    <w:rsid w:val="00B71651"/>
    <w:rsid w:val="00B71A07"/>
    <w:rsid w:val="00B7203A"/>
    <w:rsid w:val="00B7222D"/>
    <w:rsid w:val="00B72282"/>
    <w:rsid w:val="00B72293"/>
    <w:rsid w:val="00B72475"/>
    <w:rsid w:val="00B72AF8"/>
    <w:rsid w:val="00B72C32"/>
    <w:rsid w:val="00B72D52"/>
    <w:rsid w:val="00B730A5"/>
    <w:rsid w:val="00B7347D"/>
    <w:rsid w:val="00B73E7C"/>
    <w:rsid w:val="00B73E92"/>
    <w:rsid w:val="00B73F58"/>
    <w:rsid w:val="00B73FE7"/>
    <w:rsid w:val="00B7455C"/>
    <w:rsid w:val="00B748D4"/>
    <w:rsid w:val="00B74B6C"/>
    <w:rsid w:val="00B74D60"/>
    <w:rsid w:val="00B759F8"/>
    <w:rsid w:val="00B76480"/>
    <w:rsid w:val="00B7692A"/>
    <w:rsid w:val="00B77247"/>
    <w:rsid w:val="00B772BA"/>
    <w:rsid w:val="00B774D5"/>
    <w:rsid w:val="00B779B8"/>
    <w:rsid w:val="00B800CD"/>
    <w:rsid w:val="00B8014A"/>
    <w:rsid w:val="00B8017C"/>
    <w:rsid w:val="00B8075B"/>
    <w:rsid w:val="00B80C08"/>
    <w:rsid w:val="00B80FAE"/>
    <w:rsid w:val="00B8134B"/>
    <w:rsid w:val="00B8149A"/>
    <w:rsid w:val="00B81763"/>
    <w:rsid w:val="00B81782"/>
    <w:rsid w:val="00B818A8"/>
    <w:rsid w:val="00B81BEB"/>
    <w:rsid w:val="00B81BEE"/>
    <w:rsid w:val="00B81DFA"/>
    <w:rsid w:val="00B822CA"/>
    <w:rsid w:val="00B82728"/>
    <w:rsid w:val="00B827D1"/>
    <w:rsid w:val="00B828D2"/>
    <w:rsid w:val="00B82CEE"/>
    <w:rsid w:val="00B82D5B"/>
    <w:rsid w:val="00B83464"/>
    <w:rsid w:val="00B83753"/>
    <w:rsid w:val="00B83DBB"/>
    <w:rsid w:val="00B842ED"/>
    <w:rsid w:val="00B84AD9"/>
    <w:rsid w:val="00B84EEF"/>
    <w:rsid w:val="00B852A1"/>
    <w:rsid w:val="00B85522"/>
    <w:rsid w:val="00B85565"/>
    <w:rsid w:val="00B855F5"/>
    <w:rsid w:val="00B85639"/>
    <w:rsid w:val="00B85BD9"/>
    <w:rsid w:val="00B85E87"/>
    <w:rsid w:val="00B85FCB"/>
    <w:rsid w:val="00B8610D"/>
    <w:rsid w:val="00B865DC"/>
    <w:rsid w:val="00B86902"/>
    <w:rsid w:val="00B86A8C"/>
    <w:rsid w:val="00B86EB7"/>
    <w:rsid w:val="00B86F08"/>
    <w:rsid w:val="00B87279"/>
    <w:rsid w:val="00B873CE"/>
    <w:rsid w:val="00B87492"/>
    <w:rsid w:val="00B87559"/>
    <w:rsid w:val="00B87617"/>
    <w:rsid w:val="00B8767E"/>
    <w:rsid w:val="00B87783"/>
    <w:rsid w:val="00B877C6"/>
    <w:rsid w:val="00B8785A"/>
    <w:rsid w:val="00B87C84"/>
    <w:rsid w:val="00B87F1C"/>
    <w:rsid w:val="00B9033A"/>
    <w:rsid w:val="00B90850"/>
    <w:rsid w:val="00B90861"/>
    <w:rsid w:val="00B90A40"/>
    <w:rsid w:val="00B90C55"/>
    <w:rsid w:val="00B9102C"/>
    <w:rsid w:val="00B914B3"/>
    <w:rsid w:val="00B91576"/>
    <w:rsid w:val="00B91C9F"/>
    <w:rsid w:val="00B91D61"/>
    <w:rsid w:val="00B91E83"/>
    <w:rsid w:val="00B91F25"/>
    <w:rsid w:val="00B9245C"/>
    <w:rsid w:val="00B92662"/>
    <w:rsid w:val="00B92A7E"/>
    <w:rsid w:val="00B92ADF"/>
    <w:rsid w:val="00B92B24"/>
    <w:rsid w:val="00B92C93"/>
    <w:rsid w:val="00B92D9E"/>
    <w:rsid w:val="00B92E42"/>
    <w:rsid w:val="00B9312D"/>
    <w:rsid w:val="00B9329B"/>
    <w:rsid w:val="00B9355A"/>
    <w:rsid w:val="00B936B6"/>
    <w:rsid w:val="00B937D9"/>
    <w:rsid w:val="00B93800"/>
    <w:rsid w:val="00B93AA7"/>
    <w:rsid w:val="00B93B75"/>
    <w:rsid w:val="00B93FB4"/>
    <w:rsid w:val="00B942B2"/>
    <w:rsid w:val="00B948E2"/>
    <w:rsid w:val="00B94B6B"/>
    <w:rsid w:val="00B94CBC"/>
    <w:rsid w:val="00B94DE9"/>
    <w:rsid w:val="00B95180"/>
    <w:rsid w:val="00B95508"/>
    <w:rsid w:val="00B95520"/>
    <w:rsid w:val="00B955A0"/>
    <w:rsid w:val="00B95884"/>
    <w:rsid w:val="00B9590C"/>
    <w:rsid w:val="00B95996"/>
    <w:rsid w:val="00B95F0E"/>
    <w:rsid w:val="00B96101"/>
    <w:rsid w:val="00B961CB"/>
    <w:rsid w:val="00B96A98"/>
    <w:rsid w:val="00B972E2"/>
    <w:rsid w:val="00B973CD"/>
    <w:rsid w:val="00B974BB"/>
    <w:rsid w:val="00B975DE"/>
    <w:rsid w:val="00B97745"/>
    <w:rsid w:val="00B97A6F"/>
    <w:rsid w:val="00B97E35"/>
    <w:rsid w:val="00BA0301"/>
    <w:rsid w:val="00BA0449"/>
    <w:rsid w:val="00BA0617"/>
    <w:rsid w:val="00BA0691"/>
    <w:rsid w:val="00BA098C"/>
    <w:rsid w:val="00BA1B07"/>
    <w:rsid w:val="00BA1C41"/>
    <w:rsid w:val="00BA1C4B"/>
    <w:rsid w:val="00BA1C66"/>
    <w:rsid w:val="00BA1E60"/>
    <w:rsid w:val="00BA1FCA"/>
    <w:rsid w:val="00BA1FEF"/>
    <w:rsid w:val="00BA2149"/>
    <w:rsid w:val="00BA2345"/>
    <w:rsid w:val="00BA25A9"/>
    <w:rsid w:val="00BA25BA"/>
    <w:rsid w:val="00BA26F5"/>
    <w:rsid w:val="00BA2B91"/>
    <w:rsid w:val="00BA305C"/>
    <w:rsid w:val="00BA327F"/>
    <w:rsid w:val="00BA32C5"/>
    <w:rsid w:val="00BA34AA"/>
    <w:rsid w:val="00BA396A"/>
    <w:rsid w:val="00BA43F0"/>
    <w:rsid w:val="00BA4A79"/>
    <w:rsid w:val="00BA4DD4"/>
    <w:rsid w:val="00BA541B"/>
    <w:rsid w:val="00BA5467"/>
    <w:rsid w:val="00BA563F"/>
    <w:rsid w:val="00BA59CB"/>
    <w:rsid w:val="00BA5EB6"/>
    <w:rsid w:val="00BA6627"/>
    <w:rsid w:val="00BA6A59"/>
    <w:rsid w:val="00BA6B34"/>
    <w:rsid w:val="00BA7021"/>
    <w:rsid w:val="00BA7147"/>
    <w:rsid w:val="00BA7166"/>
    <w:rsid w:val="00BA7246"/>
    <w:rsid w:val="00BA7803"/>
    <w:rsid w:val="00BA79C0"/>
    <w:rsid w:val="00BA7E81"/>
    <w:rsid w:val="00BB00ED"/>
    <w:rsid w:val="00BB07A4"/>
    <w:rsid w:val="00BB0B61"/>
    <w:rsid w:val="00BB0C1F"/>
    <w:rsid w:val="00BB0CD6"/>
    <w:rsid w:val="00BB0CDC"/>
    <w:rsid w:val="00BB1251"/>
    <w:rsid w:val="00BB12AA"/>
    <w:rsid w:val="00BB163C"/>
    <w:rsid w:val="00BB17C5"/>
    <w:rsid w:val="00BB1812"/>
    <w:rsid w:val="00BB201A"/>
    <w:rsid w:val="00BB2462"/>
    <w:rsid w:val="00BB24C3"/>
    <w:rsid w:val="00BB28D7"/>
    <w:rsid w:val="00BB2A08"/>
    <w:rsid w:val="00BB2DCE"/>
    <w:rsid w:val="00BB3179"/>
    <w:rsid w:val="00BB321D"/>
    <w:rsid w:val="00BB33A6"/>
    <w:rsid w:val="00BB371E"/>
    <w:rsid w:val="00BB39ED"/>
    <w:rsid w:val="00BB3E28"/>
    <w:rsid w:val="00BB40B4"/>
    <w:rsid w:val="00BB423B"/>
    <w:rsid w:val="00BB48BB"/>
    <w:rsid w:val="00BB4DC5"/>
    <w:rsid w:val="00BB4DD8"/>
    <w:rsid w:val="00BB4F98"/>
    <w:rsid w:val="00BB5030"/>
    <w:rsid w:val="00BB5099"/>
    <w:rsid w:val="00BB532B"/>
    <w:rsid w:val="00BB536F"/>
    <w:rsid w:val="00BB55DA"/>
    <w:rsid w:val="00BB5746"/>
    <w:rsid w:val="00BB5877"/>
    <w:rsid w:val="00BB5BB7"/>
    <w:rsid w:val="00BB62C3"/>
    <w:rsid w:val="00BB6569"/>
    <w:rsid w:val="00BB68A1"/>
    <w:rsid w:val="00BB6EA2"/>
    <w:rsid w:val="00BB72B9"/>
    <w:rsid w:val="00BB72D6"/>
    <w:rsid w:val="00BB757E"/>
    <w:rsid w:val="00BB767B"/>
    <w:rsid w:val="00BB7957"/>
    <w:rsid w:val="00BB7DDD"/>
    <w:rsid w:val="00BC0217"/>
    <w:rsid w:val="00BC03AA"/>
    <w:rsid w:val="00BC041C"/>
    <w:rsid w:val="00BC0D94"/>
    <w:rsid w:val="00BC0E84"/>
    <w:rsid w:val="00BC1021"/>
    <w:rsid w:val="00BC12BE"/>
    <w:rsid w:val="00BC131E"/>
    <w:rsid w:val="00BC14D8"/>
    <w:rsid w:val="00BC1D27"/>
    <w:rsid w:val="00BC1DCD"/>
    <w:rsid w:val="00BC20F5"/>
    <w:rsid w:val="00BC2523"/>
    <w:rsid w:val="00BC2571"/>
    <w:rsid w:val="00BC2ADA"/>
    <w:rsid w:val="00BC2B7D"/>
    <w:rsid w:val="00BC2BD6"/>
    <w:rsid w:val="00BC2C2E"/>
    <w:rsid w:val="00BC2D6E"/>
    <w:rsid w:val="00BC341A"/>
    <w:rsid w:val="00BC34E5"/>
    <w:rsid w:val="00BC3542"/>
    <w:rsid w:val="00BC35EE"/>
    <w:rsid w:val="00BC36D2"/>
    <w:rsid w:val="00BC38C4"/>
    <w:rsid w:val="00BC3C7A"/>
    <w:rsid w:val="00BC3D95"/>
    <w:rsid w:val="00BC3ED8"/>
    <w:rsid w:val="00BC48CA"/>
    <w:rsid w:val="00BC4998"/>
    <w:rsid w:val="00BC523C"/>
    <w:rsid w:val="00BC5669"/>
    <w:rsid w:val="00BC5898"/>
    <w:rsid w:val="00BC5EAA"/>
    <w:rsid w:val="00BC6119"/>
    <w:rsid w:val="00BC6267"/>
    <w:rsid w:val="00BC694B"/>
    <w:rsid w:val="00BC6AA8"/>
    <w:rsid w:val="00BC6D81"/>
    <w:rsid w:val="00BC6EAA"/>
    <w:rsid w:val="00BC70D0"/>
    <w:rsid w:val="00BC7569"/>
    <w:rsid w:val="00BC7875"/>
    <w:rsid w:val="00BC7C0D"/>
    <w:rsid w:val="00BC7DC0"/>
    <w:rsid w:val="00BC7E02"/>
    <w:rsid w:val="00BC7E14"/>
    <w:rsid w:val="00BD01AA"/>
    <w:rsid w:val="00BD0253"/>
    <w:rsid w:val="00BD031E"/>
    <w:rsid w:val="00BD099B"/>
    <w:rsid w:val="00BD0A16"/>
    <w:rsid w:val="00BD0E11"/>
    <w:rsid w:val="00BD0FF7"/>
    <w:rsid w:val="00BD12B3"/>
    <w:rsid w:val="00BD1370"/>
    <w:rsid w:val="00BD139E"/>
    <w:rsid w:val="00BD140B"/>
    <w:rsid w:val="00BD19C4"/>
    <w:rsid w:val="00BD1A0C"/>
    <w:rsid w:val="00BD1B4F"/>
    <w:rsid w:val="00BD1F0F"/>
    <w:rsid w:val="00BD2008"/>
    <w:rsid w:val="00BD266C"/>
    <w:rsid w:val="00BD28D0"/>
    <w:rsid w:val="00BD2C35"/>
    <w:rsid w:val="00BD31EC"/>
    <w:rsid w:val="00BD342F"/>
    <w:rsid w:val="00BD37A3"/>
    <w:rsid w:val="00BD3D5D"/>
    <w:rsid w:val="00BD3D8B"/>
    <w:rsid w:val="00BD3FCD"/>
    <w:rsid w:val="00BD40BB"/>
    <w:rsid w:val="00BD41A5"/>
    <w:rsid w:val="00BD4449"/>
    <w:rsid w:val="00BD45E1"/>
    <w:rsid w:val="00BD4864"/>
    <w:rsid w:val="00BD4875"/>
    <w:rsid w:val="00BD4DB5"/>
    <w:rsid w:val="00BD4E0F"/>
    <w:rsid w:val="00BD52CB"/>
    <w:rsid w:val="00BD5495"/>
    <w:rsid w:val="00BD555B"/>
    <w:rsid w:val="00BD5718"/>
    <w:rsid w:val="00BD58FE"/>
    <w:rsid w:val="00BD5B48"/>
    <w:rsid w:val="00BD5BE2"/>
    <w:rsid w:val="00BD5D52"/>
    <w:rsid w:val="00BD6289"/>
    <w:rsid w:val="00BD631C"/>
    <w:rsid w:val="00BD63AD"/>
    <w:rsid w:val="00BD6428"/>
    <w:rsid w:val="00BD645D"/>
    <w:rsid w:val="00BD6863"/>
    <w:rsid w:val="00BD68E6"/>
    <w:rsid w:val="00BD690F"/>
    <w:rsid w:val="00BD6964"/>
    <w:rsid w:val="00BD6973"/>
    <w:rsid w:val="00BD6E81"/>
    <w:rsid w:val="00BD6EF2"/>
    <w:rsid w:val="00BD6F71"/>
    <w:rsid w:val="00BD72E8"/>
    <w:rsid w:val="00BD738B"/>
    <w:rsid w:val="00BD75E4"/>
    <w:rsid w:val="00BD78A2"/>
    <w:rsid w:val="00BD79BC"/>
    <w:rsid w:val="00BD7AF9"/>
    <w:rsid w:val="00BD7BCC"/>
    <w:rsid w:val="00BD7C16"/>
    <w:rsid w:val="00BE03D6"/>
    <w:rsid w:val="00BE07D4"/>
    <w:rsid w:val="00BE0834"/>
    <w:rsid w:val="00BE09AC"/>
    <w:rsid w:val="00BE0C10"/>
    <w:rsid w:val="00BE0CDF"/>
    <w:rsid w:val="00BE0E9B"/>
    <w:rsid w:val="00BE101A"/>
    <w:rsid w:val="00BE12AB"/>
    <w:rsid w:val="00BE15F1"/>
    <w:rsid w:val="00BE177F"/>
    <w:rsid w:val="00BE1A58"/>
    <w:rsid w:val="00BE1EE7"/>
    <w:rsid w:val="00BE2078"/>
    <w:rsid w:val="00BE2133"/>
    <w:rsid w:val="00BE2174"/>
    <w:rsid w:val="00BE2235"/>
    <w:rsid w:val="00BE22F6"/>
    <w:rsid w:val="00BE253A"/>
    <w:rsid w:val="00BE2692"/>
    <w:rsid w:val="00BE2946"/>
    <w:rsid w:val="00BE2965"/>
    <w:rsid w:val="00BE3975"/>
    <w:rsid w:val="00BE4586"/>
    <w:rsid w:val="00BE54F9"/>
    <w:rsid w:val="00BE5653"/>
    <w:rsid w:val="00BE5AC3"/>
    <w:rsid w:val="00BE61B1"/>
    <w:rsid w:val="00BE622C"/>
    <w:rsid w:val="00BE66A9"/>
    <w:rsid w:val="00BE67A9"/>
    <w:rsid w:val="00BE6A1A"/>
    <w:rsid w:val="00BE6E20"/>
    <w:rsid w:val="00BE6FE8"/>
    <w:rsid w:val="00BE7148"/>
    <w:rsid w:val="00BE716F"/>
    <w:rsid w:val="00BE72D1"/>
    <w:rsid w:val="00BE7594"/>
    <w:rsid w:val="00BE7D2D"/>
    <w:rsid w:val="00BE7E6E"/>
    <w:rsid w:val="00BE7F26"/>
    <w:rsid w:val="00BF13C8"/>
    <w:rsid w:val="00BF1624"/>
    <w:rsid w:val="00BF19A7"/>
    <w:rsid w:val="00BF19F3"/>
    <w:rsid w:val="00BF1A1B"/>
    <w:rsid w:val="00BF1A7D"/>
    <w:rsid w:val="00BF1C06"/>
    <w:rsid w:val="00BF206E"/>
    <w:rsid w:val="00BF23F2"/>
    <w:rsid w:val="00BF255C"/>
    <w:rsid w:val="00BF27EC"/>
    <w:rsid w:val="00BF2830"/>
    <w:rsid w:val="00BF29D0"/>
    <w:rsid w:val="00BF2ABE"/>
    <w:rsid w:val="00BF2BBC"/>
    <w:rsid w:val="00BF2D09"/>
    <w:rsid w:val="00BF2D20"/>
    <w:rsid w:val="00BF3283"/>
    <w:rsid w:val="00BF331E"/>
    <w:rsid w:val="00BF33E8"/>
    <w:rsid w:val="00BF36E7"/>
    <w:rsid w:val="00BF3775"/>
    <w:rsid w:val="00BF389B"/>
    <w:rsid w:val="00BF3946"/>
    <w:rsid w:val="00BF3A49"/>
    <w:rsid w:val="00BF3ECC"/>
    <w:rsid w:val="00BF40BE"/>
    <w:rsid w:val="00BF42EF"/>
    <w:rsid w:val="00BF455E"/>
    <w:rsid w:val="00BF457B"/>
    <w:rsid w:val="00BF481D"/>
    <w:rsid w:val="00BF53AF"/>
    <w:rsid w:val="00BF629F"/>
    <w:rsid w:val="00BF6AC9"/>
    <w:rsid w:val="00BF6B33"/>
    <w:rsid w:val="00BF6FCB"/>
    <w:rsid w:val="00BF705D"/>
    <w:rsid w:val="00BF71B4"/>
    <w:rsid w:val="00BF72CB"/>
    <w:rsid w:val="00BF72E5"/>
    <w:rsid w:val="00BF7A34"/>
    <w:rsid w:val="00BF7B31"/>
    <w:rsid w:val="00BF7B64"/>
    <w:rsid w:val="00BF7F8E"/>
    <w:rsid w:val="00BF7FA4"/>
    <w:rsid w:val="00C001EA"/>
    <w:rsid w:val="00C003A3"/>
    <w:rsid w:val="00C0053B"/>
    <w:rsid w:val="00C00685"/>
    <w:rsid w:val="00C00850"/>
    <w:rsid w:val="00C008F1"/>
    <w:rsid w:val="00C00957"/>
    <w:rsid w:val="00C00B9B"/>
    <w:rsid w:val="00C010C3"/>
    <w:rsid w:val="00C01245"/>
    <w:rsid w:val="00C014F5"/>
    <w:rsid w:val="00C01785"/>
    <w:rsid w:val="00C0192A"/>
    <w:rsid w:val="00C01A42"/>
    <w:rsid w:val="00C01D1C"/>
    <w:rsid w:val="00C02095"/>
    <w:rsid w:val="00C021FA"/>
    <w:rsid w:val="00C022A1"/>
    <w:rsid w:val="00C023BC"/>
    <w:rsid w:val="00C02449"/>
    <w:rsid w:val="00C024C0"/>
    <w:rsid w:val="00C025EA"/>
    <w:rsid w:val="00C02613"/>
    <w:rsid w:val="00C029E3"/>
    <w:rsid w:val="00C02A03"/>
    <w:rsid w:val="00C02C7E"/>
    <w:rsid w:val="00C0320D"/>
    <w:rsid w:val="00C032F2"/>
    <w:rsid w:val="00C034E7"/>
    <w:rsid w:val="00C03900"/>
    <w:rsid w:val="00C0393D"/>
    <w:rsid w:val="00C03AE7"/>
    <w:rsid w:val="00C03CCE"/>
    <w:rsid w:val="00C041B2"/>
    <w:rsid w:val="00C046BB"/>
    <w:rsid w:val="00C04E40"/>
    <w:rsid w:val="00C05072"/>
    <w:rsid w:val="00C05304"/>
    <w:rsid w:val="00C05726"/>
    <w:rsid w:val="00C05BC7"/>
    <w:rsid w:val="00C05D15"/>
    <w:rsid w:val="00C05FB9"/>
    <w:rsid w:val="00C06380"/>
    <w:rsid w:val="00C06395"/>
    <w:rsid w:val="00C06604"/>
    <w:rsid w:val="00C066C9"/>
    <w:rsid w:val="00C06A87"/>
    <w:rsid w:val="00C06BB8"/>
    <w:rsid w:val="00C06C77"/>
    <w:rsid w:val="00C06CDE"/>
    <w:rsid w:val="00C071D6"/>
    <w:rsid w:val="00C07231"/>
    <w:rsid w:val="00C0750E"/>
    <w:rsid w:val="00C07827"/>
    <w:rsid w:val="00C07987"/>
    <w:rsid w:val="00C07A3E"/>
    <w:rsid w:val="00C07C8B"/>
    <w:rsid w:val="00C07D53"/>
    <w:rsid w:val="00C07E31"/>
    <w:rsid w:val="00C100F4"/>
    <w:rsid w:val="00C106B3"/>
    <w:rsid w:val="00C106C8"/>
    <w:rsid w:val="00C10B18"/>
    <w:rsid w:val="00C10B85"/>
    <w:rsid w:val="00C10D07"/>
    <w:rsid w:val="00C112A9"/>
    <w:rsid w:val="00C11654"/>
    <w:rsid w:val="00C11DE3"/>
    <w:rsid w:val="00C122B1"/>
    <w:rsid w:val="00C12571"/>
    <w:rsid w:val="00C12C2C"/>
    <w:rsid w:val="00C1300B"/>
    <w:rsid w:val="00C130BF"/>
    <w:rsid w:val="00C131B8"/>
    <w:rsid w:val="00C13716"/>
    <w:rsid w:val="00C13894"/>
    <w:rsid w:val="00C139C1"/>
    <w:rsid w:val="00C13D27"/>
    <w:rsid w:val="00C13EB8"/>
    <w:rsid w:val="00C14096"/>
    <w:rsid w:val="00C1470B"/>
    <w:rsid w:val="00C148B6"/>
    <w:rsid w:val="00C14E16"/>
    <w:rsid w:val="00C14EF2"/>
    <w:rsid w:val="00C156EF"/>
    <w:rsid w:val="00C158BB"/>
    <w:rsid w:val="00C15978"/>
    <w:rsid w:val="00C15DF8"/>
    <w:rsid w:val="00C1607F"/>
    <w:rsid w:val="00C160CA"/>
    <w:rsid w:val="00C16208"/>
    <w:rsid w:val="00C1667C"/>
    <w:rsid w:val="00C16AC9"/>
    <w:rsid w:val="00C16E1E"/>
    <w:rsid w:val="00C16E3A"/>
    <w:rsid w:val="00C170DB"/>
    <w:rsid w:val="00C17644"/>
    <w:rsid w:val="00C17E31"/>
    <w:rsid w:val="00C200E1"/>
    <w:rsid w:val="00C2014A"/>
    <w:rsid w:val="00C20188"/>
    <w:rsid w:val="00C20493"/>
    <w:rsid w:val="00C20929"/>
    <w:rsid w:val="00C20A32"/>
    <w:rsid w:val="00C20CA0"/>
    <w:rsid w:val="00C20DBD"/>
    <w:rsid w:val="00C2148B"/>
    <w:rsid w:val="00C2181C"/>
    <w:rsid w:val="00C21C5F"/>
    <w:rsid w:val="00C21FA5"/>
    <w:rsid w:val="00C22438"/>
    <w:rsid w:val="00C227A3"/>
    <w:rsid w:val="00C229CB"/>
    <w:rsid w:val="00C2391E"/>
    <w:rsid w:val="00C23B57"/>
    <w:rsid w:val="00C23CB4"/>
    <w:rsid w:val="00C23E4F"/>
    <w:rsid w:val="00C23E6C"/>
    <w:rsid w:val="00C23EC3"/>
    <w:rsid w:val="00C241AB"/>
    <w:rsid w:val="00C242E1"/>
    <w:rsid w:val="00C2453D"/>
    <w:rsid w:val="00C24BAF"/>
    <w:rsid w:val="00C24C88"/>
    <w:rsid w:val="00C24CAA"/>
    <w:rsid w:val="00C24FC6"/>
    <w:rsid w:val="00C253AC"/>
    <w:rsid w:val="00C25CDD"/>
    <w:rsid w:val="00C25DF8"/>
    <w:rsid w:val="00C2608E"/>
    <w:rsid w:val="00C2637A"/>
    <w:rsid w:val="00C266E3"/>
    <w:rsid w:val="00C26727"/>
    <w:rsid w:val="00C268EE"/>
    <w:rsid w:val="00C26DF9"/>
    <w:rsid w:val="00C26FF9"/>
    <w:rsid w:val="00C26FFC"/>
    <w:rsid w:val="00C27020"/>
    <w:rsid w:val="00C2726F"/>
    <w:rsid w:val="00C272F8"/>
    <w:rsid w:val="00C27B15"/>
    <w:rsid w:val="00C27BA5"/>
    <w:rsid w:val="00C27CF4"/>
    <w:rsid w:val="00C30394"/>
    <w:rsid w:val="00C304BF"/>
    <w:rsid w:val="00C305F3"/>
    <w:rsid w:val="00C305FA"/>
    <w:rsid w:val="00C3099D"/>
    <w:rsid w:val="00C30D44"/>
    <w:rsid w:val="00C311FB"/>
    <w:rsid w:val="00C3133F"/>
    <w:rsid w:val="00C314DE"/>
    <w:rsid w:val="00C3161D"/>
    <w:rsid w:val="00C318A5"/>
    <w:rsid w:val="00C318A7"/>
    <w:rsid w:val="00C32018"/>
    <w:rsid w:val="00C32E7E"/>
    <w:rsid w:val="00C3315E"/>
    <w:rsid w:val="00C3331A"/>
    <w:rsid w:val="00C3370C"/>
    <w:rsid w:val="00C338E5"/>
    <w:rsid w:val="00C3394B"/>
    <w:rsid w:val="00C33FF0"/>
    <w:rsid w:val="00C3414D"/>
    <w:rsid w:val="00C34231"/>
    <w:rsid w:val="00C346C0"/>
    <w:rsid w:val="00C3478E"/>
    <w:rsid w:val="00C34805"/>
    <w:rsid w:val="00C34833"/>
    <w:rsid w:val="00C3501B"/>
    <w:rsid w:val="00C35183"/>
    <w:rsid w:val="00C35827"/>
    <w:rsid w:val="00C35DB2"/>
    <w:rsid w:val="00C3645D"/>
    <w:rsid w:val="00C366BC"/>
    <w:rsid w:val="00C36854"/>
    <w:rsid w:val="00C36A86"/>
    <w:rsid w:val="00C36BE2"/>
    <w:rsid w:val="00C36F32"/>
    <w:rsid w:val="00C3723E"/>
    <w:rsid w:val="00C37451"/>
    <w:rsid w:val="00C37493"/>
    <w:rsid w:val="00C375CA"/>
    <w:rsid w:val="00C376F4"/>
    <w:rsid w:val="00C3778B"/>
    <w:rsid w:val="00C37A0D"/>
    <w:rsid w:val="00C37A62"/>
    <w:rsid w:val="00C37C24"/>
    <w:rsid w:val="00C37C97"/>
    <w:rsid w:val="00C37DA9"/>
    <w:rsid w:val="00C37FCD"/>
    <w:rsid w:val="00C400E7"/>
    <w:rsid w:val="00C40267"/>
    <w:rsid w:val="00C40345"/>
    <w:rsid w:val="00C403A1"/>
    <w:rsid w:val="00C40548"/>
    <w:rsid w:val="00C41369"/>
    <w:rsid w:val="00C414C2"/>
    <w:rsid w:val="00C41635"/>
    <w:rsid w:val="00C41F2E"/>
    <w:rsid w:val="00C41FD1"/>
    <w:rsid w:val="00C42231"/>
    <w:rsid w:val="00C4229E"/>
    <w:rsid w:val="00C423C1"/>
    <w:rsid w:val="00C4251F"/>
    <w:rsid w:val="00C4276D"/>
    <w:rsid w:val="00C428A6"/>
    <w:rsid w:val="00C42D4D"/>
    <w:rsid w:val="00C42DCF"/>
    <w:rsid w:val="00C42FE6"/>
    <w:rsid w:val="00C431BB"/>
    <w:rsid w:val="00C43AE0"/>
    <w:rsid w:val="00C43F97"/>
    <w:rsid w:val="00C4402B"/>
    <w:rsid w:val="00C441D0"/>
    <w:rsid w:val="00C445BB"/>
    <w:rsid w:val="00C4478A"/>
    <w:rsid w:val="00C447F6"/>
    <w:rsid w:val="00C448DD"/>
    <w:rsid w:val="00C44D52"/>
    <w:rsid w:val="00C45392"/>
    <w:rsid w:val="00C4550B"/>
    <w:rsid w:val="00C455A9"/>
    <w:rsid w:val="00C45695"/>
    <w:rsid w:val="00C45952"/>
    <w:rsid w:val="00C45A16"/>
    <w:rsid w:val="00C46116"/>
    <w:rsid w:val="00C4633A"/>
    <w:rsid w:val="00C464C8"/>
    <w:rsid w:val="00C4655C"/>
    <w:rsid w:val="00C46572"/>
    <w:rsid w:val="00C4671D"/>
    <w:rsid w:val="00C46A90"/>
    <w:rsid w:val="00C46EB3"/>
    <w:rsid w:val="00C46F88"/>
    <w:rsid w:val="00C47081"/>
    <w:rsid w:val="00C470AA"/>
    <w:rsid w:val="00C47107"/>
    <w:rsid w:val="00C4795F"/>
    <w:rsid w:val="00C47B92"/>
    <w:rsid w:val="00C50101"/>
    <w:rsid w:val="00C507C8"/>
    <w:rsid w:val="00C508E3"/>
    <w:rsid w:val="00C50C3E"/>
    <w:rsid w:val="00C5163B"/>
    <w:rsid w:val="00C51646"/>
    <w:rsid w:val="00C51736"/>
    <w:rsid w:val="00C51B67"/>
    <w:rsid w:val="00C51F69"/>
    <w:rsid w:val="00C52255"/>
    <w:rsid w:val="00C5281D"/>
    <w:rsid w:val="00C52DEA"/>
    <w:rsid w:val="00C52F8E"/>
    <w:rsid w:val="00C53173"/>
    <w:rsid w:val="00C531C7"/>
    <w:rsid w:val="00C53363"/>
    <w:rsid w:val="00C53567"/>
    <w:rsid w:val="00C53CA4"/>
    <w:rsid w:val="00C53CF3"/>
    <w:rsid w:val="00C54002"/>
    <w:rsid w:val="00C540E1"/>
    <w:rsid w:val="00C54308"/>
    <w:rsid w:val="00C543B3"/>
    <w:rsid w:val="00C54481"/>
    <w:rsid w:val="00C546CE"/>
    <w:rsid w:val="00C54A5B"/>
    <w:rsid w:val="00C54B60"/>
    <w:rsid w:val="00C54CD7"/>
    <w:rsid w:val="00C54D0C"/>
    <w:rsid w:val="00C54FFD"/>
    <w:rsid w:val="00C55241"/>
    <w:rsid w:val="00C55932"/>
    <w:rsid w:val="00C55980"/>
    <w:rsid w:val="00C55AB1"/>
    <w:rsid w:val="00C56118"/>
    <w:rsid w:val="00C56312"/>
    <w:rsid w:val="00C56395"/>
    <w:rsid w:val="00C5643D"/>
    <w:rsid w:val="00C56566"/>
    <w:rsid w:val="00C56B26"/>
    <w:rsid w:val="00C56E8F"/>
    <w:rsid w:val="00C572FA"/>
    <w:rsid w:val="00C57327"/>
    <w:rsid w:val="00C574F6"/>
    <w:rsid w:val="00C576AA"/>
    <w:rsid w:val="00C57959"/>
    <w:rsid w:val="00C57DAD"/>
    <w:rsid w:val="00C57F30"/>
    <w:rsid w:val="00C60F49"/>
    <w:rsid w:val="00C61159"/>
    <w:rsid w:val="00C61807"/>
    <w:rsid w:val="00C61A89"/>
    <w:rsid w:val="00C61B68"/>
    <w:rsid w:val="00C61E7F"/>
    <w:rsid w:val="00C621F2"/>
    <w:rsid w:val="00C62291"/>
    <w:rsid w:val="00C62348"/>
    <w:rsid w:val="00C62AC4"/>
    <w:rsid w:val="00C62DBC"/>
    <w:rsid w:val="00C62E03"/>
    <w:rsid w:val="00C631C0"/>
    <w:rsid w:val="00C63465"/>
    <w:rsid w:val="00C634AD"/>
    <w:rsid w:val="00C637BB"/>
    <w:rsid w:val="00C63E84"/>
    <w:rsid w:val="00C63F4A"/>
    <w:rsid w:val="00C64406"/>
    <w:rsid w:val="00C64602"/>
    <w:rsid w:val="00C6469D"/>
    <w:rsid w:val="00C646CE"/>
    <w:rsid w:val="00C647F0"/>
    <w:rsid w:val="00C648FD"/>
    <w:rsid w:val="00C64A4C"/>
    <w:rsid w:val="00C65074"/>
    <w:rsid w:val="00C652BB"/>
    <w:rsid w:val="00C65392"/>
    <w:rsid w:val="00C656B9"/>
    <w:rsid w:val="00C659BA"/>
    <w:rsid w:val="00C65ADE"/>
    <w:rsid w:val="00C66191"/>
    <w:rsid w:val="00C66692"/>
    <w:rsid w:val="00C66A58"/>
    <w:rsid w:val="00C66B06"/>
    <w:rsid w:val="00C66D0A"/>
    <w:rsid w:val="00C67131"/>
    <w:rsid w:val="00C673A6"/>
    <w:rsid w:val="00C6745F"/>
    <w:rsid w:val="00C67612"/>
    <w:rsid w:val="00C67681"/>
    <w:rsid w:val="00C679CF"/>
    <w:rsid w:val="00C67A76"/>
    <w:rsid w:val="00C67A8C"/>
    <w:rsid w:val="00C67ECC"/>
    <w:rsid w:val="00C67F1E"/>
    <w:rsid w:val="00C702A7"/>
    <w:rsid w:val="00C70732"/>
    <w:rsid w:val="00C708C2"/>
    <w:rsid w:val="00C70952"/>
    <w:rsid w:val="00C70E66"/>
    <w:rsid w:val="00C713A5"/>
    <w:rsid w:val="00C713F9"/>
    <w:rsid w:val="00C7177D"/>
    <w:rsid w:val="00C71866"/>
    <w:rsid w:val="00C718E0"/>
    <w:rsid w:val="00C71A48"/>
    <w:rsid w:val="00C71A8C"/>
    <w:rsid w:val="00C71BDE"/>
    <w:rsid w:val="00C71FBB"/>
    <w:rsid w:val="00C725C5"/>
    <w:rsid w:val="00C72B50"/>
    <w:rsid w:val="00C72F8E"/>
    <w:rsid w:val="00C72F9B"/>
    <w:rsid w:val="00C73593"/>
    <w:rsid w:val="00C73688"/>
    <w:rsid w:val="00C738B1"/>
    <w:rsid w:val="00C73B75"/>
    <w:rsid w:val="00C73E0C"/>
    <w:rsid w:val="00C73FE6"/>
    <w:rsid w:val="00C74096"/>
    <w:rsid w:val="00C743B7"/>
    <w:rsid w:val="00C74848"/>
    <w:rsid w:val="00C749A6"/>
    <w:rsid w:val="00C74AB6"/>
    <w:rsid w:val="00C74B83"/>
    <w:rsid w:val="00C74C56"/>
    <w:rsid w:val="00C74EF9"/>
    <w:rsid w:val="00C74F46"/>
    <w:rsid w:val="00C75E96"/>
    <w:rsid w:val="00C76063"/>
    <w:rsid w:val="00C7639C"/>
    <w:rsid w:val="00C766DC"/>
    <w:rsid w:val="00C767D1"/>
    <w:rsid w:val="00C76B06"/>
    <w:rsid w:val="00C76CC7"/>
    <w:rsid w:val="00C772B8"/>
    <w:rsid w:val="00C772E4"/>
    <w:rsid w:val="00C776D1"/>
    <w:rsid w:val="00C77725"/>
    <w:rsid w:val="00C77B9D"/>
    <w:rsid w:val="00C77E40"/>
    <w:rsid w:val="00C80024"/>
    <w:rsid w:val="00C80488"/>
    <w:rsid w:val="00C80B9D"/>
    <w:rsid w:val="00C80D34"/>
    <w:rsid w:val="00C80D4F"/>
    <w:rsid w:val="00C80D6A"/>
    <w:rsid w:val="00C8128C"/>
    <w:rsid w:val="00C81607"/>
    <w:rsid w:val="00C81A01"/>
    <w:rsid w:val="00C81A64"/>
    <w:rsid w:val="00C81B75"/>
    <w:rsid w:val="00C81B81"/>
    <w:rsid w:val="00C822B6"/>
    <w:rsid w:val="00C82416"/>
    <w:rsid w:val="00C8243C"/>
    <w:rsid w:val="00C82651"/>
    <w:rsid w:val="00C8279D"/>
    <w:rsid w:val="00C82ADB"/>
    <w:rsid w:val="00C82BD3"/>
    <w:rsid w:val="00C82CA4"/>
    <w:rsid w:val="00C83054"/>
    <w:rsid w:val="00C83104"/>
    <w:rsid w:val="00C832D1"/>
    <w:rsid w:val="00C832EE"/>
    <w:rsid w:val="00C83A57"/>
    <w:rsid w:val="00C83ADF"/>
    <w:rsid w:val="00C83B1E"/>
    <w:rsid w:val="00C83B9B"/>
    <w:rsid w:val="00C83D42"/>
    <w:rsid w:val="00C83FD8"/>
    <w:rsid w:val="00C84188"/>
    <w:rsid w:val="00C8454B"/>
    <w:rsid w:val="00C8470C"/>
    <w:rsid w:val="00C84A25"/>
    <w:rsid w:val="00C84A33"/>
    <w:rsid w:val="00C84A35"/>
    <w:rsid w:val="00C84C01"/>
    <w:rsid w:val="00C84CAD"/>
    <w:rsid w:val="00C84D2B"/>
    <w:rsid w:val="00C84D94"/>
    <w:rsid w:val="00C84F02"/>
    <w:rsid w:val="00C8564E"/>
    <w:rsid w:val="00C856F5"/>
    <w:rsid w:val="00C85702"/>
    <w:rsid w:val="00C8580F"/>
    <w:rsid w:val="00C8590D"/>
    <w:rsid w:val="00C85940"/>
    <w:rsid w:val="00C85EA9"/>
    <w:rsid w:val="00C8618F"/>
    <w:rsid w:val="00C8656F"/>
    <w:rsid w:val="00C86A68"/>
    <w:rsid w:val="00C86BE2"/>
    <w:rsid w:val="00C86E5F"/>
    <w:rsid w:val="00C86F72"/>
    <w:rsid w:val="00C86F7B"/>
    <w:rsid w:val="00C87645"/>
    <w:rsid w:val="00C87B23"/>
    <w:rsid w:val="00C87E5A"/>
    <w:rsid w:val="00C90182"/>
    <w:rsid w:val="00C907F8"/>
    <w:rsid w:val="00C90BD9"/>
    <w:rsid w:val="00C910EF"/>
    <w:rsid w:val="00C913EB"/>
    <w:rsid w:val="00C919A5"/>
    <w:rsid w:val="00C91F14"/>
    <w:rsid w:val="00C9217A"/>
    <w:rsid w:val="00C924EC"/>
    <w:rsid w:val="00C92507"/>
    <w:rsid w:val="00C929C8"/>
    <w:rsid w:val="00C92BFD"/>
    <w:rsid w:val="00C92E8C"/>
    <w:rsid w:val="00C934E1"/>
    <w:rsid w:val="00C93776"/>
    <w:rsid w:val="00C938D6"/>
    <w:rsid w:val="00C93941"/>
    <w:rsid w:val="00C93AC2"/>
    <w:rsid w:val="00C93E33"/>
    <w:rsid w:val="00C9436B"/>
    <w:rsid w:val="00C9457F"/>
    <w:rsid w:val="00C946F5"/>
    <w:rsid w:val="00C9494A"/>
    <w:rsid w:val="00C94C29"/>
    <w:rsid w:val="00C94EFE"/>
    <w:rsid w:val="00C950A8"/>
    <w:rsid w:val="00C951DE"/>
    <w:rsid w:val="00C95348"/>
    <w:rsid w:val="00C9540F"/>
    <w:rsid w:val="00C95694"/>
    <w:rsid w:val="00C95BE6"/>
    <w:rsid w:val="00C95C7C"/>
    <w:rsid w:val="00C964C3"/>
    <w:rsid w:val="00C96870"/>
    <w:rsid w:val="00C96881"/>
    <w:rsid w:val="00C96B5F"/>
    <w:rsid w:val="00C96F8F"/>
    <w:rsid w:val="00C97258"/>
    <w:rsid w:val="00C97703"/>
    <w:rsid w:val="00C97896"/>
    <w:rsid w:val="00C97CE8"/>
    <w:rsid w:val="00C97D88"/>
    <w:rsid w:val="00C97ECE"/>
    <w:rsid w:val="00C97FFD"/>
    <w:rsid w:val="00CA0030"/>
    <w:rsid w:val="00CA004E"/>
    <w:rsid w:val="00CA0235"/>
    <w:rsid w:val="00CA076C"/>
    <w:rsid w:val="00CA0836"/>
    <w:rsid w:val="00CA0EE2"/>
    <w:rsid w:val="00CA12A2"/>
    <w:rsid w:val="00CA13E9"/>
    <w:rsid w:val="00CA19AC"/>
    <w:rsid w:val="00CA1D7E"/>
    <w:rsid w:val="00CA1F70"/>
    <w:rsid w:val="00CA1FC8"/>
    <w:rsid w:val="00CA258C"/>
    <w:rsid w:val="00CA27B5"/>
    <w:rsid w:val="00CA2908"/>
    <w:rsid w:val="00CA2CE6"/>
    <w:rsid w:val="00CA303D"/>
    <w:rsid w:val="00CA3314"/>
    <w:rsid w:val="00CA3530"/>
    <w:rsid w:val="00CA3699"/>
    <w:rsid w:val="00CA3988"/>
    <w:rsid w:val="00CA3A7F"/>
    <w:rsid w:val="00CA3FB9"/>
    <w:rsid w:val="00CA43FC"/>
    <w:rsid w:val="00CA459F"/>
    <w:rsid w:val="00CA4924"/>
    <w:rsid w:val="00CA4939"/>
    <w:rsid w:val="00CA4EC0"/>
    <w:rsid w:val="00CA5231"/>
    <w:rsid w:val="00CA56BE"/>
    <w:rsid w:val="00CA5782"/>
    <w:rsid w:val="00CA5AE4"/>
    <w:rsid w:val="00CA5DAA"/>
    <w:rsid w:val="00CA5E94"/>
    <w:rsid w:val="00CA5F40"/>
    <w:rsid w:val="00CA6126"/>
    <w:rsid w:val="00CA64AD"/>
    <w:rsid w:val="00CA662F"/>
    <w:rsid w:val="00CA6ECE"/>
    <w:rsid w:val="00CA6EF8"/>
    <w:rsid w:val="00CA7040"/>
    <w:rsid w:val="00CA7498"/>
    <w:rsid w:val="00CA7623"/>
    <w:rsid w:val="00CA76B0"/>
    <w:rsid w:val="00CA7971"/>
    <w:rsid w:val="00CA7A20"/>
    <w:rsid w:val="00CA7B40"/>
    <w:rsid w:val="00CA7EC4"/>
    <w:rsid w:val="00CB037B"/>
    <w:rsid w:val="00CB038A"/>
    <w:rsid w:val="00CB0D6B"/>
    <w:rsid w:val="00CB12EF"/>
    <w:rsid w:val="00CB136C"/>
    <w:rsid w:val="00CB1379"/>
    <w:rsid w:val="00CB157C"/>
    <w:rsid w:val="00CB1612"/>
    <w:rsid w:val="00CB1803"/>
    <w:rsid w:val="00CB1D4C"/>
    <w:rsid w:val="00CB2696"/>
    <w:rsid w:val="00CB2733"/>
    <w:rsid w:val="00CB2B70"/>
    <w:rsid w:val="00CB302B"/>
    <w:rsid w:val="00CB43D7"/>
    <w:rsid w:val="00CB43EF"/>
    <w:rsid w:val="00CB4587"/>
    <w:rsid w:val="00CB4B6C"/>
    <w:rsid w:val="00CB5227"/>
    <w:rsid w:val="00CB5667"/>
    <w:rsid w:val="00CB56B4"/>
    <w:rsid w:val="00CB5746"/>
    <w:rsid w:val="00CB599A"/>
    <w:rsid w:val="00CB5A43"/>
    <w:rsid w:val="00CB5A89"/>
    <w:rsid w:val="00CB5B5D"/>
    <w:rsid w:val="00CB6034"/>
    <w:rsid w:val="00CB6202"/>
    <w:rsid w:val="00CB6378"/>
    <w:rsid w:val="00CB639C"/>
    <w:rsid w:val="00CB6414"/>
    <w:rsid w:val="00CB6624"/>
    <w:rsid w:val="00CB66E0"/>
    <w:rsid w:val="00CB69D4"/>
    <w:rsid w:val="00CB6B64"/>
    <w:rsid w:val="00CB6D37"/>
    <w:rsid w:val="00CB72FB"/>
    <w:rsid w:val="00CB7C20"/>
    <w:rsid w:val="00CB7CA2"/>
    <w:rsid w:val="00CC012F"/>
    <w:rsid w:val="00CC04E0"/>
    <w:rsid w:val="00CC05BB"/>
    <w:rsid w:val="00CC06CE"/>
    <w:rsid w:val="00CC0CC4"/>
    <w:rsid w:val="00CC0F30"/>
    <w:rsid w:val="00CC0F59"/>
    <w:rsid w:val="00CC11C2"/>
    <w:rsid w:val="00CC13FF"/>
    <w:rsid w:val="00CC140C"/>
    <w:rsid w:val="00CC143E"/>
    <w:rsid w:val="00CC155F"/>
    <w:rsid w:val="00CC1A47"/>
    <w:rsid w:val="00CC1FEA"/>
    <w:rsid w:val="00CC2529"/>
    <w:rsid w:val="00CC2821"/>
    <w:rsid w:val="00CC294F"/>
    <w:rsid w:val="00CC2957"/>
    <w:rsid w:val="00CC2FA6"/>
    <w:rsid w:val="00CC2FDB"/>
    <w:rsid w:val="00CC3596"/>
    <w:rsid w:val="00CC3636"/>
    <w:rsid w:val="00CC38EE"/>
    <w:rsid w:val="00CC3A06"/>
    <w:rsid w:val="00CC3F04"/>
    <w:rsid w:val="00CC4138"/>
    <w:rsid w:val="00CC422B"/>
    <w:rsid w:val="00CC4361"/>
    <w:rsid w:val="00CC446A"/>
    <w:rsid w:val="00CC49D9"/>
    <w:rsid w:val="00CC4E23"/>
    <w:rsid w:val="00CC51F1"/>
    <w:rsid w:val="00CC5344"/>
    <w:rsid w:val="00CC535A"/>
    <w:rsid w:val="00CC53CE"/>
    <w:rsid w:val="00CC54DD"/>
    <w:rsid w:val="00CC5684"/>
    <w:rsid w:val="00CC56C2"/>
    <w:rsid w:val="00CC59E6"/>
    <w:rsid w:val="00CC5D30"/>
    <w:rsid w:val="00CC5ED4"/>
    <w:rsid w:val="00CC60BC"/>
    <w:rsid w:val="00CC65D3"/>
    <w:rsid w:val="00CC66B3"/>
    <w:rsid w:val="00CC6783"/>
    <w:rsid w:val="00CC68A6"/>
    <w:rsid w:val="00CC6C60"/>
    <w:rsid w:val="00CC6D79"/>
    <w:rsid w:val="00CC701B"/>
    <w:rsid w:val="00CC7319"/>
    <w:rsid w:val="00CC75C0"/>
    <w:rsid w:val="00CC7D04"/>
    <w:rsid w:val="00CC7D6D"/>
    <w:rsid w:val="00CD042B"/>
    <w:rsid w:val="00CD07DC"/>
    <w:rsid w:val="00CD0850"/>
    <w:rsid w:val="00CD0B31"/>
    <w:rsid w:val="00CD0BE1"/>
    <w:rsid w:val="00CD0C2A"/>
    <w:rsid w:val="00CD0C91"/>
    <w:rsid w:val="00CD0CF0"/>
    <w:rsid w:val="00CD0E77"/>
    <w:rsid w:val="00CD100D"/>
    <w:rsid w:val="00CD15C7"/>
    <w:rsid w:val="00CD18E8"/>
    <w:rsid w:val="00CD1B76"/>
    <w:rsid w:val="00CD1EE2"/>
    <w:rsid w:val="00CD2553"/>
    <w:rsid w:val="00CD279F"/>
    <w:rsid w:val="00CD2D2F"/>
    <w:rsid w:val="00CD2DFD"/>
    <w:rsid w:val="00CD3400"/>
    <w:rsid w:val="00CD3940"/>
    <w:rsid w:val="00CD3B8E"/>
    <w:rsid w:val="00CD3C46"/>
    <w:rsid w:val="00CD3E1A"/>
    <w:rsid w:val="00CD408D"/>
    <w:rsid w:val="00CD4263"/>
    <w:rsid w:val="00CD43E8"/>
    <w:rsid w:val="00CD4A81"/>
    <w:rsid w:val="00CD4B20"/>
    <w:rsid w:val="00CD4B85"/>
    <w:rsid w:val="00CD4DC1"/>
    <w:rsid w:val="00CD54E2"/>
    <w:rsid w:val="00CD58BB"/>
    <w:rsid w:val="00CD5EDD"/>
    <w:rsid w:val="00CD5FAB"/>
    <w:rsid w:val="00CD60E7"/>
    <w:rsid w:val="00CD619B"/>
    <w:rsid w:val="00CD6217"/>
    <w:rsid w:val="00CD66B5"/>
    <w:rsid w:val="00CD6784"/>
    <w:rsid w:val="00CD7271"/>
    <w:rsid w:val="00CD751D"/>
    <w:rsid w:val="00CD7526"/>
    <w:rsid w:val="00CD76A9"/>
    <w:rsid w:val="00CD7AC1"/>
    <w:rsid w:val="00CD7DEE"/>
    <w:rsid w:val="00CD7ED4"/>
    <w:rsid w:val="00CE0BC4"/>
    <w:rsid w:val="00CE0CE6"/>
    <w:rsid w:val="00CE0EEA"/>
    <w:rsid w:val="00CE1010"/>
    <w:rsid w:val="00CE11C1"/>
    <w:rsid w:val="00CE1287"/>
    <w:rsid w:val="00CE183C"/>
    <w:rsid w:val="00CE1C63"/>
    <w:rsid w:val="00CE1CD5"/>
    <w:rsid w:val="00CE1EF2"/>
    <w:rsid w:val="00CE1F1C"/>
    <w:rsid w:val="00CE1F27"/>
    <w:rsid w:val="00CE201C"/>
    <w:rsid w:val="00CE20ED"/>
    <w:rsid w:val="00CE2931"/>
    <w:rsid w:val="00CE2D2A"/>
    <w:rsid w:val="00CE2F15"/>
    <w:rsid w:val="00CE2F6C"/>
    <w:rsid w:val="00CE30FF"/>
    <w:rsid w:val="00CE3C44"/>
    <w:rsid w:val="00CE3C5D"/>
    <w:rsid w:val="00CE4238"/>
    <w:rsid w:val="00CE460A"/>
    <w:rsid w:val="00CE4786"/>
    <w:rsid w:val="00CE48A9"/>
    <w:rsid w:val="00CE4B22"/>
    <w:rsid w:val="00CE4D21"/>
    <w:rsid w:val="00CE4DF4"/>
    <w:rsid w:val="00CE508D"/>
    <w:rsid w:val="00CE5252"/>
    <w:rsid w:val="00CE560F"/>
    <w:rsid w:val="00CE5663"/>
    <w:rsid w:val="00CE5A05"/>
    <w:rsid w:val="00CE5E7A"/>
    <w:rsid w:val="00CE5FEF"/>
    <w:rsid w:val="00CE60CC"/>
    <w:rsid w:val="00CE60F8"/>
    <w:rsid w:val="00CE616F"/>
    <w:rsid w:val="00CE61E1"/>
    <w:rsid w:val="00CE640B"/>
    <w:rsid w:val="00CE6A06"/>
    <w:rsid w:val="00CE6C3F"/>
    <w:rsid w:val="00CE6DE1"/>
    <w:rsid w:val="00CE701B"/>
    <w:rsid w:val="00CE76A3"/>
    <w:rsid w:val="00CE788D"/>
    <w:rsid w:val="00CE789B"/>
    <w:rsid w:val="00CE7A7C"/>
    <w:rsid w:val="00CE7ACB"/>
    <w:rsid w:val="00CE7DB2"/>
    <w:rsid w:val="00CF0053"/>
    <w:rsid w:val="00CF09BC"/>
    <w:rsid w:val="00CF0F2E"/>
    <w:rsid w:val="00CF108B"/>
    <w:rsid w:val="00CF1666"/>
    <w:rsid w:val="00CF16AC"/>
    <w:rsid w:val="00CF195F"/>
    <w:rsid w:val="00CF1969"/>
    <w:rsid w:val="00CF19FC"/>
    <w:rsid w:val="00CF1BA0"/>
    <w:rsid w:val="00CF1E9A"/>
    <w:rsid w:val="00CF21C8"/>
    <w:rsid w:val="00CF230F"/>
    <w:rsid w:val="00CF266B"/>
    <w:rsid w:val="00CF2B47"/>
    <w:rsid w:val="00CF2BD4"/>
    <w:rsid w:val="00CF2CCD"/>
    <w:rsid w:val="00CF2DE0"/>
    <w:rsid w:val="00CF3038"/>
    <w:rsid w:val="00CF3169"/>
    <w:rsid w:val="00CF317F"/>
    <w:rsid w:val="00CF33A2"/>
    <w:rsid w:val="00CF3463"/>
    <w:rsid w:val="00CF387F"/>
    <w:rsid w:val="00CF39AE"/>
    <w:rsid w:val="00CF3A1B"/>
    <w:rsid w:val="00CF3B94"/>
    <w:rsid w:val="00CF3BCE"/>
    <w:rsid w:val="00CF3E50"/>
    <w:rsid w:val="00CF4047"/>
    <w:rsid w:val="00CF45FD"/>
    <w:rsid w:val="00CF46D3"/>
    <w:rsid w:val="00CF4792"/>
    <w:rsid w:val="00CF49CD"/>
    <w:rsid w:val="00CF4B1C"/>
    <w:rsid w:val="00CF4D4D"/>
    <w:rsid w:val="00CF5106"/>
    <w:rsid w:val="00CF5229"/>
    <w:rsid w:val="00CF558D"/>
    <w:rsid w:val="00CF56A2"/>
    <w:rsid w:val="00CF57BC"/>
    <w:rsid w:val="00CF5AFF"/>
    <w:rsid w:val="00CF5BA7"/>
    <w:rsid w:val="00CF6582"/>
    <w:rsid w:val="00CF6B33"/>
    <w:rsid w:val="00CF6FEF"/>
    <w:rsid w:val="00CF709F"/>
    <w:rsid w:val="00CF748B"/>
    <w:rsid w:val="00CF74AB"/>
    <w:rsid w:val="00CF74BE"/>
    <w:rsid w:val="00CF74FA"/>
    <w:rsid w:val="00CF755B"/>
    <w:rsid w:val="00CF77CC"/>
    <w:rsid w:val="00CF78CA"/>
    <w:rsid w:val="00CF7E4D"/>
    <w:rsid w:val="00D004F3"/>
    <w:rsid w:val="00D00608"/>
    <w:rsid w:val="00D00661"/>
    <w:rsid w:val="00D0088A"/>
    <w:rsid w:val="00D00935"/>
    <w:rsid w:val="00D00AA8"/>
    <w:rsid w:val="00D00E7E"/>
    <w:rsid w:val="00D00F4B"/>
    <w:rsid w:val="00D010ED"/>
    <w:rsid w:val="00D01462"/>
    <w:rsid w:val="00D014FA"/>
    <w:rsid w:val="00D01B06"/>
    <w:rsid w:val="00D01D85"/>
    <w:rsid w:val="00D01DF6"/>
    <w:rsid w:val="00D0230C"/>
    <w:rsid w:val="00D02496"/>
    <w:rsid w:val="00D02AC1"/>
    <w:rsid w:val="00D02E01"/>
    <w:rsid w:val="00D02E14"/>
    <w:rsid w:val="00D03070"/>
    <w:rsid w:val="00D030D6"/>
    <w:rsid w:val="00D033DE"/>
    <w:rsid w:val="00D03422"/>
    <w:rsid w:val="00D03479"/>
    <w:rsid w:val="00D0363F"/>
    <w:rsid w:val="00D038FE"/>
    <w:rsid w:val="00D03B61"/>
    <w:rsid w:val="00D040C2"/>
    <w:rsid w:val="00D04118"/>
    <w:rsid w:val="00D04292"/>
    <w:rsid w:val="00D0434B"/>
    <w:rsid w:val="00D049D4"/>
    <w:rsid w:val="00D04ED8"/>
    <w:rsid w:val="00D05208"/>
    <w:rsid w:val="00D052C5"/>
    <w:rsid w:val="00D0532E"/>
    <w:rsid w:val="00D0533C"/>
    <w:rsid w:val="00D0537C"/>
    <w:rsid w:val="00D05385"/>
    <w:rsid w:val="00D05797"/>
    <w:rsid w:val="00D05F6C"/>
    <w:rsid w:val="00D06068"/>
    <w:rsid w:val="00D06175"/>
    <w:rsid w:val="00D06359"/>
    <w:rsid w:val="00D063E5"/>
    <w:rsid w:val="00D064E3"/>
    <w:rsid w:val="00D06782"/>
    <w:rsid w:val="00D06A61"/>
    <w:rsid w:val="00D06AB5"/>
    <w:rsid w:val="00D06BCE"/>
    <w:rsid w:val="00D06C7E"/>
    <w:rsid w:val="00D06EE9"/>
    <w:rsid w:val="00D07120"/>
    <w:rsid w:val="00D075DE"/>
    <w:rsid w:val="00D07601"/>
    <w:rsid w:val="00D079B2"/>
    <w:rsid w:val="00D07A21"/>
    <w:rsid w:val="00D07B12"/>
    <w:rsid w:val="00D07B8A"/>
    <w:rsid w:val="00D07C3C"/>
    <w:rsid w:val="00D07F27"/>
    <w:rsid w:val="00D10076"/>
    <w:rsid w:val="00D10080"/>
    <w:rsid w:val="00D10109"/>
    <w:rsid w:val="00D1045A"/>
    <w:rsid w:val="00D10655"/>
    <w:rsid w:val="00D109AF"/>
    <w:rsid w:val="00D10AFD"/>
    <w:rsid w:val="00D10D23"/>
    <w:rsid w:val="00D10DEE"/>
    <w:rsid w:val="00D10FEA"/>
    <w:rsid w:val="00D110F5"/>
    <w:rsid w:val="00D110FD"/>
    <w:rsid w:val="00D11311"/>
    <w:rsid w:val="00D11B73"/>
    <w:rsid w:val="00D121C4"/>
    <w:rsid w:val="00D12381"/>
    <w:rsid w:val="00D1245C"/>
    <w:rsid w:val="00D12917"/>
    <w:rsid w:val="00D132D4"/>
    <w:rsid w:val="00D13719"/>
    <w:rsid w:val="00D13B09"/>
    <w:rsid w:val="00D13B47"/>
    <w:rsid w:val="00D13D61"/>
    <w:rsid w:val="00D13E7B"/>
    <w:rsid w:val="00D13F21"/>
    <w:rsid w:val="00D141ED"/>
    <w:rsid w:val="00D14534"/>
    <w:rsid w:val="00D1496F"/>
    <w:rsid w:val="00D14AA5"/>
    <w:rsid w:val="00D14C90"/>
    <w:rsid w:val="00D14CB4"/>
    <w:rsid w:val="00D14E42"/>
    <w:rsid w:val="00D14EA8"/>
    <w:rsid w:val="00D153E7"/>
    <w:rsid w:val="00D155C0"/>
    <w:rsid w:val="00D15A13"/>
    <w:rsid w:val="00D15E95"/>
    <w:rsid w:val="00D16D9C"/>
    <w:rsid w:val="00D170EA"/>
    <w:rsid w:val="00D1750F"/>
    <w:rsid w:val="00D178EB"/>
    <w:rsid w:val="00D1793F"/>
    <w:rsid w:val="00D17D32"/>
    <w:rsid w:val="00D17DEF"/>
    <w:rsid w:val="00D17FE5"/>
    <w:rsid w:val="00D204DB"/>
    <w:rsid w:val="00D20946"/>
    <w:rsid w:val="00D209E2"/>
    <w:rsid w:val="00D20BB3"/>
    <w:rsid w:val="00D20BB6"/>
    <w:rsid w:val="00D20EE5"/>
    <w:rsid w:val="00D20FA9"/>
    <w:rsid w:val="00D2197A"/>
    <w:rsid w:val="00D21AAE"/>
    <w:rsid w:val="00D21D7D"/>
    <w:rsid w:val="00D21E5E"/>
    <w:rsid w:val="00D21EC7"/>
    <w:rsid w:val="00D21FC9"/>
    <w:rsid w:val="00D22284"/>
    <w:rsid w:val="00D22301"/>
    <w:rsid w:val="00D22358"/>
    <w:rsid w:val="00D22360"/>
    <w:rsid w:val="00D223DC"/>
    <w:rsid w:val="00D225FF"/>
    <w:rsid w:val="00D23049"/>
    <w:rsid w:val="00D239C6"/>
    <w:rsid w:val="00D23AD5"/>
    <w:rsid w:val="00D23BD4"/>
    <w:rsid w:val="00D23C1E"/>
    <w:rsid w:val="00D2455D"/>
    <w:rsid w:val="00D245D3"/>
    <w:rsid w:val="00D249B0"/>
    <w:rsid w:val="00D24D08"/>
    <w:rsid w:val="00D2548E"/>
    <w:rsid w:val="00D25996"/>
    <w:rsid w:val="00D26555"/>
    <w:rsid w:val="00D26786"/>
    <w:rsid w:val="00D26931"/>
    <w:rsid w:val="00D2695F"/>
    <w:rsid w:val="00D26B1F"/>
    <w:rsid w:val="00D26B36"/>
    <w:rsid w:val="00D26EA2"/>
    <w:rsid w:val="00D270F9"/>
    <w:rsid w:val="00D27CEE"/>
    <w:rsid w:val="00D27F2D"/>
    <w:rsid w:val="00D27F6C"/>
    <w:rsid w:val="00D3015F"/>
    <w:rsid w:val="00D301A2"/>
    <w:rsid w:val="00D3045B"/>
    <w:rsid w:val="00D30715"/>
    <w:rsid w:val="00D308CB"/>
    <w:rsid w:val="00D30BBC"/>
    <w:rsid w:val="00D30C42"/>
    <w:rsid w:val="00D30DC7"/>
    <w:rsid w:val="00D3150D"/>
    <w:rsid w:val="00D31601"/>
    <w:rsid w:val="00D31B9B"/>
    <w:rsid w:val="00D31CE2"/>
    <w:rsid w:val="00D32556"/>
    <w:rsid w:val="00D326C3"/>
    <w:rsid w:val="00D32F8A"/>
    <w:rsid w:val="00D3301F"/>
    <w:rsid w:val="00D3313B"/>
    <w:rsid w:val="00D334F5"/>
    <w:rsid w:val="00D337AA"/>
    <w:rsid w:val="00D34449"/>
    <w:rsid w:val="00D34463"/>
    <w:rsid w:val="00D344ED"/>
    <w:rsid w:val="00D3451C"/>
    <w:rsid w:val="00D3469F"/>
    <w:rsid w:val="00D3473E"/>
    <w:rsid w:val="00D34824"/>
    <w:rsid w:val="00D34BC4"/>
    <w:rsid w:val="00D3506E"/>
    <w:rsid w:val="00D3517B"/>
    <w:rsid w:val="00D35AB1"/>
    <w:rsid w:val="00D36401"/>
    <w:rsid w:val="00D36E8A"/>
    <w:rsid w:val="00D370C4"/>
    <w:rsid w:val="00D37220"/>
    <w:rsid w:val="00D3738D"/>
    <w:rsid w:val="00D402F1"/>
    <w:rsid w:val="00D407BC"/>
    <w:rsid w:val="00D40829"/>
    <w:rsid w:val="00D40AFA"/>
    <w:rsid w:val="00D40F5E"/>
    <w:rsid w:val="00D4127F"/>
    <w:rsid w:val="00D4161E"/>
    <w:rsid w:val="00D4192D"/>
    <w:rsid w:val="00D41B92"/>
    <w:rsid w:val="00D42191"/>
    <w:rsid w:val="00D42339"/>
    <w:rsid w:val="00D4239D"/>
    <w:rsid w:val="00D4252E"/>
    <w:rsid w:val="00D4257B"/>
    <w:rsid w:val="00D427D2"/>
    <w:rsid w:val="00D42AC7"/>
    <w:rsid w:val="00D42BAF"/>
    <w:rsid w:val="00D42C5B"/>
    <w:rsid w:val="00D42C80"/>
    <w:rsid w:val="00D42CD1"/>
    <w:rsid w:val="00D42F56"/>
    <w:rsid w:val="00D43085"/>
    <w:rsid w:val="00D4350F"/>
    <w:rsid w:val="00D442FF"/>
    <w:rsid w:val="00D44313"/>
    <w:rsid w:val="00D446DB"/>
    <w:rsid w:val="00D447FB"/>
    <w:rsid w:val="00D44AB3"/>
    <w:rsid w:val="00D45089"/>
    <w:rsid w:val="00D451B2"/>
    <w:rsid w:val="00D4560C"/>
    <w:rsid w:val="00D457A2"/>
    <w:rsid w:val="00D45F35"/>
    <w:rsid w:val="00D4619D"/>
    <w:rsid w:val="00D4624D"/>
    <w:rsid w:val="00D463BD"/>
    <w:rsid w:val="00D46406"/>
    <w:rsid w:val="00D466F1"/>
    <w:rsid w:val="00D467D0"/>
    <w:rsid w:val="00D468A3"/>
    <w:rsid w:val="00D46BEA"/>
    <w:rsid w:val="00D47460"/>
    <w:rsid w:val="00D47722"/>
    <w:rsid w:val="00D4776E"/>
    <w:rsid w:val="00D478A7"/>
    <w:rsid w:val="00D47CD1"/>
    <w:rsid w:val="00D47D0F"/>
    <w:rsid w:val="00D47F2B"/>
    <w:rsid w:val="00D47FBA"/>
    <w:rsid w:val="00D5041B"/>
    <w:rsid w:val="00D50465"/>
    <w:rsid w:val="00D50473"/>
    <w:rsid w:val="00D50474"/>
    <w:rsid w:val="00D508B9"/>
    <w:rsid w:val="00D50B13"/>
    <w:rsid w:val="00D50D86"/>
    <w:rsid w:val="00D50E15"/>
    <w:rsid w:val="00D50FDB"/>
    <w:rsid w:val="00D5134C"/>
    <w:rsid w:val="00D514A1"/>
    <w:rsid w:val="00D5157A"/>
    <w:rsid w:val="00D517C6"/>
    <w:rsid w:val="00D51C32"/>
    <w:rsid w:val="00D51DC7"/>
    <w:rsid w:val="00D51F09"/>
    <w:rsid w:val="00D522C1"/>
    <w:rsid w:val="00D523BE"/>
    <w:rsid w:val="00D524DA"/>
    <w:rsid w:val="00D525E1"/>
    <w:rsid w:val="00D53295"/>
    <w:rsid w:val="00D535B7"/>
    <w:rsid w:val="00D538C6"/>
    <w:rsid w:val="00D53AB2"/>
    <w:rsid w:val="00D53B4B"/>
    <w:rsid w:val="00D53F69"/>
    <w:rsid w:val="00D54536"/>
    <w:rsid w:val="00D54BAC"/>
    <w:rsid w:val="00D54EB8"/>
    <w:rsid w:val="00D54F97"/>
    <w:rsid w:val="00D55078"/>
    <w:rsid w:val="00D55185"/>
    <w:rsid w:val="00D55357"/>
    <w:rsid w:val="00D5563C"/>
    <w:rsid w:val="00D55757"/>
    <w:rsid w:val="00D55BB7"/>
    <w:rsid w:val="00D55ED5"/>
    <w:rsid w:val="00D56167"/>
    <w:rsid w:val="00D561CE"/>
    <w:rsid w:val="00D5668A"/>
    <w:rsid w:val="00D56E27"/>
    <w:rsid w:val="00D57166"/>
    <w:rsid w:val="00D57409"/>
    <w:rsid w:val="00D57925"/>
    <w:rsid w:val="00D6011B"/>
    <w:rsid w:val="00D60143"/>
    <w:rsid w:val="00D6040C"/>
    <w:rsid w:val="00D60492"/>
    <w:rsid w:val="00D611C4"/>
    <w:rsid w:val="00D61282"/>
    <w:rsid w:val="00D61402"/>
    <w:rsid w:val="00D61464"/>
    <w:rsid w:val="00D61925"/>
    <w:rsid w:val="00D61A8B"/>
    <w:rsid w:val="00D62169"/>
    <w:rsid w:val="00D62B96"/>
    <w:rsid w:val="00D62EF9"/>
    <w:rsid w:val="00D62F98"/>
    <w:rsid w:val="00D6345A"/>
    <w:rsid w:val="00D6348F"/>
    <w:rsid w:val="00D6376B"/>
    <w:rsid w:val="00D639AA"/>
    <w:rsid w:val="00D639FA"/>
    <w:rsid w:val="00D63C30"/>
    <w:rsid w:val="00D63EE9"/>
    <w:rsid w:val="00D64969"/>
    <w:rsid w:val="00D64B10"/>
    <w:rsid w:val="00D64C01"/>
    <w:rsid w:val="00D64CB7"/>
    <w:rsid w:val="00D64F7A"/>
    <w:rsid w:val="00D64FAF"/>
    <w:rsid w:val="00D6503B"/>
    <w:rsid w:val="00D650D5"/>
    <w:rsid w:val="00D65267"/>
    <w:rsid w:val="00D65AFB"/>
    <w:rsid w:val="00D65D7A"/>
    <w:rsid w:val="00D65EFD"/>
    <w:rsid w:val="00D65F1F"/>
    <w:rsid w:val="00D65FBD"/>
    <w:rsid w:val="00D66196"/>
    <w:rsid w:val="00D669A7"/>
    <w:rsid w:val="00D66A69"/>
    <w:rsid w:val="00D66C91"/>
    <w:rsid w:val="00D6744F"/>
    <w:rsid w:val="00D678C6"/>
    <w:rsid w:val="00D67ACE"/>
    <w:rsid w:val="00D67FE2"/>
    <w:rsid w:val="00D7018C"/>
    <w:rsid w:val="00D70381"/>
    <w:rsid w:val="00D70571"/>
    <w:rsid w:val="00D70857"/>
    <w:rsid w:val="00D708CB"/>
    <w:rsid w:val="00D70A16"/>
    <w:rsid w:val="00D70CC6"/>
    <w:rsid w:val="00D710AA"/>
    <w:rsid w:val="00D71388"/>
    <w:rsid w:val="00D714E6"/>
    <w:rsid w:val="00D71CA6"/>
    <w:rsid w:val="00D71E23"/>
    <w:rsid w:val="00D71E72"/>
    <w:rsid w:val="00D72064"/>
    <w:rsid w:val="00D721FE"/>
    <w:rsid w:val="00D7221D"/>
    <w:rsid w:val="00D72294"/>
    <w:rsid w:val="00D725F2"/>
    <w:rsid w:val="00D726C0"/>
    <w:rsid w:val="00D7270D"/>
    <w:rsid w:val="00D72BBE"/>
    <w:rsid w:val="00D731CA"/>
    <w:rsid w:val="00D734A8"/>
    <w:rsid w:val="00D7355C"/>
    <w:rsid w:val="00D73AE4"/>
    <w:rsid w:val="00D73D83"/>
    <w:rsid w:val="00D73F58"/>
    <w:rsid w:val="00D74367"/>
    <w:rsid w:val="00D7436F"/>
    <w:rsid w:val="00D745E5"/>
    <w:rsid w:val="00D74A49"/>
    <w:rsid w:val="00D74E07"/>
    <w:rsid w:val="00D74EE4"/>
    <w:rsid w:val="00D750A5"/>
    <w:rsid w:val="00D75108"/>
    <w:rsid w:val="00D7527C"/>
    <w:rsid w:val="00D75736"/>
    <w:rsid w:val="00D75A61"/>
    <w:rsid w:val="00D76245"/>
    <w:rsid w:val="00D763CF"/>
    <w:rsid w:val="00D766F8"/>
    <w:rsid w:val="00D76B00"/>
    <w:rsid w:val="00D76D50"/>
    <w:rsid w:val="00D76FE4"/>
    <w:rsid w:val="00D77073"/>
    <w:rsid w:val="00D771FB"/>
    <w:rsid w:val="00D77453"/>
    <w:rsid w:val="00D778D1"/>
    <w:rsid w:val="00D77AB1"/>
    <w:rsid w:val="00D77BE1"/>
    <w:rsid w:val="00D80063"/>
    <w:rsid w:val="00D80119"/>
    <w:rsid w:val="00D80129"/>
    <w:rsid w:val="00D80408"/>
    <w:rsid w:val="00D8057F"/>
    <w:rsid w:val="00D8058F"/>
    <w:rsid w:val="00D8089A"/>
    <w:rsid w:val="00D80B99"/>
    <w:rsid w:val="00D80E25"/>
    <w:rsid w:val="00D812E7"/>
    <w:rsid w:val="00D813BF"/>
    <w:rsid w:val="00D816D1"/>
    <w:rsid w:val="00D8205B"/>
    <w:rsid w:val="00D82107"/>
    <w:rsid w:val="00D82705"/>
    <w:rsid w:val="00D82ADF"/>
    <w:rsid w:val="00D82D61"/>
    <w:rsid w:val="00D82DEE"/>
    <w:rsid w:val="00D82F91"/>
    <w:rsid w:val="00D82FEA"/>
    <w:rsid w:val="00D83676"/>
    <w:rsid w:val="00D8385E"/>
    <w:rsid w:val="00D838AB"/>
    <w:rsid w:val="00D83D81"/>
    <w:rsid w:val="00D83E8B"/>
    <w:rsid w:val="00D8412D"/>
    <w:rsid w:val="00D84BDD"/>
    <w:rsid w:val="00D84EA6"/>
    <w:rsid w:val="00D85036"/>
    <w:rsid w:val="00D853F4"/>
    <w:rsid w:val="00D8547B"/>
    <w:rsid w:val="00D859ED"/>
    <w:rsid w:val="00D85A21"/>
    <w:rsid w:val="00D85E15"/>
    <w:rsid w:val="00D86060"/>
    <w:rsid w:val="00D8647B"/>
    <w:rsid w:val="00D867A9"/>
    <w:rsid w:val="00D868E9"/>
    <w:rsid w:val="00D86C8D"/>
    <w:rsid w:val="00D86D02"/>
    <w:rsid w:val="00D86FAF"/>
    <w:rsid w:val="00D874E4"/>
    <w:rsid w:val="00D8756B"/>
    <w:rsid w:val="00D875E9"/>
    <w:rsid w:val="00D8776A"/>
    <w:rsid w:val="00D87C33"/>
    <w:rsid w:val="00D90040"/>
    <w:rsid w:val="00D90573"/>
    <w:rsid w:val="00D906BB"/>
    <w:rsid w:val="00D9090E"/>
    <w:rsid w:val="00D90D0E"/>
    <w:rsid w:val="00D90FE1"/>
    <w:rsid w:val="00D914C8"/>
    <w:rsid w:val="00D91557"/>
    <w:rsid w:val="00D917B5"/>
    <w:rsid w:val="00D919D4"/>
    <w:rsid w:val="00D91CD6"/>
    <w:rsid w:val="00D92515"/>
    <w:rsid w:val="00D92642"/>
    <w:rsid w:val="00D928FF"/>
    <w:rsid w:val="00D92A80"/>
    <w:rsid w:val="00D92C5E"/>
    <w:rsid w:val="00D92D26"/>
    <w:rsid w:val="00D92DCA"/>
    <w:rsid w:val="00D92FAB"/>
    <w:rsid w:val="00D930C7"/>
    <w:rsid w:val="00D931AC"/>
    <w:rsid w:val="00D9339C"/>
    <w:rsid w:val="00D934ED"/>
    <w:rsid w:val="00D9372F"/>
    <w:rsid w:val="00D937C0"/>
    <w:rsid w:val="00D938C8"/>
    <w:rsid w:val="00D939BC"/>
    <w:rsid w:val="00D93BBC"/>
    <w:rsid w:val="00D94198"/>
    <w:rsid w:val="00D943E9"/>
    <w:rsid w:val="00D945A6"/>
    <w:rsid w:val="00D947B9"/>
    <w:rsid w:val="00D949FC"/>
    <w:rsid w:val="00D94A83"/>
    <w:rsid w:val="00D94B63"/>
    <w:rsid w:val="00D94C2F"/>
    <w:rsid w:val="00D94C6C"/>
    <w:rsid w:val="00D94CB6"/>
    <w:rsid w:val="00D94FD6"/>
    <w:rsid w:val="00D9512D"/>
    <w:rsid w:val="00D95375"/>
    <w:rsid w:val="00D957F8"/>
    <w:rsid w:val="00D95E44"/>
    <w:rsid w:val="00D95F91"/>
    <w:rsid w:val="00D961A4"/>
    <w:rsid w:val="00D9655F"/>
    <w:rsid w:val="00D9683E"/>
    <w:rsid w:val="00D96841"/>
    <w:rsid w:val="00D96BC6"/>
    <w:rsid w:val="00D96C02"/>
    <w:rsid w:val="00D96CEF"/>
    <w:rsid w:val="00D97428"/>
    <w:rsid w:val="00D975E3"/>
    <w:rsid w:val="00D97BBF"/>
    <w:rsid w:val="00D97DD1"/>
    <w:rsid w:val="00DA0051"/>
    <w:rsid w:val="00DA0797"/>
    <w:rsid w:val="00DA0BC4"/>
    <w:rsid w:val="00DA16D7"/>
    <w:rsid w:val="00DA1889"/>
    <w:rsid w:val="00DA1C72"/>
    <w:rsid w:val="00DA1FEC"/>
    <w:rsid w:val="00DA20B8"/>
    <w:rsid w:val="00DA2114"/>
    <w:rsid w:val="00DA22A3"/>
    <w:rsid w:val="00DA243F"/>
    <w:rsid w:val="00DA24D8"/>
    <w:rsid w:val="00DA253A"/>
    <w:rsid w:val="00DA289A"/>
    <w:rsid w:val="00DA291C"/>
    <w:rsid w:val="00DA2C19"/>
    <w:rsid w:val="00DA2DE5"/>
    <w:rsid w:val="00DA31CE"/>
    <w:rsid w:val="00DA33E6"/>
    <w:rsid w:val="00DA3557"/>
    <w:rsid w:val="00DA391E"/>
    <w:rsid w:val="00DA3B41"/>
    <w:rsid w:val="00DA3BB0"/>
    <w:rsid w:val="00DA4442"/>
    <w:rsid w:val="00DA46A3"/>
    <w:rsid w:val="00DA46B6"/>
    <w:rsid w:val="00DA46B7"/>
    <w:rsid w:val="00DA48BC"/>
    <w:rsid w:val="00DA49D2"/>
    <w:rsid w:val="00DA4A22"/>
    <w:rsid w:val="00DA4D60"/>
    <w:rsid w:val="00DA4E0A"/>
    <w:rsid w:val="00DA4F14"/>
    <w:rsid w:val="00DA4FE6"/>
    <w:rsid w:val="00DA5182"/>
    <w:rsid w:val="00DA534F"/>
    <w:rsid w:val="00DA5599"/>
    <w:rsid w:val="00DA5640"/>
    <w:rsid w:val="00DA5AF4"/>
    <w:rsid w:val="00DA5B1F"/>
    <w:rsid w:val="00DA5B42"/>
    <w:rsid w:val="00DA6ED1"/>
    <w:rsid w:val="00DA75EC"/>
    <w:rsid w:val="00DA7D7E"/>
    <w:rsid w:val="00DA7DB6"/>
    <w:rsid w:val="00DA7DF3"/>
    <w:rsid w:val="00DB02A7"/>
    <w:rsid w:val="00DB07EE"/>
    <w:rsid w:val="00DB0BA2"/>
    <w:rsid w:val="00DB0C73"/>
    <w:rsid w:val="00DB0DE4"/>
    <w:rsid w:val="00DB1700"/>
    <w:rsid w:val="00DB183D"/>
    <w:rsid w:val="00DB184B"/>
    <w:rsid w:val="00DB197C"/>
    <w:rsid w:val="00DB19AC"/>
    <w:rsid w:val="00DB19EE"/>
    <w:rsid w:val="00DB1A21"/>
    <w:rsid w:val="00DB1BCD"/>
    <w:rsid w:val="00DB1D06"/>
    <w:rsid w:val="00DB1D37"/>
    <w:rsid w:val="00DB20CA"/>
    <w:rsid w:val="00DB23A5"/>
    <w:rsid w:val="00DB2D19"/>
    <w:rsid w:val="00DB2D8D"/>
    <w:rsid w:val="00DB3079"/>
    <w:rsid w:val="00DB3183"/>
    <w:rsid w:val="00DB33C0"/>
    <w:rsid w:val="00DB3694"/>
    <w:rsid w:val="00DB3A07"/>
    <w:rsid w:val="00DB4313"/>
    <w:rsid w:val="00DB434A"/>
    <w:rsid w:val="00DB483B"/>
    <w:rsid w:val="00DB4CBB"/>
    <w:rsid w:val="00DB549B"/>
    <w:rsid w:val="00DB597D"/>
    <w:rsid w:val="00DB59DD"/>
    <w:rsid w:val="00DB5A6A"/>
    <w:rsid w:val="00DB5AE0"/>
    <w:rsid w:val="00DB5EDE"/>
    <w:rsid w:val="00DB5FC1"/>
    <w:rsid w:val="00DB5FF4"/>
    <w:rsid w:val="00DB6037"/>
    <w:rsid w:val="00DB6428"/>
    <w:rsid w:val="00DB656C"/>
    <w:rsid w:val="00DB65D9"/>
    <w:rsid w:val="00DB66D5"/>
    <w:rsid w:val="00DB6950"/>
    <w:rsid w:val="00DB697E"/>
    <w:rsid w:val="00DB6992"/>
    <w:rsid w:val="00DB6A17"/>
    <w:rsid w:val="00DB6BAF"/>
    <w:rsid w:val="00DB6F26"/>
    <w:rsid w:val="00DB7056"/>
    <w:rsid w:val="00DB72EB"/>
    <w:rsid w:val="00DB7414"/>
    <w:rsid w:val="00DB7B1D"/>
    <w:rsid w:val="00DB7B21"/>
    <w:rsid w:val="00DB7B59"/>
    <w:rsid w:val="00DB7C29"/>
    <w:rsid w:val="00DC01A3"/>
    <w:rsid w:val="00DC04D5"/>
    <w:rsid w:val="00DC073E"/>
    <w:rsid w:val="00DC079D"/>
    <w:rsid w:val="00DC0B27"/>
    <w:rsid w:val="00DC0C73"/>
    <w:rsid w:val="00DC0EC8"/>
    <w:rsid w:val="00DC11E2"/>
    <w:rsid w:val="00DC1255"/>
    <w:rsid w:val="00DC1614"/>
    <w:rsid w:val="00DC1709"/>
    <w:rsid w:val="00DC1723"/>
    <w:rsid w:val="00DC1782"/>
    <w:rsid w:val="00DC1880"/>
    <w:rsid w:val="00DC1A7E"/>
    <w:rsid w:val="00DC1E0A"/>
    <w:rsid w:val="00DC2078"/>
    <w:rsid w:val="00DC22C4"/>
    <w:rsid w:val="00DC2453"/>
    <w:rsid w:val="00DC2635"/>
    <w:rsid w:val="00DC3960"/>
    <w:rsid w:val="00DC44E8"/>
    <w:rsid w:val="00DC4602"/>
    <w:rsid w:val="00DC4800"/>
    <w:rsid w:val="00DC49D1"/>
    <w:rsid w:val="00DC4C7D"/>
    <w:rsid w:val="00DC4DA8"/>
    <w:rsid w:val="00DC50F9"/>
    <w:rsid w:val="00DC547C"/>
    <w:rsid w:val="00DC5581"/>
    <w:rsid w:val="00DC56F0"/>
    <w:rsid w:val="00DC59E8"/>
    <w:rsid w:val="00DC5B29"/>
    <w:rsid w:val="00DC5B84"/>
    <w:rsid w:val="00DC604B"/>
    <w:rsid w:val="00DC6264"/>
    <w:rsid w:val="00DC64D8"/>
    <w:rsid w:val="00DC66A2"/>
    <w:rsid w:val="00DC66D9"/>
    <w:rsid w:val="00DC6B1E"/>
    <w:rsid w:val="00DC6BE7"/>
    <w:rsid w:val="00DC6E3B"/>
    <w:rsid w:val="00DC6EF5"/>
    <w:rsid w:val="00DC710A"/>
    <w:rsid w:val="00DC7263"/>
    <w:rsid w:val="00DC732D"/>
    <w:rsid w:val="00DC73DE"/>
    <w:rsid w:val="00DC7AEF"/>
    <w:rsid w:val="00DC7BAF"/>
    <w:rsid w:val="00DC7E43"/>
    <w:rsid w:val="00DD0013"/>
    <w:rsid w:val="00DD01D7"/>
    <w:rsid w:val="00DD0229"/>
    <w:rsid w:val="00DD03A9"/>
    <w:rsid w:val="00DD04FC"/>
    <w:rsid w:val="00DD07ED"/>
    <w:rsid w:val="00DD0832"/>
    <w:rsid w:val="00DD0B15"/>
    <w:rsid w:val="00DD0CA2"/>
    <w:rsid w:val="00DD0D05"/>
    <w:rsid w:val="00DD0EB4"/>
    <w:rsid w:val="00DD115C"/>
    <w:rsid w:val="00DD11A4"/>
    <w:rsid w:val="00DD126E"/>
    <w:rsid w:val="00DD1380"/>
    <w:rsid w:val="00DD1428"/>
    <w:rsid w:val="00DD1454"/>
    <w:rsid w:val="00DD169A"/>
    <w:rsid w:val="00DD170E"/>
    <w:rsid w:val="00DD21BF"/>
    <w:rsid w:val="00DD28E8"/>
    <w:rsid w:val="00DD292F"/>
    <w:rsid w:val="00DD2D75"/>
    <w:rsid w:val="00DD357F"/>
    <w:rsid w:val="00DD366F"/>
    <w:rsid w:val="00DD3826"/>
    <w:rsid w:val="00DD3BD3"/>
    <w:rsid w:val="00DD3C27"/>
    <w:rsid w:val="00DD3C9B"/>
    <w:rsid w:val="00DD3E99"/>
    <w:rsid w:val="00DD40B8"/>
    <w:rsid w:val="00DD5023"/>
    <w:rsid w:val="00DD513F"/>
    <w:rsid w:val="00DD515D"/>
    <w:rsid w:val="00DD5290"/>
    <w:rsid w:val="00DD5341"/>
    <w:rsid w:val="00DD55D4"/>
    <w:rsid w:val="00DD57E0"/>
    <w:rsid w:val="00DD5D80"/>
    <w:rsid w:val="00DD6357"/>
    <w:rsid w:val="00DD64F9"/>
    <w:rsid w:val="00DD679C"/>
    <w:rsid w:val="00DD69A0"/>
    <w:rsid w:val="00DD6ACA"/>
    <w:rsid w:val="00DD6C7A"/>
    <w:rsid w:val="00DD6E55"/>
    <w:rsid w:val="00DD74A0"/>
    <w:rsid w:val="00DD77B7"/>
    <w:rsid w:val="00DD79AF"/>
    <w:rsid w:val="00DD7A48"/>
    <w:rsid w:val="00DD7E13"/>
    <w:rsid w:val="00DD7EC7"/>
    <w:rsid w:val="00DD7EED"/>
    <w:rsid w:val="00DE0414"/>
    <w:rsid w:val="00DE04D1"/>
    <w:rsid w:val="00DE04FA"/>
    <w:rsid w:val="00DE0622"/>
    <w:rsid w:val="00DE06D8"/>
    <w:rsid w:val="00DE06FA"/>
    <w:rsid w:val="00DE0D68"/>
    <w:rsid w:val="00DE1122"/>
    <w:rsid w:val="00DE1411"/>
    <w:rsid w:val="00DE14AB"/>
    <w:rsid w:val="00DE1C55"/>
    <w:rsid w:val="00DE1CE6"/>
    <w:rsid w:val="00DE25D0"/>
    <w:rsid w:val="00DE2821"/>
    <w:rsid w:val="00DE2A30"/>
    <w:rsid w:val="00DE2DAB"/>
    <w:rsid w:val="00DE2E73"/>
    <w:rsid w:val="00DE2FB8"/>
    <w:rsid w:val="00DE3607"/>
    <w:rsid w:val="00DE39B2"/>
    <w:rsid w:val="00DE3CCD"/>
    <w:rsid w:val="00DE3CEA"/>
    <w:rsid w:val="00DE3FF1"/>
    <w:rsid w:val="00DE4B0F"/>
    <w:rsid w:val="00DE4B61"/>
    <w:rsid w:val="00DE4B72"/>
    <w:rsid w:val="00DE4BBE"/>
    <w:rsid w:val="00DE5069"/>
    <w:rsid w:val="00DE51B7"/>
    <w:rsid w:val="00DE54D1"/>
    <w:rsid w:val="00DE5689"/>
    <w:rsid w:val="00DE57AF"/>
    <w:rsid w:val="00DE5920"/>
    <w:rsid w:val="00DE5BC3"/>
    <w:rsid w:val="00DE5C80"/>
    <w:rsid w:val="00DE6562"/>
    <w:rsid w:val="00DE667B"/>
    <w:rsid w:val="00DE67E5"/>
    <w:rsid w:val="00DE7105"/>
    <w:rsid w:val="00DE7111"/>
    <w:rsid w:val="00DE7238"/>
    <w:rsid w:val="00DE7543"/>
    <w:rsid w:val="00DE778D"/>
    <w:rsid w:val="00DE7A66"/>
    <w:rsid w:val="00DF0088"/>
    <w:rsid w:val="00DF02AF"/>
    <w:rsid w:val="00DF032D"/>
    <w:rsid w:val="00DF05D4"/>
    <w:rsid w:val="00DF0B8A"/>
    <w:rsid w:val="00DF0E68"/>
    <w:rsid w:val="00DF1868"/>
    <w:rsid w:val="00DF1ADE"/>
    <w:rsid w:val="00DF1C17"/>
    <w:rsid w:val="00DF244A"/>
    <w:rsid w:val="00DF29FE"/>
    <w:rsid w:val="00DF2B4E"/>
    <w:rsid w:val="00DF2BB6"/>
    <w:rsid w:val="00DF2F73"/>
    <w:rsid w:val="00DF32EF"/>
    <w:rsid w:val="00DF36E3"/>
    <w:rsid w:val="00DF3879"/>
    <w:rsid w:val="00DF387A"/>
    <w:rsid w:val="00DF38EA"/>
    <w:rsid w:val="00DF3D94"/>
    <w:rsid w:val="00DF40E8"/>
    <w:rsid w:val="00DF44CF"/>
    <w:rsid w:val="00DF4867"/>
    <w:rsid w:val="00DF4AE1"/>
    <w:rsid w:val="00DF4B0D"/>
    <w:rsid w:val="00DF4C2A"/>
    <w:rsid w:val="00DF51CD"/>
    <w:rsid w:val="00DF528B"/>
    <w:rsid w:val="00DF5678"/>
    <w:rsid w:val="00DF56C5"/>
    <w:rsid w:val="00DF5852"/>
    <w:rsid w:val="00DF595E"/>
    <w:rsid w:val="00DF59F0"/>
    <w:rsid w:val="00DF5DDF"/>
    <w:rsid w:val="00DF6158"/>
    <w:rsid w:val="00DF626A"/>
    <w:rsid w:val="00DF63E3"/>
    <w:rsid w:val="00DF64F6"/>
    <w:rsid w:val="00DF654E"/>
    <w:rsid w:val="00DF666C"/>
    <w:rsid w:val="00DF69D7"/>
    <w:rsid w:val="00DF6B8C"/>
    <w:rsid w:val="00DF6B93"/>
    <w:rsid w:val="00DF6C35"/>
    <w:rsid w:val="00DF6EB2"/>
    <w:rsid w:val="00DF72AF"/>
    <w:rsid w:val="00DF7423"/>
    <w:rsid w:val="00DF763F"/>
    <w:rsid w:val="00DF794F"/>
    <w:rsid w:val="00DF7A0A"/>
    <w:rsid w:val="00E0021C"/>
    <w:rsid w:val="00E00456"/>
    <w:rsid w:val="00E004E6"/>
    <w:rsid w:val="00E005A2"/>
    <w:rsid w:val="00E0065C"/>
    <w:rsid w:val="00E00B9A"/>
    <w:rsid w:val="00E0190C"/>
    <w:rsid w:val="00E01A2B"/>
    <w:rsid w:val="00E01CD5"/>
    <w:rsid w:val="00E01D79"/>
    <w:rsid w:val="00E02831"/>
    <w:rsid w:val="00E02921"/>
    <w:rsid w:val="00E02A24"/>
    <w:rsid w:val="00E02E2E"/>
    <w:rsid w:val="00E037FB"/>
    <w:rsid w:val="00E03BF7"/>
    <w:rsid w:val="00E03FE1"/>
    <w:rsid w:val="00E03FFD"/>
    <w:rsid w:val="00E0425A"/>
    <w:rsid w:val="00E04410"/>
    <w:rsid w:val="00E04D5B"/>
    <w:rsid w:val="00E050BF"/>
    <w:rsid w:val="00E050C6"/>
    <w:rsid w:val="00E050D4"/>
    <w:rsid w:val="00E050D9"/>
    <w:rsid w:val="00E052C0"/>
    <w:rsid w:val="00E0544B"/>
    <w:rsid w:val="00E054AF"/>
    <w:rsid w:val="00E056CB"/>
    <w:rsid w:val="00E057D1"/>
    <w:rsid w:val="00E05B99"/>
    <w:rsid w:val="00E06072"/>
    <w:rsid w:val="00E060B0"/>
    <w:rsid w:val="00E0635C"/>
    <w:rsid w:val="00E063FD"/>
    <w:rsid w:val="00E06AE7"/>
    <w:rsid w:val="00E06CE0"/>
    <w:rsid w:val="00E06E8F"/>
    <w:rsid w:val="00E07007"/>
    <w:rsid w:val="00E071B8"/>
    <w:rsid w:val="00E07319"/>
    <w:rsid w:val="00E07579"/>
    <w:rsid w:val="00E07610"/>
    <w:rsid w:val="00E101C8"/>
    <w:rsid w:val="00E10234"/>
    <w:rsid w:val="00E10458"/>
    <w:rsid w:val="00E105B6"/>
    <w:rsid w:val="00E106D0"/>
    <w:rsid w:val="00E10CB9"/>
    <w:rsid w:val="00E10E02"/>
    <w:rsid w:val="00E11273"/>
    <w:rsid w:val="00E11359"/>
    <w:rsid w:val="00E116D7"/>
    <w:rsid w:val="00E11724"/>
    <w:rsid w:val="00E11DB7"/>
    <w:rsid w:val="00E11F48"/>
    <w:rsid w:val="00E12229"/>
    <w:rsid w:val="00E12696"/>
    <w:rsid w:val="00E127B6"/>
    <w:rsid w:val="00E1282B"/>
    <w:rsid w:val="00E12852"/>
    <w:rsid w:val="00E1298A"/>
    <w:rsid w:val="00E129D9"/>
    <w:rsid w:val="00E13293"/>
    <w:rsid w:val="00E13372"/>
    <w:rsid w:val="00E13810"/>
    <w:rsid w:val="00E13BEC"/>
    <w:rsid w:val="00E13E81"/>
    <w:rsid w:val="00E14795"/>
    <w:rsid w:val="00E14890"/>
    <w:rsid w:val="00E14A14"/>
    <w:rsid w:val="00E14A2C"/>
    <w:rsid w:val="00E14CB7"/>
    <w:rsid w:val="00E157E6"/>
    <w:rsid w:val="00E15C24"/>
    <w:rsid w:val="00E15C7E"/>
    <w:rsid w:val="00E15E1C"/>
    <w:rsid w:val="00E162B7"/>
    <w:rsid w:val="00E164F2"/>
    <w:rsid w:val="00E16E4F"/>
    <w:rsid w:val="00E16FA0"/>
    <w:rsid w:val="00E171DD"/>
    <w:rsid w:val="00E1777C"/>
    <w:rsid w:val="00E1785F"/>
    <w:rsid w:val="00E17A4A"/>
    <w:rsid w:val="00E17B08"/>
    <w:rsid w:val="00E17E71"/>
    <w:rsid w:val="00E200AA"/>
    <w:rsid w:val="00E2011E"/>
    <w:rsid w:val="00E20763"/>
    <w:rsid w:val="00E2087D"/>
    <w:rsid w:val="00E20ACE"/>
    <w:rsid w:val="00E20E23"/>
    <w:rsid w:val="00E20FCC"/>
    <w:rsid w:val="00E212DF"/>
    <w:rsid w:val="00E213A3"/>
    <w:rsid w:val="00E214B6"/>
    <w:rsid w:val="00E214D5"/>
    <w:rsid w:val="00E21A5C"/>
    <w:rsid w:val="00E21A94"/>
    <w:rsid w:val="00E21E22"/>
    <w:rsid w:val="00E21FC6"/>
    <w:rsid w:val="00E2217A"/>
    <w:rsid w:val="00E2225C"/>
    <w:rsid w:val="00E2239B"/>
    <w:rsid w:val="00E22798"/>
    <w:rsid w:val="00E228E6"/>
    <w:rsid w:val="00E22F04"/>
    <w:rsid w:val="00E23017"/>
    <w:rsid w:val="00E23A09"/>
    <w:rsid w:val="00E23A10"/>
    <w:rsid w:val="00E23C2C"/>
    <w:rsid w:val="00E24322"/>
    <w:rsid w:val="00E2463E"/>
    <w:rsid w:val="00E24818"/>
    <w:rsid w:val="00E25057"/>
    <w:rsid w:val="00E255B2"/>
    <w:rsid w:val="00E256D9"/>
    <w:rsid w:val="00E25B6A"/>
    <w:rsid w:val="00E26191"/>
    <w:rsid w:val="00E2650B"/>
    <w:rsid w:val="00E26773"/>
    <w:rsid w:val="00E26930"/>
    <w:rsid w:val="00E269E9"/>
    <w:rsid w:val="00E26A1A"/>
    <w:rsid w:val="00E26B9D"/>
    <w:rsid w:val="00E26DBD"/>
    <w:rsid w:val="00E26DCC"/>
    <w:rsid w:val="00E27676"/>
    <w:rsid w:val="00E3018B"/>
    <w:rsid w:val="00E3056F"/>
    <w:rsid w:val="00E30815"/>
    <w:rsid w:val="00E30AC5"/>
    <w:rsid w:val="00E30B2F"/>
    <w:rsid w:val="00E312B9"/>
    <w:rsid w:val="00E312E3"/>
    <w:rsid w:val="00E31366"/>
    <w:rsid w:val="00E3170F"/>
    <w:rsid w:val="00E31740"/>
    <w:rsid w:val="00E31938"/>
    <w:rsid w:val="00E319E5"/>
    <w:rsid w:val="00E31D67"/>
    <w:rsid w:val="00E31E3F"/>
    <w:rsid w:val="00E32229"/>
    <w:rsid w:val="00E32398"/>
    <w:rsid w:val="00E3288D"/>
    <w:rsid w:val="00E32D8F"/>
    <w:rsid w:val="00E32D9B"/>
    <w:rsid w:val="00E32DBA"/>
    <w:rsid w:val="00E32F1F"/>
    <w:rsid w:val="00E3317F"/>
    <w:rsid w:val="00E331AA"/>
    <w:rsid w:val="00E332ED"/>
    <w:rsid w:val="00E33A16"/>
    <w:rsid w:val="00E33C9E"/>
    <w:rsid w:val="00E33D07"/>
    <w:rsid w:val="00E34521"/>
    <w:rsid w:val="00E34652"/>
    <w:rsid w:val="00E3465A"/>
    <w:rsid w:val="00E348FE"/>
    <w:rsid w:val="00E34BAD"/>
    <w:rsid w:val="00E34F80"/>
    <w:rsid w:val="00E35108"/>
    <w:rsid w:val="00E353F4"/>
    <w:rsid w:val="00E35583"/>
    <w:rsid w:val="00E35AA6"/>
    <w:rsid w:val="00E35AFF"/>
    <w:rsid w:val="00E35DE8"/>
    <w:rsid w:val="00E3612C"/>
    <w:rsid w:val="00E3621A"/>
    <w:rsid w:val="00E362B0"/>
    <w:rsid w:val="00E363CB"/>
    <w:rsid w:val="00E3652F"/>
    <w:rsid w:val="00E369CF"/>
    <w:rsid w:val="00E36A56"/>
    <w:rsid w:val="00E36A71"/>
    <w:rsid w:val="00E36FEF"/>
    <w:rsid w:val="00E37188"/>
    <w:rsid w:val="00E37245"/>
    <w:rsid w:val="00E37871"/>
    <w:rsid w:val="00E37A9B"/>
    <w:rsid w:val="00E37AAD"/>
    <w:rsid w:val="00E4002B"/>
    <w:rsid w:val="00E400BC"/>
    <w:rsid w:val="00E400E1"/>
    <w:rsid w:val="00E4019B"/>
    <w:rsid w:val="00E4024A"/>
    <w:rsid w:val="00E40434"/>
    <w:rsid w:val="00E407F6"/>
    <w:rsid w:val="00E40837"/>
    <w:rsid w:val="00E40F30"/>
    <w:rsid w:val="00E41640"/>
    <w:rsid w:val="00E4176F"/>
    <w:rsid w:val="00E417C1"/>
    <w:rsid w:val="00E41CA2"/>
    <w:rsid w:val="00E41E36"/>
    <w:rsid w:val="00E41FE5"/>
    <w:rsid w:val="00E41FF3"/>
    <w:rsid w:val="00E42050"/>
    <w:rsid w:val="00E423BB"/>
    <w:rsid w:val="00E42482"/>
    <w:rsid w:val="00E424CF"/>
    <w:rsid w:val="00E4258C"/>
    <w:rsid w:val="00E4278E"/>
    <w:rsid w:val="00E42B17"/>
    <w:rsid w:val="00E42D85"/>
    <w:rsid w:val="00E42EC5"/>
    <w:rsid w:val="00E4319E"/>
    <w:rsid w:val="00E433B3"/>
    <w:rsid w:val="00E434DF"/>
    <w:rsid w:val="00E4351A"/>
    <w:rsid w:val="00E43610"/>
    <w:rsid w:val="00E437F8"/>
    <w:rsid w:val="00E439AD"/>
    <w:rsid w:val="00E43CEF"/>
    <w:rsid w:val="00E44450"/>
    <w:rsid w:val="00E44748"/>
    <w:rsid w:val="00E448C5"/>
    <w:rsid w:val="00E4498B"/>
    <w:rsid w:val="00E4502F"/>
    <w:rsid w:val="00E4508E"/>
    <w:rsid w:val="00E454CC"/>
    <w:rsid w:val="00E45525"/>
    <w:rsid w:val="00E458B3"/>
    <w:rsid w:val="00E458CD"/>
    <w:rsid w:val="00E45923"/>
    <w:rsid w:val="00E461DF"/>
    <w:rsid w:val="00E46530"/>
    <w:rsid w:val="00E46570"/>
    <w:rsid w:val="00E4674B"/>
    <w:rsid w:val="00E46916"/>
    <w:rsid w:val="00E46B73"/>
    <w:rsid w:val="00E46E06"/>
    <w:rsid w:val="00E47063"/>
    <w:rsid w:val="00E47064"/>
    <w:rsid w:val="00E479C8"/>
    <w:rsid w:val="00E47A17"/>
    <w:rsid w:val="00E47E7A"/>
    <w:rsid w:val="00E50275"/>
    <w:rsid w:val="00E50455"/>
    <w:rsid w:val="00E505ED"/>
    <w:rsid w:val="00E5088A"/>
    <w:rsid w:val="00E50A13"/>
    <w:rsid w:val="00E50AB1"/>
    <w:rsid w:val="00E50BFB"/>
    <w:rsid w:val="00E50E60"/>
    <w:rsid w:val="00E51156"/>
    <w:rsid w:val="00E5148F"/>
    <w:rsid w:val="00E5189B"/>
    <w:rsid w:val="00E51AFA"/>
    <w:rsid w:val="00E525EF"/>
    <w:rsid w:val="00E52E7B"/>
    <w:rsid w:val="00E53389"/>
    <w:rsid w:val="00E534C1"/>
    <w:rsid w:val="00E53BC4"/>
    <w:rsid w:val="00E53EA3"/>
    <w:rsid w:val="00E53F36"/>
    <w:rsid w:val="00E54046"/>
    <w:rsid w:val="00E544BD"/>
    <w:rsid w:val="00E545C2"/>
    <w:rsid w:val="00E5490E"/>
    <w:rsid w:val="00E54A92"/>
    <w:rsid w:val="00E54AA3"/>
    <w:rsid w:val="00E54AD9"/>
    <w:rsid w:val="00E54DEA"/>
    <w:rsid w:val="00E54E6C"/>
    <w:rsid w:val="00E555C7"/>
    <w:rsid w:val="00E55848"/>
    <w:rsid w:val="00E558F0"/>
    <w:rsid w:val="00E55B13"/>
    <w:rsid w:val="00E55C16"/>
    <w:rsid w:val="00E55D86"/>
    <w:rsid w:val="00E55FFF"/>
    <w:rsid w:val="00E5626B"/>
    <w:rsid w:val="00E562CE"/>
    <w:rsid w:val="00E562EE"/>
    <w:rsid w:val="00E563FE"/>
    <w:rsid w:val="00E56B97"/>
    <w:rsid w:val="00E56C06"/>
    <w:rsid w:val="00E56E9B"/>
    <w:rsid w:val="00E56FD9"/>
    <w:rsid w:val="00E570F3"/>
    <w:rsid w:val="00E57230"/>
    <w:rsid w:val="00E5769D"/>
    <w:rsid w:val="00E57F6B"/>
    <w:rsid w:val="00E600D8"/>
    <w:rsid w:val="00E6027B"/>
    <w:rsid w:val="00E60405"/>
    <w:rsid w:val="00E605A5"/>
    <w:rsid w:val="00E606E8"/>
    <w:rsid w:val="00E60F1E"/>
    <w:rsid w:val="00E611CE"/>
    <w:rsid w:val="00E6123E"/>
    <w:rsid w:val="00E618C7"/>
    <w:rsid w:val="00E61A1E"/>
    <w:rsid w:val="00E62033"/>
    <w:rsid w:val="00E622CB"/>
    <w:rsid w:val="00E624D2"/>
    <w:rsid w:val="00E62B52"/>
    <w:rsid w:val="00E62C84"/>
    <w:rsid w:val="00E62F84"/>
    <w:rsid w:val="00E630DF"/>
    <w:rsid w:val="00E631E8"/>
    <w:rsid w:val="00E637DF"/>
    <w:rsid w:val="00E638CF"/>
    <w:rsid w:val="00E6393A"/>
    <w:rsid w:val="00E63A13"/>
    <w:rsid w:val="00E63A47"/>
    <w:rsid w:val="00E63EAF"/>
    <w:rsid w:val="00E642F0"/>
    <w:rsid w:val="00E64698"/>
    <w:rsid w:val="00E6478F"/>
    <w:rsid w:val="00E64A1C"/>
    <w:rsid w:val="00E64AC5"/>
    <w:rsid w:val="00E64AEF"/>
    <w:rsid w:val="00E64B40"/>
    <w:rsid w:val="00E64B74"/>
    <w:rsid w:val="00E64DA9"/>
    <w:rsid w:val="00E64E4F"/>
    <w:rsid w:val="00E65271"/>
    <w:rsid w:val="00E654AB"/>
    <w:rsid w:val="00E656F1"/>
    <w:rsid w:val="00E65743"/>
    <w:rsid w:val="00E65A9B"/>
    <w:rsid w:val="00E6687D"/>
    <w:rsid w:val="00E66AA2"/>
    <w:rsid w:val="00E66DD6"/>
    <w:rsid w:val="00E66E9F"/>
    <w:rsid w:val="00E66FCD"/>
    <w:rsid w:val="00E6701D"/>
    <w:rsid w:val="00E67889"/>
    <w:rsid w:val="00E67A49"/>
    <w:rsid w:val="00E67BD0"/>
    <w:rsid w:val="00E67E13"/>
    <w:rsid w:val="00E67F06"/>
    <w:rsid w:val="00E7016E"/>
    <w:rsid w:val="00E701B3"/>
    <w:rsid w:val="00E704B9"/>
    <w:rsid w:val="00E704DE"/>
    <w:rsid w:val="00E704F7"/>
    <w:rsid w:val="00E70510"/>
    <w:rsid w:val="00E706B1"/>
    <w:rsid w:val="00E70B2A"/>
    <w:rsid w:val="00E70B5E"/>
    <w:rsid w:val="00E71669"/>
    <w:rsid w:val="00E71970"/>
    <w:rsid w:val="00E72441"/>
    <w:rsid w:val="00E72B2B"/>
    <w:rsid w:val="00E732D4"/>
    <w:rsid w:val="00E735D6"/>
    <w:rsid w:val="00E73A63"/>
    <w:rsid w:val="00E73ACC"/>
    <w:rsid w:val="00E73D28"/>
    <w:rsid w:val="00E73EAE"/>
    <w:rsid w:val="00E74C24"/>
    <w:rsid w:val="00E74D35"/>
    <w:rsid w:val="00E751D6"/>
    <w:rsid w:val="00E75208"/>
    <w:rsid w:val="00E75272"/>
    <w:rsid w:val="00E75549"/>
    <w:rsid w:val="00E75835"/>
    <w:rsid w:val="00E758CA"/>
    <w:rsid w:val="00E758DE"/>
    <w:rsid w:val="00E7593E"/>
    <w:rsid w:val="00E75A57"/>
    <w:rsid w:val="00E75DF7"/>
    <w:rsid w:val="00E75F60"/>
    <w:rsid w:val="00E7637A"/>
    <w:rsid w:val="00E767EA"/>
    <w:rsid w:val="00E76B2A"/>
    <w:rsid w:val="00E76B4C"/>
    <w:rsid w:val="00E77741"/>
    <w:rsid w:val="00E779F3"/>
    <w:rsid w:val="00E80252"/>
    <w:rsid w:val="00E80382"/>
    <w:rsid w:val="00E80659"/>
    <w:rsid w:val="00E80901"/>
    <w:rsid w:val="00E8090A"/>
    <w:rsid w:val="00E80B87"/>
    <w:rsid w:val="00E80D3B"/>
    <w:rsid w:val="00E80F0C"/>
    <w:rsid w:val="00E8120D"/>
    <w:rsid w:val="00E814DA"/>
    <w:rsid w:val="00E819EE"/>
    <w:rsid w:val="00E81CAB"/>
    <w:rsid w:val="00E81D4E"/>
    <w:rsid w:val="00E81E50"/>
    <w:rsid w:val="00E81E79"/>
    <w:rsid w:val="00E81E90"/>
    <w:rsid w:val="00E821C7"/>
    <w:rsid w:val="00E823BF"/>
    <w:rsid w:val="00E823D8"/>
    <w:rsid w:val="00E82802"/>
    <w:rsid w:val="00E82837"/>
    <w:rsid w:val="00E82879"/>
    <w:rsid w:val="00E82915"/>
    <w:rsid w:val="00E82B61"/>
    <w:rsid w:val="00E83017"/>
    <w:rsid w:val="00E830F0"/>
    <w:rsid w:val="00E83203"/>
    <w:rsid w:val="00E83406"/>
    <w:rsid w:val="00E83429"/>
    <w:rsid w:val="00E834C1"/>
    <w:rsid w:val="00E83795"/>
    <w:rsid w:val="00E837E0"/>
    <w:rsid w:val="00E83A18"/>
    <w:rsid w:val="00E83C98"/>
    <w:rsid w:val="00E840AD"/>
    <w:rsid w:val="00E840ED"/>
    <w:rsid w:val="00E84123"/>
    <w:rsid w:val="00E84284"/>
    <w:rsid w:val="00E845CC"/>
    <w:rsid w:val="00E84705"/>
    <w:rsid w:val="00E84B47"/>
    <w:rsid w:val="00E851A2"/>
    <w:rsid w:val="00E85307"/>
    <w:rsid w:val="00E8543C"/>
    <w:rsid w:val="00E8552A"/>
    <w:rsid w:val="00E85789"/>
    <w:rsid w:val="00E85B39"/>
    <w:rsid w:val="00E8608B"/>
    <w:rsid w:val="00E86306"/>
    <w:rsid w:val="00E864D7"/>
    <w:rsid w:val="00E869FE"/>
    <w:rsid w:val="00E86A64"/>
    <w:rsid w:val="00E8786F"/>
    <w:rsid w:val="00E87C2B"/>
    <w:rsid w:val="00E90179"/>
    <w:rsid w:val="00E90481"/>
    <w:rsid w:val="00E904EE"/>
    <w:rsid w:val="00E905B0"/>
    <w:rsid w:val="00E90657"/>
    <w:rsid w:val="00E90C2B"/>
    <w:rsid w:val="00E917BC"/>
    <w:rsid w:val="00E91F40"/>
    <w:rsid w:val="00E91FD5"/>
    <w:rsid w:val="00E9207E"/>
    <w:rsid w:val="00E92575"/>
    <w:rsid w:val="00E928E6"/>
    <w:rsid w:val="00E92A33"/>
    <w:rsid w:val="00E92ACC"/>
    <w:rsid w:val="00E92B09"/>
    <w:rsid w:val="00E92C71"/>
    <w:rsid w:val="00E92F78"/>
    <w:rsid w:val="00E9303C"/>
    <w:rsid w:val="00E93401"/>
    <w:rsid w:val="00E9344B"/>
    <w:rsid w:val="00E93640"/>
    <w:rsid w:val="00E93A1B"/>
    <w:rsid w:val="00E93AE7"/>
    <w:rsid w:val="00E93C8B"/>
    <w:rsid w:val="00E93CB5"/>
    <w:rsid w:val="00E93CF4"/>
    <w:rsid w:val="00E93DF0"/>
    <w:rsid w:val="00E93ECA"/>
    <w:rsid w:val="00E942D2"/>
    <w:rsid w:val="00E944BB"/>
    <w:rsid w:val="00E9483F"/>
    <w:rsid w:val="00E9487C"/>
    <w:rsid w:val="00E949E2"/>
    <w:rsid w:val="00E94CB2"/>
    <w:rsid w:val="00E95308"/>
    <w:rsid w:val="00E9530F"/>
    <w:rsid w:val="00E95315"/>
    <w:rsid w:val="00E9550A"/>
    <w:rsid w:val="00E95703"/>
    <w:rsid w:val="00E9619A"/>
    <w:rsid w:val="00E962E4"/>
    <w:rsid w:val="00E963CC"/>
    <w:rsid w:val="00E964C9"/>
    <w:rsid w:val="00E96578"/>
    <w:rsid w:val="00E96653"/>
    <w:rsid w:val="00E9668B"/>
    <w:rsid w:val="00E96FE5"/>
    <w:rsid w:val="00E97476"/>
    <w:rsid w:val="00E97593"/>
    <w:rsid w:val="00E978ED"/>
    <w:rsid w:val="00E97A8D"/>
    <w:rsid w:val="00E97AAA"/>
    <w:rsid w:val="00E97B81"/>
    <w:rsid w:val="00E97E24"/>
    <w:rsid w:val="00E97EB7"/>
    <w:rsid w:val="00E97FB7"/>
    <w:rsid w:val="00EA0058"/>
    <w:rsid w:val="00EA0409"/>
    <w:rsid w:val="00EA05A9"/>
    <w:rsid w:val="00EA09A1"/>
    <w:rsid w:val="00EA0F65"/>
    <w:rsid w:val="00EA1138"/>
    <w:rsid w:val="00EA17F9"/>
    <w:rsid w:val="00EA19C3"/>
    <w:rsid w:val="00EA2034"/>
    <w:rsid w:val="00EA2118"/>
    <w:rsid w:val="00EA25E5"/>
    <w:rsid w:val="00EA2B9B"/>
    <w:rsid w:val="00EA31B8"/>
    <w:rsid w:val="00EA3322"/>
    <w:rsid w:val="00EA3403"/>
    <w:rsid w:val="00EA35E8"/>
    <w:rsid w:val="00EA37DA"/>
    <w:rsid w:val="00EA3ADB"/>
    <w:rsid w:val="00EA3EA4"/>
    <w:rsid w:val="00EA432D"/>
    <w:rsid w:val="00EA48D8"/>
    <w:rsid w:val="00EA4A2D"/>
    <w:rsid w:val="00EA4A66"/>
    <w:rsid w:val="00EA4A9A"/>
    <w:rsid w:val="00EA4B1E"/>
    <w:rsid w:val="00EA4F9E"/>
    <w:rsid w:val="00EA4FC7"/>
    <w:rsid w:val="00EA5670"/>
    <w:rsid w:val="00EA5713"/>
    <w:rsid w:val="00EA5747"/>
    <w:rsid w:val="00EA5870"/>
    <w:rsid w:val="00EA590D"/>
    <w:rsid w:val="00EA59D0"/>
    <w:rsid w:val="00EA5E4D"/>
    <w:rsid w:val="00EA5E8E"/>
    <w:rsid w:val="00EA5EB6"/>
    <w:rsid w:val="00EA6306"/>
    <w:rsid w:val="00EA641B"/>
    <w:rsid w:val="00EA644D"/>
    <w:rsid w:val="00EA6950"/>
    <w:rsid w:val="00EA6AC2"/>
    <w:rsid w:val="00EA6BEF"/>
    <w:rsid w:val="00EA6D52"/>
    <w:rsid w:val="00EA7407"/>
    <w:rsid w:val="00EA7626"/>
    <w:rsid w:val="00EA7CCF"/>
    <w:rsid w:val="00EB0114"/>
    <w:rsid w:val="00EB02D9"/>
    <w:rsid w:val="00EB056E"/>
    <w:rsid w:val="00EB08A6"/>
    <w:rsid w:val="00EB091F"/>
    <w:rsid w:val="00EB09E3"/>
    <w:rsid w:val="00EB0AC6"/>
    <w:rsid w:val="00EB0B92"/>
    <w:rsid w:val="00EB12F7"/>
    <w:rsid w:val="00EB181C"/>
    <w:rsid w:val="00EB1836"/>
    <w:rsid w:val="00EB1BD9"/>
    <w:rsid w:val="00EB23E4"/>
    <w:rsid w:val="00EB26BD"/>
    <w:rsid w:val="00EB27AA"/>
    <w:rsid w:val="00EB2815"/>
    <w:rsid w:val="00EB29E7"/>
    <w:rsid w:val="00EB2A43"/>
    <w:rsid w:val="00EB2A69"/>
    <w:rsid w:val="00EB2B15"/>
    <w:rsid w:val="00EB2F1C"/>
    <w:rsid w:val="00EB38F4"/>
    <w:rsid w:val="00EB3D13"/>
    <w:rsid w:val="00EB3D6F"/>
    <w:rsid w:val="00EB3DAA"/>
    <w:rsid w:val="00EB40EC"/>
    <w:rsid w:val="00EB4712"/>
    <w:rsid w:val="00EB4780"/>
    <w:rsid w:val="00EB4AE7"/>
    <w:rsid w:val="00EB4F8D"/>
    <w:rsid w:val="00EB5186"/>
    <w:rsid w:val="00EB5195"/>
    <w:rsid w:val="00EB5393"/>
    <w:rsid w:val="00EB53F5"/>
    <w:rsid w:val="00EB5873"/>
    <w:rsid w:val="00EB5F5C"/>
    <w:rsid w:val="00EB5F6A"/>
    <w:rsid w:val="00EB5F78"/>
    <w:rsid w:val="00EB6770"/>
    <w:rsid w:val="00EB68DE"/>
    <w:rsid w:val="00EB6B53"/>
    <w:rsid w:val="00EB6CA5"/>
    <w:rsid w:val="00EB6F99"/>
    <w:rsid w:val="00EB71D2"/>
    <w:rsid w:val="00EB72D8"/>
    <w:rsid w:val="00EB7308"/>
    <w:rsid w:val="00EB73D1"/>
    <w:rsid w:val="00EB77FE"/>
    <w:rsid w:val="00EB7F02"/>
    <w:rsid w:val="00EC000F"/>
    <w:rsid w:val="00EC0189"/>
    <w:rsid w:val="00EC04FD"/>
    <w:rsid w:val="00EC05B8"/>
    <w:rsid w:val="00EC05DB"/>
    <w:rsid w:val="00EC07DB"/>
    <w:rsid w:val="00EC0AE7"/>
    <w:rsid w:val="00EC0BE0"/>
    <w:rsid w:val="00EC0F97"/>
    <w:rsid w:val="00EC16C0"/>
    <w:rsid w:val="00EC17AA"/>
    <w:rsid w:val="00EC19B9"/>
    <w:rsid w:val="00EC1B11"/>
    <w:rsid w:val="00EC1B75"/>
    <w:rsid w:val="00EC1DBA"/>
    <w:rsid w:val="00EC228A"/>
    <w:rsid w:val="00EC2673"/>
    <w:rsid w:val="00EC2712"/>
    <w:rsid w:val="00EC2FEF"/>
    <w:rsid w:val="00EC3107"/>
    <w:rsid w:val="00EC3552"/>
    <w:rsid w:val="00EC3C59"/>
    <w:rsid w:val="00EC3DBE"/>
    <w:rsid w:val="00EC3E62"/>
    <w:rsid w:val="00EC3F96"/>
    <w:rsid w:val="00EC401D"/>
    <w:rsid w:val="00EC419D"/>
    <w:rsid w:val="00EC4322"/>
    <w:rsid w:val="00EC43DF"/>
    <w:rsid w:val="00EC4492"/>
    <w:rsid w:val="00EC4780"/>
    <w:rsid w:val="00EC48FA"/>
    <w:rsid w:val="00EC4C18"/>
    <w:rsid w:val="00EC4E44"/>
    <w:rsid w:val="00EC5535"/>
    <w:rsid w:val="00EC55D3"/>
    <w:rsid w:val="00EC59E2"/>
    <w:rsid w:val="00EC5C73"/>
    <w:rsid w:val="00EC5F25"/>
    <w:rsid w:val="00EC6210"/>
    <w:rsid w:val="00EC6226"/>
    <w:rsid w:val="00EC64F5"/>
    <w:rsid w:val="00EC6B18"/>
    <w:rsid w:val="00EC6CD9"/>
    <w:rsid w:val="00EC6CF7"/>
    <w:rsid w:val="00EC6E6A"/>
    <w:rsid w:val="00EC6ECF"/>
    <w:rsid w:val="00EC6EE5"/>
    <w:rsid w:val="00EC6FE5"/>
    <w:rsid w:val="00EC70FF"/>
    <w:rsid w:val="00EC72C6"/>
    <w:rsid w:val="00EC73C9"/>
    <w:rsid w:val="00EC75C9"/>
    <w:rsid w:val="00ED0348"/>
    <w:rsid w:val="00ED0469"/>
    <w:rsid w:val="00ED05C0"/>
    <w:rsid w:val="00ED0B26"/>
    <w:rsid w:val="00ED0B35"/>
    <w:rsid w:val="00ED0EDD"/>
    <w:rsid w:val="00ED1242"/>
    <w:rsid w:val="00ED15B6"/>
    <w:rsid w:val="00ED1641"/>
    <w:rsid w:val="00ED1902"/>
    <w:rsid w:val="00ED1B13"/>
    <w:rsid w:val="00ED1F43"/>
    <w:rsid w:val="00ED219D"/>
    <w:rsid w:val="00ED23DC"/>
    <w:rsid w:val="00ED245F"/>
    <w:rsid w:val="00ED2477"/>
    <w:rsid w:val="00ED2510"/>
    <w:rsid w:val="00ED2C74"/>
    <w:rsid w:val="00ED316F"/>
    <w:rsid w:val="00ED31C4"/>
    <w:rsid w:val="00ED3722"/>
    <w:rsid w:val="00ED3A83"/>
    <w:rsid w:val="00ED3BB6"/>
    <w:rsid w:val="00ED3D90"/>
    <w:rsid w:val="00ED418C"/>
    <w:rsid w:val="00ED4288"/>
    <w:rsid w:val="00ED4AAC"/>
    <w:rsid w:val="00ED524D"/>
    <w:rsid w:val="00ED54F2"/>
    <w:rsid w:val="00ED5556"/>
    <w:rsid w:val="00ED56C4"/>
    <w:rsid w:val="00ED57E2"/>
    <w:rsid w:val="00ED5802"/>
    <w:rsid w:val="00ED5CDC"/>
    <w:rsid w:val="00ED5DD4"/>
    <w:rsid w:val="00ED61A6"/>
    <w:rsid w:val="00ED6710"/>
    <w:rsid w:val="00ED6ACE"/>
    <w:rsid w:val="00ED6D27"/>
    <w:rsid w:val="00ED6D42"/>
    <w:rsid w:val="00ED6D4A"/>
    <w:rsid w:val="00ED6E70"/>
    <w:rsid w:val="00ED715C"/>
    <w:rsid w:val="00ED74AE"/>
    <w:rsid w:val="00ED763D"/>
    <w:rsid w:val="00ED7743"/>
    <w:rsid w:val="00ED7CDF"/>
    <w:rsid w:val="00ED7F2F"/>
    <w:rsid w:val="00EE0337"/>
    <w:rsid w:val="00EE08B1"/>
    <w:rsid w:val="00EE091B"/>
    <w:rsid w:val="00EE0ACC"/>
    <w:rsid w:val="00EE0D1B"/>
    <w:rsid w:val="00EE0DF8"/>
    <w:rsid w:val="00EE1118"/>
    <w:rsid w:val="00EE1AA8"/>
    <w:rsid w:val="00EE1B8E"/>
    <w:rsid w:val="00EE2029"/>
    <w:rsid w:val="00EE20A1"/>
    <w:rsid w:val="00EE28EC"/>
    <w:rsid w:val="00EE2FE9"/>
    <w:rsid w:val="00EE3084"/>
    <w:rsid w:val="00EE371E"/>
    <w:rsid w:val="00EE375F"/>
    <w:rsid w:val="00EE3A5A"/>
    <w:rsid w:val="00EE3A73"/>
    <w:rsid w:val="00EE3F52"/>
    <w:rsid w:val="00EE40EE"/>
    <w:rsid w:val="00EE4682"/>
    <w:rsid w:val="00EE4732"/>
    <w:rsid w:val="00EE4A49"/>
    <w:rsid w:val="00EE4EAC"/>
    <w:rsid w:val="00EE50D0"/>
    <w:rsid w:val="00EE511B"/>
    <w:rsid w:val="00EE5577"/>
    <w:rsid w:val="00EE57D2"/>
    <w:rsid w:val="00EE5BFE"/>
    <w:rsid w:val="00EE5D9F"/>
    <w:rsid w:val="00EE604C"/>
    <w:rsid w:val="00EE60DC"/>
    <w:rsid w:val="00EE63CA"/>
    <w:rsid w:val="00EE6656"/>
    <w:rsid w:val="00EE6725"/>
    <w:rsid w:val="00EE6791"/>
    <w:rsid w:val="00EE67F6"/>
    <w:rsid w:val="00EE6A0D"/>
    <w:rsid w:val="00EE6E67"/>
    <w:rsid w:val="00EE6EAC"/>
    <w:rsid w:val="00EE7206"/>
    <w:rsid w:val="00EE7AE6"/>
    <w:rsid w:val="00EE7B54"/>
    <w:rsid w:val="00EE7C6B"/>
    <w:rsid w:val="00EE7D30"/>
    <w:rsid w:val="00EF007D"/>
    <w:rsid w:val="00EF06D1"/>
    <w:rsid w:val="00EF082D"/>
    <w:rsid w:val="00EF0B98"/>
    <w:rsid w:val="00EF0F25"/>
    <w:rsid w:val="00EF1532"/>
    <w:rsid w:val="00EF172E"/>
    <w:rsid w:val="00EF19E5"/>
    <w:rsid w:val="00EF1B98"/>
    <w:rsid w:val="00EF1BDB"/>
    <w:rsid w:val="00EF1D3A"/>
    <w:rsid w:val="00EF21E9"/>
    <w:rsid w:val="00EF22E2"/>
    <w:rsid w:val="00EF2712"/>
    <w:rsid w:val="00EF29C2"/>
    <w:rsid w:val="00EF2A2B"/>
    <w:rsid w:val="00EF2CC3"/>
    <w:rsid w:val="00EF2D4E"/>
    <w:rsid w:val="00EF2F1A"/>
    <w:rsid w:val="00EF2F75"/>
    <w:rsid w:val="00EF31C6"/>
    <w:rsid w:val="00EF34E5"/>
    <w:rsid w:val="00EF371B"/>
    <w:rsid w:val="00EF3AD4"/>
    <w:rsid w:val="00EF4489"/>
    <w:rsid w:val="00EF4A96"/>
    <w:rsid w:val="00EF4D3F"/>
    <w:rsid w:val="00EF4D4D"/>
    <w:rsid w:val="00EF4E5C"/>
    <w:rsid w:val="00EF5412"/>
    <w:rsid w:val="00EF55C6"/>
    <w:rsid w:val="00EF5D2C"/>
    <w:rsid w:val="00EF607E"/>
    <w:rsid w:val="00EF608C"/>
    <w:rsid w:val="00EF612F"/>
    <w:rsid w:val="00EF6229"/>
    <w:rsid w:val="00EF630F"/>
    <w:rsid w:val="00EF63D2"/>
    <w:rsid w:val="00EF6683"/>
    <w:rsid w:val="00EF674F"/>
    <w:rsid w:val="00EF6952"/>
    <w:rsid w:val="00EF69D1"/>
    <w:rsid w:val="00EF6B5F"/>
    <w:rsid w:val="00EF6FA5"/>
    <w:rsid w:val="00EF72E1"/>
    <w:rsid w:val="00EF7617"/>
    <w:rsid w:val="00EF78B5"/>
    <w:rsid w:val="00EF7AA5"/>
    <w:rsid w:val="00EF7C98"/>
    <w:rsid w:val="00F006C6"/>
    <w:rsid w:val="00F00AC0"/>
    <w:rsid w:val="00F00AD9"/>
    <w:rsid w:val="00F00E63"/>
    <w:rsid w:val="00F00F13"/>
    <w:rsid w:val="00F01C15"/>
    <w:rsid w:val="00F01CE3"/>
    <w:rsid w:val="00F0221A"/>
    <w:rsid w:val="00F02405"/>
    <w:rsid w:val="00F02496"/>
    <w:rsid w:val="00F0255F"/>
    <w:rsid w:val="00F02703"/>
    <w:rsid w:val="00F02A3D"/>
    <w:rsid w:val="00F02AA4"/>
    <w:rsid w:val="00F02C79"/>
    <w:rsid w:val="00F0333B"/>
    <w:rsid w:val="00F03DB4"/>
    <w:rsid w:val="00F048E2"/>
    <w:rsid w:val="00F050D9"/>
    <w:rsid w:val="00F0542D"/>
    <w:rsid w:val="00F054BF"/>
    <w:rsid w:val="00F05AAB"/>
    <w:rsid w:val="00F05CC6"/>
    <w:rsid w:val="00F05EFA"/>
    <w:rsid w:val="00F06282"/>
    <w:rsid w:val="00F064E2"/>
    <w:rsid w:val="00F06554"/>
    <w:rsid w:val="00F067EC"/>
    <w:rsid w:val="00F069EF"/>
    <w:rsid w:val="00F078C9"/>
    <w:rsid w:val="00F078F9"/>
    <w:rsid w:val="00F07C71"/>
    <w:rsid w:val="00F07EE8"/>
    <w:rsid w:val="00F101F5"/>
    <w:rsid w:val="00F10639"/>
    <w:rsid w:val="00F108EB"/>
    <w:rsid w:val="00F108ED"/>
    <w:rsid w:val="00F10F73"/>
    <w:rsid w:val="00F112E9"/>
    <w:rsid w:val="00F1147F"/>
    <w:rsid w:val="00F115E5"/>
    <w:rsid w:val="00F11CCB"/>
    <w:rsid w:val="00F11E4A"/>
    <w:rsid w:val="00F11FA1"/>
    <w:rsid w:val="00F121B4"/>
    <w:rsid w:val="00F1225D"/>
    <w:rsid w:val="00F127ED"/>
    <w:rsid w:val="00F1290D"/>
    <w:rsid w:val="00F12D65"/>
    <w:rsid w:val="00F13231"/>
    <w:rsid w:val="00F139F1"/>
    <w:rsid w:val="00F13C93"/>
    <w:rsid w:val="00F13D1A"/>
    <w:rsid w:val="00F13DAC"/>
    <w:rsid w:val="00F13EB5"/>
    <w:rsid w:val="00F14006"/>
    <w:rsid w:val="00F1441E"/>
    <w:rsid w:val="00F1492F"/>
    <w:rsid w:val="00F14CAD"/>
    <w:rsid w:val="00F14CD5"/>
    <w:rsid w:val="00F14F2A"/>
    <w:rsid w:val="00F14FDB"/>
    <w:rsid w:val="00F152C8"/>
    <w:rsid w:val="00F15757"/>
    <w:rsid w:val="00F15928"/>
    <w:rsid w:val="00F15993"/>
    <w:rsid w:val="00F15CC3"/>
    <w:rsid w:val="00F15F10"/>
    <w:rsid w:val="00F15F27"/>
    <w:rsid w:val="00F16095"/>
    <w:rsid w:val="00F164BA"/>
    <w:rsid w:val="00F16DF9"/>
    <w:rsid w:val="00F17051"/>
    <w:rsid w:val="00F17A98"/>
    <w:rsid w:val="00F17AB6"/>
    <w:rsid w:val="00F17C4A"/>
    <w:rsid w:val="00F17CD6"/>
    <w:rsid w:val="00F17D83"/>
    <w:rsid w:val="00F17E8C"/>
    <w:rsid w:val="00F201D9"/>
    <w:rsid w:val="00F2021F"/>
    <w:rsid w:val="00F205BB"/>
    <w:rsid w:val="00F20674"/>
    <w:rsid w:val="00F20A8C"/>
    <w:rsid w:val="00F20AA2"/>
    <w:rsid w:val="00F20B2C"/>
    <w:rsid w:val="00F20C6F"/>
    <w:rsid w:val="00F20D62"/>
    <w:rsid w:val="00F20DF3"/>
    <w:rsid w:val="00F2112A"/>
    <w:rsid w:val="00F2157C"/>
    <w:rsid w:val="00F2188C"/>
    <w:rsid w:val="00F21C38"/>
    <w:rsid w:val="00F21E2B"/>
    <w:rsid w:val="00F21E6A"/>
    <w:rsid w:val="00F21F55"/>
    <w:rsid w:val="00F21F5F"/>
    <w:rsid w:val="00F220DA"/>
    <w:rsid w:val="00F224A8"/>
    <w:rsid w:val="00F22895"/>
    <w:rsid w:val="00F2340A"/>
    <w:rsid w:val="00F235A6"/>
    <w:rsid w:val="00F2395B"/>
    <w:rsid w:val="00F240E1"/>
    <w:rsid w:val="00F2437F"/>
    <w:rsid w:val="00F243C7"/>
    <w:rsid w:val="00F2444A"/>
    <w:rsid w:val="00F244A7"/>
    <w:rsid w:val="00F249E2"/>
    <w:rsid w:val="00F24A7E"/>
    <w:rsid w:val="00F24E15"/>
    <w:rsid w:val="00F24E69"/>
    <w:rsid w:val="00F24FE0"/>
    <w:rsid w:val="00F25007"/>
    <w:rsid w:val="00F25204"/>
    <w:rsid w:val="00F25CDA"/>
    <w:rsid w:val="00F25D79"/>
    <w:rsid w:val="00F25FEF"/>
    <w:rsid w:val="00F260B9"/>
    <w:rsid w:val="00F26408"/>
    <w:rsid w:val="00F26576"/>
    <w:rsid w:val="00F265DE"/>
    <w:rsid w:val="00F267A3"/>
    <w:rsid w:val="00F268E3"/>
    <w:rsid w:val="00F26940"/>
    <w:rsid w:val="00F26D7F"/>
    <w:rsid w:val="00F27010"/>
    <w:rsid w:val="00F2710F"/>
    <w:rsid w:val="00F2717B"/>
    <w:rsid w:val="00F272AE"/>
    <w:rsid w:val="00F276C3"/>
    <w:rsid w:val="00F27851"/>
    <w:rsid w:val="00F27905"/>
    <w:rsid w:val="00F27AD9"/>
    <w:rsid w:val="00F27D78"/>
    <w:rsid w:val="00F27E2C"/>
    <w:rsid w:val="00F30066"/>
    <w:rsid w:val="00F303D4"/>
    <w:rsid w:val="00F3054F"/>
    <w:rsid w:val="00F3072E"/>
    <w:rsid w:val="00F30D6A"/>
    <w:rsid w:val="00F30F4B"/>
    <w:rsid w:val="00F314F5"/>
    <w:rsid w:val="00F31646"/>
    <w:rsid w:val="00F31A32"/>
    <w:rsid w:val="00F31A8E"/>
    <w:rsid w:val="00F31AFA"/>
    <w:rsid w:val="00F31E23"/>
    <w:rsid w:val="00F31F2F"/>
    <w:rsid w:val="00F32143"/>
    <w:rsid w:val="00F325C7"/>
    <w:rsid w:val="00F32AE6"/>
    <w:rsid w:val="00F32CD7"/>
    <w:rsid w:val="00F3310E"/>
    <w:rsid w:val="00F33249"/>
    <w:rsid w:val="00F332C0"/>
    <w:rsid w:val="00F3336A"/>
    <w:rsid w:val="00F333BF"/>
    <w:rsid w:val="00F33401"/>
    <w:rsid w:val="00F3370D"/>
    <w:rsid w:val="00F33770"/>
    <w:rsid w:val="00F33E4A"/>
    <w:rsid w:val="00F33FD3"/>
    <w:rsid w:val="00F342D1"/>
    <w:rsid w:val="00F3485B"/>
    <w:rsid w:val="00F34C3A"/>
    <w:rsid w:val="00F351EE"/>
    <w:rsid w:val="00F3520A"/>
    <w:rsid w:val="00F3521F"/>
    <w:rsid w:val="00F354AD"/>
    <w:rsid w:val="00F35A7D"/>
    <w:rsid w:val="00F35B94"/>
    <w:rsid w:val="00F35D31"/>
    <w:rsid w:val="00F36399"/>
    <w:rsid w:val="00F366E3"/>
    <w:rsid w:val="00F36C4B"/>
    <w:rsid w:val="00F36C57"/>
    <w:rsid w:val="00F36DDE"/>
    <w:rsid w:val="00F36F91"/>
    <w:rsid w:val="00F372DD"/>
    <w:rsid w:val="00F3738A"/>
    <w:rsid w:val="00F3758D"/>
    <w:rsid w:val="00F376C9"/>
    <w:rsid w:val="00F37E64"/>
    <w:rsid w:val="00F40366"/>
    <w:rsid w:val="00F405DB"/>
    <w:rsid w:val="00F4069B"/>
    <w:rsid w:val="00F40ADC"/>
    <w:rsid w:val="00F40D06"/>
    <w:rsid w:val="00F4112C"/>
    <w:rsid w:val="00F41550"/>
    <w:rsid w:val="00F41897"/>
    <w:rsid w:val="00F41A64"/>
    <w:rsid w:val="00F41B40"/>
    <w:rsid w:val="00F41D44"/>
    <w:rsid w:val="00F420F3"/>
    <w:rsid w:val="00F423D4"/>
    <w:rsid w:val="00F42A6E"/>
    <w:rsid w:val="00F42B3F"/>
    <w:rsid w:val="00F42DB2"/>
    <w:rsid w:val="00F431A9"/>
    <w:rsid w:val="00F4343D"/>
    <w:rsid w:val="00F4362C"/>
    <w:rsid w:val="00F43A3C"/>
    <w:rsid w:val="00F43C6E"/>
    <w:rsid w:val="00F44021"/>
    <w:rsid w:val="00F442FB"/>
    <w:rsid w:val="00F443C7"/>
    <w:rsid w:val="00F44731"/>
    <w:rsid w:val="00F449D6"/>
    <w:rsid w:val="00F44A89"/>
    <w:rsid w:val="00F44DC6"/>
    <w:rsid w:val="00F44E14"/>
    <w:rsid w:val="00F45321"/>
    <w:rsid w:val="00F455E5"/>
    <w:rsid w:val="00F45797"/>
    <w:rsid w:val="00F458C4"/>
    <w:rsid w:val="00F45911"/>
    <w:rsid w:val="00F45AB9"/>
    <w:rsid w:val="00F45B02"/>
    <w:rsid w:val="00F45EFF"/>
    <w:rsid w:val="00F45F17"/>
    <w:rsid w:val="00F462E0"/>
    <w:rsid w:val="00F463B8"/>
    <w:rsid w:val="00F464F2"/>
    <w:rsid w:val="00F467A4"/>
    <w:rsid w:val="00F46ABC"/>
    <w:rsid w:val="00F46F7B"/>
    <w:rsid w:val="00F47441"/>
    <w:rsid w:val="00F47498"/>
    <w:rsid w:val="00F475E6"/>
    <w:rsid w:val="00F4783A"/>
    <w:rsid w:val="00F47DBE"/>
    <w:rsid w:val="00F47F91"/>
    <w:rsid w:val="00F47FB3"/>
    <w:rsid w:val="00F503F9"/>
    <w:rsid w:val="00F50699"/>
    <w:rsid w:val="00F50808"/>
    <w:rsid w:val="00F5088C"/>
    <w:rsid w:val="00F5089C"/>
    <w:rsid w:val="00F50A70"/>
    <w:rsid w:val="00F50D45"/>
    <w:rsid w:val="00F51015"/>
    <w:rsid w:val="00F51097"/>
    <w:rsid w:val="00F512B7"/>
    <w:rsid w:val="00F513E6"/>
    <w:rsid w:val="00F51445"/>
    <w:rsid w:val="00F5148E"/>
    <w:rsid w:val="00F5174C"/>
    <w:rsid w:val="00F517DD"/>
    <w:rsid w:val="00F51B38"/>
    <w:rsid w:val="00F51F15"/>
    <w:rsid w:val="00F52022"/>
    <w:rsid w:val="00F5267D"/>
    <w:rsid w:val="00F52A09"/>
    <w:rsid w:val="00F52DDD"/>
    <w:rsid w:val="00F52EAB"/>
    <w:rsid w:val="00F52F06"/>
    <w:rsid w:val="00F5346D"/>
    <w:rsid w:val="00F5354E"/>
    <w:rsid w:val="00F5370F"/>
    <w:rsid w:val="00F53A17"/>
    <w:rsid w:val="00F53A32"/>
    <w:rsid w:val="00F53DCC"/>
    <w:rsid w:val="00F53E2D"/>
    <w:rsid w:val="00F54252"/>
    <w:rsid w:val="00F5426D"/>
    <w:rsid w:val="00F54B2D"/>
    <w:rsid w:val="00F5520F"/>
    <w:rsid w:val="00F553BD"/>
    <w:rsid w:val="00F55626"/>
    <w:rsid w:val="00F55C8A"/>
    <w:rsid w:val="00F55E3D"/>
    <w:rsid w:val="00F55F04"/>
    <w:rsid w:val="00F55F7E"/>
    <w:rsid w:val="00F560E7"/>
    <w:rsid w:val="00F56193"/>
    <w:rsid w:val="00F56558"/>
    <w:rsid w:val="00F56788"/>
    <w:rsid w:val="00F56B22"/>
    <w:rsid w:val="00F56BDB"/>
    <w:rsid w:val="00F56C7A"/>
    <w:rsid w:val="00F56CEF"/>
    <w:rsid w:val="00F56DE7"/>
    <w:rsid w:val="00F56DF7"/>
    <w:rsid w:val="00F56F5D"/>
    <w:rsid w:val="00F5729E"/>
    <w:rsid w:val="00F5771F"/>
    <w:rsid w:val="00F5792B"/>
    <w:rsid w:val="00F57C79"/>
    <w:rsid w:val="00F6001E"/>
    <w:rsid w:val="00F6003A"/>
    <w:rsid w:val="00F60224"/>
    <w:rsid w:val="00F60353"/>
    <w:rsid w:val="00F60FE2"/>
    <w:rsid w:val="00F61041"/>
    <w:rsid w:val="00F612F8"/>
    <w:rsid w:val="00F61341"/>
    <w:rsid w:val="00F61FC2"/>
    <w:rsid w:val="00F62236"/>
    <w:rsid w:val="00F625D9"/>
    <w:rsid w:val="00F626C5"/>
    <w:rsid w:val="00F626FC"/>
    <w:rsid w:val="00F627C3"/>
    <w:rsid w:val="00F62929"/>
    <w:rsid w:val="00F629B7"/>
    <w:rsid w:val="00F62E8B"/>
    <w:rsid w:val="00F630BC"/>
    <w:rsid w:val="00F630DC"/>
    <w:rsid w:val="00F63209"/>
    <w:rsid w:val="00F633BB"/>
    <w:rsid w:val="00F637BB"/>
    <w:rsid w:val="00F63A5D"/>
    <w:rsid w:val="00F63D4E"/>
    <w:rsid w:val="00F6404A"/>
    <w:rsid w:val="00F640A9"/>
    <w:rsid w:val="00F64540"/>
    <w:rsid w:val="00F64AAD"/>
    <w:rsid w:val="00F64F63"/>
    <w:rsid w:val="00F65156"/>
    <w:rsid w:val="00F6567C"/>
    <w:rsid w:val="00F65851"/>
    <w:rsid w:val="00F659F5"/>
    <w:rsid w:val="00F65EE8"/>
    <w:rsid w:val="00F65FC5"/>
    <w:rsid w:val="00F663C4"/>
    <w:rsid w:val="00F664DB"/>
    <w:rsid w:val="00F66766"/>
    <w:rsid w:val="00F66BD4"/>
    <w:rsid w:val="00F66D90"/>
    <w:rsid w:val="00F67165"/>
    <w:rsid w:val="00F671F4"/>
    <w:rsid w:val="00F67406"/>
    <w:rsid w:val="00F67C44"/>
    <w:rsid w:val="00F67D8B"/>
    <w:rsid w:val="00F70990"/>
    <w:rsid w:val="00F70CB4"/>
    <w:rsid w:val="00F7143F"/>
    <w:rsid w:val="00F715F1"/>
    <w:rsid w:val="00F71764"/>
    <w:rsid w:val="00F7176F"/>
    <w:rsid w:val="00F718AE"/>
    <w:rsid w:val="00F71B4A"/>
    <w:rsid w:val="00F71BEF"/>
    <w:rsid w:val="00F723AD"/>
    <w:rsid w:val="00F72526"/>
    <w:rsid w:val="00F725F7"/>
    <w:rsid w:val="00F727DA"/>
    <w:rsid w:val="00F72841"/>
    <w:rsid w:val="00F72A16"/>
    <w:rsid w:val="00F72A70"/>
    <w:rsid w:val="00F72B7D"/>
    <w:rsid w:val="00F72CD1"/>
    <w:rsid w:val="00F72E3B"/>
    <w:rsid w:val="00F73441"/>
    <w:rsid w:val="00F734FC"/>
    <w:rsid w:val="00F73761"/>
    <w:rsid w:val="00F73EAA"/>
    <w:rsid w:val="00F74315"/>
    <w:rsid w:val="00F7443D"/>
    <w:rsid w:val="00F745D3"/>
    <w:rsid w:val="00F74AD4"/>
    <w:rsid w:val="00F74BDF"/>
    <w:rsid w:val="00F74F04"/>
    <w:rsid w:val="00F74F72"/>
    <w:rsid w:val="00F752A5"/>
    <w:rsid w:val="00F753B0"/>
    <w:rsid w:val="00F755EA"/>
    <w:rsid w:val="00F7563A"/>
    <w:rsid w:val="00F75649"/>
    <w:rsid w:val="00F757A2"/>
    <w:rsid w:val="00F759A4"/>
    <w:rsid w:val="00F75A90"/>
    <w:rsid w:val="00F75D8D"/>
    <w:rsid w:val="00F75E28"/>
    <w:rsid w:val="00F75E3C"/>
    <w:rsid w:val="00F7617A"/>
    <w:rsid w:val="00F76462"/>
    <w:rsid w:val="00F76521"/>
    <w:rsid w:val="00F76935"/>
    <w:rsid w:val="00F76AC2"/>
    <w:rsid w:val="00F76D77"/>
    <w:rsid w:val="00F771BE"/>
    <w:rsid w:val="00F77732"/>
    <w:rsid w:val="00F77733"/>
    <w:rsid w:val="00F77741"/>
    <w:rsid w:val="00F77F4D"/>
    <w:rsid w:val="00F77FC9"/>
    <w:rsid w:val="00F80395"/>
    <w:rsid w:val="00F803CD"/>
    <w:rsid w:val="00F80539"/>
    <w:rsid w:val="00F80723"/>
    <w:rsid w:val="00F8097F"/>
    <w:rsid w:val="00F80D47"/>
    <w:rsid w:val="00F80DBD"/>
    <w:rsid w:val="00F813B0"/>
    <w:rsid w:val="00F81624"/>
    <w:rsid w:val="00F81E67"/>
    <w:rsid w:val="00F81FA6"/>
    <w:rsid w:val="00F81FAA"/>
    <w:rsid w:val="00F8214B"/>
    <w:rsid w:val="00F8227E"/>
    <w:rsid w:val="00F825A3"/>
    <w:rsid w:val="00F8271B"/>
    <w:rsid w:val="00F82919"/>
    <w:rsid w:val="00F82C48"/>
    <w:rsid w:val="00F82EC8"/>
    <w:rsid w:val="00F83645"/>
    <w:rsid w:val="00F8364A"/>
    <w:rsid w:val="00F83708"/>
    <w:rsid w:val="00F839A3"/>
    <w:rsid w:val="00F83C2B"/>
    <w:rsid w:val="00F83F72"/>
    <w:rsid w:val="00F83F9F"/>
    <w:rsid w:val="00F8429D"/>
    <w:rsid w:val="00F846AD"/>
    <w:rsid w:val="00F8495B"/>
    <w:rsid w:val="00F84CD2"/>
    <w:rsid w:val="00F84EF9"/>
    <w:rsid w:val="00F85677"/>
    <w:rsid w:val="00F85907"/>
    <w:rsid w:val="00F85B44"/>
    <w:rsid w:val="00F85C03"/>
    <w:rsid w:val="00F85C95"/>
    <w:rsid w:val="00F85E61"/>
    <w:rsid w:val="00F85F00"/>
    <w:rsid w:val="00F8644B"/>
    <w:rsid w:val="00F86532"/>
    <w:rsid w:val="00F865D9"/>
    <w:rsid w:val="00F86825"/>
    <w:rsid w:val="00F86858"/>
    <w:rsid w:val="00F86A55"/>
    <w:rsid w:val="00F875EC"/>
    <w:rsid w:val="00F87602"/>
    <w:rsid w:val="00F876A8"/>
    <w:rsid w:val="00F876B5"/>
    <w:rsid w:val="00F87829"/>
    <w:rsid w:val="00F87AD2"/>
    <w:rsid w:val="00F87DA4"/>
    <w:rsid w:val="00F90390"/>
    <w:rsid w:val="00F903D8"/>
    <w:rsid w:val="00F90712"/>
    <w:rsid w:val="00F90E70"/>
    <w:rsid w:val="00F913EC"/>
    <w:rsid w:val="00F91F01"/>
    <w:rsid w:val="00F91F86"/>
    <w:rsid w:val="00F922D5"/>
    <w:rsid w:val="00F923EB"/>
    <w:rsid w:val="00F923F2"/>
    <w:rsid w:val="00F92531"/>
    <w:rsid w:val="00F93162"/>
    <w:rsid w:val="00F93576"/>
    <w:rsid w:val="00F939B2"/>
    <w:rsid w:val="00F93C74"/>
    <w:rsid w:val="00F93CBB"/>
    <w:rsid w:val="00F93D67"/>
    <w:rsid w:val="00F93ED2"/>
    <w:rsid w:val="00F94066"/>
    <w:rsid w:val="00F940E3"/>
    <w:rsid w:val="00F9470F"/>
    <w:rsid w:val="00F94A1E"/>
    <w:rsid w:val="00F94B51"/>
    <w:rsid w:val="00F94CDC"/>
    <w:rsid w:val="00F95B26"/>
    <w:rsid w:val="00F95B5A"/>
    <w:rsid w:val="00F96269"/>
    <w:rsid w:val="00F965E2"/>
    <w:rsid w:val="00F9666D"/>
    <w:rsid w:val="00F968F4"/>
    <w:rsid w:val="00F96EA9"/>
    <w:rsid w:val="00F96FE9"/>
    <w:rsid w:val="00F973DF"/>
    <w:rsid w:val="00F973F9"/>
    <w:rsid w:val="00F9777F"/>
    <w:rsid w:val="00F97887"/>
    <w:rsid w:val="00F97AA1"/>
    <w:rsid w:val="00F97AA2"/>
    <w:rsid w:val="00F97FB6"/>
    <w:rsid w:val="00FA0161"/>
    <w:rsid w:val="00FA0841"/>
    <w:rsid w:val="00FA0ABC"/>
    <w:rsid w:val="00FA0D33"/>
    <w:rsid w:val="00FA0DFC"/>
    <w:rsid w:val="00FA0F84"/>
    <w:rsid w:val="00FA1006"/>
    <w:rsid w:val="00FA115B"/>
    <w:rsid w:val="00FA124A"/>
    <w:rsid w:val="00FA12CE"/>
    <w:rsid w:val="00FA1598"/>
    <w:rsid w:val="00FA15D2"/>
    <w:rsid w:val="00FA1E3B"/>
    <w:rsid w:val="00FA1F52"/>
    <w:rsid w:val="00FA20D6"/>
    <w:rsid w:val="00FA20FC"/>
    <w:rsid w:val="00FA2B0A"/>
    <w:rsid w:val="00FA2F62"/>
    <w:rsid w:val="00FA3423"/>
    <w:rsid w:val="00FA3941"/>
    <w:rsid w:val="00FA3E6C"/>
    <w:rsid w:val="00FA3F69"/>
    <w:rsid w:val="00FA417C"/>
    <w:rsid w:val="00FA4378"/>
    <w:rsid w:val="00FA4694"/>
    <w:rsid w:val="00FA47E2"/>
    <w:rsid w:val="00FA480B"/>
    <w:rsid w:val="00FA4D60"/>
    <w:rsid w:val="00FA4EB9"/>
    <w:rsid w:val="00FA5435"/>
    <w:rsid w:val="00FA5705"/>
    <w:rsid w:val="00FA5771"/>
    <w:rsid w:val="00FA5D00"/>
    <w:rsid w:val="00FA62B1"/>
    <w:rsid w:val="00FA6336"/>
    <w:rsid w:val="00FA68C2"/>
    <w:rsid w:val="00FA6AFA"/>
    <w:rsid w:val="00FA742C"/>
    <w:rsid w:val="00FA75AD"/>
    <w:rsid w:val="00FA75C6"/>
    <w:rsid w:val="00FB02A1"/>
    <w:rsid w:val="00FB0880"/>
    <w:rsid w:val="00FB0D75"/>
    <w:rsid w:val="00FB0F6D"/>
    <w:rsid w:val="00FB1473"/>
    <w:rsid w:val="00FB1941"/>
    <w:rsid w:val="00FB1A75"/>
    <w:rsid w:val="00FB1AA5"/>
    <w:rsid w:val="00FB1B80"/>
    <w:rsid w:val="00FB1ED2"/>
    <w:rsid w:val="00FB1F9E"/>
    <w:rsid w:val="00FB2445"/>
    <w:rsid w:val="00FB2B2E"/>
    <w:rsid w:val="00FB2B5C"/>
    <w:rsid w:val="00FB2E2A"/>
    <w:rsid w:val="00FB2F79"/>
    <w:rsid w:val="00FB2FD3"/>
    <w:rsid w:val="00FB30DA"/>
    <w:rsid w:val="00FB31B4"/>
    <w:rsid w:val="00FB3273"/>
    <w:rsid w:val="00FB3614"/>
    <w:rsid w:val="00FB3BFA"/>
    <w:rsid w:val="00FB4630"/>
    <w:rsid w:val="00FB47DB"/>
    <w:rsid w:val="00FB4D24"/>
    <w:rsid w:val="00FB4D53"/>
    <w:rsid w:val="00FB503C"/>
    <w:rsid w:val="00FB534F"/>
    <w:rsid w:val="00FB5665"/>
    <w:rsid w:val="00FB576B"/>
    <w:rsid w:val="00FB5E09"/>
    <w:rsid w:val="00FB5E66"/>
    <w:rsid w:val="00FB5EFF"/>
    <w:rsid w:val="00FB62FF"/>
    <w:rsid w:val="00FB645B"/>
    <w:rsid w:val="00FB6497"/>
    <w:rsid w:val="00FB6540"/>
    <w:rsid w:val="00FB67DF"/>
    <w:rsid w:val="00FB6C00"/>
    <w:rsid w:val="00FB6FA5"/>
    <w:rsid w:val="00FB7036"/>
    <w:rsid w:val="00FB7221"/>
    <w:rsid w:val="00FB751B"/>
    <w:rsid w:val="00FB769A"/>
    <w:rsid w:val="00FB76A5"/>
    <w:rsid w:val="00FB782A"/>
    <w:rsid w:val="00FB7C47"/>
    <w:rsid w:val="00FB7E0A"/>
    <w:rsid w:val="00FC04FC"/>
    <w:rsid w:val="00FC0668"/>
    <w:rsid w:val="00FC0C4F"/>
    <w:rsid w:val="00FC0E31"/>
    <w:rsid w:val="00FC0E78"/>
    <w:rsid w:val="00FC150B"/>
    <w:rsid w:val="00FC17CA"/>
    <w:rsid w:val="00FC202A"/>
    <w:rsid w:val="00FC2107"/>
    <w:rsid w:val="00FC2144"/>
    <w:rsid w:val="00FC2410"/>
    <w:rsid w:val="00FC24FD"/>
    <w:rsid w:val="00FC2551"/>
    <w:rsid w:val="00FC279A"/>
    <w:rsid w:val="00FC2868"/>
    <w:rsid w:val="00FC2A59"/>
    <w:rsid w:val="00FC2AB2"/>
    <w:rsid w:val="00FC2D77"/>
    <w:rsid w:val="00FC2E3F"/>
    <w:rsid w:val="00FC2E77"/>
    <w:rsid w:val="00FC302A"/>
    <w:rsid w:val="00FC324D"/>
    <w:rsid w:val="00FC3412"/>
    <w:rsid w:val="00FC35F6"/>
    <w:rsid w:val="00FC3B78"/>
    <w:rsid w:val="00FC3D68"/>
    <w:rsid w:val="00FC3F44"/>
    <w:rsid w:val="00FC4350"/>
    <w:rsid w:val="00FC4652"/>
    <w:rsid w:val="00FC4999"/>
    <w:rsid w:val="00FC4AAF"/>
    <w:rsid w:val="00FC4C06"/>
    <w:rsid w:val="00FC4DDD"/>
    <w:rsid w:val="00FC4EA2"/>
    <w:rsid w:val="00FC4FCE"/>
    <w:rsid w:val="00FC503D"/>
    <w:rsid w:val="00FC51DC"/>
    <w:rsid w:val="00FC52CA"/>
    <w:rsid w:val="00FC5457"/>
    <w:rsid w:val="00FC546A"/>
    <w:rsid w:val="00FC595F"/>
    <w:rsid w:val="00FC5B19"/>
    <w:rsid w:val="00FC5CE4"/>
    <w:rsid w:val="00FC6191"/>
    <w:rsid w:val="00FC6867"/>
    <w:rsid w:val="00FC6A34"/>
    <w:rsid w:val="00FC6B56"/>
    <w:rsid w:val="00FC6DDD"/>
    <w:rsid w:val="00FC6E83"/>
    <w:rsid w:val="00FC6EA3"/>
    <w:rsid w:val="00FC6F08"/>
    <w:rsid w:val="00FC6F2C"/>
    <w:rsid w:val="00FC6F66"/>
    <w:rsid w:val="00FC748E"/>
    <w:rsid w:val="00FC7502"/>
    <w:rsid w:val="00FC779A"/>
    <w:rsid w:val="00FC7851"/>
    <w:rsid w:val="00FC7889"/>
    <w:rsid w:val="00FC7D26"/>
    <w:rsid w:val="00FC7D91"/>
    <w:rsid w:val="00FC7F41"/>
    <w:rsid w:val="00FD0202"/>
    <w:rsid w:val="00FD11AA"/>
    <w:rsid w:val="00FD140E"/>
    <w:rsid w:val="00FD1674"/>
    <w:rsid w:val="00FD19C6"/>
    <w:rsid w:val="00FD1A19"/>
    <w:rsid w:val="00FD1DD0"/>
    <w:rsid w:val="00FD215C"/>
    <w:rsid w:val="00FD256A"/>
    <w:rsid w:val="00FD292D"/>
    <w:rsid w:val="00FD2B56"/>
    <w:rsid w:val="00FD2BD2"/>
    <w:rsid w:val="00FD2D77"/>
    <w:rsid w:val="00FD310F"/>
    <w:rsid w:val="00FD31C6"/>
    <w:rsid w:val="00FD31E7"/>
    <w:rsid w:val="00FD3613"/>
    <w:rsid w:val="00FD3731"/>
    <w:rsid w:val="00FD3806"/>
    <w:rsid w:val="00FD3862"/>
    <w:rsid w:val="00FD3958"/>
    <w:rsid w:val="00FD3D17"/>
    <w:rsid w:val="00FD41FE"/>
    <w:rsid w:val="00FD46F7"/>
    <w:rsid w:val="00FD47A8"/>
    <w:rsid w:val="00FD4B5E"/>
    <w:rsid w:val="00FD4CFA"/>
    <w:rsid w:val="00FD4D33"/>
    <w:rsid w:val="00FD511E"/>
    <w:rsid w:val="00FD5718"/>
    <w:rsid w:val="00FD5AF9"/>
    <w:rsid w:val="00FD5CD2"/>
    <w:rsid w:val="00FD5E6D"/>
    <w:rsid w:val="00FD5F2C"/>
    <w:rsid w:val="00FD6433"/>
    <w:rsid w:val="00FD681A"/>
    <w:rsid w:val="00FD7235"/>
    <w:rsid w:val="00FD77BD"/>
    <w:rsid w:val="00FD7844"/>
    <w:rsid w:val="00FD78AC"/>
    <w:rsid w:val="00FD7C6E"/>
    <w:rsid w:val="00FE027A"/>
    <w:rsid w:val="00FE045B"/>
    <w:rsid w:val="00FE0749"/>
    <w:rsid w:val="00FE08E4"/>
    <w:rsid w:val="00FE09C6"/>
    <w:rsid w:val="00FE0BCB"/>
    <w:rsid w:val="00FE0FC4"/>
    <w:rsid w:val="00FE0FDF"/>
    <w:rsid w:val="00FE1309"/>
    <w:rsid w:val="00FE141C"/>
    <w:rsid w:val="00FE1482"/>
    <w:rsid w:val="00FE17EA"/>
    <w:rsid w:val="00FE19FE"/>
    <w:rsid w:val="00FE1F14"/>
    <w:rsid w:val="00FE2863"/>
    <w:rsid w:val="00FE2A67"/>
    <w:rsid w:val="00FE2B73"/>
    <w:rsid w:val="00FE2C27"/>
    <w:rsid w:val="00FE2C60"/>
    <w:rsid w:val="00FE2CBA"/>
    <w:rsid w:val="00FE2CC5"/>
    <w:rsid w:val="00FE2E37"/>
    <w:rsid w:val="00FE2FCC"/>
    <w:rsid w:val="00FE2FE7"/>
    <w:rsid w:val="00FE30CC"/>
    <w:rsid w:val="00FE30D5"/>
    <w:rsid w:val="00FE3139"/>
    <w:rsid w:val="00FE3356"/>
    <w:rsid w:val="00FE35F0"/>
    <w:rsid w:val="00FE3994"/>
    <w:rsid w:val="00FE3A29"/>
    <w:rsid w:val="00FE3A9B"/>
    <w:rsid w:val="00FE40B3"/>
    <w:rsid w:val="00FE41BE"/>
    <w:rsid w:val="00FE44E3"/>
    <w:rsid w:val="00FE4759"/>
    <w:rsid w:val="00FE47B0"/>
    <w:rsid w:val="00FE47B6"/>
    <w:rsid w:val="00FE480E"/>
    <w:rsid w:val="00FE4A80"/>
    <w:rsid w:val="00FE4DEA"/>
    <w:rsid w:val="00FE50E2"/>
    <w:rsid w:val="00FE511E"/>
    <w:rsid w:val="00FE5335"/>
    <w:rsid w:val="00FE53C3"/>
    <w:rsid w:val="00FE55B4"/>
    <w:rsid w:val="00FE55BC"/>
    <w:rsid w:val="00FE5A79"/>
    <w:rsid w:val="00FE5DCB"/>
    <w:rsid w:val="00FE611B"/>
    <w:rsid w:val="00FE6369"/>
    <w:rsid w:val="00FE66F0"/>
    <w:rsid w:val="00FE69FA"/>
    <w:rsid w:val="00FE6A03"/>
    <w:rsid w:val="00FE6C62"/>
    <w:rsid w:val="00FE6DDC"/>
    <w:rsid w:val="00FE6E3C"/>
    <w:rsid w:val="00FE6FB5"/>
    <w:rsid w:val="00FE7273"/>
    <w:rsid w:val="00FE7892"/>
    <w:rsid w:val="00FE7A74"/>
    <w:rsid w:val="00FE7F68"/>
    <w:rsid w:val="00FF011B"/>
    <w:rsid w:val="00FF0268"/>
    <w:rsid w:val="00FF0525"/>
    <w:rsid w:val="00FF0677"/>
    <w:rsid w:val="00FF070F"/>
    <w:rsid w:val="00FF0EB7"/>
    <w:rsid w:val="00FF1251"/>
    <w:rsid w:val="00FF1684"/>
    <w:rsid w:val="00FF193C"/>
    <w:rsid w:val="00FF1AAA"/>
    <w:rsid w:val="00FF1C34"/>
    <w:rsid w:val="00FF1C81"/>
    <w:rsid w:val="00FF1EFB"/>
    <w:rsid w:val="00FF2074"/>
    <w:rsid w:val="00FF248E"/>
    <w:rsid w:val="00FF25B6"/>
    <w:rsid w:val="00FF265B"/>
    <w:rsid w:val="00FF2A55"/>
    <w:rsid w:val="00FF2BF7"/>
    <w:rsid w:val="00FF2D16"/>
    <w:rsid w:val="00FF310C"/>
    <w:rsid w:val="00FF3248"/>
    <w:rsid w:val="00FF361E"/>
    <w:rsid w:val="00FF395B"/>
    <w:rsid w:val="00FF395F"/>
    <w:rsid w:val="00FF3A2E"/>
    <w:rsid w:val="00FF3A4F"/>
    <w:rsid w:val="00FF3FD8"/>
    <w:rsid w:val="00FF41D6"/>
    <w:rsid w:val="00FF495C"/>
    <w:rsid w:val="00FF4C0D"/>
    <w:rsid w:val="00FF519B"/>
    <w:rsid w:val="00FF525C"/>
    <w:rsid w:val="00FF559A"/>
    <w:rsid w:val="00FF5C71"/>
    <w:rsid w:val="00FF63E1"/>
    <w:rsid w:val="00FF64B1"/>
    <w:rsid w:val="00FF6587"/>
    <w:rsid w:val="00FF6BAD"/>
    <w:rsid w:val="00FF6C37"/>
    <w:rsid w:val="00FF6E1D"/>
    <w:rsid w:val="00FF6E67"/>
    <w:rsid w:val="00FF7010"/>
    <w:rsid w:val="00FF7077"/>
    <w:rsid w:val="00FF7116"/>
    <w:rsid w:val="00FF7244"/>
    <w:rsid w:val="00FF75FB"/>
    <w:rsid w:val="00FF77BB"/>
    <w:rsid w:val="00FF7999"/>
    <w:rsid w:val="00FF7B1B"/>
    <w:rsid w:val="0180E795"/>
    <w:rsid w:val="032423F4"/>
    <w:rsid w:val="038CD2D2"/>
    <w:rsid w:val="0423F3A0"/>
    <w:rsid w:val="06FE0A49"/>
    <w:rsid w:val="076A8206"/>
    <w:rsid w:val="097FAD5E"/>
    <w:rsid w:val="09EC81C9"/>
    <w:rsid w:val="0A0EFE3D"/>
    <w:rsid w:val="0A46EBF6"/>
    <w:rsid w:val="0B9C278B"/>
    <w:rsid w:val="0CD2E26A"/>
    <w:rsid w:val="0D68D3B6"/>
    <w:rsid w:val="10C7F221"/>
    <w:rsid w:val="1134A42A"/>
    <w:rsid w:val="124D6BBF"/>
    <w:rsid w:val="12F387AE"/>
    <w:rsid w:val="133B8EB1"/>
    <w:rsid w:val="13BDC7F5"/>
    <w:rsid w:val="141CB41F"/>
    <w:rsid w:val="14543BBF"/>
    <w:rsid w:val="145F7085"/>
    <w:rsid w:val="151F11F7"/>
    <w:rsid w:val="156EB151"/>
    <w:rsid w:val="15ACE2C4"/>
    <w:rsid w:val="18CFA393"/>
    <w:rsid w:val="195FC9DE"/>
    <w:rsid w:val="19E6FAC7"/>
    <w:rsid w:val="19F27C3F"/>
    <w:rsid w:val="1A5867B3"/>
    <w:rsid w:val="1BA24AB3"/>
    <w:rsid w:val="1BC7DA16"/>
    <w:rsid w:val="1C6FC40D"/>
    <w:rsid w:val="1E352D2E"/>
    <w:rsid w:val="1EBE3972"/>
    <w:rsid w:val="1F60A762"/>
    <w:rsid w:val="1F78191D"/>
    <w:rsid w:val="205C5B64"/>
    <w:rsid w:val="20D4BFCD"/>
    <w:rsid w:val="21A184DE"/>
    <w:rsid w:val="2224CE9D"/>
    <w:rsid w:val="22958C33"/>
    <w:rsid w:val="2443671A"/>
    <w:rsid w:val="2482BE11"/>
    <w:rsid w:val="25F74664"/>
    <w:rsid w:val="264D02FE"/>
    <w:rsid w:val="269A7A4A"/>
    <w:rsid w:val="28B360DB"/>
    <w:rsid w:val="2BAD359D"/>
    <w:rsid w:val="2C0495A9"/>
    <w:rsid w:val="3557DB80"/>
    <w:rsid w:val="35D8907D"/>
    <w:rsid w:val="360B7659"/>
    <w:rsid w:val="37BB0B37"/>
    <w:rsid w:val="3906C132"/>
    <w:rsid w:val="390BB448"/>
    <w:rsid w:val="39765F29"/>
    <w:rsid w:val="3B549B65"/>
    <w:rsid w:val="3D5BDE3F"/>
    <w:rsid w:val="3EB5BF47"/>
    <w:rsid w:val="3EE16E37"/>
    <w:rsid w:val="3F1984CD"/>
    <w:rsid w:val="3FD0E9EE"/>
    <w:rsid w:val="3FF78E45"/>
    <w:rsid w:val="41B228C1"/>
    <w:rsid w:val="43EAB9A8"/>
    <w:rsid w:val="4454C3B2"/>
    <w:rsid w:val="450020C4"/>
    <w:rsid w:val="4712D9B4"/>
    <w:rsid w:val="47438C16"/>
    <w:rsid w:val="48DF86B4"/>
    <w:rsid w:val="4A34B809"/>
    <w:rsid w:val="4EE88E43"/>
    <w:rsid w:val="4F4D6B74"/>
    <w:rsid w:val="501F04E7"/>
    <w:rsid w:val="504331CE"/>
    <w:rsid w:val="50EEC322"/>
    <w:rsid w:val="510A7D34"/>
    <w:rsid w:val="516752C7"/>
    <w:rsid w:val="5253E49D"/>
    <w:rsid w:val="52B24525"/>
    <w:rsid w:val="52C2C3FE"/>
    <w:rsid w:val="542139D2"/>
    <w:rsid w:val="54A1C9EC"/>
    <w:rsid w:val="55DBF8D5"/>
    <w:rsid w:val="561292A3"/>
    <w:rsid w:val="57905263"/>
    <w:rsid w:val="580E6CD6"/>
    <w:rsid w:val="59CAD297"/>
    <w:rsid w:val="5AE9115B"/>
    <w:rsid w:val="5B3082E5"/>
    <w:rsid w:val="5B5FBCDE"/>
    <w:rsid w:val="5B9C4D65"/>
    <w:rsid w:val="5D007477"/>
    <w:rsid w:val="5D238067"/>
    <w:rsid w:val="5D3C4C51"/>
    <w:rsid w:val="5D73F8B9"/>
    <w:rsid w:val="5DB2519B"/>
    <w:rsid w:val="5F176D37"/>
    <w:rsid w:val="603E8FE0"/>
    <w:rsid w:val="6336C93F"/>
    <w:rsid w:val="64ADCAFB"/>
    <w:rsid w:val="65BD4F03"/>
    <w:rsid w:val="665D7473"/>
    <w:rsid w:val="6B7CE44C"/>
    <w:rsid w:val="6BA9B958"/>
    <w:rsid w:val="6C71FD5B"/>
    <w:rsid w:val="6D6CBF5B"/>
    <w:rsid w:val="6D7D0550"/>
    <w:rsid w:val="6F356B49"/>
    <w:rsid w:val="6F531884"/>
    <w:rsid w:val="73A6FB36"/>
    <w:rsid w:val="74E8481C"/>
    <w:rsid w:val="74F86533"/>
    <w:rsid w:val="75713E49"/>
    <w:rsid w:val="75EA10D8"/>
    <w:rsid w:val="75F2B036"/>
    <w:rsid w:val="76C965EF"/>
    <w:rsid w:val="7706650C"/>
    <w:rsid w:val="7715F7BF"/>
    <w:rsid w:val="7873482E"/>
    <w:rsid w:val="7884773E"/>
    <w:rsid w:val="78B31241"/>
    <w:rsid w:val="795DA1D7"/>
    <w:rsid w:val="796216C1"/>
    <w:rsid w:val="7AE20FBD"/>
    <w:rsid w:val="7BA925E7"/>
    <w:rsid w:val="7BF0E7A4"/>
    <w:rsid w:val="7C8AA115"/>
    <w:rsid w:val="7CC0871F"/>
    <w:rsid w:val="7CD533A4"/>
    <w:rsid w:val="7D39EF7C"/>
    <w:rsid w:val="7D41E9FD"/>
    <w:rsid w:val="7EBAD7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3F8060"/>
  <w14:discardImageEditingData/>
  <w15:docId w15:val="{3E30306F-745A-40B0-8CC6-9D1CFD0C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295"/>
    <w:rPr>
      <w:rFonts w:asciiTheme="minorHAnsi" w:eastAsia="Times New Roman" w:hAnsiTheme="minorHAnsi"/>
      <w:sz w:val="22"/>
      <w:szCs w:val="24"/>
      <w:lang w:val="en-GB" w:eastAsia="en-GB"/>
    </w:rPr>
  </w:style>
  <w:style w:type="paragraph" w:styleId="Heading1">
    <w:name w:val="heading 1"/>
    <w:aliases w:val="h1"/>
    <w:basedOn w:val="Normal"/>
    <w:next w:val="Paragraph"/>
    <w:link w:val="Heading1Char"/>
    <w:uiPriority w:val="9"/>
    <w:qFormat/>
    <w:rsid w:val="00B0065D"/>
    <w:pPr>
      <w:numPr>
        <w:numId w:val="24"/>
      </w:numPr>
      <w:spacing w:before="6600" w:line="264" w:lineRule="auto"/>
      <w:outlineLvl w:val="0"/>
    </w:pPr>
    <w:rPr>
      <w:rFonts w:eastAsia="Arial Unicode MS" w:cs="Calibri"/>
      <w:b/>
      <w:bCs/>
      <w:color w:val="FFFFFF" w:themeColor="background1"/>
      <w:sz w:val="56"/>
      <w:szCs w:val="88"/>
    </w:rPr>
  </w:style>
  <w:style w:type="paragraph" w:styleId="Heading2">
    <w:name w:val="heading 2"/>
    <w:aliases w:val="h2"/>
    <w:basedOn w:val="Heading1"/>
    <w:next w:val="Paragraph"/>
    <w:link w:val="Heading2Char"/>
    <w:uiPriority w:val="9"/>
    <w:qFormat/>
    <w:rsid w:val="00B0065D"/>
    <w:pPr>
      <w:keepNext/>
      <w:keepLines/>
      <w:numPr>
        <w:ilvl w:val="1"/>
      </w:numPr>
      <w:spacing w:before="480" w:after="120"/>
      <w:outlineLvl w:val="1"/>
    </w:pPr>
    <w:rPr>
      <w:bCs w:val="0"/>
      <w:color w:val="006AAC"/>
      <w:sz w:val="44"/>
      <w:szCs w:val="44"/>
      <w:lang w:eastAsia="en-AU"/>
    </w:rPr>
  </w:style>
  <w:style w:type="paragraph" w:styleId="Heading3">
    <w:name w:val="heading 3"/>
    <w:aliases w:val="h3"/>
    <w:basedOn w:val="Heading2"/>
    <w:next w:val="Paragraph"/>
    <w:link w:val="Heading3Char"/>
    <w:uiPriority w:val="9"/>
    <w:qFormat/>
    <w:rsid w:val="00E214D5"/>
    <w:pPr>
      <w:numPr>
        <w:ilvl w:val="2"/>
      </w:numPr>
      <w:tabs>
        <w:tab w:val="left" w:pos="851"/>
      </w:tabs>
      <w:spacing w:before="360"/>
      <w:outlineLvl w:val="2"/>
    </w:pPr>
    <w:rPr>
      <w:sz w:val="32"/>
      <w:szCs w:val="32"/>
    </w:rPr>
  </w:style>
  <w:style w:type="paragraph" w:styleId="Heading4">
    <w:name w:val="heading 4"/>
    <w:aliases w:val="h4"/>
    <w:basedOn w:val="Heading6"/>
    <w:next w:val="Paragraph"/>
    <w:link w:val="Heading4Char"/>
    <w:uiPriority w:val="9"/>
    <w:qFormat/>
    <w:rsid w:val="00D37220"/>
    <w:pPr>
      <w:keepNext/>
      <w:keepLines/>
      <w:numPr>
        <w:ilvl w:val="3"/>
      </w:numPr>
      <w:spacing w:after="0"/>
      <w:outlineLvl w:val="3"/>
    </w:pPr>
    <w:rPr>
      <w:color w:val="006AAC"/>
      <w:sz w:val="28"/>
    </w:rPr>
  </w:style>
  <w:style w:type="paragraph" w:styleId="Heading5">
    <w:name w:val="heading 5"/>
    <w:aliases w:val="Apx H1"/>
    <w:basedOn w:val="Heading1"/>
    <w:next w:val="Paragraph"/>
    <w:link w:val="Heading5Char"/>
    <w:uiPriority w:val="9"/>
    <w:qFormat/>
    <w:rsid w:val="00637C0A"/>
    <w:pPr>
      <w:numPr>
        <w:ilvl w:val="4"/>
      </w:numPr>
      <w:outlineLvl w:val="4"/>
    </w:pPr>
  </w:style>
  <w:style w:type="paragraph" w:styleId="Heading6">
    <w:name w:val="heading 6"/>
    <w:aliases w:val="Apx H2"/>
    <w:basedOn w:val="Heading5"/>
    <w:next w:val="Paragraph"/>
    <w:link w:val="Heading6Char"/>
    <w:uiPriority w:val="9"/>
    <w:qFormat/>
    <w:rsid w:val="00C65392"/>
    <w:pPr>
      <w:numPr>
        <w:ilvl w:val="5"/>
      </w:numPr>
      <w:spacing w:before="360" w:after="240"/>
      <w:outlineLvl w:val="5"/>
    </w:pPr>
    <w:rPr>
      <w:color w:val="0079C1" w:themeColor="text2"/>
      <w:sz w:val="40"/>
      <w:szCs w:val="32"/>
    </w:rPr>
  </w:style>
  <w:style w:type="paragraph" w:styleId="Heading7">
    <w:name w:val="heading 7"/>
    <w:aliases w:val="Apx H3"/>
    <w:basedOn w:val="Heading6"/>
    <w:next w:val="Paragraph"/>
    <w:link w:val="Heading7Char"/>
    <w:qFormat/>
    <w:rsid w:val="00902628"/>
    <w:pPr>
      <w:numPr>
        <w:ilvl w:val="6"/>
      </w:numPr>
      <w:tabs>
        <w:tab w:val="left" w:pos="851"/>
        <w:tab w:val="left" w:pos="993"/>
      </w:tabs>
      <w:outlineLvl w:val="6"/>
    </w:pPr>
    <w:rPr>
      <w:sz w:val="32"/>
    </w:rPr>
  </w:style>
  <w:style w:type="paragraph" w:styleId="Heading8">
    <w:name w:val="heading 8"/>
    <w:aliases w:val="Apx H4"/>
    <w:basedOn w:val="Heading4"/>
    <w:next w:val="Paragraph"/>
    <w:link w:val="Heading8Char"/>
    <w:uiPriority w:val="9"/>
    <w:qFormat/>
    <w:rsid w:val="003F0974"/>
    <w:pPr>
      <w:numPr>
        <w:ilvl w:val="7"/>
      </w:numPr>
      <w:outlineLvl w:val="7"/>
    </w:pPr>
  </w:style>
  <w:style w:type="paragraph" w:styleId="Heading9">
    <w:name w:val="heading 9"/>
    <w:aliases w:val="h9"/>
    <w:basedOn w:val="Normal"/>
    <w:next w:val="Paragraph"/>
    <w:link w:val="Heading9Char"/>
    <w:uiPriority w:val="9"/>
    <w:qFormat/>
    <w:rsid w:val="00833469"/>
    <w:pPr>
      <w:keepNext/>
      <w:keepLines/>
      <w:numPr>
        <w:ilvl w:val="8"/>
        <w:numId w:val="24"/>
      </w:numPr>
      <w:spacing w:before="360"/>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p,Para"/>
    <w:basedOn w:val="Normal"/>
    <w:link w:val="ParagraphChar"/>
    <w:uiPriority w:val="99"/>
    <w:qFormat/>
    <w:rsid w:val="00DB5A6A"/>
    <w:pPr>
      <w:spacing w:before="240" w:after="240" w:line="264" w:lineRule="auto"/>
    </w:pPr>
    <w:rPr>
      <w:color w:val="000000" w:themeColor="text1"/>
      <w:lang w:eastAsia="en-US"/>
    </w:rPr>
  </w:style>
  <w:style w:type="character" w:customStyle="1" w:styleId="ParagraphChar">
    <w:name w:val="Paragraph Char"/>
    <w:aliases w:val="p Char,Para Char"/>
    <w:basedOn w:val="DefaultParagraphFont"/>
    <w:link w:val="Paragraph"/>
    <w:uiPriority w:val="99"/>
    <w:rsid w:val="00DB5A6A"/>
    <w:rPr>
      <w:rFonts w:asciiTheme="minorHAnsi" w:eastAsia="Times New Roman" w:hAnsiTheme="minorHAnsi"/>
      <w:color w:val="000000" w:themeColor="text1"/>
      <w:sz w:val="22"/>
      <w:szCs w:val="24"/>
      <w:lang w:val="en-GB" w:eastAsia="en-US"/>
    </w:rPr>
  </w:style>
  <w:style w:type="character" w:customStyle="1" w:styleId="Heading1Char">
    <w:name w:val="Heading 1 Char"/>
    <w:aliases w:val="h1 Char"/>
    <w:basedOn w:val="DefaultParagraphFont"/>
    <w:link w:val="Heading1"/>
    <w:uiPriority w:val="9"/>
    <w:rsid w:val="00B0065D"/>
    <w:rPr>
      <w:rFonts w:asciiTheme="minorHAnsi" w:eastAsia="Arial Unicode MS" w:hAnsiTheme="minorHAnsi" w:cs="Calibri"/>
      <w:b/>
      <w:bCs/>
      <w:color w:val="FFFFFF" w:themeColor="background1"/>
      <w:sz w:val="56"/>
      <w:szCs w:val="88"/>
      <w:lang w:val="en-GB" w:eastAsia="en-GB"/>
    </w:rPr>
  </w:style>
  <w:style w:type="character" w:customStyle="1" w:styleId="Heading2Char">
    <w:name w:val="Heading 2 Char"/>
    <w:aliases w:val="h2 Char"/>
    <w:basedOn w:val="DefaultParagraphFont"/>
    <w:link w:val="Heading2"/>
    <w:uiPriority w:val="9"/>
    <w:rsid w:val="00B0065D"/>
    <w:rPr>
      <w:rFonts w:asciiTheme="minorHAnsi" w:eastAsia="Arial Unicode MS" w:hAnsiTheme="minorHAnsi" w:cs="Calibri"/>
      <w:b/>
      <w:color w:val="006AAC"/>
      <w:sz w:val="44"/>
      <w:szCs w:val="44"/>
      <w:lang w:val="en-GB"/>
    </w:rPr>
  </w:style>
  <w:style w:type="character" w:customStyle="1" w:styleId="Heading3Char">
    <w:name w:val="Heading 3 Char"/>
    <w:aliases w:val="h3 Char"/>
    <w:basedOn w:val="DefaultParagraphFont"/>
    <w:link w:val="Heading3"/>
    <w:uiPriority w:val="9"/>
    <w:rsid w:val="0043306C"/>
    <w:rPr>
      <w:rFonts w:asciiTheme="minorHAnsi" w:eastAsia="Arial Unicode MS" w:hAnsiTheme="minorHAnsi" w:cs="Calibri"/>
      <w:b/>
      <w:color w:val="006AAC"/>
      <w:sz w:val="32"/>
      <w:szCs w:val="32"/>
      <w:lang w:val="en-GB"/>
    </w:rPr>
  </w:style>
  <w:style w:type="character" w:customStyle="1" w:styleId="Heading4Char">
    <w:name w:val="Heading 4 Char"/>
    <w:aliases w:val="h4 Char"/>
    <w:basedOn w:val="DefaultParagraphFont"/>
    <w:link w:val="Heading4"/>
    <w:uiPriority w:val="9"/>
    <w:rsid w:val="00D37220"/>
    <w:rPr>
      <w:rFonts w:asciiTheme="minorHAnsi" w:eastAsia="Arial Unicode MS" w:hAnsiTheme="minorHAnsi" w:cs="Calibri"/>
      <w:b/>
      <w:bCs/>
      <w:color w:val="006AAC"/>
      <w:sz w:val="28"/>
      <w:szCs w:val="32"/>
      <w:lang w:val="en-GB" w:eastAsia="en-GB"/>
    </w:rPr>
  </w:style>
  <w:style w:type="character" w:customStyle="1" w:styleId="Heading5Char">
    <w:name w:val="Heading 5 Char"/>
    <w:aliases w:val="Apx H1 Char"/>
    <w:basedOn w:val="DefaultParagraphFont"/>
    <w:link w:val="Heading5"/>
    <w:uiPriority w:val="9"/>
    <w:rsid w:val="00637C0A"/>
    <w:rPr>
      <w:rFonts w:asciiTheme="minorHAnsi" w:eastAsia="Arial Unicode MS" w:hAnsiTheme="minorHAnsi" w:cs="Calibri"/>
      <w:b/>
      <w:bCs/>
      <w:color w:val="FFFFFF" w:themeColor="background1"/>
      <w:sz w:val="56"/>
      <w:szCs w:val="88"/>
      <w:lang w:val="en-GB" w:eastAsia="en-GB"/>
    </w:rPr>
  </w:style>
  <w:style w:type="character" w:customStyle="1" w:styleId="Heading6Char">
    <w:name w:val="Heading 6 Char"/>
    <w:aliases w:val="Apx H2 Char"/>
    <w:link w:val="Heading6"/>
    <w:uiPriority w:val="9"/>
    <w:rsid w:val="00C65392"/>
    <w:rPr>
      <w:rFonts w:asciiTheme="minorHAnsi" w:eastAsia="Arial Unicode MS" w:hAnsiTheme="minorHAnsi" w:cs="Calibri"/>
      <w:b/>
      <w:bCs/>
      <w:color w:val="0079C1" w:themeColor="text2"/>
      <w:sz w:val="40"/>
      <w:szCs w:val="32"/>
      <w:lang w:val="en-GB" w:eastAsia="en-GB"/>
    </w:rPr>
  </w:style>
  <w:style w:type="character" w:customStyle="1" w:styleId="Heading7Char">
    <w:name w:val="Heading 7 Char"/>
    <w:aliases w:val="Apx H3 Char"/>
    <w:link w:val="Heading7"/>
    <w:rsid w:val="00902628"/>
    <w:rPr>
      <w:rFonts w:asciiTheme="minorHAnsi" w:eastAsia="Arial Unicode MS" w:hAnsiTheme="minorHAnsi" w:cs="Calibri"/>
      <w:b/>
      <w:bCs/>
      <w:color w:val="0079C1" w:themeColor="text2"/>
      <w:sz w:val="32"/>
      <w:szCs w:val="32"/>
      <w:lang w:val="en-GB" w:eastAsia="en-GB"/>
    </w:rPr>
  </w:style>
  <w:style w:type="character" w:customStyle="1" w:styleId="Heading8Char">
    <w:name w:val="Heading 8 Char"/>
    <w:aliases w:val="Apx H4 Char"/>
    <w:link w:val="Heading8"/>
    <w:uiPriority w:val="9"/>
    <w:rsid w:val="00FC04FC"/>
    <w:rPr>
      <w:rFonts w:asciiTheme="minorHAnsi" w:eastAsia="Arial Unicode MS" w:hAnsiTheme="minorHAnsi" w:cs="Calibri"/>
      <w:b/>
      <w:bCs/>
      <w:color w:val="006AAC"/>
      <w:sz w:val="28"/>
      <w:szCs w:val="32"/>
      <w:lang w:val="en-GB" w:eastAsia="en-GB"/>
    </w:rPr>
  </w:style>
  <w:style w:type="character" w:customStyle="1" w:styleId="Heading9Char">
    <w:name w:val="Heading 9 Char"/>
    <w:aliases w:val="h9 Char"/>
    <w:link w:val="Heading9"/>
    <w:uiPriority w:val="9"/>
    <w:rsid w:val="00833469"/>
    <w:rPr>
      <w:rFonts w:asciiTheme="minorHAnsi" w:eastAsia="Times New Roman" w:hAnsiTheme="minorHAnsi"/>
      <w:b/>
      <w:sz w:val="22"/>
      <w:szCs w:val="24"/>
      <w:lang w:val="en-GB" w:eastAsia="en-US"/>
    </w:rPr>
  </w:style>
  <w:style w:type="paragraph" w:styleId="Header">
    <w:name w:val="header"/>
    <w:basedOn w:val="Normal"/>
    <w:link w:val="HeaderChar"/>
    <w:uiPriority w:val="99"/>
    <w:unhideWhenUsed/>
    <w:qFormat/>
    <w:rsid w:val="00B0065D"/>
    <w:pPr>
      <w:pBdr>
        <w:bottom w:val="single" w:sz="4" w:space="1" w:color="0079C1" w:themeColor="text2"/>
      </w:pBdr>
      <w:tabs>
        <w:tab w:val="left" w:pos="284"/>
        <w:tab w:val="left" w:pos="1276"/>
      </w:tabs>
      <w:spacing w:after="240"/>
    </w:pPr>
    <w:rPr>
      <w:noProof/>
      <w:color w:val="006AAC"/>
      <w:lang w:val="en-US" w:eastAsia="en-US"/>
    </w:rPr>
  </w:style>
  <w:style w:type="character" w:customStyle="1" w:styleId="HeaderChar">
    <w:name w:val="Header Char"/>
    <w:basedOn w:val="DefaultParagraphFont"/>
    <w:link w:val="Header"/>
    <w:uiPriority w:val="99"/>
    <w:rsid w:val="00B0065D"/>
    <w:rPr>
      <w:rFonts w:asciiTheme="minorHAnsi" w:eastAsia="Times New Roman" w:hAnsiTheme="minorHAnsi"/>
      <w:noProof/>
      <w:color w:val="006AAC"/>
      <w:sz w:val="22"/>
      <w:szCs w:val="24"/>
      <w:lang w:val="en-US" w:eastAsia="en-US"/>
    </w:rPr>
  </w:style>
  <w:style w:type="paragraph" w:styleId="Footer">
    <w:name w:val="footer"/>
    <w:basedOn w:val="Normal"/>
    <w:link w:val="FooterChar"/>
    <w:uiPriority w:val="99"/>
    <w:unhideWhenUsed/>
    <w:qFormat/>
    <w:rsid w:val="004A3055"/>
    <w:pPr>
      <w:pBdr>
        <w:top w:val="single" w:sz="4" w:space="6" w:color="0079C1" w:themeColor="text2"/>
      </w:pBdr>
      <w:spacing w:before="120"/>
      <w:jc w:val="right"/>
    </w:pPr>
    <w:rPr>
      <w:rFonts w:eastAsiaTheme="minorHAnsi" w:cs="Calibri"/>
      <w:bCs/>
      <w:noProof/>
      <w:color w:val="006AAC"/>
      <w:sz w:val="18"/>
      <w:szCs w:val="28"/>
      <w:lang w:eastAsia="en-US"/>
    </w:rPr>
  </w:style>
  <w:style w:type="character" w:customStyle="1" w:styleId="FooterChar">
    <w:name w:val="Footer Char"/>
    <w:basedOn w:val="DefaultParagraphFont"/>
    <w:link w:val="Footer"/>
    <w:uiPriority w:val="99"/>
    <w:rsid w:val="004A3055"/>
    <w:rPr>
      <w:rFonts w:asciiTheme="minorHAnsi" w:eastAsiaTheme="minorHAnsi" w:hAnsiTheme="minorHAnsi" w:cs="Calibri"/>
      <w:bCs/>
      <w:noProof/>
      <w:color w:val="006AAC"/>
      <w:sz w:val="18"/>
      <w:szCs w:val="28"/>
      <w:lang w:val="en-GB" w:eastAsia="en-US"/>
    </w:rPr>
  </w:style>
  <w:style w:type="paragraph" w:styleId="BalloonText">
    <w:name w:val="Balloon Text"/>
    <w:basedOn w:val="Normal"/>
    <w:link w:val="BalloonTextChar"/>
    <w:uiPriority w:val="99"/>
    <w:semiHidden/>
    <w:unhideWhenUsed/>
    <w:rsid w:val="00D51DC7"/>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D51DC7"/>
    <w:rPr>
      <w:rFonts w:ascii="Tahoma" w:hAnsi="Tahoma" w:cs="Tahoma"/>
      <w:sz w:val="16"/>
      <w:szCs w:val="16"/>
      <w:lang w:val="en-GB" w:eastAsia="en-GB"/>
    </w:rPr>
  </w:style>
  <w:style w:type="paragraph" w:styleId="TOCHeading">
    <w:name w:val="TOC Heading"/>
    <w:basedOn w:val="Heading2"/>
    <w:next w:val="Normal"/>
    <w:uiPriority w:val="39"/>
    <w:qFormat/>
    <w:rsid w:val="00384C74"/>
    <w:pPr>
      <w:numPr>
        <w:ilvl w:val="0"/>
        <w:numId w:val="0"/>
      </w:numPr>
      <w:spacing w:before="0" w:after="240"/>
      <w:outlineLvl w:val="0"/>
    </w:pPr>
    <w:rPr>
      <w:color w:val="0079C1" w:themeColor="text2"/>
      <w:sz w:val="48"/>
    </w:rPr>
  </w:style>
  <w:style w:type="paragraph" w:styleId="TOC2">
    <w:name w:val="toc 2"/>
    <w:basedOn w:val="TOC1"/>
    <w:next w:val="Normal"/>
    <w:autoRedefine/>
    <w:uiPriority w:val="39"/>
    <w:unhideWhenUsed/>
    <w:qFormat/>
    <w:rsid w:val="0043306C"/>
    <w:pPr>
      <w:keepNext w:val="0"/>
      <w:spacing w:before="120"/>
      <w:ind w:left="1134"/>
    </w:pPr>
    <w:rPr>
      <w:b w:val="0"/>
      <w:color w:val="auto"/>
    </w:rPr>
  </w:style>
  <w:style w:type="paragraph" w:styleId="TOC1">
    <w:name w:val="toc 1"/>
    <w:basedOn w:val="Paragraph"/>
    <w:next w:val="Normal"/>
    <w:autoRedefine/>
    <w:uiPriority w:val="39"/>
    <w:unhideWhenUsed/>
    <w:qFormat/>
    <w:rsid w:val="00B0065D"/>
    <w:pPr>
      <w:keepNext/>
      <w:tabs>
        <w:tab w:val="left" w:pos="1276"/>
        <w:tab w:val="right" w:leader="dot" w:pos="9356"/>
      </w:tabs>
      <w:spacing w:after="120"/>
      <w:ind w:left="567" w:hanging="567"/>
    </w:pPr>
    <w:rPr>
      <w:rFonts w:eastAsia="Arial Unicode MS" w:cs="Calibri"/>
      <w:b/>
      <w:noProof/>
      <w:color w:val="006AAC"/>
      <w:lang w:val="en-AU" w:eastAsia="en-AU"/>
    </w:rPr>
  </w:style>
  <w:style w:type="character" w:styleId="Hyperlink">
    <w:name w:val="Hyperlink"/>
    <w:uiPriority w:val="99"/>
    <w:unhideWhenUsed/>
    <w:rsid w:val="00D51DC7"/>
    <w:rPr>
      <w:noProof/>
      <w:color w:val="0000FF"/>
      <w:u w:val="single"/>
      <w:lang w:val="en-GB"/>
    </w:rPr>
  </w:style>
  <w:style w:type="paragraph" w:styleId="Caption">
    <w:name w:val="caption"/>
    <w:aliases w:val="c,Caption Char Char Char Char Char Char Char,Caption Char Char Char Char Char Char Char Char,Caption Char Char Char Char Char Char,Text Caption"/>
    <w:basedOn w:val="Normal"/>
    <w:next w:val="Normal"/>
    <w:link w:val="CaptionChar"/>
    <w:uiPriority w:val="35"/>
    <w:qFormat/>
    <w:rsid w:val="004A3055"/>
    <w:pPr>
      <w:keepNext/>
      <w:keepLines/>
      <w:tabs>
        <w:tab w:val="left" w:pos="993"/>
        <w:tab w:val="left" w:pos="1134"/>
        <w:tab w:val="left" w:pos="1276"/>
      </w:tabs>
      <w:spacing w:before="240" w:after="40"/>
      <w:outlineLvl w:val="8"/>
    </w:pPr>
    <w:rPr>
      <w:rFonts w:ascii="Calibri Light" w:hAnsi="Calibri Light"/>
      <w:bCs/>
      <w:color w:val="404142" w:themeColor="background2" w:themeShade="80"/>
      <w:szCs w:val="18"/>
      <w:lang w:eastAsia="en-US"/>
    </w:rPr>
  </w:style>
  <w:style w:type="character" w:customStyle="1" w:styleId="CaptionChar">
    <w:name w:val="Caption Char"/>
    <w:aliases w:val="c Char,Caption Char Char Char Char Char Char Char Char1,Caption Char Char Char Char Char Char Char Char Char,Caption Char Char Char Char Char Char Char1,Text Caption Char"/>
    <w:basedOn w:val="DefaultParagraphFont"/>
    <w:link w:val="Caption"/>
    <w:uiPriority w:val="35"/>
    <w:rsid w:val="004A3055"/>
    <w:rPr>
      <w:rFonts w:ascii="Calibri Light" w:eastAsia="Times New Roman" w:hAnsi="Calibri Light"/>
      <w:bCs/>
      <w:color w:val="404142" w:themeColor="background2" w:themeShade="80"/>
      <w:sz w:val="22"/>
      <w:szCs w:val="18"/>
      <w:lang w:val="en-GB" w:eastAsia="en-US"/>
    </w:rPr>
  </w:style>
  <w:style w:type="paragraph" w:styleId="TableofFigures">
    <w:name w:val="table of figures"/>
    <w:basedOn w:val="Paragraph"/>
    <w:next w:val="Normal"/>
    <w:uiPriority w:val="99"/>
    <w:unhideWhenUsed/>
    <w:rsid w:val="00384C74"/>
    <w:pPr>
      <w:tabs>
        <w:tab w:val="left" w:pos="1134"/>
        <w:tab w:val="right" w:leader="dot" w:pos="9639"/>
      </w:tabs>
      <w:spacing w:before="120" w:after="120" w:line="240" w:lineRule="auto"/>
      <w:ind w:left="1134" w:hanging="1134"/>
    </w:pPr>
    <w:rPr>
      <w:noProof/>
    </w:rPr>
  </w:style>
  <w:style w:type="paragraph" w:styleId="Title">
    <w:name w:val="Title"/>
    <w:basedOn w:val="Normal"/>
    <w:next w:val="Heading1"/>
    <w:link w:val="TitleChar"/>
    <w:uiPriority w:val="10"/>
    <w:qFormat/>
    <w:rsid w:val="00081D82"/>
    <w:pPr>
      <w:spacing w:before="120" w:after="120"/>
      <w:ind w:left="2268" w:right="113"/>
      <w:contextualSpacing/>
    </w:pPr>
    <w:rPr>
      <w:rFonts w:ascii="Segoe UI" w:eastAsia="Calibri" w:hAnsi="Segoe UI" w:cs="Segoe UI"/>
      <w:b/>
      <w:bCs/>
      <w:noProof/>
      <w:color w:val="FFFFFF" w:themeColor="background1"/>
      <w:spacing w:val="5"/>
      <w:kern w:val="28"/>
      <w:sz w:val="56"/>
      <w:szCs w:val="44"/>
      <w:lang w:val="en-AU" w:eastAsia="en-US"/>
    </w:rPr>
  </w:style>
  <w:style w:type="character" w:customStyle="1" w:styleId="TitleChar">
    <w:name w:val="Title Char"/>
    <w:basedOn w:val="DefaultParagraphFont"/>
    <w:link w:val="Title"/>
    <w:uiPriority w:val="10"/>
    <w:rsid w:val="00081D82"/>
    <w:rPr>
      <w:rFonts w:ascii="Segoe UI" w:hAnsi="Segoe UI" w:cs="Segoe UI"/>
      <w:b/>
      <w:bCs/>
      <w:noProof/>
      <w:color w:val="FFFFFF" w:themeColor="background1"/>
      <w:spacing w:val="5"/>
      <w:kern w:val="28"/>
      <w:sz w:val="56"/>
      <w:szCs w:val="44"/>
      <w:lang w:eastAsia="en-US"/>
    </w:rPr>
  </w:style>
  <w:style w:type="character" w:styleId="Strong">
    <w:name w:val="Strong"/>
    <w:uiPriority w:val="22"/>
    <w:qFormat/>
    <w:rsid w:val="00D51DC7"/>
    <w:rPr>
      <w:b/>
      <w:bCs/>
      <w:noProof w:val="0"/>
      <w:lang w:val="en-GB"/>
    </w:rPr>
  </w:style>
  <w:style w:type="character" w:styleId="Emphasis">
    <w:name w:val="Emphasis"/>
    <w:uiPriority w:val="20"/>
    <w:qFormat/>
    <w:rsid w:val="00D51DC7"/>
    <w:rPr>
      <w:i/>
      <w:iCs/>
      <w:noProof w:val="0"/>
      <w:lang w:val="en-GB"/>
    </w:rPr>
  </w:style>
  <w:style w:type="paragraph" w:styleId="DocumentMap">
    <w:name w:val="Document Map"/>
    <w:basedOn w:val="Normal"/>
    <w:link w:val="DocumentMapChar"/>
    <w:uiPriority w:val="99"/>
    <w:semiHidden/>
    <w:unhideWhenUsed/>
    <w:rsid w:val="00D51DC7"/>
    <w:rPr>
      <w:rFonts w:ascii="Tahoma" w:hAnsi="Tahoma" w:cs="Tahoma"/>
      <w:sz w:val="16"/>
      <w:szCs w:val="16"/>
    </w:rPr>
  </w:style>
  <w:style w:type="character" w:customStyle="1" w:styleId="DocumentMapChar">
    <w:name w:val="Document Map Char"/>
    <w:basedOn w:val="DefaultParagraphFont"/>
    <w:link w:val="DocumentMap"/>
    <w:uiPriority w:val="99"/>
    <w:semiHidden/>
    <w:rsid w:val="00D51DC7"/>
    <w:rPr>
      <w:rFonts w:ascii="Tahoma" w:hAnsi="Tahoma" w:cs="Tahoma"/>
      <w:sz w:val="16"/>
      <w:szCs w:val="16"/>
      <w:lang w:val="en-GB" w:eastAsia="en-GB"/>
    </w:rPr>
  </w:style>
  <w:style w:type="character" w:styleId="CommentReference">
    <w:name w:val="annotation reference"/>
    <w:basedOn w:val="DefaultParagraphFont"/>
    <w:uiPriority w:val="99"/>
    <w:semiHidden/>
    <w:rsid w:val="00D51DC7"/>
    <w:rPr>
      <w:sz w:val="16"/>
      <w:szCs w:val="16"/>
    </w:rPr>
  </w:style>
  <w:style w:type="paragraph" w:styleId="CommentText">
    <w:name w:val="annotation text"/>
    <w:basedOn w:val="Normal"/>
    <w:link w:val="CommentTextChar"/>
    <w:uiPriority w:val="99"/>
    <w:rsid w:val="00D51DC7"/>
    <w:rPr>
      <w:szCs w:val="20"/>
      <w:lang w:eastAsia="en-US"/>
    </w:rPr>
  </w:style>
  <w:style w:type="character" w:customStyle="1" w:styleId="CommentTextChar">
    <w:name w:val="Comment Text Char"/>
    <w:basedOn w:val="DefaultParagraphFont"/>
    <w:link w:val="CommentText"/>
    <w:uiPriority w:val="99"/>
    <w:rsid w:val="00D51DC7"/>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rsid w:val="00D51DC7"/>
    <w:rPr>
      <w:b/>
      <w:bCs/>
    </w:rPr>
  </w:style>
  <w:style w:type="character" w:customStyle="1" w:styleId="CommentSubjectChar">
    <w:name w:val="Comment Subject Char"/>
    <w:basedOn w:val="CommentTextChar"/>
    <w:link w:val="CommentSubject"/>
    <w:uiPriority w:val="99"/>
    <w:semiHidden/>
    <w:rsid w:val="00D51DC7"/>
    <w:rPr>
      <w:rFonts w:ascii="Times New Roman" w:eastAsia="Times New Roman" w:hAnsi="Times New Roman"/>
      <w:b/>
      <w:bCs/>
      <w:lang w:val="en-GB" w:eastAsia="en-GB"/>
    </w:rPr>
  </w:style>
  <w:style w:type="paragraph" w:customStyle="1" w:styleId="References">
    <w:name w:val="References"/>
    <w:basedOn w:val="Paragraph"/>
    <w:qFormat/>
    <w:rsid w:val="00410F76"/>
    <w:pPr>
      <w:keepLines/>
      <w:spacing w:before="120" w:after="120"/>
      <w:ind w:left="720" w:hanging="720"/>
    </w:pPr>
  </w:style>
  <w:style w:type="paragraph" w:customStyle="1" w:styleId="TableText">
    <w:name w:val="Table Text"/>
    <w:basedOn w:val="Paragraph"/>
    <w:link w:val="TableTextChar"/>
    <w:qFormat/>
    <w:rsid w:val="00B11C7D"/>
    <w:pPr>
      <w:spacing w:before="60" w:after="60" w:line="240" w:lineRule="auto"/>
    </w:pPr>
  </w:style>
  <w:style w:type="paragraph" w:customStyle="1" w:styleId="TableList1">
    <w:name w:val="Table_List 1"/>
    <w:basedOn w:val="TableBullet1"/>
    <w:qFormat/>
    <w:rsid w:val="006A2FF9"/>
    <w:pPr>
      <w:numPr>
        <w:numId w:val="13"/>
      </w:numPr>
    </w:pPr>
  </w:style>
  <w:style w:type="character" w:styleId="FollowedHyperlink">
    <w:name w:val="FollowedHyperlink"/>
    <w:basedOn w:val="DefaultParagraphFont"/>
    <w:rsid w:val="00D51DC7"/>
    <w:rPr>
      <w:color w:val="606420"/>
      <w:u w:val="single"/>
    </w:rPr>
  </w:style>
  <w:style w:type="paragraph" w:styleId="FootnoteText">
    <w:name w:val="footnote text"/>
    <w:basedOn w:val="Normal"/>
    <w:link w:val="FootnoteTextChar"/>
    <w:uiPriority w:val="99"/>
    <w:qFormat/>
    <w:rsid w:val="002768F6"/>
    <w:pPr>
      <w:spacing w:before="60" w:after="60"/>
    </w:pPr>
    <w:rPr>
      <w:sz w:val="18"/>
      <w:szCs w:val="20"/>
      <w:lang w:eastAsia="en-US"/>
    </w:rPr>
  </w:style>
  <w:style w:type="character" w:customStyle="1" w:styleId="FootnoteTextChar">
    <w:name w:val="Footnote Text Char"/>
    <w:basedOn w:val="DefaultParagraphFont"/>
    <w:link w:val="FootnoteText"/>
    <w:uiPriority w:val="99"/>
    <w:rsid w:val="002768F6"/>
    <w:rPr>
      <w:rFonts w:asciiTheme="minorHAnsi" w:eastAsia="Times New Roman" w:hAnsiTheme="minorHAnsi"/>
      <w:sz w:val="18"/>
      <w:lang w:val="en-GB" w:eastAsia="en-US"/>
    </w:rPr>
  </w:style>
  <w:style w:type="character" w:styleId="FootnoteReference">
    <w:name w:val="footnote reference"/>
    <w:basedOn w:val="DefaultParagraphFont"/>
    <w:uiPriority w:val="99"/>
    <w:rsid w:val="00D51DC7"/>
    <w:rPr>
      <w:noProof w:val="0"/>
      <w:vertAlign w:val="superscript"/>
      <w:lang w:val="en-GB"/>
    </w:rPr>
  </w:style>
  <w:style w:type="paragraph" w:styleId="Quote">
    <w:name w:val="Quote"/>
    <w:aliases w:val="q"/>
    <w:basedOn w:val="Paragraph"/>
    <w:next w:val="Normal"/>
    <w:link w:val="QuoteChar"/>
    <w:uiPriority w:val="29"/>
    <w:qFormat/>
    <w:rsid w:val="003C66D3"/>
    <w:pPr>
      <w:spacing w:before="120"/>
      <w:ind w:left="608" w:right="709"/>
    </w:pPr>
    <w:rPr>
      <w:iCs/>
    </w:rPr>
  </w:style>
  <w:style w:type="character" w:customStyle="1" w:styleId="QuoteChar">
    <w:name w:val="Quote Char"/>
    <w:aliases w:val="q Char"/>
    <w:basedOn w:val="DefaultParagraphFont"/>
    <w:link w:val="Quote"/>
    <w:uiPriority w:val="29"/>
    <w:rsid w:val="00833469"/>
    <w:rPr>
      <w:rFonts w:asciiTheme="minorHAnsi" w:eastAsia="Times New Roman" w:hAnsiTheme="minorHAnsi"/>
      <w:iCs/>
      <w:color w:val="000000" w:themeColor="text1"/>
      <w:sz w:val="22"/>
      <w:szCs w:val="24"/>
      <w:lang w:val="en-GB" w:eastAsia="en-US"/>
    </w:rPr>
  </w:style>
  <w:style w:type="paragraph" w:styleId="Revision">
    <w:name w:val="Revision"/>
    <w:hidden/>
    <w:uiPriority w:val="99"/>
    <w:semiHidden/>
    <w:rsid w:val="003769CE"/>
    <w:rPr>
      <w:rFonts w:eastAsiaTheme="minorHAnsi" w:cs="Calibri"/>
      <w:sz w:val="22"/>
      <w:szCs w:val="22"/>
    </w:rPr>
  </w:style>
  <w:style w:type="paragraph" w:customStyle="1" w:styleId="Note">
    <w:name w:val="Note"/>
    <w:basedOn w:val="FootnoteText"/>
    <w:link w:val="NoteChar"/>
    <w:rsid w:val="00186D90"/>
    <w:pPr>
      <w:keepLines/>
      <w:tabs>
        <w:tab w:val="left" w:pos="426"/>
        <w:tab w:val="left" w:pos="3402"/>
      </w:tabs>
      <w:spacing w:before="40" w:after="120"/>
      <w:ind w:left="142" w:right="566"/>
      <w:contextualSpacing/>
    </w:pPr>
    <w:rPr>
      <w:color w:val="404142" w:themeColor="background2" w:themeShade="80"/>
      <w:lang w:val="en-CA"/>
    </w:rPr>
  </w:style>
  <w:style w:type="character" w:customStyle="1" w:styleId="NoteChar">
    <w:name w:val="Note Char"/>
    <w:link w:val="Note"/>
    <w:rsid w:val="00186D90"/>
    <w:rPr>
      <w:rFonts w:asciiTheme="minorHAnsi" w:eastAsia="Times New Roman" w:hAnsiTheme="minorHAnsi"/>
      <w:color w:val="404142" w:themeColor="background2" w:themeShade="80"/>
      <w:sz w:val="18"/>
      <w:lang w:val="en-CA" w:eastAsia="en-US"/>
    </w:rPr>
  </w:style>
  <w:style w:type="paragraph" w:customStyle="1" w:styleId="TableHeading1">
    <w:name w:val="Table Heading 1"/>
    <w:aliases w:val="th1"/>
    <w:basedOn w:val="TableText"/>
    <w:link w:val="TableHeading1Char"/>
    <w:qFormat/>
    <w:rsid w:val="004A3055"/>
    <w:pPr>
      <w:keepNext/>
      <w:keepLines/>
      <w:spacing w:before="120" w:after="0"/>
    </w:pPr>
    <w:rPr>
      <w:color w:val="006AAC"/>
    </w:rPr>
  </w:style>
  <w:style w:type="paragraph" w:customStyle="1" w:styleId="TableHeading2">
    <w:name w:val="Table Heading 2"/>
    <w:aliases w:val="th2"/>
    <w:basedOn w:val="TableHeading1"/>
    <w:qFormat/>
    <w:rsid w:val="004E5026"/>
    <w:pPr>
      <w:spacing w:before="60" w:after="60"/>
    </w:pPr>
    <w:rPr>
      <w:b/>
      <w:color w:val="404142" w:themeColor="background2" w:themeShade="80"/>
    </w:rPr>
  </w:style>
  <w:style w:type="paragraph" w:customStyle="1" w:styleId="Insidecover">
    <w:name w:val="Inside cover"/>
    <w:basedOn w:val="Normal"/>
    <w:qFormat/>
    <w:rsid w:val="000B10CE"/>
    <w:pPr>
      <w:ind w:left="57"/>
    </w:pPr>
    <w:rPr>
      <w:color w:val="5F6163" w:themeColor="background2" w:themeShade="BF"/>
      <w:lang w:eastAsia="en-US"/>
    </w:rPr>
  </w:style>
  <w:style w:type="paragraph" w:customStyle="1" w:styleId="TableBullet2">
    <w:name w:val="Table Bullet 2"/>
    <w:aliases w:val="tb2"/>
    <w:basedOn w:val="TableBullet1"/>
    <w:qFormat/>
    <w:rsid w:val="00BE1A58"/>
    <w:pPr>
      <w:numPr>
        <w:numId w:val="9"/>
      </w:numPr>
      <w:spacing w:before="0"/>
      <w:ind w:left="549" w:hanging="283"/>
    </w:pPr>
  </w:style>
  <w:style w:type="paragraph" w:customStyle="1" w:styleId="TableBullet1">
    <w:name w:val="Table Bullet 1"/>
    <w:aliases w:val="tb1"/>
    <w:basedOn w:val="TableText"/>
    <w:qFormat/>
    <w:rsid w:val="005E7096"/>
    <w:pPr>
      <w:numPr>
        <w:numId w:val="8"/>
      </w:numPr>
      <w:ind w:left="319" w:hanging="284"/>
    </w:pPr>
    <w:rPr>
      <w:rFonts w:cs="Arial"/>
      <w:color w:val="auto"/>
      <w:szCs w:val="20"/>
    </w:rPr>
  </w:style>
  <w:style w:type="paragraph" w:customStyle="1" w:styleId="Bullet1">
    <w:name w:val="Bullet 1"/>
    <w:aliases w:val="b1"/>
    <w:basedOn w:val="Normal"/>
    <w:link w:val="Bullet1Char"/>
    <w:qFormat/>
    <w:rsid w:val="005F17F2"/>
    <w:pPr>
      <w:numPr>
        <w:numId w:val="1"/>
      </w:numPr>
      <w:spacing w:before="120" w:after="120" w:line="264" w:lineRule="auto"/>
    </w:pPr>
    <w:rPr>
      <w:lang w:eastAsia="en-AU"/>
    </w:rPr>
  </w:style>
  <w:style w:type="character" w:customStyle="1" w:styleId="Bullet1Char">
    <w:name w:val="Bullet 1 Char"/>
    <w:aliases w:val="b1 Char"/>
    <w:basedOn w:val="DefaultParagraphFont"/>
    <w:link w:val="Bullet1"/>
    <w:rsid w:val="005F17F2"/>
    <w:rPr>
      <w:rFonts w:asciiTheme="minorHAnsi" w:eastAsia="Times New Roman" w:hAnsiTheme="minorHAnsi"/>
      <w:sz w:val="22"/>
      <w:szCs w:val="24"/>
      <w:lang w:val="en-GB"/>
    </w:rPr>
  </w:style>
  <w:style w:type="paragraph" w:customStyle="1" w:styleId="Bullet2">
    <w:name w:val="Bullet 2"/>
    <w:aliases w:val="b2"/>
    <w:basedOn w:val="Bullet1"/>
    <w:qFormat/>
    <w:rsid w:val="00B303C0"/>
    <w:pPr>
      <w:numPr>
        <w:ilvl w:val="1"/>
        <w:numId w:val="2"/>
      </w:numPr>
      <w:spacing w:before="60" w:after="60" w:line="240" w:lineRule="auto"/>
      <w:ind w:left="1134"/>
    </w:pPr>
    <w:rPr>
      <w:rFonts w:eastAsia="Arial Unicode MS"/>
      <w:lang w:val="en-AU"/>
    </w:rPr>
  </w:style>
  <w:style w:type="character" w:styleId="EndnoteReference">
    <w:name w:val="endnote reference"/>
    <w:basedOn w:val="DefaultParagraphFont"/>
    <w:semiHidden/>
    <w:rsid w:val="00D51DC7"/>
    <w:rPr>
      <w:vertAlign w:val="superscript"/>
    </w:rPr>
  </w:style>
  <w:style w:type="paragraph" w:customStyle="1" w:styleId="NoteBullet">
    <w:name w:val="Note Bullet"/>
    <w:basedOn w:val="Note"/>
    <w:rsid w:val="00D51DC7"/>
    <w:pPr>
      <w:numPr>
        <w:numId w:val="7"/>
      </w:numPr>
      <w:spacing w:before="0"/>
    </w:pPr>
  </w:style>
  <w:style w:type="paragraph" w:styleId="EndnoteText">
    <w:name w:val="endnote text"/>
    <w:basedOn w:val="Normal"/>
    <w:link w:val="EndnoteTextChar"/>
    <w:semiHidden/>
    <w:rsid w:val="00D51DC7"/>
    <w:rPr>
      <w:szCs w:val="20"/>
      <w:lang w:val="en-AU"/>
    </w:rPr>
  </w:style>
  <w:style w:type="character" w:customStyle="1" w:styleId="EndnoteTextChar">
    <w:name w:val="Endnote Text Char"/>
    <w:basedOn w:val="DefaultParagraphFont"/>
    <w:link w:val="EndnoteText"/>
    <w:semiHidden/>
    <w:rsid w:val="00D51DC7"/>
    <w:rPr>
      <w:rFonts w:ascii="Times New Roman" w:eastAsia="Times New Roman" w:hAnsi="Times New Roman"/>
      <w:lang w:eastAsia="en-GB"/>
    </w:rPr>
  </w:style>
  <w:style w:type="character" w:styleId="PlaceholderText">
    <w:name w:val="Placeholder Text"/>
    <w:basedOn w:val="DefaultParagraphFont"/>
    <w:uiPriority w:val="99"/>
    <w:semiHidden/>
    <w:rsid w:val="00976616"/>
    <w:rPr>
      <w:color w:val="808080"/>
    </w:rPr>
  </w:style>
  <w:style w:type="paragraph" w:customStyle="1" w:styleId="ParaKeep">
    <w:name w:val="Para_Keep"/>
    <w:basedOn w:val="Paragraph"/>
    <w:qFormat/>
    <w:rsid w:val="001A6C1A"/>
    <w:pPr>
      <w:keepNext/>
      <w:keepLines/>
      <w:spacing w:after="120"/>
    </w:pPr>
  </w:style>
  <w:style w:type="table" w:styleId="TableGrid">
    <w:name w:val="Table Grid"/>
    <w:basedOn w:val="TableNormal"/>
    <w:uiPriority w:val="59"/>
    <w:rsid w:val="00DB5A6A"/>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Title"/>
    <w:qFormat/>
    <w:rsid w:val="002954E7"/>
    <w:pPr>
      <w:spacing w:before="8160"/>
    </w:pPr>
    <w:rPr>
      <w:b w:val="0"/>
      <w:bCs w:val="0"/>
      <w:sz w:val="48"/>
      <w:szCs w:val="36"/>
    </w:rPr>
  </w:style>
  <w:style w:type="paragraph" w:styleId="TOC4">
    <w:name w:val="toc 4"/>
    <w:basedOn w:val="Normal"/>
    <w:semiHidden/>
    <w:rsid w:val="00E0065C"/>
    <w:pPr>
      <w:tabs>
        <w:tab w:val="left" w:pos="1230"/>
        <w:tab w:val="left" w:pos="1276"/>
        <w:tab w:val="left" w:pos="1418"/>
        <w:tab w:val="left" w:pos="1560"/>
        <w:tab w:val="left" w:pos="1701"/>
        <w:tab w:val="right" w:pos="7938"/>
        <w:tab w:val="right" w:leader="dot" w:pos="9356"/>
      </w:tabs>
      <w:spacing w:before="120" w:after="60" w:line="264" w:lineRule="auto"/>
      <w:ind w:left="1418" w:right="567" w:hanging="1418"/>
    </w:pPr>
    <w:rPr>
      <w:rFonts w:ascii="Univers 45 Light" w:eastAsia="Arial Unicode MS" w:hAnsi="Univers 45 Light" w:cs="Calibri"/>
      <w:i/>
      <w:noProof/>
      <w:color w:val="003366"/>
      <w:szCs w:val="20"/>
      <w:lang w:val="en-AU" w:eastAsia="en-AU"/>
    </w:rPr>
  </w:style>
  <w:style w:type="paragraph" w:customStyle="1" w:styleId="TOCHeading2">
    <w:name w:val="TOC Heading 2"/>
    <w:basedOn w:val="TOCHeading"/>
    <w:next w:val="Normal"/>
    <w:qFormat/>
    <w:rsid w:val="00384C74"/>
    <w:pPr>
      <w:spacing w:before="240" w:after="120"/>
      <w:outlineLvl w:val="1"/>
    </w:pPr>
    <w:rPr>
      <w:sz w:val="36"/>
    </w:rPr>
  </w:style>
  <w:style w:type="character" w:styleId="IntenseEmphasis">
    <w:name w:val="Intense Emphasis"/>
    <w:uiPriority w:val="21"/>
    <w:qFormat/>
    <w:rsid w:val="00D51DC7"/>
    <w:rPr>
      <w:b/>
      <w:bCs/>
      <w:i/>
      <w:iCs/>
      <w:noProof w:val="0"/>
      <w:color w:val="auto"/>
      <w:lang w:val="en-GB"/>
    </w:rPr>
  </w:style>
  <w:style w:type="paragraph" w:customStyle="1" w:styleId="Indent1">
    <w:name w:val="Indent 1"/>
    <w:aliases w:val="i1"/>
    <w:basedOn w:val="Paragraph"/>
    <w:rsid w:val="00353D33"/>
    <w:pPr>
      <w:spacing w:before="120" w:after="0"/>
      <w:ind w:left="709"/>
    </w:pPr>
    <w:rPr>
      <w:rFonts w:eastAsia="Arial Unicode MS"/>
      <w:bCs/>
      <w:lang w:eastAsia="en-AU"/>
    </w:rPr>
  </w:style>
  <w:style w:type="paragraph" w:customStyle="1" w:styleId="Bullet3">
    <w:name w:val="Bullet 3"/>
    <w:aliases w:val="b3"/>
    <w:basedOn w:val="Bullet2"/>
    <w:rsid w:val="00187BC0"/>
    <w:pPr>
      <w:numPr>
        <w:ilvl w:val="0"/>
        <w:numId w:val="10"/>
      </w:numPr>
      <w:ind w:left="1276" w:hanging="283"/>
    </w:pPr>
  </w:style>
  <w:style w:type="paragraph" w:customStyle="1" w:styleId="Indent2">
    <w:name w:val="Indent 2"/>
    <w:aliases w:val="i2"/>
    <w:basedOn w:val="Paragraph"/>
    <w:rsid w:val="00353D33"/>
    <w:pPr>
      <w:spacing w:before="120" w:after="60"/>
      <w:ind w:left="1134"/>
    </w:pPr>
    <w:rPr>
      <w:lang w:val="en-AU" w:eastAsia="en-AU"/>
    </w:rPr>
  </w:style>
  <w:style w:type="paragraph" w:styleId="List3">
    <w:name w:val="List 3"/>
    <w:basedOn w:val="List2"/>
    <w:uiPriority w:val="99"/>
    <w:unhideWhenUsed/>
    <w:qFormat/>
    <w:rsid w:val="00D51DC7"/>
    <w:pPr>
      <w:numPr>
        <w:ilvl w:val="2"/>
        <w:numId w:val="5"/>
      </w:numPr>
    </w:pPr>
  </w:style>
  <w:style w:type="paragraph" w:customStyle="1" w:styleId="List1">
    <w:name w:val="List 1"/>
    <w:aliases w:val="l1,list 1"/>
    <w:basedOn w:val="Normal"/>
    <w:uiPriority w:val="99"/>
    <w:qFormat/>
    <w:rsid w:val="00A8153D"/>
    <w:pPr>
      <w:numPr>
        <w:numId w:val="3"/>
      </w:numPr>
      <w:spacing w:before="120" w:after="120" w:line="264" w:lineRule="auto"/>
    </w:pPr>
    <w:rPr>
      <w:lang w:eastAsia="en-AU"/>
    </w:rPr>
  </w:style>
  <w:style w:type="paragraph" w:styleId="List2">
    <w:name w:val="List 2"/>
    <w:basedOn w:val="List1"/>
    <w:uiPriority w:val="99"/>
    <w:unhideWhenUsed/>
    <w:qFormat/>
    <w:rsid w:val="00833469"/>
    <w:pPr>
      <w:numPr>
        <w:ilvl w:val="1"/>
        <w:numId w:val="4"/>
      </w:numPr>
    </w:pPr>
  </w:style>
  <w:style w:type="paragraph" w:customStyle="1" w:styleId="Client">
    <w:name w:val="Client"/>
    <w:basedOn w:val="Title"/>
    <w:rsid w:val="002954E7"/>
    <w:rPr>
      <w:b w:val="0"/>
      <w:sz w:val="28"/>
      <w:szCs w:val="40"/>
    </w:rPr>
  </w:style>
  <w:style w:type="character" w:customStyle="1" w:styleId="Bold">
    <w:name w:val="Bold"/>
    <w:aliases w:val="b"/>
    <w:uiPriority w:val="1"/>
    <w:qFormat/>
    <w:rsid w:val="00D51DC7"/>
    <w:rPr>
      <w:b/>
    </w:rPr>
  </w:style>
  <w:style w:type="paragraph" w:customStyle="1" w:styleId="Pullquote">
    <w:name w:val="Pull quote"/>
    <w:basedOn w:val="Quote"/>
    <w:qFormat/>
    <w:rsid w:val="00D170EA"/>
    <w:pPr>
      <w:keepLines/>
      <w:pBdr>
        <w:top w:val="single" w:sz="48" w:space="9" w:color="80CFFF" w:themeColor="text2" w:themeTint="66"/>
        <w:bottom w:val="single" w:sz="48" w:space="8" w:color="80CFFF" w:themeColor="text2" w:themeTint="66"/>
      </w:pBdr>
      <w:spacing w:before="360" w:after="360" w:line="288" w:lineRule="auto"/>
      <w:ind w:left="607"/>
      <w:jc w:val="center"/>
    </w:pPr>
    <w:rPr>
      <w:color w:val="595959" w:themeColor="text1" w:themeTint="A6"/>
      <w:sz w:val="28"/>
    </w:rPr>
  </w:style>
  <w:style w:type="paragraph" w:customStyle="1" w:styleId="Image">
    <w:name w:val="Image"/>
    <w:basedOn w:val="Normal"/>
    <w:rsid w:val="00D51DC7"/>
    <w:pPr>
      <w:widowControl w:val="0"/>
    </w:pPr>
    <w:rPr>
      <w:lang w:eastAsia="en-AU"/>
    </w:rPr>
  </w:style>
  <w:style w:type="paragraph" w:customStyle="1" w:styleId="ListAlpha">
    <w:name w:val="List Alpha"/>
    <w:aliases w:val="LA"/>
    <w:basedOn w:val="List1"/>
    <w:rsid w:val="0018672D"/>
    <w:pPr>
      <w:numPr>
        <w:numId w:val="6"/>
      </w:numPr>
      <w:ind w:left="1035" w:hanging="425"/>
    </w:pPr>
  </w:style>
  <w:style w:type="paragraph" w:styleId="Date">
    <w:name w:val="Date"/>
    <w:basedOn w:val="Client"/>
    <w:next w:val="Normal"/>
    <w:link w:val="DateChar"/>
    <w:uiPriority w:val="99"/>
    <w:unhideWhenUsed/>
    <w:rsid w:val="00EC3E62"/>
    <w:pPr>
      <w:spacing w:before="360"/>
    </w:pPr>
    <w:rPr>
      <w:color w:val="E2F4FF" w:themeColor="accent1" w:themeTint="33"/>
    </w:rPr>
  </w:style>
  <w:style w:type="character" w:customStyle="1" w:styleId="DateChar">
    <w:name w:val="Date Char"/>
    <w:basedOn w:val="DefaultParagraphFont"/>
    <w:link w:val="Date"/>
    <w:uiPriority w:val="99"/>
    <w:rsid w:val="00D51DC7"/>
    <w:rPr>
      <w:rFonts w:ascii="Segoe UI" w:hAnsi="Segoe UI" w:cs="Segoe UI"/>
      <w:b/>
      <w:bCs/>
      <w:noProof/>
      <w:color w:val="E2F4FF" w:themeColor="accent1" w:themeTint="33"/>
      <w:spacing w:val="5"/>
      <w:kern w:val="28"/>
      <w:sz w:val="28"/>
      <w:szCs w:val="40"/>
      <w:lang w:eastAsia="en-US"/>
    </w:rPr>
  </w:style>
  <w:style w:type="character" w:customStyle="1" w:styleId="Italic">
    <w:name w:val="Italic"/>
    <w:uiPriority w:val="1"/>
    <w:qFormat/>
    <w:rsid w:val="00D51DC7"/>
    <w:rPr>
      <w:b w:val="0"/>
      <w:i/>
    </w:rPr>
  </w:style>
  <w:style w:type="paragraph" w:customStyle="1" w:styleId="Bullet1Keep">
    <w:name w:val="Bullet 1_Keep"/>
    <w:aliases w:val="b1k,Bullet 1 Keep"/>
    <w:basedOn w:val="Bullet1"/>
    <w:qFormat/>
    <w:rsid w:val="00884A81"/>
    <w:pPr>
      <w:keepNext/>
      <w:keepLines/>
      <w:spacing w:after="0"/>
    </w:pPr>
    <w:rPr>
      <w:lang w:val="en-AU"/>
    </w:rPr>
  </w:style>
  <w:style w:type="character" w:customStyle="1" w:styleId="CrossReference">
    <w:name w:val="Cross Reference"/>
    <w:uiPriority w:val="1"/>
    <w:rsid w:val="009C3A6D"/>
    <w:rPr>
      <w:i/>
      <w:noProof w:val="0"/>
      <w:bdr w:val="none" w:sz="0" w:space="0" w:color="auto"/>
      <w:shd w:val="clear" w:color="auto" w:fill="auto"/>
      <w:lang w:val="en-GB"/>
    </w:rPr>
  </w:style>
  <w:style w:type="paragraph" w:customStyle="1" w:styleId="Tiny">
    <w:name w:val="Tiny"/>
    <w:basedOn w:val="Normal"/>
    <w:qFormat/>
    <w:rsid w:val="00731FA4"/>
    <w:rPr>
      <w:noProof/>
      <w:sz w:val="2"/>
      <w:szCs w:val="2"/>
    </w:rPr>
  </w:style>
  <w:style w:type="paragraph" w:customStyle="1" w:styleId="Pullquotecompact">
    <w:name w:val="Pull quote_compact"/>
    <w:basedOn w:val="Pullquote"/>
    <w:rsid w:val="004A3F18"/>
    <w:pPr>
      <w:pBdr>
        <w:top w:val="single" w:sz="24" w:space="9" w:color="80CFFF" w:themeColor="text2" w:themeTint="66"/>
        <w:bottom w:val="single" w:sz="24" w:space="8" w:color="80CFFF" w:themeColor="text2" w:themeTint="66"/>
      </w:pBdr>
      <w:spacing w:before="240" w:after="240" w:line="264" w:lineRule="auto"/>
      <w:ind w:left="0" w:right="0"/>
    </w:pPr>
    <w:rPr>
      <w:sz w:val="24"/>
    </w:rPr>
  </w:style>
  <w:style w:type="paragraph" w:customStyle="1" w:styleId="Boxed">
    <w:name w:val="Boxed"/>
    <w:basedOn w:val="Paragraph"/>
    <w:rsid w:val="00A4408F"/>
    <w:pPr>
      <w:pBdr>
        <w:top w:val="single" w:sz="6" w:space="1" w:color="003C60" w:themeColor="text2" w:themeShade="80"/>
        <w:left w:val="single" w:sz="6" w:space="4" w:color="003C60" w:themeColor="text2" w:themeShade="80"/>
        <w:bottom w:val="single" w:sz="6" w:space="1" w:color="003C60" w:themeColor="text2" w:themeShade="80"/>
        <w:right w:val="single" w:sz="6" w:space="4" w:color="003C60" w:themeColor="text2" w:themeShade="80"/>
      </w:pBdr>
      <w:spacing w:before="120"/>
      <w:ind w:left="567" w:right="423"/>
    </w:pPr>
    <w:rPr>
      <w:b/>
      <w:color w:val="003C60" w:themeColor="text2" w:themeShade="80"/>
    </w:rPr>
  </w:style>
  <w:style w:type="table" w:customStyle="1" w:styleId="AHALight">
    <w:name w:val="AHA Light"/>
    <w:basedOn w:val="TableNormal"/>
    <w:uiPriority w:val="99"/>
    <w:rsid w:val="00642311"/>
    <w:pPr>
      <w:spacing w:before="60" w:after="60"/>
    </w:pPr>
    <w:rPr>
      <w:rFonts w:asciiTheme="minorHAnsi" w:hAnsiTheme="minorHAnsi"/>
    </w:rPr>
    <w:tblPr>
      <w:tblStyleRowBandSize w:val="1"/>
      <w:tblStyleColBandSize w:val="1"/>
      <w:tblBorders>
        <w:top w:val="single" w:sz="4" w:space="0" w:color="0079C1" w:themeColor="text2"/>
        <w:bottom w:val="single" w:sz="4" w:space="0" w:color="0079C1" w:themeColor="text2"/>
        <w:insideH w:val="single" w:sz="4" w:space="0" w:color="E2F4FF" w:themeColor="accent1" w:themeTint="33"/>
      </w:tblBorders>
    </w:tblPr>
    <w:trPr>
      <w:cantSplit/>
    </w:trPr>
    <w:tcPr>
      <w:shd w:val="clear" w:color="auto" w:fill="auto"/>
    </w:tcPr>
    <w:tblStylePr w:type="firstRow">
      <w:pPr>
        <w:keepNext/>
        <w:keepLines/>
        <w:pageBreakBefore w:val="0"/>
        <w:widowControl/>
        <w:wordWrap/>
        <w:spacing w:beforeLines="0" w:before="120" w:beforeAutospacing="0" w:afterLines="0" w:after="60" w:afterAutospacing="0" w:line="240" w:lineRule="auto"/>
        <w:contextualSpacing w:val="0"/>
        <w:jc w:val="left"/>
      </w:pPr>
      <w:rPr>
        <w:b/>
        <w:color w:val="0079C1" w:themeColor="text2"/>
      </w:rPr>
      <w:tblPr/>
      <w:trPr>
        <w:tblHeader/>
      </w:trPr>
      <w:tcPr>
        <w:tcBorders>
          <w:top w:val="nil"/>
          <w:left w:val="nil"/>
          <w:bottom w:val="single" w:sz="4" w:space="0" w:color="0079C1" w:themeColor="text2"/>
          <w:right w:val="nil"/>
          <w:insideH w:val="nil"/>
          <w:insideV w:val="nil"/>
          <w:tl2br w:val="nil"/>
          <w:tr2bl w:val="nil"/>
        </w:tcBorders>
        <w:vAlign w:val="bottom"/>
      </w:tcPr>
    </w:tblStylePr>
    <w:tblStylePr w:type="lastRow">
      <w:rPr>
        <w:b/>
      </w:rPr>
      <w:tblPr/>
      <w:tcPr>
        <w:tcBorders>
          <w:top w:val="single" w:sz="4" w:space="0" w:color="0079C1" w:themeColor="text2"/>
          <w:left w:val="nil"/>
          <w:bottom w:val="single" w:sz="4" w:space="0" w:color="0079C1" w:themeColor="text2"/>
          <w:right w:val="nil"/>
          <w:insideH w:val="nil"/>
          <w:insideV w:val="nil"/>
          <w:tl2br w:val="nil"/>
          <w:tr2bl w:val="nil"/>
        </w:tcBorders>
      </w:tcPr>
    </w:tblStylePr>
    <w:tblStylePr w:type="firstCol">
      <w:rPr>
        <w:b/>
      </w:rPr>
    </w:tblStylePr>
    <w:tblStylePr w:type="lastCol">
      <w:rPr>
        <w:b/>
      </w:rPr>
    </w:tblStylePr>
    <w:tblStylePr w:type="band1Vert">
      <w:tblPr/>
      <w:tcPr>
        <w:tcBorders>
          <w:left w:val="single" w:sz="4" w:space="0" w:color="E2F4FF" w:themeColor="accent1" w:themeTint="33"/>
          <w:right w:val="single" w:sz="4" w:space="0" w:color="E2F4FF" w:themeColor="accent1" w:themeTint="33"/>
        </w:tcBorders>
      </w:tcPr>
    </w:tblStylePr>
    <w:tblStylePr w:type="band2Vert">
      <w:tblPr/>
      <w:tcPr>
        <w:tcBorders>
          <w:left w:val="nil"/>
          <w:right w:val="nil"/>
        </w:tcBorders>
      </w:tcPr>
    </w:tblStylePr>
    <w:tblStylePr w:type="band1Horz">
      <w:tblPr/>
      <w:tcPr>
        <w:shd w:val="clear" w:color="auto" w:fill="F2F2F2" w:themeFill="background1" w:themeFillShade="F2"/>
      </w:tcPr>
    </w:tblStylePr>
  </w:style>
  <w:style w:type="numbering" w:customStyle="1" w:styleId="CurrentList1">
    <w:name w:val="Current List1"/>
    <w:uiPriority w:val="99"/>
    <w:rsid w:val="002E0C12"/>
    <w:pPr>
      <w:numPr>
        <w:numId w:val="11"/>
      </w:numPr>
    </w:pPr>
  </w:style>
  <w:style w:type="character" w:customStyle="1" w:styleId="Bolditalic">
    <w:name w:val="Bold italic"/>
    <w:basedOn w:val="DefaultParagraphFont"/>
    <w:uiPriority w:val="1"/>
    <w:qFormat/>
    <w:rsid w:val="00556C81"/>
    <w:rPr>
      <w:b/>
      <w:i/>
    </w:rPr>
  </w:style>
  <w:style w:type="paragraph" w:customStyle="1" w:styleId="Bullet2Keep">
    <w:name w:val="Bullet 2_Keep"/>
    <w:basedOn w:val="Bullet2"/>
    <w:next w:val="Bullet2"/>
    <w:rsid w:val="00187BC0"/>
    <w:pPr>
      <w:keepNext/>
      <w:keepLines/>
      <w:spacing w:after="0"/>
      <w:ind w:left="998" w:hanging="221"/>
    </w:pPr>
  </w:style>
  <w:style w:type="paragraph" w:customStyle="1" w:styleId="Subhead1">
    <w:name w:val="Subhead 1"/>
    <w:basedOn w:val="Heading9"/>
    <w:next w:val="Paragraph"/>
    <w:qFormat/>
    <w:rsid w:val="008F5B3C"/>
    <w:pPr>
      <w:tabs>
        <w:tab w:val="left" w:pos="1134"/>
        <w:tab w:val="left" w:pos="2410"/>
      </w:tabs>
      <w:spacing w:after="120" w:line="264" w:lineRule="auto"/>
      <w:ind w:left="0" w:firstLine="0"/>
    </w:pPr>
    <w:rPr>
      <w:color w:val="404040" w:themeColor="text1" w:themeTint="BF"/>
      <w:sz w:val="24"/>
    </w:rPr>
  </w:style>
  <w:style w:type="paragraph" w:customStyle="1" w:styleId="Subhead2">
    <w:name w:val="Subhead 2"/>
    <w:basedOn w:val="Subhead1"/>
    <w:qFormat/>
    <w:rsid w:val="006B7BDA"/>
    <w:rPr>
      <w:bCs/>
      <w:i/>
      <w:szCs w:val="22"/>
    </w:rPr>
  </w:style>
  <w:style w:type="paragraph" w:customStyle="1" w:styleId="Subhead3">
    <w:name w:val="Subhead 3"/>
    <w:basedOn w:val="Subhead2"/>
    <w:qFormat/>
    <w:rsid w:val="00663184"/>
    <w:pPr>
      <w:spacing w:before="240"/>
    </w:pPr>
    <w:rPr>
      <w:i w:val="0"/>
      <w:color w:val="auto"/>
      <w:sz w:val="22"/>
      <w:szCs w:val="20"/>
    </w:rPr>
  </w:style>
  <w:style w:type="character" w:customStyle="1" w:styleId="UnresolvedMention1">
    <w:name w:val="Unresolved Mention1"/>
    <w:basedOn w:val="DefaultParagraphFont"/>
    <w:uiPriority w:val="99"/>
    <w:rsid w:val="00817091"/>
    <w:rPr>
      <w:color w:val="605E5C"/>
      <w:shd w:val="clear" w:color="auto" w:fill="E1DFDD"/>
    </w:rPr>
  </w:style>
  <w:style w:type="character" w:customStyle="1" w:styleId="TableTextChar">
    <w:name w:val="Table Text Char"/>
    <w:link w:val="TableText"/>
    <w:rsid w:val="00B11C7D"/>
    <w:rPr>
      <w:rFonts w:asciiTheme="minorHAnsi" w:eastAsia="Times New Roman" w:hAnsiTheme="minorHAnsi"/>
      <w:color w:val="000000" w:themeColor="text1"/>
      <w:sz w:val="22"/>
      <w:szCs w:val="24"/>
      <w:lang w:val="en-GB" w:eastAsia="en-US"/>
    </w:rPr>
  </w:style>
  <w:style w:type="character" w:customStyle="1" w:styleId="TableHeading1Char">
    <w:name w:val="Table Heading 1 Char"/>
    <w:aliases w:val="th1 Char"/>
    <w:basedOn w:val="DefaultParagraphFont"/>
    <w:link w:val="TableHeading1"/>
    <w:rsid w:val="004A3055"/>
    <w:rPr>
      <w:rFonts w:asciiTheme="minorHAnsi" w:eastAsia="Times New Roman" w:hAnsiTheme="minorHAnsi"/>
      <w:color w:val="006AAC"/>
      <w:szCs w:val="24"/>
      <w:lang w:val="en-GB" w:eastAsia="en-US"/>
    </w:rPr>
  </w:style>
  <w:style w:type="character" w:customStyle="1" w:styleId="UnresolvedMention2">
    <w:name w:val="Unresolved Mention2"/>
    <w:basedOn w:val="DefaultParagraphFont"/>
    <w:uiPriority w:val="99"/>
    <w:semiHidden/>
    <w:unhideWhenUsed/>
    <w:rsid w:val="0005472B"/>
    <w:rPr>
      <w:color w:val="605E5C"/>
      <w:shd w:val="clear" w:color="auto" w:fill="E1DFDD"/>
    </w:rPr>
  </w:style>
  <w:style w:type="numbering" w:customStyle="1" w:styleId="Bullets">
    <w:name w:val="Bullets"/>
    <w:uiPriority w:val="99"/>
    <w:rsid w:val="0005472B"/>
    <w:pPr>
      <w:numPr>
        <w:numId w:val="14"/>
      </w:numPr>
    </w:pPr>
  </w:style>
  <w:style w:type="numbering" w:customStyle="1" w:styleId="ZZBullets">
    <w:name w:val="ZZ Bullets"/>
    <w:rsid w:val="001E507C"/>
    <w:pPr>
      <w:numPr>
        <w:numId w:val="15"/>
      </w:numPr>
    </w:pPr>
  </w:style>
  <w:style w:type="character" w:customStyle="1" w:styleId="UnresolvedMention3">
    <w:name w:val="Unresolved Mention3"/>
    <w:basedOn w:val="DefaultParagraphFont"/>
    <w:uiPriority w:val="99"/>
    <w:semiHidden/>
    <w:unhideWhenUsed/>
    <w:rsid w:val="009C2DCC"/>
    <w:rPr>
      <w:color w:val="605E5C"/>
      <w:shd w:val="clear" w:color="auto" w:fill="E1DFDD"/>
    </w:rPr>
  </w:style>
  <w:style w:type="character" w:customStyle="1" w:styleId="UnresolvedMention4">
    <w:name w:val="Unresolved Mention4"/>
    <w:basedOn w:val="DefaultParagraphFont"/>
    <w:uiPriority w:val="99"/>
    <w:semiHidden/>
    <w:unhideWhenUsed/>
    <w:rsid w:val="00236A27"/>
    <w:rPr>
      <w:color w:val="605E5C"/>
      <w:shd w:val="clear" w:color="auto" w:fill="E1DFDD"/>
    </w:rPr>
  </w:style>
  <w:style w:type="character" w:customStyle="1" w:styleId="UnresolvedMention5">
    <w:name w:val="Unresolved Mention5"/>
    <w:basedOn w:val="DefaultParagraphFont"/>
    <w:uiPriority w:val="99"/>
    <w:semiHidden/>
    <w:unhideWhenUsed/>
    <w:rsid w:val="007C7F38"/>
    <w:rPr>
      <w:color w:val="605E5C"/>
      <w:shd w:val="clear" w:color="auto" w:fill="E1DFDD"/>
    </w:rPr>
  </w:style>
  <w:style w:type="paragraph" w:customStyle="1" w:styleId="TableHeading1Rows">
    <w:name w:val="Table Heading 1_Rows"/>
    <w:basedOn w:val="TableHeading1"/>
    <w:qFormat/>
    <w:rsid w:val="00F70CB4"/>
    <w:pPr>
      <w:keepNext w:val="0"/>
      <w:keepLines w:val="0"/>
      <w:spacing w:before="60"/>
    </w:pPr>
  </w:style>
  <w:style w:type="paragraph" w:customStyle="1" w:styleId="TableHeading3">
    <w:name w:val="Table Heading 3"/>
    <w:basedOn w:val="Paragraph"/>
    <w:qFormat/>
    <w:rsid w:val="00554D80"/>
    <w:pPr>
      <w:spacing w:before="60" w:after="60" w:line="240" w:lineRule="auto"/>
    </w:pPr>
    <w:rPr>
      <w:b/>
      <w:sz w:val="20"/>
    </w:rPr>
  </w:style>
  <w:style w:type="paragraph" w:customStyle="1" w:styleId="TablePara">
    <w:name w:val="Table Para"/>
    <w:basedOn w:val="Paragraph"/>
    <w:qFormat/>
    <w:rsid w:val="00C06C77"/>
    <w:pPr>
      <w:spacing w:before="120" w:after="60" w:line="240" w:lineRule="auto"/>
    </w:pPr>
    <w:rPr>
      <w:sz w:val="20"/>
    </w:rPr>
  </w:style>
  <w:style w:type="paragraph" w:customStyle="1" w:styleId="Tablelistindented">
    <w:name w:val="Table list_indented"/>
    <w:basedOn w:val="Normal"/>
    <w:qFormat/>
    <w:rsid w:val="00C06C77"/>
    <w:pPr>
      <w:numPr>
        <w:numId w:val="16"/>
      </w:numPr>
      <w:spacing w:before="60" w:after="120"/>
      <w:ind w:left="2280"/>
      <w:contextualSpacing/>
    </w:pPr>
    <w:rPr>
      <w:rFonts w:cs="Arial"/>
      <w:szCs w:val="20"/>
      <w:lang w:eastAsia="en-US"/>
    </w:rPr>
  </w:style>
  <w:style w:type="paragraph" w:customStyle="1" w:styleId="TableHeading2Row">
    <w:name w:val="Table Heading 2_Row"/>
    <w:basedOn w:val="TableHeading2"/>
    <w:qFormat/>
    <w:rsid w:val="00100162"/>
    <w:pPr>
      <w:keepNext w:val="0"/>
    </w:pPr>
    <w:rPr>
      <w:b w:val="0"/>
    </w:rPr>
  </w:style>
  <w:style w:type="paragraph" w:customStyle="1" w:styleId="Bullet1Indent">
    <w:name w:val="Bullet 1_Indent"/>
    <w:basedOn w:val="Bullet2"/>
    <w:rsid w:val="007A4B61"/>
    <w:pPr>
      <w:numPr>
        <w:ilvl w:val="0"/>
        <w:numId w:val="17"/>
      </w:numPr>
      <w:spacing w:before="0" w:after="0"/>
      <w:ind w:left="1843" w:hanging="283"/>
    </w:pPr>
  </w:style>
  <w:style w:type="paragraph" w:styleId="ListParagraph">
    <w:name w:val="List Paragraph"/>
    <w:basedOn w:val="Normal"/>
    <w:link w:val="ListParagraphChar"/>
    <w:uiPriority w:val="34"/>
    <w:qFormat/>
    <w:rsid w:val="00CA7B40"/>
    <w:pPr>
      <w:spacing w:line="264" w:lineRule="auto"/>
      <w:ind w:left="720"/>
      <w:contextualSpacing/>
    </w:pPr>
    <w:rPr>
      <w:lang w:eastAsia="en-US"/>
    </w:rPr>
  </w:style>
  <w:style w:type="paragraph" w:customStyle="1" w:styleId="TableTextRight">
    <w:name w:val="Table Text_Right"/>
    <w:basedOn w:val="TableText"/>
    <w:qFormat/>
    <w:rsid w:val="00334F7B"/>
    <w:pPr>
      <w:jc w:val="right"/>
    </w:pPr>
    <w:rPr>
      <w:rFonts w:ascii="Calibri" w:hAnsi="Calibri" w:cs="Calibri"/>
      <w:color w:val="262626"/>
      <w:szCs w:val="20"/>
      <w:lang w:val="en-CA" w:eastAsia="en-AU"/>
    </w:rPr>
  </w:style>
  <w:style w:type="paragraph" w:styleId="NormalWeb">
    <w:name w:val="Normal (Web)"/>
    <w:basedOn w:val="Normal"/>
    <w:uiPriority w:val="99"/>
    <w:unhideWhenUsed/>
    <w:rsid w:val="000B27E9"/>
    <w:pPr>
      <w:spacing w:before="100" w:beforeAutospacing="1" w:after="100" w:afterAutospacing="1"/>
      <w:jc w:val="both"/>
    </w:pPr>
    <w:rPr>
      <w:rFonts w:eastAsiaTheme="minorEastAsia"/>
      <w:color w:val="515151"/>
      <w:lang w:val="en-AU" w:eastAsia="en-AU"/>
    </w:rPr>
  </w:style>
  <w:style w:type="character" w:customStyle="1" w:styleId="ListParagraphChar">
    <w:name w:val="List Paragraph Char"/>
    <w:basedOn w:val="DefaultParagraphFont"/>
    <w:link w:val="ListParagraph"/>
    <w:uiPriority w:val="34"/>
    <w:rsid w:val="000B27E9"/>
    <w:rPr>
      <w:rFonts w:asciiTheme="minorHAnsi" w:eastAsia="Times New Roman" w:hAnsiTheme="minorHAnsi"/>
      <w:sz w:val="22"/>
      <w:szCs w:val="24"/>
      <w:lang w:val="en-GB" w:eastAsia="en-US"/>
    </w:rPr>
  </w:style>
  <w:style w:type="paragraph" w:customStyle="1" w:styleId="EndNoteBibliography">
    <w:name w:val="EndNote Bibliography"/>
    <w:basedOn w:val="References"/>
    <w:link w:val="EndNoteBibliographyChar"/>
    <w:rsid w:val="00D0537C"/>
  </w:style>
  <w:style w:type="character" w:customStyle="1" w:styleId="EndNoteBibliographyChar">
    <w:name w:val="EndNote Bibliography Char"/>
    <w:basedOn w:val="DefaultParagraphFont"/>
    <w:link w:val="EndNoteBibliography"/>
    <w:rsid w:val="00D0537C"/>
    <w:rPr>
      <w:rFonts w:asciiTheme="minorHAnsi" w:eastAsia="Times New Roman" w:hAnsiTheme="minorHAnsi"/>
      <w:color w:val="000000" w:themeColor="text1"/>
      <w:sz w:val="22"/>
      <w:szCs w:val="24"/>
      <w:lang w:val="en-GB" w:eastAsia="en-US"/>
    </w:rPr>
  </w:style>
  <w:style w:type="character" w:customStyle="1" w:styleId="UnresolvedMention6">
    <w:name w:val="Unresolved Mention6"/>
    <w:basedOn w:val="DefaultParagraphFont"/>
    <w:uiPriority w:val="99"/>
    <w:semiHidden/>
    <w:unhideWhenUsed/>
    <w:rsid w:val="00D4192D"/>
    <w:rPr>
      <w:color w:val="605E5C"/>
      <w:shd w:val="clear" w:color="auto" w:fill="E1DFDD"/>
    </w:rPr>
  </w:style>
  <w:style w:type="character" w:customStyle="1" w:styleId="descriptionclass">
    <w:name w:val="descriptionclass"/>
    <w:basedOn w:val="DefaultParagraphFont"/>
    <w:rsid w:val="00801608"/>
  </w:style>
  <w:style w:type="paragraph" w:customStyle="1" w:styleId="TextBoxList">
    <w:name w:val="Text Box List"/>
    <w:basedOn w:val="Normal"/>
    <w:rsid w:val="00A2476C"/>
    <w:pPr>
      <w:numPr>
        <w:numId w:val="18"/>
      </w:numPr>
      <w:pBdr>
        <w:top w:val="single" w:sz="24" w:space="3" w:color="71C9FF" w:themeColor="accent1"/>
        <w:bottom w:val="single" w:sz="24" w:space="3" w:color="71C9FF" w:themeColor="accent1"/>
      </w:pBdr>
      <w:spacing w:before="240" w:after="240" w:line="264" w:lineRule="auto"/>
      <w:ind w:left="360"/>
      <w:jc w:val="center"/>
    </w:pPr>
    <w:rPr>
      <w:i/>
      <w:color w:val="000000"/>
      <w:lang w:eastAsia="en-US"/>
      <w14:textFill>
        <w14:solidFill>
          <w14:srgbClr w14:val="000000">
            <w14:lumMod w14:val="65000"/>
            <w14:lumOff w14:val="35000"/>
          </w14:srgbClr>
        </w14:solidFill>
      </w14:textFill>
    </w:rPr>
  </w:style>
  <w:style w:type="paragraph" w:customStyle="1" w:styleId="Normal0">
    <w:name w:val="[Normal]"/>
    <w:rsid w:val="008913F6"/>
    <w:pPr>
      <w:widowControl w:val="0"/>
      <w:autoSpaceDE w:val="0"/>
      <w:autoSpaceDN w:val="0"/>
      <w:adjustRightInd w:val="0"/>
    </w:pPr>
    <w:rPr>
      <w:rFonts w:ascii="Arial" w:hAnsi="Arial" w:cs="Arial"/>
      <w:sz w:val="24"/>
      <w:szCs w:val="24"/>
    </w:rPr>
  </w:style>
  <w:style w:type="table" w:styleId="GridTable4">
    <w:name w:val="Grid Table 4"/>
    <w:basedOn w:val="TableNormal"/>
    <w:uiPriority w:val="49"/>
    <w:rsid w:val="000F7F72"/>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Title">
    <w:name w:val="EndNote Bibliography Title"/>
    <w:basedOn w:val="Normal"/>
    <w:link w:val="EndNoteBibliographyTitleChar"/>
    <w:rsid w:val="000F7F72"/>
    <w:pPr>
      <w:spacing w:line="259" w:lineRule="auto"/>
      <w:jc w:val="center"/>
    </w:pPr>
    <w:rPr>
      <w:rFonts w:ascii="Calibri" w:eastAsiaTheme="minorHAnsi" w:hAnsi="Calibri" w:cs="Calibri"/>
      <w:noProof/>
      <w:szCs w:val="22"/>
      <w:lang w:val="en-US" w:eastAsia="en-US"/>
    </w:rPr>
  </w:style>
  <w:style w:type="character" w:customStyle="1" w:styleId="EndNoteBibliographyTitleChar">
    <w:name w:val="EndNote Bibliography Title Char"/>
    <w:basedOn w:val="DefaultParagraphFont"/>
    <w:link w:val="EndNoteBibliographyTitle"/>
    <w:rsid w:val="000F7F72"/>
    <w:rPr>
      <w:rFonts w:eastAsiaTheme="minorHAnsi" w:cs="Calibri"/>
      <w:noProof/>
      <w:sz w:val="22"/>
      <w:szCs w:val="22"/>
      <w:lang w:val="en-US" w:eastAsia="en-US"/>
    </w:rPr>
  </w:style>
  <w:style w:type="character" w:customStyle="1" w:styleId="UnresolvedMention">
    <w:name w:val="Unresolved Mention"/>
    <w:basedOn w:val="DefaultParagraphFont"/>
    <w:uiPriority w:val="99"/>
    <w:unhideWhenUsed/>
    <w:rsid w:val="000F7F72"/>
    <w:rPr>
      <w:color w:val="605E5C"/>
      <w:shd w:val="clear" w:color="auto" w:fill="E1DFDD"/>
    </w:rPr>
  </w:style>
  <w:style w:type="table" w:styleId="ListTable3">
    <w:name w:val="List Table 3"/>
    <w:basedOn w:val="TableNormal"/>
    <w:uiPriority w:val="48"/>
    <w:rsid w:val="000F7F72"/>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arahanging">
    <w:name w:val="Para_hanging"/>
    <w:basedOn w:val="Paragraph"/>
    <w:qFormat/>
    <w:rsid w:val="00501F69"/>
    <w:pPr>
      <w:ind w:left="720" w:hanging="720"/>
    </w:pPr>
    <w:rPr>
      <w:lang w:val="en-US"/>
    </w:rPr>
  </w:style>
  <w:style w:type="character" w:customStyle="1" w:styleId="txt-white">
    <w:name w:val="txt-white"/>
    <w:basedOn w:val="DefaultParagraphFont"/>
    <w:rsid w:val="00BB1251"/>
  </w:style>
  <w:style w:type="paragraph" w:customStyle="1" w:styleId="TableTextKeep">
    <w:name w:val="Table Text Keep"/>
    <w:basedOn w:val="TableText"/>
    <w:qFormat/>
    <w:rsid w:val="00353F8C"/>
    <w:pPr>
      <w:keepNext/>
    </w:pPr>
  </w:style>
  <w:style w:type="paragraph" w:customStyle="1" w:styleId="TableSubhead">
    <w:name w:val="Table Subhead"/>
    <w:basedOn w:val="Subhead1"/>
    <w:qFormat/>
    <w:rsid w:val="00D301A2"/>
    <w:pPr>
      <w:numPr>
        <w:ilvl w:val="0"/>
        <w:numId w:val="0"/>
      </w:numPr>
      <w:spacing w:before="240" w:after="60" w:line="240" w:lineRule="auto"/>
    </w:pPr>
    <w:rPr>
      <w:color w:val="0079C1" w:themeColor="text2"/>
      <w:sz w:val="20"/>
    </w:rPr>
  </w:style>
  <w:style w:type="paragraph" w:customStyle="1" w:styleId="IndentHanging">
    <w:name w:val="Indent_Hanging"/>
    <w:basedOn w:val="Parahanging"/>
    <w:qFormat/>
    <w:rsid w:val="00774E03"/>
    <w:pPr>
      <w:tabs>
        <w:tab w:val="left" w:pos="1560"/>
      </w:tabs>
      <w:ind w:left="1560" w:hanging="1134"/>
    </w:pPr>
  </w:style>
  <w:style w:type="paragraph" w:customStyle="1" w:styleId="Pullquotemed">
    <w:name w:val="Pull quote_med"/>
    <w:basedOn w:val="Pullquotecompact"/>
    <w:qFormat/>
    <w:rsid w:val="00B25CB1"/>
    <w:pPr>
      <w:numPr>
        <w:numId w:val="21"/>
      </w:numPr>
      <w:tabs>
        <w:tab w:val="num" w:pos="6095"/>
      </w:tabs>
      <w:ind w:left="425" w:hanging="425"/>
      <w:jc w:val="left"/>
    </w:pPr>
    <w:rPr>
      <w:color w:val="404040" w:themeColor="text1" w:themeTint="BF"/>
      <w:sz w:val="28"/>
    </w:rPr>
  </w:style>
  <w:style w:type="paragraph" w:styleId="ListNumber2">
    <w:name w:val="List Number 2"/>
    <w:basedOn w:val="Normal"/>
    <w:rsid w:val="0056509B"/>
    <w:pPr>
      <w:numPr>
        <w:ilvl w:val="6"/>
        <w:numId w:val="22"/>
      </w:numPr>
      <w:tabs>
        <w:tab w:val="clear" w:pos="3600"/>
        <w:tab w:val="num" w:pos="360"/>
      </w:tabs>
      <w:spacing w:before="200" w:line="240" w:lineRule="atLeast"/>
      <w:ind w:left="0" w:firstLine="0"/>
    </w:pPr>
    <w:rPr>
      <w:rFonts w:ascii="Arial" w:eastAsia="SimSun" w:hAnsi="Arial"/>
      <w:szCs w:val="20"/>
      <w:lang w:val="en-AU" w:eastAsia="zh-CN"/>
    </w:rPr>
  </w:style>
  <w:style w:type="paragraph" w:customStyle="1" w:styleId="TextBoxHeading">
    <w:name w:val="Text Box Heading"/>
    <w:basedOn w:val="Normal"/>
    <w:qFormat/>
    <w:rsid w:val="007C5E4A"/>
    <w:pPr>
      <w:shd w:val="clear" w:color="auto" w:fill="E2F4FF" w:themeFill="accent1" w:themeFillTint="33"/>
      <w:spacing w:before="480" w:after="480" w:line="264" w:lineRule="auto"/>
    </w:pPr>
    <w:rPr>
      <w:rFonts w:ascii="Calibri" w:eastAsia="Calibri" w:hAnsi="Calibri"/>
      <w:color w:val="006AAC"/>
      <w:sz w:val="36"/>
      <w:szCs w:val="28"/>
      <w:lang w:val="en-AU"/>
    </w:rPr>
  </w:style>
  <w:style w:type="paragraph" w:customStyle="1" w:styleId="TextBox">
    <w:name w:val="Text Box"/>
    <w:basedOn w:val="Normal"/>
    <w:rsid w:val="0056509B"/>
    <w:pPr>
      <w:spacing w:before="120" w:after="120" w:line="264" w:lineRule="auto"/>
    </w:pPr>
    <w:rPr>
      <w:rFonts w:ascii="Calibri" w:eastAsia="Calibri" w:hAnsi="Calibri"/>
      <w:b/>
      <w:color w:val="FFFFFF" w:themeColor="background1"/>
      <w:sz w:val="24"/>
    </w:rPr>
  </w:style>
  <w:style w:type="table" w:styleId="GridTable5Dark-Accent1">
    <w:name w:val="Grid Table 5 Dark Accent 1"/>
    <w:basedOn w:val="TableNormal"/>
    <w:uiPriority w:val="50"/>
    <w:rsid w:val="0031014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C9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C9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C9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C9FF" w:themeFill="accent1"/>
      </w:tcPr>
    </w:tblStylePr>
    <w:tblStylePr w:type="band1Vert">
      <w:tblPr/>
      <w:tcPr>
        <w:shd w:val="clear" w:color="auto" w:fill="C6E9FF" w:themeFill="accent1" w:themeFillTint="66"/>
      </w:tcPr>
    </w:tblStylePr>
    <w:tblStylePr w:type="band1Horz">
      <w:tblPr/>
      <w:tcPr>
        <w:shd w:val="clear" w:color="auto" w:fill="C6E9FF" w:themeFill="accent1" w:themeFillTint="66"/>
      </w:tcPr>
    </w:tblStylePr>
  </w:style>
  <w:style w:type="table" w:styleId="ListTable4-Accent1">
    <w:name w:val="List Table 4 Accent 1"/>
    <w:basedOn w:val="TableNormal"/>
    <w:uiPriority w:val="49"/>
    <w:rsid w:val="0031014A"/>
    <w:rPr>
      <w:rFonts w:asciiTheme="minorHAnsi" w:eastAsiaTheme="minorHAnsi" w:hAnsiTheme="minorHAnsi" w:cstheme="minorBidi"/>
      <w:sz w:val="22"/>
      <w:szCs w:val="22"/>
      <w:lang w:eastAsia="en-US"/>
    </w:rPr>
    <w:tblPr>
      <w:tblStyleRowBandSize w:val="1"/>
      <w:tblStyleColBandSize w:val="1"/>
      <w:tblBorders>
        <w:top w:val="single" w:sz="4" w:space="0" w:color="A9DEFF" w:themeColor="accent1" w:themeTint="99"/>
        <w:left w:val="single" w:sz="4" w:space="0" w:color="A9DEFF" w:themeColor="accent1" w:themeTint="99"/>
        <w:bottom w:val="single" w:sz="4" w:space="0" w:color="A9DEFF" w:themeColor="accent1" w:themeTint="99"/>
        <w:right w:val="single" w:sz="4" w:space="0" w:color="A9DEFF" w:themeColor="accent1" w:themeTint="99"/>
        <w:insideH w:val="single" w:sz="4" w:space="0" w:color="A9DEFF" w:themeColor="accent1" w:themeTint="99"/>
      </w:tblBorders>
    </w:tblPr>
    <w:tblStylePr w:type="firstRow">
      <w:rPr>
        <w:b/>
        <w:bCs/>
        <w:color w:val="FFFFFF" w:themeColor="background1"/>
      </w:rPr>
      <w:tblPr/>
      <w:tcPr>
        <w:tcBorders>
          <w:top w:val="single" w:sz="4" w:space="0" w:color="71C9FF" w:themeColor="accent1"/>
          <w:left w:val="single" w:sz="4" w:space="0" w:color="71C9FF" w:themeColor="accent1"/>
          <w:bottom w:val="single" w:sz="4" w:space="0" w:color="71C9FF" w:themeColor="accent1"/>
          <w:right w:val="single" w:sz="4" w:space="0" w:color="71C9FF" w:themeColor="accent1"/>
          <w:insideH w:val="nil"/>
        </w:tcBorders>
        <w:shd w:val="clear" w:color="auto" w:fill="71C9FF" w:themeFill="accent1"/>
      </w:tcPr>
    </w:tblStylePr>
    <w:tblStylePr w:type="lastRow">
      <w:rPr>
        <w:b/>
        <w:bCs/>
      </w:rPr>
      <w:tblPr/>
      <w:tcPr>
        <w:tcBorders>
          <w:top w:val="double" w:sz="4" w:space="0" w:color="A9DEFF" w:themeColor="accent1" w:themeTint="99"/>
        </w:tcBorders>
      </w:tcPr>
    </w:tblStylePr>
    <w:tblStylePr w:type="firstCol">
      <w:rPr>
        <w:b/>
        <w:bCs/>
      </w:rPr>
    </w:tblStylePr>
    <w:tblStylePr w:type="lastCol">
      <w:rPr>
        <w:b/>
        <w:bCs/>
      </w:rPr>
    </w:tblStylePr>
    <w:tblStylePr w:type="band1Vert">
      <w:tblPr/>
      <w:tcPr>
        <w:shd w:val="clear" w:color="auto" w:fill="E2F4FF" w:themeFill="accent1" w:themeFillTint="33"/>
      </w:tcPr>
    </w:tblStylePr>
    <w:tblStylePr w:type="band1Horz">
      <w:tblPr/>
      <w:tcPr>
        <w:shd w:val="clear" w:color="auto" w:fill="E2F4FF" w:themeFill="accent1" w:themeFillTint="33"/>
      </w:tcPr>
    </w:tblStylePr>
  </w:style>
  <w:style w:type="table" w:customStyle="1" w:styleId="AHAPlain">
    <w:name w:val="AHA Plain"/>
    <w:basedOn w:val="TableNormal"/>
    <w:uiPriority w:val="99"/>
    <w:rsid w:val="00F81E67"/>
    <w:pPr>
      <w:spacing w:before="60" w:after="60"/>
    </w:pPr>
    <w:rPr>
      <w:rFonts w:asciiTheme="minorHAnsi" w:hAnsiTheme="minorHAnsi"/>
      <w:sz w:val="18"/>
    </w:rPr>
    <w:tblPr>
      <w:tblStyleRowBandSize w:val="1"/>
    </w:tblPr>
    <w:trPr>
      <w:cantSplit/>
    </w:trPr>
    <w:tblStylePr w:type="firstRow">
      <w:pPr>
        <w:keepNext/>
        <w:keepLines/>
        <w:pageBreakBefore w:val="0"/>
        <w:widowControl w:val="0"/>
        <w:wordWrap/>
        <w:spacing w:beforeLines="0" w:before="120" w:beforeAutospacing="0" w:afterLines="0" w:after="60" w:afterAutospacing="0" w:line="240" w:lineRule="auto"/>
        <w:contextualSpacing w:val="0"/>
        <w:mirrorIndents w:val="0"/>
      </w:pPr>
      <w:rPr>
        <w:b/>
      </w:rPr>
      <w:tblPr/>
      <w:trPr>
        <w:tblHeader/>
      </w:trPr>
      <w:tcPr>
        <w:tcBorders>
          <w:top w:val="nil"/>
          <w:left w:val="nil"/>
          <w:bottom w:val="nil"/>
          <w:right w:val="nil"/>
          <w:insideH w:val="nil"/>
          <w:insideV w:val="nil"/>
          <w:tl2br w:val="nil"/>
          <w:tr2bl w:val="nil"/>
        </w:tcBorders>
        <w:vAlign w:val="bottom"/>
      </w:tcPr>
    </w:tblStylePr>
    <w:tblStylePr w:type="lastRow">
      <w:rPr>
        <w:b/>
      </w:rPr>
      <w:tblPr/>
      <w:tcPr>
        <w:tcBorders>
          <w:top w:val="single" w:sz="4" w:space="0" w:color="E5E5E6" w:themeColor="background2" w:themeTint="33"/>
          <w:left w:val="nil"/>
          <w:bottom w:val="single" w:sz="4" w:space="0" w:color="E5E5E6" w:themeColor="background2" w:themeTint="33"/>
          <w:right w:val="nil"/>
          <w:insideH w:val="nil"/>
          <w:insideV w:val="nil"/>
          <w:tl2br w:val="nil"/>
          <w:tr2bl w:val="nil"/>
        </w:tcBorders>
      </w:tcPr>
    </w:tblStylePr>
    <w:tblStylePr w:type="firstCol">
      <w:rPr>
        <w:b/>
      </w:rPr>
    </w:tblStylePr>
    <w:tblStylePr w:type="lastCol">
      <w:rPr>
        <w:b/>
      </w:rPr>
    </w:tblStylePr>
    <w:tblStylePr w:type="band1Horz">
      <w:tblPr/>
      <w:tcPr>
        <w:tcBorders>
          <w:top w:val="single" w:sz="4" w:space="0" w:color="E5E5E6" w:themeColor="background2" w:themeTint="33"/>
          <w:left w:val="nil"/>
          <w:bottom w:val="single" w:sz="4" w:space="0" w:color="E5E5E6" w:themeColor="background2" w:themeTint="33"/>
          <w:right w:val="nil"/>
          <w:insideH w:val="nil"/>
          <w:insideV w:val="nil"/>
          <w:tl2br w:val="nil"/>
          <w:tr2bl w:val="nil"/>
        </w:tcBorders>
      </w:tcPr>
    </w:tblStylePr>
  </w:style>
  <w:style w:type="character" w:customStyle="1" w:styleId="Mention">
    <w:name w:val="Mention"/>
    <w:basedOn w:val="DefaultParagraphFont"/>
    <w:uiPriority w:val="99"/>
    <w:unhideWhenUsed/>
    <w:rsid w:val="0047761D"/>
    <w:rPr>
      <w:color w:val="2B579A"/>
      <w:shd w:val="clear" w:color="auto" w:fill="E1DFDD"/>
    </w:rPr>
  </w:style>
  <w:style w:type="character" w:customStyle="1" w:styleId="normaltextrun">
    <w:name w:val="normaltextrun"/>
    <w:basedOn w:val="DefaultParagraphFont"/>
    <w:rsid w:val="004B6C3A"/>
  </w:style>
  <w:style w:type="character" w:customStyle="1" w:styleId="eop">
    <w:name w:val="eop"/>
    <w:basedOn w:val="DefaultParagraphFont"/>
    <w:rsid w:val="004B6C3A"/>
  </w:style>
  <w:style w:type="character" w:customStyle="1" w:styleId="contextualspellingandgrammarerror">
    <w:name w:val="contextualspellingandgrammarerror"/>
    <w:basedOn w:val="DefaultParagraphFont"/>
    <w:rsid w:val="004B6C3A"/>
  </w:style>
  <w:style w:type="paragraph" w:customStyle="1" w:styleId="Invisible">
    <w:name w:val="Invisible"/>
    <w:basedOn w:val="Normal"/>
    <w:qFormat/>
    <w:rsid w:val="00B11C7D"/>
    <w:pPr>
      <w:spacing w:before="60" w:after="60"/>
    </w:pPr>
    <w:rPr>
      <w:color w:val="FFFFFF" w:themeColor="background1"/>
      <w:sz w:val="2"/>
    </w:rPr>
  </w:style>
  <w:style w:type="paragraph" w:customStyle="1" w:styleId="CBsummary">
    <w:name w:val="CB summary"/>
    <w:basedOn w:val="Subhead1"/>
    <w:qFormat/>
    <w:rsid w:val="00EA17F9"/>
    <w:pPr>
      <w:spacing w:before="120"/>
    </w:pPr>
    <w:rPr>
      <w:b w:val="0"/>
    </w:rPr>
  </w:style>
  <w:style w:type="paragraph" w:customStyle="1" w:styleId="Heading0">
    <w:name w:val="Heading 0"/>
    <w:basedOn w:val="Heading1"/>
    <w:qFormat/>
    <w:rsid w:val="00410F76"/>
    <w:pPr>
      <w:numPr>
        <w:numId w:val="0"/>
      </w:numPr>
    </w:pPr>
    <w:rPr>
      <w:noProof/>
      <w:color w:val="0079C1" w:themeColor="text2"/>
    </w:rPr>
  </w:style>
  <w:style w:type="paragraph" w:customStyle="1" w:styleId="Tabletextsmall">
    <w:name w:val="Table text small"/>
    <w:basedOn w:val="Normal"/>
    <w:qFormat/>
    <w:rsid w:val="00806731"/>
    <w:pPr>
      <w:tabs>
        <w:tab w:val="left" w:pos="856"/>
      </w:tabs>
      <w:spacing w:before="60" w:after="60"/>
    </w:pPr>
    <w:rPr>
      <w:color w:val="000000" w:themeColor="text1"/>
      <w:sz w:val="20"/>
      <w:lang w:eastAsia="en-AU"/>
    </w:rPr>
  </w:style>
  <w:style w:type="table" w:customStyle="1" w:styleId="AHAHeavy11">
    <w:name w:val="AHA Heavy11"/>
    <w:basedOn w:val="TableNormal"/>
    <w:uiPriority w:val="99"/>
    <w:rsid w:val="00806731"/>
    <w:pPr>
      <w:spacing w:before="60" w:after="60"/>
    </w:pPr>
    <w:rPr>
      <w:rFonts w:asciiTheme="minorHAnsi" w:eastAsia="SimSun" w:hAnsiTheme="minorHAnsi"/>
      <w:sz w:val="18"/>
    </w:rPr>
    <w:tblPr>
      <w:tblStyleRowBandSize w:val="1"/>
      <w:tblStyleColBandSize w:val="1"/>
      <w:tblBorders>
        <w:top w:val="single" w:sz="4" w:space="0" w:color="0079C1"/>
        <w:bottom w:val="single" w:sz="4" w:space="0" w:color="0079C1"/>
        <w:insideH w:val="single" w:sz="4" w:space="0" w:color="BFE7FF"/>
        <w:insideV w:val="single" w:sz="4" w:space="0" w:color="BFE7FF"/>
      </w:tblBorders>
    </w:tblPr>
    <w:trPr>
      <w:cantSplit/>
    </w:trPr>
    <w:tblStylePr w:type="firstRow">
      <w:pPr>
        <w:keepNext/>
        <w:keepLines/>
        <w:pageBreakBefore w:val="0"/>
        <w:widowControl/>
        <w:suppressLineNumbers w:val="0"/>
        <w:suppressAutoHyphens w:val="0"/>
        <w:wordWrap/>
        <w:spacing w:beforeLines="0" w:before="120" w:beforeAutospacing="0" w:afterLines="0" w:after="120" w:afterAutospacing="0" w:line="240" w:lineRule="auto"/>
        <w:contextualSpacing w:val="0"/>
        <w:mirrorIndents w:val="0"/>
        <w:jc w:val="left"/>
      </w:pPr>
      <w:rPr>
        <w:b/>
        <w:i w:val="0"/>
        <w:color w:val="FFFFFF"/>
      </w:rPr>
      <w:tblPr/>
      <w:tcPr>
        <w:tcBorders>
          <w:top w:val="single" w:sz="4" w:space="0" w:color="0079C1"/>
          <w:left w:val="nil"/>
          <w:bottom w:val="single" w:sz="4" w:space="0" w:color="0079C1"/>
          <w:right w:val="nil"/>
          <w:insideV w:val="single" w:sz="4" w:space="0" w:color="BFE7FF"/>
        </w:tcBorders>
        <w:shd w:val="clear" w:color="auto" w:fill="0079C1"/>
        <w:vAlign w:val="center"/>
      </w:tcPr>
    </w:tblStylePr>
    <w:tblStylePr w:type="lastRow">
      <w:rPr>
        <w:b/>
      </w:rPr>
      <w:tblPr/>
      <w:tcPr>
        <w:tcBorders>
          <w:top w:val="single" w:sz="4" w:space="0" w:color="0079C1"/>
          <w:left w:val="nil"/>
          <w:bottom w:val="single" w:sz="4" w:space="0" w:color="0079C1"/>
          <w:right w:val="nil"/>
          <w:insideV w:val="single" w:sz="4" w:space="0" w:color="BFE7FF"/>
        </w:tcBorders>
      </w:tcPr>
    </w:tblStylePr>
    <w:tblStylePr w:type="firstCol">
      <w:rPr>
        <w:b/>
        <w:color w:val="0079C1"/>
      </w:rPr>
      <w:tblPr/>
      <w:tcPr>
        <w:tcBorders>
          <w:top w:val="nil"/>
          <w:left w:val="nil"/>
          <w:bottom w:val="single" w:sz="4" w:space="0" w:color="0079C1"/>
          <w:right w:val="single" w:sz="4" w:space="0" w:color="0079C1"/>
          <w:insideH w:val="single" w:sz="4" w:space="0" w:color="BFE7FF"/>
          <w:insideV w:val="nil"/>
          <w:tl2br w:val="nil"/>
          <w:tr2bl w:val="nil"/>
        </w:tcBorders>
      </w:tcPr>
    </w:tblStylePr>
    <w:tblStylePr w:type="lastCol">
      <w:rPr>
        <w:b/>
      </w:rPr>
      <w:tblPr/>
      <w:tcPr>
        <w:tcBorders>
          <w:top w:val="single" w:sz="4" w:space="0" w:color="0079C1"/>
          <w:left w:val="single" w:sz="4" w:space="0" w:color="0079C1"/>
          <w:bottom w:val="single" w:sz="4" w:space="0" w:color="0079C1"/>
          <w:right w:val="nil"/>
          <w:insideH w:val="single" w:sz="4" w:space="0" w:color="BFE7FF"/>
          <w:insideV w:val="nil"/>
          <w:tl2br w:val="nil"/>
          <w:tr2bl w:val="nil"/>
        </w:tcBorders>
      </w:tcPr>
    </w:tblStylePr>
    <w:tblStylePr w:type="band1Vert">
      <w:tblPr/>
      <w:tcPr>
        <w:shd w:val="clear" w:color="auto" w:fill="E2F4FF"/>
      </w:tcPr>
    </w:tblStylePr>
    <w:tblStylePr w:type="band2Horz">
      <w:tblPr/>
      <w:tcPr>
        <w:shd w:val="clear" w:color="auto" w:fill="E2F4FF"/>
      </w:tcPr>
    </w:tblStylePr>
    <w:tblStylePr w:type="seCell">
      <w:tblPr/>
      <w:tcPr>
        <w:tcBorders>
          <w:top w:val="single" w:sz="4" w:space="0" w:color="0079C1"/>
          <w:left w:val="single" w:sz="4" w:space="0" w:color="0079C1"/>
          <w:bottom w:val="single" w:sz="4" w:space="0" w:color="0079C1"/>
          <w:right w:val="nil"/>
          <w:insideH w:val="nil"/>
          <w:insideV w:val="nil"/>
          <w:tl2br w:val="nil"/>
          <w:tr2bl w:val="nil"/>
        </w:tcBorders>
      </w:tcPr>
    </w:tblStylePr>
    <w:tblStylePr w:type="swCell">
      <w:tblPr/>
      <w:tcPr>
        <w:tcBorders>
          <w:top w:val="single" w:sz="4" w:space="0" w:color="0079C1"/>
          <w:left w:val="nil"/>
          <w:bottom w:val="single" w:sz="4" w:space="0" w:color="0079C1"/>
          <w:right w:val="single" w:sz="4" w:space="0" w:color="0079C1"/>
          <w:insideH w:val="nil"/>
          <w:insideV w:val="nil"/>
          <w:tl2br w:val="nil"/>
          <w:tr2bl w:val="nil"/>
        </w:tcBorders>
      </w:tcPr>
    </w:tblStylePr>
  </w:style>
  <w:style w:type="table" w:customStyle="1" w:styleId="AHAHeavy1">
    <w:name w:val="AHA Heavy1"/>
    <w:basedOn w:val="TableNormal"/>
    <w:uiPriority w:val="99"/>
    <w:rsid w:val="00806731"/>
    <w:pPr>
      <w:spacing w:before="60" w:after="60"/>
    </w:pPr>
    <w:rPr>
      <w:rFonts w:asciiTheme="minorHAnsi" w:eastAsia="SimSun" w:hAnsiTheme="minorHAnsi"/>
      <w:sz w:val="18"/>
    </w:rPr>
    <w:tblPr>
      <w:tblStyleRowBandSize w:val="1"/>
      <w:tblStyleColBandSize w:val="1"/>
      <w:tblBorders>
        <w:top w:val="single" w:sz="4" w:space="0" w:color="0079C1" w:themeColor="text2"/>
        <w:bottom w:val="single" w:sz="4" w:space="0" w:color="0079C1" w:themeColor="text2"/>
        <w:insideH w:val="single" w:sz="4" w:space="0" w:color="BFE7FF" w:themeColor="text2" w:themeTint="33"/>
        <w:insideV w:val="single" w:sz="4" w:space="0" w:color="BFE7FF" w:themeColor="text2" w:themeTint="33"/>
      </w:tblBorders>
    </w:tblPr>
    <w:trPr>
      <w:cantSplit/>
    </w:trPr>
    <w:tblStylePr w:type="firstRow">
      <w:pPr>
        <w:keepNext/>
        <w:keepLines/>
        <w:pageBreakBefore w:val="0"/>
        <w:widowControl/>
        <w:suppressLineNumbers w:val="0"/>
        <w:suppressAutoHyphens w:val="0"/>
        <w:wordWrap/>
        <w:spacing w:beforeLines="0" w:before="120" w:beforeAutospacing="0" w:afterLines="0" w:after="120" w:afterAutospacing="0" w:line="240" w:lineRule="auto"/>
        <w:contextualSpacing w:val="0"/>
        <w:mirrorIndents w:val="0"/>
        <w:jc w:val="left"/>
      </w:pPr>
      <w:rPr>
        <w:b/>
        <w:i w:val="0"/>
        <w:color w:val="FFFFFF" w:themeColor="background1"/>
      </w:rPr>
      <w:tblPr/>
      <w:tcPr>
        <w:tcBorders>
          <w:top w:val="single" w:sz="4" w:space="0" w:color="0079C1" w:themeColor="text2"/>
          <w:left w:val="nil"/>
          <w:bottom w:val="single" w:sz="4" w:space="0" w:color="0079C1" w:themeColor="text2"/>
          <w:right w:val="nil"/>
          <w:insideV w:val="single" w:sz="4" w:space="0" w:color="BFE7FF" w:themeColor="text2" w:themeTint="33"/>
        </w:tcBorders>
        <w:shd w:val="clear" w:color="auto" w:fill="0079C1" w:themeFill="text2"/>
        <w:vAlign w:val="center"/>
      </w:tcPr>
    </w:tblStylePr>
    <w:tblStylePr w:type="lastRow">
      <w:rPr>
        <w:b/>
      </w:rPr>
      <w:tblPr/>
      <w:tcPr>
        <w:tcBorders>
          <w:top w:val="single" w:sz="4" w:space="0" w:color="0079C1" w:themeColor="text2"/>
          <w:left w:val="nil"/>
          <w:bottom w:val="single" w:sz="4" w:space="0" w:color="0079C1" w:themeColor="text2"/>
          <w:right w:val="nil"/>
          <w:insideV w:val="single" w:sz="4" w:space="0" w:color="BFE7FF" w:themeColor="text2" w:themeTint="33"/>
        </w:tcBorders>
      </w:tcPr>
    </w:tblStylePr>
    <w:tblStylePr w:type="firstCol">
      <w:rPr>
        <w:b/>
        <w:color w:val="0079C1" w:themeColor="text2"/>
      </w:rPr>
      <w:tblPr/>
      <w:tcPr>
        <w:tcBorders>
          <w:top w:val="nil"/>
          <w:left w:val="nil"/>
          <w:bottom w:val="single" w:sz="4" w:space="0" w:color="0079C1" w:themeColor="text2"/>
          <w:right w:val="single" w:sz="4" w:space="0" w:color="0079C1" w:themeColor="text2"/>
          <w:insideH w:val="single" w:sz="4" w:space="0" w:color="BFE7FF" w:themeColor="text2" w:themeTint="33"/>
          <w:insideV w:val="nil"/>
          <w:tl2br w:val="nil"/>
          <w:tr2bl w:val="nil"/>
        </w:tcBorders>
      </w:tcPr>
    </w:tblStylePr>
    <w:tblStylePr w:type="lastCol">
      <w:rPr>
        <w:b/>
      </w:rPr>
      <w:tblPr/>
      <w:tcPr>
        <w:tcBorders>
          <w:top w:val="single" w:sz="4" w:space="0" w:color="0079C1" w:themeColor="text2"/>
          <w:left w:val="single" w:sz="4" w:space="0" w:color="0079C1" w:themeColor="text2"/>
          <w:bottom w:val="single" w:sz="4" w:space="0" w:color="0079C1" w:themeColor="text2"/>
          <w:right w:val="nil"/>
          <w:insideH w:val="single" w:sz="4" w:space="0" w:color="BFE7FF" w:themeColor="text2" w:themeTint="33"/>
          <w:insideV w:val="nil"/>
          <w:tl2br w:val="nil"/>
          <w:tr2bl w:val="nil"/>
        </w:tcBorders>
      </w:tcPr>
    </w:tblStylePr>
    <w:tblStylePr w:type="band1Vert">
      <w:tblPr/>
      <w:tcPr>
        <w:shd w:val="clear" w:color="auto" w:fill="E2F4FF" w:themeFill="accent1" w:themeFillTint="33"/>
      </w:tcPr>
    </w:tblStylePr>
    <w:tblStylePr w:type="band2Horz">
      <w:tblPr/>
      <w:tcPr>
        <w:shd w:val="clear" w:color="auto" w:fill="E2F4FF" w:themeFill="accent1" w:themeFillTint="33"/>
      </w:tcPr>
    </w:tblStylePr>
    <w:tblStylePr w:type="seCell">
      <w:tblPr/>
      <w:tcPr>
        <w:tcBorders>
          <w:top w:val="single" w:sz="4" w:space="0" w:color="0079C1" w:themeColor="text2"/>
          <w:left w:val="single" w:sz="4" w:space="0" w:color="0079C1" w:themeColor="text2"/>
          <w:bottom w:val="single" w:sz="4" w:space="0" w:color="0079C1" w:themeColor="text2"/>
          <w:right w:val="nil"/>
          <w:insideH w:val="nil"/>
          <w:insideV w:val="nil"/>
          <w:tl2br w:val="nil"/>
          <w:tr2bl w:val="nil"/>
        </w:tcBorders>
      </w:tcPr>
    </w:tblStylePr>
    <w:tblStylePr w:type="swCell">
      <w:tblPr/>
      <w:tcPr>
        <w:tcBorders>
          <w:top w:val="single" w:sz="4" w:space="0" w:color="0079C1" w:themeColor="text2"/>
          <w:left w:val="nil"/>
          <w:bottom w:val="single" w:sz="4" w:space="0" w:color="0079C1" w:themeColor="text2"/>
          <w:right w:val="single" w:sz="4" w:space="0" w:color="0079C1" w:themeColor="text2"/>
          <w:insideH w:val="nil"/>
          <w:insideV w:val="nil"/>
          <w:tl2br w:val="nil"/>
          <w:tr2bl w:val="nil"/>
        </w:tcBorders>
      </w:tcPr>
    </w:tblStylePr>
  </w:style>
  <w:style w:type="table" w:customStyle="1" w:styleId="AHAHeavy">
    <w:name w:val="AHA Heavy"/>
    <w:basedOn w:val="TableNormal"/>
    <w:uiPriority w:val="99"/>
    <w:rsid w:val="00806731"/>
    <w:pPr>
      <w:spacing w:before="60" w:after="60"/>
    </w:pPr>
    <w:rPr>
      <w:rFonts w:asciiTheme="minorHAnsi" w:eastAsia="SimSun" w:hAnsiTheme="minorHAnsi"/>
      <w:sz w:val="18"/>
    </w:rPr>
    <w:tblPr>
      <w:tblStyleRowBandSize w:val="1"/>
      <w:tblStyleColBandSize w:val="1"/>
      <w:tblBorders>
        <w:top w:val="single" w:sz="4" w:space="0" w:color="0079C1" w:themeColor="text2"/>
        <w:bottom w:val="single" w:sz="4" w:space="0" w:color="0079C1" w:themeColor="text2"/>
        <w:insideH w:val="single" w:sz="4" w:space="0" w:color="BFE7FF" w:themeColor="text2" w:themeTint="33"/>
        <w:insideV w:val="single" w:sz="4" w:space="0" w:color="BFE7FF" w:themeColor="text2" w:themeTint="33"/>
      </w:tblBorders>
    </w:tblPr>
    <w:trPr>
      <w:cantSplit/>
    </w:trPr>
    <w:tblStylePr w:type="firstRow">
      <w:pPr>
        <w:keepNext/>
        <w:keepLines/>
        <w:pageBreakBefore w:val="0"/>
        <w:widowControl/>
        <w:suppressLineNumbers w:val="0"/>
        <w:suppressAutoHyphens w:val="0"/>
        <w:wordWrap/>
        <w:spacing w:beforeLines="0" w:before="120" w:beforeAutospacing="0" w:afterLines="0" w:after="120" w:afterAutospacing="0" w:line="240" w:lineRule="auto"/>
        <w:contextualSpacing w:val="0"/>
        <w:mirrorIndents w:val="0"/>
        <w:jc w:val="left"/>
      </w:pPr>
      <w:rPr>
        <w:b/>
        <w:i w:val="0"/>
        <w:color w:val="FFFFFF" w:themeColor="background1"/>
      </w:rPr>
      <w:tblPr/>
      <w:tcPr>
        <w:tcBorders>
          <w:top w:val="single" w:sz="4" w:space="0" w:color="0079C1" w:themeColor="text2"/>
          <w:left w:val="nil"/>
          <w:bottom w:val="single" w:sz="4" w:space="0" w:color="0079C1" w:themeColor="text2"/>
          <w:right w:val="nil"/>
          <w:insideV w:val="single" w:sz="4" w:space="0" w:color="BFE7FF" w:themeColor="text2" w:themeTint="33"/>
        </w:tcBorders>
        <w:shd w:val="clear" w:color="auto" w:fill="0079C1" w:themeFill="text2"/>
        <w:vAlign w:val="center"/>
      </w:tcPr>
    </w:tblStylePr>
    <w:tblStylePr w:type="lastRow">
      <w:rPr>
        <w:b/>
      </w:rPr>
      <w:tblPr/>
      <w:tcPr>
        <w:tcBorders>
          <w:top w:val="single" w:sz="4" w:space="0" w:color="0079C1" w:themeColor="text2"/>
          <w:left w:val="nil"/>
          <w:bottom w:val="single" w:sz="4" w:space="0" w:color="0079C1" w:themeColor="text2"/>
          <w:right w:val="nil"/>
          <w:insideV w:val="single" w:sz="4" w:space="0" w:color="BFE7FF" w:themeColor="text2" w:themeTint="33"/>
        </w:tcBorders>
      </w:tcPr>
    </w:tblStylePr>
    <w:tblStylePr w:type="firstCol">
      <w:rPr>
        <w:b/>
        <w:color w:val="0079C1" w:themeColor="text2"/>
      </w:rPr>
      <w:tblPr/>
      <w:tcPr>
        <w:tcBorders>
          <w:top w:val="nil"/>
          <w:left w:val="nil"/>
          <w:bottom w:val="single" w:sz="4" w:space="0" w:color="0079C1" w:themeColor="text2"/>
          <w:right w:val="single" w:sz="4" w:space="0" w:color="0079C1" w:themeColor="text2"/>
          <w:insideH w:val="single" w:sz="4" w:space="0" w:color="BFE7FF" w:themeColor="text2" w:themeTint="33"/>
          <w:insideV w:val="nil"/>
          <w:tl2br w:val="nil"/>
          <w:tr2bl w:val="nil"/>
        </w:tcBorders>
      </w:tcPr>
    </w:tblStylePr>
    <w:tblStylePr w:type="lastCol">
      <w:rPr>
        <w:b/>
      </w:rPr>
      <w:tblPr/>
      <w:tcPr>
        <w:tcBorders>
          <w:top w:val="single" w:sz="4" w:space="0" w:color="0079C1" w:themeColor="text2"/>
          <w:left w:val="single" w:sz="4" w:space="0" w:color="0079C1" w:themeColor="text2"/>
          <w:bottom w:val="single" w:sz="4" w:space="0" w:color="0079C1" w:themeColor="text2"/>
          <w:right w:val="nil"/>
          <w:insideH w:val="single" w:sz="4" w:space="0" w:color="BFE7FF" w:themeColor="text2" w:themeTint="33"/>
          <w:insideV w:val="nil"/>
          <w:tl2br w:val="nil"/>
          <w:tr2bl w:val="nil"/>
        </w:tcBorders>
      </w:tcPr>
    </w:tblStylePr>
    <w:tblStylePr w:type="band1Vert">
      <w:tblPr/>
      <w:tcPr>
        <w:shd w:val="clear" w:color="auto" w:fill="E2F4FF" w:themeFill="accent1" w:themeFillTint="33"/>
      </w:tcPr>
    </w:tblStylePr>
    <w:tblStylePr w:type="band2Horz">
      <w:tblPr/>
      <w:tcPr>
        <w:shd w:val="clear" w:color="auto" w:fill="E2F4FF" w:themeFill="accent1" w:themeFillTint="33"/>
      </w:tcPr>
    </w:tblStylePr>
    <w:tblStylePr w:type="seCell">
      <w:tblPr/>
      <w:tcPr>
        <w:tcBorders>
          <w:top w:val="single" w:sz="4" w:space="0" w:color="0079C1" w:themeColor="text2"/>
          <w:left w:val="single" w:sz="4" w:space="0" w:color="0079C1" w:themeColor="text2"/>
          <w:bottom w:val="single" w:sz="4" w:space="0" w:color="0079C1" w:themeColor="text2"/>
          <w:right w:val="nil"/>
          <w:insideH w:val="nil"/>
          <w:insideV w:val="nil"/>
          <w:tl2br w:val="nil"/>
          <w:tr2bl w:val="nil"/>
        </w:tcBorders>
      </w:tcPr>
    </w:tblStylePr>
    <w:tblStylePr w:type="swCell">
      <w:tblPr/>
      <w:tcPr>
        <w:tcBorders>
          <w:top w:val="single" w:sz="4" w:space="0" w:color="0079C1" w:themeColor="text2"/>
          <w:left w:val="nil"/>
          <w:bottom w:val="single" w:sz="4" w:space="0" w:color="0079C1" w:themeColor="text2"/>
          <w:right w:val="single" w:sz="4" w:space="0" w:color="0079C1" w:themeColor="text2"/>
          <w:insideH w:val="nil"/>
          <w:insideV w:val="nil"/>
          <w:tl2br w:val="nil"/>
          <w:tr2bl w:val="nil"/>
        </w:tcBorders>
      </w:tcPr>
    </w:tblStylePr>
  </w:style>
  <w:style w:type="table" w:customStyle="1" w:styleId="ListTable6Colorful-Accent11">
    <w:name w:val="List Table 6 Colorful - Accent 11"/>
    <w:basedOn w:val="TableNormal"/>
    <w:uiPriority w:val="51"/>
    <w:rsid w:val="00806731"/>
    <w:rPr>
      <w:rFonts w:eastAsia="SimSun"/>
      <w:color w:val="14A5FF" w:themeColor="accent1" w:themeShade="BF"/>
    </w:rPr>
    <w:tblPr>
      <w:tblStyleRowBandSize w:val="1"/>
      <w:tblStyleColBandSize w:val="1"/>
      <w:tblBorders>
        <w:top w:val="single" w:sz="4" w:space="0" w:color="71C9FF" w:themeColor="accent1"/>
        <w:bottom w:val="single" w:sz="4" w:space="0" w:color="71C9FF" w:themeColor="accent1"/>
      </w:tblBorders>
    </w:tblPr>
    <w:tblStylePr w:type="firstRow">
      <w:rPr>
        <w:b/>
        <w:bCs/>
      </w:rPr>
      <w:tblPr/>
      <w:tcPr>
        <w:tcBorders>
          <w:bottom w:val="single" w:sz="4" w:space="0" w:color="71C9FF" w:themeColor="accent1"/>
        </w:tcBorders>
      </w:tcPr>
    </w:tblStylePr>
    <w:tblStylePr w:type="lastRow">
      <w:rPr>
        <w:b/>
        <w:bCs/>
      </w:rPr>
      <w:tblPr/>
      <w:tcPr>
        <w:tcBorders>
          <w:top w:val="double" w:sz="4" w:space="0" w:color="71C9FF" w:themeColor="accent1"/>
        </w:tcBorders>
      </w:tcPr>
    </w:tblStylePr>
    <w:tblStylePr w:type="firstCol">
      <w:rPr>
        <w:b/>
        <w:bCs/>
      </w:rPr>
    </w:tblStylePr>
    <w:tblStylePr w:type="lastCol">
      <w:rPr>
        <w:b/>
        <w:bCs/>
      </w:rPr>
    </w:tblStylePr>
    <w:tblStylePr w:type="band1Vert">
      <w:tblPr/>
      <w:tcPr>
        <w:shd w:val="clear" w:color="auto" w:fill="E2F4FF" w:themeFill="accent1" w:themeFillTint="33"/>
      </w:tcPr>
    </w:tblStylePr>
    <w:tblStylePr w:type="band1Horz">
      <w:tblPr/>
      <w:tcPr>
        <w:shd w:val="clear" w:color="auto" w:fill="E2F4FF" w:themeFill="accent1" w:themeFillTint="33"/>
      </w:tcPr>
    </w:tblStylePr>
  </w:style>
  <w:style w:type="table" w:customStyle="1" w:styleId="ListTable6Colorful-Accent12">
    <w:name w:val="List Table 6 Colorful - Accent 12"/>
    <w:basedOn w:val="TableNormal"/>
    <w:uiPriority w:val="51"/>
    <w:rsid w:val="00806731"/>
    <w:rPr>
      <w:rFonts w:eastAsia="SimSun"/>
      <w:color w:val="14A5FF" w:themeColor="accent1" w:themeShade="BF"/>
    </w:rPr>
    <w:tblPr>
      <w:tblStyleRowBandSize w:val="1"/>
      <w:tblStyleColBandSize w:val="1"/>
      <w:tblBorders>
        <w:top w:val="single" w:sz="4" w:space="0" w:color="71C9FF" w:themeColor="accent1"/>
        <w:bottom w:val="single" w:sz="4" w:space="0" w:color="71C9FF" w:themeColor="accent1"/>
      </w:tblBorders>
    </w:tblPr>
    <w:tblStylePr w:type="firstRow">
      <w:rPr>
        <w:b/>
        <w:bCs/>
      </w:rPr>
      <w:tblPr/>
      <w:tcPr>
        <w:tcBorders>
          <w:bottom w:val="single" w:sz="4" w:space="0" w:color="71C9FF" w:themeColor="accent1"/>
        </w:tcBorders>
      </w:tcPr>
    </w:tblStylePr>
    <w:tblStylePr w:type="lastRow">
      <w:rPr>
        <w:b/>
        <w:bCs/>
      </w:rPr>
      <w:tblPr/>
      <w:tcPr>
        <w:tcBorders>
          <w:top w:val="double" w:sz="4" w:space="0" w:color="71C9FF" w:themeColor="accent1"/>
        </w:tcBorders>
      </w:tcPr>
    </w:tblStylePr>
    <w:tblStylePr w:type="firstCol">
      <w:rPr>
        <w:b/>
        <w:bCs/>
      </w:rPr>
    </w:tblStylePr>
    <w:tblStylePr w:type="lastCol">
      <w:rPr>
        <w:b/>
        <w:bCs/>
      </w:rPr>
    </w:tblStylePr>
    <w:tblStylePr w:type="band1Vert">
      <w:tblPr/>
      <w:tcPr>
        <w:shd w:val="clear" w:color="auto" w:fill="E2F4FF" w:themeFill="accent1" w:themeFillTint="33"/>
      </w:tcPr>
    </w:tblStylePr>
    <w:tblStylePr w:type="band1Horz">
      <w:tblPr/>
      <w:tcPr>
        <w:shd w:val="clear" w:color="auto" w:fill="E2F4FF" w:themeFill="accent1" w:themeFillTint="33"/>
      </w:tcPr>
    </w:tblStylePr>
  </w:style>
  <w:style w:type="table" w:customStyle="1" w:styleId="GridTable1Light-Accent11">
    <w:name w:val="Grid Table 1 Light - Accent 11"/>
    <w:basedOn w:val="TableNormal"/>
    <w:uiPriority w:val="46"/>
    <w:rsid w:val="00806731"/>
    <w:rPr>
      <w:rFonts w:eastAsia="SimSun"/>
    </w:rPr>
    <w:tblPr>
      <w:tblStyleRowBandSize w:val="1"/>
      <w:tblStyleColBandSize w:val="1"/>
      <w:tblBorders>
        <w:top w:val="single" w:sz="4" w:space="0" w:color="C6E9FF" w:themeColor="accent1" w:themeTint="66"/>
        <w:left w:val="single" w:sz="4" w:space="0" w:color="C6E9FF" w:themeColor="accent1" w:themeTint="66"/>
        <w:bottom w:val="single" w:sz="4" w:space="0" w:color="C6E9FF" w:themeColor="accent1" w:themeTint="66"/>
        <w:right w:val="single" w:sz="4" w:space="0" w:color="C6E9FF" w:themeColor="accent1" w:themeTint="66"/>
        <w:insideH w:val="single" w:sz="4" w:space="0" w:color="C6E9FF" w:themeColor="accent1" w:themeTint="66"/>
        <w:insideV w:val="single" w:sz="4" w:space="0" w:color="C6E9FF" w:themeColor="accent1" w:themeTint="66"/>
      </w:tblBorders>
    </w:tblPr>
    <w:tblStylePr w:type="firstRow">
      <w:rPr>
        <w:b/>
        <w:bCs/>
      </w:rPr>
      <w:tblPr/>
      <w:tcPr>
        <w:tcBorders>
          <w:bottom w:val="single" w:sz="12" w:space="0" w:color="A9DEFF" w:themeColor="accent1" w:themeTint="99"/>
        </w:tcBorders>
      </w:tcPr>
    </w:tblStylePr>
    <w:tblStylePr w:type="lastRow">
      <w:rPr>
        <w:b/>
        <w:bCs/>
      </w:rPr>
      <w:tblPr/>
      <w:tcPr>
        <w:tcBorders>
          <w:top w:val="double" w:sz="2" w:space="0" w:color="A9DEFF" w:themeColor="accent1" w:themeTint="99"/>
        </w:tcBorders>
      </w:tcPr>
    </w:tblStylePr>
    <w:tblStylePr w:type="firstCol">
      <w:rPr>
        <w:b/>
        <w:bCs/>
      </w:rPr>
    </w:tblStylePr>
    <w:tblStylePr w:type="lastCol">
      <w:rPr>
        <w:b/>
        <w:bCs/>
      </w:rPr>
    </w:tblStylePr>
  </w:style>
  <w:style w:type="table" w:customStyle="1" w:styleId="Banded1">
    <w:name w:val="Banded1"/>
    <w:basedOn w:val="TableNormal"/>
    <w:rsid w:val="00806731"/>
    <w:rPr>
      <w:rFonts w:eastAsia="SimSun"/>
      <w:sz w:val="22"/>
      <w:szCs w:val="22"/>
    </w:rPr>
    <w:tblPr>
      <w:tblStyleRowBandSize w:val="1"/>
      <w:tblBorders>
        <w:top w:val="single" w:sz="4" w:space="0" w:color="00A2C1" w:themeColor="accent3"/>
        <w:bottom w:val="single" w:sz="4" w:space="0" w:color="00A2C1" w:themeColor="accent3"/>
        <w:insideH w:val="single" w:sz="4" w:space="0" w:color="BFE7FF" w:themeColor="text2" w:themeTint="33"/>
        <w:insideV w:val="single" w:sz="4" w:space="0" w:color="E2F4FF" w:themeColor="accent1" w:themeTint="33"/>
      </w:tblBorders>
    </w:tblPr>
    <w:tblStylePr w:type="firstRow">
      <w:tblPr/>
      <w:tcPr>
        <w:tcBorders>
          <w:top w:val="single" w:sz="4" w:space="0" w:color="00A2C1" w:themeColor="accent3"/>
          <w:bottom w:val="single" w:sz="4" w:space="0" w:color="00A2C1" w:themeColor="accent3"/>
        </w:tcBorders>
        <w:shd w:val="clear" w:color="auto" w:fill="00A2C1" w:themeFill="accent3"/>
      </w:tcPr>
    </w:tblStylePr>
    <w:tblStylePr w:type="firstCol">
      <w:tblPr/>
      <w:tcPr>
        <w:shd w:val="clear" w:color="auto" w:fill="E2F4FF" w:themeFill="accent1" w:themeFillTint="33"/>
      </w:tcPr>
    </w:tblStylePr>
    <w:tblStylePr w:type="band1Horz">
      <w:tblPr/>
      <w:tcPr>
        <w:tcBorders>
          <w:top w:val="nil"/>
          <w:left w:val="nil"/>
          <w:bottom w:val="nil"/>
          <w:right w:val="nil"/>
          <w:insideH w:val="nil"/>
          <w:insideV w:val="nil"/>
        </w:tcBorders>
        <w:shd w:val="clear" w:color="auto" w:fill="E2F4FF" w:themeFill="accent1" w:themeFillTint="33"/>
      </w:tcPr>
    </w:tblStylePr>
  </w:style>
  <w:style w:type="table" w:customStyle="1" w:styleId="TableGrid1">
    <w:name w:val="Table Grid1"/>
    <w:basedOn w:val="TableNormal"/>
    <w:next w:val="TableGrid"/>
    <w:uiPriority w:val="59"/>
    <w:rsid w:val="00806731"/>
    <w:rPr>
      <w:rFonts w:eastAsia="SimSu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806731"/>
  </w:style>
  <w:style w:type="paragraph" w:customStyle="1" w:styleId="th1small">
    <w:name w:val="th1_small"/>
    <w:basedOn w:val="TableHeading1"/>
    <w:qFormat/>
    <w:rsid w:val="00806731"/>
    <w:rPr>
      <w:color w:val="0079C1"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705">
      <w:bodyDiv w:val="1"/>
      <w:marLeft w:val="0"/>
      <w:marRight w:val="0"/>
      <w:marTop w:val="0"/>
      <w:marBottom w:val="0"/>
      <w:divBdr>
        <w:top w:val="none" w:sz="0" w:space="0" w:color="auto"/>
        <w:left w:val="none" w:sz="0" w:space="0" w:color="auto"/>
        <w:bottom w:val="none" w:sz="0" w:space="0" w:color="auto"/>
        <w:right w:val="none" w:sz="0" w:space="0" w:color="auto"/>
      </w:divBdr>
    </w:div>
    <w:div w:id="45764896">
      <w:bodyDiv w:val="1"/>
      <w:marLeft w:val="0"/>
      <w:marRight w:val="0"/>
      <w:marTop w:val="0"/>
      <w:marBottom w:val="0"/>
      <w:divBdr>
        <w:top w:val="none" w:sz="0" w:space="0" w:color="auto"/>
        <w:left w:val="none" w:sz="0" w:space="0" w:color="auto"/>
        <w:bottom w:val="none" w:sz="0" w:space="0" w:color="auto"/>
        <w:right w:val="none" w:sz="0" w:space="0" w:color="auto"/>
      </w:divBdr>
    </w:div>
    <w:div w:id="48847075">
      <w:bodyDiv w:val="1"/>
      <w:marLeft w:val="0"/>
      <w:marRight w:val="0"/>
      <w:marTop w:val="0"/>
      <w:marBottom w:val="0"/>
      <w:divBdr>
        <w:top w:val="none" w:sz="0" w:space="0" w:color="auto"/>
        <w:left w:val="none" w:sz="0" w:space="0" w:color="auto"/>
        <w:bottom w:val="none" w:sz="0" w:space="0" w:color="auto"/>
        <w:right w:val="none" w:sz="0" w:space="0" w:color="auto"/>
      </w:divBdr>
    </w:div>
    <w:div w:id="58678791">
      <w:bodyDiv w:val="1"/>
      <w:marLeft w:val="0"/>
      <w:marRight w:val="0"/>
      <w:marTop w:val="0"/>
      <w:marBottom w:val="0"/>
      <w:divBdr>
        <w:top w:val="none" w:sz="0" w:space="0" w:color="auto"/>
        <w:left w:val="none" w:sz="0" w:space="0" w:color="auto"/>
        <w:bottom w:val="none" w:sz="0" w:space="0" w:color="auto"/>
        <w:right w:val="none" w:sz="0" w:space="0" w:color="auto"/>
      </w:divBdr>
    </w:div>
    <w:div w:id="81873658">
      <w:bodyDiv w:val="1"/>
      <w:marLeft w:val="0"/>
      <w:marRight w:val="0"/>
      <w:marTop w:val="0"/>
      <w:marBottom w:val="0"/>
      <w:divBdr>
        <w:top w:val="none" w:sz="0" w:space="0" w:color="auto"/>
        <w:left w:val="none" w:sz="0" w:space="0" w:color="auto"/>
        <w:bottom w:val="none" w:sz="0" w:space="0" w:color="auto"/>
        <w:right w:val="none" w:sz="0" w:space="0" w:color="auto"/>
      </w:divBdr>
    </w:div>
    <w:div w:id="91510642">
      <w:bodyDiv w:val="1"/>
      <w:marLeft w:val="0"/>
      <w:marRight w:val="0"/>
      <w:marTop w:val="0"/>
      <w:marBottom w:val="0"/>
      <w:divBdr>
        <w:top w:val="none" w:sz="0" w:space="0" w:color="auto"/>
        <w:left w:val="none" w:sz="0" w:space="0" w:color="auto"/>
        <w:bottom w:val="none" w:sz="0" w:space="0" w:color="auto"/>
        <w:right w:val="none" w:sz="0" w:space="0" w:color="auto"/>
      </w:divBdr>
    </w:div>
    <w:div w:id="97255642">
      <w:bodyDiv w:val="1"/>
      <w:marLeft w:val="0"/>
      <w:marRight w:val="0"/>
      <w:marTop w:val="0"/>
      <w:marBottom w:val="0"/>
      <w:divBdr>
        <w:top w:val="none" w:sz="0" w:space="0" w:color="auto"/>
        <w:left w:val="none" w:sz="0" w:space="0" w:color="auto"/>
        <w:bottom w:val="none" w:sz="0" w:space="0" w:color="auto"/>
        <w:right w:val="none" w:sz="0" w:space="0" w:color="auto"/>
      </w:divBdr>
    </w:div>
    <w:div w:id="98915001">
      <w:bodyDiv w:val="1"/>
      <w:marLeft w:val="0"/>
      <w:marRight w:val="0"/>
      <w:marTop w:val="0"/>
      <w:marBottom w:val="0"/>
      <w:divBdr>
        <w:top w:val="none" w:sz="0" w:space="0" w:color="auto"/>
        <w:left w:val="none" w:sz="0" w:space="0" w:color="auto"/>
        <w:bottom w:val="none" w:sz="0" w:space="0" w:color="auto"/>
        <w:right w:val="none" w:sz="0" w:space="0" w:color="auto"/>
      </w:divBdr>
    </w:div>
    <w:div w:id="130441426">
      <w:bodyDiv w:val="1"/>
      <w:marLeft w:val="0"/>
      <w:marRight w:val="0"/>
      <w:marTop w:val="0"/>
      <w:marBottom w:val="0"/>
      <w:divBdr>
        <w:top w:val="none" w:sz="0" w:space="0" w:color="auto"/>
        <w:left w:val="none" w:sz="0" w:space="0" w:color="auto"/>
        <w:bottom w:val="none" w:sz="0" w:space="0" w:color="auto"/>
        <w:right w:val="none" w:sz="0" w:space="0" w:color="auto"/>
      </w:divBdr>
    </w:div>
    <w:div w:id="143084733">
      <w:bodyDiv w:val="1"/>
      <w:marLeft w:val="0"/>
      <w:marRight w:val="0"/>
      <w:marTop w:val="0"/>
      <w:marBottom w:val="0"/>
      <w:divBdr>
        <w:top w:val="none" w:sz="0" w:space="0" w:color="auto"/>
        <w:left w:val="none" w:sz="0" w:space="0" w:color="auto"/>
        <w:bottom w:val="none" w:sz="0" w:space="0" w:color="auto"/>
        <w:right w:val="none" w:sz="0" w:space="0" w:color="auto"/>
      </w:divBdr>
    </w:div>
    <w:div w:id="156772848">
      <w:bodyDiv w:val="1"/>
      <w:marLeft w:val="0"/>
      <w:marRight w:val="0"/>
      <w:marTop w:val="0"/>
      <w:marBottom w:val="0"/>
      <w:divBdr>
        <w:top w:val="none" w:sz="0" w:space="0" w:color="auto"/>
        <w:left w:val="none" w:sz="0" w:space="0" w:color="auto"/>
        <w:bottom w:val="none" w:sz="0" w:space="0" w:color="auto"/>
        <w:right w:val="none" w:sz="0" w:space="0" w:color="auto"/>
      </w:divBdr>
    </w:div>
    <w:div w:id="164248138">
      <w:bodyDiv w:val="1"/>
      <w:marLeft w:val="0"/>
      <w:marRight w:val="0"/>
      <w:marTop w:val="0"/>
      <w:marBottom w:val="0"/>
      <w:divBdr>
        <w:top w:val="none" w:sz="0" w:space="0" w:color="auto"/>
        <w:left w:val="none" w:sz="0" w:space="0" w:color="auto"/>
        <w:bottom w:val="none" w:sz="0" w:space="0" w:color="auto"/>
        <w:right w:val="none" w:sz="0" w:space="0" w:color="auto"/>
      </w:divBdr>
    </w:div>
    <w:div w:id="166867870">
      <w:bodyDiv w:val="1"/>
      <w:marLeft w:val="0"/>
      <w:marRight w:val="0"/>
      <w:marTop w:val="0"/>
      <w:marBottom w:val="0"/>
      <w:divBdr>
        <w:top w:val="none" w:sz="0" w:space="0" w:color="auto"/>
        <w:left w:val="none" w:sz="0" w:space="0" w:color="auto"/>
        <w:bottom w:val="none" w:sz="0" w:space="0" w:color="auto"/>
        <w:right w:val="none" w:sz="0" w:space="0" w:color="auto"/>
      </w:divBdr>
    </w:div>
    <w:div w:id="168839405">
      <w:bodyDiv w:val="1"/>
      <w:marLeft w:val="0"/>
      <w:marRight w:val="0"/>
      <w:marTop w:val="0"/>
      <w:marBottom w:val="0"/>
      <w:divBdr>
        <w:top w:val="none" w:sz="0" w:space="0" w:color="auto"/>
        <w:left w:val="none" w:sz="0" w:space="0" w:color="auto"/>
        <w:bottom w:val="none" w:sz="0" w:space="0" w:color="auto"/>
        <w:right w:val="none" w:sz="0" w:space="0" w:color="auto"/>
      </w:divBdr>
    </w:div>
    <w:div w:id="188105059">
      <w:bodyDiv w:val="1"/>
      <w:marLeft w:val="0"/>
      <w:marRight w:val="0"/>
      <w:marTop w:val="0"/>
      <w:marBottom w:val="0"/>
      <w:divBdr>
        <w:top w:val="none" w:sz="0" w:space="0" w:color="auto"/>
        <w:left w:val="none" w:sz="0" w:space="0" w:color="auto"/>
        <w:bottom w:val="none" w:sz="0" w:space="0" w:color="auto"/>
        <w:right w:val="none" w:sz="0" w:space="0" w:color="auto"/>
      </w:divBdr>
    </w:div>
    <w:div w:id="189151541">
      <w:bodyDiv w:val="1"/>
      <w:marLeft w:val="0"/>
      <w:marRight w:val="0"/>
      <w:marTop w:val="0"/>
      <w:marBottom w:val="0"/>
      <w:divBdr>
        <w:top w:val="none" w:sz="0" w:space="0" w:color="auto"/>
        <w:left w:val="none" w:sz="0" w:space="0" w:color="auto"/>
        <w:bottom w:val="none" w:sz="0" w:space="0" w:color="auto"/>
        <w:right w:val="none" w:sz="0" w:space="0" w:color="auto"/>
      </w:divBdr>
    </w:div>
    <w:div w:id="191261862">
      <w:bodyDiv w:val="1"/>
      <w:marLeft w:val="0"/>
      <w:marRight w:val="0"/>
      <w:marTop w:val="0"/>
      <w:marBottom w:val="0"/>
      <w:divBdr>
        <w:top w:val="none" w:sz="0" w:space="0" w:color="auto"/>
        <w:left w:val="none" w:sz="0" w:space="0" w:color="auto"/>
        <w:bottom w:val="none" w:sz="0" w:space="0" w:color="auto"/>
        <w:right w:val="none" w:sz="0" w:space="0" w:color="auto"/>
      </w:divBdr>
    </w:div>
    <w:div w:id="192379596">
      <w:bodyDiv w:val="1"/>
      <w:marLeft w:val="0"/>
      <w:marRight w:val="0"/>
      <w:marTop w:val="0"/>
      <w:marBottom w:val="0"/>
      <w:divBdr>
        <w:top w:val="none" w:sz="0" w:space="0" w:color="auto"/>
        <w:left w:val="none" w:sz="0" w:space="0" w:color="auto"/>
        <w:bottom w:val="none" w:sz="0" w:space="0" w:color="auto"/>
        <w:right w:val="none" w:sz="0" w:space="0" w:color="auto"/>
      </w:divBdr>
    </w:div>
    <w:div w:id="193735828">
      <w:bodyDiv w:val="1"/>
      <w:marLeft w:val="0"/>
      <w:marRight w:val="0"/>
      <w:marTop w:val="0"/>
      <w:marBottom w:val="0"/>
      <w:divBdr>
        <w:top w:val="none" w:sz="0" w:space="0" w:color="auto"/>
        <w:left w:val="none" w:sz="0" w:space="0" w:color="auto"/>
        <w:bottom w:val="none" w:sz="0" w:space="0" w:color="auto"/>
        <w:right w:val="none" w:sz="0" w:space="0" w:color="auto"/>
      </w:divBdr>
    </w:div>
    <w:div w:id="197161101">
      <w:bodyDiv w:val="1"/>
      <w:marLeft w:val="0"/>
      <w:marRight w:val="0"/>
      <w:marTop w:val="0"/>
      <w:marBottom w:val="0"/>
      <w:divBdr>
        <w:top w:val="none" w:sz="0" w:space="0" w:color="auto"/>
        <w:left w:val="none" w:sz="0" w:space="0" w:color="auto"/>
        <w:bottom w:val="none" w:sz="0" w:space="0" w:color="auto"/>
        <w:right w:val="none" w:sz="0" w:space="0" w:color="auto"/>
      </w:divBdr>
    </w:div>
    <w:div w:id="197863942">
      <w:bodyDiv w:val="1"/>
      <w:marLeft w:val="0"/>
      <w:marRight w:val="0"/>
      <w:marTop w:val="0"/>
      <w:marBottom w:val="0"/>
      <w:divBdr>
        <w:top w:val="none" w:sz="0" w:space="0" w:color="auto"/>
        <w:left w:val="none" w:sz="0" w:space="0" w:color="auto"/>
        <w:bottom w:val="none" w:sz="0" w:space="0" w:color="auto"/>
        <w:right w:val="none" w:sz="0" w:space="0" w:color="auto"/>
      </w:divBdr>
      <w:divsChild>
        <w:div w:id="968390288">
          <w:marLeft w:val="547"/>
          <w:marRight w:val="0"/>
          <w:marTop w:val="0"/>
          <w:marBottom w:val="0"/>
          <w:divBdr>
            <w:top w:val="none" w:sz="0" w:space="0" w:color="auto"/>
            <w:left w:val="none" w:sz="0" w:space="0" w:color="auto"/>
            <w:bottom w:val="none" w:sz="0" w:space="0" w:color="auto"/>
            <w:right w:val="none" w:sz="0" w:space="0" w:color="auto"/>
          </w:divBdr>
        </w:div>
        <w:div w:id="1048796350">
          <w:marLeft w:val="1166"/>
          <w:marRight w:val="0"/>
          <w:marTop w:val="0"/>
          <w:marBottom w:val="0"/>
          <w:divBdr>
            <w:top w:val="none" w:sz="0" w:space="0" w:color="auto"/>
            <w:left w:val="none" w:sz="0" w:space="0" w:color="auto"/>
            <w:bottom w:val="none" w:sz="0" w:space="0" w:color="auto"/>
            <w:right w:val="none" w:sz="0" w:space="0" w:color="auto"/>
          </w:divBdr>
        </w:div>
        <w:div w:id="2022470233">
          <w:marLeft w:val="547"/>
          <w:marRight w:val="0"/>
          <w:marTop w:val="0"/>
          <w:marBottom w:val="0"/>
          <w:divBdr>
            <w:top w:val="none" w:sz="0" w:space="0" w:color="auto"/>
            <w:left w:val="none" w:sz="0" w:space="0" w:color="auto"/>
            <w:bottom w:val="none" w:sz="0" w:space="0" w:color="auto"/>
            <w:right w:val="none" w:sz="0" w:space="0" w:color="auto"/>
          </w:divBdr>
        </w:div>
        <w:div w:id="1700428474">
          <w:marLeft w:val="1166"/>
          <w:marRight w:val="0"/>
          <w:marTop w:val="0"/>
          <w:marBottom w:val="0"/>
          <w:divBdr>
            <w:top w:val="none" w:sz="0" w:space="0" w:color="auto"/>
            <w:left w:val="none" w:sz="0" w:space="0" w:color="auto"/>
            <w:bottom w:val="none" w:sz="0" w:space="0" w:color="auto"/>
            <w:right w:val="none" w:sz="0" w:space="0" w:color="auto"/>
          </w:divBdr>
        </w:div>
        <w:div w:id="1164468351">
          <w:marLeft w:val="547"/>
          <w:marRight w:val="0"/>
          <w:marTop w:val="0"/>
          <w:marBottom w:val="0"/>
          <w:divBdr>
            <w:top w:val="none" w:sz="0" w:space="0" w:color="auto"/>
            <w:left w:val="none" w:sz="0" w:space="0" w:color="auto"/>
            <w:bottom w:val="none" w:sz="0" w:space="0" w:color="auto"/>
            <w:right w:val="none" w:sz="0" w:space="0" w:color="auto"/>
          </w:divBdr>
        </w:div>
        <w:div w:id="993222097">
          <w:marLeft w:val="1166"/>
          <w:marRight w:val="0"/>
          <w:marTop w:val="0"/>
          <w:marBottom w:val="0"/>
          <w:divBdr>
            <w:top w:val="none" w:sz="0" w:space="0" w:color="auto"/>
            <w:left w:val="none" w:sz="0" w:space="0" w:color="auto"/>
            <w:bottom w:val="none" w:sz="0" w:space="0" w:color="auto"/>
            <w:right w:val="none" w:sz="0" w:space="0" w:color="auto"/>
          </w:divBdr>
        </w:div>
        <w:div w:id="564804643">
          <w:marLeft w:val="547"/>
          <w:marRight w:val="0"/>
          <w:marTop w:val="0"/>
          <w:marBottom w:val="0"/>
          <w:divBdr>
            <w:top w:val="none" w:sz="0" w:space="0" w:color="auto"/>
            <w:left w:val="none" w:sz="0" w:space="0" w:color="auto"/>
            <w:bottom w:val="none" w:sz="0" w:space="0" w:color="auto"/>
            <w:right w:val="none" w:sz="0" w:space="0" w:color="auto"/>
          </w:divBdr>
        </w:div>
        <w:div w:id="915432039">
          <w:marLeft w:val="1166"/>
          <w:marRight w:val="0"/>
          <w:marTop w:val="0"/>
          <w:marBottom w:val="0"/>
          <w:divBdr>
            <w:top w:val="none" w:sz="0" w:space="0" w:color="auto"/>
            <w:left w:val="none" w:sz="0" w:space="0" w:color="auto"/>
            <w:bottom w:val="none" w:sz="0" w:space="0" w:color="auto"/>
            <w:right w:val="none" w:sz="0" w:space="0" w:color="auto"/>
          </w:divBdr>
        </w:div>
        <w:div w:id="353383106">
          <w:marLeft w:val="547"/>
          <w:marRight w:val="0"/>
          <w:marTop w:val="0"/>
          <w:marBottom w:val="0"/>
          <w:divBdr>
            <w:top w:val="none" w:sz="0" w:space="0" w:color="auto"/>
            <w:left w:val="none" w:sz="0" w:space="0" w:color="auto"/>
            <w:bottom w:val="none" w:sz="0" w:space="0" w:color="auto"/>
            <w:right w:val="none" w:sz="0" w:space="0" w:color="auto"/>
          </w:divBdr>
        </w:div>
        <w:div w:id="1568493462">
          <w:marLeft w:val="1166"/>
          <w:marRight w:val="0"/>
          <w:marTop w:val="0"/>
          <w:marBottom w:val="0"/>
          <w:divBdr>
            <w:top w:val="none" w:sz="0" w:space="0" w:color="auto"/>
            <w:left w:val="none" w:sz="0" w:space="0" w:color="auto"/>
            <w:bottom w:val="none" w:sz="0" w:space="0" w:color="auto"/>
            <w:right w:val="none" w:sz="0" w:space="0" w:color="auto"/>
          </w:divBdr>
        </w:div>
        <w:div w:id="626813384">
          <w:marLeft w:val="547"/>
          <w:marRight w:val="0"/>
          <w:marTop w:val="0"/>
          <w:marBottom w:val="0"/>
          <w:divBdr>
            <w:top w:val="none" w:sz="0" w:space="0" w:color="auto"/>
            <w:left w:val="none" w:sz="0" w:space="0" w:color="auto"/>
            <w:bottom w:val="none" w:sz="0" w:space="0" w:color="auto"/>
            <w:right w:val="none" w:sz="0" w:space="0" w:color="auto"/>
          </w:divBdr>
        </w:div>
        <w:div w:id="168453629">
          <w:marLeft w:val="1166"/>
          <w:marRight w:val="0"/>
          <w:marTop w:val="0"/>
          <w:marBottom w:val="0"/>
          <w:divBdr>
            <w:top w:val="none" w:sz="0" w:space="0" w:color="auto"/>
            <w:left w:val="none" w:sz="0" w:space="0" w:color="auto"/>
            <w:bottom w:val="none" w:sz="0" w:space="0" w:color="auto"/>
            <w:right w:val="none" w:sz="0" w:space="0" w:color="auto"/>
          </w:divBdr>
        </w:div>
        <w:div w:id="1571842048">
          <w:marLeft w:val="547"/>
          <w:marRight w:val="0"/>
          <w:marTop w:val="0"/>
          <w:marBottom w:val="0"/>
          <w:divBdr>
            <w:top w:val="none" w:sz="0" w:space="0" w:color="auto"/>
            <w:left w:val="none" w:sz="0" w:space="0" w:color="auto"/>
            <w:bottom w:val="none" w:sz="0" w:space="0" w:color="auto"/>
            <w:right w:val="none" w:sz="0" w:space="0" w:color="auto"/>
          </w:divBdr>
        </w:div>
        <w:div w:id="658966752">
          <w:marLeft w:val="1166"/>
          <w:marRight w:val="0"/>
          <w:marTop w:val="0"/>
          <w:marBottom w:val="0"/>
          <w:divBdr>
            <w:top w:val="none" w:sz="0" w:space="0" w:color="auto"/>
            <w:left w:val="none" w:sz="0" w:space="0" w:color="auto"/>
            <w:bottom w:val="none" w:sz="0" w:space="0" w:color="auto"/>
            <w:right w:val="none" w:sz="0" w:space="0" w:color="auto"/>
          </w:divBdr>
        </w:div>
      </w:divsChild>
    </w:div>
    <w:div w:id="204949817">
      <w:bodyDiv w:val="1"/>
      <w:marLeft w:val="0"/>
      <w:marRight w:val="0"/>
      <w:marTop w:val="0"/>
      <w:marBottom w:val="0"/>
      <w:divBdr>
        <w:top w:val="none" w:sz="0" w:space="0" w:color="auto"/>
        <w:left w:val="none" w:sz="0" w:space="0" w:color="auto"/>
        <w:bottom w:val="none" w:sz="0" w:space="0" w:color="auto"/>
        <w:right w:val="none" w:sz="0" w:space="0" w:color="auto"/>
      </w:divBdr>
    </w:div>
    <w:div w:id="205800565">
      <w:bodyDiv w:val="1"/>
      <w:marLeft w:val="0"/>
      <w:marRight w:val="0"/>
      <w:marTop w:val="0"/>
      <w:marBottom w:val="0"/>
      <w:divBdr>
        <w:top w:val="none" w:sz="0" w:space="0" w:color="auto"/>
        <w:left w:val="none" w:sz="0" w:space="0" w:color="auto"/>
        <w:bottom w:val="none" w:sz="0" w:space="0" w:color="auto"/>
        <w:right w:val="none" w:sz="0" w:space="0" w:color="auto"/>
      </w:divBdr>
    </w:div>
    <w:div w:id="210121268">
      <w:bodyDiv w:val="1"/>
      <w:marLeft w:val="0"/>
      <w:marRight w:val="0"/>
      <w:marTop w:val="0"/>
      <w:marBottom w:val="0"/>
      <w:divBdr>
        <w:top w:val="none" w:sz="0" w:space="0" w:color="auto"/>
        <w:left w:val="none" w:sz="0" w:space="0" w:color="auto"/>
        <w:bottom w:val="none" w:sz="0" w:space="0" w:color="auto"/>
        <w:right w:val="none" w:sz="0" w:space="0" w:color="auto"/>
      </w:divBdr>
    </w:div>
    <w:div w:id="213009788">
      <w:bodyDiv w:val="1"/>
      <w:marLeft w:val="0"/>
      <w:marRight w:val="0"/>
      <w:marTop w:val="0"/>
      <w:marBottom w:val="0"/>
      <w:divBdr>
        <w:top w:val="none" w:sz="0" w:space="0" w:color="auto"/>
        <w:left w:val="none" w:sz="0" w:space="0" w:color="auto"/>
        <w:bottom w:val="none" w:sz="0" w:space="0" w:color="auto"/>
        <w:right w:val="none" w:sz="0" w:space="0" w:color="auto"/>
      </w:divBdr>
    </w:div>
    <w:div w:id="214511151">
      <w:bodyDiv w:val="1"/>
      <w:marLeft w:val="0"/>
      <w:marRight w:val="0"/>
      <w:marTop w:val="0"/>
      <w:marBottom w:val="0"/>
      <w:divBdr>
        <w:top w:val="none" w:sz="0" w:space="0" w:color="auto"/>
        <w:left w:val="none" w:sz="0" w:space="0" w:color="auto"/>
        <w:bottom w:val="none" w:sz="0" w:space="0" w:color="auto"/>
        <w:right w:val="none" w:sz="0" w:space="0" w:color="auto"/>
      </w:divBdr>
    </w:div>
    <w:div w:id="224994951">
      <w:bodyDiv w:val="1"/>
      <w:marLeft w:val="0"/>
      <w:marRight w:val="0"/>
      <w:marTop w:val="0"/>
      <w:marBottom w:val="0"/>
      <w:divBdr>
        <w:top w:val="none" w:sz="0" w:space="0" w:color="auto"/>
        <w:left w:val="none" w:sz="0" w:space="0" w:color="auto"/>
        <w:bottom w:val="none" w:sz="0" w:space="0" w:color="auto"/>
        <w:right w:val="none" w:sz="0" w:space="0" w:color="auto"/>
      </w:divBdr>
    </w:div>
    <w:div w:id="231160649">
      <w:bodyDiv w:val="1"/>
      <w:marLeft w:val="0"/>
      <w:marRight w:val="0"/>
      <w:marTop w:val="0"/>
      <w:marBottom w:val="0"/>
      <w:divBdr>
        <w:top w:val="none" w:sz="0" w:space="0" w:color="auto"/>
        <w:left w:val="none" w:sz="0" w:space="0" w:color="auto"/>
        <w:bottom w:val="none" w:sz="0" w:space="0" w:color="auto"/>
        <w:right w:val="none" w:sz="0" w:space="0" w:color="auto"/>
      </w:divBdr>
      <w:divsChild>
        <w:div w:id="1953633008">
          <w:marLeft w:val="547"/>
          <w:marRight w:val="0"/>
          <w:marTop w:val="0"/>
          <w:marBottom w:val="0"/>
          <w:divBdr>
            <w:top w:val="none" w:sz="0" w:space="0" w:color="auto"/>
            <w:left w:val="none" w:sz="0" w:space="0" w:color="auto"/>
            <w:bottom w:val="none" w:sz="0" w:space="0" w:color="auto"/>
            <w:right w:val="none" w:sz="0" w:space="0" w:color="auto"/>
          </w:divBdr>
        </w:div>
      </w:divsChild>
    </w:div>
    <w:div w:id="251862960">
      <w:bodyDiv w:val="1"/>
      <w:marLeft w:val="0"/>
      <w:marRight w:val="0"/>
      <w:marTop w:val="0"/>
      <w:marBottom w:val="0"/>
      <w:divBdr>
        <w:top w:val="none" w:sz="0" w:space="0" w:color="auto"/>
        <w:left w:val="none" w:sz="0" w:space="0" w:color="auto"/>
        <w:bottom w:val="none" w:sz="0" w:space="0" w:color="auto"/>
        <w:right w:val="none" w:sz="0" w:space="0" w:color="auto"/>
      </w:divBdr>
    </w:div>
    <w:div w:id="252059378">
      <w:bodyDiv w:val="1"/>
      <w:marLeft w:val="0"/>
      <w:marRight w:val="0"/>
      <w:marTop w:val="0"/>
      <w:marBottom w:val="0"/>
      <w:divBdr>
        <w:top w:val="none" w:sz="0" w:space="0" w:color="auto"/>
        <w:left w:val="none" w:sz="0" w:space="0" w:color="auto"/>
        <w:bottom w:val="none" w:sz="0" w:space="0" w:color="auto"/>
        <w:right w:val="none" w:sz="0" w:space="0" w:color="auto"/>
      </w:divBdr>
    </w:div>
    <w:div w:id="296375276">
      <w:bodyDiv w:val="1"/>
      <w:marLeft w:val="0"/>
      <w:marRight w:val="0"/>
      <w:marTop w:val="0"/>
      <w:marBottom w:val="0"/>
      <w:divBdr>
        <w:top w:val="none" w:sz="0" w:space="0" w:color="auto"/>
        <w:left w:val="none" w:sz="0" w:space="0" w:color="auto"/>
        <w:bottom w:val="none" w:sz="0" w:space="0" w:color="auto"/>
        <w:right w:val="none" w:sz="0" w:space="0" w:color="auto"/>
      </w:divBdr>
    </w:div>
    <w:div w:id="345251591">
      <w:bodyDiv w:val="1"/>
      <w:marLeft w:val="0"/>
      <w:marRight w:val="0"/>
      <w:marTop w:val="0"/>
      <w:marBottom w:val="0"/>
      <w:divBdr>
        <w:top w:val="none" w:sz="0" w:space="0" w:color="auto"/>
        <w:left w:val="none" w:sz="0" w:space="0" w:color="auto"/>
        <w:bottom w:val="none" w:sz="0" w:space="0" w:color="auto"/>
        <w:right w:val="none" w:sz="0" w:space="0" w:color="auto"/>
      </w:divBdr>
    </w:div>
    <w:div w:id="346830103">
      <w:bodyDiv w:val="1"/>
      <w:marLeft w:val="0"/>
      <w:marRight w:val="0"/>
      <w:marTop w:val="0"/>
      <w:marBottom w:val="0"/>
      <w:divBdr>
        <w:top w:val="none" w:sz="0" w:space="0" w:color="auto"/>
        <w:left w:val="none" w:sz="0" w:space="0" w:color="auto"/>
        <w:bottom w:val="none" w:sz="0" w:space="0" w:color="auto"/>
        <w:right w:val="none" w:sz="0" w:space="0" w:color="auto"/>
      </w:divBdr>
    </w:div>
    <w:div w:id="358431355">
      <w:bodyDiv w:val="1"/>
      <w:marLeft w:val="0"/>
      <w:marRight w:val="0"/>
      <w:marTop w:val="0"/>
      <w:marBottom w:val="0"/>
      <w:divBdr>
        <w:top w:val="none" w:sz="0" w:space="0" w:color="auto"/>
        <w:left w:val="none" w:sz="0" w:space="0" w:color="auto"/>
        <w:bottom w:val="none" w:sz="0" w:space="0" w:color="auto"/>
        <w:right w:val="none" w:sz="0" w:space="0" w:color="auto"/>
      </w:divBdr>
    </w:div>
    <w:div w:id="361444981">
      <w:bodyDiv w:val="1"/>
      <w:marLeft w:val="0"/>
      <w:marRight w:val="0"/>
      <w:marTop w:val="0"/>
      <w:marBottom w:val="0"/>
      <w:divBdr>
        <w:top w:val="none" w:sz="0" w:space="0" w:color="auto"/>
        <w:left w:val="none" w:sz="0" w:space="0" w:color="auto"/>
        <w:bottom w:val="none" w:sz="0" w:space="0" w:color="auto"/>
        <w:right w:val="none" w:sz="0" w:space="0" w:color="auto"/>
      </w:divBdr>
    </w:div>
    <w:div w:id="368529056">
      <w:bodyDiv w:val="1"/>
      <w:marLeft w:val="0"/>
      <w:marRight w:val="0"/>
      <w:marTop w:val="0"/>
      <w:marBottom w:val="0"/>
      <w:divBdr>
        <w:top w:val="none" w:sz="0" w:space="0" w:color="auto"/>
        <w:left w:val="none" w:sz="0" w:space="0" w:color="auto"/>
        <w:bottom w:val="none" w:sz="0" w:space="0" w:color="auto"/>
        <w:right w:val="none" w:sz="0" w:space="0" w:color="auto"/>
      </w:divBdr>
    </w:div>
    <w:div w:id="385225416">
      <w:bodyDiv w:val="1"/>
      <w:marLeft w:val="0"/>
      <w:marRight w:val="0"/>
      <w:marTop w:val="0"/>
      <w:marBottom w:val="0"/>
      <w:divBdr>
        <w:top w:val="none" w:sz="0" w:space="0" w:color="auto"/>
        <w:left w:val="none" w:sz="0" w:space="0" w:color="auto"/>
        <w:bottom w:val="none" w:sz="0" w:space="0" w:color="auto"/>
        <w:right w:val="none" w:sz="0" w:space="0" w:color="auto"/>
      </w:divBdr>
    </w:div>
    <w:div w:id="394160081">
      <w:bodyDiv w:val="1"/>
      <w:marLeft w:val="0"/>
      <w:marRight w:val="0"/>
      <w:marTop w:val="0"/>
      <w:marBottom w:val="0"/>
      <w:divBdr>
        <w:top w:val="none" w:sz="0" w:space="0" w:color="auto"/>
        <w:left w:val="none" w:sz="0" w:space="0" w:color="auto"/>
        <w:bottom w:val="none" w:sz="0" w:space="0" w:color="auto"/>
        <w:right w:val="none" w:sz="0" w:space="0" w:color="auto"/>
      </w:divBdr>
    </w:div>
    <w:div w:id="395519955">
      <w:bodyDiv w:val="1"/>
      <w:marLeft w:val="0"/>
      <w:marRight w:val="0"/>
      <w:marTop w:val="0"/>
      <w:marBottom w:val="0"/>
      <w:divBdr>
        <w:top w:val="none" w:sz="0" w:space="0" w:color="auto"/>
        <w:left w:val="none" w:sz="0" w:space="0" w:color="auto"/>
        <w:bottom w:val="none" w:sz="0" w:space="0" w:color="auto"/>
        <w:right w:val="none" w:sz="0" w:space="0" w:color="auto"/>
      </w:divBdr>
    </w:div>
    <w:div w:id="400912395">
      <w:bodyDiv w:val="1"/>
      <w:marLeft w:val="0"/>
      <w:marRight w:val="0"/>
      <w:marTop w:val="0"/>
      <w:marBottom w:val="0"/>
      <w:divBdr>
        <w:top w:val="none" w:sz="0" w:space="0" w:color="auto"/>
        <w:left w:val="none" w:sz="0" w:space="0" w:color="auto"/>
        <w:bottom w:val="none" w:sz="0" w:space="0" w:color="auto"/>
        <w:right w:val="none" w:sz="0" w:space="0" w:color="auto"/>
      </w:divBdr>
    </w:div>
    <w:div w:id="424426631">
      <w:bodyDiv w:val="1"/>
      <w:marLeft w:val="0"/>
      <w:marRight w:val="0"/>
      <w:marTop w:val="0"/>
      <w:marBottom w:val="0"/>
      <w:divBdr>
        <w:top w:val="none" w:sz="0" w:space="0" w:color="auto"/>
        <w:left w:val="none" w:sz="0" w:space="0" w:color="auto"/>
        <w:bottom w:val="none" w:sz="0" w:space="0" w:color="auto"/>
        <w:right w:val="none" w:sz="0" w:space="0" w:color="auto"/>
      </w:divBdr>
    </w:div>
    <w:div w:id="430053519">
      <w:bodyDiv w:val="1"/>
      <w:marLeft w:val="0"/>
      <w:marRight w:val="0"/>
      <w:marTop w:val="0"/>
      <w:marBottom w:val="0"/>
      <w:divBdr>
        <w:top w:val="none" w:sz="0" w:space="0" w:color="auto"/>
        <w:left w:val="none" w:sz="0" w:space="0" w:color="auto"/>
        <w:bottom w:val="none" w:sz="0" w:space="0" w:color="auto"/>
        <w:right w:val="none" w:sz="0" w:space="0" w:color="auto"/>
      </w:divBdr>
      <w:divsChild>
        <w:div w:id="1684431943">
          <w:marLeft w:val="0"/>
          <w:marRight w:val="0"/>
          <w:marTop w:val="0"/>
          <w:marBottom w:val="0"/>
          <w:divBdr>
            <w:top w:val="none" w:sz="0" w:space="0" w:color="auto"/>
            <w:left w:val="none" w:sz="0" w:space="0" w:color="auto"/>
            <w:bottom w:val="none" w:sz="0" w:space="0" w:color="auto"/>
            <w:right w:val="none" w:sz="0" w:space="0" w:color="auto"/>
          </w:divBdr>
        </w:div>
      </w:divsChild>
    </w:div>
    <w:div w:id="445465334">
      <w:bodyDiv w:val="1"/>
      <w:marLeft w:val="0"/>
      <w:marRight w:val="0"/>
      <w:marTop w:val="0"/>
      <w:marBottom w:val="0"/>
      <w:divBdr>
        <w:top w:val="none" w:sz="0" w:space="0" w:color="auto"/>
        <w:left w:val="none" w:sz="0" w:space="0" w:color="auto"/>
        <w:bottom w:val="none" w:sz="0" w:space="0" w:color="auto"/>
        <w:right w:val="none" w:sz="0" w:space="0" w:color="auto"/>
      </w:divBdr>
    </w:div>
    <w:div w:id="453646086">
      <w:bodyDiv w:val="1"/>
      <w:marLeft w:val="0"/>
      <w:marRight w:val="0"/>
      <w:marTop w:val="0"/>
      <w:marBottom w:val="0"/>
      <w:divBdr>
        <w:top w:val="none" w:sz="0" w:space="0" w:color="auto"/>
        <w:left w:val="none" w:sz="0" w:space="0" w:color="auto"/>
        <w:bottom w:val="none" w:sz="0" w:space="0" w:color="auto"/>
        <w:right w:val="none" w:sz="0" w:space="0" w:color="auto"/>
      </w:divBdr>
    </w:div>
    <w:div w:id="460074149">
      <w:bodyDiv w:val="1"/>
      <w:marLeft w:val="0"/>
      <w:marRight w:val="0"/>
      <w:marTop w:val="0"/>
      <w:marBottom w:val="0"/>
      <w:divBdr>
        <w:top w:val="none" w:sz="0" w:space="0" w:color="auto"/>
        <w:left w:val="none" w:sz="0" w:space="0" w:color="auto"/>
        <w:bottom w:val="none" w:sz="0" w:space="0" w:color="auto"/>
        <w:right w:val="none" w:sz="0" w:space="0" w:color="auto"/>
      </w:divBdr>
    </w:div>
    <w:div w:id="473184192">
      <w:bodyDiv w:val="1"/>
      <w:marLeft w:val="0"/>
      <w:marRight w:val="0"/>
      <w:marTop w:val="0"/>
      <w:marBottom w:val="0"/>
      <w:divBdr>
        <w:top w:val="none" w:sz="0" w:space="0" w:color="auto"/>
        <w:left w:val="none" w:sz="0" w:space="0" w:color="auto"/>
        <w:bottom w:val="none" w:sz="0" w:space="0" w:color="auto"/>
        <w:right w:val="none" w:sz="0" w:space="0" w:color="auto"/>
      </w:divBdr>
    </w:div>
    <w:div w:id="506211291">
      <w:bodyDiv w:val="1"/>
      <w:marLeft w:val="0"/>
      <w:marRight w:val="0"/>
      <w:marTop w:val="0"/>
      <w:marBottom w:val="0"/>
      <w:divBdr>
        <w:top w:val="none" w:sz="0" w:space="0" w:color="auto"/>
        <w:left w:val="none" w:sz="0" w:space="0" w:color="auto"/>
        <w:bottom w:val="none" w:sz="0" w:space="0" w:color="auto"/>
        <w:right w:val="none" w:sz="0" w:space="0" w:color="auto"/>
      </w:divBdr>
      <w:divsChild>
        <w:div w:id="87771411">
          <w:marLeft w:val="0"/>
          <w:marRight w:val="0"/>
          <w:marTop w:val="0"/>
          <w:marBottom w:val="0"/>
          <w:divBdr>
            <w:top w:val="none" w:sz="0" w:space="0" w:color="auto"/>
            <w:left w:val="none" w:sz="0" w:space="0" w:color="auto"/>
            <w:bottom w:val="none" w:sz="0" w:space="0" w:color="auto"/>
            <w:right w:val="none" w:sz="0" w:space="0" w:color="auto"/>
          </w:divBdr>
          <w:divsChild>
            <w:div w:id="1399015232">
              <w:marLeft w:val="0"/>
              <w:marRight w:val="0"/>
              <w:marTop w:val="0"/>
              <w:marBottom w:val="0"/>
              <w:divBdr>
                <w:top w:val="none" w:sz="0" w:space="0" w:color="auto"/>
                <w:left w:val="none" w:sz="0" w:space="0" w:color="auto"/>
                <w:bottom w:val="none" w:sz="0" w:space="0" w:color="auto"/>
                <w:right w:val="none" w:sz="0" w:space="0" w:color="auto"/>
              </w:divBdr>
            </w:div>
          </w:divsChild>
        </w:div>
        <w:div w:id="255554092">
          <w:marLeft w:val="0"/>
          <w:marRight w:val="0"/>
          <w:marTop w:val="0"/>
          <w:marBottom w:val="0"/>
          <w:divBdr>
            <w:top w:val="none" w:sz="0" w:space="0" w:color="auto"/>
            <w:left w:val="none" w:sz="0" w:space="0" w:color="auto"/>
            <w:bottom w:val="none" w:sz="0" w:space="0" w:color="auto"/>
            <w:right w:val="none" w:sz="0" w:space="0" w:color="auto"/>
          </w:divBdr>
          <w:divsChild>
            <w:div w:id="101148873">
              <w:marLeft w:val="0"/>
              <w:marRight w:val="0"/>
              <w:marTop w:val="0"/>
              <w:marBottom w:val="0"/>
              <w:divBdr>
                <w:top w:val="none" w:sz="0" w:space="0" w:color="auto"/>
                <w:left w:val="none" w:sz="0" w:space="0" w:color="auto"/>
                <w:bottom w:val="none" w:sz="0" w:space="0" w:color="auto"/>
                <w:right w:val="none" w:sz="0" w:space="0" w:color="auto"/>
              </w:divBdr>
            </w:div>
          </w:divsChild>
        </w:div>
        <w:div w:id="530190292">
          <w:marLeft w:val="0"/>
          <w:marRight w:val="0"/>
          <w:marTop w:val="0"/>
          <w:marBottom w:val="0"/>
          <w:divBdr>
            <w:top w:val="none" w:sz="0" w:space="0" w:color="auto"/>
            <w:left w:val="none" w:sz="0" w:space="0" w:color="auto"/>
            <w:bottom w:val="none" w:sz="0" w:space="0" w:color="auto"/>
            <w:right w:val="none" w:sz="0" w:space="0" w:color="auto"/>
          </w:divBdr>
          <w:divsChild>
            <w:div w:id="413624415">
              <w:marLeft w:val="0"/>
              <w:marRight w:val="0"/>
              <w:marTop w:val="0"/>
              <w:marBottom w:val="0"/>
              <w:divBdr>
                <w:top w:val="none" w:sz="0" w:space="0" w:color="auto"/>
                <w:left w:val="none" w:sz="0" w:space="0" w:color="auto"/>
                <w:bottom w:val="none" w:sz="0" w:space="0" w:color="auto"/>
                <w:right w:val="none" w:sz="0" w:space="0" w:color="auto"/>
              </w:divBdr>
            </w:div>
          </w:divsChild>
        </w:div>
        <w:div w:id="554967677">
          <w:marLeft w:val="0"/>
          <w:marRight w:val="0"/>
          <w:marTop w:val="0"/>
          <w:marBottom w:val="0"/>
          <w:divBdr>
            <w:top w:val="none" w:sz="0" w:space="0" w:color="auto"/>
            <w:left w:val="none" w:sz="0" w:space="0" w:color="auto"/>
            <w:bottom w:val="none" w:sz="0" w:space="0" w:color="auto"/>
            <w:right w:val="none" w:sz="0" w:space="0" w:color="auto"/>
          </w:divBdr>
          <w:divsChild>
            <w:div w:id="2053462387">
              <w:marLeft w:val="0"/>
              <w:marRight w:val="0"/>
              <w:marTop w:val="0"/>
              <w:marBottom w:val="0"/>
              <w:divBdr>
                <w:top w:val="none" w:sz="0" w:space="0" w:color="auto"/>
                <w:left w:val="none" w:sz="0" w:space="0" w:color="auto"/>
                <w:bottom w:val="none" w:sz="0" w:space="0" w:color="auto"/>
                <w:right w:val="none" w:sz="0" w:space="0" w:color="auto"/>
              </w:divBdr>
            </w:div>
          </w:divsChild>
        </w:div>
        <w:div w:id="586501818">
          <w:marLeft w:val="0"/>
          <w:marRight w:val="0"/>
          <w:marTop w:val="0"/>
          <w:marBottom w:val="0"/>
          <w:divBdr>
            <w:top w:val="none" w:sz="0" w:space="0" w:color="auto"/>
            <w:left w:val="none" w:sz="0" w:space="0" w:color="auto"/>
            <w:bottom w:val="none" w:sz="0" w:space="0" w:color="auto"/>
            <w:right w:val="none" w:sz="0" w:space="0" w:color="auto"/>
          </w:divBdr>
          <w:divsChild>
            <w:div w:id="214588203">
              <w:marLeft w:val="0"/>
              <w:marRight w:val="0"/>
              <w:marTop w:val="0"/>
              <w:marBottom w:val="0"/>
              <w:divBdr>
                <w:top w:val="none" w:sz="0" w:space="0" w:color="auto"/>
                <w:left w:val="none" w:sz="0" w:space="0" w:color="auto"/>
                <w:bottom w:val="none" w:sz="0" w:space="0" w:color="auto"/>
                <w:right w:val="none" w:sz="0" w:space="0" w:color="auto"/>
              </w:divBdr>
            </w:div>
          </w:divsChild>
        </w:div>
        <w:div w:id="639193811">
          <w:marLeft w:val="0"/>
          <w:marRight w:val="0"/>
          <w:marTop w:val="0"/>
          <w:marBottom w:val="0"/>
          <w:divBdr>
            <w:top w:val="none" w:sz="0" w:space="0" w:color="auto"/>
            <w:left w:val="none" w:sz="0" w:space="0" w:color="auto"/>
            <w:bottom w:val="none" w:sz="0" w:space="0" w:color="auto"/>
            <w:right w:val="none" w:sz="0" w:space="0" w:color="auto"/>
          </w:divBdr>
          <w:divsChild>
            <w:div w:id="1909685224">
              <w:marLeft w:val="0"/>
              <w:marRight w:val="0"/>
              <w:marTop w:val="0"/>
              <w:marBottom w:val="0"/>
              <w:divBdr>
                <w:top w:val="none" w:sz="0" w:space="0" w:color="auto"/>
                <w:left w:val="none" w:sz="0" w:space="0" w:color="auto"/>
                <w:bottom w:val="none" w:sz="0" w:space="0" w:color="auto"/>
                <w:right w:val="none" w:sz="0" w:space="0" w:color="auto"/>
              </w:divBdr>
            </w:div>
          </w:divsChild>
        </w:div>
        <w:div w:id="689457086">
          <w:marLeft w:val="0"/>
          <w:marRight w:val="0"/>
          <w:marTop w:val="0"/>
          <w:marBottom w:val="0"/>
          <w:divBdr>
            <w:top w:val="none" w:sz="0" w:space="0" w:color="auto"/>
            <w:left w:val="none" w:sz="0" w:space="0" w:color="auto"/>
            <w:bottom w:val="none" w:sz="0" w:space="0" w:color="auto"/>
            <w:right w:val="none" w:sz="0" w:space="0" w:color="auto"/>
          </w:divBdr>
          <w:divsChild>
            <w:div w:id="110511587">
              <w:marLeft w:val="0"/>
              <w:marRight w:val="0"/>
              <w:marTop w:val="0"/>
              <w:marBottom w:val="0"/>
              <w:divBdr>
                <w:top w:val="none" w:sz="0" w:space="0" w:color="auto"/>
                <w:left w:val="none" w:sz="0" w:space="0" w:color="auto"/>
                <w:bottom w:val="none" w:sz="0" w:space="0" w:color="auto"/>
                <w:right w:val="none" w:sz="0" w:space="0" w:color="auto"/>
              </w:divBdr>
            </w:div>
          </w:divsChild>
        </w:div>
        <w:div w:id="720978233">
          <w:marLeft w:val="0"/>
          <w:marRight w:val="0"/>
          <w:marTop w:val="0"/>
          <w:marBottom w:val="0"/>
          <w:divBdr>
            <w:top w:val="none" w:sz="0" w:space="0" w:color="auto"/>
            <w:left w:val="none" w:sz="0" w:space="0" w:color="auto"/>
            <w:bottom w:val="none" w:sz="0" w:space="0" w:color="auto"/>
            <w:right w:val="none" w:sz="0" w:space="0" w:color="auto"/>
          </w:divBdr>
          <w:divsChild>
            <w:div w:id="1078749953">
              <w:marLeft w:val="0"/>
              <w:marRight w:val="0"/>
              <w:marTop w:val="0"/>
              <w:marBottom w:val="0"/>
              <w:divBdr>
                <w:top w:val="none" w:sz="0" w:space="0" w:color="auto"/>
                <w:left w:val="none" w:sz="0" w:space="0" w:color="auto"/>
                <w:bottom w:val="none" w:sz="0" w:space="0" w:color="auto"/>
                <w:right w:val="none" w:sz="0" w:space="0" w:color="auto"/>
              </w:divBdr>
            </w:div>
          </w:divsChild>
        </w:div>
        <w:div w:id="816146191">
          <w:marLeft w:val="0"/>
          <w:marRight w:val="0"/>
          <w:marTop w:val="0"/>
          <w:marBottom w:val="0"/>
          <w:divBdr>
            <w:top w:val="none" w:sz="0" w:space="0" w:color="auto"/>
            <w:left w:val="none" w:sz="0" w:space="0" w:color="auto"/>
            <w:bottom w:val="none" w:sz="0" w:space="0" w:color="auto"/>
            <w:right w:val="none" w:sz="0" w:space="0" w:color="auto"/>
          </w:divBdr>
          <w:divsChild>
            <w:div w:id="522986209">
              <w:marLeft w:val="0"/>
              <w:marRight w:val="0"/>
              <w:marTop w:val="0"/>
              <w:marBottom w:val="0"/>
              <w:divBdr>
                <w:top w:val="none" w:sz="0" w:space="0" w:color="auto"/>
                <w:left w:val="none" w:sz="0" w:space="0" w:color="auto"/>
                <w:bottom w:val="none" w:sz="0" w:space="0" w:color="auto"/>
                <w:right w:val="none" w:sz="0" w:space="0" w:color="auto"/>
              </w:divBdr>
            </w:div>
          </w:divsChild>
        </w:div>
        <w:div w:id="826290737">
          <w:marLeft w:val="0"/>
          <w:marRight w:val="0"/>
          <w:marTop w:val="0"/>
          <w:marBottom w:val="0"/>
          <w:divBdr>
            <w:top w:val="none" w:sz="0" w:space="0" w:color="auto"/>
            <w:left w:val="none" w:sz="0" w:space="0" w:color="auto"/>
            <w:bottom w:val="none" w:sz="0" w:space="0" w:color="auto"/>
            <w:right w:val="none" w:sz="0" w:space="0" w:color="auto"/>
          </w:divBdr>
          <w:divsChild>
            <w:div w:id="239802351">
              <w:marLeft w:val="0"/>
              <w:marRight w:val="0"/>
              <w:marTop w:val="0"/>
              <w:marBottom w:val="0"/>
              <w:divBdr>
                <w:top w:val="none" w:sz="0" w:space="0" w:color="auto"/>
                <w:left w:val="none" w:sz="0" w:space="0" w:color="auto"/>
                <w:bottom w:val="none" w:sz="0" w:space="0" w:color="auto"/>
                <w:right w:val="none" w:sz="0" w:space="0" w:color="auto"/>
              </w:divBdr>
            </w:div>
            <w:div w:id="390351068">
              <w:marLeft w:val="0"/>
              <w:marRight w:val="0"/>
              <w:marTop w:val="0"/>
              <w:marBottom w:val="0"/>
              <w:divBdr>
                <w:top w:val="none" w:sz="0" w:space="0" w:color="auto"/>
                <w:left w:val="none" w:sz="0" w:space="0" w:color="auto"/>
                <w:bottom w:val="none" w:sz="0" w:space="0" w:color="auto"/>
                <w:right w:val="none" w:sz="0" w:space="0" w:color="auto"/>
              </w:divBdr>
            </w:div>
            <w:div w:id="1355572993">
              <w:marLeft w:val="0"/>
              <w:marRight w:val="0"/>
              <w:marTop w:val="0"/>
              <w:marBottom w:val="0"/>
              <w:divBdr>
                <w:top w:val="none" w:sz="0" w:space="0" w:color="auto"/>
                <w:left w:val="none" w:sz="0" w:space="0" w:color="auto"/>
                <w:bottom w:val="none" w:sz="0" w:space="0" w:color="auto"/>
                <w:right w:val="none" w:sz="0" w:space="0" w:color="auto"/>
              </w:divBdr>
            </w:div>
            <w:div w:id="1594974904">
              <w:marLeft w:val="0"/>
              <w:marRight w:val="0"/>
              <w:marTop w:val="0"/>
              <w:marBottom w:val="0"/>
              <w:divBdr>
                <w:top w:val="none" w:sz="0" w:space="0" w:color="auto"/>
                <w:left w:val="none" w:sz="0" w:space="0" w:color="auto"/>
                <w:bottom w:val="none" w:sz="0" w:space="0" w:color="auto"/>
                <w:right w:val="none" w:sz="0" w:space="0" w:color="auto"/>
              </w:divBdr>
            </w:div>
          </w:divsChild>
        </w:div>
        <w:div w:id="887914379">
          <w:marLeft w:val="0"/>
          <w:marRight w:val="0"/>
          <w:marTop w:val="0"/>
          <w:marBottom w:val="0"/>
          <w:divBdr>
            <w:top w:val="none" w:sz="0" w:space="0" w:color="auto"/>
            <w:left w:val="none" w:sz="0" w:space="0" w:color="auto"/>
            <w:bottom w:val="none" w:sz="0" w:space="0" w:color="auto"/>
            <w:right w:val="none" w:sz="0" w:space="0" w:color="auto"/>
          </w:divBdr>
          <w:divsChild>
            <w:div w:id="280232418">
              <w:marLeft w:val="0"/>
              <w:marRight w:val="0"/>
              <w:marTop w:val="0"/>
              <w:marBottom w:val="0"/>
              <w:divBdr>
                <w:top w:val="none" w:sz="0" w:space="0" w:color="auto"/>
                <w:left w:val="none" w:sz="0" w:space="0" w:color="auto"/>
                <w:bottom w:val="none" w:sz="0" w:space="0" w:color="auto"/>
                <w:right w:val="none" w:sz="0" w:space="0" w:color="auto"/>
              </w:divBdr>
            </w:div>
          </w:divsChild>
        </w:div>
        <w:div w:id="980571303">
          <w:marLeft w:val="0"/>
          <w:marRight w:val="0"/>
          <w:marTop w:val="0"/>
          <w:marBottom w:val="0"/>
          <w:divBdr>
            <w:top w:val="none" w:sz="0" w:space="0" w:color="auto"/>
            <w:left w:val="none" w:sz="0" w:space="0" w:color="auto"/>
            <w:bottom w:val="none" w:sz="0" w:space="0" w:color="auto"/>
            <w:right w:val="none" w:sz="0" w:space="0" w:color="auto"/>
          </w:divBdr>
          <w:divsChild>
            <w:div w:id="1352148906">
              <w:marLeft w:val="0"/>
              <w:marRight w:val="0"/>
              <w:marTop w:val="0"/>
              <w:marBottom w:val="0"/>
              <w:divBdr>
                <w:top w:val="none" w:sz="0" w:space="0" w:color="auto"/>
                <w:left w:val="none" w:sz="0" w:space="0" w:color="auto"/>
                <w:bottom w:val="none" w:sz="0" w:space="0" w:color="auto"/>
                <w:right w:val="none" w:sz="0" w:space="0" w:color="auto"/>
              </w:divBdr>
            </w:div>
          </w:divsChild>
        </w:div>
        <w:div w:id="1021931110">
          <w:marLeft w:val="0"/>
          <w:marRight w:val="0"/>
          <w:marTop w:val="0"/>
          <w:marBottom w:val="0"/>
          <w:divBdr>
            <w:top w:val="none" w:sz="0" w:space="0" w:color="auto"/>
            <w:left w:val="none" w:sz="0" w:space="0" w:color="auto"/>
            <w:bottom w:val="none" w:sz="0" w:space="0" w:color="auto"/>
            <w:right w:val="none" w:sz="0" w:space="0" w:color="auto"/>
          </w:divBdr>
          <w:divsChild>
            <w:div w:id="1942496026">
              <w:marLeft w:val="0"/>
              <w:marRight w:val="0"/>
              <w:marTop w:val="0"/>
              <w:marBottom w:val="0"/>
              <w:divBdr>
                <w:top w:val="none" w:sz="0" w:space="0" w:color="auto"/>
                <w:left w:val="none" w:sz="0" w:space="0" w:color="auto"/>
                <w:bottom w:val="none" w:sz="0" w:space="0" w:color="auto"/>
                <w:right w:val="none" w:sz="0" w:space="0" w:color="auto"/>
              </w:divBdr>
            </w:div>
          </w:divsChild>
        </w:div>
        <w:div w:id="1232423049">
          <w:marLeft w:val="0"/>
          <w:marRight w:val="0"/>
          <w:marTop w:val="0"/>
          <w:marBottom w:val="0"/>
          <w:divBdr>
            <w:top w:val="none" w:sz="0" w:space="0" w:color="auto"/>
            <w:left w:val="none" w:sz="0" w:space="0" w:color="auto"/>
            <w:bottom w:val="none" w:sz="0" w:space="0" w:color="auto"/>
            <w:right w:val="none" w:sz="0" w:space="0" w:color="auto"/>
          </w:divBdr>
          <w:divsChild>
            <w:div w:id="1524634000">
              <w:marLeft w:val="0"/>
              <w:marRight w:val="0"/>
              <w:marTop w:val="0"/>
              <w:marBottom w:val="0"/>
              <w:divBdr>
                <w:top w:val="none" w:sz="0" w:space="0" w:color="auto"/>
                <w:left w:val="none" w:sz="0" w:space="0" w:color="auto"/>
                <w:bottom w:val="none" w:sz="0" w:space="0" w:color="auto"/>
                <w:right w:val="none" w:sz="0" w:space="0" w:color="auto"/>
              </w:divBdr>
            </w:div>
          </w:divsChild>
        </w:div>
        <w:div w:id="1355351375">
          <w:marLeft w:val="0"/>
          <w:marRight w:val="0"/>
          <w:marTop w:val="0"/>
          <w:marBottom w:val="0"/>
          <w:divBdr>
            <w:top w:val="none" w:sz="0" w:space="0" w:color="auto"/>
            <w:left w:val="none" w:sz="0" w:space="0" w:color="auto"/>
            <w:bottom w:val="none" w:sz="0" w:space="0" w:color="auto"/>
            <w:right w:val="none" w:sz="0" w:space="0" w:color="auto"/>
          </w:divBdr>
          <w:divsChild>
            <w:div w:id="1571424909">
              <w:marLeft w:val="0"/>
              <w:marRight w:val="0"/>
              <w:marTop w:val="0"/>
              <w:marBottom w:val="0"/>
              <w:divBdr>
                <w:top w:val="none" w:sz="0" w:space="0" w:color="auto"/>
                <w:left w:val="none" w:sz="0" w:space="0" w:color="auto"/>
                <w:bottom w:val="none" w:sz="0" w:space="0" w:color="auto"/>
                <w:right w:val="none" w:sz="0" w:space="0" w:color="auto"/>
              </w:divBdr>
            </w:div>
          </w:divsChild>
        </w:div>
        <w:div w:id="1456558250">
          <w:marLeft w:val="0"/>
          <w:marRight w:val="0"/>
          <w:marTop w:val="0"/>
          <w:marBottom w:val="0"/>
          <w:divBdr>
            <w:top w:val="none" w:sz="0" w:space="0" w:color="auto"/>
            <w:left w:val="none" w:sz="0" w:space="0" w:color="auto"/>
            <w:bottom w:val="none" w:sz="0" w:space="0" w:color="auto"/>
            <w:right w:val="none" w:sz="0" w:space="0" w:color="auto"/>
          </w:divBdr>
          <w:divsChild>
            <w:div w:id="753432513">
              <w:marLeft w:val="0"/>
              <w:marRight w:val="0"/>
              <w:marTop w:val="0"/>
              <w:marBottom w:val="0"/>
              <w:divBdr>
                <w:top w:val="none" w:sz="0" w:space="0" w:color="auto"/>
                <w:left w:val="none" w:sz="0" w:space="0" w:color="auto"/>
                <w:bottom w:val="none" w:sz="0" w:space="0" w:color="auto"/>
                <w:right w:val="none" w:sz="0" w:space="0" w:color="auto"/>
              </w:divBdr>
            </w:div>
            <w:div w:id="2116360646">
              <w:marLeft w:val="0"/>
              <w:marRight w:val="0"/>
              <w:marTop w:val="0"/>
              <w:marBottom w:val="0"/>
              <w:divBdr>
                <w:top w:val="none" w:sz="0" w:space="0" w:color="auto"/>
                <w:left w:val="none" w:sz="0" w:space="0" w:color="auto"/>
                <w:bottom w:val="none" w:sz="0" w:space="0" w:color="auto"/>
                <w:right w:val="none" w:sz="0" w:space="0" w:color="auto"/>
              </w:divBdr>
            </w:div>
          </w:divsChild>
        </w:div>
        <w:div w:id="1652635138">
          <w:marLeft w:val="0"/>
          <w:marRight w:val="0"/>
          <w:marTop w:val="0"/>
          <w:marBottom w:val="0"/>
          <w:divBdr>
            <w:top w:val="none" w:sz="0" w:space="0" w:color="auto"/>
            <w:left w:val="none" w:sz="0" w:space="0" w:color="auto"/>
            <w:bottom w:val="none" w:sz="0" w:space="0" w:color="auto"/>
            <w:right w:val="none" w:sz="0" w:space="0" w:color="auto"/>
          </w:divBdr>
          <w:divsChild>
            <w:div w:id="1837071051">
              <w:marLeft w:val="0"/>
              <w:marRight w:val="0"/>
              <w:marTop w:val="0"/>
              <w:marBottom w:val="0"/>
              <w:divBdr>
                <w:top w:val="none" w:sz="0" w:space="0" w:color="auto"/>
                <w:left w:val="none" w:sz="0" w:space="0" w:color="auto"/>
                <w:bottom w:val="none" w:sz="0" w:space="0" w:color="auto"/>
                <w:right w:val="none" w:sz="0" w:space="0" w:color="auto"/>
              </w:divBdr>
            </w:div>
          </w:divsChild>
        </w:div>
        <w:div w:id="1664698105">
          <w:marLeft w:val="0"/>
          <w:marRight w:val="0"/>
          <w:marTop w:val="0"/>
          <w:marBottom w:val="0"/>
          <w:divBdr>
            <w:top w:val="none" w:sz="0" w:space="0" w:color="auto"/>
            <w:left w:val="none" w:sz="0" w:space="0" w:color="auto"/>
            <w:bottom w:val="none" w:sz="0" w:space="0" w:color="auto"/>
            <w:right w:val="none" w:sz="0" w:space="0" w:color="auto"/>
          </w:divBdr>
          <w:divsChild>
            <w:div w:id="404451095">
              <w:marLeft w:val="0"/>
              <w:marRight w:val="0"/>
              <w:marTop w:val="0"/>
              <w:marBottom w:val="0"/>
              <w:divBdr>
                <w:top w:val="none" w:sz="0" w:space="0" w:color="auto"/>
                <w:left w:val="none" w:sz="0" w:space="0" w:color="auto"/>
                <w:bottom w:val="none" w:sz="0" w:space="0" w:color="auto"/>
                <w:right w:val="none" w:sz="0" w:space="0" w:color="auto"/>
              </w:divBdr>
            </w:div>
          </w:divsChild>
        </w:div>
        <w:div w:id="1720398594">
          <w:marLeft w:val="0"/>
          <w:marRight w:val="0"/>
          <w:marTop w:val="0"/>
          <w:marBottom w:val="0"/>
          <w:divBdr>
            <w:top w:val="none" w:sz="0" w:space="0" w:color="auto"/>
            <w:left w:val="none" w:sz="0" w:space="0" w:color="auto"/>
            <w:bottom w:val="none" w:sz="0" w:space="0" w:color="auto"/>
            <w:right w:val="none" w:sz="0" w:space="0" w:color="auto"/>
          </w:divBdr>
          <w:divsChild>
            <w:div w:id="997267871">
              <w:marLeft w:val="0"/>
              <w:marRight w:val="0"/>
              <w:marTop w:val="0"/>
              <w:marBottom w:val="0"/>
              <w:divBdr>
                <w:top w:val="none" w:sz="0" w:space="0" w:color="auto"/>
                <w:left w:val="none" w:sz="0" w:space="0" w:color="auto"/>
                <w:bottom w:val="none" w:sz="0" w:space="0" w:color="auto"/>
                <w:right w:val="none" w:sz="0" w:space="0" w:color="auto"/>
              </w:divBdr>
            </w:div>
          </w:divsChild>
        </w:div>
        <w:div w:id="1778014516">
          <w:marLeft w:val="0"/>
          <w:marRight w:val="0"/>
          <w:marTop w:val="0"/>
          <w:marBottom w:val="0"/>
          <w:divBdr>
            <w:top w:val="none" w:sz="0" w:space="0" w:color="auto"/>
            <w:left w:val="none" w:sz="0" w:space="0" w:color="auto"/>
            <w:bottom w:val="none" w:sz="0" w:space="0" w:color="auto"/>
            <w:right w:val="none" w:sz="0" w:space="0" w:color="auto"/>
          </w:divBdr>
          <w:divsChild>
            <w:div w:id="929579569">
              <w:marLeft w:val="0"/>
              <w:marRight w:val="0"/>
              <w:marTop w:val="0"/>
              <w:marBottom w:val="0"/>
              <w:divBdr>
                <w:top w:val="none" w:sz="0" w:space="0" w:color="auto"/>
                <w:left w:val="none" w:sz="0" w:space="0" w:color="auto"/>
                <w:bottom w:val="none" w:sz="0" w:space="0" w:color="auto"/>
                <w:right w:val="none" w:sz="0" w:space="0" w:color="auto"/>
              </w:divBdr>
            </w:div>
          </w:divsChild>
        </w:div>
        <w:div w:id="1880507043">
          <w:marLeft w:val="0"/>
          <w:marRight w:val="0"/>
          <w:marTop w:val="0"/>
          <w:marBottom w:val="0"/>
          <w:divBdr>
            <w:top w:val="none" w:sz="0" w:space="0" w:color="auto"/>
            <w:left w:val="none" w:sz="0" w:space="0" w:color="auto"/>
            <w:bottom w:val="none" w:sz="0" w:space="0" w:color="auto"/>
            <w:right w:val="none" w:sz="0" w:space="0" w:color="auto"/>
          </w:divBdr>
          <w:divsChild>
            <w:div w:id="862668287">
              <w:marLeft w:val="0"/>
              <w:marRight w:val="0"/>
              <w:marTop w:val="0"/>
              <w:marBottom w:val="0"/>
              <w:divBdr>
                <w:top w:val="none" w:sz="0" w:space="0" w:color="auto"/>
                <w:left w:val="none" w:sz="0" w:space="0" w:color="auto"/>
                <w:bottom w:val="none" w:sz="0" w:space="0" w:color="auto"/>
                <w:right w:val="none" w:sz="0" w:space="0" w:color="auto"/>
              </w:divBdr>
            </w:div>
          </w:divsChild>
        </w:div>
        <w:div w:id="1939017840">
          <w:marLeft w:val="0"/>
          <w:marRight w:val="0"/>
          <w:marTop w:val="0"/>
          <w:marBottom w:val="0"/>
          <w:divBdr>
            <w:top w:val="none" w:sz="0" w:space="0" w:color="auto"/>
            <w:left w:val="none" w:sz="0" w:space="0" w:color="auto"/>
            <w:bottom w:val="none" w:sz="0" w:space="0" w:color="auto"/>
            <w:right w:val="none" w:sz="0" w:space="0" w:color="auto"/>
          </w:divBdr>
          <w:divsChild>
            <w:div w:id="1639994317">
              <w:marLeft w:val="0"/>
              <w:marRight w:val="0"/>
              <w:marTop w:val="0"/>
              <w:marBottom w:val="0"/>
              <w:divBdr>
                <w:top w:val="none" w:sz="0" w:space="0" w:color="auto"/>
                <w:left w:val="none" w:sz="0" w:space="0" w:color="auto"/>
                <w:bottom w:val="none" w:sz="0" w:space="0" w:color="auto"/>
                <w:right w:val="none" w:sz="0" w:space="0" w:color="auto"/>
              </w:divBdr>
            </w:div>
          </w:divsChild>
        </w:div>
        <w:div w:id="1985313205">
          <w:marLeft w:val="0"/>
          <w:marRight w:val="0"/>
          <w:marTop w:val="0"/>
          <w:marBottom w:val="0"/>
          <w:divBdr>
            <w:top w:val="none" w:sz="0" w:space="0" w:color="auto"/>
            <w:left w:val="none" w:sz="0" w:space="0" w:color="auto"/>
            <w:bottom w:val="none" w:sz="0" w:space="0" w:color="auto"/>
            <w:right w:val="none" w:sz="0" w:space="0" w:color="auto"/>
          </w:divBdr>
          <w:divsChild>
            <w:div w:id="844589707">
              <w:marLeft w:val="0"/>
              <w:marRight w:val="0"/>
              <w:marTop w:val="0"/>
              <w:marBottom w:val="0"/>
              <w:divBdr>
                <w:top w:val="none" w:sz="0" w:space="0" w:color="auto"/>
                <w:left w:val="none" w:sz="0" w:space="0" w:color="auto"/>
                <w:bottom w:val="none" w:sz="0" w:space="0" w:color="auto"/>
                <w:right w:val="none" w:sz="0" w:space="0" w:color="auto"/>
              </w:divBdr>
            </w:div>
          </w:divsChild>
        </w:div>
        <w:div w:id="2032104764">
          <w:marLeft w:val="0"/>
          <w:marRight w:val="0"/>
          <w:marTop w:val="0"/>
          <w:marBottom w:val="0"/>
          <w:divBdr>
            <w:top w:val="none" w:sz="0" w:space="0" w:color="auto"/>
            <w:left w:val="none" w:sz="0" w:space="0" w:color="auto"/>
            <w:bottom w:val="none" w:sz="0" w:space="0" w:color="auto"/>
            <w:right w:val="none" w:sz="0" w:space="0" w:color="auto"/>
          </w:divBdr>
          <w:divsChild>
            <w:div w:id="852495417">
              <w:marLeft w:val="0"/>
              <w:marRight w:val="0"/>
              <w:marTop w:val="0"/>
              <w:marBottom w:val="0"/>
              <w:divBdr>
                <w:top w:val="none" w:sz="0" w:space="0" w:color="auto"/>
                <w:left w:val="none" w:sz="0" w:space="0" w:color="auto"/>
                <w:bottom w:val="none" w:sz="0" w:space="0" w:color="auto"/>
                <w:right w:val="none" w:sz="0" w:space="0" w:color="auto"/>
              </w:divBdr>
            </w:div>
          </w:divsChild>
        </w:div>
        <w:div w:id="2052336119">
          <w:marLeft w:val="0"/>
          <w:marRight w:val="0"/>
          <w:marTop w:val="0"/>
          <w:marBottom w:val="0"/>
          <w:divBdr>
            <w:top w:val="none" w:sz="0" w:space="0" w:color="auto"/>
            <w:left w:val="none" w:sz="0" w:space="0" w:color="auto"/>
            <w:bottom w:val="none" w:sz="0" w:space="0" w:color="auto"/>
            <w:right w:val="none" w:sz="0" w:space="0" w:color="auto"/>
          </w:divBdr>
          <w:divsChild>
            <w:div w:id="7795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1283">
      <w:bodyDiv w:val="1"/>
      <w:marLeft w:val="0"/>
      <w:marRight w:val="0"/>
      <w:marTop w:val="0"/>
      <w:marBottom w:val="0"/>
      <w:divBdr>
        <w:top w:val="none" w:sz="0" w:space="0" w:color="auto"/>
        <w:left w:val="none" w:sz="0" w:space="0" w:color="auto"/>
        <w:bottom w:val="none" w:sz="0" w:space="0" w:color="auto"/>
        <w:right w:val="none" w:sz="0" w:space="0" w:color="auto"/>
      </w:divBdr>
    </w:div>
    <w:div w:id="564029132">
      <w:bodyDiv w:val="1"/>
      <w:marLeft w:val="0"/>
      <w:marRight w:val="0"/>
      <w:marTop w:val="0"/>
      <w:marBottom w:val="0"/>
      <w:divBdr>
        <w:top w:val="none" w:sz="0" w:space="0" w:color="auto"/>
        <w:left w:val="none" w:sz="0" w:space="0" w:color="auto"/>
        <w:bottom w:val="none" w:sz="0" w:space="0" w:color="auto"/>
        <w:right w:val="none" w:sz="0" w:space="0" w:color="auto"/>
      </w:divBdr>
      <w:divsChild>
        <w:div w:id="2007585749">
          <w:marLeft w:val="144"/>
          <w:marRight w:val="0"/>
          <w:marTop w:val="240"/>
          <w:marBottom w:val="40"/>
          <w:divBdr>
            <w:top w:val="none" w:sz="0" w:space="0" w:color="auto"/>
            <w:left w:val="none" w:sz="0" w:space="0" w:color="auto"/>
            <w:bottom w:val="none" w:sz="0" w:space="0" w:color="auto"/>
            <w:right w:val="none" w:sz="0" w:space="0" w:color="auto"/>
          </w:divBdr>
        </w:div>
      </w:divsChild>
    </w:div>
    <w:div w:id="597909467">
      <w:bodyDiv w:val="1"/>
      <w:marLeft w:val="0"/>
      <w:marRight w:val="0"/>
      <w:marTop w:val="0"/>
      <w:marBottom w:val="0"/>
      <w:divBdr>
        <w:top w:val="none" w:sz="0" w:space="0" w:color="auto"/>
        <w:left w:val="none" w:sz="0" w:space="0" w:color="auto"/>
        <w:bottom w:val="none" w:sz="0" w:space="0" w:color="auto"/>
        <w:right w:val="none" w:sz="0" w:space="0" w:color="auto"/>
      </w:divBdr>
    </w:div>
    <w:div w:id="612521565">
      <w:bodyDiv w:val="1"/>
      <w:marLeft w:val="0"/>
      <w:marRight w:val="0"/>
      <w:marTop w:val="0"/>
      <w:marBottom w:val="0"/>
      <w:divBdr>
        <w:top w:val="none" w:sz="0" w:space="0" w:color="auto"/>
        <w:left w:val="none" w:sz="0" w:space="0" w:color="auto"/>
        <w:bottom w:val="none" w:sz="0" w:space="0" w:color="auto"/>
        <w:right w:val="none" w:sz="0" w:space="0" w:color="auto"/>
      </w:divBdr>
    </w:div>
    <w:div w:id="632252991">
      <w:bodyDiv w:val="1"/>
      <w:marLeft w:val="0"/>
      <w:marRight w:val="0"/>
      <w:marTop w:val="0"/>
      <w:marBottom w:val="0"/>
      <w:divBdr>
        <w:top w:val="none" w:sz="0" w:space="0" w:color="auto"/>
        <w:left w:val="none" w:sz="0" w:space="0" w:color="auto"/>
        <w:bottom w:val="none" w:sz="0" w:space="0" w:color="auto"/>
        <w:right w:val="none" w:sz="0" w:space="0" w:color="auto"/>
      </w:divBdr>
    </w:div>
    <w:div w:id="652297688">
      <w:bodyDiv w:val="1"/>
      <w:marLeft w:val="0"/>
      <w:marRight w:val="0"/>
      <w:marTop w:val="0"/>
      <w:marBottom w:val="0"/>
      <w:divBdr>
        <w:top w:val="none" w:sz="0" w:space="0" w:color="auto"/>
        <w:left w:val="none" w:sz="0" w:space="0" w:color="auto"/>
        <w:bottom w:val="none" w:sz="0" w:space="0" w:color="auto"/>
        <w:right w:val="none" w:sz="0" w:space="0" w:color="auto"/>
      </w:divBdr>
    </w:div>
    <w:div w:id="658072768">
      <w:bodyDiv w:val="1"/>
      <w:marLeft w:val="0"/>
      <w:marRight w:val="0"/>
      <w:marTop w:val="0"/>
      <w:marBottom w:val="0"/>
      <w:divBdr>
        <w:top w:val="none" w:sz="0" w:space="0" w:color="auto"/>
        <w:left w:val="none" w:sz="0" w:space="0" w:color="auto"/>
        <w:bottom w:val="none" w:sz="0" w:space="0" w:color="auto"/>
        <w:right w:val="none" w:sz="0" w:space="0" w:color="auto"/>
      </w:divBdr>
      <w:divsChild>
        <w:div w:id="399063569">
          <w:marLeft w:val="0"/>
          <w:marRight w:val="0"/>
          <w:marTop w:val="0"/>
          <w:marBottom w:val="0"/>
          <w:divBdr>
            <w:top w:val="none" w:sz="0" w:space="0" w:color="auto"/>
            <w:left w:val="none" w:sz="0" w:space="0" w:color="auto"/>
            <w:bottom w:val="none" w:sz="0" w:space="0" w:color="auto"/>
            <w:right w:val="none" w:sz="0" w:space="0" w:color="auto"/>
          </w:divBdr>
        </w:div>
      </w:divsChild>
    </w:div>
    <w:div w:id="668604977">
      <w:bodyDiv w:val="1"/>
      <w:marLeft w:val="0"/>
      <w:marRight w:val="0"/>
      <w:marTop w:val="0"/>
      <w:marBottom w:val="0"/>
      <w:divBdr>
        <w:top w:val="none" w:sz="0" w:space="0" w:color="auto"/>
        <w:left w:val="none" w:sz="0" w:space="0" w:color="auto"/>
        <w:bottom w:val="none" w:sz="0" w:space="0" w:color="auto"/>
        <w:right w:val="none" w:sz="0" w:space="0" w:color="auto"/>
      </w:divBdr>
      <w:divsChild>
        <w:div w:id="562301657">
          <w:marLeft w:val="1166"/>
          <w:marRight w:val="0"/>
          <w:marTop w:val="0"/>
          <w:marBottom w:val="0"/>
          <w:divBdr>
            <w:top w:val="none" w:sz="0" w:space="0" w:color="auto"/>
            <w:left w:val="none" w:sz="0" w:space="0" w:color="auto"/>
            <w:bottom w:val="none" w:sz="0" w:space="0" w:color="auto"/>
            <w:right w:val="none" w:sz="0" w:space="0" w:color="auto"/>
          </w:divBdr>
        </w:div>
        <w:div w:id="1483812689">
          <w:marLeft w:val="1166"/>
          <w:marRight w:val="0"/>
          <w:marTop w:val="0"/>
          <w:marBottom w:val="0"/>
          <w:divBdr>
            <w:top w:val="none" w:sz="0" w:space="0" w:color="auto"/>
            <w:left w:val="none" w:sz="0" w:space="0" w:color="auto"/>
            <w:bottom w:val="none" w:sz="0" w:space="0" w:color="auto"/>
            <w:right w:val="none" w:sz="0" w:space="0" w:color="auto"/>
          </w:divBdr>
        </w:div>
        <w:div w:id="1509950918">
          <w:marLeft w:val="547"/>
          <w:marRight w:val="0"/>
          <w:marTop w:val="0"/>
          <w:marBottom w:val="0"/>
          <w:divBdr>
            <w:top w:val="none" w:sz="0" w:space="0" w:color="auto"/>
            <w:left w:val="none" w:sz="0" w:space="0" w:color="auto"/>
            <w:bottom w:val="none" w:sz="0" w:space="0" w:color="auto"/>
            <w:right w:val="none" w:sz="0" w:space="0" w:color="auto"/>
          </w:divBdr>
        </w:div>
        <w:div w:id="1886864613">
          <w:marLeft w:val="547"/>
          <w:marRight w:val="0"/>
          <w:marTop w:val="0"/>
          <w:marBottom w:val="0"/>
          <w:divBdr>
            <w:top w:val="none" w:sz="0" w:space="0" w:color="auto"/>
            <w:left w:val="none" w:sz="0" w:space="0" w:color="auto"/>
            <w:bottom w:val="none" w:sz="0" w:space="0" w:color="auto"/>
            <w:right w:val="none" w:sz="0" w:space="0" w:color="auto"/>
          </w:divBdr>
        </w:div>
      </w:divsChild>
    </w:div>
    <w:div w:id="668794952">
      <w:bodyDiv w:val="1"/>
      <w:marLeft w:val="0"/>
      <w:marRight w:val="0"/>
      <w:marTop w:val="0"/>
      <w:marBottom w:val="0"/>
      <w:divBdr>
        <w:top w:val="none" w:sz="0" w:space="0" w:color="auto"/>
        <w:left w:val="none" w:sz="0" w:space="0" w:color="auto"/>
        <w:bottom w:val="none" w:sz="0" w:space="0" w:color="auto"/>
        <w:right w:val="none" w:sz="0" w:space="0" w:color="auto"/>
      </w:divBdr>
    </w:div>
    <w:div w:id="673843776">
      <w:bodyDiv w:val="1"/>
      <w:marLeft w:val="0"/>
      <w:marRight w:val="0"/>
      <w:marTop w:val="0"/>
      <w:marBottom w:val="0"/>
      <w:divBdr>
        <w:top w:val="none" w:sz="0" w:space="0" w:color="auto"/>
        <w:left w:val="none" w:sz="0" w:space="0" w:color="auto"/>
        <w:bottom w:val="none" w:sz="0" w:space="0" w:color="auto"/>
        <w:right w:val="none" w:sz="0" w:space="0" w:color="auto"/>
      </w:divBdr>
    </w:div>
    <w:div w:id="678000703">
      <w:bodyDiv w:val="1"/>
      <w:marLeft w:val="0"/>
      <w:marRight w:val="0"/>
      <w:marTop w:val="0"/>
      <w:marBottom w:val="0"/>
      <w:divBdr>
        <w:top w:val="none" w:sz="0" w:space="0" w:color="auto"/>
        <w:left w:val="none" w:sz="0" w:space="0" w:color="auto"/>
        <w:bottom w:val="none" w:sz="0" w:space="0" w:color="auto"/>
        <w:right w:val="none" w:sz="0" w:space="0" w:color="auto"/>
      </w:divBdr>
    </w:div>
    <w:div w:id="685134751">
      <w:bodyDiv w:val="1"/>
      <w:marLeft w:val="0"/>
      <w:marRight w:val="0"/>
      <w:marTop w:val="0"/>
      <w:marBottom w:val="0"/>
      <w:divBdr>
        <w:top w:val="none" w:sz="0" w:space="0" w:color="auto"/>
        <w:left w:val="none" w:sz="0" w:space="0" w:color="auto"/>
        <w:bottom w:val="none" w:sz="0" w:space="0" w:color="auto"/>
        <w:right w:val="none" w:sz="0" w:space="0" w:color="auto"/>
      </w:divBdr>
    </w:div>
    <w:div w:id="737824528">
      <w:bodyDiv w:val="1"/>
      <w:marLeft w:val="0"/>
      <w:marRight w:val="0"/>
      <w:marTop w:val="0"/>
      <w:marBottom w:val="0"/>
      <w:divBdr>
        <w:top w:val="none" w:sz="0" w:space="0" w:color="auto"/>
        <w:left w:val="none" w:sz="0" w:space="0" w:color="auto"/>
        <w:bottom w:val="none" w:sz="0" w:space="0" w:color="auto"/>
        <w:right w:val="none" w:sz="0" w:space="0" w:color="auto"/>
      </w:divBdr>
    </w:div>
    <w:div w:id="748620486">
      <w:bodyDiv w:val="1"/>
      <w:marLeft w:val="0"/>
      <w:marRight w:val="0"/>
      <w:marTop w:val="0"/>
      <w:marBottom w:val="0"/>
      <w:divBdr>
        <w:top w:val="none" w:sz="0" w:space="0" w:color="auto"/>
        <w:left w:val="none" w:sz="0" w:space="0" w:color="auto"/>
        <w:bottom w:val="none" w:sz="0" w:space="0" w:color="auto"/>
        <w:right w:val="none" w:sz="0" w:space="0" w:color="auto"/>
      </w:divBdr>
    </w:div>
    <w:div w:id="760103950">
      <w:bodyDiv w:val="1"/>
      <w:marLeft w:val="0"/>
      <w:marRight w:val="0"/>
      <w:marTop w:val="0"/>
      <w:marBottom w:val="0"/>
      <w:divBdr>
        <w:top w:val="none" w:sz="0" w:space="0" w:color="auto"/>
        <w:left w:val="none" w:sz="0" w:space="0" w:color="auto"/>
        <w:bottom w:val="none" w:sz="0" w:space="0" w:color="auto"/>
        <w:right w:val="none" w:sz="0" w:space="0" w:color="auto"/>
      </w:divBdr>
    </w:div>
    <w:div w:id="765423974">
      <w:bodyDiv w:val="1"/>
      <w:marLeft w:val="0"/>
      <w:marRight w:val="0"/>
      <w:marTop w:val="0"/>
      <w:marBottom w:val="0"/>
      <w:divBdr>
        <w:top w:val="none" w:sz="0" w:space="0" w:color="auto"/>
        <w:left w:val="none" w:sz="0" w:space="0" w:color="auto"/>
        <w:bottom w:val="none" w:sz="0" w:space="0" w:color="auto"/>
        <w:right w:val="none" w:sz="0" w:space="0" w:color="auto"/>
      </w:divBdr>
    </w:div>
    <w:div w:id="787621298">
      <w:bodyDiv w:val="1"/>
      <w:marLeft w:val="0"/>
      <w:marRight w:val="0"/>
      <w:marTop w:val="0"/>
      <w:marBottom w:val="0"/>
      <w:divBdr>
        <w:top w:val="none" w:sz="0" w:space="0" w:color="auto"/>
        <w:left w:val="none" w:sz="0" w:space="0" w:color="auto"/>
        <w:bottom w:val="none" w:sz="0" w:space="0" w:color="auto"/>
        <w:right w:val="none" w:sz="0" w:space="0" w:color="auto"/>
      </w:divBdr>
    </w:div>
    <w:div w:id="834493438">
      <w:bodyDiv w:val="1"/>
      <w:marLeft w:val="0"/>
      <w:marRight w:val="0"/>
      <w:marTop w:val="0"/>
      <w:marBottom w:val="0"/>
      <w:divBdr>
        <w:top w:val="none" w:sz="0" w:space="0" w:color="auto"/>
        <w:left w:val="none" w:sz="0" w:space="0" w:color="auto"/>
        <w:bottom w:val="none" w:sz="0" w:space="0" w:color="auto"/>
        <w:right w:val="none" w:sz="0" w:space="0" w:color="auto"/>
      </w:divBdr>
    </w:div>
    <w:div w:id="868182431">
      <w:bodyDiv w:val="1"/>
      <w:marLeft w:val="0"/>
      <w:marRight w:val="0"/>
      <w:marTop w:val="0"/>
      <w:marBottom w:val="0"/>
      <w:divBdr>
        <w:top w:val="none" w:sz="0" w:space="0" w:color="auto"/>
        <w:left w:val="none" w:sz="0" w:space="0" w:color="auto"/>
        <w:bottom w:val="none" w:sz="0" w:space="0" w:color="auto"/>
        <w:right w:val="none" w:sz="0" w:space="0" w:color="auto"/>
      </w:divBdr>
    </w:div>
    <w:div w:id="908275235">
      <w:bodyDiv w:val="1"/>
      <w:marLeft w:val="0"/>
      <w:marRight w:val="0"/>
      <w:marTop w:val="0"/>
      <w:marBottom w:val="0"/>
      <w:divBdr>
        <w:top w:val="none" w:sz="0" w:space="0" w:color="auto"/>
        <w:left w:val="none" w:sz="0" w:space="0" w:color="auto"/>
        <w:bottom w:val="none" w:sz="0" w:space="0" w:color="auto"/>
        <w:right w:val="none" w:sz="0" w:space="0" w:color="auto"/>
      </w:divBdr>
    </w:div>
    <w:div w:id="913512329">
      <w:bodyDiv w:val="1"/>
      <w:marLeft w:val="0"/>
      <w:marRight w:val="0"/>
      <w:marTop w:val="0"/>
      <w:marBottom w:val="0"/>
      <w:divBdr>
        <w:top w:val="none" w:sz="0" w:space="0" w:color="auto"/>
        <w:left w:val="none" w:sz="0" w:space="0" w:color="auto"/>
        <w:bottom w:val="none" w:sz="0" w:space="0" w:color="auto"/>
        <w:right w:val="none" w:sz="0" w:space="0" w:color="auto"/>
      </w:divBdr>
    </w:div>
    <w:div w:id="920990270">
      <w:bodyDiv w:val="1"/>
      <w:marLeft w:val="0"/>
      <w:marRight w:val="0"/>
      <w:marTop w:val="0"/>
      <w:marBottom w:val="0"/>
      <w:divBdr>
        <w:top w:val="none" w:sz="0" w:space="0" w:color="auto"/>
        <w:left w:val="none" w:sz="0" w:space="0" w:color="auto"/>
        <w:bottom w:val="none" w:sz="0" w:space="0" w:color="auto"/>
        <w:right w:val="none" w:sz="0" w:space="0" w:color="auto"/>
      </w:divBdr>
    </w:div>
    <w:div w:id="1010914468">
      <w:bodyDiv w:val="1"/>
      <w:marLeft w:val="0"/>
      <w:marRight w:val="0"/>
      <w:marTop w:val="0"/>
      <w:marBottom w:val="0"/>
      <w:divBdr>
        <w:top w:val="none" w:sz="0" w:space="0" w:color="auto"/>
        <w:left w:val="none" w:sz="0" w:space="0" w:color="auto"/>
        <w:bottom w:val="none" w:sz="0" w:space="0" w:color="auto"/>
        <w:right w:val="none" w:sz="0" w:space="0" w:color="auto"/>
      </w:divBdr>
    </w:div>
    <w:div w:id="1018236992">
      <w:bodyDiv w:val="1"/>
      <w:marLeft w:val="0"/>
      <w:marRight w:val="0"/>
      <w:marTop w:val="0"/>
      <w:marBottom w:val="0"/>
      <w:divBdr>
        <w:top w:val="none" w:sz="0" w:space="0" w:color="auto"/>
        <w:left w:val="none" w:sz="0" w:space="0" w:color="auto"/>
        <w:bottom w:val="none" w:sz="0" w:space="0" w:color="auto"/>
        <w:right w:val="none" w:sz="0" w:space="0" w:color="auto"/>
      </w:divBdr>
      <w:divsChild>
        <w:div w:id="803540384">
          <w:marLeft w:val="0"/>
          <w:marRight w:val="0"/>
          <w:marTop w:val="0"/>
          <w:marBottom w:val="0"/>
          <w:divBdr>
            <w:top w:val="none" w:sz="0" w:space="0" w:color="auto"/>
            <w:left w:val="none" w:sz="0" w:space="0" w:color="auto"/>
            <w:bottom w:val="none" w:sz="0" w:space="0" w:color="auto"/>
            <w:right w:val="none" w:sz="0" w:space="0" w:color="auto"/>
          </w:divBdr>
        </w:div>
      </w:divsChild>
    </w:div>
    <w:div w:id="1060396975">
      <w:bodyDiv w:val="1"/>
      <w:marLeft w:val="0"/>
      <w:marRight w:val="0"/>
      <w:marTop w:val="0"/>
      <w:marBottom w:val="0"/>
      <w:divBdr>
        <w:top w:val="none" w:sz="0" w:space="0" w:color="auto"/>
        <w:left w:val="none" w:sz="0" w:space="0" w:color="auto"/>
        <w:bottom w:val="none" w:sz="0" w:space="0" w:color="auto"/>
        <w:right w:val="none" w:sz="0" w:space="0" w:color="auto"/>
      </w:divBdr>
    </w:div>
    <w:div w:id="1065906819">
      <w:bodyDiv w:val="1"/>
      <w:marLeft w:val="0"/>
      <w:marRight w:val="0"/>
      <w:marTop w:val="0"/>
      <w:marBottom w:val="0"/>
      <w:divBdr>
        <w:top w:val="none" w:sz="0" w:space="0" w:color="auto"/>
        <w:left w:val="none" w:sz="0" w:space="0" w:color="auto"/>
        <w:bottom w:val="none" w:sz="0" w:space="0" w:color="auto"/>
        <w:right w:val="none" w:sz="0" w:space="0" w:color="auto"/>
      </w:divBdr>
    </w:div>
    <w:div w:id="1089543779">
      <w:bodyDiv w:val="1"/>
      <w:marLeft w:val="0"/>
      <w:marRight w:val="0"/>
      <w:marTop w:val="0"/>
      <w:marBottom w:val="0"/>
      <w:divBdr>
        <w:top w:val="none" w:sz="0" w:space="0" w:color="auto"/>
        <w:left w:val="none" w:sz="0" w:space="0" w:color="auto"/>
        <w:bottom w:val="none" w:sz="0" w:space="0" w:color="auto"/>
        <w:right w:val="none" w:sz="0" w:space="0" w:color="auto"/>
      </w:divBdr>
    </w:div>
    <w:div w:id="1100638387">
      <w:bodyDiv w:val="1"/>
      <w:marLeft w:val="0"/>
      <w:marRight w:val="0"/>
      <w:marTop w:val="0"/>
      <w:marBottom w:val="0"/>
      <w:divBdr>
        <w:top w:val="none" w:sz="0" w:space="0" w:color="auto"/>
        <w:left w:val="none" w:sz="0" w:space="0" w:color="auto"/>
        <w:bottom w:val="none" w:sz="0" w:space="0" w:color="auto"/>
        <w:right w:val="none" w:sz="0" w:space="0" w:color="auto"/>
      </w:divBdr>
    </w:div>
    <w:div w:id="1136217782">
      <w:bodyDiv w:val="1"/>
      <w:marLeft w:val="0"/>
      <w:marRight w:val="0"/>
      <w:marTop w:val="0"/>
      <w:marBottom w:val="0"/>
      <w:divBdr>
        <w:top w:val="none" w:sz="0" w:space="0" w:color="auto"/>
        <w:left w:val="none" w:sz="0" w:space="0" w:color="auto"/>
        <w:bottom w:val="none" w:sz="0" w:space="0" w:color="auto"/>
        <w:right w:val="none" w:sz="0" w:space="0" w:color="auto"/>
      </w:divBdr>
    </w:div>
    <w:div w:id="1142888986">
      <w:bodyDiv w:val="1"/>
      <w:marLeft w:val="0"/>
      <w:marRight w:val="0"/>
      <w:marTop w:val="0"/>
      <w:marBottom w:val="0"/>
      <w:divBdr>
        <w:top w:val="none" w:sz="0" w:space="0" w:color="auto"/>
        <w:left w:val="none" w:sz="0" w:space="0" w:color="auto"/>
        <w:bottom w:val="none" w:sz="0" w:space="0" w:color="auto"/>
        <w:right w:val="none" w:sz="0" w:space="0" w:color="auto"/>
      </w:divBdr>
    </w:div>
    <w:div w:id="1143035996">
      <w:bodyDiv w:val="1"/>
      <w:marLeft w:val="0"/>
      <w:marRight w:val="0"/>
      <w:marTop w:val="0"/>
      <w:marBottom w:val="0"/>
      <w:divBdr>
        <w:top w:val="none" w:sz="0" w:space="0" w:color="auto"/>
        <w:left w:val="none" w:sz="0" w:space="0" w:color="auto"/>
        <w:bottom w:val="none" w:sz="0" w:space="0" w:color="auto"/>
        <w:right w:val="none" w:sz="0" w:space="0" w:color="auto"/>
      </w:divBdr>
    </w:div>
    <w:div w:id="1145901331">
      <w:bodyDiv w:val="1"/>
      <w:marLeft w:val="0"/>
      <w:marRight w:val="0"/>
      <w:marTop w:val="0"/>
      <w:marBottom w:val="0"/>
      <w:divBdr>
        <w:top w:val="none" w:sz="0" w:space="0" w:color="auto"/>
        <w:left w:val="none" w:sz="0" w:space="0" w:color="auto"/>
        <w:bottom w:val="none" w:sz="0" w:space="0" w:color="auto"/>
        <w:right w:val="none" w:sz="0" w:space="0" w:color="auto"/>
      </w:divBdr>
    </w:div>
    <w:div w:id="1178422481">
      <w:bodyDiv w:val="1"/>
      <w:marLeft w:val="0"/>
      <w:marRight w:val="0"/>
      <w:marTop w:val="0"/>
      <w:marBottom w:val="0"/>
      <w:divBdr>
        <w:top w:val="none" w:sz="0" w:space="0" w:color="auto"/>
        <w:left w:val="none" w:sz="0" w:space="0" w:color="auto"/>
        <w:bottom w:val="none" w:sz="0" w:space="0" w:color="auto"/>
        <w:right w:val="none" w:sz="0" w:space="0" w:color="auto"/>
      </w:divBdr>
    </w:div>
    <w:div w:id="1182432274">
      <w:bodyDiv w:val="1"/>
      <w:marLeft w:val="0"/>
      <w:marRight w:val="0"/>
      <w:marTop w:val="0"/>
      <w:marBottom w:val="0"/>
      <w:divBdr>
        <w:top w:val="none" w:sz="0" w:space="0" w:color="auto"/>
        <w:left w:val="none" w:sz="0" w:space="0" w:color="auto"/>
        <w:bottom w:val="none" w:sz="0" w:space="0" w:color="auto"/>
        <w:right w:val="none" w:sz="0" w:space="0" w:color="auto"/>
      </w:divBdr>
    </w:div>
    <w:div w:id="1192769208">
      <w:bodyDiv w:val="1"/>
      <w:marLeft w:val="0"/>
      <w:marRight w:val="0"/>
      <w:marTop w:val="0"/>
      <w:marBottom w:val="0"/>
      <w:divBdr>
        <w:top w:val="none" w:sz="0" w:space="0" w:color="auto"/>
        <w:left w:val="none" w:sz="0" w:space="0" w:color="auto"/>
        <w:bottom w:val="none" w:sz="0" w:space="0" w:color="auto"/>
        <w:right w:val="none" w:sz="0" w:space="0" w:color="auto"/>
      </w:divBdr>
    </w:div>
    <w:div w:id="1201166676">
      <w:bodyDiv w:val="1"/>
      <w:marLeft w:val="0"/>
      <w:marRight w:val="0"/>
      <w:marTop w:val="0"/>
      <w:marBottom w:val="0"/>
      <w:divBdr>
        <w:top w:val="none" w:sz="0" w:space="0" w:color="auto"/>
        <w:left w:val="none" w:sz="0" w:space="0" w:color="auto"/>
        <w:bottom w:val="none" w:sz="0" w:space="0" w:color="auto"/>
        <w:right w:val="none" w:sz="0" w:space="0" w:color="auto"/>
      </w:divBdr>
    </w:div>
    <w:div w:id="1235161447">
      <w:bodyDiv w:val="1"/>
      <w:marLeft w:val="0"/>
      <w:marRight w:val="0"/>
      <w:marTop w:val="0"/>
      <w:marBottom w:val="0"/>
      <w:divBdr>
        <w:top w:val="none" w:sz="0" w:space="0" w:color="auto"/>
        <w:left w:val="none" w:sz="0" w:space="0" w:color="auto"/>
        <w:bottom w:val="none" w:sz="0" w:space="0" w:color="auto"/>
        <w:right w:val="none" w:sz="0" w:space="0" w:color="auto"/>
      </w:divBdr>
    </w:div>
    <w:div w:id="1251085716">
      <w:bodyDiv w:val="1"/>
      <w:marLeft w:val="0"/>
      <w:marRight w:val="0"/>
      <w:marTop w:val="0"/>
      <w:marBottom w:val="0"/>
      <w:divBdr>
        <w:top w:val="none" w:sz="0" w:space="0" w:color="auto"/>
        <w:left w:val="none" w:sz="0" w:space="0" w:color="auto"/>
        <w:bottom w:val="none" w:sz="0" w:space="0" w:color="auto"/>
        <w:right w:val="none" w:sz="0" w:space="0" w:color="auto"/>
      </w:divBdr>
    </w:div>
    <w:div w:id="1272277016">
      <w:bodyDiv w:val="1"/>
      <w:marLeft w:val="0"/>
      <w:marRight w:val="0"/>
      <w:marTop w:val="0"/>
      <w:marBottom w:val="0"/>
      <w:divBdr>
        <w:top w:val="none" w:sz="0" w:space="0" w:color="auto"/>
        <w:left w:val="none" w:sz="0" w:space="0" w:color="auto"/>
        <w:bottom w:val="none" w:sz="0" w:space="0" w:color="auto"/>
        <w:right w:val="none" w:sz="0" w:space="0" w:color="auto"/>
      </w:divBdr>
    </w:div>
    <w:div w:id="1302542671">
      <w:bodyDiv w:val="1"/>
      <w:marLeft w:val="0"/>
      <w:marRight w:val="0"/>
      <w:marTop w:val="0"/>
      <w:marBottom w:val="0"/>
      <w:divBdr>
        <w:top w:val="none" w:sz="0" w:space="0" w:color="auto"/>
        <w:left w:val="none" w:sz="0" w:space="0" w:color="auto"/>
        <w:bottom w:val="none" w:sz="0" w:space="0" w:color="auto"/>
        <w:right w:val="none" w:sz="0" w:space="0" w:color="auto"/>
      </w:divBdr>
    </w:div>
    <w:div w:id="1309897714">
      <w:bodyDiv w:val="1"/>
      <w:marLeft w:val="0"/>
      <w:marRight w:val="0"/>
      <w:marTop w:val="0"/>
      <w:marBottom w:val="0"/>
      <w:divBdr>
        <w:top w:val="none" w:sz="0" w:space="0" w:color="auto"/>
        <w:left w:val="none" w:sz="0" w:space="0" w:color="auto"/>
        <w:bottom w:val="none" w:sz="0" w:space="0" w:color="auto"/>
        <w:right w:val="none" w:sz="0" w:space="0" w:color="auto"/>
      </w:divBdr>
    </w:div>
    <w:div w:id="1316030707">
      <w:bodyDiv w:val="1"/>
      <w:marLeft w:val="0"/>
      <w:marRight w:val="0"/>
      <w:marTop w:val="0"/>
      <w:marBottom w:val="0"/>
      <w:divBdr>
        <w:top w:val="none" w:sz="0" w:space="0" w:color="auto"/>
        <w:left w:val="none" w:sz="0" w:space="0" w:color="auto"/>
        <w:bottom w:val="none" w:sz="0" w:space="0" w:color="auto"/>
        <w:right w:val="none" w:sz="0" w:space="0" w:color="auto"/>
      </w:divBdr>
    </w:div>
    <w:div w:id="1386490573">
      <w:bodyDiv w:val="1"/>
      <w:marLeft w:val="0"/>
      <w:marRight w:val="0"/>
      <w:marTop w:val="0"/>
      <w:marBottom w:val="0"/>
      <w:divBdr>
        <w:top w:val="none" w:sz="0" w:space="0" w:color="auto"/>
        <w:left w:val="none" w:sz="0" w:space="0" w:color="auto"/>
        <w:bottom w:val="none" w:sz="0" w:space="0" w:color="auto"/>
        <w:right w:val="none" w:sz="0" w:space="0" w:color="auto"/>
      </w:divBdr>
    </w:div>
    <w:div w:id="1399980584">
      <w:bodyDiv w:val="1"/>
      <w:marLeft w:val="0"/>
      <w:marRight w:val="0"/>
      <w:marTop w:val="0"/>
      <w:marBottom w:val="0"/>
      <w:divBdr>
        <w:top w:val="none" w:sz="0" w:space="0" w:color="auto"/>
        <w:left w:val="none" w:sz="0" w:space="0" w:color="auto"/>
        <w:bottom w:val="none" w:sz="0" w:space="0" w:color="auto"/>
        <w:right w:val="none" w:sz="0" w:space="0" w:color="auto"/>
      </w:divBdr>
    </w:div>
    <w:div w:id="1430809307">
      <w:bodyDiv w:val="1"/>
      <w:marLeft w:val="0"/>
      <w:marRight w:val="0"/>
      <w:marTop w:val="0"/>
      <w:marBottom w:val="0"/>
      <w:divBdr>
        <w:top w:val="none" w:sz="0" w:space="0" w:color="auto"/>
        <w:left w:val="none" w:sz="0" w:space="0" w:color="auto"/>
        <w:bottom w:val="none" w:sz="0" w:space="0" w:color="auto"/>
        <w:right w:val="none" w:sz="0" w:space="0" w:color="auto"/>
      </w:divBdr>
    </w:div>
    <w:div w:id="1433938905">
      <w:bodyDiv w:val="1"/>
      <w:marLeft w:val="0"/>
      <w:marRight w:val="0"/>
      <w:marTop w:val="0"/>
      <w:marBottom w:val="0"/>
      <w:divBdr>
        <w:top w:val="none" w:sz="0" w:space="0" w:color="auto"/>
        <w:left w:val="none" w:sz="0" w:space="0" w:color="auto"/>
        <w:bottom w:val="none" w:sz="0" w:space="0" w:color="auto"/>
        <w:right w:val="none" w:sz="0" w:space="0" w:color="auto"/>
      </w:divBdr>
    </w:div>
    <w:div w:id="1434739572">
      <w:bodyDiv w:val="1"/>
      <w:marLeft w:val="0"/>
      <w:marRight w:val="0"/>
      <w:marTop w:val="0"/>
      <w:marBottom w:val="0"/>
      <w:divBdr>
        <w:top w:val="none" w:sz="0" w:space="0" w:color="auto"/>
        <w:left w:val="none" w:sz="0" w:space="0" w:color="auto"/>
        <w:bottom w:val="none" w:sz="0" w:space="0" w:color="auto"/>
        <w:right w:val="none" w:sz="0" w:space="0" w:color="auto"/>
      </w:divBdr>
    </w:div>
    <w:div w:id="1446000524">
      <w:bodyDiv w:val="1"/>
      <w:marLeft w:val="0"/>
      <w:marRight w:val="0"/>
      <w:marTop w:val="0"/>
      <w:marBottom w:val="0"/>
      <w:divBdr>
        <w:top w:val="none" w:sz="0" w:space="0" w:color="auto"/>
        <w:left w:val="none" w:sz="0" w:space="0" w:color="auto"/>
        <w:bottom w:val="none" w:sz="0" w:space="0" w:color="auto"/>
        <w:right w:val="none" w:sz="0" w:space="0" w:color="auto"/>
      </w:divBdr>
    </w:div>
    <w:div w:id="1467624125">
      <w:bodyDiv w:val="1"/>
      <w:marLeft w:val="0"/>
      <w:marRight w:val="0"/>
      <w:marTop w:val="0"/>
      <w:marBottom w:val="0"/>
      <w:divBdr>
        <w:top w:val="none" w:sz="0" w:space="0" w:color="auto"/>
        <w:left w:val="none" w:sz="0" w:space="0" w:color="auto"/>
        <w:bottom w:val="none" w:sz="0" w:space="0" w:color="auto"/>
        <w:right w:val="none" w:sz="0" w:space="0" w:color="auto"/>
      </w:divBdr>
    </w:div>
    <w:div w:id="1489708157">
      <w:bodyDiv w:val="1"/>
      <w:marLeft w:val="0"/>
      <w:marRight w:val="0"/>
      <w:marTop w:val="0"/>
      <w:marBottom w:val="0"/>
      <w:divBdr>
        <w:top w:val="none" w:sz="0" w:space="0" w:color="auto"/>
        <w:left w:val="none" w:sz="0" w:space="0" w:color="auto"/>
        <w:bottom w:val="none" w:sz="0" w:space="0" w:color="auto"/>
        <w:right w:val="none" w:sz="0" w:space="0" w:color="auto"/>
      </w:divBdr>
    </w:div>
    <w:div w:id="1498423896">
      <w:bodyDiv w:val="1"/>
      <w:marLeft w:val="0"/>
      <w:marRight w:val="0"/>
      <w:marTop w:val="0"/>
      <w:marBottom w:val="0"/>
      <w:divBdr>
        <w:top w:val="none" w:sz="0" w:space="0" w:color="auto"/>
        <w:left w:val="none" w:sz="0" w:space="0" w:color="auto"/>
        <w:bottom w:val="none" w:sz="0" w:space="0" w:color="auto"/>
        <w:right w:val="none" w:sz="0" w:space="0" w:color="auto"/>
      </w:divBdr>
    </w:div>
    <w:div w:id="1515345426">
      <w:bodyDiv w:val="1"/>
      <w:marLeft w:val="0"/>
      <w:marRight w:val="0"/>
      <w:marTop w:val="0"/>
      <w:marBottom w:val="0"/>
      <w:divBdr>
        <w:top w:val="none" w:sz="0" w:space="0" w:color="auto"/>
        <w:left w:val="none" w:sz="0" w:space="0" w:color="auto"/>
        <w:bottom w:val="none" w:sz="0" w:space="0" w:color="auto"/>
        <w:right w:val="none" w:sz="0" w:space="0" w:color="auto"/>
      </w:divBdr>
    </w:div>
    <w:div w:id="1534998986">
      <w:bodyDiv w:val="1"/>
      <w:marLeft w:val="0"/>
      <w:marRight w:val="0"/>
      <w:marTop w:val="0"/>
      <w:marBottom w:val="0"/>
      <w:divBdr>
        <w:top w:val="none" w:sz="0" w:space="0" w:color="auto"/>
        <w:left w:val="none" w:sz="0" w:space="0" w:color="auto"/>
        <w:bottom w:val="none" w:sz="0" w:space="0" w:color="auto"/>
        <w:right w:val="none" w:sz="0" w:space="0" w:color="auto"/>
      </w:divBdr>
    </w:div>
    <w:div w:id="1548108316">
      <w:bodyDiv w:val="1"/>
      <w:marLeft w:val="0"/>
      <w:marRight w:val="0"/>
      <w:marTop w:val="0"/>
      <w:marBottom w:val="0"/>
      <w:divBdr>
        <w:top w:val="none" w:sz="0" w:space="0" w:color="auto"/>
        <w:left w:val="none" w:sz="0" w:space="0" w:color="auto"/>
        <w:bottom w:val="none" w:sz="0" w:space="0" w:color="auto"/>
        <w:right w:val="none" w:sz="0" w:space="0" w:color="auto"/>
      </w:divBdr>
    </w:div>
    <w:div w:id="1548881115">
      <w:bodyDiv w:val="1"/>
      <w:marLeft w:val="0"/>
      <w:marRight w:val="0"/>
      <w:marTop w:val="0"/>
      <w:marBottom w:val="0"/>
      <w:divBdr>
        <w:top w:val="none" w:sz="0" w:space="0" w:color="auto"/>
        <w:left w:val="none" w:sz="0" w:space="0" w:color="auto"/>
        <w:bottom w:val="none" w:sz="0" w:space="0" w:color="auto"/>
        <w:right w:val="none" w:sz="0" w:space="0" w:color="auto"/>
      </w:divBdr>
    </w:div>
    <w:div w:id="1555312668">
      <w:bodyDiv w:val="1"/>
      <w:marLeft w:val="0"/>
      <w:marRight w:val="0"/>
      <w:marTop w:val="0"/>
      <w:marBottom w:val="0"/>
      <w:divBdr>
        <w:top w:val="none" w:sz="0" w:space="0" w:color="auto"/>
        <w:left w:val="none" w:sz="0" w:space="0" w:color="auto"/>
        <w:bottom w:val="none" w:sz="0" w:space="0" w:color="auto"/>
        <w:right w:val="none" w:sz="0" w:space="0" w:color="auto"/>
      </w:divBdr>
    </w:div>
    <w:div w:id="1595897494">
      <w:bodyDiv w:val="1"/>
      <w:marLeft w:val="0"/>
      <w:marRight w:val="0"/>
      <w:marTop w:val="0"/>
      <w:marBottom w:val="0"/>
      <w:divBdr>
        <w:top w:val="none" w:sz="0" w:space="0" w:color="auto"/>
        <w:left w:val="none" w:sz="0" w:space="0" w:color="auto"/>
        <w:bottom w:val="none" w:sz="0" w:space="0" w:color="auto"/>
        <w:right w:val="none" w:sz="0" w:space="0" w:color="auto"/>
      </w:divBdr>
    </w:div>
    <w:div w:id="1597590370">
      <w:bodyDiv w:val="1"/>
      <w:marLeft w:val="0"/>
      <w:marRight w:val="0"/>
      <w:marTop w:val="0"/>
      <w:marBottom w:val="0"/>
      <w:divBdr>
        <w:top w:val="none" w:sz="0" w:space="0" w:color="auto"/>
        <w:left w:val="none" w:sz="0" w:space="0" w:color="auto"/>
        <w:bottom w:val="none" w:sz="0" w:space="0" w:color="auto"/>
        <w:right w:val="none" w:sz="0" w:space="0" w:color="auto"/>
      </w:divBdr>
    </w:div>
    <w:div w:id="1604068134">
      <w:bodyDiv w:val="1"/>
      <w:marLeft w:val="0"/>
      <w:marRight w:val="0"/>
      <w:marTop w:val="0"/>
      <w:marBottom w:val="0"/>
      <w:divBdr>
        <w:top w:val="none" w:sz="0" w:space="0" w:color="auto"/>
        <w:left w:val="none" w:sz="0" w:space="0" w:color="auto"/>
        <w:bottom w:val="none" w:sz="0" w:space="0" w:color="auto"/>
        <w:right w:val="none" w:sz="0" w:space="0" w:color="auto"/>
      </w:divBdr>
    </w:div>
    <w:div w:id="1610507561">
      <w:bodyDiv w:val="1"/>
      <w:marLeft w:val="0"/>
      <w:marRight w:val="0"/>
      <w:marTop w:val="0"/>
      <w:marBottom w:val="0"/>
      <w:divBdr>
        <w:top w:val="none" w:sz="0" w:space="0" w:color="auto"/>
        <w:left w:val="none" w:sz="0" w:space="0" w:color="auto"/>
        <w:bottom w:val="none" w:sz="0" w:space="0" w:color="auto"/>
        <w:right w:val="none" w:sz="0" w:space="0" w:color="auto"/>
      </w:divBdr>
    </w:div>
    <w:div w:id="1615987539">
      <w:bodyDiv w:val="1"/>
      <w:marLeft w:val="0"/>
      <w:marRight w:val="0"/>
      <w:marTop w:val="0"/>
      <w:marBottom w:val="0"/>
      <w:divBdr>
        <w:top w:val="none" w:sz="0" w:space="0" w:color="auto"/>
        <w:left w:val="none" w:sz="0" w:space="0" w:color="auto"/>
        <w:bottom w:val="none" w:sz="0" w:space="0" w:color="auto"/>
        <w:right w:val="none" w:sz="0" w:space="0" w:color="auto"/>
      </w:divBdr>
    </w:div>
    <w:div w:id="1648314411">
      <w:bodyDiv w:val="1"/>
      <w:marLeft w:val="0"/>
      <w:marRight w:val="0"/>
      <w:marTop w:val="0"/>
      <w:marBottom w:val="0"/>
      <w:divBdr>
        <w:top w:val="none" w:sz="0" w:space="0" w:color="auto"/>
        <w:left w:val="none" w:sz="0" w:space="0" w:color="auto"/>
        <w:bottom w:val="none" w:sz="0" w:space="0" w:color="auto"/>
        <w:right w:val="none" w:sz="0" w:space="0" w:color="auto"/>
      </w:divBdr>
    </w:div>
    <w:div w:id="1652828970">
      <w:bodyDiv w:val="1"/>
      <w:marLeft w:val="0"/>
      <w:marRight w:val="0"/>
      <w:marTop w:val="0"/>
      <w:marBottom w:val="0"/>
      <w:divBdr>
        <w:top w:val="none" w:sz="0" w:space="0" w:color="auto"/>
        <w:left w:val="none" w:sz="0" w:space="0" w:color="auto"/>
        <w:bottom w:val="none" w:sz="0" w:space="0" w:color="auto"/>
        <w:right w:val="none" w:sz="0" w:space="0" w:color="auto"/>
      </w:divBdr>
    </w:div>
    <w:div w:id="1653756222">
      <w:bodyDiv w:val="1"/>
      <w:marLeft w:val="0"/>
      <w:marRight w:val="0"/>
      <w:marTop w:val="0"/>
      <w:marBottom w:val="0"/>
      <w:divBdr>
        <w:top w:val="none" w:sz="0" w:space="0" w:color="auto"/>
        <w:left w:val="none" w:sz="0" w:space="0" w:color="auto"/>
        <w:bottom w:val="none" w:sz="0" w:space="0" w:color="auto"/>
        <w:right w:val="none" w:sz="0" w:space="0" w:color="auto"/>
      </w:divBdr>
      <w:divsChild>
        <w:div w:id="1237399955">
          <w:marLeft w:val="0"/>
          <w:marRight w:val="0"/>
          <w:marTop w:val="0"/>
          <w:marBottom w:val="0"/>
          <w:divBdr>
            <w:top w:val="none" w:sz="0" w:space="0" w:color="auto"/>
            <w:left w:val="none" w:sz="0" w:space="0" w:color="auto"/>
            <w:bottom w:val="none" w:sz="0" w:space="0" w:color="auto"/>
            <w:right w:val="none" w:sz="0" w:space="0" w:color="auto"/>
          </w:divBdr>
        </w:div>
      </w:divsChild>
    </w:div>
    <w:div w:id="1663897516">
      <w:bodyDiv w:val="1"/>
      <w:marLeft w:val="0"/>
      <w:marRight w:val="0"/>
      <w:marTop w:val="0"/>
      <w:marBottom w:val="0"/>
      <w:divBdr>
        <w:top w:val="none" w:sz="0" w:space="0" w:color="auto"/>
        <w:left w:val="none" w:sz="0" w:space="0" w:color="auto"/>
        <w:bottom w:val="none" w:sz="0" w:space="0" w:color="auto"/>
        <w:right w:val="none" w:sz="0" w:space="0" w:color="auto"/>
      </w:divBdr>
    </w:div>
    <w:div w:id="1691762355">
      <w:bodyDiv w:val="1"/>
      <w:marLeft w:val="0"/>
      <w:marRight w:val="0"/>
      <w:marTop w:val="0"/>
      <w:marBottom w:val="0"/>
      <w:divBdr>
        <w:top w:val="none" w:sz="0" w:space="0" w:color="auto"/>
        <w:left w:val="none" w:sz="0" w:space="0" w:color="auto"/>
        <w:bottom w:val="none" w:sz="0" w:space="0" w:color="auto"/>
        <w:right w:val="none" w:sz="0" w:space="0" w:color="auto"/>
      </w:divBdr>
    </w:div>
    <w:div w:id="1698115369">
      <w:bodyDiv w:val="1"/>
      <w:marLeft w:val="0"/>
      <w:marRight w:val="0"/>
      <w:marTop w:val="0"/>
      <w:marBottom w:val="0"/>
      <w:divBdr>
        <w:top w:val="none" w:sz="0" w:space="0" w:color="auto"/>
        <w:left w:val="none" w:sz="0" w:space="0" w:color="auto"/>
        <w:bottom w:val="none" w:sz="0" w:space="0" w:color="auto"/>
        <w:right w:val="none" w:sz="0" w:space="0" w:color="auto"/>
      </w:divBdr>
    </w:div>
    <w:div w:id="1698460792">
      <w:bodyDiv w:val="1"/>
      <w:marLeft w:val="0"/>
      <w:marRight w:val="0"/>
      <w:marTop w:val="0"/>
      <w:marBottom w:val="0"/>
      <w:divBdr>
        <w:top w:val="none" w:sz="0" w:space="0" w:color="auto"/>
        <w:left w:val="none" w:sz="0" w:space="0" w:color="auto"/>
        <w:bottom w:val="none" w:sz="0" w:space="0" w:color="auto"/>
        <w:right w:val="none" w:sz="0" w:space="0" w:color="auto"/>
      </w:divBdr>
    </w:div>
    <w:div w:id="1705641744">
      <w:bodyDiv w:val="1"/>
      <w:marLeft w:val="0"/>
      <w:marRight w:val="0"/>
      <w:marTop w:val="0"/>
      <w:marBottom w:val="0"/>
      <w:divBdr>
        <w:top w:val="none" w:sz="0" w:space="0" w:color="auto"/>
        <w:left w:val="none" w:sz="0" w:space="0" w:color="auto"/>
        <w:bottom w:val="none" w:sz="0" w:space="0" w:color="auto"/>
        <w:right w:val="none" w:sz="0" w:space="0" w:color="auto"/>
      </w:divBdr>
      <w:divsChild>
        <w:div w:id="586379646">
          <w:marLeft w:val="547"/>
          <w:marRight w:val="0"/>
          <w:marTop w:val="0"/>
          <w:marBottom w:val="0"/>
          <w:divBdr>
            <w:top w:val="none" w:sz="0" w:space="0" w:color="auto"/>
            <w:left w:val="none" w:sz="0" w:space="0" w:color="auto"/>
            <w:bottom w:val="none" w:sz="0" w:space="0" w:color="auto"/>
            <w:right w:val="none" w:sz="0" w:space="0" w:color="auto"/>
          </w:divBdr>
        </w:div>
        <w:div w:id="1122454296">
          <w:marLeft w:val="547"/>
          <w:marRight w:val="0"/>
          <w:marTop w:val="0"/>
          <w:marBottom w:val="0"/>
          <w:divBdr>
            <w:top w:val="none" w:sz="0" w:space="0" w:color="auto"/>
            <w:left w:val="none" w:sz="0" w:space="0" w:color="auto"/>
            <w:bottom w:val="none" w:sz="0" w:space="0" w:color="auto"/>
            <w:right w:val="none" w:sz="0" w:space="0" w:color="auto"/>
          </w:divBdr>
        </w:div>
        <w:div w:id="217713777">
          <w:marLeft w:val="547"/>
          <w:marRight w:val="0"/>
          <w:marTop w:val="0"/>
          <w:marBottom w:val="0"/>
          <w:divBdr>
            <w:top w:val="none" w:sz="0" w:space="0" w:color="auto"/>
            <w:left w:val="none" w:sz="0" w:space="0" w:color="auto"/>
            <w:bottom w:val="none" w:sz="0" w:space="0" w:color="auto"/>
            <w:right w:val="none" w:sz="0" w:space="0" w:color="auto"/>
          </w:divBdr>
        </w:div>
        <w:div w:id="1069422372">
          <w:marLeft w:val="547"/>
          <w:marRight w:val="0"/>
          <w:marTop w:val="0"/>
          <w:marBottom w:val="0"/>
          <w:divBdr>
            <w:top w:val="none" w:sz="0" w:space="0" w:color="auto"/>
            <w:left w:val="none" w:sz="0" w:space="0" w:color="auto"/>
            <w:bottom w:val="none" w:sz="0" w:space="0" w:color="auto"/>
            <w:right w:val="none" w:sz="0" w:space="0" w:color="auto"/>
          </w:divBdr>
        </w:div>
        <w:div w:id="36853213">
          <w:marLeft w:val="547"/>
          <w:marRight w:val="0"/>
          <w:marTop w:val="0"/>
          <w:marBottom w:val="0"/>
          <w:divBdr>
            <w:top w:val="none" w:sz="0" w:space="0" w:color="auto"/>
            <w:left w:val="none" w:sz="0" w:space="0" w:color="auto"/>
            <w:bottom w:val="none" w:sz="0" w:space="0" w:color="auto"/>
            <w:right w:val="none" w:sz="0" w:space="0" w:color="auto"/>
          </w:divBdr>
        </w:div>
        <w:div w:id="365643357">
          <w:marLeft w:val="547"/>
          <w:marRight w:val="0"/>
          <w:marTop w:val="0"/>
          <w:marBottom w:val="0"/>
          <w:divBdr>
            <w:top w:val="none" w:sz="0" w:space="0" w:color="auto"/>
            <w:left w:val="none" w:sz="0" w:space="0" w:color="auto"/>
            <w:bottom w:val="none" w:sz="0" w:space="0" w:color="auto"/>
            <w:right w:val="none" w:sz="0" w:space="0" w:color="auto"/>
          </w:divBdr>
        </w:div>
        <w:div w:id="320931561">
          <w:marLeft w:val="547"/>
          <w:marRight w:val="0"/>
          <w:marTop w:val="0"/>
          <w:marBottom w:val="0"/>
          <w:divBdr>
            <w:top w:val="none" w:sz="0" w:space="0" w:color="auto"/>
            <w:left w:val="none" w:sz="0" w:space="0" w:color="auto"/>
            <w:bottom w:val="none" w:sz="0" w:space="0" w:color="auto"/>
            <w:right w:val="none" w:sz="0" w:space="0" w:color="auto"/>
          </w:divBdr>
        </w:div>
        <w:div w:id="1621381400">
          <w:marLeft w:val="547"/>
          <w:marRight w:val="0"/>
          <w:marTop w:val="0"/>
          <w:marBottom w:val="0"/>
          <w:divBdr>
            <w:top w:val="none" w:sz="0" w:space="0" w:color="auto"/>
            <w:left w:val="none" w:sz="0" w:space="0" w:color="auto"/>
            <w:bottom w:val="none" w:sz="0" w:space="0" w:color="auto"/>
            <w:right w:val="none" w:sz="0" w:space="0" w:color="auto"/>
          </w:divBdr>
        </w:div>
        <w:div w:id="913005300">
          <w:marLeft w:val="547"/>
          <w:marRight w:val="0"/>
          <w:marTop w:val="0"/>
          <w:marBottom w:val="0"/>
          <w:divBdr>
            <w:top w:val="none" w:sz="0" w:space="0" w:color="auto"/>
            <w:left w:val="none" w:sz="0" w:space="0" w:color="auto"/>
            <w:bottom w:val="none" w:sz="0" w:space="0" w:color="auto"/>
            <w:right w:val="none" w:sz="0" w:space="0" w:color="auto"/>
          </w:divBdr>
        </w:div>
      </w:divsChild>
    </w:div>
    <w:div w:id="1705902676">
      <w:bodyDiv w:val="1"/>
      <w:marLeft w:val="0"/>
      <w:marRight w:val="0"/>
      <w:marTop w:val="0"/>
      <w:marBottom w:val="0"/>
      <w:divBdr>
        <w:top w:val="none" w:sz="0" w:space="0" w:color="auto"/>
        <w:left w:val="none" w:sz="0" w:space="0" w:color="auto"/>
        <w:bottom w:val="none" w:sz="0" w:space="0" w:color="auto"/>
        <w:right w:val="none" w:sz="0" w:space="0" w:color="auto"/>
      </w:divBdr>
    </w:div>
    <w:div w:id="1722631048">
      <w:bodyDiv w:val="1"/>
      <w:marLeft w:val="0"/>
      <w:marRight w:val="0"/>
      <w:marTop w:val="0"/>
      <w:marBottom w:val="0"/>
      <w:divBdr>
        <w:top w:val="none" w:sz="0" w:space="0" w:color="auto"/>
        <w:left w:val="none" w:sz="0" w:space="0" w:color="auto"/>
        <w:bottom w:val="none" w:sz="0" w:space="0" w:color="auto"/>
        <w:right w:val="none" w:sz="0" w:space="0" w:color="auto"/>
      </w:divBdr>
    </w:div>
    <w:div w:id="1733117924">
      <w:bodyDiv w:val="1"/>
      <w:marLeft w:val="0"/>
      <w:marRight w:val="0"/>
      <w:marTop w:val="0"/>
      <w:marBottom w:val="0"/>
      <w:divBdr>
        <w:top w:val="none" w:sz="0" w:space="0" w:color="auto"/>
        <w:left w:val="none" w:sz="0" w:space="0" w:color="auto"/>
        <w:bottom w:val="none" w:sz="0" w:space="0" w:color="auto"/>
        <w:right w:val="none" w:sz="0" w:space="0" w:color="auto"/>
      </w:divBdr>
    </w:div>
    <w:div w:id="1760445824">
      <w:bodyDiv w:val="1"/>
      <w:marLeft w:val="0"/>
      <w:marRight w:val="0"/>
      <w:marTop w:val="0"/>
      <w:marBottom w:val="0"/>
      <w:divBdr>
        <w:top w:val="none" w:sz="0" w:space="0" w:color="auto"/>
        <w:left w:val="none" w:sz="0" w:space="0" w:color="auto"/>
        <w:bottom w:val="none" w:sz="0" w:space="0" w:color="auto"/>
        <w:right w:val="none" w:sz="0" w:space="0" w:color="auto"/>
      </w:divBdr>
    </w:div>
    <w:div w:id="1764838336">
      <w:bodyDiv w:val="1"/>
      <w:marLeft w:val="0"/>
      <w:marRight w:val="0"/>
      <w:marTop w:val="0"/>
      <w:marBottom w:val="0"/>
      <w:divBdr>
        <w:top w:val="none" w:sz="0" w:space="0" w:color="auto"/>
        <w:left w:val="none" w:sz="0" w:space="0" w:color="auto"/>
        <w:bottom w:val="none" w:sz="0" w:space="0" w:color="auto"/>
        <w:right w:val="none" w:sz="0" w:space="0" w:color="auto"/>
      </w:divBdr>
    </w:div>
    <w:div w:id="1765568316">
      <w:bodyDiv w:val="1"/>
      <w:marLeft w:val="0"/>
      <w:marRight w:val="0"/>
      <w:marTop w:val="0"/>
      <w:marBottom w:val="0"/>
      <w:divBdr>
        <w:top w:val="none" w:sz="0" w:space="0" w:color="auto"/>
        <w:left w:val="none" w:sz="0" w:space="0" w:color="auto"/>
        <w:bottom w:val="none" w:sz="0" w:space="0" w:color="auto"/>
        <w:right w:val="none" w:sz="0" w:space="0" w:color="auto"/>
      </w:divBdr>
    </w:div>
    <w:div w:id="1784811028">
      <w:bodyDiv w:val="1"/>
      <w:marLeft w:val="0"/>
      <w:marRight w:val="0"/>
      <w:marTop w:val="0"/>
      <w:marBottom w:val="0"/>
      <w:divBdr>
        <w:top w:val="none" w:sz="0" w:space="0" w:color="auto"/>
        <w:left w:val="none" w:sz="0" w:space="0" w:color="auto"/>
        <w:bottom w:val="none" w:sz="0" w:space="0" w:color="auto"/>
        <w:right w:val="none" w:sz="0" w:space="0" w:color="auto"/>
      </w:divBdr>
    </w:div>
    <w:div w:id="1794857879">
      <w:bodyDiv w:val="1"/>
      <w:marLeft w:val="0"/>
      <w:marRight w:val="0"/>
      <w:marTop w:val="0"/>
      <w:marBottom w:val="0"/>
      <w:divBdr>
        <w:top w:val="none" w:sz="0" w:space="0" w:color="auto"/>
        <w:left w:val="none" w:sz="0" w:space="0" w:color="auto"/>
        <w:bottom w:val="none" w:sz="0" w:space="0" w:color="auto"/>
        <w:right w:val="none" w:sz="0" w:space="0" w:color="auto"/>
      </w:divBdr>
    </w:div>
    <w:div w:id="1808278190">
      <w:bodyDiv w:val="1"/>
      <w:marLeft w:val="0"/>
      <w:marRight w:val="0"/>
      <w:marTop w:val="0"/>
      <w:marBottom w:val="0"/>
      <w:divBdr>
        <w:top w:val="none" w:sz="0" w:space="0" w:color="auto"/>
        <w:left w:val="none" w:sz="0" w:space="0" w:color="auto"/>
        <w:bottom w:val="none" w:sz="0" w:space="0" w:color="auto"/>
        <w:right w:val="none" w:sz="0" w:space="0" w:color="auto"/>
      </w:divBdr>
    </w:div>
    <w:div w:id="1811364494">
      <w:bodyDiv w:val="1"/>
      <w:marLeft w:val="0"/>
      <w:marRight w:val="0"/>
      <w:marTop w:val="0"/>
      <w:marBottom w:val="0"/>
      <w:divBdr>
        <w:top w:val="none" w:sz="0" w:space="0" w:color="auto"/>
        <w:left w:val="none" w:sz="0" w:space="0" w:color="auto"/>
        <w:bottom w:val="none" w:sz="0" w:space="0" w:color="auto"/>
        <w:right w:val="none" w:sz="0" w:space="0" w:color="auto"/>
      </w:divBdr>
    </w:div>
    <w:div w:id="1833372485">
      <w:bodyDiv w:val="1"/>
      <w:marLeft w:val="0"/>
      <w:marRight w:val="0"/>
      <w:marTop w:val="0"/>
      <w:marBottom w:val="0"/>
      <w:divBdr>
        <w:top w:val="none" w:sz="0" w:space="0" w:color="auto"/>
        <w:left w:val="none" w:sz="0" w:space="0" w:color="auto"/>
        <w:bottom w:val="none" w:sz="0" w:space="0" w:color="auto"/>
        <w:right w:val="none" w:sz="0" w:space="0" w:color="auto"/>
      </w:divBdr>
    </w:div>
    <w:div w:id="1833834029">
      <w:bodyDiv w:val="1"/>
      <w:marLeft w:val="0"/>
      <w:marRight w:val="0"/>
      <w:marTop w:val="0"/>
      <w:marBottom w:val="0"/>
      <w:divBdr>
        <w:top w:val="none" w:sz="0" w:space="0" w:color="auto"/>
        <w:left w:val="none" w:sz="0" w:space="0" w:color="auto"/>
        <w:bottom w:val="none" w:sz="0" w:space="0" w:color="auto"/>
        <w:right w:val="none" w:sz="0" w:space="0" w:color="auto"/>
      </w:divBdr>
    </w:div>
    <w:div w:id="1844931819">
      <w:bodyDiv w:val="1"/>
      <w:marLeft w:val="0"/>
      <w:marRight w:val="0"/>
      <w:marTop w:val="0"/>
      <w:marBottom w:val="0"/>
      <w:divBdr>
        <w:top w:val="none" w:sz="0" w:space="0" w:color="auto"/>
        <w:left w:val="none" w:sz="0" w:space="0" w:color="auto"/>
        <w:bottom w:val="none" w:sz="0" w:space="0" w:color="auto"/>
        <w:right w:val="none" w:sz="0" w:space="0" w:color="auto"/>
      </w:divBdr>
    </w:div>
    <w:div w:id="1849443328">
      <w:bodyDiv w:val="1"/>
      <w:marLeft w:val="0"/>
      <w:marRight w:val="0"/>
      <w:marTop w:val="0"/>
      <w:marBottom w:val="0"/>
      <w:divBdr>
        <w:top w:val="none" w:sz="0" w:space="0" w:color="auto"/>
        <w:left w:val="none" w:sz="0" w:space="0" w:color="auto"/>
        <w:bottom w:val="none" w:sz="0" w:space="0" w:color="auto"/>
        <w:right w:val="none" w:sz="0" w:space="0" w:color="auto"/>
      </w:divBdr>
    </w:div>
    <w:div w:id="1883050606">
      <w:bodyDiv w:val="1"/>
      <w:marLeft w:val="0"/>
      <w:marRight w:val="0"/>
      <w:marTop w:val="0"/>
      <w:marBottom w:val="0"/>
      <w:divBdr>
        <w:top w:val="none" w:sz="0" w:space="0" w:color="auto"/>
        <w:left w:val="none" w:sz="0" w:space="0" w:color="auto"/>
        <w:bottom w:val="none" w:sz="0" w:space="0" w:color="auto"/>
        <w:right w:val="none" w:sz="0" w:space="0" w:color="auto"/>
      </w:divBdr>
    </w:div>
    <w:div w:id="1912427280">
      <w:bodyDiv w:val="1"/>
      <w:marLeft w:val="0"/>
      <w:marRight w:val="0"/>
      <w:marTop w:val="0"/>
      <w:marBottom w:val="0"/>
      <w:divBdr>
        <w:top w:val="none" w:sz="0" w:space="0" w:color="auto"/>
        <w:left w:val="none" w:sz="0" w:space="0" w:color="auto"/>
        <w:bottom w:val="none" w:sz="0" w:space="0" w:color="auto"/>
        <w:right w:val="none" w:sz="0" w:space="0" w:color="auto"/>
      </w:divBdr>
    </w:div>
    <w:div w:id="1929844928">
      <w:bodyDiv w:val="1"/>
      <w:marLeft w:val="0"/>
      <w:marRight w:val="0"/>
      <w:marTop w:val="0"/>
      <w:marBottom w:val="0"/>
      <w:divBdr>
        <w:top w:val="none" w:sz="0" w:space="0" w:color="auto"/>
        <w:left w:val="none" w:sz="0" w:space="0" w:color="auto"/>
        <w:bottom w:val="none" w:sz="0" w:space="0" w:color="auto"/>
        <w:right w:val="none" w:sz="0" w:space="0" w:color="auto"/>
      </w:divBdr>
    </w:div>
    <w:div w:id="1942107108">
      <w:bodyDiv w:val="1"/>
      <w:marLeft w:val="0"/>
      <w:marRight w:val="0"/>
      <w:marTop w:val="0"/>
      <w:marBottom w:val="0"/>
      <w:divBdr>
        <w:top w:val="none" w:sz="0" w:space="0" w:color="auto"/>
        <w:left w:val="none" w:sz="0" w:space="0" w:color="auto"/>
        <w:bottom w:val="none" w:sz="0" w:space="0" w:color="auto"/>
        <w:right w:val="none" w:sz="0" w:space="0" w:color="auto"/>
      </w:divBdr>
    </w:div>
    <w:div w:id="1962880112">
      <w:bodyDiv w:val="1"/>
      <w:marLeft w:val="0"/>
      <w:marRight w:val="0"/>
      <w:marTop w:val="0"/>
      <w:marBottom w:val="0"/>
      <w:divBdr>
        <w:top w:val="none" w:sz="0" w:space="0" w:color="auto"/>
        <w:left w:val="none" w:sz="0" w:space="0" w:color="auto"/>
        <w:bottom w:val="none" w:sz="0" w:space="0" w:color="auto"/>
        <w:right w:val="none" w:sz="0" w:space="0" w:color="auto"/>
      </w:divBdr>
    </w:div>
    <w:div w:id="1997175664">
      <w:bodyDiv w:val="1"/>
      <w:marLeft w:val="0"/>
      <w:marRight w:val="0"/>
      <w:marTop w:val="0"/>
      <w:marBottom w:val="0"/>
      <w:divBdr>
        <w:top w:val="none" w:sz="0" w:space="0" w:color="auto"/>
        <w:left w:val="none" w:sz="0" w:space="0" w:color="auto"/>
        <w:bottom w:val="none" w:sz="0" w:space="0" w:color="auto"/>
        <w:right w:val="none" w:sz="0" w:space="0" w:color="auto"/>
      </w:divBdr>
    </w:div>
    <w:div w:id="2023900143">
      <w:bodyDiv w:val="1"/>
      <w:marLeft w:val="0"/>
      <w:marRight w:val="0"/>
      <w:marTop w:val="0"/>
      <w:marBottom w:val="0"/>
      <w:divBdr>
        <w:top w:val="none" w:sz="0" w:space="0" w:color="auto"/>
        <w:left w:val="none" w:sz="0" w:space="0" w:color="auto"/>
        <w:bottom w:val="none" w:sz="0" w:space="0" w:color="auto"/>
        <w:right w:val="none" w:sz="0" w:space="0" w:color="auto"/>
      </w:divBdr>
    </w:div>
    <w:div w:id="2024629817">
      <w:bodyDiv w:val="1"/>
      <w:marLeft w:val="0"/>
      <w:marRight w:val="0"/>
      <w:marTop w:val="0"/>
      <w:marBottom w:val="0"/>
      <w:divBdr>
        <w:top w:val="none" w:sz="0" w:space="0" w:color="auto"/>
        <w:left w:val="none" w:sz="0" w:space="0" w:color="auto"/>
        <w:bottom w:val="none" w:sz="0" w:space="0" w:color="auto"/>
        <w:right w:val="none" w:sz="0" w:space="0" w:color="auto"/>
      </w:divBdr>
    </w:div>
    <w:div w:id="2040465799">
      <w:bodyDiv w:val="1"/>
      <w:marLeft w:val="0"/>
      <w:marRight w:val="0"/>
      <w:marTop w:val="0"/>
      <w:marBottom w:val="0"/>
      <w:divBdr>
        <w:top w:val="none" w:sz="0" w:space="0" w:color="auto"/>
        <w:left w:val="none" w:sz="0" w:space="0" w:color="auto"/>
        <w:bottom w:val="none" w:sz="0" w:space="0" w:color="auto"/>
        <w:right w:val="none" w:sz="0" w:space="0" w:color="auto"/>
      </w:divBdr>
    </w:div>
    <w:div w:id="2091804555">
      <w:bodyDiv w:val="1"/>
      <w:marLeft w:val="0"/>
      <w:marRight w:val="0"/>
      <w:marTop w:val="0"/>
      <w:marBottom w:val="0"/>
      <w:divBdr>
        <w:top w:val="none" w:sz="0" w:space="0" w:color="auto"/>
        <w:left w:val="none" w:sz="0" w:space="0" w:color="auto"/>
        <w:bottom w:val="none" w:sz="0" w:space="0" w:color="auto"/>
        <w:right w:val="none" w:sz="0" w:space="0" w:color="auto"/>
      </w:divBdr>
    </w:div>
    <w:div w:id="2102986983">
      <w:bodyDiv w:val="1"/>
      <w:marLeft w:val="0"/>
      <w:marRight w:val="0"/>
      <w:marTop w:val="0"/>
      <w:marBottom w:val="0"/>
      <w:divBdr>
        <w:top w:val="none" w:sz="0" w:space="0" w:color="auto"/>
        <w:left w:val="none" w:sz="0" w:space="0" w:color="auto"/>
        <w:bottom w:val="none" w:sz="0" w:space="0" w:color="auto"/>
        <w:right w:val="none" w:sz="0" w:space="0" w:color="auto"/>
      </w:divBdr>
      <w:divsChild>
        <w:div w:id="934479325">
          <w:marLeft w:val="0"/>
          <w:marRight w:val="0"/>
          <w:marTop w:val="0"/>
          <w:marBottom w:val="0"/>
          <w:divBdr>
            <w:top w:val="none" w:sz="0" w:space="0" w:color="auto"/>
            <w:left w:val="none" w:sz="0" w:space="0" w:color="auto"/>
            <w:bottom w:val="none" w:sz="0" w:space="0" w:color="auto"/>
            <w:right w:val="none" w:sz="0" w:space="0" w:color="auto"/>
          </w:divBdr>
          <w:divsChild>
            <w:div w:id="363096706">
              <w:marLeft w:val="0"/>
              <w:marRight w:val="0"/>
              <w:marTop w:val="0"/>
              <w:marBottom w:val="0"/>
              <w:divBdr>
                <w:top w:val="none" w:sz="0" w:space="0" w:color="auto"/>
                <w:left w:val="none" w:sz="0" w:space="0" w:color="auto"/>
                <w:bottom w:val="none" w:sz="0" w:space="0" w:color="auto"/>
                <w:right w:val="none" w:sz="0" w:space="0" w:color="auto"/>
              </w:divBdr>
              <w:divsChild>
                <w:div w:id="2092845785">
                  <w:marLeft w:val="0"/>
                  <w:marRight w:val="0"/>
                  <w:marTop w:val="0"/>
                  <w:marBottom w:val="0"/>
                  <w:divBdr>
                    <w:top w:val="none" w:sz="0" w:space="0" w:color="auto"/>
                    <w:left w:val="none" w:sz="0" w:space="0" w:color="auto"/>
                    <w:bottom w:val="none" w:sz="0" w:space="0" w:color="auto"/>
                    <w:right w:val="none" w:sz="0" w:space="0" w:color="auto"/>
                  </w:divBdr>
                  <w:divsChild>
                    <w:div w:id="1468355443">
                      <w:marLeft w:val="0"/>
                      <w:marRight w:val="0"/>
                      <w:marTop w:val="0"/>
                      <w:marBottom w:val="0"/>
                      <w:divBdr>
                        <w:top w:val="none" w:sz="0" w:space="0" w:color="auto"/>
                        <w:left w:val="none" w:sz="0" w:space="0" w:color="auto"/>
                        <w:bottom w:val="none" w:sz="0" w:space="0" w:color="auto"/>
                        <w:right w:val="none" w:sz="0" w:space="0" w:color="auto"/>
                      </w:divBdr>
                      <w:divsChild>
                        <w:div w:id="1103381921">
                          <w:marLeft w:val="0"/>
                          <w:marRight w:val="0"/>
                          <w:marTop w:val="0"/>
                          <w:marBottom w:val="0"/>
                          <w:divBdr>
                            <w:top w:val="none" w:sz="0" w:space="0" w:color="auto"/>
                            <w:left w:val="none" w:sz="0" w:space="0" w:color="auto"/>
                            <w:bottom w:val="none" w:sz="0" w:space="0" w:color="auto"/>
                            <w:right w:val="none" w:sz="0" w:space="0" w:color="auto"/>
                          </w:divBdr>
                          <w:divsChild>
                            <w:div w:id="2026057252">
                              <w:marLeft w:val="0"/>
                              <w:marRight w:val="0"/>
                              <w:marTop w:val="0"/>
                              <w:marBottom w:val="0"/>
                              <w:divBdr>
                                <w:top w:val="none" w:sz="0" w:space="0" w:color="auto"/>
                                <w:left w:val="none" w:sz="0" w:space="0" w:color="auto"/>
                                <w:bottom w:val="none" w:sz="0" w:space="0" w:color="auto"/>
                                <w:right w:val="none" w:sz="0" w:space="0" w:color="auto"/>
                              </w:divBdr>
                              <w:divsChild>
                                <w:div w:id="15275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273901">
      <w:bodyDiv w:val="1"/>
      <w:marLeft w:val="0"/>
      <w:marRight w:val="0"/>
      <w:marTop w:val="0"/>
      <w:marBottom w:val="0"/>
      <w:divBdr>
        <w:top w:val="none" w:sz="0" w:space="0" w:color="auto"/>
        <w:left w:val="none" w:sz="0" w:space="0" w:color="auto"/>
        <w:bottom w:val="none" w:sz="0" w:space="0" w:color="auto"/>
        <w:right w:val="none" w:sz="0" w:space="0" w:color="auto"/>
      </w:divBdr>
    </w:div>
    <w:div w:id="2121756619">
      <w:bodyDiv w:val="1"/>
      <w:marLeft w:val="0"/>
      <w:marRight w:val="0"/>
      <w:marTop w:val="0"/>
      <w:marBottom w:val="0"/>
      <w:divBdr>
        <w:top w:val="none" w:sz="0" w:space="0" w:color="auto"/>
        <w:left w:val="none" w:sz="0" w:space="0" w:color="auto"/>
        <w:bottom w:val="none" w:sz="0" w:space="0" w:color="auto"/>
        <w:right w:val="none" w:sz="0" w:space="0" w:color="auto"/>
      </w:divBdr>
    </w:div>
    <w:div w:id="2123574952">
      <w:bodyDiv w:val="1"/>
      <w:marLeft w:val="0"/>
      <w:marRight w:val="0"/>
      <w:marTop w:val="0"/>
      <w:marBottom w:val="0"/>
      <w:divBdr>
        <w:top w:val="none" w:sz="0" w:space="0" w:color="auto"/>
        <w:left w:val="none" w:sz="0" w:space="0" w:color="auto"/>
        <w:bottom w:val="none" w:sz="0" w:space="0" w:color="auto"/>
        <w:right w:val="none" w:sz="0" w:space="0" w:color="auto"/>
      </w:divBdr>
      <w:divsChild>
        <w:div w:id="1392145816">
          <w:marLeft w:val="547"/>
          <w:marRight w:val="0"/>
          <w:marTop w:val="0"/>
          <w:marBottom w:val="0"/>
          <w:divBdr>
            <w:top w:val="none" w:sz="0" w:space="0" w:color="auto"/>
            <w:left w:val="none" w:sz="0" w:space="0" w:color="auto"/>
            <w:bottom w:val="none" w:sz="0" w:space="0" w:color="auto"/>
            <w:right w:val="none" w:sz="0" w:space="0" w:color="auto"/>
          </w:divBdr>
        </w:div>
      </w:divsChild>
    </w:div>
    <w:div w:id="21324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diagramQuickStyle" Target="diagrams/quickStyle1.xml"/><Relationship Id="rId39" Type="http://schemas.openxmlformats.org/officeDocument/2006/relationships/diagramColors" Target="diagrams/colors3.xml"/><Relationship Id="rId3" Type="http://schemas.openxmlformats.org/officeDocument/2006/relationships/customXml" Target="../customXml/item3.xml"/><Relationship Id="rId21" Type="http://schemas.openxmlformats.org/officeDocument/2006/relationships/hyperlink" Target="#_Alt_text_long"/><Relationship Id="rId34" Type="http://schemas.openxmlformats.org/officeDocument/2006/relationships/diagramColors" Target="diagrams/colors2.xml"/><Relationship Id="rId42"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diagramLayout" Target="diagrams/layout1.xml"/><Relationship Id="rId33" Type="http://schemas.openxmlformats.org/officeDocument/2006/relationships/diagramQuickStyle" Target="diagrams/quickStyle2.xml"/><Relationship Id="rId38" Type="http://schemas.openxmlformats.org/officeDocument/2006/relationships/diagramQuickStyle" Target="diagrams/quickStyle3.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image" Target="media/image4.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diagramData" Target="diagrams/data1.xml"/><Relationship Id="rId32" Type="http://schemas.openxmlformats.org/officeDocument/2006/relationships/diagramLayout" Target="diagrams/layout2.xm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chart" Target="charts/chart1.xml"/><Relationship Id="rId28" Type="http://schemas.microsoft.com/office/2007/relationships/diagramDrawing" Target="diagrams/drawing1.xml"/><Relationship Id="rId36" Type="http://schemas.openxmlformats.org/officeDocument/2006/relationships/diagramData" Target="diagrams/data3.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diagramData" Target="diagrams/data2.xm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diagramColors" Target="diagrams/colors1.xml"/><Relationship Id="rId30" Type="http://schemas.openxmlformats.org/officeDocument/2006/relationships/image" Target="media/image5.png"/><Relationship Id="rId35" Type="http://schemas.microsoft.com/office/2007/relationships/diagramDrawing" Target="diagrams/drawing2.xml"/><Relationship Id="rId43" Type="http://schemas.openxmlformats.org/officeDocument/2006/relationships/hyperlink" Target="https://www.ebdressings.com.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r>
              <a:rPr lang="en-US" sz="1200" b="1"/>
              <a:t>Older Australians</a:t>
            </a:r>
          </a:p>
          <a:p>
            <a:pPr>
              <a:defRPr sz="900"/>
            </a:pPr>
            <a:r>
              <a:rPr lang="en-US" sz="900"/>
              <a:t>4,126,300</a:t>
            </a:r>
          </a:p>
        </c:rich>
      </c:tx>
      <c:layout>
        <c:manualLayout>
          <c:xMode val="edge"/>
          <c:yMode val="edge"/>
          <c:x val="0.22331613964877819"/>
          <c:y val="3.1087686162406359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
          <c:y val="0.11428813139858482"/>
          <c:w val="1"/>
          <c:h val="0.84081129130827859"/>
        </c:manualLayout>
      </c:layout>
      <c:ofPieChart>
        <c:ofPieType val="bar"/>
        <c:varyColors val="1"/>
        <c:ser>
          <c:idx val="0"/>
          <c:order val="0"/>
          <c:tx>
            <c:strRef>
              <c:f>Sheet1!$B$1</c:f>
              <c:strCache>
                <c:ptCount val="1"/>
                <c:pt idx="0">
                  <c:v>Number</c:v>
                </c:pt>
              </c:strCache>
            </c:strRef>
          </c:tx>
          <c:spPr>
            <a:solidFill>
              <a:schemeClr val="bg1">
                <a:lumMod val="85000"/>
              </a:schemeClr>
            </a:solidFill>
          </c:spPr>
          <c:dPt>
            <c:idx val="0"/>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7-0E13-4F23-A89A-1FBFF4681378}"/>
              </c:ext>
            </c:extLst>
          </c:dPt>
          <c:dPt>
            <c:idx val="1"/>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3-0E13-4F23-A89A-1FBFF4681378}"/>
              </c:ext>
            </c:extLst>
          </c:dPt>
          <c:dPt>
            <c:idx val="2"/>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4-0E13-4F23-A89A-1FBFF4681378}"/>
              </c:ext>
            </c:extLst>
          </c:dPt>
          <c:dPt>
            <c:idx val="3"/>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5-0E13-4F23-A89A-1FBFF4681378}"/>
              </c:ext>
            </c:extLst>
          </c:dPt>
          <c:dPt>
            <c:idx val="4"/>
            <c:bubble3D val="0"/>
            <c:spPr>
              <a:solidFill>
                <a:schemeClr val="tx2">
                  <a:lumMod val="50000"/>
                </a:schemeClr>
              </a:solidFill>
              <a:ln w="19050">
                <a:solidFill>
                  <a:schemeClr val="lt1"/>
                </a:solidFill>
              </a:ln>
              <a:effectLst/>
            </c:spPr>
            <c:extLst>
              <c:ext xmlns:c16="http://schemas.microsoft.com/office/drawing/2014/chart" uri="{C3380CC4-5D6E-409C-BE32-E72D297353CC}">
                <c16:uniqueId val="{00000006-0E13-4F23-A89A-1FBFF4681378}"/>
              </c:ext>
            </c:extLst>
          </c:dPt>
          <c:dPt>
            <c:idx val="5"/>
            <c:bubble3D val="0"/>
            <c:spPr>
              <a:solidFill>
                <a:schemeClr val="tx2"/>
              </a:solidFill>
              <a:ln w="19050">
                <a:solidFill>
                  <a:schemeClr val="lt1"/>
                </a:solidFill>
              </a:ln>
              <a:effectLst/>
            </c:spPr>
            <c:extLst>
              <c:ext xmlns:c16="http://schemas.microsoft.com/office/drawing/2014/chart" uri="{C3380CC4-5D6E-409C-BE32-E72D297353CC}">
                <c16:uniqueId val="{00000002-0E13-4F23-A89A-1FBFF4681378}"/>
              </c:ext>
            </c:extLst>
          </c:dPt>
          <c:dLbls>
            <c:dLbl>
              <c:idx val="0"/>
              <c:tx>
                <c:rich>
                  <a:bodyPr/>
                  <a:lstStyle/>
                  <a:p>
                    <a:fld id="{2EB24E5B-7FD6-4CC2-BE53-8909EEEDE2B5}" type="CATEGORYNAME">
                      <a:rPr lang="en-US" sz="1200" b="1"/>
                      <a:pPr/>
                      <a:t>[CATEGORY NAME]</a:t>
                    </a:fld>
                    <a:endParaRPr lang="en-US" sz="1100" b="1" baseline="0"/>
                  </a:p>
                  <a:p>
                    <a:fld id="{AA52D5AB-D701-42AA-A277-DA2380CAD1BA}" type="VALUE">
                      <a:rPr lang="en-US"/>
                      <a:pPr/>
                      <a:t>[VALUE]</a:t>
                    </a:fld>
                    <a:endParaRPr lang="en-US" baseline="0"/>
                  </a:p>
                  <a:p>
                    <a:fld id="{B92A14FE-E9FC-4DBE-8C75-2E6231199F2E}" type="PERCENTAGE">
                      <a:rPr lang="en-US"/>
                      <a:pPr/>
                      <a:t>[PERCENTAGE]</a:t>
                    </a:fld>
                    <a:endParaRPr lang="en-AU"/>
                  </a:p>
                </c:rich>
              </c:tx>
              <c:dLblPos val="ctr"/>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0E13-4F23-A89A-1FBFF4681378}"/>
                </c:ext>
              </c:extLst>
            </c:dLbl>
            <c:dLbl>
              <c:idx val="1"/>
              <c:tx>
                <c:rich>
                  <a:bodyPr/>
                  <a:lstStyle/>
                  <a:p>
                    <a:fld id="{27223824-CA7D-4922-98F9-86808636D8BF}" type="CATEGORYNAME">
                      <a:rPr lang="en-US" sz="1100" b="1"/>
                      <a:pPr/>
                      <a:t>[CATEGORY NAME]</a:t>
                    </a:fld>
                    <a:endParaRPr lang="en-US" sz="1100" b="1" baseline="0"/>
                  </a:p>
                  <a:p>
                    <a:fld id="{E91DB1A8-959F-451A-AA24-B5482F438DC2}" type="VALUE">
                      <a:rPr lang="en-US"/>
                      <a:pPr/>
                      <a:t>[VALUE]</a:t>
                    </a:fld>
                    <a:endParaRPr lang="en-US" baseline="0"/>
                  </a:p>
                  <a:p>
                    <a:fld id="{8EF043B2-2BF5-4CAF-89FA-6207DAFDE29F}" type="CELLREF">
                      <a:rPr lang="en-US"/>
                      <a:pPr/>
                      <a:t>[CELLREF]</a:t>
                    </a:fld>
                    <a:endParaRPr lang="en-AU"/>
                  </a:p>
                </c:rich>
              </c:tx>
              <c:dLblPos val="ctr"/>
              <c:showLegendKey val="0"/>
              <c:showVal val="1"/>
              <c:showCatName val="1"/>
              <c:showSerName val="0"/>
              <c:showPercent val="0"/>
              <c:showBubbleSize val="0"/>
              <c:separator>
</c:separator>
              <c:extLst>
                <c:ext xmlns:c15="http://schemas.microsoft.com/office/drawing/2012/chart" uri="{CE6537A1-D6FC-4f65-9D91-7224C49458BB}">
                  <c15:dlblFieldTable>
                    <c15:dlblFTEntry>
                      <c15:txfldGUID>{8EF043B2-2BF5-4CAF-89FA-6207DAFDE29F}</c15:txfldGUID>
                      <c15:f>Sheet1!$D$3</c15:f>
                      <c15:dlblFieldTableCache>
                        <c:ptCount val="1"/>
                        <c:pt idx="0">
                          <c:v>47%</c:v>
                        </c:pt>
                      </c15:dlblFieldTableCache>
                    </c15:dlblFTEntry>
                  </c15:dlblFieldTable>
                  <c15:showDataLabelsRange val="0"/>
                </c:ext>
                <c:ext xmlns:c16="http://schemas.microsoft.com/office/drawing/2014/chart" uri="{C3380CC4-5D6E-409C-BE32-E72D297353CC}">
                  <c16:uniqueId val="{00000003-0E13-4F23-A89A-1FBFF4681378}"/>
                </c:ext>
              </c:extLst>
            </c:dLbl>
            <c:dLbl>
              <c:idx val="2"/>
              <c:tx>
                <c:rich>
                  <a:bodyPr/>
                  <a:lstStyle/>
                  <a:p>
                    <a:fld id="{516B61D7-CB8F-47F4-B7E2-12698A6558A6}" type="CATEGORYNAME">
                      <a:rPr lang="en-US" sz="1100" b="1"/>
                      <a:pPr/>
                      <a:t>[CATEGORY NAME]</a:t>
                    </a:fld>
                    <a:endParaRPr lang="en-US" sz="1100" b="1" baseline="0"/>
                  </a:p>
                  <a:p>
                    <a:fld id="{80A5FA5C-AA4F-4549-9542-9A1562A5D76B}" type="VALUE">
                      <a:rPr lang="en-US"/>
                      <a:pPr/>
                      <a:t>[VALUE]</a:t>
                    </a:fld>
                    <a:endParaRPr lang="en-US" baseline="0"/>
                  </a:p>
                  <a:p>
                    <a:fld id="{AF030A16-20A0-4B3B-8E41-5A7FDFAC3114}" type="CELLREF">
                      <a:rPr lang="en-US"/>
                      <a:pPr/>
                      <a:t>[CELLREF]</a:t>
                    </a:fld>
                    <a:endParaRPr lang="en-AU"/>
                  </a:p>
                </c:rich>
              </c:tx>
              <c:dLblPos val="ctr"/>
              <c:showLegendKey val="0"/>
              <c:showVal val="1"/>
              <c:showCatName val="1"/>
              <c:showSerName val="0"/>
              <c:showPercent val="0"/>
              <c:showBubbleSize val="0"/>
              <c:separator>
</c:separator>
              <c:extLst>
                <c:ext xmlns:c15="http://schemas.microsoft.com/office/drawing/2012/chart" uri="{CE6537A1-D6FC-4f65-9D91-7224C49458BB}">
                  <c15:dlblFieldTable>
                    <c15:dlblFTEntry>
                      <c15:txfldGUID>{AF030A16-20A0-4B3B-8E41-5A7FDFAC3114}</c15:txfldGUID>
                      <c15:f>Sheet1!$D$4</c15:f>
                      <c15:dlblFieldTableCache>
                        <c:ptCount val="1"/>
                        <c:pt idx="0">
                          <c:v>20%</c:v>
                        </c:pt>
                      </c15:dlblFieldTableCache>
                    </c15:dlblFTEntry>
                  </c15:dlblFieldTable>
                  <c15:showDataLabelsRange val="0"/>
                </c:ext>
                <c:ext xmlns:c16="http://schemas.microsoft.com/office/drawing/2014/chart" uri="{C3380CC4-5D6E-409C-BE32-E72D297353CC}">
                  <c16:uniqueId val="{00000004-0E13-4F23-A89A-1FBFF4681378}"/>
                </c:ext>
              </c:extLst>
            </c:dLbl>
            <c:dLbl>
              <c:idx val="3"/>
              <c:tx>
                <c:rich>
                  <a:bodyPr/>
                  <a:lstStyle/>
                  <a:p>
                    <a:fld id="{41A591D4-2C66-42E1-A79B-952AA7974754}" type="CATEGORYNAME">
                      <a:rPr lang="en-US" sz="1100" b="1"/>
                      <a:pPr/>
                      <a:t>[CATEGORY NAME]</a:t>
                    </a:fld>
                    <a:endParaRPr lang="en-US" sz="1100" b="1" baseline="0"/>
                  </a:p>
                  <a:p>
                    <a:fld id="{EDE1EFEB-0E8C-4E89-99C7-464CDE49C4AC}" type="VALUE">
                      <a:rPr lang="en-US"/>
                      <a:pPr/>
                      <a:t>[VALUE]</a:t>
                    </a:fld>
                    <a:endParaRPr lang="en-US" baseline="0"/>
                  </a:p>
                  <a:p>
                    <a:fld id="{8016A51D-7002-4256-A575-FF5CC70979FA}" type="CELLREF">
                      <a:rPr lang="en-US"/>
                      <a:pPr/>
                      <a:t>[CELLREF]</a:t>
                    </a:fld>
                    <a:endParaRPr lang="en-AU"/>
                  </a:p>
                </c:rich>
              </c:tx>
              <c:dLblPos val="ctr"/>
              <c:showLegendKey val="0"/>
              <c:showVal val="1"/>
              <c:showCatName val="1"/>
              <c:showSerName val="0"/>
              <c:showPercent val="0"/>
              <c:showBubbleSize val="0"/>
              <c:separator>
</c:separator>
              <c:extLst>
                <c:ext xmlns:c15="http://schemas.microsoft.com/office/drawing/2012/chart" uri="{CE6537A1-D6FC-4f65-9D91-7224C49458BB}">
                  <c15:dlblFieldTable>
                    <c15:dlblFTEntry>
                      <c15:txfldGUID>{8016A51D-7002-4256-A575-FF5CC70979FA}</c15:txfldGUID>
                      <c15:f>Sheet1!$D$5</c15:f>
                      <c15:dlblFieldTableCache>
                        <c:ptCount val="1"/>
                        <c:pt idx="0">
                          <c:v>13%</c:v>
                        </c:pt>
                      </c15:dlblFieldTableCache>
                    </c15:dlblFTEntry>
                  </c15:dlblFieldTable>
                  <c15:showDataLabelsRange val="0"/>
                </c:ext>
                <c:ext xmlns:c16="http://schemas.microsoft.com/office/drawing/2014/chart" uri="{C3380CC4-5D6E-409C-BE32-E72D297353CC}">
                  <c16:uniqueId val="{00000005-0E13-4F23-A89A-1FBFF4681378}"/>
                </c:ext>
              </c:extLst>
            </c:dLbl>
            <c:dLbl>
              <c:idx val="4"/>
              <c:tx>
                <c:rich>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fld id="{B7CC2D5A-592B-4D03-B96B-C11175F1B220}" type="CATEGORYNAME">
                      <a:rPr lang="en-US" sz="1100" b="1">
                        <a:solidFill>
                          <a:schemeClr val="bg1"/>
                        </a:solidFill>
                      </a:rPr>
                      <a:pPr>
                        <a:defRPr>
                          <a:solidFill>
                            <a:schemeClr val="bg1"/>
                          </a:solidFill>
                        </a:defRPr>
                      </a:pPr>
                      <a:t>[CATEGORY NAME]</a:t>
                    </a:fld>
                    <a:endParaRPr lang="en-US" sz="1100" b="1">
                      <a:solidFill>
                        <a:schemeClr val="bg1"/>
                      </a:solidFill>
                    </a:endParaRPr>
                  </a:p>
                  <a:p>
                    <a:pPr>
                      <a:defRPr>
                        <a:solidFill>
                          <a:schemeClr val="bg1"/>
                        </a:solidFill>
                      </a:defRPr>
                    </a:pPr>
                    <a:fld id="{CA2B6960-2AF6-40AE-8C2D-D5C6FE76279F}" type="VALUE">
                      <a:rPr lang="en-US">
                        <a:solidFill>
                          <a:schemeClr val="bg1"/>
                        </a:solidFill>
                      </a:rPr>
                      <a:pPr>
                        <a:defRPr>
                          <a:solidFill>
                            <a:schemeClr val="bg1"/>
                          </a:solidFill>
                        </a:defRPr>
                      </a:pPr>
                      <a:t>[VALUE]</a:t>
                    </a:fld>
                    <a:endParaRPr lang="en-US">
                      <a:solidFill>
                        <a:schemeClr val="bg1"/>
                      </a:solidFill>
                    </a:endParaRPr>
                  </a:p>
                  <a:p>
                    <a:pPr>
                      <a:defRPr>
                        <a:solidFill>
                          <a:schemeClr val="bg1"/>
                        </a:solidFill>
                      </a:defRPr>
                    </a:pPr>
                    <a:fld id="{F202F55E-A805-47A7-B32F-06FE9CBEF589}" type="CELLREF">
                      <a:rPr lang="en-US">
                        <a:solidFill>
                          <a:schemeClr val="bg1"/>
                        </a:solidFill>
                      </a:rPr>
                      <a:pPr>
                        <a:defRPr>
                          <a:solidFill>
                            <a:schemeClr val="bg1"/>
                          </a:solidFill>
                        </a:defRPr>
                      </a:pPr>
                      <a:t>[CELLREF]</a:t>
                    </a:fld>
                    <a:endParaRPr lang="en-AU"/>
                  </a:p>
                </c:rich>
              </c:tx>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1"/>
              <c:showSerName val="0"/>
              <c:showPercent val="0"/>
              <c:showBubbleSize val="0"/>
              <c:separator>
</c:separator>
              <c:extLst>
                <c:ext xmlns:c15="http://schemas.microsoft.com/office/drawing/2012/chart" uri="{CE6537A1-D6FC-4f65-9D91-7224C49458BB}">
                  <c15:dlblFieldTable>
                    <c15:dlblFTEntry>
                      <c15:txfldGUID>{F202F55E-A805-47A7-B32F-06FE9CBEF589}</c15:txfldGUID>
                      <c15:f>Sheet1!$D$6</c15:f>
                      <c15:dlblFieldTableCache>
                        <c:ptCount val="1"/>
                        <c:pt idx="0">
                          <c:v>19%</c:v>
                        </c:pt>
                      </c15:dlblFieldTableCache>
                    </c15:dlblFTEntry>
                  </c15:dlblFieldTable>
                  <c15:showDataLabelsRange val="0"/>
                </c:ext>
                <c:ext xmlns:c16="http://schemas.microsoft.com/office/drawing/2014/chart" uri="{C3380CC4-5D6E-409C-BE32-E72D297353CC}">
                  <c16:uniqueId val="{00000006-0E13-4F23-A89A-1FBFF4681378}"/>
                </c:ext>
              </c:extLst>
            </c:dLbl>
            <c:dLbl>
              <c:idx val="5"/>
              <c:tx>
                <c:rich>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fld id="{296EAEF8-24F8-4B93-A26A-77411C9CEAEB}" type="CELLREF">
                      <a:rPr lang="en-US" sz="1200" b="1">
                        <a:solidFill>
                          <a:schemeClr val="bg1"/>
                        </a:solidFill>
                      </a:rPr>
                      <a:pPr>
                        <a:defRPr>
                          <a:solidFill>
                            <a:schemeClr val="bg1"/>
                          </a:solidFill>
                        </a:defRPr>
                      </a:pPr>
                      <a:t>[CELLREF]</a:t>
                    </a:fld>
                    <a:endParaRPr lang="en-US" sz="1100" b="1">
                      <a:solidFill>
                        <a:schemeClr val="bg1"/>
                      </a:solidFill>
                    </a:endParaRPr>
                  </a:p>
                  <a:p>
                    <a:pPr>
                      <a:defRPr>
                        <a:solidFill>
                          <a:schemeClr val="bg1"/>
                        </a:solidFill>
                      </a:defRPr>
                    </a:pPr>
                    <a:fld id="{2025E019-7A7C-47FA-A81C-5570080D6A58}" type="VALUE">
                      <a:rPr lang="en-US">
                        <a:solidFill>
                          <a:schemeClr val="bg1"/>
                        </a:solidFill>
                      </a:rPr>
                      <a:pPr>
                        <a:defRPr>
                          <a:solidFill>
                            <a:schemeClr val="bg1"/>
                          </a:solidFill>
                        </a:defRPr>
                      </a:pPr>
                      <a:t>[VALUE]</a:t>
                    </a:fld>
                    <a:endParaRPr lang="en-US">
                      <a:solidFill>
                        <a:schemeClr val="bg1"/>
                      </a:solidFill>
                    </a:endParaRPr>
                  </a:p>
                  <a:p>
                    <a:pPr>
                      <a:defRPr>
                        <a:solidFill>
                          <a:schemeClr val="bg1"/>
                        </a:solidFill>
                      </a:defRPr>
                    </a:pPr>
                    <a:fld id="{5AAF6963-1DCA-40ED-8CDB-98675B39E785}" type="PERCENTAGE">
                      <a:rPr lang="en-US">
                        <a:solidFill>
                          <a:schemeClr val="bg1"/>
                        </a:solidFill>
                      </a:rPr>
                      <a:pPr>
                        <a:defRPr>
                          <a:solidFill>
                            <a:schemeClr val="bg1"/>
                          </a:solidFill>
                        </a:defRPr>
                      </a:pPr>
                      <a:t>[PERCENTAGE]</a:t>
                    </a:fld>
                    <a:endParaRPr lang="en-AU"/>
                  </a:p>
                </c:rich>
              </c:tx>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1"/>
              <c:showSerName val="0"/>
              <c:showPercent val="0"/>
              <c:showBubbleSize val="0"/>
              <c:separator>
</c:separator>
              <c:extLst>
                <c:ext xmlns:c15="http://schemas.microsoft.com/office/drawing/2012/chart" uri="{CE6537A1-D6FC-4f65-9D91-7224C49458BB}">
                  <c15:dlblFieldTable>
                    <c15:dlblFTEntry>
                      <c15:txfldGUID>{296EAEF8-24F8-4B93-A26A-77411C9CEAEB}</c15:txfldGUID>
                      <c15:f>Sheet1!$A$7</c15:f>
                      <c15:dlblFieldTableCache>
                        <c:ptCount val="1"/>
                        <c:pt idx="0">
                          <c:v>With core activity limitation</c:v>
                        </c:pt>
                      </c15:dlblFieldTableCache>
                    </c15:dlblFTEntry>
                  </c15:dlblFieldTable>
                  <c15:showDataLabelsRange val="0"/>
                </c:ext>
                <c:ext xmlns:c16="http://schemas.microsoft.com/office/drawing/2014/chart" uri="{C3380CC4-5D6E-409C-BE32-E72D297353CC}">
                  <c16:uniqueId val="{00000002-0E13-4F23-A89A-1FBFF468137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Sheet1!$A$2:$A$6</c:f>
              <c:strCache>
                <c:ptCount val="5"/>
                <c:pt idx="0">
                  <c:v>No core activity limitation</c:v>
                </c:pt>
                <c:pt idx="1">
                  <c:v>Mild</c:v>
                </c:pt>
                <c:pt idx="2">
                  <c:v>Moderate</c:v>
                </c:pt>
                <c:pt idx="3">
                  <c:v>Severe</c:v>
                </c:pt>
                <c:pt idx="4">
                  <c:v>Profound</c:v>
                </c:pt>
              </c:strCache>
            </c:strRef>
          </c:cat>
          <c:val>
            <c:numRef>
              <c:f>Sheet1!$B$2:$B$6</c:f>
              <c:numCache>
                <c:formatCode>_-* #,##0_-;\-* #,##0_-;_-* "-"??_-;_-@_-</c:formatCode>
                <c:ptCount val="5"/>
                <c:pt idx="0">
                  <c:v>2466064</c:v>
                </c:pt>
                <c:pt idx="1">
                  <c:v>777600</c:v>
                </c:pt>
                <c:pt idx="2">
                  <c:v>339396</c:v>
                </c:pt>
                <c:pt idx="3">
                  <c:v>223700</c:v>
                </c:pt>
                <c:pt idx="4">
                  <c:v>319540</c:v>
                </c:pt>
              </c:numCache>
            </c:numRef>
          </c:val>
          <c:extLst>
            <c:ext xmlns:c16="http://schemas.microsoft.com/office/drawing/2014/chart" uri="{C3380CC4-5D6E-409C-BE32-E72D297353CC}">
              <c16:uniqueId val="{00000000-0E13-4F23-A89A-1FBFF4681378}"/>
            </c:ext>
          </c:extLst>
        </c:ser>
        <c:dLbls>
          <c:showLegendKey val="0"/>
          <c:showVal val="0"/>
          <c:showCatName val="0"/>
          <c:showSerName val="0"/>
          <c:showPercent val="0"/>
          <c:showBubbleSize val="0"/>
          <c:showLeaderLines val="0"/>
        </c:dLbls>
        <c:gapWidth val="50"/>
        <c:splitType val="cust"/>
        <c:custSplit>
          <c:secondPiePt val="1"/>
          <c:secondPiePt val="2"/>
          <c:secondPiePt val="3"/>
          <c:secondPiePt val="4"/>
        </c:custSplit>
        <c:secondPieSize val="100"/>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585015-840B-42F5-B6EB-C59F85A90637}" type="doc">
      <dgm:prSet loTypeId="urn:microsoft.com/office/officeart/2005/8/layout/pyramid1" loCatId="pyramid" qsTypeId="urn:microsoft.com/office/officeart/2005/8/quickstyle/simple1" qsCatId="simple" csTypeId="urn:microsoft.com/office/officeart/2005/8/colors/accent1_2" csCatId="accent1" phldr="1"/>
      <dgm:spPr/>
    </dgm:pt>
    <dgm:pt modelId="{2EFC06C7-E069-481E-9649-254CD614B1A8}">
      <dgm:prSet phldrT="[Text]" custT="1"/>
      <dgm:spPr>
        <a:solidFill>
          <a:schemeClr val="accent1">
            <a:lumMod val="20000"/>
            <a:lumOff val="80000"/>
          </a:schemeClr>
        </a:solidFill>
      </dgm:spPr>
      <dgm:t>
        <a:bodyPr/>
        <a:lstStyle/>
        <a:p>
          <a:r>
            <a:rPr lang="en-GB" sz="1600" b="1">
              <a:solidFill>
                <a:sysClr val="windowText" lastClr="000000"/>
              </a:solidFill>
            </a:rPr>
            <a:t>Prescribed AT </a:t>
          </a:r>
        </a:p>
      </dgm:t>
    </dgm:pt>
    <dgm:pt modelId="{6E6D3C1D-6AA4-4251-ACE0-A9F3188B9706}" type="parTrans" cxnId="{53C5C80A-9AF4-4947-B297-929E5D3BCEA7}">
      <dgm:prSet/>
      <dgm:spPr/>
      <dgm:t>
        <a:bodyPr/>
        <a:lstStyle/>
        <a:p>
          <a:endParaRPr lang="en-GB" sz="1050"/>
        </a:p>
      </dgm:t>
    </dgm:pt>
    <dgm:pt modelId="{0F4A71FA-9689-45CA-89C2-85FF6D69156D}" type="sibTrans" cxnId="{53C5C80A-9AF4-4947-B297-929E5D3BCEA7}">
      <dgm:prSet/>
      <dgm:spPr/>
      <dgm:t>
        <a:bodyPr/>
        <a:lstStyle/>
        <a:p>
          <a:endParaRPr lang="en-GB" sz="1050"/>
        </a:p>
      </dgm:t>
    </dgm:pt>
    <dgm:pt modelId="{A4CF0163-FBC1-47BB-A494-D4EEE9A27058}">
      <dgm:prSet phldrT="[Text]" custT="1"/>
      <dgm:spPr/>
      <dgm:t>
        <a:bodyPr/>
        <a:lstStyle/>
        <a:p>
          <a:r>
            <a:rPr lang="en-GB" sz="1600" b="1"/>
            <a:t>Under advice AT</a:t>
          </a:r>
        </a:p>
      </dgm:t>
    </dgm:pt>
    <dgm:pt modelId="{F0C26744-8A29-4B85-982B-50A2CD91DFD3}" type="parTrans" cxnId="{3415DE3B-2904-4939-B95C-893FEB31935B}">
      <dgm:prSet/>
      <dgm:spPr/>
      <dgm:t>
        <a:bodyPr/>
        <a:lstStyle/>
        <a:p>
          <a:endParaRPr lang="en-GB" sz="1050"/>
        </a:p>
      </dgm:t>
    </dgm:pt>
    <dgm:pt modelId="{9084BCF6-AA93-4FFB-82DD-6BFFCE29B02C}" type="sibTrans" cxnId="{3415DE3B-2904-4939-B95C-893FEB31935B}">
      <dgm:prSet/>
      <dgm:spPr/>
      <dgm:t>
        <a:bodyPr/>
        <a:lstStyle/>
        <a:p>
          <a:endParaRPr lang="en-GB" sz="1050"/>
        </a:p>
      </dgm:t>
    </dgm:pt>
    <dgm:pt modelId="{E1BD5954-2AC6-480B-983A-E963BCC951ED}">
      <dgm:prSet phldrT="[Text]" custT="1"/>
      <dgm:spPr>
        <a:solidFill>
          <a:schemeClr val="tx2"/>
        </a:solidFill>
      </dgm:spPr>
      <dgm:t>
        <a:bodyPr/>
        <a:lstStyle/>
        <a:p>
          <a:r>
            <a:rPr lang="en-GB" sz="1600" b="1">
              <a:solidFill>
                <a:schemeClr val="bg1"/>
              </a:solidFill>
            </a:rPr>
            <a:t>Low risk AT</a:t>
          </a:r>
        </a:p>
      </dgm:t>
    </dgm:pt>
    <dgm:pt modelId="{611F1030-20BC-4EBA-9245-37FC5F5894D2}" type="parTrans" cxnId="{392A9A6C-748B-487C-9B82-BA8A8DB782B4}">
      <dgm:prSet/>
      <dgm:spPr/>
      <dgm:t>
        <a:bodyPr/>
        <a:lstStyle/>
        <a:p>
          <a:endParaRPr lang="en-GB" sz="1050"/>
        </a:p>
      </dgm:t>
    </dgm:pt>
    <dgm:pt modelId="{2E907F98-E5B7-4520-8290-86CCC357D3D5}" type="sibTrans" cxnId="{392A9A6C-748B-487C-9B82-BA8A8DB782B4}">
      <dgm:prSet/>
      <dgm:spPr/>
      <dgm:t>
        <a:bodyPr/>
        <a:lstStyle/>
        <a:p>
          <a:endParaRPr lang="en-GB" sz="1050"/>
        </a:p>
      </dgm:t>
    </dgm:pt>
    <dgm:pt modelId="{2D25FD50-1298-4E6D-876F-E481A183477A}">
      <dgm:prSet phldrT="[Text]" custT="1"/>
      <dgm:spPr>
        <a:ln>
          <a:solidFill>
            <a:schemeClr val="accent1">
              <a:lumMod val="20000"/>
              <a:lumOff val="80000"/>
            </a:schemeClr>
          </a:solidFill>
        </a:ln>
      </dgm:spPr>
      <dgm:t>
        <a:bodyPr/>
        <a:lstStyle/>
        <a:p>
          <a:r>
            <a:rPr lang="en-GB" sz="1100"/>
            <a:t>pressure cushions and mattresses</a:t>
          </a:r>
        </a:p>
      </dgm:t>
    </dgm:pt>
    <dgm:pt modelId="{99BDE59B-A455-430C-97E8-30853209129D}" type="parTrans" cxnId="{F36F077F-C9D0-4A06-AFB2-9828F654DD11}">
      <dgm:prSet/>
      <dgm:spPr/>
      <dgm:t>
        <a:bodyPr/>
        <a:lstStyle/>
        <a:p>
          <a:endParaRPr lang="en-GB" sz="1050"/>
        </a:p>
      </dgm:t>
    </dgm:pt>
    <dgm:pt modelId="{C12E62A7-C03F-4BF4-B96F-44DBDE649DA6}" type="sibTrans" cxnId="{F36F077F-C9D0-4A06-AFB2-9828F654DD11}">
      <dgm:prSet/>
      <dgm:spPr/>
      <dgm:t>
        <a:bodyPr/>
        <a:lstStyle/>
        <a:p>
          <a:endParaRPr lang="en-GB" sz="1050"/>
        </a:p>
      </dgm:t>
    </dgm:pt>
    <dgm:pt modelId="{D8BC3F0B-5E66-427B-9841-FC9DEBBE8B1B}">
      <dgm:prSet phldrT="[Text]" custT="1"/>
      <dgm:spPr>
        <a:ln>
          <a:solidFill>
            <a:schemeClr val="accent1">
              <a:lumMod val="20000"/>
              <a:lumOff val="80000"/>
            </a:schemeClr>
          </a:solidFill>
        </a:ln>
      </dgm:spPr>
      <dgm:t>
        <a:bodyPr/>
        <a:lstStyle/>
        <a:p>
          <a:r>
            <a:rPr lang="en-GB" sz="1100"/>
            <a:t>custom-made hand splints</a:t>
          </a:r>
        </a:p>
      </dgm:t>
    </dgm:pt>
    <dgm:pt modelId="{F0AD4307-BC05-47D0-AB29-AE44794C86D6}" type="parTrans" cxnId="{54551196-D06E-4955-8BE8-835EEED0F6A1}">
      <dgm:prSet/>
      <dgm:spPr/>
      <dgm:t>
        <a:bodyPr/>
        <a:lstStyle/>
        <a:p>
          <a:endParaRPr lang="en-GB" sz="1050"/>
        </a:p>
      </dgm:t>
    </dgm:pt>
    <dgm:pt modelId="{775CE234-1B04-455D-A64B-06CFB0E88D95}" type="sibTrans" cxnId="{54551196-D06E-4955-8BE8-835EEED0F6A1}">
      <dgm:prSet/>
      <dgm:spPr/>
      <dgm:t>
        <a:bodyPr/>
        <a:lstStyle/>
        <a:p>
          <a:endParaRPr lang="en-GB" sz="1050"/>
        </a:p>
      </dgm:t>
    </dgm:pt>
    <dgm:pt modelId="{1DEB5C08-2C5C-406C-A927-312519E9AEBD}">
      <dgm:prSet phldrT="[Text]" custT="1"/>
      <dgm:spPr>
        <a:ln>
          <a:solidFill>
            <a:schemeClr val="accent1">
              <a:lumMod val="20000"/>
              <a:lumOff val="80000"/>
            </a:schemeClr>
          </a:solidFill>
        </a:ln>
      </dgm:spPr>
      <dgm:t>
        <a:bodyPr/>
        <a:lstStyle/>
        <a:p>
          <a:r>
            <a:rPr lang="en-GB" sz="1100"/>
            <a:t>orthotics</a:t>
          </a:r>
        </a:p>
      </dgm:t>
    </dgm:pt>
    <dgm:pt modelId="{788D0BC4-506F-4193-8F6C-C8E755ABD7EB}" type="parTrans" cxnId="{B27DE15F-C7FB-4E99-A45C-C4569860C225}">
      <dgm:prSet/>
      <dgm:spPr/>
      <dgm:t>
        <a:bodyPr/>
        <a:lstStyle/>
        <a:p>
          <a:endParaRPr lang="en-GB" sz="1050"/>
        </a:p>
      </dgm:t>
    </dgm:pt>
    <dgm:pt modelId="{66FA168D-44AE-400C-9578-6159C1D92A74}" type="sibTrans" cxnId="{B27DE15F-C7FB-4E99-A45C-C4569860C225}">
      <dgm:prSet/>
      <dgm:spPr/>
      <dgm:t>
        <a:bodyPr/>
        <a:lstStyle/>
        <a:p>
          <a:endParaRPr lang="en-GB" sz="1050"/>
        </a:p>
      </dgm:t>
    </dgm:pt>
    <dgm:pt modelId="{6222D6BC-9327-423A-8642-BEE88615D142}">
      <dgm:prSet phldrT="[Text]" custT="1"/>
      <dgm:spPr>
        <a:ln>
          <a:solidFill>
            <a:schemeClr val="accent1">
              <a:lumMod val="20000"/>
              <a:lumOff val="80000"/>
            </a:schemeClr>
          </a:solidFill>
        </a:ln>
      </dgm:spPr>
      <dgm:t>
        <a:bodyPr/>
        <a:lstStyle/>
        <a:p>
          <a:r>
            <a:rPr lang="en-GB" sz="1100"/>
            <a:t>prostheses</a:t>
          </a:r>
        </a:p>
      </dgm:t>
    </dgm:pt>
    <dgm:pt modelId="{8BE88102-2FDB-4B01-B510-5874DC5C2B06}" type="parTrans" cxnId="{354891FD-6046-424C-B3DA-9176E7799D01}">
      <dgm:prSet/>
      <dgm:spPr/>
      <dgm:t>
        <a:bodyPr/>
        <a:lstStyle/>
        <a:p>
          <a:endParaRPr lang="en-GB" sz="1050"/>
        </a:p>
      </dgm:t>
    </dgm:pt>
    <dgm:pt modelId="{A5592784-10B1-4C21-8C1A-6A9B8899B5B6}" type="sibTrans" cxnId="{354891FD-6046-424C-B3DA-9176E7799D01}">
      <dgm:prSet/>
      <dgm:spPr/>
      <dgm:t>
        <a:bodyPr/>
        <a:lstStyle/>
        <a:p>
          <a:endParaRPr lang="en-GB" sz="1050"/>
        </a:p>
      </dgm:t>
    </dgm:pt>
    <dgm:pt modelId="{48417D82-A723-4F54-A4D5-41916E89411D}">
      <dgm:prSet phldrT="[Text]" custT="1"/>
      <dgm:spPr>
        <a:ln>
          <a:solidFill>
            <a:schemeClr val="accent1">
              <a:lumMod val="20000"/>
              <a:lumOff val="80000"/>
            </a:schemeClr>
          </a:solidFill>
        </a:ln>
      </dgm:spPr>
      <dgm:t>
        <a:bodyPr/>
        <a:lstStyle/>
        <a:p>
          <a:r>
            <a:rPr lang="en-GB" sz="1100"/>
            <a:t>lymphoedema garments,</a:t>
          </a:r>
        </a:p>
      </dgm:t>
    </dgm:pt>
    <dgm:pt modelId="{9D583EEB-E6DC-463C-9FF3-82C3E3568EEC}" type="parTrans" cxnId="{C8941EF3-EA9D-4FEE-8850-288EA887B124}">
      <dgm:prSet/>
      <dgm:spPr/>
      <dgm:t>
        <a:bodyPr/>
        <a:lstStyle/>
        <a:p>
          <a:endParaRPr lang="en-GB" sz="1050"/>
        </a:p>
      </dgm:t>
    </dgm:pt>
    <dgm:pt modelId="{DBA625C3-6F9B-4769-9A11-78393E7FB295}" type="sibTrans" cxnId="{C8941EF3-EA9D-4FEE-8850-288EA887B124}">
      <dgm:prSet/>
      <dgm:spPr/>
      <dgm:t>
        <a:bodyPr/>
        <a:lstStyle/>
        <a:p>
          <a:endParaRPr lang="en-GB" sz="1050"/>
        </a:p>
      </dgm:t>
    </dgm:pt>
    <dgm:pt modelId="{ACD3E2E0-32C6-450F-B17F-C51CFF8D42C2}">
      <dgm:prSet phldrT="[Text]" custT="1"/>
      <dgm:spPr>
        <a:ln>
          <a:solidFill>
            <a:schemeClr val="accent1">
              <a:lumMod val="20000"/>
              <a:lumOff val="80000"/>
            </a:schemeClr>
          </a:solidFill>
        </a:ln>
      </dgm:spPr>
      <dgm:t>
        <a:bodyPr/>
        <a:lstStyle/>
        <a:p>
          <a:r>
            <a:rPr lang="en-GB" sz="1100"/>
            <a:t>powered wheelchairs or scooters</a:t>
          </a:r>
        </a:p>
      </dgm:t>
    </dgm:pt>
    <dgm:pt modelId="{76DC3010-645D-40AE-96A0-066DC611F7E9}" type="parTrans" cxnId="{344FA60E-1040-4D0F-9BC5-C949F3F5418D}">
      <dgm:prSet/>
      <dgm:spPr/>
      <dgm:t>
        <a:bodyPr/>
        <a:lstStyle/>
        <a:p>
          <a:endParaRPr lang="en-GB" sz="1050"/>
        </a:p>
      </dgm:t>
    </dgm:pt>
    <dgm:pt modelId="{808DAAC3-94C8-4719-8820-3D592521A28C}" type="sibTrans" cxnId="{344FA60E-1040-4D0F-9BC5-C949F3F5418D}">
      <dgm:prSet/>
      <dgm:spPr/>
      <dgm:t>
        <a:bodyPr/>
        <a:lstStyle/>
        <a:p>
          <a:endParaRPr lang="en-GB" sz="1050"/>
        </a:p>
      </dgm:t>
    </dgm:pt>
    <dgm:pt modelId="{2927CB53-DA6A-4E35-AF31-0DF8B7B97DC7}">
      <dgm:prSet phldrT="[Text]" custT="1"/>
      <dgm:spPr/>
      <dgm:t>
        <a:bodyPr/>
        <a:lstStyle/>
        <a:p>
          <a:r>
            <a:rPr lang="en-GB" sz="1100"/>
            <a:t>body system monitors </a:t>
          </a:r>
          <a:br>
            <a:rPr lang="en-GB" sz="1100"/>
          </a:br>
          <a:r>
            <a:rPr lang="en-GB" sz="1100"/>
            <a:t>(heart, diabetes)</a:t>
          </a:r>
        </a:p>
      </dgm:t>
    </dgm:pt>
    <dgm:pt modelId="{CB954C01-F2E8-41BE-867D-CCB6053429A2}" type="parTrans" cxnId="{61C28A28-AE73-4385-A42F-A615ECC6AE44}">
      <dgm:prSet/>
      <dgm:spPr/>
      <dgm:t>
        <a:bodyPr/>
        <a:lstStyle/>
        <a:p>
          <a:endParaRPr lang="en-GB" sz="1050"/>
        </a:p>
      </dgm:t>
    </dgm:pt>
    <dgm:pt modelId="{5888BEAF-9AE1-483D-8311-877F20BE08F0}" type="sibTrans" cxnId="{61C28A28-AE73-4385-A42F-A615ECC6AE44}">
      <dgm:prSet/>
      <dgm:spPr/>
      <dgm:t>
        <a:bodyPr/>
        <a:lstStyle/>
        <a:p>
          <a:endParaRPr lang="en-GB" sz="1050"/>
        </a:p>
      </dgm:t>
    </dgm:pt>
    <dgm:pt modelId="{41252D9C-68F5-4E2C-940B-4B8A1A6BF5C7}">
      <dgm:prSet phldrT="[Text]" custT="1"/>
      <dgm:spPr/>
      <dgm:t>
        <a:bodyPr/>
        <a:lstStyle/>
        <a:p>
          <a:r>
            <a:rPr lang="en-GB" sz="1100"/>
            <a:t>mobile shower commodes</a:t>
          </a:r>
        </a:p>
      </dgm:t>
    </dgm:pt>
    <dgm:pt modelId="{45AD0933-2DA0-4533-84B9-76BE3B1DD928}" type="parTrans" cxnId="{C7070875-0B46-472E-9F96-81E3FFC4D542}">
      <dgm:prSet/>
      <dgm:spPr/>
      <dgm:t>
        <a:bodyPr/>
        <a:lstStyle/>
        <a:p>
          <a:endParaRPr lang="en-GB" sz="1050"/>
        </a:p>
      </dgm:t>
    </dgm:pt>
    <dgm:pt modelId="{B65F13BC-0100-479F-B2FD-1F7A6FD08504}" type="sibTrans" cxnId="{C7070875-0B46-472E-9F96-81E3FFC4D542}">
      <dgm:prSet/>
      <dgm:spPr/>
      <dgm:t>
        <a:bodyPr/>
        <a:lstStyle/>
        <a:p>
          <a:endParaRPr lang="en-GB" sz="1050"/>
        </a:p>
      </dgm:t>
    </dgm:pt>
    <dgm:pt modelId="{F7F1DE7E-538C-425E-85EE-3F0186E8367A}">
      <dgm:prSet phldrT="[Text]" custT="1"/>
      <dgm:spPr/>
      <dgm:t>
        <a:bodyPr/>
        <a:lstStyle/>
        <a:p>
          <a:r>
            <a:rPr lang="en-GB" sz="1100"/>
            <a:t>walking sticks</a:t>
          </a:r>
        </a:p>
      </dgm:t>
    </dgm:pt>
    <dgm:pt modelId="{88FBBDD8-AE3E-4796-BF95-56A97A3641DC}" type="parTrans" cxnId="{89CB4036-7451-4D55-92FB-D58EB0FCCF88}">
      <dgm:prSet/>
      <dgm:spPr/>
      <dgm:t>
        <a:bodyPr/>
        <a:lstStyle/>
        <a:p>
          <a:endParaRPr lang="en-GB" sz="1050"/>
        </a:p>
      </dgm:t>
    </dgm:pt>
    <dgm:pt modelId="{0B1EE9AF-23C8-4975-8562-EFA04C030BE3}" type="sibTrans" cxnId="{89CB4036-7451-4D55-92FB-D58EB0FCCF88}">
      <dgm:prSet/>
      <dgm:spPr/>
      <dgm:t>
        <a:bodyPr/>
        <a:lstStyle/>
        <a:p>
          <a:endParaRPr lang="en-GB" sz="1050"/>
        </a:p>
      </dgm:t>
    </dgm:pt>
    <dgm:pt modelId="{B1A0A63C-5493-4BC8-8F97-27DE24F74EE8}">
      <dgm:prSet phldrT="[Text]" custT="1"/>
      <dgm:spPr/>
      <dgm:t>
        <a:bodyPr/>
        <a:lstStyle/>
        <a:p>
          <a:r>
            <a:rPr lang="en-GB" sz="1100"/>
            <a:t>wheeled walking frames</a:t>
          </a:r>
        </a:p>
      </dgm:t>
    </dgm:pt>
    <dgm:pt modelId="{BDFACF84-06BE-4414-B1FF-AAD325D50B7E}" type="parTrans" cxnId="{A33C3D27-6B54-47E0-AFAF-1AFE3B7F71CA}">
      <dgm:prSet/>
      <dgm:spPr/>
      <dgm:t>
        <a:bodyPr/>
        <a:lstStyle/>
        <a:p>
          <a:endParaRPr lang="en-GB" sz="1050"/>
        </a:p>
      </dgm:t>
    </dgm:pt>
    <dgm:pt modelId="{548AE8C7-3DC7-4DC2-B833-105F3A77C2E1}" type="sibTrans" cxnId="{A33C3D27-6B54-47E0-AFAF-1AFE3B7F71CA}">
      <dgm:prSet/>
      <dgm:spPr/>
      <dgm:t>
        <a:bodyPr/>
        <a:lstStyle/>
        <a:p>
          <a:endParaRPr lang="en-GB" sz="1050"/>
        </a:p>
      </dgm:t>
    </dgm:pt>
    <dgm:pt modelId="{DDF0898A-C849-489A-B4D0-EA991D977BBD}">
      <dgm:prSet phldrT="[Text]" custT="1"/>
      <dgm:spPr/>
      <dgm:t>
        <a:bodyPr/>
        <a:lstStyle/>
        <a:p>
          <a:r>
            <a:rPr lang="en-GB" sz="1100"/>
            <a:t>manual wheelchairs</a:t>
          </a:r>
        </a:p>
      </dgm:t>
    </dgm:pt>
    <dgm:pt modelId="{819B2578-246B-4C8D-A965-CE5F74AD71BD}" type="parTrans" cxnId="{D6ABA253-CA43-463B-9E1B-476DD5B3455D}">
      <dgm:prSet/>
      <dgm:spPr/>
      <dgm:t>
        <a:bodyPr/>
        <a:lstStyle/>
        <a:p>
          <a:endParaRPr lang="en-GB" sz="1050"/>
        </a:p>
      </dgm:t>
    </dgm:pt>
    <dgm:pt modelId="{BE01EC11-7C8E-47EF-9EB3-904BA2EBC7AB}" type="sibTrans" cxnId="{D6ABA253-CA43-463B-9E1B-476DD5B3455D}">
      <dgm:prSet/>
      <dgm:spPr/>
      <dgm:t>
        <a:bodyPr/>
        <a:lstStyle/>
        <a:p>
          <a:endParaRPr lang="en-GB" sz="1050"/>
        </a:p>
      </dgm:t>
    </dgm:pt>
    <dgm:pt modelId="{D426B825-17E5-40C4-B010-98ED57FA4336}">
      <dgm:prSet phldrT="[Text]" custT="1"/>
      <dgm:spPr/>
      <dgm:t>
        <a:bodyPr/>
        <a:lstStyle/>
        <a:p>
          <a:r>
            <a:rPr lang="en-GB" sz="1100"/>
            <a:t>electric rise/recline armchairs</a:t>
          </a:r>
        </a:p>
      </dgm:t>
    </dgm:pt>
    <dgm:pt modelId="{916A8A30-FDF3-45EE-87CE-A819A65C3985}" type="parTrans" cxnId="{AD579AA4-E58A-48E3-BAA4-57A9ADF2E0F7}">
      <dgm:prSet/>
      <dgm:spPr/>
      <dgm:t>
        <a:bodyPr/>
        <a:lstStyle/>
        <a:p>
          <a:endParaRPr lang="en-GB" sz="1050"/>
        </a:p>
      </dgm:t>
    </dgm:pt>
    <dgm:pt modelId="{8D848E50-1AC0-46D5-9850-D016DE6B871E}" type="sibTrans" cxnId="{AD579AA4-E58A-48E3-BAA4-57A9ADF2E0F7}">
      <dgm:prSet/>
      <dgm:spPr/>
      <dgm:t>
        <a:bodyPr/>
        <a:lstStyle/>
        <a:p>
          <a:endParaRPr lang="en-GB" sz="1050"/>
        </a:p>
      </dgm:t>
    </dgm:pt>
    <dgm:pt modelId="{2216B4C3-B525-4910-913F-533B00C149C8}">
      <dgm:prSet phldrT="[Text]" custT="1"/>
      <dgm:spPr/>
      <dgm:t>
        <a:bodyPr/>
        <a:lstStyle/>
        <a:p>
          <a:r>
            <a:rPr lang="en-GB" sz="1100"/>
            <a:t>hand-held shower hoses</a:t>
          </a:r>
        </a:p>
      </dgm:t>
    </dgm:pt>
    <dgm:pt modelId="{4742C036-D0BD-4E16-B019-B64FBC6C5362}" type="parTrans" cxnId="{453F01C8-F07C-42DA-B215-4EA10E193CD7}">
      <dgm:prSet/>
      <dgm:spPr/>
      <dgm:t>
        <a:bodyPr/>
        <a:lstStyle/>
        <a:p>
          <a:endParaRPr lang="en-GB" sz="1050"/>
        </a:p>
      </dgm:t>
    </dgm:pt>
    <dgm:pt modelId="{5334F100-BC07-45AF-B786-488468669269}" type="sibTrans" cxnId="{453F01C8-F07C-42DA-B215-4EA10E193CD7}">
      <dgm:prSet/>
      <dgm:spPr/>
      <dgm:t>
        <a:bodyPr/>
        <a:lstStyle/>
        <a:p>
          <a:endParaRPr lang="en-GB" sz="1050"/>
        </a:p>
      </dgm:t>
    </dgm:pt>
    <dgm:pt modelId="{B891AA5C-8FE0-4EDC-A09E-1532DBF96620}">
      <dgm:prSet phldrT="[Text]" custT="1"/>
      <dgm:spPr/>
      <dgm:t>
        <a:bodyPr/>
        <a:lstStyle/>
        <a:p>
          <a:r>
            <a:rPr lang="en-GB" sz="1100"/>
            <a:t>audible smoke alarms</a:t>
          </a:r>
        </a:p>
      </dgm:t>
    </dgm:pt>
    <dgm:pt modelId="{81F5CBE8-E450-43AD-910F-FA23DF574616}" type="parTrans" cxnId="{B426E155-AA2D-4388-9019-8C41318F7265}">
      <dgm:prSet/>
      <dgm:spPr/>
      <dgm:t>
        <a:bodyPr/>
        <a:lstStyle/>
        <a:p>
          <a:endParaRPr lang="en-GB" sz="1050"/>
        </a:p>
      </dgm:t>
    </dgm:pt>
    <dgm:pt modelId="{822A0C9B-59AD-4043-A5B3-92911A226507}" type="sibTrans" cxnId="{B426E155-AA2D-4388-9019-8C41318F7265}">
      <dgm:prSet/>
      <dgm:spPr/>
      <dgm:t>
        <a:bodyPr/>
        <a:lstStyle/>
        <a:p>
          <a:endParaRPr lang="en-GB" sz="1050"/>
        </a:p>
      </dgm:t>
    </dgm:pt>
    <dgm:pt modelId="{5B45CE54-CC84-4552-8970-0B05FA270F86}">
      <dgm:prSet phldrT="[Text]" custT="1"/>
      <dgm:spPr/>
      <dgm:t>
        <a:bodyPr/>
        <a:lstStyle/>
        <a:p>
          <a:r>
            <a:rPr lang="en-GB" sz="1100"/>
            <a:t>personal alarms</a:t>
          </a:r>
        </a:p>
      </dgm:t>
    </dgm:pt>
    <dgm:pt modelId="{66346E52-EF38-4872-9691-BBAAE1287938}" type="parTrans" cxnId="{517F2EB7-54D0-4AE1-931F-9AFF5C918A2E}">
      <dgm:prSet/>
      <dgm:spPr/>
      <dgm:t>
        <a:bodyPr/>
        <a:lstStyle/>
        <a:p>
          <a:endParaRPr lang="en-GB" sz="1050"/>
        </a:p>
      </dgm:t>
    </dgm:pt>
    <dgm:pt modelId="{19B4F0C4-5CD7-4DB7-86ED-FB13434B26EC}" type="sibTrans" cxnId="{517F2EB7-54D0-4AE1-931F-9AFF5C918A2E}">
      <dgm:prSet/>
      <dgm:spPr/>
      <dgm:t>
        <a:bodyPr/>
        <a:lstStyle/>
        <a:p>
          <a:endParaRPr lang="en-GB" sz="1050"/>
        </a:p>
      </dgm:t>
    </dgm:pt>
    <dgm:pt modelId="{6351A304-CB4C-4A16-B7A5-9D139A0EE6F6}">
      <dgm:prSet phldrT="[Text]" custT="1"/>
      <dgm:spPr/>
      <dgm:t>
        <a:bodyPr/>
        <a:lstStyle/>
        <a:p>
          <a:r>
            <a:rPr lang="en-GB" sz="1100"/>
            <a:t>computer software</a:t>
          </a:r>
        </a:p>
      </dgm:t>
    </dgm:pt>
    <dgm:pt modelId="{1D85F6D0-0612-4403-9518-747F0C168689}" type="parTrans" cxnId="{8095E8A8-C6EC-44F9-B97D-E9B27EBA682B}">
      <dgm:prSet/>
      <dgm:spPr/>
      <dgm:t>
        <a:bodyPr/>
        <a:lstStyle/>
        <a:p>
          <a:endParaRPr lang="en-GB" sz="1050"/>
        </a:p>
      </dgm:t>
    </dgm:pt>
    <dgm:pt modelId="{4A3FA2B5-E34B-424D-92D4-84931FBCD6B8}" type="sibTrans" cxnId="{8095E8A8-C6EC-44F9-B97D-E9B27EBA682B}">
      <dgm:prSet/>
      <dgm:spPr/>
      <dgm:t>
        <a:bodyPr/>
        <a:lstStyle/>
        <a:p>
          <a:endParaRPr lang="en-GB" sz="1050"/>
        </a:p>
      </dgm:t>
    </dgm:pt>
    <dgm:pt modelId="{C74ED0C6-3F53-4840-B0E5-46286BC2B270}">
      <dgm:prSet phldrT="[Text]" custT="1"/>
      <dgm:spPr/>
      <dgm:t>
        <a:bodyPr/>
        <a:lstStyle/>
        <a:p>
          <a:r>
            <a:rPr lang="en-GB" sz="1100"/>
            <a:t>smart AT systems</a:t>
          </a:r>
        </a:p>
      </dgm:t>
    </dgm:pt>
    <dgm:pt modelId="{C04BA2DE-2542-4C7C-9A29-7E232C871CFC}" type="parTrans" cxnId="{8EE39845-8771-42A1-A9D4-F47476B0F130}">
      <dgm:prSet/>
      <dgm:spPr/>
      <dgm:t>
        <a:bodyPr/>
        <a:lstStyle/>
        <a:p>
          <a:endParaRPr lang="en-GB" sz="1050"/>
        </a:p>
      </dgm:t>
    </dgm:pt>
    <dgm:pt modelId="{860F943B-D9BA-4CA1-8880-423714851BBC}" type="sibTrans" cxnId="{8EE39845-8771-42A1-A9D4-F47476B0F130}">
      <dgm:prSet/>
      <dgm:spPr/>
      <dgm:t>
        <a:bodyPr/>
        <a:lstStyle/>
        <a:p>
          <a:endParaRPr lang="en-GB" sz="1050"/>
        </a:p>
      </dgm:t>
    </dgm:pt>
    <dgm:pt modelId="{02032731-69CF-4C78-AB28-52BEAF7493C6}">
      <dgm:prSet phldrT="[Text]" custT="1"/>
      <dgm:spPr>
        <a:ln>
          <a:solidFill>
            <a:schemeClr val="tx2"/>
          </a:solidFill>
        </a:ln>
      </dgm:spPr>
      <dgm:t>
        <a:bodyPr/>
        <a:lstStyle/>
        <a:p>
          <a:r>
            <a:rPr lang="en-GB" sz="1100"/>
            <a:t>standard wheelchairs</a:t>
          </a:r>
        </a:p>
      </dgm:t>
    </dgm:pt>
    <dgm:pt modelId="{A7B3E862-80D4-486E-A0F8-9B7DE6BA42EA}" type="parTrans" cxnId="{893097E0-020C-49DA-8BB9-4419F3D07916}">
      <dgm:prSet/>
      <dgm:spPr/>
      <dgm:t>
        <a:bodyPr/>
        <a:lstStyle/>
        <a:p>
          <a:endParaRPr lang="en-GB" sz="1050"/>
        </a:p>
      </dgm:t>
    </dgm:pt>
    <dgm:pt modelId="{576D528E-7C4F-40A9-834B-3DA5AE04EA05}" type="sibTrans" cxnId="{893097E0-020C-49DA-8BB9-4419F3D07916}">
      <dgm:prSet/>
      <dgm:spPr/>
      <dgm:t>
        <a:bodyPr/>
        <a:lstStyle/>
        <a:p>
          <a:endParaRPr lang="en-GB" sz="1050"/>
        </a:p>
      </dgm:t>
    </dgm:pt>
    <dgm:pt modelId="{2631CA05-D33A-4992-8313-9049457B49D4}">
      <dgm:prSet phldrT="[Text]" custT="1"/>
      <dgm:spPr>
        <a:ln>
          <a:solidFill>
            <a:schemeClr val="tx2"/>
          </a:solidFill>
        </a:ln>
      </dgm:spPr>
      <dgm:t>
        <a:bodyPr/>
        <a:lstStyle/>
        <a:p>
          <a:r>
            <a:rPr lang="en-GB" sz="1100"/>
            <a:t>basic pressure care cushions</a:t>
          </a:r>
        </a:p>
      </dgm:t>
    </dgm:pt>
    <dgm:pt modelId="{1389E935-5834-4159-937E-D88CC7F80199}" type="parTrans" cxnId="{F76DA78D-4C12-4B22-93A4-E8528FB66EA6}">
      <dgm:prSet/>
      <dgm:spPr/>
      <dgm:t>
        <a:bodyPr/>
        <a:lstStyle/>
        <a:p>
          <a:endParaRPr lang="en-GB" sz="1050"/>
        </a:p>
      </dgm:t>
    </dgm:pt>
    <dgm:pt modelId="{EB75AF73-EBEA-4784-9862-C69B650BBEF7}" type="sibTrans" cxnId="{F76DA78D-4C12-4B22-93A4-E8528FB66EA6}">
      <dgm:prSet/>
      <dgm:spPr/>
      <dgm:t>
        <a:bodyPr/>
        <a:lstStyle/>
        <a:p>
          <a:endParaRPr lang="en-GB" sz="1050"/>
        </a:p>
      </dgm:t>
    </dgm:pt>
    <dgm:pt modelId="{E1065B17-897E-41EC-B6F9-35793D1CE3AE}">
      <dgm:prSet phldrT="[Text]" custT="1"/>
      <dgm:spPr>
        <a:ln>
          <a:solidFill>
            <a:schemeClr val="tx2"/>
          </a:solidFill>
        </a:ln>
      </dgm:spPr>
      <dgm:t>
        <a:bodyPr/>
        <a:lstStyle/>
        <a:p>
          <a:r>
            <a:rPr lang="en-GB" sz="1100"/>
            <a:t>rollators</a:t>
          </a:r>
        </a:p>
      </dgm:t>
    </dgm:pt>
    <dgm:pt modelId="{78356F16-5E40-4ABC-A03C-A9F03101FDD6}" type="parTrans" cxnId="{BCDE9AAB-2E62-4350-844D-B04EE9B4C5F7}">
      <dgm:prSet/>
      <dgm:spPr/>
      <dgm:t>
        <a:bodyPr/>
        <a:lstStyle/>
        <a:p>
          <a:endParaRPr lang="en-GB" sz="1050"/>
        </a:p>
      </dgm:t>
    </dgm:pt>
    <dgm:pt modelId="{B166DBC4-E5DF-451E-83AC-B1C517DC7D6B}" type="sibTrans" cxnId="{BCDE9AAB-2E62-4350-844D-B04EE9B4C5F7}">
      <dgm:prSet/>
      <dgm:spPr/>
      <dgm:t>
        <a:bodyPr/>
        <a:lstStyle/>
        <a:p>
          <a:endParaRPr lang="en-GB" sz="1050"/>
        </a:p>
      </dgm:t>
    </dgm:pt>
    <dgm:pt modelId="{BAC1B50E-39F1-426D-BE41-186339DEC2C5}">
      <dgm:prSet phldrT="[Text]" custT="1"/>
      <dgm:spPr>
        <a:ln>
          <a:solidFill>
            <a:schemeClr val="tx2"/>
          </a:solidFill>
        </a:ln>
      </dgm:spPr>
      <dgm:t>
        <a:bodyPr/>
        <a:lstStyle/>
        <a:p>
          <a:r>
            <a:rPr lang="en-GB" sz="1100"/>
            <a:t>crutches</a:t>
          </a:r>
        </a:p>
      </dgm:t>
    </dgm:pt>
    <dgm:pt modelId="{F5539B3D-A46E-4FF5-8237-E630BB214F25}" type="parTrans" cxnId="{DE6DB361-6C96-4802-AE00-735DFA3613A6}">
      <dgm:prSet/>
      <dgm:spPr/>
      <dgm:t>
        <a:bodyPr/>
        <a:lstStyle/>
        <a:p>
          <a:endParaRPr lang="en-GB" sz="1050"/>
        </a:p>
      </dgm:t>
    </dgm:pt>
    <dgm:pt modelId="{9B921132-B73E-471A-8F2C-C334F8D17F5C}" type="sibTrans" cxnId="{DE6DB361-6C96-4802-AE00-735DFA3613A6}">
      <dgm:prSet/>
      <dgm:spPr/>
      <dgm:t>
        <a:bodyPr/>
        <a:lstStyle/>
        <a:p>
          <a:endParaRPr lang="en-GB" sz="1050"/>
        </a:p>
      </dgm:t>
    </dgm:pt>
    <dgm:pt modelId="{90B47A9E-A0CC-4AFC-95CE-63C0B75B798A}">
      <dgm:prSet phldrT="[Text]" custT="1"/>
      <dgm:spPr>
        <a:ln>
          <a:solidFill>
            <a:schemeClr val="tx2"/>
          </a:solidFill>
        </a:ln>
      </dgm:spPr>
      <dgm:t>
        <a:bodyPr/>
        <a:lstStyle/>
        <a:p>
          <a:r>
            <a:rPr lang="en-GB" sz="1100"/>
            <a:t>daily living aids</a:t>
          </a:r>
        </a:p>
      </dgm:t>
    </dgm:pt>
    <dgm:pt modelId="{3DC0B673-9135-4AD8-AFBB-3B17F315B6C4}" type="parTrans" cxnId="{1E993F23-322D-478E-966D-DC71F8FEE641}">
      <dgm:prSet/>
      <dgm:spPr/>
      <dgm:t>
        <a:bodyPr/>
        <a:lstStyle/>
        <a:p>
          <a:endParaRPr lang="en-GB" sz="1050"/>
        </a:p>
      </dgm:t>
    </dgm:pt>
    <dgm:pt modelId="{178E3458-E814-4EAD-A7AB-116E2F1352A2}" type="sibTrans" cxnId="{1E993F23-322D-478E-966D-DC71F8FEE641}">
      <dgm:prSet/>
      <dgm:spPr/>
      <dgm:t>
        <a:bodyPr/>
        <a:lstStyle/>
        <a:p>
          <a:endParaRPr lang="en-GB" sz="1050"/>
        </a:p>
      </dgm:t>
    </dgm:pt>
    <dgm:pt modelId="{6A9A597B-66A6-4EE7-8AA0-A760C2E6EF3B}">
      <dgm:prSet phldrT="[Text]" custT="1"/>
      <dgm:spPr>
        <a:ln>
          <a:solidFill>
            <a:schemeClr val="tx2"/>
          </a:solidFill>
        </a:ln>
      </dgm:spPr>
      <dgm:t>
        <a:bodyPr/>
        <a:lstStyle/>
        <a:p>
          <a:r>
            <a:rPr lang="en-GB" sz="1100"/>
            <a:t>furniture</a:t>
          </a:r>
        </a:p>
      </dgm:t>
    </dgm:pt>
    <dgm:pt modelId="{949B65CD-9813-46C7-9F35-23D7F117829D}" type="parTrans" cxnId="{B72575F0-7FA3-4D81-8D03-9CCA6FB4A687}">
      <dgm:prSet/>
      <dgm:spPr/>
      <dgm:t>
        <a:bodyPr/>
        <a:lstStyle/>
        <a:p>
          <a:endParaRPr lang="en-GB" sz="1050"/>
        </a:p>
      </dgm:t>
    </dgm:pt>
    <dgm:pt modelId="{8E528FDB-D8F3-45D4-9AB3-B060365A7168}" type="sibTrans" cxnId="{B72575F0-7FA3-4D81-8D03-9CCA6FB4A687}">
      <dgm:prSet/>
      <dgm:spPr/>
      <dgm:t>
        <a:bodyPr/>
        <a:lstStyle/>
        <a:p>
          <a:endParaRPr lang="en-GB" sz="1050"/>
        </a:p>
      </dgm:t>
    </dgm:pt>
    <dgm:pt modelId="{BC32AAAD-2CAB-4D94-AF51-74C64D1C21D0}">
      <dgm:prSet phldrT="[Text]" custT="1"/>
      <dgm:spPr>
        <a:ln>
          <a:solidFill>
            <a:schemeClr val="tx2"/>
          </a:solidFill>
        </a:ln>
      </dgm:spPr>
      <dgm:t>
        <a:bodyPr/>
        <a:lstStyle/>
        <a:p>
          <a:r>
            <a:rPr lang="en-GB" sz="1100"/>
            <a:t>bathroom and toilet aids</a:t>
          </a:r>
        </a:p>
      </dgm:t>
    </dgm:pt>
    <dgm:pt modelId="{F26F9BAB-0B57-4CB9-972E-87AC3AC8E6A6}" type="parTrans" cxnId="{7BDD7CE8-BECD-473E-A770-24B380529FD8}">
      <dgm:prSet/>
      <dgm:spPr/>
      <dgm:t>
        <a:bodyPr/>
        <a:lstStyle/>
        <a:p>
          <a:endParaRPr lang="en-GB" sz="1050"/>
        </a:p>
      </dgm:t>
    </dgm:pt>
    <dgm:pt modelId="{7A5706DD-4D38-49EF-9EA8-0A3B2A216603}" type="sibTrans" cxnId="{7BDD7CE8-BECD-473E-A770-24B380529FD8}">
      <dgm:prSet/>
      <dgm:spPr/>
      <dgm:t>
        <a:bodyPr/>
        <a:lstStyle/>
        <a:p>
          <a:endParaRPr lang="en-GB" sz="1050"/>
        </a:p>
      </dgm:t>
    </dgm:pt>
    <dgm:pt modelId="{C4B6FE0A-9E99-405A-91B3-57FB0111DF72}">
      <dgm:prSet phldrT="[Text]" custT="1"/>
      <dgm:spPr>
        <a:ln>
          <a:solidFill>
            <a:schemeClr val="tx2"/>
          </a:solidFill>
        </a:ln>
      </dgm:spPr>
      <dgm:t>
        <a:bodyPr/>
        <a:lstStyle/>
        <a:p>
          <a:r>
            <a:rPr lang="en-GB" sz="1100"/>
            <a:t>ramps</a:t>
          </a:r>
        </a:p>
      </dgm:t>
    </dgm:pt>
    <dgm:pt modelId="{B777385B-31F2-4694-9DCA-DC7BC3AE27BA}" type="parTrans" cxnId="{2B8C93AA-BB50-4159-9427-5FFA54BD48D9}">
      <dgm:prSet/>
      <dgm:spPr/>
      <dgm:t>
        <a:bodyPr/>
        <a:lstStyle/>
        <a:p>
          <a:endParaRPr lang="en-GB" sz="1050"/>
        </a:p>
      </dgm:t>
    </dgm:pt>
    <dgm:pt modelId="{DAF812EC-9C5D-4BF5-940F-00741C74AF0A}" type="sibTrans" cxnId="{2B8C93AA-BB50-4159-9427-5FFA54BD48D9}">
      <dgm:prSet/>
      <dgm:spPr/>
      <dgm:t>
        <a:bodyPr/>
        <a:lstStyle/>
        <a:p>
          <a:endParaRPr lang="en-GB" sz="1050"/>
        </a:p>
      </dgm:t>
    </dgm:pt>
    <dgm:pt modelId="{17F8C5F7-7A41-4654-A870-8D4D8849CF0F}">
      <dgm:prSet phldrT="[Text]" custT="1"/>
      <dgm:spPr>
        <a:ln>
          <a:solidFill>
            <a:schemeClr val="tx2"/>
          </a:solidFill>
        </a:ln>
      </dgm:spPr>
      <dgm:t>
        <a:bodyPr/>
        <a:lstStyle/>
        <a:p>
          <a:r>
            <a:rPr lang="en-GB" sz="1100"/>
            <a:t>etc</a:t>
          </a:r>
        </a:p>
      </dgm:t>
    </dgm:pt>
    <dgm:pt modelId="{2EF3B6D7-C935-4ECB-BEFA-E5DEDD26CEEA}" type="parTrans" cxnId="{02F90991-1ACC-46F5-8C79-FE5C91AC20C1}">
      <dgm:prSet/>
      <dgm:spPr/>
      <dgm:t>
        <a:bodyPr/>
        <a:lstStyle/>
        <a:p>
          <a:endParaRPr lang="en-GB" sz="1050"/>
        </a:p>
      </dgm:t>
    </dgm:pt>
    <dgm:pt modelId="{BF903551-30E1-4CC5-8F47-6B34706EAB5A}" type="sibTrans" cxnId="{02F90991-1ACC-46F5-8C79-FE5C91AC20C1}">
      <dgm:prSet/>
      <dgm:spPr/>
      <dgm:t>
        <a:bodyPr/>
        <a:lstStyle/>
        <a:p>
          <a:endParaRPr lang="en-GB" sz="1050"/>
        </a:p>
      </dgm:t>
    </dgm:pt>
    <dgm:pt modelId="{3D8BD9D0-7277-4D96-A2DB-67497A87FCD5}" type="pres">
      <dgm:prSet presAssocID="{D5585015-840B-42F5-B6EB-C59F85A90637}" presName="Name0" presStyleCnt="0">
        <dgm:presLayoutVars>
          <dgm:dir/>
          <dgm:animLvl val="lvl"/>
          <dgm:resizeHandles val="exact"/>
        </dgm:presLayoutVars>
      </dgm:prSet>
      <dgm:spPr/>
    </dgm:pt>
    <dgm:pt modelId="{2C4E31A0-19B9-44A7-AD50-5DF651E7E592}" type="pres">
      <dgm:prSet presAssocID="{2EFC06C7-E069-481E-9649-254CD614B1A8}" presName="Name8" presStyleCnt="0"/>
      <dgm:spPr/>
    </dgm:pt>
    <dgm:pt modelId="{B6E16CD9-E69E-4829-8D23-8C5F31FA4F39}" type="pres">
      <dgm:prSet presAssocID="{2EFC06C7-E069-481E-9649-254CD614B1A8}" presName="acctBkgd" presStyleLbl="alignAcc1" presStyleIdx="0" presStyleCnt="3"/>
      <dgm:spPr/>
      <dgm:t>
        <a:bodyPr/>
        <a:lstStyle/>
        <a:p>
          <a:endParaRPr lang="en-US"/>
        </a:p>
      </dgm:t>
    </dgm:pt>
    <dgm:pt modelId="{B5A662E0-2179-4410-874F-D3FDD2DF0A4E}" type="pres">
      <dgm:prSet presAssocID="{2EFC06C7-E069-481E-9649-254CD614B1A8}" presName="acctTx" presStyleLbl="alignAcc1" presStyleIdx="0" presStyleCnt="3">
        <dgm:presLayoutVars>
          <dgm:bulletEnabled val="1"/>
        </dgm:presLayoutVars>
      </dgm:prSet>
      <dgm:spPr/>
      <dgm:t>
        <a:bodyPr/>
        <a:lstStyle/>
        <a:p>
          <a:endParaRPr lang="en-US"/>
        </a:p>
      </dgm:t>
    </dgm:pt>
    <dgm:pt modelId="{E74711D0-BD8B-48E3-86C7-3A3DA20ED23C}" type="pres">
      <dgm:prSet presAssocID="{2EFC06C7-E069-481E-9649-254CD614B1A8}" presName="level" presStyleLbl="node1" presStyleIdx="0" presStyleCnt="3">
        <dgm:presLayoutVars>
          <dgm:chMax val="1"/>
          <dgm:bulletEnabled val="1"/>
        </dgm:presLayoutVars>
      </dgm:prSet>
      <dgm:spPr/>
      <dgm:t>
        <a:bodyPr/>
        <a:lstStyle/>
        <a:p>
          <a:endParaRPr lang="en-US"/>
        </a:p>
      </dgm:t>
    </dgm:pt>
    <dgm:pt modelId="{1090A4F3-28AC-4646-AE4F-166756E4333E}" type="pres">
      <dgm:prSet presAssocID="{2EFC06C7-E069-481E-9649-254CD614B1A8}" presName="levelTx" presStyleLbl="revTx" presStyleIdx="0" presStyleCnt="0">
        <dgm:presLayoutVars>
          <dgm:chMax val="1"/>
          <dgm:bulletEnabled val="1"/>
        </dgm:presLayoutVars>
      </dgm:prSet>
      <dgm:spPr/>
      <dgm:t>
        <a:bodyPr/>
        <a:lstStyle/>
        <a:p>
          <a:endParaRPr lang="en-US"/>
        </a:p>
      </dgm:t>
    </dgm:pt>
    <dgm:pt modelId="{E18D62E8-24CD-4D8A-97B6-FE55B259C1A0}" type="pres">
      <dgm:prSet presAssocID="{A4CF0163-FBC1-47BB-A494-D4EEE9A27058}" presName="Name8" presStyleCnt="0"/>
      <dgm:spPr/>
    </dgm:pt>
    <dgm:pt modelId="{FF4288CA-F0A0-4402-910F-684DA79CAC94}" type="pres">
      <dgm:prSet presAssocID="{A4CF0163-FBC1-47BB-A494-D4EEE9A27058}" presName="acctBkgd" presStyleLbl="alignAcc1" presStyleIdx="1" presStyleCnt="3"/>
      <dgm:spPr/>
      <dgm:t>
        <a:bodyPr/>
        <a:lstStyle/>
        <a:p>
          <a:endParaRPr lang="en-US"/>
        </a:p>
      </dgm:t>
    </dgm:pt>
    <dgm:pt modelId="{64B37D44-BD1D-4ABC-BC8D-13F1FC23B18C}" type="pres">
      <dgm:prSet presAssocID="{A4CF0163-FBC1-47BB-A494-D4EEE9A27058}" presName="acctTx" presStyleLbl="alignAcc1" presStyleIdx="1" presStyleCnt="3">
        <dgm:presLayoutVars>
          <dgm:bulletEnabled val="1"/>
        </dgm:presLayoutVars>
      </dgm:prSet>
      <dgm:spPr/>
      <dgm:t>
        <a:bodyPr/>
        <a:lstStyle/>
        <a:p>
          <a:endParaRPr lang="en-US"/>
        </a:p>
      </dgm:t>
    </dgm:pt>
    <dgm:pt modelId="{DC89F502-6553-40B7-88DA-C09A69C6A7E5}" type="pres">
      <dgm:prSet presAssocID="{A4CF0163-FBC1-47BB-A494-D4EEE9A27058}" presName="level" presStyleLbl="node1" presStyleIdx="1" presStyleCnt="3" custScaleY="165219">
        <dgm:presLayoutVars>
          <dgm:chMax val="1"/>
          <dgm:bulletEnabled val="1"/>
        </dgm:presLayoutVars>
      </dgm:prSet>
      <dgm:spPr/>
      <dgm:t>
        <a:bodyPr/>
        <a:lstStyle/>
        <a:p>
          <a:endParaRPr lang="en-US"/>
        </a:p>
      </dgm:t>
    </dgm:pt>
    <dgm:pt modelId="{DAE8CBD6-4920-4308-8727-11E90E6BAB7A}" type="pres">
      <dgm:prSet presAssocID="{A4CF0163-FBC1-47BB-A494-D4EEE9A27058}" presName="levelTx" presStyleLbl="revTx" presStyleIdx="0" presStyleCnt="0">
        <dgm:presLayoutVars>
          <dgm:chMax val="1"/>
          <dgm:bulletEnabled val="1"/>
        </dgm:presLayoutVars>
      </dgm:prSet>
      <dgm:spPr/>
      <dgm:t>
        <a:bodyPr/>
        <a:lstStyle/>
        <a:p>
          <a:endParaRPr lang="en-US"/>
        </a:p>
      </dgm:t>
    </dgm:pt>
    <dgm:pt modelId="{4A50DCFB-A0F6-4086-B94F-FC0C5711622E}" type="pres">
      <dgm:prSet presAssocID="{E1BD5954-2AC6-480B-983A-E963BCC951ED}" presName="Name8" presStyleCnt="0"/>
      <dgm:spPr/>
    </dgm:pt>
    <dgm:pt modelId="{FC2F7EE9-39C2-4AF1-8B94-0FBAC4C92C0D}" type="pres">
      <dgm:prSet presAssocID="{E1BD5954-2AC6-480B-983A-E963BCC951ED}" presName="acctBkgd" presStyleLbl="alignAcc1" presStyleIdx="2" presStyleCnt="3"/>
      <dgm:spPr/>
      <dgm:t>
        <a:bodyPr/>
        <a:lstStyle/>
        <a:p>
          <a:endParaRPr lang="en-US"/>
        </a:p>
      </dgm:t>
    </dgm:pt>
    <dgm:pt modelId="{E4CE0F35-922C-4E3D-A768-B42A49819F4D}" type="pres">
      <dgm:prSet presAssocID="{E1BD5954-2AC6-480B-983A-E963BCC951ED}" presName="acctTx" presStyleLbl="alignAcc1" presStyleIdx="2" presStyleCnt="3">
        <dgm:presLayoutVars>
          <dgm:bulletEnabled val="1"/>
        </dgm:presLayoutVars>
      </dgm:prSet>
      <dgm:spPr/>
      <dgm:t>
        <a:bodyPr/>
        <a:lstStyle/>
        <a:p>
          <a:endParaRPr lang="en-US"/>
        </a:p>
      </dgm:t>
    </dgm:pt>
    <dgm:pt modelId="{D304E41B-FDA1-4FF7-9369-01A21E4B0511}" type="pres">
      <dgm:prSet presAssocID="{E1BD5954-2AC6-480B-983A-E963BCC951ED}" presName="level" presStyleLbl="node1" presStyleIdx="2" presStyleCnt="3" custScaleY="141738">
        <dgm:presLayoutVars>
          <dgm:chMax val="1"/>
          <dgm:bulletEnabled val="1"/>
        </dgm:presLayoutVars>
      </dgm:prSet>
      <dgm:spPr/>
      <dgm:t>
        <a:bodyPr/>
        <a:lstStyle/>
        <a:p>
          <a:endParaRPr lang="en-US"/>
        </a:p>
      </dgm:t>
    </dgm:pt>
    <dgm:pt modelId="{6DD1EC01-57C2-4772-A5C7-ABBD3CA55F06}" type="pres">
      <dgm:prSet presAssocID="{E1BD5954-2AC6-480B-983A-E963BCC951ED}" presName="levelTx" presStyleLbl="revTx" presStyleIdx="0" presStyleCnt="0">
        <dgm:presLayoutVars>
          <dgm:chMax val="1"/>
          <dgm:bulletEnabled val="1"/>
        </dgm:presLayoutVars>
      </dgm:prSet>
      <dgm:spPr/>
      <dgm:t>
        <a:bodyPr/>
        <a:lstStyle/>
        <a:p>
          <a:endParaRPr lang="en-US"/>
        </a:p>
      </dgm:t>
    </dgm:pt>
  </dgm:ptLst>
  <dgm:cxnLst>
    <dgm:cxn modelId="{2B8C93AA-BB50-4159-9427-5FFA54BD48D9}" srcId="{E1BD5954-2AC6-480B-983A-E963BCC951ED}" destId="{C4B6FE0A-9E99-405A-91B3-57FB0111DF72}" srcOrd="7" destOrd="0" parTransId="{B777385B-31F2-4694-9DCA-DC7BC3AE27BA}" sibTransId="{DAF812EC-9C5D-4BF5-940F-00741C74AF0A}"/>
    <dgm:cxn modelId="{F76DA78D-4C12-4B22-93A4-E8528FB66EA6}" srcId="{E1BD5954-2AC6-480B-983A-E963BCC951ED}" destId="{2631CA05-D33A-4992-8313-9049457B49D4}" srcOrd="1" destOrd="0" parTransId="{1389E935-5834-4159-937E-D88CC7F80199}" sibTransId="{EB75AF73-EBEA-4784-9862-C69B650BBEF7}"/>
    <dgm:cxn modelId="{FC182712-84EB-4D71-B04F-BAEB031B7DD7}" type="presOf" srcId="{D426B825-17E5-40C4-B010-98ED57FA4336}" destId="{64B37D44-BD1D-4ABC-BC8D-13F1FC23B18C}" srcOrd="1" destOrd="5" presId="urn:microsoft.com/office/officeart/2005/8/layout/pyramid1"/>
    <dgm:cxn modelId="{8A1D41E8-009B-484F-831E-3D31338F74A8}" type="presOf" srcId="{41252D9C-68F5-4E2C-940B-4B8A1A6BF5C7}" destId="{FF4288CA-F0A0-4402-910F-684DA79CAC94}" srcOrd="0" destOrd="1" presId="urn:microsoft.com/office/officeart/2005/8/layout/pyramid1"/>
    <dgm:cxn modelId="{7C94080F-B595-486A-AB0F-D9FD1C41B1EF}" type="presOf" srcId="{02032731-69CF-4C78-AB28-52BEAF7493C6}" destId="{FC2F7EE9-39C2-4AF1-8B94-0FBAC4C92C0D}" srcOrd="0" destOrd="0" presId="urn:microsoft.com/office/officeart/2005/8/layout/pyramid1"/>
    <dgm:cxn modelId="{219DC187-9807-49F7-8FE6-3A6D022E9434}" type="presOf" srcId="{2216B4C3-B525-4910-913F-533B00C149C8}" destId="{64B37D44-BD1D-4ABC-BC8D-13F1FC23B18C}" srcOrd="1" destOrd="6" presId="urn:microsoft.com/office/officeart/2005/8/layout/pyramid1"/>
    <dgm:cxn modelId="{D6ABA253-CA43-463B-9E1B-476DD5B3455D}" srcId="{A4CF0163-FBC1-47BB-A494-D4EEE9A27058}" destId="{DDF0898A-C849-489A-B4D0-EA991D977BBD}" srcOrd="4" destOrd="0" parTransId="{819B2578-246B-4C8D-A965-CE5F74AD71BD}" sibTransId="{BE01EC11-7C8E-47EF-9EB3-904BA2EBC7AB}"/>
    <dgm:cxn modelId="{89CB4036-7451-4D55-92FB-D58EB0FCCF88}" srcId="{A4CF0163-FBC1-47BB-A494-D4EEE9A27058}" destId="{F7F1DE7E-538C-425E-85EE-3F0186E8367A}" srcOrd="2" destOrd="0" parTransId="{88FBBDD8-AE3E-4796-BF95-56A97A3641DC}" sibTransId="{0B1EE9AF-23C8-4975-8562-EFA04C030BE3}"/>
    <dgm:cxn modelId="{FAF3241C-C715-417F-A301-9D631EAEC7F3}" type="presOf" srcId="{17F8C5F7-7A41-4654-A870-8D4D8849CF0F}" destId="{FC2F7EE9-39C2-4AF1-8B94-0FBAC4C92C0D}" srcOrd="0" destOrd="8" presId="urn:microsoft.com/office/officeart/2005/8/layout/pyramid1"/>
    <dgm:cxn modelId="{F36F077F-C9D0-4A06-AFB2-9828F654DD11}" srcId="{2EFC06C7-E069-481E-9649-254CD614B1A8}" destId="{2D25FD50-1298-4E6D-876F-E481A183477A}" srcOrd="0" destOrd="0" parTransId="{99BDE59B-A455-430C-97E8-30853209129D}" sibTransId="{C12E62A7-C03F-4BF4-B96F-44DBDE649DA6}"/>
    <dgm:cxn modelId="{B5F70436-55A4-4623-B425-909B825FFB7C}" type="presOf" srcId="{C74ED0C6-3F53-4840-B0E5-46286BC2B270}" destId="{64B37D44-BD1D-4ABC-BC8D-13F1FC23B18C}" srcOrd="1" destOrd="10" presId="urn:microsoft.com/office/officeart/2005/8/layout/pyramid1"/>
    <dgm:cxn modelId="{3A3AB6AE-A75E-43F9-A0A8-7119CFBB385E}" type="presOf" srcId="{2631CA05-D33A-4992-8313-9049457B49D4}" destId="{E4CE0F35-922C-4E3D-A768-B42A49819F4D}" srcOrd="1" destOrd="1" presId="urn:microsoft.com/office/officeart/2005/8/layout/pyramid1"/>
    <dgm:cxn modelId="{63E68460-297A-4DAC-A886-680A438B75A5}" type="presOf" srcId="{ACD3E2E0-32C6-450F-B17F-C51CFF8D42C2}" destId="{B6E16CD9-E69E-4829-8D23-8C5F31FA4F39}" srcOrd="0" destOrd="5" presId="urn:microsoft.com/office/officeart/2005/8/layout/pyramid1"/>
    <dgm:cxn modelId="{A33C3D27-6B54-47E0-AFAF-1AFE3B7F71CA}" srcId="{A4CF0163-FBC1-47BB-A494-D4EEE9A27058}" destId="{B1A0A63C-5493-4BC8-8F97-27DE24F74EE8}" srcOrd="3" destOrd="0" parTransId="{BDFACF84-06BE-4414-B1FF-AAD325D50B7E}" sibTransId="{548AE8C7-3DC7-4DC2-B833-105F3A77C2E1}"/>
    <dgm:cxn modelId="{354891FD-6046-424C-B3DA-9176E7799D01}" srcId="{2EFC06C7-E069-481E-9649-254CD614B1A8}" destId="{6222D6BC-9327-423A-8642-BEE88615D142}" srcOrd="3" destOrd="0" parTransId="{8BE88102-2FDB-4B01-B510-5874DC5C2B06}" sibTransId="{A5592784-10B1-4C21-8C1A-6A9B8899B5B6}"/>
    <dgm:cxn modelId="{56268A10-3D2C-4B68-8C2F-EC7A74EC7B48}" type="presOf" srcId="{ACD3E2E0-32C6-450F-B17F-C51CFF8D42C2}" destId="{B5A662E0-2179-4410-874F-D3FDD2DF0A4E}" srcOrd="1" destOrd="5" presId="urn:microsoft.com/office/officeart/2005/8/layout/pyramid1"/>
    <dgm:cxn modelId="{DE5C69B5-8CF0-472F-9A0A-6D542ED75383}" type="presOf" srcId="{2216B4C3-B525-4910-913F-533B00C149C8}" destId="{FF4288CA-F0A0-4402-910F-684DA79CAC94}" srcOrd="0" destOrd="6" presId="urn:microsoft.com/office/officeart/2005/8/layout/pyramid1"/>
    <dgm:cxn modelId="{686121C5-BB5E-4FDE-BAB6-83DEC70BA6DD}" type="presOf" srcId="{C74ED0C6-3F53-4840-B0E5-46286BC2B270}" destId="{FF4288CA-F0A0-4402-910F-684DA79CAC94}" srcOrd="0" destOrd="10" presId="urn:microsoft.com/office/officeart/2005/8/layout/pyramid1"/>
    <dgm:cxn modelId="{3AA60909-DC5A-430B-9F0E-7C4D20903397}" type="presOf" srcId="{A4CF0163-FBC1-47BB-A494-D4EEE9A27058}" destId="{DAE8CBD6-4920-4308-8727-11E90E6BAB7A}" srcOrd="1" destOrd="0" presId="urn:microsoft.com/office/officeart/2005/8/layout/pyramid1"/>
    <dgm:cxn modelId="{8267B80B-0A00-48B5-9219-BFAE4B1ABF83}" type="presOf" srcId="{D8BC3F0B-5E66-427B-9841-FC9DEBBE8B1B}" destId="{B5A662E0-2179-4410-874F-D3FDD2DF0A4E}" srcOrd="1" destOrd="1" presId="urn:microsoft.com/office/officeart/2005/8/layout/pyramid1"/>
    <dgm:cxn modelId="{53C5C80A-9AF4-4947-B297-929E5D3BCEA7}" srcId="{D5585015-840B-42F5-B6EB-C59F85A90637}" destId="{2EFC06C7-E069-481E-9649-254CD614B1A8}" srcOrd="0" destOrd="0" parTransId="{6E6D3C1D-6AA4-4251-ACE0-A9F3188B9706}" sibTransId="{0F4A71FA-9689-45CA-89C2-85FF6D69156D}"/>
    <dgm:cxn modelId="{C7070875-0B46-472E-9F96-81E3FFC4D542}" srcId="{A4CF0163-FBC1-47BB-A494-D4EEE9A27058}" destId="{41252D9C-68F5-4E2C-940B-4B8A1A6BF5C7}" srcOrd="1" destOrd="0" parTransId="{45AD0933-2DA0-4533-84B9-76BE3B1DD928}" sibTransId="{B65F13BC-0100-479F-B2FD-1F7A6FD08504}"/>
    <dgm:cxn modelId="{CCB0EDCD-28E0-44E7-ACAA-25709C92CA6A}" type="presOf" srcId="{DDF0898A-C849-489A-B4D0-EA991D977BBD}" destId="{64B37D44-BD1D-4ABC-BC8D-13F1FC23B18C}" srcOrd="1" destOrd="4" presId="urn:microsoft.com/office/officeart/2005/8/layout/pyramid1"/>
    <dgm:cxn modelId="{B56946D9-0E75-487E-BCD7-9905C5EE135A}" type="presOf" srcId="{2EFC06C7-E069-481E-9649-254CD614B1A8}" destId="{E74711D0-BD8B-48E3-86C7-3A3DA20ED23C}" srcOrd="0" destOrd="0" presId="urn:microsoft.com/office/officeart/2005/8/layout/pyramid1"/>
    <dgm:cxn modelId="{901A5EC6-4166-4F55-930C-2EFEB7B71DB8}" type="presOf" srcId="{2927CB53-DA6A-4E35-AF31-0DF8B7B97DC7}" destId="{64B37D44-BD1D-4ABC-BC8D-13F1FC23B18C}" srcOrd="1" destOrd="0" presId="urn:microsoft.com/office/officeart/2005/8/layout/pyramid1"/>
    <dgm:cxn modelId="{B27DE15F-C7FB-4E99-A45C-C4569860C225}" srcId="{2EFC06C7-E069-481E-9649-254CD614B1A8}" destId="{1DEB5C08-2C5C-406C-A927-312519E9AEBD}" srcOrd="2" destOrd="0" parTransId="{788D0BC4-506F-4193-8F6C-C8E755ABD7EB}" sibTransId="{66FA168D-44AE-400C-9578-6159C1D92A74}"/>
    <dgm:cxn modelId="{DE6DB361-6C96-4802-AE00-735DFA3613A6}" srcId="{E1BD5954-2AC6-480B-983A-E963BCC951ED}" destId="{BAC1B50E-39F1-426D-BE41-186339DEC2C5}" srcOrd="3" destOrd="0" parTransId="{F5539B3D-A46E-4FF5-8237-E630BB214F25}" sibTransId="{9B921132-B73E-471A-8F2C-C334F8D17F5C}"/>
    <dgm:cxn modelId="{02F90991-1ACC-46F5-8C79-FE5C91AC20C1}" srcId="{E1BD5954-2AC6-480B-983A-E963BCC951ED}" destId="{17F8C5F7-7A41-4654-A870-8D4D8849CF0F}" srcOrd="8" destOrd="0" parTransId="{2EF3B6D7-C935-4ECB-BEFA-E5DEDD26CEEA}" sibTransId="{BF903551-30E1-4CC5-8F47-6B34706EAB5A}"/>
    <dgm:cxn modelId="{F5448195-159C-4121-BB12-50931B05708F}" type="presOf" srcId="{6222D6BC-9327-423A-8642-BEE88615D142}" destId="{B6E16CD9-E69E-4829-8D23-8C5F31FA4F39}" srcOrd="0" destOrd="3" presId="urn:microsoft.com/office/officeart/2005/8/layout/pyramid1"/>
    <dgm:cxn modelId="{0D805CEF-CD9B-4B0C-A2F4-5DA0867E3A21}" type="presOf" srcId="{E1065B17-897E-41EC-B6F9-35793D1CE3AE}" destId="{E4CE0F35-922C-4E3D-A768-B42A49819F4D}" srcOrd="1" destOrd="2" presId="urn:microsoft.com/office/officeart/2005/8/layout/pyramid1"/>
    <dgm:cxn modelId="{8BFD92AF-2147-415F-9086-793052EF862D}" type="presOf" srcId="{BC32AAAD-2CAB-4D94-AF51-74C64D1C21D0}" destId="{FC2F7EE9-39C2-4AF1-8B94-0FBAC4C92C0D}" srcOrd="0" destOrd="6" presId="urn:microsoft.com/office/officeart/2005/8/layout/pyramid1"/>
    <dgm:cxn modelId="{3415DE3B-2904-4939-B95C-893FEB31935B}" srcId="{D5585015-840B-42F5-B6EB-C59F85A90637}" destId="{A4CF0163-FBC1-47BB-A494-D4EEE9A27058}" srcOrd="1" destOrd="0" parTransId="{F0C26744-8A29-4B85-982B-50A2CD91DFD3}" sibTransId="{9084BCF6-AA93-4FFB-82DD-6BFFCE29B02C}"/>
    <dgm:cxn modelId="{A2D224BF-981B-4AB5-A05B-5217CCCE1F66}" type="presOf" srcId="{D8BC3F0B-5E66-427B-9841-FC9DEBBE8B1B}" destId="{B6E16CD9-E69E-4829-8D23-8C5F31FA4F39}" srcOrd="0" destOrd="1" presId="urn:microsoft.com/office/officeart/2005/8/layout/pyramid1"/>
    <dgm:cxn modelId="{9D602636-8CD9-40F3-B41C-410634AF4F11}" type="presOf" srcId="{17F8C5F7-7A41-4654-A870-8D4D8849CF0F}" destId="{E4CE0F35-922C-4E3D-A768-B42A49819F4D}" srcOrd="1" destOrd="8" presId="urn:microsoft.com/office/officeart/2005/8/layout/pyramid1"/>
    <dgm:cxn modelId="{CBDE5CB1-B755-4247-8A01-267FFB8E4AEB}" type="presOf" srcId="{BAC1B50E-39F1-426D-BE41-186339DEC2C5}" destId="{E4CE0F35-922C-4E3D-A768-B42A49819F4D}" srcOrd="1" destOrd="3" presId="urn:microsoft.com/office/officeart/2005/8/layout/pyramid1"/>
    <dgm:cxn modelId="{CA722B0A-398B-407A-9A1D-633C07D1A74A}" type="presOf" srcId="{A4CF0163-FBC1-47BB-A494-D4EEE9A27058}" destId="{DC89F502-6553-40B7-88DA-C09A69C6A7E5}" srcOrd="0" destOrd="0" presId="urn:microsoft.com/office/officeart/2005/8/layout/pyramid1"/>
    <dgm:cxn modelId="{8095E8A8-C6EC-44F9-B97D-E9B27EBA682B}" srcId="{A4CF0163-FBC1-47BB-A494-D4EEE9A27058}" destId="{6351A304-CB4C-4A16-B7A5-9D139A0EE6F6}" srcOrd="9" destOrd="0" parTransId="{1D85F6D0-0612-4403-9518-747F0C168689}" sibTransId="{4A3FA2B5-E34B-424D-92D4-84931FBCD6B8}"/>
    <dgm:cxn modelId="{9D04A5C6-D8DD-41A9-B3DC-6D9922F46012}" type="presOf" srcId="{BC32AAAD-2CAB-4D94-AF51-74C64D1C21D0}" destId="{E4CE0F35-922C-4E3D-A768-B42A49819F4D}" srcOrd="1" destOrd="6" presId="urn:microsoft.com/office/officeart/2005/8/layout/pyramid1"/>
    <dgm:cxn modelId="{55092EAC-7ED6-4665-96E1-68E4946C85AE}" type="presOf" srcId="{DDF0898A-C849-489A-B4D0-EA991D977BBD}" destId="{FF4288CA-F0A0-4402-910F-684DA79CAC94}" srcOrd="0" destOrd="4" presId="urn:microsoft.com/office/officeart/2005/8/layout/pyramid1"/>
    <dgm:cxn modelId="{31E927AA-3382-44AF-812D-521C0A603467}" type="presOf" srcId="{B1A0A63C-5493-4BC8-8F97-27DE24F74EE8}" destId="{64B37D44-BD1D-4ABC-BC8D-13F1FC23B18C}" srcOrd="1" destOrd="3" presId="urn:microsoft.com/office/officeart/2005/8/layout/pyramid1"/>
    <dgm:cxn modelId="{8CB12602-5220-4EB1-8B2C-9508E2FAEA2E}" type="presOf" srcId="{B891AA5C-8FE0-4EDC-A09E-1532DBF96620}" destId="{FF4288CA-F0A0-4402-910F-684DA79CAC94}" srcOrd="0" destOrd="7" presId="urn:microsoft.com/office/officeart/2005/8/layout/pyramid1"/>
    <dgm:cxn modelId="{4C3563BC-4A72-4ED9-B5E1-A022A9719F1F}" type="presOf" srcId="{5B45CE54-CC84-4552-8970-0B05FA270F86}" destId="{FF4288CA-F0A0-4402-910F-684DA79CAC94}" srcOrd="0" destOrd="8" presId="urn:microsoft.com/office/officeart/2005/8/layout/pyramid1"/>
    <dgm:cxn modelId="{167CF458-BD69-4602-A09E-C46F171D3520}" type="presOf" srcId="{6222D6BC-9327-423A-8642-BEE88615D142}" destId="{B5A662E0-2179-4410-874F-D3FDD2DF0A4E}" srcOrd="1" destOrd="3" presId="urn:microsoft.com/office/officeart/2005/8/layout/pyramid1"/>
    <dgm:cxn modelId="{08CF959C-1BE2-40EE-AE89-07C9323DF0DD}" type="presOf" srcId="{B1A0A63C-5493-4BC8-8F97-27DE24F74EE8}" destId="{FF4288CA-F0A0-4402-910F-684DA79CAC94}" srcOrd="0" destOrd="3" presId="urn:microsoft.com/office/officeart/2005/8/layout/pyramid1"/>
    <dgm:cxn modelId="{01C5260E-5FEA-4655-883A-E36453A406F1}" type="presOf" srcId="{E1065B17-897E-41EC-B6F9-35793D1CE3AE}" destId="{FC2F7EE9-39C2-4AF1-8B94-0FBAC4C92C0D}" srcOrd="0" destOrd="2" presId="urn:microsoft.com/office/officeart/2005/8/layout/pyramid1"/>
    <dgm:cxn modelId="{517F2EB7-54D0-4AE1-931F-9AFF5C918A2E}" srcId="{A4CF0163-FBC1-47BB-A494-D4EEE9A27058}" destId="{5B45CE54-CC84-4552-8970-0B05FA270F86}" srcOrd="8" destOrd="0" parTransId="{66346E52-EF38-4872-9691-BBAAE1287938}" sibTransId="{19B4F0C4-5CD7-4DB7-86ED-FB13434B26EC}"/>
    <dgm:cxn modelId="{4C25F2A6-A87D-4998-9EE5-968C290C9770}" type="presOf" srcId="{F7F1DE7E-538C-425E-85EE-3F0186E8367A}" destId="{FF4288CA-F0A0-4402-910F-684DA79CAC94}" srcOrd="0" destOrd="2" presId="urn:microsoft.com/office/officeart/2005/8/layout/pyramid1"/>
    <dgm:cxn modelId="{6173AF45-CA14-4FB6-B705-138377EA047F}" type="presOf" srcId="{2927CB53-DA6A-4E35-AF31-0DF8B7B97DC7}" destId="{FF4288CA-F0A0-4402-910F-684DA79CAC94}" srcOrd="0" destOrd="0" presId="urn:microsoft.com/office/officeart/2005/8/layout/pyramid1"/>
    <dgm:cxn modelId="{C8941EF3-EA9D-4FEE-8850-288EA887B124}" srcId="{2EFC06C7-E069-481E-9649-254CD614B1A8}" destId="{48417D82-A723-4F54-A4D5-41916E89411D}" srcOrd="4" destOrd="0" parTransId="{9D583EEB-E6DC-463C-9FF3-82C3E3568EEC}" sibTransId="{DBA625C3-6F9B-4769-9A11-78393E7FB295}"/>
    <dgm:cxn modelId="{DDB5234E-B3AB-4098-BE2F-28DDB99BB294}" type="presOf" srcId="{2D25FD50-1298-4E6D-876F-E481A183477A}" destId="{B6E16CD9-E69E-4829-8D23-8C5F31FA4F39}" srcOrd="0" destOrd="0" presId="urn:microsoft.com/office/officeart/2005/8/layout/pyramid1"/>
    <dgm:cxn modelId="{BCDE9AAB-2E62-4350-844D-B04EE9B4C5F7}" srcId="{E1BD5954-2AC6-480B-983A-E963BCC951ED}" destId="{E1065B17-897E-41EC-B6F9-35793D1CE3AE}" srcOrd="2" destOrd="0" parTransId="{78356F16-5E40-4ABC-A03C-A9F03101FDD6}" sibTransId="{B166DBC4-E5DF-451E-83AC-B1C517DC7D6B}"/>
    <dgm:cxn modelId="{252FF0F9-02B3-4E4A-B74C-0FCF1128EC50}" type="presOf" srcId="{41252D9C-68F5-4E2C-940B-4B8A1A6BF5C7}" destId="{64B37D44-BD1D-4ABC-BC8D-13F1FC23B18C}" srcOrd="1" destOrd="1" presId="urn:microsoft.com/office/officeart/2005/8/layout/pyramid1"/>
    <dgm:cxn modelId="{FA0DFEAC-F60F-42EE-971D-9AB2BB8E4E4B}" type="presOf" srcId="{90B47A9E-A0CC-4AFC-95CE-63C0B75B798A}" destId="{E4CE0F35-922C-4E3D-A768-B42A49819F4D}" srcOrd="1" destOrd="4" presId="urn:microsoft.com/office/officeart/2005/8/layout/pyramid1"/>
    <dgm:cxn modelId="{392A9A6C-748B-487C-9B82-BA8A8DB782B4}" srcId="{D5585015-840B-42F5-B6EB-C59F85A90637}" destId="{E1BD5954-2AC6-480B-983A-E963BCC951ED}" srcOrd="2" destOrd="0" parTransId="{611F1030-20BC-4EBA-9245-37FC5F5894D2}" sibTransId="{2E907F98-E5B7-4520-8290-86CCC357D3D5}"/>
    <dgm:cxn modelId="{8EE39845-8771-42A1-A9D4-F47476B0F130}" srcId="{A4CF0163-FBC1-47BB-A494-D4EEE9A27058}" destId="{C74ED0C6-3F53-4840-B0E5-46286BC2B270}" srcOrd="10" destOrd="0" parTransId="{C04BA2DE-2542-4C7C-9A29-7E232C871CFC}" sibTransId="{860F943B-D9BA-4CA1-8880-423714851BBC}"/>
    <dgm:cxn modelId="{2D46CE86-E180-413E-BA63-D8B03C2E33AD}" type="presOf" srcId="{B891AA5C-8FE0-4EDC-A09E-1532DBF96620}" destId="{64B37D44-BD1D-4ABC-BC8D-13F1FC23B18C}" srcOrd="1" destOrd="7" presId="urn:microsoft.com/office/officeart/2005/8/layout/pyramid1"/>
    <dgm:cxn modelId="{893097E0-020C-49DA-8BB9-4419F3D07916}" srcId="{E1BD5954-2AC6-480B-983A-E963BCC951ED}" destId="{02032731-69CF-4C78-AB28-52BEAF7493C6}" srcOrd="0" destOrd="0" parTransId="{A7B3E862-80D4-486E-A0F8-9B7DE6BA42EA}" sibTransId="{576D528E-7C4F-40A9-834B-3DA5AE04EA05}"/>
    <dgm:cxn modelId="{F03FF697-6929-47B3-BEC6-E031010A0F21}" type="presOf" srcId="{48417D82-A723-4F54-A4D5-41916E89411D}" destId="{B5A662E0-2179-4410-874F-D3FDD2DF0A4E}" srcOrd="1" destOrd="4" presId="urn:microsoft.com/office/officeart/2005/8/layout/pyramid1"/>
    <dgm:cxn modelId="{EC06B5E6-0FEF-48B5-9BCD-DE8C9D7C9DF9}" type="presOf" srcId="{6A9A597B-66A6-4EE7-8AA0-A760C2E6EF3B}" destId="{E4CE0F35-922C-4E3D-A768-B42A49819F4D}" srcOrd="1" destOrd="5" presId="urn:microsoft.com/office/officeart/2005/8/layout/pyramid1"/>
    <dgm:cxn modelId="{30ADAC07-5022-4FE8-A142-638E07280A62}" type="presOf" srcId="{02032731-69CF-4C78-AB28-52BEAF7493C6}" destId="{E4CE0F35-922C-4E3D-A768-B42A49819F4D}" srcOrd="1" destOrd="0" presId="urn:microsoft.com/office/officeart/2005/8/layout/pyramid1"/>
    <dgm:cxn modelId="{61C28A28-AE73-4385-A42F-A615ECC6AE44}" srcId="{A4CF0163-FBC1-47BB-A494-D4EEE9A27058}" destId="{2927CB53-DA6A-4E35-AF31-0DF8B7B97DC7}" srcOrd="0" destOrd="0" parTransId="{CB954C01-F2E8-41BE-867D-CCB6053429A2}" sibTransId="{5888BEAF-9AE1-483D-8311-877F20BE08F0}"/>
    <dgm:cxn modelId="{D43CF3A7-400B-470D-B7B4-106ABE528467}" type="presOf" srcId="{6351A304-CB4C-4A16-B7A5-9D139A0EE6F6}" destId="{64B37D44-BD1D-4ABC-BC8D-13F1FC23B18C}" srcOrd="1" destOrd="9" presId="urn:microsoft.com/office/officeart/2005/8/layout/pyramid1"/>
    <dgm:cxn modelId="{7BDD7CE8-BECD-473E-A770-24B380529FD8}" srcId="{E1BD5954-2AC6-480B-983A-E963BCC951ED}" destId="{BC32AAAD-2CAB-4D94-AF51-74C64D1C21D0}" srcOrd="6" destOrd="0" parTransId="{F26F9BAB-0B57-4CB9-972E-87AC3AC8E6A6}" sibTransId="{7A5706DD-4D38-49EF-9EA8-0A3B2A216603}"/>
    <dgm:cxn modelId="{D5066F28-D5F9-4595-950E-CD8D72353B3F}" type="presOf" srcId="{F7F1DE7E-538C-425E-85EE-3F0186E8367A}" destId="{64B37D44-BD1D-4ABC-BC8D-13F1FC23B18C}" srcOrd="1" destOrd="2" presId="urn:microsoft.com/office/officeart/2005/8/layout/pyramid1"/>
    <dgm:cxn modelId="{54551196-D06E-4955-8BE8-835EEED0F6A1}" srcId="{2EFC06C7-E069-481E-9649-254CD614B1A8}" destId="{D8BC3F0B-5E66-427B-9841-FC9DEBBE8B1B}" srcOrd="1" destOrd="0" parTransId="{F0AD4307-BC05-47D0-AB29-AE44794C86D6}" sibTransId="{775CE234-1B04-455D-A64B-06CFB0E88D95}"/>
    <dgm:cxn modelId="{4EFA0BC9-544E-4AD0-818A-337934957D77}" type="presOf" srcId="{2631CA05-D33A-4992-8313-9049457B49D4}" destId="{FC2F7EE9-39C2-4AF1-8B94-0FBAC4C92C0D}" srcOrd="0" destOrd="1" presId="urn:microsoft.com/office/officeart/2005/8/layout/pyramid1"/>
    <dgm:cxn modelId="{AD315705-38F8-4320-8997-FFE7F4570D4A}" type="presOf" srcId="{C4B6FE0A-9E99-405A-91B3-57FB0111DF72}" destId="{FC2F7EE9-39C2-4AF1-8B94-0FBAC4C92C0D}" srcOrd="0" destOrd="7" presId="urn:microsoft.com/office/officeart/2005/8/layout/pyramid1"/>
    <dgm:cxn modelId="{1E993F23-322D-478E-966D-DC71F8FEE641}" srcId="{E1BD5954-2AC6-480B-983A-E963BCC951ED}" destId="{90B47A9E-A0CC-4AFC-95CE-63C0B75B798A}" srcOrd="4" destOrd="0" parTransId="{3DC0B673-9135-4AD8-AFBB-3B17F315B6C4}" sibTransId="{178E3458-E814-4EAD-A7AB-116E2F1352A2}"/>
    <dgm:cxn modelId="{50CE4B63-2E13-410B-BFC6-E2CC19260B6F}" type="presOf" srcId="{5B45CE54-CC84-4552-8970-0B05FA270F86}" destId="{64B37D44-BD1D-4ABC-BC8D-13F1FC23B18C}" srcOrd="1" destOrd="8" presId="urn:microsoft.com/office/officeart/2005/8/layout/pyramid1"/>
    <dgm:cxn modelId="{8F16D25B-2B22-4FE7-B755-0EFB7D69522E}" type="presOf" srcId="{2D25FD50-1298-4E6D-876F-E481A183477A}" destId="{B5A662E0-2179-4410-874F-D3FDD2DF0A4E}" srcOrd="1" destOrd="0" presId="urn:microsoft.com/office/officeart/2005/8/layout/pyramid1"/>
    <dgm:cxn modelId="{BBBFDAF4-D9B7-4A54-926D-B9D4B68BA988}" type="presOf" srcId="{6A9A597B-66A6-4EE7-8AA0-A760C2E6EF3B}" destId="{FC2F7EE9-39C2-4AF1-8B94-0FBAC4C92C0D}" srcOrd="0" destOrd="5" presId="urn:microsoft.com/office/officeart/2005/8/layout/pyramid1"/>
    <dgm:cxn modelId="{852C6504-F2EF-42CB-B066-E00A7C88C5CA}" type="presOf" srcId="{BAC1B50E-39F1-426D-BE41-186339DEC2C5}" destId="{FC2F7EE9-39C2-4AF1-8B94-0FBAC4C92C0D}" srcOrd="0" destOrd="3" presId="urn:microsoft.com/office/officeart/2005/8/layout/pyramid1"/>
    <dgm:cxn modelId="{453F01C8-F07C-42DA-B215-4EA10E193CD7}" srcId="{A4CF0163-FBC1-47BB-A494-D4EEE9A27058}" destId="{2216B4C3-B525-4910-913F-533B00C149C8}" srcOrd="6" destOrd="0" parTransId="{4742C036-D0BD-4E16-B019-B64FBC6C5362}" sibTransId="{5334F100-BC07-45AF-B786-488468669269}"/>
    <dgm:cxn modelId="{276B3078-1990-412E-8107-856E92237FA3}" type="presOf" srcId="{D426B825-17E5-40C4-B010-98ED57FA4336}" destId="{FF4288CA-F0A0-4402-910F-684DA79CAC94}" srcOrd="0" destOrd="5" presId="urn:microsoft.com/office/officeart/2005/8/layout/pyramid1"/>
    <dgm:cxn modelId="{B426E155-AA2D-4388-9019-8C41318F7265}" srcId="{A4CF0163-FBC1-47BB-A494-D4EEE9A27058}" destId="{B891AA5C-8FE0-4EDC-A09E-1532DBF96620}" srcOrd="7" destOrd="0" parTransId="{81F5CBE8-E450-43AD-910F-FA23DF574616}" sibTransId="{822A0C9B-59AD-4043-A5B3-92911A226507}"/>
    <dgm:cxn modelId="{344FA60E-1040-4D0F-9BC5-C949F3F5418D}" srcId="{2EFC06C7-E069-481E-9649-254CD614B1A8}" destId="{ACD3E2E0-32C6-450F-B17F-C51CFF8D42C2}" srcOrd="5" destOrd="0" parTransId="{76DC3010-645D-40AE-96A0-066DC611F7E9}" sibTransId="{808DAAC3-94C8-4719-8820-3D592521A28C}"/>
    <dgm:cxn modelId="{28329D40-42CC-454B-8B18-9EECEB1335CE}" type="presOf" srcId="{C4B6FE0A-9E99-405A-91B3-57FB0111DF72}" destId="{E4CE0F35-922C-4E3D-A768-B42A49819F4D}" srcOrd="1" destOrd="7" presId="urn:microsoft.com/office/officeart/2005/8/layout/pyramid1"/>
    <dgm:cxn modelId="{3FDD7889-F859-40CD-BAF6-052D4C7AEDC7}" type="presOf" srcId="{E1BD5954-2AC6-480B-983A-E963BCC951ED}" destId="{6DD1EC01-57C2-4772-A5C7-ABBD3CA55F06}" srcOrd="1" destOrd="0" presId="urn:microsoft.com/office/officeart/2005/8/layout/pyramid1"/>
    <dgm:cxn modelId="{DB513085-DDBD-4A3C-B861-F4A313594A08}" type="presOf" srcId="{D5585015-840B-42F5-B6EB-C59F85A90637}" destId="{3D8BD9D0-7277-4D96-A2DB-67497A87FCD5}" srcOrd="0" destOrd="0" presId="urn:microsoft.com/office/officeart/2005/8/layout/pyramid1"/>
    <dgm:cxn modelId="{EFEE5948-3FF2-48AF-A35F-49670DBC5E08}" type="presOf" srcId="{48417D82-A723-4F54-A4D5-41916E89411D}" destId="{B6E16CD9-E69E-4829-8D23-8C5F31FA4F39}" srcOrd="0" destOrd="4" presId="urn:microsoft.com/office/officeart/2005/8/layout/pyramid1"/>
    <dgm:cxn modelId="{E19F7B36-CA32-4FC7-8EF0-1F6E859D9AC3}" type="presOf" srcId="{6351A304-CB4C-4A16-B7A5-9D139A0EE6F6}" destId="{FF4288CA-F0A0-4402-910F-684DA79CAC94}" srcOrd="0" destOrd="9" presId="urn:microsoft.com/office/officeart/2005/8/layout/pyramid1"/>
    <dgm:cxn modelId="{AD579AA4-E58A-48E3-BAA4-57A9ADF2E0F7}" srcId="{A4CF0163-FBC1-47BB-A494-D4EEE9A27058}" destId="{D426B825-17E5-40C4-B010-98ED57FA4336}" srcOrd="5" destOrd="0" parTransId="{916A8A30-FDF3-45EE-87CE-A819A65C3985}" sibTransId="{8D848E50-1AC0-46D5-9850-D016DE6B871E}"/>
    <dgm:cxn modelId="{8DFE2ABE-DD93-4ADA-A4ED-40EFAC53B40D}" type="presOf" srcId="{1DEB5C08-2C5C-406C-A927-312519E9AEBD}" destId="{B6E16CD9-E69E-4829-8D23-8C5F31FA4F39}" srcOrd="0" destOrd="2" presId="urn:microsoft.com/office/officeart/2005/8/layout/pyramid1"/>
    <dgm:cxn modelId="{A0E6A26C-AEBD-4C08-ADAB-05BB3588B70E}" type="presOf" srcId="{E1BD5954-2AC6-480B-983A-E963BCC951ED}" destId="{D304E41B-FDA1-4FF7-9369-01A21E4B0511}" srcOrd="0" destOrd="0" presId="urn:microsoft.com/office/officeart/2005/8/layout/pyramid1"/>
    <dgm:cxn modelId="{A1D5955A-292B-4B5E-BE77-75F24B3540B7}" type="presOf" srcId="{2EFC06C7-E069-481E-9649-254CD614B1A8}" destId="{1090A4F3-28AC-4646-AE4F-166756E4333E}" srcOrd="1" destOrd="0" presId="urn:microsoft.com/office/officeart/2005/8/layout/pyramid1"/>
    <dgm:cxn modelId="{0996A698-37AF-4E86-BC46-2D92044444CE}" type="presOf" srcId="{1DEB5C08-2C5C-406C-A927-312519E9AEBD}" destId="{B5A662E0-2179-4410-874F-D3FDD2DF0A4E}" srcOrd="1" destOrd="2" presId="urn:microsoft.com/office/officeart/2005/8/layout/pyramid1"/>
    <dgm:cxn modelId="{B72575F0-7FA3-4D81-8D03-9CCA6FB4A687}" srcId="{E1BD5954-2AC6-480B-983A-E963BCC951ED}" destId="{6A9A597B-66A6-4EE7-8AA0-A760C2E6EF3B}" srcOrd="5" destOrd="0" parTransId="{949B65CD-9813-46C7-9F35-23D7F117829D}" sibTransId="{8E528FDB-D8F3-45D4-9AB3-B060365A7168}"/>
    <dgm:cxn modelId="{B15D2909-73ED-4840-BA7B-801F45D24B7A}" type="presOf" srcId="{90B47A9E-A0CC-4AFC-95CE-63C0B75B798A}" destId="{FC2F7EE9-39C2-4AF1-8B94-0FBAC4C92C0D}" srcOrd="0" destOrd="4" presId="urn:microsoft.com/office/officeart/2005/8/layout/pyramid1"/>
    <dgm:cxn modelId="{AEE12411-8FCF-4E2D-8F07-B94A2CB1C169}" type="presParOf" srcId="{3D8BD9D0-7277-4D96-A2DB-67497A87FCD5}" destId="{2C4E31A0-19B9-44A7-AD50-5DF651E7E592}" srcOrd="0" destOrd="0" presId="urn:microsoft.com/office/officeart/2005/8/layout/pyramid1"/>
    <dgm:cxn modelId="{2F9E0088-280B-4129-AD62-BC0BCC839FB3}" type="presParOf" srcId="{2C4E31A0-19B9-44A7-AD50-5DF651E7E592}" destId="{B6E16CD9-E69E-4829-8D23-8C5F31FA4F39}" srcOrd="0" destOrd="0" presId="urn:microsoft.com/office/officeart/2005/8/layout/pyramid1"/>
    <dgm:cxn modelId="{6F4E776A-D60A-4DF0-A853-815A481DE556}" type="presParOf" srcId="{2C4E31A0-19B9-44A7-AD50-5DF651E7E592}" destId="{B5A662E0-2179-4410-874F-D3FDD2DF0A4E}" srcOrd="1" destOrd="0" presId="urn:microsoft.com/office/officeart/2005/8/layout/pyramid1"/>
    <dgm:cxn modelId="{A93D9AE2-AFF5-4B52-835E-8C327979D4EB}" type="presParOf" srcId="{2C4E31A0-19B9-44A7-AD50-5DF651E7E592}" destId="{E74711D0-BD8B-48E3-86C7-3A3DA20ED23C}" srcOrd="2" destOrd="0" presId="urn:microsoft.com/office/officeart/2005/8/layout/pyramid1"/>
    <dgm:cxn modelId="{7BD4965C-6584-470E-BD3D-8F7529CE487A}" type="presParOf" srcId="{2C4E31A0-19B9-44A7-AD50-5DF651E7E592}" destId="{1090A4F3-28AC-4646-AE4F-166756E4333E}" srcOrd="3" destOrd="0" presId="urn:microsoft.com/office/officeart/2005/8/layout/pyramid1"/>
    <dgm:cxn modelId="{A364504A-28AB-4BF2-94AE-9B36B0F8A33F}" type="presParOf" srcId="{3D8BD9D0-7277-4D96-A2DB-67497A87FCD5}" destId="{E18D62E8-24CD-4D8A-97B6-FE55B259C1A0}" srcOrd="1" destOrd="0" presId="urn:microsoft.com/office/officeart/2005/8/layout/pyramid1"/>
    <dgm:cxn modelId="{CF8B176D-1EB7-405B-943E-BC8DAC02A922}" type="presParOf" srcId="{E18D62E8-24CD-4D8A-97B6-FE55B259C1A0}" destId="{FF4288CA-F0A0-4402-910F-684DA79CAC94}" srcOrd="0" destOrd="0" presId="urn:microsoft.com/office/officeart/2005/8/layout/pyramid1"/>
    <dgm:cxn modelId="{0E182389-19EC-4085-B6B2-346CF3E7D3F0}" type="presParOf" srcId="{E18D62E8-24CD-4D8A-97B6-FE55B259C1A0}" destId="{64B37D44-BD1D-4ABC-BC8D-13F1FC23B18C}" srcOrd="1" destOrd="0" presId="urn:microsoft.com/office/officeart/2005/8/layout/pyramid1"/>
    <dgm:cxn modelId="{17F3E209-0A53-4DE4-96AD-67482179CF50}" type="presParOf" srcId="{E18D62E8-24CD-4D8A-97B6-FE55B259C1A0}" destId="{DC89F502-6553-40B7-88DA-C09A69C6A7E5}" srcOrd="2" destOrd="0" presId="urn:microsoft.com/office/officeart/2005/8/layout/pyramid1"/>
    <dgm:cxn modelId="{BCB869F3-1B45-4BFF-86C2-CC7515A008F9}" type="presParOf" srcId="{E18D62E8-24CD-4D8A-97B6-FE55B259C1A0}" destId="{DAE8CBD6-4920-4308-8727-11E90E6BAB7A}" srcOrd="3" destOrd="0" presId="urn:microsoft.com/office/officeart/2005/8/layout/pyramid1"/>
    <dgm:cxn modelId="{AA1EE291-87E5-4BEC-93D7-951239BB2899}" type="presParOf" srcId="{3D8BD9D0-7277-4D96-A2DB-67497A87FCD5}" destId="{4A50DCFB-A0F6-4086-B94F-FC0C5711622E}" srcOrd="2" destOrd="0" presId="urn:microsoft.com/office/officeart/2005/8/layout/pyramid1"/>
    <dgm:cxn modelId="{B66FD0B8-3FE4-4072-8620-90DDC9D4B409}" type="presParOf" srcId="{4A50DCFB-A0F6-4086-B94F-FC0C5711622E}" destId="{FC2F7EE9-39C2-4AF1-8B94-0FBAC4C92C0D}" srcOrd="0" destOrd="0" presId="urn:microsoft.com/office/officeart/2005/8/layout/pyramid1"/>
    <dgm:cxn modelId="{B94A6839-268D-46C3-898E-B0EE091728C3}" type="presParOf" srcId="{4A50DCFB-A0F6-4086-B94F-FC0C5711622E}" destId="{E4CE0F35-922C-4E3D-A768-B42A49819F4D}" srcOrd="1" destOrd="0" presId="urn:microsoft.com/office/officeart/2005/8/layout/pyramid1"/>
    <dgm:cxn modelId="{62FC9627-DA25-4010-B3C7-21E3CD0D9EFA}" type="presParOf" srcId="{4A50DCFB-A0F6-4086-B94F-FC0C5711622E}" destId="{D304E41B-FDA1-4FF7-9369-01A21E4B0511}" srcOrd="2" destOrd="0" presId="urn:microsoft.com/office/officeart/2005/8/layout/pyramid1"/>
    <dgm:cxn modelId="{F6AB2A2B-856D-4E80-B080-CF1E0D4BC1A7}" type="presParOf" srcId="{4A50DCFB-A0F6-4086-B94F-FC0C5711622E}" destId="{6DD1EC01-57C2-4772-A5C7-ABBD3CA55F06}" srcOrd="3" destOrd="0" presId="urn:microsoft.com/office/officeart/2005/8/layout/pyramid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F76FEA-8AD0-47AF-87B1-0206824BFDD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43F477FF-271D-473E-BAB1-E76FC6E0F3FD}">
      <dgm:prSet phldrT="[Text]" custT="1"/>
      <dgm:spPr>
        <a:solidFill>
          <a:schemeClr val="accent1">
            <a:lumMod val="20000"/>
            <a:lumOff val="80000"/>
          </a:schemeClr>
        </a:solidFill>
        <a:ln w="57150">
          <a:noFill/>
        </a:ln>
      </dgm:spPr>
      <dgm:t>
        <a:bodyPr lIns="0" tIns="180000" rIns="0" bIns="0"/>
        <a:lstStyle/>
        <a:p>
          <a:r>
            <a:rPr lang="en-GB" sz="2400" b="1">
              <a:solidFill>
                <a:sysClr val="windowText" lastClr="000000"/>
              </a:solidFill>
            </a:rPr>
            <a:t>1</a:t>
          </a:r>
        </a:p>
      </dgm:t>
    </dgm:pt>
    <dgm:pt modelId="{E06AEC44-6E24-41A3-AD43-4ACE9DB00614}" type="parTrans" cxnId="{E6BAD1EB-FC50-4125-B481-4819F711AA27}">
      <dgm:prSet/>
      <dgm:spPr/>
      <dgm:t>
        <a:bodyPr/>
        <a:lstStyle/>
        <a:p>
          <a:endParaRPr lang="en-GB" sz="1400"/>
        </a:p>
      </dgm:t>
    </dgm:pt>
    <dgm:pt modelId="{E8AB124A-5C30-4E7C-B215-B075C6DF02B0}" type="sibTrans" cxnId="{E6BAD1EB-FC50-4125-B481-4819F711AA27}">
      <dgm:prSet/>
      <dgm:spPr/>
      <dgm:t>
        <a:bodyPr/>
        <a:lstStyle/>
        <a:p>
          <a:endParaRPr lang="en-GB" sz="1400"/>
        </a:p>
      </dgm:t>
    </dgm:pt>
    <dgm:pt modelId="{F6D1336F-D895-4F53-834D-1A3A82AD72A1}">
      <dgm:prSet phldrT="[Text]" custT="1"/>
      <dgm:spPr>
        <a:solidFill>
          <a:schemeClr val="accent1">
            <a:lumMod val="40000"/>
            <a:lumOff val="60000"/>
          </a:schemeClr>
        </a:solidFill>
        <a:ln w="57150">
          <a:noFill/>
        </a:ln>
      </dgm:spPr>
      <dgm:t>
        <a:bodyPr lIns="0" tIns="180000" rIns="0" bIns="0"/>
        <a:lstStyle/>
        <a:p>
          <a:r>
            <a:rPr lang="en-GB" sz="2400" b="1">
              <a:solidFill>
                <a:sysClr val="windowText" lastClr="000000"/>
              </a:solidFill>
            </a:rPr>
            <a:t>2</a:t>
          </a:r>
        </a:p>
      </dgm:t>
    </dgm:pt>
    <dgm:pt modelId="{F3A01145-D53F-44DE-A075-0A32BD50B099}" type="parTrans" cxnId="{8113AE1C-496F-40B4-B7C9-47825A5B2A17}">
      <dgm:prSet/>
      <dgm:spPr/>
      <dgm:t>
        <a:bodyPr/>
        <a:lstStyle/>
        <a:p>
          <a:endParaRPr lang="en-GB" sz="1400"/>
        </a:p>
      </dgm:t>
    </dgm:pt>
    <dgm:pt modelId="{806E9319-ACB0-4ACE-A69B-B1C933C9E573}" type="sibTrans" cxnId="{8113AE1C-496F-40B4-B7C9-47825A5B2A17}">
      <dgm:prSet/>
      <dgm:spPr/>
      <dgm:t>
        <a:bodyPr/>
        <a:lstStyle/>
        <a:p>
          <a:endParaRPr lang="en-GB" sz="1400"/>
        </a:p>
      </dgm:t>
    </dgm:pt>
    <dgm:pt modelId="{2AA43684-A5FA-4B2B-9E33-05A0D3C0011D}">
      <dgm:prSet phldrT="[Text]" custT="1"/>
      <dgm:spPr>
        <a:solidFill>
          <a:schemeClr val="tx2">
            <a:lumMod val="40000"/>
            <a:lumOff val="60000"/>
          </a:schemeClr>
        </a:solidFill>
        <a:ln w="57150">
          <a:noFill/>
        </a:ln>
      </dgm:spPr>
      <dgm:t>
        <a:bodyPr lIns="0" tIns="180000" rIns="0" bIns="0"/>
        <a:lstStyle/>
        <a:p>
          <a:r>
            <a:rPr lang="en-GB" sz="2400" b="1">
              <a:solidFill>
                <a:sysClr val="windowText" lastClr="000000"/>
              </a:solidFill>
            </a:rPr>
            <a:t>3</a:t>
          </a:r>
        </a:p>
      </dgm:t>
    </dgm:pt>
    <dgm:pt modelId="{E801628B-ABBB-4E20-9755-044FF02F3E32}" type="parTrans" cxnId="{291D6928-1E4A-4010-A556-E764A29AE896}">
      <dgm:prSet/>
      <dgm:spPr/>
      <dgm:t>
        <a:bodyPr/>
        <a:lstStyle/>
        <a:p>
          <a:endParaRPr lang="en-GB" sz="1400"/>
        </a:p>
      </dgm:t>
    </dgm:pt>
    <dgm:pt modelId="{19E17FBB-E8AD-4690-8067-E4BE74496823}" type="sibTrans" cxnId="{291D6928-1E4A-4010-A556-E764A29AE896}">
      <dgm:prSet/>
      <dgm:spPr/>
      <dgm:t>
        <a:bodyPr/>
        <a:lstStyle/>
        <a:p>
          <a:endParaRPr lang="en-GB" sz="1400"/>
        </a:p>
      </dgm:t>
    </dgm:pt>
    <dgm:pt modelId="{3AA9000C-C034-48F5-8E42-A6B595A83C1F}">
      <dgm:prSet phldrT="[Text]" custT="1"/>
      <dgm:spPr>
        <a:solidFill>
          <a:schemeClr val="tx2">
            <a:lumMod val="60000"/>
            <a:lumOff val="40000"/>
          </a:schemeClr>
        </a:solidFill>
        <a:ln w="57150">
          <a:noFill/>
        </a:ln>
      </dgm:spPr>
      <dgm:t>
        <a:bodyPr lIns="0" tIns="180000" rIns="0" bIns="0"/>
        <a:lstStyle/>
        <a:p>
          <a:r>
            <a:rPr lang="en-GB" sz="2400" b="1">
              <a:solidFill>
                <a:sysClr val="windowText" lastClr="000000"/>
              </a:solidFill>
            </a:rPr>
            <a:t>4</a:t>
          </a:r>
        </a:p>
      </dgm:t>
    </dgm:pt>
    <dgm:pt modelId="{661ECAAD-E8B9-4169-BF46-A642D31D8604}" type="parTrans" cxnId="{8A8DE5E1-95AA-44B2-9385-3FF79C450030}">
      <dgm:prSet/>
      <dgm:spPr/>
      <dgm:t>
        <a:bodyPr/>
        <a:lstStyle/>
        <a:p>
          <a:endParaRPr lang="en-GB" sz="1400"/>
        </a:p>
      </dgm:t>
    </dgm:pt>
    <dgm:pt modelId="{481185C4-DBE3-485A-836F-F457833CA5C0}" type="sibTrans" cxnId="{8A8DE5E1-95AA-44B2-9385-3FF79C450030}">
      <dgm:prSet/>
      <dgm:spPr/>
      <dgm:t>
        <a:bodyPr/>
        <a:lstStyle/>
        <a:p>
          <a:endParaRPr lang="en-GB" sz="1400"/>
        </a:p>
      </dgm:t>
    </dgm:pt>
    <dgm:pt modelId="{B415BD51-C6CB-4652-8A7D-43FC4649BA56}">
      <dgm:prSet phldrT="[Text]" custT="1"/>
      <dgm:spPr>
        <a:solidFill>
          <a:schemeClr val="tx2"/>
        </a:solidFill>
        <a:ln w="57150">
          <a:noFill/>
        </a:ln>
      </dgm:spPr>
      <dgm:t>
        <a:bodyPr lIns="0" tIns="180000" rIns="0" bIns="0"/>
        <a:lstStyle/>
        <a:p>
          <a:r>
            <a:rPr lang="en-GB" sz="2400" b="1"/>
            <a:t>5</a:t>
          </a:r>
        </a:p>
      </dgm:t>
    </dgm:pt>
    <dgm:pt modelId="{194E3543-C5E3-4776-B7C0-F4D821846834}" type="parTrans" cxnId="{0DCFF0EB-7651-4EEA-8685-1305CC3B2C44}">
      <dgm:prSet/>
      <dgm:spPr/>
      <dgm:t>
        <a:bodyPr/>
        <a:lstStyle/>
        <a:p>
          <a:endParaRPr lang="en-GB" sz="1400"/>
        </a:p>
      </dgm:t>
    </dgm:pt>
    <dgm:pt modelId="{2E4A6E4C-ED77-4927-BB10-CAB2A5C882C8}" type="sibTrans" cxnId="{0DCFF0EB-7651-4EEA-8685-1305CC3B2C44}">
      <dgm:prSet/>
      <dgm:spPr/>
      <dgm:t>
        <a:bodyPr/>
        <a:lstStyle/>
        <a:p>
          <a:endParaRPr lang="en-GB" sz="1400"/>
        </a:p>
      </dgm:t>
    </dgm:pt>
    <dgm:pt modelId="{04D1A349-6F39-408A-AF59-DDF02A656941}">
      <dgm:prSet phldrT="[Text]" custT="1"/>
      <dgm:spPr>
        <a:solidFill>
          <a:schemeClr val="tx2">
            <a:lumMod val="75000"/>
          </a:schemeClr>
        </a:solidFill>
        <a:ln w="57150">
          <a:noFill/>
        </a:ln>
      </dgm:spPr>
      <dgm:t>
        <a:bodyPr lIns="0" tIns="180000" rIns="0" bIns="0"/>
        <a:lstStyle/>
        <a:p>
          <a:r>
            <a:rPr lang="en-GB" sz="2400" b="1"/>
            <a:t>6</a:t>
          </a:r>
        </a:p>
      </dgm:t>
    </dgm:pt>
    <dgm:pt modelId="{B7127C14-3EFF-4255-97B4-1759D5C23105}" type="parTrans" cxnId="{F624A7D1-9A0F-4F8D-ABFE-C7DFDEBDA371}">
      <dgm:prSet/>
      <dgm:spPr/>
      <dgm:t>
        <a:bodyPr/>
        <a:lstStyle/>
        <a:p>
          <a:endParaRPr lang="en-GB" sz="1400"/>
        </a:p>
      </dgm:t>
    </dgm:pt>
    <dgm:pt modelId="{9CBEEAAB-BFC0-4354-81D6-41D3EEA2D1A2}" type="sibTrans" cxnId="{F624A7D1-9A0F-4F8D-ABFE-C7DFDEBDA371}">
      <dgm:prSet/>
      <dgm:spPr/>
      <dgm:t>
        <a:bodyPr/>
        <a:lstStyle/>
        <a:p>
          <a:endParaRPr lang="en-GB" sz="1400"/>
        </a:p>
      </dgm:t>
    </dgm:pt>
    <dgm:pt modelId="{A51AB7C7-A145-44D2-9601-84EFF184D626}">
      <dgm:prSet phldrT="[Text]" custT="1"/>
      <dgm:spPr>
        <a:solidFill>
          <a:schemeClr val="tx2">
            <a:lumMod val="50000"/>
          </a:schemeClr>
        </a:solidFill>
        <a:ln w="57150">
          <a:noFill/>
        </a:ln>
      </dgm:spPr>
      <dgm:t>
        <a:bodyPr lIns="0" tIns="180000" rIns="0" bIns="0"/>
        <a:lstStyle/>
        <a:p>
          <a:r>
            <a:rPr lang="en-GB" sz="2400" b="1"/>
            <a:t>7</a:t>
          </a:r>
        </a:p>
      </dgm:t>
    </dgm:pt>
    <dgm:pt modelId="{C23FF20A-C88C-44F8-9962-90B452D98F27}" type="parTrans" cxnId="{13DA3F7B-DA10-4664-925A-FB9C2D2D2CB3}">
      <dgm:prSet/>
      <dgm:spPr/>
      <dgm:t>
        <a:bodyPr/>
        <a:lstStyle/>
        <a:p>
          <a:endParaRPr lang="en-GB" sz="1400"/>
        </a:p>
      </dgm:t>
    </dgm:pt>
    <dgm:pt modelId="{E5A784B3-C758-4C52-98B9-EDD667CF8AC4}" type="sibTrans" cxnId="{13DA3F7B-DA10-4664-925A-FB9C2D2D2CB3}">
      <dgm:prSet/>
      <dgm:spPr/>
      <dgm:t>
        <a:bodyPr/>
        <a:lstStyle/>
        <a:p>
          <a:endParaRPr lang="en-GB" sz="1400"/>
        </a:p>
      </dgm:t>
    </dgm:pt>
    <dgm:pt modelId="{7D0E0263-5DEC-42AC-B238-15176C2CEB44}">
      <dgm:prSet phldrT="[Text]" custT="1"/>
      <dgm:spPr>
        <a:solidFill>
          <a:schemeClr val="tx2">
            <a:lumMod val="75000"/>
          </a:schemeClr>
        </a:solidFill>
        <a:ln w="57150">
          <a:noFill/>
        </a:ln>
      </dgm:spPr>
      <dgm:t>
        <a:bodyPr/>
        <a:lstStyle/>
        <a:p>
          <a:r>
            <a:rPr lang="en-GB" sz="1400">
              <a:solidFill>
                <a:schemeClr val="bg1"/>
              </a:solidFill>
            </a:rPr>
            <a:t>Cost AT products and services for future program options</a:t>
          </a:r>
        </a:p>
      </dgm:t>
    </dgm:pt>
    <dgm:pt modelId="{193B773B-8441-41D2-94C0-BC2149223902}" type="parTrans" cxnId="{3AAED65C-AF8E-45D7-89F7-A1C28B7D4A05}">
      <dgm:prSet/>
      <dgm:spPr/>
      <dgm:t>
        <a:bodyPr/>
        <a:lstStyle/>
        <a:p>
          <a:endParaRPr lang="en-GB" sz="1400"/>
        </a:p>
      </dgm:t>
    </dgm:pt>
    <dgm:pt modelId="{87F78E49-4FDF-4485-A855-F15FF8C2ED87}" type="sibTrans" cxnId="{3AAED65C-AF8E-45D7-89F7-A1C28B7D4A05}">
      <dgm:prSet/>
      <dgm:spPr/>
      <dgm:t>
        <a:bodyPr/>
        <a:lstStyle/>
        <a:p>
          <a:endParaRPr lang="en-GB" sz="1400"/>
        </a:p>
      </dgm:t>
    </dgm:pt>
    <dgm:pt modelId="{02E53A24-7825-4F18-B0FC-CEE751A30BF4}">
      <dgm:prSet phldrT="[Text]" custT="1"/>
      <dgm:spPr>
        <a:solidFill>
          <a:schemeClr val="tx2">
            <a:lumMod val="50000"/>
          </a:schemeClr>
        </a:solidFill>
        <a:ln w="57150">
          <a:noFill/>
        </a:ln>
      </dgm:spPr>
      <dgm:t>
        <a:bodyPr/>
        <a:lstStyle/>
        <a:p>
          <a:r>
            <a:rPr lang="en-GB" sz="1400">
              <a:solidFill>
                <a:schemeClr val="bg1"/>
              </a:solidFill>
            </a:rPr>
            <a:t>Establish the benefits of AT for future program options</a:t>
          </a:r>
        </a:p>
      </dgm:t>
    </dgm:pt>
    <dgm:pt modelId="{67654691-4B25-4429-B689-2D7E248FA1F6}" type="parTrans" cxnId="{C5ABB069-829D-467E-BCF7-DE79D3346F55}">
      <dgm:prSet/>
      <dgm:spPr/>
      <dgm:t>
        <a:bodyPr/>
        <a:lstStyle/>
        <a:p>
          <a:endParaRPr lang="en-GB" sz="1400"/>
        </a:p>
      </dgm:t>
    </dgm:pt>
    <dgm:pt modelId="{250613E0-59C4-416B-B644-BB09AEF111F1}" type="sibTrans" cxnId="{C5ABB069-829D-467E-BCF7-DE79D3346F55}">
      <dgm:prSet/>
      <dgm:spPr/>
      <dgm:t>
        <a:bodyPr/>
        <a:lstStyle/>
        <a:p>
          <a:endParaRPr lang="en-GB" sz="1400"/>
        </a:p>
      </dgm:t>
    </dgm:pt>
    <dgm:pt modelId="{3598D071-1884-4875-B8C5-4DBF1A692C85}">
      <dgm:prSet phldrT="[Text]" custT="1"/>
      <dgm:spPr>
        <a:solidFill>
          <a:schemeClr val="tx2"/>
        </a:solidFill>
        <a:ln w="57150">
          <a:noFill/>
        </a:ln>
      </dgm:spPr>
      <dgm:t>
        <a:bodyPr/>
        <a:lstStyle/>
        <a:p>
          <a:r>
            <a:rPr lang="en-GB" sz="1400">
              <a:solidFill>
                <a:schemeClr val="bg1"/>
              </a:solidFill>
            </a:rPr>
            <a:t>Cost AT products for current home care program </a:t>
          </a:r>
          <a:br>
            <a:rPr lang="en-GB" sz="1400">
              <a:solidFill>
                <a:schemeClr val="bg1"/>
              </a:solidFill>
            </a:rPr>
          </a:br>
          <a:r>
            <a:rPr lang="en-GB" sz="1400">
              <a:solidFill>
                <a:schemeClr val="bg1"/>
              </a:solidFill>
            </a:rPr>
            <a:t>client populations</a:t>
          </a:r>
        </a:p>
      </dgm:t>
    </dgm:pt>
    <dgm:pt modelId="{9379A09B-EB0F-433F-998D-A373CDCA2745}" type="parTrans" cxnId="{1E391DFD-EC3E-401B-A398-AEBE076C3CB3}">
      <dgm:prSet/>
      <dgm:spPr/>
      <dgm:t>
        <a:bodyPr/>
        <a:lstStyle/>
        <a:p>
          <a:endParaRPr lang="en-GB" sz="1400"/>
        </a:p>
      </dgm:t>
    </dgm:pt>
    <dgm:pt modelId="{DD74E295-FCC1-49B3-98DA-3DC1B1235C9C}" type="sibTrans" cxnId="{1E391DFD-EC3E-401B-A398-AEBE076C3CB3}">
      <dgm:prSet/>
      <dgm:spPr/>
      <dgm:t>
        <a:bodyPr/>
        <a:lstStyle/>
        <a:p>
          <a:endParaRPr lang="en-GB" sz="1400"/>
        </a:p>
      </dgm:t>
    </dgm:pt>
    <dgm:pt modelId="{3079F57B-2AB5-4090-A6AC-AD9EB1A03C66}">
      <dgm:prSet phldrT="[Text]" custT="1"/>
      <dgm:spPr>
        <a:solidFill>
          <a:schemeClr val="tx2">
            <a:lumMod val="60000"/>
            <a:lumOff val="40000"/>
          </a:schemeClr>
        </a:solidFill>
        <a:ln w="57150">
          <a:noFill/>
        </a:ln>
      </dgm:spPr>
      <dgm:t>
        <a:bodyPr/>
        <a:lstStyle/>
        <a:p>
          <a:r>
            <a:rPr lang="en-GB" sz="1400"/>
            <a:t>Cost AT for total population</a:t>
          </a:r>
        </a:p>
      </dgm:t>
    </dgm:pt>
    <dgm:pt modelId="{BAA8F0BC-E970-4871-896A-55A06641B090}" type="parTrans" cxnId="{726FD9D9-EFB6-4D73-BE1A-19A40F561C41}">
      <dgm:prSet/>
      <dgm:spPr/>
      <dgm:t>
        <a:bodyPr/>
        <a:lstStyle/>
        <a:p>
          <a:endParaRPr lang="en-GB" sz="1400"/>
        </a:p>
      </dgm:t>
    </dgm:pt>
    <dgm:pt modelId="{9D523373-30FB-4FA8-89C8-E93B62A5E143}" type="sibTrans" cxnId="{726FD9D9-EFB6-4D73-BE1A-19A40F561C41}">
      <dgm:prSet/>
      <dgm:spPr/>
      <dgm:t>
        <a:bodyPr/>
        <a:lstStyle/>
        <a:p>
          <a:endParaRPr lang="en-GB" sz="1400"/>
        </a:p>
      </dgm:t>
    </dgm:pt>
    <dgm:pt modelId="{4843475C-9994-49CA-80D9-8A9259C6832B}">
      <dgm:prSet phldrT="[Text]" custT="1"/>
      <dgm:spPr>
        <a:solidFill>
          <a:schemeClr val="tx2">
            <a:lumMod val="40000"/>
            <a:lumOff val="60000"/>
          </a:schemeClr>
        </a:solidFill>
        <a:ln w="57150">
          <a:noFill/>
        </a:ln>
      </dgm:spPr>
      <dgm:t>
        <a:bodyPr/>
        <a:lstStyle/>
        <a:p>
          <a:r>
            <a:rPr lang="en-GB" sz="1400"/>
            <a:t>Use 'real life' archetypes to cost and benchmark AT products</a:t>
          </a:r>
        </a:p>
      </dgm:t>
    </dgm:pt>
    <dgm:pt modelId="{0AE7CD26-DAD7-43F1-8181-4E9681A198E7}" type="parTrans" cxnId="{D3D1EF7F-E794-465B-BDA7-4807B13AD526}">
      <dgm:prSet/>
      <dgm:spPr/>
      <dgm:t>
        <a:bodyPr/>
        <a:lstStyle/>
        <a:p>
          <a:endParaRPr lang="en-GB" sz="1400"/>
        </a:p>
      </dgm:t>
    </dgm:pt>
    <dgm:pt modelId="{BF1B4F7D-3235-4BB7-ADB4-FA5866DF8368}" type="sibTrans" cxnId="{D3D1EF7F-E794-465B-BDA7-4807B13AD526}">
      <dgm:prSet/>
      <dgm:spPr/>
      <dgm:t>
        <a:bodyPr/>
        <a:lstStyle/>
        <a:p>
          <a:endParaRPr lang="en-GB" sz="1400"/>
        </a:p>
      </dgm:t>
    </dgm:pt>
    <dgm:pt modelId="{9EBADFE8-83F4-47EC-868B-F0154ACAE454}">
      <dgm:prSet phldrT="[Text]" custT="1"/>
      <dgm:spPr>
        <a:solidFill>
          <a:schemeClr val="accent1">
            <a:lumMod val="40000"/>
            <a:lumOff val="60000"/>
          </a:schemeClr>
        </a:solidFill>
        <a:ln w="57150">
          <a:noFill/>
        </a:ln>
      </dgm:spPr>
      <dgm:t>
        <a:bodyPr/>
        <a:lstStyle/>
        <a:p>
          <a:r>
            <a:rPr lang="en-GB" sz="1400"/>
            <a:t>Cost AT products for each of the 4 impairment categories </a:t>
          </a:r>
          <a:br>
            <a:rPr lang="en-GB" sz="1400"/>
          </a:br>
          <a:r>
            <a:rPr lang="en-GB" sz="1400"/>
            <a:t>over a 1-year and 5-year time horizon</a:t>
          </a:r>
        </a:p>
      </dgm:t>
    </dgm:pt>
    <dgm:pt modelId="{F832A623-5D42-46A6-94C5-75397E600937}" type="parTrans" cxnId="{E285D82B-886B-48B9-8BF9-3E714B15AB16}">
      <dgm:prSet/>
      <dgm:spPr/>
      <dgm:t>
        <a:bodyPr/>
        <a:lstStyle/>
        <a:p>
          <a:endParaRPr lang="en-GB" sz="1400"/>
        </a:p>
      </dgm:t>
    </dgm:pt>
    <dgm:pt modelId="{E00265A7-E22E-47C3-808E-493C473AAB27}" type="sibTrans" cxnId="{E285D82B-886B-48B9-8BF9-3E714B15AB16}">
      <dgm:prSet/>
      <dgm:spPr/>
      <dgm:t>
        <a:bodyPr/>
        <a:lstStyle/>
        <a:p>
          <a:endParaRPr lang="en-GB" sz="1400"/>
        </a:p>
      </dgm:t>
    </dgm:pt>
    <dgm:pt modelId="{8E969AE4-9A29-42F6-9717-48DC040CF00B}">
      <dgm:prSet phldrT="[Text]" custT="1"/>
      <dgm:spPr>
        <a:solidFill>
          <a:schemeClr val="accent1">
            <a:lumMod val="20000"/>
            <a:lumOff val="80000"/>
          </a:schemeClr>
        </a:solidFill>
        <a:ln w="57150">
          <a:noFill/>
        </a:ln>
      </dgm:spPr>
      <dgm:t>
        <a:bodyPr/>
        <a:lstStyle/>
        <a:p>
          <a:r>
            <a:rPr lang="en-GB" sz="1400"/>
            <a:t>Establish and distribute the prevalence of older Australians </a:t>
          </a:r>
          <a:br>
            <a:rPr lang="en-GB" sz="1400"/>
          </a:br>
          <a:r>
            <a:rPr lang="en-GB" sz="1400"/>
            <a:t>living and home and experiencing functional decline</a:t>
          </a:r>
        </a:p>
      </dgm:t>
    </dgm:pt>
    <dgm:pt modelId="{4120E60B-398C-46BA-9A1B-C97F18A24E9E}" type="parTrans" cxnId="{4B6A9EAE-3799-410D-B271-34522BEBCE33}">
      <dgm:prSet/>
      <dgm:spPr/>
      <dgm:t>
        <a:bodyPr/>
        <a:lstStyle/>
        <a:p>
          <a:endParaRPr lang="en-GB" sz="1400"/>
        </a:p>
      </dgm:t>
    </dgm:pt>
    <dgm:pt modelId="{1AAA3FAF-847B-4ACA-A161-4B93F2CC686B}" type="sibTrans" cxnId="{4B6A9EAE-3799-410D-B271-34522BEBCE33}">
      <dgm:prSet/>
      <dgm:spPr/>
      <dgm:t>
        <a:bodyPr/>
        <a:lstStyle/>
        <a:p>
          <a:endParaRPr lang="en-GB" sz="1400"/>
        </a:p>
      </dgm:t>
    </dgm:pt>
    <dgm:pt modelId="{A3B17352-87EB-422F-B05D-47B44CF88BC7}" type="pres">
      <dgm:prSet presAssocID="{77F76FEA-8AD0-47AF-87B1-0206824BFDDD}" presName="linearFlow" presStyleCnt="0">
        <dgm:presLayoutVars>
          <dgm:dir/>
          <dgm:animLvl val="lvl"/>
          <dgm:resizeHandles val="exact"/>
        </dgm:presLayoutVars>
      </dgm:prSet>
      <dgm:spPr/>
      <dgm:t>
        <a:bodyPr/>
        <a:lstStyle/>
        <a:p>
          <a:endParaRPr lang="en-US"/>
        </a:p>
      </dgm:t>
    </dgm:pt>
    <dgm:pt modelId="{568BB893-FEFD-4459-83B8-CE710062FCF6}" type="pres">
      <dgm:prSet presAssocID="{43F477FF-271D-473E-BAB1-E76FC6E0F3FD}" presName="composite" presStyleCnt="0"/>
      <dgm:spPr/>
    </dgm:pt>
    <dgm:pt modelId="{5C7D4D32-7CFF-45C5-A530-BCAC3250620A}" type="pres">
      <dgm:prSet presAssocID="{43F477FF-271D-473E-BAB1-E76FC6E0F3FD}" presName="parentText" presStyleLbl="alignNode1" presStyleIdx="0" presStyleCnt="7">
        <dgm:presLayoutVars>
          <dgm:chMax val="1"/>
          <dgm:bulletEnabled val="1"/>
        </dgm:presLayoutVars>
      </dgm:prSet>
      <dgm:spPr/>
      <dgm:t>
        <a:bodyPr/>
        <a:lstStyle/>
        <a:p>
          <a:endParaRPr lang="en-US"/>
        </a:p>
      </dgm:t>
    </dgm:pt>
    <dgm:pt modelId="{1D26A6B6-A679-4DD1-B0D1-7121D0223DE9}" type="pres">
      <dgm:prSet presAssocID="{43F477FF-271D-473E-BAB1-E76FC6E0F3FD}" presName="descendantText" presStyleLbl="alignAcc1" presStyleIdx="0" presStyleCnt="7">
        <dgm:presLayoutVars>
          <dgm:bulletEnabled val="1"/>
        </dgm:presLayoutVars>
      </dgm:prSet>
      <dgm:spPr/>
      <dgm:t>
        <a:bodyPr/>
        <a:lstStyle/>
        <a:p>
          <a:endParaRPr lang="en-US"/>
        </a:p>
      </dgm:t>
    </dgm:pt>
    <dgm:pt modelId="{F44C3B18-1305-4213-AB75-ABFE9604277E}" type="pres">
      <dgm:prSet presAssocID="{E8AB124A-5C30-4E7C-B215-B075C6DF02B0}" presName="sp" presStyleCnt="0"/>
      <dgm:spPr/>
    </dgm:pt>
    <dgm:pt modelId="{281D7098-1750-467B-AEF5-C0D1DA64B3D3}" type="pres">
      <dgm:prSet presAssocID="{F6D1336F-D895-4F53-834D-1A3A82AD72A1}" presName="composite" presStyleCnt="0"/>
      <dgm:spPr/>
    </dgm:pt>
    <dgm:pt modelId="{197E8E6E-0510-4115-AFAF-99219802914F}" type="pres">
      <dgm:prSet presAssocID="{F6D1336F-D895-4F53-834D-1A3A82AD72A1}" presName="parentText" presStyleLbl="alignNode1" presStyleIdx="1" presStyleCnt="7">
        <dgm:presLayoutVars>
          <dgm:chMax val="1"/>
          <dgm:bulletEnabled val="1"/>
        </dgm:presLayoutVars>
      </dgm:prSet>
      <dgm:spPr/>
      <dgm:t>
        <a:bodyPr/>
        <a:lstStyle/>
        <a:p>
          <a:endParaRPr lang="en-US"/>
        </a:p>
      </dgm:t>
    </dgm:pt>
    <dgm:pt modelId="{ECA259CF-503C-4222-900C-4A6085F827DC}" type="pres">
      <dgm:prSet presAssocID="{F6D1336F-D895-4F53-834D-1A3A82AD72A1}" presName="descendantText" presStyleLbl="alignAcc1" presStyleIdx="1" presStyleCnt="7">
        <dgm:presLayoutVars>
          <dgm:bulletEnabled val="1"/>
        </dgm:presLayoutVars>
      </dgm:prSet>
      <dgm:spPr/>
      <dgm:t>
        <a:bodyPr/>
        <a:lstStyle/>
        <a:p>
          <a:endParaRPr lang="en-US"/>
        </a:p>
      </dgm:t>
    </dgm:pt>
    <dgm:pt modelId="{58CB91A9-808A-432A-87E2-A175940B4CB1}" type="pres">
      <dgm:prSet presAssocID="{806E9319-ACB0-4ACE-A69B-B1C933C9E573}" presName="sp" presStyleCnt="0"/>
      <dgm:spPr/>
    </dgm:pt>
    <dgm:pt modelId="{EB200AF4-6542-4538-85ED-DB4A581C434B}" type="pres">
      <dgm:prSet presAssocID="{2AA43684-A5FA-4B2B-9E33-05A0D3C0011D}" presName="composite" presStyleCnt="0"/>
      <dgm:spPr/>
    </dgm:pt>
    <dgm:pt modelId="{958CC256-004C-48A0-B506-CD8AABF5ECD2}" type="pres">
      <dgm:prSet presAssocID="{2AA43684-A5FA-4B2B-9E33-05A0D3C0011D}" presName="parentText" presStyleLbl="alignNode1" presStyleIdx="2" presStyleCnt="7">
        <dgm:presLayoutVars>
          <dgm:chMax val="1"/>
          <dgm:bulletEnabled val="1"/>
        </dgm:presLayoutVars>
      </dgm:prSet>
      <dgm:spPr/>
      <dgm:t>
        <a:bodyPr/>
        <a:lstStyle/>
        <a:p>
          <a:endParaRPr lang="en-US"/>
        </a:p>
      </dgm:t>
    </dgm:pt>
    <dgm:pt modelId="{BE73A133-23D8-4EA2-90B6-B6CD858C67CD}" type="pres">
      <dgm:prSet presAssocID="{2AA43684-A5FA-4B2B-9E33-05A0D3C0011D}" presName="descendantText" presStyleLbl="alignAcc1" presStyleIdx="2" presStyleCnt="7">
        <dgm:presLayoutVars>
          <dgm:bulletEnabled val="1"/>
        </dgm:presLayoutVars>
      </dgm:prSet>
      <dgm:spPr/>
      <dgm:t>
        <a:bodyPr/>
        <a:lstStyle/>
        <a:p>
          <a:endParaRPr lang="en-US"/>
        </a:p>
      </dgm:t>
    </dgm:pt>
    <dgm:pt modelId="{6A072B12-B95B-4F0E-8B33-7CA45D865B6C}" type="pres">
      <dgm:prSet presAssocID="{19E17FBB-E8AD-4690-8067-E4BE74496823}" presName="sp" presStyleCnt="0"/>
      <dgm:spPr/>
    </dgm:pt>
    <dgm:pt modelId="{06D9CD86-3374-4B08-95EB-A25C3241D1FF}" type="pres">
      <dgm:prSet presAssocID="{3AA9000C-C034-48F5-8E42-A6B595A83C1F}" presName="composite" presStyleCnt="0"/>
      <dgm:spPr/>
    </dgm:pt>
    <dgm:pt modelId="{3CB36F38-F900-4793-90D8-9E423E79756B}" type="pres">
      <dgm:prSet presAssocID="{3AA9000C-C034-48F5-8E42-A6B595A83C1F}" presName="parentText" presStyleLbl="alignNode1" presStyleIdx="3" presStyleCnt="7">
        <dgm:presLayoutVars>
          <dgm:chMax val="1"/>
          <dgm:bulletEnabled val="1"/>
        </dgm:presLayoutVars>
      </dgm:prSet>
      <dgm:spPr/>
      <dgm:t>
        <a:bodyPr/>
        <a:lstStyle/>
        <a:p>
          <a:endParaRPr lang="en-US"/>
        </a:p>
      </dgm:t>
    </dgm:pt>
    <dgm:pt modelId="{267246EA-DBB4-48F9-A38A-0727F45399F0}" type="pres">
      <dgm:prSet presAssocID="{3AA9000C-C034-48F5-8E42-A6B595A83C1F}" presName="descendantText" presStyleLbl="alignAcc1" presStyleIdx="3" presStyleCnt="7">
        <dgm:presLayoutVars>
          <dgm:bulletEnabled val="1"/>
        </dgm:presLayoutVars>
      </dgm:prSet>
      <dgm:spPr/>
      <dgm:t>
        <a:bodyPr/>
        <a:lstStyle/>
        <a:p>
          <a:endParaRPr lang="en-US"/>
        </a:p>
      </dgm:t>
    </dgm:pt>
    <dgm:pt modelId="{342F163E-CB4C-4599-AE00-BCC618D180E6}" type="pres">
      <dgm:prSet presAssocID="{481185C4-DBE3-485A-836F-F457833CA5C0}" presName="sp" presStyleCnt="0"/>
      <dgm:spPr/>
    </dgm:pt>
    <dgm:pt modelId="{131EA1FB-F5D7-4512-A915-F5016D4E6A48}" type="pres">
      <dgm:prSet presAssocID="{B415BD51-C6CB-4652-8A7D-43FC4649BA56}" presName="composite" presStyleCnt="0"/>
      <dgm:spPr/>
    </dgm:pt>
    <dgm:pt modelId="{117BA573-AE28-482B-9C48-8C338E077012}" type="pres">
      <dgm:prSet presAssocID="{B415BD51-C6CB-4652-8A7D-43FC4649BA56}" presName="parentText" presStyleLbl="alignNode1" presStyleIdx="4" presStyleCnt="7">
        <dgm:presLayoutVars>
          <dgm:chMax val="1"/>
          <dgm:bulletEnabled val="1"/>
        </dgm:presLayoutVars>
      </dgm:prSet>
      <dgm:spPr/>
      <dgm:t>
        <a:bodyPr/>
        <a:lstStyle/>
        <a:p>
          <a:endParaRPr lang="en-US"/>
        </a:p>
      </dgm:t>
    </dgm:pt>
    <dgm:pt modelId="{15047A1F-3438-485D-A304-F6CB2F923D50}" type="pres">
      <dgm:prSet presAssocID="{B415BD51-C6CB-4652-8A7D-43FC4649BA56}" presName="descendantText" presStyleLbl="alignAcc1" presStyleIdx="4" presStyleCnt="7">
        <dgm:presLayoutVars>
          <dgm:bulletEnabled val="1"/>
        </dgm:presLayoutVars>
      </dgm:prSet>
      <dgm:spPr/>
      <dgm:t>
        <a:bodyPr/>
        <a:lstStyle/>
        <a:p>
          <a:endParaRPr lang="en-US"/>
        </a:p>
      </dgm:t>
    </dgm:pt>
    <dgm:pt modelId="{CF6AB73D-79D7-4BE1-A0E6-A35D7F410A29}" type="pres">
      <dgm:prSet presAssocID="{2E4A6E4C-ED77-4927-BB10-CAB2A5C882C8}" presName="sp" presStyleCnt="0"/>
      <dgm:spPr/>
    </dgm:pt>
    <dgm:pt modelId="{133294F1-266B-47A2-9CB8-FE49951A645E}" type="pres">
      <dgm:prSet presAssocID="{04D1A349-6F39-408A-AF59-DDF02A656941}" presName="composite" presStyleCnt="0"/>
      <dgm:spPr/>
    </dgm:pt>
    <dgm:pt modelId="{DEDB5BF8-C222-4C1D-B65F-2B393C442E09}" type="pres">
      <dgm:prSet presAssocID="{04D1A349-6F39-408A-AF59-DDF02A656941}" presName="parentText" presStyleLbl="alignNode1" presStyleIdx="5" presStyleCnt="7">
        <dgm:presLayoutVars>
          <dgm:chMax val="1"/>
          <dgm:bulletEnabled val="1"/>
        </dgm:presLayoutVars>
      </dgm:prSet>
      <dgm:spPr/>
      <dgm:t>
        <a:bodyPr/>
        <a:lstStyle/>
        <a:p>
          <a:endParaRPr lang="en-US"/>
        </a:p>
      </dgm:t>
    </dgm:pt>
    <dgm:pt modelId="{0928501A-3FC0-400A-9761-10883666110C}" type="pres">
      <dgm:prSet presAssocID="{04D1A349-6F39-408A-AF59-DDF02A656941}" presName="descendantText" presStyleLbl="alignAcc1" presStyleIdx="5" presStyleCnt="7">
        <dgm:presLayoutVars>
          <dgm:bulletEnabled val="1"/>
        </dgm:presLayoutVars>
      </dgm:prSet>
      <dgm:spPr>
        <a:ln>
          <a:noFill/>
        </a:ln>
      </dgm:spPr>
      <dgm:t>
        <a:bodyPr/>
        <a:lstStyle/>
        <a:p>
          <a:endParaRPr lang="en-US"/>
        </a:p>
      </dgm:t>
    </dgm:pt>
    <dgm:pt modelId="{C1AB5005-C48F-4F3B-B2A2-118B21B7B05F}" type="pres">
      <dgm:prSet presAssocID="{9CBEEAAB-BFC0-4354-81D6-41D3EEA2D1A2}" presName="sp" presStyleCnt="0"/>
      <dgm:spPr/>
    </dgm:pt>
    <dgm:pt modelId="{CA331940-170C-425D-A304-2D5420993F2D}" type="pres">
      <dgm:prSet presAssocID="{A51AB7C7-A145-44D2-9601-84EFF184D626}" presName="composite" presStyleCnt="0"/>
      <dgm:spPr/>
    </dgm:pt>
    <dgm:pt modelId="{39607A47-2DCB-42E3-BD60-7CD9DA5621F0}" type="pres">
      <dgm:prSet presAssocID="{A51AB7C7-A145-44D2-9601-84EFF184D626}" presName="parentText" presStyleLbl="alignNode1" presStyleIdx="6" presStyleCnt="7">
        <dgm:presLayoutVars>
          <dgm:chMax val="1"/>
          <dgm:bulletEnabled val="1"/>
        </dgm:presLayoutVars>
      </dgm:prSet>
      <dgm:spPr/>
      <dgm:t>
        <a:bodyPr/>
        <a:lstStyle/>
        <a:p>
          <a:endParaRPr lang="en-US"/>
        </a:p>
      </dgm:t>
    </dgm:pt>
    <dgm:pt modelId="{B4252394-48CD-41B5-8841-B1BC2A82A189}" type="pres">
      <dgm:prSet presAssocID="{A51AB7C7-A145-44D2-9601-84EFF184D626}" presName="descendantText" presStyleLbl="alignAcc1" presStyleIdx="6" presStyleCnt="7">
        <dgm:presLayoutVars>
          <dgm:bulletEnabled val="1"/>
        </dgm:presLayoutVars>
      </dgm:prSet>
      <dgm:spPr>
        <a:ln>
          <a:noFill/>
        </a:ln>
      </dgm:spPr>
      <dgm:t>
        <a:bodyPr/>
        <a:lstStyle/>
        <a:p>
          <a:endParaRPr lang="en-US"/>
        </a:p>
      </dgm:t>
    </dgm:pt>
  </dgm:ptLst>
  <dgm:cxnLst>
    <dgm:cxn modelId="{A19EF7E4-A7A0-4E96-BA24-216194A02185}" type="presOf" srcId="{3079F57B-2AB5-4090-A6AC-AD9EB1A03C66}" destId="{267246EA-DBB4-48F9-A38A-0727F45399F0}" srcOrd="0" destOrd="0" presId="urn:microsoft.com/office/officeart/2005/8/layout/chevron2"/>
    <dgm:cxn modelId="{0DCFF0EB-7651-4EEA-8685-1305CC3B2C44}" srcId="{77F76FEA-8AD0-47AF-87B1-0206824BFDDD}" destId="{B415BD51-C6CB-4652-8A7D-43FC4649BA56}" srcOrd="4" destOrd="0" parTransId="{194E3543-C5E3-4776-B7C0-F4D821846834}" sibTransId="{2E4A6E4C-ED77-4927-BB10-CAB2A5C882C8}"/>
    <dgm:cxn modelId="{1E391DFD-EC3E-401B-A398-AEBE076C3CB3}" srcId="{B415BD51-C6CB-4652-8A7D-43FC4649BA56}" destId="{3598D071-1884-4875-B8C5-4DBF1A692C85}" srcOrd="0" destOrd="0" parTransId="{9379A09B-EB0F-433F-998D-A373CDCA2745}" sibTransId="{DD74E295-FCC1-49B3-98DA-3DC1B1235C9C}"/>
    <dgm:cxn modelId="{07B74F38-96CD-4529-83B6-D3CCB22AF572}" type="presOf" srcId="{8E969AE4-9A29-42F6-9717-48DC040CF00B}" destId="{1D26A6B6-A679-4DD1-B0D1-7121D0223DE9}" srcOrd="0" destOrd="0" presId="urn:microsoft.com/office/officeart/2005/8/layout/chevron2"/>
    <dgm:cxn modelId="{C4010D4E-B61E-4A69-9A4E-08221723B981}" type="presOf" srcId="{F6D1336F-D895-4F53-834D-1A3A82AD72A1}" destId="{197E8E6E-0510-4115-AFAF-99219802914F}" srcOrd="0" destOrd="0" presId="urn:microsoft.com/office/officeart/2005/8/layout/chevron2"/>
    <dgm:cxn modelId="{4028479E-54D3-46FF-B770-AFDF016ABAAA}" type="presOf" srcId="{A51AB7C7-A145-44D2-9601-84EFF184D626}" destId="{39607A47-2DCB-42E3-BD60-7CD9DA5621F0}" srcOrd="0" destOrd="0" presId="urn:microsoft.com/office/officeart/2005/8/layout/chevron2"/>
    <dgm:cxn modelId="{C5ABB069-829D-467E-BCF7-DE79D3346F55}" srcId="{A51AB7C7-A145-44D2-9601-84EFF184D626}" destId="{02E53A24-7825-4F18-B0FC-CEE751A30BF4}" srcOrd="0" destOrd="0" parTransId="{67654691-4B25-4429-B689-2D7E248FA1F6}" sibTransId="{250613E0-59C4-416B-B644-BB09AEF111F1}"/>
    <dgm:cxn modelId="{726FD9D9-EFB6-4D73-BE1A-19A40F561C41}" srcId="{3AA9000C-C034-48F5-8E42-A6B595A83C1F}" destId="{3079F57B-2AB5-4090-A6AC-AD9EB1A03C66}" srcOrd="0" destOrd="0" parTransId="{BAA8F0BC-E970-4871-896A-55A06641B090}" sibTransId="{9D523373-30FB-4FA8-89C8-E93B62A5E143}"/>
    <dgm:cxn modelId="{B8D6EAE9-9864-4C88-9733-4E6CA160171E}" type="presOf" srcId="{4843475C-9994-49CA-80D9-8A9259C6832B}" destId="{BE73A133-23D8-4EA2-90B6-B6CD858C67CD}" srcOrd="0" destOrd="0" presId="urn:microsoft.com/office/officeart/2005/8/layout/chevron2"/>
    <dgm:cxn modelId="{FA35206C-2AA4-4C4A-A3F6-A8927F701298}" type="presOf" srcId="{3AA9000C-C034-48F5-8E42-A6B595A83C1F}" destId="{3CB36F38-F900-4793-90D8-9E423E79756B}" srcOrd="0" destOrd="0" presId="urn:microsoft.com/office/officeart/2005/8/layout/chevron2"/>
    <dgm:cxn modelId="{18162BCC-8E27-4ED6-BEDB-9696EB73FC1E}" type="presOf" srcId="{2AA43684-A5FA-4B2B-9E33-05A0D3C0011D}" destId="{958CC256-004C-48A0-B506-CD8AABF5ECD2}" srcOrd="0" destOrd="0" presId="urn:microsoft.com/office/officeart/2005/8/layout/chevron2"/>
    <dgm:cxn modelId="{00E801DA-3A93-4811-BAD5-0693E765C7FD}" type="presOf" srcId="{9EBADFE8-83F4-47EC-868B-F0154ACAE454}" destId="{ECA259CF-503C-4222-900C-4A6085F827DC}" srcOrd="0" destOrd="0" presId="urn:microsoft.com/office/officeart/2005/8/layout/chevron2"/>
    <dgm:cxn modelId="{29601F55-C8CB-4BCF-8C5D-73170F777EFC}" type="presOf" srcId="{04D1A349-6F39-408A-AF59-DDF02A656941}" destId="{DEDB5BF8-C222-4C1D-B65F-2B393C442E09}" srcOrd="0" destOrd="0" presId="urn:microsoft.com/office/officeart/2005/8/layout/chevron2"/>
    <dgm:cxn modelId="{8A8DE5E1-95AA-44B2-9385-3FF79C450030}" srcId="{77F76FEA-8AD0-47AF-87B1-0206824BFDDD}" destId="{3AA9000C-C034-48F5-8E42-A6B595A83C1F}" srcOrd="3" destOrd="0" parTransId="{661ECAAD-E8B9-4169-BF46-A642D31D8604}" sibTransId="{481185C4-DBE3-485A-836F-F457833CA5C0}"/>
    <dgm:cxn modelId="{F624A7D1-9A0F-4F8D-ABFE-C7DFDEBDA371}" srcId="{77F76FEA-8AD0-47AF-87B1-0206824BFDDD}" destId="{04D1A349-6F39-408A-AF59-DDF02A656941}" srcOrd="5" destOrd="0" parTransId="{B7127C14-3EFF-4255-97B4-1759D5C23105}" sibTransId="{9CBEEAAB-BFC0-4354-81D6-41D3EEA2D1A2}"/>
    <dgm:cxn modelId="{563AEAE0-595E-4E6C-BF00-87A85FF6B806}" type="presOf" srcId="{43F477FF-271D-473E-BAB1-E76FC6E0F3FD}" destId="{5C7D4D32-7CFF-45C5-A530-BCAC3250620A}" srcOrd="0" destOrd="0" presId="urn:microsoft.com/office/officeart/2005/8/layout/chevron2"/>
    <dgm:cxn modelId="{744B0648-EE4C-4B42-8E6C-F17606E0EB98}" type="presOf" srcId="{B415BD51-C6CB-4652-8A7D-43FC4649BA56}" destId="{117BA573-AE28-482B-9C48-8C338E077012}" srcOrd="0" destOrd="0" presId="urn:microsoft.com/office/officeart/2005/8/layout/chevron2"/>
    <dgm:cxn modelId="{13DA3F7B-DA10-4664-925A-FB9C2D2D2CB3}" srcId="{77F76FEA-8AD0-47AF-87B1-0206824BFDDD}" destId="{A51AB7C7-A145-44D2-9601-84EFF184D626}" srcOrd="6" destOrd="0" parTransId="{C23FF20A-C88C-44F8-9962-90B452D98F27}" sibTransId="{E5A784B3-C758-4C52-98B9-EDD667CF8AC4}"/>
    <dgm:cxn modelId="{E6BAD1EB-FC50-4125-B481-4819F711AA27}" srcId="{77F76FEA-8AD0-47AF-87B1-0206824BFDDD}" destId="{43F477FF-271D-473E-BAB1-E76FC6E0F3FD}" srcOrd="0" destOrd="0" parTransId="{E06AEC44-6E24-41A3-AD43-4ACE9DB00614}" sibTransId="{E8AB124A-5C30-4E7C-B215-B075C6DF02B0}"/>
    <dgm:cxn modelId="{3AAED65C-AF8E-45D7-89F7-A1C28B7D4A05}" srcId="{04D1A349-6F39-408A-AF59-DDF02A656941}" destId="{7D0E0263-5DEC-42AC-B238-15176C2CEB44}" srcOrd="0" destOrd="0" parTransId="{193B773B-8441-41D2-94C0-BC2149223902}" sibTransId="{87F78E49-4FDF-4485-A855-F15FF8C2ED87}"/>
    <dgm:cxn modelId="{E285D82B-886B-48B9-8BF9-3E714B15AB16}" srcId="{F6D1336F-D895-4F53-834D-1A3A82AD72A1}" destId="{9EBADFE8-83F4-47EC-868B-F0154ACAE454}" srcOrd="0" destOrd="0" parTransId="{F832A623-5D42-46A6-94C5-75397E600937}" sibTransId="{E00265A7-E22E-47C3-808E-493C473AAB27}"/>
    <dgm:cxn modelId="{31E7A660-603E-436C-A5B3-34B20CEAE697}" type="presOf" srcId="{77F76FEA-8AD0-47AF-87B1-0206824BFDDD}" destId="{A3B17352-87EB-422F-B05D-47B44CF88BC7}" srcOrd="0" destOrd="0" presId="urn:microsoft.com/office/officeart/2005/8/layout/chevron2"/>
    <dgm:cxn modelId="{D3D1EF7F-E794-465B-BDA7-4807B13AD526}" srcId="{2AA43684-A5FA-4B2B-9E33-05A0D3C0011D}" destId="{4843475C-9994-49CA-80D9-8A9259C6832B}" srcOrd="0" destOrd="0" parTransId="{0AE7CD26-DAD7-43F1-8181-4E9681A198E7}" sibTransId="{BF1B4F7D-3235-4BB7-ADB4-FA5866DF8368}"/>
    <dgm:cxn modelId="{0F1AE771-D3B7-4DC6-8547-2239DF5975F4}" type="presOf" srcId="{02E53A24-7825-4F18-B0FC-CEE751A30BF4}" destId="{B4252394-48CD-41B5-8841-B1BC2A82A189}" srcOrd="0" destOrd="0" presId="urn:microsoft.com/office/officeart/2005/8/layout/chevron2"/>
    <dgm:cxn modelId="{D2131D42-73C7-42FD-AA74-B5CB0B0F549C}" type="presOf" srcId="{3598D071-1884-4875-B8C5-4DBF1A692C85}" destId="{15047A1F-3438-485D-A304-F6CB2F923D50}" srcOrd="0" destOrd="0" presId="urn:microsoft.com/office/officeart/2005/8/layout/chevron2"/>
    <dgm:cxn modelId="{ECE6E692-96B2-4F32-B77D-277AC3E32185}" type="presOf" srcId="{7D0E0263-5DEC-42AC-B238-15176C2CEB44}" destId="{0928501A-3FC0-400A-9761-10883666110C}" srcOrd="0" destOrd="0" presId="urn:microsoft.com/office/officeart/2005/8/layout/chevron2"/>
    <dgm:cxn modelId="{291D6928-1E4A-4010-A556-E764A29AE896}" srcId="{77F76FEA-8AD0-47AF-87B1-0206824BFDDD}" destId="{2AA43684-A5FA-4B2B-9E33-05A0D3C0011D}" srcOrd="2" destOrd="0" parTransId="{E801628B-ABBB-4E20-9755-044FF02F3E32}" sibTransId="{19E17FBB-E8AD-4690-8067-E4BE74496823}"/>
    <dgm:cxn modelId="{4B6A9EAE-3799-410D-B271-34522BEBCE33}" srcId="{43F477FF-271D-473E-BAB1-E76FC6E0F3FD}" destId="{8E969AE4-9A29-42F6-9717-48DC040CF00B}" srcOrd="0" destOrd="0" parTransId="{4120E60B-398C-46BA-9A1B-C97F18A24E9E}" sibTransId="{1AAA3FAF-847B-4ACA-A161-4B93F2CC686B}"/>
    <dgm:cxn modelId="{8113AE1C-496F-40B4-B7C9-47825A5B2A17}" srcId="{77F76FEA-8AD0-47AF-87B1-0206824BFDDD}" destId="{F6D1336F-D895-4F53-834D-1A3A82AD72A1}" srcOrd="1" destOrd="0" parTransId="{F3A01145-D53F-44DE-A075-0A32BD50B099}" sibTransId="{806E9319-ACB0-4ACE-A69B-B1C933C9E573}"/>
    <dgm:cxn modelId="{49A9751A-96EB-46C0-921B-3EA94550C626}" type="presParOf" srcId="{A3B17352-87EB-422F-B05D-47B44CF88BC7}" destId="{568BB893-FEFD-4459-83B8-CE710062FCF6}" srcOrd="0" destOrd="0" presId="urn:microsoft.com/office/officeart/2005/8/layout/chevron2"/>
    <dgm:cxn modelId="{B8EFE40A-1B6F-470D-A6C0-75CE39DC59CD}" type="presParOf" srcId="{568BB893-FEFD-4459-83B8-CE710062FCF6}" destId="{5C7D4D32-7CFF-45C5-A530-BCAC3250620A}" srcOrd="0" destOrd="0" presId="urn:microsoft.com/office/officeart/2005/8/layout/chevron2"/>
    <dgm:cxn modelId="{A63C9401-7742-4CE2-9FD2-E6D6AADF8714}" type="presParOf" srcId="{568BB893-FEFD-4459-83B8-CE710062FCF6}" destId="{1D26A6B6-A679-4DD1-B0D1-7121D0223DE9}" srcOrd="1" destOrd="0" presId="urn:microsoft.com/office/officeart/2005/8/layout/chevron2"/>
    <dgm:cxn modelId="{F4CF13F5-B57F-40D2-B31F-56DA7C0D60FA}" type="presParOf" srcId="{A3B17352-87EB-422F-B05D-47B44CF88BC7}" destId="{F44C3B18-1305-4213-AB75-ABFE9604277E}" srcOrd="1" destOrd="0" presId="urn:microsoft.com/office/officeart/2005/8/layout/chevron2"/>
    <dgm:cxn modelId="{0079CFFD-FA0A-4E96-A6BD-3B6D64027D22}" type="presParOf" srcId="{A3B17352-87EB-422F-B05D-47B44CF88BC7}" destId="{281D7098-1750-467B-AEF5-C0D1DA64B3D3}" srcOrd="2" destOrd="0" presId="urn:microsoft.com/office/officeart/2005/8/layout/chevron2"/>
    <dgm:cxn modelId="{8D5403EB-B645-41B7-8D77-799F1FFCEBDF}" type="presParOf" srcId="{281D7098-1750-467B-AEF5-C0D1DA64B3D3}" destId="{197E8E6E-0510-4115-AFAF-99219802914F}" srcOrd="0" destOrd="0" presId="urn:microsoft.com/office/officeart/2005/8/layout/chevron2"/>
    <dgm:cxn modelId="{E454D384-1A4A-4EEA-BEBA-74589F7B5D9F}" type="presParOf" srcId="{281D7098-1750-467B-AEF5-C0D1DA64B3D3}" destId="{ECA259CF-503C-4222-900C-4A6085F827DC}" srcOrd="1" destOrd="0" presId="urn:microsoft.com/office/officeart/2005/8/layout/chevron2"/>
    <dgm:cxn modelId="{A109EC75-EF7D-49AF-80DD-B6993A8A728A}" type="presParOf" srcId="{A3B17352-87EB-422F-B05D-47B44CF88BC7}" destId="{58CB91A9-808A-432A-87E2-A175940B4CB1}" srcOrd="3" destOrd="0" presId="urn:microsoft.com/office/officeart/2005/8/layout/chevron2"/>
    <dgm:cxn modelId="{9A7156B7-8630-439E-A109-A35F683796B4}" type="presParOf" srcId="{A3B17352-87EB-422F-B05D-47B44CF88BC7}" destId="{EB200AF4-6542-4538-85ED-DB4A581C434B}" srcOrd="4" destOrd="0" presId="urn:microsoft.com/office/officeart/2005/8/layout/chevron2"/>
    <dgm:cxn modelId="{69A33C25-9269-4957-AFDF-1CFB9F242E10}" type="presParOf" srcId="{EB200AF4-6542-4538-85ED-DB4A581C434B}" destId="{958CC256-004C-48A0-B506-CD8AABF5ECD2}" srcOrd="0" destOrd="0" presId="urn:microsoft.com/office/officeart/2005/8/layout/chevron2"/>
    <dgm:cxn modelId="{D683D532-E14A-40C6-B25C-2E1222329839}" type="presParOf" srcId="{EB200AF4-6542-4538-85ED-DB4A581C434B}" destId="{BE73A133-23D8-4EA2-90B6-B6CD858C67CD}" srcOrd="1" destOrd="0" presId="urn:microsoft.com/office/officeart/2005/8/layout/chevron2"/>
    <dgm:cxn modelId="{600AE934-267F-407E-A963-486BC4BD9F67}" type="presParOf" srcId="{A3B17352-87EB-422F-B05D-47B44CF88BC7}" destId="{6A072B12-B95B-4F0E-8B33-7CA45D865B6C}" srcOrd="5" destOrd="0" presId="urn:microsoft.com/office/officeart/2005/8/layout/chevron2"/>
    <dgm:cxn modelId="{5FBF956A-31B7-4F75-8E7F-4F7C57F28C7C}" type="presParOf" srcId="{A3B17352-87EB-422F-B05D-47B44CF88BC7}" destId="{06D9CD86-3374-4B08-95EB-A25C3241D1FF}" srcOrd="6" destOrd="0" presId="urn:microsoft.com/office/officeart/2005/8/layout/chevron2"/>
    <dgm:cxn modelId="{270CDCEC-CAFD-4B71-9568-E51291E02D3E}" type="presParOf" srcId="{06D9CD86-3374-4B08-95EB-A25C3241D1FF}" destId="{3CB36F38-F900-4793-90D8-9E423E79756B}" srcOrd="0" destOrd="0" presId="urn:microsoft.com/office/officeart/2005/8/layout/chevron2"/>
    <dgm:cxn modelId="{583D1C0E-E7A2-4527-90B8-58EA6E160008}" type="presParOf" srcId="{06D9CD86-3374-4B08-95EB-A25C3241D1FF}" destId="{267246EA-DBB4-48F9-A38A-0727F45399F0}" srcOrd="1" destOrd="0" presId="urn:microsoft.com/office/officeart/2005/8/layout/chevron2"/>
    <dgm:cxn modelId="{50D8F4A6-E40C-4938-8DA4-DC2908498B8C}" type="presParOf" srcId="{A3B17352-87EB-422F-B05D-47B44CF88BC7}" destId="{342F163E-CB4C-4599-AE00-BCC618D180E6}" srcOrd="7" destOrd="0" presId="urn:microsoft.com/office/officeart/2005/8/layout/chevron2"/>
    <dgm:cxn modelId="{789642FB-A5A9-4D01-B98D-B8FEFB32C8BD}" type="presParOf" srcId="{A3B17352-87EB-422F-B05D-47B44CF88BC7}" destId="{131EA1FB-F5D7-4512-A915-F5016D4E6A48}" srcOrd="8" destOrd="0" presId="urn:microsoft.com/office/officeart/2005/8/layout/chevron2"/>
    <dgm:cxn modelId="{67F341F2-5FEA-4904-8129-21E78C69450C}" type="presParOf" srcId="{131EA1FB-F5D7-4512-A915-F5016D4E6A48}" destId="{117BA573-AE28-482B-9C48-8C338E077012}" srcOrd="0" destOrd="0" presId="urn:microsoft.com/office/officeart/2005/8/layout/chevron2"/>
    <dgm:cxn modelId="{9F86BD35-5274-4374-917B-855DE92E24C7}" type="presParOf" srcId="{131EA1FB-F5D7-4512-A915-F5016D4E6A48}" destId="{15047A1F-3438-485D-A304-F6CB2F923D50}" srcOrd="1" destOrd="0" presId="urn:microsoft.com/office/officeart/2005/8/layout/chevron2"/>
    <dgm:cxn modelId="{2C5A0F60-96A7-4C18-9BF0-DA2EB824F206}" type="presParOf" srcId="{A3B17352-87EB-422F-B05D-47B44CF88BC7}" destId="{CF6AB73D-79D7-4BE1-A0E6-A35D7F410A29}" srcOrd="9" destOrd="0" presId="urn:microsoft.com/office/officeart/2005/8/layout/chevron2"/>
    <dgm:cxn modelId="{B8363400-750E-40CC-A908-5FAE3F6B6760}" type="presParOf" srcId="{A3B17352-87EB-422F-B05D-47B44CF88BC7}" destId="{133294F1-266B-47A2-9CB8-FE49951A645E}" srcOrd="10" destOrd="0" presId="urn:microsoft.com/office/officeart/2005/8/layout/chevron2"/>
    <dgm:cxn modelId="{E55C47A7-6A82-4619-89FA-330F833361EF}" type="presParOf" srcId="{133294F1-266B-47A2-9CB8-FE49951A645E}" destId="{DEDB5BF8-C222-4C1D-B65F-2B393C442E09}" srcOrd="0" destOrd="0" presId="urn:microsoft.com/office/officeart/2005/8/layout/chevron2"/>
    <dgm:cxn modelId="{19C01A7C-7D48-4DFB-97AD-23D4FCEDC349}" type="presParOf" srcId="{133294F1-266B-47A2-9CB8-FE49951A645E}" destId="{0928501A-3FC0-400A-9761-10883666110C}" srcOrd="1" destOrd="0" presId="urn:microsoft.com/office/officeart/2005/8/layout/chevron2"/>
    <dgm:cxn modelId="{841C0ADF-C9B3-4430-A923-D98D380E53E9}" type="presParOf" srcId="{A3B17352-87EB-422F-B05D-47B44CF88BC7}" destId="{C1AB5005-C48F-4F3B-B2A2-118B21B7B05F}" srcOrd="11" destOrd="0" presId="urn:microsoft.com/office/officeart/2005/8/layout/chevron2"/>
    <dgm:cxn modelId="{32C0B46E-61F1-4D68-8D1D-130C9623153E}" type="presParOf" srcId="{A3B17352-87EB-422F-B05D-47B44CF88BC7}" destId="{CA331940-170C-425D-A304-2D5420993F2D}" srcOrd="12" destOrd="0" presId="urn:microsoft.com/office/officeart/2005/8/layout/chevron2"/>
    <dgm:cxn modelId="{5897E88C-013F-4A0F-8B37-7D1857C32559}" type="presParOf" srcId="{CA331940-170C-425D-A304-2D5420993F2D}" destId="{39607A47-2DCB-42E3-BD60-7CD9DA5621F0}" srcOrd="0" destOrd="0" presId="urn:microsoft.com/office/officeart/2005/8/layout/chevron2"/>
    <dgm:cxn modelId="{F4ACA4F3-CC9A-4EF6-820E-BF8670AE3567}" type="presParOf" srcId="{CA331940-170C-425D-A304-2D5420993F2D}" destId="{B4252394-48CD-41B5-8841-B1BC2A82A189}" srcOrd="1" destOrd="0" presId="urn:microsoft.com/office/officeart/2005/8/layout/chevron2"/>
  </dgm:cxnLst>
  <dgm:bg/>
  <dgm:whole>
    <a:ln w="76200" cap="flat" cmpd="sng" algn="ctr">
      <a:solidFill>
        <a:schemeClr val="bg1">
          <a:lumMod val="95000"/>
        </a:schemeClr>
      </a:solidFill>
      <a:prstDash val="solid"/>
      <a:round/>
      <a:headEnd type="none" w="med" len="med"/>
      <a:tailEnd type="none" w="med" len="med"/>
    </a:ln>
  </dgm:whole>
  <dgm:extLst>
    <a:ext uri="http://schemas.microsoft.com/office/drawing/2008/diagram">
      <dsp:dataModelExt xmlns:dsp="http://schemas.microsoft.com/office/drawing/2008/diagram" relId="rId35"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23B5A306-E1F8-4582-B54A-FDDC6EC8CDF0}" type="doc">
      <dgm:prSet loTypeId="urn:microsoft.com/office/officeart/2005/8/layout/process5" loCatId="process" qsTypeId="urn:microsoft.com/office/officeart/2005/8/quickstyle/simple1" qsCatId="simple" csTypeId="urn:microsoft.com/office/officeart/2005/8/colors/accent4_2" csCatId="accent4" phldr="1"/>
      <dgm:spPr/>
      <dgm:t>
        <a:bodyPr/>
        <a:lstStyle/>
        <a:p>
          <a:endParaRPr lang="en-GB"/>
        </a:p>
      </dgm:t>
    </dgm:pt>
    <dgm:pt modelId="{C4EDA74B-7D7F-4EE2-9807-5C870B80D45A}">
      <dgm:prSet phldrT="[Text]" custT="1"/>
      <dgm:spPr>
        <a:solidFill>
          <a:schemeClr val="bg2">
            <a:lumMod val="50000"/>
          </a:schemeClr>
        </a:solidFill>
      </dgm:spPr>
      <dgm:t>
        <a:bodyPr/>
        <a:lstStyle/>
        <a:p>
          <a:r>
            <a:rPr lang="en-GB" sz="1800" b="1">
              <a:solidFill>
                <a:schemeClr val="bg1"/>
              </a:solidFill>
            </a:rPr>
            <a:t>3,233</a:t>
          </a:r>
          <a:r>
            <a:rPr lang="en-GB" sz="1200">
              <a:solidFill>
                <a:schemeClr val="bg1"/>
              </a:solidFill>
            </a:rPr>
            <a:t> </a:t>
          </a:r>
          <a:br>
            <a:rPr lang="en-GB" sz="1200">
              <a:solidFill>
                <a:schemeClr val="bg1"/>
              </a:solidFill>
            </a:rPr>
          </a:br>
          <a:r>
            <a:rPr lang="en-GB" sz="1050">
              <a:solidFill>
                <a:schemeClr val="bg1"/>
              </a:solidFill>
            </a:rPr>
            <a:t>papers identified in initial EBSCOhost search</a:t>
          </a:r>
          <a:endParaRPr lang="en-GB" sz="1200">
            <a:solidFill>
              <a:schemeClr val="bg1"/>
            </a:solidFill>
          </a:endParaRPr>
        </a:p>
      </dgm:t>
    </dgm:pt>
    <dgm:pt modelId="{FEF2E004-B188-4E4B-8E32-BB713204247E}" type="parTrans" cxnId="{ACDD7F8C-7021-4939-9DB0-3E40E05D4F08}">
      <dgm:prSet/>
      <dgm:spPr/>
      <dgm:t>
        <a:bodyPr/>
        <a:lstStyle/>
        <a:p>
          <a:endParaRPr lang="en-GB" sz="2800"/>
        </a:p>
      </dgm:t>
    </dgm:pt>
    <dgm:pt modelId="{1C5CE997-0266-44EB-8B4D-622A1E8B88B4}" type="sibTrans" cxnId="{ACDD7F8C-7021-4939-9DB0-3E40E05D4F08}">
      <dgm:prSet custT="1"/>
      <dgm:spPr>
        <a:solidFill>
          <a:schemeClr val="bg2"/>
        </a:solidFill>
      </dgm:spPr>
      <dgm:t>
        <a:bodyPr/>
        <a:lstStyle/>
        <a:p>
          <a:endParaRPr lang="en-GB" sz="1050"/>
        </a:p>
      </dgm:t>
    </dgm:pt>
    <dgm:pt modelId="{1916F86F-34FE-4FBA-8AE8-7529A8139DD9}">
      <dgm:prSet phldrT="[Text]" custT="1"/>
      <dgm:spPr>
        <a:solidFill>
          <a:schemeClr val="bg2"/>
        </a:solidFill>
      </dgm:spPr>
      <dgm:t>
        <a:bodyPr/>
        <a:lstStyle/>
        <a:p>
          <a:r>
            <a:rPr lang="en-GB" sz="1800" b="1"/>
            <a:t>- 310</a:t>
          </a:r>
          <a:r>
            <a:rPr lang="en-GB" sz="1200"/>
            <a:t/>
          </a:r>
          <a:br>
            <a:rPr lang="en-GB" sz="1200"/>
          </a:br>
          <a:r>
            <a:rPr lang="en-GB" sz="1050"/>
            <a:t>duplicates removed</a:t>
          </a:r>
          <a:endParaRPr lang="en-GB" sz="1200"/>
        </a:p>
      </dgm:t>
    </dgm:pt>
    <dgm:pt modelId="{0AC8D720-B369-4A89-9049-A97D0F85509F}" type="parTrans" cxnId="{9F80E74D-BF29-423D-BEB5-A5AE81771C8D}">
      <dgm:prSet/>
      <dgm:spPr/>
      <dgm:t>
        <a:bodyPr/>
        <a:lstStyle/>
        <a:p>
          <a:endParaRPr lang="en-GB" sz="2800"/>
        </a:p>
      </dgm:t>
    </dgm:pt>
    <dgm:pt modelId="{8B6C5E9B-2FB8-4D85-86E6-E3D6758B000C}" type="sibTrans" cxnId="{9F80E74D-BF29-423D-BEB5-A5AE81771C8D}">
      <dgm:prSet custT="1"/>
      <dgm:spPr>
        <a:solidFill>
          <a:schemeClr val="bg2">
            <a:lumMod val="60000"/>
            <a:lumOff val="40000"/>
          </a:schemeClr>
        </a:solidFill>
      </dgm:spPr>
      <dgm:t>
        <a:bodyPr/>
        <a:lstStyle/>
        <a:p>
          <a:endParaRPr lang="en-GB" sz="1050"/>
        </a:p>
      </dgm:t>
    </dgm:pt>
    <dgm:pt modelId="{8D9B21B6-3BEA-45BF-8D2E-2CC6EB37BF3E}">
      <dgm:prSet phldrT="[Text]" custT="1"/>
      <dgm:spPr>
        <a:solidFill>
          <a:schemeClr val="bg2">
            <a:lumMod val="40000"/>
            <a:lumOff val="60000"/>
          </a:schemeClr>
        </a:solidFill>
      </dgm:spPr>
      <dgm:t>
        <a:bodyPr/>
        <a:lstStyle/>
        <a:p>
          <a:r>
            <a:rPr lang="en-GB" sz="1800" b="1">
              <a:solidFill>
                <a:sysClr val="windowText" lastClr="000000"/>
              </a:solidFill>
            </a:rPr>
            <a:t>= 2,923</a:t>
          </a:r>
          <a:r>
            <a:rPr lang="en-GB" sz="1200">
              <a:solidFill>
                <a:sysClr val="windowText" lastClr="000000"/>
              </a:solidFill>
            </a:rPr>
            <a:t/>
          </a:r>
          <a:br>
            <a:rPr lang="en-GB" sz="1200">
              <a:solidFill>
                <a:sysClr val="windowText" lastClr="000000"/>
              </a:solidFill>
            </a:rPr>
          </a:br>
          <a:r>
            <a:rPr lang="en-GB" sz="1050">
              <a:solidFill>
                <a:sysClr val="windowText" lastClr="000000"/>
              </a:solidFill>
            </a:rPr>
            <a:t>papers exported to </a:t>
          </a:r>
          <a:br>
            <a:rPr lang="en-GB" sz="1050">
              <a:solidFill>
                <a:sysClr val="windowText" lastClr="000000"/>
              </a:solidFill>
            </a:rPr>
          </a:br>
          <a:r>
            <a:rPr lang="en-GB" sz="1050">
              <a:solidFill>
                <a:sysClr val="windowText" lastClr="000000"/>
              </a:solidFill>
            </a:rPr>
            <a:t>Excel database</a:t>
          </a:r>
          <a:endParaRPr lang="en-GB" sz="1200">
            <a:solidFill>
              <a:sysClr val="windowText" lastClr="000000"/>
            </a:solidFill>
          </a:endParaRPr>
        </a:p>
      </dgm:t>
    </dgm:pt>
    <dgm:pt modelId="{85C37A27-35A6-4A54-BE11-3BA8C5BD299A}" type="parTrans" cxnId="{FCAF0D90-9A3F-462B-91CF-53B6DCD03703}">
      <dgm:prSet/>
      <dgm:spPr/>
      <dgm:t>
        <a:bodyPr/>
        <a:lstStyle/>
        <a:p>
          <a:endParaRPr lang="en-GB" sz="2800"/>
        </a:p>
      </dgm:t>
    </dgm:pt>
    <dgm:pt modelId="{98F246CF-5793-4993-80FD-191C405D458D}" type="sibTrans" cxnId="{FCAF0D90-9A3F-462B-91CF-53B6DCD03703}">
      <dgm:prSet custT="1"/>
      <dgm:spPr>
        <a:solidFill>
          <a:schemeClr val="bg1">
            <a:lumMod val="95000"/>
          </a:schemeClr>
        </a:solidFill>
      </dgm:spPr>
      <dgm:t>
        <a:bodyPr/>
        <a:lstStyle/>
        <a:p>
          <a:endParaRPr lang="en-GB" sz="1050"/>
        </a:p>
      </dgm:t>
    </dgm:pt>
    <dgm:pt modelId="{5E1CC212-5C2D-4BDC-B1DB-0114061E561A}">
      <dgm:prSet phldrT="[Text]" custT="1">
        <dgm:style>
          <a:lnRef idx="2">
            <a:schemeClr val="accent1"/>
          </a:lnRef>
          <a:fillRef idx="1">
            <a:schemeClr val="lt1"/>
          </a:fillRef>
          <a:effectRef idx="0">
            <a:schemeClr val="accent1"/>
          </a:effectRef>
          <a:fontRef idx="minor">
            <a:schemeClr val="dk1"/>
          </a:fontRef>
        </dgm:style>
      </dgm:prSet>
      <dgm:spPr>
        <a:solidFill>
          <a:schemeClr val="accent1">
            <a:lumMod val="20000"/>
            <a:lumOff val="80000"/>
          </a:schemeClr>
        </a:solidFill>
        <a:ln>
          <a:noFill/>
        </a:ln>
      </dgm:spPr>
      <dgm:t>
        <a:bodyPr/>
        <a:lstStyle/>
        <a:p>
          <a:r>
            <a:rPr lang="en-GB" sz="1800" b="1"/>
            <a:t>= 162 </a:t>
          </a:r>
          <a:r>
            <a:rPr lang="en-GB" sz="1200"/>
            <a:t/>
          </a:r>
          <a:br>
            <a:rPr lang="en-GB" sz="1200"/>
          </a:br>
          <a:r>
            <a:rPr lang="en-GB" sz="1050"/>
            <a:t>papers selected for </a:t>
          </a:r>
          <a:br>
            <a:rPr lang="en-GB" sz="1050"/>
          </a:br>
          <a:r>
            <a:rPr lang="en-GB" sz="1050"/>
            <a:t>full-text review</a:t>
          </a:r>
          <a:endParaRPr lang="en-GB" sz="1200"/>
        </a:p>
      </dgm:t>
    </dgm:pt>
    <dgm:pt modelId="{5067D67F-540A-4712-95EA-30F1D7430074}" type="parTrans" cxnId="{28562077-F9D2-43ED-8FAA-70FB9419E5B4}">
      <dgm:prSet/>
      <dgm:spPr/>
      <dgm:t>
        <a:bodyPr/>
        <a:lstStyle/>
        <a:p>
          <a:endParaRPr lang="en-GB" sz="2800"/>
        </a:p>
      </dgm:t>
    </dgm:pt>
    <dgm:pt modelId="{7EEDF15C-392A-402F-B0CE-5089671FFDC2}" type="sibTrans" cxnId="{28562077-F9D2-43ED-8FAA-70FB9419E5B4}">
      <dgm:prSet custT="1"/>
      <dgm:spPr>
        <a:solidFill>
          <a:schemeClr val="accent3">
            <a:lumMod val="20000"/>
            <a:lumOff val="80000"/>
          </a:schemeClr>
        </a:solidFill>
      </dgm:spPr>
      <dgm:t>
        <a:bodyPr/>
        <a:lstStyle/>
        <a:p>
          <a:endParaRPr lang="en-GB" sz="1050"/>
        </a:p>
      </dgm:t>
    </dgm:pt>
    <dgm:pt modelId="{D14E3AC0-1D06-4318-B435-6C6B57B0DBD6}">
      <dgm:prSet phldrT="[Text]" custT="1"/>
      <dgm:spPr>
        <a:solidFill>
          <a:schemeClr val="accent3">
            <a:lumMod val="20000"/>
            <a:lumOff val="80000"/>
          </a:schemeClr>
        </a:solidFill>
      </dgm:spPr>
      <dgm:t>
        <a:bodyPr/>
        <a:lstStyle/>
        <a:p>
          <a:r>
            <a:rPr lang="en-GB" sz="1800" b="1">
              <a:solidFill>
                <a:sysClr val="windowText" lastClr="000000"/>
              </a:solidFill>
            </a:rPr>
            <a:t>= 39 </a:t>
          </a:r>
          <a:r>
            <a:rPr lang="en-GB" sz="1200">
              <a:solidFill>
                <a:sysClr val="windowText" lastClr="000000"/>
              </a:solidFill>
            </a:rPr>
            <a:t/>
          </a:r>
          <a:br>
            <a:rPr lang="en-GB" sz="1200">
              <a:solidFill>
                <a:sysClr val="windowText" lastClr="000000"/>
              </a:solidFill>
            </a:rPr>
          </a:br>
          <a:r>
            <a:rPr lang="en-GB" sz="1050">
              <a:solidFill>
                <a:sysClr val="windowText" lastClr="000000"/>
              </a:solidFill>
            </a:rPr>
            <a:t>papers identified </a:t>
          </a:r>
          <a:br>
            <a:rPr lang="en-GB" sz="1050">
              <a:solidFill>
                <a:sysClr val="windowText" lastClr="000000"/>
              </a:solidFill>
            </a:rPr>
          </a:br>
          <a:r>
            <a:rPr lang="en-GB" sz="1050">
              <a:solidFill>
                <a:sysClr val="windowText" lastClr="000000"/>
              </a:solidFill>
            </a:rPr>
            <a:t>as relevant</a:t>
          </a:r>
          <a:endParaRPr lang="en-GB" sz="1200">
            <a:solidFill>
              <a:sysClr val="windowText" lastClr="000000"/>
            </a:solidFill>
          </a:endParaRPr>
        </a:p>
      </dgm:t>
    </dgm:pt>
    <dgm:pt modelId="{2127C463-8683-4235-A23A-8CF29185987F}" type="parTrans" cxnId="{D1CF61C8-BFA8-493F-B7E9-809B6E983FE4}">
      <dgm:prSet/>
      <dgm:spPr/>
      <dgm:t>
        <a:bodyPr/>
        <a:lstStyle/>
        <a:p>
          <a:endParaRPr lang="en-GB" sz="2800"/>
        </a:p>
      </dgm:t>
    </dgm:pt>
    <dgm:pt modelId="{A226EB9B-D4BB-4FA0-99E7-283FA6B82DAC}" type="sibTrans" cxnId="{D1CF61C8-BFA8-493F-B7E9-809B6E983FE4}">
      <dgm:prSet custT="1"/>
      <dgm:spPr>
        <a:solidFill>
          <a:schemeClr val="accent1"/>
        </a:solidFill>
      </dgm:spPr>
      <dgm:t>
        <a:bodyPr/>
        <a:lstStyle/>
        <a:p>
          <a:endParaRPr lang="en-GB" sz="1050"/>
        </a:p>
      </dgm:t>
    </dgm:pt>
    <dgm:pt modelId="{65729E7A-1D47-4AD0-820C-410F45FC74FC}">
      <dgm:prSet phldrT="[Text]" custT="1"/>
      <dgm:spPr>
        <a:solidFill>
          <a:schemeClr val="accent1"/>
        </a:solidFill>
      </dgm:spPr>
      <dgm:t>
        <a:bodyPr/>
        <a:lstStyle/>
        <a:p>
          <a:r>
            <a:rPr lang="en-GB" sz="1800" b="1">
              <a:solidFill>
                <a:sysClr val="windowText" lastClr="000000"/>
              </a:solidFill>
            </a:rPr>
            <a:t>- 25</a:t>
          </a:r>
          <a:r>
            <a:rPr lang="en-GB" sz="1200">
              <a:solidFill>
                <a:sysClr val="windowText" lastClr="000000"/>
              </a:solidFill>
            </a:rPr>
            <a:t/>
          </a:r>
          <a:br>
            <a:rPr lang="en-GB" sz="1200">
              <a:solidFill>
                <a:sysClr val="windowText" lastClr="000000"/>
              </a:solidFill>
            </a:rPr>
          </a:br>
          <a:r>
            <a:rPr lang="en-GB" sz="1050">
              <a:solidFill>
                <a:sysClr val="windowText" lastClr="000000"/>
              </a:solidFill>
            </a:rPr>
            <a:t>excluded due to </a:t>
          </a:r>
          <a:br>
            <a:rPr lang="en-GB" sz="1050">
              <a:solidFill>
                <a:sysClr val="windowText" lastClr="000000"/>
              </a:solidFill>
            </a:rPr>
          </a:br>
          <a:r>
            <a:rPr lang="en-GB" sz="1050">
              <a:solidFill>
                <a:sysClr val="windowText" lastClr="000000"/>
              </a:solidFill>
            </a:rPr>
            <a:t>non-AT focus, lack of costing data, etc</a:t>
          </a:r>
          <a:endParaRPr lang="en-GB" sz="1200">
            <a:solidFill>
              <a:sysClr val="windowText" lastClr="000000"/>
            </a:solidFill>
          </a:endParaRPr>
        </a:p>
      </dgm:t>
    </dgm:pt>
    <dgm:pt modelId="{BFD944D9-F911-485E-A59E-6F0E5438D273}" type="parTrans" cxnId="{EF1A49B7-3B13-4926-9E4A-118621AE11D3}">
      <dgm:prSet/>
      <dgm:spPr/>
      <dgm:t>
        <a:bodyPr/>
        <a:lstStyle/>
        <a:p>
          <a:endParaRPr lang="en-GB" sz="2800"/>
        </a:p>
      </dgm:t>
    </dgm:pt>
    <dgm:pt modelId="{6DAE79B6-98D4-4B0E-B6BD-3D121A7E7911}" type="sibTrans" cxnId="{EF1A49B7-3B13-4926-9E4A-118621AE11D3}">
      <dgm:prSet custT="1"/>
      <dgm:spPr>
        <a:solidFill>
          <a:schemeClr val="accent1">
            <a:lumMod val="75000"/>
          </a:schemeClr>
        </a:solidFill>
      </dgm:spPr>
      <dgm:t>
        <a:bodyPr/>
        <a:lstStyle/>
        <a:p>
          <a:endParaRPr lang="en-GB" sz="1050"/>
        </a:p>
      </dgm:t>
    </dgm:pt>
    <dgm:pt modelId="{51AF7345-2364-4D37-A7BD-26B08F443FA6}">
      <dgm:prSet phldrT="[Text]" custT="1"/>
      <dgm:spPr>
        <a:solidFill>
          <a:schemeClr val="tx2"/>
        </a:solidFill>
      </dgm:spPr>
      <dgm:t>
        <a:bodyPr/>
        <a:lstStyle/>
        <a:p>
          <a:r>
            <a:rPr lang="en-GB" sz="1800" b="1"/>
            <a:t>+6</a:t>
          </a:r>
          <a:r>
            <a:rPr lang="en-GB" sz="1200"/>
            <a:t/>
          </a:r>
          <a:br>
            <a:rPr lang="en-GB" sz="1200"/>
          </a:br>
          <a:r>
            <a:rPr lang="en-GB" sz="1200"/>
            <a:t>papers </a:t>
          </a:r>
          <a:r>
            <a:rPr lang="en-GB" sz="1050"/>
            <a:t>identified through NACA RER and </a:t>
          </a:r>
          <a:br>
            <a:rPr lang="en-GB" sz="1050"/>
          </a:br>
          <a:r>
            <a:rPr lang="en-GB" sz="1050"/>
            <a:t>reference lists</a:t>
          </a:r>
          <a:endParaRPr lang="en-GB" sz="1200"/>
        </a:p>
      </dgm:t>
    </dgm:pt>
    <dgm:pt modelId="{5B0D78CD-E1FB-4CE0-95AF-3A624747FA96}" type="parTrans" cxnId="{C31EFD0C-A6FF-4651-955C-0838EBDA1C35}">
      <dgm:prSet/>
      <dgm:spPr/>
      <dgm:t>
        <a:bodyPr/>
        <a:lstStyle/>
        <a:p>
          <a:endParaRPr lang="en-GB" sz="2800"/>
        </a:p>
      </dgm:t>
    </dgm:pt>
    <dgm:pt modelId="{A82AF8B4-E704-4B96-901B-37D6BC595012}" type="sibTrans" cxnId="{C31EFD0C-A6FF-4651-955C-0838EBDA1C35}">
      <dgm:prSet custT="1"/>
      <dgm:spPr>
        <a:solidFill>
          <a:schemeClr val="tx2"/>
        </a:solidFill>
      </dgm:spPr>
      <dgm:t>
        <a:bodyPr/>
        <a:lstStyle/>
        <a:p>
          <a:endParaRPr lang="en-GB" sz="1050"/>
        </a:p>
      </dgm:t>
    </dgm:pt>
    <dgm:pt modelId="{E7847C55-A33D-4687-A1A8-3462ABE6ED48}">
      <dgm:prSet phldrT="[Text]" custT="1">
        <dgm:style>
          <a:lnRef idx="3">
            <a:schemeClr val="lt1"/>
          </a:lnRef>
          <a:fillRef idx="1">
            <a:schemeClr val="accent1"/>
          </a:fillRef>
          <a:effectRef idx="1">
            <a:schemeClr val="accent1"/>
          </a:effectRef>
          <a:fontRef idx="minor">
            <a:schemeClr val="lt1"/>
          </a:fontRef>
        </dgm:style>
      </dgm:prSet>
      <dgm:spPr>
        <a:solidFill>
          <a:schemeClr val="tx2">
            <a:lumMod val="50000"/>
          </a:schemeClr>
        </a:solidFill>
      </dgm:spPr>
      <dgm:t>
        <a:bodyPr/>
        <a:lstStyle/>
        <a:p>
          <a:r>
            <a:rPr lang="en-GB" sz="1800" b="1"/>
            <a:t>= 20</a:t>
          </a:r>
          <a:r>
            <a:rPr lang="en-GB" sz="1200"/>
            <a:t/>
          </a:r>
          <a:br>
            <a:rPr lang="en-GB" sz="1200"/>
          </a:br>
          <a:r>
            <a:rPr lang="en-GB" sz="1050"/>
            <a:t>papers in final yield, </a:t>
          </a:r>
          <a:br>
            <a:rPr lang="en-GB" sz="1050"/>
          </a:br>
          <a:r>
            <a:rPr lang="en-GB" sz="1050"/>
            <a:t>examined to determine ROB &amp; CHEERS scores</a:t>
          </a:r>
          <a:endParaRPr lang="en-GB" sz="1200"/>
        </a:p>
      </dgm:t>
    </dgm:pt>
    <dgm:pt modelId="{EAEC4CD3-20BB-403C-B87B-EA61599853CC}" type="parTrans" cxnId="{4909430A-8973-40F4-93D7-2EC868B9F2FE}">
      <dgm:prSet/>
      <dgm:spPr/>
      <dgm:t>
        <a:bodyPr/>
        <a:lstStyle/>
        <a:p>
          <a:endParaRPr lang="en-GB" sz="2800"/>
        </a:p>
      </dgm:t>
    </dgm:pt>
    <dgm:pt modelId="{E75D2CD8-5EF5-4277-95A2-95E9F85292C1}" type="sibTrans" cxnId="{4909430A-8973-40F4-93D7-2EC868B9F2FE}">
      <dgm:prSet/>
      <dgm:spPr/>
      <dgm:t>
        <a:bodyPr/>
        <a:lstStyle/>
        <a:p>
          <a:endParaRPr lang="en-GB" sz="2800"/>
        </a:p>
      </dgm:t>
    </dgm:pt>
    <dgm:pt modelId="{41BCCD32-D49B-45CA-9874-40DD8CD14800}">
      <dgm:prSet phldrT="[Text]" custT="1"/>
      <dgm:spPr>
        <a:solidFill>
          <a:schemeClr val="bg1">
            <a:lumMod val="95000"/>
          </a:schemeClr>
        </a:solidFill>
      </dgm:spPr>
      <dgm:t>
        <a:bodyPr/>
        <a:lstStyle/>
        <a:p>
          <a:r>
            <a:rPr lang="en-GB" sz="1050">
              <a:solidFill>
                <a:sysClr val="windowText" lastClr="000000"/>
              </a:solidFill>
            </a:rPr>
            <a:t>Title and abstract </a:t>
          </a:r>
          <a:br>
            <a:rPr lang="en-GB" sz="1050">
              <a:solidFill>
                <a:sysClr val="windowText" lastClr="000000"/>
              </a:solidFill>
            </a:rPr>
          </a:br>
          <a:r>
            <a:rPr lang="en-GB" sz="1050">
              <a:solidFill>
                <a:sysClr val="windowText" lastClr="000000"/>
              </a:solidFill>
            </a:rPr>
            <a:t>screened for inclusion </a:t>
          </a:r>
          <a:br>
            <a:rPr lang="en-GB" sz="1050">
              <a:solidFill>
                <a:sysClr val="windowText" lastClr="000000"/>
              </a:solidFill>
            </a:rPr>
          </a:br>
          <a:r>
            <a:rPr lang="en-GB" sz="1050">
              <a:solidFill>
                <a:sysClr val="windowText" lastClr="000000"/>
              </a:solidFill>
            </a:rPr>
            <a:t>and exclusion criteria</a:t>
          </a:r>
          <a:endParaRPr lang="en-GB" sz="1200">
            <a:solidFill>
              <a:sysClr val="windowText" lastClr="000000"/>
            </a:solidFill>
          </a:endParaRPr>
        </a:p>
      </dgm:t>
    </dgm:pt>
    <dgm:pt modelId="{DA2B4EEB-BDB4-488E-ACB8-39CFAABC4435}" type="parTrans" cxnId="{1F473D48-A7A8-4DD2-9017-B1233224928A}">
      <dgm:prSet/>
      <dgm:spPr/>
      <dgm:t>
        <a:bodyPr/>
        <a:lstStyle/>
        <a:p>
          <a:endParaRPr lang="en-GB"/>
        </a:p>
      </dgm:t>
    </dgm:pt>
    <dgm:pt modelId="{B03B1973-3FD6-43BE-87FB-BAA09AF51F35}" type="sibTrans" cxnId="{1F473D48-A7A8-4DD2-9017-B1233224928A}">
      <dgm:prSet>
        <dgm:style>
          <a:lnRef idx="2">
            <a:schemeClr val="accent1"/>
          </a:lnRef>
          <a:fillRef idx="1">
            <a:schemeClr val="lt1"/>
          </a:fillRef>
          <a:effectRef idx="0">
            <a:schemeClr val="accent1"/>
          </a:effectRef>
          <a:fontRef idx="minor">
            <a:schemeClr val="dk1"/>
          </a:fontRef>
        </dgm:style>
      </dgm:prSet>
      <dgm:spPr>
        <a:solidFill>
          <a:schemeClr val="accent1">
            <a:lumMod val="20000"/>
            <a:lumOff val="80000"/>
          </a:schemeClr>
        </a:solidFill>
        <a:ln>
          <a:noFill/>
        </a:ln>
      </dgm:spPr>
      <dgm:t>
        <a:bodyPr/>
        <a:lstStyle/>
        <a:p>
          <a:endParaRPr lang="en-GB"/>
        </a:p>
      </dgm:t>
    </dgm:pt>
    <dgm:pt modelId="{63FF56C4-17B1-4995-90F8-284E45CCE532}" type="pres">
      <dgm:prSet presAssocID="{23B5A306-E1F8-4582-B54A-FDDC6EC8CDF0}" presName="diagram" presStyleCnt="0">
        <dgm:presLayoutVars>
          <dgm:dir/>
          <dgm:resizeHandles val="exact"/>
        </dgm:presLayoutVars>
      </dgm:prSet>
      <dgm:spPr/>
      <dgm:t>
        <a:bodyPr/>
        <a:lstStyle/>
        <a:p>
          <a:endParaRPr lang="en-US"/>
        </a:p>
      </dgm:t>
    </dgm:pt>
    <dgm:pt modelId="{FDF8622E-74E8-4223-AE28-B6DE307DEDA3}" type="pres">
      <dgm:prSet presAssocID="{C4EDA74B-7D7F-4EE2-9807-5C870B80D45A}" presName="node" presStyleLbl="node1" presStyleIdx="0" presStyleCnt="9" custScaleY="81908">
        <dgm:presLayoutVars>
          <dgm:bulletEnabled val="1"/>
        </dgm:presLayoutVars>
      </dgm:prSet>
      <dgm:spPr/>
      <dgm:t>
        <a:bodyPr/>
        <a:lstStyle/>
        <a:p>
          <a:endParaRPr lang="en-US"/>
        </a:p>
      </dgm:t>
    </dgm:pt>
    <dgm:pt modelId="{9C9840F9-1A1F-4D35-A90A-1E58E4419031}" type="pres">
      <dgm:prSet presAssocID="{1C5CE997-0266-44EB-8B4D-622A1E8B88B4}" presName="sibTrans" presStyleLbl="sibTrans2D1" presStyleIdx="0" presStyleCnt="8"/>
      <dgm:spPr>
        <a:prstGeom prst="mathMinus">
          <a:avLst/>
        </a:prstGeom>
      </dgm:spPr>
      <dgm:t>
        <a:bodyPr/>
        <a:lstStyle/>
        <a:p>
          <a:endParaRPr lang="en-US"/>
        </a:p>
      </dgm:t>
    </dgm:pt>
    <dgm:pt modelId="{C12C7362-E017-4375-B97F-AAF66F479C7F}" type="pres">
      <dgm:prSet presAssocID="{1C5CE997-0266-44EB-8B4D-622A1E8B88B4}" presName="connectorText" presStyleLbl="sibTrans2D1" presStyleIdx="0" presStyleCnt="8"/>
      <dgm:spPr/>
      <dgm:t>
        <a:bodyPr/>
        <a:lstStyle/>
        <a:p>
          <a:endParaRPr lang="en-US"/>
        </a:p>
      </dgm:t>
    </dgm:pt>
    <dgm:pt modelId="{5D75ABA5-83C2-4869-A139-8B8FDEB91698}" type="pres">
      <dgm:prSet presAssocID="{1916F86F-34FE-4FBA-8AE8-7529A8139DD9}" presName="node" presStyleLbl="node1" presStyleIdx="1" presStyleCnt="9" custScaleY="81908">
        <dgm:presLayoutVars>
          <dgm:bulletEnabled val="1"/>
        </dgm:presLayoutVars>
      </dgm:prSet>
      <dgm:spPr/>
      <dgm:t>
        <a:bodyPr/>
        <a:lstStyle/>
        <a:p>
          <a:endParaRPr lang="en-US"/>
        </a:p>
      </dgm:t>
    </dgm:pt>
    <dgm:pt modelId="{2B8A353C-0E75-4FCB-A22A-1DFA7FEF362C}" type="pres">
      <dgm:prSet presAssocID="{8B6C5E9B-2FB8-4D85-86E6-E3D6758B000C}" presName="sibTrans" presStyleLbl="sibTrans2D1" presStyleIdx="1" presStyleCnt="8"/>
      <dgm:spPr>
        <a:prstGeom prst="mathEqual">
          <a:avLst/>
        </a:prstGeom>
      </dgm:spPr>
      <dgm:t>
        <a:bodyPr/>
        <a:lstStyle/>
        <a:p>
          <a:endParaRPr lang="en-US"/>
        </a:p>
      </dgm:t>
    </dgm:pt>
    <dgm:pt modelId="{AA6C0BAD-EEC6-48A9-B872-E28486FA567F}" type="pres">
      <dgm:prSet presAssocID="{8B6C5E9B-2FB8-4D85-86E6-E3D6758B000C}" presName="connectorText" presStyleLbl="sibTrans2D1" presStyleIdx="1" presStyleCnt="8"/>
      <dgm:spPr/>
      <dgm:t>
        <a:bodyPr/>
        <a:lstStyle/>
        <a:p>
          <a:endParaRPr lang="en-US"/>
        </a:p>
      </dgm:t>
    </dgm:pt>
    <dgm:pt modelId="{D1CBF7A0-FEEF-41A6-822B-2367F4F18890}" type="pres">
      <dgm:prSet presAssocID="{8D9B21B6-3BEA-45BF-8D2E-2CC6EB37BF3E}" presName="node" presStyleLbl="node1" presStyleIdx="2" presStyleCnt="9" custScaleY="81908">
        <dgm:presLayoutVars>
          <dgm:bulletEnabled val="1"/>
        </dgm:presLayoutVars>
      </dgm:prSet>
      <dgm:spPr/>
      <dgm:t>
        <a:bodyPr/>
        <a:lstStyle/>
        <a:p>
          <a:endParaRPr lang="en-US"/>
        </a:p>
      </dgm:t>
    </dgm:pt>
    <dgm:pt modelId="{562E5ABC-A140-4BD7-8DDA-7E798DA724E1}" type="pres">
      <dgm:prSet presAssocID="{98F246CF-5793-4993-80FD-191C405D458D}" presName="sibTrans" presStyleLbl="sibTrans2D1" presStyleIdx="2" presStyleCnt="8"/>
      <dgm:spPr>
        <a:prstGeom prst="rightArrow">
          <a:avLst/>
        </a:prstGeom>
      </dgm:spPr>
      <dgm:t>
        <a:bodyPr/>
        <a:lstStyle/>
        <a:p>
          <a:endParaRPr lang="en-US"/>
        </a:p>
      </dgm:t>
    </dgm:pt>
    <dgm:pt modelId="{502B1493-D521-43A3-AF1C-9482B9576D3E}" type="pres">
      <dgm:prSet presAssocID="{98F246CF-5793-4993-80FD-191C405D458D}" presName="connectorText" presStyleLbl="sibTrans2D1" presStyleIdx="2" presStyleCnt="8"/>
      <dgm:spPr/>
      <dgm:t>
        <a:bodyPr/>
        <a:lstStyle/>
        <a:p>
          <a:endParaRPr lang="en-US"/>
        </a:p>
      </dgm:t>
    </dgm:pt>
    <dgm:pt modelId="{0023B5BB-0167-4AB4-8219-B1468517FD27}" type="pres">
      <dgm:prSet presAssocID="{41BCCD32-D49B-45CA-9874-40DD8CD14800}" presName="node" presStyleLbl="node1" presStyleIdx="3" presStyleCnt="9" custScaleY="81908">
        <dgm:presLayoutVars>
          <dgm:bulletEnabled val="1"/>
        </dgm:presLayoutVars>
      </dgm:prSet>
      <dgm:spPr/>
      <dgm:t>
        <a:bodyPr/>
        <a:lstStyle/>
        <a:p>
          <a:endParaRPr lang="en-US"/>
        </a:p>
      </dgm:t>
    </dgm:pt>
    <dgm:pt modelId="{7C507267-4F32-4DEC-98CA-E3F773EE389D}" type="pres">
      <dgm:prSet presAssocID="{B03B1973-3FD6-43BE-87FB-BAA09AF51F35}" presName="sibTrans" presStyleLbl="sibTrans2D1" presStyleIdx="3" presStyleCnt="8"/>
      <dgm:spPr>
        <a:prstGeom prst="mathEqual">
          <a:avLst/>
        </a:prstGeom>
      </dgm:spPr>
      <dgm:t>
        <a:bodyPr/>
        <a:lstStyle/>
        <a:p>
          <a:endParaRPr lang="en-US"/>
        </a:p>
      </dgm:t>
    </dgm:pt>
    <dgm:pt modelId="{3EDBB0F6-AB6F-4CDE-8F67-6C1248053F58}" type="pres">
      <dgm:prSet presAssocID="{B03B1973-3FD6-43BE-87FB-BAA09AF51F35}" presName="connectorText" presStyleLbl="sibTrans2D1" presStyleIdx="3" presStyleCnt="8"/>
      <dgm:spPr/>
      <dgm:t>
        <a:bodyPr/>
        <a:lstStyle/>
        <a:p>
          <a:endParaRPr lang="en-US"/>
        </a:p>
      </dgm:t>
    </dgm:pt>
    <dgm:pt modelId="{3A08D985-0AE4-48B7-B4DA-716613161FBA}" type="pres">
      <dgm:prSet presAssocID="{5E1CC212-5C2D-4BDC-B1DB-0114061E561A}" presName="node" presStyleLbl="node1" presStyleIdx="4" presStyleCnt="9" custScaleY="81908">
        <dgm:presLayoutVars>
          <dgm:bulletEnabled val="1"/>
        </dgm:presLayoutVars>
      </dgm:prSet>
      <dgm:spPr/>
      <dgm:t>
        <a:bodyPr/>
        <a:lstStyle/>
        <a:p>
          <a:endParaRPr lang="en-US"/>
        </a:p>
      </dgm:t>
    </dgm:pt>
    <dgm:pt modelId="{1B90B4C2-D6C6-415C-8C9B-A07DB8F8748F}" type="pres">
      <dgm:prSet presAssocID="{7EEDF15C-392A-402F-B0CE-5089671FFDC2}" presName="sibTrans" presStyleLbl="sibTrans2D1" presStyleIdx="4" presStyleCnt="8"/>
      <dgm:spPr>
        <a:prstGeom prst="rightArrow">
          <a:avLst/>
        </a:prstGeom>
      </dgm:spPr>
      <dgm:t>
        <a:bodyPr/>
        <a:lstStyle/>
        <a:p>
          <a:endParaRPr lang="en-US"/>
        </a:p>
      </dgm:t>
    </dgm:pt>
    <dgm:pt modelId="{4FA9D5BA-8266-4A06-A985-FD165032504F}" type="pres">
      <dgm:prSet presAssocID="{7EEDF15C-392A-402F-B0CE-5089671FFDC2}" presName="connectorText" presStyleLbl="sibTrans2D1" presStyleIdx="4" presStyleCnt="8"/>
      <dgm:spPr/>
      <dgm:t>
        <a:bodyPr/>
        <a:lstStyle/>
        <a:p>
          <a:endParaRPr lang="en-US"/>
        </a:p>
      </dgm:t>
    </dgm:pt>
    <dgm:pt modelId="{91F049EF-2087-47CD-AD76-56C83982A6C1}" type="pres">
      <dgm:prSet presAssocID="{D14E3AC0-1D06-4318-B435-6C6B57B0DBD6}" presName="node" presStyleLbl="node1" presStyleIdx="5" presStyleCnt="9" custScaleY="81908">
        <dgm:presLayoutVars>
          <dgm:bulletEnabled val="1"/>
        </dgm:presLayoutVars>
      </dgm:prSet>
      <dgm:spPr/>
      <dgm:t>
        <a:bodyPr/>
        <a:lstStyle/>
        <a:p>
          <a:endParaRPr lang="en-US"/>
        </a:p>
      </dgm:t>
    </dgm:pt>
    <dgm:pt modelId="{79BFF1E2-DD98-48AC-9648-1A928BAE0DED}" type="pres">
      <dgm:prSet presAssocID="{A226EB9B-D4BB-4FA0-99E7-283FA6B82DAC}" presName="sibTrans" presStyleLbl="sibTrans2D1" presStyleIdx="5" presStyleCnt="8" custAng="16200000"/>
      <dgm:spPr>
        <a:prstGeom prst="mathMinus">
          <a:avLst/>
        </a:prstGeom>
      </dgm:spPr>
      <dgm:t>
        <a:bodyPr/>
        <a:lstStyle/>
        <a:p>
          <a:endParaRPr lang="en-US"/>
        </a:p>
      </dgm:t>
    </dgm:pt>
    <dgm:pt modelId="{E984B1F2-0751-4943-9D74-FF0BBC857BAD}" type="pres">
      <dgm:prSet presAssocID="{A226EB9B-D4BB-4FA0-99E7-283FA6B82DAC}" presName="connectorText" presStyleLbl="sibTrans2D1" presStyleIdx="5" presStyleCnt="8"/>
      <dgm:spPr/>
      <dgm:t>
        <a:bodyPr/>
        <a:lstStyle/>
        <a:p>
          <a:endParaRPr lang="en-US"/>
        </a:p>
      </dgm:t>
    </dgm:pt>
    <dgm:pt modelId="{8CEB7193-D4C9-4314-A406-AD9F0FDC4542}" type="pres">
      <dgm:prSet presAssocID="{65729E7A-1D47-4AD0-820C-410F45FC74FC}" presName="node" presStyleLbl="node1" presStyleIdx="6" presStyleCnt="9" custScaleY="81908">
        <dgm:presLayoutVars>
          <dgm:bulletEnabled val="1"/>
        </dgm:presLayoutVars>
      </dgm:prSet>
      <dgm:spPr/>
      <dgm:t>
        <a:bodyPr/>
        <a:lstStyle/>
        <a:p>
          <a:endParaRPr lang="en-US"/>
        </a:p>
      </dgm:t>
    </dgm:pt>
    <dgm:pt modelId="{3B81354C-BEFE-49A8-9C6B-F2EE48FE9DD0}" type="pres">
      <dgm:prSet presAssocID="{6DAE79B6-98D4-4B0E-B6BD-3D121A7E7911}" presName="sibTrans" presStyleLbl="sibTrans2D1" presStyleIdx="6" presStyleCnt="8"/>
      <dgm:spPr>
        <a:prstGeom prst="mathPlus">
          <a:avLst/>
        </a:prstGeom>
      </dgm:spPr>
      <dgm:t>
        <a:bodyPr/>
        <a:lstStyle/>
        <a:p>
          <a:endParaRPr lang="en-US"/>
        </a:p>
      </dgm:t>
    </dgm:pt>
    <dgm:pt modelId="{2441C7D3-D81D-4340-B034-4BA21E783B94}" type="pres">
      <dgm:prSet presAssocID="{6DAE79B6-98D4-4B0E-B6BD-3D121A7E7911}" presName="connectorText" presStyleLbl="sibTrans2D1" presStyleIdx="6" presStyleCnt="8"/>
      <dgm:spPr/>
      <dgm:t>
        <a:bodyPr/>
        <a:lstStyle/>
        <a:p>
          <a:endParaRPr lang="en-US"/>
        </a:p>
      </dgm:t>
    </dgm:pt>
    <dgm:pt modelId="{6246C26B-4A04-405E-B4D6-9F8AF7BFC9DA}" type="pres">
      <dgm:prSet presAssocID="{51AF7345-2364-4D37-A7BD-26B08F443FA6}" presName="node" presStyleLbl="node1" presStyleIdx="7" presStyleCnt="9" custScaleY="81908">
        <dgm:presLayoutVars>
          <dgm:bulletEnabled val="1"/>
        </dgm:presLayoutVars>
      </dgm:prSet>
      <dgm:spPr/>
      <dgm:t>
        <a:bodyPr/>
        <a:lstStyle/>
        <a:p>
          <a:endParaRPr lang="en-US"/>
        </a:p>
      </dgm:t>
    </dgm:pt>
    <dgm:pt modelId="{0AB3AAB9-397B-4D98-BE08-91E97B3CF926}" type="pres">
      <dgm:prSet presAssocID="{A82AF8B4-E704-4B96-901B-37D6BC595012}" presName="sibTrans" presStyleLbl="sibTrans2D1" presStyleIdx="7" presStyleCnt="8"/>
      <dgm:spPr>
        <a:prstGeom prst="mathEqual">
          <a:avLst/>
        </a:prstGeom>
      </dgm:spPr>
      <dgm:t>
        <a:bodyPr/>
        <a:lstStyle/>
        <a:p>
          <a:endParaRPr lang="en-US"/>
        </a:p>
      </dgm:t>
    </dgm:pt>
    <dgm:pt modelId="{9C523F96-E71F-4EB6-B6AC-706309CE285B}" type="pres">
      <dgm:prSet presAssocID="{A82AF8B4-E704-4B96-901B-37D6BC595012}" presName="connectorText" presStyleLbl="sibTrans2D1" presStyleIdx="7" presStyleCnt="8"/>
      <dgm:spPr/>
      <dgm:t>
        <a:bodyPr/>
        <a:lstStyle/>
        <a:p>
          <a:endParaRPr lang="en-US"/>
        </a:p>
      </dgm:t>
    </dgm:pt>
    <dgm:pt modelId="{0D4A4F31-0791-4835-9118-E461DDA92010}" type="pres">
      <dgm:prSet presAssocID="{E7847C55-A33D-4687-A1A8-3462ABE6ED48}" presName="node" presStyleLbl="node1" presStyleIdx="8" presStyleCnt="9" custScaleY="81908">
        <dgm:presLayoutVars>
          <dgm:bulletEnabled val="1"/>
        </dgm:presLayoutVars>
      </dgm:prSet>
      <dgm:spPr/>
      <dgm:t>
        <a:bodyPr/>
        <a:lstStyle/>
        <a:p>
          <a:endParaRPr lang="en-US"/>
        </a:p>
      </dgm:t>
    </dgm:pt>
  </dgm:ptLst>
  <dgm:cxnLst>
    <dgm:cxn modelId="{98A07748-3E83-410E-924D-BD47112964D3}" type="presOf" srcId="{C4EDA74B-7D7F-4EE2-9807-5C870B80D45A}" destId="{FDF8622E-74E8-4223-AE28-B6DE307DEDA3}" srcOrd="0" destOrd="0" presId="urn:microsoft.com/office/officeart/2005/8/layout/process5"/>
    <dgm:cxn modelId="{D1CF61C8-BFA8-493F-B7E9-809B6E983FE4}" srcId="{23B5A306-E1F8-4582-B54A-FDDC6EC8CDF0}" destId="{D14E3AC0-1D06-4318-B435-6C6B57B0DBD6}" srcOrd="5" destOrd="0" parTransId="{2127C463-8683-4235-A23A-8CF29185987F}" sibTransId="{A226EB9B-D4BB-4FA0-99E7-283FA6B82DAC}"/>
    <dgm:cxn modelId="{2B2753D7-6290-4370-B9F5-53A783FFE6E2}" type="presOf" srcId="{23B5A306-E1F8-4582-B54A-FDDC6EC8CDF0}" destId="{63FF56C4-17B1-4995-90F8-284E45CCE532}" srcOrd="0" destOrd="0" presId="urn:microsoft.com/office/officeart/2005/8/layout/process5"/>
    <dgm:cxn modelId="{C8F948FE-F14B-4BEF-B227-E0D6D297638F}" type="presOf" srcId="{A226EB9B-D4BB-4FA0-99E7-283FA6B82DAC}" destId="{79BFF1E2-DD98-48AC-9648-1A928BAE0DED}" srcOrd="0" destOrd="0" presId="urn:microsoft.com/office/officeart/2005/8/layout/process5"/>
    <dgm:cxn modelId="{49B61B1E-8530-4359-BEE5-F5D839E98EEE}" type="presOf" srcId="{1916F86F-34FE-4FBA-8AE8-7529A8139DD9}" destId="{5D75ABA5-83C2-4869-A139-8B8FDEB91698}" srcOrd="0" destOrd="0" presId="urn:microsoft.com/office/officeart/2005/8/layout/process5"/>
    <dgm:cxn modelId="{F097D413-31A7-4D73-B92D-B44AD477D53A}" type="presOf" srcId="{E7847C55-A33D-4687-A1A8-3462ABE6ED48}" destId="{0D4A4F31-0791-4835-9118-E461DDA92010}" srcOrd="0" destOrd="0" presId="urn:microsoft.com/office/officeart/2005/8/layout/process5"/>
    <dgm:cxn modelId="{EF1A49B7-3B13-4926-9E4A-118621AE11D3}" srcId="{23B5A306-E1F8-4582-B54A-FDDC6EC8CDF0}" destId="{65729E7A-1D47-4AD0-820C-410F45FC74FC}" srcOrd="6" destOrd="0" parTransId="{BFD944D9-F911-485E-A59E-6F0E5438D273}" sibTransId="{6DAE79B6-98D4-4B0E-B6BD-3D121A7E7911}"/>
    <dgm:cxn modelId="{FCAF0D90-9A3F-462B-91CF-53B6DCD03703}" srcId="{23B5A306-E1F8-4582-B54A-FDDC6EC8CDF0}" destId="{8D9B21B6-3BEA-45BF-8D2E-2CC6EB37BF3E}" srcOrd="2" destOrd="0" parTransId="{85C37A27-35A6-4A54-BE11-3BA8C5BD299A}" sibTransId="{98F246CF-5793-4993-80FD-191C405D458D}"/>
    <dgm:cxn modelId="{6B75CB40-D66A-4B2D-A55D-2763973DD5A7}" type="presOf" srcId="{1C5CE997-0266-44EB-8B4D-622A1E8B88B4}" destId="{9C9840F9-1A1F-4D35-A90A-1E58E4419031}" srcOrd="0" destOrd="0" presId="urn:microsoft.com/office/officeart/2005/8/layout/process5"/>
    <dgm:cxn modelId="{9F80E74D-BF29-423D-BEB5-A5AE81771C8D}" srcId="{23B5A306-E1F8-4582-B54A-FDDC6EC8CDF0}" destId="{1916F86F-34FE-4FBA-8AE8-7529A8139DD9}" srcOrd="1" destOrd="0" parTransId="{0AC8D720-B369-4A89-9049-A97D0F85509F}" sibTransId="{8B6C5E9B-2FB8-4D85-86E6-E3D6758B000C}"/>
    <dgm:cxn modelId="{1F473D48-A7A8-4DD2-9017-B1233224928A}" srcId="{23B5A306-E1F8-4582-B54A-FDDC6EC8CDF0}" destId="{41BCCD32-D49B-45CA-9874-40DD8CD14800}" srcOrd="3" destOrd="0" parTransId="{DA2B4EEB-BDB4-488E-ACB8-39CFAABC4435}" sibTransId="{B03B1973-3FD6-43BE-87FB-BAA09AF51F35}"/>
    <dgm:cxn modelId="{AFB8F50D-9C32-4CB9-867D-7AB178DB0355}" type="presOf" srcId="{8B6C5E9B-2FB8-4D85-86E6-E3D6758B000C}" destId="{AA6C0BAD-EEC6-48A9-B872-E28486FA567F}" srcOrd="1" destOrd="0" presId="urn:microsoft.com/office/officeart/2005/8/layout/process5"/>
    <dgm:cxn modelId="{FC0F4E28-FFFB-4F9A-A821-81AC60E072D3}" type="presOf" srcId="{A82AF8B4-E704-4B96-901B-37D6BC595012}" destId="{9C523F96-E71F-4EB6-B6AC-706309CE285B}" srcOrd="1" destOrd="0" presId="urn:microsoft.com/office/officeart/2005/8/layout/process5"/>
    <dgm:cxn modelId="{72A478FE-0954-4948-9A22-CEFCFD57F88E}" type="presOf" srcId="{8D9B21B6-3BEA-45BF-8D2E-2CC6EB37BF3E}" destId="{D1CBF7A0-FEEF-41A6-822B-2367F4F18890}" srcOrd="0" destOrd="0" presId="urn:microsoft.com/office/officeart/2005/8/layout/process5"/>
    <dgm:cxn modelId="{AB20935B-32D4-4417-8294-271663D1B8A5}" type="presOf" srcId="{98F246CF-5793-4993-80FD-191C405D458D}" destId="{502B1493-D521-43A3-AF1C-9482B9576D3E}" srcOrd="1" destOrd="0" presId="urn:microsoft.com/office/officeart/2005/8/layout/process5"/>
    <dgm:cxn modelId="{28562077-F9D2-43ED-8FAA-70FB9419E5B4}" srcId="{23B5A306-E1F8-4582-B54A-FDDC6EC8CDF0}" destId="{5E1CC212-5C2D-4BDC-B1DB-0114061E561A}" srcOrd="4" destOrd="0" parTransId="{5067D67F-540A-4712-95EA-30F1D7430074}" sibTransId="{7EEDF15C-392A-402F-B0CE-5089671FFDC2}"/>
    <dgm:cxn modelId="{C6C43A13-0423-4199-B27B-C48978458C86}" type="presOf" srcId="{1C5CE997-0266-44EB-8B4D-622A1E8B88B4}" destId="{C12C7362-E017-4375-B97F-AAF66F479C7F}" srcOrd="1" destOrd="0" presId="urn:microsoft.com/office/officeart/2005/8/layout/process5"/>
    <dgm:cxn modelId="{18B7514F-909C-4C98-A9FA-C4B5FF5631D2}" type="presOf" srcId="{8B6C5E9B-2FB8-4D85-86E6-E3D6758B000C}" destId="{2B8A353C-0E75-4FCB-A22A-1DFA7FEF362C}" srcOrd="0" destOrd="0" presId="urn:microsoft.com/office/officeart/2005/8/layout/process5"/>
    <dgm:cxn modelId="{4967FF0C-8177-478D-BEA4-EE5A16F74AB6}" type="presOf" srcId="{51AF7345-2364-4D37-A7BD-26B08F443FA6}" destId="{6246C26B-4A04-405E-B4D6-9F8AF7BFC9DA}" srcOrd="0" destOrd="0" presId="urn:microsoft.com/office/officeart/2005/8/layout/process5"/>
    <dgm:cxn modelId="{9FE7058B-8237-4551-9F27-C90D425D387A}" type="presOf" srcId="{D14E3AC0-1D06-4318-B435-6C6B57B0DBD6}" destId="{91F049EF-2087-47CD-AD76-56C83982A6C1}" srcOrd="0" destOrd="0" presId="urn:microsoft.com/office/officeart/2005/8/layout/process5"/>
    <dgm:cxn modelId="{744BADD1-A947-42B5-AA41-7FBC8E3B8F30}" type="presOf" srcId="{A82AF8B4-E704-4B96-901B-37D6BC595012}" destId="{0AB3AAB9-397B-4D98-BE08-91E97B3CF926}" srcOrd="0" destOrd="0" presId="urn:microsoft.com/office/officeart/2005/8/layout/process5"/>
    <dgm:cxn modelId="{E395181D-D1D1-49B9-A054-9F00D098FB2D}" type="presOf" srcId="{A226EB9B-D4BB-4FA0-99E7-283FA6B82DAC}" destId="{E984B1F2-0751-4943-9D74-FF0BBC857BAD}" srcOrd="1" destOrd="0" presId="urn:microsoft.com/office/officeart/2005/8/layout/process5"/>
    <dgm:cxn modelId="{C253D7B3-1AF8-4B9C-92B7-C47CCFCD7BF0}" type="presOf" srcId="{41BCCD32-D49B-45CA-9874-40DD8CD14800}" destId="{0023B5BB-0167-4AB4-8219-B1468517FD27}" srcOrd="0" destOrd="0" presId="urn:microsoft.com/office/officeart/2005/8/layout/process5"/>
    <dgm:cxn modelId="{4909430A-8973-40F4-93D7-2EC868B9F2FE}" srcId="{23B5A306-E1F8-4582-B54A-FDDC6EC8CDF0}" destId="{E7847C55-A33D-4687-A1A8-3462ABE6ED48}" srcOrd="8" destOrd="0" parTransId="{EAEC4CD3-20BB-403C-B87B-EA61599853CC}" sibTransId="{E75D2CD8-5EF5-4277-95A2-95E9F85292C1}"/>
    <dgm:cxn modelId="{ACDD7F8C-7021-4939-9DB0-3E40E05D4F08}" srcId="{23B5A306-E1F8-4582-B54A-FDDC6EC8CDF0}" destId="{C4EDA74B-7D7F-4EE2-9807-5C870B80D45A}" srcOrd="0" destOrd="0" parTransId="{FEF2E004-B188-4E4B-8E32-BB713204247E}" sibTransId="{1C5CE997-0266-44EB-8B4D-622A1E8B88B4}"/>
    <dgm:cxn modelId="{7DCD8495-E017-4C56-8DE2-D34AA70F6DD8}" type="presOf" srcId="{65729E7A-1D47-4AD0-820C-410F45FC74FC}" destId="{8CEB7193-D4C9-4314-A406-AD9F0FDC4542}" srcOrd="0" destOrd="0" presId="urn:microsoft.com/office/officeart/2005/8/layout/process5"/>
    <dgm:cxn modelId="{E23456D1-1DA0-45CA-84F6-8C9DD3601701}" type="presOf" srcId="{6DAE79B6-98D4-4B0E-B6BD-3D121A7E7911}" destId="{3B81354C-BEFE-49A8-9C6B-F2EE48FE9DD0}" srcOrd="0" destOrd="0" presId="urn:microsoft.com/office/officeart/2005/8/layout/process5"/>
    <dgm:cxn modelId="{F00650DC-792B-4340-BBB9-800712295C2F}" type="presOf" srcId="{5E1CC212-5C2D-4BDC-B1DB-0114061E561A}" destId="{3A08D985-0AE4-48B7-B4DA-716613161FBA}" srcOrd="0" destOrd="0" presId="urn:microsoft.com/office/officeart/2005/8/layout/process5"/>
    <dgm:cxn modelId="{13CD3458-21C8-4E81-94A4-EA131531FD0A}" type="presOf" srcId="{98F246CF-5793-4993-80FD-191C405D458D}" destId="{562E5ABC-A140-4BD7-8DDA-7E798DA724E1}" srcOrd="0" destOrd="0" presId="urn:microsoft.com/office/officeart/2005/8/layout/process5"/>
    <dgm:cxn modelId="{B51EAEAC-85F3-4119-985C-D5DB81ACFA0C}" type="presOf" srcId="{7EEDF15C-392A-402F-B0CE-5089671FFDC2}" destId="{1B90B4C2-D6C6-415C-8C9B-A07DB8F8748F}" srcOrd="0" destOrd="0" presId="urn:microsoft.com/office/officeart/2005/8/layout/process5"/>
    <dgm:cxn modelId="{7E4D8937-9C5F-480D-83C0-68D76D84805E}" type="presOf" srcId="{6DAE79B6-98D4-4B0E-B6BD-3D121A7E7911}" destId="{2441C7D3-D81D-4340-B034-4BA21E783B94}" srcOrd="1" destOrd="0" presId="urn:microsoft.com/office/officeart/2005/8/layout/process5"/>
    <dgm:cxn modelId="{65CB82DE-0163-44A5-9F6C-C7C8E69B4BB5}" type="presOf" srcId="{B03B1973-3FD6-43BE-87FB-BAA09AF51F35}" destId="{3EDBB0F6-AB6F-4CDE-8F67-6C1248053F58}" srcOrd="1" destOrd="0" presId="urn:microsoft.com/office/officeart/2005/8/layout/process5"/>
    <dgm:cxn modelId="{C31EFD0C-A6FF-4651-955C-0838EBDA1C35}" srcId="{23B5A306-E1F8-4582-B54A-FDDC6EC8CDF0}" destId="{51AF7345-2364-4D37-A7BD-26B08F443FA6}" srcOrd="7" destOrd="0" parTransId="{5B0D78CD-E1FB-4CE0-95AF-3A624747FA96}" sibTransId="{A82AF8B4-E704-4B96-901B-37D6BC595012}"/>
    <dgm:cxn modelId="{82CB4C0B-D046-4F22-B55A-CC2A1CBB7342}" type="presOf" srcId="{B03B1973-3FD6-43BE-87FB-BAA09AF51F35}" destId="{7C507267-4F32-4DEC-98CA-E3F773EE389D}" srcOrd="0" destOrd="0" presId="urn:microsoft.com/office/officeart/2005/8/layout/process5"/>
    <dgm:cxn modelId="{D2BC2592-FD7B-41C3-9C39-CE778636E10A}" type="presOf" srcId="{7EEDF15C-392A-402F-B0CE-5089671FFDC2}" destId="{4FA9D5BA-8266-4A06-A985-FD165032504F}" srcOrd="1" destOrd="0" presId="urn:microsoft.com/office/officeart/2005/8/layout/process5"/>
    <dgm:cxn modelId="{013EB3DA-C9FA-42B7-9F0C-E1BF9F7BA6AB}" type="presParOf" srcId="{63FF56C4-17B1-4995-90F8-284E45CCE532}" destId="{FDF8622E-74E8-4223-AE28-B6DE307DEDA3}" srcOrd="0" destOrd="0" presId="urn:microsoft.com/office/officeart/2005/8/layout/process5"/>
    <dgm:cxn modelId="{D2062A8C-490D-47C6-9F5B-4EDF58FA78B2}" type="presParOf" srcId="{63FF56C4-17B1-4995-90F8-284E45CCE532}" destId="{9C9840F9-1A1F-4D35-A90A-1E58E4419031}" srcOrd="1" destOrd="0" presId="urn:microsoft.com/office/officeart/2005/8/layout/process5"/>
    <dgm:cxn modelId="{4812D826-1AC8-418E-8935-9391EF93C32B}" type="presParOf" srcId="{9C9840F9-1A1F-4D35-A90A-1E58E4419031}" destId="{C12C7362-E017-4375-B97F-AAF66F479C7F}" srcOrd="0" destOrd="0" presId="urn:microsoft.com/office/officeart/2005/8/layout/process5"/>
    <dgm:cxn modelId="{59D7FD55-6743-43A1-92E7-1E2B8484B0D2}" type="presParOf" srcId="{63FF56C4-17B1-4995-90F8-284E45CCE532}" destId="{5D75ABA5-83C2-4869-A139-8B8FDEB91698}" srcOrd="2" destOrd="0" presId="urn:microsoft.com/office/officeart/2005/8/layout/process5"/>
    <dgm:cxn modelId="{E0B8C46E-38D4-4F9F-B499-A340C7FA66EB}" type="presParOf" srcId="{63FF56C4-17B1-4995-90F8-284E45CCE532}" destId="{2B8A353C-0E75-4FCB-A22A-1DFA7FEF362C}" srcOrd="3" destOrd="0" presId="urn:microsoft.com/office/officeart/2005/8/layout/process5"/>
    <dgm:cxn modelId="{5D7E5A3A-A53D-4AD4-8648-38B4A35569A0}" type="presParOf" srcId="{2B8A353C-0E75-4FCB-A22A-1DFA7FEF362C}" destId="{AA6C0BAD-EEC6-48A9-B872-E28486FA567F}" srcOrd="0" destOrd="0" presId="urn:microsoft.com/office/officeart/2005/8/layout/process5"/>
    <dgm:cxn modelId="{1473BD4B-A580-43F2-B38B-469F2E577324}" type="presParOf" srcId="{63FF56C4-17B1-4995-90F8-284E45CCE532}" destId="{D1CBF7A0-FEEF-41A6-822B-2367F4F18890}" srcOrd="4" destOrd="0" presId="urn:microsoft.com/office/officeart/2005/8/layout/process5"/>
    <dgm:cxn modelId="{0C06848F-BF2A-4543-902B-88CC3B76A863}" type="presParOf" srcId="{63FF56C4-17B1-4995-90F8-284E45CCE532}" destId="{562E5ABC-A140-4BD7-8DDA-7E798DA724E1}" srcOrd="5" destOrd="0" presId="urn:microsoft.com/office/officeart/2005/8/layout/process5"/>
    <dgm:cxn modelId="{0AE2A866-2B66-4279-9FD4-6B458CDF1F9A}" type="presParOf" srcId="{562E5ABC-A140-4BD7-8DDA-7E798DA724E1}" destId="{502B1493-D521-43A3-AF1C-9482B9576D3E}" srcOrd="0" destOrd="0" presId="urn:microsoft.com/office/officeart/2005/8/layout/process5"/>
    <dgm:cxn modelId="{02EB661E-074C-465C-B0B9-AE3E68D57AB1}" type="presParOf" srcId="{63FF56C4-17B1-4995-90F8-284E45CCE532}" destId="{0023B5BB-0167-4AB4-8219-B1468517FD27}" srcOrd="6" destOrd="0" presId="urn:microsoft.com/office/officeart/2005/8/layout/process5"/>
    <dgm:cxn modelId="{8D66C8DA-9A3A-49ED-AD4F-937674956A1D}" type="presParOf" srcId="{63FF56C4-17B1-4995-90F8-284E45CCE532}" destId="{7C507267-4F32-4DEC-98CA-E3F773EE389D}" srcOrd="7" destOrd="0" presId="urn:microsoft.com/office/officeart/2005/8/layout/process5"/>
    <dgm:cxn modelId="{1B898E93-8B77-4FB6-AD85-F55A6110A5C0}" type="presParOf" srcId="{7C507267-4F32-4DEC-98CA-E3F773EE389D}" destId="{3EDBB0F6-AB6F-4CDE-8F67-6C1248053F58}" srcOrd="0" destOrd="0" presId="urn:microsoft.com/office/officeart/2005/8/layout/process5"/>
    <dgm:cxn modelId="{7DD942D9-E93F-4AB6-9007-24F8EC6F7822}" type="presParOf" srcId="{63FF56C4-17B1-4995-90F8-284E45CCE532}" destId="{3A08D985-0AE4-48B7-B4DA-716613161FBA}" srcOrd="8" destOrd="0" presId="urn:microsoft.com/office/officeart/2005/8/layout/process5"/>
    <dgm:cxn modelId="{20BF3C34-4F48-4C01-BE80-59D6AFE50203}" type="presParOf" srcId="{63FF56C4-17B1-4995-90F8-284E45CCE532}" destId="{1B90B4C2-D6C6-415C-8C9B-A07DB8F8748F}" srcOrd="9" destOrd="0" presId="urn:microsoft.com/office/officeart/2005/8/layout/process5"/>
    <dgm:cxn modelId="{43655101-BCEB-4C62-AF3D-4DCB535CBD35}" type="presParOf" srcId="{1B90B4C2-D6C6-415C-8C9B-A07DB8F8748F}" destId="{4FA9D5BA-8266-4A06-A985-FD165032504F}" srcOrd="0" destOrd="0" presId="urn:microsoft.com/office/officeart/2005/8/layout/process5"/>
    <dgm:cxn modelId="{CE5CFB0A-5595-4685-B3E6-C6767EE041DC}" type="presParOf" srcId="{63FF56C4-17B1-4995-90F8-284E45CCE532}" destId="{91F049EF-2087-47CD-AD76-56C83982A6C1}" srcOrd="10" destOrd="0" presId="urn:microsoft.com/office/officeart/2005/8/layout/process5"/>
    <dgm:cxn modelId="{E0E51AD0-A0F3-4A27-B7AB-758DAD631692}" type="presParOf" srcId="{63FF56C4-17B1-4995-90F8-284E45CCE532}" destId="{79BFF1E2-DD98-48AC-9648-1A928BAE0DED}" srcOrd="11" destOrd="0" presId="urn:microsoft.com/office/officeart/2005/8/layout/process5"/>
    <dgm:cxn modelId="{28976A9B-2B88-4F4B-82A6-F0742ED4E0A6}" type="presParOf" srcId="{79BFF1E2-DD98-48AC-9648-1A928BAE0DED}" destId="{E984B1F2-0751-4943-9D74-FF0BBC857BAD}" srcOrd="0" destOrd="0" presId="urn:microsoft.com/office/officeart/2005/8/layout/process5"/>
    <dgm:cxn modelId="{0D4C9B75-7D36-45A5-A45B-6D3A9C257891}" type="presParOf" srcId="{63FF56C4-17B1-4995-90F8-284E45CCE532}" destId="{8CEB7193-D4C9-4314-A406-AD9F0FDC4542}" srcOrd="12" destOrd="0" presId="urn:microsoft.com/office/officeart/2005/8/layout/process5"/>
    <dgm:cxn modelId="{0142AE88-9A39-42D3-8EA8-A265ECC13E0C}" type="presParOf" srcId="{63FF56C4-17B1-4995-90F8-284E45CCE532}" destId="{3B81354C-BEFE-49A8-9C6B-F2EE48FE9DD0}" srcOrd="13" destOrd="0" presId="urn:microsoft.com/office/officeart/2005/8/layout/process5"/>
    <dgm:cxn modelId="{91D3C2BB-2129-4CB1-B741-5CAC8848D3B0}" type="presParOf" srcId="{3B81354C-BEFE-49A8-9C6B-F2EE48FE9DD0}" destId="{2441C7D3-D81D-4340-B034-4BA21E783B94}" srcOrd="0" destOrd="0" presId="urn:microsoft.com/office/officeart/2005/8/layout/process5"/>
    <dgm:cxn modelId="{09A414CA-1605-43CC-93FC-B7F100E24FF3}" type="presParOf" srcId="{63FF56C4-17B1-4995-90F8-284E45CCE532}" destId="{6246C26B-4A04-405E-B4D6-9F8AF7BFC9DA}" srcOrd="14" destOrd="0" presId="urn:microsoft.com/office/officeart/2005/8/layout/process5"/>
    <dgm:cxn modelId="{3DF9583D-0CFA-4331-BD9C-36C440DB418A}" type="presParOf" srcId="{63FF56C4-17B1-4995-90F8-284E45CCE532}" destId="{0AB3AAB9-397B-4D98-BE08-91E97B3CF926}" srcOrd="15" destOrd="0" presId="urn:microsoft.com/office/officeart/2005/8/layout/process5"/>
    <dgm:cxn modelId="{A8278FA2-ABAE-41E1-BE30-06BE1FC7B910}" type="presParOf" srcId="{0AB3AAB9-397B-4D98-BE08-91E97B3CF926}" destId="{9C523F96-E71F-4EB6-B6AC-706309CE285B}" srcOrd="0" destOrd="0" presId="urn:microsoft.com/office/officeart/2005/8/layout/process5"/>
    <dgm:cxn modelId="{09F745E9-70CE-4ACA-ACDA-0A425224ED01}" type="presParOf" srcId="{63FF56C4-17B1-4995-90F8-284E45CCE532}" destId="{0D4A4F31-0791-4835-9118-E461DDA92010}" srcOrd="16" destOrd="0" presId="urn:microsoft.com/office/officeart/2005/8/layout/process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E16CD9-E69E-4829-8D23-8C5F31FA4F39}">
      <dsp:nvSpPr>
        <dsp:cNvPr id="0" name=""/>
        <dsp:cNvSpPr/>
      </dsp:nvSpPr>
      <dsp:spPr>
        <a:xfrm rot="10800000">
          <a:off x="2080800" y="0"/>
          <a:ext cx="4039199" cy="1503844"/>
        </a:xfrm>
        <a:prstGeom prst="nonIsoscelesTrapezoid">
          <a:avLst>
            <a:gd name="adj1" fmla="val 0"/>
            <a:gd name="adj2" fmla="val 34000"/>
          </a:avLst>
        </a:prstGeom>
        <a:solidFill>
          <a:schemeClr val="lt1">
            <a:alpha val="90000"/>
            <a:hueOff val="0"/>
            <a:satOff val="0"/>
            <a:lumOff val="0"/>
            <a:alphaOff val="0"/>
          </a:schemeClr>
        </a:solidFill>
        <a:ln w="25400" cap="flat" cmpd="sng" algn="ctr">
          <a:solidFill>
            <a:schemeClr val="accent1">
              <a:lumMod val="20000"/>
              <a:lumOff val="8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88950">
            <a:lnSpc>
              <a:spcPct val="90000"/>
            </a:lnSpc>
            <a:spcBef>
              <a:spcPct val="0"/>
            </a:spcBef>
            <a:spcAft>
              <a:spcPct val="15000"/>
            </a:spcAft>
            <a:buChar char="••"/>
          </a:pPr>
          <a:r>
            <a:rPr lang="en-GB" sz="1100" kern="1200"/>
            <a:t>pressure cushions and mattresses</a:t>
          </a:r>
        </a:p>
        <a:p>
          <a:pPr marL="57150" lvl="1" indent="-57150" algn="l" defTabSz="488950">
            <a:lnSpc>
              <a:spcPct val="90000"/>
            </a:lnSpc>
            <a:spcBef>
              <a:spcPct val="0"/>
            </a:spcBef>
            <a:spcAft>
              <a:spcPct val="15000"/>
            </a:spcAft>
            <a:buChar char="••"/>
          </a:pPr>
          <a:r>
            <a:rPr lang="en-GB" sz="1100" kern="1200"/>
            <a:t>custom-made hand splints</a:t>
          </a:r>
        </a:p>
        <a:p>
          <a:pPr marL="57150" lvl="1" indent="-57150" algn="l" defTabSz="488950">
            <a:lnSpc>
              <a:spcPct val="90000"/>
            </a:lnSpc>
            <a:spcBef>
              <a:spcPct val="0"/>
            </a:spcBef>
            <a:spcAft>
              <a:spcPct val="15000"/>
            </a:spcAft>
            <a:buChar char="••"/>
          </a:pPr>
          <a:r>
            <a:rPr lang="en-GB" sz="1100" kern="1200"/>
            <a:t>orthotics</a:t>
          </a:r>
        </a:p>
        <a:p>
          <a:pPr marL="57150" lvl="1" indent="-57150" algn="l" defTabSz="488950">
            <a:lnSpc>
              <a:spcPct val="90000"/>
            </a:lnSpc>
            <a:spcBef>
              <a:spcPct val="0"/>
            </a:spcBef>
            <a:spcAft>
              <a:spcPct val="15000"/>
            </a:spcAft>
            <a:buChar char="••"/>
          </a:pPr>
          <a:r>
            <a:rPr lang="en-GB" sz="1100" kern="1200"/>
            <a:t>prostheses</a:t>
          </a:r>
        </a:p>
        <a:p>
          <a:pPr marL="57150" lvl="1" indent="-57150" algn="l" defTabSz="488950">
            <a:lnSpc>
              <a:spcPct val="90000"/>
            </a:lnSpc>
            <a:spcBef>
              <a:spcPct val="0"/>
            </a:spcBef>
            <a:spcAft>
              <a:spcPct val="15000"/>
            </a:spcAft>
            <a:buChar char="••"/>
          </a:pPr>
          <a:r>
            <a:rPr lang="en-GB" sz="1100" kern="1200"/>
            <a:t>lymphoedema garments,</a:t>
          </a:r>
        </a:p>
        <a:p>
          <a:pPr marL="57150" lvl="1" indent="-57150" algn="l" defTabSz="488950">
            <a:lnSpc>
              <a:spcPct val="90000"/>
            </a:lnSpc>
            <a:spcBef>
              <a:spcPct val="0"/>
            </a:spcBef>
            <a:spcAft>
              <a:spcPct val="15000"/>
            </a:spcAft>
            <a:buChar char="••"/>
          </a:pPr>
          <a:r>
            <a:rPr lang="en-GB" sz="1100" kern="1200"/>
            <a:t>powered wheelchairs or scooters</a:t>
          </a:r>
        </a:p>
      </dsp:txBody>
      <dsp:txXfrm rot="10800000">
        <a:off x="2592107" y="0"/>
        <a:ext cx="3527892" cy="1503844"/>
      </dsp:txXfrm>
    </dsp:sp>
    <dsp:sp modelId="{E74711D0-BD8B-48E3-86C7-3A3DA20ED23C}">
      <dsp:nvSpPr>
        <dsp:cNvPr id="0" name=""/>
        <dsp:cNvSpPr/>
      </dsp:nvSpPr>
      <dsp:spPr>
        <a:xfrm>
          <a:off x="1569492" y="0"/>
          <a:ext cx="1022614" cy="1503844"/>
        </a:xfrm>
        <a:prstGeom prst="trapezoid">
          <a:avLst>
            <a:gd name="adj" fmla="val 50000"/>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b="1" kern="1200">
              <a:solidFill>
                <a:sysClr val="windowText" lastClr="000000"/>
              </a:solidFill>
            </a:rPr>
            <a:t>Prescribed AT </a:t>
          </a:r>
        </a:p>
      </dsp:txBody>
      <dsp:txXfrm>
        <a:off x="1569492" y="0"/>
        <a:ext cx="1022614" cy="1503844"/>
      </dsp:txXfrm>
    </dsp:sp>
    <dsp:sp modelId="{FF4288CA-F0A0-4402-910F-684DA79CAC94}">
      <dsp:nvSpPr>
        <dsp:cNvPr id="0" name=""/>
        <dsp:cNvSpPr/>
      </dsp:nvSpPr>
      <dsp:spPr>
        <a:xfrm rot="10800000">
          <a:off x="2592107" y="1503844"/>
          <a:ext cx="3527892" cy="2484636"/>
        </a:xfrm>
        <a:prstGeom prst="nonIsoscelesTrapezoid">
          <a:avLst>
            <a:gd name="adj1" fmla="val 0"/>
            <a:gd name="adj2" fmla="val 34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88950">
            <a:lnSpc>
              <a:spcPct val="90000"/>
            </a:lnSpc>
            <a:spcBef>
              <a:spcPct val="0"/>
            </a:spcBef>
            <a:spcAft>
              <a:spcPct val="15000"/>
            </a:spcAft>
            <a:buChar char="••"/>
          </a:pPr>
          <a:r>
            <a:rPr lang="en-GB" sz="1100" kern="1200"/>
            <a:t>body system monitors </a:t>
          </a:r>
          <a:br>
            <a:rPr lang="en-GB" sz="1100" kern="1200"/>
          </a:br>
          <a:r>
            <a:rPr lang="en-GB" sz="1100" kern="1200"/>
            <a:t>(heart, diabetes)</a:t>
          </a:r>
        </a:p>
        <a:p>
          <a:pPr marL="57150" lvl="1" indent="-57150" algn="l" defTabSz="488950">
            <a:lnSpc>
              <a:spcPct val="90000"/>
            </a:lnSpc>
            <a:spcBef>
              <a:spcPct val="0"/>
            </a:spcBef>
            <a:spcAft>
              <a:spcPct val="15000"/>
            </a:spcAft>
            <a:buChar char="••"/>
          </a:pPr>
          <a:r>
            <a:rPr lang="en-GB" sz="1100" kern="1200"/>
            <a:t>mobile shower commodes</a:t>
          </a:r>
        </a:p>
        <a:p>
          <a:pPr marL="57150" lvl="1" indent="-57150" algn="l" defTabSz="488950">
            <a:lnSpc>
              <a:spcPct val="90000"/>
            </a:lnSpc>
            <a:spcBef>
              <a:spcPct val="0"/>
            </a:spcBef>
            <a:spcAft>
              <a:spcPct val="15000"/>
            </a:spcAft>
            <a:buChar char="••"/>
          </a:pPr>
          <a:r>
            <a:rPr lang="en-GB" sz="1100" kern="1200"/>
            <a:t>walking sticks</a:t>
          </a:r>
        </a:p>
        <a:p>
          <a:pPr marL="57150" lvl="1" indent="-57150" algn="l" defTabSz="488950">
            <a:lnSpc>
              <a:spcPct val="90000"/>
            </a:lnSpc>
            <a:spcBef>
              <a:spcPct val="0"/>
            </a:spcBef>
            <a:spcAft>
              <a:spcPct val="15000"/>
            </a:spcAft>
            <a:buChar char="••"/>
          </a:pPr>
          <a:r>
            <a:rPr lang="en-GB" sz="1100" kern="1200"/>
            <a:t>wheeled walking frames</a:t>
          </a:r>
        </a:p>
        <a:p>
          <a:pPr marL="57150" lvl="1" indent="-57150" algn="l" defTabSz="488950">
            <a:lnSpc>
              <a:spcPct val="90000"/>
            </a:lnSpc>
            <a:spcBef>
              <a:spcPct val="0"/>
            </a:spcBef>
            <a:spcAft>
              <a:spcPct val="15000"/>
            </a:spcAft>
            <a:buChar char="••"/>
          </a:pPr>
          <a:r>
            <a:rPr lang="en-GB" sz="1100" kern="1200"/>
            <a:t>manual wheelchairs</a:t>
          </a:r>
        </a:p>
        <a:p>
          <a:pPr marL="57150" lvl="1" indent="-57150" algn="l" defTabSz="488950">
            <a:lnSpc>
              <a:spcPct val="90000"/>
            </a:lnSpc>
            <a:spcBef>
              <a:spcPct val="0"/>
            </a:spcBef>
            <a:spcAft>
              <a:spcPct val="15000"/>
            </a:spcAft>
            <a:buChar char="••"/>
          </a:pPr>
          <a:r>
            <a:rPr lang="en-GB" sz="1100" kern="1200"/>
            <a:t>electric rise/recline armchairs</a:t>
          </a:r>
        </a:p>
        <a:p>
          <a:pPr marL="57150" lvl="1" indent="-57150" algn="l" defTabSz="488950">
            <a:lnSpc>
              <a:spcPct val="90000"/>
            </a:lnSpc>
            <a:spcBef>
              <a:spcPct val="0"/>
            </a:spcBef>
            <a:spcAft>
              <a:spcPct val="15000"/>
            </a:spcAft>
            <a:buChar char="••"/>
          </a:pPr>
          <a:r>
            <a:rPr lang="en-GB" sz="1100" kern="1200"/>
            <a:t>hand-held shower hoses</a:t>
          </a:r>
        </a:p>
        <a:p>
          <a:pPr marL="57150" lvl="1" indent="-57150" algn="l" defTabSz="488950">
            <a:lnSpc>
              <a:spcPct val="90000"/>
            </a:lnSpc>
            <a:spcBef>
              <a:spcPct val="0"/>
            </a:spcBef>
            <a:spcAft>
              <a:spcPct val="15000"/>
            </a:spcAft>
            <a:buChar char="••"/>
          </a:pPr>
          <a:r>
            <a:rPr lang="en-GB" sz="1100" kern="1200"/>
            <a:t>audible smoke alarms</a:t>
          </a:r>
        </a:p>
        <a:p>
          <a:pPr marL="57150" lvl="1" indent="-57150" algn="l" defTabSz="488950">
            <a:lnSpc>
              <a:spcPct val="90000"/>
            </a:lnSpc>
            <a:spcBef>
              <a:spcPct val="0"/>
            </a:spcBef>
            <a:spcAft>
              <a:spcPct val="15000"/>
            </a:spcAft>
            <a:buChar char="••"/>
          </a:pPr>
          <a:r>
            <a:rPr lang="en-GB" sz="1100" kern="1200"/>
            <a:t>personal alarms</a:t>
          </a:r>
        </a:p>
        <a:p>
          <a:pPr marL="57150" lvl="1" indent="-57150" algn="l" defTabSz="488950">
            <a:lnSpc>
              <a:spcPct val="90000"/>
            </a:lnSpc>
            <a:spcBef>
              <a:spcPct val="0"/>
            </a:spcBef>
            <a:spcAft>
              <a:spcPct val="15000"/>
            </a:spcAft>
            <a:buChar char="••"/>
          </a:pPr>
          <a:r>
            <a:rPr lang="en-GB" sz="1100" kern="1200"/>
            <a:t>computer software</a:t>
          </a:r>
        </a:p>
        <a:p>
          <a:pPr marL="57150" lvl="1" indent="-57150" algn="l" defTabSz="488950">
            <a:lnSpc>
              <a:spcPct val="90000"/>
            </a:lnSpc>
            <a:spcBef>
              <a:spcPct val="0"/>
            </a:spcBef>
            <a:spcAft>
              <a:spcPct val="15000"/>
            </a:spcAft>
            <a:buChar char="••"/>
          </a:pPr>
          <a:r>
            <a:rPr lang="en-GB" sz="1100" kern="1200"/>
            <a:t>smart AT systems</a:t>
          </a:r>
        </a:p>
      </dsp:txBody>
      <dsp:txXfrm rot="10800000">
        <a:off x="3436883" y="1503844"/>
        <a:ext cx="2683116" cy="2484636"/>
      </dsp:txXfrm>
    </dsp:sp>
    <dsp:sp modelId="{DC89F502-6553-40B7-88DA-C09A69C6A7E5}">
      <dsp:nvSpPr>
        <dsp:cNvPr id="0" name=""/>
        <dsp:cNvSpPr/>
      </dsp:nvSpPr>
      <dsp:spPr>
        <a:xfrm>
          <a:off x="724716" y="1503844"/>
          <a:ext cx="2712167" cy="2484636"/>
        </a:xfrm>
        <a:prstGeom prst="trapezoid">
          <a:avLst>
            <a:gd name="adj" fmla="val 34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b="1" kern="1200"/>
            <a:t>Under advice AT</a:t>
          </a:r>
        </a:p>
      </dsp:txBody>
      <dsp:txXfrm>
        <a:off x="1199345" y="1503844"/>
        <a:ext cx="1762908" cy="2484636"/>
      </dsp:txXfrm>
    </dsp:sp>
    <dsp:sp modelId="{FC2F7EE9-39C2-4AF1-8B94-0FBAC4C92C0D}">
      <dsp:nvSpPr>
        <dsp:cNvPr id="0" name=""/>
        <dsp:cNvSpPr/>
      </dsp:nvSpPr>
      <dsp:spPr>
        <a:xfrm rot="10800000">
          <a:off x="3436883" y="3988481"/>
          <a:ext cx="2683116" cy="2131518"/>
        </a:xfrm>
        <a:prstGeom prst="nonIsoscelesTrapezoid">
          <a:avLst>
            <a:gd name="adj1" fmla="val 0"/>
            <a:gd name="adj2" fmla="val 34000"/>
          </a:avLst>
        </a:prstGeom>
        <a:solidFill>
          <a:schemeClr val="lt1">
            <a:alpha val="90000"/>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88950">
            <a:lnSpc>
              <a:spcPct val="90000"/>
            </a:lnSpc>
            <a:spcBef>
              <a:spcPct val="0"/>
            </a:spcBef>
            <a:spcAft>
              <a:spcPct val="15000"/>
            </a:spcAft>
            <a:buChar char="••"/>
          </a:pPr>
          <a:r>
            <a:rPr lang="en-GB" sz="1100" kern="1200"/>
            <a:t>standard wheelchairs</a:t>
          </a:r>
        </a:p>
        <a:p>
          <a:pPr marL="57150" lvl="1" indent="-57150" algn="l" defTabSz="488950">
            <a:lnSpc>
              <a:spcPct val="90000"/>
            </a:lnSpc>
            <a:spcBef>
              <a:spcPct val="0"/>
            </a:spcBef>
            <a:spcAft>
              <a:spcPct val="15000"/>
            </a:spcAft>
            <a:buChar char="••"/>
          </a:pPr>
          <a:r>
            <a:rPr lang="en-GB" sz="1100" kern="1200"/>
            <a:t>basic pressure care cushions</a:t>
          </a:r>
        </a:p>
        <a:p>
          <a:pPr marL="57150" lvl="1" indent="-57150" algn="l" defTabSz="488950">
            <a:lnSpc>
              <a:spcPct val="90000"/>
            </a:lnSpc>
            <a:spcBef>
              <a:spcPct val="0"/>
            </a:spcBef>
            <a:spcAft>
              <a:spcPct val="15000"/>
            </a:spcAft>
            <a:buChar char="••"/>
          </a:pPr>
          <a:r>
            <a:rPr lang="en-GB" sz="1100" kern="1200"/>
            <a:t>rollators</a:t>
          </a:r>
        </a:p>
        <a:p>
          <a:pPr marL="57150" lvl="1" indent="-57150" algn="l" defTabSz="488950">
            <a:lnSpc>
              <a:spcPct val="90000"/>
            </a:lnSpc>
            <a:spcBef>
              <a:spcPct val="0"/>
            </a:spcBef>
            <a:spcAft>
              <a:spcPct val="15000"/>
            </a:spcAft>
            <a:buChar char="••"/>
          </a:pPr>
          <a:r>
            <a:rPr lang="en-GB" sz="1100" kern="1200"/>
            <a:t>crutches</a:t>
          </a:r>
        </a:p>
        <a:p>
          <a:pPr marL="57150" lvl="1" indent="-57150" algn="l" defTabSz="488950">
            <a:lnSpc>
              <a:spcPct val="90000"/>
            </a:lnSpc>
            <a:spcBef>
              <a:spcPct val="0"/>
            </a:spcBef>
            <a:spcAft>
              <a:spcPct val="15000"/>
            </a:spcAft>
            <a:buChar char="••"/>
          </a:pPr>
          <a:r>
            <a:rPr lang="en-GB" sz="1100" kern="1200"/>
            <a:t>daily living aids</a:t>
          </a:r>
        </a:p>
        <a:p>
          <a:pPr marL="57150" lvl="1" indent="-57150" algn="l" defTabSz="488950">
            <a:lnSpc>
              <a:spcPct val="90000"/>
            </a:lnSpc>
            <a:spcBef>
              <a:spcPct val="0"/>
            </a:spcBef>
            <a:spcAft>
              <a:spcPct val="15000"/>
            </a:spcAft>
            <a:buChar char="••"/>
          </a:pPr>
          <a:r>
            <a:rPr lang="en-GB" sz="1100" kern="1200"/>
            <a:t>furniture</a:t>
          </a:r>
        </a:p>
        <a:p>
          <a:pPr marL="57150" lvl="1" indent="-57150" algn="l" defTabSz="488950">
            <a:lnSpc>
              <a:spcPct val="90000"/>
            </a:lnSpc>
            <a:spcBef>
              <a:spcPct val="0"/>
            </a:spcBef>
            <a:spcAft>
              <a:spcPct val="15000"/>
            </a:spcAft>
            <a:buChar char="••"/>
          </a:pPr>
          <a:r>
            <a:rPr lang="en-GB" sz="1100" kern="1200"/>
            <a:t>bathroom and toilet aids</a:t>
          </a:r>
        </a:p>
        <a:p>
          <a:pPr marL="57150" lvl="1" indent="-57150" algn="l" defTabSz="488950">
            <a:lnSpc>
              <a:spcPct val="90000"/>
            </a:lnSpc>
            <a:spcBef>
              <a:spcPct val="0"/>
            </a:spcBef>
            <a:spcAft>
              <a:spcPct val="15000"/>
            </a:spcAft>
            <a:buChar char="••"/>
          </a:pPr>
          <a:r>
            <a:rPr lang="en-GB" sz="1100" kern="1200"/>
            <a:t>ramps</a:t>
          </a:r>
        </a:p>
        <a:p>
          <a:pPr marL="57150" lvl="1" indent="-57150" algn="l" defTabSz="488950">
            <a:lnSpc>
              <a:spcPct val="90000"/>
            </a:lnSpc>
            <a:spcBef>
              <a:spcPct val="0"/>
            </a:spcBef>
            <a:spcAft>
              <a:spcPct val="15000"/>
            </a:spcAft>
            <a:buChar char="••"/>
          </a:pPr>
          <a:r>
            <a:rPr lang="en-GB" sz="1100" kern="1200"/>
            <a:t>etc</a:t>
          </a:r>
        </a:p>
      </dsp:txBody>
      <dsp:txXfrm rot="10800000">
        <a:off x="4161600" y="3988481"/>
        <a:ext cx="1958399" cy="2131518"/>
      </dsp:txXfrm>
    </dsp:sp>
    <dsp:sp modelId="{D304E41B-FDA1-4FF7-9369-01A21E4B0511}">
      <dsp:nvSpPr>
        <dsp:cNvPr id="0" name=""/>
        <dsp:cNvSpPr/>
      </dsp:nvSpPr>
      <dsp:spPr>
        <a:xfrm>
          <a:off x="0" y="3988481"/>
          <a:ext cx="4161600" cy="2131518"/>
        </a:xfrm>
        <a:prstGeom prst="trapezoid">
          <a:avLst>
            <a:gd name="adj" fmla="val 34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b="1" kern="1200">
              <a:solidFill>
                <a:schemeClr val="bg1"/>
              </a:solidFill>
            </a:rPr>
            <a:t>Low risk AT</a:t>
          </a:r>
        </a:p>
      </dsp:txBody>
      <dsp:txXfrm>
        <a:off x="728279" y="3988481"/>
        <a:ext cx="2705040" cy="21315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7D4D32-7CFF-45C5-A530-BCAC3250620A}">
      <dsp:nvSpPr>
        <dsp:cNvPr id="0" name=""/>
        <dsp:cNvSpPr/>
      </dsp:nvSpPr>
      <dsp:spPr>
        <a:xfrm rot="5400000">
          <a:off x="-120972" y="125141"/>
          <a:ext cx="806480" cy="564536"/>
        </a:xfrm>
        <a:prstGeom prst="chevron">
          <a:avLst/>
        </a:prstGeom>
        <a:solidFill>
          <a:schemeClr val="accent1">
            <a:lumMod val="20000"/>
            <a:lumOff val="80000"/>
          </a:schemeClr>
        </a:solidFill>
        <a:ln w="5715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80000" rIns="0" bIns="0" numCol="1" spcCol="1270" anchor="ctr" anchorCtr="0">
          <a:noAutofit/>
        </a:bodyPr>
        <a:lstStyle/>
        <a:p>
          <a:pPr lvl="0" algn="ctr" defTabSz="1066800">
            <a:lnSpc>
              <a:spcPct val="90000"/>
            </a:lnSpc>
            <a:spcBef>
              <a:spcPct val="0"/>
            </a:spcBef>
            <a:spcAft>
              <a:spcPct val="35000"/>
            </a:spcAft>
          </a:pPr>
          <a:r>
            <a:rPr lang="en-GB" sz="2400" b="1" kern="1200">
              <a:solidFill>
                <a:sysClr val="windowText" lastClr="000000"/>
              </a:solidFill>
            </a:rPr>
            <a:t>1</a:t>
          </a:r>
        </a:p>
      </dsp:txBody>
      <dsp:txXfrm rot="-5400000">
        <a:off x="0" y="286437"/>
        <a:ext cx="564536" cy="241944"/>
      </dsp:txXfrm>
    </dsp:sp>
    <dsp:sp modelId="{1D26A6B6-A679-4DD1-B0D1-7121D0223DE9}">
      <dsp:nvSpPr>
        <dsp:cNvPr id="0" name=""/>
        <dsp:cNvSpPr/>
      </dsp:nvSpPr>
      <dsp:spPr>
        <a:xfrm rot="5400000">
          <a:off x="2763224" y="-2194518"/>
          <a:ext cx="524488" cy="4921863"/>
        </a:xfrm>
        <a:prstGeom prst="round2SameRect">
          <a:avLst/>
        </a:prstGeom>
        <a:solidFill>
          <a:schemeClr val="accent1">
            <a:lumMod val="20000"/>
            <a:lumOff val="80000"/>
          </a:schemeClr>
        </a:solidFill>
        <a:ln w="5715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Establish and distribute the prevalence of older Australians </a:t>
          </a:r>
          <a:br>
            <a:rPr lang="en-GB" sz="1400" kern="1200"/>
          </a:br>
          <a:r>
            <a:rPr lang="en-GB" sz="1400" kern="1200"/>
            <a:t>living and home and experiencing functional decline</a:t>
          </a:r>
        </a:p>
      </dsp:txBody>
      <dsp:txXfrm rot="-5400000">
        <a:off x="564537" y="29772"/>
        <a:ext cx="4896260" cy="473282"/>
      </dsp:txXfrm>
    </dsp:sp>
    <dsp:sp modelId="{197E8E6E-0510-4115-AFAF-99219802914F}">
      <dsp:nvSpPr>
        <dsp:cNvPr id="0" name=""/>
        <dsp:cNvSpPr/>
      </dsp:nvSpPr>
      <dsp:spPr>
        <a:xfrm rot="5400000">
          <a:off x="-120972" y="847742"/>
          <a:ext cx="806480" cy="564536"/>
        </a:xfrm>
        <a:prstGeom prst="chevron">
          <a:avLst/>
        </a:prstGeom>
        <a:solidFill>
          <a:schemeClr val="accent1">
            <a:lumMod val="40000"/>
            <a:lumOff val="60000"/>
          </a:schemeClr>
        </a:solidFill>
        <a:ln w="5715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80000" rIns="0" bIns="0" numCol="1" spcCol="1270" anchor="ctr" anchorCtr="0">
          <a:noAutofit/>
        </a:bodyPr>
        <a:lstStyle/>
        <a:p>
          <a:pPr lvl="0" algn="ctr" defTabSz="1066800">
            <a:lnSpc>
              <a:spcPct val="90000"/>
            </a:lnSpc>
            <a:spcBef>
              <a:spcPct val="0"/>
            </a:spcBef>
            <a:spcAft>
              <a:spcPct val="35000"/>
            </a:spcAft>
          </a:pPr>
          <a:r>
            <a:rPr lang="en-GB" sz="2400" b="1" kern="1200">
              <a:solidFill>
                <a:sysClr val="windowText" lastClr="000000"/>
              </a:solidFill>
            </a:rPr>
            <a:t>2</a:t>
          </a:r>
        </a:p>
      </dsp:txBody>
      <dsp:txXfrm rot="-5400000">
        <a:off x="0" y="1009038"/>
        <a:ext cx="564536" cy="241944"/>
      </dsp:txXfrm>
    </dsp:sp>
    <dsp:sp modelId="{ECA259CF-503C-4222-900C-4A6085F827DC}">
      <dsp:nvSpPr>
        <dsp:cNvPr id="0" name=""/>
        <dsp:cNvSpPr/>
      </dsp:nvSpPr>
      <dsp:spPr>
        <a:xfrm rot="5400000">
          <a:off x="2763362" y="-1472054"/>
          <a:ext cx="524212" cy="4921863"/>
        </a:xfrm>
        <a:prstGeom prst="round2SameRect">
          <a:avLst/>
        </a:prstGeom>
        <a:solidFill>
          <a:schemeClr val="accent1">
            <a:lumMod val="40000"/>
            <a:lumOff val="60000"/>
          </a:schemeClr>
        </a:solidFill>
        <a:ln w="5715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Cost AT products for each of the 4 impairment categories </a:t>
          </a:r>
          <a:br>
            <a:rPr lang="en-GB" sz="1400" kern="1200"/>
          </a:br>
          <a:r>
            <a:rPr lang="en-GB" sz="1400" kern="1200"/>
            <a:t>over a 1-year and 5-year time horizon</a:t>
          </a:r>
        </a:p>
      </dsp:txBody>
      <dsp:txXfrm rot="-5400000">
        <a:off x="564537" y="752361"/>
        <a:ext cx="4896273" cy="473032"/>
      </dsp:txXfrm>
    </dsp:sp>
    <dsp:sp modelId="{958CC256-004C-48A0-B506-CD8AABF5ECD2}">
      <dsp:nvSpPr>
        <dsp:cNvPr id="0" name=""/>
        <dsp:cNvSpPr/>
      </dsp:nvSpPr>
      <dsp:spPr>
        <a:xfrm rot="5400000">
          <a:off x="-120972" y="1570344"/>
          <a:ext cx="806480" cy="564536"/>
        </a:xfrm>
        <a:prstGeom prst="chevron">
          <a:avLst/>
        </a:prstGeom>
        <a:solidFill>
          <a:schemeClr val="tx2">
            <a:lumMod val="40000"/>
            <a:lumOff val="60000"/>
          </a:schemeClr>
        </a:solidFill>
        <a:ln w="5715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80000" rIns="0" bIns="0" numCol="1" spcCol="1270" anchor="ctr" anchorCtr="0">
          <a:noAutofit/>
        </a:bodyPr>
        <a:lstStyle/>
        <a:p>
          <a:pPr lvl="0" algn="ctr" defTabSz="1066800">
            <a:lnSpc>
              <a:spcPct val="90000"/>
            </a:lnSpc>
            <a:spcBef>
              <a:spcPct val="0"/>
            </a:spcBef>
            <a:spcAft>
              <a:spcPct val="35000"/>
            </a:spcAft>
          </a:pPr>
          <a:r>
            <a:rPr lang="en-GB" sz="2400" b="1" kern="1200">
              <a:solidFill>
                <a:sysClr val="windowText" lastClr="000000"/>
              </a:solidFill>
            </a:rPr>
            <a:t>3</a:t>
          </a:r>
        </a:p>
      </dsp:txBody>
      <dsp:txXfrm rot="-5400000">
        <a:off x="0" y="1731640"/>
        <a:ext cx="564536" cy="241944"/>
      </dsp:txXfrm>
    </dsp:sp>
    <dsp:sp modelId="{BE73A133-23D8-4EA2-90B6-B6CD858C67CD}">
      <dsp:nvSpPr>
        <dsp:cNvPr id="0" name=""/>
        <dsp:cNvSpPr/>
      </dsp:nvSpPr>
      <dsp:spPr>
        <a:xfrm rot="5400000">
          <a:off x="2763362" y="-749453"/>
          <a:ext cx="524212" cy="4921863"/>
        </a:xfrm>
        <a:prstGeom prst="round2SameRect">
          <a:avLst/>
        </a:prstGeom>
        <a:solidFill>
          <a:schemeClr val="tx2">
            <a:lumMod val="40000"/>
            <a:lumOff val="60000"/>
          </a:schemeClr>
        </a:solidFill>
        <a:ln w="5715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Use 'real life' archetypes to cost and benchmark AT products</a:t>
          </a:r>
        </a:p>
      </dsp:txBody>
      <dsp:txXfrm rot="-5400000">
        <a:off x="564537" y="1474962"/>
        <a:ext cx="4896273" cy="473032"/>
      </dsp:txXfrm>
    </dsp:sp>
    <dsp:sp modelId="{3CB36F38-F900-4793-90D8-9E423E79756B}">
      <dsp:nvSpPr>
        <dsp:cNvPr id="0" name=""/>
        <dsp:cNvSpPr/>
      </dsp:nvSpPr>
      <dsp:spPr>
        <a:xfrm rot="5400000">
          <a:off x="-120972" y="2292945"/>
          <a:ext cx="806480" cy="564536"/>
        </a:xfrm>
        <a:prstGeom prst="chevron">
          <a:avLst/>
        </a:prstGeom>
        <a:solidFill>
          <a:schemeClr val="tx2">
            <a:lumMod val="60000"/>
            <a:lumOff val="40000"/>
          </a:schemeClr>
        </a:solidFill>
        <a:ln w="5715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80000" rIns="0" bIns="0" numCol="1" spcCol="1270" anchor="ctr" anchorCtr="0">
          <a:noAutofit/>
        </a:bodyPr>
        <a:lstStyle/>
        <a:p>
          <a:pPr lvl="0" algn="ctr" defTabSz="1066800">
            <a:lnSpc>
              <a:spcPct val="90000"/>
            </a:lnSpc>
            <a:spcBef>
              <a:spcPct val="0"/>
            </a:spcBef>
            <a:spcAft>
              <a:spcPct val="35000"/>
            </a:spcAft>
          </a:pPr>
          <a:r>
            <a:rPr lang="en-GB" sz="2400" b="1" kern="1200">
              <a:solidFill>
                <a:sysClr val="windowText" lastClr="000000"/>
              </a:solidFill>
            </a:rPr>
            <a:t>4</a:t>
          </a:r>
        </a:p>
      </dsp:txBody>
      <dsp:txXfrm rot="-5400000">
        <a:off x="0" y="2454241"/>
        <a:ext cx="564536" cy="241944"/>
      </dsp:txXfrm>
    </dsp:sp>
    <dsp:sp modelId="{267246EA-DBB4-48F9-A38A-0727F45399F0}">
      <dsp:nvSpPr>
        <dsp:cNvPr id="0" name=""/>
        <dsp:cNvSpPr/>
      </dsp:nvSpPr>
      <dsp:spPr>
        <a:xfrm rot="5400000">
          <a:off x="2763362" y="-26852"/>
          <a:ext cx="524212" cy="4921863"/>
        </a:xfrm>
        <a:prstGeom prst="round2SameRect">
          <a:avLst/>
        </a:prstGeom>
        <a:solidFill>
          <a:schemeClr val="tx2">
            <a:lumMod val="60000"/>
            <a:lumOff val="40000"/>
          </a:schemeClr>
        </a:solidFill>
        <a:ln w="5715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Cost AT for total population</a:t>
          </a:r>
        </a:p>
      </dsp:txBody>
      <dsp:txXfrm rot="-5400000">
        <a:off x="564537" y="2197563"/>
        <a:ext cx="4896273" cy="473032"/>
      </dsp:txXfrm>
    </dsp:sp>
    <dsp:sp modelId="{117BA573-AE28-482B-9C48-8C338E077012}">
      <dsp:nvSpPr>
        <dsp:cNvPr id="0" name=""/>
        <dsp:cNvSpPr/>
      </dsp:nvSpPr>
      <dsp:spPr>
        <a:xfrm rot="5400000">
          <a:off x="-120972" y="3015546"/>
          <a:ext cx="806480" cy="564536"/>
        </a:xfrm>
        <a:prstGeom prst="chevron">
          <a:avLst/>
        </a:prstGeom>
        <a:solidFill>
          <a:schemeClr val="tx2"/>
        </a:solidFill>
        <a:ln w="5715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80000" rIns="0" bIns="0" numCol="1" spcCol="1270" anchor="ctr" anchorCtr="0">
          <a:noAutofit/>
        </a:bodyPr>
        <a:lstStyle/>
        <a:p>
          <a:pPr lvl="0" algn="ctr" defTabSz="1066800">
            <a:lnSpc>
              <a:spcPct val="90000"/>
            </a:lnSpc>
            <a:spcBef>
              <a:spcPct val="0"/>
            </a:spcBef>
            <a:spcAft>
              <a:spcPct val="35000"/>
            </a:spcAft>
          </a:pPr>
          <a:r>
            <a:rPr lang="en-GB" sz="2400" b="1" kern="1200"/>
            <a:t>5</a:t>
          </a:r>
        </a:p>
      </dsp:txBody>
      <dsp:txXfrm rot="-5400000">
        <a:off x="0" y="3176842"/>
        <a:ext cx="564536" cy="241944"/>
      </dsp:txXfrm>
    </dsp:sp>
    <dsp:sp modelId="{15047A1F-3438-485D-A304-F6CB2F923D50}">
      <dsp:nvSpPr>
        <dsp:cNvPr id="0" name=""/>
        <dsp:cNvSpPr/>
      </dsp:nvSpPr>
      <dsp:spPr>
        <a:xfrm rot="5400000">
          <a:off x="2763362" y="695748"/>
          <a:ext cx="524212" cy="4921863"/>
        </a:xfrm>
        <a:prstGeom prst="round2SameRect">
          <a:avLst/>
        </a:prstGeom>
        <a:solidFill>
          <a:schemeClr val="tx2"/>
        </a:solidFill>
        <a:ln w="5715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solidFill>
                <a:schemeClr val="bg1"/>
              </a:solidFill>
            </a:rPr>
            <a:t>Cost AT products for current home care program </a:t>
          </a:r>
          <a:br>
            <a:rPr lang="en-GB" sz="1400" kern="1200">
              <a:solidFill>
                <a:schemeClr val="bg1"/>
              </a:solidFill>
            </a:rPr>
          </a:br>
          <a:r>
            <a:rPr lang="en-GB" sz="1400" kern="1200">
              <a:solidFill>
                <a:schemeClr val="bg1"/>
              </a:solidFill>
            </a:rPr>
            <a:t>client populations</a:t>
          </a:r>
        </a:p>
      </dsp:txBody>
      <dsp:txXfrm rot="-5400000">
        <a:off x="564537" y="2920163"/>
        <a:ext cx="4896273" cy="473032"/>
      </dsp:txXfrm>
    </dsp:sp>
    <dsp:sp modelId="{DEDB5BF8-C222-4C1D-B65F-2B393C442E09}">
      <dsp:nvSpPr>
        <dsp:cNvPr id="0" name=""/>
        <dsp:cNvSpPr/>
      </dsp:nvSpPr>
      <dsp:spPr>
        <a:xfrm rot="5400000">
          <a:off x="-120972" y="3738147"/>
          <a:ext cx="806480" cy="564536"/>
        </a:xfrm>
        <a:prstGeom prst="chevron">
          <a:avLst/>
        </a:prstGeom>
        <a:solidFill>
          <a:schemeClr val="tx2">
            <a:lumMod val="75000"/>
          </a:schemeClr>
        </a:solidFill>
        <a:ln w="5715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80000" rIns="0" bIns="0" numCol="1" spcCol="1270" anchor="ctr" anchorCtr="0">
          <a:noAutofit/>
        </a:bodyPr>
        <a:lstStyle/>
        <a:p>
          <a:pPr lvl="0" algn="ctr" defTabSz="1066800">
            <a:lnSpc>
              <a:spcPct val="90000"/>
            </a:lnSpc>
            <a:spcBef>
              <a:spcPct val="0"/>
            </a:spcBef>
            <a:spcAft>
              <a:spcPct val="35000"/>
            </a:spcAft>
          </a:pPr>
          <a:r>
            <a:rPr lang="en-GB" sz="2400" b="1" kern="1200"/>
            <a:t>6</a:t>
          </a:r>
        </a:p>
      </dsp:txBody>
      <dsp:txXfrm rot="-5400000">
        <a:off x="0" y="3899443"/>
        <a:ext cx="564536" cy="241944"/>
      </dsp:txXfrm>
    </dsp:sp>
    <dsp:sp modelId="{0928501A-3FC0-400A-9761-10883666110C}">
      <dsp:nvSpPr>
        <dsp:cNvPr id="0" name=""/>
        <dsp:cNvSpPr/>
      </dsp:nvSpPr>
      <dsp:spPr>
        <a:xfrm rot="5400000">
          <a:off x="2763362" y="1418349"/>
          <a:ext cx="524212" cy="4921863"/>
        </a:xfrm>
        <a:prstGeom prst="round2SameRect">
          <a:avLst/>
        </a:prstGeom>
        <a:solidFill>
          <a:schemeClr val="tx2">
            <a:lumMod val="7500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solidFill>
                <a:schemeClr val="bg1"/>
              </a:solidFill>
            </a:rPr>
            <a:t>Cost AT products and services for future program options</a:t>
          </a:r>
        </a:p>
      </dsp:txBody>
      <dsp:txXfrm rot="-5400000">
        <a:off x="564537" y="3642764"/>
        <a:ext cx="4896273" cy="473032"/>
      </dsp:txXfrm>
    </dsp:sp>
    <dsp:sp modelId="{39607A47-2DCB-42E3-BD60-7CD9DA5621F0}">
      <dsp:nvSpPr>
        <dsp:cNvPr id="0" name=""/>
        <dsp:cNvSpPr/>
      </dsp:nvSpPr>
      <dsp:spPr>
        <a:xfrm rot="5400000">
          <a:off x="-120972" y="4460748"/>
          <a:ext cx="806480" cy="564536"/>
        </a:xfrm>
        <a:prstGeom prst="chevron">
          <a:avLst/>
        </a:prstGeom>
        <a:solidFill>
          <a:schemeClr val="tx2">
            <a:lumMod val="50000"/>
          </a:schemeClr>
        </a:solidFill>
        <a:ln w="5715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80000" rIns="0" bIns="0" numCol="1" spcCol="1270" anchor="ctr" anchorCtr="0">
          <a:noAutofit/>
        </a:bodyPr>
        <a:lstStyle/>
        <a:p>
          <a:pPr lvl="0" algn="ctr" defTabSz="1066800">
            <a:lnSpc>
              <a:spcPct val="90000"/>
            </a:lnSpc>
            <a:spcBef>
              <a:spcPct val="0"/>
            </a:spcBef>
            <a:spcAft>
              <a:spcPct val="35000"/>
            </a:spcAft>
          </a:pPr>
          <a:r>
            <a:rPr lang="en-GB" sz="2400" b="1" kern="1200"/>
            <a:t>7</a:t>
          </a:r>
        </a:p>
      </dsp:txBody>
      <dsp:txXfrm rot="-5400000">
        <a:off x="0" y="4622044"/>
        <a:ext cx="564536" cy="241944"/>
      </dsp:txXfrm>
    </dsp:sp>
    <dsp:sp modelId="{B4252394-48CD-41B5-8841-B1BC2A82A189}">
      <dsp:nvSpPr>
        <dsp:cNvPr id="0" name=""/>
        <dsp:cNvSpPr/>
      </dsp:nvSpPr>
      <dsp:spPr>
        <a:xfrm rot="5400000">
          <a:off x="2763362" y="2140951"/>
          <a:ext cx="524212" cy="4921863"/>
        </a:xfrm>
        <a:prstGeom prst="round2SameRect">
          <a:avLst/>
        </a:prstGeom>
        <a:solidFill>
          <a:schemeClr val="tx2">
            <a:lumMod val="50000"/>
          </a:schemeClr>
        </a:solidFill>
        <a:ln w="25400" cap="flat" cmpd="sng" algn="ctr">
          <a:no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solidFill>
                <a:schemeClr val="bg1"/>
              </a:solidFill>
            </a:rPr>
            <a:t>Establish the benefits of AT for future program options</a:t>
          </a:r>
        </a:p>
      </dsp:txBody>
      <dsp:txXfrm rot="-5400000">
        <a:off x="564537" y="4365366"/>
        <a:ext cx="4896273" cy="4730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8622E-74E8-4223-AE28-B6DE307DEDA3}">
      <dsp:nvSpPr>
        <dsp:cNvPr id="0" name=""/>
        <dsp:cNvSpPr/>
      </dsp:nvSpPr>
      <dsp:spPr>
        <a:xfrm>
          <a:off x="5391" y="31341"/>
          <a:ext cx="1611566" cy="792000"/>
        </a:xfrm>
        <a:prstGeom prst="roundRect">
          <a:avLst>
            <a:gd name="adj" fmla="val 10000"/>
          </a:avLst>
        </a:prstGeom>
        <a:solidFill>
          <a:schemeClr val="bg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b="1" kern="1200">
              <a:solidFill>
                <a:schemeClr val="bg1"/>
              </a:solidFill>
            </a:rPr>
            <a:t>3,233</a:t>
          </a:r>
          <a:r>
            <a:rPr lang="en-GB" sz="1200" kern="1200">
              <a:solidFill>
                <a:schemeClr val="bg1"/>
              </a:solidFill>
            </a:rPr>
            <a:t> </a:t>
          </a:r>
          <a:br>
            <a:rPr lang="en-GB" sz="1200" kern="1200">
              <a:solidFill>
                <a:schemeClr val="bg1"/>
              </a:solidFill>
            </a:rPr>
          </a:br>
          <a:r>
            <a:rPr lang="en-GB" sz="1050" kern="1200">
              <a:solidFill>
                <a:schemeClr val="bg1"/>
              </a:solidFill>
            </a:rPr>
            <a:t>papers identified in initial EBSCOhost search</a:t>
          </a:r>
          <a:endParaRPr lang="en-GB" sz="1200" kern="1200">
            <a:solidFill>
              <a:schemeClr val="bg1"/>
            </a:solidFill>
          </a:endParaRPr>
        </a:p>
      </dsp:txBody>
      <dsp:txXfrm>
        <a:off x="28588" y="54538"/>
        <a:ext cx="1565172" cy="745606"/>
      </dsp:txXfrm>
    </dsp:sp>
    <dsp:sp modelId="{9C9840F9-1A1F-4D35-A90A-1E58E4419031}">
      <dsp:nvSpPr>
        <dsp:cNvPr id="0" name=""/>
        <dsp:cNvSpPr/>
      </dsp:nvSpPr>
      <dsp:spPr>
        <a:xfrm>
          <a:off x="1758775" y="227507"/>
          <a:ext cx="341652" cy="399668"/>
        </a:xfrm>
        <a:prstGeom prst="mathMinus">
          <a:avLst/>
        </a:prstGeom>
        <a:solidFill>
          <a:schemeClr val="bg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a:p>
      </dsp:txBody>
      <dsp:txXfrm>
        <a:off x="1758775" y="307441"/>
        <a:ext cx="239156" cy="239800"/>
      </dsp:txXfrm>
    </dsp:sp>
    <dsp:sp modelId="{5D75ABA5-83C2-4869-A139-8B8FDEB91698}">
      <dsp:nvSpPr>
        <dsp:cNvPr id="0" name=""/>
        <dsp:cNvSpPr/>
      </dsp:nvSpPr>
      <dsp:spPr>
        <a:xfrm>
          <a:off x="2261584" y="31341"/>
          <a:ext cx="1611566" cy="792000"/>
        </a:xfrm>
        <a:prstGeom prst="roundRect">
          <a:avLst>
            <a:gd name="adj" fmla="val 10000"/>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b="1" kern="1200"/>
            <a:t>- 310</a:t>
          </a:r>
          <a:r>
            <a:rPr lang="en-GB" sz="1200" kern="1200"/>
            <a:t/>
          </a:r>
          <a:br>
            <a:rPr lang="en-GB" sz="1200" kern="1200"/>
          </a:br>
          <a:r>
            <a:rPr lang="en-GB" sz="1050" kern="1200"/>
            <a:t>duplicates removed</a:t>
          </a:r>
          <a:endParaRPr lang="en-GB" sz="1200" kern="1200"/>
        </a:p>
      </dsp:txBody>
      <dsp:txXfrm>
        <a:off x="2284781" y="54538"/>
        <a:ext cx="1565172" cy="745606"/>
      </dsp:txXfrm>
    </dsp:sp>
    <dsp:sp modelId="{2B8A353C-0E75-4FCB-A22A-1DFA7FEF362C}">
      <dsp:nvSpPr>
        <dsp:cNvPr id="0" name=""/>
        <dsp:cNvSpPr/>
      </dsp:nvSpPr>
      <dsp:spPr>
        <a:xfrm>
          <a:off x="4014968" y="227507"/>
          <a:ext cx="341652" cy="399668"/>
        </a:xfrm>
        <a:prstGeom prst="mathEqual">
          <a:avLst/>
        </a:prstGeom>
        <a:solidFill>
          <a:schemeClr val="bg2">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a:p>
      </dsp:txBody>
      <dsp:txXfrm>
        <a:off x="4014968" y="307441"/>
        <a:ext cx="239156" cy="239800"/>
      </dsp:txXfrm>
    </dsp:sp>
    <dsp:sp modelId="{D1CBF7A0-FEEF-41A6-822B-2367F4F18890}">
      <dsp:nvSpPr>
        <dsp:cNvPr id="0" name=""/>
        <dsp:cNvSpPr/>
      </dsp:nvSpPr>
      <dsp:spPr>
        <a:xfrm>
          <a:off x="4517777" y="31341"/>
          <a:ext cx="1611566" cy="792000"/>
        </a:xfrm>
        <a:prstGeom prst="roundRect">
          <a:avLst>
            <a:gd name="adj" fmla="val 10000"/>
          </a:avLst>
        </a:prstGeom>
        <a:solidFill>
          <a:schemeClr val="bg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b="1" kern="1200">
              <a:solidFill>
                <a:sysClr val="windowText" lastClr="000000"/>
              </a:solidFill>
            </a:rPr>
            <a:t>= 2,923</a:t>
          </a:r>
          <a:r>
            <a:rPr lang="en-GB" sz="1200" kern="1200">
              <a:solidFill>
                <a:sysClr val="windowText" lastClr="000000"/>
              </a:solidFill>
            </a:rPr>
            <a:t/>
          </a:r>
          <a:br>
            <a:rPr lang="en-GB" sz="1200" kern="1200">
              <a:solidFill>
                <a:sysClr val="windowText" lastClr="000000"/>
              </a:solidFill>
            </a:rPr>
          </a:br>
          <a:r>
            <a:rPr lang="en-GB" sz="1050" kern="1200">
              <a:solidFill>
                <a:sysClr val="windowText" lastClr="000000"/>
              </a:solidFill>
            </a:rPr>
            <a:t>papers exported to </a:t>
          </a:r>
          <a:br>
            <a:rPr lang="en-GB" sz="1050" kern="1200">
              <a:solidFill>
                <a:sysClr val="windowText" lastClr="000000"/>
              </a:solidFill>
            </a:rPr>
          </a:br>
          <a:r>
            <a:rPr lang="en-GB" sz="1050" kern="1200">
              <a:solidFill>
                <a:sysClr val="windowText" lastClr="000000"/>
              </a:solidFill>
            </a:rPr>
            <a:t>Excel database</a:t>
          </a:r>
          <a:endParaRPr lang="en-GB" sz="1200" kern="1200">
            <a:solidFill>
              <a:sysClr val="windowText" lastClr="000000"/>
            </a:solidFill>
          </a:endParaRPr>
        </a:p>
      </dsp:txBody>
      <dsp:txXfrm>
        <a:off x="4540974" y="54538"/>
        <a:ext cx="1565172" cy="745606"/>
      </dsp:txXfrm>
    </dsp:sp>
    <dsp:sp modelId="{562E5ABC-A140-4BD7-8DDA-7E798DA724E1}">
      <dsp:nvSpPr>
        <dsp:cNvPr id="0" name=""/>
        <dsp:cNvSpPr/>
      </dsp:nvSpPr>
      <dsp:spPr>
        <a:xfrm rot="5400000">
          <a:off x="5152734" y="936151"/>
          <a:ext cx="341652" cy="399668"/>
        </a:xfrm>
        <a:prstGeom prst="rightArrow">
          <a:avLst/>
        </a:prstGeom>
        <a:solidFill>
          <a:schemeClr val="bg1">
            <a:lumMod val="9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a:p>
      </dsp:txBody>
      <dsp:txXfrm rot="-5400000">
        <a:off x="5203660" y="965159"/>
        <a:ext cx="239800" cy="239156"/>
      </dsp:txXfrm>
    </dsp:sp>
    <dsp:sp modelId="{0023B5BB-0167-4AB4-8219-B1468517FD27}">
      <dsp:nvSpPr>
        <dsp:cNvPr id="0" name=""/>
        <dsp:cNvSpPr/>
      </dsp:nvSpPr>
      <dsp:spPr>
        <a:xfrm>
          <a:off x="4517777" y="1467968"/>
          <a:ext cx="1611566" cy="792000"/>
        </a:xfrm>
        <a:prstGeom prst="roundRect">
          <a:avLst>
            <a:gd name="adj" fmla="val 10000"/>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kern="1200">
              <a:solidFill>
                <a:sysClr val="windowText" lastClr="000000"/>
              </a:solidFill>
            </a:rPr>
            <a:t>Title and abstract </a:t>
          </a:r>
          <a:br>
            <a:rPr lang="en-GB" sz="1050" kern="1200">
              <a:solidFill>
                <a:sysClr val="windowText" lastClr="000000"/>
              </a:solidFill>
            </a:rPr>
          </a:br>
          <a:r>
            <a:rPr lang="en-GB" sz="1050" kern="1200">
              <a:solidFill>
                <a:sysClr val="windowText" lastClr="000000"/>
              </a:solidFill>
            </a:rPr>
            <a:t>screened for inclusion </a:t>
          </a:r>
          <a:br>
            <a:rPr lang="en-GB" sz="1050" kern="1200">
              <a:solidFill>
                <a:sysClr val="windowText" lastClr="000000"/>
              </a:solidFill>
            </a:rPr>
          </a:br>
          <a:r>
            <a:rPr lang="en-GB" sz="1050" kern="1200">
              <a:solidFill>
                <a:sysClr val="windowText" lastClr="000000"/>
              </a:solidFill>
            </a:rPr>
            <a:t>and exclusion criteria</a:t>
          </a:r>
          <a:endParaRPr lang="en-GB" sz="1200" kern="1200">
            <a:solidFill>
              <a:sysClr val="windowText" lastClr="000000"/>
            </a:solidFill>
          </a:endParaRPr>
        </a:p>
      </dsp:txBody>
      <dsp:txXfrm>
        <a:off x="4540974" y="1491165"/>
        <a:ext cx="1565172" cy="745606"/>
      </dsp:txXfrm>
    </dsp:sp>
    <dsp:sp modelId="{7C507267-4F32-4DEC-98CA-E3F773EE389D}">
      <dsp:nvSpPr>
        <dsp:cNvPr id="0" name=""/>
        <dsp:cNvSpPr/>
      </dsp:nvSpPr>
      <dsp:spPr>
        <a:xfrm rot="10800000">
          <a:off x="4034307" y="1664134"/>
          <a:ext cx="341652" cy="399668"/>
        </a:xfrm>
        <a:prstGeom prst="mathEqual">
          <a:avLst/>
        </a:prstGeom>
        <a:solidFill>
          <a:schemeClr val="accent1">
            <a:lumMod val="20000"/>
            <a:lumOff val="80000"/>
          </a:schemeClr>
        </a:solidFill>
        <a:ln w="25400" cap="flat" cmpd="sng" algn="ctr">
          <a:no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GB" sz="1700" kern="1200"/>
        </a:p>
      </dsp:txBody>
      <dsp:txXfrm rot="10800000">
        <a:off x="4136803" y="1744068"/>
        <a:ext cx="239156" cy="239800"/>
      </dsp:txXfrm>
    </dsp:sp>
    <dsp:sp modelId="{3A08D985-0AE4-48B7-B4DA-716613161FBA}">
      <dsp:nvSpPr>
        <dsp:cNvPr id="0" name=""/>
        <dsp:cNvSpPr/>
      </dsp:nvSpPr>
      <dsp:spPr>
        <a:xfrm>
          <a:off x="2261584" y="1467968"/>
          <a:ext cx="1611566" cy="792000"/>
        </a:xfrm>
        <a:prstGeom prst="roundRect">
          <a:avLst>
            <a:gd name="adj" fmla="val 10000"/>
          </a:avLst>
        </a:prstGeom>
        <a:solidFill>
          <a:schemeClr val="accent1">
            <a:lumMod val="20000"/>
            <a:lumOff val="80000"/>
          </a:schemeClr>
        </a:solidFill>
        <a:ln w="25400" cap="flat" cmpd="sng" algn="ctr">
          <a:no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b="1" kern="1200"/>
            <a:t>= 162 </a:t>
          </a:r>
          <a:r>
            <a:rPr lang="en-GB" sz="1200" kern="1200"/>
            <a:t/>
          </a:r>
          <a:br>
            <a:rPr lang="en-GB" sz="1200" kern="1200"/>
          </a:br>
          <a:r>
            <a:rPr lang="en-GB" sz="1050" kern="1200"/>
            <a:t>papers selected for </a:t>
          </a:r>
          <a:br>
            <a:rPr lang="en-GB" sz="1050" kern="1200"/>
          </a:br>
          <a:r>
            <a:rPr lang="en-GB" sz="1050" kern="1200"/>
            <a:t>full-text review</a:t>
          </a:r>
          <a:endParaRPr lang="en-GB" sz="1200" kern="1200"/>
        </a:p>
      </dsp:txBody>
      <dsp:txXfrm>
        <a:off x="2284781" y="1491165"/>
        <a:ext cx="1565172" cy="745606"/>
      </dsp:txXfrm>
    </dsp:sp>
    <dsp:sp modelId="{1B90B4C2-D6C6-415C-8C9B-A07DB8F8748F}">
      <dsp:nvSpPr>
        <dsp:cNvPr id="0" name=""/>
        <dsp:cNvSpPr/>
      </dsp:nvSpPr>
      <dsp:spPr>
        <a:xfrm rot="10800000">
          <a:off x="1778114" y="1664134"/>
          <a:ext cx="341652" cy="399668"/>
        </a:xfrm>
        <a:prstGeom prst="rightArrow">
          <a:avLst/>
        </a:prstGeom>
        <a:solidFill>
          <a:schemeClr val="accent3">
            <a:lumMod val="20000"/>
            <a:lumOff val="8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a:p>
      </dsp:txBody>
      <dsp:txXfrm rot="10800000">
        <a:off x="1880610" y="1744068"/>
        <a:ext cx="239156" cy="239800"/>
      </dsp:txXfrm>
    </dsp:sp>
    <dsp:sp modelId="{91F049EF-2087-47CD-AD76-56C83982A6C1}">
      <dsp:nvSpPr>
        <dsp:cNvPr id="0" name=""/>
        <dsp:cNvSpPr/>
      </dsp:nvSpPr>
      <dsp:spPr>
        <a:xfrm>
          <a:off x="5391" y="1467968"/>
          <a:ext cx="1611566" cy="792000"/>
        </a:xfrm>
        <a:prstGeom prst="roundRect">
          <a:avLst>
            <a:gd name="adj" fmla="val 10000"/>
          </a:avLst>
        </a:prstGeom>
        <a:solidFill>
          <a:schemeClr val="accent3">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b="1" kern="1200">
              <a:solidFill>
                <a:sysClr val="windowText" lastClr="000000"/>
              </a:solidFill>
            </a:rPr>
            <a:t>= 39 </a:t>
          </a:r>
          <a:r>
            <a:rPr lang="en-GB" sz="1200" kern="1200">
              <a:solidFill>
                <a:sysClr val="windowText" lastClr="000000"/>
              </a:solidFill>
            </a:rPr>
            <a:t/>
          </a:r>
          <a:br>
            <a:rPr lang="en-GB" sz="1200" kern="1200">
              <a:solidFill>
                <a:sysClr val="windowText" lastClr="000000"/>
              </a:solidFill>
            </a:rPr>
          </a:br>
          <a:r>
            <a:rPr lang="en-GB" sz="1050" kern="1200">
              <a:solidFill>
                <a:sysClr val="windowText" lastClr="000000"/>
              </a:solidFill>
            </a:rPr>
            <a:t>papers identified </a:t>
          </a:r>
          <a:br>
            <a:rPr lang="en-GB" sz="1050" kern="1200">
              <a:solidFill>
                <a:sysClr val="windowText" lastClr="000000"/>
              </a:solidFill>
            </a:rPr>
          </a:br>
          <a:r>
            <a:rPr lang="en-GB" sz="1050" kern="1200">
              <a:solidFill>
                <a:sysClr val="windowText" lastClr="000000"/>
              </a:solidFill>
            </a:rPr>
            <a:t>as relevant</a:t>
          </a:r>
          <a:endParaRPr lang="en-GB" sz="1200" kern="1200">
            <a:solidFill>
              <a:sysClr val="windowText" lastClr="000000"/>
            </a:solidFill>
          </a:endParaRPr>
        </a:p>
      </dsp:txBody>
      <dsp:txXfrm>
        <a:off x="28588" y="1491165"/>
        <a:ext cx="1565172" cy="745606"/>
      </dsp:txXfrm>
    </dsp:sp>
    <dsp:sp modelId="{79BFF1E2-DD98-48AC-9648-1A928BAE0DED}">
      <dsp:nvSpPr>
        <dsp:cNvPr id="0" name=""/>
        <dsp:cNvSpPr/>
      </dsp:nvSpPr>
      <dsp:spPr>
        <a:xfrm>
          <a:off x="640348" y="2372779"/>
          <a:ext cx="341652" cy="399668"/>
        </a:xfrm>
        <a:prstGeom prst="mathMinus">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a:p>
      </dsp:txBody>
      <dsp:txXfrm rot="-5400000">
        <a:off x="640026" y="2453035"/>
        <a:ext cx="239800" cy="239156"/>
      </dsp:txXfrm>
    </dsp:sp>
    <dsp:sp modelId="{8CEB7193-D4C9-4314-A406-AD9F0FDC4542}">
      <dsp:nvSpPr>
        <dsp:cNvPr id="0" name=""/>
        <dsp:cNvSpPr/>
      </dsp:nvSpPr>
      <dsp:spPr>
        <a:xfrm>
          <a:off x="5391" y="2904595"/>
          <a:ext cx="1611566" cy="792000"/>
        </a:xfrm>
        <a:prstGeom prst="roundRect">
          <a:avLst>
            <a:gd name="adj" fmla="val 1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b="1" kern="1200">
              <a:solidFill>
                <a:sysClr val="windowText" lastClr="000000"/>
              </a:solidFill>
            </a:rPr>
            <a:t>- 25</a:t>
          </a:r>
          <a:r>
            <a:rPr lang="en-GB" sz="1200" kern="1200">
              <a:solidFill>
                <a:sysClr val="windowText" lastClr="000000"/>
              </a:solidFill>
            </a:rPr>
            <a:t/>
          </a:r>
          <a:br>
            <a:rPr lang="en-GB" sz="1200" kern="1200">
              <a:solidFill>
                <a:sysClr val="windowText" lastClr="000000"/>
              </a:solidFill>
            </a:rPr>
          </a:br>
          <a:r>
            <a:rPr lang="en-GB" sz="1050" kern="1200">
              <a:solidFill>
                <a:sysClr val="windowText" lastClr="000000"/>
              </a:solidFill>
            </a:rPr>
            <a:t>excluded due to </a:t>
          </a:r>
          <a:br>
            <a:rPr lang="en-GB" sz="1050" kern="1200">
              <a:solidFill>
                <a:sysClr val="windowText" lastClr="000000"/>
              </a:solidFill>
            </a:rPr>
          </a:br>
          <a:r>
            <a:rPr lang="en-GB" sz="1050" kern="1200">
              <a:solidFill>
                <a:sysClr val="windowText" lastClr="000000"/>
              </a:solidFill>
            </a:rPr>
            <a:t>non-AT focus, lack of costing data, etc</a:t>
          </a:r>
          <a:endParaRPr lang="en-GB" sz="1200" kern="1200">
            <a:solidFill>
              <a:sysClr val="windowText" lastClr="000000"/>
            </a:solidFill>
          </a:endParaRPr>
        </a:p>
      </dsp:txBody>
      <dsp:txXfrm>
        <a:off x="28588" y="2927792"/>
        <a:ext cx="1565172" cy="745606"/>
      </dsp:txXfrm>
    </dsp:sp>
    <dsp:sp modelId="{3B81354C-BEFE-49A8-9C6B-F2EE48FE9DD0}">
      <dsp:nvSpPr>
        <dsp:cNvPr id="0" name=""/>
        <dsp:cNvSpPr/>
      </dsp:nvSpPr>
      <dsp:spPr>
        <a:xfrm>
          <a:off x="1758775" y="3100762"/>
          <a:ext cx="341652" cy="399668"/>
        </a:xfrm>
        <a:prstGeom prst="mathPlus">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a:p>
      </dsp:txBody>
      <dsp:txXfrm>
        <a:off x="1758775" y="3180696"/>
        <a:ext cx="239156" cy="239800"/>
      </dsp:txXfrm>
    </dsp:sp>
    <dsp:sp modelId="{6246C26B-4A04-405E-B4D6-9F8AF7BFC9DA}">
      <dsp:nvSpPr>
        <dsp:cNvPr id="0" name=""/>
        <dsp:cNvSpPr/>
      </dsp:nvSpPr>
      <dsp:spPr>
        <a:xfrm>
          <a:off x="2261584" y="2904595"/>
          <a:ext cx="1611566" cy="792000"/>
        </a:xfrm>
        <a:prstGeom prst="roundRect">
          <a:avLst>
            <a:gd name="adj" fmla="val 1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b="1" kern="1200"/>
            <a:t>+6</a:t>
          </a:r>
          <a:r>
            <a:rPr lang="en-GB" sz="1200" kern="1200"/>
            <a:t/>
          </a:r>
          <a:br>
            <a:rPr lang="en-GB" sz="1200" kern="1200"/>
          </a:br>
          <a:r>
            <a:rPr lang="en-GB" sz="1200" kern="1200"/>
            <a:t>papers </a:t>
          </a:r>
          <a:r>
            <a:rPr lang="en-GB" sz="1050" kern="1200"/>
            <a:t>identified through NACA RER and </a:t>
          </a:r>
          <a:br>
            <a:rPr lang="en-GB" sz="1050" kern="1200"/>
          </a:br>
          <a:r>
            <a:rPr lang="en-GB" sz="1050" kern="1200"/>
            <a:t>reference lists</a:t>
          </a:r>
          <a:endParaRPr lang="en-GB" sz="1200" kern="1200"/>
        </a:p>
      </dsp:txBody>
      <dsp:txXfrm>
        <a:off x="2284781" y="2927792"/>
        <a:ext cx="1565172" cy="745606"/>
      </dsp:txXfrm>
    </dsp:sp>
    <dsp:sp modelId="{0AB3AAB9-397B-4D98-BE08-91E97B3CF926}">
      <dsp:nvSpPr>
        <dsp:cNvPr id="0" name=""/>
        <dsp:cNvSpPr/>
      </dsp:nvSpPr>
      <dsp:spPr>
        <a:xfrm>
          <a:off x="4014968" y="3100762"/>
          <a:ext cx="341652" cy="399668"/>
        </a:xfrm>
        <a:prstGeom prst="mathEqual">
          <a:avLst/>
        </a:prstGeom>
        <a:solidFill>
          <a:schemeClr val="tx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GB" sz="1050" kern="1200"/>
        </a:p>
      </dsp:txBody>
      <dsp:txXfrm>
        <a:off x="4014968" y="3180696"/>
        <a:ext cx="239156" cy="239800"/>
      </dsp:txXfrm>
    </dsp:sp>
    <dsp:sp modelId="{0D4A4F31-0791-4835-9118-E461DDA92010}">
      <dsp:nvSpPr>
        <dsp:cNvPr id="0" name=""/>
        <dsp:cNvSpPr/>
      </dsp:nvSpPr>
      <dsp:spPr>
        <a:xfrm>
          <a:off x="4517777" y="2904595"/>
          <a:ext cx="1611566" cy="792000"/>
        </a:xfrm>
        <a:prstGeom prst="roundRect">
          <a:avLst>
            <a:gd name="adj" fmla="val 10000"/>
          </a:avLst>
        </a:prstGeom>
        <a:solidFill>
          <a:schemeClr val="tx2">
            <a:lumMod val="50000"/>
          </a:schemeClr>
        </a:solidFill>
        <a:ln w="38100" cap="flat" cmpd="sng" algn="ctr">
          <a:solidFill>
            <a:schemeClr val="lt1"/>
          </a:solidFill>
          <a:prstDash val="solid"/>
        </a:ln>
        <a:effectLst>
          <a:outerShdw blurRad="40000" dist="20000" dir="5400000" rotWithShape="0">
            <a:srgbClr val="000000">
              <a:alpha val="38000"/>
            </a:srgbClr>
          </a:outerShdw>
        </a:effectLst>
      </dsp:spPr>
      <dsp:style>
        <a:lnRef idx="3">
          <a:schemeClr val="lt1"/>
        </a:lnRef>
        <a:fillRef idx="1">
          <a:schemeClr val="accent1"/>
        </a:fillRef>
        <a:effectRef idx="1">
          <a:schemeClr val="accent1"/>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b="1" kern="1200"/>
            <a:t>= 20</a:t>
          </a:r>
          <a:r>
            <a:rPr lang="en-GB" sz="1200" kern="1200"/>
            <a:t/>
          </a:r>
          <a:br>
            <a:rPr lang="en-GB" sz="1200" kern="1200"/>
          </a:br>
          <a:r>
            <a:rPr lang="en-GB" sz="1050" kern="1200"/>
            <a:t>papers in final yield, </a:t>
          </a:r>
          <a:br>
            <a:rPr lang="en-GB" sz="1050" kern="1200"/>
          </a:br>
          <a:r>
            <a:rPr lang="en-GB" sz="1050" kern="1200"/>
            <a:t>examined to determine ROB &amp; CHEERS scores</a:t>
          </a:r>
          <a:endParaRPr lang="en-GB" sz="1200" kern="1200"/>
        </a:p>
      </dsp:txBody>
      <dsp:txXfrm>
        <a:off x="4540974" y="2927792"/>
        <a:ext cx="1565172" cy="74560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HA">
      <a:dk1>
        <a:sysClr val="windowText" lastClr="000000"/>
      </a:dk1>
      <a:lt1>
        <a:sysClr val="window" lastClr="FFFFFF"/>
      </a:lt1>
      <a:dk2>
        <a:srgbClr val="0079C1"/>
      </a:dk2>
      <a:lt2>
        <a:srgbClr val="808285"/>
      </a:lt2>
      <a:accent1>
        <a:srgbClr val="71C9FF"/>
      </a:accent1>
      <a:accent2>
        <a:srgbClr val="00C4D5"/>
      </a:accent2>
      <a:accent3>
        <a:srgbClr val="00A2C1"/>
      </a:accent3>
      <a:accent4>
        <a:srgbClr val="C1C2C3"/>
      </a:accent4>
      <a:accent5>
        <a:srgbClr val="5D5E5F"/>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AAFFBA7-D51C-7946-9CDB-EE7F8AC76F9A}">
  <we:reference id="wa104380773" version="1.0.0.2" store="en-US" storeType="OMEX"/>
  <we:alternateReferences>
    <we:reference id="wa104380773" version="1.0.0.2"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BA18781-BAFE-402C-8E61-E5FD042ECFC5}">
  <we:reference id="wa104382081" version="1.7.0.0" store="en-001" storeType="OMEX"/>
  <we:alternateReferences>
    <we:reference id="wa104382081" version="1.7.0.0" store="en-001" storeType="OMEX"/>
  </we:alternateReferences>
  <we:properties>
    <we:property name="MENDELEY_CITATIONS" value="[{&quot;citationID&quot;:&quot;MENDELEY_CITATION_bb7ea592-88a9-49fd-8e73-2a8e5a08fab3&quot;,&quot;citationItems&quot;:[{&quot;id&quot;:&quot;3d8342a4-42fe-36a7-83e5-c70a1b71bac4&quot;,&quot;itemData&quot;:{&quot;type&quot;:&quot;webpage&quot;,&quot;id&quot;:&quot;3d8342a4-42fe-36a7-83e5-c70a1b71bac4&quot;,&quot;title&quot;:&quot;Classifications&quot;,&quot;author&quot;:[{&quot;family&quot;:&quot;World Health Organization&quot;,&quot;given&quot;:&quot;&quot;,&quot;parse-names&quot;:false,&quot;dropping-particle&quot;:&quot;&quot;,&quot;non-dropping-particle&quot;:&quot;&quot;}],&quot;accessed&quot;:{&quot;date-parts&quot;:[[2020,3,3]]},&quot;URL&quot;:&quot;https://www.who.int/classifications/en/&quot;,&quot;issued&quot;:{&quot;date-parts&quot;:[[2020]]}},&quot;isTemporary&quot;:false}],&quot;properties&quot;:{&quot;noteIndex&quot;:0},&quot;isEdited&quot;:false},{&quot;citationID&quot;:&quot;MENDELEY_CITATION_e4ec4d6f-ec0d-49bc-8a10-8fe83ed56493&quot;,&quot;citationItems&quot;:[{&quot;id&quot;:&quot;75f6ec72-b8a3-3ace-add5-c83870289bdf&quot;,&quot;itemData&quot;:{&quot;type&quot;:&quot;article-journal&quot;,&quot;id&quot;:&quot;75f6ec72-b8a3-3ace-add5-c83870289bdf&quot;,&quot;title&quot;:&quot;Consolidated health economic evaluation reporting standards (CHEERS)—explanation and elaboration: a report of the ISPOR health economic evaluation publication guidelines good reporting practices task force&quot;,&quot;author&quot;:[{&quot;family&quot;:&quot;Husereau&quot;,&quot;given&quot;:&quot;D&quot;,&quot;parse-names&quot;:false,&quot;dropping-particle&quot;:&quot;&quot;,&quot;non-dropping-particle&quot;:&quot;&quot;},{&quot;family&quot;:&quot;Drummond&quot;,&quot;given&quot;:&quot;M&quot;,&quot;parse-names&quot;:false,&quot;dropping-particle&quot;:&quot;&quot;,&quot;non-dropping-particle&quot;:&quot;&quot;},{&quot;family&quot;:&quot;Petrou&quot;,&quot;given&quot;:&quot;S&quot;,&quot;parse-names&quot;:false,&quot;dropping-particle&quot;:&quot;&quot;,&quot;non-dropping-particle&quot;:&quot;&quot;},{&quot;family&quot;:&quot;Carswell&quot;,&quot;given&quot;:&quot;C&quot;,&quot;parse-names&quot;:false,&quot;dropping-particle&quot;:&quot;&quot;,&quot;non-dropping-particle&quot;:&quot;&quot;},{&quot;family&quot;:&quot;Moher&quot;,&quot;given&quot;:&quot;D&quot;,&quot;parse-names&quot;:false,&quot;dropping-particle&quot;:&quot;&quot;,&quot;non-dropping-particle&quot;:&quot;&quot;},{&quot;family&quot;:&quot;Greenberg&quot;,&quot;given&quot;:&quot;D&quot;,&quot;parse-names&quot;:false,&quot;dropping-particle&quot;:&quot;&quot;,&quot;non-dropping-particle&quot;:&quot;&quot;},{&quot;family&quot;:&quot;Augustovski&quot;,&quot;given&quot;:&quot;F&quot;,&quot;parse-names&quot;:false,&quot;dropping-particle&quot;:&quot;&quot;,&quot;non-dropping-particle&quot;:&quot;&quot;},{&quot;family&quot;:&quot;Briggs&quot;,&quot;given&quot;:&quot;A&quot;,&quot;parse-names&quot;:false,&quot;dropping-particle&quot;:&quot;&quot;,&quot;non-dropping-particle&quot;:&quot;&quot;},{&quot;family&quot;:&quot;Mauskopf&quot;,&quot;given&quot;:&quot;J&quot;,&quot;parse-names&quot;:false,&quot;dropping-particle&quot;:&quot;&quot;,&quot;non-dropping-particle&quot;:&quot;&quot;},{&quot;family&quot;:&quot;Loder&quot;,&quot;given&quot;:&quot;E&quot;,&quot;parse-names&quot;:false,&quot;dropping-particle&quot;:&quot;&quot;,&quot;non-dropping-particle&quot;:&quot;&quot;}],&quot;container-title&quot;:&quot;Value in Health&quot;,&quot;issued&quot;:{&quot;date-parts&quot;:[[2013]]},&quot;page&quot;:&quot;231-250&quot;,&quot;volume&quot;:&quot;16&quot;},&quot;isTemporary&quot;:false}],&quot;properties&quot;:{&quot;noteIndex&quot;:0},&quot;isEdited&quot;:false},{&quot;citationID&quot;:&quot;MENDELEY_CITATION_173c8c1f-1d28-4ee6-b68a-6d749085df9e&quot;,&quot;citationItems&quot;:[{&quot;id&quot;:&quot;ce98d2e5-acc9-3e9f-81a3-d0a634e51a80&quot;,&quot;itemData&quot;:{&quot;type&quot;:&quot;webpage&quot;,&quot;id&quot;:&quot;ce98d2e5-acc9-3e9f-81a3-d0a634e51a80&quot;,&quot;title&quot;:&quot;Consumer Price Index, Australia, Dec 2019&quot;,&quot;author&quot;:[{&quot;family&quot;:&quot;Australian Bureau of Statistics&quot;,&quot;given&quot;:&quot;&quot;,&quot;parse-names&quot;:false,&quot;dropping-particle&quot;:&quot;&quot;,&quot;non-dropping-particle&quot;:&quot;&quot;}],&quot;accessed&quot;:{&quot;date-parts&quot;:[[2020,3,3]]},&quot;URL&quot;:&quot;https://www.abs.gov.au/ausstats/abs@.nsf/mf/6401.0&quot;,&quot;issued&quot;:{&quot;date-parts&quot;:[[2020]]}},&quot;isTemporary&quot;:false}],&quot;properties&quot;:{&quot;noteIndex&quot;:0},&quot;isEdited&quot;:fals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8F1B2147B8E24BB1E1185FC16F92C5" ma:contentTypeVersion="7" ma:contentTypeDescription="Create a new document." ma:contentTypeScope="" ma:versionID="9a70c4042eab9fe2609596600324660b">
  <xsd:schema xmlns:xsd="http://www.w3.org/2001/XMLSchema" xmlns:xs="http://www.w3.org/2001/XMLSchema" xmlns:p="http://schemas.microsoft.com/office/2006/metadata/properties" xmlns:ns2="4ea194d9-95e5-4b7a-b43c-f518b4def09e" targetNamespace="http://schemas.microsoft.com/office/2006/metadata/properties" ma:root="true" ma:fieldsID="058400598d52b69a35f96fbbff321944" ns2:_="">
    <xsd:import namespace="4ea194d9-95e5-4b7a-b43c-f518b4def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194d9-95e5-4b7a-b43c-f518b4def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FC9821-375D-400E-8B08-074BBC5F38A8}">
  <ds:schemaRefs>
    <ds:schemaRef ds:uri="http://schemas.microsoft.com/sharepoint/v3/contenttype/forms"/>
  </ds:schemaRefs>
</ds:datastoreItem>
</file>

<file path=customXml/itemProps2.xml><?xml version="1.0" encoding="utf-8"?>
<ds:datastoreItem xmlns:ds="http://schemas.openxmlformats.org/officeDocument/2006/customXml" ds:itemID="{CA6BC8D5-1C7E-414F-A12F-CFF11E696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194d9-95e5-4b7a-b43c-f518b4def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3C82A-D427-4FEB-B165-873BDF4FF920}">
  <ds:schemaRefs>
    <ds:schemaRef ds:uri="4ea194d9-95e5-4b7a-b43c-f518b4def09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F5C4BC1-6F74-4D27-873C-8F7F1DAC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75</Pages>
  <Words>26331</Words>
  <Characters>150087</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 Edsall</dc:creator>
  <cp:keywords/>
  <dc:description/>
  <cp:lastModifiedBy>ZERVOS, Nicholle</cp:lastModifiedBy>
  <cp:revision>7</cp:revision>
  <cp:lastPrinted>2021-01-08T07:40:00Z</cp:lastPrinted>
  <dcterms:created xsi:type="dcterms:W3CDTF">2021-01-11T01:17:00Z</dcterms:created>
  <dcterms:modified xsi:type="dcterms:W3CDTF">2021-01-12T03:25:00Z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http://csl.mendeley.com/styles/445132291/style-manual-australian-government</vt:lpwstr>
  </property>
  <property fmtid="{D5CDD505-2E9C-101B-9397-08002B2CF9AE}" pid="21" name="Mendeley Recent Style Name 9_1">
    <vt:lpwstr>Style Manual - Australian Government (author-date) - Tess Lethborg - AHA Consultant</vt:lpwstr>
  </property>
  <property fmtid="{D5CDD505-2E9C-101B-9397-08002B2CF9AE}" pid="22" name="Mendeley Document_1">
    <vt:lpwstr>True</vt:lpwstr>
  </property>
  <property fmtid="{D5CDD505-2E9C-101B-9397-08002B2CF9AE}" pid="23" name="Mendeley Unique User Id_1">
    <vt:lpwstr>3485e813-56a7-3dfd-8edc-5f775def8bcf</vt:lpwstr>
  </property>
  <property fmtid="{D5CDD505-2E9C-101B-9397-08002B2CF9AE}" pid="24" name="Mendeley Citation Style_1">
    <vt:lpwstr>http://csl.mendeley.com/styles/445132291/style-manual-australian-government</vt:lpwstr>
  </property>
  <property fmtid="{D5CDD505-2E9C-101B-9397-08002B2CF9AE}" pid="25" name="ContentTypeId">
    <vt:lpwstr>0x010100118F1B2147B8E24BB1E1185FC16F92C5</vt:lpwstr>
  </property>
</Properties>
</file>