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6786" w:val="left" w:leader="none"/>
        </w:tabs>
        <w:spacing w:line="240" w:lineRule="auto"/>
        <w:ind w:left="124" w:right="0" w:firstLine="0"/>
        <w:rPr>
          <w:rFonts w:ascii="Times New Roman"/>
          <w:sz w:val="20"/>
        </w:rPr>
      </w:pPr>
      <w:r>
        <w:rPr>
          <w:rFonts w:ascii="Times New Roman"/>
          <w:sz w:val="20"/>
        </w:rPr>
        <w:drawing>
          <wp:inline distT="0" distB="0" distL="0" distR="0">
            <wp:extent cx="3524421" cy="98240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524421" cy="982408"/>
                    </a:xfrm>
                    <a:prstGeom prst="rect">
                      <a:avLst/>
                    </a:prstGeom>
                  </pic:spPr>
                </pic:pic>
              </a:graphicData>
            </a:graphic>
          </wp:inline>
        </w:drawing>
      </w:r>
      <w:r>
        <w:rPr>
          <w:rFonts w:ascii="Times New Roman"/>
          <w:sz w:val="20"/>
        </w:rPr>
      </w:r>
      <w:r>
        <w:rPr>
          <w:rFonts w:ascii="Times New Roman"/>
          <w:sz w:val="20"/>
        </w:rPr>
        <w:tab/>
      </w:r>
      <w:r>
        <w:rPr>
          <w:rFonts w:ascii="Times New Roman"/>
          <w:position w:val="51"/>
          <w:sz w:val="20"/>
        </w:rPr>
        <w:drawing>
          <wp:inline distT="0" distB="0" distL="0" distR="0">
            <wp:extent cx="1500493" cy="451103"/>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00493" cy="451103"/>
                    </a:xfrm>
                    <a:prstGeom prst="rect">
                      <a:avLst/>
                    </a:prstGeom>
                  </pic:spPr>
                </pic:pic>
              </a:graphicData>
            </a:graphic>
          </wp:inline>
        </w:drawing>
      </w:r>
      <w:r>
        <w:rPr>
          <w:rFonts w:ascii="Times New Roman"/>
          <w:position w:val="51"/>
          <w:sz w:val="20"/>
        </w:rPr>
      </w: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spacing w:before="100"/>
        <w:ind w:left="108" w:right="0" w:firstLine="0"/>
        <w:jc w:val="left"/>
        <w:rPr>
          <w:rFonts w:ascii="Trebuchet MS"/>
          <w:sz w:val="44"/>
        </w:rPr>
      </w:pPr>
      <w:r>
        <w:rPr>
          <w:rFonts w:ascii="Trebuchet MS"/>
          <w:color w:val="007CC5"/>
          <w:sz w:val="44"/>
        </w:rPr>
        <w:t>Updated Report</w:t>
      </w:r>
    </w:p>
    <w:p>
      <w:pPr>
        <w:pStyle w:val="BodyText"/>
        <w:rPr>
          <w:rFonts w:ascii="Trebuchet MS"/>
          <w:sz w:val="44"/>
        </w:rPr>
      </w:pPr>
    </w:p>
    <w:p>
      <w:pPr>
        <w:spacing w:before="0"/>
        <w:ind w:left="107" w:right="0" w:firstLine="0"/>
        <w:jc w:val="left"/>
        <w:rPr>
          <w:rFonts w:ascii="Trebuchet MS"/>
          <w:sz w:val="44"/>
        </w:rPr>
      </w:pPr>
      <w:r>
        <w:rPr>
          <w:rFonts w:ascii="Trebuchet MS"/>
          <w:color w:val="007CC5"/>
          <w:sz w:val="44"/>
        </w:rPr>
        <w:t>Post-market validation of a further three serological assays for COVID-19</w:t>
      </w:r>
    </w:p>
    <w:p>
      <w:pPr>
        <w:pStyle w:val="BodyText"/>
        <w:spacing w:before="4"/>
        <w:rPr>
          <w:rFonts w:ascii="Trebuchet MS"/>
          <w:sz w:val="50"/>
        </w:rPr>
      </w:pPr>
    </w:p>
    <w:p>
      <w:pPr>
        <w:pStyle w:val="BodyText"/>
        <w:ind w:left="120"/>
        <w:rPr>
          <w:rFonts w:ascii="Gill Sans MT"/>
        </w:rPr>
      </w:pPr>
      <w:r>
        <w:rPr>
          <w:rFonts w:ascii="Gill Sans MT"/>
          <w:color w:val="007CC5"/>
          <w:w w:val="110"/>
        </w:rPr>
        <w:t>2 February 2021</w:t>
      </w:r>
    </w:p>
    <w:p>
      <w:pPr>
        <w:pStyle w:val="BodyText"/>
        <w:rPr>
          <w:rFonts w:ascii="Gill Sans MT"/>
          <w:sz w:val="28"/>
        </w:rPr>
      </w:pPr>
    </w:p>
    <w:p>
      <w:pPr>
        <w:pStyle w:val="BodyText"/>
        <w:rPr>
          <w:rFonts w:ascii="Gill Sans MT"/>
          <w:sz w:val="28"/>
        </w:rPr>
      </w:pPr>
    </w:p>
    <w:p>
      <w:pPr>
        <w:pStyle w:val="BodyText"/>
        <w:spacing w:before="172"/>
        <w:ind w:left="120"/>
        <w:rPr>
          <w:rFonts w:ascii="Gill Sans MT"/>
        </w:rPr>
      </w:pPr>
      <w:r>
        <w:rPr>
          <w:rFonts w:ascii="Gill Sans MT"/>
          <w:color w:val="007CC5"/>
          <w:w w:val="110"/>
        </w:rPr>
        <w:t>Report prepared for:</w:t>
      </w:r>
    </w:p>
    <w:p>
      <w:pPr>
        <w:pStyle w:val="BodyText"/>
        <w:rPr>
          <w:rFonts w:ascii="Gill Sans MT"/>
          <w:sz w:val="28"/>
        </w:rPr>
      </w:pPr>
    </w:p>
    <w:p>
      <w:pPr>
        <w:pStyle w:val="BodyText"/>
        <w:spacing w:line="405" w:lineRule="auto" w:before="234"/>
        <w:ind w:left="120" w:right="2607"/>
      </w:pPr>
      <w:r>
        <w:rPr/>
        <w:t>Office of Health Protection, Commonwealth Government of Australia The Therapeutics Goods Administration (TGA) of Australia</w:t>
      </w:r>
    </w:p>
    <w:p>
      <w:pPr>
        <w:pStyle w:val="BodyText"/>
        <w:spacing w:before="1"/>
        <w:rPr>
          <w:sz w:val="28"/>
        </w:rPr>
      </w:pPr>
    </w:p>
    <w:p>
      <w:pPr>
        <w:pStyle w:val="BodyText"/>
        <w:ind w:left="120"/>
        <w:rPr>
          <w:rFonts w:ascii="Gill Sans MT"/>
        </w:rPr>
      </w:pPr>
      <w:r>
        <w:rPr>
          <w:rFonts w:ascii="Gill Sans MT"/>
          <w:color w:val="007CC5"/>
          <w:w w:val="110"/>
        </w:rPr>
        <w:t>Report prepared by:</w:t>
      </w:r>
    </w:p>
    <w:p>
      <w:pPr>
        <w:pStyle w:val="BodyText"/>
        <w:rPr>
          <w:rFonts w:ascii="Gill Sans MT"/>
          <w:sz w:val="28"/>
        </w:rPr>
      </w:pPr>
    </w:p>
    <w:p>
      <w:pPr>
        <w:pStyle w:val="BodyText"/>
        <w:spacing w:line="405" w:lineRule="auto" w:before="237"/>
        <w:ind w:left="120" w:right="7844"/>
      </w:pPr>
      <w:r>
        <w:rPr/>
        <w:t>Mr Wayne Dimech Ms Shannon </w:t>
      </w:r>
      <w:r>
        <w:rPr>
          <w:spacing w:val="-4"/>
        </w:rPr>
        <w:t>Curley </w:t>
      </w:r>
      <w:r>
        <w:rPr/>
        <w:t>Dr Katherine Bond Ms Tuyet Hoang Dr Mike</w:t>
      </w:r>
      <w:r>
        <w:rPr>
          <w:spacing w:val="-4"/>
        </w:rPr>
        <w:t> </w:t>
      </w:r>
      <w:r>
        <w:rPr/>
        <w:t>Catton</w:t>
      </w:r>
    </w:p>
    <w:p>
      <w:pPr>
        <w:pStyle w:val="BodyText"/>
        <w:spacing w:line="405" w:lineRule="auto"/>
        <w:ind w:left="120" w:right="6671"/>
      </w:pPr>
      <w:r>
        <w:rPr/>
        <w:t>Professor Benjamin Howden Professor Deborah Williamson</w:t>
      </w:r>
    </w:p>
    <w:p>
      <w:pPr>
        <w:spacing w:after="0" w:line="405" w:lineRule="auto"/>
        <w:sectPr>
          <w:type w:val="continuous"/>
          <w:pgSz w:w="11910" w:h="16840"/>
          <w:pgMar w:top="660" w:bottom="280" w:left="1320" w:right="580"/>
        </w:sectPr>
      </w:pPr>
    </w:p>
    <w:p>
      <w:pPr>
        <w:pStyle w:val="BodyText"/>
        <w:spacing w:before="6"/>
        <w:rPr>
          <w:sz w:val="28"/>
        </w:rPr>
      </w:pPr>
    </w:p>
    <w:p>
      <w:pPr>
        <w:spacing w:before="101"/>
        <w:ind w:left="120" w:right="0" w:firstLine="0"/>
        <w:jc w:val="left"/>
        <w:rPr>
          <w:rFonts w:ascii="Trebuchet MS"/>
          <w:sz w:val="30"/>
        </w:rPr>
      </w:pPr>
      <w:r>
        <w:rPr>
          <w:rFonts w:ascii="Trebuchet MS"/>
          <w:color w:val="007CC5"/>
          <w:sz w:val="30"/>
        </w:rPr>
        <w:t>Contents</w:t>
      </w:r>
    </w:p>
    <w:sdt>
      <w:sdtPr>
        <w:docPartObj>
          <w:docPartGallery w:val="Table of Contents"/>
          <w:docPartUnique/>
        </w:docPartObj>
      </w:sdtPr>
      <w:sdtEndPr/>
      <w:sdtContent>
        <w:p>
          <w:pPr>
            <w:pStyle w:val="TOC1"/>
            <w:tabs>
              <w:tab w:pos="9138" w:val="right" w:leader="dot"/>
            </w:tabs>
            <w:spacing w:before="39"/>
            <w:ind w:left="120" w:firstLine="0"/>
          </w:pPr>
          <w:hyperlink w:history="true" w:anchor="_bookmark0">
            <w:r>
              <w:rPr/>
              <w:t>Executive</w:t>
            </w:r>
            <w:r>
              <w:rPr>
                <w:spacing w:val="-2"/>
              </w:rPr>
              <w:t> </w:t>
            </w:r>
            <w:r>
              <w:rPr/>
              <w:t>Summary</w:t>
              <w:tab/>
              <w:t>3</w:t>
            </w:r>
          </w:hyperlink>
        </w:p>
        <w:p>
          <w:pPr>
            <w:pStyle w:val="TOC1"/>
            <w:numPr>
              <w:ilvl w:val="0"/>
              <w:numId w:val="1"/>
            </w:numPr>
            <w:tabs>
              <w:tab w:pos="559" w:val="left" w:leader="none"/>
              <w:tab w:pos="560" w:val="left" w:leader="none"/>
              <w:tab w:pos="9139" w:val="right" w:leader="dot"/>
            </w:tabs>
            <w:spacing w:line="240" w:lineRule="auto" w:before="98" w:after="0"/>
            <w:ind w:left="559" w:right="0" w:hanging="440"/>
            <w:jc w:val="left"/>
          </w:pPr>
          <w:hyperlink w:history="true" w:anchor="_bookmark1">
            <w:r>
              <w:rPr/>
              <w:t>Introduction</w:t>
              <w:tab/>
              <w:t>4</w:t>
            </w:r>
          </w:hyperlink>
        </w:p>
        <w:p>
          <w:pPr>
            <w:pStyle w:val="TOC1"/>
            <w:numPr>
              <w:ilvl w:val="0"/>
              <w:numId w:val="1"/>
            </w:numPr>
            <w:tabs>
              <w:tab w:pos="560" w:val="left" w:leader="none"/>
              <w:tab w:pos="561" w:val="left" w:leader="none"/>
              <w:tab w:pos="9139" w:val="right" w:leader="dot"/>
            </w:tabs>
            <w:spacing w:line="240" w:lineRule="auto" w:before="101" w:after="0"/>
            <w:ind w:left="560" w:right="0" w:hanging="440"/>
            <w:jc w:val="left"/>
          </w:pPr>
          <w:hyperlink w:history="true" w:anchor="_bookmark2">
            <w:r>
              <w:rPr/>
              <w:t>Methods</w:t>
              <w:tab/>
              <w:t>5</w:t>
            </w:r>
          </w:hyperlink>
        </w:p>
        <w:p>
          <w:pPr>
            <w:pStyle w:val="TOC2"/>
            <w:numPr>
              <w:ilvl w:val="1"/>
              <w:numId w:val="1"/>
            </w:numPr>
            <w:tabs>
              <w:tab w:pos="1002" w:val="left" w:leader="none"/>
              <w:tab w:pos="1003" w:val="left" w:leader="none"/>
              <w:tab w:pos="9139" w:val="right" w:leader="dot"/>
            </w:tabs>
            <w:spacing w:line="240" w:lineRule="auto" w:before="101" w:after="0"/>
            <w:ind w:left="1002" w:right="0" w:hanging="661"/>
            <w:jc w:val="left"/>
          </w:pPr>
          <w:hyperlink w:history="true" w:anchor="_bookmark3">
            <w:r>
              <w:rPr/>
              <w:t>Establishment of patient cohorts and</w:t>
            </w:r>
            <w:r>
              <w:rPr>
                <w:spacing w:val="-9"/>
              </w:rPr>
              <w:t> </w:t>
            </w:r>
            <w:r>
              <w:rPr/>
              <w:t>serum</w:t>
            </w:r>
            <w:r>
              <w:rPr>
                <w:spacing w:val="-1"/>
              </w:rPr>
              <w:t> </w:t>
            </w:r>
            <w:r>
              <w:rPr/>
              <w:t>samples</w:t>
              <w:tab/>
              <w:t>5</w:t>
            </w:r>
          </w:hyperlink>
        </w:p>
        <w:p>
          <w:pPr>
            <w:pStyle w:val="TOC2"/>
            <w:numPr>
              <w:ilvl w:val="1"/>
              <w:numId w:val="1"/>
            </w:numPr>
            <w:tabs>
              <w:tab w:pos="1002" w:val="left" w:leader="none"/>
              <w:tab w:pos="1003" w:val="left" w:leader="none"/>
              <w:tab w:pos="9140" w:val="right" w:leader="dot"/>
            </w:tabs>
            <w:spacing w:line="240" w:lineRule="auto" w:before="99" w:after="0"/>
            <w:ind w:left="1002" w:right="0" w:hanging="661"/>
            <w:jc w:val="left"/>
          </w:pPr>
          <w:hyperlink w:history="true" w:anchor="_bookmark4">
            <w:r>
              <w:rPr/>
              <w:t>Test</w:t>
            </w:r>
            <w:r>
              <w:rPr>
                <w:spacing w:val="-2"/>
              </w:rPr>
              <w:t> </w:t>
            </w:r>
            <w:r>
              <w:rPr/>
              <w:t>Kits</w:t>
              <w:tab/>
              <w:t>7</w:t>
            </w:r>
          </w:hyperlink>
        </w:p>
        <w:p>
          <w:pPr>
            <w:pStyle w:val="TOC2"/>
            <w:numPr>
              <w:ilvl w:val="1"/>
              <w:numId w:val="1"/>
            </w:numPr>
            <w:tabs>
              <w:tab w:pos="1002" w:val="left" w:leader="none"/>
              <w:tab w:pos="1003" w:val="left" w:leader="none"/>
              <w:tab w:pos="9141" w:val="right" w:leader="dot"/>
            </w:tabs>
            <w:spacing w:line="240" w:lineRule="auto" w:before="101" w:after="0"/>
            <w:ind w:left="1002" w:right="0" w:hanging="660"/>
            <w:jc w:val="left"/>
          </w:pPr>
          <w:hyperlink w:history="true" w:anchor="_bookmark5">
            <w:r>
              <w:rPr/>
              <w:t>Testing</w:t>
            </w:r>
            <w:r>
              <w:rPr>
                <w:spacing w:val="-2"/>
              </w:rPr>
              <w:t> </w:t>
            </w:r>
            <w:r>
              <w:rPr/>
              <w:t>protocol</w:t>
              <w:tab/>
              <w:t>10</w:t>
            </w:r>
          </w:hyperlink>
        </w:p>
        <w:p>
          <w:pPr>
            <w:pStyle w:val="TOC2"/>
            <w:numPr>
              <w:ilvl w:val="1"/>
              <w:numId w:val="1"/>
            </w:numPr>
            <w:tabs>
              <w:tab w:pos="1003" w:val="left" w:leader="none"/>
              <w:tab w:pos="1004" w:val="left" w:leader="none"/>
              <w:tab w:pos="9142" w:val="right" w:leader="dot"/>
            </w:tabs>
            <w:spacing w:line="240" w:lineRule="auto" w:before="99" w:after="0"/>
            <w:ind w:left="1003" w:right="0" w:hanging="661"/>
            <w:jc w:val="left"/>
          </w:pPr>
          <w:hyperlink w:history="true" w:anchor="_bookmark6">
            <w:r>
              <w:rPr/>
              <w:t>Statistical</w:t>
            </w:r>
            <w:r>
              <w:rPr>
                <w:spacing w:val="-2"/>
              </w:rPr>
              <w:t> </w:t>
            </w:r>
            <w:r>
              <w:rPr/>
              <w:t>analysis</w:t>
              <w:tab/>
              <w:t>10</w:t>
            </w:r>
          </w:hyperlink>
        </w:p>
        <w:p>
          <w:pPr>
            <w:pStyle w:val="TOC2"/>
            <w:numPr>
              <w:ilvl w:val="1"/>
              <w:numId w:val="1"/>
            </w:numPr>
            <w:tabs>
              <w:tab w:pos="1003" w:val="left" w:leader="none"/>
              <w:tab w:pos="1004" w:val="left" w:leader="none"/>
              <w:tab w:pos="9142" w:val="right" w:leader="dot"/>
            </w:tabs>
            <w:spacing w:line="240" w:lineRule="auto" w:before="101" w:after="0"/>
            <w:ind w:left="1003" w:right="0" w:hanging="661"/>
            <w:jc w:val="left"/>
          </w:pPr>
          <w:hyperlink w:history="true" w:anchor="_bookmark7">
            <w:r>
              <w:rPr/>
              <w:t>Ethics</w:t>
              <w:tab/>
              <w:t>12</w:t>
            </w:r>
          </w:hyperlink>
        </w:p>
        <w:p>
          <w:pPr>
            <w:pStyle w:val="TOC1"/>
            <w:numPr>
              <w:ilvl w:val="0"/>
              <w:numId w:val="1"/>
            </w:numPr>
            <w:tabs>
              <w:tab w:pos="562" w:val="left" w:leader="none"/>
              <w:tab w:pos="563" w:val="left" w:leader="none"/>
              <w:tab w:pos="9142" w:val="right" w:leader="dot"/>
            </w:tabs>
            <w:spacing w:line="240" w:lineRule="auto" w:before="99" w:after="0"/>
            <w:ind w:left="562" w:right="0" w:hanging="440"/>
            <w:jc w:val="left"/>
          </w:pPr>
          <w:hyperlink w:history="true" w:anchor="_bookmark8">
            <w:r>
              <w:rPr/>
              <w:t>Results</w:t>
              <w:tab/>
              <w:t>12</w:t>
            </w:r>
          </w:hyperlink>
        </w:p>
        <w:p>
          <w:pPr>
            <w:pStyle w:val="TOC2"/>
            <w:numPr>
              <w:ilvl w:val="1"/>
              <w:numId w:val="1"/>
            </w:numPr>
            <w:tabs>
              <w:tab w:pos="1004" w:val="left" w:leader="none"/>
              <w:tab w:pos="1005" w:val="left" w:leader="none"/>
              <w:tab w:pos="9143" w:val="right" w:leader="dot"/>
            </w:tabs>
            <w:spacing w:line="240" w:lineRule="auto" w:before="101" w:after="0"/>
            <w:ind w:left="1004" w:right="0" w:hanging="661"/>
            <w:jc w:val="left"/>
          </w:pPr>
          <w:hyperlink w:history="true" w:anchor="_bookmark9">
            <w:r>
              <w:rPr/>
              <w:t>Clinical</w:t>
            </w:r>
            <w:r>
              <w:rPr>
                <w:spacing w:val="-2"/>
              </w:rPr>
              <w:t> </w:t>
            </w:r>
            <w:r>
              <w:rPr/>
              <w:t>sensitivity analysis</w:t>
              <w:tab/>
              <w:t>12</w:t>
            </w:r>
          </w:hyperlink>
        </w:p>
        <w:p>
          <w:pPr>
            <w:pStyle w:val="TOC2"/>
            <w:numPr>
              <w:ilvl w:val="1"/>
              <w:numId w:val="1"/>
            </w:numPr>
            <w:tabs>
              <w:tab w:pos="1005" w:val="left" w:leader="none"/>
              <w:tab w:pos="1006" w:val="left" w:leader="none"/>
              <w:tab w:pos="9143" w:val="right" w:leader="dot"/>
            </w:tabs>
            <w:spacing w:line="240" w:lineRule="auto" w:before="101" w:after="0"/>
            <w:ind w:left="1005" w:right="0" w:hanging="661"/>
            <w:jc w:val="left"/>
          </w:pPr>
          <w:hyperlink w:history="true" w:anchor="_bookmark10">
            <w:r>
              <w:rPr/>
              <w:t>Clinical</w:t>
            </w:r>
            <w:r>
              <w:rPr>
                <w:spacing w:val="-2"/>
              </w:rPr>
              <w:t> </w:t>
            </w:r>
            <w:r>
              <w:rPr/>
              <w:t>specificity analysis</w:t>
              <w:tab/>
              <w:t>15</w:t>
            </w:r>
          </w:hyperlink>
        </w:p>
        <w:p>
          <w:pPr>
            <w:pStyle w:val="TOC2"/>
            <w:numPr>
              <w:ilvl w:val="1"/>
              <w:numId w:val="2"/>
            </w:numPr>
            <w:tabs>
              <w:tab w:pos="1005" w:val="left" w:leader="none"/>
              <w:tab w:pos="1006" w:val="left" w:leader="none"/>
              <w:tab w:pos="9144" w:val="right" w:leader="dot"/>
            </w:tabs>
            <w:spacing w:line="240" w:lineRule="auto" w:before="98" w:after="0"/>
            <w:ind w:left="1005" w:right="0" w:hanging="661"/>
            <w:jc w:val="left"/>
          </w:pPr>
          <w:hyperlink w:history="true" w:anchor="_bookmark11">
            <w:r>
              <w:rPr/>
              <w:t>Analytical</w:t>
            </w:r>
            <w:r>
              <w:rPr>
                <w:spacing w:val="-2"/>
              </w:rPr>
              <w:t> </w:t>
            </w:r>
            <w:r>
              <w:rPr/>
              <w:t>Specificity</w:t>
              <w:tab/>
              <w:t>15</w:t>
            </w:r>
          </w:hyperlink>
        </w:p>
        <w:p>
          <w:pPr>
            <w:pStyle w:val="TOC2"/>
            <w:numPr>
              <w:ilvl w:val="1"/>
              <w:numId w:val="2"/>
            </w:numPr>
            <w:tabs>
              <w:tab w:pos="1005" w:val="left" w:leader="none"/>
              <w:tab w:pos="1006" w:val="left" w:leader="none"/>
              <w:tab w:pos="9144" w:val="right" w:leader="dot"/>
            </w:tabs>
            <w:spacing w:line="240" w:lineRule="auto" w:before="101" w:after="0"/>
            <w:ind w:left="1005" w:right="0" w:hanging="661"/>
            <w:jc w:val="left"/>
          </w:pPr>
          <w:hyperlink w:history="true" w:anchor="_bookmark12">
            <w:r>
              <w:rPr/>
              <w:t>Lot to</w:t>
            </w:r>
            <w:r>
              <w:rPr>
                <w:spacing w:val="-2"/>
              </w:rPr>
              <w:t> </w:t>
            </w:r>
            <w:r>
              <w:rPr/>
              <w:t>lot</w:t>
            </w:r>
            <w:r>
              <w:rPr>
                <w:spacing w:val="-1"/>
              </w:rPr>
              <w:t> </w:t>
            </w:r>
            <w:r>
              <w:rPr/>
              <w:t>analysis</w:t>
              <w:tab/>
              <w:t>16</w:t>
            </w:r>
          </w:hyperlink>
        </w:p>
        <w:p>
          <w:pPr>
            <w:pStyle w:val="TOC1"/>
            <w:numPr>
              <w:ilvl w:val="0"/>
              <w:numId w:val="1"/>
            </w:numPr>
            <w:tabs>
              <w:tab w:pos="564" w:val="left" w:leader="none"/>
              <w:tab w:pos="565" w:val="left" w:leader="none"/>
              <w:tab w:pos="9144" w:val="right" w:leader="dot"/>
            </w:tabs>
            <w:spacing w:line="240" w:lineRule="auto" w:before="99" w:after="0"/>
            <w:ind w:left="564" w:right="0" w:hanging="440"/>
            <w:jc w:val="left"/>
          </w:pPr>
          <w:hyperlink w:history="true" w:anchor="_bookmark13">
            <w:r>
              <w:rPr/>
              <w:t>Discussion</w:t>
              <w:tab/>
              <w:t>18</w:t>
            </w:r>
          </w:hyperlink>
        </w:p>
        <w:p>
          <w:pPr>
            <w:pStyle w:val="TOC1"/>
            <w:numPr>
              <w:ilvl w:val="0"/>
              <w:numId w:val="1"/>
            </w:numPr>
            <w:tabs>
              <w:tab w:pos="564" w:val="left" w:leader="none"/>
              <w:tab w:pos="565" w:val="left" w:leader="none"/>
              <w:tab w:pos="9145" w:val="right" w:leader="dot"/>
            </w:tabs>
            <w:spacing w:line="240" w:lineRule="auto" w:before="101" w:after="0"/>
            <w:ind w:left="564" w:right="0" w:hanging="440"/>
            <w:jc w:val="left"/>
          </w:pPr>
          <w:hyperlink w:history="true" w:anchor="_bookmark14">
            <w:r>
              <w:rPr/>
              <w:t>Acknowledgements</w:t>
              <w:tab/>
              <w:t>18</w:t>
            </w:r>
          </w:hyperlink>
        </w:p>
        <w:p>
          <w:pPr>
            <w:pStyle w:val="TOC1"/>
            <w:numPr>
              <w:ilvl w:val="0"/>
              <w:numId w:val="1"/>
            </w:numPr>
            <w:tabs>
              <w:tab w:pos="565" w:val="left" w:leader="none"/>
              <w:tab w:pos="566" w:val="left" w:leader="none"/>
              <w:tab w:pos="9145" w:val="right" w:leader="dot"/>
            </w:tabs>
            <w:spacing w:line="240" w:lineRule="auto" w:before="101" w:after="0"/>
            <w:ind w:left="565" w:right="0" w:hanging="440"/>
            <w:jc w:val="left"/>
          </w:pPr>
          <w:hyperlink w:history="true" w:anchor="_bookmark15">
            <w:r>
              <w:rPr/>
              <w:t>References</w:t>
              <w:tab/>
              <w:t>19</w:t>
            </w:r>
          </w:hyperlink>
        </w:p>
      </w:sdtContent>
    </w:sdt>
    <w:p>
      <w:pPr>
        <w:spacing w:after="0" w:line="240" w:lineRule="auto"/>
        <w:jc w:val="left"/>
        <w:sectPr>
          <w:headerReference w:type="default" r:id="rId7"/>
          <w:footerReference w:type="default" r:id="rId8"/>
          <w:pgSz w:w="11910" w:h="16840"/>
          <w:pgMar w:header="1042" w:footer="764" w:top="4180" w:bottom="960" w:left="1320" w:right="580"/>
          <w:pgNumType w:start="2"/>
        </w:sectPr>
      </w:pPr>
    </w:p>
    <w:p>
      <w:pPr>
        <w:pStyle w:val="BodyText"/>
        <w:spacing w:before="11"/>
        <w:rPr>
          <w:sz w:val="35"/>
        </w:rPr>
      </w:pPr>
    </w:p>
    <w:p>
      <w:pPr>
        <w:pStyle w:val="Heading1"/>
        <w:ind w:left="120" w:firstLine="0"/>
        <w:jc w:val="both"/>
      </w:pPr>
      <w:bookmarkStart w:name="Executive Summary" w:id="1"/>
      <w:bookmarkEnd w:id="1"/>
      <w:r>
        <w:rPr/>
      </w:r>
      <w:bookmarkStart w:name="_bookmark0" w:id="2"/>
      <w:bookmarkEnd w:id="2"/>
      <w:r>
        <w:rPr/>
      </w:r>
      <w:r>
        <w:rPr>
          <w:color w:val="007CC5"/>
        </w:rPr>
        <w:t>Executive Summary</w:t>
      </w:r>
    </w:p>
    <w:p>
      <w:pPr>
        <w:pStyle w:val="BodyText"/>
        <w:spacing w:before="9"/>
        <w:rPr>
          <w:rFonts w:ascii="Trebuchet MS"/>
          <w:sz w:val="46"/>
        </w:rPr>
      </w:pPr>
    </w:p>
    <w:p>
      <w:pPr>
        <w:pStyle w:val="BodyText"/>
        <w:spacing w:line="360" w:lineRule="auto"/>
        <w:ind w:left="120" w:right="855"/>
        <w:jc w:val="both"/>
      </w:pPr>
      <w:r>
        <w:rPr/>
        <w:t>Here,</w:t>
      </w:r>
      <w:r>
        <w:rPr>
          <w:spacing w:val="-9"/>
        </w:rPr>
        <w:t> </w:t>
      </w:r>
      <w:r>
        <w:rPr/>
        <w:t>we</w:t>
      </w:r>
      <w:r>
        <w:rPr>
          <w:spacing w:val="-10"/>
        </w:rPr>
        <w:t> </w:t>
      </w:r>
      <w:r>
        <w:rPr/>
        <w:t>present</w:t>
      </w:r>
      <w:r>
        <w:rPr>
          <w:spacing w:val="-8"/>
        </w:rPr>
        <w:t> </w:t>
      </w:r>
      <w:r>
        <w:rPr/>
        <w:t>results</w:t>
      </w:r>
      <w:r>
        <w:rPr>
          <w:spacing w:val="-10"/>
        </w:rPr>
        <w:t> </w:t>
      </w:r>
      <w:r>
        <w:rPr/>
        <w:t>of</w:t>
      </w:r>
      <w:r>
        <w:rPr>
          <w:spacing w:val="-9"/>
        </w:rPr>
        <w:t> </w:t>
      </w:r>
      <w:r>
        <w:rPr/>
        <w:t>post-market</w:t>
      </w:r>
      <w:r>
        <w:rPr>
          <w:spacing w:val="-9"/>
        </w:rPr>
        <w:t> </w:t>
      </w:r>
      <w:r>
        <w:rPr/>
        <w:t>validation</w:t>
      </w:r>
      <w:r>
        <w:rPr>
          <w:spacing w:val="-7"/>
        </w:rPr>
        <w:t> </w:t>
      </w:r>
      <w:r>
        <w:rPr/>
        <w:t>of</w:t>
      </w:r>
      <w:r>
        <w:rPr>
          <w:spacing w:val="-10"/>
        </w:rPr>
        <w:t> </w:t>
      </w:r>
      <w:r>
        <w:rPr/>
        <w:t>a</w:t>
      </w:r>
      <w:r>
        <w:rPr>
          <w:spacing w:val="-9"/>
        </w:rPr>
        <w:t> </w:t>
      </w:r>
      <w:r>
        <w:rPr/>
        <w:t>further</w:t>
      </w:r>
      <w:r>
        <w:rPr>
          <w:spacing w:val="-8"/>
        </w:rPr>
        <w:t> </w:t>
      </w:r>
      <w:r>
        <w:rPr/>
        <w:t>three</w:t>
      </w:r>
      <w:r>
        <w:rPr>
          <w:spacing w:val="-10"/>
        </w:rPr>
        <w:t> </w:t>
      </w:r>
      <w:r>
        <w:rPr/>
        <w:t>serological</w:t>
      </w:r>
      <w:r>
        <w:rPr>
          <w:spacing w:val="-9"/>
        </w:rPr>
        <w:t> </w:t>
      </w:r>
      <w:r>
        <w:rPr/>
        <w:t>assays for the detection of SARS-CoV-2. Previous post-market evaluations were undertaken by the Doherty Institute on a cohort of stored serum prior to the COVID-19 outbreak in Australia, and on samples of serum specimens collected from patients with SARS- CoV-2 infection confirmed by molecular testing. Previous reports were issued in April, June, August, September and October 2020. In September 2020, the Doherty</w:t>
      </w:r>
      <w:r>
        <w:rPr>
          <w:spacing w:val="-43"/>
        </w:rPr>
        <w:t> </w:t>
      </w:r>
      <w:r>
        <w:rPr/>
        <w:t>Institute established</w:t>
      </w:r>
      <w:r>
        <w:rPr>
          <w:spacing w:val="-9"/>
        </w:rPr>
        <w:t> </w:t>
      </w:r>
      <w:r>
        <w:rPr/>
        <w:t>a</w:t>
      </w:r>
      <w:r>
        <w:rPr>
          <w:spacing w:val="-11"/>
        </w:rPr>
        <w:t> </w:t>
      </w:r>
      <w:r>
        <w:rPr/>
        <w:t>collaboration</w:t>
      </w:r>
      <w:r>
        <w:rPr>
          <w:spacing w:val="-11"/>
        </w:rPr>
        <w:t> </w:t>
      </w:r>
      <w:r>
        <w:rPr/>
        <w:t>with</w:t>
      </w:r>
      <w:r>
        <w:rPr>
          <w:spacing w:val="-11"/>
        </w:rPr>
        <w:t> </w:t>
      </w:r>
      <w:r>
        <w:rPr/>
        <w:t>the</w:t>
      </w:r>
      <w:r>
        <w:rPr>
          <w:spacing w:val="-11"/>
        </w:rPr>
        <w:t> </w:t>
      </w:r>
      <w:r>
        <w:rPr/>
        <w:t>National</w:t>
      </w:r>
      <w:r>
        <w:rPr>
          <w:spacing w:val="-10"/>
        </w:rPr>
        <w:t> </w:t>
      </w:r>
      <w:r>
        <w:rPr/>
        <w:t>Serology</w:t>
      </w:r>
      <w:r>
        <w:rPr>
          <w:spacing w:val="-13"/>
        </w:rPr>
        <w:t> </w:t>
      </w:r>
      <w:r>
        <w:rPr/>
        <w:t>Reference</w:t>
      </w:r>
      <w:r>
        <w:rPr>
          <w:spacing w:val="-10"/>
        </w:rPr>
        <w:t> </w:t>
      </w:r>
      <w:r>
        <w:rPr/>
        <w:t>Laboratory,</w:t>
      </w:r>
      <w:r>
        <w:rPr>
          <w:spacing w:val="-10"/>
        </w:rPr>
        <w:t> </w:t>
      </w:r>
      <w:r>
        <w:rPr/>
        <w:t>Australia (NRL) to undertake future post-market evaluations using a different set of samples. The new panel of specimens have high volume, are well-characterised and will allow for comparison of performance across test kits. The first NRL report was published in January</w:t>
      </w:r>
      <w:r>
        <w:rPr>
          <w:spacing w:val="-3"/>
        </w:rPr>
        <w:t> </w:t>
      </w:r>
      <w:r>
        <w:rPr/>
        <w:t>2021.</w:t>
      </w:r>
    </w:p>
    <w:p>
      <w:pPr>
        <w:pStyle w:val="BodyText"/>
        <w:spacing w:line="360" w:lineRule="auto" w:before="219"/>
        <w:ind w:left="120" w:right="857"/>
        <w:jc w:val="both"/>
      </w:pPr>
      <w:r>
        <w:rPr/>
        <w:t>It must be noted that the panel of specimens used in this study have some fundamental</w:t>
      </w:r>
      <w:r>
        <w:rPr>
          <w:spacing w:val="-15"/>
        </w:rPr>
        <w:t> </w:t>
      </w:r>
      <w:r>
        <w:rPr/>
        <w:t>differences</w:t>
      </w:r>
      <w:r>
        <w:rPr>
          <w:spacing w:val="-14"/>
        </w:rPr>
        <w:t> </w:t>
      </w:r>
      <w:r>
        <w:rPr/>
        <w:t>to</w:t>
      </w:r>
      <w:r>
        <w:rPr>
          <w:spacing w:val="-13"/>
        </w:rPr>
        <w:t> </w:t>
      </w:r>
      <w:r>
        <w:rPr/>
        <w:t>those</w:t>
      </w:r>
      <w:r>
        <w:rPr>
          <w:spacing w:val="-14"/>
        </w:rPr>
        <w:t> </w:t>
      </w:r>
      <w:r>
        <w:rPr/>
        <w:t>used</w:t>
      </w:r>
      <w:r>
        <w:rPr>
          <w:spacing w:val="-14"/>
        </w:rPr>
        <w:t> </w:t>
      </w:r>
      <w:r>
        <w:rPr/>
        <w:t>in</w:t>
      </w:r>
      <w:r>
        <w:rPr>
          <w:spacing w:val="-12"/>
        </w:rPr>
        <w:t> </w:t>
      </w:r>
      <w:r>
        <w:rPr/>
        <w:t>previous</w:t>
      </w:r>
      <w:r>
        <w:rPr>
          <w:spacing w:val="-14"/>
        </w:rPr>
        <w:t> </w:t>
      </w:r>
      <w:r>
        <w:rPr/>
        <w:t>studies.</w:t>
      </w:r>
      <w:r>
        <w:rPr>
          <w:spacing w:val="-13"/>
        </w:rPr>
        <w:t> </w:t>
      </w:r>
      <w:r>
        <w:rPr/>
        <w:t>Therefore,</w:t>
      </w:r>
      <w:r>
        <w:rPr>
          <w:spacing w:val="-12"/>
        </w:rPr>
        <w:t> </w:t>
      </w:r>
      <w:r>
        <w:rPr/>
        <w:t>the</w:t>
      </w:r>
      <w:r>
        <w:rPr>
          <w:spacing w:val="-15"/>
        </w:rPr>
        <w:t> </w:t>
      </w:r>
      <w:r>
        <w:rPr/>
        <w:t>results</w:t>
      </w:r>
      <w:r>
        <w:rPr>
          <w:spacing w:val="-14"/>
        </w:rPr>
        <w:t> </w:t>
      </w:r>
      <w:r>
        <w:rPr/>
        <w:t>of</w:t>
      </w:r>
      <w:r>
        <w:rPr>
          <w:spacing w:val="-14"/>
        </w:rPr>
        <w:t> </w:t>
      </w:r>
      <w:r>
        <w:rPr/>
        <w:t>the studies cannot be directly compared. The current NRL panel of specimens are plasma rather than serum. All positive specimens used in the current study were obtained from RT-PCR positive patients with the plasma specimens taken at least 14 days after symptom onset. Previous studies included a subset of specimens obtained within 14 days of onset of</w:t>
      </w:r>
      <w:r>
        <w:rPr>
          <w:spacing w:val="-6"/>
        </w:rPr>
        <w:t> </w:t>
      </w:r>
      <w:r>
        <w:rPr/>
        <w:t>symptoms.</w:t>
      </w:r>
    </w:p>
    <w:p>
      <w:pPr>
        <w:spacing w:after="0" w:line="360" w:lineRule="auto"/>
        <w:jc w:val="both"/>
        <w:sectPr>
          <w:pgSz w:w="11910" w:h="16840"/>
          <w:pgMar w:header="1042" w:footer="764" w:top="4180" w:bottom="960" w:left="1320" w:right="580"/>
        </w:sectPr>
      </w:pPr>
    </w:p>
    <w:p>
      <w:pPr>
        <w:pStyle w:val="BodyText"/>
        <w:spacing w:before="4"/>
        <w:rPr>
          <w:sz w:val="29"/>
        </w:rPr>
      </w:pPr>
    </w:p>
    <w:p>
      <w:pPr>
        <w:pStyle w:val="BodyText"/>
        <w:spacing w:line="360" w:lineRule="auto" w:before="100"/>
        <w:ind w:left="120" w:right="858"/>
        <w:jc w:val="both"/>
      </w:pPr>
      <w:r>
        <w:rPr/>
        <w:t>Our findings suggest that overall specificity of these three point-of-care tests demonstrate</w:t>
      </w:r>
      <w:r>
        <w:rPr>
          <w:spacing w:val="-10"/>
        </w:rPr>
        <w:t> </w:t>
      </w:r>
      <w:r>
        <w:rPr/>
        <w:t>specificity</w:t>
      </w:r>
      <w:r>
        <w:rPr>
          <w:spacing w:val="-7"/>
        </w:rPr>
        <w:t> </w:t>
      </w:r>
      <w:r>
        <w:rPr/>
        <w:t>similar</w:t>
      </w:r>
      <w:r>
        <w:rPr>
          <w:spacing w:val="-8"/>
        </w:rPr>
        <w:t> </w:t>
      </w:r>
      <w:r>
        <w:rPr/>
        <w:t>to</w:t>
      </w:r>
      <w:r>
        <w:rPr>
          <w:spacing w:val="-5"/>
        </w:rPr>
        <w:t> </w:t>
      </w:r>
      <w:r>
        <w:rPr/>
        <w:t>that</w:t>
      </w:r>
      <w:r>
        <w:rPr>
          <w:spacing w:val="-9"/>
        </w:rPr>
        <w:t> </w:t>
      </w:r>
      <w:r>
        <w:rPr/>
        <w:t>reported</w:t>
      </w:r>
      <w:r>
        <w:rPr>
          <w:spacing w:val="-8"/>
        </w:rPr>
        <w:t> </w:t>
      </w:r>
      <w:r>
        <w:rPr/>
        <w:t>in</w:t>
      </w:r>
      <w:r>
        <w:rPr>
          <w:spacing w:val="-7"/>
        </w:rPr>
        <w:t> </w:t>
      </w:r>
      <w:r>
        <w:rPr/>
        <w:t>the</w:t>
      </w:r>
      <w:r>
        <w:rPr>
          <w:spacing w:val="-7"/>
        </w:rPr>
        <w:t> </w:t>
      </w:r>
      <w:r>
        <w:rPr/>
        <w:t>manufacturers’</w:t>
      </w:r>
      <w:r>
        <w:rPr>
          <w:spacing w:val="-9"/>
        </w:rPr>
        <w:t> </w:t>
      </w:r>
      <w:r>
        <w:rPr/>
        <w:t>claims;</w:t>
      </w:r>
      <w:r>
        <w:rPr>
          <w:spacing w:val="-7"/>
        </w:rPr>
        <w:t> </w:t>
      </w:r>
      <w:r>
        <w:rPr/>
        <w:t>however, the sensitivity of the test kits estimated by this study for IgM reactivity was generally lower</w:t>
      </w:r>
      <w:r>
        <w:rPr>
          <w:spacing w:val="-8"/>
        </w:rPr>
        <w:t> </w:t>
      </w:r>
      <w:r>
        <w:rPr/>
        <w:t>than</w:t>
      </w:r>
      <w:r>
        <w:rPr>
          <w:spacing w:val="-6"/>
        </w:rPr>
        <w:t> </w:t>
      </w:r>
      <w:r>
        <w:rPr/>
        <w:t>that</w:t>
      </w:r>
      <w:r>
        <w:rPr>
          <w:spacing w:val="-7"/>
        </w:rPr>
        <w:t> </w:t>
      </w:r>
      <w:r>
        <w:rPr/>
        <w:t>reported</w:t>
      </w:r>
      <w:r>
        <w:rPr>
          <w:spacing w:val="-8"/>
        </w:rPr>
        <w:t> </w:t>
      </w:r>
      <w:r>
        <w:rPr/>
        <w:t>by</w:t>
      </w:r>
      <w:r>
        <w:rPr>
          <w:spacing w:val="-8"/>
        </w:rPr>
        <w:t> </w:t>
      </w:r>
      <w:r>
        <w:rPr/>
        <w:t>two</w:t>
      </w:r>
      <w:r>
        <w:rPr>
          <w:spacing w:val="-6"/>
        </w:rPr>
        <w:t> </w:t>
      </w:r>
      <w:r>
        <w:rPr/>
        <w:t>of</w:t>
      </w:r>
      <w:r>
        <w:rPr>
          <w:spacing w:val="-9"/>
        </w:rPr>
        <w:t> </w:t>
      </w:r>
      <w:r>
        <w:rPr/>
        <w:t>the</w:t>
      </w:r>
      <w:r>
        <w:rPr>
          <w:spacing w:val="-8"/>
        </w:rPr>
        <w:t> </w:t>
      </w:r>
      <w:r>
        <w:rPr/>
        <w:t>three</w:t>
      </w:r>
      <w:r>
        <w:rPr>
          <w:spacing w:val="-8"/>
        </w:rPr>
        <w:t> </w:t>
      </w:r>
      <w:r>
        <w:rPr/>
        <w:t>test</w:t>
      </w:r>
      <w:r>
        <w:rPr>
          <w:spacing w:val="-8"/>
        </w:rPr>
        <w:t> </w:t>
      </w:r>
      <w:r>
        <w:rPr/>
        <w:t>kit</w:t>
      </w:r>
      <w:r>
        <w:rPr>
          <w:spacing w:val="-7"/>
        </w:rPr>
        <w:t> </w:t>
      </w:r>
      <w:r>
        <w:rPr/>
        <w:t>manufacturers.</w:t>
      </w:r>
      <w:r>
        <w:rPr>
          <w:spacing w:val="52"/>
        </w:rPr>
        <w:t> </w:t>
      </w:r>
      <w:r>
        <w:rPr/>
        <w:t>This</w:t>
      </w:r>
      <w:r>
        <w:rPr>
          <w:spacing w:val="-8"/>
        </w:rPr>
        <w:t> </w:t>
      </w:r>
      <w:r>
        <w:rPr/>
        <w:t>could</w:t>
      </w:r>
      <w:r>
        <w:rPr>
          <w:spacing w:val="-8"/>
        </w:rPr>
        <w:t> </w:t>
      </w:r>
      <w:r>
        <w:rPr/>
        <w:t>be</w:t>
      </w:r>
      <w:r>
        <w:rPr>
          <w:spacing w:val="-8"/>
        </w:rPr>
        <w:t> </w:t>
      </w:r>
      <w:r>
        <w:rPr/>
        <w:t>due to the different set of samples used in this study compared with samples used in the manufacturer’s</w:t>
      </w:r>
      <w:r>
        <w:rPr>
          <w:spacing w:val="-3"/>
        </w:rPr>
        <w:t> </w:t>
      </w:r>
      <w:r>
        <w:rPr/>
        <w:t>studies.</w:t>
      </w:r>
    </w:p>
    <w:p>
      <w:pPr>
        <w:pStyle w:val="BodyText"/>
        <w:spacing w:before="1"/>
        <w:rPr>
          <w:sz w:val="26"/>
        </w:rPr>
      </w:pPr>
    </w:p>
    <w:p>
      <w:pPr>
        <w:pStyle w:val="Heading1"/>
        <w:numPr>
          <w:ilvl w:val="0"/>
          <w:numId w:val="3"/>
        </w:numPr>
        <w:tabs>
          <w:tab w:pos="840" w:val="left" w:leader="none"/>
        </w:tabs>
        <w:spacing w:line="240" w:lineRule="auto" w:before="0" w:after="0"/>
        <w:ind w:left="840" w:right="0" w:hanging="360"/>
        <w:jc w:val="left"/>
      </w:pPr>
      <w:bookmarkStart w:name="1. Introduction" w:id="3"/>
      <w:bookmarkEnd w:id="3"/>
      <w:r>
        <w:rPr/>
      </w:r>
      <w:bookmarkStart w:name="_bookmark1" w:id="4"/>
      <w:bookmarkEnd w:id="4"/>
      <w:r>
        <w:rPr/>
      </w:r>
      <w:bookmarkStart w:name="_bookmark1" w:id="5"/>
      <w:bookmarkEnd w:id="5"/>
      <w:r>
        <w:rPr>
          <w:color w:val="007CC5"/>
        </w:rPr>
        <w:t>I</w:t>
      </w:r>
      <w:r>
        <w:rPr>
          <w:color w:val="007CC5"/>
        </w:rPr>
        <w:t>ntroduction</w:t>
      </w:r>
    </w:p>
    <w:p>
      <w:pPr>
        <w:pStyle w:val="BodyText"/>
        <w:spacing w:line="360" w:lineRule="auto" w:before="250"/>
        <w:ind w:left="119" w:right="854"/>
        <w:jc w:val="both"/>
      </w:pPr>
      <w:r>
        <w:rPr/>
        <w:t>This work continues the post-market validation work first reported on 28th April, 2nd June, 10th August, 24th September, 13th October 2020 and 27 January 2021 by the Doherty Institute and the studies conducted by NRL. Following the initial laboratory responses and release of the viral whole genome sequence by Chinese investigators in</w:t>
      </w:r>
      <w:r>
        <w:rPr>
          <w:spacing w:val="-5"/>
        </w:rPr>
        <w:t> </w:t>
      </w:r>
      <w:r>
        <w:rPr/>
        <w:t>early</w:t>
      </w:r>
      <w:r>
        <w:rPr>
          <w:spacing w:val="-7"/>
        </w:rPr>
        <w:t> </w:t>
      </w:r>
      <w:r>
        <w:rPr/>
        <w:t>January</w:t>
      </w:r>
      <w:r>
        <w:rPr>
          <w:spacing w:val="-7"/>
        </w:rPr>
        <w:t> </w:t>
      </w:r>
      <w:r>
        <w:rPr/>
        <w:t>2020,</w:t>
      </w:r>
      <w:r>
        <w:rPr>
          <w:spacing w:val="-5"/>
        </w:rPr>
        <w:t> </w:t>
      </w:r>
      <w:r>
        <w:rPr/>
        <w:t>there</w:t>
      </w:r>
      <w:r>
        <w:rPr>
          <w:spacing w:val="-7"/>
        </w:rPr>
        <w:t> </w:t>
      </w:r>
      <w:r>
        <w:rPr/>
        <w:t>was</w:t>
      </w:r>
      <w:r>
        <w:rPr>
          <w:spacing w:val="-6"/>
        </w:rPr>
        <w:t> </w:t>
      </w:r>
      <w:r>
        <w:rPr/>
        <w:t>a</w:t>
      </w:r>
      <w:r>
        <w:rPr>
          <w:spacing w:val="-5"/>
        </w:rPr>
        <w:t> </w:t>
      </w:r>
      <w:r>
        <w:rPr/>
        <w:t>rapid</w:t>
      </w:r>
      <w:r>
        <w:rPr>
          <w:spacing w:val="-6"/>
        </w:rPr>
        <w:t> </w:t>
      </w:r>
      <w:r>
        <w:rPr/>
        <w:t>development</w:t>
      </w:r>
      <w:r>
        <w:rPr>
          <w:spacing w:val="-6"/>
        </w:rPr>
        <w:t> </w:t>
      </w:r>
      <w:r>
        <w:rPr/>
        <w:t>of</w:t>
      </w:r>
      <w:r>
        <w:rPr>
          <w:spacing w:val="-7"/>
        </w:rPr>
        <w:t> </w:t>
      </w:r>
      <w:r>
        <w:rPr/>
        <w:t>serological</w:t>
      </w:r>
      <w:r>
        <w:rPr>
          <w:spacing w:val="-5"/>
        </w:rPr>
        <w:t> </w:t>
      </w:r>
      <w:r>
        <w:rPr/>
        <w:t>assays</w:t>
      </w:r>
      <w:r>
        <w:rPr>
          <w:spacing w:val="-4"/>
        </w:rPr>
        <w:t> </w:t>
      </w:r>
      <w:r>
        <w:rPr/>
        <w:t>for</w:t>
      </w:r>
      <w:r>
        <w:rPr>
          <w:spacing w:val="-5"/>
        </w:rPr>
        <w:t> </w:t>
      </w:r>
      <w:r>
        <w:rPr/>
        <w:t>COVID- 19.</w:t>
      </w:r>
      <w:r>
        <w:rPr>
          <w:position w:val="9"/>
          <w:sz w:val="16"/>
        </w:rPr>
        <w:t>1–3 </w:t>
      </w:r>
      <w:r>
        <w:rPr/>
        <w:t>The first serological tests for COVID-19 were lateral flow immunoassays, also known</w:t>
      </w:r>
      <w:r>
        <w:rPr>
          <w:spacing w:val="-17"/>
        </w:rPr>
        <w:t> </w:t>
      </w:r>
      <w:r>
        <w:rPr/>
        <w:t>as</w:t>
      </w:r>
      <w:r>
        <w:rPr>
          <w:spacing w:val="-19"/>
        </w:rPr>
        <w:t> </w:t>
      </w:r>
      <w:r>
        <w:rPr/>
        <w:t>serological</w:t>
      </w:r>
      <w:r>
        <w:rPr>
          <w:spacing w:val="-18"/>
        </w:rPr>
        <w:t> </w:t>
      </w:r>
      <w:r>
        <w:rPr/>
        <w:t>point-of-care</w:t>
      </w:r>
      <w:r>
        <w:rPr>
          <w:spacing w:val="-19"/>
        </w:rPr>
        <w:t> </w:t>
      </w:r>
      <w:r>
        <w:rPr/>
        <w:t>tests</w:t>
      </w:r>
      <w:r>
        <w:rPr>
          <w:spacing w:val="-15"/>
        </w:rPr>
        <w:t> </w:t>
      </w:r>
      <w:r>
        <w:rPr/>
        <w:t>(PoCT).</w:t>
      </w:r>
      <w:r>
        <w:rPr>
          <w:spacing w:val="-15"/>
        </w:rPr>
        <w:t> </w:t>
      </w:r>
      <w:r>
        <w:rPr/>
        <w:t>The</w:t>
      </w:r>
      <w:r>
        <w:rPr>
          <w:spacing w:val="-19"/>
        </w:rPr>
        <w:t> </w:t>
      </w:r>
      <w:r>
        <w:rPr/>
        <w:t>urgent</w:t>
      </w:r>
      <w:r>
        <w:rPr>
          <w:spacing w:val="-18"/>
        </w:rPr>
        <w:t> </w:t>
      </w:r>
      <w:r>
        <w:rPr/>
        <w:t>need</w:t>
      </w:r>
      <w:r>
        <w:rPr>
          <w:spacing w:val="-15"/>
        </w:rPr>
        <w:t> </w:t>
      </w:r>
      <w:r>
        <w:rPr/>
        <w:t>for</w:t>
      </w:r>
      <w:r>
        <w:rPr>
          <w:spacing w:val="-12"/>
        </w:rPr>
        <w:t> </w:t>
      </w:r>
      <w:r>
        <w:rPr/>
        <w:t>diagnostic</w:t>
      </w:r>
      <w:r>
        <w:rPr>
          <w:spacing w:val="-18"/>
        </w:rPr>
        <w:t> </w:t>
      </w:r>
      <w:r>
        <w:rPr/>
        <w:t>testing has meant that many test kits have undergone an expedited assessment from the Australian</w:t>
      </w:r>
      <w:r>
        <w:rPr>
          <w:spacing w:val="-14"/>
        </w:rPr>
        <w:t> </w:t>
      </w:r>
      <w:r>
        <w:rPr/>
        <w:t>Therapeutic</w:t>
      </w:r>
      <w:r>
        <w:rPr>
          <w:spacing w:val="-14"/>
        </w:rPr>
        <w:t> </w:t>
      </w:r>
      <w:r>
        <w:rPr/>
        <w:t>Goods</w:t>
      </w:r>
      <w:r>
        <w:rPr>
          <w:spacing w:val="-15"/>
        </w:rPr>
        <w:t> </w:t>
      </w:r>
      <w:r>
        <w:rPr/>
        <w:t>Administration</w:t>
      </w:r>
      <w:r>
        <w:rPr>
          <w:spacing w:val="-14"/>
        </w:rPr>
        <w:t> </w:t>
      </w:r>
      <w:r>
        <w:rPr/>
        <w:t>(TGA).</w:t>
      </w:r>
      <w:r>
        <w:rPr>
          <w:spacing w:val="-13"/>
        </w:rPr>
        <w:t> </w:t>
      </w:r>
      <w:r>
        <w:rPr/>
        <w:t>As</w:t>
      </w:r>
      <w:r>
        <w:rPr>
          <w:spacing w:val="-15"/>
        </w:rPr>
        <w:t> </w:t>
      </w:r>
      <w:r>
        <w:rPr/>
        <w:t>such,</w:t>
      </w:r>
      <w:r>
        <w:rPr>
          <w:spacing w:val="-16"/>
        </w:rPr>
        <w:t> </w:t>
      </w:r>
      <w:r>
        <w:rPr/>
        <w:t>post-market</w:t>
      </w:r>
      <w:r>
        <w:rPr>
          <w:spacing w:val="-14"/>
        </w:rPr>
        <w:t> </w:t>
      </w:r>
      <w:r>
        <w:rPr/>
        <w:t>validation</w:t>
      </w:r>
      <w:r>
        <w:rPr>
          <w:spacing w:val="-16"/>
        </w:rPr>
        <w:t> </w:t>
      </w:r>
      <w:r>
        <w:rPr/>
        <w:t>of COVID-19 diagnostic kits that are listed on the Australian Register of Therapeutic Goods (ARTG) has been undertaken. Here, we present findings from a post-market validation study of a further three serological PoCT (all listed on the</w:t>
      </w:r>
      <w:r>
        <w:rPr>
          <w:spacing w:val="-20"/>
        </w:rPr>
        <w:t> </w:t>
      </w:r>
      <w:r>
        <w:rPr/>
        <w:t>ARTG).</w:t>
      </w:r>
    </w:p>
    <w:p>
      <w:pPr>
        <w:spacing w:after="0" w:line="360" w:lineRule="auto"/>
        <w:jc w:val="both"/>
        <w:sectPr>
          <w:pgSz w:w="11910" w:h="16840"/>
          <w:pgMar w:header="1042" w:footer="764" w:top="4180" w:bottom="960" w:left="1320" w:right="580"/>
        </w:sectPr>
      </w:pPr>
    </w:p>
    <w:p>
      <w:pPr>
        <w:pStyle w:val="BodyText"/>
        <w:spacing w:before="4"/>
        <w:rPr>
          <w:sz w:val="28"/>
        </w:rPr>
      </w:pPr>
    </w:p>
    <w:p>
      <w:pPr>
        <w:pStyle w:val="Heading1"/>
        <w:numPr>
          <w:ilvl w:val="0"/>
          <w:numId w:val="3"/>
        </w:numPr>
        <w:tabs>
          <w:tab w:pos="840" w:val="left" w:leader="none"/>
        </w:tabs>
        <w:spacing w:line="240" w:lineRule="auto" w:before="100" w:after="0"/>
        <w:ind w:left="840" w:right="0" w:hanging="360"/>
        <w:jc w:val="both"/>
      </w:pPr>
      <w:bookmarkStart w:name="2. Methods" w:id="6"/>
      <w:bookmarkEnd w:id="6"/>
      <w:r>
        <w:rPr/>
      </w:r>
      <w:bookmarkStart w:name="_bookmark2" w:id="7"/>
      <w:bookmarkEnd w:id="7"/>
      <w:r>
        <w:rPr/>
      </w:r>
      <w:bookmarkStart w:name="_bookmark2" w:id="8"/>
      <w:bookmarkEnd w:id="8"/>
      <w:r>
        <w:rPr>
          <w:color w:val="007CC5"/>
        </w:rPr>
        <w:t>M</w:t>
      </w:r>
      <w:r>
        <w:rPr>
          <w:color w:val="007CC5"/>
        </w:rPr>
        <w:t>ethods</w:t>
      </w:r>
    </w:p>
    <w:p>
      <w:pPr>
        <w:pStyle w:val="BodyText"/>
        <w:rPr>
          <w:rFonts w:ascii="Trebuchet MS"/>
          <w:sz w:val="34"/>
        </w:rPr>
      </w:pPr>
    </w:p>
    <w:p>
      <w:pPr>
        <w:pStyle w:val="Heading2"/>
        <w:numPr>
          <w:ilvl w:val="1"/>
          <w:numId w:val="4"/>
        </w:numPr>
        <w:tabs>
          <w:tab w:pos="839" w:val="left" w:leader="none"/>
          <w:tab w:pos="841" w:val="left" w:leader="none"/>
        </w:tabs>
        <w:spacing w:line="240" w:lineRule="auto" w:before="228" w:after="0"/>
        <w:ind w:left="840" w:right="0" w:hanging="721"/>
        <w:jc w:val="left"/>
      </w:pPr>
      <w:bookmarkStart w:name="2.1 Establishment of patient cohorts and" w:id="9"/>
      <w:bookmarkEnd w:id="9"/>
      <w:r>
        <w:rPr/>
      </w:r>
      <w:bookmarkStart w:name="_bookmark3" w:id="10"/>
      <w:bookmarkEnd w:id="10"/>
      <w:r>
        <w:rPr/>
      </w:r>
      <w:bookmarkStart w:name="_bookmark3" w:id="11"/>
      <w:bookmarkEnd w:id="11"/>
      <w:r>
        <w:rPr>
          <w:color w:val="007CC5"/>
          <w:spacing w:val="3"/>
        </w:rPr>
        <w:t>Es</w:t>
      </w:r>
      <w:r>
        <w:rPr>
          <w:color w:val="007CC5"/>
          <w:spacing w:val="3"/>
        </w:rPr>
        <w:t>tablishment </w:t>
      </w:r>
      <w:r>
        <w:rPr>
          <w:color w:val="007CC5"/>
        </w:rPr>
        <w:t>of </w:t>
      </w:r>
      <w:r>
        <w:rPr>
          <w:color w:val="007CC5"/>
          <w:spacing w:val="3"/>
        </w:rPr>
        <w:t>patient </w:t>
      </w:r>
      <w:r>
        <w:rPr>
          <w:color w:val="007CC5"/>
          <w:spacing w:val="2"/>
        </w:rPr>
        <w:t>cohorts </w:t>
      </w:r>
      <w:r>
        <w:rPr>
          <w:color w:val="007CC5"/>
          <w:spacing w:val="3"/>
        </w:rPr>
        <w:t>and serum</w:t>
      </w:r>
      <w:r>
        <w:rPr>
          <w:color w:val="007CC5"/>
          <w:spacing w:val="39"/>
        </w:rPr>
        <w:t> </w:t>
      </w:r>
      <w:r>
        <w:rPr>
          <w:color w:val="007CC5"/>
          <w:spacing w:val="3"/>
        </w:rPr>
        <w:t>samples</w:t>
      </w:r>
    </w:p>
    <w:p>
      <w:pPr>
        <w:pStyle w:val="BodyText"/>
        <w:spacing w:line="360" w:lineRule="auto" w:before="144"/>
        <w:ind w:left="119" w:right="856"/>
        <w:jc w:val="both"/>
      </w:pPr>
      <w:r>
        <w:rPr/>
        <w:t>Specimens acquired by NRL have been used in this study and will be used in future post market evaluations. The panels were designed to maximise the value of the number</w:t>
      </w:r>
      <w:r>
        <w:rPr>
          <w:spacing w:val="-10"/>
        </w:rPr>
        <w:t> </w:t>
      </w:r>
      <w:r>
        <w:rPr/>
        <w:t>of</w:t>
      </w:r>
      <w:r>
        <w:rPr>
          <w:spacing w:val="-10"/>
        </w:rPr>
        <w:t> </w:t>
      </w:r>
      <w:r>
        <w:rPr/>
        <w:t>test</w:t>
      </w:r>
      <w:r>
        <w:rPr>
          <w:spacing w:val="-10"/>
        </w:rPr>
        <w:t> </w:t>
      </w:r>
      <w:r>
        <w:rPr/>
        <w:t>kits</w:t>
      </w:r>
      <w:r>
        <w:rPr>
          <w:spacing w:val="-11"/>
        </w:rPr>
        <w:t> </w:t>
      </w:r>
      <w:r>
        <w:rPr/>
        <w:t>provided</w:t>
      </w:r>
      <w:r>
        <w:rPr>
          <w:spacing w:val="-10"/>
        </w:rPr>
        <w:t> </w:t>
      </w:r>
      <w:r>
        <w:rPr/>
        <w:t>for</w:t>
      </w:r>
      <w:r>
        <w:rPr>
          <w:spacing w:val="-9"/>
        </w:rPr>
        <w:t> </w:t>
      </w:r>
      <w:r>
        <w:rPr/>
        <w:t>the</w:t>
      </w:r>
      <w:r>
        <w:rPr>
          <w:spacing w:val="-11"/>
        </w:rPr>
        <w:t> </w:t>
      </w:r>
      <w:r>
        <w:rPr/>
        <w:t>evaluation</w:t>
      </w:r>
      <w:r>
        <w:rPr>
          <w:spacing w:val="-9"/>
        </w:rPr>
        <w:t> </w:t>
      </w:r>
      <w:r>
        <w:rPr/>
        <w:t>(300</w:t>
      </w:r>
      <w:r>
        <w:rPr>
          <w:spacing w:val="-10"/>
        </w:rPr>
        <w:t> </w:t>
      </w:r>
      <w:r>
        <w:rPr/>
        <w:t>test</w:t>
      </w:r>
      <w:r>
        <w:rPr>
          <w:spacing w:val="-9"/>
        </w:rPr>
        <w:t> </w:t>
      </w:r>
      <w:r>
        <w:rPr/>
        <w:t>devices;</w:t>
      </w:r>
      <w:r>
        <w:rPr>
          <w:spacing w:val="-10"/>
        </w:rPr>
        <w:t> </w:t>
      </w:r>
      <w:r>
        <w:rPr/>
        <w:t>150</w:t>
      </w:r>
      <w:r>
        <w:rPr>
          <w:spacing w:val="-9"/>
        </w:rPr>
        <w:t> </w:t>
      </w:r>
      <w:r>
        <w:rPr/>
        <w:t>from</w:t>
      </w:r>
      <w:r>
        <w:rPr>
          <w:spacing w:val="-11"/>
        </w:rPr>
        <w:t> </w:t>
      </w:r>
      <w:r>
        <w:rPr/>
        <w:t>each</w:t>
      </w:r>
      <w:r>
        <w:rPr>
          <w:spacing w:val="-9"/>
        </w:rPr>
        <w:t> </w:t>
      </w:r>
      <w:r>
        <w:rPr/>
        <w:t>of</w:t>
      </w:r>
      <w:r>
        <w:rPr>
          <w:spacing w:val="-10"/>
        </w:rPr>
        <w:t> </w:t>
      </w:r>
      <w:r>
        <w:rPr/>
        <w:t>two test</w:t>
      </w:r>
      <w:r>
        <w:rPr>
          <w:spacing w:val="-7"/>
        </w:rPr>
        <w:t> </w:t>
      </w:r>
      <w:r>
        <w:rPr/>
        <w:t>kit</w:t>
      </w:r>
      <w:r>
        <w:rPr>
          <w:spacing w:val="-6"/>
        </w:rPr>
        <w:t> </w:t>
      </w:r>
      <w:r>
        <w:rPr/>
        <w:t>lots).</w:t>
      </w:r>
      <w:r>
        <w:rPr>
          <w:spacing w:val="-5"/>
        </w:rPr>
        <w:t> </w:t>
      </w:r>
      <w:r>
        <w:rPr/>
        <w:t>COVID-19</w:t>
      </w:r>
      <w:r>
        <w:rPr>
          <w:spacing w:val="-7"/>
        </w:rPr>
        <w:t> </w:t>
      </w:r>
      <w:r>
        <w:rPr/>
        <w:t>serology</w:t>
      </w:r>
      <w:r>
        <w:rPr>
          <w:spacing w:val="-7"/>
        </w:rPr>
        <w:t> </w:t>
      </w:r>
      <w:r>
        <w:rPr/>
        <w:t>test</w:t>
      </w:r>
      <w:r>
        <w:rPr>
          <w:spacing w:val="-6"/>
        </w:rPr>
        <w:t> </w:t>
      </w:r>
      <w:r>
        <w:rPr/>
        <w:t>kits</w:t>
      </w:r>
      <w:r>
        <w:rPr>
          <w:spacing w:val="-7"/>
        </w:rPr>
        <w:t> </w:t>
      </w:r>
      <w:r>
        <w:rPr/>
        <w:t>performance</w:t>
      </w:r>
      <w:r>
        <w:rPr>
          <w:spacing w:val="-8"/>
        </w:rPr>
        <w:t> </w:t>
      </w:r>
      <w:r>
        <w:rPr/>
        <w:t>was</w:t>
      </w:r>
      <w:r>
        <w:rPr>
          <w:spacing w:val="-7"/>
        </w:rPr>
        <w:t> </w:t>
      </w:r>
      <w:r>
        <w:rPr/>
        <w:t>evaluated</w:t>
      </w:r>
      <w:r>
        <w:rPr>
          <w:spacing w:val="-6"/>
        </w:rPr>
        <w:t> </w:t>
      </w:r>
      <w:r>
        <w:rPr/>
        <w:t>for</w:t>
      </w:r>
      <w:r>
        <w:rPr>
          <w:spacing w:val="-5"/>
        </w:rPr>
        <w:t> </w:t>
      </w:r>
      <w:r>
        <w:rPr/>
        <w:t>the</w:t>
      </w:r>
      <w:r>
        <w:rPr>
          <w:spacing w:val="-8"/>
        </w:rPr>
        <w:t> </w:t>
      </w:r>
      <w:r>
        <w:rPr/>
        <w:t>following performance</w:t>
      </w:r>
      <w:r>
        <w:rPr>
          <w:spacing w:val="-3"/>
        </w:rPr>
        <w:t> </w:t>
      </w:r>
      <w:r>
        <w:rPr/>
        <w:t>characteristics:</w:t>
      </w:r>
    </w:p>
    <w:p>
      <w:pPr>
        <w:pStyle w:val="ListParagraph"/>
        <w:numPr>
          <w:ilvl w:val="2"/>
          <w:numId w:val="4"/>
        </w:numPr>
        <w:tabs>
          <w:tab w:pos="1200" w:val="left" w:leader="none"/>
        </w:tabs>
        <w:spacing w:line="318" w:lineRule="exact" w:before="0" w:after="0"/>
        <w:ind w:left="1200" w:right="0" w:hanging="721"/>
        <w:jc w:val="both"/>
        <w:rPr>
          <w:sz w:val="24"/>
        </w:rPr>
      </w:pPr>
      <w:r>
        <w:rPr>
          <w:sz w:val="24"/>
        </w:rPr>
        <w:t>Clinical</w:t>
      </w:r>
      <w:r>
        <w:rPr>
          <w:spacing w:val="-10"/>
          <w:sz w:val="24"/>
        </w:rPr>
        <w:t> </w:t>
      </w:r>
      <w:r>
        <w:rPr>
          <w:sz w:val="24"/>
        </w:rPr>
        <w:t>Sensitivity</w:t>
      </w:r>
    </w:p>
    <w:p>
      <w:pPr>
        <w:pStyle w:val="ListParagraph"/>
        <w:numPr>
          <w:ilvl w:val="2"/>
          <w:numId w:val="4"/>
        </w:numPr>
        <w:tabs>
          <w:tab w:pos="1199" w:val="left" w:leader="none"/>
          <w:tab w:pos="1200" w:val="left" w:leader="none"/>
        </w:tabs>
        <w:spacing w:line="240" w:lineRule="auto" w:before="161" w:after="0"/>
        <w:ind w:left="1200" w:right="0" w:hanging="721"/>
        <w:jc w:val="left"/>
        <w:rPr>
          <w:sz w:val="24"/>
        </w:rPr>
      </w:pPr>
      <w:r>
        <w:rPr>
          <w:sz w:val="24"/>
        </w:rPr>
        <w:t>Clinical</w:t>
      </w:r>
      <w:r>
        <w:rPr>
          <w:spacing w:val="-10"/>
          <w:sz w:val="24"/>
        </w:rPr>
        <w:t> </w:t>
      </w:r>
      <w:r>
        <w:rPr>
          <w:sz w:val="24"/>
        </w:rPr>
        <w:t>Specificity</w:t>
      </w:r>
    </w:p>
    <w:p>
      <w:pPr>
        <w:pStyle w:val="ListParagraph"/>
        <w:numPr>
          <w:ilvl w:val="2"/>
          <w:numId w:val="4"/>
        </w:numPr>
        <w:tabs>
          <w:tab w:pos="1199" w:val="left" w:leader="none"/>
          <w:tab w:pos="1200" w:val="left" w:leader="none"/>
        </w:tabs>
        <w:spacing w:line="240" w:lineRule="auto" w:before="158" w:after="0"/>
        <w:ind w:left="1200" w:right="0" w:hanging="721"/>
        <w:jc w:val="left"/>
        <w:rPr>
          <w:sz w:val="24"/>
        </w:rPr>
      </w:pPr>
      <w:r>
        <w:rPr>
          <w:sz w:val="24"/>
        </w:rPr>
        <w:t>Analytical</w:t>
      </w:r>
      <w:r>
        <w:rPr>
          <w:spacing w:val="-3"/>
          <w:sz w:val="24"/>
        </w:rPr>
        <w:t> </w:t>
      </w:r>
      <w:r>
        <w:rPr>
          <w:sz w:val="24"/>
        </w:rPr>
        <w:t>Specificity</w:t>
      </w:r>
    </w:p>
    <w:p>
      <w:pPr>
        <w:pStyle w:val="ListParagraph"/>
        <w:numPr>
          <w:ilvl w:val="2"/>
          <w:numId w:val="4"/>
        </w:numPr>
        <w:tabs>
          <w:tab w:pos="1199" w:val="left" w:leader="none"/>
          <w:tab w:pos="1200" w:val="left" w:leader="none"/>
        </w:tabs>
        <w:spacing w:line="240" w:lineRule="auto" w:before="161" w:after="0"/>
        <w:ind w:left="1200" w:right="0" w:hanging="721"/>
        <w:jc w:val="left"/>
        <w:rPr>
          <w:sz w:val="24"/>
        </w:rPr>
      </w:pPr>
      <w:r>
        <w:rPr>
          <w:sz w:val="24"/>
        </w:rPr>
        <w:t>Lot-to-lot</w:t>
      </w:r>
      <w:r>
        <w:rPr>
          <w:spacing w:val="-2"/>
          <w:sz w:val="24"/>
        </w:rPr>
        <w:t> </w:t>
      </w:r>
      <w:r>
        <w:rPr>
          <w:sz w:val="24"/>
        </w:rPr>
        <w:t>Variation</w:t>
      </w:r>
    </w:p>
    <w:p>
      <w:pPr>
        <w:pStyle w:val="BodyText"/>
        <w:spacing w:before="12"/>
        <w:rPr>
          <w:sz w:val="44"/>
        </w:rPr>
      </w:pPr>
    </w:p>
    <w:p>
      <w:pPr>
        <w:pStyle w:val="Heading4"/>
        <w:spacing w:before="1"/>
        <w:ind w:left="119"/>
        <w:rPr>
          <w:i/>
        </w:rPr>
      </w:pPr>
      <w:r>
        <w:rPr>
          <w:i/>
        </w:rPr>
        <w:t>Clinical sensitivity analysis</w:t>
      </w:r>
    </w:p>
    <w:p>
      <w:pPr>
        <w:pStyle w:val="BodyText"/>
        <w:spacing w:line="360" w:lineRule="auto" w:before="160"/>
        <w:ind w:left="119" w:right="856"/>
        <w:jc w:val="both"/>
      </w:pPr>
      <w:r>
        <w:rPr/>
        <w:t>A total of 100 plasma specimens were obtained from 100 unique patients with SARS- CoV-2</w:t>
      </w:r>
      <w:r>
        <w:rPr>
          <w:spacing w:val="-8"/>
        </w:rPr>
        <w:t> </w:t>
      </w:r>
      <w:r>
        <w:rPr/>
        <w:t>detected</w:t>
      </w:r>
      <w:r>
        <w:rPr>
          <w:spacing w:val="-8"/>
        </w:rPr>
        <w:t> </w:t>
      </w:r>
      <w:r>
        <w:rPr/>
        <w:t>by</w:t>
      </w:r>
      <w:r>
        <w:rPr>
          <w:spacing w:val="-8"/>
        </w:rPr>
        <w:t> </w:t>
      </w:r>
      <w:r>
        <w:rPr/>
        <w:t>RT-PCR</w:t>
      </w:r>
      <w:r>
        <w:rPr>
          <w:spacing w:val="-8"/>
        </w:rPr>
        <w:t> </w:t>
      </w:r>
      <w:r>
        <w:rPr/>
        <w:t>from</w:t>
      </w:r>
      <w:r>
        <w:rPr>
          <w:spacing w:val="-8"/>
        </w:rPr>
        <w:t> </w:t>
      </w:r>
      <w:r>
        <w:rPr/>
        <w:t>upper</w:t>
      </w:r>
      <w:r>
        <w:rPr>
          <w:spacing w:val="-8"/>
        </w:rPr>
        <w:t> </w:t>
      </w:r>
      <w:r>
        <w:rPr/>
        <w:t>and</w:t>
      </w:r>
      <w:r>
        <w:rPr>
          <w:spacing w:val="-7"/>
        </w:rPr>
        <w:t> </w:t>
      </w:r>
      <w:r>
        <w:rPr/>
        <w:t>/</w:t>
      </w:r>
      <w:r>
        <w:rPr>
          <w:spacing w:val="-11"/>
        </w:rPr>
        <w:t> </w:t>
      </w:r>
      <w:r>
        <w:rPr/>
        <w:t>or</w:t>
      </w:r>
      <w:r>
        <w:rPr>
          <w:spacing w:val="-7"/>
        </w:rPr>
        <w:t> </w:t>
      </w:r>
      <w:r>
        <w:rPr/>
        <w:t>lower</w:t>
      </w:r>
      <w:r>
        <w:rPr>
          <w:spacing w:val="-8"/>
        </w:rPr>
        <w:t> </w:t>
      </w:r>
      <w:r>
        <w:rPr/>
        <w:t>respiratory</w:t>
      </w:r>
      <w:r>
        <w:rPr>
          <w:spacing w:val="-8"/>
        </w:rPr>
        <w:t> </w:t>
      </w:r>
      <w:r>
        <w:rPr/>
        <w:t>tract</w:t>
      </w:r>
      <w:r>
        <w:rPr>
          <w:spacing w:val="-8"/>
        </w:rPr>
        <w:t> </w:t>
      </w:r>
      <w:r>
        <w:rPr/>
        <w:t>specimens.</w:t>
      </w:r>
      <w:r>
        <w:rPr>
          <w:spacing w:val="-6"/>
        </w:rPr>
        <w:t> </w:t>
      </w:r>
      <w:r>
        <w:rPr/>
        <w:t>The plasma</w:t>
      </w:r>
      <w:r>
        <w:rPr>
          <w:spacing w:val="-10"/>
        </w:rPr>
        <w:t> </w:t>
      </w:r>
      <w:r>
        <w:rPr/>
        <w:t>specimens</w:t>
      </w:r>
      <w:r>
        <w:rPr>
          <w:spacing w:val="-9"/>
        </w:rPr>
        <w:t> </w:t>
      </w:r>
      <w:r>
        <w:rPr/>
        <w:t>were</w:t>
      </w:r>
      <w:r>
        <w:rPr>
          <w:spacing w:val="-11"/>
        </w:rPr>
        <w:t> </w:t>
      </w:r>
      <w:r>
        <w:rPr/>
        <w:t>collected</w:t>
      </w:r>
      <w:r>
        <w:rPr>
          <w:spacing w:val="-9"/>
        </w:rPr>
        <w:t> </w:t>
      </w:r>
      <w:r>
        <w:rPr/>
        <w:t>no</w:t>
      </w:r>
      <w:r>
        <w:rPr>
          <w:spacing w:val="-10"/>
        </w:rPr>
        <w:t> </w:t>
      </w:r>
      <w:r>
        <w:rPr/>
        <w:t>less</w:t>
      </w:r>
      <w:r>
        <w:rPr>
          <w:spacing w:val="-12"/>
        </w:rPr>
        <w:t> </w:t>
      </w:r>
      <w:r>
        <w:rPr/>
        <w:t>than</w:t>
      </w:r>
      <w:r>
        <w:rPr>
          <w:spacing w:val="-9"/>
        </w:rPr>
        <w:t> </w:t>
      </w:r>
      <w:r>
        <w:rPr/>
        <w:t>14</w:t>
      </w:r>
      <w:r>
        <w:rPr>
          <w:spacing w:val="-10"/>
        </w:rPr>
        <w:t> </w:t>
      </w:r>
      <w:r>
        <w:rPr/>
        <w:t>days</w:t>
      </w:r>
      <w:r>
        <w:rPr>
          <w:spacing w:val="-12"/>
        </w:rPr>
        <w:t> </w:t>
      </w:r>
      <w:r>
        <w:rPr/>
        <w:t>post</w:t>
      </w:r>
      <w:r>
        <w:rPr>
          <w:spacing w:val="-8"/>
        </w:rPr>
        <w:t> </w:t>
      </w:r>
      <w:r>
        <w:rPr/>
        <w:t>infection.</w:t>
      </w:r>
      <w:r>
        <w:rPr>
          <w:spacing w:val="-9"/>
        </w:rPr>
        <w:t> </w:t>
      </w:r>
      <w:r>
        <w:rPr/>
        <w:t>This</w:t>
      </w:r>
      <w:r>
        <w:rPr>
          <w:spacing w:val="-9"/>
        </w:rPr>
        <w:t> </w:t>
      </w:r>
      <w:r>
        <w:rPr/>
        <w:t>time-period allows for the development of an immune response. Detectable SARS-CoV-2 IgG was confirmed</w:t>
      </w:r>
      <w:r>
        <w:rPr>
          <w:spacing w:val="-18"/>
        </w:rPr>
        <w:t> </w:t>
      </w:r>
      <w:r>
        <w:rPr/>
        <w:t>in</w:t>
      </w:r>
      <w:r>
        <w:rPr>
          <w:spacing w:val="-17"/>
        </w:rPr>
        <w:t> </w:t>
      </w:r>
      <w:r>
        <w:rPr/>
        <w:t>each</w:t>
      </w:r>
      <w:r>
        <w:rPr>
          <w:spacing w:val="-16"/>
        </w:rPr>
        <w:t> </w:t>
      </w:r>
      <w:r>
        <w:rPr/>
        <w:t>sample</w:t>
      </w:r>
      <w:r>
        <w:rPr>
          <w:spacing w:val="-18"/>
        </w:rPr>
        <w:t> </w:t>
      </w:r>
      <w:r>
        <w:rPr/>
        <w:t>using</w:t>
      </w:r>
      <w:r>
        <w:rPr>
          <w:spacing w:val="-18"/>
        </w:rPr>
        <w:t> </w:t>
      </w:r>
      <w:r>
        <w:rPr/>
        <w:t>a</w:t>
      </w:r>
      <w:r>
        <w:rPr>
          <w:spacing w:val="-17"/>
        </w:rPr>
        <w:t> </w:t>
      </w:r>
      <w:r>
        <w:rPr/>
        <w:t>chemiluminescent</w:t>
      </w:r>
      <w:r>
        <w:rPr>
          <w:spacing w:val="-17"/>
        </w:rPr>
        <w:t> </w:t>
      </w:r>
      <w:r>
        <w:rPr/>
        <w:t>immunoassay.</w:t>
      </w:r>
      <w:r>
        <w:rPr>
          <w:spacing w:val="-17"/>
        </w:rPr>
        <w:t> </w:t>
      </w:r>
      <w:r>
        <w:rPr/>
        <w:t>Positive</w:t>
      </w:r>
      <w:r>
        <w:rPr>
          <w:spacing w:val="-18"/>
        </w:rPr>
        <w:t> </w:t>
      </w:r>
      <w:r>
        <w:rPr/>
        <w:t>specimens were categorised into time-periods from onset of symptoms (Table</w:t>
      </w:r>
      <w:r>
        <w:rPr>
          <w:spacing w:val="-19"/>
        </w:rPr>
        <w:t> </w:t>
      </w:r>
      <w:r>
        <w:rPr/>
        <w:t>1).</w:t>
      </w:r>
    </w:p>
    <w:p>
      <w:pPr>
        <w:spacing w:after="0" w:line="360" w:lineRule="auto"/>
        <w:jc w:val="both"/>
        <w:sectPr>
          <w:pgSz w:w="11910" w:h="16840"/>
          <w:pgMar w:header="1042" w:footer="764" w:top="4180" w:bottom="960" w:left="1320" w:right="580"/>
        </w:sectPr>
      </w:pPr>
    </w:p>
    <w:p>
      <w:pPr>
        <w:pStyle w:val="BodyText"/>
        <w:spacing w:before="4"/>
        <w:rPr>
          <w:sz w:val="29"/>
        </w:rPr>
      </w:pPr>
    </w:p>
    <w:p>
      <w:pPr>
        <w:pStyle w:val="BodyText"/>
        <w:spacing w:before="100"/>
        <w:ind w:left="120" w:right="856"/>
        <w:jc w:val="both"/>
      </w:pPr>
      <w:r>
        <w:rPr>
          <w:b/>
        </w:rPr>
        <w:t>Table</w:t>
      </w:r>
      <w:r>
        <w:rPr>
          <w:b/>
          <w:spacing w:val="-15"/>
        </w:rPr>
        <w:t> </w:t>
      </w:r>
      <w:r>
        <w:rPr>
          <w:b/>
        </w:rPr>
        <w:t>1.</w:t>
      </w:r>
      <w:r>
        <w:rPr>
          <w:b/>
          <w:spacing w:val="33"/>
        </w:rPr>
        <w:t> </w:t>
      </w:r>
      <w:r>
        <w:rPr/>
        <w:t>Number</w:t>
      </w:r>
      <w:r>
        <w:rPr>
          <w:spacing w:val="-15"/>
        </w:rPr>
        <w:t> </w:t>
      </w:r>
      <w:r>
        <w:rPr/>
        <w:t>of</w:t>
      </w:r>
      <w:r>
        <w:rPr>
          <w:spacing w:val="-16"/>
        </w:rPr>
        <w:t> </w:t>
      </w:r>
      <w:r>
        <w:rPr/>
        <w:t>SARS-CoV-2</w:t>
      </w:r>
      <w:r>
        <w:rPr>
          <w:spacing w:val="-16"/>
        </w:rPr>
        <w:t> </w:t>
      </w:r>
      <w:r>
        <w:rPr/>
        <w:t>positive</w:t>
      </w:r>
      <w:r>
        <w:rPr>
          <w:spacing w:val="-16"/>
        </w:rPr>
        <w:t> </w:t>
      </w:r>
      <w:r>
        <w:rPr/>
        <w:t>specimens,</w:t>
      </w:r>
      <w:r>
        <w:rPr>
          <w:spacing w:val="-16"/>
        </w:rPr>
        <w:t> </w:t>
      </w:r>
      <w:r>
        <w:rPr/>
        <w:t>collected</w:t>
      </w:r>
      <w:r>
        <w:rPr>
          <w:spacing w:val="-15"/>
        </w:rPr>
        <w:t> </w:t>
      </w:r>
      <w:r>
        <w:rPr/>
        <w:t>at</w:t>
      </w:r>
      <w:r>
        <w:rPr>
          <w:spacing w:val="-15"/>
        </w:rPr>
        <w:t> </w:t>
      </w:r>
      <w:r>
        <w:rPr/>
        <w:t>different</w:t>
      </w:r>
      <w:r>
        <w:rPr>
          <w:spacing w:val="-16"/>
        </w:rPr>
        <w:t> </w:t>
      </w:r>
      <w:r>
        <w:rPr/>
        <w:t>time</w:t>
      </w:r>
      <w:r>
        <w:rPr>
          <w:spacing w:val="-16"/>
        </w:rPr>
        <w:t> </w:t>
      </w:r>
      <w:r>
        <w:rPr/>
        <w:t>points after onset of symptoms, included in the post market evaluation</w:t>
      </w:r>
      <w:r>
        <w:rPr>
          <w:spacing w:val="-16"/>
        </w:rPr>
        <w:t> </w:t>
      </w:r>
      <w:r>
        <w:rPr/>
        <w:t>study.</w:t>
      </w:r>
    </w:p>
    <w:p>
      <w:pPr>
        <w:pStyle w:val="BodyText"/>
        <w:spacing w:before="4"/>
        <w:rPr>
          <w:sz w:val="19"/>
        </w:rPr>
      </w:pPr>
    </w:p>
    <w:tbl>
      <w:tblPr>
        <w:tblCellSpacing w:w="5" w:type="dxa"/>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4"/>
        <w:gridCol w:w="1418"/>
        <w:gridCol w:w="1417"/>
        <w:gridCol w:w="1560"/>
        <w:gridCol w:w="1552"/>
      </w:tblGrid>
      <w:tr>
        <w:trPr>
          <w:trHeight w:val="1008" w:hRule="atLeast"/>
        </w:trPr>
        <w:tc>
          <w:tcPr>
            <w:tcW w:w="2834" w:type="dxa"/>
            <w:tcBorders>
              <w:right w:val="nil"/>
            </w:tcBorders>
            <w:shd w:val="clear" w:color="auto" w:fill="66CEF5"/>
          </w:tcPr>
          <w:p>
            <w:pPr>
              <w:pStyle w:val="TableParagraph"/>
              <w:spacing w:before="110"/>
              <w:ind w:left="266" w:right="261"/>
              <w:rPr>
                <w:b/>
                <w:sz w:val="20"/>
              </w:rPr>
            </w:pPr>
            <w:r>
              <w:rPr>
                <w:b/>
                <w:sz w:val="20"/>
              </w:rPr>
              <w:t>Period between onset of symptoms and plasma collection</w:t>
            </w:r>
          </w:p>
        </w:tc>
        <w:tc>
          <w:tcPr>
            <w:tcW w:w="1418" w:type="dxa"/>
            <w:tcBorders>
              <w:left w:val="nil"/>
              <w:right w:val="nil"/>
            </w:tcBorders>
            <w:shd w:val="clear" w:color="auto" w:fill="66CEF5"/>
          </w:tcPr>
          <w:p>
            <w:pPr>
              <w:pStyle w:val="TableParagraph"/>
              <w:spacing w:before="110"/>
              <w:ind w:left="103" w:right="103"/>
              <w:rPr>
                <w:b/>
                <w:sz w:val="20"/>
              </w:rPr>
            </w:pPr>
            <w:r>
              <w:rPr>
                <w:b/>
                <w:sz w:val="20"/>
              </w:rPr>
              <w:t>Week 3</w:t>
            </w:r>
          </w:p>
          <w:p>
            <w:pPr>
              <w:pStyle w:val="TableParagraph"/>
              <w:spacing w:before="1"/>
              <w:ind w:left="103" w:right="103"/>
              <w:rPr>
                <w:b/>
                <w:sz w:val="20"/>
              </w:rPr>
            </w:pPr>
            <w:r>
              <w:rPr>
                <w:b/>
                <w:sz w:val="20"/>
              </w:rPr>
              <w:t>(15-21 days)</w:t>
            </w:r>
          </w:p>
        </w:tc>
        <w:tc>
          <w:tcPr>
            <w:tcW w:w="1417" w:type="dxa"/>
            <w:tcBorders>
              <w:left w:val="nil"/>
            </w:tcBorders>
            <w:shd w:val="clear" w:color="auto" w:fill="66CEF5"/>
          </w:tcPr>
          <w:p>
            <w:pPr>
              <w:pStyle w:val="TableParagraph"/>
              <w:spacing w:before="110"/>
              <w:ind w:left="101" w:right="101"/>
              <w:rPr>
                <w:b/>
                <w:sz w:val="20"/>
              </w:rPr>
            </w:pPr>
            <w:r>
              <w:rPr>
                <w:b/>
                <w:sz w:val="20"/>
              </w:rPr>
              <w:t>Week 4</w:t>
            </w:r>
          </w:p>
          <w:p>
            <w:pPr>
              <w:pStyle w:val="TableParagraph"/>
              <w:spacing w:before="1"/>
              <w:ind w:left="105" w:right="101"/>
              <w:rPr>
                <w:b/>
                <w:sz w:val="20"/>
              </w:rPr>
            </w:pPr>
            <w:r>
              <w:rPr>
                <w:b/>
                <w:sz w:val="20"/>
              </w:rPr>
              <w:t>(22-28 days)</w:t>
            </w:r>
          </w:p>
        </w:tc>
        <w:tc>
          <w:tcPr>
            <w:tcW w:w="1560" w:type="dxa"/>
            <w:shd w:val="clear" w:color="auto" w:fill="66CEF5"/>
          </w:tcPr>
          <w:p>
            <w:pPr>
              <w:pStyle w:val="TableParagraph"/>
              <w:spacing w:before="110"/>
              <w:ind w:left="173" w:right="174"/>
              <w:rPr>
                <w:b/>
                <w:sz w:val="20"/>
              </w:rPr>
            </w:pPr>
            <w:r>
              <w:rPr>
                <w:b/>
                <w:sz w:val="20"/>
              </w:rPr>
              <w:t>Week 5</w:t>
            </w:r>
          </w:p>
          <w:p>
            <w:pPr>
              <w:pStyle w:val="TableParagraph"/>
              <w:spacing w:before="1"/>
              <w:ind w:left="174" w:right="174"/>
              <w:rPr>
                <w:b/>
                <w:sz w:val="20"/>
              </w:rPr>
            </w:pPr>
            <w:r>
              <w:rPr>
                <w:b/>
                <w:sz w:val="20"/>
              </w:rPr>
              <w:t>(29-35 days)</w:t>
            </w:r>
          </w:p>
        </w:tc>
        <w:tc>
          <w:tcPr>
            <w:tcW w:w="1552" w:type="dxa"/>
            <w:shd w:val="clear" w:color="auto" w:fill="66CEF5"/>
          </w:tcPr>
          <w:p>
            <w:pPr>
              <w:pStyle w:val="TableParagraph"/>
              <w:spacing w:before="110"/>
              <w:ind w:left="98" w:right="108"/>
              <w:rPr>
                <w:b/>
                <w:sz w:val="20"/>
              </w:rPr>
            </w:pPr>
            <w:r>
              <w:rPr>
                <w:b/>
                <w:sz w:val="20"/>
              </w:rPr>
              <w:t>Week 6</w:t>
            </w:r>
          </w:p>
          <w:p>
            <w:pPr>
              <w:pStyle w:val="TableParagraph"/>
              <w:spacing w:before="1"/>
              <w:ind w:left="102" w:right="108"/>
              <w:rPr>
                <w:b/>
                <w:sz w:val="20"/>
              </w:rPr>
            </w:pPr>
            <w:r>
              <w:rPr>
                <w:b/>
                <w:sz w:val="20"/>
              </w:rPr>
              <w:t>(36 – 42 days)</w:t>
            </w:r>
          </w:p>
        </w:tc>
      </w:tr>
      <w:tr>
        <w:trPr>
          <w:trHeight w:val="552" w:hRule="atLeast"/>
        </w:trPr>
        <w:tc>
          <w:tcPr>
            <w:tcW w:w="2834" w:type="dxa"/>
            <w:tcBorders>
              <w:right w:val="nil"/>
            </w:tcBorders>
            <w:shd w:val="clear" w:color="auto" w:fill="E7EAEB"/>
          </w:tcPr>
          <w:p>
            <w:pPr>
              <w:pStyle w:val="TableParagraph"/>
              <w:spacing w:before="82"/>
              <w:ind w:left="446"/>
              <w:jc w:val="left"/>
              <w:rPr>
                <w:sz w:val="20"/>
              </w:rPr>
            </w:pPr>
            <w:r>
              <w:rPr>
                <w:sz w:val="20"/>
              </w:rPr>
              <w:t>Number of specimens</w:t>
            </w:r>
          </w:p>
        </w:tc>
        <w:tc>
          <w:tcPr>
            <w:tcW w:w="1418" w:type="dxa"/>
            <w:tcBorders>
              <w:left w:val="nil"/>
              <w:right w:val="nil"/>
            </w:tcBorders>
            <w:shd w:val="clear" w:color="auto" w:fill="E7EAEB"/>
          </w:tcPr>
          <w:p>
            <w:pPr>
              <w:pStyle w:val="TableParagraph"/>
              <w:spacing w:before="82"/>
              <w:rPr>
                <w:sz w:val="20"/>
              </w:rPr>
            </w:pPr>
            <w:r>
              <w:rPr>
                <w:w w:val="99"/>
                <w:sz w:val="20"/>
              </w:rPr>
              <w:t>8</w:t>
            </w:r>
          </w:p>
        </w:tc>
        <w:tc>
          <w:tcPr>
            <w:tcW w:w="1417" w:type="dxa"/>
            <w:tcBorders>
              <w:left w:val="nil"/>
            </w:tcBorders>
            <w:shd w:val="clear" w:color="auto" w:fill="E7EAEB"/>
          </w:tcPr>
          <w:p>
            <w:pPr>
              <w:pStyle w:val="TableParagraph"/>
              <w:spacing w:before="82"/>
              <w:ind w:left="103" w:right="101"/>
              <w:rPr>
                <w:sz w:val="20"/>
              </w:rPr>
            </w:pPr>
            <w:r>
              <w:rPr>
                <w:sz w:val="20"/>
              </w:rPr>
              <w:t>25</w:t>
            </w:r>
          </w:p>
        </w:tc>
        <w:tc>
          <w:tcPr>
            <w:tcW w:w="1560" w:type="dxa"/>
            <w:shd w:val="clear" w:color="auto" w:fill="E7EAEB"/>
          </w:tcPr>
          <w:p>
            <w:pPr>
              <w:pStyle w:val="TableParagraph"/>
              <w:spacing w:before="82"/>
              <w:ind w:left="174" w:right="174"/>
              <w:rPr>
                <w:sz w:val="20"/>
              </w:rPr>
            </w:pPr>
            <w:r>
              <w:rPr>
                <w:sz w:val="20"/>
              </w:rPr>
              <w:t>49</w:t>
            </w:r>
          </w:p>
        </w:tc>
        <w:tc>
          <w:tcPr>
            <w:tcW w:w="1552" w:type="dxa"/>
            <w:shd w:val="clear" w:color="auto" w:fill="E7EAEB"/>
          </w:tcPr>
          <w:p>
            <w:pPr>
              <w:pStyle w:val="TableParagraph"/>
              <w:spacing w:before="82"/>
              <w:ind w:left="100" w:right="108"/>
              <w:rPr>
                <w:sz w:val="20"/>
              </w:rPr>
            </w:pPr>
            <w:r>
              <w:rPr>
                <w:sz w:val="20"/>
              </w:rPr>
              <w:t>18</w:t>
            </w:r>
          </w:p>
        </w:tc>
      </w:tr>
    </w:tbl>
    <w:p>
      <w:pPr>
        <w:pStyle w:val="Heading4"/>
        <w:spacing w:before="262"/>
        <w:rPr>
          <w:i/>
        </w:rPr>
      </w:pPr>
      <w:r>
        <w:rPr>
          <w:i/>
        </w:rPr>
        <w:t>Clinical specificity analysis</w:t>
      </w:r>
    </w:p>
    <w:p>
      <w:pPr>
        <w:pStyle w:val="BodyText"/>
        <w:spacing w:line="360" w:lineRule="auto" w:before="160"/>
        <w:ind w:left="120" w:right="856"/>
        <w:jc w:val="both"/>
      </w:pPr>
      <w:r>
        <w:rPr/>
        <w:t>A total of 100 plasma specimens collected from 100 unique blood donations made prior to November 2019 were used to determine the clinical specificity of the assays.</w:t>
      </w:r>
    </w:p>
    <w:p>
      <w:pPr>
        <w:pStyle w:val="BodyText"/>
        <w:spacing w:before="12"/>
        <w:rPr>
          <w:sz w:val="35"/>
        </w:rPr>
      </w:pPr>
    </w:p>
    <w:p>
      <w:pPr>
        <w:pStyle w:val="Heading4"/>
        <w:rPr>
          <w:i/>
        </w:rPr>
      </w:pPr>
      <w:r>
        <w:rPr>
          <w:i/>
        </w:rPr>
        <w:t>Analytical specificity analysis</w:t>
      </w:r>
    </w:p>
    <w:p>
      <w:pPr>
        <w:pStyle w:val="BodyText"/>
        <w:spacing w:line="360" w:lineRule="auto" w:before="161"/>
        <w:ind w:left="120" w:right="854"/>
        <w:jc w:val="both"/>
      </w:pPr>
      <w:r>
        <w:rPr>
          <w:b/>
          <w:sz w:val="22"/>
        </w:rPr>
        <w:t>Cross-reacting specimens </w:t>
      </w:r>
      <w:r>
        <w:rPr>
          <w:sz w:val="22"/>
        </w:rPr>
        <w:t>– </w:t>
      </w:r>
      <w:r>
        <w:rPr/>
        <w:t>A total of 25 specimens from individuals that have confirmed past or recent infection with other organisms that may cause cross- reactivity were tested to determine false reactivity. This panel comprised of samples obtained from individuals with evidence of infection with malaria (n=5); Influenza A, Influenza</w:t>
      </w:r>
      <w:r>
        <w:rPr>
          <w:spacing w:val="-17"/>
        </w:rPr>
        <w:t> </w:t>
      </w:r>
      <w:r>
        <w:rPr/>
        <w:t>B</w:t>
      </w:r>
      <w:r>
        <w:rPr>
          <w:spacing w:val="-19"/>
        </w:rPr>
        <w:t> </w:t>
      </w:r>
      <w:r>
        <w:rPr/>
        <w:t>and</w:t>
      </w:r>
      <w:r>
        <w:rPr>
          <w:spacing w:val="-17"/>
        </w:rPr>
        <w:t> </w:t>
      </w:r>
      <w:r>
        <w:rPr/>
        <w:t>CMV</w:t>
      </w:r>
      <w:r>
        <w:rPr>
          <w:spacing w:val="-18"/>
        </w:rPr>
        <w:t> </w:t>
      </w:r>
      <w:r>
        <w:rPr/>
        <w:t>IgM</w:t>
      </w:r>
      <w:r>
        <w:rPr>
          <w:spacing w:val="-17"/>
        </w:rPr>
        <w:t> </w:t>
      </w:r>
      <w:r>
        <w:rPr/>
        <w:t>positive</w:t>
      </w:r>
      <w:r>
        <w:rPr>
          <w:spacing w:val="-18"/>
        </w:rPr>
        <w:t> </w:t>
      </w:r>
      <w:r>
        <w:rPr/>
        <w:t>(n=3</w:t>
      </w:r>
      <w:r>
        <w:rPr>
          <w:spacing w:val="-18"/>
        </w:rPr>
        <w:t> </w:t>
      </w:r>
      <w:r>
        <w:rPr/>
        <w:t>each);</w:t>
      </w:r>
      <w:r>
        <w:rPr>
          <w:spacing w:val="-16"/>
        </w:rPr>
        <w:t> </w:t>
      </w:r>
      <w:r>
        <w:rPr/>
        <w:t>acute</w:t>
      </w:r>
      <w:r>
        <w:rPr>
          <w:spacing w:val="-19"/>
        </w:rPr>
        <w:t> </w:t>
      </w:r>
      <w:r>
        <w:rPr/>
        <w:t>parvovirus</w:t>
      </w:r>
      <w:r>
        <w:rPr>
          <w:spacing w:val="-19"/>
        </w:rPr>
        <w:t> </w:t>
      </w:r>
      <w:r>
        <w:rPr/>
        <w:t>B19</w:t>
      </w:r>
      <w:r>
        <w:rPr>
          <w:spacing w:val="-17"/>
        </w:rPr>
        <w:t> </w:t>
      </w:r>
      <w:r>
        <w:rPr/>
        <w:t>and</w:t>
      </w:r>
      <w:r>
        <w:rPr>
          <w:spacing w:val="-18"/>
        </w:rPr>
        <w:t> </w:t>
      </w:r>
      <w:r>
        <w:rPr/>
        <w:t>EBV</w:t>
      </w:r>
      <w:r>
        <w:rPr>
          <w:spacing w:val="-17"/>
        </w:rPr>
        <w:t> </w:t>
      </w:r>
      <w:r>
        <w:rPr/>
        <w:t>(n=2</w:t>
      </w:r>
      <w:r>
        <w:rPr>
          <w:spacing w:val="-18"/>
        </w:rPr>
        <w:t> </w:t>
      </w:r>
      <w:r>
        <w:rPr/>
        <w:t>each) and single samples from individuals with acute infections with mycoplasma, parainfluenza, </w:t>
      </w:r>
      <w:r>
        <w:rPr>
          <w:i/>
        </w:rPr>
        <w:t>C. psittaci</w:t>
      </w:r>
      <w:r>
        <w:rPr/>
        <w:t>, Toxoplasma, rubella and Hepatitis A and</w:t>
      </w:r>
      <w:r>
        <w:rPr>
          <w:spacing w:val="-16"/>
        </w:rPr>
        <w:t> </w:t>
      </w:r>
      <w:r>
        <w:rPr/>
        <w:t>B.</w:t>
      </w:r>
    </w:p>
    <w:p>
      <w:pPr>
        <w:spacing w:after="0" w:line="360" w:lineRule="auto"/>
        <w:jc w:val="both"/>
        <w:sectPr>
          <w:pgSz w:w="11910" w:h="16840"/>
          <w:pgMar w:header="1042" w:footer="764" w:top="4180" w:bottom="960" w:left="1320" w:right="580"/>
        </w:sectPr>
      </w:pPr>
    </w:p>
    <w:p>
      <w:pPr>
        <w:pStyle w:val="BodyText"/>
        <w:spacing w:before="4"/>
        <w:rPr>
          <w:sz w:val="29"/>
        </w:rPr>
      </w:pPr>
    </w:p>
    <w:p>
      <w:pPr>
        <w:pStyle w:val="Heading4"/>
        <w:spacing w:before="100"/>
        <w:rPr>
          <w:i/>
        </w:rPr>
      </w:pPr>
      <w:r>
        <w:rPr>
          <w:i/>
        </w:rPr>
        <w:t>Lot-to-lot variation</w:t>
      </w:r>
    </w:p>
    <w:p>
      <w:pPr>
        <w:pStyle w:val="BodyText"/>
        <w:spacing w:line="360" w:lineRule="auto" w:before="161"/>
        <w:ind w:left="119" w:right="856"/>
        <w:jc w:val="both"/>
      </w:pPr>
      <w:r>
        <w:rPr/>
        <w:t>Two</w:t>
      </w:r>
      <w:r>
        <w:rPr>
          <w:spacing w:val="-6"/>
        </w:rPr>
        <w:t> </w:t>
      </w:r>
      <w:r>
        <w:rPr/>
        <w:t>specimens</w:t>
      </w:r>
      <w:r>
        <w:rPr>
          <w:spacing w:val="-7"/>
        </w:rPr>
        <w:t> </w:t>
      </w:r>
      <w:r>
        <w:rPr/>
        <w:t>in</w:t>
      </w:r>
      <w:r>
        <w:rPr>
          <w:spacing w:val="-6"/>
        </w:rPr>
        <w:t> </w:t>
      </w:r>
      <w:r>
        <w:rPr/>
        <w:t>the</w:t>
      </w:r>
      <w:r>
        <w:rPr>
          <w:spacing w:val="-7"/>
        </w:rPr>
        <w:t> </w:t>
      </w:r>
      <w:r>
        <w:rPr/>
        <w:t>clinical</w:t>
      </w:r>
      <w:r>
        <w:rPr>
          <w:spacing w:val="-6"/>
        </w:rPr>
        <w:t> </w:t>
      </w:r>
      <w:r>
        <w:rPr/>
        <w:t>sensitivity</w:t>
      </w:r>
      <w:r>
        <w:rPr>
          <w:spacing w:val="-8"/>
        </w:rPr>
        <w:t> </w:t>
      </w:r>
      <w:r>
        <w:rPr/>
        <w:t>panel</w:t>
      </w:r>
      <w:r>
        <w:rPr>
          <w:spacing w:val="-4"/>
        </w:rPr>
        <w:t> </w:t>
      </w:r>
      <w:r>
        <w:rPr/>
        <w:t>were</w:t>
      </w:r>
      <w:r>
        <w:rPr>
          <w:spacing w:val="-7"/>
        </w:rPr>
        <w:t> </w:t>
      </w:r>
      <w:r>
        <w:rPr/>
        <w:t>used</w:t>
      </w:r>
      <w:r>
        <w:rPr>
          <w:spacing w:val="-7"/>
        </w:rPr>
        <w:t> </w:t>
      </w:r>
      <w:r>
        <w:rPr/>
        <w:t>to</w:t>
      </w:r>
      <w:r>
        <w:rPr>
          <w:spacing w:val="-5"/>
        </w:rPr>
        <w:t> </w:t>
      </w:r>
      <w:r>
        <w:rPr/>
        <w:t>create</w:t>
      </w:r>
      <w:r>
        <w:rPr>
          <w:spacing w:val="-7"/>
        </w:rPr>
        <w:t> </w:t>
      </w:r>
      <w:r>
        <w:rPr/>
        <w:t>a</w:t>
      </w:r>
      <w:r>
        <w:rPr>
          <w:spacing w:val="-4"/>
        </w:rPr>
        <w:t> </w:t>
      </w:r>
      <w:r>
        <w:rPr/>
        <w:t>doubling-dilution series in negative plasma. The same serial dilutions were tested in both reagent lots to identify lot-to-lot</w:t>
      </w:r>
      <w:r>
        <w:rPr>
          <w:spacing w:val="-4"/>
        </w:rPr>
        <w:t> </w:t>
      </w:r>
      <w:r>
        <w:rPr/>
        <w:t>variation.</w:t>
      </w:r>
    </w:p>
    <w:p>
      <w:pPr>
        <w:pStyle w:val="BodyText"/>
        <w:spacing w:before="6"/>
        <w:rPr>
          <w:sz w:val="44"/>
        </w:rPr>
      </w:pPr>
    </w:p>
    <w:p>
      <w:pPr>
        <w:pStyle w:val="Heading2"/>
        <w:numPr>
          <w:ilvl w:val="1"/>
          <w:numId w:val="4"/>
        </w:numPr>
        <w:tabs>
          <w:tab w:pos="839" w:val="left" w:leader="none"/>
          <w:tab w:pos="841" w:val="left" w:leader="none"/>
        </w:tabs>
        <w:spacing w:line="240" w:lineRule="auto" w:before="0" w:after="0"/>
        <w:ind w:left="840" w:right="0" w:hanging="721"/>
        <w:jc w:val="left"/>
      </w:pPr>
      <w:bookmarkStart w:name="2.2  Test Kits" w:id="12"/>
      <w:bookmarkEnd w:id="12"/>
      <w:r>
        <w:rPr/>
      </w:r>
      <w:bookmarkStart w:name="_bookmark4" w:id="13"/>
      <w:bookmarkEnd w:id="13"/>
      <w:r>
        <w:rPr/>
      </w:r>
      <w:bookmarkStart w:name="_bookmark4" w:id="14"/>
      <w:bookmarkEnd w:id="14"/>
      <w:r>
        <w:rPr>
          <w:color w:val="007CC5"/>
          <w:spacing w:val="3"/>
        </w:rPr>
        <w:t>Te</w:t>
      </w:r>
      <w:r>
        <w:rPr>
          <w:color w:val="007CC5"/>
          <w:spacing w:val="3"/>
        </w:rPr>
        <w:t>st</w:t>
      </w:r>
      <w:r>
        <w:rPr>
          <w:color w:val="007CC5"/>
          <w:spacing w:val="9"/>
        </w:rPr>
        <w:t> </w:t>
      </w:r>
      <w:r>
        <w:rPr>
          <w:color w:val="007CC5"/>
          <w:spacing w:val="3"/>
        </w:rPr>
        <w:t>Kits</w:t>
      </w:r>
    </w:p>
    <w:p>
      <w:pPr>
        <w:pStyle w:val="BodyText"/>
        <w:spacing w:line="360" w:lineRule="auto" w:before="142"/>
        <w:ind w:left="119" w:right="853"/>
        <w:jc w:val="both"/>
      </w:pPr>
      <w:r>
        <w:rPr/>
        <w:t>A total of three serology PoCTs were included in the current study: Nantong Egens COVID-19 IgM/IgG Rapid Test Kit (Egens), Healgen COVID-19 IgG/IgM Rapid Test Cassette (Healgen), and Newscen COVID-19 IgG/IgM Rapid Test Cassette (Newscen). The test kits were stored in a temperature and humidity-controlled environment. All testing was performed according to the manufacturer’s instructions for use (IFU). The same panel of specimens were tested on each test kit.</w:t>
      </w:r>
    </w:p>
    <w:p>
      <w:pPr>
        <w:pStyle w:val="BodyText"/>
        <w:spacing w:line="360" w:lineRule="auto"/>
        <w:ind w:left="119" w:right="858"/>
        <w:jc w:val="both"/>
      </w:pPr>
      <w:r>
        <w:rPr/>
        <w:t>All test kits assessed in this study are lateral flow serological assay. Common features are that:</w:t>
      </w:r>
    </w:p>
    <w:p>
      <w:pPr>
        <w:pStyle w:val="ListParagraph"/>
        <w:numPr>
          <w:ilvl w:val="0"/>
          <w:numId w:val="5"/>
        </w:numPr>
        <w:tabs>
          <w:tab w:pos="891" w:val="left" w:leader="none"/>
        </w:tabs>
        <w:spacing w:line="360" w:lineRule="auto" w:before="0" w:after="0"/>
        <w:ind w:left="890" w:right="856" w:hanging="471"/>
        <w:jc w:val="both"/>
        <w:rPr>
          <w:sz w:val="24"/>
        </w:rPr>
      </w:pPr>
      <w:r>
        <w:rPr>
          <w:sz w:val="24"/>
        </w:rPr>
        <w:t>they</w:t>
      </w:r>
      <w:r>
        <w:rPr>
          <w:spacing w:val="-21"/>
          <w:sz w:val="24"/>
        </w:rPr>
        <w:t> </w:t>
      </w:r>
      <w:r>
        <w:rPr>
          <w:sz w:val="24"/>
        </w:rPr>
        <w:t>are</w:t>
      </w:r>
      <w:r>
        <w:rPr>
          <w:spacing w:val="-19"/>
          <w:sz w:val="24"/>
        </w:rPr>
        <w:t> </w:t>
      </w:r>
      <w:r>
        <w:rPr>
          <w:sz w:val="24"/>
        </w:rPr>
        <w:t>single</w:t>
      </w:r>
      <w:r>
        <w:rPr>
          <w:spacing w:val="-19"/>
          <w:sz w:val="24"/>
        </w:rPr>
        <w:t> </w:t>
      </w:r>
      <w:r>
        <w:rPr>
          <w:sz w:val="24"/>
        </w:rPr>
        <w:t>use</w:t>
      </w:r>
      <w:r>
        <w:rPr>
          <w:spacing w:val="-18"/>
          <w:sz w:val="24"/>
        </w:rPr>
        <w:t> </w:t>
      </w:r>
      <w:r>
        <w:rPr>
          <w:sz w:val="24"/>
        </w:rPr>
        <w:t>immunochromatographic</w:t>
      </w:r>
      <w:r>
        <w:rPr>
          <w:spacing w:val="-21"/>
          <w:sz w:val="24"/>
        </w:rPr>
        <w:t> </w:t>
      </w:r>
      <w:r>
        <w:rPr>
          <w:sz w:val="24"/>
        </w:rPr>
        <w:t>lateral</w:t>
      </w:r>
      <w:r>
        <w:rPr>
          <w:spacing w:val="-21"/>
          <w:sz w:val="24"/>
        </w:rPr>
        <w:t> </w:t>
      </w:r>
      <w:r>
        <w:rPr>
          <w:sz w:val="24"/>
        </w:rPr>
        <w:t>flow</w:t>
      </w:r>
      <w:r>
        <w:rPr>
          <w:spacing w:val="-18"/>
          <w:sz w:val="24"/>
        </w:rPr>
        <w:t> </w:t>
      </w:r>
      <w:r>
        <w:rPr>
          <w:sz w:val="24"/>
        </w:rPr>
        <w:t>tests,</w:t>
      </w:r>
      <w:r>
        <w:rPr>
          <w:spacing w:val="-16"/>
          <w:sz w:val="24"/>
        </w:rPr>
        <w:t> </w:t>
      </w:r>
      <w:r>
        <w:rPr>
          <w:sz w:val="24"/>
        </w:rPr>
        <w:t>for</w:t>
      </w:r>
      <w:r>
        <w:rPr>
          <w:spacing w:val="-20"/>
          <w:sz w:val="24"/>
        </w:rPr>
        <w:t> </w:t>
      </w:r>
      <w:r>
        <w:rPr>
          <w:sz w:val="24"/>
        </w:rPr>
        <w:t>the</w:t>
      </w:r>
      <w:r>
        <w:rPr>
          <w:spacing w:val="-19"/>
          <w:sz w:val="24"/>
        </w:rPr>
        <w:t> </w:t>
      </w:r>
      <w:r>
        <w:rPr>
          <w:sz w:val="24"/>
        </w:rPr>
        <w:t>detection of IgM and/or IgG in serum, plasma or whole</w:t>
      </w:r>
      <w:r>
        <w:rPr>
          <w:spacing w:val="-12"/>
          <w:sz w:val="24"/>
        </w:rPr>
        <w:t> </w:t>
      </w:r>
      <w:r>
        <w:rPr>
          <w:sz w:val="24"/>
        </w:rPr>
        <w:t>blood</w:t>
      </w:r>
    </w:p>
    <w:p>
      <w:pPr>
        <w:pStyle w:val="ListParagraph"/>
        <w:numPr>
          <w:ilvl w:val="0"/>
          <w:numId w:val="5"/>
        </w:numPr>
        <w:tabs>
          <w:tab w:pos="891" w:val="left" w:leader="none"/>
        </w:tabs>
        <w:spacing w:line="360" w:lineRule="auto" w:before="0" w:after="0"/>
        <w:ind w:left="890" w:right="859" w:hanging="528"/>
        <w:jc w:val="both"/>
        <w:rPr>
          <w:sz w:val="24"/>
        </w:rPr>
      </w:pPr>
      <w:r>
        <w:rPr>
          <w:sz w:val="24"/>
        </w:rPr>
        <w:t>the specific SARS-CoV-2 recombinant antigen(s) incorporated into the assay are not described in the</w:t>
      </w:r>
      <w:r>
        <w:rPr>
          <w:spacing w:val="-7"/>
          <w:sz w:val="24"/>
        </w:rPr>
        <w:t> </w:t>
      </w:r>
      <w:r>
        <w:rPr>
          <w:sz w:val="24"/>
        </w:rPr>
        <w:t>IFU</w:t>
      </w:r>
    </w:p>
    <w:p>
      <w:pPr>
        <w:spacing w:after="0" w:line="360" w:lineRule="auto"/>
        <w:jc w:val="both"/>
        <w:rPr>
          <w:sz w:val="24"/>
        </w:rPr>
        <w:sectPr>
          <w:pgSz w:w="11910" w:h="16840"/>
          <w:pgMar w:header="1042" w:footer="764" w:top="4180" w:bottom="960" w:left="1320" w:right="580"/>
        </w:sectPr>
      </w:pPr>
    </w:p>
    <w:p>
      <w:pPr>
        <w:pStyle w:val="BodyText"/>
        <w:spacing w:before="4"/>
        <w:rPr>
          <w:sz w:val="29"/>
        </w:rPr>
      </w:pPr>
    </w:p>
    <w:p>
      <w:pPr>
        <w:pStyle w:val="ListParagraph"/>
        <w:numPr>
          <w:ilvl w:val="0"/>
          <w:numId w:val="5"/>
        </w:numPr>
        <w:tabs>
          <w:tab w:pos="891" w:val="left" w:leader="none"/>
        </w:tabs>
        <w:spacing w:line="360" w:lineRule="auto" w:before="100" w:after="0"/>
        <w:ind w:left="890" w:right="855" w:hanging="588"/>
        <w:jc w:val="both"/>
        <w:rPr>
          <w:sz w:val="24"/>
        </w:rPr>
      </w:pPr>
      <w:r>
        <w:rPr>
          <w:sz w:val="24"/>
        </w:rPr>
        <w:t>IFUs indicate that test results should not be used as the sole basis for clinical management</w:t>
      </w:r>
      <w:r>
        <w:rPr>
          <w:spacing w:val="-10"/>
          <w:sz w:val="24"/>
        </w:rPr>
        <w:t> </w:t>
      </w:r>
      <w:r>
        <w:rPr>
          <w:sz w:val="24"/>
        </w:rPr>
        <w:t>decisions,</w:t>
      </w:r>
      <w:r>
        <w:rPr>
          <w:spacing w:val="-8"/>
          <w:sz w:val="24"/>
        </w:rPr>
        <w:t> </w:t>
      </w:r>
      <w:r>
        <w:rPr>
          <w:sz w:val="24"/>
        </w:rPr>
        <w:t>requiring</w:t>
      </w:r>
      <w:r>
        <w:rPr>
          <w:spacing w:val="-9"/>
          <w:sz w:val="24"/>
        </w:rPr>
        <w:t> </w:t>
      </w:r>
      <w:r>
        <w:rPr>
          <w:sz w:val="24"/>
        </w:rPr>
        <w:t>interpretation</w:t>
      </w:r>
      <w:r>
        <w:rPr>
          <w:spacing w:val="-8"/>
          <w:sz w:val="24"/>
        </w:rPr>
        <w:t> </w:t>
      </w:r>
      <w:r>
        <w:rPr>
          <w:sz w:val="24"/>
        </w:rPr>
        <w:t>alongside</w:t>
      </w:r>
      <w:r>
        <w:rPr>
          <w:spacing w:val="-10"/>
          <w:sz w:val="24"/>
        </w:rPr>
        <w:t> </w:t>
      </w:r>
      <w:r>
        <w:rPr>
          <w:sz w:val="24"/>
        </w:rPr>
        <w:t>clinical</w:t>
      </w:r>
      <w:r>
        <w:rPr>
          <w:spacing w:val="-10"/>
          <w:sz w:val="24"/>
        </w:rPr>
        <w:t> </w:t>
      </w:r>
      <w:r>
        <w:rPr>
          <w:sz w:val="24"/>
        </w:rPr>
        <w:t>features</w:t>
      </w:r>
      <w:r>
        <w:rPr>
          <w:spacing w:val="-10"/>
          <w:sz w:val="24"/>
        </w:rPr>
        <w:t> </w:t>
      </w:r>
      <w:r>
        <w:rPr>
          <w:sz w:val="24"/>
        </w:rPr>
        <w:t>and other diagnostic (molecular)</w:t>
      </w:r>
      <w:r>
        <w:rPr>
          <w:spacing w:val="-6"/>
          <w:sz w:val="24"/>
        </w:rPr>
        <w:t> </w:t>
      </w:r>
      <w:r>
        <w:rPr>
          <w:sz w:val="24"/>
        </w:rPr>
        <w:t>assays.</w:t>
      </w:r>
    </w:p>
    <w:p>
      <w:pPr>
        <w:pStyle w:val="BodyText"/>
        <w:rPr>
          <w:sz w:val="36"/>
        </w:rPr>
      </w:pPr>
    </w:p>
    <w:p>
      <w:pPr>
        <w:pStyle w:val="BodyText"/>
        <w:ind w:left="119"/>
      </w:pPr>
      <w:r>
        <w:rPr/>
        <w:pict>
          <v:group style="position:absolute;margin-left:72pt;margin-top:24.10923pt;width:489pt;height:82.35pt;mso-position-horizontal-relative:page;mso-position-vertical-relative:paragraph;z-index:-16360448" coordorigin="1440,482" coordsize="9780,1647">
            <v:shape style="position:absolute;left:1440;top:482;width:9780;height:490" coordorigin="1440,482" coordsize="9780,490" path="m3420,482l1440,482,1440,972,3420,972,3420,482xm8381,482l3430,482,3430,972,8381,972,8381,482xm11220,482l8390,482,8390,972,11220,972,11220,482xe" filled="true" fillcolor="#66cef5" stroked="false">
              <v:path arrowok="t"/>
              <v:fill type="solid"/>
            </v:shape>
            <v:shape style="position:absolute;left:2064;top:599;width:754;height:223" type="#_x0000_t202" filled="false" stroked="false">
              <v:textbox inset="0,0,0,0">
                <w:txbxContent>
                  <w:p>
                    <w:pPr>
                      <w:spacing w:line="223" w:lineRule="exact" w:before="0"/>
                      <w:ind w:left="0" w:right="0" w:firstLine="0"/>
                      <w:jc w:val="left"/>
                      <w:rPr>
                        <w:rFonts w:ascii="Arial"/>
                        <w:b/>
                        <w:sz w:val="20"/>
                      </w:rPr>
                    </w:pPr>
                    <w:r>
                      <w:rPr>
                        <w:rFonts w:ascii="Arial"/>
                        <w:b/>
                        <w:sz w:val="20"/>
                      </w:rPr>
                      <w:t>Test Kit</w:t>
                    </w:r>
                  </w:p>
                </w:txbxContent>
              </v:textbox>
              <w10:wrap type="none"/>
            </v:shape>
            <v:shape style="position:absolute;left:5270;top:599;width:1285;height:223" type="#_x0000_t202" filled="false" stroked="false">
              <v:textbox inset="0,0,0,0">
                <w:txbxContent>
                  <w:p>
                    <w:pPr>
                      <w:spacing w:line="223" w:lineRule="exact" w:before="0"/>
                      <w:ind w:left="0" w:right="0" w:firstLine="0"/>
                      <w:jc w:val="left"/>
                      <w:rPr>
                        <w:rFonts w:ascii="Arial"/>
                        <w:b/>
                        <w:sz w:val="20"/>
                      </w:rPr>
                    </w:pPr>
                    <w:r>
                      <w:rPr>
                        <w:rFonts w:ascii="Arial"/>
                        <w:b/>
                        <w:sz w:val="20"/>
                      </w:rPr>
                      <w:t>Manufacturer</w:t>
                    </w:r>
                  </w:p>
                </w:txbxContent>
              </v:textbox>
              <w10:wrap type="none"/>
            </v:shape>
            <v:shape style="position:absolute;left:8980;top:599;width:1662;height:223" type="#_x0000_t202" filled="false" stroked="false">
              <v:textbox inset="0,0,0,0">
                <w:txbxContent>
                  <w:p>
                    <w:pPr>
                      <w:spacing w:line="223" w:lineRule="exact" w:before="0"/>
                      <w:ind w:left="0" w:right="0" w:firstLine="0"/>
                      <w:jc w:val="left"/>
                      <w:rPr>
                        <w:rFonts w:ascii="Arial"/>
                        <w:b/>
                        <w:sz w:val="20"/>
                      </w:rPr>
                    </w:pPr>
                    <w:r>
                      <w:rPr>
                        <w:rFonts w:ascii="Arial"/>
                        <w:b/>
                        <w:sz w:val="20"/>
                      </w:rPr>
                      <w:t>Batch Numbers #</w:t>
                    </w:r>
                  </w:p>
                </w:txbxContent>
              </v:textbox>
              <w10:wrap type="none"/>
            </v:shape>
            <v:shape style="position:absolute;left:8385;top:983;width:2835;height:567" type="#_x0000_t202" filled="true" fillcolor="#e7eaeb" stroked="false">
              <v:textbox inset="0,0,0,0">
                <w:txbxContent>
                  <w:p>
                    <w:pPr>
                      <w:spacing w:before="84"/>
                      <w:ind w:left="108" w:right="0" w:firstLine="0"/>
                      <w:jc w:val="left"/>
                      <w:rPr>
                        <w:sz w:val="20"/>
                      </w:rPr>
                    </w:pPr>
                    <w:r>
                      <w:rPr>
                        <w:sz w:val="20"/>
                      </w:rPr>
                      <w:t>20200606</w:t>
                    </w:r>
                  </w:p>
                </w:txbxContent>
              </v:textbox>
              <v:fill type="solid"/>
              <w10:wrap type="none"/>
            </v:shape>
            <v:shape style="position:absolute;left:3429;top:983;width:4952;height:1145" type="#_x0000_t202" filled="true" fillcolor="#e7eaeb" stroked="false">
              <v:textbox inset="0,0,0,0">
                <w:txbxContent>
                  <w:p>
                    <w:pPr>
                      <w:spacing w:before="84"/>
                      <w:ind w:left="103" w:right="0" w:firstLine="0"/>
                      <w:jc w:val="left"/>
                      <w:rPr>
                        <w:sz w:val="20"/>
                      </w:rPr>
                    </w:pPr>
                    <w:r>
                      <w:rPr>
                        <w:sz w:val="20"/>
                      </w:rPr>
                      <w:t>Nantong Egens Biotechnology Co Ltd</w:t>
                    </w:r>
                  </w:p>
                  <w:p>
                    <w:pPr>
                      <w:spacing w:before="132"/>
                      <w:ind w:left="103" w:right="0" w:firstLine="0"/>
                      <w:jc w:val="left"/>
                      <w:rPr>
                        <w:i/>
                        <w:sz w:val="20"/>
                      </w:rPr>
                    </w:pPr>
                    <w:r>
                      <w:rPr>
                        <w:i/>
                        <w:sz w:val="20"/>
                      </w:rPr>
                      <w:t>Lavinia Medical Pty Ltd</w:t>
                    </w:r>
                  </w:p>
                </w:txbxContent>
              </v:textbox>
              <v:fill type="solid"/>
              <w10:wrap type="none"/>
            </v:shape>
            <v:shape style="position:absolute;left:1440;top:983;width:1980;height:1145" type="#_x0000_t202" filled="true" fillcolor="#e7eaeb" stroked="false">
              <v:textbox inset="0,0,0,0">
                <w:txbxContent>
                  <w:p>
                    <w:pPr>
                      <w:spacing w:line="240" w:lineRule="auto" w:before="3"/>
                      <w:rPr>
                        <w:sz w:val="31"/>
                      </w:rPr>
                    </w:pPr>
                  </w:p>
                  <w:p>
                    <w:pPr>
                      <w:spacing w:before="0"/>
                      <w:ind w:left="108" w:right="0" w:firstLine="0"/>
                      <w:jc w:val="left"/>
                      <w:rPr>
                        <w:sz w:val="20"/>
                      </w:rPr>
                    </w:pPr>
                    <w:r>
                      <w:rPr>
                        <w:sz w:val="20"/>
                      </w:rPr>
                      <w:t>Egens</w:t>
                    </w:r>
                  </w:p>
                </w:txbxContent>
              </v:textbox>
              <v:fill type="solid"/>
              <w10:wrap type="none"/>
            </v:shape>
            <w10:wrap type="none"/>
          </v:group>
        </w:pict>
      </w:r>
      <w:r>
        <w:rPr>
          <w:b/>
        </w:rPr>
        <w:t>Table 2. </w:t>
      </w:r>
      <w:r>
        <w:rPr/>
        <w:t>Test kits, manufacturer and reagent lot numbers tested in post market study.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0"/>
        </w:rPr>
      </w:pPr>
      <w:r>
        <w:rPr/>
        <w:pict>
          <v:group style="position:absolute;margin-left:72pt;margin-top:8.952735pt;width:489pt;height:152.8pt;mso-position-horizontal-relative:page;mso-position-vertical-relative:paragraph;z-index:-15728640;mso-wrap-distance-left:0;mso-wrap-distance-right:0" coordorigin="1440,179" coordsize="9780,3056">
            <v:shape style="position:absolute;left:1440;top:745;width:6946;height:84" coordorigin="1440,745" coordsize="6946,84" path="m8386,745l3425,745,1440,745,1440,829,3425,829,8386,829,8386,745xe" filled="true" fillcolor="#f3f5f6" stroked="false">
              <v:path arrowok="t"/>
              <v:fill type="solid"/>
            </v:shape>
            <v:shape style="position:absolute;left:3420;top:263;width:4971;height:569" coordorigin="3420,263" coordsize="4971,569" path="m3430,263l3420,263,3420,832,3430,832,3430,263xm8390,263l8381,263,8381,832,8390,832,8390,263xe" filled="true" fillcolor="#ffffff" stroked="false">
              <v:path arrowok="t"/>
              <v:fill type="solid"/>
            </v:shape>
            <v:shape style="position:absolute;left:1440;top:843;width:9780;height:1148" coordorigin="1440,844" coordsize="9780,1148" path="m3420,1989l1440,1989,1440,1991,3420,1991,3420,1989xm3420,844l1440,844,1440,1905,3420,1905,3420,844xm8381,1989l3430,1989,3430,1991,8381,1991,8381,1989xm8381,844l3430,844,3430,1905,8381,1905,8381,844xm11220,844l8390,844,8390,1410,11220,1410,11220,844xe" filled="true" fillcolor="#e7eaeb" stroked="false">
              <v:path arrowok="t"/>
              <v:fill type="solid"/>
            </v:shape>
            <v:shape style="position:absolute;left:1440;top:1904;width:6946;height:84" coordorigin="1440,1905" coordsize="6946,84" path="m8386,1905l3425,1905,1440,1905,1440,1989,3425,1989,8386,1989,8386,1905xe" filled="true" fillcolor="#f3f5f6" stroked="false">
              <v:path arrowok="t"/>
              <v:fill type="solid"/>
            </v:shape>
            <v:shape style="position:absolute;left:3420;top:1508;width:4971;height:483" coordorigin="3420,1509" coordsize="4971,483" path="m3430,1509l3420,1509,3420,1991,3430,1991,3430,1509xm8390,1509l8381,1509,8381,1991,8390,1991,8390,1509xe" filled="true" fillcolor="#ffffff" stroked="false">
              <v:path arrowok="t"/>
              <v:fill type="solid"/>
            </v:shape>
            <v:shape style="position:absolute;left:1440;top:2003;width:9780;height:1232" coordorigin="1440,2003" coordsize="9780,1232" path="m3420,3232l1440,3232,1440,3234,3420,3234,3420,3232xm3420,2003l1440,2003,1440,3148,3420,3148,3420,2003xm8381,3232l3430,3232,3430,3234,8381,3234,8381,3232xm8381,2003l3430,2003,3430,3148,8381,3148,8381,2003xm11220,2003l8390,2003,8390,2569,11220,2569,11220,2003xe" filled="true" fillcolor="#e7eaeb" stroked="false">
              <v:path arrowok="t"/>
              <v:fill type="solid"/>
            </v:shape>
            <v:shape style="position:absolute;left:1440;top:3147;width:6946;height:84" coordorigin="1440,3148" coordsize="6946,84" path="m8386,3148l3425,3148,1440,3148,1440,3232,3425,3232,8386,3232,8386,3148xe" filled="true" fillcolor="#f3f5f6" stroked="false">
              <v:path arrowok="t"/>
              <v:fill type="solid"/>
            </v:shape>
            <v:shape style="position:absolute;left:3420;top:2665;width:4971;height:569" coordorigin="3420,2665" coordsize="4971,569" path="m3430,2665l3420,2665,3420,3234,3430,3234,3430,2665xm8390,2665l8381,2665,8381,3234,8390,3234,8390,2665xe" filled="true" fillcolor="#ffffff" stroked="false">
              <v:path arrowok="t"/>
              <v:fill type="solid"/>
            </v:shape>
            <v:shape style="position:absolute;left:8493;top:928;width:776;height:265" type="#_x0000_t202" filled="false" stroked="false">
              <v:textbox inset="0,0,0,0">
                <w:txbxContent>
                  <w:p>
                    <w:pPr>
                      <w:spacing w:line="265" w:lineRule="exact" w:before="0"/>
                      <w:ind w:left="0" w:right="0" w:firstLine="0"/>
                      <w:jc w:val="left"/>
                      <w:rPr>
                        <w:sz w:val="20"/>
                      </w:rPr>
                    </w:pPr>
                    <w:r>
                      <w:rPr>
                        <w:sz w:val="20"/>
                      </w:rPr>
                      <w:t>2004173</w:t>
                    </w:r>
                  </w:p>
                </w:txbxContent>
              </v:textbox>
              <w10:wrap type="none"/>
            </v:shape>
            <v:shape style="position:absolute;left:1548;top:1219;width:749;height:265" type="#_x0000_t202" filled="false" stroked="false">
              <v:textbox inset="0,0,0,0">
                <w:txbxContent>
                  <w:p>
                    <w:pPr>
                      <w:spacing w:line="265" w:lineRule="exact" w:before="0"/>
                      <w:ind w:left="0" w:right="0" w:firstLine="0"/>
                      <w:jc w:val="left"/>
                      <w:rPr>
                        <w:sz w:val="20"/>
                      </w:rPr>
                    </w:pPr>
                    <w:r>
                      <w:rPr>
                        <w:sz w:val="20"/>
                      </w:rPr>
                      <w:t>Healgen</w:t>
                    </w:r>
                  </w:p>
                </w:txbxContent>
              </v:textbox>
              <w10:wrap type="none"/>
            </v:shape>
            <v:shape style="position:absolute;left:3532;top:1020;width:2751;height:664" type="#_x0000_t202" filled="false" stroked="false">
              <v:textbox inset="0,0,0,0">
                <w:txbxContent>
                  <w:p>
                    <w:pPr>
                      <w:spacing w:line="265" w:lineRule="exact" w:before="0"/>
                      <w:ind w:left="0" w:right="0" w:firstLine="0"/>
                      <w:jc w:val="left"/>
                      <w:rPr>
                        <w:sz w:val="20"/>
                      </w:rPr>
                    </w:pPr>
                    <w:r>
                      <w:rPr>
                        <w:sz w:val="20"/>
                      </w:rPr>
                      <w:t>Healgen Scientific Ltd</w:t>
                    </w:r>
                  </w:p>
                  <w:p>
                    <w:pPr>
                      <w:spacing w:line="266" w:lineRule="exact" w:before="132"/>
                      <w:ind w:left="0" w:right="0" w:firstLine="0"/>
                      <w:jc w:val="left"/>
                      <w:rPr>
                        <w:i/>
                        <w:sz w:val="20"/>
                      </w:rPr>
                    </w:pPr>
                    <w:r>
                      <w:rPr>
                        <w:i/>
                        <w:sz w:val="20"/>
                      </w:rPr>
                      <w:t>Southwind International Pty Ltd</w:t>
                    </w:r>
                  </w:p>
                </w:txbxContent>
              </v:textbox>
              <w10:wrap type="none"/>
            </v:shape>
            <v:shape style="position:absolute;left:3532;top:2088;width:3795;height:664" type="#_x0000_t202" filled="false" stroked="false">
              <v:textbox inset="0,0,0,0">
                <w:txbxContent>
                  <w:p>
                    <w:pPr>
                      <w:spacing w:line="265" w:lineRule="exact" w:before="0"/>
                      <w:ind w:left="0" w:right="0" w:firstLine="0"/>
                      <w:jc w:val="left"/>
                      <w:rPr>
                        <w:sz w:val="20"/>
                      </w:rPr>
                    </w:pPr>
                    <w:r>
                      <w:rPr>
                        <w:sz w:val="20"/>
                      </w:rPr>
                      <w:t>Newscen Coast Bio-pharmaceutical Co. Ltd</w:t>
                    </w:r>
                  </w:p>
                  <w:p>
                    <w:pPr>
                      <w:spacing w:line="266" w:lineRule="exact" w:before="132"/>
                      <w:ind w:left="0" w:right="0" w:firstLine="0"/>
                      <w:jc w:val="left"/>
                      <w:rPr>
                        <w:i/>
                        <w:sz w:val="20"/>
                      </w:rPr>
                    </w:pPr>
                    <w:r>
                      <w:rPr>
                        <w:i/>
                        <w:sz w:val="20"/>
                      </w:rPr>
                      <w:t>Kissun Pharmaceuticals Pty Ltd</w:t>
                    </w:r>
                  </w:p>
                </w:txbxContent>
              </v:textbox>
              <w10:wrap type="none"/>
            </v:shape>
            <v:shape style="position:absolute;left:8493;top:2088;width:915;height:265" type="#_x0000_t202" filled="false" stroked="false">
              <v:textbox inset="0,0,0,0">
                <w:txbxContent>
                  <w:p>
                    <w:pPr>
                      <w:spacing w:line="265" w:lineRule="exact" w:before="0"/>
                      <w:ind w:left="0" w:right="0" w:firstLine="0"/>
                      <w:jc w:val="left"/>
                      <w:rPr>
                        <w:sz w:val="20"/>
                      </w:rPr>
                    </w:pPr>
                    <w:r>
                      <w:rPr>
                        <w:sz w:val="20"/>
                      </w:rPr>
                      <w:t>Y07G2002</w:t>
                    </w:r>
                  </w:p>
                </w:txbxContent>
              </v:textbox>
              <w10:wrap type="none"/>
            </v:shape>
            <v:shape style="position:absolute;left:1548;top:2419;width:811;height:265" type="#_x0000_t202" filled="false" stroked="false">
              <v:textbox inset="0,0,0,0">
                <w:txbxContent>
                  <w:p>
                    <w:pPr>
                      <w:spacing w:line="265" w:lineRule="exact" w:before="0"/>
                      <w:ind w:left="0" w:right="0" w:firstLine="0"/>
                      <w:jc w:val="left"/>
                      <w:rPr>
                        <w:sz w:val="20"/>
                      </w:rPr>
                    </w:pPr>
                    <w:r>
                      <w:rPr>
                        <w:sz w:val="20"/>
                      </w:rPr>
                      <w:t>Newscen</w:t>
                    </w:r>
                  </w:p>
                </w:txbxContent>
              </v:textbox>
              <w10:wrap type="none"/>
            </v:shape>
            <v:shape style="position:absolute;left:8390;top:179;width:2830;height:609" type="#_x0000_t202" filled="true" fillcolor="#f3f5f6" stroked="false">
              <v:textbox inset="0,0,0,0">
                <w:txbxContent>
                  <w:p>
                    <w:pPr>
                      <w:spacing w:before="127"/>
                      <w:ind w:left="103" w:right="0" w:firstLine="0"/>
                      <w:jc w:val="left"/>
                      <w:rPr>
                        <w:sz w:val="20"/>
                      </w:rPr>
                    </w:pPr>
                    <w:r>
                      <w:rPr>
                        <w:sz w:val="20"/>
                      </w:rPr>
                      <w:t>20200402</w:t>
                    </w:r>
                  </w:p>
                </w:txbxContent>
              </v:textbox>
              <v:fill type="solid"/>
              <w10:wrap type="none"/>
            </v:shape>
            <v:shape style="position:absolute;left:8390;top:2581;width:2830;height:653" type="#_x0000_t202" filled="true" fillcolor="#f3f5f6" stroked="false">
              <v:textbox inset="0,0,0,0">
                <w:txbxContent>
                  <w:p>
                    <w:pPr>
                      <w:spacing w:before="127"/>
                      <w:ind w:left="103" w:right="0" w:firstLine="0"/>
                      <w:jc w:val="left"/>
                      <w:rPr>
                        <w:sz w:val="20"/>
                      </w:rPr>
                    </w:pPr>
                    <w:r>
                      <w:rPr>
                        <w:sz w:val="20"/>
                      </w:rPr>
                      <w:t>Y07G2003</w:t>
                    </w:r>
                  </w:p>
                </w:txbxContent>
              </v:textbox>
              <v:fill type="solid"/>
              <w10:wrap type="none"/>
            </v:shape>
            <v:shape style="position:absolute;left:8390;top:1422;width:2830;height:569" type="#_x0000_t202" filled="true" fillcolor="#f3f5f6" stroked="false">
              <v:textbox inset="0,0,0,0">
                <w:txbxContent>
                  <w:p>
                    <w:pPr>
                      <w:spacing w:before="84"/>
                      <w:ind w:left="103" w:right="0" w:firstLine="0"/>
                      <w:jc w:val="left"/>
                      <w:rPr>
                        <w:sz w:val="20"/>
                      </w:rPr>
                    </w:pPr>
                    <w:r>
                      <w:rPr>
                        <w:sz w:val="20"/>
                      </w:rPr>
                      <w:t>2004159</w:t>
                    </w:r>
                  </w:p>
                </w:txbxContent>
              </v:textbox>
              <v:fill type="solid"/>
              <w10:wrap type="none"/>
            </v:shape>
            <w10:wrap type="topAndBottom"/>
          </v:group>
        </w:pict>
      </w:r>
    </w:p>
    <w:p>
      <w:pPr>
        <w:pStyle w:val="BodyText"/>
        <w:spacing w:before="12"/>
        <w:rPr>
          <w:sz w:val="26"/>
        </w:rPr>
      </w:pPr>
    </w:p>
    <w:p>
      <w:pPr>
        <w:pStyle w:val="BodyText"/>
        <w:spacing w:line="360" w:lineRule="auto" w:before="100"/>
        <w:ind w:left="119" w:right="854"/>
        <w:jc w:val="both"/>
      </w:pPr>
      <w:r>
        <w:rPr/>
        <w:t>Immunochromatographic</w:t>
      </w:r>
      <w:r>
        <w:rPr>
          <w:spacing w:val="-12"/>
        </w:rPr>
        <w:t> </w:t>
      </w:r>
      <w:r>
        <w:rPr/>
        <w:t>assays</w:t>
      </w:r>
      <w:r>
        <w:rPr>
          <w:spacing w:val="-9"/>
        </w:rPr>
        <w:t> </w:t>
      </w:r>
      <w:r>
        <w:rPr/>
        <w:t>involve</w:t>
      </w:r>
      <w:r>
        <w:rPr>
          <w:spacing w:val="-12"/>
        </w:rPr>
        <w:t> </w:t>
      </w:r>
      <w:r>
        <w:rPr/>
        <w:t>the</w:t>
      </w:r>
      <w:r>
        <w:rPr>
          <w:spacing w:val="-12"/>
        </w:rPr>
        <w:t> </w:t>
      </w:r>
      <w:r>
        <w:rPr/>
        <w:t>detection</w:t>
      </w:r>
      <w:r>
        <w:rPr>
          <w:spacing w:val="-11"/>
        </w:rPr>
        <w:t> </w:t>
      </w:r>
      <w:r>
        <w:rPr/>
        <w:t>of</w:t>
      </w:r>
      <w:r>
        <w:rPr>
          <w:spacing w:val="-11"/>
        </w:rPr>
        <w:t> </w:t>
      </w:r>
      <w:r>
        <w:rPr/>
        <w:t>anti-SARS-CoV-2</w:t>
      </w:r>
      <w:r>
        <w:rPr>
          <w:spacing w:val="-11"/>
        </w:rPr>
        <w:t> </w:t>
      </w:r>
      <w:r>
        <w:rPr/>
        <w:t>IgM</w:t>
      </w:r>
      <w:r>
        <w:rPr>
          <w:spacing w:val="-10"/>
        </w:rPr>
        <w:t> </w:t>
      </w:r>
      <w:r>
        <w:rPr/>
        <w:t>or</w:t>
      </w:r>
      <w:r>
        <w:rPr>
          <w:spacing w:val="-10"/>
        </w:rPr>
        <w:t> </w:t>
      </w:r>
      <w:r>
        <w:rPr/>
        <w:t>IgG antibodies</w:t>
      </w:r>
      <w:r>
        <w:rPr>
          <w:spacing w:val="-9"/>
        </w:rPr>
        <w:t> </w:t>
      </w:r>
      <w:r>
        <w:rPr/>
        <w:t>through</w:t>
      </w:r>
      <w:r>
        <w:rPr>
          <w:spacing w:val="-6"/>
        </w:rPr>
        <w:t> </w:t>
      </w:r>
      <w:r>
        <w:rPr/>
        <w:t>binding</w:t>
      </w:r>
      <w:r>
        <w:rPr>
          <w:spacing w:val="-7"/>
        </w:rPr>
        <w:t> </w:t>
      </w:r>
      <w:r>
        <w:rPr/>
        <w:t>to</w:t>
      </w:r>
      <w:r>
        <w:rPr>
          <w:spacing w:val="-6"/>
        </w:rPr>
        <w:t> </w:t>
      </w:r>
      <w:r>
        <w:rPr/>
        <w:t>immobilised</w:t>
      </w:r>
      <w:r>
        <w:rPr>
          <w:spacing w:val="-7"/>
        </w:rPr>
        <w:t> </w:t>
      </w:r>
      <w:r>
        <w:rPr/>
        <w:t>recombinant</w:t>
      </w:r>
      <w:r>
        <w:rPr>
          <w:spacing w:val="-7"/>
        </w:rPr>
        <w:t> </w:t>
      </w:r>
      <w:r>
        <w:rPr/>
        <w:t>antigen</w:t>
      </w:r>
      <w:r>
        <w:rPr>
          <w:spacing w:val="-6"/>
        </w:rPr>
        <w:t> </w:t>
      </w:r>
      <w:r>
        <w:rPr/>
        <w:t>attached</w:t>
      </w:r>
      <w:r>
        <w:rPr>
          <w:spacing w:val="-7"/>
        </w:rPr>
        <w:t> </w:t>
      </w:r>
      <w:r>
        <w:rPr/>
        <w:t>to</w:t>
      </w:r>
      <w:r>
        <w:rPr>
          <w:spacing w:val="-6"/>
        </w:rPr>
        <w:t> </w:t>
      </w:r>
      <w:r>
        <w:rPr/>
        <w:t>colloidal gold, followed by detection of the conjugates by an anti-human IgM or IgG antibody. A control line is also incorporated, which measures adequacy of fluid flow along the test strip. In general, with respect to the generation of reported performance characteristics limited information was supplied in the manufacturer IFU’s</w:t>
      </w:r>
      <w:r>
        <w:rPr>
          <w:spacing w:val="-28"/>
        </w:rPr>
        <w:t> </w:t>
      </w:r>
      <w:r>
        <w:rPr/>
        <w:t>regarding:</w:t>
      </w:r>
    </w:p>
    <w:p>
      <w:pPr>
        <w:spacing w:after="0" w:line="360" w:lineRule="auto"/>
        <w:jc w:val="both"/>
        <w:sectPr>
          <w:pgSz w:w="11910" w:h="16840"/>
          <w:pgMar w:header="1042" w:footer="764" w:top="4180" w:bottom="960" w:left="1320" w:right="580"/>
        </w:sectPr>
      </w:pPr>
    </w:p>
    <w:p>
      <w:pPr>
        <w:pStyle w:val="BodyText"/>
        <w:spacing w:before="4"/>
        <w:rPr>
          <w:sz w:val="29"/>
        </w:rPr>
      </w:pPr>
    </w:p>
    <w:p>
      <w:pPr>
        <w:pStyle w:val="ListParagraph"/>
        <w:numPr>
          <w:ilvl w:val="0"/>
          <w:numId w:val="6"/>
        </w:numPr>
        <w:tabs>
          <w:tab w:pos="890" w:val="left" w:leader="none"/>
          <w:tab w:pos="891" w:val="left" w:leader="none"/>
        </w:tabs>
        <w:spacing w:line="240" w:lineRule="auto" w:before="100" w:after="0"/>
        <w:ind w:left="890" w:right="0" w:hanging="462"/>
        <w:jc w:val="left"/>
        <w:rPr>
          <w:sz w:val="24"/>
        </w:rPr>
      </w:pPr>
      <w:r>
        <w:rPr>
          <w:sz w:val="24"/>
        </w:rPr>
        <w:t>where validation samples were sourced</w:t>
      </w:r>
      <w:r>
        <w:rPr>
          <w:spacing w:val="-6"/>
          <w:sz w:val="24"/>
        </w:rPr>
        <w:t> </w:t>
      </w:r>
      <w:r>
        <w:rPr>
          <w:sz w:val="24"/>
        </w:rPr>
        <w:t>from;</w:t>
      </w:r>
    </w:p>
    <w:p>
      <w:pPr>
        <w:pStyle w:val="ListParagraph"/>
        <w:numPr>
          <w:ilvl w:val="0"/>
          <w:numId w:val="6"/>
        </w:numPr>
        <w:tabs>
          <w:tab w:pos="890" w:val="left" w:leader="none"/>
          <w:tab w:pos="891" w:val="left" w:leader="none"/>
        </w:tabs>
        <w:spacing w:line="360" w:lineRule="auto" w:before="161" w:after="0"/>
        <w:ind w:left="890" w:right="859" w:hanging="514"/>
        <w:jc w:val="left"/>
        <w:rPr>
          <w:sz w:val="24"/>
        </w:rPr>
      </w:pPr>
      <w:r>
        <w:rPr>
          <w:sz w:val="24"/>
        </w:rPr>
        <w:t>whether plasma, serum, whole blood or a combination of these were used for validation;</w:t>
      </w:r>
    </w:p>
    <w:p>
      <w:pPr>
        <w:pStyle w:val="ListParagraph"/>
        <w:numPr>
          <w:ilvl w:val="0"/>
          <w:numId w:val="6"/>
        </w:numPr>
        <w:tabs>
          <w:tab w:pos="890" w:val="left" w:leader="none"/>
          <w:tab w:pos="891" w:val="left" w:leader="none"/>
        </w:tabs>
        <w:spacing w:line="240" w:lineRule="auto" w:before="0" w:after="0"/>
        <w:ind w:left="890" w:right="0" w:hanging="570"/>
        <w:jc w:val="left"/>
        <w:rPr>
          <w:sz w:val="24"/>
        </w:rPr>
      </w:pPr>
      <w:r>
        <w:rPr>
          <w:sz w:val="24"/>
        </w:rPr>
        <w:t>what proportion of patients included were confirmed by a result from</w:t>
      </w:r>
      <w:r>
        <w:rPr>
          <w:spacing w:val="-22"/>
          <w:sz w:val="24"/>
        </w:rPr>
        <w:t> </w:t>
      </w:r>
      <w:r>
        <w:rPr>
          <w:sz w:val="24"/>
        </w:rPr>
        <w:t>RT-PCR.</w:t>
      </w:r>
    </w:p>
    <w:p>
      <w:pPr>
        <w:pStyle w:val="BodyText"/>
        <w:spacing w:before="13"/>
        <w:rPr>
          <w:sz w:val="47"/>
        </w:rPr>
      </w:pPr>
    </w:p>
    <w:p>
      <w:pPr>
        <w:pStyle w:val="BodyText"/>
        <w:spacing w:line="360" w:lineRule="auto"/>
        <w:ind w:left="119" w:right="891"/>
        <w:rPr>
          <w:sz w:val="22"/>
        </w:rPr>
      </w:pPr>
      <w:r>
        <w:rPr/>
        <w:t>The performance claims specified in the manufacturers’ instructions for use are detailed in Table 3</w:t>
      </w:r>
      <w:r>
        <w:rPr>
          <w:sz w:val="22"/>
        </w:rPr>
        <w:t>.</w:t>
      </w:r>
    </w:p>
    <w:p>
      <w:pPr>
        <w:pStyle w:val="BodyText"/>
      </w:pPr>
    </w:p>
    <w:p>
      <w:pPr>
        <w:pStyle w:val="BodyText"/>
        <w:spacing w:line="276" w:lineRule="auto" w:after="3"/>
        <w:ind w:left="120" w:right="1773"/>
      </w:pPr>
      <w:r>
        <w:rPr>
          <w:b/>
        </w:rPr>
        <w:t>Table 3: </w:t>
      </w:r>
      <w:r>
        <w:rPr/>
        <w:t>Reported performance characteristics of included serological assays according to manufacturer’s instructions for use.</w:t>
      </w:r>
    </w:p>
    <w:tbl>
      <w:tblPr>
        <w:tblCellSpacing w:w="5" w:type="dxa"/>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0"/>
        <w:gridCol w:w="3535"/>
        <w:gridCol w:w="3101"/>
      </w:tblGrid>
      <w:tr>
        <w:trPr>
          <w:trHeight w:val="386" w:hRule="atLeast"/>
        </w:trPr>
        <w:tc>
          <w:tcPr>
            <w:tcW w:w="2390" w:type="dxa"/>
            <w:tcBorders>
              <w:right w:val="nil"/>
            </w:tcBorders>
            <w:shd w:val="clear" w:color="auto" w:fill="66CEF5"/>
          </w:tcPr>
          <w:p>
            <w:pPr>
              <w:pStyle w:val="TableParagraph"/>
              <w:spacing w:before="81"/>
              <w:ind w:right="892"/>
              <w:jc w:val="right"/>
              <w:rPr>
                <w:rFonts w:ascii="Arial"/>
                <w:b/>
                <w:sz w:val="20"/>
              </w:rPr>
            </w:pPr>
            <w:r>
              <w:rPr>
                <w:rFonts w:ascii="Arial"/>
                <w:b/>
                <w:sz w:val="20"/>
              </w:rPr>
              <w:t>Assay</w:t>
            </w:r>
          </w:p>
        </w:tc>
        <w:tc>
          <w:tcPr>
            <w:tcW w:w="3535" w:type="dxa"/>
            <w:tcBorders>
              <w:left w:val="nil"/>
              <w:right w:val="nil"/>
            </w:tcBorders>
            <w:shd w:val="clear" w:color="auto" w:fill="66CEF5"/>
          </w:tcPr>
          <w:p>
            <w:pPr>
              <w:pStyle w:val="TableParagraph"/>
              <w:spacing w:before="81"/>
              <w:ind w:left="321" w:right="320"/>
              <w:rPr>
                <w:rFonts w:ascii="Arial"/>
                <w:b/>
                <w:sz w:val="20"/>
              </w:rPr>
            </w:pPr>
            <w:r>
              <w:rPr>
                <w:rFonts w:ascii="Arial"/>
                <w:b/>
                <w:color w:val="202020"/>
                <w:sz w:val="20"/>
              </w:rPr>
              <w:t>Sensitivity</w:t>
            </w:r>
          </w:p>
        </w:tc>
        <w:tc>
          <w:tcPr>
            <w:tcW w:w="3101" w:type="dxa"/>
            <w:tcBorders>
              <w:left w:val="nil"/>
            </w:tcBorders>
            <w:shd w:val="clear" w:color="auto" w:fill="66CEF5"/>
          </w:tcPr>
          <w:p>
            <w:pPr>
              <w:pStyle w:val="TableParagraph"/>
              <w:spacing w:before="81"/>
              <w:ind w:left="130" w:right="134"/>
              <w:rPr>
                <w:rFonts w:ascii="Arial"/>
                <w:b/>
                <w:sz w:val="20"/>
              </w:rPr>
            </w:pPr>
            <w:r>
              <w:rPr>
                <w:rFonts w:ascii="Arial"/>
                <w:b/>
                <w:sz w:val="20"/>
              </w:rPr>
              <w:t>Specificity</w:t>
            </w:r>
          </w:p>
        </w:tc>
      </w:tr>
      <w:tr>
        <w:trPr>
          <w:trHeight w:val="1218" w:hRule="atLeast"/>
        </w:trPr>
        <w:tc>
          <w:tcPr>
            <w:tcW w:w="2390" w:type="dxa"/>
            <w:tcBorders>
              <w:right w:val="nil"/>
            </w:tcBorders>
            <w:shd w:val="clear" w:color="auto" w:fill="E7EAEB"/>
          </w:tcPr>
          <w:p>
            <w:pPr>
              <w:pStyle w:val="TableParagraph"/>
              <w:spacing w:before="2"/>
              <w:jc w:val="left"/>
              <w:rPr>
                <w:sz w:val="36"/>
              </w:rPr>
            </w:pPr>
          </w:p>
          <w:p>
            <w:pPr>
              <w:pStyle w:val="TableParagraph"/>
              <w:ind w:left="914" w:right="913"/>
              <w:rPr>
                <w:sz w:val="20"/>
              </w:rPr>
            </w:pPr>
            <w:r>
              <w:rPr>
                <w:sz w:val="20"/>
              </w:rPr>
              <w:t>Egens</w:t>
            </w:r>
          </w:p>
        </w:tc>
        <w:tc>
          <w:tcPr>
            <w:tcW w:w="3535" w:type="dxa"/>
            <w:tcBorders>
              <w:left w:val="nil"/>
              <w:right w:val="nil"/>
            </w:tcBorders>
            <w:shd w:val="clear" w:color="auto" w:fill="E7EAEB"/>
          </w:tcPr>
          <w:p>
            <w:pPr>
              <w:pStyle w:val="TableParagraph"/>
              <w:spacing w:before="82"/>
              <w:ind w:left="321" w:right="320"/>
              <w:rPr>
                <w:sz w:val="20"/>
              </w:rPr>
            </w:pPr>
            <w:r>
              <w:rPr>
                <w:sz w:val="20"/>
              </w:rPr>
              <w:t>IgM = 61.2% [47.3 –</w:t>
            </w:r>
            <w:r>
              <w:rPr>
                <w:spacing w:val="-8"/>
                <w:sz w:val="20"/>
              </w:rPr>
              <w:t> </w:t>
            </w:r>
            <w:r>
              <w:rPr>
                <w:sz w:val="20"/>
              </w:rPr>
              <w:t>73.6]</w:t>
            </w:r>
          </w:p>
          <w:p>
            <w:pPr>
              <w:pStyle w:val="TableParagraph"/>
              <w:spacing w:line="265" w:lineRule="exact" w:before="1"/>
              <w:ind w:left="321" w:right="320"/>
              <w:rPr>
                <w:sz w:val="20"/>
              </w:rPr>
            </w:pPr>
            <w:r>
              <w:rPr>
                <w:sz w:val="20"/>
              </w:rPr>
              <w:t>IgG = 83.7% [71.0 –</w:t>
            </w:r>
            <w:r>
              <w:rPr>
                <w:spacing w:val="-10"/>
                <w:sz w:val="20"/>
              </w:rPr>
              <w:t> </w:t>
            </w:r>
            <w:r>
              <w:rPr>
                <w:sz w:val="20"/>
              </w:rPr>
              <w:t>91.5]</w:t>
            </w:r>
          </w:p>
          <w:p>
            <w:pPr>
              <w:pStyle w:val="TableParagraph"/>
              <w:spacing w:line="265" w:lineRule="exact"/>
              <w:ind w:left="320" w:right="322"/>
              <w:rPr>
                <w:sz w:val="20"/>
              </w:rPr>
            </w:pPr>
            <w:r>
              <w:rPr>
                <w:sz w:val="20"/>
              </w:rPr>
              <w:t>IgG or IgM = Not</w:t>
            </w:r>
            <w:r>
              <w:rPr>
                <w:spacing w:val="-12"/>
                <w:sz w:val="20"/>
              </w:rPr>
              <w:t> </w:t>
            </w:r>
            <w:r>
              <w:rPr>
                <w:sz w:val="20"/>
              </w:rPr>
              <w:t>stated</w:t>
            </w:r>
          </w:p>
          <w:p>
            <w:pPr>
              <w:pStyle w:val="TableParagraph"/>
              <w:ind w:left="321" w:right="321"/>
              <w:rPr>
                <w:b/>
                <w:sz w:val="20"/>
              </w:rPr>
            </w:pPr>
            <w:r>
              <w:rPr>
                <w:b/>
                <w:sz w:val="20"/>
              </w:rPr>
              <w:t>(n=49)*</w:t>
            </w:r>
          </w:p>
        </w:tc>
        <w:tc>
          <w:tcPr>
            <w:tcW w:w="3101" w:type="dxa"/>
            <w:tcBorders>
              <w:left w:val="nil"/>
            </w:tcBorders>
            <w:shd w:val="clear" w:color="auto" w:fill="E7EAEB"/>
          </w:tcPr>
          <w:p>
            <w:pPr>
              <w:pStyle w:val="TableParagraph"/>
              <w:spacing w:before="82"/>
              <w:ind w:left="130" w:right="131"/>
              <w:rPr>
                <w:sz w:val="20"/>
              </w:rPr>
            </w:pPr>
            <w:r>
              <w:rPr>
                <w:sz w:val="20"/>
              </w:rPr>
              <w:t>IgM = 100% [93.8 –</w:t>
            </w:r>
            <w:r>
              <w:rPr>
                <w:spacing w:val="-6"/>
                <w:sz w:val="20"/>
              </w:rPr>
              <w:t> </w:t>
            </w:r>
            <w:r>
              <w:rPr>
                <w:sz w:val="20"/>
              </w:rPr>
              <w:t>100]</w:t>
            </w:r>
          </w:p>
          <w:p>
            <w:pPr>
              <w:pStyle w:val="TableParagraph"/>
              <w:spacing w:line="265" w:lineRule="exact" w:before="1"/>
              <w:ind w:left="130" w:right="130"/>
              <w:rPr>
                <w:sz w:val="20"/>
              </w:rPr>
            </w:pPr>
            <w:r>
              <w:rPr>
                <w:sz w:val="20"/>
              </w:rPr>
              <w:t>IgG = 100% [93.8 –</w:t>
            </w:r>
            <w:r>
              <w:rPr>
                <w:spacing w:val="-9"/>
                <w:sz w:val="20"/>
              </w:rPr>
              <w:t> </w:t>
            </w:r>
            <w:r>
              <w:rPr>
                <w:sz w:val="20"/>
              </w:rPr>
              <w:t>100]</w:t>
            </w:r>
          </w:p>
          <w:p>
            <w:pPr>
              <w:pStyle w:val="TableParagraph"/>
              <w:spacing w:line="265" w:lineRule="exact"/>
              <w:ind w:left="130" w:right="134"/>
              <w:rPr>
                <w:sz w:val="20"/>
              </w:rPr>
            </w:pPr>
            <w:r>
              <w:rPr>
                <w:sz w:val="20"/>
              </w:rPr>
              <w:t>IgG or IgM = Not</w:t>
            </w:r>
            <w:r>
              <w:rPr>
                <w:spacing w:val="-12"/>
                <w:sz w:val="20"/>
              </w:rPr>
              <w:t> </w:t>
            </w:r>
            <w:r>
              <w:rPr>
                <w:sz w:val="20"/>
              </w:rPr>
              <w:t>stated</w:t>
            </w:r>
          </w:p>
          <w:p>
            <w:pPr>
              <w:pStyle w:val="TableParagraph"/>
              <w:ind w:left="130" w:right="134"/>
              <w:rPr>
                <w:b/>
                <w:sz w:val="20"/>
              </w:rPr>
            </w:pPr>
            <w:r>
              <w:rPr>
                <w:b/>
                <w:sz w:val="20"/>
              </w:rPr>
              <w:t>(n=58)</w:t>
            </w:r>
          </w:p>
        </w:tc>
      </w:tr>
      <w:tr>
        <w:trPr>
          <w:trHeight w:val="1220" w:hRule="atLeast"/>
        </w:trPr>
        <w:tc>
          <w:tcPr>
            <w:tcW w:w="2390" w:type="dxa"/>
            <w:tcBorders>
              <w:right w:val="nil"/>
            </w:tcBorders>
            <w:shd w:val="clear" w:color="auto" w:fill="F3F5F6"/>
          </w:tcPr>
          <w:p>
            <w:pPr>
              <w:pStyle w:val="TableParagraph"/>
              <w:spacing w:before="2"/>
              <w:jc w:val="left"/>
              <w:rPr>
                <w:sz w:val="36"/>
              </w:rPr>
            </w:pPr>
          </w:p>
          <w:p>
            <w:pPr>
              <w:pStyle w:val="TableParagraph"/>
              <w:ind w:right="826"/>
              <w:jc w:val="right"/>
              <w:rPr>
                <w:sz w:val="20"/>
              </w:rPr>
            </w:pPr>
            <w:r>
              <w:rPr>
                <w:sz w:val="20"/>
              </w:rPr>
              <w:t>Healgen</w:t>
            </w:r>
          </w:p>
        </w:tc>
        <w:tc>
          <w:tcPr>
            <w:tcW w:w="3535" w:type="dxa"/>
            <w:tcBorders>
              <w:left w:val="nil"/>
              <w:right w:val="nil"/>
            </w:tcBorders>
            <w:shd w:val="clear" w:color="auto" w:fill="F3F5F6"/>
          </w:tcPr>
          <w:p>
            <w:pPr>
              <w:pStyle w:val="TableParagraph"/>
              <w:spacing w:before="82"/>
              <w:ind w:left="321" w:right="320"/>
              <w:rPr>
                <w:sz w:val="20"/>
              </w:rPr>
            </w:pPr>
            <w:r>
              <w:rPr>
                <w:sz w:val="20"/>
              </w:rPr>
              <w:t>IgM = 64.0% [58.1 –</w:t>
            </w:r>
            <w:r>
              <w:rPr>
                <w:spacing w:val="-8"/>
                <w:sz w:val="20"/>
              </w:rPr>
              <w:t> </w:t>
            </w:r>
            <w:r>
              <w:rPr>
                <w:sz w:val="20"/>
              </w:rPr>
              <w:t>69.5]</w:t>
            </w:r>
          </w:p>
          <w:p>
            <w:pPr>
              <w:pStyle w:val="TableParagraph"/>
              <w:spacing w:before="1"/>
              <w:ind w:left="321" w:right="320"/>
              <w:rPr>
                <w:sz w:val="20"/>
              </w:rPr>
            </w:pPr>
            <w:r>
              <w:rPr>
                <w:sz w:val="20"/>
              </w:rPr>
              <w:t>IgG = 93.4% [89.8 –</w:t>
            </w:r>
            <w:r>
              <w:rPr>
                <w:spacing w:val="-10"/>
                <w:sz w:val="20"/>
              </w:rPr>
              <w:t> </w:t>
            </w:r>
            <w:r>
              <w:rPr>
                <w:sz w:val="20"/>
              </w:rPr>
              <w:t>95.9]</w:t>
            </w:r>
          </w:p>
          <w:p>
            <w:pPr>
              <w:pStyle w:val="TableParagraph"/>
              <w:ind w:left="321" w:right="322"/>
              <w:rPr>
                <w:sz w:val="20"/>
              </w:rPr>
            </w:pPr>
            <w:r>
              <w:rPr>
                <w:sz w:val="20"/>
              </w:rPr>
              <w:t>IgG or IgM = 93.8% [90.1 – 96.2]</w:t>
            </w:r>
          </w:p>
          <w:p>
            <w:pPr>
              <w:pStyle w:val="TableParagraph"/>
              <w:spacing w:before="1"/>
              <w:ind w:left="321" w:right="264"/>
              <w:rPr>
                <w:b/>
                <w:sz w:val="20"/>
              </w:rPr>
            </w:pPr>
            <w:r>
              <w:rPr>
                <w:b/>
                <w:sz w:val="20"/>
              </w:rPr>
              <w:t>(n = 289)</w:t>
            </w:r>
          </w:p>
        </w:tc>
        <w:tc>
          <w:tcPr>
            <w:tcW w:w="3101" w:type="dxa"/>
            <w:tcBorders>
              <w:left w:val="nil"/>
            </w:tcBorders>
            <w:shd w:val="clear" w:color="auto" w:fill="F3F5F6"/>
          </w:tcPr>
          <w:p>
            <w:pPr>
              <w:pStyle w:val="TableParagraph"/>
              <w:spacing w:before="82"/>
              <w:ind w:left="130" w:right="131"/>
              <w:rPr>
                <w:sz w:val="20"/>
              </w:rPr>
            </w:pPr>
            <w:r>
              <w:rPr>
                <w:sz w:val="20"/>
              </w:rPr>
              <w:t>IgM = 99.0% [97.8 –</w:t>
            </w:r>
            <w:r>
              <w:rPr>
                <w:spacing w:val="-7"/>
                <w:sz w:val="20"/>
              </w:rPr>
              <w:t> </w:t>
            </w:r>
            <w:r>
              <w:rPr>
                <w:sz w:val="20"/>
              </w:rPr>
              <w:t>99.6]</w:t>
            </w:r>
          </w:p>
          <w:p>
            <w:pPr>
              <w:pStyle w:val="TableParagraph"/>
              <w:spacing w:before="1"/>
              <w:ind w:left="130" w:right="130"/>
              <w:rPr>
                <w:sz w:val="20"/>
              </w:rPr>
            </w:pPr>
            <w:r>
              <w:rPr>
                <w:sz w:val="20"/>
              </w:rPr>
              <w:t>IgG = 99.0% [97.8 –</w:t>
            </w:r>
            <w:r>
              <w:rPr>
                <w:spacing w:val="-11"/>
                <w:sz w:val="20"/>
              </w:rPr>
              <w:t> </w:t>
            </w:r>
            <w:r>
              <w:rPr>
                <w:sz w:val="20"/>
              </w:rPr>
              <w:t>99.6]</w:t>
            </w:r>
          </w:p>
          <w:p>
            <w:pPr>
              <w:pStyle w:val="TableParagraph"/>
              <w:ind w:left="130" w:right="81"/>
              <w:rPr>
                <w:sz w:val="20"/>
              </w:rPr>
            </w:pPr>
            <w:r>
              <w:rPr>
                <w:sz w:val="20"/>
              </w:rPr>
              <w:t>IgG or IgM = 98.5 [97.1 – 99.3]</w:t>
            </w:r>
          </w:p>
          <w:p>
            <w:pPr>
              <w:pStyle w:val="TableParagraph"/>
              <w:spacing w:before="1"/>
              <w:ind w:left="129" w:right="134"/>
              <w:rPr>
                <w:b/>
                <w:sz w:val="20"/>
              </w:rPr>
            </w:pPr>
            <w:r>
              <w:rPr>
                <w:b/>
                <w:sz w:val="20"/>
              </w:rPr>
              <w:t>(n = 584)</w:t>
            </w:r>
          </w:p>
        </w:tc>
      </w:tr>
      <w:tr>
        <w:trPr>
          <w:trHeight w:val="1219" w:hRule="atLeast"/>
        </w:trPr>
        <w:tc>
          <w:tcPr>
            <w:tcW w:w="2390" w:type="dxa"/>
            <w:tcBorders>
              <w:right w:val="nil"/>
            </w:tcBorders>
            <w:shd w:val="clear" w:color="auto" w:fill="E7EAEB"/>
          </w:tcPr>
          <w:p>
            <w:pPr>
              <w:pStyle w:val="TableParagraph"/>
              <w:spacing w:before="2"/>
              <w:jc w:val="left"/>
              <w:rPr>
                <w:sz w:val="36"/>
              </w:rPr>
            </w:pPr>
          </w:p>
          <w:p>
            <w:pPr>
              <w:pStyle w:val="TableParagraph"/>
              <w:ind w:right="795"/>
              <w:jc w:val="right"/>
              <w:rPr>
                <w:sz w:val="20"/>
              </w:rPr>
            </w:pPr>
            <w:r>
              <w:rPr>
                <w:sz w:val="20"/>
              </w:rPr>
              <w:t>Newscen</w:t>
            </w:r>
          </w:p>
        </w:tc>
        <w:tc>
          <w:tcPr>
            <w:tcW w:w="3535" w:type="dxa"/>
            <w:tcBorders>
              <w:left w:val="nil"/>
              <w:right w:val="nil"/>
            </w:tcBorders>
            <w:shd w:val="clear" w:color="auto" w:fill="E7EAEB"/>
          </w:tcPr>
          <w:p>
            <w:pPr>
              <w:pStyle w:val="TableParagraph"/>
              <w:spacing w:before="80"/>
              <w:ind w:left="321" w:right="320"/>
              <w:rPr>
                <w:sz w:val="20"/>
              </w:rPr>
            </w:pPr>
            <w:r>
              <w:rPr>
                <w:sz w:val="20"/>
              </w:rPr>
              <w:t>IgM = 72.0% [65.6 –</w:t>
            </w:r>
            <w:r>
              <w:rPr>
                <w:spacing w:val="-8"/>
                <w:sz w:val="20"/>
              </w:rPr>
              <w:t> </w:t>
            </w:r>
            <w:r>
              <w:rPr>
                <w:sz w:val="20"/>
              </w:rPr>
              <w:t>77.9]</w:t>
            </w:r>
          </w:p>
          <w:p>
            <w:pPr>
              <w:pStyle w:val="TableParagraph"/>
              <w:ind w:left="321" w:right="321"/>
              <w:rPr>
                <w:sz w:val="20"/>
              </w:rPr>
            </w:pPr>
            <w:r>
              <w:rPr>
                <w:sz w:val="20"/>
              </w:rPr>
              <w:t>IgG = 90.4% [85.7 –</w:t>
            </w:r>
            <w:r>
              <w:rPr>
                <w:spacing w:val="-10"/>
                <w:sz w:val="20"/>
              </w:rPr>
              <w:t> </w:t>
            </w:r>
            <w:r>
              <w:rPr>
                <w:sz w:val="20"/>
              </w:rPr>
              <w:t>93.9]</w:t>
            </w:r>
          </w:p>
          <w:p>
            <w:pPr>
              <w:pStyle w:val="TableParagraph"/>
              <w:spacing w:before="1"/>
              <w:ind w:left="321" w:right="321"/>
              <w:rPr>
                <w:sz w:val="20"/>
              </w:rPr>
            </w:pPr>
            <w:r>
              <w:rPr>
                <w:sz w:val="20"/>
              </w:rPr>
              <w:t>IgM or IgG =95.8% [93.5 – 98.7]</w:t>
            </w:r>
          </w:p>
          <w:p>
            <w:pPr>
              <w:pStyle w:val="TableParagraph"/>
              <w:ind w:left="321" w:right="321"/>
              <w:rPr>
                <w:b/>
                <w:sz w:val="20"/>
              </w:rPr>
            </w:pPr>
            <w:r>
              <w:rPr>
                <w:b/>
                <w:sz w:val="20"/>
              </w:rPr>
              <w:t>(n=218)</w:t>
            </w:r>
          </w:p>
        </w:tc>
        <w:tc>
          <w:tcPr>
            <w:tcW w:w="3101" w:type="dxa"/>
            <w:tcBorders>
              <w:left w:val="nil"/>
            </w:tcBorders>
            <w:shd w:val="clear" w:color="auto" w:fill="E7EAEB"/>
          </w:tcPr>
          <w:p>
            <w:pPr>
              <w:pStyle w:val="TableParagraph"/>
              <w:spacing w:before="80"/>
              <w:ind w:left="130" w:right="131"/>
              <w:rPr>
                <w:sz w:val="20"/>
              </w:rPr>
            </w:pPr>
            <w:r>
              <w:rPr>
                <w:sz w:val="20"/>
              </w:rPr>
              <w:t>IgM = 100% [99.1 -</w:t>
            </w:r>
            <w:r>
              <w:rPr>
                <w:spacing w:val="-8"/>
                <w:sz w:val="20"/>
              </w:rPr>
              <w:t> </w:t>
            </w:r>
            <w:r>
              <w:rPr>
                <w:sz w:val="20"/>
              </w:rPr>
              <w:t>100]</w:t>
            </w:r>
          </w:p>
          <w:p>
            <w:pPr>
              <w:pStyle w:val="TableParagraph"/>
              <w:ind w:left="130" w:right="131"/>
              <w:rPr>
                <w:sz w:val="20"/>
              </w:rPr>
            </w:pPr>
            <w:r>
              <w:rPr>
                <w:sz w:val="20"/>
              </w:rPr>
              <w:t>IgG = 99.3% [97.9 –</w:t>
            </w:r>
            <w:r>
              <w:rPr>
                <w:spacing w:val="-10"/>
                <w:sz w:val="20"/>
              </w:rPr>
              <w:t> </w:t>
            </w:r>
            <w:r>
              <w:rPr>
                <w:sz w:val="20"/>
              </w:rPr>
              <w:t>99.9]</w:t>
            </w:r>
          </w:p>
          <w:p>
            <w:pPr>
              <w:pStyle w:val="TableParagraph"/>
              <w:spacing w:before="1"/>
              <w:ind w:left="130" w:right="134"/>
              <w:rPr>
                <w:sz w:val="20"/>
              </w:rPr>
            </w:pPr>
            <w:r>
              <w:rPr>
                <w:sz w:val="20"/>
              </w:rPr>
              <w:t>IgM or IgG =99.3% [97.9 – 99.9]</w:t>
            </w:r>
          </w:p>
          <w:p>
            <w:pPr>
              <w:pStyle w:val="TableParagraph"/>
              <w:ind w:left="129" w:right="134"/>
              <w:rPr>
                <w:b/>
                <w:sz w:val="20"/>
              </w:rPr>
            </w:pPr>
            <w:r>
              <w:rPr>
                <w:b/>
                <w:sz w:val="20"/>
              </w:rPr>
              <w:t>(n=419)</w:t>
            </w:r>
          </w:p>
        </w:tc>
      </w:tr>
    </w:tbl>
    <w:p>
      <w:pPr>
        <w:pStyle w:val="ListParagraph"/>
        <w:numPr>
          <w:ilvl w:val="0"/>
          <w:numId w:val="7"/>
        </w:numPr>
        <w:tabs>
          <w:tab w:pos="272" w:val="left" w:leader="none"/>
        </w:tabs>
        <w:spacing w:line="240" w:lineRule="auto" w:before="7" w:after="0"/>
        <w:ind w:left="271" w:right="0" w:hanging="152"/>
        <w:jc w:val="left"/>
        <w:rPr>
          <w:sz w:val="22"/>
        </w:rPr>
      </w:pPr>
      <w:r>
        <w:rPr>
          <w:sz w:val="22"/>
        </w:rPr>
        <w:t>Samples collected &gt;14 days post</w:t>
      </w:r>
      <w:r>
        <w:rPr>
          <w:spacing w:val="-7"/>
          <w:sz w:val="22"/>
        </w:rPr>
        <w:t> </w:t>
      </w:r>
      <w:r>
        <w:rPr>
          <w:sz w:val="22"/>
        </w:rPr>
        <w:t>infection</w:t>
      </w:r>
    </w:p>
    <w:p>
      <w:pPr>
        <w:spacing w:after="0" w:line="240" w:lineRule="auto"/>
        <w:jc w:val="left"/>
        <w:rPr>
          <w:sz w:val="22"/>
        </w:rPr>
        <w:sectPr>
          <w:pgSz w:w="11910" w:h="16840"/>
          <w:pgMar w:header="1042" w:footer="764" w:top="4180" w:bottom="960" w:left="1320" w:right="580"/>
        </w:sectPr>
      </w:pPr>
    </w:p>
    <w:p>
      <w:pPr>
        <w:pStyle w:val="BodyText"/>
        <w:spacing w:before="11"/>
        <w:rPr>
          <w:sz w:val="28"/>
        </w:rPr>
      </w:pPr>
    </w:p>
    <w:p>
      <w:pPr>
        <w:pStyle w:val="Heading2"/>
        <w:numPr>
          <w:ilvl w:val="1"/>
          <w:numId w:val="4"/>
        </w:numPr>
        <w:tabs>
          <w:tab w:pos="839" w:val="left" w:leader="none"/>
          <w:tab w:pos="841" w:val="left" w:leader="none"/>
        </w:tabs>
        <w:spacing w:line="240" w:lineRule="auto" w:before="100" w:after="0"/>
        <w:ind w:left="840" w:right="0" w:hanging="721"/>
        <w:jc w:val="left"/>
      </w:pPr>
      <w:bookmarkStart w:name="2.3 Testing protocol" w:id="15"/>
      <w:bookmarkEnd w:id="15"/>
      <w:r>
        <w:rPr/>
      </w:r>
      <w:bookmarkStart w:name="_bookmark5" w:id="16"/>
      <w:bookmarkEnd w:id="16"/>
      <w:r>
        <w:rPr/>
      </w:r>
      <w:bookmarkStart w:name="_bookmark5" w:id="17"/>
      <w:bookmarkEnd w:id="17"/>
      <w:r>
        <w:rPr>
          <w:color w:val="007CC5"/>
          <w:spacing w:val="3"/>
        </w:rPr>
        <w:t>T</w:t>
      </w:r>
      <w:r>
        <w:rPr>
          <w:color w:val="007CC5"/>
          <w:spacing w:val="3"/>
        </w:rPr>
        <w:t>esting</w:t>
      </w:r>
      <w:r>
        <w:rPr>
          <w:color w:val="007CC5"/>
          <w:spacing w:val="7"/>
        </w:rPr>
        <w:t> </w:t>
      </w:r>
      <w:r>
        <w:rPr>
          <w:color w:val="007CC5"/>
          <w:spacing w:val="3"/>
        </w:rPr>
        <w:t>protocol</w:t>
      </w:r>
    </w:p>
    <w:p>
      <w:pPr>
        <w:pStyle w:val="BodyText"/>
        <w:spacing w:line="360" w:lineRule="auto" w:before="141"/>
        <w:ind w:left="120" w:right="856"/>
        <w:jc w:val="both"/>
      </w:pPr>
      <w:r>
        <w:rPr/>
        <w:t>Testing</w:t>
      </w:r>
      <w:r>
        <w:rPr>
          <w:spacing w:val="-18"/>
        </w:rPr>
        <w:t> </w:t>
      </w:r>
      <w:r>
        <w:rPr/>
        <w:t>of</w:t>
      </w:r>
      <w:r>
        <w:rPr>
          <w:spacing w:val="-20"/>
        </w:rPr>
        <w:t> </w:t>
      </w:r>
      <w:r>
        <w:rPr/>
        <w:t>the</w:t>
      </w:r>
      <w:r>
        <w:rPr>
          <w:spacing w:val="-18"/>
        </w:rPr>
        <w:t> </w:t>
      </w:r>
      <w:r>
        <w:rPr/>
        <w:t>lateral</w:t>
      </w:r>
      <w:r>
        <w:rPr>
          <w:spacing w:val="-17"/>
        </w:rPr>
        <w:t> </w:t>
      </w:r>
      <w:r>
        <w:rPr/>
        <w:t>flow</w:t>
      </w:r>
      <w:r>
        <w:rPr>
          <w:spacing w:val="-20"/>
        </w:rPr>
        <w:t> </w:t>
      </w:r>
      <w:r>
        <w:rPr/>
        <w:t>assays</w:t>
      </w:r>
      <w:r>
        <w:rPr>
          <w:spacing w:val="-18"/>
        </w:rPr>
        <w:t> </w:t>
      </w:r>
      <w:r>
        <w:rPr/>
        <w:t>was</w:t>
      </w:r>
      <w:r>
        <w:rPr>
          <w:spacing w:val="-18"/>
        </w:rPr>
        <w:t> </w:t>
      </w:r>
      <w:r>
        <w:rPr/>
        <w:t>performed</w:t>
      </w:r>
      <w:r>
        <w:rPr>
          <w:spacing w:val="-19"/>
        </w:rPr>
        <w:t> </w:t>
      </w:r>
      <w:r>
        <w:rPr/>
        <w:t>at</w:t>
      </w:r>
      <w:r>
        <w:rPr>
          <w:spacing w:val="-19"/>
        </w:rPr>
        <w:t> </w:t>
      </w:r>
      <w:r>
        <w:rPr/>
        <w:t>NRL</w:t>
      </w:r>
      <w:r>
        <w:rPr>
          <w:spacing w:val="-18"/>
        </w:rPr>
        <w:t> </w:t>
      </w:r>
      <w:r>
        <w:rPr/>
        <w:t>by</w:t>
      </w:r>
      <w:r>
        <w:rPr>
          <w:spacing w:val="-18"/>
        </w:rPr>
        <w:t> </w:t>
      </w:r>
      <w:r>
        <w:rPr/>
        <w:t>three</w:t>
      </w:r>
      <w:r>
        <w:rPr>
          <w:spacing w:val="-18"/>
        </w:rPr>
        <w:t> </w:t>
      </w:r>
      <w:r>
        <w:rPr/>
        <w:t>laboratory</w:t>
      </w:r>
      <w:r>
        <w:rPr>
          <w:spacing w:val="-20"/>
        </w:rPr>
        <w:t> </w:t>
      </w:r>
      <w:r>
        <w:rPr/>
        <w:t>technicians, all</w:t>
      </w:r>
      <w:r>
        <w:rPr>
          <w:spacing w:val="-11"/>
        </w:rPr>
        <w:t> </w:t>
      </w:r>
      <w:r>
        <w:rPr/>
        <w:t>of</w:t>
      </w:r>
      <w:r>
        <w:rPr>
          <w:spacing w:val="-8"/>
        </w:rPr>
        <w:t> </w:t>
      </w:r>
      <w:r>
        <w:rPr/>
        <w:t>whom</w:t>
      </w:r>
      <w:r>
        <w:rPr>
          <w:spacing w:val="-10"/>
        </w:rPr>
        <w:t> </w:t>
      </w:r>
      <w:r>
        <w:rPr/>
        <w:t>have</w:t>
      </w:r>
      <w:r>
        <w:rPr>
          <w:spacing w:val="-9"/>
        </w:rPr>
        <w:t> </w:t>
      </w:r>
      <w:r>
        <w:rPr/>
        <w:t>undergone</w:t>
      </w:r>
      <w:r>
        <w:rPr>
          <w:spacing w:val="-10"/>
        </w:rPr>
        <w:t> </w:t>
      </w:r>
      <w:r>
        <w:rPr/>
        <w:t>previous</w:t>
      </w:r>
      <w:r>
        <w:rPr>
          <w:spacing w:val="-11"/>
        </w:rPr>
        <w:t> </w:t>
      </w:r>
      <w:r>
        <w:rPr/>
        <w:t>training</w:t>
      </w:r>
      <w:r>
        <w:rPr>
          <w:spacing w:val="-9"/>
        </w:rPr>
        <w:t> </w:t>
      </w:r>
      <w:r>
        <w:rPr/>
        <w:t>in</w:t>
      </w:r>
      <w:r>
        <w:rPr>
          <w:spacing w:val="-10"/>
        </w:rPr>
        <w:t> </w:t>
      </w:r>
      <w:r>
        <w:rPr/>
        <w:t>the</w:t>
      </w:r>
      <w:r>
        <w:rPr>
          <w:spacing w:val="-8"/>
        </w:rPr>
        <w:t> </w:t>
      </w:r>
      <w:r>
        <w:rPr/>
        <w:t>use</w:t>
      </w:r>
      <w:r>
        <w:rPr>
          <w:spacing w:val="-8"/>
        </w:rPr>
        <w:t> </w:t>
      </w:r>
      <w:r>
        <w:rPr/>
        <w:t>of</w:t>
      </w:r>
      <w:r>
        <w:rPr>
          <w:spacing w:val="-9"/>
        </w:rPr>
        <w:t> </w:t>
      </w:r>
      <w:r>
        <w:rPr/>
        <w:t>lateral</w:t>
      </w:r>
      <w:r>
        <w:rPr>
          <w:spacing w:val="-8"/>
        </w:rPr>
        <w:t> </w:t>
      </w:r>
      <w:r>
        <w:rPr/>
        <w:t>flow</w:t>
      </w:r>
      <w:r>
        <w:rPr>
          <w:spacing w:val="-10"/>
        </w:rPr>
        <w:t> </w:t>
      </w:r>
      <w:r>
        <w:rPr/>
        <w:t>assays.</w:t>
      </w:r>
      <w:r>
        <w:rPr>
          <w:spacing w:val="-6"/>
        </w:rPr>
        <w:t> </w:t>
      </w:r>
      <w:r>
        <w:rPr/>
        <w:t>Testing was performed exactly as per the IFU. For all testing, lateral flow test strips were each read by two different technicians. A third read by a third technician was undertaken if the</w:t>
      </w:r>
      <w:r>
        <w:rPr>
          <w:spacing w:val="-19"/>
        </w:rPr>
        <w:t> </w:t>
      </w:r>
      <w:r>
        <w:rPr/>
        <w:t>first</w:t>
      </w:r>
      <w:r>
        <w:rPr>
          <w:spacing w:val="-17"/>
        </w:rPr>
        <w:t> </w:t>
      </w:r>
      <w:r>
        <w:rPr/>
        <w:t>two</w:t>
      </w:r>
      <w:r>
        <w:rPr>
          <w:spacing w:val="-16"/>
        </w:rPr>
        <w:t> </w:t>
      </w:r>
      <w:r>
        <w:rPr/>
        <w:t>reads</w:t>
      </w:r>
      <w:r>
        <w:rPr>
          <w:spacing w:val="-15"/>
        </w:rPr>
        <w:t> </w:t>
      </w:r>
      <w:r>
        <w:rPr/>
        <w:t>were</w:t>
      </w:r>
      <w:r>
        <w:rPr>
          <w:spacing w:val="-15"/>
        </w:rPr>
        <w:t> </w:t>
      </w:r>
      <w:r>
        <w:rPr/>
        <w:t>discordant,</w:t>
      </w:r>
      <w:r>
        <w:rPr>
          <w:spacing w:val="-16"/>
        </w:rPr>
        <w:t> </w:t>
      </w:r>
      <w:r>
        <w:rPr/>
        <w:t>with</w:t>
      </w:r>
      <w:r>
        <w:rPr>
          <w:spacing w:val="-16"/>
        </w:rPr>
        <w:t> </w:t>
      </w:r>
      <w:r>
        <w:rPr/>
        <w:t>the</w:t>
      </w:r>
      <w:r>
        <w:rPr>
          <w:spacing w:val="-18"/>
        </w:rPr>
        <w:t> </w:t>
      </w:r>
      <w:r>
        <w:rPr/>
        <w:t>third</w:t>
      </w:r>
      <w:r>
        <w:rPr>
          <w:spacing w:val="-17"/>
        </w:rPr>
        <w:t> </w:t>
      </w:r>
      <w:r>
        <w:rPr/>
        <w:t>read</w:t>
      </w:r>
      <w:r>
        <w:rPr>
          <w:spacing w:val="-16"/>
        </w:rPr>
        <w:t> </w:t>
      </w:r>
      <w:r>
        <w:rPr/>
        <w:t>taken</w:t>
      </w:r>
      <w:r>
        <w:rPr>
          <w:spacing w:val="-16"/>
        </w:rPr>
        <w:t> </w:t>
      </w:r>
      <w:r>
        <w:rPr/>
        <w:t>as</w:t>
      </w:r>
      <w:r>
        <w:rPr>
          <w:spacing w:val="-18"/>
        </w:rPr>
        <w:t> </w:t>
      </w:r>
      <w:r>
        <w:rPr/>
        <w:t>the</w:t>
      </w:r>
      <w:r>
        <w:rPr>
          <w:spacing w:val="-18"/>
        </w:rPr>
        <w:t> </w:t>
      </w:r>
      <w:r>
        <w:rPr/>
        <w:t>final</w:t>
      </w:r>
      <w:r>
        <w:rPr>
          <w:spacing w:val="-18"/>
        </w:rPr>
        <w:t> </w:t>
      </w:r>
      <w:r>
        <w:rPr/>
        <w:t>result.</w:t>
      </w:r>
      <w:r>
        <w:rPr>
          <w:spacing w:val="-17"/>
        </w:rPr>
        <w:t> </w:t>
      </w:r>
      <w:r>
        <w:rPr/>
        <w:t>Reading by all three scorers were made within the time-frame specified by the</w:t>
      </w:r>
      <w:r>
        <w:rPr>
          <w:spacing w:val="-30"/>
        </w:rPr>
        <w:t> </w:t>
      </w:r>
      <w:r>
        <w:rPr/>
        <w:t>manufacturer.</w:t>
      </w:r>
    </w:p>
    <w:p>
      <w:pPr>
        <w:pStyle w:val="BodyText"/>
        <w:spacing w:before="1"/>
        <w:rPr>
          <w:sz w:val="36"/>
        </w:rPr>
      </w:pPr>
    </w:p>
    <w:p>
      <w:pPr>
        <w:pStyle w:val="BodyText"/>
        <w:spacing w:line="360" w:lineRule="auto"/>
        <w:ind w:left="120" w:right="855"/>
        <w:jc w:val="both"/>
      </w:pPr>
      <w:r>
        <w:rPr/>
        <w:t>Any specimen with an invalid test result was repeated on the same lot number, if sufficient test devices were available. If the subsequent test reported a valid result, that result was used as the final result. If the specimen was repeatedly invalid that specimen was removed from analysis, but the total number of invalid and discordant results were noted.</w:t>
      </w:r>
    </w:p>
    <w:p>
      <w:pPr>
        <w:pStyle w:val="BodyText"/>
        <w:spacing w:before="7"/>
        <w:rPr>
          <w:sz w:val="44"/>
        </w:rPr>
      </w:pPr>
    </w:p>
    <w:p>
      <w:pPr>
        <w:pStyle w:val="Heading2"/>
        <w:numPr>
          <w:ilvl w:val="1"/>
          <w:numId w:val="4"/>
        </w:numPr>
        <w:tabs>
          <w:tab w:pos="839" w:val="left" w:leader="none"/>
          <w:tab w:pos="841" w:val="left" w:leader="none"/>
        </w:tabs>
        <w:spacing w:line="240" w:lineRule="auto" w:before="0" w:after="0"/>
        <w:ind w:left="840" w:right="0" w:hanging="721"/>
        <w:jc w:val="left"/>
      </w:pPr>
      <w:bookmarkStart w:name="2.4 Statistical analysis" w:id="18"/>
      <w:bookmarkEnd w:id="18"/>
      <w:r>
        <w:rPr/>
      </w:r>
      <w:bookmarkStart w:name="_bookmark6" w:id="19"/>
      <w:bookmarkEnd w:id="19"/>
      <w:r>
        <w:rPr/>
      </w:r>
      <w:bookmarkStart w:name="_bookmark6" w:id="20"/>
      <w:bookmarkEnd w:id="20"/>
      <w:r>
        <w:rPr>
          <w:color w:val="007CC5"/>
          <w:spacing w:val="3"/>
        </w:rPr>
        <w:t>S</w:t>
      </w:r>
      <w:r>
        <w:rPr>
          <w:color w:val="007CC5"/>
          <w:spacing w:val="3"/>
        </w:rPr>
        <w:t>tatistical</w:t>
      </w:r>
      <w:r>
        <w:rPr>
          <w:color w:val="007CC5"/>
          <w:spacing w:val="8"/>
        </w:rPr>
        <w:t> </w:t>
      </w:r>
      <w:r>
        <w:rPr>
          <w:color w:val="007CC5"/>
          <w:spacing w:val="3"/>
        </w:rPr>
        <w:t>analysis</w:t>
      </w:r>
    </w:p>
    <w:p>
      <w:pPr>
        <w:pStyle w:val="BodyText"/>
        <w:spacing w:line="360" w:lineRule="auto" w:before="142"/>
        <w:ind w:left="119" w:right="856"/>
        <w:jc w:val="both"/>
      </w:pPr>
      <w:r>
        <w:rPr>
          <w:b/>
        </w:rPr>
        <w:t>Clinical sensitivity and specificity </w:t>
      </w:r>
      <w:r>
        <w:rPr/>
        <w:t>– In this study, sensitivity was defined as the reactivity of the assay (IgG only, IgM only and IgG and/or IgM) when testing plasma specimens, taken at least 14 days post onset of symptoms, from patients with SARS- CoV-2 detected by RT-PCR from upper and / or lower respiratory tract specimens. Specificity</w:t>
      </w:r>
      <w:r>
        <w:rPr>
          <w:spacing w:val="-12"/>
        </w:rPr>
        <w:t> </w:t>
      </w:r>
      <w:r>
        <w:rPr/>
        <w:t>is</w:t>
      </w:r>
      <w:r>
        <w:rPr>
          <w:spacing w:val="-12"/>
        </w:rPr>
        <w:t> </w:t>
      </w:r>
      <w:r>
        <w:rPr/>
        <w:t>defined</w:t>
      </w:r>
      <w:r>
        <w:rPr>
          <w:spacing w:val="-10"/>
        </w:rPr>
        <w:t> </w:t>
      </w:r>
      <w:r>
        <w:rPr/>
        <w:t>as</w:t>
      </w:r>
      <w:r>
        <w:rPr>
          <w:spacing w:val="-9"/>
        </w:rPr>
        <w:t> </w:t>
      </w:r>
      <w:r>
        <w:rPr/>
        <w:t>the</w:t>
      </w:r>
      <w:r>
        <w:rPr>
          <w:spacing w:val="-11"/>
        </w:rPr>
        <w:t> </w:t>
      </w:r>
      <w:r>
        <w:rPr/>
        <w:t>non-reactivity</w:t>
      </w:r>
      <w:r>
        <w:rPr>
          <w:spacing w:val="-11"/>
        </w:rPr>
        <w:t> </w:t>
      </w:r>
      <w:r>
        <w:rPr/>
        <w:t>of</w:t>
      </w:r>
      <w:r>
        <w:rPr>
          <w:spacing w:val="-12"/>
        </w:rPr>
        <w:t> </w:t>
      </w:r>
      <w:r>
        <w:rPr/>
        <w:t>the</w:t>
      </w:r>
      <w:r>
        <w:rPr>
          <w:spacing w:val="-11"/>
        </w:rPr>
        <w:t> </w:t>
      </w:r>
      <w:r>
        <w:rPr/>
        <w:t>assay</w:t>
      </w:r>
      <w:r>
        <w:rPr>
          <w:spacing w:val="-12"/>
        </w:rPr>
        <w:t> </w:t>
      </w:r>
      <w:r>
        <w:rPr/>
        <w:t>when</w:t>
      </w:r>
      <w:r>
        <w:rPr>
          <w:spacing w:val="-10"/>
        </w:rPr>
        <w:t> </w:t>
      </w:r>
      <w:r>
        <w:rPr/>
        <w:t>testing</w:t>
      </w:r>
      <w:r>
        <w:rPr>
          <w:spacing w:val="-10"/>
        </w:rPr>
        <w:t> </w:t>
      </w:r>
      <w:r>
        <w:rPr/>
        <w:t>specimens</w:t>
      </w:r>
      <w:r>
        <w:rPr>
          <w:spacing w:val="-11"/>
        </w:rPr>
        <w:t> </w:t>
      </w:r>
      <w:r>
        <w:rPr/>
        <w:t>that</w:t>
      </w:r>
      <w:r>
        <w:rPr>
          <w:spacing w:val="-10"/>
        </w:rPr>
        <w:t> </w:t>
      </w:r>
      <w:r>
        <w:rPr/>
        <w:t>do</w:t>
      </w:r>
    </w:p>
    <w:p>
      <w:pPr>
        <w:spacing w:after="0" w:line="360" w:lineRule="auto"/>
        <w:jc w:val="both"/>
        <w:sectPr>
          <w:pgSz w:w="11910" w:h="16840"/>
          <w:pgMar w:header="1042" w:footer="764" w:top="4180" w:bottom="960" w:left="1320" w:right="580"/>
        </w:sectPr>
      </w:pPr>
    </w:p>
    <w:p>
      <w:pPr>
        <w:pStyle w:val="BodyText"/>
        <w:spacing w:before="4"/>
        <w:rPr>
          <w:sz w:val="29"/>
        </w:rPr>
      </w:pPr>
    </w:p>
    <w:p>
      <w:pPr>
        <w:pStyle w:val="BodyText"/>
        <w:spacing w:line="360" w:lineRule="auto" w:before="100"/>
        <w:ind w:left="120" w:right="891"/>
      </w:pPr>
      <w:r>
        <w:rPr/>
        <w:t>not contain the analyte (reference results negative). Table 4 details the cross-tab analysis for sensitivity and specificity.</w:t>
      </w:r>
    </w:p>
    <w:p>
      <w:pPr>
        <w:pStyle w:val="BodyText"/>
      </w:pPr>
    </w:p>
    <w:p>
      <w:pPr>
        <w:pStyle w:val="BodyText"/>
        <w:ind w:left="120"/>
      </w:pPr>
      <w:r>
        <w:rPr>
          <w:b/>
        </w:rPr>
        <w:t>Table 4. </w:t>
      </w:r>
      <w:r>
        <w:rPr/>
        <w:t>Cross-tab analysis of clinical sensitivity and specificity.</w:t>
      </w:r>
    </w:p>
    <w:p>
      <w:pPr>
        <w:pStyle w:val="BodyText"/>
        <w:spacing w:before="3"/>
        <w:rPr>
          <w:sz w:val="12"/>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0"/>
        <w:gridCol w:w="1746"/>
        <w:gridCol w:w="1931"/>
        <w:gridCol w:w="1808"/>
        <w:gridCol w:w="1410"/>
      </w:tblGrid>
      <w:tr>
        <w:trPr>
          <w:trHeight w:val="528" w:hRule="atLeast"/>
        </w:trPr>
        <w:tc>
          <w:tcPr>
            <w:tcW w:w="9025" w:type="dxa"/>
            <w:gridSpan w:val="5"/>
            <w:tcBorders>
              <w:bottom w:val="single" w:sz="6" w:space="0" w:color="FFFFFF"/>
            </w:tcBorders>
            <w:shd w:val="clear" w:color="auto" w:fill="66CEF5"/>
          </w:tcPr>
          <w:p>
            <w:pPr>
              <w:pStyle w:val="TableParagraph"/>
              <w:spacing w:before="110"/>
              <w:ind w:left="4416"/>
              <w:jc w:val="left"/>
              <w:rPr>
                <w:b/>
                <w:sz w:val="20"/>
              </w:rPr>
            </w:pPr>
            <w:r>
              <w:rPr>
                <w:b/>
                <w:sz w:val="20"/>
              </w:rPr>
              <w:t>Reference testing results</w:t>
            </w:r>
          </w:p>
        </w:tc>
      </w:tr>
      <w:tr>
        <w:trPr>
          <w:trHeight w:val="1388" w:hRule="atLeast"/>
        </w:trPr>
        <w:tc>
          <w:tcPr>
            <w:tcW w:w="2130" w:type="dxa"/>
            <w:vMerge w:val="restart"/>
            <w:tcBorders>
              <w:top w:val="single" w:sz="6" w:space="0" w:color="FFFFFF"/>
              <w:bottom w:val="single" w:sz="6" w:space="0" w:color="FFFFFF"/>
            </w:tcBorders>
            <w:shd w:val="clear" w:color="auto" w:fill="E7EAEB"/>
          </w:tcPr>
          <w:p>
            <w:pPr>
              <w:pStyle w:val="TableParagraph"/>
              <w:jc w:val="left"/>
              <w:rPr>
                <w:sz w:val="26"/>
              </w:rPr>
            </w:pPr>
          </w:p>
          <w:p>
            <w:pPr>
              <w:pStyle w:val="TableParagraph"/>
              <w:jc w:val="left"/>
              <w:rPr>
                <w:sz w:val="26"/>
              </w:rPr>
            </w:pPr>
          </w:p>
          <w:p>
            <w:pPr>
              <w:pStyle w:val="TableParagraph"/>
              <w:jc w:val="left"/>
              <w:rPr>
                <w:sz w:val="26"/>
              </w:rPr>
            </w:pPr>
          </w:p>
          <w:p>
            <w:pPr>
              <w:pStyle w:val="TableParagraph"/>
              <w:jc w:val="left"/>
              <w:rPr>
                <w:sz w:val="26"/>
              </w:rPr>
            </w:pPr>
          </w:p>
          <w:p>
            <w:pPr>
              <w:pStyle w:val="TableParagraph"/>
              <w:spacing w:before="13"/>
              <w:jc w:val="left"/>
              <w:rPr>
                <w:sz w:val="27"/>
              </w:rPr>
            </w:pPr>
          </w:p>
          <w:p>
            <w:pPr>
              <w:pStyle w:val="TableParagraph"/>
              <w:spacing w:line="276" w:lineRule="auto"/>
              <w:ind w:left="264" w:right="249" w:firstLine="57"/>
              <w:jc w:val="left"/>
              <w:rPr>
                <w:b/>
                <w:sz w:val="20"/>
              </w:rPr>
            </w:pPr>
            <w:r>
              <w:rPr>
                <w:b/>
                <w:sz w:val="20"/>
              </w:rPr>
              <w:t>Results of assay under evaluation</w:t>
            </w:r>
          </w:p>
        </w:tc>
        <w:tc>
          <w:tcPr>
            <w:tcW w:w="1746" w:type="dxa"/>
            <w:tcBorders>
              <w:top w:val="single" w:sz="6" w:space="0" w:color="FFFFFF"/>
              <w:bottom w:val="single" w:sz="6" w:space="0" w:color="FFFFFF"/>
              <w:right w:val="single" w:sz="4" w:space="0" w:color="FFFFFF"/>
            </w:tcBorders>
            <w:shd w:val="clear" w:color="auto" w:fill="E7EAEB"/>
          </w:tcPr>
          <w:p>
            <w:pPr>
              <w:pStyle w:val="TableParagraph"/>
              <w:jc w:val="left"/>
              <w:rPr>
                <w:rFonts w:ascii="Times New Roman"/>
                <w:sz w:val="22"/>
              </w:rPr>
            </w:pPr>
          </w:p>
        </w:tc>
        <w:tc>
          <w:tcPr>
            <w:tcW w:w="1931" w:type="dxa"/>
            <w:tcBorders>
              <w:top w:val="single" w:sz="6" w:space="0" w:color="FFFFFF"/>
              <w:left w:val="single" w:sz="4" w:space="0" w:color="FFFFFF"/>
              <w:bottom w:val="single" w:sz="6" w:space="0" w:color="FFFFFF"/>
            </w:tcBorders>
            <w:shd w:val="clear" w:color="auto" w:fill="E7EAEB"/>
          </w:tcPr>
          <w:p>
            <w:pPr>
              <w:pStyle w:val="TableParagraph"/>
              <w:spacing w:line="276" w:lineRule="auto" w:before="234"/>
              <w:ind w:left="249" w:right="211"/>
              <w:rPr>
                <w:sz w:val="20"/>
              </w:rPr>
            </w:pPr>
            <w:r>
              <w:rPr>
                <w:sz w:val="20"/>
              </w:rPr>
              <w:t>Specimens from COVID infected individuals</w:t>
            </w:r>
          </w:p>
        </w:tc>
        <w:tc>
          <w:tcPr>
            <w:tcW w:w="1808" w:type="dxa"/>
            <w:tcBorders>
              <w:top w:val="single" w:sz="6" w:space="0" w:color="FFFFFF"/>
              <w:bottom w:val="single" w:sz="6" w:space="0" w:color="FFFFFF"/>
            </w:tcBorders>
            <w:shd w:val="clear" w:color="auto" w:fill="E7EAEB"/>
          </w:tcPr>
          <w:p>
            <w:pPr>
              <w:pStyle w:val="TableParagraph"/>
              <w:spacing w:line="276" w:lineRule="auto" w:before="80"/>
              <w:ind w:left="236" w:right="150"/>
              <w:rPr>
                <w:sz w:val="20"/>
              </w:rPr>
            </w:pPr>
            <w:r>
              <w:rPr>
                <w:sz w:val="20"/>
              </w:rPr>
              <w:t>Specimens from individuals not infected with COVID</w:t>
            </w:r>
          </w:p>
        </w:tc>
        <w:tc>
          <w:tcPr>
            <w:tcW w:w="1410" w:type="dxa"/>
            <w:tcBorders>
              <w:top w:val="single" w:sz="6" w:space="0" w:color="FFFFFF"/>
              <w:bottom w:val="single" w:sz="6" w:space="0" w:color="FFFFFF"/>
            </w:tcBorders>
            <w:shd w:val="clear" w:color="auto" w:fill="E7EAEB"/>
          </w:tcPr>
          <w:p>
            <w:pPr>
              <w:pStyle w:val="TableParagraph"/>
              <w:jc w:val="left"/>
              <w:rPr>
                <w:sz w:val="26"/>
              </w:rPr>
            </w:pPr>
          </w:p>
          <w:p>
            <w:pPr>
              <w:pStyle w:val="TableParagraph"/>
              <w:spacing w:before="193"/>
              <w:ind w:left="153"/>
              <w:jc w:val="left"/>
              <w:rPr>
                <w:sz w:val="20"/>
              </w:rPr>
            </w:pPr>
            <w:r>
              <w:rPr>
                <w:sz w:val="20"/>
              </w:rPr>
              <w:t>Total</w:t>
            </w:r>
          </w:p>
        </w:tc>
      </w:tr>
      <w:tr>
        <w:trPr>
          <w:trHeight w:val="906" w:hRule="atLeast"/>
        </w:trPr>
        <w:tc>
          <w:tcPr>
            <w:tcW w:w="2130" w:type="dxa"/>
            <w:vMerge/>
            <w:tcBorders>
              <w:top w:val="nil"/>
              <w:bottom w:val="single" w:sz="6" w:space="0" w:color="FFFFFF"/>
            </w:tcBorders>
            <w:shd w:val="clear" w:color="auto" w:fill="E7EAEB"/>
          </w:tcPr>
          <w:p>
            <w:pPr>
              <w:rPr>
                <w:sz w:val="2"/>
                <w:szCs w:val="2"/>
              </w:rPr>
            </w:pPr>
          </w:p>
        </w:tc>
        <w:tc>
          <w:tcPr>
            <w:tcW w:w="1746" w:type="dxa"/>
            <w:tcBorders>
              <w:top w:val="single" w:sz="6" w:space="0" w:color="FFFFFF"/>
              <w:bottom w:val="single" w:sz="6" w:space="0" w:color="FFFFFF"/>
              <w:right w:val="single" w:sz="4" w:space="0" w:color="FFFFFF"/>
            </w:tcBorders>
            <w:shd w:val="clear" w:color="auto" w:fill="F3F5F6"/>
          </w:tcPr>
          <w:p>
            <w:pPr>
              <w:pStyle w:val="TableParagraph"/>
              <w:spacing w:before="6"/>
              <w:jc w:val="left"/>
              <w:rPr>
                <w:sz w:val="22"/>
              </w:rPr>
            </w:pPr>
          </w:p>
          <w:p>
            <w:pPr>
              <w:pStyle w:val="TableParagraph"/>
              <w:ind w:left="278" w:right="278"/>
              <w:rPr>
                <w:sz w:val="20"/>
              </w:rPr>
            </w:pPr>
            <w:r>
              <w:rPr>
                <w:sz w:val="20"/>
              </w:rPr>
              <w:t>Reactive</w:t>
            </w:r>
          </w:p>
        </w:tc>
        <w:tc>
          <w:tcPr>
            <w:tcW w:w="1931" w:type="dxa"/>
            <w:tcBorders>
              <w:top w:val="single" w:sz="6" w:space="0" w:color="FFFFFF"/>
              <w:left w:val="single" w:sz="4" w:space="0" w:color="FFFFFF"/>
              <w:bottom w:val="single" w:sz="6" w:space="0" w:color="FFFFFF"/>
            </w:tcBorders>
            <w:shd w:val="clear" w:color="auto" w:fill="F3F5F6"/>
          </w:tcPr>
          <w:p>
            <w:pPr>
              <w:pStyle w:val="TableParagraph"/>
              <w:spacing w:before="145"/>
              <w:ind w:left="32"/>
              <w:rPr>
                <w:sz w:val="20"/>
              </w:rPr>
            </w:pPr>
            <w:r>
              <w:rPr>
                <w:w w:val="99"/>
                <w:sz w:val="20"/>
              </w:rPr>
              <w:t>a</w:t>
            </w:r>
          </w:p>
          <w:p>
            <w:pPr>
              <w:pStyle w:val="TableParagraph"/>
              <w:spacing w:before="41"/>
              <w:ind w:left="249" w:right="220"/>
              <w:rPr>
                <w:sz w:val="20"/>
              </w:rPr>
            </w:pPr>
            <w:r>
              <w:rPr>
                <w:sz w:val="20"/>
              </w:rPr>
              <w:t>(true positives)</w:t>
            </w:r>
          </w:p>
        </w:tc>
        <w:tc>
          <w:tcPr>
            <w:tcW w:w="1808" w:type="dxa"/>
            <w:tcBorders>
              <w:top w:val="single" w:sz="6" w:space="0" w:color="FFFFFF"/>
              <w:bottom w:val="single" w:sz="6" w:space="0" w:color="FFFFFF"/>
            </w:tcBorders>
            <w:shd w:val="clear" w:color="auto" w:fill="F3F5F6"/>
          </w:tcPr>
          <w:p>
            <w:pPr>
              <w:pStyle w:val="TableParagraph"/>
              <w:spacing w:before="145"/>
              <w:ind w:left="82"/>
              <w:rPr>
                <w:sz w:val="20"/>
              </w:rPr>
            </w:pPr>
            <w:r>
              <w:rPr>
                <w:w w:val="99"/>
                <w:sz w:val="20"/>
              </w:rPr>
              <w:t>b</w:t>
            </w:r>
          </w:p>
          <w:p>
            <w:pPr>
              <w:pStyle w:val="TableParagraph"/>
              <w:spacing w:before="41"/>
              <w:ind w:left="230" w:right="150"/>
              <w:rPr>
                <w:sz w:val="20"/>
              </w:rPr>
            </w:pPr>
            <w:r>
              <w:rPr>
                <w:sz w:val="20"/>
              </w:rPr>
              <w:t>(false positives)</w:t>
            </w:r>
          </w:p>
        </w:tc>
        <w:tc>
          <w:tcPr>
            <w:tcW w:w="1410" w:type="dxa"/>
            <w:tcBorders>
              <w:top w:val="single" w:sz="6" w:space="0" w:color="FFFFFF"/>
              <w:bottom w:val="single" w:sz="6" w:space="0" w:color="FFFFFF"/>
            </w:tcBorders>
            <w:shd w:val="clear" w:color="auto" w:fill="F3F5F6"/>
          </w:tcPr>
          <w:p>
            <w:pPr>
              <w:pStyle w:val="TableParagraph"/>
              <w:spacing w:before="6"/>
              <w:jc w:val="left"/>
              <w:rPr>
                <w:sz w:val="22"/>
              </w:rPr>
            </w:pPr>
          </w:p>
          <w:p>
            <w:pPr>
              <w:pStyle w:val="TableParagraph"/>
              <w:ind w:left="494"/>
              <w:jc w:val="left"/>
              <w:rPr>
                <w:sz w:val="20"/>
              </w:rPr>
            </w:pPr>
            <w:r>
              <w:rPr>
                <w:sz w:val="20"/>
              </w:rPr>
              <w:t>a + b</w:t>
            </w:r>
          </w:p>
        </w:tc>
      </w:tr>
      <w:tr>
        <w:trPr>
          <w:trHeight w:val="892" w:hRule="atLeast"/>
        </w:trPr>
        <w:tc>
          <w:tcPr>
            <w:tcW w:w="2130" w:type="dxa"/>
            <w:vMerge/>
            <w:tcBorders>
              <w:top w:val="nil"/>
              <w:bottom w:val="single" w:sz="6" w:space="0" w:color="FFFFFF"/>
            </w:tcBorders>
            <w:shd w:val="clear" w:color="auto" w:fill="E7EAEB"/>
          </w:tcPr>
          <w:p>
            <w:pPr>
              <w:rPr>
                <w:sz w:val="2"/>
                <w:szCs w:val="2"/>
              </w:rPr>
            </w:pPr>
          </w:p>
        </w:tc>
        <w:tc>
          <w:tcPr>
            <w:tcW w:w="1746" w:type="dxa"/>
            <w:tcBorders>
              <w:top w:val="single" w:sz="6" w:space="0" w:color="FFFFFF"/>
              <w:bottom w:val="single" w:sz="6" w:space="0" w:color="FFFFFF"/>
              <w:right w:val="single" w:sz="4" w:space="0" w:color="FFFFFF"/>
            </w:tcBorders>
            <w:shd w:val="clear" w:color="auto" w:fill="E7EAEB"/>
          </w:tcPr>
          <w:p>
            <w:pPr>
              <w:pStyle w:val="TableParagraph"/>
              <w:spacing w:before="12"/>
              <w:jc w:val="left"/>
              <w:rPr>
                <w:sz w:val="21"/>
              </w:rPr>
            </w:pPr>
          </w:p>
          <w:p>
            <w:pPr>
              <w:pStyle w:val="TableParagraph"/>
              <w:ind w:left="278" w:right="278"/>
              <w:rPr>
                <w:sz w:val="20"/>
              </w:rPr>
            </w:pPr>
            <w:r>
              <w:rPr>
                <w:sz w:val="20"/>
              </w:rPr>
              <w:t>Non-reactive</w:t>
            </w:r>
          </w:p>
        </w:tc>
        <w:tc>
          <w:tcPr>
            <w:tcW w:w="1931" w:type="dxa"/>
            <w:tcBorders>
              <w:top w:val="single" w:sz="6" w:space="0" w:color="FFFFFF"/>
              <w:left w:val="single" w:sz="4" w:space="0" w:color="FFFFFF"/>
              <w:bottom w:val="single" w:sz="6" w:space="0" w:color="FFFFFF"/>
            </w:tcBorders>
            <w:shd w:val="clear" w:color="auto" w:fill="E7EAEB"/>
          </w:tcPr>
          <w:p>
            <w:pPr>
              <w:pStyle w:val="TableParagraph"/>
              <w:spacing w:before="138"/>
              <w:ind w:left="32"/>
              <w:rPr>
                <w:sz w:val="20"/>
              </w:rPr>
            </w:pPr>
            <w:r>
              <w:rPr>
                <w:w w:val="99"/>
                <w:sz w:val="20"/>
              </w:rPr>
              <w:t>c</w:t>
            </w:r>
          </w:p>
          <w:p>
            <w:pPr>
              <w:pStyle w:val="TableParagraph"/>
              <w:spacing w:before="41"/>
              <w:ind w:left="249" w:right="220"/>
              <w:rPr>
                <w:sz w:val="20"/>
              </w:rPr>
            </w:pPr>
            <w:r>
              <w:rPr>
                <w:sz w:val="20"/>
              </w:rPr>
              <w:t>(false negatives)</w:t>
            </w:r>
          </w:p>
        </w:tc>
        <w:tc>
          <w:tcPr>
            <w:tcW w:w="1808" w:type="dxa"/>
            <w:tcBorders>
              <w:top w:val="single" w:sz="6" w:space="0" w:color="FFFFFF"/>
              <w:bottom w:val="single" w:sz="6" w:space="0" w:color="FFFFFF"/>
            </w:tcBorders>
            <w:shd w:val="clear" w:color="auto" w:fill="E7EAEB"/>
          </w:tcPr>
          <w:p>
            <w:pPr>
              <w:pStyle w:val="TableParagraph"/>
              <w:spacing w:before="138"/>
              <w:ind w:left="82"/>
              <w:rPr>
                <w:sz w:val="20"/>
              </w:rPr>
            </w:pPr>
            <w:r>
              <w:rPr>
                <w:w w:val="99"/>
                <w:sz w:val="20"/>
              </w:rPr>
              <w:t>d</w:t>
            </w:r>
          </w:p>
          <w:p>
            <w:pPr>
              <w:pStyle w:val="TableParagraph"/>
              <w:spacing w:before="41"/>
              <w:ind w:left="230" w:right="150"/>
              <w:rPr>
                <w:sz w:val="20"/>
              </w:rPr>
            </w:pPr>
            <w:r>
              <w:rPr>
                <w:sz w:val="20"/>
              </w:rPr>
              <w:t>(true negatives)</w:t>
            </w:r>
          </w:p>
        </w:tc>
        <w:tc>
          <w:tcPr>
            <w:tcW w:w="1410" w:type="dxa"/>
            <w:tcBorders>
              <w:top w:val="single" w:sz="6" w:space="0" w:color="FFFFFF"/>
              <w:bottom w:val="single" w:sz="6" w:space="0" w:color="FFFFFF"/>
            </w:tcBorders>
            <w:shd w:val="clear" w:color="auto" w:fill="E7EAEB"/>
          </w:tcPr>
          <w:p>
            <w:pPr>
              <w:pStyle w:val="TableParagraph"/>
              <w:spacing w:before="12"/>
              <w:jc w:val="left"/>
              <w:rPr>
                <w:sz w:val="21"/>
              </w:rPr>
            </w:pPr>
          </w:p>
          <w:p>
            <w:pPr>
              <w:pStyle w:val="TableParagraph"/>
              <w:ind w:left="499"/>
              <w:jc w:val="left"/>
              <w:rPr>
                <w:sz w:val="20"/>
              </w:rPr>
            </w:pPr>
            <w:r>
              <w:rPr>
                <w:sz w:val="20"/>
              </w:rPr>
              <w:t>c + d</w:t>
            </w:r>
          </w:p>
        </w:tc>
      </w:tr>
      <w:tr>
        <w:trPr>
          <w:trHeight w:val="809" w:hRule="atLeast"/>
        </w:trPr>
        <w:tc>
          <w:tcPr>
            <w:tcW w:w="2130" w:type="dxa"/>
            <w:tcBorders>
              <w:top w:val="single" w:sz="6" w:space="0" w:color="FFFFFF"/>
              <w:right w:val="single" w:sz="4" w:space="0" w:color="FFFFFF"/>
            </w:tcBorders>
            <w:shd w:val="clear" w:color="auto" w:fill="E7EAEB"/>
          </w:tcPr>
          <w:p>
            <w:pPr>
              <w:pStyle w:val="TableParagraph"/>
              <w:jc w:val="left"/>
              <w:rPr>
                <w:rFonts w:ascii="Times New Roman"/>
                <w:sz w:val="22"/>
              </w:rPr>
            </w:pPr>
          </w:p>
        </w:tc>
        <w:tc>
          <w:tcPr>
            <w:tcW w:w="1746" w:type="dxa"/>
            <w:vMerge w:val="restart"/>
            <w:tcBorders>
              <w:top w:val="single" w:sz="6" w:space="0" w:color="FFFFFF"/>
              <w:left w:val="single" w:sz="4" w:space="0" w:color="FFFFFF"/>
              <w:right w:val="single" w:sz="4" w:space="0" w:color="FFFFFF"/>
            </w:tcBorders>
            <w:shd w:val="clear" w:color="auto" w:fill="F3F5F6"/>
          </w:tcPr>
          <w:p>
            <w:pPr>
              <w:pStyle w:val="TableParagraph"/>
              <w:spacing w:before="12"/>
              <w:jc w:val="left"/>
              <w:rPr>
                <w:sz w:val="21"/>
              </w:rPr>
            </w:pPr>
          </w:p>
          <w:p>
            <w:pPr>
              <w:pStyle w:val="TableParagraph"/>
              <w:ind w:left="626" w:right="629"/>
              <w:rPr>
                <w:sz w:val="20"/>
              </w:rPr>
            </w:pPr>
            <w:r>
              <w:rPr>
                <w:sz w:val="20"/>
              </w:rPr>
              <w:t>Total</w:t>
            </w:r>
          </w:p>
        </w:tc>
        <w:tc>
          <w:tcPr>
            <w:tcW w:w="1931" w:type="dxa"/>
            <w:tcBorders>
              <w:top w:val="single" w:sz="6" w:space="0" w:color="FFFFFF"/>
              <w:left w:val="single" w:sz="4" w:space="0" w:color="FFFFFF"/>
            </w:tcBorders>
            <w:shd w:val="clear" w:color="auto" w:fill="F3F5F6"/>
          </w:tcPr>
          <w:p>
            <w:pPr>
              <w:pStyle w:val="TableParagraph"/>
              <w:spacing w:before="12"/>
              <w:jc w:val="left"/>
              <w:rPr>
                <w:sz w:val="21"/>
              </w:rPr>
            </w:pPr>
          </w:p>
          <w:p>
            <w:pPr>
              <w:pStyle w:val="TableParagraph"/>
              <w:ind w:left="249" w:right="219"/>
              <w:rPr>
                <w:sz w:val="20"/>
              </w:rPr>
            </w:pPr>
            <w:r>
              <w:rPr>
                <w:sz w:val="20"/>
              </w:rPr>
              <w:t>a + c</w:t>
            </w:r>
          </w:p>
        </w:tc>
        <w:tc>
          <w:tcPr>
            <w:tcW w:w="1808" w:type="dxa"/>
            <w:tcBorders>
              <w:top w:val="single" w:sz="6" w:space="0" w:color="FFFFFF"/>
            </w:tcBorders>
            <w:shd w:val="clear" w:color="auto" w:fill="F3F5F6"/>
          </w:tcPr>
          <w:p>
            <w:pPr>
              <w:pStyle w:val="TableParagraph"/>
              <w:spacing w:before="12"/>
              <w:jc w:val="left"/>
              <w:rPr>
                <w:sz w:val="21"/>
              </w:rPr>
            </w:pPr>
          </w:p>
          <w:p>
            <w:pPr>
              <w:pStyle w:val="TableParagraph"/>
              <w:ind w:left="232" w:right="150"/>
              <w:rPr>
                <w:sz w:val="20"/>
              </w:rPr>
            </w:pPr>
            <w:r>
              <w:rPr>
                <w:sz w:val="20"/>
              </w:rPr>
              <w:t>b + d</w:t>
            </w:r>
          </w:p>
        </w:tc>
        <w:tc>
          <w:tcPr>
            <w:tcW w:w="1410" w:type="dxa"/>
            <w:tcBorders>
              <w:top w:val="single" w:sz="6" w:space="0" w:color="FFFFFF"/>
            </w:tcBorders>
            <w:shd w:val="clear" w:color="auto" w:fill="F3F5F6"/>
          </w:tcPr>
          <w:p>
            <w:pPr>
              <w:pStyle w:val="TableParagraph"/>
              <w:spacing w:before="12"/>
              <w:jc w:val="left"/>
              <w:rPr>
                <w:sz w:val="21"/>
              </w:rPr>
            </w:pPr>
          </w:p>
          <w:p>
            <w:pPr>
              <w:pStyle w:val="TableParagraph"/>
              <w:ind w:left="307"/>
              <w:jc w:val="left"/>
              <w:rPr>
                <w:sz w:val="20"/>
              </w:rPr>
            </w:pPr>
            <w:r>
              <w:rPr>
                <w:sz w:val="20"/>
              </w:rPr>
              <w:t>a+b+c+d</w:t>
            </w:r>
          </w:p>
        </w:tc>
      </w:tr>
      <w:tr>
        <w:trPr>
          <w:trHeight w:val="83" w:hRule="atLeast"/>
        </w:trPr>
        <w:tc>
          <w:tcPr>
            <w:tcW w:w="2130" w:type="dxa"/>
            <w:tcBorders>
              <w:right w:val="single" w:sz="4" w:space="0" w:color="FFFFFF"/>
            </w:tcBorders>
            <w:shd w:val="clear" w:color="auto" w:fill="F3F5F6"/>
          </w:tcPr>
          <w:p>
            <w:pPr>
              <w:pStyle w:val="TableParagraph"/>
              <w:jc w:val="left"/>
              <w:rPr>
                <w:rFonts w:ascii="Times New Roman"/>
                <w:sz w:val="2"/>
              </w:rPr>
            </w:pPr>
          </w:p>
        </w:tc>
        <w:tc>
          <w:tcPr>
            <w:tcW w:w="1746" w:type="dxa"/>
            <w:vMerge/>
            <w:tcBorders>
              <w:top w:val="nil"/>
              <w:left w:val="single" w:sz="4" w:space="0" w:color="FFFFFF"/>
              <w:right w:val="single" w:sz="4" w:space="0" w:color="FFFFFF"/>
            </w:tcBorders>
            <w:shd w:val="clear" w:color="auto" w:fill="F3F5F6"/>
          </w:tcPr>
          <w:p>
            <w:pPr>
              <w:rPr>
                <w:sz w:val="2"/>
                <w:szCs w:val="2"/>
              </w:rPr>
            </w:pPr>
          </w:p>
        </w:tc>
        <w:tc>
          <w:tcPr>
            <w:tcW w:w="1931" w:type="dxa"/>
            <w:tcBorders>
              <w:left w:val="single" w:sz="4" w:space="0" w:color="FFFFFF"/>
            </w:tcBorders>
            <w:shd w:val="clear" w:color="auto" w:fill="F3F5F6"/>
          </w:tcPr>
          <w:p>
            <w:pPr>
              <w:pStyle w:val="TableParagraph"/>
              <w:jc w:val="left"/>
              <w:rPr>
                <w:rFonts w:ascii="Times New Roman"/>
                <w:sz w:val="2"/>
              </w:rPr>
            </w:pPr>
          </w:p>
        </w:tc>
        <w:tc>
          <w:tcPr>
            <w:tcW w:w="1808" w:type="dxa"/>
            <w:shd w:val="clear" w:color="auto" w:fill="F3F5F6"/>
          </w:tcPr>
          <w:p>
            <w:pPr>
              <w:pStyle w:val="TableParagraph"/>
              <w:jc w:val="left"/>
              <w:rPr>
                <w:rFonts w:ascii="Times New Roman"/>
                <w:sz w:val="2"/>
              </w:rPr>
            </w:pPr>
          </w:p>
        </w:tc>
        <w:tc>
          <w:tcPr>
            <w:tcW w:w="1410" w:type="dxa"/>
            <w:shd w:val="clear" w:color="auto" w:fill="F3F5F6"/>
          </w:tcPr>
          <w:p>
            <w:pPr>
              <w:pStyle w:val="TableParagraph"/>
              <w:jc w:val="left"/>
              <w:rPr>
                <w:rFonts w:ascii="Times New Roman"/>
                <w:sz w:val="2"/>
              </w:rPr>
            </w:pPr>
          </w:p>
        </w:tc>
      </w:tr>
    </w:tbl>
    <w:p>
      <w:pPr>
        <w:pStyle w:val="BodyText"/>
        <w:spacing w:before="12"/>
        <w:rPr>
          <w:sz w:val="29"/>
        </w:rPr>
      </w:pPr>
    </w:p>
    <w:p>
      <w:pPr>
        <w:spacing w:after="0"/>
        <w:rPr>
          <w:sz w:val="29"/>
        </w:rPr>
        <w:sectPr>
          <w:pgSz w:w="11910" w:h="16840"/>
          <w:pgMar w:header="1042" w:footer="764" w:top="4180" w:bottom="960" w:left="1320" w:right="580"/>
        </w:sectPr>
      </w:pPr>
    </w:p>
    <w:p>
      <w:pPr>
        <w:pStyle w:val="Heading3"/>
        <w:rPr>
          <w:b w:val="0"/>
        </w:rPr>
      </w:pPr>
      <w:r>
        <w:rPr/>
        <w:pict>
          <v:line style="position:absolute;mso-position-horizontal-relative:page;mso-position-vertical-relative:paragraph;z-index:-16359936" from="150.168045pt,19.954206pt" to="176.494028pt,19.954206pt" stroked="true" strokeweight=".367499pt" strokecolor="#000000">
            <v:stroke dashstyle="solid"/>
            <w10:wrap type="none"/>
          </v:line>
        </w:pict>
      </w:r>
      <w:r>
        <w:rPr/>
        <w:t>Sensitivity </w:t>
      </w:r>
      <w:r>
        <w:rPr>
          <w:b w:val="0"/>
          <w:spacing w:val="-16"/>
        </w:rPr>
        <w:t>=</w:t>
      </w:r>
    </w:p>
    <w:p>
      <w:pPr>
        <w:spacing w:line="285" w:lineRule="auto" w:before="95"/>
        <w:ind w:left="120" w:right="38" w:firstLine="184"/>
        <w:jc w:val="left"/>
        <w:rPr>
          <w:rFonts w:ascii="Times New Roman" w:hAnsi="Times New Roman"/>
          <w:i/>
          <w:sz w:val="23"/>
        </w:rPr>
      </w:pPr>
      <w:r>
        <w:rPr/>
        <w:br w:type="column"/>
      </w:r>
      <w:r>
        <w:rPr>
          <w:rFonts w:ascii="Times New Roman" w:hAnsi="Times New Roman"/>
          <w:i/>
          <w:w w:val="115"/>
          <w:sz w:val="23"/>
        </w:rPr>
        <w:t>a </w:t>
      </w:r>
      <w:r>
        <w:rPr>
          <w:rFonts w:ascii="Times New Roman" w:hAnsi="Times New Roman"/>
          <w:i/>
          <w:w w:val="115"/>
          <w:sz w:val="23"/>
        </w:rPr>
        <w:t>a </w:t>
      </w:r>
      <w:r>
        <w:rPr>
          <w:rFonts w:ascii="Symbol" w:hAnsi="Symbol"/>
          <w:w w:val="115"/>
          <w:sz w:val="23"/>
        </w:rPr>
        <w:t></w:t>
      </w:r>
      <w:r>
        <w:rPr>
          <w:rFonts w:ascii="Times New Roman" w:hAnsi="Times New Roman"/>
          <w:spacing w:val="-25"/>
          <w:w w:val="115"/>
          <w:sz w:val="23"/>
        </w:rPr>
        <w:t> </w:t>
      </w:r>
      <w:r>
        <w:rPr>
          <w:rFonts w:ascii="Times New Roman" w:hAnsi="Times New Roman"/>
          <w:i/>
          <w:spacing w:val="-17"/>
          <w:w w:val="115"/>
          <w:sz w:val="23"/>
        </w:rPr>
        <w:t>c</w:t>
      </w:r>
    </w:p>
    <w:p>
      <w:pPr>
        <w:pStyle w:val="Heading3"/>
        <w:rPr>
          <w:b w:val="0"/>
        </w:rPr>
      </w:pPr>
      <w:r>
        <w:rPr>
          <w:b w:val="0"/>
        </w:rPr>
        <w:br w:type="column"/>
      </w:r>
      <w:r>
        <w:rPr/>
        <w:t>Specificity </w:t>
      </w:r>
      <w:r>
        <w:rPr>
          <w:b w:val="0"/>
          <w:spacing w:val="-17"/>
        </w:rPr>
        <w:t>=</w:t>
      </w:r>
    </w:p>
    <w:p>
      <w:pPr>
        <w:spacing w:line="285" w:lineRule="auto" w:before="95"/>
        <w:ind w:left="120" w:right="4240" w:firstLine="183"/>
        <w:jc w:val="left"/>
        <w:rPr>
          <w:rFonts w:ascii="Times New Roman" w:hAnsi="Times New Roman"/>
          <w:i/>
          <w:sz w:val="23"/>
        </w:rPr>
      </w:pPr>
      <w:r>
        <w:rPr/>
        <w:br w:type="column"/>
      </w:r>
      <w:r>
        <w:rPr>
          <w:rFonts w:ascii="Times New Roman" w:hAnsi="Times New Roman"/>
          <w:i/>
          <w:w w:val="105"/>
          <w:sz w:val="23"/>
        </w:rPr>
        <w:t>d  </w:t>
      </w:r>
      <w:r>
        <w:rPr>
          <w:rFonts w:ascii="Times New Roman" w:hAnsi="Times New Roman"/>
          <w:i/>
          <w:w w:val="105"/>
          <w:sz w:val="23"/>
        </w:rPr>
        <w:t>b </w:t>
      </w:r>
      <w:r>
        <w:rPr>
          <w:rFonts w:ascii="Symbol" w:hAnsi="Symbol"/>
          <w:w w:val="105"/>
          <w:sz w:val="23"/>
        </w:rPr>
        <w:t></w:t>
      </w:r>
      <w:r>
        <w:rPr>
          <w:rFonts w:ascii="Times New Roman" w:hAnsi="Times New Roman"/>
          <w:spacing w:val="-15"/>
          <w:w w:val="105"/>
          <w:sz w:val="23"/>
        </w:rPr>
        <w:t> </w:t>
      </w:r>
      <w:r>
        <w:rPr>
          <w:rFonts w:ascii="Times New Roman" w:hAnsi="Times New Roman"/>
          <w:i/>
          <w:spacing w:val="-17"/>
          <w:w w:val="105"/>
          <w:sz w:val="23"/>
        </w:rPr>
        <w:t>d</w:t>
      </w:r>
    </w:p>
    <w:p>
      <w:pPr>
        <w:spacing w:after="0" w:line="285" w:lineRule="auto"/>
        <w:jc w:val="left"/>
        <w:rPr>
          <w:rFonts w:ascii="Times New Roman" w:hAnsi="Times New Roman"/>
          <w:sz w:val="23"/>
        </w:rPr>
        <w:sectPr>
          <w:type w:val="continuous"/>
          <w:pgSz w:w="11910" w:h="16840"/>
          <w:pgMar w:top="660" w:bottom="280" w:left="1320" w:right="580"/>
          <w:cols w:num="4" w:equalWidth="0">
            <w:col w:w="1516" w:space="60"/>
            <w:col w:w="664" w:space="1360"/>
            <w:col w:w="1511" w:space="51"/>
            <w:col w:w="4848"/>
          </w:cols>
        </w:sectPr>
      </w:pPr>
    </w:p>
    <w:p>
      <w:pPr>
        <w:pStyle w:val="BodyText"/>
        <w:spacing w:line="360" w:lineRule="auto" w:before="91"/>
        <w:ind w:left="120" w:right="891"/>
      </w:pPr>
      <w:r>
        <w:rPr/>
        <w:pict>
          <v:line style="position:absolute;mso-position-horizontal-relative:page;mso-position-vertical-relative:paragraph;z-index:-16359424" from="329.901367pt,-17.275761pt" to="355.731529pt,-17.275761pt" stroked="true" strokeweight=".367499pt" strokecolor="#000000">
            <v:stroke dashstyle="solid"/>
            <w10:wrap type="none"/>
          </v:line>
        </w:pict>
      </w:r>
      <w:r>
        <w:rPr/>
        <w:t>The exact 95% confidence intervals for binomial proportions are calculated for both sensitivity and specificity.</w:t>
      </w:r>
    </w:p>
    <w:p>
      <w:pPr>
        <w:pStyle w:val="BodyText"/>
        <w:spacing w:before="1"/>
        <w:rPr>
          <w:sz w:val="36"/>
        </w:rPr>
      </w:pPr>
    </w:p>
    <w:p>
      <w:pPr>
        <w:pStyle w:val="BodyText"/>
        <w:spacing w:line="360" w:lineRule="auto"/>
        <w:ind w:left="119"/>
      </w:pPr>
      <w:r>
        <w:rPr>
          <w:b/>
        </w:rPr>
        <w:t>Lot-to-lot variation </w:t>
      </w:r>
      <w:r>
        <w:rPr/>
        <w:t>– The highest dilution having a reactive test result on Lot 1 was compared with the highest dilution having a reactive test results on Lot 2.</w:t>
      </w:r>
    </w:p>
    <w:p>
      <w:pPr>
        <w:spacing w:after="0" w:line="360" w:lineRule="auto"/>
        <w:sectPr>
          <w:type w:val="continuous"/>
          <w:pgSz w:w="11910" w:h="16840"/>
          <w:pgMar w:top="660" w:bottom="280" w:left="1320" w:right="580"/>
        </w:sectPr>
      </w:pPr>
    </w:p>
    <w:p>
      <w:pPr>
        <w:pStyle w:val="BodyText"/>
        <w:spacing w:before="11"/>
        <w:rPr>
          <w:sz w:val="28"/>
        </w:rPr>
      </w:pPr>
    </w:p>
    <w:p>
      <w:pPr>
        <w:pStyle w:val="Heading2"/>
        <w:numPr>
          <w:ilvl w:val="1"/>
          <w:numId w:val="4"/>
        </w:numPr>
        <w:tabs>
          <w:tab w:pos="839" w:val="left" w:leader="none"/>
          <w:tab w:pos="841" w:val="left" w:leader="none"/>
        </w:tabs>
        <w:spacing w:line="240" w:lineRule="auto" w:before="100" w:after="0"/>
        <w:ind w:left="840" w:right="0" w:hanging="721"/>
        <w:jc w:val="left"/>
      </w:pPr>
      <w:bookmarkStart w:name="2.5 Ethics" w:id="21"/>
      <w:bookmarkEnd w:id="21"/>
      <w:r>
        <w:rPr/>
      </w:r>
      <w:bookmarkStart w:name="_bookmark7" w:id="22"/>
      <w:bookmarkEnd w:id="22"/>
      <w:r>
        <w:rPr/>
      </w:r>
      <w:bookmarkStart w:name="_bookmark7" w:id="23"/>
      <w:bookmarkEnd w:id="23"/>
      <w:r>
        <w:rPr>
          <w:color w:val="007CC5"/>
          <w:spacing w:val="3"/>
        </w:rPr>
        <w:t>E</w:t>
      </w:r>
      <w:r>
        <w:rPr>
          <w:color w:val="007CC5"/>
          <w:spacing w:val="3"/>
        </w:rPr>
        <w:t>thics</w:t>
      </w:r>
    </w:p>
    <w:p>
      <w:pPr>
        <w:pStyle w:val="BodyText"/>
        <w:spacing w:line="360" w:lineRule="auto" w:before="141"/>
        <w:ind w:left="120" w:right="856"/>
        <w:jc w:val="both"/>
      </w:pPr>
      <w:r>
        <w:rPr/>
        <w:t>The specimens used in this study were provided to NRL by third-party organisations, including national blood transfusion services. Some specimens with potentially cross- reacting and interfering substances were obtained from commercial</w:t>
      </w:r>
      <w:r>
        <w:rPr>
          <w:spacing w:val="-47"/>
        </w:rPr>
        <w:t> </w:t>
      </w:r>
      <w:r>
        <w:rPr/>
        <w:t>organisations. All specimens</w:t>
      </w:r>
      <w:r>
        <w:rPr>
          <w:spacing w:val="-10"/>
        </w:rPr>
        <w:t> </w:t>
      </w:r>
      <w:r>
        <w:rPr/>
        <w:t>were</w:t>
      </w:r>
      <w:r>
        <w:rPr>
          <w:spacing w:val="-11"/>
        </w:rPr>
        <w:t> </w:t>
      </w:r>
      <w:r>
        <w:rPr/>
        <w:t>collected</w:t>
      </w:r>
      <w:r>
        <w:rPr>
          <w:spacing w:val="-10"/>
        </w:rPr>
        <w:t> </w:t>
      </w:r>
      <w:r>
        <w:rPr/>
        <w:t>from</w:t>
      </w:r>
      <w:r>
        <w:rPr>
          <w:spacing w:val="-12"/>
        </w:rPr>
        <w:t> </w:t>
      </w:r>
      <w:r>
        <w:rPr/>
        <w:t>individuals</w:t>
      </w:r>
      <w:r>
        <w:rPr>
          <w:spacing w:val="-9"/>
        </w:rPr>
        <w:t> </w:t>
      </w:r>
      <w:r>
        <w:rPr/>
        <w:t>with</w:t>
      </w:r>
      <w:r>
        <w:rPr>
          <w:spacing w:val="-10"/>
        </w:rPr>
        <w:t> </w:t>
      </w:r>
      <w:r>
        <w:rPr/>
        <w:t>informed</w:t>
      </w:r>
      <w:r>
        <w:rPr>
          <w:spacing w:val="-11"/>
        </w:rPr>
        <w:t> </w:t>
      </w:r>
      <w:r>
        <w:rPr/>
        <w:t>consent</w:t>
      </w:r>
      <w:r>
        <w:rPr>
          <w:spacing w:val="-10"/>
        </w:rPr>
        <w:t> </w:t>
      </w:r>
      <w:r>
        <w:rPr/>
        <w:t>under</w:t>
      </w:r>
      <w:r>
        <w:rPr>
          <w:spacing w:val="-10"/>
        </w:rPr>
        <w:t> </w:t>
      </w:r>
      <w:r>
        <w:rPr/>
        <w:t>various</w:t>
      </w:r>
      <w:r>
        <w:rPr>
          <w:spacing w:val="-13"/>
        </w:rPr>
        <w:t> </w:t>
      </w:r>
      <w:r>
        <w:rPr/>
        <w:t>ethics approvals.</w:t>
      </w:r>
    </w:p>
    <w:p>
      <w:pPr>
        <w:pStyle w:val="BodyText"/>
        <w:spacing w:before="2"/>
        <w:rPr>
          <w:sz w:val="26"/>
        </w:rPr>
      </w:pPr>
    </w:p>
    <w:p>
      <w:pPr>
        <w:pStyle w:val="Heading1"/>
        <w:numPr>
          <w:ilvl w:val="0"/>
          <w:numId w:val="3"/>
        </w:numPr>
        <w:tabs>
          <w:tab w:pos="934" w:val="left" w:leader="none"/>
        </w:tabs>
        <w:spacing w:line="240" w:lineRule="auto" w:before="0" w:after="0"/>
        <w:ind w:left="933" w:right="0" w:hanging="454"/>
        <w:jc w:val="left"/>
      </w:pPr>
      <w:bookmarkStart w:name="3.  Results" w:id="24"/>
      <w:bookmarkEnd w:id="24"/>
      <w:r>
        <w:rPr/>
      </w:r>
      <w:bookmarkStart w:name="_bookmark8" w:id="25"/>
      <w:bookmarkEnd w:id="25"/>
      <w:r>
        <w:rPr>
          <w:color w:val="007CC5"/>
        </w:rPr>
        <w:t>R</w:t>
      </w:r>
      <w:r>
        <w:rPr>
          <w:color w:val="007CC5"/>
        </w:rPr>
        <w:t>esults</w:t>
      </w:r>
    </w:p>
    <w:p>
      <w:pPr>
        <w:pStyle w:val="BodyText"/>
        <w:rPr>
          <w:rFonts w:ascii="Trebuchet MS"/>
          <w:sz w:val="34"/>
        </w:rPr>
      </w:pPr>
    </w:p>
    <w:p>
      <w:pPr>
        <w:pStyle w:val="Heading2"/>
        <w:numPr>
          <w:ilvl w:val="1"/>
          <w:numId w:val="8"/>
        </w:numPr>
        <w:tabs>
          <w:tab w:pos="839" w:val="left" w:leader="none"/>
          <w:tab w:pos="841" w:val="left" w:leader="none"/>
        </w:tabs>
        <w:spacing w:line="240" w:lineRule="auto" w:before="228" w:after="0"/>
        <w:ind w:left="840" w:right="0" w:hanging="721"/>
        <w:jc w:val="left"/>
      </w:pPr>
      <w:bookmarkStart w:name="3.1 Clinical sensitivity analysis" w:id="26"/>
      <w:bookmarkEnd w:id="26"/>
      <w:r>
        <w:rPr/>
      </w:r>
      <w:bookmarkStart w:name="_bookmark9" w:id="27"/>
      <w:bookmarkEnd w:id="27"/>
      <w:r>
        <w:rPr/>
      </w:r>
      <w:bookmarkStart w:name="_bookmark9" w:id="28"/>
      <w:bookmarkEnd w:id="28"/>
      <w:r>
        <w:rPr>
          <w:color w:val="007CC5"/>
          <w:spacing w:val="3"/>
        </w:rPr>
        <w:t>Cli</w:t>
      </w:r>
      <w:r>
        <w:rPr>
          <w:color w:val="007CC5"/>
          <w:spacing w:val="3"/>
        </w:rPr>
        <w:t>nical sensitivity</w:t>
      </w:r>
      <w:r>
        <w:rPr>
          <w:color w:val="007CC5"/>
          <w:spacing w:val="10"/>
        </w:rPr>
        <w:t> </w:t>
      </w:r>
      <w:r>
        <w:rPr>
          <w:color w:val="007CC5"/>
          <w:spacing w:val="4"/>
        </w:rPr>
        <w:t>analysis</w:t>
      </w:r>
    </w:p>
    <w:p>
      <w:pPr>
        <w:pStyle w:val="BodyText"/>
        <w:spacing w:line="360" w:lineRule="auto" w:before="142"/>
        <w:ind w:left="119" w:right="856"/>
        <w:jc w:val="both"/>
      </w:pPr>
      <w:r>
        <w:rPr/>
        <w:t>The clinical sensitivity of the anti-SARS-CoV test kits was assessed by comparing the reactivity</w:t>
      </w:r>
      <w:r>
        <w:rPr>
          <w:spacing w:val="-20"/>
        </w:rPr>
        <w:t> </w:t>
      </w:r>
      <w:r>
        <w:rPr/>
        <w:t>of</w:t>
      </w:r>
      <w:r>
        <w:rPr>
          <w:spacing w:val="-18"/>
        </w:rPr>
        <w:t> </w:t>
      </w:r>
      <w:r>
        <w:rPr/>
        <w:t>the</w:t>
      </w:r>
      <w:r>
        <w:rPr>
          <w:spacing w:val="-18"/>
        </w:rPr>
        <w:t> </w:t>
      </w:r>
      <w:r>
        <w:rPr/>
        <w:t>IgG</w:t>
      </w:r>
      <w:r>
        <w:rPr>
          <w:spacing w:val="-18"/>
        </w:rPr>
        <w:t> </w:t>
      </w:r>
      <w:r>
        <w:rPr/>
        <w:t>and</w:t>
      </w:r>
      <w:r>
        <w:rPr>
          <w:spacing w:val="-19"/>
        </w:rPr>
        <w:t> </w:t>
      </w:r>
      <w:r>
        <w:rPr/>
        <w:t>IgM</w:t>
      </w:r>
      <w:r>
        <w:rPr>
          <w:spacing w:val="-19"/>
        </w:rPr>
        <w:t> </w:t>
      </w:r>
      <w:r>
        <w:rPr/>
        <w:t>line</w:t>
      </w:r>
      <w:r>
        <w:rPr>
          <w:spacing w:val="-18"/>
        </w:rPr>
        <w:t> </w:t>
      </w:r>
      <w:r>
        <w:rPr/>
        <w:t>against</w:t>
      </w:r>
      <w:r>
        <w:rPr>
          <w:spacing w:val="-19"/>
        </w:rPr>
        <w:t> </w:t>
      </w:r>
      <w:r>
        <w:rPr/>
        <w:t>the</w:t>
      </w:r>
      <w:r>
        <w:rPr>
          <w:spacing w:val="-18"/>
        </w:rPr>
        <w:t> </w:t>
      </w:r>
      <w:r>
        <w:rPr/>
        <w:t>clinical</w:t>
      </w:r>
      <w:r>
        <w:rPr>
          <w:spacing w:val="-17"/>
        </w:rPr>
        <w:t> </w:t>
      </w:r>
      <w:r>
        <w:rPr/>
        <w:t>status</w:t>
      </w:r>
      <w:r>
        <w:rPr>
          <w:spacing w:val="-20"/>
        </w:rPr>
        <w:t> </w:t>
      </w:r>
      <w:r>
        <w:rPr/>
        <w:t>of</w:t>
      </w:r>
      <w:r>
        <w:rPr>
          <w:spacing w:val="-18"/>
        </w:rPr>
        <w:t> </w:t>
      </w:r>
      <w:r>
        <w:rPr/>
        <w:t>the</w:t>
      </w:r>
      <w:r>
        <w:rPr>
          <w:spacing w:val="-18"/>
        </w:rPr>
        <w:t> </w:t>
      </w:r>
      <w:r>
        <w:rPr/>
        <w:t>individual.</w:t>
      </w:r>
      <w:r>
        <w:rPr>
          <w:spacing w:val="29"/>
        </w:rPr>
        <w:t> </w:t>
      </w:r>
      <w:r>
        <w:rPr/>
        <w:t>The</w:t>
      </w:r>
      <w:r>
        <w:rPr>
          <w:spacing w:val="-18"/>
        </w:rPr>
        <w:t> </w:t>
      </w:r>
      <w:r>
        <w:rPr/>
        <w:t>results of</w:t>
      </w:r>
      <w:r>
        <w:rPr>
          <w:spacing w:val="-21"/>
        </w:rPr>
        <w:t> </w:t>
      </w:r>
      <w:r>
        <w:rPr/>
        <w:t>IgG,</w:t>
      </w:r>
      <w:r>
        <w:rPr>
          <w:spacing w:val="-18"/>
        </w:rPr>
        <w:t> </w:t>
      </w:r>
      <w:r>
        <w:rPr/>
        <w:t>IgM</w:t>
      </w:r>
      <w:r>
        <w:rPr>
          <w:spacing w:val="-19"/>
        </w:rPr>
        <w:t> </w:t>
      </w:r>
      <w:r>
        <w:rPr/>
        <w:t>and</w:t>
      </w:r>
      <w:r>
        <w:rPr>
          <w:spacing w:val="-19"/>
        </w:rPr>
        <w:t> </w:t>
      </w:r>
      <w:r>
        <w:rPr/>
        <w:t>combined</w:t>
      </w:r>
      <w:r>
        <w:rPr>
          <w:spacing w:val="-19"/>
        </w:rPr>
        <w:t> </w:t>
      </w:r>
      <w:r>
        <w:rPr/>
        <w:t>IgG</w:t>
      </w:r>
      <w:r>
        <w:rPr>
          <w:spacing w:val="-19"/>
        </w:rPr>
        <w:t> </w:t>
      </w:r>
      <w:r>
        <w:rPr/>
        <w:t>and/or</w:t>
      </w:r>
      <w:r>
        <w:rPr>
          <w:spacing w:val="-19"/>
        </w:rPr>
        <w:t> </w:t>
      </w:r>
      <w:r>
        <w:rPr/>
        <w:t>IgM</w:t>
      </w:r>
      <w:r>
        <w:rPr>
          <w:spacing w:val="-19"/>
        </w:rPr>
        <w:t> </w:t>
      </w:r>
      <w:r>
        <w:rPr/>
        <w:t>sensitivity,</w:t>
      </w:r>
      <w:r>
        <w:rPr>
          <w:spacing w:val="-18"/>
        </w:rPr>
        <w:t> </w:t>
      </w:r>
      <w:r>
        <w:rPr/>
        <w:t>post</w:t>
      </w:r>
      <w:r>
        <w:rPr>
          <w:spacing w:val="-18"/>
        </w:rPr>
        <w:t> </w:t>
      </w:r>
      <w:r>
        <w:rPr/>
        <w:t>symptom</w:t>
      </w:r>
      <w:r>
        <w:rPr>
          <w:spacing w:val="-20"/>
        </w:rPr>
        <w:t> </w:t>
      </w:r>
      <w:r>
        <w:rPr/>
        <w:t>onset</w:t>
      </w:r>
      <w:r>
        <w:rPr>
          <w:spacing w:val="-19"/>
        </w:rPr>
        <w:t> </w:t>
      </w:r>
      <w:r>
        <w:rPr/>
        <w:t>is</w:t>
      </w:r>
      <w:r>
        <w:rPr>
          <w:spacing w:val="-18"/>
        </w:rPr>
        <w:t> </w:t>
      </w:r>
      <w:r>
        <w:rPr/>
        <w:t>presented in</w:t>
      </w:r>
      <w:r>
        <w:rPr>
          <w:spacing w:val="-7"/>
        </w:rPr>
        <w:t> </w:t>
      </w:r>
      <w:r>
        <w:rPr/>
        <w:t>Table</w:t>
      </w:r>
      <w:r>
        <w:rPr>
          <w:spacing w:val="-7"/>
        </w:rPr>
        <w:t> </w:t>
      </w:r>
      <w:r>
        <w:rPr/>
        <w:t>5.</w:t>
      </w:r>
      <w:r>
        <w:rPr>
          <w:spacing w:val="-7"/>
        </w:rPr>
        <w:t> </w:t>
      </w:r>
      <w:r>
        <w:rPr/>
        <w:t>There</w:t>
      </w:r>
      <w:r>
        <w:rPr>
          <w:spacing w:val="-7"/>
        </w:rPr>
        <w:t> </w:t>
      </w:r>
      <w:r>
        <w:rPr/>
        <w:t>were</w:t>
      </w:r>
      <w:r>
        <w:rPr>
          <w:spacing w:val="-7"/>
        </w:rPr>
        <w:t> </w:t>
      </w:r>
      <w:r>
        <w:rPr/>
        <w:t>some</w:t>
      </w:r>
      <w:r>
        <w:rPr>
          <w:spacing w:val="-9"/>
        </w:rPr>
        <w:t> </w:t>
      </w:r>
      <w:r>
        <w:rPr/>
        <w:t>differences</w:t>
      </w:r>
      <w:r>
        <w:rPr>
          <w:spacing w:val="-7"/>
        </w:rPr>
        <w:t> </w:t>
      </w:r>
      <w:r>
        <w:rPr/>
        <w:t>in</w:t>
      </w:r>
      <w:r>
        <w:rPr>
          <w:spacing w:val="-7"/>
        </w:rPr>
        <w:t> </w:t>
      </w:r>
      <w:r>
        <w:rPr/>
        <w:t>the</w:t>
      </w:r>
      <w:r>
        <w:rPr>
          <w:spacing w:val="-7"/>
        </w:rPr>
        <w:t> </w:t>
      </w:r>
      <w:r>
        <w:rPr/>
        <w:t>sensitivity</w:t>
      </w:r>
      <w:r>
        <w:rPr>
          <w:spacing w:val="-7"/>
        </w:rPr>
        <w:t> </w:t>
      </w:r>
      <w:r>
        <w:rPr/>
        <w:t>and/or</w:t>
      </w:r>
      <w:r>
        <w:rPr>
          <w:spacing w:val="-8"/>
        </w:rPr>
        <w:t> </w:t>
      </w:r>
      <w:r>
        <w:rPr/>
        <w:t>specificity</w:t>
      </w:r>
      <w:r>
        <w:rPr>
          <w:spacing w:val="-7"/>
        </w:rPr>
        <w:t> </w:t>
      </w:r>
      <w:r>
        <w:rPr/>
        <w:t>reported</w:t>
      </w:r>
      <w:r>
        <w:rPr>
          <w:spacing w:val="-8"/>
        </w:rPr>
        <w:t> </w:t>
      </w:r>
      <w:r>
        <w:rPr/>
        <w:t>in this study compared with those reported in the manufacturers’ IFU. The sensitivity of IgM reactivity was low compared to claims stated in the IFU for Egens (51.5%) and Newscen (57.6%) but higher than the IFU for Healgen (80.9%). The reported IgG reactivity on positive specimens range from 87.9% for Newscen to 98.9% for</w:t>
      </w:r>
      <w:r>
        <w:rPr>
          <w:spacing w:val="-37"/>
        </w:rPr>
        <w:t> </w:t>
      </w:r>
      <w:r>
        <w:rPr/>
        <w:t>Healgen. Sensitivity determined by IgG and/or IgM was higher than each individual antibody class.</w:t>
      </w:r>
    </w:p>
    <w:p>
      <w:pPr>
        <w:spacing w:after="0" w:line="360" w:lineRule="auto"/>
        <w:jc w:val="both"/>
        <w:sectPr>
          <w:pgSz w:w="11910" w:h="16840"/>
          <w:pgMar w:header="1042" w:footer="764" w:top="4180" w:bottom="960" w:left="1320" w:right="580"/>
        </w:sectPr>
      </w:pPr>
    </w:p>
    <w:p>
      <w:pPr>
        <w:pStyle w:val="BodyText"/>
        <w:spacing w:before="4"/>
        <w:rPr>
          <w:sz w:val="29"/>
        </w:rPr>
      </w:pPr>
    </w:p>
    <w:p>
      <w:pPr>
        <w:pStyle w:val="BodyText"/>
        <w:spacing w:line="276" w:lineRule="auto" w:before="100"/>
        <w:ind w:left="120" w:right="1221"/>
        <w:rPr>
          <w:b/>
        </w:rPr>
      </w:pPr>
      <w:r>
        <w:rPr>
          <w:b/>
        </w:rPr>
        <w:t>Table 5: </w:t>
      </w:r>
      <w:r>
        <w:rPr/>
        <w:t>Comparative performance of serological assays, regardless of day of specimen collection post-symptom onset, for SARS-Cov-2 IgG only, IgM only, and IgG and/or IgM detection</w:t>
      </w:r>
      <w:r>
        <w:rPr>
          <w:b/>
        </w:rPr>
        <w:t>.</w:t>
      </w:r>
    </w:p>
    <w:p>
      <w:pPr>
        <w:pStyle w:val="BodyText"/>
        <w:spacing w:before="10" w:after="1"/>
        <w:rPr>
          <w:b/>
          <w:sz w:val="27"/>
        </w:rPr>
      </w:pPr>
    </w:p>
    <w:tbl>
      <w:tblPr>
        <w:tblCellSpacing w:w="5" w:type="dxa"/>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0"/>
        <w:gridCol w:w="2834"/>
        <w:gridCol w:w="2548"/>
      </w:tblGrid>
      <w:tr>
        <w:trPr>
          <w:trHeight w:val="561" w:hRule="atLeast"/>
        </w:trPr>
        <w:tc>
          <w:tcPr>
            <w:tcW w:w="3120" w:type="dxa"/>
            <w:tcBorders>
              <w:bottom w:val="nil"/>
              <w:right w:val="nil"/>
            </w:tcBorders>
            <w:shd w:val="clear" w:color="auto" w:fill="66CEF5"/>
          </w:tcPr>
          <w:p>
            <w:pPr>
              <w:pStyle w:val="TableParagraph"/>
              <w:spacing w:before="110"/>
              <w:ind w:left="251"/>
              <w:jc w:val="left"/>
              <w:rPr>
                <w:rFonts w:ascii="Arial"/>
                <w:b/>
                <w:sz w:val="20"/>
              </w:rPr>
            </w:pPr>
            <w:r>
              <w:rPr>
                <w:rFonts w:ascii="Arial"/>
                <w:b/>
                <w:sz w:val="20"/>
              </w:rPr>
              <w:t>Performance Characteristic</w:t>
            </w:r>
          </w:p>
        </w:tc>
        <w:tc>
          <w:tcPr>
            <w:tcW w:w="2834" w:type="dxa"/>
            <w:tcBorders>
              <w:left w:val="nil"/>
              <w:bottom w:val="nil"/>
              <w:right w:val="nil"/>
            </w:tcBorders>
            <w:shd w:val="clear" w:color="auto" w:fill="66CEF5"/>
          </w:tcPr>
          <w:p>
            <w:pPr>
              <w:pStyle w:val="TableParagraph"/>
              <w:spacing w:before="10"/>
              <w:jc w:val="left"/>
              <w:rPr>
                <w:b/>
                <w:sz w:val="21"/>
              </w:rPr>
            </w:pPr>
          </w:p>
          <w:p>
            <w:pPr>
              <w:pStyle w:val="TableParagraph"/>
              <w:ind w:left="261" w:right="261"/>
              <w:rPr>
                <w:rFonts w:ascii="Arial"/>
                <w:b/>
                <w:sz w:val="20"/>
              </w:rPr>
            </w:pPr>
            <w:r>
              <w:rPr>
                <w:rFonts w:ascii="Arial"/>
                <w:b/>
                <w:sz w:val="20"/>
              </w:rPr>
              <w:t>Sensitivity</w:t>
            </w:r>
          </w:p>
        </w:tc>
        <w:tc>
          <w:tcPr>
            <w:tcW w:w="2548" w:type="dxa"/>
            <w:tcBorders>
              <w:left w:val="nil"/>
              <w:bottom w:val="nil"/>
            </w:tcBorders>
            <w:shd w:val="clear" w:color="auto" w:fill="66CEF5"/>
          </w:tcPr>
          <w:p>
            <w:pPr>
              <w:pStyle w:val="TableParagraph"/>
              <w:spacing w:before="10"/>
              <w:jc w:val="left"/>
              <w:rPr>
                <w:b/>
                <w:sz w:val="21"/>
              </w:rPr>
            </w:pPr>
          </w:p>
          <w:p>
            <w:pPr>
              <w:pStyle w:val="TableParagraph"/>
              <w:ind w:left="446" w:right="449"/>
              <w:rPr>
                <w:rFonts w:ascii="Arial"/>
                <w:b/>
                <w:sz w:val="20"/>
              </w:rPr>
            </w:pPr>
            <w:r>
              <w:rPr>
                <w:rFonts w:ascii="Arial"/>
                <w:b/>
                <w:sz w:val="20"/>
              </w:rPr>
              <w:t>Specificity</w:t>
            </w:r>
          </w:p>
        </w:tc>
      </w:tr>
      <w:tr>
        <w:trPr>
          <w:trHeight w:val="522" w:hRule="atLeast"/>
        </w:trPr>
        <w:tc>
          <w:tcPr>
            <w:tcW w:w="3120" w:type="dxa"/>
            <w:tcBorders>
              <w:top w:val="nil"/>
              <w:bottom w:val="nil"/>
              <w:right w:val="nil"/>
            </w:tcBorders>
            <w:shd w:val="clear" w:color="auto" w:fill="E4E4E4"/>
          </w:tcPr>
          <w:p>
            <w:pPr>
              <w:pStyle w:val="TableParagraph"/>
              <w:spacing w:before="110"/>
              <w:ind w:left="1052" w:right="1048"/>
              <w:rPr>
                <w:b/>
                <w:sz w:val="20"/>
              </w:rPr>
            </w:pPr>
            <w:r>
              <w:rPr>
                <w:b/>
                <w:sz w:val="20"/>
              </w:rPr>
              <w:t>Test Assay</w:t>
            </w:r>
          </w:p>
        </w:tc>
        <w:tc>
          <w:tcPr>
            <w:tcW w:w="2834" w:type="dxa"/>
            <w:tcBorders>
              <w:top w:val="nil"/>
              <w:left w:val="nil"/>
              <w:bottom w:val="nil"/>
              <w:right w:val="nil"/>
            </w:tcBorders>
            <w:shd w:val="clear" w:color="auto" w:fill="66CEF5"/>
          </w:tcPr>
          <w:p>
            <w:pPr>
              <w:pStyle w:val="TableParagraph"/>
              <w:spacing w:line="203" w:lineRule="exact"/>
              <w:ind w:left="266" w:right="214"/>
              <w:rPr>
                <w:rFonts w:ascii="Arial"/>
                <w:b/>
                <w:sz w:val="20"/>
              </w:rPr>
            </w:pPr>
            <w:r>
              <w:rPr>
                <w:rFonts w:ascii="Arial"/>
                <w:b/>
                <w:sz w:val="20"/>
              </w:rPr>
              <w:t>(%) [95% CI]</w:t>
            </w:r>
          </w:p>
        </w:tc>
        <w:tc>
          <w:tcPr>
            <w:tcW w:w="2548" w:type="dxa"/>
            <w:tcBorders>
              <w:top w:val="nil"/>
              <w:left w:val="nil"/>
              <w:bottom w:val="nil"/>
            </w:tcBorders>
            <w:shd w:val="clear" w:color="auto" w:fill="66CEF5"/>
          </w:tcPr>
          <w:p>
            <w:pPr>
              <w:pStyle w:val="TableParagraph"/>
              <w:spacing w:line="203" w:lineRule="exact"/>
              <w:ind w:left="446" w:right="450"/>
              <w:rPr>
                <w:rFonts w:ascii="Arial"/>
                <w:b/>
                <w:sz w:val="20"/>
              </w:rPr>
            </w:pPr>
            <w:r>
              <w:rPr>
                <w:rFonts w:ascii="Arial"/>
                <w:b/>
                <w:sz w:val="20"/>
              </w:rPr>
              <w:t>(%) [95% CI]</w:t>
            </w:r>
          </w:p>
        </w:tc>
      </w:tr>
      <w:tr>
        <w:trPr>
          <w:trHeight w:val="518" w:hRule="atLeast"/>
        </w:trPr>
        <w:tc>
          <w:tcPr>
            <w:tcW w:w="3120" w:type="dxa"/>
            <w:tcBorders>
              <w:top w:val="nil"/>
              <w:right w:val="nil"/>
            </w:tcBorders>
            <w:shd w:val="clear" w:color="auto" w:fill="E6E8EA"/>
          </w:tcPr>
          <w:p>
            <w:pPr>
              <w:pStyle w:val="TableParagraph"/>
              <w:spacing w:before="81"/>
              <w:ind w:left="108"/>
              <w:jc w:val="left"/>
              <w:rPr>
                <w:b/>
                <w:sz w:val="20"/>
              </w:rPr>
            </w:pPr>
            <w:r>
              <w:rPr>
                <w:b/>
                <w:sz w:val="20"/>
              </w:rPr>
              <w:t>Egens IgM</w:t>
            </w:r>
          </w:p>
        </w:tc>
        <w:tc>
          <w:tcPr>
            <w:tcW w:w="2834" w:type="dxa"/>
            <w:tcBorders>
              <w:top w:val="nil"/>
              <w:left w:val="nil"/>
              <w:right w:val="nil"/>
            </w:tcBorders>
            <w:shd w:val="clear" w:color="auto" w:fill="E6E8EA"/>
          </w:tcPr>
          <w:p>
            <w:pPr>
              <w:pStyle w:val="TableParagraph"/>
              <w:spacing w:before="81"/>
              <w:ind w:left="263" w:right="261"/>
              <w:rPr>
                <w:sz w:val="20"/>
              </w:rPr>
            </w:pPr>
            <w:r>
              <w:rPr>
                <w:sz w:val="20"/>
              </w:rPr>
              <w:t>51.5 [41.3 – 61.6]</w:t>
            </w:r>
          </w:p>
        </w:tc>
        <w:tc>
          <w:tcPr>
            <w:tcW w:w="2548" w:type="dxa"/>
            <w:tcBorders>
              <w:top w:val="nil"/>
              <w:left w:val="nil"/>
            </w:tcBorders>
            <w:shd w:val="clear" w:color="auto" w:fill="E6E8EA"/>
          </w:tcPr>
          <w:p>
            <w:pPr>
              <w:pStyle w:val="TableParagraph"/>
              <w:spacing w:before="81"/>
              <w:ind w:left="446" w:right="446"/>
              <w:rPr>
                <w:sz w:val="20"/>
              </w:rPr>
            </w:pPr>
            <w:r>
              <w:rPr>
                <w:sz w:val="20"/>
              </w:rPr>
              <w:t>95.0 [88.2 – 98.1]</w:t>
            </w:r>
          </w:p>
        </w:tc>
      </w:tr>
      <w:tr>
        <w:trPr>
          <w:trHeight w:val="517" w:hRule="atLeast"/>
        </w:trPr>
        <w:tc>
          <w:tcPr>
            <w:tcW w:w="3120" w:type="dxa"/>
            <w:tcBorders>
              <w:right w:val="nil"/>
            </w:tcBorders>
            <w:shd w:val="clear" w:color="auto" w:fill="E6E8EA"/>
          </w:tcPr>
          <w:p>
            <w:pPr>
              <w:pStyle w:val="TableParagraph"/>
              <w:spacing w:before="80"/>
              <w:ind w:left="108"/>
              <w:jc w:val="left"/>
              <w:rPr>
                <w:b/>
                <w:sz w:val="20"/>
              </w:rPr>
            </w:pPr>
            <w:r>
              <w:rPr>
                <w:b/>
                <w:sz w:val="20"/>
              </w:rPr>
              <w:t>Egens IgG</w:t>
            </w:r>
          </w:p>
        </w:tc>
        <w:tc>
          <w:tcPr>
            <w:tcW w:w="2834" w:type="dxa"/>
            <w:tcBorders>
              <w:left w:val="nil"/>
              <w:right w:val="nil"/>
            </w:tcBorders>
            <w:shd w:val="clear" w:color="auto" w:fill="E6E8EA"/>
          </w:tcPr>
          <w:p>
            <w:pPr>
              <w:pStyle w:val="TableParagraph"/>
              <w:spacing w:before="80"/>
              <w:ind w:left="263" w:right="261"/>
              <w:rPr>
                <w:sz w:val="20"/>
              </w:rPr>
            </w:pPr>
            <w:r>
              <w:rPr>
                <w:sz w:val="20"/>
              </w:rPr>
              <w:t>94.9 [88.1 – 98.1]</w:t>
            </w:r>
          </w:p>
        </w:tc>
        <w:tc>
          <w:tcPr>
            <w:tcW w:w="2548" w:type="dxa"/>
            <w:tcBorders>
              <w:left w:val="nil"/>
            </w:tcBorders>
            <w:shd w:val="clear" w:color="auto" w:fill="E6E8EA"/>
          </w:tcPr>
          <w:p>
            <w:pPr>
              <w:pStyle w:val="TableParagraph"/>
              <w:spacing w:before="80"/>
              <w:ind w:left="446" w:right="446"/>
              <w:rPr>
                <w:sz w:val="20"/>
              </w:rPr>
            </w:pPr>
            <w:r>
              <w:rPr>
                <w:sz w:val="20"/>
              </w:rPr>
              <w:t>92.0 [84.4 – 96.2]</w:t>
            </w:r>
          </w:p>
        </w:tc>
      </w:tr>
      <w:tr>
        <w:trPr>
          <w:trHeight w:val="517" w:hRule="atLeast"/>
        </w:trPr>
        <w:tc>
          <w:tcPr>
            <w:tcW w:w="3120" w:type="dxa"/>
            <w:tcBorders>
              <w:right w:val="nil"/>
            </w:tcBorders>
            <w:shd w:val="clear" w:color="auto" w:fill="E6E8EA"/>
          </w:tcPr>
          <w:p>
            <w:pPr>
              <w:pStyle w:val="TableParagraph"/>
              <w:spacing w:before="80"/>
              <w:ind w:left="108"/>
              <w:jc w:val="left"/>
              <w:rPr>
                <w:b/>
                <w:sz w:val="20"/>
              </w:rPr>
            </w:pPr>
            <w:r>
              <w:rPr>
                <w:b/>
                <w:sz w:val="20"/>
              </w:rPr>
              <w:t>Egens IgM or IgG</w:t>
            </w:r>
          </w:p>
        </w:tc>
        <w:tc>
          <w:tcPr>
            <w:tcW w:w="2834" w:type="dxa"/>
            <w:tcBorders>
              <w:left w:val="nil"/>
              <w:right w:val="nil"/>
            </w:tcBorders>
            <w:shd w:val="clear" w:color="auto" w:fill="E6E8EA"/>
          </w:tcPr>
          <w:p>
            <w:pPr>
              <w:pStyle w:val="TableParagraph"/>
              <w:spacing w:before="80"/>
              <w:ind w:left="261" w:right="261"/>
              <w:rPr>
                <w:b/>
                <w:sz w:val="20"/>
              </w:rPr>
            </w:pPr>
            <w:r>
              <w:rPr>
                <w:b/>
                <w:sz w:val="20"/>
              </w:rPr>
              <w:t>97.0 [90.8 – 99.2]</w:t>
            </w:r>
          </w:p>
        </w:tc>
        <w:tc>
          <w:tcPr>
            <w:tcW w:w="2548" w:type="dxa"/>
            <w:tcBorders>
              <w:left w:val="nil"/>
            </w:tcBorders>
            <w:shd w:val="clear" w:color="auto" w:fill="E6E8EA"/>
          </w:tcPr>
          <w:p>
            <w:pPr>
              <w:pStyle w:val="TableParagraph"/>
              <w:spacing w:before="80"/>
              <w:ind w:left="446" w:right="450"/>
              <w:rPr>
                <w:b/>
                <w:sz w:val="20"/>
              </w:rPr>
            </w:pPr>
            <w:r>
              <w:rPr>
                <w:b/>
                <w:sz w:val="20"/>
              </w:rPr>
              <w:t>91.0 [83.2 – 95.5]</w:t>
            </w:r>
          </w:p>
        </w:tc>
      </w:tr>
      <w:tr>
        <w:trPr>
          <w:trHeight w:val="517" w:hRule="atLeast"/>
        </w:trPr>
        <w:tc>
          <w:tcPr>
            <w:tcW w:w="3120" w:type="dxa"/>
            <w:tcBorders>
              <w:right w:val="nil"/>
            </w:tcBorders>
            <w:shd w:val="clear" w:color="auto" w:fill="F1F1F1"/>
          </w:tcPr>
          <w:p>
            <w:pPr>
              <w:pStyle w:val="TableParagraph"/>
              <w:spacing w:before="80"/>
              <w:ind w:left="108"/>
              <w:jc w:val="left"/>
              <w:rPr>
                <w:b/>
                <w:sz w:val="20"/>
              </w:rPr>
            </w:pPr>
            <w:r>
              <w:rPr>
                <w:b/>
                <w:sz w:val="20"/>
              </w:rPr>
              <w:t>Healgen IgM</w:t>
            </w:r>
          </w:p>
        </w:tc>
        <w:tc>
          <w:tcPr>
            <w:tcW w:w="2834" w:type="dxa"/>
            <w:tcBorders>
              <w:left w:val="nil"/>
              <w:right w:val="nil"/>
            </w:tcBorders>
            <w:shd w:val="clear" w:color="auto" w:fill="F1F1F1"/>
          </w:tcPr>
          <w:p>
            <w:pPr>
              <w:pStyle w:val="TableParagraph"/>
              <w:spacing w:before="80"/>
              <w:ind w:left="263" w:right="261"/>
              <w:rPr>
                <w:sz w:val="20"/>
              </w:rPr>
            </w:pPr>
            <w:r>
              <w:rPr>
                <w:sz w:val="20"/>
              </w:rPr>
              <w:t>80.9 [71.2 – 88.0]</w:t>
            </w:r>
          </w:p>
        </w:tc>
        <w:tc>
          <w:tcPr>
            <w:tcW w:w="2548" w:type="dxa"/>
            <w:tcBorders>
              <w:left w:val="nil"/>
            </w:tcBorders>
            <w:shd w:val="clear" w:color="auto" w:fill="F1F1F1"/>
          </w:tcPr>
          <w:p>
            <w:pPr>
              <w:pStyle w:val="TableParagraph"/>
              <w:spacing w:before="80"/>
              <w:ind w:left="446" w:right="446"/>
              <w:rPr>
                <w:sz w:val="20"/>
              </w:rPr>
            </w:pPr>
            <w:r>
              <w:rPr>
                <w:sz w:val="20"/>
              </w:rPr>
              <w:t>91.0 [83.2 – 95.5]</w:t>
            </w:r>
          </w:p>
        </w:tc>
      </w:tr>
      <w:tr>
        <w:trPr>
          <w:trHeight w:val="515" w:hRule="atLeast"/>
        </w:trPr>
        <w:tc>
          <w:tcPr>
            <w:tcW w:w="3120" w:type="dxa"/>
            <w:tcBorders>
              <w:right w:val="nil"/>
            </w:tcBorders>
            <w:shd w:val="clear" w:color="auto" w:fill="F1F1F1"/>
          </w:tcPr>
          <w:p>
            <w:pPr>
              <w:pStyle w:val="TableParagraph"/>
              <w:spacing w:before="80"/>
              <w:ind w:left="108"/>
              <w:jc w:val="left"/>
              <w:rPr>
                <w:b/>
                <w:sz w:val="20"/>
              </w:rPr>
            </w:pPr>
            <w:r>
              <w:rPr>
                <w:b/>
                <w:sz w:val="20"/>
              </w:rPr>
              <w:t>Healgen IgG</w:t>
            </w:r>
          </w:p>
        </w:tc>
        <w:tc>
          <w:tcPr>
            <w:tcW w:w="2834" w:type="dxa"/>
            <w:tcBorders>
              <w:left w:val="nil"/>
              <w:right w:val="nil"/>
            </w:tcBorders>
            <w:shd w:val="clear" w:color="auto" w:fill="F1F1F1"/>
          </w:tcPr>
          <w:p>
            <w:pPr>
              <w:pStyle w:val="TableParagraph"/>
              <w:spacing w:before="80"/>
              <w:ind w:left="263" w:right="261"/>
              <w:rPr>
                <w:sz w:val="20"/>
              </w:rPr>
            </w:pPr>
            <w:r>
              <w:rPr>
                <w:sz w:val="20"/>
              </w:rPr>
              <w:t>98.9 [93.4 – 99.9]</w:t>
            </w:r>
          </w:p>
        </w:tc>
        <w:tc>
          <w:tcPr>
            <w:tcW w:w="2548" w:type="dxa"/>
            <w:tcBorders>
              <w:left w:val="nil"/>
            </w:tcBorders>
            <w:shd w:val="clear" w:color="auto" w:fill="F1F1F1"/>
          </w:tcPr>
          <w:p>
            <w:pPr>
              <w:pStyle w:val="TableParagraph"/>
              <w:spacing w:before="80"/>
              <w:ind w:left="446" w:right="449"/>
              <w:rPr>
                <w:sz w:val="20"/>
              </w:rPr>
            </w:pPr>
            <w:r>
              <w:rPr>
                <w:sz w:val="20"/>
              </w:rPr>
              <w:t>97.0 [90.8 - 99.2]</w:t>
            </w:r>
          </w:p>
        </w:tc>
      </w:tr>
      <w:tr>
        <w:trPr>
          <w:trHeight w:val="517" w:hRule="atLeast"/>
        </w:trPr>
        <w:tc>
          <w:tcPr>
            <w:tcW w:w="3120" w:type="dxa"/>
            <w:tcBorders>
              <w:right w:val="nil"/>
            </w:tcBorders>
            <w:shd w:val="clear" w:color="auto" w:fill="F1F1F1"/>
          </w:tcPr>
          <w:p>
            <w:pPr>
              <w:pStyle w:val="TableParagraph"/>
              <w:spacing w:before="80"/>
              <w:ind w:left="108"/>
              <w:jc w:val="left"/>
              <w:rPr>
                <w:b/>
                <w:sz w:val="20"/>
              </w:rPr>
            </w:pPr>
            <w:r>
              <w:rPr>
                <w:b/>
                <w:sz w:val="20"/>
              </w:rPr>
              <w:t>Healgen IgM or IgG</w:t>
            </w:r>
          </w:p>
        </w:tc>
        <w:tc>
          <w:tcPr>
            <w:tcW w:w="2834" w:type="dxa"/>
            <w:tcBorders>
              <w:left w:val="nil"/>
              <w:right w:val="nil"/>
            </w:tcBorders>
            <w:shd w:val="clear" w:color="auto" w:fill="F1F1F1"/>
          </w:tcPr>
          <w:p>
            <w:pPr>
              <w:pStyle w:val="TableParagraph"/>
              <w:spacing w:before="80"/>
              <w:ind w:left="261" w:right="261"/>
              <w:rPr>
                <w:b/>
                <w:sz w:val="20"/>
              </w:rPr>
            </w:pPr>
            <w:r>
              <w:rPr>
                <w:b/>
                <w:sz w:val="20"/>
              </w:rPr>
              <w:t>100 [95.1 - 99.9]</w:t>
            </w:r>
          </w:p>
        </w:tc>
        <w:tc>
          <w:tcPr>
            <w:tcW w:w="2548" w:type="dxa"/>
            <w:tcBorders>
              <w:left w:val="nil"/>
            </w:tcBorders>
            <w:shd w:val="clear" w:color="auto" w:fill="F1F1F1"/>
          </w:tcPr>
          <w:p>
            <w:pPr>
              <w:pStyle w:val="TableParagraph"/>
              <w:spacing w:before="80"/>
              <w:ind w:left="446" w:right="450"/>
              <w:rPr>
                <w:b/>
                <w:sz w:val="20"/>
              </w:rPr>
            </w:pPr>
            <w:r>
              <w:rPr>
                <w:b/>
                <w:sz w:val="20"/>
              </w:rPr>
              <w:t>91.0 [83.2 – 95.5]</w:t>
            </w:r>
          </w:p>
        </w:tc>
      </w:tr>
      <w:tr>
        <w:trPr>
          <w:trHeight w:val="517" w:hRule="atLeast"/>
        </w:trPr>
        <w:tc>
          <w:tcPr>
            <w:tcW w:w="3120" w:type="dxa"/>
            <w:tcBorders>
              <w:right w:val="nil"/>
            </w:tcBorders>
            <w:shd w:val="clear" w:color="auto" w:fill="F1F1F1"/>
          </w:tcPr>
          <w:p>
            <w:pPr>
              <w:pStyle w:val="TableParagraph"/>
              <w:spacing w:before="80"/>
              <w:ind w:left="108"/>
              <w:jc w:val="left"/>
              <w:rPr>
                <w:b/>
                <w:sz w:val="20"/>
              </w:rPr>
            </w:pPr>
            <w:r>
              <w:rPr>
                <w:b/>
                <w:sz w:val="20"/>
              </w:rPr>
              <w:t>Newscen IgM</w:t>
            </w:r>
          </w:p>
        </w:tc>
        <w:tc>
          <w:tcPr>
            <w:tcW w:w="2834" w:type="dxa"/>
            <w:tcBorders>
              <w:left w:val="nil"/>
              <w:right w:val="nil"/>
            </w:tcBorders>
            <w:shd w:val="clear" w:color="auto" w:fill="F1F1F1"/>
          </w:tcPr>
          <w:p>
            <w:pPr>
              <w:pStyle w:val="TableParagraph"/>
              <w:spacing w:before="80"/>
              <w:ind w:left="260" w:right="261"/>
              <w:rPr>
                <w:sz w:val="20"/>
              </w:rPr>
            </w:pPr>
            <w:r>
              <w:rPr>
                <w:sz w:val="20"/>
              </w:rPr>
              <w:t>57.6 [47.2 – 67.3]</w:t>
            </w:r>
          </w:p>
        </w:tc>
        <w:tc>
          <w:tcPr>
            <w:tcW w:w="2548" w:type="dxa"/>
            <w:tcBorders>
              <w:left w:val="nil"/>
            </w:tcBorders>
            <w:shd w:val="clear" w:color="auto" w:fill="F1F1F1"/>
          </w:tcPr>
          <w:p>
            <w:pPr>
              <w:pStyle w:val="TableParagraph"/>
              <w:spacing w:before="80"/>
              <w:ind w:left="446" w:right="447"/>
              <w:rPr>
                <w:sz w:val="20"/>
              </w:rPr>
            </w:pPr>
            <w:r>
              <w:rPr>
                <w:sz w:val="20"/>
              </w:rPr>
              <w:t>97.0 [90.8 – 99.2]</w:t>
            </w:r>
          </w:p>
        </w:tc>
      </w:tr>
      <w:tr>
        <w:trPr>
          <w:trHeight w:val="517" w:hRule="atLeast"/>
        </w:trPr>
        <w:tc>
          <w:tcPr>
            <w:tcW w:w="3120" w:type="dxa"/>
            <w:tcBorders>
              <w:right w:val="nil"/>
            </w:tcBorders>
            <w:shd w:val="clear" w:color="auto" w:fill="F1F1F1"/>
          </w:tcPr>
          <w:p>
            <w:pPr>
              <w:pStyle w:val="TableParagraph"/>
              <w:spacing w:before="80"/>
              <w:ind w:left="108"/>
              <w:jc w:val="left"/>
              <w:rPr>
                <w:b/>
                <w:sz w:val="20"/>
              </w:rPr>
            </w:pPr>
            <w:r>
              <w:rPr>
                <w:b/>
                <w:sz w:val="20"/>
              </w:rPr>
              <w:t>Newscen IgG</w:t>
            </w:r>
          </w:p>
        </w:tc>
        <w:tc>
          <w:tcPr>
            <w:tcW w:w="2834" w:type="dxa"/>
            <w:tcBorders>
              <w:left w:val="nil"/>
              <w:right w:val="nil"/>
            </w:tcBorders>
            <w:shd w:val="clear" w:color="auto" w:fill="F1F1F1"/>
          </w:tcPr>
          <w:p>
            <w:pPr>
              <w:pStyle w:val="TableParagraph"/>
              <w:spacing w:before="80"/>
              <w:ind w:left="263" w:right="261"/>
              <w:rPr>
                <w:sz w:val="20"/>
              </w:rPr>
            </w:pPr>
            <w:r>
              <w:rPr>
                <w:sz w:val="20"/>
              </w:rPr>
              <w:t>87.9 [79.4 – 93.3]</w:t>
            </w:r>
          </w:p>
        </w:tc>
        <w:tc>
          <w:tcPr>
            <w:tcW w:w="2548" w:type="dxa"/>
            <w:tcBorders>
              <w:left w:val="nil"/>
            </w:tcBorders>
            <w:shd w:val="clear" w:color="auto" w:fill="F1F1F1"/>
          </w:tcPr>
          <w:p>
            <w:pPr>
              <w:pStyle w:val="TableParagraph"/>
              <w:spacing w:before="80"/>
              <w:ind w:left="446" w:right="447"/>
              <w:rPr>
                <w:sz w:val="20"/>
              </w:rPr>
            </w:pPr>
            <w:r>
              <w:rPr>
                <w:sz w:val="20"/>
              </w:rPr>
              <w:t>98.0 [92.3 – 99.7]</w:t>
            </w:r>
          </w:p>
        </w:tc>
      </w:tr>
      <w:tr>
        <w:trPr>
          <w:trHeight w:val="518" w:hRule="atLeast"/>
        </w:trPr>
        <w:tc>
          <w:tcPr>
            <w:tcW w:w="3120" w:type="dxa"/>
            <w:tcBorders>
              <w:right w:val="nil"/>
            </w:tcBorders>
            <w:shd w:val="clear" w:color="auto" w:fill="F1F1F1"/>
          </w:tcPr>
          <w:p>
            <w:pPr>
              <w:pStyle w:val="TableParagraph"/>
              <w:spacing w:before="80"/>
              <w:ind w:left="108"/>
              <w:jc w:val="left"/>
              <w:rPr>
                <w:b/>
                <w:sz w:val="20"/>
              </w:rPr>
            </w:pPr>
            <w:r>
              <w:rPr>
                <w:b/>
                <w:sz w:val="20"/>
              </w:rPr>
              <w:t>Newscen IgM or IgG</w:t>
            </w:r>
          </w:p>
        </w:tc>
        <w:tc>
          <w:tcPr>
            <w:tcW w:w="2834" w:type="dxa"/>
            <w:tcBorders>
              <w:left w:val="nil"/>
              <w:right w:val="nil"/>
            </w:tcBorders>
            <w:shd w:val="clear" w:color="auto" w:fill="F1F1F1"/>
          </w:tcPr>
          <w:p>
            <w:pPr>
              <w:pStyle w:val="TableParagraph"/>
              <w:spacing w:before="80"/>
              <w:ind w:left="261" w:right="261"/>
              <w:rPr>
                <w:b/>
                <w:sz w:val="20"/>
              </w:rPr>
            </w:pPr>
            <w:r>
              <w:rPr>
                <w:b/>
                <w:sz w:val="20"/>
              </w:rPr>
              <w:t>90.9 [83.0 – 95.5]</w:t>
            </w:r>
          </w:p>
        </w:tc>
        <w:tc>
          <w:tcPr>
            <w:tcW w:w="2548" w:type="dxa"/>
            <w:tcBorders>
              <w:left w:val="nil"/>
            </w:tcBorders>
            <w:shd w:val="clear" w:color="auto" w:fill="F1F1F1"/>
          </w:tcPr>
          <w:p>
            <w:pPr>
              <w:pStyle w:val="TableParagraph"/>
              <w:spacing w:before="80"/>
              <w:ind w:left="446" w:right="450"/>
              <w:rPr>
                <w:b/>
                <w:sz w:val="20"/>
              </w:rPr>
            </w:pPr>
            <w:r>
              <w:rPr>
                <w:b/>
                <w:sz w:val="20"/>
              </w:rPr>
              <w:t>96.0 [89.5 – 98.7]</w:t>
            </w:r>
          </w:p>
        </w:tc>
      </w:tr>
    </w:tbl>
    <w:p>
      <w:pPr>
        <w:pStyle w:val="BodyText"/>
        <w:spacing w:before="1"/>
        <w:rPr>
          <w:b/>
          <w:sz w:val="29"/>
        </w:rPr>
      </w:pPr>
    </w:p>
    <w:p>
      <w:pPr>
        <w:pStyle w:val="BodyText"/>
        <w:spacing w:line="360" w:lineRule="auto" w:before="100"/>
        <w:ind w:left="120" w:right="856"/>
        <w:jc w:val="both"/>
      </w:pPr>
      <w:r>
        <w:rPr/>
        <w:t>A</w:t>
      </w:r>
      <w:r>
        <w:rPr>
          <w:spacing w:val="-7"/>
        </w:rPr>
        <w:t> </w:t>
      </w:r>
      <w:r>
        <w:rPr/>
        <w:t>detailed</w:t>
      </w:r>
      <w:r>
        <w:rPr>
          <w:spacing w:val="-7"/>
        </w:rPr>
        <w:t> </w:t>
      </w:r>
      <w:r>
        <w:rPr/>
        <w:t>analysis</w:t>
      </w:r>
      <w:r>
        <w:rPr>
          <w:spacing w:val="-9"/>
        </w:rPr>
        <w:t> </w:t>
      </w:r>
      <w:r>
        <w:rPr/>
        <w:t>of</w:t>
      </w:r>
      <w:r>
        <w:rPr>
          <w:spacing w:val="-6"/>
        </w:rPr>
        <w:t> </w:t>
      </w:r>
      <w:r>
        <w:rPr/>
        <w:t>sensitivity</w:t>
      </w:r>
      <w:r>
        <w:rPr>
          <w:spacing w:val="-8"/>
        </w:rPr>
        <w:t> </w:t>
      </w:r>
      <w:r>
        <w:rPr/>
        <w:t>of</w:t>
      </w:r>
      <w:r>
        <w:rPr>
          <w:spacing w:val="-9"/>
        </w:rPr>
        <w:t> </w:t>
      </w:r>
      <w:r>
        <w:rPr/>
        <w:t>IgM</w:t>
      </w:r>
      <w:r>
        <w:rPr>
          <w:spacing w:val="-7"/>
        </w:rPr>
        <w:t> </w:t>
      </w:r>
      <w:r>
        <w:rPr/>
        <w:t>only,</w:t>
      </w:r>
      <w:r>
        <w:rPr>
          <w:spacing w:val="-7"/>
        </w:rPr>
        <w:t> </w:t>
      </w:r>
      <w:r>
        <w:rPr/>
        <w:t>IgG</w:t>
      </w:r>
      <w:r>
        <w:rPr>
          <w:spacing w:val="-6"/>
        </w:rPr>
        <w:t> </w:t>
      </w:r>
      <w:r>
        <w:rPr/>
        <w:t>only</w:t>
      </w:r>
      <w:r>
        <w:rPr>
          <w:spacing w:val="-8"/>
        </w:rPr>
        <w:t> </w:t>
      </w:r>
      <w:r>
        <w:rPr/>
        <w:t>and</w:t>
      </w:r>
      <w:r>
        <w:rPr>
          <w:spacing w:val="-8"/>
        </w:rPr>
        <w:t> </w:t>
      </w:r>
      <w:r>
        <w:rPr/>
        <w:t>IgG</w:t>
      </w:r>
      <w:r>
        <w:rPr>
          <w:spacing w:val="-6"/>
        </w:rPr>
        <w:t> </w:t>
      </w:r>
      <w:r>
        <w:rPr/>
        <w:t>and/or</w:t>
      </w:r>
      <w:r>
        <w:rPr>
          <w:spacing w:val="-8"/>
        </w:rPr>
        <w:t> </w:t>
      </w:r>
      <w:r>
        <w:rPr/>
        <w:t>IgG</w:t>
      </w:r>
      <w:r>
        <w:rPr>
          <w:spacing w:val="-6"/>
        </w:rPr>
        <w:t> </w:t>
      </w:r>
      <w:r>
        <w:rPr/>
        <w:t>reactivity</w:t>
      </w:r>
      <w:r>
        <w:rPr>
          <w:spacing w:val="-9"/>
        </w:rPr>
        <w:t> </w:t>
      </w:r>
      <w:r>
        <w:rPr/>
        <w:t>on positive samples categorised by period of time post onset of symptoms is presented in Tables 6 – 8</w:t>
      </w:r>
      <w:r>
        <w:rPr>
          <w:spacing w:val="-3"/>
        </w:rPr>
        <w:t> </w:t>
      </w:r>
      <w:r>
        <w:rPr/>
        <w:t>below.</w:t>
      </w:r>
    </w:p>
    <w:p>
      <w:pPr>
        <w:spacing w:after="0" w:line="360" w:lineRule="auto"/>
        <w:jc w:val="both"/>
        <w:sectPr>
          <w:pgSz w:w="11910" w:h="16840"/>
          <w:pgMar w:header="1042" w:footer="764" w:top="4180" w:bottom="960" w:left="1320" w:right="580"/>
        </w:sectPr>
      </w:pPr>
    </w:p>
    <w:p>
      <w:pPr>
        <w:pStyle w:val="BodyText"/>
        <w:spacing w:before="4"/>
        <w:rPr>
          <w:sz w:val="29"/>
        </w:rPr>
      </w:pPr>
    </w:p>
    <w:p>
      <w:pPr>
        <w:pStyle w:val="BodyText"/>
        <w:spacing w:before="100" w:after="2"/>
        <w:ind w:left="120" w:right="1143"/>
      </w:pPr>
      <w:r>
        <w:rPr>
          <w:b/>
        </w:rPr>
        <w:t>Table 6: </w:t>
      </w:r>
      <w:r>
        <w:rPr/>
        <w:t>Comparison of the Egens IgM/IgG Antibody to Coronavirus (SARS-CoV-2) reactivity with 100 patients with confirmed COVID-19 infection, stratified by days post-symptom</w:t>
      </w:r>
      <w:r>
        <w:rPr>
          <w:spacing w:val="-3"/>
        </w:rPr>
        <w:t> </w:t>
      </w:r>
      <w:r>
        <w:rPr/>
        <w:t>onset.</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9"/>
        <w:gridCol w:w="1257"/>
        <w:gridCol w:w="2023"/>
        <w:gridCol w:w="2131"/>
        <w:gridCol w:w="2265"/>
      </w:tblGrid>
      <w:tr>
        <w:trPr>
          <w:trHeight w:val="471" w:hRule="atLeast"/>
        </w:trPr>
        <w:tc>
          <w:tcPr>
            <w:tcW w:w="1819" w:type="dxa"/>
            <w:vMerge w:val="restart"/>
            <w:shd w:val="clear" w:color="auto" w:fill="66CEF5"/>
          </w:tcPr>
          <w:p>
            <w:pPr>
              <w:pStyle w:val="TableParagraph"/>
              <w:spacing w:before="191"/>
              <w:ind w:left="170" w:firstLine="228"/>
              <w:jc w:val="left"/>
              <w:rPr>
                <w:rFonts w:ascii="Arial"/>
                <w:b/>
                <w:sz w:val="20"/>
              </w:rPr>
            </w:pPr>
            <w:r>
              <w:rPr>
                <w:rFonts w:ascii="Arial"/>
                <w:b/>
                <w:sz w:val="20"/>
              </w:rPr>
              <w:t>Days post- symptom onset</w:t>
            </w:r>
          </w:p>
        </w:tc>
        <w:tc>
          <w:tcPr>
            <w:tcW w:w="1257" w:type="dxa"/>
            <w:vMerge w:val="restart"/>
            <w:tcBorders>
              <w:bottom w:val="single" w:sz="8" w:space="0" w:color="000000"/>
              <w:right w:val="single" w:sz="8" w:space="0" w:color="FFFFFF"/>
            </w:tcBorders>
            <w:shd w:val="clear" w:color="auto" w:fill="66CEF5"/>
          </w:tcPr>
          <w:p>
            <w:pPr>
              <w:pStyle w:val="TableParagraph"/>
              <w:spacing w:before="191"/>
              <w:ind w:left="528" w:right="12" w:hanging="310"/>
              <w:jc w:val="left"/>
              <w:rPr>
                <w:rFonts w:ascii="Arial"/>
                <w:b/>
                <w:sz w:val="20"/>
              </w:rPr>
            </w:pPr>
            <w:r>
              <w:rPr>
                <w:rFonts w:ascii="Arial"/>
                <w:b/>
                <w:w w:val="95"/>
                <w:sz w:val="20"/>
              </w:rPr>
              <w:t>Samples </w:t>
            </w:r>
            <w:r>
              <w:rPr>
                <w:rFonts w:ascii="Arial"/>
                <w:b/>
                <w:sz w:val="20"/>
              </w:rPr>
              <w:t>(n)</w:t>
            </w:r>
          </w:p>
        </w:tc>
        <w:tc>
          <w:tcPr>
            <w:tcW w:w="2023" w:type="dxa"/>
            <w:tcBorders>
              <w:left w:val="single" w:sz="8" w:space="0" w:color="FFFFFF"/>
              <w:right w:val="single" w:sz="8" w:space="0" w:color="FFFFFF"/>
            </w:tcBorders>
            <w:shd w:val="clear" w:color="auto" w:fill="66CEF5"/>
          </w:tcPr>
          <w:p>
            <w:pPr>
              <w:pStyle w:val="TableParagraph"/>
              <w:spacing w:before="146"/>
              <w:ind w:left="391"/>
              <w:jc w:val="left"/>
              <w:rPr>
                <w:rFonts w:ascii="Arial"/>
                <w:b/>
                <w:sz w:val="20"/>
              </w:rPr>
            </w:pPr>
            <w:r>
              <w:rPr>
                <w:rFonts w:ascii="Arial"/>
                <w:b/>
                <w:sz w:val="20"/>
              </w:rPr>
              <w:t>IgM detected</w:t>
            </w:r>
          </w:p>
        </w:tc>
        <w:tc>
          <w:tcPr>
            <w:tcW w:w="2131" w:type="dxa"/>
            <w:tcBorders>
              <w:left w:val="single" w:sz="8" w:space="0" w:color="FFFFFF"/>
              <w:right w:val="single" w:sz="8" w:space="0" w:color="FFFFFF"/>
            </w:tcBorders>
            <w:shd w:val="clear" w:color="auto" w:fill="66CEF5"/>
          </w:tcPr>
          <w:p>
            <w:pPr>
              <w:pStyle w:val="TableParagraph"/>
              <w:spacing w:before="146"/>
              <w:ind w:left="449"/>
              <w:jc w:val="left"/>
              <w:rPr>
                <w:rFonts w:ascii="Arial"/>
                <w:b/>
                <w:sz w:val="20"/>
              </w:rPr>
            </w:pPr>
            <w:r>
              <w:rPr>
                <w:rFonts w:ascii="Arial"/>
                <w:b/>
                <w:sz w:val="20"/>
              </w:rPr>
              <w:t>IgG detected</w:t>
            </w:r>
          </w:p>
        </w:tc>
        <w:tc>
          <w:tcPr>
            <w:tcW w:w="2265" w:type="dxa"/>
            <w:tcBorders>
              <w:left w:val="single" w:sz="8" w:space="0" w:color="FFFFFF"/>
            </w:tcBorders>
            <w:shd w:val="clear" w:color="auto" w:fill="66CEF5"/>
          </w:tcPr>
          <w:p>
            <w:pPr>
              <w:pStyle w:val="TableParagraph"/>
              <w:spacing w:before="146"/>
              <w:ind w:left="201" w:right="211"/>
              <w:rPr>
                <w:rFonts w:ascii="Arial"/>
                <w:b/>
                <w:sz w:val="20"/>
              </w:rPr>
            </w:pPr>
            <w:r>
              <w:rPr>
                <w:rFonts w:ascii="Arial"/>
                <w:b/>
                <w:sz w:val="20"/>
              </w:rPr>
              <w:t>IgM or IgG</w:t>
            </w:r>
          </w:p>
        </w:tc>
      </w:tr>
      <w:tr>
        <w:trPr>
          <w:trHeight w:val="355" w:hRule="atLeast"/>
        </w:trPr>
        <w:tc>
          <w:tcPr>
            <w:tcW w:w="1819" w:type="dxa"/>
            <w:vMerge/>
            <w:tcBorders>
              <w:top w:val="nil"/>
            </w:tcBorders>
            <w:shd w:val="clear" w:color="auto" w:fill="66CEF5"/>
          </w:tcPr>
          <w:p>
            <w:pPr>
              <w:rPr>
                <w:sz w:val="2"/>
                <w:szCs w:val="2"/>
              </w:rPr>
            </w:pPr>
          </w:p>
        </w:tc>
        <w:tc>
          <w:tcPr>
            <w:tcW w:w="1257" w:type="dxa"/>
            <w:vMerge/>
            <w:tcBorders>
              <w:top w:val="nil"/>
              <w:bottom w:val="single" w:sz="8" w:space="0" w:color="000000"/>
              <w:right w:val="single" w:sz="8" w:space="0" w:color="FFFFFF"/>
            </w:tcBorders>
            <w:shd w:val="clear" w:color="auto" w:fill="66CEF5"/>
          </w:tcPr>
          <w:p>
            <w:pPr>
              <w:rPr>
                <w:sz w:val="2"/>
                <w:szCs w:val="2"/>
              </w:rPr>
            </w:pPr>
          </w:p>
        </w:tc>
        <w:tc>
          <w:tcPr>
            <w:tcW w:w="2023" w:type="dxa"/>
            <w:tcBorders>
              <w:left w:val="single" w:sz="8" w:space="0" w:color="FFFFFF"/>
              <w:right w:val="single" w:sz="8" w:space="0" w:color="FFFFFF"/>
            </w:tcBorders>
            <w:shd w:val="clear" w:color="auto" w:fill="66CEF5"/>
          </w:tcPr>
          <w:p>
            <w:pPr>
              <w:pStyle w:val="TableParagraph"/>
              <w:spacing w:before="88"/>
              <w:ind w:left="425"/>
              <w:jc w:val="left"/>
              <w:rPr>
                <w:rFonts w:ascii="Arial"/>
                <w:b/>
                <w:sz w:val="20"/>
              </w:rPr>
            </w:pPr>
            <w:r>
              <w:rPr>
                <w:rFonts w:ascii="Arial"/>
                <w:b/>
                <w:sz w:val="20"/>
              </w:rPr>
              <w:t>(%) [95% CI]</w:t>
            </w:r>
          </w:p>
        </w:tc>
        <w:tc>
          <w:tcPr>
            <w:tcW w:w="2131" w:type="dxa"/>
            <w:tcBorders>
              <w:left w:val="single" w:sz="8" w:space="0" w:color="FFFFFF"/>
              <w:right w:val="single" w:sz="8" w:space="0" w:color="FFFFFF"/>
            </w:tcBorders>
            <w:shd w:val="clear" w:color="auto" w:fill="66CEF5"/>
          </w:tcPr>
          <w:p>
            <w:pPr>
              <w:pStyle w:val="TableParagraph"/>
              <w:spacing w:before="88"/>
              <w:ind w:left="475"/>
              <w:jc w:val="left"/>
              <w:rPr>
                <w:rFonts w:ascii="Arial"/>
                <w:b/>
                <w:sz w:val="20"/>
              </w:rPr>
            </w:pPr>
            <w:r>
              <w:rPr>
                <w:rFonts w:ascii="Arial"/>
                <w:b/>
                <w:sz w:val="20"/>
              </w:rPr>
              <w:t>(%) [95% CI]</w:t>
            </w:r>
          </w:p>
        </w:tc>
        <w:tc>
          <w:tcPr>
            <w:tcW w:w="2265" w:type="dxa"/>
            <w:tcBorders>
              <w:left w:val="single" w:sz="8" w:space="0" w:color="FFFFFF"/>
            </w:tcBorders>
            <w:shd w:val="clear" w:color="auto" w:fill="66CEF5"/>
          </w:tcPr>
          <w:p>
            <w:pPr>
              <w:pStyle w:val="TableParagraph"/>
              <w:spacing w:before="88"/>
              <w:ind w:left="198" w:right="211"/>
              <w:rPr>
                <w:rFonts w:ascii="Arial"/>
                <w:b/>
                <w:sz w:val="20"/>
              </w:rPr>
            </w:pPr>
            <w:r>
              <w:rPr>
                <w:rFonts w:ascii="Arial"/>
                <w:b/>
                <w:sz w:val="20"/>
              </w:rPr>
              <w:t>(%) [95% CI]</w:t>
            </w:r>
          </w:p>
        </w:tc>
      </w:tr>
      <w:tr>
        <w:trPr>
          <w:trHeight w:val="541" w:hRule="atLeast"/>
        </w:trPr>
        <w:tc>
          <w:tcPr>
            <w:tcW w:w="1819" w:type="dxa"/>
            <w:tcBorders>
              <w:bottom w:val="single" w:sz="8" w:space="0" w:color="000000"/>
              <w:right w:val="single" w:sz="8" w:space="0" w:color="000000"/>
            </w:tcBorders>
            <w:shd w:val="clear" w:color="auto" w:fill="B4C5E7"/>
          </w:tcPr>
          <w:p>
            <w:pPr>
              <w:pStyle w:val="TableParagraph"/>
              <w:spacing w:before="143"/>
              <w:ind w:left="628"/>
              <w:jc w:val="left"/>
              <w:rPr>
                <w:rFonts w:ascii="Arial"/>
                <w:sz w:val="22"/>
              </w:rPr>
            </w:pPr>
            <w:r>
              <w:rPr>
                <w:rFonts w:ascii="Arial"/>
                <w:sz w:val="22"/>
              </w:rPr>
              <w:t>15-21</w:t>
            </w:r>
          </w:p>
        </w:tc>
        <w:tc>
          <w:tcPr>
            <w:tcW w:w="1257"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43"/>
              <w:ind w:left="3"/>
              <w:rPr>
                <w:rFonts w:ascii="Arial"/>
                <w:sz w:val="22"/>
              </w:rPr>
            </w:pPr>
            <w:r>
              <w:rPr>
                <w:rFonts w:ascii="Arial"/>
                <w:w w:val="100"/>
                <w:sz w:val="22"/>
              </w:rPr>
              <w:t>8</w:t>
            </w:r>
          </w:p>
        </w:tc>
        <w:tc>
          <w:tcPr>
            <w:tcW w:w="2023" w:type="dxa"/>
            <w:tcBorders>
              <w:left w:val="single" w:sz="8" w:space="0" w:color="000000"/>
              <w:right w:val="single" w:sz="8" w:space="0" w:color="FFFFFF"/>
            </w:tcBorders>
            <w:shd w:val="clear" w:color="auto" w:fill="E7EAEB"/>
          </w:tcPr>
          <w:p>
            <w:pPr>
              <w:pStyle w:val="TableParagraph"/>
              <w:spacing w:before="40"/>
              <w:ind w:left="4"/>
              <w:rPr>
                <w:rFonts w:ascii="Arial"/>
                <w:sz w:val="20"/>
              </w:rPr>
            </w:pPr>
            <w:r>
              <w:rPr>
                <w:rFonts w:ascii="Arial"/>
                <w:w w:val="99"/>
                <w:sz w:val="20"/>
              </w:rPr>
              <w:t>2</w:t>
            </w:r>
          </w:p>
          <w:p>
            <w:pPr>
              <w:pStyle w:val="TableParagraph"/>
              <w:ind w:left="86" w:right="85"/>
              <w:rPr>
                <w:rFonts w:ascii="Arial"/>
                <w:sz w:val="20"/>
              </w:rPr>
            </w:pPr>
            <w:r>
              <w:rPr>
                <w:rFonts w:ascii="Arial"/>
                <w:sz w:val="20"/>
              </w:rPr>
              <w:t>25.0% [4.5 - 64.4]</w:t>
            </w:r>
          </w:p>
        </w:tc>
        <w:tc>
          <w:tcPr>
            <w:tcW w:w="2131" w:type="dxa"/>
            <w:tcBorders>
              <w:left w:val="single" w:sz="8" w:space="0" w:color="FFFFFF"/>
              <w:right w:val="single" w:sz="8" w:space="0" w:color="FFFFFF"/>
            </w:tcBorders>
            <w:shd w:val="clear" w:color="auto" w:fill="E7EAEB"/>
          </w:tcPr>
          <w:p>
            <w:pPr>
              <w:pStyle w:val="TableParagraph"/>
              <w:spacing w:before="40"/>
              <w:rPr>
                <w:rFonts w:ascii="Arial"/>
                <w:sz w:val="20"/>
              </w:rPr>
            </w:pPr>
            <w:r>
              <w:rPr>
                <w:rFonts w:ascii="Arial"/>
                <w:w w:val="99"/>
                <w:sz w:val="20"/>
              </w:rPr>
              <w:t>7</w:t>
            </w:r>
          </w:p>
          <w:p>
            <w:pPr>
              <w:pStyle w:val="TableParagraph"/>
              <w:ind w:left="126" w:right="129"/>
              <w:rPr>
                <w:rFonts w:ascii="Arial"/>
                <w:sz w:val="20"/>
              </w:rPr>
            </w:pPr>
            <w:r>
              <w:rPr>
                <w:rFonts w:ascii="Arial"/>
                <w:sz w:val="20"/>
              </w:rPr>
              <w:t>87.5% [46.7 - 99.3]</w:t>
            </w:r>
          </w:p>
        </w:tc>
        <w:tc>
          <w:tcPr>
            <w:tcW w:w="2265" w:type="dxa"/>
            <w:tcBorders>
              <w:left w:val="single" w:sz="8" w:space="0" w:color="FFFFFF"/>
            </w:tcBorders>
            <w:shd w:val="clear" w:color="auto" w:fill="E7EAEB"/>
          </w:tcPr>
          <w:p>
            <w:pPr>
              <w:pStyle w:val="TableParagraph"/>
              <w:spacing w:before="40"/>
              <w:ind w:right="9"/>
              <w:rPr>
                <w:rFonts w:ascii="Arial"/>
                <w:sz w:val="20"/>
              </w:rPr>
            </w:pPr>
            <w:r>
              <w:rPr>
                <w:rFonts w:ascii="Arial"/>
                <w:w w:val="99"/>
                <w:sz w:val="20"/>
              </w:rPr>
              <w:t>7</w:t>
            </w:r>
          </w:p>
          <w:p>
            <w:pPr>
              <w:pStyle w:val="TableParagraph"/>
              <w:ind w:left="199" w:right="211"/>
              <w:rPr>
                <w:rFonts w:ascii="Arial"/>
                <w:sz w:val="20"/>
              </w:rPr>
            </w:pPr>
            <w:r>
              <w:rPr>
                <w:rFonts w:ascii="Arial"/>
                <w:sz w:val="20"/>
              </w:rPr>
              <w:t>87.5% [46.7 - 99.3]</w:t>
            </w:r>
          </w:p>
        </w:tc>
      </w:tr>
      <w:tr>
        <w:trPr>
          <w:trHeight w:val="539"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41"/>
              <w:ind w:left="628"/>
              <w:jc w:val="left"/>
              <w:rPr>
                <w:rFonts w:ascii="Arial"/>
                <w:sz w:val="22"/>
              </w:rPr>
            </w:pPr>
            <w:r>
              <w:rPr>
                <w:rFonts w:ascii="Arial"/>
                <w:sz w:val="22"/>
              </w:rPr>
              <w:t>22-28</w:t>
            </w:r>
          </w:p>
        </w:tc>
        <w:tc>
          <w:tcPr>
            <w:tcW w:w="1257"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41"/>
              <w:ind w:left="431" w:right="431"/>
              <w:rPr>
                <w:rFonts w:ascii="Arial"/>
                <w:sz w:val="22"/>
              </w:rPr>
            </w:pPr>
            <w:r>
              <w:rPr>
                <w:rFonts w:ascii="Arial"/>
                <w:sz w:val="22"/>
              </w:rPr>
              <w:t>25</w:t>
            </w:r>
          </w:p>
        </w:tc>
        <w:tc>
          <w:tcPr>
            <w:tcW w:w="2023" w:type="dxa"/>
            <w:tcBorders>
              <w:left w:val="single" w:sz="8" w:space="0" w:color="000000"/>
              <w:right w:val="single" w:sz="8" w:space="0" w:color="FFFFFF"/>
            </w:tcBorders>
            <w:shd w:val="clear" w:color="auto" w:fill="F3F5F6"/>
          </w:tcPr>
          <w:p>
            <w:pPr>
              <w:pStyle w:val="TableParagraph"/>
              <w:spacing w:line="229" w:lineRule="exact" w:before="40"/>
              <w:ind w:left="85" w:right="85"/>
              <w:rPr>
                <w:rFonts w:ascii="Arial"/>
                <w:sz w:val="20"/>
              </w:rPr>
            </w:pPr>
            <w:r>
              <w:rPr>
                <w:rFonts w:ascii="Arial"/>
                <w:sz w:val="20"/>
              </w:rPr>
              <w:t>13</w:t>
            </w:r>
          </w:p>
          <w:p>
            <w:pPr>
              <w:pStyle w:val="TableParagraph"/>
              <w:spacing w:line="229" w:lineRule="exact"/>
              <w:ind w:left="85" w:right="85"/>
              <w:rPr>
                <w:rFonts w:ascii="Arial" w:hAnsi="Arial"/>
                <w:sz w:val="20"/>
              </w:rPr>
            </w:pPr>
            <w:r>
              <w:rPr>
                <w:rFonts w:ascii="Arial" w:hAnsi="Arial"/>
                <w:sz w:val="20"/>
              </w:rPr>
              <w:t>52.0% [31.8 – 71.7]</w:t>
            </w:r>
          </w:p>
        </w:tc>
        <w:tc>
          <w:tcPr>
            <w:tcW w:w="2131" w:type="dxa"/>
            <w:tcBorders>
              <w:left w:val="single" w:sz="8" w:space="0" w:color="FFFFFF"/>
              <w:right w:val="single" w:sz="8" w:space="0" w:color="FFFFFF"/>
            </w:tcBorders>
            <w:shd w:val="clear" w:color="auto" w:fill="F3F5F6"/>
          </w:tcPr>
          <w:p>
            <w:pPr>
              <w:pStyle w:val="TableParagraph"/>
              <w:spacing w:line="229" w:lineRule="exact" w:before="40"/>
              <w:ind w:left="128" w:right="128"/>
              <w:rPr>
                <w:rFonts w:ascii="Arial"/>
                <w:sz w:val="20"/>
              </w:rPr>
            </w:pPr>
            <w:r>
              <w:rPr>
                <w:rFonts w:ascii="Arial"/>
                <w:sz w:val="20"/>
              </w:rPr>
              <w:t>22</w:t>
            </w:r>
          </w:p>
          <w:p>
            <w:pPr>
              <w:pStyle w:val="TableParagraph"/>
              <w:spacing w:line="229" w:lineRule="exact"/>
              <w:ind w:left="126" w:right="129"/>
              <w:rPr>
                <w:rFonts w:ascii="Arial"/>
                <w:sz w:val="20"/>
              </w:rPr>
            </w:pPr>
            <w:r>
              <w:rPr>
                <w:rFonts w:ascii="Arial"/>
                <w:sz w:val="20"/>
              </w:rPr>
              <w:t>88.0% [67.7 - 96.8]</w:t>
            </w:r>
          </w:p>
        </w:tc>
        <w:tc>
          <w:tcPr>
            <w:tcW w:w="2265" w:type="dxa"/>
            <w:tcBorders>
              <w:left w:val="single" w:sz="8" w:space="0" w:color="FFFFFF"/>
            </w:tcBorders>
            <w:shd w:val="clear" w:color="auto" w:fill="F3F5F6"/>
          </w:tcPr>
          <w:p>
            <w:pPr>
              <w:pStyle w:val="TableParagraph"/>
              <w:spacing w:line="229" w:lineRule="exact" w:before="40"/>
              <w:ind w:left="201" w:right="210"/>
              <w:rPr>
                <w:rFonts w:ascii="Arial"/>
                <w:sz w:val="20"/>
              </w:rPr>
            </w:pPr>
            <w:r>
              <w:rPr>
                <w:rFonts w:ascii="Arial"/>
                <w:sz w:val="20"/>
              </w:rPr>
              <w:t>23</w:t>
            </w:r>
          </w:p>
          <w:p>
            <w:pPr>
              <w:pStyle w:val="TableParagraph"/>
              <w:spacing w:line="229" w:lineRule="exact"/>
              <w:ind w:left="199" w:right="211"/>
              <w:rPr>
                <w:rFonts w:ascii="Arial"/>
                <w:sz w:val="20"/>
              </w:rPr>
            </w:pPr>
            <w:r>
              <w:rPr>
                <w:rFonts w:ascii="Arial"/>
                <w:sz w:val="20"/>
              </w:rPr>
              <w:t>92.0% [72.5 - 98.6]</w:t>
            </w:r>
          </w:p>
        </w:tc>
      </w:tr>
      <w:tr>
        <w:trPr>
          <w:trHeight w:val="539"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41"/>
              <w:ind w:left="628"/>
              <w:jc w:val="left"/>
              <w:rPr>
                <w:rFonts w:ascii="Arial"/>
                <w:sz w:val="22"/>
              </w:rPr>
            </w:pPr>
            <w:r>
              <w:rPr>
                <w:rFonts w:ascii="Arial"/>
                <w:sz w:val="22"/>
              </w:rPr>
              <w:t>29-35</w:t>
            </w:r>
          </w:p>
        </w:tc>
        <w:tc>
          <w:tcPr>
            <w:tcW w:w="1257"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41"/>
              <w:ind w:left="431" w:right="431"/>
              <w:rPr>
                <w:rFonts w:ascii="Arial"/>
                <w:sz w:val="22"/>
              </w:rPr>
            </w:pPr>
            <w:r>
              <w:rPr>
                <w:rFonts w:ascii="Arial"/>
                <w:sz w:val="22"/>
              </w:rPr>
              <w:t>49</w:t>
            </w:r>
          </w:p>
        </w:tc>
        <w:tc>
          <w:tcPr>
            <w:tcW w:w="2023" w:type="dxa"/>
            <w:tcBorders>
              <w:left w:val="single" w:sz="8" w:space="0" w:color="000000"/>
              <w:right w:val="single" w:sz="8" w:space="0" w:color="FFFFFF"/>
            </w:tcBorders>
            <w:shd w:val="clear" w:color="auto" w:fill="E7EAEB"/>
          </w:tcPr>
          <w:p>
            <w:pPr>
              <w:pStyle w:val="TableParagraph"/>
              <w:spacing w:before="40"/>
              <w:ind w:left="85" w:right="85"/>
              <w:rPr>
                <w:rFonts w:ascii="Arial"/>
                <w:sz w:val="20"/>
              </w:rPr>
            </w:pPr>
            <w:r>
              <w:rPr>
                <w:rFonts w:ascii="Arial"/>
                <w:sz w:val="20"/>
              </w:rPr>
              <w:t>22</w:t>
            </w:r>
          </w:p>
          <w:p>
            <w:pPr>
              <w:pStyle w:val="TableParagraph"/>
              <w:ind w:left="85" w:right="85"/>
              <w:rPr>
                <w:rFonts w:ascii="Arial" w:hAnsi="Arial"/>
                <w:sz w:val="20"/>
              </w:rPr>
            </w:pPr>
            <w:r>
              <w:rPr>
                <w:rFonts w:ascii="Arial" w:hAnsi="Arial"/>
                <w:sz w:val="20"/>
              </w:rPr>
              <w:t>45.8% [31.6 – 60.7]</w:t>
            </w:r>
          </w:p>
        </w:tc>
        <w:tc>
          <w:tcPr>
            <w:tcW w:w="2131" w:type="dxa"/>
            <w:tcBorders>
              <w:left w:val="single" w:sz="8" w:space="0" w:color="FFFFFF"/>
              <w:right w:val="single" w:sz="8" w:space="0" w:color="FFFFFF"/>
            </w:tcBorders>
            <w:shd w:val="clear" w:color="auto" w:fill="E7EAEB"/>
          </w:tcPr>
          <w:p>
            <w:pPr>
              <w:pStyle w:val="TableParagraph"/>
              <w:spacing w:before="40"/>
              <w:ind w:left="128" w:right="128"/>
              <w:rPr>
                <w:rFonts w:ascii="Arial"/>
                <w:sz w:val="20"/>
              </w:rPr>
            </w:pPr>
            <w:r>
              <w:rPr>
                <w:rFonts w:ascii="Arial"/>
                <w:sz w:val="20"/>
              </w:rPr>
              <w:t>47</w:t>
            </w:r>
          </w:p>
          <w:p>
            <w:pPr>
              <w:pStyle w:val="TableParagraph"/>
              <w:ind w:left="128" w:right="128"/>
              <w:rPr>
                <w:rFonts w:ascii="Arial" w:hAnsi="Arial"/>
                <w:sz w:val="20"/>
              </w:rPr>
            </w:pPr>
            <w:r>
              <w:rPr>
                <w:rFonts w:ascii="Arial" w:hAnsi="Arial"/>
                <w:sz w:val="20"/>
              </w:rPr>
              <w:t>97.9% [87.5 – 99.9]</w:t>
            </w:r>
          </w:p>
        </w:tc>
        <w:tc>
          <w:tcPr>
            <w:tcW w:w="2265" w:type="dxa"/>
            <w:tcBorders>
              <w:left w:val="single" w:sz="8" w:space="0" w:color="FFFFFF"/>
            </w:tcBorders>
            <w:shd w:val="clear" w:color="auto" w:fill="E7EAEB"/>
          </w:tcPr>
          <w:p>
            <w:pPr>
              <w:pStyle w:val="TableParagraph"/>
              <w:spacing w:before="40"/>
              <w:ind w:left="201" w:right="210"/>
              <w:rPr>
                <w:rFonts w:ascii="Arial"/>
                <w:sz w:val="20"/>
              </w:rPr>
            </w:pPr>
            <w:r>
              <w:rPr>
                <w:rFonts w:ascii="Arial"/>
                <w:sz w:val="20"/>
              </w:rPr>
              <w:t>48</w:t>
            </w:r>
          </w:p>
          <w:p>
            <w:pPr>
              <w:pStyle w:val="TableParagraph"/>
              <w:ind w:left="201" w:right="211"/>
              <w:rPr>
                <w:rFonts w:ascii="Arial"/>
                <w:sz w:val="20"/>
              </w:rPr>
            </w:pPr>
            <w:r>
              <w:rPr>
                <w:rFonts w:ascii="Arial"/>
                <w:sz w:val="20"/>
              </w:rPr>
              <w:t>100.0% [90.8 - 99.8]</w:t>
            </w:r>
          </w:p>
        </w:tc>
      </w:tr>
      <w:tr>
        <w:trPr>
          <w:trHeight w:val="541"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43"/>
              <w:ind w:left="628"/>
              <w:jc w:val="left"/>
              <w:rPr>
                <w:rFonts w:ascii="Arial"/>
                <w:sz w:val="22"/>
              </w:rPr>
            </w:pPr>
            <w:r>
              <w:rPr>
                <w:rFonts w:ascii="Arial"/>
                <w:sz w:val="22"/>
              </w:rPr>
              <w:t>36-42</w:t>
            </w:r>
          </w:p>
        </w:tc>
        <w:tc>
          <w:tcPr>
            <w:tcW w:w="1257" w:type="dxa"/>
            <w:tcBorders>
              <w:top w:val="single" w:sz="8" w:space="0" w:color="000000"/>
              <w:left w:val="single" w:sz="8" w:space="0" w:color="000000"/>
              <w:right w:val="single" w:sz="8" w:space="0" w:color="000000"/>
            </w:tcBorders>
            <w:shd w:val="clear" w:color="auto" w:fill="D9E0F1"/>
          </w:tcPr>
          <w:p>
            <w:pPr>
              <w:pStyle w:val="TableParagraph"/>
              <w:spacing w:before="143"/>
              <w:ind w:left="431" w:right="431"/>
              <w:rPr>
                <w:rFonts w:ascii="Arial"/>
                <w:sz w:val="22"/>
              </w:rPr>
            </w:pPr>
            <w:r>
              <w:rPr>
                <w:rFonts w:ascii="Arial"/>
                <w:sz w:val="22"/>
              </w:rPr>
              <w:t>18</w:t>
            </w:r>
          </w:p>
        </w:tc>
        <w:tc>
          <w:tcPr>
            <w:tcW w:w="2023" w:type="dxa"/>
            <w:tcBorders>
              <w:left w:val="single" w:sz="8" w:space="0" w:color="000000"/>
              <w:right w:val="single" w:sz="8" w:space="0" w:color="FFFFFF"/>
            </w:tcBorders>
            <w:shd w:val="clear" w:color="auto" w:fill="F3F5F6"/>
          </w:tcPr>
          <w:p>
            <w:pPr>
              <w:pStyle w:val="TableParagraph"/>
              <w:spacing w:before="40"/>
              <w:ind w:left="85" w:right="85"/>
              <w:rPr>
                <w:rFonts w:ascii="Arial"/>
                <w:sz w:val="20"/>
              </w:rPr>
            </w:pPr>
            <w:r>
              <w:rPr>
                <w:rFonts w:ascii="Arial"/>
                <w:sz w:val="20"/>
              </w:rPr>
              <w:t>14</w:t>
            </w:r>
          </w:p>
          <w:p>
            <w:pPr>
              <w:pStyle w:val="TableParagraph"/>
              <w:ind w:left="86" w:right="85"/>
              <w:rPr>
                <w:rFonts w:ascii="Arial" w:hAnsi="Arial"/>
                <w:sz w:val="20"/>
              </w:rPr>
            </w:pPr>
            <w:r>
              <w:rPr>
                <w:rFonts w:ascii="Arial" w:hAnsi="Arial"/>
                <w:sz w:val="20"/>
              </w:rPr>
              <w:t>77.8% [ 51.9 – 92.6]</w:t>
            </w:r>
          </w:p>
        </w:tc>
        <w:tc>
          <w:tcPr>
            <w:tcW w:w="2131" w:type="dxa"/>
            <w:tcBorders>
              <w:left w:val="single" w:sz="8" w:space="0" w:color="FFFFFF"/>
              <w:right w:val="single" w:sz="8" w:space="0" w:color="FFFFFF"/>
            </w:tcBorders>
            <w:shd w:val="clear" w:color="auto" w:fill="F3F5F6"/>
          </w:tcPr>
          <w:p>
            <w:pPr>
              <w:pStyle w:val="TableParagraph"/>
              <w:spacing w:before="40"/>
              <w:ind w:left="128" w:right="128"/>
              <w:rPr>
                <w:rFonts w:ascii="Arial"/>
                <w:sz w:val="20"/>
              </w:rPr>
            </w:pPr>
            <w:r>
              <w:rPr>
                <w:rFonts w:ascii="Arial"/>
                <w:sz w:val="20"/>
              </w:rPr>
              <w:t>18</w:t>
            </w:r>
          </w:p>
          <w:p>
            <w:pPr>
              <w:pStyle w:val="TableParagraph"/>
              <w:ind w:left="128" w:right="128"/>
              <w:rPr>
                <w:rFonts w:ascii="Arial"/>
                <w:sz w:val="20"/>
              </w:rPr>
            </w:pPr>
            <w:r>
              <w:rPr>
                <w:rFonts w:ascii="Arial"/>
                <w:sz w:val="20"/>
              </w:rPr>
              <w:t>100.0% [78.1 - 99.5]</w:t>
            </w:r>
          </w:p>
        </w:tc>
        <w:tc>
          <w:tcPr>
            <w:tcW w:w="2265" w:type="dxa"/>
            <w:tcBorders>
              <w:left w:val="single" w:sz="8" w:space="0" w:color="FFFFFF"/>
            </w:tcBorders>
            <w:shd w:val="clear" w:color="auto" w:fill="F3F5F6"/>
          </w:tcPr>
          <w:p>
            <w:pPr>
              <w:pStyle w:val="TableParagraph"/>
              <w:spacing w:before="40"/>
              <w:ind w:left="201" w:right="210"/>
              <w:rPr>
                <w:rFonts w:ascii="Arial"/>
                <w:sz w:val="20"/>
              </w:rPr>
            </w:pPr>
            <w:r>
              <w:rPr>
                <w:rFonts w:ascii="Arial"/>
                <w:sz w:val="20"/>
              </w:rPr>
              <w:t>18</w:t>
            </w:r>
          </w:p>
          <w:p>
            <w:pPr>
              <w:pStyle w:val="TableParagraph"/>
              <w:ind w:left="201" w:right="210"/>
              <w:rPr>
                <w:rFonts w:ascii="Arial"/>
                <w:sz w:val="20"/>
              </w:rPr>
            </w:pPr>
            <w:r>
              <w:rPr>
                <w:rFonts w:ascii="Arial"/>
                <w:sz w:val="20"/>
              </w:rPr>
              <w:t>100.0% [78.1 - 99.5]</w:t>
            </w:r>
          </w:p>
        </w:tc>
      </w:tr>
      <w:tr>
        <w:trPr>
          <w:trHeight w:val="625" w:hRule="atLeast"/>
        </w:trPr>
        <w:tc>
          <w:tcPr>
            <w:tcW w:w="1819" w:type="dxa"/>
            <w:tcBorders>
              <w:top w:val="single" w:sz="8" w:space="0" w:color="000000"/>
              <w:right w:val="single" w:sz="8" w:space="0" w:color="FFFFFF"/>
            </w:tcBorders>
            <w:shd w:val="clear" w:color="auto" w:fill="F3F5F6"/>
          </w:tcPr>
          <w:p>
            <w:pPr>
              <w:pStyle w:val="TableParagraph"/>
              <w:spacing w:before="193"/>
              <w:ind w:left="669"/>
              <w:jc w:val="left"/>
              <w:rPr>
                <w:rFonts w:ascii="Arial"/>
                <w:b/>
                <w:sz w:val="20"/>
              </w:rPr>
            </w:pPr>
            <w:r>
              <w:rPr>
                <w:rFonts w:ascii="Arial"/>
                <w:b/>
                <w:sz w:val="20"/>
              </w:rPr>
              <w:t>Total</w:t>
            </w:r>
          </w:p>
        </w:tc>
        <w:tc>
          <w:tcPr>
            <w:tcW w:w="1257" w:type="dxa"/>
            <w:tcBorders>
              <w:left w:val="single" w:sz="8" w:space="0" w:color="FFFFFF"/>
              <w:right w:val="single" w:sz="8" w:space="0" w:color="FFFFFF"/>
            </w:tcBorders>
            <w:shd w:val="clear" w:color="auto" w:fill="F3F5F6"/>
          </w:tcPr>
          <w:p>
            <w:pPr>
              <w:pStyle w:val="TableParagraph"/>
              <w:spacing w:before="193"/>
              <w:ind w:left="431" w:right="431"/>
              <w:rPr>
                <w:rFonts w:ascii="Arial"/>
                <w:b/>
                <w:sz w:val="20"/>
              </w:rPr>
            </w:pPr>
            <w:r>
              <w:rPr>
                <w:rFonts w:ascii="Arial"/>
                <w:b/>
                <w:sz w:val="20"/>
              </w:rPr>
              <w:t>100</w:t>
            </w:r>
          </w:p>
        </w:tc>
        <w:tc>
          <w:tcPr>
            <w:tcW w:w="2023" w:type="dxa"/>
            <w:tcBorders>
              <w:left w:val="single" w:sz="8" w:space="0" w:color="FFFFFF"/>
              <w:right w:val="single" w:sz="8" w:space="0" w:color="FFFFFF"/>
            </w:tcBorders>
            <w:shd w:val="clear" w:color="auto" w:fill="F3F5F6"/>
          </w:tcPr>
          <w:p>
            <w:pPr>
              <w:pStyle w:val="TableParagraph"/>
              <w:spacing w:line="229" w:lineRule="exact" w:before="80"/>
              <w:ind w:left="85" w:right="85"/>
              <w:rPr>
                <w:rFonts w:ascii="Arial"/>
                <w:b/>
                <w:sz w:val="20"/>
              </w:rPr>
            </w:pPr>
            <w:r>
              <w:rPr>
                <w:rFonts w:ascii="Arial"/>
                <w:b/>
                <w:sz w:val="20"/>
              </w:rPr>
              <w:t>51</w:t>
            </w:r>
          </w:p>
          <w:p>
            <w:pPr>
              <w:pStyle w:val="TableParagraph"/>
              <w:spacing w:line="229" w:lineRule="exact"/>
              <w:ind w:left="84" w:right="85"/>
              <w:rPr>
                <w:rFonts w:ascii="Arial"/>
                <w:b/>
                <w:sz w:val="20"/>
              </w:rPr>
            </w:pPr>
            <w:r>
              <w:rPr>
                <w:rFonts w:ascii="Arial"/>
                <w:b/>
                <w:sz w:val="20"/>
              </w:rPr>
              <w:t>51.5% [ 41.3 - 61.6]</w:t>
            </w:r>
          </w:p>
        </w:tc>
        <w:tc>
          <w:tcPr>
            <w:tcW w:w="2131" w:type="dxa"/>
            <w:tcBorders>
              <w:left w:val="single" w:sz="8" w:space="0" w:color="FFFFFF"/>
              <w:right w:val="single" w:sz="8" w:space="0" w:color="FFFFFF"/>
            </w:tcBorders>
            <w:shd w:val="clear" w:color="auto" w:fill="F3F5F6"/>
          </w:tcPr>
          <w:p>
            <w:pPr>
              <w:pStyle w:val="TableParagraph"/>
              <w:spacing w:line="229" w:lineRule="exact" w:before="80"/>
              <w:ind w:left="128" w:right="128"/>
              <w:rPr>
                <w:rFonts w:ascii="Arial"/>
                <w:b/>
                <w:sz w:val="20"/>
              </w:rPr>
            </w:pPr>
            <w:r>
              <w:rPr>
                <w:rFonts w:ascii="Arial"/>
                <w:b/>
                <w:sz w:val="20"/>
              </w:rPr>
              <w:t>94</w:t>
            </w:r>
          </w:p>
          <w:p>
            <w:pPr>
              <w:pStyle w:val="TableParagraph"/>
              <w:spacing w:line="229" w:lineRule="exact"/>
              <w:ind w:left="128" w:right="129"/>
              <w:rPr>
                <w:rFonts w:ascii="Arial" w:hAnsi="Arial"/>
                <w:b/>
                <w:sz w:val="20"/>
              </w:rPr>
            </w:pPr>
            <w:r>
              <w:rPr>
                <w:rFonts w:ascii="Arial" w:hAnsi="Arial"/>
                <w:b/>
                <w:sz w:val="20"/>
              </w:rPr>
              <w:t>94.9% [ 88.1 – 98.1]</w:t>
            </w:r>
          </w:p>
        </w:tc>
        <w:tc>
          <w:tcPr>
            <w:tcW w:w="2265" w:type="dxa"/>
            <w:tcBorders>
              <w:left w:val="single" w:sz="8" w:space="0" w:color="FFFFFF"/>
            </w:tcBorders>
            <w:shd w:val="clear" w:color="auto" w:fill="F3F5F6"/>
          </w:tcPr>
          <w:p>
            <w:pPr>
              <w:pStyle w:val="TableParagraph"/>
              <w:spacing w:line="229" w:lineRule="exact" w:before="80"/>
              <w:ind w:left="201" w:right="210"/>
              <w:rPr>
                <w:rFonts w:ascii="Arial"/>
                <w:b/>
                <w:sz w:val="20"/>
              </w:rPr>
            </w:pPr>
            <w:r>
              <w:rPr>
                <w:rFonts w:ascii="Arial"/>
                <w:b/>
                <w:sz w:val="20"/>
              </w:rPr>
              <w:t>96</w:t>
            </w:r>
          </w:p>
          <w:p>
            <w:pPr>
              <w:pStyle w:val="TableParagraph"/>
              <w:spacing w:line="229" w:lineRule="exact"/>
              <w:ind w:left="198" w:right="211"/>
              <w:rPr>
                <w:rFonts w:ascii="Arial" w:hAnsi="Arial"/>
                <w:b/>
                <w:sz w:val="20"/>
              </w:rPr>
            </w:pPr>
            <w:r>
              <w:rPr>
                <w:rFonts w:ascii="Arial" w:hAnsi="Arial"/>
                <w:b/>
                <w:sz w:val="20"/>
              </w:rPr>
              <w:t>97.0% [90.8 – 99.2]</w:t>
            </w:r>
          </w:p>
        </w:tc>
      </w:tr>
    </w:tbl>
    <w:p>
      <w:pPr>
        <w:pStyle w:val="BodyText"/>
        <w:spacing w:before="3"/>
        <w:rPr>
          <w:sz w:val="25"/>
        </w:rPr>
      </w:pPr>
    </w:p>
    <w:p>
      <w:pPr>
        <w:pStyle w:val="BodyText"/>
        <w:spacing w:after="3"/>
        <w:ind w:left="120" w:right="891"/>
      </w:pPr>
      <w:r>
        <w:rPr>
          <w:b/>
        </w:rPr>
        <w:t>Table 7: </w:t>
      </w:r>
      <w:r>
        <w:rPr/>
        <w:t>Comparison of the Healgen IgM/IgG Antibody to Coronavirus (SARS-CoV-2) reactivity with 100 patients with confirmed COVID-19 infection, stratified by days post-symptom</w:t>
      </w:r>
      <w:r>
        <w:rPr>
          <w:spacing w:val="-3"/>
        </w:rPr>
        <w:t> </w:t>
      </w:r>
      <w:r>
        <w:rPr/>
        <w:t>onset.</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9"/>
        <w:gridCol w:w="1259"/>
        <w:gridCol w:w="2022"/>
        <w:gridCol w:w="2131"/>
        <w:gridCol w:w="2265"/>
      </w:tblGrid>
      <w:tr>
        <w:trPr>
          <w:trHeight w:val="298" w:hRule="atLeast"/>
        </w:trPr>
        <w:tc>
          <w:tcPr>
            <w:tcW w:w="1819" w:type="dxa"/>
            <w:vMerge w:val="restart"/>
            <w:shd w:val="clear" w:color="auto" w:fill="66CEF5"/>
          </w:tcPr>
          <w:p>
            <w:pPr>
              <w:pStyle w:val="TableParagraph"/>
              <w:spacing w:before="71"/>
              <w:ind w:left="170" w:firstLine="228"/>
              <w:jc w:val="left"/>
              <w:rPr>
                <w:rFonts w:ascii="Arial"/>
                <w:b/>
                <w:sz w:val="20"/>
              </w:rPr>
            </w:pPr>
            <w:r>
              <w:rPr>
                <w:rFonts w:ascii="Arial"/>
                <w:b/>
                <w:sz w:val="20"/>
              </w:rPr>
              <w:t>Days post- symptom onset</w:t>
            </w:r>
          </w:p>
        </w:tc>
        <w:tc>
          <w:tcPr>
            <w:tcW w:w="1259" w:type="dxa"/>
            <w:vMerge w:val="restart"/>
            <w:tcBorders>
              <w:bottom w:val="single" w:sz="8" w:space="0" w:color="000000"/>
              <w:right w:val="single" w:sz="8" w:space="0" w:color="FFFFFF"/>
            </w:tcBorders>
            <w:shd w:val="clear" w:color="auto" w:fill="66CEF5"/>
          </w:tcPr>
          <w:p>
            <w:pPr>
              <w:pStyle w:val="TableParagraph"/>
              <w:spacing w:before="71"/>
              <w:ind w:left="528" w:right="14" w:hanging="310"/>
              <w:jc w:val="left"/>
              <w:rPr>
                <w:rFonts w:ascii="Arial"/>
                <w:b/>
                <w:sz w:val="20"/>
              </w:rPr>
            </w:pPr>
            <w:r>
              <w:rPr>
                <w:rFonts w:ascii="Arial"/>
                <w:b/>
                <w:w w:val="95"/>
                <w:sz w:val="20"/>
              </w:rPr>
              <w:t>Samples </w:t>
            </w:r>
            <w:r>
              <w:rPr>
                <w:rFonts w:ascii="Arial"/>
                <w:b/>
                <w:sz w:val="20"/>
              </w:rPr>
              <w:t>(n)</w:t>
            </w:r>
          </w:p>
        </w:tc>
        <w:tc>
          <w:tcPr>
            <w:tcW w:w="2022" w:type="dxa"/>
            <w:tcBorders>
              <w:left w:val="single" w:sz="8" w:space="0" w:color="FFFFFF"/>
              <w:right w:val="single" w:sz="8" w:space="0" w:color="FFFFFF"/>
            </w:tcBorders>
            <w:shd w:val="clear" w:color="auto" w:fill="66CEF5"/>
          </w:tcPr>
          <w:p>
            <w:pPr>
              <w:pStyle w:val="TableParagraph"/>
              <w:spacing w:before="33"/>
              <w:ind w:left="389"/>
              <w:jc w:val="left"/>
              <w:rPr>
                <w:rFonts w:ascii="Arial"/>
                <w:b/>
                <w:sz w:val="20"/>
              </w:rPr>
            </w:pPr>
            <w:r>
              <w:rPr>
                <w:rFonts w:ascii="Arial"/>
                <w:b/>
                <w:sz w:val="20"/>
              </w:rPr>
              <w:t>IgM detected</w:t>
            </w:r>
          </w:p>
        </w:tc>
        <w:tc>
          <w:tcPr>
            <w:tcW w:w="2131" w:type="dxa"/>
            <w:tcBorders>
              <w:left w:val="single" w:sz="8" w:space="0" w:color="FFFFFF"/>
              <w:right w:val="single" w:sz="8" w:space="0" w:color="FFFFFF"/>
            </w:tcBorders>
            <w:shd w:val="clear" w:color="auto" w:fill="66CEF5"/>
          </w:tcPr>
          <w:p>
            <w:pPr>
              <w:pStyle w:val="TableParagraph"/>
              <w:spacing w:before="33"/>
              <w:ind w:left="448"/>
              <w:jc w:val="left"/>
              <w:rPr>
                <w:rFonts w:ascii="Arial"/>
                <w:b/>
                <w:sz w:val="20"/>
              </w:rPr>
            </w:pPr>
            <w:r>
              <w:rPr>
                <w:rFonts w:ascii="Arial"/>
                <w:b/>
                <w:sz w:val="20"/>
              </w:rPr>
              <w:t>IgG detected</w:t>
            </w:r>
          </w:p>
        </w:tc>
        <w:tc>
          <w:tcPr>
            <w:tcW w:w="2265" w:type="dxa"/>
            <w:tcBorders>
              <w:left w:val="single" w:sz="8" w:space="0" w:color="FFFFFF"/>
            </w:tcBorders>
            <w:shd w:val="clear" w:color="auto" w:fill="66CEF5"/>
          </w:tcPr>
          <w:p>
            <w:pPr>
              <w:pStyle w:val="TableParagraph"/>
              <w:spacing w:before="33"/>
              <w:ind w:left="199" w:right="211"/>
              <w:rPr>
                <w:rFonts w:ascii="Arial"/>
                <w:b/>
                <w:sz w:val="20"/>
              </w:rPr>
            </w:pPr>
            <w:r>
              <w:rPr>
                <w:rFonts w:ascii="Arial"/>
                <w:b/>
                <w:sz w:val="20"/>
              </w:rPr>
              <w:t>IgM or IgG</w:t>
            </w:r>
          </w:p>
        </w:tc>
      </w:tr>
      <w:tr>
        <w:trPr>
          <w:trHeight w:val="290" w:hRule="atLeast"/>
        </w:trPr>
        <w:tc>
          <w:tcPr>
            <w:tcW w:w="1819" w:type="dxa"/>
            <w:vMerge/>
            <w:tcBorders>
              <w:top w:val="nil"/>
            </w:tcBorders>
            <w:shd w:val="clear" w:color="auto" w:fill="66CEF5"/>
          </w:tcPr>
          <w:p>
            <w:pPr>
              <w:rPr>
                <w:sz w:val="2"/>
                <w:szCs w:val="2"/>
              </w:rPr>
            </w:pPr>
          </w:p>
        </w:tc>
        <w:tc>
          <w:tcPr>
            <w:tcW w:w="1259" w:type="dxa"/>
            <w:vMerge/>
            <w:tcBorders>
              <w:top w:val="nil"/>
              <w:bottom w:val="single" w:sz="8" w:space="0" w:color="000000"/>
              <w:right w:val="single" w:sz="8" w:space="0" w:color="FFFFFF"/>
            </w:tcBorders>
            <w:shd w:val="clear" w:color="auto" w:fill="66CEF5"/>
          </w:tcPr>
          <w:p>
            <w:pPr>
              <w:rPr>
                <w:sz w:val="2"/>
                <w:szCs w:val="2"/>
              </w:rPr>
            </w:pPr>
          </w:p>
        </w:tc>
        <w:tc>
          <w:tcPr>
            <w:tcW w:w="2022" w:type="dxa"/>
            <w:tcBorders>
              <w:left w:val="single" w:sz="8" w:space="0" w:color="FFFFFF"/>
              <w:right w:val="single" w:sz="8" w:space="0" w:color="FFFFFF"/>
            </w:tcBorders>
            <w:shd w:val="clear" w:color="auto" w:fill="66CEF5"/>
          </w:tcPr>
          <w:p>
            <w:pPr>
              <w:pStyle w:val="TableParagraph"/>
              <w:spacing w:before="28"/>
              <w:ind w:left="423"/>
              <w:jc w:val="left"/>
              <w:rPr>
                <w:rFonts w:ascii="Arial"/>
                <w:b/>
                <w:sz w:val="20"/>
              </w:rPr>
            </w:pPr>
            <w:r>
              <w:rPr>
                <w:rFonts w:ascii="Arial"/>
                <w:b/>
                <w:sz w:val="20"/>
              </w:rPr>
              <w:t>(%) [95% CI]</w:t>
            </w:r>
          </w:p>
        </w:tc>
        <w:tc>
          <w:tcPr>
            <w:tcW w:w="2131" w:type="dxa"/>
            <w:tcBorders>
              <w:left w:val="single" w:sz="8" w:space="0" w:color="FFFFFF"/>
              <w:right w:val="single" w:sz="8" w:space="0" w:color="FFFFFF"/>
            </w:tcBorders>
            <w:shd w:val="clear" w:color="auto" w:fill="66CEF5"/>
          </w:tcPr>
          <w:p>
            <w:pPr>
              <w:pStyle w:val="TableParagraph"/>
              <w:spacing w:before="28"/>
              <w:ind w:left="474"/>
              <w:jc w:val="left"/>
              <w:rPr>
                <w:rFonts w:ascii="Arial"/>
                <w:b/>
                <w:sz w:val="20"/>
              </w:rPr>
            </w:pPr>
            <w:r>
              <w:rPr>
                <w:rFonts w:ascii="Arial"/>
                <w:b/>
                <w:sz w:val="20"/>
              </w:rPr>
              <w:t>(%) [95% CI]</w:t>
            </w:r>
          </w:p>
        </w:tc>
        <w:tc>
          <w:tcPr>
            <w:tcW w:w="2265" w:type="dxa"/>
            <w:tcBorders>
              <w:left w:val="single" w:sz="8" w:space="0" w:color="FFFFFF"/>
            </w:tcBorders>
            <w:shd w:val="clear" w:color="auto" w:fill="66CEF5"/>
          </w:tcPr>
          <w:p>
            <w:pPr>
              <w:pStyle w:val="TableParagraph"/>
              <w:spacing w:before="28"/>
              <w:ind w:left="196" w:right="211"/>
              <w:rPr>
                <w:rFonts w:ascii="Arial"/>
                <w:b/>
                <w:sz w:val="20"/>
              </w:rPr>
            </w:pPr>
            <w:r>
              <w:rPr>
                <w:rFonts w:ascii="Arial"/>
                <w:b/>
                <w:sz w:val="20"/>
              </w:rPr>
              <w:t>(%) [95% CI]</w:t>
            </w:r>
          </w:p>
        </w:tc>
      </w:tr>
      <w:tr>
        <w:trPr>
          <w:trHeight w:val="553" w:hRule="atLeast"/>
        </w:trPr>
        <w:tc>
          <w:tcPr>
            <w:tcW w:w="1819" w:type="dxa"/>
            <w:tcBorders>
              <w:bottom w:val="single" w:sz="8" w:space="0" w:color="000000"/>
              <w:right w:val="single" w:sz="8" w:space="0" w:color="000000"/>
            </w:tcBorders>
            <w:shd w:val="clear" w:color="auto" w:fill="B4C5E7"/>
          </w:tcPr>
          <w:p>
            <w:pPr>
              <w:pStyle w:val="TableParagraph"/>
              <w:spacing w:before="148"/>
              <w:ind w:left="628"/>
              <w:jc w:val="left"/>
              <w:rPr>
                <w:rFonts w:ascii="Arial"/>
                <w:sz w:val="22"/>
              </w:rPr>
            </w:pPr>
            <w:r>
              <w:rPr>
                <w:rFonts w:ascii="Arial"/>
                <w:sz w:val="22"/>
              </w:rPr>
              <w:t>15-21</w:t>
            </w:r>
          </w:p>
        </w:tc>
        <w:tc>
          <w:tcPr>
            <w:tcW w:w="1259"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48"/>
              <w:ind w:left="1"/>
              <w:rPr>
                <w:rFonts w:ascii="Arial"/>
                <w:sz w:val="22"/>
              </w:rPr>
            </w:pPr>
            <w:r>
              <w:rPr>
                <w:rFonts w:ascii="Arial"/>
                <w:w w:val="100"/>
                <w:sz w:val="22"/>
              </w:rPr>
              <w:t>8</w:t>
            </w:r>
          </w:p>
        </w:tc>
        <w:tc>
          <w:tcPr>
            <w:tcW w:w="2022" w:type="dxa"/>
            <w:tcBorders>
              <w:left w:val="single" w:sz="8" w:space="0" w:color="000000"/>
              <w:right w:val="single" w:sz="8" w:space="0" w:color="FFFFFF"/>
            </w:tcBorders>
            <w:shd w:val="clear" w:color="auto" w:fill="E7EAEB"/>
          </w:tcPr>
          <w:p>
            <w:pPr>
              <w:pStyle w:val="TableParagraph"/>
              <w:spacing w:before="45"/>
              <w:ind w:left="1"/>
              <w:rPr>
                <w:rFonts w:ascii="Arial"/>
                <w:sz w:val="20"/>
              </w:rPr>
            </w:pPr>
            <w:r>
              <w:rPr>
                <w:rFonts w:ascii="Arial"/>
                <w:w w:val="99"/>
                <w:sz w:val="20"/>
              </w:rPr>
              <w:t>3</w:t>
            </w:r>
          </w:p>
          <w:p>
            <w:pPr>
              <w:pStyle w:val="TableParagraph"/>
              <w:ind w:left="96" w:right="98"/>
              <w:rPr>
                <w:rFonts w:ascii="Arial" w:hAnsi="Arial"/>
                <w:sz w:val="20"/>
              </w:rPr>
            </w:pPr>
            <w:r>
              <w:rPr>
                <w:rFonts w:ascii="Arial" w:hAnsi="Arial"/>
                <w:sz w:val="20"/>
              </w:rPr>
              <w:t>37.5% [10.2 – 74.1]</w:t>
            </w:r>
          </w:p>
        </w:tc>
        <w:tc>
          <w:tcPr>
            <w:tcW w:w="2131" w:type="dxa"/>
            <w:tcBorders>
              <w:left w:val="single" w:sz="8" w:space="0" w:color="FFFFFF"/>
              <w:right w:val="single" w:sz="8" w:space="0" w:color="FFFFFF"/>
            </w:tcBorders>
            <w:shd w:val="clear" w:color="auto" w:fill="E7EAEB"/>
          </w:tcPr>
          <w:p>
            <w:pPr>
              <w:pStyle w:val="TableParagraph"/>
              <w:spacing w:before="45"/>
              <w:ind w:right="2"/>
              <w:rPr>
                <w:rFonts w:ascii="Arial"/>
                <w:sz w:val="20"/>
              </w:rPr>
            </w:pPr>
            <w:r>
              <w:rPr>
                <w:rFonts w:ascii="Arial"/>
                <w:w w:val="99"/>
                <w:sz w:val="20"/>
              </w:rPr>
              <w:t>7</w:t>
            </w:r>
          </w:p>
          <w:p>
            <w:pPr>
              <w:pStyle w:val="TableParagraph"/>
              <w:ind w:left="124" w:right="129"/>
              <w:rPr>
                <w:rFonts w:ascii="Arial"/>
                <w:sz w:val="20"/>
              </w:rPr>
            </w:pPr>
            <w:r>
              <w:rPr>
                <w:rFonts w:ascii="Arial"/>
                <w:sz w:val="20"/>
              </w:rPr>
              <w:t>87.5% [46.7 - 99.3]</w:t>
            </w:r>
          </w:p>
        </w:tc>
        <w:tc>
          <w:tcPr>
            <w:tcW w:w="2265" w:type="dxa"/>
            <w:tcBorders>
              <w:left w:val="single" w:sz="8" w:space="0" w:color="FFFFFF"/>
            </w:tcBorders>
            <w:shd w:val="clear" w:color="auto" w:fill="E7EAEB"/>
          </w:tcPr>
          <w:p>
            <w:pPr>
              <w:pStyle w:val="TableParagraph"/>
              <w:spacing w:before="45"/>
              <w:ind w:right="11"/>
              <w:rPr>
                <w:rFonts w:ascii="Arial"/>
                <w:sz w:val="20"/>
              </w:rPr>
            </w:pPr>
            <w:r>
              <w:rPr>
                <w:rFonts w:ascii="Arial"/>
                <w:w w:val="99"/>
                <w:sz w:val="20"/>
              </w:rPr>
              <w:t>8</w:t>
            </w:r>
          </w:p>
          <w:p>
            <w:pPr>
              <w:pStyle w:val="TableParagraph"/>
              <w:ind w:left="200" w:right="211"/>
              <w:rPr>
                <w:rFonts w:ascii="Arial"/>
                <w:sz w:val="20"/>
              </w:rPr>
            </w:pPr>
            <w:r>
              <w:rPr>
                <w:rFonts w:ascii="Arial"/>
                <w:sz w:val="20"/>
              </w:rPr>
              <w:t>100.0% [59.8 - 98.8]</w:t>
            </w:r>
          </w:p>
        </w:tc>
      </w:tr>
      <w:tr>
        <w:trPr>
          <w:trHeight w:val="459"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00"/>
              <w:ind w:left="628"/>
              <w:jc w:val="left"/>
              <w:rPr>
                <w:rFonts w:ascii="Arial"/>
                <w:sz w:val="22"/>
              </w:rPr>
            </w:pPr>
            <w:r>
              <w:rPr>
                <w:rFonts w:ascii="Arial"/>
                <w:sz w:val="22"/>
              </w:rPr>
              <w:t>22-28</w:t>
            </w:r>
          </w:p>
        </w:tc>
        <w:tc>
          <w:tcPr>
            <w:tcW w:w="1259"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00"/>
              <w:ind w:left="432" w:right="433"/>
              <w:rPr>
                <w:rFonts w:ascii="Arial"/>
                <w:sz w:val="22"/>
              </w:rPr>
            </w:pPr>
            <w:r>
              <w:rPr>
                <w:rFonts w:ascii="Arial"/>
                <w:sz w:val="22"/>
              </w:rPr>
              <w:t>25</w:t>
            </w:r>
          </w:p>
        </w:tc>
        <w:tc>
          <w:tcPr>
            <w:tcW w:w="2022" w:type="dxa"/>
            <w:tcBorders>
              <w:left w:val="single" w:sz="8" w:space="0" w:color="000000"/>
              <w:right w:val="single" w:sz="8" w:space="0" w:color="FFFFFF"/>
            </w:tcBorders>
            <w:shd w:val="clear" w:color="auto" w:fill="F3F5F6"/>
          </w:tcPr>
          <w:p>
            <w:pPr>
              <w:pStyle w:val="TableParagraph"/>
              <w:spacing w:line="229" w:lineRule="exact"/>
              <w:ind w:left="96" w:right="97"/>
              <w:rPr>
                <w:rFonts w:ascii="Arial"/>
                <w:sz w:val="20"/>
              </w:rPr>
            </w:pPr>
            <w:r>
              <w:rPr>
                <w:rFonts w:ascii="Arial"/>
                <w:sz w:val="20"/>
              </w:rPr>
              <w:t>21</w:t>
            </w:r>
          </w:p>
          <w:p>
            <w:pPr>
              <w:pStyle w:val="TableParagraph"/>
              <w:spacing w:line="210" w:lineRule="exact"/>
              <w:ind w:left="96" w:right="97"/>
              <w:rPr>
                <w:rFonts w:ascii="Arial" w:hAnsi="Arial"/>
                <w:sz w:val="20"/>
              </w:rPr>
            </w:pPr>
            <w:r>
              <w:rPr>
                <w:rFonts w:ascii="Arial" w:hAnsi="Arial"/>
                <w:sz w:val="20"/>
              </w:rPr>
              <w:t>84.0% [63.1 – 94.7]</w:t>
            </w:r>
          </w:p>
        </w:tc>
        <w:tc>
          <w:tcPr>
            <w:tcW w:w="2131" w:type="dxa"/>
            <w:tcBorders>
              <w:left w:val="single" w:sz="8" w:space="0" w:color="FFFFFF"/>
              <w:right w:val="single" w:sz="8" w:space="0" w:color="FFFFFF"/>
            </w:tcBorders>
            <w:shd w:val="clear" w:color="auto" w:fill="F3F5F6"/>
          </w:tcPr>
          <w:p>
            <w:pPr>
              <w:pStyle w:val="TableParagraph"/>
              <w:spacing w:line="229" w:lineRule="exact"/>
              <w:ind w:left="127" w:right="129"/>
              <w:rPr>
                <w:rFonts w:ascii="Arial"/>
                <w:sz w:val="20"/>
              </w:rPr>
            </w:pPr>
            <w:r>
              <w:rPr>
                <w:rFonts w:ascii="Arial"/>
                <w:sz w:val="20"/>
              </w:rPr>
              <w:t>25</w:t>
            </w:r>
          </w:p>
          <w:p>
            <w:pPr>
              <w:pStyle w:val="TableParagraph"/>
              <w:spacing w:line="210" w:lineRule="exact"/>
              <w:ind w:left="127" w:right="129"/>
              <w:rPr>
                <w:rFonts w:ascii="Arial"/>
                <w:sz w:val="20"/>
              </w:rPr>
            </w:pPr>
            <w:r>
              <w:rPr>
                <w:rFonts w:ascii="Arial"/>
                <w:sz w:val="20"/>
              </w:rPr>
              <w:t>100.0% [83.4 - 99.6]</w:t>
            </w:r>
          </w:p>
        </w:tc>
        <w:tc>
          <w:tcPr>
            <w:tcW w:w="2265" w:type="dxa"/>
            <w:tcBorders>
              <w:left w:val="single" w:sz="8" w:space="0" w:color="FFFFFF"/>
            </w:tcBorders>
            <w:shd w:val="clear" w:color="auto" w:fill="F3F5F6"/>
          </w:tcPr>
          <w:p>
            <w:pPr>
              <w:pStyle w:val="TableParagraph"/>
              <w:spacing w:line="229" w:lineRule="exact"/>
              <w:ind w:left="200" w:right="211"/>
              <w:rPr>
                <w:rFonts w:ascii="Arial"/>
                <w:sz w:val="20"/>
              </w:rPr>
            </w:pPr>
            <w:r>
              <w:rPr>
                <w:rFonts w:ascii="Arial"/>
                <w:sz w:val="20"/>
              </w:rPr>
              <w:t>25</w:t>
            </w:r>
          </w:p>
          <w:p>
            <w:pPr>
              <w:pStyle w:val="TableParagraph"/>
              <w:spacing w:line="210" w:lineRule="exact"/>
              <w:ind w:left="200" w:right="211"/>
              <w:rPr>
                <w:rFonts w:ascii="Arial"/>
                <w:sz w:val="20"/>
              </w:rPr>
            </w:pPr>
            <w:r>
              <w:rPr>
                <w:rFonts w:ascii="Arial"/>
                <w:sz w:val="20"/>
              </w:rPr>
              <w:t>100.0% [83.4 - 99.6]</w:t>
            </w:r>
          </w:p>
        </w:tc>
      </w:tr>
      <w:tr>
        <w:trPr>
          <w:trHeight w:val="539"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41"/>
              <w:ind w:left="628"/>
              <w:jc w:val="left"/>
              <w:rPr>
                <w:rFonts w:ascii="Arial"/>
                <w:sz w:val="22"/>
              </w:rPr>
            </w:pPr>
            <w:r>
              <w:rPr>
                <w:rFonts w:ascii="Arial"/>
                <w:sz w:val="22"/>
              </w:rPr>
              <w:t>29-35</w:t>
            </w:r>
          </w:p>
        </w:tc>
        <w:tc>
          <w:tcPr>
            <w:tcW w:w="1259"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41"/>
              <w:ind w:left="432" w:right="433"/>
              <w:rPr>
                <w:rFonts w:ascii="Arial"/>
                <w:sz w:val="22"/>
              </w:rPr>
            </w:pPr>
            <w:r>
              <w:rPr>
                <w:rFonts w:ascii="Arial"/>
                <w:sz w:val="22"/>
              </w:rPr>
              <w:t>49</w:t>
            </w:r>
          </w:p>
        </w:tc>
        <w:tc>
          <w:tcPr>
            <w:tcW w:w="2022" w:type="dxa"/>
            <w:tcBorders>
              <w:left w:val="single" w:sz="8" w:space="0" w:color="000000"/>
              <w:right w:val="single" w:sz="8" w:space="0" w:color="FFFFFF"/>
            </w:tcBorders>
            <w:shd w:val="clear" w:color="auto" w:fill="E7EAEB"/>
          </w:tcPr>
          <w:p>
            <w:pPr>
              <w:pStyle w:val="TableParagraph"/>
              <w:spacing w:before="40"/>
              <w:ind w:left="96" w:right="97"/>
              <w:rPr>
                <w:rFonts w:ascii="Arial"/>
                <w:sz w:val="20"/>
              </w:rPr>
            </w:pPr>
            <w:r>
              <w:rPr>
                <w:rFonts w:ascii="Arial"/>
                <w:sz w:val="20"/>
              </w:rPr>
              <w:t>37</w:t>
            </w:r>
          </w:p>
          <w:p>
            <w:pPr>
              <w:pStyle w:val="TableParagraph"/>
              <w:ind w:left="96" w:right="97"/>
              <w:rPr>
                <w:rFonts w:ascii="Arial" w:hAnsi="Arial"/>
                <w:sz w:val="20"/>
              </w:rPr>
            </w:pPr>
            <w:r>
              <w:rPr>
                <w:rFonts w:ascii="Arial" w:hAnsi="Arial"/>
                <w:sz w:val="20"/>
              </w:rPr>
              <w:t>84.1% [69.3 – 92.8]</w:t>
            </w:r>
          </w:p>
        </w:tc>
        <w:tc>
          <w:tcPr>
            <w:tcW w:w="2131" w:type="dxa"/>
            <w:tcBorders>
              <w:left w:val="single" w:sz="8" w:space="0" w:color="FFFFFF"/>
              <w:right w:val="single" w:sz="8" w:space="0" w:color="FFFFFF"/>
            </w:tcBorders>
            <w:shd w:val="clear" w:color="auto" w:fill="E7EAEB"/>
          </w:tcPr>
          <w:p>
            <w:pPr>
              <w:pStyle w:val="TableParagraph"/>
              <w:spacing w:before="40"/>
              <w:ind w:left="127" w:right="129"/>
              <w:rPr>
                <w:rFonts w:ascii="Arial"/>
                <w:sz w:val="20"/>
              </w:rPr>
            </w:pPr>
            <w:r>
              <w:rPr>
                <w:rFonts w:ascii="Arial"/>
                <w:sz w:val="20"/>
              </w:rPr>
              <w:t>44</w:t>
            </w:r>
          </w:p>
          <w:p>
            <w:pPr>
              <w:pStyle w:val="TableParagraph"/>
              <w:ind w:left="124" w:right="129"/>
              <w:rPr>
                <w:rFonts w:ascii="Arial" w:hAnsi="Arial"/>
                <w:sz w:val="20"/>
              </w:rPr>
            </w:pPr>
            <w:r>
              <w:rPr>
                <w:rFonts w:ascii="Arial" w:hAnsi="Arial"/>
                <w:sz w:val="20"/>
              </w:rPr>
              <w:t>100% [90.0 – 99.8]</w:t>
            </w:r>
          </w:p>
        </w:tc>
        <w:tc>
          <w:tcPr>
            <w:tcW w:w="2265" w:type="dxa"/>
            <w:tcBorders>
              <w:left w:val="single" w:sz="8" w:space="0" w:color="FFFFFF"/>
            </w:tcBorders>
            <w:shd w:val="clear" w:color="auto" w:fill="E7EAEB"/>
          </w:tcPr>
          <w:p>
            <w:pPr>
              <w:pStyle w:val="TableParagraph"/>
              <w:spacing w:before="40"/>
              <w:ind w:left="200" w:right="211"/>
              <w:rPr>
                <w:rFonts w:ascii="Arial"/>
                <w:sz w:val="20"/>
              </w:rPr>
            </w:pPr>
            <w:r>
              <w:rPr>
                <w:rFonts w:ascii="Arial"/>
                <w:sz w:val="20"/>
              </w:rPr>
              <w:t>44</w:t>
            </w:r>
          </w:p>
          <w:p>
            <w:pPr>
              <w:pStyle w:val="TableParagraph"/>
              <w:ind w:left="197" w:right="211"/>
              <w:rPr>
                <w:rFonts w:ascii="Arial" w:hAnsi="Arial"/>
                <w:sz w:val="20"/>
              </w:rPr>
            </w:pPr>
            <w:r>
              <w:rPr>
                <w:rFonts w:ascii="Arial" w:hAnsi="Arial"/>
                <w:sz w:val="20"/>
              </w:rPr>
              <w:t>100% [90.0 – 99.8]</w:t>
            </w:r>
          </w:p>
        </w:tc>
      </w:tr>
      <w:tr>
        <w:trPr>
          <w:trHeight w:val="568"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55"/>
              <w:ind w:left="628"/>
              <w:jc w:val="left"/>
              <w:rPr>
                <w:rFonts w:ascii="Arial"/>
                <w:sz w:val="22"/>
              </w:rPr>
            </w:pPr>
            <w:r>
              <w:rPr>
                <w:rFonts w:ascii="Arial"/>
                <w:sz w:val="22"/>
              </w:rPr>
              <w:t>36-42</w:t>
            </w:r>
          </w:p>
        </w:tc>
        <w:tc>
          <w:tcPr>
            <w:tcW w:w="1259" w:type="dxa"/>
            <w:tcBorders>
              <w:top w:val="single" w:sz="8" w:space="0" w:color="000000"/>
              <w:left w:val="single" w:sz="8" w:space="0" w:color="000000"/>
              <w:right w:val="single" w:sz="8" w:space="0" w:color="000000"/>
            </w:tcBorders>
            <w:shd w:val="clear" w:color="auto" w:fill="D9E0F1"/>
          </w:tcPr>
          <w:p>
            <w:pPr>
              <w:pStyle w:val="TableParagraph"/>
              <w:spacing w:before="155"/>
              <w:ind w:left="432" w:right="433"/>
              <w:rPr>
                <w:rFonts w:ascii="Arial"/>
                <w:sz w:val="22"/>
              </w:rPr>
            </w:pPr>
            <w:r>
              <w:rPr>
                <w:rFonts w:ascii="Arial"/>
                <w:sz w:val="22"/>
              </w:rPr>
              <w:t>18</w:t>
            </w:r>
          </w:p>
        </w:tc>
        <w:tc>
          <w:tcPr>
            <w:tcW w:w="2022" w:type="dxa"/>
            <w:tcBorders>
              <w:left w:val="single" w:sz="8" w:space="0" w:color="000000"/>
              <w:right w:val="single" w:sz="8" w:space="0" w:color="FFFFFF"/>
            </w:tcBorders>
            <w:shd w:val="clear" w:color="auto" w:fill="F3F5F6"/>
          </w:tcPr>
          <w:p>
            <w:pPr>
              <w:pStyle w:val="TableParagraph"/>
              <w:spacing w:line="229" w:lineRule="exact" w:before="54"/>
              <w:ind w:left="96" w:right="97"/>
              <w:rPr>
                <w:rFonts w:ascii="Arial"/>
                <w:sz w:val="20"/>
              </w:rPr>
            </w:pPr>
            <w:r>
              <w:rPr>
                <w:rFonts w:ascii="Arial"/>
                <w:sz w:val="20"/>
              </w:rPr>
              <w:t>15</w:t>
            </w:r>
          </w:p>
          <w:p>
            <w:pPr>
              <w:pStyle w:val="TableParagraph"/>
              <w:spacing w:line="229" w:lineRule="exact"/>
              <w:ind w:left="96" w:right="97"/>
              <w:rPr>
                <w:rFonts w:ascii="Arial" w:hAnsi="Arial"/>
                <w:sz w:val="20"/>
              </w:rPr>
            </w:pPr>
            <w:r>
              <w:rPr>
                <w:rFonts w:ascii="Arial" w:hAnsi="Arial"/>
                <w:sz w:val="20"/>
              </w:rPr>
              <w:t>88.2% [62.3 – 97.9]</w:t>
            </w:r>
          </w:p>
        </w:tc>
        <w:tc>
          <w:tcPr>
            <w:tcW w:w="2131" w:type="dxa"/>
            <w:tcBorders>
              <w:left w:val="single" w:sz="8" w:space="0" w:color="FFFFFF"/>
              <w:right w:val="single" w:sz="8" w:space="0" w:color="FFFFFF"/>
            </w:tcBorders>
            <w:shd w:val="clear" w:color="auto" w:fill="F3F5F6"/>
          </w:tcPr>
          <w:p>
            <w:pPr>
              <w:pStyle w:val="TableParagraph"/>
              <w:spacing w:line="229" w:lineRule="exact" w:before="54"/>
              <w:ind w:left="127" w:right="129"/>
              <w:rPr>
                <w:rFonts w:ascii="Arial"/>
                <w:sz w:val="20"/>
              </w:rPr>
            </w:pPr>
            <w:r>
              <w:rPr>
                <w:rFonts w:ascii="Arial"/>
                <w:sz w:val="20"/>
              </w:rPr>
              <w:t>17</w:t>
            </w:r>
          </w:p>
          <w:p>
            <w:pPr>
              <w:pStyle w:val="TableParagraph"/>
              <w:spacing w:line="229" w:lineRule="exact"/>
              <w:ind w:left="127" w:right="129"/>
              <w:rPr>
                <w:rFonts w:ascii="Arial"/>
                <w:sz w:val="20"/>
              </w:rPr>
            </w:pPr>
            <w:r>
              <w:rPr>
                <w:rFonts w:ascii="Arial"/>
                <w:sz w:val="20"/>
              </w:rPr>
              <w:t>100% [77.1 - 99.5]</w:t>
            </w:r>
          </w:p>
        </w:tc>
        <w:tc>
          <w:tcPr>
            <w:tcW w:w="2265" w:type="dxa"/>
            <w:tcBorders>
              <w:left w:val="single" w:sz="8" w:space="0" w:color="FFFFFF"/>
            </w:tcBorders>
            <w:shd w:val="clear" w:color="auto" w:fill="F3F5F6"/>
          </w:tcPr>
          <w:p>
            <w:pPr>
              <w:pStyle w:val="TableParagraph"/>
              <w:spacing w:line="229" w:lineRule="exact" w:before="54"/>
              <w:ind w:left="200" w:right="211"/>
              <w:rPr>
                <w:rFonts w:ascii="Arial"/>
                <w:sz w:val="20"/>
              </w:rPr>
            </w:pPr>
            <w:r>
              <w:rPr>
                <w:rFonts w:ascii="Arial"/>
                <w:sz w:val="20"/>
              </w:rPr>
              <w:t>17</w:t>
            </w:r>
          </w:p>
          <w:p>
            <w:pPr>
              <w:pStyle w:val="TableParagraph"/>
              <w:spacing w:line="229" w:lineRule="exact"/>
              <w:ind w:left="200" w:right="211"/>
              <w:rPr>
                <w:rFonts w:ascii="Arial"/>
                <w:sz w:val="20"/>
              </w:rPr>
            </w:pPr>
            <w:r>
              <w:rPr>
                <w:rFonts w:ascii="Arial"/>
                <w:sz w:val="20"/>
              </w:rPr>
              <w:t>100% [77.1 - 99.5]</w:t>
            </w:r>
          </w:p>
        </w:tc>
      </w:tr>
      <w:tr>
        <w:trPr>
          <w:trHeight w:val="539" w:hRule="atLeast"/>
        </w:trPr>
        <w:tc>
          <w:tcPr>
            <w:tcW w:w="1819" w:type="dxa"/>
            <w:tcBorders>
              <w:top w:val="single" w:sz="8" w:space="0" w:color="000000"/>
              <w:right w:val="single" w:sz="8" w:space="0" w:color="FFFFFF"/>
            </w:tcBorders>
            <w:shd w:val="clear" w:color="auto" w:fill="F3F5F6"/>
          </w:tcPr>
          <w:p>
            <w:pPr>
              <w:pStyle w:val="TableParagraph"/>
              <w:spacing w:before="152"/>
              <w:ind w:left="669"/>
              <w:jc w:val="left"/>
              <w:rPr>
                <w:rFonts w:ascii="Arial"/>
                <w:b/>
                <w:sz w:val="20"/>
              </w:rPr>
            </w:pPr>
            <w:r>
              <w:rPr>
                <w:rFonts w:ascii="Arial"/>
                <w:b/>
                <w:sz w:val="20"/>
              </w:rPr>
              <w:t>Total</w:t>
            </w:r>
          </w:p>
        </w:tc>
        <w:tc>
          <w:tcPr>
            <w:tcW w:w="1259" w:type="dxa"/>
            <w:tcBorders>
              <w:left w:val="single" w:sz="8" w:space="0" w:color="FFFFFF"/>
              <w:right w:val="single" w:sz="8" w:space="0" w:color="FFFFFF"/>
            </w:tcBorders>
            <w:shd w:val="clear" w:color="auto" w:fill="F3F5F6"/>
          </w:tcPr>
          <w:p>
            <w:pPr>
              <w:pStyle w:val="TableParagraph"/>
              <w:spacing w:before="152"/>
              <w:ind w:left="432" w:right="433"/>
              <w:rPr>
                <w:rFonts w:ascii="Arial"/>
                <w:b/>
                <w:sz w:val="20"/>
              </w:rPr>
            </w:pPr>
            <w:r>
              <w:rPr>
                <w:rFonts w:ascii="Arial"/>
                <w:b/>
                <w:sz w:val="20"/>
              </w:rPr>
              <w:t>100</w:t>
            </w:r>
          </w:p>
        </w:tc>
        <w:tc>
          <w:tcPr>
            <w:tcW w:w="2022" w:type="dxa"/>
            <w:tcBorders>
              <w:left w:val="single" w:sz="8" w:space="0" w:color="FFFFFF"/>
              <w:right w:val="single" w:sz="8" w:space="0" w:color="FFFFFF"/>
            </w:tcBorders>
            <w:shd w:val="clear" w:color="auto" w:fill="F3F5F6"/>
          </w:tcPr>
          <w:p>
            <w:pPr>
              <w:pStyle w:val="TableParagraph"/>
              <w:spacing w:line="229" w:lineRule="exact" w:before="37"/>
              <w:ind w:left="96" w:right="97"/>
              <w:rPr>
                <w:rFonts w:ascii="Arial"/>
                <w:b/>
                <w:sz w:val="20"/>
              </w:rPr>
            </w:pPr>
            <w:r>
              <w:rPr>
                <w:rFonts w:ascii="Arial"/>
                <w:b/>
                <w:sz w:val="20"/>
              </w:rPr>
              <w:t>76</w:t>
            </w:r>
          </w:p>
          <w:p>
            <w:pPr>
              <w:pStyle w:val="TableParagraph"/>
              <w:spacing w:line="229" w:lineRule="exact"/>
              <w:ind w:left="96" w:right="98"/>
              <w:rPr>
                <w:rFonts w:ascii="Arial"/>
                <w:b/>
                <w:sz w:val="20"/>
              </w:rPr>
            </w:pPr>
            <w:r>
              <w:rPr>
                <w:rFonts w:ascii="Arial"/>
                <w:b/>
                <w:sz w:val="20"/>
              </w:rPr>
              <w:t>80.9% [ 71.2 - 88.0]</w:t>
            </w:r>
          </w:p>
        </w:tc>
        <w:tc>
          <w:tcPr>
            <w:tcW w:w="2131" w:type="dxa"/>
            <w:tcBorders>
              <w:left w:val="single" w:sz="8" w:space="0" w:color="FFFFFF"/>
              <w:right w:val="single" w:sz="8" w:space="0" w:color="FFFFFF"/>
            </w:tcBorders>
            <w:shd w:val="clear" w:color="auto" w:fill="F3F5F6"/>
          </w:tcPr>
          <w:p>
            <w:pPr>
              <w:pStyle w:val="TableParagraph"/>
              <w:spacing w:line="229" w:lineRule="exact" w:before="37"/>
              <w:ind w:left="127" w:right="129"/>
              <w:rPr>
                <w:rFonts w:ascii="Arial"/>
                <w:b/>
                <w:sz w:val="20"/>
              </w:rPr>
            </w:pPr>
            <w:r>
              <w:rPr>
                <w:rFonts w:ascii="Arial"/>
                <w:b/>
                <w:sz w:val="20"/>
              </w:rPr>
              <w:t>93</w:t>
            </w:r>
          </w:p>
          <w:p>
            <w:pPr>
              <w:pStyle w:val="TableParagraph"/>
              <w:spacing w:line="229" w:lineRule="exact"/>
              <w:ind w:left="123" w:right="129"/>
              <w:rPr>
                <w:rFonts w:ascii="Arial" w:hAnsi="Arial"/>
                <w:b/>
                <w:sz w:val="20"/>
              </w:rPr>
            </w:pPr>
            <w:r>
              <w:rPr>
                <w:rFonts w:ascii="Arial" w:hAnsi="Arial"/>
                <w:b/>
                <w:sz w:val="20"/>
              </w:rPr>
              <w:t>98.9% [93.4 – 99.9]</w:t>
            </w:r>
          </w:p>
        </w:tc>
        <w:tc>
          <w:tcPr>
            <w:tcW w:w="2265" w:type="dxa"/>
            <w:tcBorders>
              <w:left w:val="single" w:sz="8" w:space="0" w:color="FFFFFF"/>
            </w:tcBorders>
            <w:shd w:val="clear" w:color="auto" w:fill="F3F5F6"/>
          </w:tcPr>
          <w:p>
            <w:pPr>
              <w:pStyle w:val="TableParagraph"/>
              <w:spacing w:line="229" w:lineRule="exact" w:before="37"/>
              <w:ind w:left="200" w:right="211"/>
              <w:rPr>
                <w:rFonts w:ascii="Arial"/>
                <w:b/>
                <w:sz w:val="20"/>
              </w:rPr>
            </w:pPr>
            <w:r>
              <w:rPr>
                <w:rFonts w:ascii="Arial"/>
                <w:b/>
                <w:sz w:val="20"/>
              </w:rPr>
              <w:t>94</w:t>
            </w:r>
          </w:p>
          <w:p>
            <w:pPr>
              <w:pStyle w:val="TableParagraph"/>
              <w:spacing w:line="229" w:lineRule="exact"/>
              <w:ind w:left="196" w:right="211"/>
              <w:rPr>
                <w:rFonts w:ascii="Arial" w:hAnsi="Arial"/>
                <w:b/>
                <w:sz w:val="20"/>
              </w:rPr>
            </w:pPr>
            <w:r>
              <w:rPr>
                <w:rFonts w:ascii="Arial" w:hAnsi="Arial"/>
                <w:b/>
                <w:sz w:val="20"/>
              </w:rPr>
              <w:t>100% [ 95.1 – 99.9]</w:t>
            </w:r>
          </w:p>
        </w:tc>
      </w:tr>
    </w:tbl>
    <w:p>
      <w:pPr>
        <w:spacing w:after="0" w:line="229" w:lineRule="exact"/>
        <w:rPr>
          <w:rFonts w:ascii="Arial" w:hAnsi="Arial"/>
          <w:sz w:val="20"/>
        </w:rPr>
        <w:sectPr>
          <w:pgSz w:w="11910" w:h="16840"/>
          <w:pgMar w:header="1042" w:footer="764" w:top="4180" w:bottom="960" w:left="1320" w:right="580"/>
        </w:sectPr>
      </w:pPr>
    </w:p>
    <w:p>
      <w:pPr>
        <w:pStyle w:val="BodyText"/>
        <w:spacing w:before="4"/>
        <w:rPr>
          <w:sz w:val="29"/>
        </w:rPr>
      </w:pPr>
    </w:p>
    <w:p>
      <w:pPr>
        <w:pStyle w:val="BodyText"/>
        <w:spacing w:before="100" w:after="2"/>
        <w:ind w:left="120" w:right="1016"/>
        <w:jc w:val="both"/>
      </w:pPr>
      <w:r>
        <w:rPr>
          <w:b/>
        </w:rPr>
        <w:t>Table 8: </w:t>
      </w:r>
      <w:r>
        <w:rPr/>
        <w:t>Comparison of the Newscen IgM/IgG Antibody to Coronavirus (SARS-CoV- 2) reactivity with 100 patients with confirmed COVID-19 infection, stratified by days post-symptom onset.</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9"/>
        <w:gridCol w:w="1257"/>
        <w:gridCol w:w="2167"/>
        <w:gridCol w:w="2126"/>
        <w:gridCol w:w="2268"/>
      </w:tblGrid>
      <w:tr>
        <w:trPr>
          <w:trHeight w:val="301" w:hRule="atLeast"/>
        </w:trPr>
        <w:tc>
          <w:tcPr>
            <w:tcW w:w="1819" w:type="dxa"/>
            <w:vMerge w:val="restart"/>
            <w:shd w:val="clear" w:color="auto" w:fill="66CEF5"/>
          </w:tcPr>
          <w:p>
            <w:pPr>
              <w:pStyle w:val="TableParagraph"/>
              <w:spacing w:before="76"/>
              <w:ind w:left="170" w:firstLine="228"/>
              <w:jc w:val="left"/>
              <w:rPr>
                <w:rFonts w:ascii="Arial"/>
                <w:b/>
                <w:sz w:val="20"/>
              </w:rPr>
            </w:pPr>
            <w:r>
              <w:rPr>
                <w:rFonts w:ascii="Arial"/>
                <w:b/>
                <w:sz w:val="20"/>
              </w:rPr>
              <w:t>Days post- symptom onset</w:t>
            </w:r>
          </w:p>
        </w:tc>
        <w:tc>
          <w:tcPr>
            <w:tcW w:w="1257" w:type="dxa"/>
            <w:vMerge w:val="restart"/>
            <w:tcBorders>
              <w:bottom w:val="single" w:sz="8" w:space="0" w:color="000000"/>
              <w:right w:val="single" w:sz="8" w:space="0" w:color="FFFFFF"/>
            </w:tcBorders>
            <w:shd w:val="clear" w:color="auto" w:fill="66CEF5"/>
          </w:tcPr>
          <w:p>
            <w:pPr>
              <w:pStyle w:val="TableParagraph"/>
              <w:spacing w:before="76"/>
              <w:ind w:left="528" w:right="12" w:hanging="310"/>
              <w:jc w:val="left"/>
              <w:rPr>
                <w:rFonts w:ascii="Arial"/>
                <w:b/>
                <w:sz w:val="20"/>
              </w:rPr>
            </w:pPr>
            <w:r>
              <w:rPr>
                <w:rFonts w:ascii="Arial"/>
                <w:b/>
                <w:w w:val="95"/>
                <w:sz w:val="20"/>
              </w:rPr>
              <w:t>Samples </w:t>
            </w:r>
            <w:r>
              <w:rPr>
                <w:rFonts w:ascii="Arial"/>
                <w:b/>
                <w:sz w:val="20"/>
              </w:rPr>
              <w:t>(n)</w:t>
            </w:r>
          </w:p>
        </w:tc>
        <w:tc>
          <w:tcPr>
            <w:tcW w:w="2167" w:type="dxa"/>
            <w:tcBorders>
              <w:left w:val="single" w:sz="8" w:space="0" w:color="FFFFFF"/>
              <w:right w:val="single" w:sz="8" w:space="0" w:color="FFFFFF"/>
            </w:tcBorders>
            <w:shd w:val="clear" w:color="auto" w:fill="66CEF5"/>
          </w:tcPr>
          <w:p>
            <w:pPr>
              <w:pStyle w:val="TableParagraph"/>
              <w:spacing w:before="33"/>
              <w:ind w:left="463"/>
              <w:jc w:val="left"/>
              <w:rPr>
                <w:rFonts w:ascii="Arial"/>
                <w:b/>
                <w:sz w:val="20"/>
              </w:rPr>
            </w:pPr>
            <w:r>
              <w:rPr>
                <w:rFonts w:ascii="Arial"/>
                <w:b/>
                <w:sz w:val="20"/>
              </w:rPr>
              <w:t>IgM detected</w:t>
            </w:r>
          </w:p>
        </w:tc>
        <w:tc>
          <w:tcPr>
            <w:tcW w:w="2126" w:type="dxa"/>
            <w:tcBorders>
              <w:left w:val="single" w:sz="8" w:space="0" w:color="FFFFFF"/>
              <w:right w:val="single" w:sz="8" w:space="0" w:color="FFFFFF"/>
            </w:tcBorders>
            <w:shd w:val="clear" w:color="auto" w:fill="66CEF5"/>
          </w:tcPr>
          <w:p>
            <w:pPr>
              <w:pStyle w:val="TableParagraph"/>
              <w:spacing w:before="33"/>
              <w:ind w:left="447"/>
              <w:jc w:val="left"/>
              <w:rPr>
                <w:rFonts w:ascii="Arial"/>
                <w:b/>
                <w:sz w:val="20"/>
              </w:rPr>
            </w:pPr>
            <w:r>
              <w:rPr>
                <w:rFonts w:ascii="Arial"/>
                <w:b/>
                <w:sz w:val="20"/>
              </w:rPr>
              <w:t>IgG detected</w:t>
            </w:r>
          </w:p>
        </w:tc>
        <w:tc>
          <w:tcPr>
            <w:tcW w:w="2268" w:type="dxa"/>
            <w:tcBorders>
              <w:left w:val="single" w:sz="8" w:space="0" w:color="FFFFFF"/>
            </w:tcBorders>
            <w:shd w:val="clear" w:color="auto" w:fill="66CEF5"/>
          </w:tcPr>
          <w:p>
            <w:pPr>
              <w:pStyle w:val="TableParagraph"/>
              <w:spacing w:before="33"/>
              <w:ind w:left="208" w:right="216"/>
              <w:rPr>
                <w:rFonts w:ascii="Arial"/>
                <w:b/>
                <w:sz w:val="20"/>
              </w:rPr>
            </w:pPr>
            <w:r>
              <w:rPr>
                <w:rFonts w:ascii="Arial"/>
                <w:b/>
                <w:sz w:val="20"/>
              </w:rPr>
              <w:t>IgM or IgG</w:t>
            </w:r>
          </w:p>
        </w:tc>
      </w:tr>
      <w:tr>
        <w:trPr>
          <w:trHeight w:val="299" w:hRule="atLeast"/>
        </w:trPr>
        <w:tc>
          <w:tcPr>
            <w:tcW w:w="1819" w:type="dxa"/>
            <w:vMerge/>
            <w:tcBorders>
              <w:top w:val="nil"/>
            </w:tcBorders>
            <w:shd w:val="clear" w:color="auto" w:fill="66CEF5"/>
          </w:tcPr>
          <w:p>
            <w:pPr>
              <w:rPr>
                <w:sz w:val="2"/>
                <w:szCs w:val="2"/>
              </w:rPr>
            </w:pPr>
          </w:p>
        </w:tc>
        <w:tc>
          <w:tcPr>
            <w:tcW w:w="1257" w:type="dxa"/>
            <w:vMerge/>
            <w:tcBorders>
              <w:top w:val="nil"/>
              <w:bottom w:val="single" w:sz="8" w:space="0" w:color="000000"/>
              <w:right w:val="single" w:sz="8" w:space="0" w:color="FFFFFF"/>
            </w:tcBorders>
            <w:shd w:val="clear" w:color="auto" w:fill="66CEF5"/>
          </w:tcPr>
          <w:p>
            <w:pPr>
              <w:rPr>
                <w:sz w:val="2"/>
                <w:szCs w:val="2"/>
              </w:rPr>
            </w:pPr>
          </w:p>
        </w:tc>
        <w:tc>
          <w:tcPr>
            <w:tcW w:w="2167" w:type="dxa"/>
            <w:tcBorders>
              <w:left w:val="single" w:sz="8" w:space="0" w:color="FFFFFF"/>
              <w:right w:val="single" w:sz="8" w:space="0" w:color="FFFFFF"/>
            </w:tcBorders>
            <w:shd w:val="clear" w:color="auto" w:fill="66CEF5"/>
          </w:tcPr>
          <w:p>
            <w:pPr>
              <w:pStyle w:val="TableParagraph"/>
              <w:spacing w:before="31"/>
              <w:ind w:left="497"/>
              <w:jc w:val="left"/>
              <w:rPr>
                <w:rFonts w:ascii="Arial"/>
                <w:b/>
                <w:sz w:val="20"/>
              </w:rPr>
            </w:pPr>
            <w:r>
              <w:rPr>
                <w:rFonts w:ascii="Arial"/>
                <w:b/>
                <w:sz w:val="20"/>
              </w:rPr>
              <w:t>(%) [95% CI]</w:t>
            </w:r>
          </w:p>
        </w:tc>
        <w:tc>
          <w:tcPr>
            <w:tcW w:w="2126" w:type="dxa"/>
            <w:tcBorders>
              <w:left w:val="single" w:sz="8" w:space="0" w:color="FFFFFF"/>
              <w:right w:val="single" w:sz="8" w:space="0" w:color="FFFFFF"/>
            </w:tcBorders>
            <w:shd w:val="clear" w:color="auto" w:fill="66CEF5"/>
          </w:tcPr>
          <w:p>
            <w:pPr>
              <w:pStyle w:val="TableParagraph"/>
              <w:spacing w:before="31"/>
              <w:ind w:left="475"/>
              <w:jc w:val="left"/>
              <w:rPr>
                <w:rFonts w:ascii="Arial"/>
                <w:b/>
                <w:sz w:val="20"/>
              </w:rPr>
            </w:pPr>
            <w:r>
              <w:rPr>
                <w:rFonts w:ascii="Arial"/>
                <w:b/>
                <w:sz w:val="20"/>
              </w:rPr>
              <w:t>(%) [95% CI]</w:t>
            </w:r>
          </w:p>
        </w:tc>
        <w:tc>
          <w:tcPr>
            <w:tcW w:w="2268" w:type="dxa"/>
            <w:tcBorders>
              <w:left w:val="single" w:sz="8" w:space="0" w:color="FFFFFF"/>
            </w:tcBorders>
            <w:shd w:val="clear" w:color="auto" w:fill="66CEF5"/>
          </w:tcPr>
          <w:p>
            <w:pPr>
              <w:pStyle w:val="TableParagraph"/>
              <w:spacing w:before="31"/>
              <w:ind w:left="207" w:right="218"/>
              <w:rPr>
                <w:rFonts w:ascii="Arial"/>
                <w:b/>
                <w:sz w:val="20"/>
              </w:rPr>
            </w:pPr>
            <w:r>
              <w:rPr>
                <w:rFonts w:ascii="Arial"/>
                <w:b/>
                <w:sz w:val="20"/>
              </w:rPr>
              <w:t>(%) [95% CI]</w:t>
            </w:r>
          </w:p>
        </w:tc>
      </w:tr>
      <w:tr>
        <w:trPr>
          <w:trHeight w:val="565" w:hRule="atLeast"/>
        </w:trPr>
        <w:tc>
          <w:tcPr>
            <w:tcW w:w="1819" w:type="dxa"/>
            <w:tcBorders>
              <w:bottom w:val="single" w:sz="8" w:space="0" w:color="000000"/>
              <w:right w:val="single" w:sz="8" w:space="0" w:color="000000"/>
            </w:tcBorders>
            <w:shd w:val="clear" w:color="auto" w:fill="B4C5E7"/>
          </w:tcPr>
          <w:p>
            <w:pPr>
              <w:pStyle w:val="TableParagraph"/>
              <w:spacing w:before="153"/>
              <w:ind w:left="628"/>
              <w:jc w:val="left"/>
              <w:rPr>
                <w:rFonts w:ascii="Arial"/>
                <w:sz w:val="22"/>
              </w:rPr>
            </w:pPr>
            <w:r>
              <w:rPr>
                <w:rFonts w:ascii="Arial"/>
                <w:sz w:val="22"/>
              </w:rPr>
              <w:t>15-21</w:t>
            </w:r>
          </w:p>
        </w:tc>
        <w:tc>
          <w:tcPr>
            <w:tcW w:w="1257"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53"/>
              <w:ind w:left="3"/>
              <w:rPr>
                <w:rFonts w:ascii="Arial"/>
                <w:sz w:val="22"/>
              </w:rPr>
            </w:pPr>
            <w:r>
              <w:rPr>
                <w:rFonts w:ascii="Arial"/>
                <w:w w:val="100"/>
                <w:sz w:val="22"/>
              </w:rPr>
              <w:t>8</w:t>
            </w:r>
          </w:p>
        </w:tc>
        <w:tc>
          <w:tcPr>
            <w:tcW w:w="2167" w:type="dxa"/>
            <w:tcBorders>
              <w:left w:val="single" w:sz="8" w:space="0" w:color="000000"/>
              <w:right w:val="single" w:sz="8" w:space="0" w:color="FFFFFF"/>
            </w:tcBorders>
            <w:shd w:val="clear" w:color="auto" w:fill="E7EAEB"/>
          </w:tcPr>
          <w:p>
            <w:pPr>
              <w:pStyle w:val="TableParagraph"/>
              <w:spacing w:before="52"/>
              <w:ind w:left="4"/>
              <w:rPr>
                <w:rFonts w:ascii="Arial"/>
                <w:sz w:val="20"/>
              </w:rPr>
            </w:pPr>
            <w:r>
              <w:rPr>
                <w:rFonts w:ascii="Arial"/>
                <w:w w:val="99"/>
                <w:sz w:val="20"/>
              </w:rPr>
              <w:t>3</w:t>
            </w:r>
          </w:p>
          <w:p>
            <w:pPr>
              <w:pStyle w:val="TableParagraph"/>
              <w:ind w:left="157" w:right="157"/>
              <w:rPr>
                <w:rFonts w:ascii="Arial" w:hAnsi="Arial"/>
                <w:sz w:val="20"/>
              </w:rPr>
            </w:pPr>
            <w:r>
              <w:rPr>
                <w:rFonts w:ascii="Arial" w:hAnsi="Arial"/>
                <w:sz w:val="20"/>
              </w:rPr>
              <w:t>37.5% [10.2 – 74.1]</w:t>
            </w:r>
          </w:p>
        </w:tc>
        <w:tc>
          <w:tcPr>
            <w:tcW w:w="2126" w:type="dxa"/>
            <w:tcBorders>
              <w:left w:val="single" w:sz="8" w:space="0" w:color="FFFFFF"/>
              <w:right w:val="single" w:sz="8" w:space="0" w:color="FFFFFF"/>
            </w:tcBorders>
            <w:shd w:val="clear" w:color="auto" w:fill="E7EAEB"/>
          </w:tcPr>
          <w:p>
            <w:pPr>
              <w:pStyle w:val="TableParagraph"/>
              <w:spacing w:before="52"/>
              <w:ind w:left="2"/>
              <w:rPr>
                <w:rFonts w:ascii="Arial"/>
                <w:sz w:val="20"/>
              </w:rPr>
            </w:pPr>
            <w:r>
              <w:rPr>
                <w:rFonts w:ascii="Arial"/>
                <w:w w:val="99"/>
                <w:sz w:val="20"/>
              </w:rPr>
              <w:t>6</w:t>
            </w:r>
          </w:p>
          <w:p>
            <w:pPr>
              <w:pStyle w:val="TableParagraph"/>
              <w:ind w:left="137" w:right="137"/>
              <w:rPr>
                <w:rFonts w:ascii="Arial"/>
                <w:sz w:val="20"/>
              </w:rPr>
            </w:pPr>
            <w:r>
              <w:rPr>
                <w:rFonts w:ascii="Arial"/>
                <w:sz w:val="20"/>
              </w:rPr>
              <w:t>75.0% [35.6 - 95.5]</w:t>
            </w:r>
          </w:p>
        </w:tc>
        <w:tc>
          <w:tcPr>
            <w:tcW w:w="2268" w:type="dxa"/>
            <w:tcBorders>
              <w:left w:val="single" w:sz="8" w:space="0" w:color="FFFFFF"/>
            </w:tcBorders>
            <w:shd w:val="clear" w:color="auto" w:fill="E7EAEB"/>
          </w:tcPr>
          <w:p>
            <w:pPr>
              <w:pStyle w:val="TableParagraph"/>
              <w:spacing w:before="52"/>
              <w:ind w:right="7"/>
              <w:rPr>
                <w:rFonts w:ascii="Arial"/>
                <w:sz w:val="20"/>
              </w:rPr>
            </w:pPr>
            <w:r>
              <w:rPr>
                <w:rFonts w:ascii="Arial"/>
                <w:w w:val="99"/>
                <w:sz w:val="20"/>
              </w:rPr>
              <w:t>7</w:t>
            </w:r>
          </w:p>
          <w:p>
            <w:pPr>
              <w:pStyle w:val="TableParagraph"/>
              <w:ind w:left="208" w:right="218"/>
              <w:rPr>
                <w:rFonts w:ascii="Arial"/>
                <w:sz w:val="20"/>
              </w:rPr>
            </w:pPr>
            <w:r>
              <w:rPr>
                <w:rFonts w:ascii="Arial"/>
                <w:sz w:val="20"/>
              </w:rPr>
              <w:t>87.5% [46.7 - 99.3]</w:t>
            </w:r>
          </w:p>
        </w:tc>
      </w:tr>
      <w:tr>
        <w:trPr>
          <w:trHeight w:val="539"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41"/>
              <w:ind w:left="628"/>
              <w:jc w:val="left"/>
              <w:rPr>
                <w:rFonts w:ascii="Arial"/>
                <w:sz w:val="22"/>
              </w:rPr>
            </w:pPr>
            <w:r>
              <w:rPr>
                <w:rFonts w:ascii="Arial"/>
                <w:sz w:val="22"/>
              </w:rPr>
              <w:t>22-28</w:t>
            </w:r>
          </w:p>
        </w:tc>
        <w:tc>
          <w:tcPr>
            <w:tcW w:w="1257"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41"/>
              <w:ind w:left="431" w:right="431"/>
              <w:rPr>
                <w:rFonts w:ascii="Arial"/>
                <w:sz w:val="22"/>
              </w:rPr>
            </w:pPr>
            <w:r>
              <w:rPr>
                <w:rFonts w:ascii="Arial"/>
                <w:sz w:val="22"/>
              </w:rPr>
              <w:t>25</w:t>
            </w:r>
          </w:p>
        </w:tc>
        <w:tc>
          <w:tcPr>
            <w:tcW w:w="2167" w:type="dxa"/>
            <w:tcBorders>
              <w:left w:val="single" w:sz="8" w:space="0" w:color="000000"/>
              <w:right w:val="single" w:sz="8" w:space="0" w:color="FFFFFF"/>
            </w:tcBorders>
            <w:shd w:val="clear" w:color="auto" w:fill="F3F5F6"/>
          </w:tcPr>
          <w:p>
            <w:pPr>
              <w:pStyle w:val="TableParagraph"/>
              <w:spacing w:line="229" w:lineRule="exact" w:before="40"/>
              <w:ind w:left="157" w:right="157"/>
              <w:rPr>
                <w:rFonts w:ascii="Arial"/>
                <w:sz w:val="20"/>
              </w:rPr>
            </w:pPr>
            <w:r>
              <w:rPr>
                <w:rFonts w:ascii="Arial"/>
                <w:sz w:val="20"/>
              </w:rPr>
              <w:t>16</w:t>
            </w:r>
          </w:p>
          <w:p>
            <w:pPr>
              <w:pStyle w:val="TableParagraph"/>
              <w:spacing w:line="229" w:lineRule="exact"/>
              <w:ind w:left="158" w:right="157"/>
              <w:rPr>
                <w:rFonts w:ascii="Arial" w:hAnsi="Arial"/>
                <w:sz w:val="20"/>
              </w:rPr>
            </w:pPr>
            <w:r>
              <w:rPr>
                <w:rFonts w:ascii="Arial" w:hAnsi="Arial"/>
                <w:sz w:val="20"/>
              </w:rPr>
              <w:t>64.0% [ 42.6 – 81.3]</w:t>
            </w:r>
          </w:p>
        </w:tc>
        <w:tc>
          <w:tcPr>
            <w:tcW w:w="2126" w:type="dxa"/>
            <w:tcBorders>
              <w:left w:val="single" w:sz="8" w:space="0" w:color="FFFFFF"/>
              <w:right w:val="single" w:sz="8" w:space="0" w:color="FFFFFF"/>
            </w:tcBorders>
            <w:shd w:val="clear" w:color="auto" w:fill="F3F5F6"/>
          </w:tcPr>
          <w:p>
            <w:pPr>
              <w:pStyle w:val="TableParagraph"/>
              <w:spacing w:line="229" w:lineRule="exact" w:before="40"/>
              <w:ind w:left="137" w:right="137"/>
              <w:rPr>
                <w:rFonts w:ascii="Arial"/>
                <w:sz w:val="20"/>
              </w:rPr>
            </w:pPr>
            <w:r>
              <w:rPr>
                <w:rFonts w:ascii="Arial"/>
                <w:sz w:val="20"/>
              </w:rPr>
              <w:t>23</w:t>
            </w:r>
          </w:p>
          <w:p>
            <w:pPr>
              <w:pStyle w:val="TableParagraph"/>
              <w:spacing w:line="229" w:lineRule="exact"/>
              <w:ind w:left="137" w:right="137"/>
              <w:rPr>
                <w:rFonts w:ascii="Arial"/>
                <w:sz w:val="20"/>
              </w:rPr>
            </w:pPr>
            <w:r>
              <w:rPr>
                <w:rFonts w:ascii="Arial"/>
                <w:sz w:val="20"/>
              </w:rPr>
              <w:t>92.0% [72.5 - 98.6]</w:t>
            </w:r>
          </w:p>
        </w:tc>
        <w:tc>
          <w:tcPr>
            <w:tcW w:w="2268" w:type="dxa"/>
            <w:tcBorders>
              <w:left w:val="single" w:sz="8" w:space="0" w:color="FFFFFF"/>
            </w:tcBorders>
            <w:shd w:val="clear" w:color="auto" w:fill="F3F5F6"/>
          </w:tcPr>
          <w:p>
            <w:pPr>
              <w:pStyle w:val="TableParagraph"/>
              <w:spacing w:line="229" w:lineRule="exact" w:before="40"/>
              <w:ind w:left="208" w:right="215"/>
              <w:rPr>
                <w:rFonts w:ascii="Arial"/>
                <w:sz w:val="20"/>
              </w:rPr>
            </w:pPr>
            <w:r>
              <w:rPr>
                <w:rFonts w:ascii="Arial"/>
                <w:sz w:val="20"/>
              </w:rPr>
              <w:t>23</w:t>
            </w:r>
          </w:p>
          <w:p>
            <w:pPr>
              <w:pStyle w:val="TableParagraph"/>
              <w:spacing w:line="229" w:lineRule="exact"/>
              <w:ind w:left="208" w:right="218"/>
              <w:rPr>
                <w:rFonts w:ascii="Arial"/>
                <w:sz w:val="20"/>
              </w:rPr>
            </w:pPr>
            <w:r>
              <w:rPr>
                <w:rFonts w:ascii="Arial"/>
                <w:sz w:val="20"/>
              </w:rPr>
              <w:t>92.0% [72.5 - 98.6]</w:t>
            </w:r>
          </w:p>
        </w:tc>
      </w:tr>
      <w:tr>
        <w:trPr>
          <w:trHeight w:val="539"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41"/>
              <w:ind w:left="628"/>
              <w:jc w:val="left"/>
              <w:rPr>
                <w:rFonts w:ascii="Arial"/>
                <w:sz w:val="22"/>
              </w:rPr>
            </w:pPr>
            <w:r>
              <w:rPr>
                <w:rFonts w:ascii="Arial"/>
                <w:sz w:val="22"/>
              </w:rPr>
              <w:t>29-35</w:t>
            </w:r>
          </w:p>
        </w:tc>
        <w:tc>
          <w:tcPr>
            <w:tcW w:w="1257" w:type="dxa"/>
            <w:tcBorders>
              <w:top w:val="single" w:sz="8" w:space="0" w:color="000000"/>
              <w:left w:val="single" w:sz="8" w:space="0" w:color="000000"/>
              <w:bottom w:val="single" w:sz="8" w:space="0" w:color="000000"/>
              <w:right w:val="single" w:sz="8" w:space="0" w:color="000000"/>
            </w:tcBorders>
            <w:shd w:val="clear" w:color="auto" w:fill="D9E0F1"/>
          </w:tcPr>
          <w:p>
            <w:pPr>
              <w:pStyle w:val="TableParagraph"/>
              <w:spacing w:before="141"/>
              <w:ind w:left="431" w:right="431"/>
              <w:rPr>
                <w:rFonts w:ascii="Arial"/>
                <w:sz w:val="22"/>
              </w:rPr>
            </w:pPr>
            <w:r>
              <w:rPr>
                <w:rFonts w:ascii="Arial"/>
                <w:sz w:val="22"/>
              </w:rPr>
              <w:t>49</w:t>
            </w:r>
          </w:p>
        </w:tc>
        <w:tc>
          <w:tcPr>
            <w:tcW w:w="2167" w:type="dxa"/>
            <w:tcBorders>
              <w:left w:val="single" w:sz="8" w:space="0" w:color="000000"/>
              <w:right w:val="single" w:sz="8" w:space="0" w:color="FFFFFF"/>
            </w:tcBorders>
            <w:shd w:val="clear" w:color="auto" w:fill="E7EAEB"/>
          </w:tcPr>
          <w:p>
            <w:pPr>
              <w:pStyle w:val="TableParagraph"/>
              <w:spacing w:before="40"/>
              <w:ind w:left="157" w:right="157"/>
              <w:rPr>
                <w:rFonts w:ascii="Arial"/>
                <w:sz w:val="20"/>
              </w:rPr>
            </w:pPr>
            <w:r>
              <w:rPr>
                <w:rFonts w:ascii="Arial"/>
                <w:sz w:val="20"/>
              </w:rPr>
              <w:t>27</w:t>
            </w:r>
          </w:p>
          <w:p>
            <w:pPr>
              <w:pStyle w:val="TableParagraph"/>
              <w:ind w:left="158" w:right="157"/>
              <w:rPr>
                <w:rFonts w:ascii="Arial" w:hAnsi="Arial"/>
                <w:sz w:val="20"/>
              </w:rPr>
            </w:pPr>
            <w:r>
              <w:rPr>
                <w:rFonts w:ascii="Arial" w:hAnsi="Arial"/>
                <w:sz w:val="20"/>
              </w:rPr>
              <w:t>55.1% [ 40.3 – 69.1]</w:t>
            </w:r>
          </w:p>
        </w:tc>
        <w:tc>
          <w:tcPr>
            <w:tcW w:w="2126" w:type="dxa"/>
            <w:tcBorders>
              <w:left w:val="single" w:sz="8" w:space="0" w:color="FFFFFF"/>
              <w:right w:val="single" w:sz="8" w:space="0" w:color="FFFFFF"/>
            </w:tcBorders>
            <w:shd w:val="clear" w:color="auto" w:fill="E7EAEB"/>
          </w:tcPr>
          <w:p>
            <w:pPr>
              <w:pStyle w:val="TableParagraph"/>
              <w:spacing w:before="40"/>
              <w:ind w:left="137" w:right="137"/>
              <w:rPr>
                <w:rFonts w:ascii="Arial"/>
                <w:sz w:val="20"/>
              </w:rPr>
            </w:pPr>
            <w:r>
              <w:rPr>
                <w:rFonts w:ascii="Arial"/>
                <w:sz w:val="20"/>
              </w:rPr>
              <w:t>42</w:t>
            </w:r>
          </w:p>
          <w:p>
            <w:pPr>
              <w:pStyle w:val="TableParagraph"/>
              <w:ind w:left="137" w:right="137"/>
              <w:rPr>
                <w:rFonts w:ascii="Arial" w:hAnsi="Arial"/>
                <w:sz w:val="20"/>
              </w:rPr>
            </w:pPr>
            <w:r>
              <w:rPr>
                <w:rFonts w:ascii="Arial" w:hAnsi="Arial"/>
                <w:sz w:val="20"/>
              </w:rPr>
              <w:t>85.7% [ 72.1 – 93.6]</w:t>
            </w:r>
          </w:p>
        </w:tc>
        <w:tc>
          <w:tcPr>
            <w:tcW w:w="2268" w:type="dxa"/>
            <w:tcBorders>
              <w:left w:val="single" w:sz="8" w:space="0" w:color="FFFFFF"/>
            </w:tcBorders>
            <w:shd w:val="clear" w:color="auto" w:fill="E7EAEB"/>
          </w:tcPr>
          <w:p>
            <w:pPr>
              <w:pStyle w:val="TableParagraph"/>
              <w:spacing w:before="40"/>
              <w:ind w:left="208" w:right="215"/>
              <w:rPr>
                <w:rFonts w:ascii="Arial"/>
                <w:sz w:val="20"/>
              </w:rPr>
            </w:pPr>
            <w:r>
              <w:rPr>
                <w:rFonts w:ascii="Arial"/>
                <w:sz w:val="20"/>
              </w:rPr>
              <w:t>43</w:t>
            </w:r>
          </w:p>
          <w:p>
            <w:pPr>
              <w:pStyle w:val="TableParagraph"/>
              <w:ind w:left="208" w:right="218"/>
              <w:rPr>
                <w:rFonts w:ascii="Arial" w:hAnsi="Arial"/>
                <w:sz w:val="20"/>
              </w:rPr>
            </w:pPr>
            <w:r>
              <w:rPr>
                <w:rFonts w:ascii="Arial" w:hAnsi="Arial"/>
                <w:sz w:val="20"/>
              </w:rPr>
              <w:t>87.8% [ 74.5 – 94.9]</w:t>
            </w:r>
          </w:p>
        </w:tc>
      </w:tr>
      <w:tr>
        <w:trPr>
          <w:trHeight w:val="563" w:hRule="atLeast"/>
        </w:trPr>
        <w:tc>
          <w:tcPr>
            <w:tcW w:w="1819" w:type="dxa"/>
            <w:tcBorders>
              <w:top w:val="single" w:sz="8" w:space="0" w:color="000000"/>
              <w:bottom w:val="single" w:sz="8" w:space="0" w:color="000000"/>
              <w:right w:val="single" w:sz="8" w:space="0" w:color="000000"/>
            </w:tcBorders>
            <w:shd w:val="clear" w:color="auto" w:fill="B4C5E7"/>
          </w:tcPr>
          <w:p>
            <w:pPr>
              <w:pStyle w:val="TableParagraph"/>
              <w:spacing w:before="153"/>
              <w:ind w:left="628"/>
              <w:jc w:val="left"/>
              <w:rPr>
                <w:rFonts w:ascii="Arial"/>
                <w:sz w:val="22"/>
              </w:rPr>
            </w:pPr>
            <w:r>
              <w:rPr>
                <w:rFonts w:ascii="Arial"/>
                <w:sz w:val="22"/>
              </w:rPr>
              <w:t>36-42</w:t>
            </w:r>
          </w:p>
        </w:tc>
        <w:tc>
          <w:tcPr>
            <w:tcW w:w="1257" w:type="dxa"/>
            <w:tcBorders>
              <w:top w:val="single" w:sz="8" w:space="0" w:color="000000"/>
              <w:left w:val="single" w:sz="8" w:space="0" w:color="000000"/>
              <w:right w:val="single" w:sz="8" w:space="0" w:color="000000"/>
            </w:tcBorders>
            <w:shd w:val="clear" w:color="auto" w:fill="D9E0F1"/>
          </w:tcPr>
          <w:p>
            <w:pPr>
              <w:pStyle w:val="TableParagraph"/>
              <w:spacing w:before="153"/>
              <w:ind w:left="431" w:right="431"/>
              <w:rPr>
                <w:rFonts w:ascii="Arial"/>
                <w:sz w:val="22"/>
              </w:rPr>
            </w:pPr>
            <w:r>
              <w:rPr>
                <w:rFonts w:ascii="Arial"/>
                <w:sz w:val="22"/>
              </w:rPr>
              <w:t>18</w:t>
            </w:r>
          </w:p>
        </w:tc>
        <w:tc>
          <w:tcPr>
            <w:tcW w:w="2167" w:type="dxa"/>
            <w:tcBorders>
              <w:left w:val="single" w:sz="8" w:space="0" w:color="000000"/>
              <w:right w:val="single" w:sz="8" w:space="0" w:color="FFFFFF"/>
            </w:tcBorders>
            <w:shd w:val="clear" w:color="auto" w:fill="F3F5F6"/>
          </w:tcPr>
          <w:p>
            <w:pPr>
              <w:pStyle w:val="TableParagraph"/>
              <w:spacing w:before="52"/>
              <w:ind w:left="157" w:right="157"/>
              <w:rPr>
                <w:rFonts w:ascii="Arial"/>
                <w:sz w:val="20"/>
              </w:rPr>
            </w:pPr>
            <w:r>
              <w:rPr>
                <w:rFonts w:ascii="Arial"/>
                <w:sz w:val="20"/>
              </w:rPr>
              <w:t>11</w:t>
            </w:r>
          </w:p>
          <w:p>
            <w:pPr>
              <w:pStyle w:val="TableParagraph"/>
              <w:ind w:left="157" w:right="157"/>
              <w:rPr>
                <w:rFonts w:ascii="Arial"/>
                <w:sz w:val="20"/>
              </w:rPr>
            </w:pPr>
            <w:r>
              <w:rPr>
                <w:rFonts w:ascii="Arial"/>
                <w:sz w:val="20"/>
              </w:rPr>
              <w:t>64.7% [36.6 - 84.7]</w:t>
            </w:r>
          </w:p>
        </w:tc>
        <w:tc>
          <w:tcPr>
            <w:tcW w:w="2126" w:type="dxa"/>
            <w:tcBorders>
              <w:left w:val="single" w:sz="8" w:space="0" w:color="FFFFFF"/>
              <w:right w:val="single" w:sz="8" w:space="0" w:color="FFFFFF"/>
            </w:tcBorders>
            <w:shd w:val="clear" w:color="auto" w:fill="F3F5F6"/>
          </w:tcPr>
          <w:p>
            <w:pPr>
              <w:pStyle w:val="TableParagraph"/>
              <w:spacing w:before="52"/>
              <w:ind w:left="137" w:right="137"/>
              <w:rPr>
                <w:rFonts w:ascii="Arial"/>
                <w:sz w:val="20"/>
              </w:rPr>
            </w:pPr>
            <w:r>
              <w:rPr>
                <w:rFonts w:ascii="Arial"/>
                <w:sz w:val="20"/>
              </w:rPr>
              <w:t>16</w:t>
            </w:r>
          </w:p>
          <w:p>
            <w:pPr>
              <w:pStyle w:val="TableParagraph"/>
              <w:ind w:left="137" w:right="137"/>
              <w:rPr>
                <w:rFonts w:ascii="Arial" w:hAnsi="Arial"/>
                <w:sz w:val="20"/>
              </w:rPr>
            </w:pPr>
            <w:r>
              <w:rPr>
                <w:rFonts w:ascii="Arial" w:hAnsi="Arial"/>
                <w:sz w:val="20"/>
              </w:rPr>
              <w:t>94.1% [69.2 – 99.7]</w:t>
            </w:r>
          </w:p>
        </w:tc>
        <w:tc>
          <w:tcPr>
            <w:tcW w:w="2268" w:type="dxa"/>
            <w:tcBorders>
              <w:left w:val="single" w:sz="8" w:space="0" w:color="FFFFFF"/>
            </w:tcBorders>
            <w:shd w:val="clear" w:color="auto" w:fill="F3F5F6"/>
          </w:tcPr>
          <w:p>
            <w:pPr>
              <w:pStyle w:val="TableParagraph"/>
              <w:spacing w:before="52"/>
              <w:ind w:left="208" w:right="215"/>
              <w:rPr>
                <w:rFonts w:ascii="Arial"/>
                <w:sz w:val="20"/>
              </w:rPr>
            </w:pPr>
            <w:r>
              <w:rPr>
                <w:rFonts w:ascii="Arial"/>
                <w:sz w:val="20"/>
              </w:rPr>
              <w:t>17</w:t>
            </w:r>
          </w:p>
          <w:p>
            <w:pPr>
              <w:pStyle w:val="TableParagraph"/>
              <w:ind w:left="208" w:right="218"/>
              <w:rPr>
                <w:rFonts w:ascii="Arial" w:hAnsi="Arial"/>
                <w:sz w:val="20"/>
              </w:rPr>
            </w:pPr>
            <w:r>
              <w:rPr>
                <w:rFonts w:ascii="Arial" w:hAnsi="Arial"/>
                <w:sz w:val="20"/>
              </w:rPr>
              <w:t>100% [77.1 – 99.5]</w:t>
            </w:r>
          </w:p>
        </w:tc>
      </w:tr>
      <w:tr>
        <w:trPr>
          <w:trHeight w:val="541" w:hRule="atLeast"/>
        </w:trPr>
        <w:tc>
          <w:tcPr>
            <w:tcW w:w="1819" w:type="dxa"/>
            <w:tcBorders>
              <w:top w:val="single" w:sz="8" w:space="0" w:color="000000"/>
              <w:right w:val="single" w:sz="8" w:space="0" w:color="FFFFFF"/>
            </w:tcBorders>
            <w:shd w:val="clear" w:color="auto" w:fill="F3F5F6"/>
          </w:tcPr>
          <w:p>
            <w:pPr>
              <w:pStyle w:val="TableParagraph"/>
              <w:spacing w:before="152"/>
              <w:ind w:left="669"/>
              <w:jc w:val="left"/>
              <w:rPr>
                <w:rFonts w:ascii="Arial"/>
                <w:b/>
                <w:sz w:val="20"/>
              </w:rPr>
            </w:pPr>
            <w:r>
              <w:rPr>
                <w:rFonts w:ascii="Arial"/>
                <w:b/>
                <w:sz w:val="20"/>
              </w:rPr>
              <w:t>Total</w:t>
            </w:r>
          </w:p>
        </w:tc>
        <w:tc>
          <w:tcPr>
            <w:tcW w:w="1257" w:type="dxa"/>
            <w:tcBorders>
              <w:left w:val="single" w:sz="8" w:space="0" w:color="FFFFFF"/>
              <w:right w:val="single" w:sz="8" w:space="0" w:color="FFFFFF"/>
            </w:tcBorders>
            <w:shd w:val="clear" w:color="auto" w:fill="F3F5F6"/>
          </w:tcPr>
          <w:p>
            <w:pPr>
              <w:pStyle w:val="TableParagraph"/>
              <w:spacing w:before="152"/>
              <w:ind w:left="431" w:right="431"/>
              <w:rPr>
                <w:rFonts w:ascii="Arial"/>
                <w:b/>
                <w:sz w:val="20"/>
              </w:rPr>
            </w:pPr>
            <w:r>
              <w:rPr>
                <w:rFonts w:ascii="Arial"/>
                <w:b/>
                <w:sz w:val="20"/>
              </w:rPr>
              <w:t>100</w:t>
            </w:r>
          </w:p>
        </w:tc>
        <w:tc>
          <w:tcPr>
            <w:tcW w:w="2167" w:type="dxa"/>
            <w:tcBorders>
              <w:left w:val="single" w:sz="8" w:space="0" w:color="FFFFFF"/>
              <w:right w:val="single" w:sz="8" w:space="0" w:color="FFFFFF"/>
            </w:tcBorders>
            <w:shd w:val="clear" w:color="auto" w:fill="F3F5F6"/>
          </w:tcPr>
          <w:p>
            <w:pPr>
              <w:pStyle w:val="TableParagraph"/>
              <w:spacing w:before="37"/>
              <w:ind w:left="157" w:right="157"/>
              <w:rPr>
                <w:rFonts w:ascii="Arial"/>
                <w:b/>
                <w:sz w:val="20"/>
              </w:rPr>
            </w:pPr>
            <w:r>
              <w:rPr>
                <w:rFonts w:ascii="Arial"/>
                <w:b/>
                <w:sz w:val="20"/>
              </w:rPr>
              <w:t>57</w:t>
            </w:r>
          </w:p>
          <w:p>
            <w:pPr>
              <w:pStyle w:val="TableParagraph"/>
              <w:spacing w:before="1"/>
              <w:ind w:left="158" w:right="155"/>
              <w:rPr>
                <w:rFonts w:ascii="Arial"/>
                <w:b/>
                <w:sz w:val="20"/>
              </w:rPr>
            </w:pPr>
            <w:r>
              <w:rPr>
                <w:rFonts w:ascii="Arial"/>
                <w:b/>
                <w:sz w:val="20"/>
              </w:rPr>
              <w:t>57.6% [47.2- 67.3]</w:t>
            </w:r>
          </w:p>
        </w:tc>
        <w:tc>
          <w:tcPr>
            <w:tcW w:w="2126" w:type="dxa"/>
            <w:tcBorders>
              <w:left w:val="single" w:sz="8" w:space="0" w:color="FFFFFF"/>
              <w:right w:val="single" w:sz="8" w:space="0" w:color="FFFFFF"/>
            </w:tcBorders>
            <w:shd w:val="clear" w:color="auto" w:fill="F3F5F6"/>
          </w:tcPr>
          <w:p>
            <w:pPr>
              <w:pStyle w:val="TableParagraph"/>
              <w:spacing w:before="37"/>
              <w:ind w:left="137" w:right="137"/>
              <w:rPr>
                <w:rFonts w:ascii="Arial"/>
                <w:b/>
                <w:sz w:val="20"/>
              </w:rPr>
            </w:pPr>
            <w:r>
              <w:rPr>
                <w:rFonts w:ascii="Arial"/>
                <w:b/>
                <w:sz w:val="20"/>
              </w:rPr>
              <w:t>87</w:t>
            </w:r>
          </w:p>
          <w:p>
            <w:pPr>
              <w:pStyle w:val="TableParagraph"/>
              <w:spacing w:before="1"/>
              <w:ind w:left="137" w:right="137"/>
              <w:rPr>
                <w:rFonts w:ascii="Arial" w:hAnsi="Arial"/>
                <w:b/>
                <w:sz w:val="20"/>
              </w:rPr>
            </w:pPr>
            <w:r>
              <w:rPr>
                <w:rFonts w:ascii="Arial" w:hAnsi="Arial"/>
                <w:b/>
                <w:sz w:val="20"/>
              </w:rPr>
              <w:t>87.9% [79.4 – 93.3]</w:t>
            </w:r>
          </w:p>
        </w:tc>
        <w:tc>
          <w:tcPr>
            <w:tcW w:w="2268" w:type="dxa"/>
            <w:tcBorders>
              <w:left w:val="single" w:sz="8" w:space="0" w:color="FFFFFF"/>
            </w:tcBorders>
            <w:shd w:val="clear" w:color="auto" w:fill="F3F5F6"/>
          </w:tcPr>
          <w:p>
            <w:pPr>
              <w:pStyle w:val="TableParagraph"/>
              <w:spacing w:before="37"/>
              <w:ind w:left="208" w:right="215"/>
              <w:rPr>
                <w:rFonts w:ascii="Arial"/>
                <w:b/>
                <w:sz w:val="20"/>
              </w:rPr>
            </w:pPr>
            <w:r>
              <w:rPr>
                <w:rFonts w:ascii="Arial"/>
                <w:b/>
                <w:sz w:val="20"/>
              </w:rPr>
              <w:t>90</w:t>
            </w:r>
          </w:p>
          <w:p>
            <w:pPr>
              <w:pStyle w:val="TableParagraph"/>
              <w:spacing w:before="1"/>
              <w:ind w:left="208" w:right="218"/>
              <w:rPr>
                <w:rFonts w:ascii="Arial" w:hAnsi="Arial"/>
                <w:b/>
                <w:sz w:val="20"/>
              </w:rPr>
            </w:pPr>
            <w:r>
              <w:rPr>
                <w:rFonts w:ascii="Arial" w:hAnsi="Arial"/>
                <w:b/>
                <w:sz w:val="20"/>
              </w:rPr>
              <w:t>90.9% [83.0 – 95.5]</w:t>
            </w:r>
          </w:p>
        </w:tc>
      </w:tr>
    </w:tbl>
    <w:p>
      <w:pPr>
        <w:pStyle w:val="BodyText"/>
        <w:spacing w:before="11"/>
        <w:rPr>
          <w:sz w:val="45"/>
        </w:rPr>
      </w:pPr>
    </w:p>
    <w:p>
      <w:pPr>
        <w:pStyle w:val="Heading2"/>
        <w:numPr>
          <w:ilvl w:val="1"/>
          <w:numId w:val="8"/>
        </w:numPr>
        <w:tabs>
          <w:tab w:pos="839" w:val="left" w:leader="none"/>
          <w:tab w:pos="841" w:val="left" w:leader="none"/>
        </w:tabs>
        <w:spacing w:line="240" w:lineRule="auto" w:before="0" w:after="0"/>
        <w:ind w:left="840" w:right="0" w:hanging="721"/>
        <w:jc w:val="left"/>
      </w:pPr>
      <w:bookmarkStart w:name="3.2  Clinical specificity analysis" w:id="29"/>
      <w:bookmarkEnd w:id="29"/>
      <w:r>
        <w:rPr/>
      </w:r>
      <w:bookmarkStart w:name="_bookmark10" w:id="30"/>
      <w:bookmarkEnd w:id="30"/>
      <w:r>
        <w:rPr/>
      </w:r>
      <w:bookmarkStart w:name="_bookmark10" w:id="31"/>
      <w:bookmarkEnd w:id="31"/>
      <w:r>
        <w:rPr>
          <w:color w:val="007CC5"/>
          <w:spacing w:val="3"/>
        </w:rPr>
        <w:t>Cli</w:t>
      </w:r>
      <w:r>
        <w:rPr>
          <w:color w:val="007CC5"/>
          <w:spacing w:val="3"/>
        </w:rPr>
        <w:t>nical specificity</w:t>
      </w:r>
      <w:r>
        <w:rPr>
          <w:color w:val="007CC5"/>
          <w:spacing w:val="10"/>
        </w:rPr>
        <w:t> </w:t>
      </w:r>
      <w:r>
        <w:rPr>
          <w:color w:val="007CC5"/>
          <w:spacing w:val="3"/>
        </w:rPr>
        <w:t>analysis</w:t>
      </w:r>
    </w:p>
    <w:p>
      <w:pPr>
        <w:pStyle w:val="BodyText"/>
        <w:spacing w:before="142"/>
        <w:ind w:left="120"/>
        <w:jc w:val="both"/>
      </w:pPr>
      <w:r>
        <w:rPr/>
        <w:t>The results of the specificity analysis for anti-SARS-Cov-2 test kits is presented in Table</w:t>
      </w:r>
    </w:p>
    <w:p>
      <w:pPr>
        <w:pStyle w:val="ListParagraph"/>
        <w:numPr>
          <w:ilvl w:val="0"/>
          <w:numId w:val="9"/>
        </w:numPr>
        <w:tabs>
          <w:tab w:pos="413" w:val="left" w:leader="none"/>
        </w:tabs>
        <w:spacing w:line="360" w:lineRule="auto" w:before="161" w:after="0"/>
        <w:ind w:left="119" w:right="859" w:firstLine="0"/>
        <w:jc w:val="left"/>
        <w:rPr>
          <w:sz w:val="24"/>
        </w:rPr>
      </w:pPr>
      <w:r>
        <w:rPr>
          <w:sz w:val="24"/>
        </w:rPr>
        <w:t>All</w:t>
      </w:r>
      <w:r>
        <w:rPr>
          <w:spacing w:val="-14"/>
          <w:sz w:val="24"/>
        </w:rPr>
        <w:t> </w:t>
      </w:r>
      <w:r>
        <w:rPr>
          <w:sz w:val="24"/>
        </w:rPr>
        <w:t>test</w:t>
      </w:r>
      <w:r>
        <w:rPr>
          <w:spacing w:val="-10"/>
          <w:sz w:val="24"/>
        </w:rPr>
        <w:t> </w:t>
      </w:r>
      <w:r>
        <w:rPr>
          <w:sz w:val="24"/>
        </w:rPr>
        <w:t>kits</w:t>
      </w:r>
      <w:r>
        <w:rPr>
          <w:spacing w:val="-13"/>
          <w:sz w:val="24"/>
        </w:rPr>
        <w:t> </w:t>
      </w:r>
      <w:r>
        <w:rPr>
          <w:sz w:val="24"/>
        </w:rPr>
        <w:t>had</w:t>
      </w:r>
      <w:r>
        <w:rPr>
          <w:spacing w:val="-13"/>
          <w:sz w:val="24"/>
        </w:rPr>
        <w:t> </w:t>
      </w:r>
      <w:r>
        <w:rPr>
          <w:sz w:val="24"/>
        </w:rPr>
        <w:t>an</w:t>
      </w:r>
      <w:r>
        <w:rPr>
          <w:spacing w:val="-11"/>
          <w:sz w:val="24"/>
        </w:rPr>
        <w:t> </w:t>
      </w:r>
      <w:r>
        <w:rPr>
          <w:sz w:val="24"/>
        </w:rPr>
        <w:t>estimated</w:t>
      </w:r>
      <w:r>
        <w:rPr>
          <w:spacing w:val="-13"/>
          <w:sz w:val="24"/>
        </w:rPr>
        <w:t> </w:t>
      </w:r>
      <w:r>
        <w:rPr>
          <w:sz w:val="24"/>
        </w:rPr>
        <w:t>specificity</w:t>
      </w:r>
      <w:r>
        <w:rPr>
          <w:spacing w:val="-11"/>
          <w:sz w:val="24"/>
        </w:rPr>
        <w:t> </w:t>
      </w:r>
      <w:r>
        <w:rPr>
          <w:sz w:val="24"/>
        </w:rPr>
        <w:t>of</w:t>
      </w:r>
      <w:r>
        <w:rPr>
          <w:spacing w:val="-11"/>
          <w:sz w:val="24"/>
        </w:rPr>
        <w:t> </w:t>
      </w:r>
      <w:r>
        <w:rPr>
          <w:sz w:val="24"/>
        </w:rPr>
        <w:t>92.0%</w:t>
      </w:r>
      <w:r>
        <w:rPr>
          <w:spacing w:val="-12"/>
          <w:sz w:val="24"/>
        </w:rPr>
        <w:t> </w:t>
      </w:r>
      <w:r>
        <w:rPr>
          <w:sz w:val="24"/>
        </w:rPr>
        <w:t>or</w:t>
      </w:r>
      <w:r>
        <w:rPr>
          <w:spacing w:val="-12"/>
          <w:sz w:val="24"/>
        </w:rPr>
        <w:t> </w:t>
      </w:r>
      <w:r>
        <w:rPr>
          <w:sz w:val="24"/>
        </w:rPr>
        <w:t>greater</w:t>
      </w:r>
      <w:r>
        <w:rPr>
          <w:spacing w:val="-12"/>
          <w:sz w:val="24"/>
        </w:rPr>
        <w:t> </w:t>
      </w:r>
      <w:r>
        <w:rPr>
          <w:sz w:val="24"/>
        </w:rPr>
        <w:t>for</w:t>
      </w:r>
      <w:r>
        <w:rPr>
          <w:spacing w:val="-13"/>
          <w:sz w:val="24"/>
        </w:rPr>
        <w:t> </w:t>
      </w:r>
      <w:r>
        <w:rPr>
          <w:sz w:val="24"/>
        </w:rPr>
        <w:t>IgG</w:t>
      </w:r>
      <w:r>
        <w:rPr>
          <w:spacing w:val="-12"/>
          <w:sz w:val="24"/>
        </w:rPr>
        <w:t> </w:t>
      </w:r>
      <w:r>
        <w:rPr>
          <w:sz w:val="24"/>
        </w:rPr>
        <w:t>only.</w:t>
      </w:r>
      <w:r>
        <w:rPr>
          <w:spacing w:val="31"/>
          <w:sz w:val="24"/>
        </w:rPr>
        <w:t> </w:t>
      </w:r>
      <w:r>
        <w:rPr>
          <w:sz w:val="24"/>
        </w:rPr>
        <w:t>Specificity for anti-SARS-CoV-2 IgM ranged from 91.0% to 97.0% (Table</w:t>
      </w:r>
      <w:r>
        <w:rPr>
          <w:spacing w:val="-13"/>
          <w:sz w:val="24"/>
        </w:rPr>
        <w:t> </w:t>
      </w:r>
      <w:r>
        <w:rPr>
          <w:sz w:val="24"/>
        </w:rPr>
        <w:t>5).</w:t>
      </w:r>
    </w:p>
    <w:p>
      <w:pPr>
        <w:pStyle w:val="BodyText"/>
        <w:spacing w:before="8"/>
        <w:rPr>
          <w:sz w:val="44"/>
        </w:rPr>
      </w:pPr>
    </w:p>
    <w:p>
      <w:pPr>
        <w:pStyle w:val="Heading2"/>
        <w:numPr>
          <w:ilvl w:val="1"/>
          <w:numId w:val="10"/>
        </w:numPr>
        <w:tabs>
          <w:tab w:pos="839" w:val="left" w:leader="none"/>
          <w:tab w:pos="841" w:val="left" w:leader="none"/>
        </w:tabs>
        <w:spacing w:line="240" w:lineRule="auto" w:before="0" w:after="0"/>
        <w:ind w:left="840" w:right="0" w:hanging="721"/>
        <w:jc w:val="left"/>
      </w:pPr>
      <w:bookmarkStart w:name="3.4  Analytical Specificity" w:id="32"/>
      <w:bookmarkEnd w:id="32"/>
      <w:r>
        <w:rPr/>
      </w:r>
      <w:bookmarkStart w:name="_bookmark11" w:id="33"/>
      <w:bookmarkEnd w:id="33"/>
      <w:r>
        <w:rPr/>
      </w:r>
      <w:bookmarkStart w:name="_bookmark11" w:id="34"/>
      <w:bookmarkEnd w:id="34"/>
      <w:r>
        <w:rPr>
          <w:color w:val="007CC5"/>
          <w:spacing w:val="3"/>
        </w:rPr>
        <w:t>A</w:t>
      </w:r>
      <w:r>
        <w:rPr>
          <w:color w:val="007CC5"/>
          <w:spacing w:val="3"/>
        </w:rPr>
        <w:t>nalytical</w:t>
      </w:r>
      <w:r>
        <w:rPr>
          <w:color w:val="007CC5"/>
          <w:spacing w:val="10"/>
        </w:rPr>
        <w:t> </w:t>
      </w:r>
      <w:r>
        <w:rPr>
          <w:color w:val="007CC5"/>
          <w:spacing w:val="3"/>
        </w:rPr>
        <w:t>Specificity</w:t>
      </w:r>
    </w:p>
    <w:p>
      <w:pPr>
        <w:pStyle w:val="BodyText"/>
        <w:spacing w:line="360" w:lineRule="auto" w:before="141"/>
        <w:ind w:left="120" w:right="1143"/>
      </w:pPr>
      <w:r>
        <w:rPr/>
        <w:t>All three test kits reported false positive results for one or more potentially cross- reactive samples. Egens reported a IgG false reactive result for one influenza A and two antinuclear factor positive samples and IgM false positive results for one CMV IgM reactive and four rheumatoid factor positive samples. The Healgen assay</w:t>
      </w:r>
    </w:p>
    <w:p>
      <w:pPr>
        <w:spacing w:after="0" w:line="360" w:lineRule="auto"/>
        <w:sectPr>
          <w:pgSz w:w="11910" w:h="16840"/>
          <w:pgMar w:header="1042" w:footer="764" w:top="4180" w:bottom="960" w:left="1320" w:right="580"/>
        </w:sectPr>
      </w:pPr>
    </w:p>
    <w:p>
      <w:pPr>
        <w:pStyle w:val="BodyText"/>
        <w:spacing w:before="4"/>
        <w:rPr>
          <w:sz w:val="29"/>
        </w:rPr>
      </w:pPr>
    </w:p>
    <w:p>
      <w:pPr>
        <w:pStyle w:val="BodyText"/>
        <w:spacing w:line="360" w:lineRule="auto" w:before="100"/>
        <w:ind w:left="120" w:right="891"/>
      </w:pPr>
      <w:r>
        <w:rPr/>
        <w:t>reported a false positive IgM for an influenza B positive sample and reported invalid results for two anti-DNA positive samples; an icteric and a lipaemic sample. Newscen reported false positive IgM results for a CMV IgM positive sample and three rheumatoid positive samples, and reported false positive IgG results for two antinuclear factor positive</w:t>
      </w:r>
      <w:r>
        <w:rPr>
          <w:spacing w:val="-5"/>
        </w:rPr>
        <w:t> </w:t>
      </w:r>
      <w:r>
        <w:rPr/>
        <w:t>samples.</w:t>
      </w:r>
    </w:p>
    <w:p>
      <w:pPr>
        <w:pStyle w:val="BodyText"/>
        <w:spacing w:before="9"/>
        <w:rPr>
          <w:sz w:val="44"/>
        </w:rPr>
      </w:pPr>
    </w:p>
    <w:p>
      <w:pPr>
        <w:pStyle w:val="Heading2"/>
        <w:numPr>
          <w:ilvl w:val="1"/>
          <w:numId w:val="10"/>
        </w:numPr>
        <w:tabs>
          <w:tab w:pos="839" w:val="left" w:leader="none"/>
          <w:tab w:pos="841" w:val="left" w:leader="none"/>
        </w:tabs>
        <w:spacing w:line="240" w:lineRule="auto" w:before="0" w:after="0"/>
        <w:ind w:left="840" w:right="0" w:hanging="721"/>
        <w:jc w:val="left"/>
      </w:pPr>
      <w:bookmarkStart w:name="3.5  Lot to lot analysis" w:id="35"/>
      <w:bookmarkEnd w:id="35"/>
      <w:r>
        <w:rPr/>
      </w:r>
      <w:bookmarkStart w:name="_bookmark12" w:id="36"/>
      <w:bookmarkEnd w:id="36"/>
      <w:r>
        <w:rPr/>
      </w:r>
      <w:bookmarkStart w:name="_bookmark12" w:id="37"/>
      <w:bookmarkEnd w:id="37"/>
      <w:r>
        <w:rPr>
          <w:color w:val="007CC5"/>
          <w:spacing w:val="3"/>
        </w:rPr>
        <w:t>L</w:t>
      </w:r>
      <w:r>
        <w:rPr>
          <w:color w:val="007CC5"/>
          <w:spacing w:val="3"/>
        </w:rPr>
        <w:t>ot </w:t>
      </w:r>
      <w:r>
        <w:rPr>
          <w:color w:val="007CC5"/>
          <w:spacing w:val="2"/>
        </w:rPr>
        <w:t>to lot</w:t>
      </w:r>
      <w:r>
        <w:rPr>
          <w:color w:val="007CC5"/>
          <w:spacing w:val="19"/>
        </w:rPr>
        <w:t> </w:t>
      </w:r>
      <w:r>
        <w:rPr>
          <w:color w:val="007CC5"/>
          <w:spacing w:val="3"/>
        </w:rPr>
        <w:t>analysis</w:t>
      </w:r>
    </w:p>
    <w:p>
      <w:pPr>
        <w:pStyle w:val="BodyText"/>
        <w:spacing w:line="360" w:lineRule="auto" w:before="142"/>
        <w:ind w:left="119"/>
      </w:pPr>
      <w:r>
        <w:rPr/>
        <w:t>In</w:t>
      </w:r>
      <w:r>
        <w:rPr>
          <w:spacing w:val="-9"/>
        </w:rPr>
        <w:t> </w:t>
      </w:r>
      <w:r>
        <w:rPr/>
        <w:t>general,</w:t>
      </w:r>
      <w:r>
        <w:rPr>
          <w:spacing w:val="-9"/>
        </w:rPr>
        <w:t> </w:t>
      </w:r>
      <w:r>
        <w:rPr/>
        <w:t>the</w:t>
      </w:r>
      <w:r>
        <w:rPr>
          <w:spacing w:val="-10"/>
        </w:rPr>
        <w:t> </w:t>
      </w:r>
      <w:r>
        <w:rPr/>
        <w:t>IgG</w:t>
      </w:r>
      <w:r>
        <w:rPr>
          <w:spacing w:val="-9"/>
        </w:rPr>
        <w:t> </w:t>
      </w:r>
      <w:r>
        <w:rPr/>
        <w:t>and</w:t>
      </w:r>
      <w:r>
        <w:rPr>
          <w:spacing w:val="-6"/>
        </w:rPr>
        <w:t> </w:t>
      </w:r>
      <w:r>
        <w:rPr/>
        <w:t>IgM</w:t>
      </w:r>
      <w:r>
        <w:rPr>
          <w:spacing w:val="-9"/>
        </w:rPr>
        <w:t> </w:t>
      </w:r>
      <w:r>
        <w:rPr/>
        <w:t>results</w:t>
      </w:r>
      <w:r>
        <w:rPr>
          <w:spacing w:val="-8"/>
        </w:rPr>
        <w:t> </w:t>
      </w:r>
      <w:r>
        <w:rPr/>
        <w:t>from</w:t>
      </w:r>
      <w:r>
        <w:rPr>
          <w:spacing w:val="-10"/>
        </w:rPr>
        <w:t> </w:t>
      </w:r>
      <w:r>
        <w:rPr/>
        <w:t>testing</w:t>
      </w:r>
      <w:r>
        <w:rPr>
          <w:spacing w:val="-8"/>
        </w:rPr>
        <w:t> </w:t>
      </w:r>
      <w:r>
        <w:rPr/>
        <w:t>the</w:t>
      </w:r>
      <w:r>
        <w:rPr>
          <w:spacing w:val="-10"/>
        </w:rPr>
        <w:t> </w:t>
      </w:r>
      <w:r>
        <w:rPr/>
        <w:t>dilution</w:t>
      </w:r>
      <w:r>
        <w:rPr>
          <w:spacing w:val="-9"/>
        </w:rPr>
        <w:t> </w:t>
      </w:r>
      <w:r>
        <w:rPr/>
        <w:t>series</w:t>
      </w:r>
      <w:r>
        <w:rPr>
          <w:spacing w:val="-8"/>
        </w:rPr>
        <w:t> </w:t>
      </w:r>
      <w:r>
        <w:rPr/>
        <w:t>in</w:t>
      </w:r>
      <w:r>
        <w:rPr>
          <w:spacing w:val="-5"/>
        </w:rPr>
        <w:t> </w:t>
      </w:r>
      <w:r>
        <w:rPr/>
        <w:t>both</w:t>
      </w:r>
      <w:r>
        <w:rPr>
          <w:spacing w:val="-9"/>
        </w:rPr>
        <w:t> </w:t>
      </w:r>
      <w:r>
        <w:rPr/>
        <w:t>reagent</w:t>
      </w:r>
      <w:r>
        <w:rPr>
          <w:spacing w:val="-9"/>
        </w:rPr>
        <w:t> </w:t>
      </w:r>
      <w:r>
        <w:rPr/>
        <w:t>lots demonstrated equivalent reactivity (Table</w:t>
      </w:r>
      <w:r>
        <w:rPr>
          <w:spacing w:val="-8"/>
        </w:rPr>
        <w:t> </w:t>
      </w:r>
      <w:r>
        <w:rPr/>
        <w:t>11).</w:t>
      </w:r>
    </w:p>
    <w:p>
      <w:pPr>
        <w:spacing w:after="0" w:line="360" w:lineRule="auto"/>
        <w:sectPr>
          <w:pgSz w:w="11910" w:h="16840"/>
          <w:pgMar w:header="1042" w:footer="764" w:top="4180" w:bottom="960" w:left="1320" w:right="580"/>
        </w:sectPr>
      </w:pPr>
    </w:p>
    <w:p>
      <w:pPr>
        <w:pStyle w:val="BodyText"/>
        <w:spacing w:before="4"/>
        <w:rPr>
          <w:sz w:val="29"/>
        </w:rPr>
      </w:pPr>
    </w:p>
    <w:p>
      <w:pPr>
        <w:pStyle w:val="BodyText"/>
        <w:spacing w:line="276" w:lineRule="auto" w:before="100" w:after="3"/>
        <w:ind w:left="120" w:right="850"/>
      </w:pPr>
      <w:r>
        <w:rPr>
          <w:b/>
        </w:rPr>
        <w:t>Table 11</w:t>
      </w:r>
      <w:r>
        <w:rPr/>
        <w:t>. Results of testing dilution series of two positive specimens to determine lot to lot comparison of the COVID-19 IgG/IgM Rapid Tests. The highest dilution recording a positive test result was determined as the end point.</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2"/>
        <w:gridCol w:w="1907"/>
        <w:gridCol w:w="1804"/>
        <w:gridCol w:w="1595"/>
        <w:gridCol w:w="1939"/>
      </w:tblGrid>
      <w:tr>
        <w:trPr>
          <w:trHeight w:val="430" w:hRule="atLeast"/>
        </w:trPr>
        <w:tc>
          <w:tcPr>
            <w:tcW w:w="5393" w:type="dxa"/>
            <w:gridSpan w:val="3"/>
            <w:tcBorders>
              <w:bottom w:val="single" w:sz="6" w:space="0" w:color="FFFFFF"/>
              <w:right w:val="single" w:sz="4" w:space="0" w:color="FFFFFF"/>
            </w:tcBorders>
            <w:shd w:val="clear" w:color="auto" w:fill="66CEF5"/>
          </w:tcPr>
          <w:p>
            <w:pPr>
              <w:pStyle w:val="TableParagraph"/>
              <w:spacing w:line="174" w:lineRule="exact" w:before="107"/>
              <w:ind w:left="2584"/>
              <w:jc w:val="left"/>
              <w:rPr>
                <w:rFonts w:ascii="Arial"/>
                <w:b/>
                <w:sz w:val="18"/>
              </w:rPr>
            </w:pPr>
            <w:r>
              <w:rPr>
                <w:rFonts w:ascii="Arial"/>
                <w:b/>
                <w:sz w:val="18"/>
              </w:rPr>
              <w:t>Test Results Sample 1</w:t>
            </w:r>
          </w:p>
          <w:p>
            <w:pPr>
              <w:pStyle w:val="TableParagraph"/>
              <w:spacing w:line="129" w:lineRule="exact"/>
              <w:ind w:left="381"/>
              <w:jc w:val="left"/>
              <w:rPr>
                <w:rFonts w:ascii="Arial"/>
                <w:b/>
                <w:sz w:val="18"/>
              </w:rPr>
            </w:pPr>
            <w:r>
              <w:rPr>
                <w:rFonts w:ascii="Arial"/>
                <w:b/>
                <w:sz w:val="18"/>
              </w:rPr>
              <w:t>Assay [Lot</w:t>
            </w:r>
          </w:p>
        </w:tc>
        <w:tc>
          <w:tcPr>
            <w:tcW w:w="3534" w:type="dxa"/>
            <w:gridSpan w:val="2"/>
            <w:tcBorders>
              <w:left w:val="single" w:sz="4" w:space="0" w:color="FFFFFF"/>
              <w:bottom w:val="single" w:sz="6" w:space="0" w:color="FFFFFF"/>
            </w:tcBorders>
            <w:shd w:val="clear" w:color="auto" w:fill="66CEF5"/>
          </w:tcPr>
          <w:p>
            <w:pPr>
              <w:pStyle w:val="TableParagraph"/>
              <w:spacing w:before="107"/>
              <w:ind w:left="808"/>
              <w:jc w:val="left"/>
              <w:rPr>
                <w:rFonts w:ascii="Arial"/>
                <w:b/>
                <w:sz w:val="18"/>
              </w:rPr>
            </w:pPr>
            <w:r>
              <w:rPr>
                <w:rFonts w:ascii="Arial"/>
                <w:b/>
                <w:sz w:val="18"/>
              </w:rPr>
              <w:t>Test Results Sample 2</w:t>
            </w:r>
          </w:p>
        </w:tc>
      </w:tr>
      <w:tr>
        <w:trPr>
          <w:trHeight w:val="365" w:hRule="atLeast"/>
        </w:trPr>
        <w:tc>
          <w:tcPr>
            <w:tcW w:w="1682" w:type="dxa"/>
            <w:tcBorders>
              <w:top w:val="single" w:sz="6" w:space="0" w:color="FFFFFF"/>
              <w:right w:val="single" w:sz="4" w:space="0" w:color="FFFFFF"/>
            </w:tcBorders>
            <w:shd w:val="clear" w:color="auto" w:fill="66CEF5"/>
          </w:tcPr>
          <w:p>
            <w:pPr>
              <w:pStyle w:val="TableParagraph"/>
              <w:spacing w:before="12"/>
              <w:ind w:left="482"/>
              <w:jc w:val="left"/>
              <w:rPr>
                <w:rFonts w:ascii="Arial"/>
                <w:b/>
                <w:sz w:val="18"/>
              </w:rPr>
            </w:pPr>
            <w:r>
              <w:rPr>
                <w:rFonts w:ascii="Arial"/>
                <w:b/>
                <w:sz w:val="18"/>
              </w:rPr>
              <w:t>number]</w:t>
            </w:r>
          </w:p>
        </w:tc>
        <w:tc>
          <w:tcPr>
            <w:tcW w:w="1907" w:type="dxa"/>
            <w:tcBorders>
              <w:top w:val="single" w:sz="6" w:space="0" w:color="FFFFFF"/>
              <w:left w:val="single" w:sz="4" w:space="0" w:color="FFFFFF"/>
            </w:tcBorders>
            <w:shd w:val="clear" w:color="auto" w:fill="D9D9D9"/>
          </w:tcPr>
          <w:p>
            <w:pPr>
              <w:pStyle w:val="TableParagraph"/>
              <w:spacing w:line="253" w:lineRule="exact" w:before="92"/>
              <w:ind w:left="784" w:right="748"/>
              <w:rPr>
                <w:b/>
                <w:sz w:val="20"/>
              </w:rPr>
            </w:pPr>
            <w:r>
              <w:rPr>
                <w:b/>
                <w:sz w:val="20"/>
              </w:rPr>
              <w:t>IgG</w:t>
            </w:r>
          </w:p>
        </w:tc>
        <w:tc>
          <w:tcPr>
            <w:tcW w:w="1804" w:type="dxa"/>
            <w:tcBorders>
              <w:top w:val="single" w:sz="6" w:space="0" w:color="FFFFFF"/>
              <w:right w:val="single" w:sz="4" w:space="0" w:color="FFFFFF"/>
            </w:tcBorders>
            <w:shd w:val="clear" w:color="auto" w:fill="D9D9D9"/>
          </w:tcPr>
          <w:p>
            <w:pPr>
              <w:pStyle w:val="TableParagraph"/>
              <w:spacing w:line="253" w:lineRule="exact" w:before="92"/>
              <w:ind w:left="703" w:right="653"/>
              <w:rPr>
                <w:b/>
                <w:sz w:val="20"/>
              </w:rPr>
            </w:pPr>
            <w:r>
              <w:rPr>
                <w:b/>
                <w:sz w:val="20"/>
              </w:rPr>
              <w:t>IgM</w:t>
            </w:r>
          </w:p>
        </w:tc>
        <w:tc>
          <w:tcPr>
            <w:tcW w:w="1595" w:type="dxa"/>
            <w:tcBorders>
              <w:top w:val="single" w:sz="6" w:space="0" w:color="FFFFFF"/>
              <w:left w:val="single" w:sz="4" w:space="0" w:color="FFFFFF"/>
            </w:tcBorders>
            <w:shd w:val="clear" w:color="auto" w:fill="D9D9D9"/>
          </w:tcPr>
          <w:p>
            <w:pPr>
              <w:pStyle w:val="TableParagraph"/>
              <w:spacing w:line="253" w:lineRule="exact" w:before="92"/>
              <w:ind w:left="539"/>
              <w:jc w:val="left"/>
              <w:rPr>
                <w:b/>
                <w:sz w:val="20"/>
              </w:rPr>
            </w:pPr>
            <w:r>
              <w:rPr>
                <w:b/>
                <w:sz w:val="20"/>
              </w:rPr>
              <w:t>IgG</w:t>
            </w:r>
          </w:p>
        </w:tc>
        <w:tc>
          <w:tcPr>
            <w:tcW w:w="1939" w:type="dxa"/>
            <w:tcBorders>
              <w:top w:val="single" w:sz="6" w:space="0" w:color="FFFFFF"/>
            </w:tcBorders>
            <w:shd w:val="clear" w:color="auto" w:fill="D9D9D9"/>
          </w:tcPr>
          <w:p>
            <w:pPr>
              <w:pStyle w:val="TableParagraph"/>
              <w:spacing w:line="253" w:lineRule="exact" w:before="92"/>
              <w:ind w:left="692"/>
              <w:jc w:val="left"/>
              <w:rPr>
                <w:b/>
                <w:sz w:val="20"/>
              </w:rPr>
            </w:pPr>
            <w:r>
              <w:rPr>
                <w:b/>
                <w:sz w:val="20"/>
              </w:rPr>
              <w:t>IgM</w:t>
            </w:r>
          </w:p>
        </w:tc>
      </w:tr>
      <w:tr>
        <w:trPr>
          <w:trHeight w:val="82" w:hRule="atLeast"/>
        </w:trPr>
        <w:tc>
          <w:tcPr>
            <w:tcW w:w="1682" w:type="dxa"/>
            <w:tcBorders>
              <w:bottom w:val="single" w:sz="6" w:space="0" w:color="66CEF5"/>
              <w:right w:val="single" w:sz="4" w:space="0" w:color="FFFFFF"/>
            </w:tcBorders>
            <w:shd w:val="clear" w:color="auto" w:fill="D9D9D9"/>
          </w:tcPr>
          <w:p>
            <w:pPr>
              <w:pStyle w:val="TableParagraph"/>
              <w:jc w:val="left"/>
              <w:rPr>
                <w:rFonts w:ascii="Times New Roman"/>
                <w:sz w:val="2"/>
              </w:rPr>
            </w:pPr>
          </w:p>
        </w:tc>
        <w:tc>
          <w:tcPr>
            <w:tcW w:w="1907" w:type="dxa"/>
            <w:tcBorders>
              <w:left w:val="single" w:sz="4" w:space="0" w:color="FFFFFF"/>
            </w:tcBorders>
            <w:shd w:val="clear" w:color="auto" w:fill="D9D9D9"/>
          </w:tcPr>
          <w:p>
            <w:pPr>
              <w:pStyle w:val="TableParagraph"/>
              <w:jc w:val="left"/>
              <w:rPr>
                <w:rFonts w:ascii="Times New Roman"/>
                <w:sz w:val="2"/>
              </w:rPr>
            </w:pPr>
          </w:p>
        </w:tc>
        <w:tc>
          <w:tcPr>
            <w:tcW w:w="1804" w:type="dxa"/>
            <w:tcBorders>
              <w:right w:val="single" w:sz="4" w:space="0" w:color="FFFFFF"/>
            </w:tcBorders>
            <w:shd w:val="clear" w:color="auto" w:fill="D9D9D9"/>
          </w:tcPr>
          <w:p>
            <w:pPr>
              <w:pStyle w:val="TableParagraph"/>
              <w:jc w:val="left"/>
              <w:rPr>
                <w:rFonts w:ascii="Times New Roman"/>
                <w:sz w:val="2"/>
              </w:rPr>
            </w:pPr>
          </w:p>
        </w:tc>
        <w:tc>
          <w:tcPr>
            <w:tcW w:w="1595" w:type="dxa"/>
            <w:tcBorders>
              <w:left w:val="single" w:sz="4" w:space="0" w:color="FFFFFF"/>
            </w:tcBorders>
            <w:shd w:val="clear" w:color="auto" w:fill="D9D9D9"/>
          </w:tcPr>
          <w:p>
            <w:pPr>
              <w:pStyle w:val="TableParagraph"/>
              <w:jc w:val="left"/>
              <w:rPr>
                <w:rFonts w:ascii="Times New Roman"/>
                <w:sz w:val="2"/>
              </w:rPr>
            </w:pPr>
          </w:p>
        </w:tc>
        <w:tc>
          <w:tcPr>
            <w:tcW w:w="1939" w:type="dxa"/>
            <w:shd w:val="clear" w:color="auto" w:fill="D9D9D9"/>
          </w:tcPr>
          <w:p>
            <w:pPr>
              <w:pStyle w:val="TableParagraph"/>
              <w:jc w:val="left"/>
              <w:rPr>
                <w:rFonts w:ascii="Times New Roman"/>
                <w:sz w:val="2"/>
              </w:rPr>
            </w:pPr>
          </w:p>
        </w:tc>
      </w:tr>
      <w:tr>
        <w:trPr>
          <w:trHeight w:val="697" w:hRule="atLeast"/>
        </w:trPr>
        <w:tc>
          <w:tcPr>
            <w:tcW w:w="1682" w:type="dxa"/>
            <w:tcBorders>
              <w:top w:val="single" w:sz="6" w:space="0" w:color="66CEF5"/>
              <w:bottom w:val="single" w:sz="6" w:space="0" w:color="FFFFFF"/>
            </w:tcBorders>
            <w:shd w:val="clear" w:color="auto" w:fill="F3F5F6"/>
          </w:tcPr>
          <w:p>
            <w:pPr>
              <w:pStyle w:val="TableParagraph"/>
              <w:spacing w:before="82"/>
              <w:ind w:left="388" w:right="388"/>
              <w:rPr>
                <w:b/>
                <w:sz w:val="20"/>
              </w:rPr>
            </w:pPr>
            <w:r>
              <w:rPr>
                <w:b/>
                <w:sz w:val="20"/>
              </w:rPr>
              <w:t>Egens</w:t>
            </w:r>
          </w:p>
          <w:p>
            <w:pPr>
              <w:pStyle w:val="TableParagraph"/>
              <w:spacing w:before="1"/>
              <w:ind w:left="390" w:right="388"/>
              <w:rPr>
                <w:sz w:val="20"/>
              </w:rPr>
            </w:pPr>
            <w:r>
              <w:rPr>
                <w:sz w:val="20"/>
              </w:rPr>
              <w:t>20200606</w:t>
            </w:r>
          </w:p>
        </w:tc>
        <w:tc>
          <w:tcPr>
            <w:tcW w:w="1907" w:type="dxa"/>
            <w:tcBorders>
              <w:bottom w:val="single" w:sz="6" w:space="0" w:color="FFFFFF"/>
            </w:tcBorders>
            <w:shd w:val="clear" w:color="auto" w:fill="F3F5F6"/>
          </w:tcPr>
          <w:p>
            <w:pPr>
              <w:pStyle w:val="TableParagraph"/>
              <w:spacing w:before="2"/>
              <w:jc w:val="left"/>
              <w:rPr>
                <w:sz w:val="17"/>
              </w:rPr>
            </w:pPr>
          </w:p>
          <w:p>
            <w:pPr>
              <w:pStyle w:val="TableParagraph"/>
              <w:spacing w:before="1"/>
              <w:ind w:left="739" w:right="698"/>
              <w:rPr>
                <w:sz w:val="18"/>
              </w:rPr>
            </w:pPr>
            <w:r>
              <w:rPr>
                <w:sz w:val="18"/>
              </w:rPr>
              <w:t>1:32</w:t>
            </w:r>
          </w:p>
        </w:tc>
        <w:tc>
          <w:tcPr>
            <w:tcW w:w="1804" w:type="dxa"/>
            <w:tcBorders>
              <w:bottom w:val="single" w:sz="6" w:space="0" w:color="FFFFFF"/>
              <w:right w:val="single" w:sz="4" w:space="0" w:color="FFFFFF"/>
            </w:tcBorders>
            <w:shd w:val="clear" w:color="auto" w:fill="F3F5F6"/>
          </w:tcPr>
          <w:p>
            <w:pPr>
              <w:pStyle w:val="TableParagraph"/>
              <w:spacing w:before="2"/>
              <w:jc w:val="left"/>
              <w:rPr>
                <w:sz w:val="17"/>
              </w:rPr>
            </w:pPr>
          </w:p>
          <w:p>
            <w:pPr>
              <w:pStyle w:val="TableParagraph"/>
              <w:spacing w:before="1"/>
              <w:ind w:left="700" w:right="655"/>
              <w:rPr>
                <w:sz w:val="18"/>
              </w:rPr>
            </w:pPr>
            <w:r>
              <w:rPr>
                <w:sz w:val="18"/>
              </w:rPr>
              <w:t>1:32</w:t>
            </w:r>
          </w:p>
        </w:tc>
        <w:tc>
          <w:tcPr>
            <w:tcW w:w="1595" w:type="dxa"/>
            <w:tcBorders>
              <w:left w:val="single" w:sz="4" w:space="0" w:color="FFFFFF"/>
              <w:bottom w:val="single" w:sz="6" w:space="0" w:color="FFFFFF"/>
            </w:tcBorders>
            <w:shd w:val="clear" w:color="auto" w:fill="F3F5F6"/>
          </w:tcPr>
          <w:p>
            <w:pPr>
              <w:pStyle w:val="TableParagraph"/>
              <w:spacing w:before="2"/>
              <w:jc w:val="left"/>
              <w:rPr>
                <w:sz w:val="17"/>
              </w:rPr>
            </w:pPr>
          </w:p>
          <w:p>
            <w:pPr>
              <w:pStyle w:val="TableParagraph"/>
              <w:spacing w:before="1"/>
              <w:ind w:left="501"/>
              <w:jc w:val="left"/>
              <w:rPr>
                <w:sz w:val="18"/>
              </w:rPr>
            </w:pPr>
            <w:r>
              <w:rPr>
                <w:sz w:val="18"/>
              </w:rPr>
              <w:t>1:16*</w:t>
            </w:r>
          </w:p>
        </w:tc>
        <w:tc>
          <w:tcPr>
            <w:tcW w:w="1939" w:type="dxa"/>
            <w:tcBorders>
              <w:bottom w:val="single" w:sz="6" w:space="0" w:color="FFFFFF"/>
            </w:tcBorders>
            <w:shd w:val="clear" w:color="auto" w:fill="F3F5F6"/>
          </w:tcPr>
          <w:p>
            <w:pPr>
              <w:pStyle w:val="TableParagraph"/>
              <w:spacing w:before="2"/>
              <w:jc w:val="left"/>
              <w:rPr>
                <w:sz w:val="17"/>
              </w:rPr>
            </w:pPr>
          </w:p>
          <w:p>
            <w:pPr>
              <w:pStyle w:val="TableParagraph"/>
              <w:spacing w:before="1"/>
              <w:ind w:left="764"/>
              <w:jc w:val="left"/>
              <w:rPr>
                <w:sz w:val="18"/>
              </w:rPr>
            </w:pPr>
            <w:r>
              <w:rPr>
                <w:sz w:val="18"/>
              </w:rPr>
              <w:t>1:4</w:t>
            </w:r>
          </w:p>
        </w:tc>
      </w:tr>
      <w:tr>
        <w:trPr>
          <w:trHeight w:val="697" w:hRule="atLeast"/>
        </w:trPr>
        <w:tc>
          <w:tcPr>
            <w:tcW w:w="1682" w:type="dxa"/>
            <w:tcBorders>
              <w:top w:val="single" w:sz="6" w:space="0" w:color="FFFFFF"/>
              <w:bottom w:val="single" w:sz="6" w:space="0" w:color="FFFFFF"/>
            </w:tcBorders>
            <w:shd w:val="clear" w:color="auto" w:fill="E7EAEB"/>
          </w:tcPr>
          <w:p>
            <w:pPr>
              <w:pStyle w:val="TableParagraph"/>
              <w:spacing w:before="82"/>
              <w:ind w:left="388" w:right="388"/>
              <w:rPr>
                <w:b/>
                <w:sz w:val="20"/>
              </w:rPr>
            </w:pPr>
            <w:r>
              <w:rPr>
                <w:b/>
                <w:sz w:val="20"/>
              </w:rPr>
              <w:t>Egens</w:t>
            </w:r>
          </w:p>
          <w:p>
            <w:pPr>
              <w:pStyle w:val="TableParagraph"/>
              <w:spacing w:before="1"/>
              <w:ind w:left="390" w:right="388"/>
              <w:rPr>
                <w:sz w:val="20"/>
              </w:rPr>
            </w:pPr>
            <w:r>
              <w:rPr>
                <w:sz w:val="20"/>
              </w:rPr>
              <w:t>20200402</w:t>
            </w:r>
          </w:p>
        </w:tc>
        <w:tc>
          <w:tcPr>
            <w:tcW w:w="1907" w:type="dxa"/>
            <w:tcBorders>
              <w:top w:val="single" w:sz="6" w:space="0" w:color="FFFFFF"/>
              <w:bottom w:val="single" w:sz="6" w:space="0" w:color="FFFFFF"/>
            </w:tcBorders>
            <w:shd w:val="clear" w:color="auto" w:fill="E7EAEB"/>
          </w:tcPr>
          <w:p>
            <w:pPr>
              <w:pStyle w:val="TableParagraph"/>
              <w:spacing w:before="2"/>
              <w:jc w:val="left"/>
              <w:rPr>
                <w:sz w:val="17"/>
              </w:rPr>
            </w:pPr>
          </w:p>
          <w:p>
            <w:pPr>
              <w:pStyle w:val="TableParagraph"/>
              <w:spacing w:before="1"/>
              <w:ind w:left="739" w:right="698"/>
              <w:rPr>
                <w:sz w:val="18"/>
              </w:rPr>
            </w:pPr>
            <w:r>
              <w:rPr>
                <w:sz w:val="18"/>
              </w:rPr>
              <w:t>1:32</w:t>
            </w:r>
          </w:p>
        </w:tc>
        <w:tc>
          <w:tcPr>
            <w:tcW w:w="1804" w:type="dxa"/>
            <w:tcBorders>
              <w:top w:val="single" w:sz="6" w:space="0" w:color="FFFFFF"/>
              <w:bottom w:val="single" w:sz="6" w:space="0" w:color="FFFFFF"/>
              <w:right w:val="single" w:sz="4" w:space="0" w:color="FFFFFF"/>
            </w:tcBorders>
            <w:shd w:val="clear" w:color="auto" w:fill="E7EAEB"/>
          </w:tcPr>
          <w:p>
            <w:pPr>
              <w:pStyle w:val="TableParagraph"/>
              <w:spacing w:before="2"/>
              <w:jc w:val="left"/>
              <w:rPr>
                <w:sz w:val="17"/>
              </w:rPr>
            </w:pPr>
          </w:p>
          <w:p>
            <w:pPr>
              <w:pStyle w:val="TableParagraph"/>
              <w:spacing w:before="1"/>
              <w:ind w:left="700" w:right="655"/>
              <w:rPr>
                <w:sz w:val="18"/>
              </w:rPr>
            </w:pPr>
            <w:r>
              <w:rPr>
                <w:sz w:val="18"/>
              </w:rPr>
              <w:t>1:16</w:t>
            </w:r>
          </w:p>
        </w:tc>
        <w:tc>
          <w:tcPr>
            <w:tcW w:w="1595" w:type="dxa"/>
            <w:tcBorders>
              <w:top w:val="single" w:sz="6" w:space="0" w:color="FFFFFF"/>
              <w:left w:val="single" w:sz="4" w:space="0" w:color="FFFFFF"/>
              <w:bottom w:val="single" w:sz="6" w:space="0" w:color="FFFFFF"/>
            </w:tcBorders>
            <w:shd w:val="clear" w:color="auto" w:fill="E7EAEB"/>
          </w:tcPr>
          <w:p>
            <w:pPr>
              <w:pStyle w:val="TableParagraph"/>
              <w:spacing w:before="2"/>
              <w:jc w:val="left"/>
              <w:rPr>
                <w:sz w:val="17"/>
              </w:rPr>
            </w:pPr>
          </w:p>
          <w:p>
            <w:pPr>
              <w:pStyle w:val="TableParagraph"/>
              <w:spacing w:before="1"/>
              <w:ind w:left="587"/>
              <w:jc w:val="left"/>
              <w:rPr>
                <w:sz w:val="18"/>
              </w:rPr>
            </w:pPr>
            <w:r>
              <w:rPr>
                <w:sz w:val="18"/>
              </w:rPr>
              <w:t>1:8</w:t>
            </w:r>
          </w:p>
        </w:tc>
        <w:tc>
          <w:tcPr>
            <w:tcW w:w="1939" w:type="dxa"/>
            <w:tcBorders>
              <w:top w:val="single" w:sz="6" w:space="0" w:color="FFFFFF"/>
              <w:bottom w:val="single" w:sz="6" w:space="0" w:color="FFFFFF"/>
            </w:tcBorders>
            <w:shd w:val="clear" w:color="auto" w:fill="E7EAEB"/>
          </w:tcPr>
          <w:p>
            <w:pPr>
              <w:pStyle w:val="TableParagraph"/>
              <w:spacing w:before="2"/>
              <w:jc w:val="left"/>
              <w:rPr>
                <w:sz w:val="17"/>
              </w:rPr>
            </w:pPr>
          </w:p>
          <w:p>
            <w:pPr>
              <w:pStyle w:val="TableParagraph"/>
              <w:spacing w:before="1"/>
              <w:ind w:left="764"/>
              <w:jc w:val="left"/>
              <w:rPr>
                <w:sz w:val="18"/>
              </w:rPr>
            </w:pPr>
            <w:r>
              <w:rPr>
                <w:sz w:val="18"/>
              </w:rPr>
              <w:t>1:4</w:t>
            </w:r>
          </w:p>
        </w:tc>
      </w:tr>
      <w:tr>
        <w:trPr>
          <w:trHeight w:val="695" w:hRule="atLeast"/>
        </w:trPr>
        <w:tc>
          <w:tcPr>
            <w:tcW w:w="1682" w:type="dxa"/>
            <w:tcBorders>
              <w:top w:val="single" w:sz="6" w:space="0" w:color="FFFFFF"/>
              <w:bottom w:val="single" w:sz="6" w:space="0" w:color="FFFFFF"/>
            </w:tcBorders>
            <w:shd w:val="clear" w:color="auto" w:fill="F3F5F6"/>
          </w:tcPr>
          <w:p>
            <w:pPr>
              <w:pStyle w:val="TableParagraph"/>
              <w:spacing w:line="265" w:lineRule="exact" w:before="82"/>
              <w:ind w:left="451"/>
              <w:jc w:val="left"/>
              <w:rPr>
                <w:b/>
                <w:sz w:val="20"/>
              </w:rPr>
            </w:pPr>
            <w:r>
              <w:rPr>
                <w:b/>
                <w:sz w:val="20"/>
              </w:rPr>
              <w:t>Healgen</w:t>
            </w:r>
          </w:p>
          <w:p>
            <w:pPr>
              <w:pStyle w:val="TableParagraph"/>
              <w:spacing w:line="265" w:lineRule="exact"/>
              <w:ind w:left="465"/>
              <w:jc w:val="left"/>
              <w:rPr>
                <w:sz w:val="20"/>
              </w:rPr>
            </w:pPr>
            <w:r>
              <w:rPr>
                <w:sz w:val="20"/>
              </w:rPr>
              <w:t>2004173</w:t>
            </w:r>
          </w:p>
        </w:tc>
        <w:tc>
          <w:tcPr>
            <w:tcW w:w="1907" w:type="dxa"/>
            <w:tcBorders>
              <w:top w:val="single" w:sz="6" w:space="0" w:color="FFFFFF"/>
              <w:bottom w:val="single" w:sz="6" w:space="0" w:color="FFFFFF"/>
            </w:tcBorders>
            <w:shd w:val="clear" w:color="auto" w:fill="F3F5F6"/>
          </w:tcPr>
          <w:p>
            <w:pPr>
              <w:pStyle w:val="TableParagraph"/>
              <w:jc w:val="left"/>
              <w:rPr>
                <w:sz w:val="17"/>
              </w:rPr>
            </w:pPr>
          </w:p>
          <w:p>
            <w:pPr>
              <w:pStyle w:val="TableParagraph"/>
              <w:ind w:left="739" w:right="700"/>
              <w:rPr>
                <w:sz w:val="18"/>
              </w:rPr>
            </w:pPr>
            <w:r>
              <w:rPr>
                <w:sz w:val="18"/>
              </w:rPr>
              <w:t>1:128</w:t>
            </w:r>
          </w:p>
        </w:tc>
        <w:tc>
          <w:tcPr>
            <w:tcW w:w="1804" w:type="dxa"/>
            <w:tcBorders>
              <w:top w:val="single" w:sz="6" w:space="0" w:color="FFFFFF"/>
              <w:bottom w:val="single" w:sz="6" w:space="0" w:color="FFFFFF"/>
              <w:right w:val="single" w:sz="4" w:space="0" w:color="FFFFFF"/>
            </w:tcBorders>
            <w:shd w:val="clear" w:color="auto" w:fill="F3F5F6"/>
          </w:tcPr>
          <w:p>
            <w:pPr>
              <w:pStyle w:val="TableParagraph"/>
              <w:jc w:val="left"/>
              <w:rPr>
                <w:sz w:val="17"/>
              </w:rPr>
            </w:pPr>
          </w:p>
          <w:p>
            <w:pPr>
              <w:pStyle w:val="TableParagraph"/>
              <w:ind w:left="703" w:right="655"/>
              <w:rPr>
                <w:sz w:val="12"/>
              </w:rPr>
            </w:pPr>
            <w:r>
              <w:rPr>
                <w:sz w:val="18"/>
              </w:rPr>
              <w:t>1:32</w:t>
            </w:r>
            <w:r>
              <w:rPr>
                <w:position w:val="6"/>
                <w:sz w:val="12"/>
              </w:rPr>
              <w:t>#</w:t>
            </w:r>
          </w:p>
        </w:tc>
        <w:tc>
          <w:tcPr>
            <w:tcW w:w="1595" w:type="dxa"/>
            <w:tcBorders>
              <w:top w:val="single" w:sz="6" w:space="0" w:color="FFFFFF"/>
              <w:left w:val="single" w:sz="4" w:space="0" w:color="FFFFFF"/>
              <w:bottom w:val="single" w:sz="6" w:space="0" w:color="FFFFFF"/>
            </w:tcBorders>
            <w:shd w:val="clear" w:color="auto" w:fill="F3F5F6"/>
          </w:tcPr>
          <w:p>
            <w:pPr>
              <w:pStyle w:val="TableParagraph"/>
              <w:jc w:val="left"/>
              <w:rPr>
                <w:sz w:val="17"/>
              </w:rPr>
            </w:pPr>
          </w:p>
          <w:p>
            <w:pPr>
              <w:pStyle w:val="TableParagraph"/>
              <w:ind w:left="587"/>
              <w:jc w:val="left"/>
              <w:rPr>
                <w:sz w:val="18"/>
              </w:rPr>
            </w:pPr>
            <w:r>
              <w:rPr>
                <w:sz w:val="18"/>
              </w:rPr>
              <w:t>1:8</w:t>
            </w:r>
          </w:p>
        </w:tc>
        <w:tc>
          <w:tcPr>
            <w:tcW w:w="1939" w:type="dxa"/>
            <w:tcBorders>
              <w:top w:val="single" w:sz="6" w:space="0" w:color="FFFFFF"/>
              <w:bottom w:val="single" w:sz="6" w:space="0" w:color="FFFFFF"/>
            </w:tcBorders>
            <w:shd w:val="clear" w:color="auto" w:fill="F3F5F6"/>
          </w:tcPr>
          <w:p>
            <w:pPr>
              <w:pStyle w:val="TableParagraph"/>
              <w:jc w:val="left"/>
              <w:rPr>
                <w:sz w:val="17"/>
              </w:rPr>
            </w:pPr>
          </w:p>
          <w:p>
            <w:pPr>
              <w:pStyle w:val="TableParagraph"/>
              <w:ind w:left="764"/>
              <w:jc w:val="left"/>
              <w:rPr>
                <w:sz w:val="18"/>
              </w:rPr>
            </w:pPr>
            <w:r>
              <w:rPr>
                <w:sz w:val="18"/>
              </w:rPr>
              <w:t>1:2</w:t>
            </w:r>
          </w:p>
        </w:tc>
      </w:tr>
      <w:tr>
        <w:trPr>
          <w:trHeight w:val="697" w:hRule="atLeast"/>
        </w:trPr>
        <w:tc>
          <w:tcPr>
            <w:tcW w:w="1682" w:type="dxa"/>
            <w:tcBorders>
              <w:top w:val="single" w:sz="6" w:space="0" w:color="FFFFFF"/>
              <w:bottom w:val="single" w:sz="6" w:space="0" w:color="FFFFFF"/>
            </w:tcBorders>
            <w:shd w:val="clear" w:color="auto" w:fill="E7EAEB"/>
          </w:tcPr>
          <w:p>
            <w:pPr>
              <w:pStyle w:val="TableParagraph"/>
              <w:spacing w:before="82"/>
              <w:ind w:left="451"/>
              <w:jc w:val="left"/>
              <w:rPr>
                <w:b/>
                <w:sz w:val="20"/>
              </w:rPr>
            </w:pPr>
            <w:r>
              <w:rPr>
                <w:b/>
                <w:sz w:val="20"/>
              </w:rPr>
              <w:t>Healgen</w:t>
            </w:r>
          </w:p>
          <w:p>
            <w:pPr>
              <w:pStyle w:val="TableParagraph"/>
              <w:spacing w:before="1"/>
              <w:ind w:left="465"/>
              <w:jc w:val="left"/>
              <w:rPr>
                <w:sz w:val="20"/>
              </w:rPr>
            </w:pPr>
            <w:r>
              <w:rPr>
                <w:sz w:val="20"/>
              </w:rPr>
              <w:t>2004159</w:t>
            </w:r>
          </w:p>
        </w:tc>
        <w:tc>
          <w:tcPr>
            <w:tcW w:w="1907" w:type="dxa"/>
            <w:tcBorders>
              <w:top w:val="single" w:sz="6" w:space="0" w:color="FFFFFF"/>
              <w:bottom w:val="single" w:sz="6" w:space="0" w:color="FFFFFF"/>
            </w:tcBorders>
            <w:shd w:val="clear" w:color="auto" w:fill="E7EAEB"/>
          </w:tcPr>
          <w:p>
            <w:pPr>
              <w:pStyle w:val="TableParagraph"/>
              <w:spacing w:before="2"/>
              <w:jc w:val="left"/>
              <w:rPr>
                <w:sz w:val="17"/>
              </w:rPr>
            </w:pPr>
          </w:p>
          <w:p>
            <w:pPr>
              <w:pStyle w:val="TableParagraph"/>
              <w:spacing w:before="1"/>
              <w:ind w:left="739" w:right="698"/>
              <w:rPr>
                <w:sz w:val="18"/>
              </w:rPr>
            </w:pPr>
            <w:r>
              <w:rPr>
                <w:sz w:val="18"/>
              </w:rPr>
              <w:t>1:64</w:t>
            </w:r>
          </w:p>
        </w:tc>
        <w:tc>
          <w:tcPr>
            <w:tcW w:w="1804" w:type="dxa"/>
            <w:tcBorders>
              <w:top w:val="single" w:sz="6" w:space="0" w:color="FFFFFF"/>
              <w:bottom w:val="single" w:sz="6" w:space="0" w:color="FFFFFF"/>
              <w:right w:val="single" w:sz="4" w:space="0" w:color="FFFFFF"/>
            </w:tcBorders>
            <w:shd w:val="clear" w:color="auto" w:fill="E7EAEB"/>
          </w:tcPr>
          <w:p>
            <w:pPr>
              <w:pStyle w:val="TableParagraph"/>
              <w:spacing w:before="2"/>
              <w:jc w:val="left"/>
              <w:rPr>
                <w:sz w:val="17"/>
              </w:rPr>
            </w:pPr>
          </w:p>
          <w:p>
            <w:pPr>
              <w:pStyle w:val="TableParagraph"/>
              <w:spacing w:before="1"/>
              <w:ind w:left="702" w:right="655"/>
              <w:rPr>
                <w:sz w:val="18"/>
              </w:rPr>
            </w:pPr>
            <w:r>
              <w:rPr>
                <w:sz w:val="18"/>
              </w:rPr>
              <w:t>1:32</w:t>
            </w:r>
          </w:p>
        </w:tc>
        <w:tc>
          <w:tcPr>
            <w:tcW w:w="1595" w:type="dxa"/>
            <w:tcBorders>
              <w:top w:val="single" w:sz="6" w:space="0" w:color="FFFFFF"/>
              <w:left w:val="single" w:sz="4" w:space="0" w:color="FFFFFF"/>
              <w:bottom w:val="single" w:sz="6" w:space="0" w:color="FFFFFF"/>
            </w:tcBorders>
            <w:shd w:val="clear" w:color="auto" w:fill="E7EAEB"/>
          </w:tcPr>
          <w:p>
            <w:pPr>
              <w:pStyle w:val="TableParagraph"/>
              <w:spacing w:before="2"/>
              <w:jc w:val="left"/>
              <w:rPr>
                <w:sz w:val="17"/>
              </w:rPr>
            </w:pPr>
          </w:p>
          <w:p>
            <w:pPr>
              <w:pStyle w:val="TableParagraph"/>
              <w:spacing w:before="1"/>
              <w:ind w:left="587"/>
              <w:jc w:val="left"/>
              <w:rPr>
                <w:sz w:val="18"/>
              </w:rPr>
            </w:pPr>
            <w:r>
              <w:rPr>
                <w:sz w:val="18"/>
              </w:rPr>
              <w:t>1:8</w:t>
            </w:r>
          </w:p>
        </w:tc>
        <w:tc>
          <w:tcPr>
            <w:tcW w:w="1939" w:type="dxa"/>
            <w:tcBorders>
              <w:top w:val="single" w:sz="6" w:space="0" w:color="FFFFFF"/>
              <w:bottom w:val="single" w:sz="6" w:space="0" w:color="FFFFFF"/>
            </w:tcBorders>
            <w:shd w:val="clear" w:color="auto" w:fill="E7EAEB"/>
          </w:tcPr>
          <w:p>
            <w:pPr>
              <w:pStyle w:val="TableParagraph"/>
              <w:spacing w:before="2"/>
              <w:jc w:val="left"/>
              <w:rPr>
                <w:sz w:val="17"/>
              </w:rPr>
            </w:pPr>
          </w:p>
          <w:p>
            <w:pPr>
              <w:pStyle w:val="TableParagraph"/>
              <w:spacing w:before="1"/>
              <w:ind w:left="764"/>
              <w:jc w:val="left"/>
              <w:rPr>
                <w:sz w:val="18"/>
              </w:rPr>
            </w:pPr>
            <w:r>
              <w:rPr>
                <w:sz w:val="18"/>
              </w:rPr>
              <w:t>1:4</w:t>
            </w:r>
          </w:p>
        </w:tc>
      </w:tr>
      <w:tr>
        <w:trPr>
          <w:trHeight w:val="671" w:hRule="atLeast"/>
        </w:trPr>
        <w:tc>
          <w:tcPr>
            <w:tcW w:w="1682" w:type="dxa"/>
            <w:tcBorders>
              <w:top w:val="single" w:sz="6" w:space="0" w:color="FFFFFF"/>
              <w:bottom w:val="single" w:sz="6" w:space="0" w:color="FFFFFF"/>
            </w:tcBorders>
            <w:shd w:val="clear" w:color="auto" w:fill="F3F5F6"/>
          </w:tcPr>
          <w:p>
            <w:pPr>
              <w:pStyle w:val="TableParagraph"/>
              <w:spacing w:before="82"/>
              <w:ind w:left="422"/>
              <w:jc w:val="left"/>
              <w:rPr>
                <w:b/>
                <w:sz w:val="20"/>
              </w:rPr>
            </w:pPr>
            <w:r>
              <w:rPr>
                <w:b/>
                <w:sz w:val="20"/>
              </w:rPr>
              <w:t>Newscen</w:t>
            </w:r>
          </w:p>
          <w:p>
            <w:pPr>
              <w:pStyle w:val="TableParagraph"/>
              <w:spacing w:before="1"/>
              <w:ind w:left="439"/>
              <w:jc w:val="left"/>
              <w:rPr>
                <w:sz w:val="18"/>
              </w:rPr>
            </w:pPr>
            <w:r>
              <w:rPr>
                <w:sz w:val="18"/>
              </w:rPr>
              <w:t>Y07G2002</w:t>
            </w:r>
          </w:p>
        </w:tc>
        <w:tc>
          <w:tcPr>
            <w:tcW w:w="1907" w:type="dxa"/>
            <w:tcBorders>
              <w:top w:val="single" w:sz="6" w:space="0" w:color="FFFFFF"/>
              <w:bottom w:val="single" w:sz="6" w:space="0" w:color="FFFFFF"/>
            </w:tcBorders>
            <w:shd w:val="clear" w:color="auto" w:fill="F3F5F6"/>
          </w:tcPr>
          <w:p>
            <w:pPr>
              <w:pStyle w:val="TableParagraph"/>
              <w:spacing w:before="214"/>
              <w:ind w:left="739" w:right="697"/>
              <w:rPr>
                <w:sz w:val="18"/>
              </w:rPr>
            </w:pPr>
            <w:r>
              <w:rPr>
                <w:sz w:val="18"/>
              </w:rPr>
              <w:t>1:16</w:t>
            </w:r>
          </w:p>
        </w:tc>
        <w:tc>
          <w:tcPr>
            <w:tcW w:w="1804" w:type="dxa"/>
            <w:tcBorders>
              <w:top w:val="single" w:sz="6" w:space="0" w:color="FFFFFF"/>
              <w:bottom w:val="single" w:sz="6" w:space="0" w:color="FFFFFF"/>
              <w:right w:val="single" w:sz="4" w:space="0" w:color="FFFFFF"/>
            </w:tcBorders>
            <w:shd w:val="clear" w:color="auto" w:fill="F3F5F6"/>
          </w:tcPr>
          <w:p>
            <w:pPr>
              <w:pStyle w:val="TableParagraph"/>
              <w:spacing w:before="214"/>
              <w:ind w:left="702" w:right="655"/>
              <w:rPr>
                <w:sz w:val="18"/>
              </w:rPr>
            </w:pPr>
            <w:r>
              <w:rPr>
                <w:sz w:val="18"/>
              </w:rPr>
              <w:t>1:16</w:t>
            </w:r>
          </w:p>
        </w:tc>
        <w:tc>
          <w:tcPr>
            <w:tcW w:w="1595" w:type="dxa"/>
            <w:tcBorders>
              <w:top w:val="single" w:sz="6" w:space="0" w:color="FFFFFF"/>
              <w:left w:val="single" w:sz="4" w:space="0" w:color="FFFFFF"/>
              <w:bottom w:val="single" w:sz="6" w:space="0" w:color="FFFFFF"/>
            </w:tcBorders>
            <w:shd w:val="clear" w:color="auto" w:fill="F3F5F6"/>
          </w:tcPr>
          <w:p>
            <w:pPr>
              <w:pStyle w:val="TableParagraph"/>
              <w:spacing w:before="214"/>
              <w:ind w:left="587"/>
              <w:jc w:val="left"/>
              <w:rPr>
                <w:sz w:val="18"/>
              </w:rPr>
            </w:pPr>
            <w:r>
              <w:rPr>
                <w:sz w:val="18"/>
              </w:rPr>
              <w:t>1:4</w:t>
            </w:r>
          </w:p>
        </w:tc>
        <w:tc>
          <w:tcPr>
            <w:tcW w:w="1939" w:type="dxa"/>
            <w:tcBorders>
              <w:top w:val="single" w:sz="6" w:space="0" w:color="FFFFFF"/>
              <w:bottom w:val="single" w:sz="6" w:space="0" w:color="FFFFFF"/>
            </w:tcBorders>
            <w:shd w:val="clear" w:color="auto" w:fill="F3F5F6"/>
          </w:tcPr>
          <w:p>
            <w:pPr>
              <w:pStyle w:val="TableParagraph"/>
              <w:spacing w:before="214"/>
              <w:ind w:left="713"/>
              <w:jc w:val="left"/>
              <w:rPr>
                <w:sz w:val="18"/>
              </w:rPr>
            </w:pPr>
            <w:r>
              <w:rPr>
                <w:sz w:val="18"/>
              </w:rPr>
              <w:t>Neg</w:t>
            </w:r>
          </w:p>
        </w:tc>
      </w:tr>
      <w:tr>
        <w:trPr>
          <w:trHeight w:val="670" w:hRule="atLeast"/>
        </w:trPr>
        <w:tc>
          <w:tcPr>
            <w:tcW w:w="1682" w:type="dxa"/>
            <w:tcBorders>
              <w:top w:val="single" w:sz="6" w:space="0" w:color="FFFFFF"/>
            </w:tcBorders>
            <w:shd w:val="clear" w:color="auto" w:fill="E7EAEB"/>
          </w:tcPr>
          <w:p>
            <w:pPr>
              <w:pStyle w:val="TableParagraph"/>
              <w:spacing w:before="80"/>
              <w:ind w:left="422"/>
              <w:jc w:val="left"/>
              <w:rPr>
                <w:b/>
                <w:sz w:val="20"/>
              </w:rPr>
            </w:pPr>
            <w:r>
              <w:rPr>
                <w:b/>
                <w:sz w:val="20"/>
              </w:rPr>
              <w:t>Newscen</w:t>
            </w:r>
          </w:p>
          <w:p>
            <w:pPr>
              <w:pStyle w:val="TableParagraph"/>
              <w:ind w:left="439"/>
              <w:jc w:val="left"/>
              <w:rPr>
                <w:sz w:val="18"/>
              </w:rPr>
            </w:pPr>
            <w:r>
              <w:rPr>
                <w:sz w:val="18"/>
              </w:rPr>
              <w:t>Y07G2003</w:t>
            </w:r>
          </w:p>
        </w:tc>
        <w:tc>
          <w:tcPr>
            <w:tcW w:w="1907" w:type="dxa"/>
            <w:tcBorders>
              <w:top w:val="single" w:sz="6" w:space="0" w:color="FFFFFF"/>
            </w:tcBorders>
            <w:shd w:val="clear" w:color="auto" w:fill="E7EAEB"/>
          </w:tcPr>
          <w:p>
            <w:pPr>
              <w:pStyle w:val="TableParagraph"/>
              <w:spacing w:before="214"/>
              <w:ind w:left="739" w:right="697"/>
              <w:rPr>
                <w:sz w:val="18"/>
              </w:rPr>
            </w:pPr>
            <w:r>
              <w:rPr>
                <w:sz w:val="18"/>
              </w:rPr>
              <w:t>1:16</w:t>
            </w:r>
          </w:p>
        </w:tc>
        <w:tc>
          <w:tcPr>
            <w:tcW w:w="1804" w:type="dxa"/>
            <w:tcBorders>
              <w:top w:val="single" w:sz="6" w:space="0" w:color="FFFFFF"/>
              <w:right w:val="single" w:sz="4" w:space="0" w:color="FFFFFF"/>
            </w:tcBorders>
            <w:shd w:val="clear" w:color="auto" w:fill="E7EAEB"/>
          </w:tcPr>
          <w:p>
            <w:pPr>
              <w:pStyle w:val="TableParagraph"/>
              <w:spacing w:before="214"/>
              <w:ind w:left="703" w:right="655"/>
              <w:rPr>
                <w:sz w:val="18"/>
              </w:rPr>
            </w:pPr>
            <w:r>
              <w:rPr>
                <w:sz w:val="18"/>
              </w:rPr>
              <w:t>1:8</w:t>
            </w:r>
          </w:p>
        </w:tc>
        <w:tc>
          <w:tcPr>
            <w:tcW w:w="1595" w:type="dxa"/>
            <w:tcBorders>
              <w:top w:val="single" w:sz="6" w:space="0" w:color="FFFFFF"/>
              <w:left w:val="single" w:sz="4" w:space="0" w:color="FFFFFF"/>
            </w:tcBorders>
            <w:shd w:val="clear" w:color="auto" w:fill="E7EAEB"/>
          </w:tcPr>
          <w:p>
            <w:pPr>
              <w:pStyle w:val="TableParagraph"/>
              <w:spacing w:before="214"/>
              <w:ind w:left="587"/>
              <w:jc w:val="left"/>
              <w:rPr>
                <w:sz w:val="18"/>
              </w:rPr>
            </w:pPr>
            <w:r>
              <w:rPr>
                <w:sz w:val="18"/>
              </w:rPr>
              <w:t>1:8</w:t>
            </w:r>
          </w:p>
        </w:tc>
        <w:tc>
          <w:tcPr>
            <w:tcW w:w="1939" w:type="dxa"/>
            <w:tcBorders>
              <w:top w:val="single" w:sz="6" w:space="0" w:color="FFFFFF"/>
            </w:tcBorders>
            <w:shd w:val="clear" w:color="auto" w:fill="E7EAEB"/>
          </w:tcPr>
          <w:p>
            <w:pPr>
              <w:pStyle w:val="TableParagraph"/>
              <w:spacing w:before="214"/>
              <w:ind w:left="713"/>
              <w:jc w:val="left"/>
              <w:rPr>
                <w:sz w:val="18"/>
              </w:rPr>
            </w:pPr>
            <w:r>
              <w:rPr>
                <w:sz w:val="18"/>
              </w:rPr>
              <w:t>Neg</w:t>
            </w:r>
          </w:p>
        </w:tc>
      </w:tr>
    </w:tbl>
    <w:p>
      <w:pPr>
        <w:pStyle w:val="ListParagraph"/>
        <w:numPr>
          <w:ilvl w:val="0"/>
          <w:numId w:val="7"/>
        </w:numPr>
        <w:tabs>
          <w:tab w:pos="272" w:val="left" w:leader="none"/>
        </w:tabs>
        <w:spacing w:line="240" w:lineRule="auto" w:before="9" w:after="0"/>
        <w:ind w:left="120" w:right="5415" w:firstLine="0"/>
        <w:jc w:val="left"/>
        <w:rPr>
          <w:sz w:val="22"/>
        </w:rPr>
      </w:pPr>
      <w:r>
        <w:rPr>
          <w:sz w:val="22"/>
        </w:rPr>
        <w:t>IgG and IgM reactivity was detected at 1:128 # IgM reactivity was detected at</w:t>
      </w:r>
      <w:r>
        <w:rPr>
          <w:spacing w:val="-9"/>
          <w:sz w:val="22"/>
        </w:rPr>
        <w:t> </w:t>
      </w:r>
      <w:r>
        <w:rPr>
          <w:sz w:val="22"/>
        </w:rPr>
        <w:t>1:128</w:t>
      </w:r>
    </w:p>
    <w:p>
      <w:pPr>
        <w:spacing w:before="1"/>
        <w:ind w:left="120" w:right="0" w:firstLine="0"/>
        <w:jc w:val="left"/>
        <w:rPr>
          <w:sz w:val="22"/>
        </w:rPr>
      </w:pPr>
      <w:bookmarkStart w:name="_bookmark13" w:id="38"/>
      <w:bookmarkEnd w:id="38"/>
      <w:r>
        <w:rPr/>
      </w:r>
      <w:r>
        <w:rPr>
          <w:sz w:val="22"/>
        </w:rPr>
        <w:t>Neg – No reactivity detected</w:t>
      </w:r>
    </w:p>
    <w:p>
      <w:pPr>
        <w:spacing w:after="0"/>
        <w:jc w:val="left"/>
        <w:rPr>
          <w:sz w:val="22"/>
        </w:rPr>
        <w:sectPr>
          <w:pgSz w:w="11910" w:h="16840"/>
          <w:pgMar w:header="1042" w:footer="764" w:top="4180" w:bottom="960" w:left="1320" w:right="580"/>
        </w:sectPr>
      </w:pPr>
    </w:p>
    <w:p>
      <w:pPr>
        <w:pStyle w:val="BodyText"/>
        <w:spacing w:before="4"/>
        <w:rPr>
          <w:sz w:val="28"/>
        </w:rPr>
      </w:pPr>
    </w:p>
    <w:p>
      <w:pPr>
        <w:pStyle w:val="Heading1"/>
        <w:numPr>
          <w:ilvl w:val="1"/>
          <w:numId w:val="9"/>
        </w:numPr>
        <w:tabs>
          <w:tab w:pos="840" w:val="left" w:leader="none"/>
        </w:tabs>
        <w:spacing w:line="240" w:lineRule="auto" w:before="100" w:after="0"/>
        <w:ind w:left="840" w:right="0" w:hanging="360"/>
        <w:jc w:val="left"/>
      </w:pPr>
      <w:bookmarkStart w:name="4. Discussion" w:id="39"/>
      <w:bookmarkEnd w:id="39"/>
      <w:r>
        <w:rPr/>
      </w:r>
      <w:bookmarkStart w:name="4. Discussion" w:id="40"/>
      <w:bookmarkEnd w:id="40"/>
      <w:r>
        <w:rPr>
          <w:color w:val="007CC5"/>
        </w:rPr>
        <w:t>D</w:t>
      </w:r>
      <w:r>
        <w:rPr>
          <w:color w:val="007CC5"/>
        </w:rPr>
        <w:t>iscussion</w:t>
      </w:r>
    </w:p>
    <w:p>
      <w:pPr>
        <w:pStyle w:val="BodyText"/>
        <w:spacing w:line="360" w:lineRule="auto" w:before="251"/>
        <w:ind w:left="119" w:right="854"/>
        <w:jc w:val="both"/>
      </w:pPr>
      <w:r>
        <w:rPr/>
        <w:t>Results of post-market evaluation of a further three COVID-19 serology rapid test are presented. This study was performed by NRL, using a different panel of specimens than the previous Doherty reports. As with previous reports, the results of each test kit evaluated were within the stated IFU range for specificity. The sensitivity estimated by this study for IgM reactivity was lower than that reported by two manufacturers. Note that manufacturers make varying sensitivity claims for IgG only, IgM only and combined IgG/IgM and use different criteria to establish the reference result.</w:t>
      </w:r>
    </w:p>
    <w:p>
      <w:pPr>
        <w:pStyle w:val="BodyText"/>
        <w:spacing w:before="12"/>
        <w:rPr>
          <w:sz w:val="35"/>
        </w:rPr>
      </w:pPr>
    </w:p>
    <w:p>
      <w:pPr>
        <w:pStyle w:val="BodyText"/>
        <w:spacing w:line="360" w:lineRule="auto" w:before="1"/>
        <w:ind w:left="119" w:right="855"/>
        <w:jc w:val="both"/>
      </w:pPr>
      <w:r>
        <w:rPr/>
        <w:t>For detection of anti-SARS-CoV-2 IgG and/or IgM, the sensitivity of the three test kits ranged from 90.9% for Newscen to 100% for Healgen. Specificity for IgG/IgM ranged from 91.0% for Healgen and Egens; to 96.0% for Newscen.</w:t>
      </w:r>
    </w:p>
    <w:p>
      <w:pPr>
        <w:pStyle w:val="BodyText"/>
        <w:spacing w:before="13"/>
        <w:rPr>
          <w:sz w:val="35"/>
        </w:rPr>
      </w:pPr>
    </w:p>
    <w:p>
      <w:pPr>
        <w:pStyle w:val="BodyText"/>
        <w:spacing w:line="360" w:lineRule="auto"/>
        <w:ind w:left="120" w:right="858"/>
        <w:jc w:val="both"/>
      </w:pPr>
      <w:r>
        <w:rPr/>
        <w:t>There was no significant lot-to-lot variation detected for any test kit for IgG or IgM reactivity.</w:t>
      </w:r>
    </w:p>
    <w:p>
      <w:pPr>
        <w:pStyle w:val="BodyText"/>
        <w:spacing w:before="1"/>
        <w:rPr>
          <w:sz w:val="26"/>
        </w:rPr>
      </w:pPr>
    </w:p>
    <w:p>
      <w:pPr>
        <w:pStyle w:val="Heading1"/>
        <w:numPr>
          <w:ilvl w:val="1"/>
          <w:numId w:val="9"/>
        </w:numPr>
        <w:tabs>
          <w:tab w:pos="840" w:val="left" w:leader="none"/>
        </w:tabs>
        <w:spacing w:line="240" w:lineRule="auto" w:before="0" w:after="0"/>
        <w:ind w:left="840" w:right="0" w:hanging="360"/>
        <w:jc w:val="left"/>
      </w:pPr>
      <w:bookmarkStart w:name="5. Acknowledgements" w:id="41"/>
      <w:bookmarkEnd w:id="41"/>
      <w:r>
        <w:rPr/>
      </w:r>
      <w:bookmarkStart w:name="_bookmark14" w:id="42"/>
      <w:bookmarkEnd w:id="42"/>
      <w:r>
        <w:rPr/>
      </w:r>
      <w:bookmarkStart w:name="_bookmark14" w:id="43"/>
      <w:bookmarkEnd w:id="43"/>
      <w:r>
        <w:rPr>
          <w:color w:val="007CC5"/>
        </w:rPr>
        <w:t>A</w:t>
      </w:r>
      <w:r>
        <w:rPr>
          <w:color w:val="007CC5"/>
        </w:rPr>
        <w:t>cknowledgements</w:t>
      </w:r>
    </w:p>
    <w:p>
      <w:pPr>
        <w:pStyle w:val="BodyText"/>
        <w:spacing w:line="360" w:lineRule="auto" w:before="250"/>
        <w:ind w:left="119" w:right="859"/>
        <w:jc w:val="both"/>
      </w:pPr>
      <w:r>
        <w:rPr/>
        <w:t>We thank the NRL scientific and technical staff who compiled the panel of specimens and performed the testing.</w:t>
      </w:r>
    </w:p>
    <w:p>
      <w:pPr>
        <w:spacing w:after="0" w:line="360" w:lineRule="auto"/>
        <w:jc w:val="both"/>
        <w:sectPr>
          <w:pgSz w:w="11910" w:h="16840"/>
          <w:pgMar w:header="1042" w:footer="764" w:top="4180" w:bottom="960" w:left="1320" w:right="580"/>
        </w:sectPr>
      </w:pPr>
    </w:p>
    <w:p>
      <w:pPr>
        <w:pStyle w:val="BodyText"/>
        <w:spacing w:before="4"/>
        <w:rPr>
          <w:sz w:val="28"/>
        </w:rPr>
      </w:pPr>
    </w:p>
    <w:p>
      <w:pPr>
        <w:pStyle w:val="Heading1"/>
        <w:numPr>
          <w:ilvl w:val="1"/>
          <w:numId w:val="9"/>
        </w:numPr>
        <w:tabs>
          <w:tab w:pos="934" w:val="left" w:leader="none"/>
        </w:tabs>
        <w:spacing w:line="240" w:lineRule="auto" w:before="100" w:after="0"/>
        <w:ind w:left="933" w:right="0" w:hanging="454"/>
        <w:jc w:val="left"/>
      </w:pPr>
      <w:bookmarkStart w:name="6.  References" w:id="44"/>
      <w:bookmarkEnd w:id="44"/>
      <w:r>
        <w:rPr/>
      </w:r>
      <w:bookmarkStart w:name="_bookmark15" w:id="45"/>
      <w:bookmarkEnd w:id="45"/>
      <w:r>
        <w:rPr>
          <w:color w:val="007CC5"/>
        </w:rPr>
        <w:t>R</w:t>
      </w:r>
      <w:r>
        <w:rPr>
          <w:color w:val="007CC5"/>
        </w:rPr>
        <w:t>eferences</w:t>
      </w:r>
    </w:p>
    <w:p>
      <w:pPr>
        <w:pStyle w:val="ListParagraph"/>
        <w:numPr>
          <w:ilvl w:val="0"/>
          <w:numId w:val="11"/>
        </w:numPr>
        <w:tabs>
          <w:tab w:pos="839" w:val="left" w:leader="none"/>
          <w:tab w:pos="840" w:val="left" w:leader="none"/>
        </w:tabs>
        <w:spacing w:line="360" w:lineRule="auto" w:before="251" w:after="0"/>
        <w:ind w:left="120" w:right="1432" w:firstLine="0"/>
        <w:jc w:val="left"/>
        <w:rPr>
          <w:sz w:val="24"/>
        </w:rPr>
      </w:pPr>
      <w:r>
        <w:rPr>
          <w:sz w:val="24"/>
        </w:rPr>
        <w:t>Nisreen M.A. Okba </w:t>
      </w:r>
      <w:r>
        <w:rPr>
          <w:i/>
          <w:sz w:val="24"/>
        </w:rPr>
        <w:t>et al. </w:t>
      </w:r>
      <w:r>
        <w:rPr>
          <w:sz w:val="24"/>
        </w:rPr>
        <w:t>Severe Acute Respiratory Syndrome Coronavirus 2−Specific Antibody Responses in Coronavirus Disease 2019 Patients. </w:t>
      </w:r>
      <w:r>
        <w:rPr>
          <w:i/>
          <w:sz w:val="24"/>
        </w:rPr>
        <w:t>Emerging </w:t>
      </w:r>
      <w:r>
        <w:rPr>
          <w:i/>
          <w:sz w:val="24"/>
        </w:rPr>
        <w:t>Infectious Disease journal </w:t>
      </w:r>
      <w:r>
        <w:rPr>
          <w:b/>
          <w:sz w:val="24"/>
        </w:rPr>
        <w:t>26</w:t>
      </w:r>
      <w:r>
        <w:rPr>
          <w:sz w:val="24"/>
        </w:rPr>
        <w:t>,</w:t>
      </w:r>
      <w:r>
        <w:rPr>
          <w:spacing w:val="-4"/>
          <w:sz w:val="24"/>
        </w:rPr>
        <w:t> </w:t>
      </w:r>
      <w:r>
        <w:rPr>
          <w:sz w:val="24"/>
        </w:rPr>
        <w:t>(2020).</w:t>
      </w:r>
    </w:p>
    <w:p>
      <w:pPr>
        <w:pStyle w:val="ListParagraph"/>
        <w:numPr>
          <w:ilvl w:val="0"/>
          <w:numId w:val="11"/>
        </w:numPr>
        <w:tabs>
          <w:tab w:pos="839" w:val="left" w:leader="none"/>
          <w:tab w:pos="840" w:val="left" w:leader="none"/>
        </w:tabs>
        <w:spacing w:line="360" w:lineRule="auto" w:before="1" w:after="0"/>
        <w:ind w:left="120" w:right="1516" w:firstLine="0"/>
        <w:jc w:val="left"/>
        <w:rPr>
          <w:sz w:val="24"/>
        </w:rPr>
      </w:pPr>
      <w:r>
        <w:rPr>
          <w:sz w:val="24"/>
        </w:rPr>
        <w:t>Petherick, A. Developing antibody tests for SARS-CoV-2. </w:t>
      </w:r>
      <w:r>
        <w:rPr>
          <w:i/>
          <w:sz w:val="24"/>
        </w:rPr>
        <w:t>The Lancet </w:t>
      </w:r>
      <w:r>
        <w:rPr>
          <w:b/>
          <w:sz w:val="24"/>
        </w:rPr>
        <w:t>395</w:t>
      </w:r>
      <w:r>
        <w:rPr>
          <w:sz w:val="24"/>
        </w:rPr>
        <w:t>, 1101–1102</w:t>
      </w:r>
      <w:r>
        <w:rPr>
          <w:spacing w:val="-2"/>
          <w:sz w:val="24"/>
        </w:rPr>
        <w:t> </w:t>
      </w:r>
      <w:r>
        <w:rPr>
          <w:sz w:val="24"/>
        </w:rPr>
        <w:t>(2020).</w:t>
      </w:r>
    </w:p>
    <w:p>
      <w:pPr>
        <w:pStyle w:val="ListParagraph"/>
        <w:numPr>
          <w:ilvl w:val="0"/>
          <w:numId w:val="11"/>
        </w:numPr>
        <w:tabs>
          <w:tab w:pos="839" w:val="left" w:leader="none"/>
          <w:tab w:pos="840" w:val="left" w:leader="none"/>
        </w:tabs>
        <w:spacing w:line="360" w:lineRule="auto" w:before="0" w:after="0"/>
        <w:ind w:left="120" w:right="1222" w:firstLine="0"/>
        <w:jc w:val="left"/>
        <w:rPr>
          <w:sz w:val="24"/>
        </w:rPr>
      </w:pPr>
      <w:r>
        <w:rPr>
          <w:sz w:val="24"/>
        </w:rPr>
        <w:t>Wu, F. </w:t>
      </w:r>
      <w:r>
        <w:rPr>
          <w:i/>
          <w:sz w:val="24"/>
        </w:rPr>
        <w:t>et al. </w:t>
      </w:r>
      <w:r>
        <w:rPr>
          <w:sz w:val="24"/>
        </w:rPr>
        <w:t>Neutralizing antibody responses to SARS-CoV-2 in a COVID-19 recovered patient cohort and their implications. </w:t>
      </w:r>
      <w:r>
        <w:rPr>
          <w:i/>
          <w:sz w:val="24"/>
        </w:rPr>
        <w:t>Pre-Print MedRxiv </w:t>
      </w:r>
      <w:r>
        <w:rPr>
          <w:sz w:val="24"/>
        </w:rPr>
        <w:t>20 doi:10.1101/2020/03/30.20047365.</w:t>
      </w:r>
    </w:p>
    <w:p>
      <w:pPr>
        <w:pStyle w:val="ListParagraph"/>
        <w:numPr>
          <w:ilvl w:val="0"/>
          <w:numId w:val="11"/>
        </w:numPr>
        <w:tabs>
          <w:tab w:pos="839" w:val="left" w:leader="none"/>
          <w:tab w:pos="840" w:val="left" w:leader="none"/>
        </w:tabs>
        <w:spacing w:line="360" w:lineRule="auto" w:before="0" w:after="0"/>
        <w:ind w:left="120" w:right="942" w:firstLine="0"/>
        <w:jc w:val="left"/>
        <w:rPr>
          <w:sz w:val="24"/>
        </w:rPr>
      </w:pPr>
      <w:r>
        <w:rPr>
          <w:sz w:val="24"/>
        </w:rPr>
        <w:t>Corman, V. M. </w:t>
      </w:r>
      <w:r>
        <w:rPr>
          <w:i/>
          <w:sz w:val="24"/>
        </w:rPr>
        <w:t>et al. </w:t>
      </w:r>
      <w:r>
        <w:rPr>
          <w:sz w:val="24"/>
        </w:rPr>
        <w:t>Detection of 2019 novel coronavirus (2019-nCoV) by real- time RT-PCR. </w:t>
      </w:r>
      <w:r>
        <w:rPr>
          <w:i/>
          <w:sz w:val="24"/>
        </w:rPr>
        <w:t>Eurosurveillance </w:t>
      </w:r>
      <w:r>
        <w:rPr>
          <w:b/>
          <w:sz w:val="24"/>
        </w:rPr>
        <w:t>25</w:t>
      </w:r>
      <w:r>
        <w:rPr>
          <w:sz w:val="24"/>
        </w:rPr>
        <w:t>,</w:t>
      </w:r>
      <w:r>
        <w:rPr>
          <w:spacing w:val="-6"/>
          <w:sz w:val="24"/>
        </w:rPr>
        <w:t> </w:t>
      </w:r>
      <w:r>
        <w:rPr>
          <w:sz w:val="24"/>
        </w:rPr>
        <w:t>(2020).</w:t>
      </w:r>
    </w:p>
    <w:p>
      <w:pPr>
        <w:pStyle w:val="ListParagraph"/>
        <w:numPr>
          <w:ilvl w:val="0"/>
          <w:numId w:val="11"/>
        </w:numPr>
        <w:tabs>
          <w:tab w:pos="839" w:val="left" w:leader="none"/>
          <w:tab w:pos="840" w:val="left" w:leader="none"/>
        </w:tabs>
        <w:spacing w:line="240" w:lineRule="auto" w:before="0" w:after="0"/>
        <w:ind w:left="840" w:right="0" w:hanging="720"/>
        <w:jc w:val="left"/>
        <w:rPr>
          <w:sz w:val="24"/>
        </w:rPr>
      </w:pPr>
      <w:r>
        <w:rPr>
          <w:sz w:val="24"/>
        </w:rPr>
        <w:t>Caly, L. </w:t>
      </w:r>
      <w:r>
        <w:rPr>
          <w:i/>
          <w:sz w:val="24"/>
        </w:rPr>
        <w:t>et al. </w:t>
      </w:r>
      <w:r>
        <w:rPr>
          <w:sz w:val="24"/>
        </w:rPr>
        <w:t>Isolation and rapid sharing of the 2019 novel coronavirus (</w:t>
      </w:r>
      <w:r>
        <w:rPr>
          <w:spacing w:val="-25"/>
          <w:sz w:val="24"/>
        </w:rPr>
        <w:t> </w:t>
      </w:r>
      <w:r>
        <w:rPr>
          <w:sz w:val="24"/>
        </w:rPr>
        <w:t>SARS</w:t>
      </w:r>
    </w:p>
    <w:p>
      <w:pPr>
        <w:spacing w:line="360" w:lineRule="auto" w:before="159"/>
        <w:ind w:left="120" w:right="909" w:firstLine="0"/>
        <w:jc w:val="left"/>
        <w:rPr>
          <w:sz w:val="24"/>
        </w:rPr>
      </w:pPr>
      <w:r>
        <w:rPr>
          <w:sz w:val="24"/>
        </w:rPr>
        <w:t>-CoV-2) from the first patient diagnosed with COVID -19 in Australia. </w:t>
      </w:r>
      <w:r>
        <w:rPr>
          <w:i/>
          <w:sz w:val="24"/>
        </w:rPr>
        <w:t>Medical Journal </w:t>
      </w:r>
      <w:r>
        <w:rPr>
          <w:i/>
          <w:sz w:val="24"/>
        </w:rPr>
        <w:t>of Australia </w:t>
      </w:r>
      <w:r>
        <w:rPr>
          <w:b/>
          <w:sz w:val="24"/>
        </w:rPr>
        <w:t>212</w:t>
      </w:r>
      <w:r>
        <w:rPr>
          <w:sz w:val="24"/>
        </w:rPr>
        <w:t>, 459–462 (2020).</w:t>
      </w:r>
    </w:p>
    <w:sectPr>
      <w:pgSz w:w="11910" w:h="16840"/>
      <w:pgMar w:header="1042" w:footer="764" w:top="4180" w:bottom="960" w:left="13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Symbol">
    <w:altName w:val="Symbol"/>
    <w:charset w:val="2"/>
    <w:family w:val="roman"/>
    <w:pitch w:val="variable"/>
  </w:font>
  <w:font w:name="Gill Sans MT">
    <w:altName w:val="Gill Sans MT"/>
    <w:charset w:val="0"/>
    <w:family w:val="swiss"/>
    <w:pitch w:val="variable"/>
  </w:font>
  <w:font w:name="Trebuchet MS">
    <w:altName w:val="Trebuchet MS"/>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7.040009pt;margin-top:792.732117pt;width:39.3pt;height:15.25pt;mso-position-horizontal-relative:page;mso-position-vertical-relative:page;z-index:-16358400" type="#_x0000_t202" filled="false" stroked="false">
          <v:textbox inset="0,0,0,0">
            <w:txbxContent>
              <w:p>
                <w:pPr>
                  <w:spacing w:before="19"/>
                  <w:ind w:left="20" w:right="0" w:firstLine="0"/>
                  <w:jc w:val="left"/>
                  <w:rPr>
                    <w:sz w:val="20"/>
                  </w:rPr>
                </w:pPr>
                <w:r>
                  <w:rPr>
                    <w:sz w:val="20"/>
                  </w:rPr>
                  <w:t>Page </w:t>
                </w:r>
                <w:r>
                  <w:rPr/>
                  <w:fldChar w:fldCharType="begin"/>
                </w:r>
                <w:r>
                  <w:rPr>
                    <w:sz w:val="20"/>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955520">
          <wp:simplePos x="0" y="0"/>
          <wp:positionH relativeFrom="page">
            <wp:posOffset>916976</wp:posOffset>
          </wp:positionH>
          <wp:positionV relativeFrom="page">
            <wp:posOffset>661506</wp:posOffset>
          </wp:positionV>
          <wp:extent cx="3533029" cy="984807"/>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3533029" cy="984807"/>
                  </a:xfrm>
                  <a:prstGeom prst="rect">
                    <a:avLst/>
                  </a:prstGeom>
                </pic:spPr>
              </pic:pic>
            </a:graphicData>
          </a:graphic>
        </wp:anchor>
      </w:drawing>
    </w:r>
    <w:r>
      <w:rPr/>
      <w:drawing>
        <wp:anchor distT="0" distB="0" distL="0" distR="0" allowOverlap="1" layoutInCell="1" locked="0" behindDoc="1" simplePos="0" relativeHeight="486956032">
          <wp:simplePos x="0" y="0"/>
          <wp:positionH relativeFrom="page">
            <wp:posOffset>5147311</wp:posOffset>
          </wp:positionH>
          <wp:positionV relativeFrom="page">
            <wp:posOffset>871694</wp:posOffset>
          </wp:positionV>
          <wp:extent cx="1495423" cy="449575"/>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2" cstate="print"/>
                  <a:stretch>
                    <a:fillRect/>
                  </a:stretch>
                </pic:blipFill>
                <pic:spPr>
                  <a:xfrm>
                    <a:off x="0" y="0"/>
                    <a:ext cx="1495423" cy="449575"/>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71pt;margin-top:149.254105pt;width:439.6pt;height:20.55pt;mso-position-horizontal-relative:page;mso-position-vertical-relative:page;z-index:-16359936" type="#_x0000_t202" filled="false" stroked="false">
          <v:textbox inset="0,0,0,0">
            <w:txbxContent>
              <w:p>
                <w:pPr>
                  <w:spacing w:before="19"/>
                  <w:ind w:left="20" w:right="0" w:firstLine="0"/>
                  <w:jc w:val="left"/>
                  <w:rPr>
                    <w:rFonts w:ascii="Trebuchet MS"/>
                    <w:sz w:val="32"/>
                  </w:rPr>
                </w:pPr>
                <w:r>
                  <w:rPr>
                    <w:rFonts w:ascii="Trebuchet MS"/>
                    <w:color w:val="007CC5"/>
                    <w:sz w:val="32"/>
                  </w:rPr>
                  <w:t>Post-market validation of a further three serological assays</w:t>
                </w:r>
              </w:p>
            </w:txbxContent>
          </v:textbox>
          <w10:wrap type="none"/>
        </v:shape>
      </w:pict>
    </w:r>
    <w:r>
      <w:rPr/>
      <w:pict>
        <v:shape style="position:absolute;margin-left:71pt;margin-top:167.847504pt;width:174.6pt;height:20.55pt;mso-position-horizontal-relative:page;mso-position-vertical-relative:page;z-index:-16359424" type="#_x0000_t202" filled="false" stroked="false">
          <v:textbox inset="0,0,0,0">
            <w:txbxContent>
              <w:p>
                <w:pPr>
                  <w:spacing w:before="19"/>
                  <w:ind w:left="20" w:right="0" w:firstLine="0"/>
                  <w:jc w:val="left"/>
                  <w:rPr>
                    <w:rFonts w:ascii="Trebuchet MS"/>
                    <w:sz w:val="32"/>
                  </w:rPr>
                </w:pPr>
                <w:r>
                  <w:rPr>
                    <w:rFonts w:ascii="Trebuchet MS"/>
                    <w:color w:val="007CC5"/>
                    <w:sz w:val="32"/>
                  </w:rPr>
                  <w:t>for COVID-19 continued</w:t>
                </w:r>
              </w:p>
            </w:txbxContent>
          </v:textbox>
          <w10:wrap type="none"/>
        </v:shape>
      </w:pict>
    </w:r>
    <w:r>
      <w:rPr/>
      <w:pict>
        <v:shape style="position:absolute;margin-left:73.040001pt;margin-top:179.302917pt;width:11.15pt;height:31.25pt;mso-position-horizontal-relative:page;mso-position-vertical-relative:page;z-index:-16358912" type="#_x0000_t202" filled="false" stroked="false">
          <v:textbox inset="0,0,0,0">
            <w:txbxContent>
              <w:p>
                <w:pPr>
                  <w:spacing w:before="19"/>
                  <w:ind w:left="20" w:right="0" w:firstLine="0"/>
                  <w:jc w:val="left"/>
                  <w:rPr>
                    <w:b/>
                    <w:sz w:val="44"/>
                  </w:rPr>
                </w:pPr>
                <w:r>
                  <w:rPr>
                    <w:b/>
                    <w:color w:val="007CC5"/>
                    <w:w w:val="99"/>
                    <w:sz w:val="44"/>
                  </w:rPr>
                  <w:t>_</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20" w:hanging="720"/>
        <w:jc w:val="left"/>
      </w:pPr>
      <w:rPr>
        <w:rFonts w:hint="default" w:ascii="Segoe UI" w:hAnsi="Segoe UI" w:eastAsia="Segoe UI" w:cs="Segoe UI"/>
        <w:w w:val="100"/>
        <w:sz w:val="24"/>
        <w:szCs w:val="24"/>
        <w:lang w:val="en-au" w:eastAsia="en-US" w:bidi="ar-SA"/>
      </w:rPr>
    </w:lvl>
    <w:lvl w:ilvl="1">
      <w:start w:val="0"/>
      <w:numFmt w:val="bullet"/>
      <w:lvlText w:val="•"/>
      <w:lvlJc w:val="left"/>
      <w:pPr>
        <w:ind w:left="1108" w:hanging="720"/>
      </w:pPr>
      <w:rPr>
        <w:rFonts w:hint="default"/>
        <w:lang w:val="en-au" w:eastAsia="en-US" w:bidi="ar-SA"/>
      </w:rPr>
    </w:lvl>
    <w:lvl w:ilvl="2">
      <w:start w:val="0"/>
      <w:numFmt w:val="bullet"/>
      <w:lvlText w:val="•"/>
      <w:lvlJc w:val="left"/>
      <w:pPr>
        <w:ind w:left="2097" w:hanging="720"/>
      </w:pPr>
      <w:rPr>
        <w:rFonts w:hint="default"/>
        <w:lang w:val="en-au" w:eastAsia="en-US" w:bidi="ar-SA"/>
      </w:rPr>
    </w:lvl>
    <w:lvl w:ilvl="3">
      <w:start w:val="0"/>
      <w:numFmt w:val="bullet"/>
      <w:lvlText w:val="•"/>
      <w:lvlJc w:val="left"/>
      <w:pPr>
        <w:ind w:left="3085" w:hanging="720"/>
      </w:pPr>
      <w:rPr>
        <w:rFonts w:hint="default"/>
        <w:lang w:val="en-au" w:eastAsia="en-US" w:bidi="ar-SA"/>
      </w:rPr>
    </w:lvl>
    <w:lvl w:ilvl="4">
      <w:start w:val="0"/>
      <w:numFmt w:val="bullet"/>
      <w:lvlText w:val="•"/>
      <w:lvlJc w:val="left"/>
      <w:pPr>
        <w:ind w:left="4074" w:hanging="720"/>
      </w:pPr>
      <w:rPr>
        <w:rFonts w:hint="default"/>
        <w:lang w:val="en-au" w:eastAsia="en-US" w:bidi="ar-SA"/>
      </w:rPr>
    </w:lvl>
    <w:lvl w:ilvl="5">
      <w:start w:val="0"/>
      <w:numFmt w:val="bullet"/>
      <w:lvlText w:val="•"/>
      <w:lvlJc w:val="left"/>
      <w:pPr>
        <w:ind w:left="5063" w:hanging="720"/>
      </w:pPr>
      <w:rPr>
        <w:rFonts w:hint="default"/>
        <w:lang w:val="en-au" w:eastAsia="en-US" w:bidi="ar-SA"/>
      </w:rPr>
    </w:lvl>
    <w:lvl w:ilvl="6">
      <w:start w:val="0"/>
      <w:numFmt w:val="bullet"/>
      <w:lvlText w:val="•"/>
      <w:lvlJc w:val="left"/>
      <w:pPr>
        <w:ind w:left="6051" w:hanging="720"/>
      </w:pPr>
      <w:rPr>
        <w:rFonts w:hint="default"/>
        <w:lang w:val="en-au" w:eastAsia="en-US" w:bidi="ar-SA"/>
      </w:rPr>
    </w:lvl>
    <w:lvl w:ilvl="7">
      <w:start w:val="0"/>
      <w:numFmt w:val="bullet"/>
      <w:lvlText w:val="•"/>
      <w:lvlJc w:val="left"/>
      <w:pPr>
        <w:ind w:left="7040" w:hanging="720"/>
      </w:pPr>
      <w:rPr>
        <w:rFonts w:hint="default"/>
        <w:lang w:val="en-au" w:eastAsia="en-US" w:bidi="ar-SA"/>
      </w:rPr>
    </w:lvl>
    <w:lvl w:ilvl="8">
      <w:start w:val="0"/>
      <w:numFmt w:val="bullet"/>
      <w:lvlText w:val="•"/>
      <w:lvlJc w:val="left"/>
      <w:pPr>
        <w:ind w:left="8029" w:hanging="720"/>
      </w:pPr>
      <w:rPr>
        <w:rFonts w:hint="default"/>
        <w:lang w:val="en-au" w:eastAsia="en-US" w:bidi="ar-SA"/>
      </w:rPr>
    </w:lvl>
  </w:abstractNum>
  <w:abstractNum w:abstractNumId="9">
    <w:multiLevelType w:val="hybridMultilevel"/>
    <w:lvl w:ilvl="0">
      <w:start w:val="3"/>
      <w:numFmt w:val="decimal"/>
      <w:lvlText w:val="%1"/>
      <w:lvlJc w:val="left"/>
      <w:pPr>
        <w:ind w:left="840" w:hanging="721"/>
        <w:jc w:val="left"/>
      </w:pPr>
      <w:rPr>
        <w:rFonts w:hint="default"/>
        <w:lang w:val="en-au" w:eastAsia="en-US" w:bidi="ar-SA"/>
      </w:rPr>
    </w:lvl>
    <w:lvl w:ilvl="1">
      <w:start w:val="4"/>
      <w:numFmt w:val="decimal"/>
      <w:lvlText w:val="%1.%2"/>
      <w:lvlJc w:val="left"/>
      <w:pPr>
        <w:ind w:left="840" w:hanging="721"/>
        <w:jc w:val="left"/>
      </w:pPr>
      <w:rPr>
        <w:rFonts w:hint="default" w:ascii="Trebuchet MS" w:hAnsi="Trebuchet MS" w:eastAsia="Trebuchet MS" w:cs="Trebuchet MS"/>
        <w:color w:val="007CC5"/>
        <w:spacing w:val="0"/>
        <w:w w:val="99"/>
        <w:sz w:val="26"/>
        <w:szCs w:val="26"/>
        <w:lang w:val="en-au" w:eastAsia="en-US" w:bidi="ar-SA"/>
      </w:rPr>
    </w:lvl>
    <w:lvl w:ilvl="2">
      <w:start w:val="0"/>
      <w:numFmt w:val="bullet"/>
      <w:lvlText w:val="•"/>
      <w:lvlJc w:val="left"/>
      <w:pPr>
        <w:ind w:left="2673" w:hanging="721"/>
      </w:pPr>
      <w:rPr>
        <w:rFonts w:hint="default"/>
        <w:lang w:val="en-au" w:eastAsia="en-US" w:bidi="ar-SA"/>
      </w:rPr>
    </w:lvl>
    <w:lvl w:ilvl="3">
      <w:start w:val="0"/>
      <w:numFmt w:val="bullet"/>
      <w:lvlText w:val="•"/>
      <w:lvlJc w:val="left"/>
      <w:pPr>
        <w:ind w:left="3589" w:hanging="721"/>
      </w:pPr>
      <w:rPr>
        <w:rFonts w:hint="default"/>
        <w:lang w:val="en-au" w:eastAsia="en-US" w:bidi="ar-SA"/>
      </w:rPr>
    </w:lvl>
    <w:lvl w:ilvl="4">
      <w:start w:val="0"/>
      <w:numFmt w:val="bullet"/>
      <w:lvlText w:val="•"/>
      <w:lvlJc w:val="left"/>
      <w:pPr>
        <w:ind w:left="4506" w:hanging="721"/>
      </w:pPr>
      <w:rPr>
        <w:rFonts w:hint="default"/>
        <w:lang w:val="en-au" w:eastAsia="en-US" w:bidi="ar-SA"/>
      </w:rPr>
    </w:lvl>
    <w:lvl w:ilvl="5">
      <w:start w:val="0"/>
      <w:numFmt w:val="bullet"/>
      <w:lvlText w:val="•"/>
      <w:lvlJc w:val="left"/>
      <w:pPr>
        <w:ind w:left="5423" w:hanging="721"/>
      </w:pPr>
      <w:rPr>
        <w:rFonts w:hint="default"/>
        <w:lang w:val="en-au" w:eastAsia="en-US" w:bidi="ar-SA"/>
      </w:rPr>
    </w:lvl>
    <w:lvl w:ilvl="6">
      <w:start w:val="0"/>
      <w:numFmt w:val="bullet"/>
      <w:lvlText w:val="•"/>
      <w:lvlJc w:val="left"/>
      <w:pPr>
        <w:ind w:left="6339" w:hanging="721"/>
      </w:pPr>
      <w:rPr>
        <w:rFonts w:hint="default"/>
        <w:lang w:val="en-au" w:eastAsia="en-US" w:bidi="ar-SA"/>
      </w:rPr>
    </w:lvl>
    <w:lvl w:ilvl="7">
      <w:start w:val="0"/>
      <w:numFmt w:val="bullet"/>
      <w:lvlText w:val="•"/>
      <w:lvlJc w:val="left"/>
      <w:pPr>
        <w:ind w:left="7256" w:hanging="721"/>
      </w:pPr>
      <w:rPr>
        <w:rFonts w:hint="default"/>
        <w:lang w:val="en-au" w:eastAsia="en-US" w:bidi="ar-SA"/>
      </w:rPr>
    </w:lvl>
    <w:lvl w:ilvl="8">
      <w:start w:val="0"/>
      <w:numFmt w:val="bullet"/>
      <w:lvlText w:val="•"/>
      <w:lvlJc w:val="left"/>
      <w:pPr>
        <w:ind w:left="8173" w:hanging="721"/>
      </w:pPr>
      <w:rPr>
        <w:rFonts w:hint="default"/>
        <w:lang w:val="en-au" w:eastAsia="en-US" w:bidi="ar-SA"/>
      </w:rPr>
    </w:lvl>
  </w:abstractNum>
  <w:abstractNum w:abstractNumId="8">
    <w:multiLevelType w:val="hybridMultilevel"/>
    <w:lvl w:ilvl="0">
      <w:start w:val="5"/>
      <w:numFmt w:val="decimal"/>
      <w:lvlText w:val="%1."/>
      <w:lvlJc w:val="left"/>
      <w:pPr>
        <w:ind w:left="120" w:hanging="293"/>
        <w:jc w:val="left"/>
      </w:pPr>
      <w:rPr>
        <w:rFonts w:hint="default" w:ascii="Segoe UI" w:hAnsi="Segoe UI" w:eastAsia="Segoe UI" w:cs="Segoe UI"/>
        <w:w w:val="100"/>
        <w:sz w:val="24"/>
        <w:szCs w:val="24"/>
        <w:lang w:val="en-au" w:eastAsia="en-US" w:bidi="ar-SA"/>
      </w:rPr>
    </w:lvl>
    <w:lvl w:ilvl="1">
      <w:start w:val="4"/>
      <w:numFmt w:val="decimal"/>
      <w:lvlText w:val="%2."/>
      <w:lvlJc w:val="left"/>
      <w:pPr>
        <w:ind w:left="840" w:hanging="360"/>
        <w:jc w:val="left"/>
      </w:pPr>
      <w:rPr>
        <w:rFonts w:hint="default" w:ascii="Trebuchet MS" w:hAnsi="Trebuchet MS" w:eastAsia="Trebuchet MS" w:cs="Trebuchet MS"/>
        <w:color w:val="007CC5"/>
        <w:spacing w:val="0"/>
        <w:w w:val="100"/>
        <w:sz w:val="30"/>
        <w:szCs w:val="30"/>
        <w:lang w:val="en-au" w:eastAsia="en-US" w:bidi="ar-SA"/>
      </w:rPr>
    </w:lvl>
    <w:lvl w:ilvl="2">
      <w:start w:val="0"/>
      <w:numFmt w:val="bullet"/>
      <w:lvlText w:val="•"/>
      <w:lvlJc w:val="left"/>
      <w:pPr>
        <w:ind w:left="1858" w:hanging="360"/>
      </w:pPr>
      <w:rPr>
        <w:rFonts w:hint="default"/>
        <w:lang w:val="en-au" w:eastAsia="en-US" w:bidi="ar-SA"/>
      </w:rPr>
    </w:lvl>
    <w:lvl w:ilvl="3">
      <w:start w:val="0"/>
      <w:numFmt w:val="bullet"/>
      <w:lvlText w:val="•"/>
      <w:lvlJc w:val="left"/>
      <w:pPr>
        <w:ind w:left="2876" w:hanging="360"/>
      </w:pPr>
      <w:rPr>
        <w:rFonts w:hint="default"/>
        <w:lang w:val="en-au" w:eastAsia="en-US" w:bidi="ar-SA"/>
      </w:rPr>
    </w:lvl>
    <w:lvl w:ilvl="4">
      <w:start w:val="0"/>
      <w:numFmt w:val="bullet"/>
      <w:lvlText w:val="•"/>
      <w:lvlJc w:val="left"/>
      <w:pPr>
        <w:ind w:left="3895" w:hanging="360"/>
      </w:pPr>
      <w:rPr>
        <w:rFonts w:hint="default"/>
        <w:lang w:val="en-au" w:eastAsia="en-US" w:bidi="ar-SA"/>
      </w:rPr>
    </w:lvl>
    <w:lvl w:ilvl="5">
      <w:start w:val="0"/>
      <w:numFmt w:val="bullet"/>
      <w:lvlText w:val="•"/>
      <w:lvlJc w:val="left"/>
      <w:pPr>
        <w:ind w:left="4913" w:hanging="360"/>
      </w:pPr>
      <w:rPr>
        <w:rFonts w:hint="default"/>
        <w:lang w:val="en-au" w:eastAsia="en-US" w:bidi="ar-SA"/>
      </w:rPr>
    </w:lvl>
    <w:lvl w:ilvl="6">
      <w:start w:val="0"/>
      <w:numFmt w:val="bullet"/>
      <w:lvlText w:val="•"/>
      <w:lvlJc w:val="left"/>
      <w:pPr>
        <w:ind w:left="5932" w:hanging="360"/>
      </w:pPr>
      <w:rPr>
        <w:rFonts w:hint="default"/>
        <w:lang w:val="en-au" w:eastAsia="en-US" w:bidi="ar-SA"/>
      </w:rPr>
    </w:lvl>
    <w:lvl w:ilvl="7">
      <w:start w:val="0"/>
      <w:numFmt w:val="bullet"/>
      <w:lvlText w:val="•"/>
      <w:lvlJc w:val="left"/>
      <w:pPr>
        <w:ind w:left="6950" w:hanging="360"/>
      </w:pPr>
      <w:rPr>
        <w:rFonts w:hint="default"/>
        <w:lang w:val="en-au" w:eastAsia="en-US" w:bidi="ar-SA"/>
      </w:rPr>
    </w:lvl>
    <w:lvl w:ilvl="8">
      <w:start w:val="0"/>
      <w:numFmt w:val="bullet"/>
      <w:lvlText w:val="•"/>
      <w:lvlJc w:val="left"/>
      <w:pPr>
        <w:ind w:left="7969" w:hanging="360"/>
      </w:pPr>
      <w:rPr>
        <w:rFonts w:hint="default"/>
        <w:lang w:val="en-au" w:eastAsia="en-US" w:bidi="ar-SA"/>
      </w:rPr>
    </w:lvl>
  </w:abstractNum>
  <w:abstractNum w:abstractNumId="7">
    <w:multiLevelType w:val="hybridMultilevel"/>
    <w:lvl w:ilvl="0">
      <w:start w:val="3"/>
      <w:numFmt w:val="decimal"/>
      <w:lvlText w:val="%1"/>
      <w:lvlJc w:val="left"/>
      <w:pPr>
        <w:ind w:left="840" w:hanging="721"/>
        <w:jc w:val="left"/>
      </w:pPr>
      <w:rPr>
        <w:rFonts w:hint="default"/>
        <w:lang w:val="en-au" w:eastAsia="en-US" w:bidi="ar-SA"/>
      </w:rPr>
    </w:lvl>
    <w:lvl w:ilvl="1">
      <w:start w:val="1"/>
      <w:numFmt w:val="decimal"/>
      <w:lvlText w:val="%1.%2"/>
      <w:lvlJc w:val="left"/>
      <w:pPr>
        <w:ind w:left="840" w:hanging="721"/>
        <w:jc w:val="left"/>
      </w:pPr>
      <w:rPr>
        <w:rFonts w:hint="default" w:ascii="Trebuchet MS" w:hAnsi="Trebuchet MS" w:eastAsia="Trebuchet MS" w:cs="Trebuchet MS"/>
        <w:color w:val="007CC5"/>
        <w:spacing w:val="0"/>
        <w:w w:val="99"/>
        <w:sz w:val="26"/>
        <w:szCs w:val="26"/>
        <w:lang w:val="en-au" w:eastAsia="en-US" w:bidi="ar-SA"/>
      </w:rPr>
    </w:lvl>
    <w:lvl w:ilvl="2">
      <w:start w:val="0"/>
      <w:numFmt w:val="bullet"/>
      <w:lvlText w:val="•"/>
      <w:lvlJc w:val="left"/>
      <w:pPr>
        <w:ind w:left="2673" w:hanging="721"/>
      </w:pPr>
      <w:rPr>
        <w:rFonts w:hint="default"/>
        <w:lang w:val="en-au" w:eastAsia="en-US" w:bidi="ar-SA"/>
      </w:rPr>
    </w:lvl>
    <w:lvl w:ilvl="3">
      <w:start w:val="0"/>
      <w:numFmt w:val="bullet"/>
      <w:lvlText w:val="•"/>
      <w:lvlJc w:val="left"/>
      <w:pPr>
        <w:ind w:left="3589" w:hanging="721"/>
      </w:pPr>
      <w:rPr>
        <w:rFonts w:hint="default"/>
        <w:lang w:val="en-au" w:eastAsia="en-US" w:bidi="ar-SA"/>
      </w:rPr>
    </w:lvl>
    <w:lvl w:ilvl="4">
      <w:start w:val="0"/>
      <w:numFmt w:val="bullet"/>
      <w:lvlText w:val="•"/>
      <w:lvlJc w:val="left"/>
      <w:pPr>
        <w:ind w:left="4506" w:hanging="721"/>
      </w:pPr>
      <w:rPr>
        <w:rFonts w:hint="default"/>
        <w:lang w:val="en-au" w:eastAsia="en-US" w:bidi="ar-SA"/>
      </w:rPr>
    </w:lvl>
    <w:lvl w:ilvl="5">
      <w:start w:val="0"/>
      <w:numFmt w:val="bullet"/>
      <w:lvlText w:val="•"/>
      <w:lvlJc w:val="left"/>
      <w:pPr>
        <w:ind w:left="5423" w:hanging="721"/>
      </w:pPr>
      <w:rPr>
        <w:rFonts w:hint="default"/>
        <w:lang w:val="en-au" w:eastAsia="en-US" w:bidi="ar-SA"/>
      </w:rPr>
    </w:lvl>
    <w:lvl w:ilvl="6">
      <w:start w:val="0"/>
      <w:numFmt w:val="bullet"/>
      <w:lvlText w:val="•"/>
      <w:lvlJc w:val="left"/>
      <w:pPr>
        <w:ind w:left="6339" w:hanging="721"/>
      </w:pPr>
      <w:rPr>
        <w:rFonts w:hint="default"/>
        <w:lang w:val="en-au" w:eastAsia="en-US" w:bidi="ar-SA"/>
      </w:rPr>
    </w:lvl>
    <w:lvl w:ilvl="7">
      <w:start w:val="0"/>
      <w:numFmt w:val="bullet"/>
      <w:lvlText w:val="•"/>
      <w:lvlJc w:val="left"/>
      <w:pPr>
        <w:ind w:left="7256" w:hanging="721"/>
      </w:pPr>
      <w:rPr>
        <w:rFonts w:hint="default"/>
        <w:lang w:val="en-au" w:eastAsia="en-US" w:bidi="ar-SA"/>
      </w:rPr>
    </w:lvl>
    <w:lvl w:ilvl="8">
      <w:start w:val="0"/>
      <w:numFmt w:val="bullet"/>
      <w:lvlText w:val="•"/>
      <w:lvlJc w:val="left"/>
      <w:pPr>
        <w:ind w:left="8173" w:hanging="721"/>
      </w:pPr>
      <w:rPr>
        <w:rFonts w:hint="default"/>
        <w:lang w:val="en-au" w:eastAsia="en-US" w:bidi="ar-SA"/>
      </w:rPr>
    </w:lvl>
  </w:abstractNum>
  <w:abstractNum w:abstractNumId="6">
    <w:multiLevelType w:val="hybridMultilevel"/>
    <w:lvl w:ilvl="0">
      <w:start w:val="0"/>
      <w:numFmt w:val="bullet"/>
      <w:lvlText w:val="*"/>
      <w:lvlJc w:val="left"/>
      <w:pPr>
        <w:ind w:left="120" w:hanging="152"/>
      </w:pPr>
      <w:rPr>
        <w:rFonts w:hint="default" w:ascii="Segoe UI" w:hAnsi="Segoe UI" w:eastAsia="Segoe UI" w:cs="Segoe UI"/>
        <w:w w:val="100"/>
        <w:sz w:val="22"/>
        <w:szCs w:val="22"/>
        <w:lang w:val="en-au" w:eastAsia="en-US" w:bidi="ar-SA"/>
      </w:rPr>
    </w:lvl>
    <w:lvl w:ilvl="1">
      <w:start w:val="0"/>
      <w:numFmt w:val="bullet"/>
      <w:lvlText w:val="•"/>
      <w:lvlJc w:val="left"/>
      <w:pPr>
        <w:ind w:left="1108" w:hanging="152"/>
      </w:pPr>
      <w:rPr>
        <w:rFonts w:hint="default"/>
        <w:lang w:val="en-au" w:eastAsia="en-US" w:bidi="ar-SA"/>
      </w:rPr>
    </w:lvl>
    <w:lvl w:ilvl="2">
      <w:start w:val="0"/>
      <w:numFmt w:val="bullet"/>
      <w:lvlText w:val="•"/>
      <w:lvlJc w:val="left"/>
      <w:pPr>
        <w:ind w:left="2097" w:hanging="152"/>
      </w:pPr>
      <w:rPr>
        <w:rFonts w:hint="default"/>
        <w:lang w:val="en-au" w:eastAsia="en-US" w:bidi="ar-SA"/>
      </w:rPr>
    </w:lvl>
    <w:lvl w:ilvl="3">
      <w:start w:val="0"/>
      <w:numFmt w:val="bullet"/>
      <w:lvlText w:val="•"/>
      <w:lvlJc w:val="left"/>
      <w:pPr>
        <w:ind w:left="3085" w:hanging="152"/>
      </w:pPr>
      <w:rPr>
        <w:rFonts w:hint="default"/>
        <w:lang w:val="en-au" w:eastAsia="en-US" w:bidi="ar-SA"/>
      </w:rPr>
    </w:lvl>
    <w:lvl w:ilvl="4">
      <w:start w:val="0"/>
      <w:numFmt w:val="bullet"/>
      <w:lvlText w:val="•"/>
      <w:lvlJc w:val="left"/>
      <w:pPr>
        <w:ind w:left="4074" w:hanging="152"/>
      </w:pPr>
      <w:rPr>
        <w:rFonts w:hint="default"/>
        <w:lang w:val="en-au" w:eastAsia="en-US" w:bidi="ar-SA"/>
      </w:rPr>
    </w:lvl>
    <w:lvl w:ilvl="5">
      <w:start w:val="0"/>
      <w:numFmt w:val="bullet"/>
      <w:lvlText w:val="•"/>
      <w:lvlJc w:val="left"/>
      <w:pPr>
        <w:ind w:left="5063" w:hanging="152"/>
      </w:pPr>
      <w:rPr>
        <w:rFonts w:hint="default"/>
        <w:lang w:val="en-au" w:eastAsia="en-US" w:bidi="ar-SA"/>
      </w:rPr>
    </w:lvl>
    <w:lvl w:ilvl="6">
      <w:start w:val="0"/>
      <w:numFmt w:val="bullet"/>
      <w:lvlText w:val="•"/>
      <w:lvlJc w:val="left"/>
      <w:pPr>
        <w:ind w:left="6051" w:hanging="152"/>
      </w:pPr>
      <w:rPr>
        <w:rFonts w:hint="default"/>
        <w:lang w:val="en-au" w:eastAsia="en-US" w:bidi="ar-SA"/>
      </w:rPr>
    </w:lvl>
    <w:lvl w:ilvl="7">
      <w:start w:val="0"/>
      <w:numFmt w:val="bullet"/>
      <w:lvlText w:val="•"/>
      <w:lvlJc w:val="left"/>
      <w:pPr>
        <w:ind w:left="7040" w:hanging="152"/>
      </w:pPr>
      <w:rPr>
        <w:rFonts w:hint="default"/>
        <w:lang w:val="en-au" w:eastAsia="en-US" w:bidi="ar-SA"/>
      </w:rPr>
    </w:lvl>
    <w:lvl w:ilvl="8">
      <w:start w:val="0"/>
      <w:numFmt w:val="bullet"/>
      <w:lvlText w:val="•"/>
      <w:lvlJc w:val="left"/>
      <w:pPr>
        <w:ind w:left="8029" w:hanging="152"/>
      </w:pPr>
      <w:rPr>
        <w:rFonts w:hint="default"/>
        <w:lang w:val="en-au" w:eastAsia="en-US" w:bidi="ar-SA"/>
      </w:rPr>
    </w:lvl>
  </w:abstractNum>
  <w:abstractNum w:abstractNumId="5">
    <w:multiLevelType w:val="hybridMultilevel"/>
    <w:lvl w:ilvl="0">
      <w:start w:val="1"/>
      <w:numFmt w:val="lowerRoman"/>
      <w:lvlText w:val="%1."/>
      <w:lvlJc w:val="left"/>
      <w:pPr>
        <w:ind w:left="890" w:hanging="461"/>
        <w:jc w:val="right"/>
      </w:pPr>
      <w:rPr>
        <w:rFonts w:hint="default" w:ascii="Segoe UI" w:hAnsi="Segoe UI" w:eastAsia="Segoe UI" w:cs="Segoe UI"/>
        <w:spacing w:val="-1"/>
        <w:w w:val="100"/>
        <w:sz w:val="22"/>
        <w:szCs w:val="22"/>
        <w:lang w:val="en-au" w:eastAsia="en-US" w:bidi="ar-SA"/>
      </w:rPr>
    </w:lvl>
    <w:lvl w:ilvl="1">
      <w:start w:val="0"/>
      <w:numFmt w:val="bullet"/>
      <w:lvlText w:val="•"/>
      <w:lvlJc w:val="left"/>
      <w:pPr>
        <w:ind w:left="1810" w:hanging="461"/>
      </w:pPr>
      <w:rPr>
        <w:rFonts w:hint="default"/>
        <w:lang w:val="en-au" w:eastAsia="en-US" w:bidi="ar-SA"/>
      </w:rPr>
    </w:lvl>
    <w:lvl w:ilvl="2">
      <w:start w:val="0"/>
      <w:numFmt w:val="bullet"/>
      <w:lvlText w:val="•"/>
      <w:lvlJc w:val="left"/>
      <w:pPr>
        <w:ind w:left="2721" w:hanging="461"/>
      </w:pPr>
      <w:rPr>
        <w:rFonts w:hint="default"/>
        <w:lang w:val="en-au" w:eastAsia="en-US" w:bidi="ar-SA"/>
      </w:rPr>
    </w:lvl>
    <w:lvl w:ilvl="3">
      <w:start w:val="0"/>
      <w:numFmt w:val="bullet"/>
      <w:lvlText w:val="•"/>
      <w:lvlJc w:val="left"/>
      <w:pPr>
        <w:ind w:left="3631" w:hanging="461"/>
      </w:pPr>
      <w:rPr>
        <w:rFonts w:hint="default"/>
        <w:lang w:val="en-au" w:eastAsia="en-US" w:bidi="ar-SA"/>
      </w:rPr>
    </w:lvl>
    <w:lvl w:ilvl="4">
      <w:start w:val="0"/>
      <w:numFmt w:val="bullet"/>
      <w:lvlText w:val="•"/>
      <w:lvlJc w:val="left"/>
      <w:pPr>
        <w:ind w:left="4542" w:hanging="461"/>
      </w:pPr>
      <w:rPr>
        <w:rFonts w:hint="default"/>
        <w:lang w:val="en-au" w:eastAsia="en-US" w:bidi="ar-SA"/>
      </w:rPr>
    </w:lvl>
    <w:lvl w:ilvl="5">
      <w:start w:val="0"/>
      <w:numFmt w:val="bullet"/>
      <w:lvlText w:val="•"/>
      <w:lvlJc w:val="left"/>
      <w:pPr>
        <w:ind w:left="5453" w:hanging="461"/>
      </w:pPr>
      <w:rPr>
        <w:rFonts w:hint="default"/>
        <w:lang w:val="en-au" w:eastAsia="en-US" w:bidi="ar-SA"/>
      </w:rPr>
    </w:lvl>
    <w:lvl w:ilvl="6">
      <w:start w:val="0"/>
      <w:numFmt w:val="bullet"/>
      <w:lvlText w:val="•"/>
      <w:lvlJc w:val="left"/>
      <w:pPr>
        <w:ind w:left="6363" w:hanging="461"/>
      </w:pPr>
      <w:rPr>
        <w:rFonts w:hint="default"/>
        <w:lang w:val="en-au" w:eastAsia="en-US" w:bidi="ar-SA"/>
      </w:rPr>
    </w:lvl>
    <w:lvl w:ilvl="7">
      <w:start w:val="0"/>
      <w:numFmt w:val="bullet"/>
      <w:lvlText w:val="•"/>
      <w:lvlJc w:val="left"/>
      <w:pPr>
        <w:ind w:left="7274" w:hanging="461"/>
      </w:pPr>
      <w:rPr>
        <w:rFonts w:hint="default"/>
        <w:lang w:val="en-au" w:eastAsia="en-US" w:bidi="ar-SA"/>
      </w:rPr>
    </w:lvl>
    <w:lvl w:ilvl="8">
      <w:start w:val="0"/>
      <w:numFmt w:val="bullet"/>
      <w:lvlText w:val="•"/>
      <w:lvlJc w:val="left"/>
      <w:pPr>
        <w:ind w:left="8185" w:hanging="461"/>
      </w:pPr>
      <w:rPr>
        <w:rFonts w:hint="default"/>
        <w:lang w:val="en-au" w:eastAsia="en-US" w:bidi="ar-SA"/>
      </w:rPr>
    </w:lvl>
  </w:abstractNum>
  <w:abstractNum w:abstractNumId="4">
    <w:multiLevelType w:val="hybridMultilevel"/>
    <w:lvl w:ilvl="0">
      <w:start w:val="1"/>
      <w:numFmt w:val="lowerRoman"/>
      <w:lvlText w:val="%1."/>
      <w:lvlJc w:val="left"/>
      <w:pPr>
        <w:ind w:left="890" w:hanging="471"/>
        <w:jc w:val="right"/>
      </w:pPr>
      <w:rPr>
        <w:rFonts w:hint="default" w:ascii="Segoe UI" w:hAnsi="Segoe UI" w:eastAsia="Segoe UI" w:cs="Segoe UI"/>
        <w:spacing w:val="-1"/>
        <w:w w:val="100"/>
        <w:sz w:val="24"/>
        <w:szCs w:val="24"/>
        <w:lang w:val="en-au" w:eastAsia="en-US" w:bidi="ar-SA"/>
      </w:rPr>
    </w:lvl>
    <w:lvl w:ilvl="1">
      <w:start w:val="0"/>
      <w:numFmt w:val="bullet"/>
      <w:lvlText w:val="•"/>
      <w:lvlJc w:val="left"/>
      <w:pPr>
        <w:ind w:left="1810" w:hanging="471"/>
      </w:pPr>
      <w:rPr>
        <w:rFonts w:hint="default"/>
        <w:lang w:val="en-au" w:eastAsia="en-US" w:bidi="ar-SA"/>
      </w:rPr>
    </w:lvl>
    <w:lvl w:ilvl="2">
      <w:start w:val="0"/>
      <w:numFmt w:val="bullet"/>
      <w:lvlText w:val="•"/>
      <w:lvlJc w:val="left"/>
      <w:pPr>
        <w:ind w:left="2721" w:hanging="471"/>
      </w:pPr>
      <w:rPr>
        <w:rFonts w:hint="default"/>
        <w:lang w:val="en-au" w:eastAsia="en-US" w:bidi="ar-SA"/>
      </w:rPr>
    </w:lvl>
    <w:lvl w:ilvl="3">
      <w:start w:val="0"/>
      <w:numFmt w:val="bullet"/>
      <w:lvlText w:val="•"/>
      <w:lvlJc w:val="left"/>
      <w:pPr>
        <w:ind w:left="3631" w:hanging="471"/>
      </w:pPr>
      <w:rPr>
        <w:rFonts w:hint="default"/>
        <w:lang w:val="en-au" w:eastAsia="en-US" w:bidi="ar-SA"/>
      </w:rPr>
    </w:lvl>
    <w:lvl w:ilvl="4">
      <w:start w:val="0"/>
      <w:numFmt w:val="bullet"/>
      <w:lvlText w:val="•"/>
      <w:lvlJc w:val="left"/>
      <w:pPr>
        <w:ind w:left="4542" w:hanging="471"/>
      </w:pPr>
      <w:rPr>
        <w:rFonts w:hint="default"/>
        <w:lang w:val="en-au" w:eastAsia="en-US" w:bidi="ar-SA"/>
      </w:rPr>
    </w:lvl>
    <w:lvl w:ilvl="5">
      <w:start w:val="0"/>
      <w:numFmt w:val="bullet"/>
      <w:lvlText w:val="•"/>
      <w:lvlJc w:val="left"/>
      <w:pPr>
        <w:ind w:left="5453" w:hanging="471"/>
      </w:pPr>
      <w:rPr>
        <w:rFonts w:hint="default"/>
        <w:lang w:val="en-au" w:eastAsia="en-US" w:bidi="ar-SA"/>
      </w:rPr>
    </w:lvl>
    <w:lvl w:ilvl="6">
      <w:start w:val="0"/>
      <w:numFmt w:val="bullet"/>
      <w:lvlText w:val="•"/>
      <w:lvlJc w:val="left"/>
      <w:pPr>
        <w:ind w:left="6363" w:hanging="471"/>
      </w:pPr>
      <w:rPr>
        <w:rFonts w:hint="default"/>
        <w:lang w:val="en-au" w:eastAsia="en-US" w:bidi="ar-SA"/>
      </w:rPr>
    </w:lvl>
    <w:lvl w:ilvl="7">
      <w:start w:val="0"/>
      <w:numFmt w:val="bullet"/>
      <w:lvlText w:val="•"/>
      <w:lvlJc w:val="left"/>
      <w:pPr>
        <w:ind w:left="7274" w:hanging="471"/>
      </w:pPr>
      <w:rPr>
        <w:rFonts w:hint="default"/>
        <w:lang w:val="en-au" w:eastAsia="en-US" w:bidi="ar-SA"/>
      </w:rPr>
    </w:lvl>
    <w:lvl w:ilvl="8">
      <w:start w:val="0"/>
      <w:numFmt w:val="bullet"/>
      <w:lvlText w:val="•"/>
      <w:lvlJc w:val="left"/>
      <w:pPr>
        <w:ind w:left="8185" w:hanging="471"/>
      </w:pPr>
      <w:rPr>
        <w:rFonts w:hint="default"/>
        <w:lang w:val="en-au" w:eastAsia="en-US" w:bidi="ar-SA"/>
      </w:rPr>
    </w:lvl>
  </w:abstractNum>
  <w:abstractNum w:abstractNumId="3">
    <w:multiLevelType w:val="hybridMultilevel"/>
    <w:lvl w:ilvl="0">
      <w:start w:val="2"/>
      <w:numFmt w:val="decimal"/>
      <w:lvlText w:val="%1"/>
      <w:lvlJc w:val="left"/>
      <w:pPr>
        <w:ind w:left="840" w:hanging="721"/>
        <w:jc w:val="left"/>
      </w:pPr>
      <w:rPr>
        <w:rFonts w:hint="default"/>
        <w:lang w:val="en-au" w:eastAsia="en-US" w:bidi="ar-SA"/>
      </w:rPr>
    </w:lvl>
    <w:lvl w:ilvl="1">
      <w:start w:val="1"/>
      <w:numFmt w:val="decimal"/>
      <w:lvlText w:val="%1.%2"/>
      <w:lvlJc w:val="left"/>
      <w:pPr>
        <w:ind w:left="840" w:hanging="721"/>
        <w:jc w:val="left"/>
      </w:pPr>
      <w:rPr>
        <w:rFonts w:hint="default" w:ascii="Trebuchet MS" w:hAnsi="Trebuchet MS" w:eastAsia="Trebuchet MS" w:cs="Trebuchet MS"/>
        <w:color w:val="007CC5"/>
        <w:spacing w:val="0"/>
        <w:w w:val="99"/>
        <w:sz w:val="26"/>
        <w:szCs w:val="26"/>
        <w:lang w:val="en-au" w:eastAsia="en-US" w:bidi="ar-SA"/>
      </w:rPr>
    </w:lvl>
    <w:lvl w:ilvl="2">
      <w:start w:val="0"/>
      <w:numFmt w:val="bullet"/>
      <w:lvlText w:val="•"/>
      <w:lvlJc w:val="left"/>
      <w:pPr>
        <w:ind w:left="1200" w:hanging="720"/>
      </w:pPr>
      <w:rPr>
        <w:rFonts w:hint="default" w:ascii="Segoe UI" w:hAnsi="Segoe UI" w:eastAsia="Segoe UI" w:cs="Segoe UI"/>
        <w:w w:val="100"/>
        <w:sz w:val="24"/>
        <w:szCs w:val="24"/>
        <w:lang w:val="en-au" w:eastAsia="en-US" w:bidi="ar-SA"/>
      </w:rPr>
    </w:lvl>
    <w:lvl w:ilvl="3">
      <w:start w:val="0"/>
      <w:numFmt w:val="bullet"/>
      <w:lvlText w:val="•"/>
      <w:lvlJc w:val="left"/>
      <w:pPr>
        <w:ind w:left="3156" w:hanging="720"/>
      </w:pPr>
      <w:rPr>
        <w:rFonts w:hint="default"/>
        <w:lang w:val="en-au" w:eastAsia="en-US" w:bidi="ar-SA"/>
      </w:rPr>
    </w:lvl>
    <w:lvl w:ilvl="4">
      <w:start w:val="0"/>
      <w:numFmt w:val="bullet"/>
      <w:lvlText w:val="•"/>
      <w:lvlJc w:val="left"/>
      <w:pPr>
        <w:ind w:left="4135" w:hanging="720"/>
      </w:pPr>
      <w:rPr>
        <w:rFonts w:hint="default"/>
        <w:lang w:val="en-au" w:eastAsia="en-US" w:bidi="ar-SA"/>
      </w:rPr>
    </w:lvl>
    <w:lvl w:ilvl="5">
      <w:start w:val="0"/>
      <w:numFmt w:val="bullet"/>
      <w:lvlText w:val="•"/>
      <w:lvlJc w:val="left"/>
      <w:pPr>
        <w:ind w:left="5113" w:hanging="720"/>
      </w:pPr>
      <w:rPr>
        <w:rFonts w:hint="default"/>
        <w:lang w:val="en-au" w:eastAsia="en-US" w:bidi="ar-SA"/>
      </w:rPr>
    </w:lvl>
    <w:lvl w:ilvl="6">
      <w:start w:val="0"/>
      <w:numFmt w:val="bullet"/>
      <w:lvlText w:val="•"/>
      <w:lvlJc w:val="left"/>
      <w:pPr>
        <w:ind w:left="6092" w:hanging="720"/>
      </w:pPr>
      <w:rPr>
        <w:rFonts w:hint="default"/>
        <w:lang w:val="en-au" w:eastAsia="en-US" w:bidi="ar-SA"/>
      </w:rPr>
    </w:lvl>
    <w:lvl w:ilvl="7">
      <w:start w:val="0"/>
      <w:numFmt w:val="bullet"/>
      <w:lvlText w:val="•"/>
      <w:lvlJc w:val="left"/>
      <w:pPr>
        <w:ind w:left="7070" w:hanging="720"/>
      </w:pPr>
      <w:rPr>
        <w:rFonts w:hint="default"/>
        <w:lang w:val="en-au" w:eastAsia="en-US" w:bidi="ar-SA"/>
      </w:rPr>
    </w:lvl>
    <w:lvl w:ilvl="8">
      <w:start w:val="0"/>
      <w:numFmt w:val="bullet"/>
      <w:lvlText w:val="•"/>
      <w:lvlJc w:val="left"/>
      <w:pPr>
        <w:ind w:left="8049" w:hanging="720"/>
      </w:pPr>
      <w:rPr>
        <w:rFonts w:hint="default"/>
        <w:lang w:val="en-au" w:eastAsia="en-US" w:bidi="ar-SA"/>
      </w:rPr>
    </w:lvl>
  </w:abstractNum>
  <w:abstractNum w:abstractNumId="2">
    <w:multiLevelType w:val="hybridMultilevel"/>
    <w:lvl w:ilvl="0">
      <w:start w:val="1"/>
      <w:numFmt w:val="decimal"/>
      <w:lvlText w:val="%1."/>
      <w:lvlJc w:val="left"/>
      <w:pPr>
        <w:ind w:left="840" w:hanging="360"/>
        <w:jc w:val="left"/>
      </w:pPr>
      <w:rPr>
        <w:rFonts w:hint="default" w:ascii="Trebuchet MS" w:hAnsi="Trebuchet MS" w:eastAsia="Trebuchet MS" w:cs="Trebuchet MS"/>
        <w:color w:val="007CC5"/>
        <w:spacing w:val="0"/>
        <w:w w:val="100"/>
        <w:sz w:val="30"/>
        <w:szCs w:val="30"/>
        <w:lang w:val="en-au" w:eastAsia="en-US" w:bidi="ar-SA"/>
      </w:rPr>
    </w:lvl>
    <w:lvl w:ilvl="1">
      <w:start w:val="0"/>
      <w:numFmt w:val="bullet"/>
      <w:lvlText w:val="•"/>
      <w:lvlJc w:val="left"/>
      <w:pPr>
        <w:ind w:left="1756" w:hanging="360"/>
      </w:pPr>
      <w:rPr>
        <w:rFonts w:hint="default"/>
        <w:lang w:val="en-au" w:eastAsia="en-US" w:bidi="ar-SA"/>
      </w:rPr>
    </w:lvl>
    <w:lvl w:ilvl="2">
      <w:start w:val="0"/>
      <w:numFmt w:val="bullet"/>
      <w:lvlText w:val="•"/>
      <w:lvlJc w:val="left"/>
      <w:pPr>
        <w:ind w:left="2673" w:hanging="360"/>
      </w:pPr>
      <w:rPr>
        <w:rFonts w:hint="default"/>
        <w:lang w:val="en-au" w:eastAsia="en-US" w:bidi="ar-SA"/>
      </w:rPr>
    </w:lvl>
    <w:lvl w:ilvl="3">
      <w:start w:val="0"/>
      <w:numFmt w:val="bullet"/>
      <w:lvlText w:val="•"/>
      <w:lvlJc w:val="left"/>
      <w:pPr>
        <w:ind w:left="3589" w:hanging="360"/>
      </w:pPr>
      <w:rPr>
        <w:rFonts w:hint="default"/>
        <w:lang w:val="en-au" w:eastAsia="en-US" w:bidi="ar-SA"/>
      </w:rPr>
    </w:lvl>
    <w:lvl w:ilvl="4">
      <w:start w:val="0"/>
      <w:numFmt w:val="bullet"/>
      <w:lvlText w:val="•"/>
      <w:lvlJc w:val="left"/>
      <w:pPr>
        <w:ind w:left="4506" w:hanging="360"/>
      </w:pPr>
      <w:rPr>
        <w:rFonts w:hint="default"/>
        <w:lang w:val="en-au" w:eastAsia="en-US" w:bidi="ar-SA"/>
      </w:rPr>
    </w:lvl>
    <w:lvl w:ilvl="5">
      <w:start w:val="0"/>
      <w:numFmt w:val="bullet"/>
      <w:lvlText w:val="•"/>
      <w:lvlJc w:val="left"/>
      <w:pPr>
        <w:ind w:left="5423" w:hanging="360"/>
      </w:pPr>
      <w:rPr>
        <w:rFonts w:hint="default"/>
        <w:lang w:val="en-au" w:eastAsia="en-US" w:bidi="ar-SA"/>
      </w:rPr>
    </w:lvl>
    <w:lvl w:ilvl="6">
      <w:start w:val="0"/>
      <w:numFmt w:val="bullet"/>
      <w:lvlText w:val="•"/>
      <w:lvlJc w:val="left"/>
      <w:pPr>
        <w:ind w:left="6339" w:hanging="360"/>
      </w:pPr>
      <w:rPr>
        <w:rFonts w:hint="default"/>
        <w:lang w:val="en-au" w:eastAsia="en-US" w:bidi="ar-SA"/>
      </w:rPr>
    </w:lvl>
    <w:lvl w:ilvl="7">
      <w:start w:val="0"/>
      <w:numFmt w:val="bullet"/>
      <w:lvlText w:val="•"/>
      <w:lvlJc w:val="left"/>
      <w:pPr>
        <w:ind w:left="7256" w:hanging="360"/>
      </w:pPr>
      <w:rPr>
        <w:rFonts w:hint="default"/>
        <w:lang w:val="en-au" w:eastAsia="en-US" w:bidi="ar-SA"/>
      </w:rPr>
    </w:lvl>
    <w:lvl w:ilvl="8">
      <w:start w:val="0"/>
      <w:numFmt w:val="bullet"/>
      <w:lvlText w:val="•"/>
      <w:lvlJc w:val="left"/>
      <w:pPr>
        <w:ind w:left="8173" w:hanging="360"/>
      </w:pPr>
      <w:rPr>
        <w:rFonts w:hint="default"/>
        <w:lang w:val="en-au" w:eastAsia="en-US" w:bidi="ar-SA"/>
      </w:rPr>
    </w:lvl>
  </w:abstractNum>
  <w:abstractNum w:abstractNumId="1">
    <w:multiLevelType w:val="hybridMultilevel"/>
    <w:lvl w:ilvl="0">
      <w:start w:val="3"/>
      <w:numFmt w:val="decimal"/>
      <w:lvlText w:val="%1"/>
      <w:lvlJc w:val="left"/>
      <w:pPr>
        <w:ind w:left="1005" w:hanging="660"/>
        <w:jc w:val="left"/>
      </w:pPr>
      <w:rPr>
        <w:rFonts w:hint="default"/>
        <w:lang w:val="en-au" w:eastAsia="en-US" w:bidi="ar-SA"/>
      </w:rPr>
    </w:lvl>
    <w:lvl w:ilvl="1">
      <w:start w:val="4"/>
      <w:numFmt w:val="decimal"/>
      <w:lvlText w:val="%1.%2"/>
      <w:lvlJc w:val="left"/>
      <w:pPr>
        <w:ind w:left="1005" w:hanging="660"/>
        <w:jc w:val="left"/>
      </w:pPr>
      <w:rPr>
        <w:rFonts w:hint="default" w:ascii="Segoe UI" w:hAnsi="Segoe UI" w:eastAsia="Segoe UI" w:cs="Segoe UI"/>
        <w:w w:val="100"/>
        <w:sz w:val="22"/>
        <w:szCs w:val="22"/>
        <w:lang w:val="en-au" w:eastAsia="en-US" w:bidi="ar-SA"/>
      </w:rPr>
    </w:lvl>
    <w:lvl w:ilvl="2">
      <w:start w:val="0"/>
      <w:numFmt w:val="bullet"/>
      <w:lvlText w:val="•"/>
      <w:lvlJc w:val="left"/>
      <w:pPr>
        <w:ind w:left="2801" w:hanging="660"/>
      </w:pPr>
      <w:rPr>
        <w:rFonts w:hint="default"/>
        <w:lang w:val="en-au" w:eastAsia="en-US" w:bidi="ar-SA"/>
      </w:rPr>
    </w:lvl>
    <w:lvl w:ilvl="3">
      <w:start w:val="0"/>
      <w:numFmt w:val="bullet"/>
      <w:lvlText w:val="•"/>
      <w:lvlJc w:val="left"/>
      <w:pPr>
        <w:ind w:left="3701" w:hanging="660"/>
      </w:pPr>
      <w:rPr>
        <w:rFonts w:hint="default"/>
        <w:lang w:val="en-au" w:eastAsia="en-US" w:bidi="ar-SA"/>
      </w:rPr>
    </w:lvl>
    <w:lvl w:ilvl="4">
      <w:start w:val="0"/>
      <w:numFmt w:val="bullet"/>
      <w:lvlText w:val="•"/>
      <w:lvlJc w:val="left"/>
      <w:pPr>
        <w:ind w:left="4602" w:hanging="660"/>
      </w:pPr>
      <w:rPr>
        <w:rFonts w:hint="default"/>
        <w:lang w:val="en-au" w:eastAsia="en-US" w:bidi="ar-SA"/>
      </w:rPr>
    </w:lvl>
    <w:lvl w:ilvl="5">
      <w:start w:val="0"/>
      <w:numFmt w:val="bullet"/>
      <w:lvlText w:val="•"/>
      <w:lvlJc w:val="left"/>
      <w:pPr>
        <w:ind w:left="5503" w:hanging="660"/>
      </w:pPr>
      <w:rPr>
        <w:rFonts w:hint="default"/>
        <w:lang w:val="en-au" w:eastAsia="en-US" w:bidi="ar-SA"/>
      </w:rPr>
    </w:lvl>
    <w:lvl w:ilvl="6">
      <w:start w:val="0"/>
      <w:numFmt w:val="bullet"/>
      <w:lvlText w:val="•"/>
      <w:lvlJc w:val="left"/>
      <w:pPr>
        <w:ind w:left="6403" w:hanging="660"/>
      </w:pPr>
      <w:rPr>
        <w:rFonts w:hint="default"/>
        <w:lang w:val="en-au" w:eastAsia="en-US" w:bidi="ar-SA"/>
      </w:rPr>
    </w:lvl>
    <w:lvl w:ilvl="7">
      <w:start w:val="0"/>
      <w:numFmt w:val="bullet"/>
      <w:lvlText w:val="•"/>
      <w:lvlJc w:val="left"/>
      <w:pPr>
        <w:ind w:left="7304" w:hanging="660"/>
      </w:pPr>
      <w:rPr>
        <w:rFonts w:hint="default"/>
        <w:lang w:val="en-au" w:eastAsia="en-US" w:bidi="ar-SA"/>
      </w:rPr>
    </w:lvl>
    <w:lvl w:ilvl="8">
      <w:start w:val="0"/>
      <w:numFmt w:val="bullet"/>
      <w:lvlText w:val="•"/>
      <w:lvlJc w:val="left"/>
      <w:pPr>
        <w:ind w:left="8205" w:hanging="660"/>
      </w:pPr>
      <w:rPr>
        <w:rFonts w:hint="default"/>
        <w:lang w:val="en-au" w:eastAsia="en-US" w:bidi="ar-SA"/>
      </w:rPr>
    </w:lvl>
  </w:abstractNum>
  <w:abstractNum w:abstractNumId="0">
    <w:multiLevelType w:val="hybridMultilevel"/>
    <w:lvl w:ilvl="0">
      <w:start w:val="1"/>
      <w:numFmt w:val="decimal"/>
      <w:lvlText w:val="%1."/>
      <w:lvlJc w:val="left"/>
      <w:pPr>
        <w:ind w:left="559" w:hanging="440"/>
        <w:jc w:val="left"/>
      </w:pPr>
      <w:rPr>
        <w:rFonts w:hint="default" w:ascii="Segoe UI" w:hAnsi="Segoe UI" w:eastAsia="Segoe UI" w:cs="Segoe UI"/>
        <w:w w:val="100"/>
        <w:sz w:val="22"/>
        <w:szCs w:val="22"/>
        <w:lang w:val="en-au" w:eastAsia="en-US" w:bidi="ar-SA"/>
      </w:rPr>
    </w:lvl>
    <w:lvl w:ilvl="1">
      <w:start w:val="1"/>
      <w:numFmt w:val="decimal"/>
      <w:lvlText w:val="%1.%2"/>
      <w:lvlJc w:val="left"/>
      <w:pPr>
        <w:ind w:left="1002" w:hanging="660"/>
        <w:jc w:val="left"/>
      </w:pPr>
      <w:rPr>
        <w:rFonts w:hint="default" w:ascii="Segoe UI" w:hAnsi="Segoe UI" w:eastAsia="Segoe UI" w:cs="Segoe UI"/>
        <w:w w:val="100"/>
        <w:sz w:val="22"/>
        <w:szCs w:val="22"/>
        <w:lang w:val="en-au" w:eastAsia="en-US" w:bidi="ar-SA"/>
      </w:rPr>
    </w:lvl>
    <w:lvl w:ilvl="2">
      <w:start w:val="0"/>
      <w:numFmt w:val="bullet"/>
      <w:lvlText w:val="•"/>
      <w:lvlJc w:val="left"/>
      <w:pPr>
        <w:ind w:left="2000" w:hanging="660"/>
      </w:pPr>
      <w:rPr>
        <w:rFonts w:hint="default"/>
        <w:lang w:val="en-au" w:eastAsia="en-US" w:bidi="ar-SA"/>
      </w:rPr>
    </w:lvl>
    <w:lvl w:ilvl="3">
      <w:start w:val="0"/>
      <w:numFmt w:val="bullet"/>
      <w:lvlText w:val="•"/>
      <w:lvlJc w:val="left"/>
      <w:pPr>
        <w:ind w:left="3001" w:hanging="660"/>
      </w:pPr>
      <w:rPr>
        <w:rFonts w:hint="default"/>
        <w:lang w:val="en-au" w:eastAsia="en-US" w:bidi="ar-SA"/>
      </w:rPr>
    </w:lvl>
    <w:lvl w:ilvl="4">
      <w:start w:val="0"/>
      <w:numFmt w:val="bullet"/>
      <w:lvlText w:val="•"/>
      <w:lvlJc w:val="left"/>
      <w:pPr>
        <w:ind w:left="4002" w:hanging="660"/>
      </w:pPr>
      <w:rPr>
        <w:rFonts w:hint="default"/>
        <w:lang w:val="en-au" w:eastAsia="en-US" w:bidi="ar-SA"/>
      </w:rPr>
    </w:lvl>
    <w:lvl w:ilvl="5">
      <w:start w:val="0"/>
      <w:numFmt w:val="bullet"/>
      <w:lvlText w:val="•"/>
      <w:lvlJc w:val="left"/>
      <w:pPr>
        <w:ind w:left="5002" w:hanging="660"/>
      </w:pPr>
      <w:rPr>
        <w:rFonts w:hint="default"/>
        <w:lang w:val="en-au" w:eastAsia="en-US" w:bidi="ar-SA"/>
      </w:rPr>
    </w:lvl>
    <w:lvl w:ilvl="6">
      <w:start w:val="0"/>
      <w:numFmt w:val="bullet"/>
      <w:lvlText w:val="•"/>
      <w:lvlJc w:val="left"/>
      <w:pPr>
        <w:ind w:left="6003" w:hanging="660"/>
      </w:pPr>
      <w:rPr>
        <w:rFonts w:hint="default"/>
        <w:lang w:val="en-au" w:eastAsia="en-US" w:bidi="ar-SA"/>
      </w:rPr>
    </w:lvl>
    <w:lvl w:ilvl="7">
      <w:start w:val="0"/>
      <w:numFmt w:val="bullet"/>
      <w:lvlText w:val="•"/>
      <w:lvlJc w:val="left"/>
      <w:pPr>
        <w:ind w:left="7004" w:hanging="660"/>
      </w:pPr>
      <w:rPr>
        <w:rFonts w:hint="default"/>
        <w:lang w:val="en-au" w:eastAsia="en-US" w:bidi="ar-SA"/>
      </w:rPr>
    </w:lvl>
    <w:lvl w:ilvl="8">
      <w:start w:val="0"/>
      <w:numFmt w:val="bullet"/>
      <w:lvlText w:val="•"/>
      <w:lvlJc w:val="left"/>
      <w:pPr>
        <w:ind w:left="8004" w:hanging="660"/>
      </w:pPr>
      <w:rPr>
        <w:rFonts w:hint="default"/>
        <w:lang w:val="en-au"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au" w:eastAsia="en-US" w:bidi="ar-SA"/>
    </w:rPr>
  </w:style>
  <w:style w:styleId="TOC1" w:type="paragraph">
    <w:name w:val="TOC 1"/>
    <w:basedOn w:val="Normal"/>
    <w:uiPriority w:val="1"/>
    <w:qFormat/>
    <w:pPr>
      <w:spacing w:before="101"/>
      <w:ind w:left="564" w:hanging="440"/>
    </w:pPr>
    <w:rPr>
      <w:rFonts w:ascii="Segoe UI" w:hAnsi="Segoe UI" w:eastAsia="Segoe UI" w:cs="Segoe UI"/>
      <w:sz w:val="22"/>
      <w:szCs w:val="22"/>
      <w:lang w:val="en-au" w:eastAsia="en-US" w:bidi="ar-SA"/>
    </w:rPr>
  </w:style>
  <w:style w:styleId="TOC2" w:type="paragraph">
    <w:name w:val="TOC 2"/>
    <w:basedOn w:val="Normal"/>
    <w:uiPriority w:val="1"/>
    <w:qFormat/>
    <w:pPr>
      <w:spacing w:before="101"/>
      <w:ind w:left="1002" w:hanging="661"/>
    </w:pPr>
    <w:rPr>
      <w:rFonts w:ascii="Segoe UI" w:hAnsi="Segoe UI" w:eastAsia="Segoe UI" w:cs="Segoe UI"/>
      <w:sz w:val="22"/>
      <w:szCs w:val="22"/>
      <w:lang w:val="en-au" w:eastAsia="en-US" w:bidi="ar-SA"/>
    </w:rPr>
  </w:style>
  <w:style w:styleId="BodyText" w:type="paragraph">
    <w:name w:val="Body Text"/>
    <w:basedOn w:val="Normal"/>
    <w:uiPriority w:val="1"/>
    <w:qFormat/>
    <w:pPr/>
    <w:rPr>
      <w:rFonts w:ascii="Segoe UI" w:hAnsi="Segoe UI" w:eastAsia="Segoe UI" w:cs="Segoe UI"/>
      <w:sz w:val="24"/>
      <w:szCs w:val="24"/>
      <w:lang w:val="en-au" w:eastAsia="en-US" w:bidi="ar-SA"/>
    </w:rPr>
  </w:style>
  <w:style w:styleId="Heading1" w:type="paragraph">
    <w:name w:val="Heading 1"/>
    <w:basedOn w:val="Normal"/>
    <w:uiPriority w:val="1"/>
    <w:qFormat/>
    <w:pPr>
      <w:ind w:left="840" w:hanging="360"/>
      <w:outlineLvl w:val="1"/>
    </w:pPr>
    <w:rPr>
      <w:rFonts w:ascii="Trebuchet MS" w:hAnsi="Trebuchet MS" w:eastAsia="Trebuchet MS" w:cs="Trebuchet MS"/>
      <w:sz w:val="30"/>
      <w:szCs w:val="30"/>
      <w:lang w:val="en-au" w:eastAsia="en-US" w:bidi="ar-SA"/>
    </w:rPr>
  </w:style>
  <w:style w:styleId="Heading2" w:type="paragraph">
    <w:name w:val="Heading 2"/>
    <w:basedOn w:val="Normal"/>
    <w:uiPriority w:val="1"/>
    <w:qFormat/>
    <w:pPr>
      <w:ind w:left="840" w:hanging="721"/>
      <w:outlineLvl w:val="2"/>
    </w:pPr>
    <w:rPr>
      <w:rFonts w:ascii="Trebuchet MS" w:hAnsi="Trebuchet MS" w:eastAsia="Trebuchet MS" w:cs="Trebuchet MS"/>
      <w:sz w:val="26"/>
      <w:szCs w:val="26"/>
      <w:lang w:val="en-au" w:eastAsia="en-US" w:bidi="ar-SA"/>
    </w:rPr>
  </w:style>
  <w:style w:styleId="Heading3" w:type="paragraph">
    <w:name w:val="Heading 3"/>
    <w:basedOn w:val="Normal"/>
    <w:uiPriority w:val="1"/>
    <w:qFormat/>
    <w:pPr>
      <w:spacing w:before="118"/>
      <w:ind w:left="120"/>
      <w:outlineLvl w:val="3"/>
    </w:pPr>
    <w:rPr>
      <w:rFonts w:ascii="Segoe UI" w:hAnsi="Segoe UI" w:eastAsia="Segoe UI" w:cs="Segoe UI"/>
      <w:b/>
      <w:bCs/>
      <w:sz w:val="24"/>
      <w:szCs w:val="24"/>
      <w:lang w:val="en-au" w:eastAsia="en-US" w:bidi="ar-SA"/>
    </w:rPr>
  </w:style>
  <w:style w:styleId="Heading4" w:type="paragraph">
    <w:name w:val="Heading 4"/>
    <w:basedOn w:val="Normal"/>
    <w:uiPriority w:val="1"/>
    <w:qFormat/>
    <w:pPr>
      <w:ind w:left="120"/>
      <w:jc w:val="both"/>
      <w:outlineLvl w:val="4"/>
    </w:pPr>
    <w:rPr>
      <w:rFonts w:ascii="Segoe UI" w:hAnsi="Segoe UI" w:eastAsia="Segoe UI" w:cs="Segoe UI"/>
      <w:b/>
      <w:bCs/>
      <w:i/>
      <w:sz w:val="24"/>
      <w:szCs w:val="24"/>
      <w:lang w:val="en-au" w:eastAsia="en-US" w:bidi="ar-SA"/>
    </w:rPr>
  </w:style>
  <w:style w:styleId="Title" w:type="paragraph">
    <w:name w:val="Title"/>
    <w:basedOn w:val="Normal"/>
    <w:uiPriority w:val="1"/>
    <w:qFormat/>
    <w:pPr>
      <w:spacing w:before="19"/>
      <w:ind w:left="20"/>
    </w:pPr>
    <w:rPr>
      <w:rFonts w:ascii="Segoe UI" w:hAnsi="Segoe UI" w:eastAsia="Segoe UI" w:cs="Segoe UI"/>
      <w:b/>
      <w:bCs/>
      <w:sz w:val="44"/>
      <w:szCs w:val="44"/>
      <w:lang w:val="en-au" w:eastAsia="en-US" w:bidi="ar-SA"/>
    </w:rPr>
  </w:style>
  <w:style w:styleId="ListParagraph" w:type="paragraph">
    <w:name w:val="List Paragraph"/>
    <w:basedOn w:val="Normal"/>
    <w:uiPriority w:val="1"/>
    <w:qFormat/>
    <w:pPr>
      <w:ind w:left="840" w:hanging="721"/>
    </w:pPr>
    <w:rPr>
      <w:rFonts w:ascii="Segoe UI" w:hAnsi="Segoe UI" w:eastAsia="Segoe UI" w:cs="Segoe UI"/>
      <w:lang w:val="en-au" w:eastAsia="en-US" w:bidi="ar-SA"/>
    </w:rPr>
  </w:style>
  <w:style w:styleId="TableParagraph" w:type="paragraph">
    <w:name w:val="Table Paragraph"/>
    <w:basedOn w:val="Normal"/>
    <w:uiPriority w:val="1"/>
    <w:qFormat/>
    <w:pPr>
      <w:jc w:val="center"/>
    </w:pPr>
    <w:rPr>
      <w:rFonts w:ascii="Segoe UI" w:hAnsi="Segoe UI" w:eastAsia="Segoe UI" w:cs="Segoe U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tkhtu</dc:creator>
  <dcterms:created xsi:type="dcterms:W3CDTF">2021-02-03T22:42:02Z</dcterms:created>
  <dcterms:modified xsi:type="dcterms:W3CDTF">2021-02-03T22:42:02Z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Acrobat PDFMaker 20 for Word</vt:lpwstr>
  </property>
  <property fmtid="{D5CDD505-2E9C-101B-9397-08002B2CF9AE}" pid="4" name="LastSaved">
    <vt:filetime>2021-02-03T00:00:00Z</vt:filetime>
  </property>
</Properties>
</file>