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C9349" w14:textId="64BF5985" w:rsidR="00180FFE" w:rsidRPr="005B6722" w:rsidRDefault="00180FFE" w:rsidP="00B75910">
      <w:pPr>
        <w:pStyle w:val="Title"/>
        <w:spacing w:before="6000"/>
      </w:pPr>
      <w:bookmarkStart w:id="0" w:name="_GoBack"/>
      <w:bookmarkEnd w:id="0"/>
      <w:r w:rsidRPr="005B6722">
        <w:t>IMPLEMENTATION PLAN</w:t>
      </w:r>
      <w:r w:rsidR="00B75910">
        <w:t xml:space="preserve"> FOR</w:t>
      </w:r>
      <w:r w:rsidRPr="005B6722">
        <w:t xml:space="preserve"> THE</w:t>
      </w:r>
      <w:r w:rsidR="00B75910">
        <w:br/>
      </w:r>
      <w:r w:rsidRPr="005B6722">
        <w:t>NATIONAL MICROBIAL GENOMICS FRAMEWORK</w:t>
      </w:r>
      <w:r w:rsidR="00B75910">
        <w:br/>
      </w:r>
      <w:r w:rsidRPr="005B6722">
        <w:t>202</w:t>
      </w:r>
      <w:r w:rsidR="00D46A96">
        <w:t>1</w:t>
      </w:r>
      <w:r w:rsidR="00B75910">
        <w:t>–</w:t>
      </w:r>
      <w:r w:rsidRPr="005B6722">
        <w:t>2022</w:t>
      </w:r>
    </w:p>
    <w:p w14:paraId="70A137C7" w14:textId="1502F359" w:rsidR="00180FFE" w:rsidRPr="005B6722" w:rsidRDefault="00180FFE" w:rsidP="00180FFE">
      <w:pPr>
        <w:rPr>
          <w:rFonts w:ascii="Arial"/>
          <w:sz w:val="40"/>
        </w:rPr>
        <w:sectPr w:rsidR="00180FFE" w:rsidRPr="005B6722" w:rsidSect="00180FFE">
          <w:headerReference w:type="default" r:id="rId8"/>
          <w:footerReference w:type="default" r:id="rId9"/>
          <w:pgSz w:w="11910" w:h="16840"/>
          <w:pgMar w:top="1386" w:right="720" w:bottom="1260" w:left="1420" w:header="426" w:footer="1075" w:gutter="0"/>
          <w:pgNumType w:start="1"/>
          <w:cols w:space="720"/>
        </w:sectPr>
      </w:pPr>
    </w:p>
    <w:p w14:paraId="73E5B836" w14:textId="77777777" w:rsidR="00180FFE" w:rsidRPr="005B6722" w:rsidRDefault="00180FFE" w:rsidP="00180FFE">
      <w:pPr>
        <w:pStyle w:val="BodyText"/>
        <w:rPr>
          <w:rFonts w:ascii="Arial"/>
          <w:b/>
          <w:sz w:val="20"/>
        </w:rPr>
      </w:pPr>
    </w:p>
    <w:sdt>
      <w:sdtPr>
        <w:rPr>
          <w:rFonts w:ascii="Calibri" w:eastAsia="Calibri" w:hAnsi="Calibri" w:cs="Calibri"/>
          <w:b w:val="0"/>
          <w:bCs w:val="0"/>
          <w:color w:val="auto"/>
          <w:sz w:val="22"/>
          <w:szCs w:val="22"/>
          <w:lang w:val="en-AU" w:eastAsia="en-AU" w:bidi="en-AU"/>
        </w:rPr>
        <w:id w:val="-547844312"/>
        <w:docPartObj>
          <w:docPartGallery w:val="Table of Contents"/>
          <w:docPartUnique/>
        </w:docPartObj>
      </w:sdtPr>
      <w:sdtContent>
        <w:p w14:paraId="4ED8F79D" w14:textId="77777777" w:rsidR="00180FFE" w:rsidRPr="00AE059E" w:rsidRDefault="00180FFE" w:rsidP="00180FFE">
          <w:pPr>
            <w:pStyle w:val="TOCHeading"/>
            <w:rPr>
              <w:lang w:val="en-AU"/>
            </w:rPr>
          </w:pPr>
          <w:r w:rsidRPr="00AE059E">
            <w:rPr>
              <w:lang w:val="en-AU"/>
            </w:rPr>
            <w:t>Contents</w:t>
          </w:r>
        </w:p>
        <w:p w14:paraId="2912F0BC" w14:textId="700E42B9" w:rsidR="0093519A" w:rsidRDefault="00180FFE">
          <w:pPr>
            <w:pStyle w:val="TOC1"/>
            <w:tabs>
              <w:tab w:val="right" w:leader="dot" w:pos="9760"/>
            </w:tabs>
            <w:rPr>
              <w:rFonts w:asciiTheme="minorHAnsi" w:eastAsiaTheme="minorEastAsia" w:hAnsiTheme="minorHAnsi" w:cstheme="minorBidi"/>
              <w:b w:val="0"/>
              <w:bCs w:val="0"/>
              <w:noProof/>
              <w:sz w:val="22"/>
              <w:szCs w:val="22"/>
              <w:lang w:bidi="ar-SA"/>
            </w:rPr>
          </w:pPr>
          <w:r w:rsidRPr="00AE059E">
            <w:fldChar w:fldCharType="begin"/>
          </w:r>
          <w:r w:rsidRPr="005B6722">
            <w:instrText xml:space="preserve"> TOC \o "1-3" \h \z \u </w:instrText>
          </w:r>
          <w:r w:rsidRPr="00AE059E">
            <w:fldChar w:fldCharType="separate"/>
          </w:r>
          <w:hyperlink w:anchor="_Toc57196929" w:history="1">
            <w:r w:rsidR="0093519A" w:rsidRPr="00972C2A">
              <w:rPr>
                <w:rStyle w:val="Hyperlink"/>
                <w:noProof/>
              </w:rPr>
              <w:t>Acronyms and abbreviations</w:t>
            </w:r>
            <w:r w:rsidR="0093519A">
              <w:rPr>
                <w:noProof/>
                <w:webHidden/>
              </w:rPr>
              <w:tab/>
            </w:r>
            <w:r w:rsidR="0093519A">
              <w:rPr>
                <w:noProof/>
                <w:webHidden/>
              </w:rPr>
              <w:fldChar w:fldCharType="begin"/>
            </w:r>
            <w:r w:rsidR="0093519A">
              <w:rPr>
                <w:noProof/>
                <w:webHidden/>
              </w:rPr>
              <w:instrText xml:space="preserve"> PAGEREF _Toc57196929 \h </w:instrText>
            </w:r>
            <w:r w:rsidR="0093519A">
              <w:rPr>
                <w:noProof/>
                <w:webHidden/>
              </w:rPr>
            </w:r>
            <w:r w:rsidR="0093519A">
              <w:rPr>
                <w:noProof/>
                <w:webHidden/>
              </w:rPr>
              <w:fldChar w:fldCharType="separate"/>
            </w:r>
            <w:r w:rsidR="0093519A">
              <w:rPr>
                <w:noProof/>
                <w:webHidden/>
              </w:rPr>
              <w:t>4</w:t>
            </w:r>
            <w:r w:rsidR="0093519A">
              <w:rPr>
                <w:noProof/>
                <w:webHidden/>
              </w:rPr>
              <w:fldChar w:fldCharType="end"/>
            </w:r>
          </w:hyperlink>
        </w:p>
        <w:p w14:paraId="42D1E4FA" w14:textId="3A2B1FB0" w:rsidR="0093519A" w:rsidRDefault="00752E10">
          <w:pPr>
            <w:pStyle w:val="TOC1"/>
            <w:tabs>
              <w:tab w:val="right" w:leader="dot" w:pos="9760"/>
            </w:tabs>
            <w:rPr>
              <w:rFonts w:asciiTheme="minorHAnsi" w:eastAsiaTheme="minorEastAsia" w:hAnsiTheme="minorHAnsi" w:cstheme="minorBidi"/>
              <w:b w:val="0"/>
              <w:bCs w:val="0"/>
              <w:noProof/>
              <w:sz w:val="22"/>
              <w:szCs w:val="22"/>
              <w:lang w:bidi="ar-SA"/>
            </w:rPr>
          </w:pPr>
          <w:hyperlink w:anchor="_Toc57196953" w:history="1">
            <w:r w:rsidR="0093519A" w:rsidRPr="00972C2A">
              <w:rPr>
                <w:rStyle w:val="Hyperlink"/>
                <w:noProof/>
              </w:rPr>
              <w:t>Introduction</w:t>
            </w:r>
            <w:r w:rsidR="0093519A">
              <w:rPr>
                <w:noProof/>
                <w:webHidden/>
              </w:rPr>
              <w:tab/>
            </w:r>
            <w:r w:rsidR="0093519A">
              <w:rPr>
                <w:noProof/>
                <w:webHidden/>
              </w:rPr>
              <w:fldChar w:fldCharType="begin"/>
            </w:r>
            <w:r w:rsidR="0093519A">
              <w:rPr>
                <w:noProof/>
                <w:webHidden/>
              </w:rPr>
              <w:instrText xml:space="preserve"> PAGEREF _Toc57196953 \h </w:instrText>
            </w:r>
            <w:r w:rsidR="0093519A">
              <w:rPr>
                <w:noProof/>
                <w:webHidden/>
              </w:rPr>
            </w:r>
            <w:r w:rsidR="0093519A">
              <w:rPr>
                <w:noProof/>
                <w:webHidden/>
              </w:rPr>
              <w:fldChar w:fldCharType="separate"/>
            </w:r>
            <w:r w:rsidR="0093519A">
              <w:rPr>
                <w:noProof/>
                <w:webHidden/>
              </w:rPr>
              <w:t>5</w:t>
            </w:r>
            <w:r w:rsidR="0093519A">
              <w:rPr>
                <w:noProof/>
                <w:webHidden/>
              </w:rPr>
              <w:fldChar w:fldCharType="end"/>
            </w:r>
          </w:hyperlink>
        </w:p>
        <w:p w14:paraId="094A23C4" w14:textId="6D53F353"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54" w:history="1">
            <w:r w:rsidR="0093519A" w:rsidRPr="00972C2A">
              <w:rPr>
                <w:rStyle w:val="Hyperlink"/>
                <w:noProof/>
              </w:rPr>
              <w:t>Background</w:t>
            </w:r>
            <w:r w:rsidR="0093519A">
              <w:rPr>
                <w:noProof/>
                <w:webHidden/>
              </w:rPr>
              <w:tab/>
            </w:r>
            <w:r w:rsidR="0093519A">
              <w:rPr>
                <w:noProof/>
                <w:webHidden/>
              </w:rPr>
              <w:fldChar w:fldCharType="begin"/>
            </w:r>
            <w:r w:rsidR="0093519A">
              <w:rPr>
                <w:noProof/>
                <w:webHidden/>
              </w:rPr>
              <w:instrText xml:space="preserve"> PAGEREF _Toc57196954 \h </w:instrText>
            </w:r>
            <w:r w:rsidR="0093519A">
              <w:rPr>
                <w:noProof/>
                <w:webHidden/>
              </w:rPr>
            </w:r>
            <w:r w:rsidR="0093519A">
              <w:rPr>
                <w:noProof/>
                <w:webHidden/>
              </w:rPr>
              <w:fldChar w:fldCharType="separate"/>
            </w:r>
            <w:r w:rsidR="0093519A">
              <w:rPr>
                <w:noProof/>
                <w:webHidden/>
              </w:rPr>
              <w:t>5</w:t>
            </w:r>
            <w:r w:rsidR="0093519A">
              <w:rPr>
                <w:noProof/>
                <w:webHidden/>
              </w:rPr>
              <w:fldChar w:fldCharType="end"/>
            </w:r>
          </w:hyperlink>
        </w:p>
        <w:p w14:paraId="7C4ABA9D" w14:textId="5706FE4A"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55" w:history="1">
            <w:r w:rsidR="0093519A" w:rsidRPr="00972C2A">
              <w:rPr>
                <w:rStyle w:val="Hyperlink"/>
                <w:noProof/>
              </w:rPr>
              <w:t>Translating the Framework into action</w:t>
            </w:r>
            <w:r w:rsidR="0093519A">
              <w:rPr>
                <w:noProof/>
                <w:webHidden/>
              </w:rPr>
              <w:tab/>
            </w:r>
            <w:r w:rsidR="0093519A">
              <w:rPr>
                <w:noProof/>
                <w:webHidden/>
              </w:rPr>
              <w:fldChar w:fldCharType="begin"/>
            </w:r>
            <w:r w:rsidR="0093519A">
              <w:rPr>
                <w:noProof/>
                <w:webHidden/>
              </w:rPr>
              <w:instrText xml:space="preserve"> PAGEREF _Toc57196955 \h </w:instrText>
            </w:r>
            <w:r w:rsidR="0093519A">
              <w:rPr>
                <w:noProof/>
                <w:webHidden/>
              </w:rPr>
            </w:r>
            <w:r w:rsidR="0093519A">
              <w:rPr>
                <w:noProof/>
                <w:webHidden/>
              </w:rPr>
              <w:fldChar w:fldCharType="separate"/>
            </w:r>
            <w:r w:rsidR="0093519A">
              <w:rPr>
                <w:noProof/>
                <w:webHidden/>
              </w:rPr>
              <w:t>6</w:t>
            </w:r>
            <w:r w:rsidR="0093519A">
              <w:rPr>
                <w:noProof/>
                <w:webHidden/>
              </w:rPr>
              <w:fldChar w:fldCharType="end"/>
            </w:r>
          </w:hyperlink>
        </w:p>
        <w:p w14:paraId="59E623E0" w14:textId="01A63B90"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56" w:history="1">
            <w:r w:rsidR="0093519A" w:rsidRPr="00972C2A">
              <w:rPr>
                <w:rStyle w:val="Hyperlink"/>
                <w:noProof/>
              </w:rPr>
              <w:t>Sector consultation</w:t>
            </w:r>
            <w:r w:rsidR="0093519A">
              <w:rPr>
                <w:noProof/>
                <w:webHidden/>
              </w:rPr>
              <w:tab/>
            </w:r>
            <w:r w:rsidR="0093519A">
              <w:rPr>
                <w:noProof/>
                <w:webHidden/>
              </w:rPr>
              <w:fldChar w:fldCharType="begin"/>
            </w:r>
            <w:r w:rsidR="0093519A">
              <w:rPr>
                <w:noProof/>
                <w:webHidden/>
              </w:rPr>
              <w:instrText xml:space="preserve"> PAGEREF _Toc57196956 \h </w:instrText>
            </w:r>
            <w:r w:rsidR="0093519A">
              <w:rPr>
                <w:noProof/>
                <w:webHidden/>
              </w:rPr>
            </w:r>
            <w:r w:rsidR="0093519A">
              <w:rPr>
                <w:noProof/>
                <w:webHidden/>
              </w:rPr>
              <w:fldChar w:fldCharType="separate"/>
            </w:r>
            <w:r w:rsidR="0093519A">
              <w:rPr>
                <w:noProof/>
                <w:webHidden/>
              </w:rPr>
              <w:t>6</w:t>
            </w:r>
            <w:r w:rsidR="0093519A">
              <w:rPr>
                <w:noProof/>
                <w:webHidden/>
              </w:rPr>
              <w:fldChar w:fldCharType="end"/>
            </w:r>
          </w:hyperlink>
        </w:p>
        <w:p w14:paraId="6CFB388A" w14:textId="16CC1A1A"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57" w:history="1">
            <w:r w:rsidR="0093519A" w:rsidRPr="00972C2A">
              <w:rPr>
                <w:rStyle w:val="Hyperlink"/>
                <w:noProof/>
              </w:rPr>
              <w:t>Roles and responsibilities</w:t>
            </w:r>
            <w:r w:rsidR="0093519A">
              <w:rPr>
                <w:noProof/>
                <w:webHidden/>
              </w:rPr>
              <w:tab/>
            </w:r>
            <w:r w:rsidR="0093519A">
              <w:rPr>
                <w:noProof/>
                <w:webHidden/>
              </w:rPr>
              <w:fldChar w:fldCharType="begin"/>
            </w:r>
            <w:r w:rsidR="0093519A">
              <w:rPr>
                <w:noProof/>
                <w:webHidden/>
              </w:rPr>
              <w:instrText xml:space="preserve"> PAGEREF _Toc57196957 \h </w:instrText>
            </w:r>
            <w:r w:rsidR="0093519A">
              <w:rPr>
                <w:noProof/>
                <w:webHidden/>
              </w:rPr>
            </w:r>
            <w:r w:rsidR="0093519A">
              <w:rPr>
                <w:noProof/>
                <w:webHidden/>
              </w:rPr>
              <w:fldChar w:fldCharType="separate"/>
            </w:r>
            <w:r w:rsidR="0093519A">
              <w:rPr>
                <w:noProof/>
                <w:webHidden/>
              </w:rPr>
              <w:t>6</w:t>
            </w:r>
            <w:r w:rsidR="0093519A">
              <w:rPr>
                <w:noProof/>
                <w:webHidden/>
              </w:rPr>
              <w:fldChar w:fldCharType="end"/>
            </w:r>
          </w:hyperlink>
        </w:p>
        <w:p w14:paraId="7CB5031C" w14:textId="64F731D9"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58" w:history="1">
            <w:r w:rsidR="0093519A" w:rsidRPr="00972C2A">
              <w:rPr>
                <w:rStyle w:val="Hyperlink"/>
                <w:noProof/>
              </w:rPr>
              <w:t>Priority Key</w:t>
            </w:r>
            <w:r w:rsidR="0093519A">
              <w:rPr>
                <w:noProof/>
                <w:webHidden/>
              </w:rPr>
              <w:tab/>
            </w:r>
            <w:r w:rsidR="0093519A">
              <w:rPr>
                <w:noProof/>
                <w:webHidden/>
              </w:rPr>
              <w:fldChar w:fldCharType="begin"/>
            </w:r>
            <w:r w:rsidR="0093519A">
              <w:rPr>
                <w:noProof/>
                <w:webHidden/>
              </w:rPr>
              <w:instrText xml:space="preserve"> PAGEREF _Toc57196958 \h </w:instrText>
            </w:r>
            <w:r w:rsidR="0093519A">
              <w:rPr>
                <w:noProof/>
                <w:webHidden/>
              </w:rPr>
            </w:r>
            <w:r w:rsidR="0093519A">
              <w:rPr>
                <w:noProof/>
                <w:webHidden/>
              </w:rPr>
              <w:fldChar w:fldCharType="separate"/>
            </w:r>
            <w:r w:rsidR="0093519A">
              <w:rPr>
                <w:noProof/>
                <w:webHidden/>
              </w:rPr>
              <w:t>6</w:t>
            </w:r>
            <w:r w:rsidR="0093519A">
              <w:rPr>
                <w:noProof/>
                <w:webHidden/>
              </w:rPr>
              <w:fldChar w:fldCharType="end"/>
            </w:r>
          </w:hyperlink>
        </w:p>
        <w:p w14:paraId="4745487A" w14:textId="0F5043B0"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59" w:history="1">
            <w:r w:rsidR="0093519A" w:rsidRPr="00972C2A">
              <w:rPr>
                <w:rStyle w:val="Hyperlink"/>
                <w:noProof/>
              </w:rPr>
              <w:t>Indicative Action Timeframes</w:t>
            </w:r>
            <w:r w:rsidR="0093519A">
              <w:rPr>
                <w:noProof/>
                <w:webHidden/>
              </w:rPr>
              <w:tab/>
            </w:r>
            <w:r w:rsidR="0093519A">
              <w:rPr>
                <w:noProof/>
                <w:webHidden/>
              </w:rPr>
              <w:fldChar w:fldCharType="begin"/>
            </w:r>
            <w:r w:rsidR="0093519A">
              <w:rPr>
                <w:noProof/>
                <w:webHidden/>
              </w:rPr>
              <w:instrText xml:space="preserve"> PAGEREF _Toc57196959 \h </w:instrText>
            </w:r>
            <w:r w:rsidR="0093519A">
              <w:rPr>
                <w:noProof/>
                <w:webHidden/>
              </w:rPr>
            </w:r>
            <w:r w:rsidR="0093519A">
              <w:rPr>
                <w:noProof/>
                <w:webHidden/>
              </w:rPr>
              <w:fldChar w:fldCharType="separate"/>
            </w:r>
            <w:r w:rsidR="0093519A">
              <w:rPr>
                <w:noProof/>
                <w:webHidden/>
              </w:rPr>
              <w:t>7</w:t>
            </w:r>
            <w:r w:rsidR="0093519A">
              <w:rPr>
                <w:noProof/>
                <w:webHidden/>
              </w:rPr>
              <w:fldChar w:fldCharType="end"/>
            </w:r>
          </w:hyperlink>
        </w:p>
        <w:p w14:paraId="47FA3B2C" w14:textId="0AF526AA" w:rsidR="0093519A" w:rsidRDefault="00752E10">
          <w:pPr>
            <w:pStyle w:val="TOC1"/>
            <w:tabs>
              <w:tab w:val="right" w:leader="dot" w:pos="9760"/>
            </w:tabs>
            <w:rPr>
              <w:rFonts w:asciiTheme="minorHAnsi" w:eastAsiaTheme="minorEastAsia" w:hAnsiTheme="minorHAnsi" w:cstheme="minorBidi"/>
              <w:b w:val="0"/>
              <w:bCs w:val="0"/>
              <w:noProof/>
              <w:sz w:val="22"/>
              <w:szCs w:val="22"/>
              <w:lang w:bidi="ar-SA"/>
            </w:rPr>
          </w:pPr>
          <w:hyperlink w:anchor="_Toc57196960" w:history="1">
            <w:r w:rsidR="0093519A" w:rsidRPr="00972C2A">
              <w:rPr>
                <w:rStyle w:val="Hyperlink"/>
                <w:noProof/>
              </w:rPr>
              <w:t>Governance</w:t>
            </w:r>
            <w:r w:rsidR="0093519A">
              <w:rPr>
                <w:noProof/>
                <w:webHidden/>
              </w:rPr>
              <w:tab/>
            </w:r>
            <w:r w:rsidR="0093519A">
              <w:rPr>
                <w:noProof/>
                <w:webHidden/>
              </w:rPr>
              <w:fldChar w:fldCharType="begin"/>
            </w:r>
            <w:r w:rsidR="0093519A">
              <w:rPr>
                <w:noProof/>
                <w:webHidden/>
              </w:rPr>
              <w:instrText xml:space="preserve"> PAGEREF _Toc57196960 \h </w:instrText>
            </w:r>
            <w:r w:rsidR="0093519A">
              <w:rPr>
                <w:noProof/>
                <w:webHidden/>
              </w:rPr>
            </w:r>
            <w:r w:rsidR="0093519A">
              <w:rPr>
                <w:noProof/>
                <w:webHidden/>
              </w:rPr>
              <w:fldChar w:fldCharType="separate"/>
            </w:r>
            <w:r w:rsidR="0093519A">
              <w:rPr>
                <w:noProof/>
                <w:webHidden/>
              </w:rPr>
              <w:t>8</w:t>
            </w:r>
            <w:r w:rsidR="0093519A">
              <w:rPr>
                <w:noProof/>
                <w:webHidden/>
              </w:rPr>
              <w:fldChar w:fldCharType="end"/>
            </w:r>
          </w:hyperlink>
        </w:p>
        <w:p w14:paraId="65BCF26E" w14:textId="14BAB801" w:rsidR="0093519A" w:rsidRDefault="00752E10">
          <w:pPr>
            <w:pStyle w:val="TOC1"/>
            <w:tabs>
              <w:tab w:val="right" w:leader="dot" w:pos="9760"/>
            </w:tabs>
            <w:rPr>
              <w:rFonts w:asciiTheme="minorHAnsi" w:eastAsiaTheme="minorEastAsia" w:hAnsiTheme="minorHAnsi" w:cstheme="minorBidi"/>
              <w:b w:val="0"/>
              <w:bCs w:val="0"/>
              <w:noProof/>
              <w:sz w:val="22"/>
              <w:szCs w:val="22"/>
              <w:lang w:bidi="ar-SA"/>
            </w:rPr>
          </w:pPr>
          <w:hyperlink w:anchor="_Toc57196961" w:history="1">
            <w:r w:rsidR="0093519A" w:rsidRPr="00972C2A">
              <w:rPr>
                <w:rStyle w:val="Hyperlink"/>
                <w:noProof/>
              </w:rPr>
              <w:t>Accountability - measuring and reporting</w:t>
            </w:r>
            <w:r w:rsidR="0093519A">
              <w:rPr>
                <w:noProof/>
                <w:webHidden/>
              </w:rPr>
              <w:tab/>
            </w:r>
            <w:r w:rsidR="0093519A">
              <w:rPr>
                <w:noProof/>
                <w:webHidden/>
              </w:rPr>
              <w:fldChar w:fldCharType="begin"/>
            </w:r>
            <w:r w:rsidR="0093519A">
              <w:rPr>
                <w:noProof/>
                <w:webHidden/>
              </w:rPr>
              <w:instrText xml:space="preserve"> PAGEREF _Toc57196961 \h </w:instrText>
            </w:r>
            <w:r w:rsidR="0093519A">
              <w:rPr>
                <w:noProof/>
                <w:webHidden/>
              </w:rPr>
            </w:r>
            <w:r w:rsidR="0093519A">
              <w:rPr>
                <w:noProof/>
                <w:webHidden/>
              </w:rPr>
              <w:fldChar w:fldCharType="separate"/>
            </w:r>
            <w:r w:rsidR="0093519A">
              <w:rPr>
                <w:noProof/>
                <w:webHidden/>
              </w:rPr>
              <w:t>9</w:t>
            </w:r>
            <w:r w:rsidR="0093519A">
              <w:rPr>
                <w:noProof/>
                <w:webHidden/>
              </w:rPr>
              <w:fldChar w:fldCharType="end"/>
            </w:r>
          </w:hyperlink>
        </w:p>
        <w:p w14:paraId="1CAD51EF" w14:textId="430CADE9" w:rsidR="0093519A" w:rsidRDefault="00752E10">
          <w:pPr>
            <w:pStyle w:val="TOC1"/>
            <w:tabs>
              <w:tab w:val="right" w:leader="dot" w:pos="9760"/>
            </w:tabs>
            <w:rPr>
              <w:rFonts w:asciiTheme="minorHAnsi" w:eastAsiaTheme="minorEastAsia" w:hAnsiTheme="minorHAnsi" w:cstheme="minorBidi"/>
              <w:b w:val="0"/>
              <w:bCs w:val="0"/>
              <w:noProof/>
              <w:sz w:val="22"/>
              <w:szCs w:val="22"/>
              <w:lang w:bidi="ar-SA"/>
            </w:rPr>
          </w:pPr>
          <w:hyperlink w:anchor="_Toc57196962" w:history="1">
            <w:r w:rsidR="0093519A" w:rsidRPr="00972C2A">
              <w:rPr>
                <w:rStyle w:val="Hyperlink"/>
                <w:noProof/>
              </w:rPr>
              <w:t>Strategic Priority 1: Standardised National Approach</w:t>
            </w:r>
            <w:r w:rsidR="0093519A">
              <w:rPr>
                <w:noProof/>
                <w:webHidden/>
              </w:rPr>
              <w:tab/>
            </w:r>
            <w:r w:rsidR="0093519A">
              <w:rPr>
                <w:noProof/>
                <w:webHidden/>
              </w:rPr>
              <w:fldChar w:fldCharType="begin"/>
            </w:r>
            <w:r w:rsidR="0093519A">
              <w:rPr>
                <w:noProof/>
                <w:webHidden/>
              </w:rPr>
              <w:instrText xml:space="preserve"> PAGEREF _Toc57196962 \h </w:instrText>
            </w:r>
            <w:r w:rsidR="0093519A">
              <w:rPr>
                <w:noProof/>
                <w:webHidden/>
              </w:rPr>
            </w:r>
            <w:r w:rsidR="0093519A">
              <w:rPr>
                <w:noProof/>
                <w:webHidden/>
              </w:rPr>
              <w:fldChar w:fldCharType="separate"/>
            </w:r>
            <w:r w:rsidR="0093519A">
              <w:rPr>
                <w:noProof/>
                <w:webHidden/>
              </w:rPr>
              <w:t>10</w:t>
            </w:r>
            <w:r w:rsidR="0093519A">
              <w:rPr>
                <w:noProof/>
                <w:webHidden/>
              </w:rPr>
              <w:fldChar w:fldCharType="end"/>
            </w:r>
          </w:hyperlink>
        </w:p>
        <w:p w14:paraId="402D0DD9" w14:textId="267DACE0"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63" w:history="1">
            <w:r w:rsidR="0093519A" w:rsidRPr="00972C2A">
              <w:rPr>
                <w:rStyle w:val="Hyperlink"/>
                <w:noProof/>
              </w:rPr>
              <w:t>Prior and current activities</w:t>
            </w:r>
            <w:r w:rsidR="0093519A">
              <w:rPr>
                <w:noProof/>
                <w:webHidden/>
              </w:rPr>
              <w:tab/>
            </w:r>
            <w:r w:rsidR="0093519A">
              <w:rPr>
                <w:noProof/>
                <w:webHidden/>
              </w:rPr>
              <w:fldChar w:fldCharType="begin"/>
            </w:r>
            <w:r w:rsidR="0093519A">
              <w:rPr>
                <w:noProof/>
                <w:webHidden/>
              </w:rPr>
              <w:instrText xml:space="preserve"> PAGEREF _Toc57196963 \h </w:instrText>
            </w:r>
            <w:r w:rsidR="0093519A">
              <w:rPr>
                <w:noProof/>
                <w:webHidden/>
              </w:rPr>
            </w:r>
            <w:r w:rsidR="0093519A">
              <w:rPr>
                <w:noProof/>
                <w:webHidden/>
              </w:rPr>
              <w:fldChar w:fldCharType="separate"/>
            </w:r>
            <w:r w:rsidR="0093519A">
              <w:rPr>
                <w:noProof/>
                <w:webHidden/>
              </w:rPr>
              <w:t>10</w:t>
            </w:r>
            <w:r w:rsidR="0093519A">
              <w:rPr>
                <w:noProof/>
                <w:webHidden/>
              </w:rPr>
              <w:fldChar w:fldCharType="end"/>
            </w:r>
          </w:hyperlink>
        </w:p>
        <w:p w14:paraId="1B791760" w14:textId="3154137C"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64" w:history="1">
            <w:r w:rsidR="0093519A" w:rsidRPr="00972C2A">
              <w:rPr>
                <w:rStyle w:val="Hyperlink"/>
                <w:noProof/>
              </w:rPr>
              <w:t>Agreed Outcomes and Priority Areas for Action</w:t>
            </w:r>
            <w:r w:rsidR="0093519A">
              <w:rPr>
                <w:noProof/>
                <w:webHidden/>
              </w:rPr>
              <w:tab/>
            </w:r>
            <w:r w:rsidR="0093519A">
              <w:rPr>
                <w:noProof/>
                <w:webHidden/>
              </w:rPr>
              <w:fldChar w:fldCharType="begin"/>
            </w:r>
            <w:r w:rsidR="0093519A">
              <w:rPr>
                <w:noProof/>
                <w:webHidden/>
              </w:rPr>
              <w:instrText xml:space="preserve"> PAGEREF _Toc57196964 \h </w:instrText>
            </w:r>
            <w:r w:rsidR="0093519A">
              <w:rPr>
                <w:noProof/>
                <w:webHidden/>
              </w:rPr>
            </w:r>
            <w:r w:rsidR="0093519A">
              <w:rPr>
                <w:noProof/>
                <w:webHidden/>
              </w:rPr>
              <w:fldChar w:fldCharType="separate"/>
            </w:r>
            <w:r w:rsidR="0093519A">
              <w:rPr>
                <w:noProof/>
                <w:webHidden/>
              </w:rPr>
              <w:t>12</w:t>
            </w:r>
            <w:r w:rsidR="0093519A">
              <w:rPr>
                <w:noProof/>
                <w:webHidden/>
              </w:rPr>
              <w:fldChar w:fldCharType="end"/>
            </w:r>
          </w:hyperlink>
        </w:p>
        <w:p w14:paraId="0F8273AD" w14:textId="17BE90BF"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65" w:history="1">
            <w:r w:rsidR="0093519A" w:rsidRPr="00972C2A">
              <w:rPr>
                <w:rStyle w:val="Hyperlink"/>
                <w:noProof/>
              </w:rPr>
              <w:t>Actions – Standardised National Approach</w:t>
            </w:r>
            <w:r w:rsidR="0093519A">
              <w:rPr>
                <w:noProof/>
                <w:webHidden/>
              </w:rPr>
              <w:tab/>
            </w:r>
            <w:r w:rsidR="0093519A">
              <w:rPr>
                <w:noProof/>
                <w:webHidden/>
              </w:rPr>
              <w:fldChar w:fldCharType="begin"/>
            </w:r>
            <w:r w:rsidR="0093519A">
              <w:rPr>
                <w:noProof/>
                <w:webHidden/>
              </w:rPr>
              <w:instrText xml:space="preserve"> PAGEREF _Toc57196965 \h </w:instrText>
            </w:r>
            <w:r w:rsidR="0093519A">
              <w:rPr>
                <w:noProof/>
                <w:webHidden/>
              </w:rPr>
            </w:r>
            <w:r w:rsidR="0093519A">
              <w:rPr>
                <w:noProof/>
                <w:webHidden/>
              </w:rPr>
              <w:fldChar w:fldCharType="separate"/>
            </w:r>
            <w:r w:rsidR="0093519A">
              <w:rPr>
                <w:noProof/>
                <w:webHidden/>
              </w:rPr>
              <w:t>13</w:t>
            </w:r>
            <w:r w:rsidR="0093519A">
              <w:rPr>
                <w:noProof/>
                <w:webHidden/>
              </w:rPr>
              <w:fldChar w:fldCharType="end"/>
            </w:r>
          </w:hyperlink>
        </w:p>
        <w:p w14:paraId="1A9C775C" w14:textId="61C74463" w:rsidR="0093519A" w:rsidRDefault="00752E10">
          <w:pPr>
            <w:pStyle w:val="TOC1"/>
            <w:tabs>
              <w:tab w:val="right" w:leader="dot" w:pos="9760"/>
            </w:tabs>
            <w:rPr>
              <w:rFonts w:asciiTheme="minorHAnsi" w:eastAsiaTheme="minorEastAsia" w:hAnsiTheme="minorHAnsi" w:cstheme="minorBidi"/>
              <w:b w:val="0"/>
              <w:bCs w:val="0"/>
              <w:noProof/>
              <w:sz w:val="22"/>
              <w:szCs w:val="22"/>
              <w:lang w:bidi="ar-SA"/>
            </w:rPr>
          </w:pPr>
          <w:hyperlink w:anchor="_Toc57196966" w:history="1">
            <w:r w:rsidR="0093519A" w:rsidRPr="00972C2A">
              <w:rPr>
                <w:rStyle w:val="Hyperlink"/>
                <w:noProof/>
              </w:rPr>
              <w:t>Strategic</w:t>
            </w:r>
            <w:r w:rsidR="0093519A" w:rsidRPr="00972C2A">
              <w:rPr>
                <w:rStyle w:val="Hyperlink"/>
                <w:noProof/>
                <w:spacing w:val="-20"/>
              </w:rPr>
              <w:t xml:space="preserve"> </w:t>
            </w:r>
            <w:r w:rsidR="0093519A" w:rsidRPr="00972C2A">
              <w:rPr>
                <w:rStyle w:val="Hyperlink"/>
                <w:noProof/>
              </w:rPr>
              <w:t>Priority</w:t>
            </w:r>
            <w:r w:rsidR="0093519A" w:rsidRPr="00972C2A">
              <w:rPr>
                <w:rStyle w:val="Hyperlink"/>
                <w:noProof/>
                <w:spacing w:val="-7"/>
              </w:rPr>
              <w:t xml:space="preserve"> </w:t>
            </w:r>
            <w:r w:rsidR="0093519A" w:rsidRPr="00972C2A">
              <w:rPr>
                <w:rStyle w:val="Hyperlink"/>
                <w:noProof/>
              </w:rPr>
              <w:t xml:space="preserve">2: Technology and </w:t>
            </w:r>
            <w:r w:rsidR="0093519A" w:rsidRPr="00972C2A">
              <w:rPr>
                <w:rStyle w:val="Hyperlink"/>
                <w:noProof/>
                <w:spacing w:val="-3"/>
              </w:rPr>
              <w:t>Data Governance</w:t>
            </w:r>
            <w:r w:rsidR="0093519A">
              <w:rPr>
                <w:noProof/>
                <w:webHidden/>
              </w:rPr>
              <w:tab/>
            </w:r>
            <w:r w:rsidR="0093519A">
              <w:rPr>
                <w:noProof/>
                <w:webHidden/>
              </w:rPr>
              <w:fldChar w:fldCharType="begin"/>
            </w:r>
            <w:r w:rsidR="0093519A">
              <w:rPr>
                <w:noProof/>
                <w:webHidden/>
              </w:rPr>
              <w:instrText xml:space="preserve"> PAGEREF _Toc57196966 \h </w:instrText>
            </w:r>
            <w:r w:rsidR="0093519A">
              <w:rPr>
                <w:noProof/>
                <w:webHidden/>
              </w:rPr>
            </w:r>
            <w:r w:rsidR="0093519A">
              <w:rPr>
                <w:noProof/>
                <w:webHidden/>
              </w:rPr>
              <w:fldChar w:fldCharType="separate"/>
            </w:r>
            <w:r w:rsidR="0093519A">
              <w:rPr>
                <w:noProof/>
                <w:webHidden/>
              </w:rPr>
              <w:t>15</w:t>
            </w:r>
            <w:r w:rsidR="0093519A">
              <w:rPr>
                <w:noProof/>
                <w:webHidden/>
              </w:rPr>
              <w:fldChar w:fldCharType="end"/>
            </w:r>
          </w:hyperlink>
        </w:p>
        <w:p w14:paraId="7F9BD125" w14:textId="2FF4EAF0"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67" w:history="1">
            <w:r w:rsidR="0093519A" w:rsidRPr="00972C2A">
              <w:rPr>
                <w:rStyle w:val="Hyperlink"/>
                <w:noProof/>
              </w:rPr>
              <w:t>Current activities</w:t>
            </w:r>
            <w:r w:rsidR="0093519A">
              <w:rPr>
                <w:noProof/>
                <w:webHidden/>
              </w:rPr>
              <w:tab/>
            </w:r>
            <w:r w:rsidR="0093519A">
              <w:rPr>
                <w:noProof/>
                <w:webHidden/>
              </w:rPr>
              <w:fldChar w:fldCharType="begin"/>
            </w:r>
            <w:r w:rsidR="0093519A">
              <w:rPr>
                <w:noProof/>
                <w:webHidden/>
              </w:rPr>
              <w:instrText xml:space="preserve"> PAGEREF _Toc57196967 \h </w:instrText>
            </w:r>
            <w:r w:rsidR="0093519A">
              <w:rPr>
                <w:noProof/>
                <w:webHidden/>
              </w:rPr>
            </w:r>
            <w:r w:rsidR="0093519A">
              <w:rPr>
                <w:noProof/>
                <w:webHidden/>
              </w:rPr>
              <w:fldChar w:fldCharType="separate"/>
            </w:r>
            <w:r w:rsidR="0093519A">
              <w:rPr>
                <w:noProof/>
                <w:webHidden/>
              </w:rPr>
              <w:t>15</w:t>
            </w:r>
            <w:r w:rsidR="0093519A">
              <w:rPr>
                <w:noProof/>
                <w:webHidden/>
              </w:rPr>
              <w:fldChar w:fldCharType="end"/>
            </w:r>
          </w:hyperlink>
        </w:p>
        <w:p w14:paraId="17B378A6" w14:textId="4698DF57"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68" w:history="1">
            <w:r w:rsidR="0093519A" w:rsidRPr="00972C2A">
              <w:rPr>
                <w:rStyle w:val="Hyperlink"/>
                <w:noProof/>
              </w:rPr>
              <w:t>Agreed Outcomes and Priority Areas for Action</w:t>
            </w:r>
            <w:r w:rsidR="0093519A">
              <w:rPr>
                <w:noProof/>
                <w:webHidden/>
              </w:rPr>
              <w:tab/>
            </w:r>
            <w:r w:rsidR="0093519A">
              <w:rPr>
                <w:noProof/>
                <w:webHidden/>
              </w:rPr>
              <w:fldChar w:fldCharType="begin"/>
            </w:r>
            <w:r w:rsidR="0093519A">
              <w:rPr>
                <w:noProof/>
                <w:webHidden/>
              </w:rPr>
              <w:instrText xml:space="preserve"> PAGEREF _Toc57196968 \h </w:instrText>
            </w:r>
            <w:r w:rsidR="0093519A">
              <w:rPr>
                <w:noProof/>
                <w:webHidden/>
              </w:rPr>
            </w:r>
            <w:r w:rsidR="0093519A">
              <w:rPr>
                <w:noProof/>
                <w:webHidden/>
              </w:rPr>
              <w:fldChar w:fldCharType="separate"/>
            </w:r>
            <w:r w:rsidR="0093519A">
              <w:rPr>
                <w:noProof/>
                <w:webHidden/>
              </w:rPr>
              <w:t>16</w:t>
            </w:r>
            <w:r w:rsidR="0093519A">
              <w:rPr>
                <w:noProof/>
                <w:webHidden/>
              </w:rPr>
              <w:fldChar w:fldCharType="end"/>
            </w:r>
          </w:hyperlink>
        </w:p>
        <w:p w14:paraId="5B2823B0" w14:textId="751589C6"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69" w:history="1">
            <w:r w:rsidR="0093519A" w:rsidRPr="00972C2A">
              <w:rPr>
                <w:rStyle w:val="Hyperlink"/>
                <w:noProof/>
              </w:rPr>
              <w:t>Actions – Technology and Data Governance</w:t>
            </w:r>
            <w:r w:rsidR="0093519A">
              <w:rPr>
                <w:noProof/>
                <w:webHidden/>
              </w:rPr>
              <w:tab/>
            </w:r>
            <w:r w:rsidR="0093519A">
              <w:rPr>
                <w:noProof/>
                <w:webHidden/>
              </w:rPr>
              <w:fldChar w:fldCharType="begin"/>
            </w:r>
            <w:r w:rsidR="0093519A">
              <w:rPr>
                <w:noProof/>
                <w:webHidden/>
              </w:rPr>
              <w:instrText xml:space="preserve"> PAGEREF _Toc57196969 \h </w:instrText>
            </w:r>
            <w:r w:rsidR="0093519A">
              <w:rPr>
                <w:noProof/>
                <w:webHidden/>
              </w:rPr>
            </w:r>
            <w:r w:rsidR="0093519A">
              <w:rPr>
                <w:noProof/>
                <w:webHidden/>
              </w:rPr>
              <w:fldChar w:fldCharType="separate"/>
            </w:r>
            <w:r w:rsidR="0093519A">
              <w:rPr>
                <w:noProof/>
                <w:webHidden/>
              </w:rPr>
              <w:t>17</w:t>
            </w:r>
            <w:r w:rsidR="0093519A">
              <w:rPr>
                <w:noProof/>
                <w:webHidden/>
              </w:rPr>
              <w:fldChar w:fldCharType="end"/>
            </w:r>
          </w:hyperlink>
        </w:p>
        <w:p w14:paraId="2DEDF74C" w14:textId="5B306B33" w:rsidR="0093519A" w:rsidRDefault="00752E10">
          <w:pPr>
            <w:pStyle w:val="TOC1"/>
            <w:tabs>
              <w:tab w:val="right" w:leader="dot" w:pos="9760"/>
            </w:tabs>
            <w:rPr>
              <w:rFonts w:asciiTheme="minorHAnsi" w:eastAsiaTheme="minorEastAsia" w:hAnsiTheme="minorHAnsi" w:cstheme="minorBidi"/>
              <w:b w:val="0"/>
              <w:bCs w:val="0"/>
              <w:noProof/>
              <w:sz w:val="22"/>
              <w:szCs w:val="22"/>
              <w:lang w:bidi="ar-SA"/>
            </w:rPr>
          </w:pPr>
          <w:hyperlink w:anchor="_Toc57196970" w:history="1">
            <w:r w:rsidR="0093519A" w:rsidRPr="00972C2A">
              <w:rPr>
                <w:rStyle w:val="Hyperlink"/>
                <w:noProof/>
              </w:rPr>
              <w:t>Strategic Priority 3: Integration into Public Health</w:t>
            </w:r>
            <w:r w:rsidR="0093519A">
              <w:rPr>
                <w:noProof/>
                <w:webHidden/>
              </w:rPr>
              <w:tab/>
            </w:r>
            <w:r w:rsidR="0093519A">
              <w:rPr>
                <w:noProof/>
                <w:webHidden/>
              </w:rPr>
              <w:fldChar w:fldCharType="begin"/>
            </w:r>
            <w:r w:rsidR="0093519A">
              <w:rPr>
                <w:noProof/>
                <w:webHidden/>
              </w:rPr>
              <w:instrText xml:space="preserve"> PAGEREF _Toc57196970 \h </w:instrText>
            </w:r>
            <w:r w:rsidR="0093519A">
              <w:rPr>
                <w:noProof/>
                <w:webHidden/>
              </w:rPr>
            </w:r>
            <w:r w:rsidR="0093519A">
              <w:rPr>
                <w:noProof/>
                <w:webHidden/>
              </w:rPr>
              <w:fldChar w:fldCharType="separate"/>
            </w:r>
            <w:r w:rsidR="0093519A">
              <w:rPr>
                <w:noProof/>
                <w:webHidden/>
              </w:rPr>
              <w:t>19</w:t>
            </w:r>
            <w:r w:rsidR="0093519A">
              <w:rPr>
                <w:noProof/>
                <w:webHidden/>
              </w:rPr>
              <w:fldChar w:fldCharType="end"/>
            </w:r>
          </w:hyperlink>
        </w:p>
        <w:p w14:paraId="1D34E8B7" w14:textId="2AEA3DD0"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71" w:history="1">
            <w:r w:rsidR="0093519A" w:rsidRPr="00972C2A">
              <w:rPr>
                <w:rStyle w:val="Hyperlink"/>
                <w:noProof/>
              </w:rPr>
              <w:t>Current activities</w:t>
            </w:r>
            <w:r w:rsidR="0093519A">
              <w:rPr>
                <w:noProof/>
                <w:webHidden/>
              </w:rPr>
              <w:tab/>
            </w:r>
            <w:r w:rsidR="0093519A">
              <w:rPr>
                <w:noProof/>
                <w:webHidden/>
              </w:rPr>
              <w:fldChar w:fldCharType="begin"/>
            </w:r>
            <w:r w:rsidR="0093519A">
              <w:rPr>
                <w:noProof/>
                <w:webHidden/>
              </w:rPr>
              <w:instrText xml:space="preserve"> PAGEREF _Toc57196971 \h </w:instrText>
            </w:r>
            <w:r w:rsidR="0093519A">
              <w:rPr>
                <w:noProof/>
                <w:webHidden/>
              </w:rPr>
            </w:r>
            <w:r w:rsidR="0093519A">
              <w:rPr>
                <w:noProof/>
                <w:webHidden/>
              </w:rPr>
              <w:fldChar w:fldCharType="separate"/>
            </w:r>
            <w:r w:rsidR="0093519A">
              <w:rPr>
                <w:noProof/>
                <w:webHidden/>
              </w:rPr>
              <w:t>19</w:t>
            </w:r>
            <w:r w:rsidR="0093519A">
              <w:rPr>
                <w:noProof/>
                <w:webHidden/>
              </w:rPr>
              <w:fldChar w:fldCharType="end"/>
            </w:r>
          </w:hyperlink>
        </w:p>
        <w:p w14:paraId="11D0809C" w14:textId="22306C1E"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72" w:history="1">
            <w:r w:rsidR="0093519A" w:rsidRPr="00972C2A">
              <w:rPr>
                <w:rStyle w:val="Hyperlink"/>
                <w:noProof/>
              </w:rPr>
              <w:t>Agreed Outcomes and Priority Areas for Action</w:t>
            </w:r>
            <w:r w:rsidR="0093519A">
              <w:rPr>
                <w:noProof/>
                <w:webHidden/>
              </w:rPr>
              <w:tab/>
            </w:r>
            <w:r w:rsidR="0093519A">
              <w:rPr>
                <w:noProof/>
                <w:webHidden/>
              </w:rPr>
              <w:fldChar w:fldCharType="begin"/>
            </w:r>
            <w:r w:rsidR="0093519A">
              <w:rPr>
                <w:noProof/>
                <w:webHidden/>
              </w:rPr>
              <w:instrText xml:space="preserve"> PAGEREF _Toc57196972 \h </w:instrText>
            </w:r>
            <w:r w:rsidR="0093519A">
              <w:rPr>
                <w:noProof/>
                <w:webHidden/>
              </w:rPr>
            </w:r>
            <w:r w:rsidR="0093519A">
              <w:rPr>
                <w:noProof/>
                <w:webHidden/>
              </w:rPr>
              <w:fldChar w:fldCharType="separate"/>
            </w:r>
            <w:r w:rsidR="0093519A">
              <w:rPr>
                <w:noProof/>
                <w:webHidden/>
              </w:rPr>
              <w:t>21</w:t>
            </w:r>
            <w:r w:rsidR="0093519A">
              <w:rPr>
                <w:noProof/>
                <w:webHidden/>
              </w:rPr>
              <w:fldChar w:fldCharType="end"/>
            </w:r>
          </w:hyperlink>
        </w:p>
        <w:p w14:paraId="06E2A922" w14:textId="29B5287B"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73" w:history="1">
            <w:r w:rsidR="0093519A" w:rsidRPr="00972C2A">
              <w:rPr>
                <w:rStyle w:val="Hyperlink"/>
                <w:noProof/>
              </w:rPr>
              <w:t>Actions – Integration into Public Health</w:t>
            </w:r>
            <w:r w:rsidR="0093519A">
              <w:rPr>
                <w:noProof/>
                <w:webHidden/>
              </w:rPr>
              <w:tab/>
            </w:r>
            <w:r w:rsidR="0093519A">
              <w:rPr>
                <w:noProof/>
                <w:webHidden/>
              </w:rPr>
              <w:fldChar w:fldCharType="begin"/>
            </w:r>
            <w:r w:rsidR="0093519A">
              <w:rPr>
                <w:noProof/>
                <w:webHidden/>
              </w:rPr>
              <w:instrText xml:space="preserve"> PAGEREF _Toc57196973 \h </w:instrText>
            </w:r>
            <w:r w:rsidR="0093519A">
              <w:rPr>
                <w:noProof/>
                <w:webHidden/>
              </w:rPr>
            </w:r>
            <w:r w:rsidR="0093519A">
              <w:rPr>
                <w:noProof/>
                <w:webHidden/>
              </w:rPr>
              <w:fldChar w:fldCharType="separate"/>
            </w:r>
            <w:r w:rsidR="0093519A">
              <w:rPr>
                <w:noProof/>
                <w:webHidden/>
              </w:rPr>
              <w:t>22</w:t>
            </w:r>
            <w:r w:rsidR="0093519A">
              <w:rPr>
                <w:noProof/>
                <w:webHidden/>
              </w:rPr>
              <w:fldChar w:fldCharType="end"/>
            </w:r>
          </w:hyperlink>
        </w:p>
        <w:p w14:paraId="407F2344" w14:textId="6BBF66B8" w:rsidR="0093519A" w:rsidRDefault="00752E10">
          <w:pPr>
            <w:pStyle w:val="TOC1"/>
            <w:tabs>
              <w:tab w:val="right" w:leader="dot" w:pos="9760"/>
            </w:tabs>
            <w:rPr>
              <w:rFonts w:asciiTheme="minorHAnsi" w:eastAsiaTheme="minorEastAsia" w:hAnsiTheme="minorHAnsi" w:cstheme="minorBidi"/>
              <w:b w:val="0"/>
              <w:bCs w:val="0"/>
              <w:noProof/>
              <w:sz w:val="22"/>
              <w:szCs w:val="22"/>
              <w:lang w:bidi="ar-SA"/>
            </w:rPr>
          </w:pPr>
          <w:hyperlink w:anchor="_Toc57196974" w:history="1">
            <w:r w:rsidR="0093519A" w:rsidRPr="00972C2A">
              <w:rPr>
                <w:rStyle w:val="Hyperlink"/>
                <w:noProof/>
              </w:rPr>
              <w:t>Strategic Priority 4: Access and Workforce</w:t>
            </w:r>
            <w:r w:rsidR="0093519A">
              <w:rPr>
                <w:noProof/>
                <w:webHidden/>
              </w:rPr>
              <w:tab/>
            </w:r>
            <w:r w:rsidR="0093519A">
              <w:rPr>
                <w:noProof/>
                <w:webHidden/>
              </w:rPr>
              <w:fldChar w:fldCharType="begin"/>
            </w:r>
            <w:r w:rsidR="0093519A">
              <w:rPr>
                <w:noProof/>
                <w:webHidden/>
              </w:rPr>
              <w:instrText xml:space="preserve"> PAGEREF _Toc57196974 \h </w:instrText>
            </w:r>
            <w:r w:rsidR="0093519A">
              <w:rPr>
                <w:noProof/>
                <w:webHidden/>
              </w:rPr>
            </w:r>
            <w:r w:rsidR="0093519A">
              <w:rPr>
                <w:noProof/>
                <w:webHidden/>
              </w:rPr>
              <w:fldChar w:fldCharType="separate"/>
            </w:r>
            <w:r w:rsidR="0093519A">
              <w:rPr>
                <w:noProof/>
                <w:webHidden/>
              </w:rPr>
              <w:t>24</w:t>
            </w:r>
            <w:r w:rsidR="0093519A">
              <w:rPr>
                <w:noProof/>
                <w:webHidden/>
              </w:rPr>
              <w:fldChar w:fldCharType="end"/>
            </w:r>
          </w:hyperlink>
        </w:p>
        <w:p w14:paraId="6878BE18" w14:textId="7B64D274"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75" w:history="1">
            <w:r w:rsidR="0093519A" w:rsidRPr="00972C2A">
              <w:rPr>
                <w:rStyle w:val="Hyperlink"/>
                <w:noProof/>
              </w:rPr>
              <w:t>Current activities</w:t>
            </w:r>
            <w:r w:rsidR="0093519A">
              <w:rPr>
                <w:noProof/>
                <w:webHidden/>
              </w:rPr>
              <w:tab/>
            </w:r>
            <w:r w:rsidR="0093519A">
              <w:rPr>
                <w:noProof/>
                <w:webHidden/>
              </w:rPr>
              <w:fldChar w:fldCharType="begin"/>
            </w:r>
            <w:r w:rsidR="0093519A">
              <w:rPr>
                <w:noProof/>
                <w:webHidden/>
              </w:rPr>
              <w:instrText xml:space="preserve"> PAGEREF _Toc57196975 \h </w:instrText>
            </w:r>
            <w:r w:rsidR="0093519A">
              <w:rPr>
                <w:noProof/>
                <w:webHidden/>
              </w:rPr>
            </w:r>
            <w:r w:rsidR="0093519A">
              <w:rPr>
                <w:noProof/>
                <w:webHidden/>
              </w:rPr>
              <w:fldChar w:fldCharType="separate"/>
            </w:r>
            <w:r w:rsidR="0093519A">
              <w:rPr>
                <w:noProof/>
                <w:webHidden/>
              </w:rPr>
              <w:t>24</w:t>
            </w:r>
            <w:r w:rsidR="0093519A">
              <w:rPr>
                <w:noProof/>
                <w:webHidden/>
              </w:rPr>
              <w:fldChar w:fldCharType="end"/>
            </w:r>
          </w:hyperlink>
        </w:p>
        <w:p w14:paraId="7B21891D" w14:textId="77BA1417"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76" w:history="1">
            <w:r w:rsidR="0093519A" w:rsidRPr="00972C2A">
              <w:rPr>
                <w:rStyle w:val="Hyperlink"/>
                <w:noProof/>
              </w:rPr>
              <w:t>Agreed Outcomes and Priority Areas for Action</w:t>
            </w:r>
            <w:r w:rsidR="0093519A">
              <w:rPr>
                <w:noProof/>
                <w:webHidden/>
              </w:rPr>
              <w:tab/>
            </w:r>
            <w:r w:rsidR="0093519A">
              <w:rPr>
                <w:noProof/>
                <w:webHidden/>
              </w:rPr>
              <w:fldChar w:fldCharType="begin"/>
            </w:r>
            <w:r w:rsidR="0093519A">
              <w:rPr>
                <w:noProof/>
                <w:webHidden/>
              </w:rPr>
              <w:instrText xml:space="preserve"> PAGEREF _Toc57196976 \h </w:instrText>
            </w:r>
            <w:r w:rsidR="0093519A">
              <w:rPr>
                <w:noProof/>
                <w:webHidden/>
              </w:rPr>
            </w:r>
            <w:r w:rsidR="0093519A">
              <w:rPr>
                <w:noProof/>
                <w:webHidden/>
              </w:rPr>
              <w:fldChar w:fldCharType="separate"/>
            </w:r>
            <w:r w:rsidR="0093519A">
              <w:rPr>
                <w:noProof/>
                <w:webHidden/>
              </w:rPr>
              <w:t>25</w:t>
            </w:r>
            <w:r w:rsidR="0093519A">
              <w:rPr>
                <w:noProof/>
                <w:webHidden/>
              </w:rPr>
              <w:fldChar w:fldCharType="end"/>
            </w:r>
          </w:hyperlink>
        </w:p>
        <w:p w14:paraId="50961B0A" w14:textId="2AD7AC76"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77" w:history="1">
            <w:r w:rsidR="0093519A" w:rsidRPr="00972C2A">
              <w:rPr>
                <w:rStyle w:val="Hyperlink"/>
                <w:noProof/>
              </w:rPr>
              <w:t>Actions – Access and Workforce</w:t>
            </w:r>
            <w:r w:rsidR="0093519A">
              <w:rPr>
                <w:noProof/>
                <w:webHidden/>
              </w:rPr>
              <w:tab/>
            </w:r>
            <w:r w:rsidR="0093519A">
              <w:rPr>
                <w:noProof/>
                <w:webHidden/>
              </w:rPr>
              <w:fldChar w:fldCharType="begin"/>
            </w:r>
            <w:r w:rsidR="0093519A">
              <w:rPr>
                <w:noProof/>
                <w:webHidden/>
              </w:rPr>
              <w:instrText xml:space="preserve"> PAGEREF _Toc57196977 \h </w:instrText>
            </w:r>
            <w:r w:rsidR="0093519A">
              <w:rPr>
                <w:noProof/>
                <w:webHidden/>
              </w:rPr>
            </w:r>
            <w:r w:rsidR="0093519A">
              <w:rPr>
                <w:noProof/>
                <w:webHidden/>
              </w:rPr>
              <w:fldChar w:fldCharType="separate"/>
            </w:r>
            <w:r w:rsidR="0093519A">
              <w:rPr>
                <w:noProof/>
                <w:webHidden/>
              </w:rPr>
              <w:t>26</w:t>
            </w:r>
            <w:r w:rsidR="0093519A">
              <w:rPr>
                <w:noProof/>
                <w:webHidden/>
              </w:rPr>
              <w:fldChar w:fldCharType="end"/>
            </w:r>
          </w:hyperlink>
        </w:p>
        <w:p w14:paraId="29983210" w14:textId="29C23EFA" w:rsidR="0093519A" w:rsidRDefault="00752E10">
          <w:pPr>
            <w:pStyle w:val="TOC1"/>
            <w:tabs>
              <w:tab w:val="right" w:leader="dot" w:pos="9760"/>
            </w:tabs>
            <w:rPr>
              <w:rFonts w:asciiTheme="minorHAnsi" w:eastAsiaTheme="minorEastAsia" w:hAnsiTheme="minorHAnsi" w:cstheme="minorBidi"/>
              <w:b w:val="0"/>
              <w:bCs w:val="0"/>
              <w:noProof/>
              <w:sz w:val="22"/>
              <w:szCs w:val="22"/>
              <w:lang w:bidi="ar-SA"/>
            </w:rPr>
          </w:pPr>
          <w:hyperlink w:anchor="_Toc57196978" w:history="1">
            <w:r w:rsidR="0093519A" w:rsidRPr="00972C2A">
              <w:rPr>
                <w:rStyle w:val="Hyperlink"/>
                <w:noProof/>
              </w:rPr>
              <w:t>Strategic Priority 5: Financing</w:t>
            </w:r>
            <w:r w:rsidR="0093519A">
              <w:rPr>
                <w:noProof/>
                <w:webHidden/>
              </w:rPr>
              <w:tab/>
            </w:r>
            <w:r w:rsidR="0093519A">
              <w:rPr>
                <w:noProof/>
                <w:webHidden/>
              </w:rPr>
              <w:fldChar w:fldCharType="begin"/>
            </w:r>
            <w:r w:rsidR="0093519A">
              <w:rPr>
                <w:noProof/>
                <w:webHidden/>
              </w:rPr>
              <w:instrText xml:space="preserve"> PAGEREF _Toc57196978 \h </w:instrText>
            </w:r>
            <w:r w:rsidR="0093519A">
              <w:rPr>
                <w:noProof/>
                <w:webHidden/>
              </w:rPr>
            </w:r>
            <w:r w:rsidR="0093519A">
              <w:rPr>
                <w:noProof/>
                <w:webHidden/>
              </w:rPr>
              <w:fldChar w:fldCharType="separate"/>
            </w:r>
            <w:r w:rsidR="0093519A">
              <w:rPr>
                <w:noProof/>
                <w:webHidden/>
              </w:rPr>
              <w:t>28</w:t>
            </w:r>
            <w:r w:rsidR="0093519A">
              <w:rPr>
                <w:noProof/>
                <w:webHidden/>
              </w:rPr>
              <w:fldChar w:fldCharType="end"/>
            </w:r>
          </w:hyperlink>
        </w:p>
        <w:p w14:paraId="4EC56B13" w14:textId="666250E7"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79" w:history="1">
            <w:r w:rsidR="0093519A" w:rsidRPr="00972C2A">
              <w:rPr>
                <w:rStyle w:val="Hyperlink"/>
                <w:noProof/>
              </w:rPr>
              <w:t>Current activities</w:t>
            </w:r>
            <w:r w:rsidR="0093519A">
              <w:rPr>
                <w:noProof/>
                <w:webHidden/>
              </w:rPr>
              <w:tab/>
            </w:r>
            <w:r w:rsidR="0093519A">
              <w:rPr>
                <w:noProof/>
                <w:webHidden/>
              </w:rPr>
              <w:fldChar w:fldCharType="begin"/>
            </w:r>
            <w:r w:rsidR="0093519A">
              <w:rPr>
                <w:noProof/>
                <w:webHidden/>
              </w:rPr>
              <w:instrText xml:space="preserve"> PAGEREF _Toc57196979 \h </w:instrText>
            </w:r>
            <w:r w:rsidR="0093519A">
              <w:rPr>
                <w:noProof/>
                <w:webHidden/>
              </w:rPr>
            </w:r>
            <w:r w:rsidR="0093519A">
              <w:rPr>
                <w:noProof/>
                <w:webHidden/>
              </w:rPr>
              <w:fldChar w:fldCharType="separate"/>
            </w:r>
            <w:r w:rsidR="0093519A">
              <w:rPr>
                <w:noProof/>
                <w:webHidden/>
              </w:rPr>
              <w:t>28</w:t>
            </w:r>
            <w:r w:rsidR="0093519A">
              <w:rPr>
                <w:noProof/>
                <w:webHidden/>
              </w:rPr>
              <w:fldChar w:fldCharType="end"/>
            </w:r>
          </w:hyperlink>
        </w:p>
        <w:p w14:paraId="06A99AE3" w14:textId="3218EF35"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80" w:history="1">
            <w:r w:rsidR="0093519A" w:rsidRPr="00972C2A">
              <w:rPr>
                <w:rStyle w:val="Hyperlink"/>
                <w:noProof/>
              </w:rPr>
              <w:t>Agreed Outcomes and Priority Areas for Action</w:t>
            </w:r>
            <w:r w:rsidR="0093519A">
              <w:rPr>
                <w:noProof/>
                <w:webHidden/>
              </w:rPr>
              <w:tab/>
            </w:r>
            <w:r w:rsidR="0093519A">
              <w:rPr>
                <w:noProof/>
                <w:webHidden/>
              </w:rPr>
              <w:fldChar w:fldCharType="begin"/>
            </w:r>
            <w:r w:rsidR="0093519A">
              <w:rPr>
                <w:noProof/>
                <w:webHidden/>
              </w:rPr>
              <w:instrText xml:space="preserve"> PAGEREF _Toc57196980 \h </w:instrText>
            </w:r>
            <w:r w:rsidR="0093519A">
              <w:rPr>
                <w:noProof/>
                <w:webHidden/>
              </w:rPr>
            </w:r>
            <w:r w:rsidR="0093519A">
              <w:rPr>
                <w:noProof/>
                <w:webHidden/>
              </w:rPr>
              <w:fldChar w:fldCharType="separate"/>
            </w:r>
            <w:r w:rsidR="0093519A">
              <w:rPr>
                <w:noProof/>
                <w:webHidden/>
              </w:rPr>
              <w:t>29</w:t>
            </w:r>
            <w:r w:rsidR="0093519A">
              <w:rPr>
                <w:noProof/>
                <w:webHidden/>
              </w:rPr>
              <w:fldChar w:fldCharType="end"/>
            </w:r>
          </w:hyperlink>
        </w:p>
        <w:p w14:paraId="33A7A7EB" w14:textId="13A4D47A" w:rsidR="0093519A" w:rsidRDefault="00752E10">
          <w:pPr>
            <w:pStyle w:val="TOC2"/>
            <w:tabs>
              <w:tab w:val="right" w:leader="dot" w:pos="9760"/>
            </w:tabs>
            <w:rPr>
              <w:rFonts w:asciiTheme="minorHAnsi" w:eastAsiaTheme="minorEastAsia" w:hAnsiTheme="minorHAnsi" w:cstheme="minorBidi"/>
              <w:noProof/>
              <w:sz w:val="22"/>
              <w:szCs w:val="22"/>
              <w:lang w:bidi="ar-SA"/>
            </w:rPr>
          </w:pPr>
          <w:hyperlink w:anchor="_Toc57196981" w:history="1">
            <w:r w:rsidR="0093519A" w:rsidRPr="00972C2A">
              <w:rPr>
                <w:rStyle w:val="Hyperlink"/>
                <w:noProof/>
              </w:rPr>
              <w:t>Actions – Financing</w:t>
            </w:r>
            <w:r w:rsidR="0093519A">
              <w:rPr>
                <w:noProof/>
                <w:webHidden/>
              </w:rPr>
              <w:tab/>
            </w:r>
            <w:r w:rsidR="0093519A">
              <w:rPr>
                <w:noProof/>
                <w:webHidden/>
              </w:rPr>
              <w:fldChar w:fldCharType="begin"/>
            </w:r>
            <w:r w:rsidR="0093519A">
              <w:rPr>
                <w:noProof/>
                <w:webHidden/>
              </w:rPr>
              <w:instrText xml:space="preserve"> PAGEREF _Toc57196981 \h </w:instrText>
            </w:r>
            <w:r w:rsidR="0093519A">
              <w:rPr>
                <w:noProof/>
                <w:webHidden/>
              </w:rPr>
            </w:r>
            <w:r w:rsidR="0093519A">
              <w:rPr>
                <w:noProof/>
                <w:webHidden/>
              </w:rPr>
              <w:fldChar w:fldCharType="separate"/>
            </w:r>
            <w:r w:rsidR="0093519A">
              <w:rPr>
                <w:noProof/>
                <w:webHidden/>
              </w:rPr>
              <w:t>30</w:t>
            </w:r>
            <w:r w:rsidR="0093519A">
              <w:rPr>
                <w:noProof/>
                <w:webHidden/>
              </w:rPr>
              <w:fldChar w:fldCharType="end"/>
            </w:r>
          </w:hyperlink>
        </w:p>
        <w:p w14:paraId="522977F6" w14:textId="6E072563" w:rsidR="00180FFE" w:rsidRPr="005B6722" w:rsidRDefault="00180FFE" w:rsidP="00180FFE">
          <w:pPr>
            <w:tabs>
              <w:tab w:val="right" w:leader="dot" w:pos="8505"/>
            </w:tabs>
          </w:pPr>
          <w:r w:rsidRPr="00AE059E">
            <w:rPr>
              <w:b/>
              <w:bCs/>
            </w:rPr>
            <w:fldChar w:fldCharType="end"/>
          </w:r>
        </w:p>
      </w:sdtContent>
    </w:sdt>
    <w:p w14:paraId="1BEC095D" w14:textId="77777777" w:rsidR="00180FFE" w:rsidRPr="008610F1" w:rsidRDefault="00180FFE" w:rsidP="00180FFE">
      <w:pPr>
        <w:pStyle w:val="TOC1"/>
        <w:tabs>
          <w:tab w:val="left" w:leader="dot" w:pos="8654"/>
        </w:tabs>
        <w:spacing w:before="51"/>
        <w:ind w:right="0"/>
      </w:pPr>
    </w:p>
    <w:p w14:paraId="492FE4F7" w14:textId="77777777" w:rsidR="00180FFE" w:rsidRPr="005B6722" w:rsidRDefault="00180FFE" w:rsidP="00180FFE">
      <w:pPr>
        <w:rPr>
          <w:sz w:val="24"/>
        </w:rPr>
        <w:sectPr w:rsidR="00180FFE" w:rsidRPr="005B6722">
          <w:pgSz w:w="11910" w:h="16840"/>
          <w:pgMar w:top="1080" w:right="720" w:bottom="1260" w:left="1420" w:header="756" w:footer="1075" w:gutter="0"/>
          <w:cols w:space="720"/>
        </w:sectPr>
      </w:pPr>
    </w:p>
    <w:p w14:paraId="4D6FA9B4" w14:textId="77777777" w:rsidR="00180FFE" w:rsidRPr="005B6722" w:rsidRDefault="00180FFE" w:rsidP="00180FFE">
      <w:pPr>
        <w:pStyle w:val="Heading1"/>
      </w:pPr>
      <w:bookmarkStart w:id="1" w:name="_bookmark0"/>
      <w:bookmarkStart w:id="2" w:name="_Toc54354276"/>
      <w:bookmarkStart w:id="3" w:name="_Toc57196929"/>
      <w:bookmarkEnd w:id="1"/>
      <w:r w:rsidRPr="005B6722">
        <w:lastRenderedPageBreak/>
        <w:t>Acronyms and abbreviations</w:t>
      </w:r>
      <w:bookmarkEnd w:id="2"/>
      <w:bookmarkEnd w:id="3"/>
    </w:p>
    <w:p w14:paraId="33AC53FD" w14:textId="77777777" w:rsidR="00180FFE" w:rsidRPr="008610F1" w:rsidRDefault="00180FFE" w:rsidP="00180FFE">
      <w:pPr>
        <w:pStyle w:val="BodyText"/>
        <w:spacing w:before="120" w:line="242" w:lineRule="auto"/>
        <w:ind w:left="284" w:right="281"/>
      </w:pPr>
    </w:p>
    <w:p w14:paraId="751EDE29" w14:textId="77777777" w:rsidR="00180FFE" w:rsidRPr="005B6722" w:rsidRDefault="00180FFE" w:rsidP="00180FFE">
      <w:pPr>
        <w:pStyle w:val="Heading3"/>
      </w:pPr>
      <w:bookmarkStart w:id="4" w:name="_Toc54354277"/>
      <w:bookmarkStart w:id="5" w:name="_Toc57196930"/>
      <w:r w:rsidRPr="005B6722">
        <w:t>ABLN</w:t>
      </w:r>
      <w:r w:rsidRPr="005B6722">
        <w:tab/>
      </w:r>
      <w:r w:rsidRPr="005B6722">
        <w:rPr>
          <w:b w:val="0"/>
        </w:rPr>
        <w:t>Australian (Counter) Bioterrorism Laboratory Network</w:t>
      </w:r>
      <w:bookmarkEnd w:id="4"/>
      <w:bookmarkEnd w:id="5"/>
    </w:p>
    <w:p w14:paraId="3C3DAF26" w14:textId="77777777" w:rsidR="00180FFE" w:rsidRPr="005B6722" w:rsidRDefault="00180FFE" w:rsidP="00180FFE">
      <w:pPr>
        <w:pStyle w:val="Heading3"/>
      </w:pPr>
      <w:bookmarkStart w:id="6" w:name="_Toc54354278"/>
      <w:bookmarkStart w:id="7" w:name="_Toc57196931"/>
      <w:r w:rsidRPr="005B6722">
        <w:t>AHMAC</w:t>
      </w:r>
      <w:r w:rsidRPr="005B6722">
        <w:tab/>
      </w:r>
      <w:r w:rsidRPr="005B6722">
        <w:rPr>
          <w:b w:val="0"/>
        </w:rPr>
        <w:t>Australian Health Ministers’ Advisory Council</w:t>
      </w:r>
      <w:bookmarkEnd w:id="6"/>
      <w:bookmarkEnd w:id="7"/>
    </w:p>
    <w:p w14:paraId="25752025" w14:textId="77777777" w:rsidR="00180FFE" w:rsidRPr="005B6722" w:rsidRDefault="00180FFE" w:rsidP="00180FFE">
      <w:pPr>
        <w:pStyle w:val="Heading3"/>
      </w:pPr>
      <w:bookmarkStart w:id="8" w:name="_Toc54354279"/>
      <w:bookmarkStart w:id="9" w:name="_Toc57196932"/>
      <w:r w:rsidRPr="005B6722">
        <w:t>AHPPC</w:t>
      </w:r>
      <w:r w:rsidRPr="005B6722">
        <w:tab/>
      </w:r>
      <w:r w:rsidRPr="005B6722">
        <w:rPr>
          <w:b w:val="0"/>
        </w:rPr>
        <w:t>Australian Health Protection Principal Committee</w:t>
      </w:r>
      <w:bookmarkEnd w:id="8"/>
      <w:bookmarkEnd w:id="9"/>
    </w:p>
    <w:p w14:paraId="195EEF08" w14:textId="77777777" w:rsidR="00180FFE" w:rsidRPr="005B6722" w:rsidRDefault="00180FFE" w:rsidP="00180FFE">
      <w:pPr>
        <w:pStyle w:val="Heading3"/>
        <w:rPr>
          <w:b w:val="0"/>
        </w:rPr>
      </w:pPr>
      <w:bookmarkStart w:id="10" w:name="_Toc54354280"/>
      <w:bookmarkStart w:id="11" w:name="_Toc57196933"/>
      <w:r w:rsidRPr="005B6722">
        <w:t>AMR</w:t>
      </w:r>
      <w:r w:rsidRPr="005B6722">
        <w:tab/>
      </w:r>
      <w:r w:rsidRPr="005B6722">
        <w:rPr>
          <w:b w:val="0"/>
        </w:rPr>
        <w:t>Antimicrobial resistance</w:t>
      </w:r>
      <w:bookmarkEnd w:id="10"/>
      <w:bookmarkEnd w:id="11"/>
    </w:p>
    <w:p w14:paraId="6A04B33C" w14:textId="77777777" w:rsidR="00180FFE" w:rsidRPr="005B6722" w:rsidRDefault="00180FFE" w:rsidP="00180FFE">
      <w:pPr>
        <w:pStyle w:val="Heading3"/>
        <w:rPr>
          <w:b w:val="0"/>
        </w:rPr>
      </w:pPr>
      <w:bookmarkStart w:id="12" w:name="_Toc54354281"/>
      <w:bookmarkStart w:id="13" w:name="_Toc57196934"/>
      <w:r w:rsidRPr="005B6722">
        <w:t>ASTAG</w:t>
      </w:r>
      <w:r w:rsidRPr="005B6722">
        <w:rPr>
          <w:b w:val="0"/>
        </w:rPr>
        <w:tab/>
        <w:t>Australian Strategic and Technical Advisory Group on AMR</w:t>
      </w:r>
      <w:bookmarkEnd w:id="12"/>
      <w:bookmarkEnd w:id="13"/>
    </w:p>
    <w:p w14:paraId="515D00E1" w14:textId="77777777" w:rsidR="00180FFE" w:rsidRPr="005B6722" w:rsidRDefault="00180FFE" w:rsidP="00180FFE">
      <w:pPr>
        <w:pStyle w:val="Heading3"/>
        <w:rPr>
          <w:b w:val="0"/>
        </w:rPr>
      </w:pPr>
      <w:bookmarkStart w:id="14" w:name="_Toc54354282"/>
      <w:bookmarkStart w:id="15" w:name="_Toc57196935"/>
      <w:r w:rsidRPr="005B6722">
        <w:t>CDGN</w:t>
      </w:r>
      <w:r w:rsidRPr="005B6722">
        <w:rPr>
          <w:b w:val="0"/>
        </w:rPr>
        <w:tab/>
        <w:t>Communicable Diseases Genomics Network</w:t>
      </w:r>
      <w:bookmarkEnd w:id="14"/>
      <w:bookmarkEnd w:id="15"/>
    </w:p>
    <w:p w14:paraId="77F789C8" w14:textId="77777777" w:rsidR="00180FFE" w:rsidRPr="005B6722" w:rsidRDefault="00180FFE" w:rsidP="00180FFE">
      <w:pPr>
        <w:pStyle w:val="Heading3"/>
        <w:rPr>
          <w:b w:val="0"/>
        </w:rPr>
      </w:pPr>
      <w:bookmarkStart w:id="16" w:name="_Toc54354283"/>
      <w:bookmarkStart w:id="17" w:name="_Toc57196936"/>
      <w:r w:rsidRPr="005B6722">
        <w:t>CDNA</w:t>
      </w:r>
      <w:r w:rsidRPr="005B6722">
        <w:rPr>
          <w:b w:val="0"/>
        </w:rPr>
        <w:tab/>
        <w:t>Communicable Diseases Network Australia</w:t>
      </w:r>
      <w:bookmarkEnd w:id="16"/>
      <w:bookmarkEnd w:id="17"/>
    </w:p>
    <w:p w14:paraId="77CDA70C" w14:textId="6E96EBD2" w:rsidR="00225618" w:rsidRPr="00225618" w:rsidRDefault="00180FFE" w:rsidP="00180FFE">
      <w:pPr>
        <w:pStyle w:val="Heading3"/>
        <w:rPr>
          <w:b w:val="0"/>
        </w:rPr>
      </w:pPr>
      <w:bookmarkStart w:id="18" w:name="_Toc54354284"/>
      <w:bookmarkStart w:id="19" w:name="_Toc57196937"/>
      <w:r w:rsidRPr="005B6722">
        <w:t>EQA</w:t>
      </w:r>
      <w:r w:rsidRPr="005B6722">
        <w:rPr>
          <w:b w:val="0"/>
        </w:rPr>
        <w:tab/>
      </w:r>
      <w:r w:rsidRPr="005B6722">
        <w:rPr>
          <w:b w:val="0"/>
        </w:rPr>
        <w:tab/>
        <w:t>External Quality Assessment</w:t>
      </w:r>
      <w:bookmarkEnd w:id="18"/>
      <w:bookmarkEnd w:id="19"/>
    </w:p>
    <w:p w14:paraId="0281199A" w14:textId="77777777" w:rsidR="00180FFE" w:rsidRPr="005B6722" w:rsidRDefault="00180FFE" w:rsidP="00180FFE">
      <w:pPr>
        <w:pStyle w:val="Heading3"/>
        <w:rPr>
          <w:b w:val="0"/>
        </w:rPr>
      </w:pPr>
      <w:bookmarkStart w:id="20" w:name="_Toc54354285"/>
      <w:bookmarkStart w:id="21" w:name="_Toc57196938"/>
      <w:r w:rsidRPr="005B6722">
        <w:t>GHFM</w:t>
      </w:r>
      <w:r w:rsidRPr="005B6722">
        <w:rPr>
          <w:b w:val="0"/>
        </w:rPr>
        <w:tab/>
        <w:t>Genomics Health Futures Mission</w:t>
      </w:r>
      <w:bookmarkEnd w:id="20"/>
      <w:bookmarkEnd w:id="21"/>
    </w:p>
    <w:p w14:paraId="2DBFDE39" w14:textId="77777777" w:rsidR="00180FFE" w:rsidRPr="005B6722" w:rsidRDefault="00180FFE" w:rsidP="00180FFE">
      <w:pPr>
        <w:pStyle w:val="Heading3"/>
        <w:rPr>
          <w:b w:val="0"/>
        </w:rPr>
      </w:pPr>
      <w:bookmarkStart w:id="22" w:name="_Toc54354286"/>
      <w:bookmarkStart w:id="23" w:name="_Toc57196939"/>
      <w:r w:rsidRPr="005B6722">
        <w:t>GMI</w:t>
      </w:r>
      <w:r w:rsidRPr="005B6722">
        <w:tab/>
      </w:r>
      <w:r w:rsidRPr="005B6722">
        <w:rPr>
          <w:b w:val="0"/>
        </w:rPr>
        <w:tab/>
        <w:t>Global Microbial Identifier</w:t>
      </w:r>
      <w:bookmarkEnd w:id="22"/>
      <w:bookmarkEnd w:id="23"/>
    </w:p>
    <w:p w14:paraId="34BCE9CE" w14:textId="77777777" w:rsidR="00180FFE" w:rsidRPr="005B6722" w:rsidRDefault="00180FFE" w:rsidP="00180FFE">
      <w:pPr>
        <w:pStyle w:val="Heading3"/>
        <w:rPr>
          <w:b w:val="0"/>
        </w:rPr>
      </w:pPr>
      <w:bookmarkStart w:id="24" w:name="_Toc54354287"/>
      <w:bookmarkStart w:id="25" w:name="_Toc57196940"/>
      <w:r w:rsidRPr="005B6722">
        <w:t>Health</w:t>
      </w:r>
      <w:r w:rsidRPr="005B6722">
        <w:rPr>
          <w:b w:val="0"/>
        </w:rPr>
        <w:tab/>
        <w:t>Australian Government Department of Health</w:t>
      </w:r>
      <w:bookmarkEnd w:id="24"/>
      <w:bookmarkEnd w:id="25"/>
    </w:p>
    <w:p w14:paraId="4E625E0D" w14:textId="77777777" w:rsidR="00180FFE" w:rsidRPr="005B6722" w:rsidRDefault="00180FFE" w:rsidP="00180FFE">
      <w:pPr>
        <w:pStyle w:val="Heading3"/>
        <w:rPr>
          <w:b w:val="0"/>
        </w:rPr>
      </w:pPr>
      <w:bookmarkStart w:id="26" w:name="_Toc54354288"/>
      <w:bookmarkStart w:id="27" w:name="_Toc57196941"/>
      <w:r w:rsidRPr="005B6722">
        <w:t>LEADDR</w:t>
      </w:r>
      <w:r w:rsidRPr="005B6722">
        <w:rPr>
          <w:b w:val="0"/>
        </w:rPr>
        <w:tab/>
        <w:t>Laboratories for Emergency Animal Disease Diagnosis and Response</w:t>
      </w:r>
      <w:bookmarkEnd w:id="26"/>
      <w:bookmarkEnd w:id="27"/>
    </w:p>
    <w:p w14:paraId="2EBEE6E0" w14:textId="77777777" w:rsidR="00180FFE" w:rsidRPr="005B6722" w:rsidRDefault="00180FFE" w:rsidP="00180FFE">
      <w:pPr>
        <w:pStyle w:val="Heading3"/>
        <w:rPr>
          <w:b w:val="0"/>
        </w:rPr>
      </w:pPr>
      <w:bookmarkStart w:id="28" w:name="_Toc54354289"/>
      <w:bookmarkStart w:id="29" w:name="_Toc57196942"/>
      <w:r w:rsidRPr="005B6722">
        <w:t>MRFF</w:t>
      </w:r>
      <w:r w:rsidRPr="005B6722">
        <w:rPr>
          <w:b w:val="0"/>
        </w:rPr>
        <w:tab/>
        <w:t>Medical Research Future Fund</w:t>
      </w:r>
      <w:bookmarkEnd w:id="28"/>
      <w:bookmarkEnd w:id="29"/>
    </w:p>
    <w:p w14:paraId="6CABE428" w14:textId="77777777" w:rsidR="00180FFE" w:rsidRPr="005B6722" w:rsidRDefault="00180FFE" w:rsidP="00180FFE">
      <w:pPr>
        <w:pStyle w:val="Heading3"/>
        <w:rPr>
          <w:b w:val="0"/>
        </w:rPr>
      </w:pPr>
      <w:bookmarkStart w:id="30" w:name="_Toc54354290"/>
      <w:bookmarkStart w:id="31" w:name="_Toc57196943"/>
      <w:r w:rsidRPr="005B6722">
        <w:t>NATA</w:t>
      </w:r>
      <w:r w:rsidRPr="005B6722">
        <w:rPr>
          <w:b w:val="0"/>
        </w:rPr>
        <w:tab/>
        <w:t>National Association of Testing Authorities</w:t>
      </w:r>
      <w:bookmarkEnd w:id="30"/>
      <w:bookmarkEnd w:id="31"/>
    </w:p>
    <w:p w14:paraId="195CC8FF" w14:textId="77777777" w:rsidR="00180FFE" w:rsidRPr="005B6722" w:rsidRDefault="00180FFE" w:rsidP="00180FFE">
      <w:pPr>
        <w:pStyle w:val="Heading3"/>
        <w:rPr>
          <w:b w:val="0"/>
        </w:rPr>
      </w:pPr>
      <w:bookmarkStart w:id="32" w:name="_Toc54354291"/>
      <w:bookmarkStart w:id="33" w:name="_Toc57196944"/>
      <w:r w:rsidRPr="005B6722">
        <w:t>NHMRC</w:t>
      </w:r>
      <w:r w:rsidRPr="005B6722">
        <w:rPr>
          <w:b w:val="0"/>
        </w:rPr>
        <w:tab/>
        <w:t>National Health and Medical Research Council</w:t>
      </w:r>
      <w:bookmarkEnd w:id="32"/>
      <w:bookmarkEnd w:id="33"/>
    </w:p>
    <w:p w14:paraId="2DCFE892" w14:textId="79068B8B" w:rsidR="00180FFE" w:rsidRPr="005B6722" w:rsidRDefault="00180FFE" w:rsidP="00180FFE">
      <w:pPr>
        <w:pStyle w:val="Heading3"/>
        <w:rPr>
          <w:b w:val="0"/>
        </w:rPr>
      </w:pPr>
      <w:bookmarkStart w:id="34" w:name="_Toc54354293"/>
      <w:bookmarkStart w:id="35" w:name="_Toc57196946"/>
      <w:r w:rsidRPr="005B6722">
        <w:t>NPAAC</w:t>
      </w:r>
      <w:r w:rsidRPr="005B6722">
        <w:rPr>
          <w:b w:val="0"/>
        </w:rPr>
        <w:tab/>
        <w:t xml:space="preserve">National Pathology </w:t>
      </w:r>
      <w:r w:rsidR="00E4491E" w:rsidRPr="005B6722">
        <w:rPr>
          <w:b w:val="0"/>
        </w:rPr>
        <w:t>Accreditation</w:t>
      </w:r>
      <w:r w:rsidRPr="005B6722">
        <w:rPr>
          <w:b w:val="0"/>
        </w:rPr>
        <w:t xml:space="preserve"> Advisory Council</w:t>
      </w:r>
      <w:bookmarkEnd w:id="34"/>
      <w:bookmarkEnd w:id="35"/>
    </w:p>
    <w:p w14:paraId="1C19E8CE" w14:textId="77777777" w:rsidR="00180FFE" w:rsidRPr="005B6722" w:rsidRDefault="00180FFE" w:rsidP="00180FFE">
      <w:pPr>
        <w:pStyle w:val="Heading3"/>
        <w:rPr>
          <w:b w:val="0"/>
        </w:rPr>
      </w:pPr>
      <w:bookmarkStart w:id="36" w:name="_Toc54354294"/>
      <w:bookmarkStart w:id="37" w:name="_Toc57196947"/>
      <w:r w:rsidRPr="005B6722">
        <w:t>PHLN</w:t>
      </w:r>
      <w:r w:rsidRPr="005B6722">
        <w:rPr>
          <w:b w:val="0"/>
        </w:rPr>
        <w:tab/>
        <w:t>Public Health Laboratory Network</w:t>
      </w:r>
      <w:bookmarkEnd w:id="36"/>
      <w:bookmarkEnd w:id="37"/>
    </w:p>
    <w:p w14:paraId="2904F06B" w14:textId="77777777" w:rsidR="00180FFE" w:rsidRPr="005B6722" w:rsidRDefault="00180FFE" w:rsidP="00180FFE">
      <w:pPr>
        <w:pStyle w:val="Heading3"/>
        <w:rPr>
          <w:b w:val="0"/>
        </w:rPr>
      </w:pPr>
      <w:bookmarkStart w:id="38" w:name="_Toc54354295"/>
      <w:bookmarkStart w:id="39" w:name="_Toc57196948"/>
      <w:r w:rsidRPr="005B6722">
        <w:t>PHU</w:t>
      </w:r>
      <w:r w:rsidRPr="005B6722">
        <w:rPr>
          <w:b w:val="0"/>
        </w:rPr>
        <w:tab/>
      </w:r>
      <w:r w:rsidRPr="005B6722">
        <w:rPr>
          <w:b w:val="0"/>
        </w:rPr>
        <w:tab/>
        <w:t>Public Health Unit</w:t>
      </w:r>
      <w:bookmarkEnd w:id="38"/>
      <w:bookmarkEnd w:id="39"/>
    </w:p>
    <w:p w14:paraId="3D87FA95" w14:textId="77777777" w:rsidR="00180FFE" w:rsidRPr="005B6722" w:rsidRDefault="00180FFE" w:rsidP="00180FFE">
      <w:pPr>
        <w:pStyle w:val="Heading3"/>
        <w:rPr>
          <w:b w:val="0"/>
        </w:rPr>
      </w:pPr>
      <w:bookmarkStart w:id="40" w:name="_Toc54354296"/>
      <w:bookmarkStart w:id="41" w:name="_Toc57196949"/>
      <w:r w:rsidRPr="005B6722">
        <w:t>PTP</w:t>
      </w:r>
      <w:r w:rsidRPr="005B6722">
        <w:rPr>
          <w:b w:val="0"/>
        </w:rPr>
        <w:tab/>
      </w:r>
      <w:r w:rsidRPr="005B6722">
        <w:rPr>
          <w:b w:val="0"/>
        </w:rPr>
        <w:tab/>
        <w:t>Proficiency Testing Program</w:t>
      </w:r>
      <w:bookmarkEnd w:id="40"/>
      <w:bookmarkEnd w:id="41"/>
    </w:p>
    <w:p w14:paraId="24A50B6F" w14:textId="67CC7D24" w:rsidR="00180FFE" w:rsidRDefault="00180FFE" w:rsidP="00180FFE">
      <w:pPr>
        <w:pStyle w:val="Heading3"/>
        <w:rPr>
          <w:b w:val="0"/>
        </w:rPr>
      </w:pPr>
      <w:bookmarkStart w:id="42" w:name="_Toc54354297"/>
      <w:bookmarkStart w:id="43" w:name="_Toc57196950"/>
      <w:r w:rsidRPr="005B6722">
        <w:t>RCPA QAP</w:t>
      </w:r>
      <w:r w:rsidRPr="005B6722">
        <w:rPr>
          <w:b w:val="0"/>
        </w:rPr>
        <w:tab/>
        <w:t>Royal College of Pathologists of Australasia</w:t>
      </w:r>
      <w:bookmarkEnd w:id="42"/>
      <w:r w:rsidR="005B6722">
        <w:rPr>
          <w:b w:val="0"/>
        </w:rPr>
        <w:t xml:space="preserve"> Quality Assurance Programs</w:t>
      </w:r>
      <w:bookmarkEnd w:id="43"/>
    </w:p>
    <w:p w14:paraId="6AB46AFA" w14:textId="13EAF805" w:rsidR="00180FFE" w:rsidRPr="005B6722" w:rsidRDefault="00180FFE" w:rsidP="00180FFE">
      <w:pPr>
        <w:pStyle w:val="Heading3"/>
        <w:rPr>
          <w:b w:val="0"/>
        </w:rPr>
      </w:pPr>
      <w:bookmarkStart w:id="44" w:name="_Toc54354298"/>
      <w:bookmarkStart w:id="45" w:name="_Toc57196952"/>
      <w:r w:rsidRPr="008610F1">
        <w:t>WGS</w:t>
      </w:r>
      <w:r w:rsidRPr="005B6722">
        <w:rPr>
          <w:b w:val="0"/>
        </w:rPr>
        <w:tab/>
        <w:t>Whole Genome Sequencing</w:t>
      </w:r>
      <w:bookmarkEnd w:id="44"/>
      <w:bookmarkEnd w:id="45"/>
    </w:p>
    <w:p w14:paraId="1F26C7A0" w14:textId="77777777" w:rsidR="00180FFE" w:rsidRPr="005B6722" w:rsidRDefault="00180FFE" w:rsidP="00180FFE">
      <w:pPr>
        <w:pStyle w:val="BodyText"/>
        <w:spacing w:before="120" w:line="242" w:lineRule="auto"/>
        <w:ind w:left="284" w:right="281"/>
      </w:pPr>
    </w:p>
    <w:p w14:paraId="2DC50A49" w14:textId="77777777" w:rsidR="00180FFE" w:rsidRPr="005B6722" w:rsidRDefault="00180FFE" w:rsidP="00180FFE">
      <w:pPr>
        <w:pStyle w:val="BodyText"/>
        <w:spacing w:before="120" w:line="242" w:lineRule="auto"/>
        <w:ind w:left="284" w:right="281"/>
        <w:sectPr w:rsidR="00180FFE" w:rsidRPr="005B6722">
          <w:pgSz w:w="11910" w:h="16840"/>
          <w:pgMar w:top="1080" w:right="720" w:bottom="1260" w:left="1420" w:header="756" w:footer="1075" w:gutter="0"/>
          <w:cols w:space="720"/>
        </w:sectPr>
      </w:pPr>
    </w:p>
    <w:p w14:paraId="7B285F18" w14:textId="77777777" w:rsidR="00180FFE" w:rsidRPr="005B6722" w:rsidRDefault="00180FFE" w:rsidP="00180FFE">
      <w:pPr>
        <w:pStyle w:val="Heading1"/>
      </w:pPr>
      <w:bookmarkStart w:id="46" w:name="_Toc57196953"/>
      <w:r w:rsidRPr="005B6722">
        <w:lastRenderedPageBreak/>
        <w:t>Introduction</w:t>
      </w:r>
      <w:bookmarkEnd w:id="46"/>
    </w:p>
    <w:p w14:paraId="56D50DFC" w14:textId="035927C5" w:rsidR="00180FFE" w:rsidRPr="005B6722" w:rsidRDefault="00180FFE" w:rsidP="00180FFE">
      <w:pPr>
        <w:pStyle w:val="BodyText"/>
        <w:spacing w:before="11"/>
        <w:rPr>
          <w:b/>
          <w:sz w:val="16"/>
        </w:rPr>
      </w:pPr>
    </w:p>
    <w:p w14:paraId="46865689" w14:textId="063D52C8" w:rsidR="00180FFE" w:rsidRPr="005B6722" w:rsidRDefault="00180FFE" w:rsidP="00180FFE">
      <w:pPr>
        <w:pStyle w:val="BodyText"/>
        <w:spacing w:before="120" w:line="242" w:lineRule="auto"/>
        <w:ind w:left="284" w:right="281"/>
      </w:pPr>
      <w:r w:rsidRPr="008610F1">
        <w:t>This is the first Implementation Plan</w:t>
      </w:r>
      <w:r w:rsidR="004224D9" w:rsidRPr="005B6722">
        <w:t xml:space="preserve"> </w:t>
      </w:r>
      <w:r w:rsidR="006E1B88">
        <w:t>(the Plan) prepared</w:t>
      </w:r>
      <w:r w:rsidR="006E1B88" w:rsidRPr="005B6722">
        <w:t xml:space="preserve"> </w:t>
      </w:r>
      <w:r w:rsidR="00085E2C" w:rsidRPr="005B6722">
        <w:t>to support</w:t>
      </w:r>
      <w:r w:rsidR="004224D9" w:rsidRPr="005B6722">
        <w:t xml:space="preserve"> national</w:t>
      </w:r>
      <w:r w:rsidR="00085E2C" w:rsidRPr="005B6722">
        <w:t>ly consistent</w:t>
      </w:r>
      <w:r w:rsidR="005D1BED">
        <w:t xml:space="preserve"> microbial</w:t>
      </w:r>
      <w:r w:rsidR="004224D9" w:rsidRPr="005B6722">
        <w:t xml:space="preserve"> genomics activities in Australia</w:t>
      </w:r>
      <w:r w:rsidR="00A40D5A">
        <w:t>.</w:t>
      </w:r>
      <w:r w:rsidR="009B7999" w:rsidRPr="005B6722">
        <w:t xml:space="preserve"> </w:t>
      </w:r>
      <w:r w:rsidR="00A40D5A">
        <w:t xml:space="preserve">It </w:t>
      </w:r>
      <w:r w:rsidR="00085E2C" w:rsidRPr="005B6722">
        <w:t>sits</w:t>
      </w:r>
      <w:r w:rsidRPr="005B6722">
        <w:t xml:space="preserve"> under the National Microbial Genomics Framework 2019-2022 (Framework). The Plan seeks to </w:t>
      </w:r>
      <w:r w:rsidR="00116AC9">
        <w:t>support strategic implementation of</w:t>
      </w:r>
      <w:r w:rsidR="00F94006">
        <w:t>,</w:t>
      </w:r>
      <w:r w:rsidR="00116AC9">
        <w:t xml:space="preserve"> and </w:t>
      </w:r>
      <w:r w:rsidRPr="005B6722">
        <w:t>promote national consistency for</w:t>
      </w:r>
      <w:r w:rsidR="00F94006">
        <w:t>,</w:t>
      </w:r>
      <w:r w:rsidRPr="005B6722">
        <w:t xml:space="preserve"> the application of </w:t>
      </w:r>
      <w:r w:rsidR="00065526" w:rsidRPr="005B6722">
        <w:t xml:space="preserve">microbial </w:t>
      </w:r>
      <w:r w:rsidRPr="005B6722">
        <w:t>genomics</w:t>
      </w:r>
      <w:r w:rsidR="00A40D5A">
        <w:t>.</w:t>
      </w:r>
      <w:r w:rsidRPr="005B6722">
        <w:t xml:space="preserve"> </w:t>
      </w:r>
      <w:r w:rsidR="00A40D5A">
        <w:t>It will</w:t>
      </w:r>
      <w:r w:rsidRPr="005B6722">
        <w:t xml:space="preserve"> </w:t>
      </w:r>
      <w:r w:rsidR="006E1B88">
        <w:t>improve</w:t>
      </w:r>
      <w:r w:rsidR="006E1B88" w:rsidRPr="005B6722">
        <w:t xml:space="preserve"> </w:t>
      </w:r>
      <w:r w:rsidRPr="005B6722">
        <w:t xml:space="preserve">national surveillance of </w:t>
      </w:r>
      <w:r w:rsidR="004224D9" w:rsidRPr="005B6722">
        <w:t xml:space="preserve">and </w:t>
      </w:r>
      <w:r w:rsidR="00116AC9" w:rsidRPr="005B6722">
        <w:t>respon</w:t>
      </w:r>
      <w:r w:rsidR="00F94006">
        <w:t>se</w:t>
      </w:r>
      <w:r w:rsidR="00116AC9">
        <w:t xml:space="preserve"> </w:t>
      </w:r>
      <w:r w:rsidR="004224D9" w:rsidRPr="005B6722">
        <w:t xml:space="preserve">to </w:t>
      </w:r>
      <w:r w:rsidRPr="005B6722">
        <w:t xml:space="preserve">communicable diseases and </w:t>
      </w:r>
      <w:proofErr w:type="spellStart"/>
      <w:r w:rsidRPr="005B6722">
        <w:t>biothreat</w:t>
      </w:r>
      <w:proofErr w:type="spellEnd"/>
      <w:r w:rsidRPr="005B6722">
        <w:t xml:space="preserve"> agents of clinical and public health importance. It </w:t>
      </w:r>
      <w:r w:rsidR="006E1B88">
        <w:t>recognises</w:t>
      </w:r>
      <w:r w:rsidR="006E1B88" w:rsidRPr="005B6722">
        <w:t xml:space="preserve"> </w:t>
      </w:r>
      <w:r w:rsidRPr="005B6722">
        <w:t xml:space="preserve">and </w:t>
      </w:r>
      <w:r w:rsidR="006E1B88">
        <w:t>includes</w:t>
      </w:r>
      <w:r w:rsidR="006E1B88" w:rsidRPr="005B6722">
        <w:t xml:space="preserve"> </w:t>
      </w:r>
      <w:r w:rsidRPr="005B6722">
        <w:t xml:space="preserve">microbial genomics activities </w:t>
      </w:r>
      <w:r w:rsidR="00A40D5A" w:rsidRPr="005B6722">
        <w:t>th</w:t>
      </w:r>
      <w:r w:rsidR="00E23B02">
        <w:t>at</w:t>
      </w:r>
      <w:r w:rsidR="00A40D5A" w:rsidRPr="005B6722">
        <w:t xml:space="preserve"> states and territories </w:t>
      </w:r>
      <w:r w:rsidR="00A40D5A">
        <w:t>are</w:t>
      </w:r>
      <w:r w:rsidRPr="005B6722">
        <w:t xml:space="preserve"> undertak</w:t>
      </w:r>
      <w:r w:rsidR="00A40D5A">
        <w:t>ing</w:t>
      </w:r>
      <w:r w:rsidRPr="005B6722">
        <w:t xml:space="preserve"> across various sectors</w:t>
      </w:r>
      <w:r w:rsidR="00A40D5A">
        <w:t>.</w:t>
      </w:r>
      <w:r w:rsidRPr="005B6722">
        <w:t xml:space="preserve"> </w:t>
      </w:r>
      <w:r w:rsidR="00A40D5A">
        <w:t>These activities</w:t>
      </w:r>
      <w:r w:rsidRPr="005B6722">
        <w:t xml:space="preserve"> </w:t>
      </w:r>
      <w:r w:rsidR="006E1B88">
        <w:t xml:space="preserve">support </w:t>
      </w:r>
      <w:r w:rsidRPr="005B6722">
        <w:t>collaboration, coordination and information sharing.</w:t>
      </w:r>
    </w:p>
    <w:p w14:paraId="2AB2A561" w14:textId="28C6E828" w:rsidR="00180FFE" w:rsidRPr="005B6722" w:rsidRDefault="00A40D5A" w:rsidP="00180FFE">
      <w:pPr>
        <w:pStyle w:val="BodyText"/>
        <w:spacing w:before="120" w:line="242" w:lineRule="auto"/>
        <w:ind w:left="284" w:right="281"/>
      </w:pPr>
      <w:r>
        <w:t>T</w:t>
      </w:r>
      <w:r w:rsidR="00180FFE" w:rsidRPr="005B6722">
        <w:t xml:space="preserve">his </w:t>
      </w:r>
      <w:r w:rsidR="006E1B88">
        <w:t>P</w:t>
      </w:r>
      <w:r w:rsidR="00180FFE" w:rsidRPr="005B6722">
        <w:t xml:space="preserve">lan </w:t>
      </w:r>
      <w:r w:rsidR="006E1B88">
        <w:t xml:space="preserve">looks mainly at </w:t>
      </w:r>
      <w:r w:rsidR="0061244E">
        <w:t>the use of</w:t>
      </w:r>
      <w:r w:rsidR="00116AC9" w:rsidRPr="00116AC9">
        <w:t xml:space="preserve"> microbial genomics to </w:t>
      </w:r>
      <w:r w:rsidR="006E1B88">
        <w:t>build</w:t>
      </w:r>
      <w:r w:rsidR="006E1B88" w:rsidRPr="00116AC9">
        <w:t xml:space="preserve"> </w:t>
      </w:r>
      <w:r w:rsidR="00116AC9" w:rsidRPr="00116AC9">
        <w:t>public health</w:t>
      </w:r>
      <w:r w:rsidR="00F94006">
        <w:t xml:space="preserve"> capability</w:t>
      </w:r>
      <w:r w:rsidR="00116AC9" w:rsidRPr="00116AC9">
        <w:t xml:space="preserve"> and</w:t>
      </w:r>
      <w:r w:rsidR="00F94006">
        <w:t xml:space="preserve"> improve surveillance of</w:t>
      </w:r>
      <w:r w:rsidR="00116AC9" w:rsidRPr="00116AC9">
        <w:t xml:space="preserve"> antimicrobial resistance</w:t>
      </w:r>
      <w:r>
        <w:t>.</w:t>
      </w:r>
      <w:r w:rsidR="00180FFE" w:rsidRPr="005B6722">
        <w:t xml:space="preserve"> </w:t>
      </w:r>
      <w:r w:rsidR="00E23B02">
        <w:t>O</w:t>
      </w:r>
      <w:r w:rsidR="00180FFE" w:rsidRPr="005B6722">
        <w:t xml:space="preserve">pportunities to use microbial genomic data </w:t>
      </w:r>
      <w:proofErr w:type="gramStart"/>
      <w:r w:rsidR="00180FFE" w:rsidRPr="005B6722">
        <w:t>for personalised medicine, hospital care and to guide treatment</w:t>
      </w:r>
      <w:proofErr w:type="gramEnd"/>
      <w:r w:rsidR="00180FFE" w:rsidRPr="005B6722">
        <w:t xml:space="preserve"> should be explored in future iterations.</w:t>
      </w:r>
    </w:p>
    <w:p w14:paraId="366B6243" w14:textId="57BA094D" w:rsidR="00E23B02" w:rsidRDefault="00180FFE" w:rsidP="00180FFE">
      <w:pPr>
        <w:pStyle w:val="BodyText"/>
        <w:tabs>
          <w:tab w:val="left" w:pos="9214"/>
        </w:tabs>
        <w:spacing w:before="117"/>
        <w:ind w:left="284" w:right="281"/>
      </w:pPr>
      <w:r w:rsidRPr="005B6722">
        <w:t xml:space="preserve">The </w:t>
      </w:r>
      <w:r w:rsidR="00A40D5A" w:rsidRPr="005B6722">
        <w:t>Australian Government Department of Health</w:t>
      </w:r>
      <w:r w:rsidR="00A40D5A">
        <w:t xml:space="preserve"> (Health) </w:t>
      </w:r>
      <w:r w:rsidR="006E1B88">
        <w:t>prepared</w:t>
      </w:r>
      <w:r w:rsidR="00A40D5A">
        <w:t xml:space="preserve"> this </w:t>
      </w:r>
      <w:r w:rsidR="006E1B88">
        <w:t>P</w:t>
      </w:r>
      <w:r w:rsidRPr="005B6722">
        <w:t>lan</w:t>
      </w:r>
      <w:r w:rsidR="006E1B88">
        <w:t xml:space="preserve"> in consultation </w:t>
      </w:r>
      <w:proofErr w:type="gramStart"/>
      <w:r w:rsidR="006E1B88">
        <w:t>with</w:t>
      </w:r>
      <w:proofErr w:type="gramEnd"/>
      <w:r w:rsidR="006E1B88">
        <w:t>:</w:t>
      </w:r>
      <w:r w:rsidR="00A40D5A">
        <w:t xml:space="preserve"> </w:t>
      </w:r>
    </w:p>
    <w:p w14:paraId="7DA9470C" w14:textId="429FD226" w:rsidR="00E23B02" w:rsidRDefault="00180FFE" w:rsidP="00083C6B">
      <w:pPr>
        <w:pStyle w:val="BodyText"/>
        <w:numPr>
          <w:ilvl w:val="0"/>
          <w:numId w:val="27"/>
        </w:numPr>
        <w:tabs>
          <w:tab w:val="left" w:pos="9214"/>
        </w:tabs>
        <w:spacing w:before="117"/>
        <w:ind w:right="281"/>
      </w:pPr>
      <w:r w:rsidRPr="005B6722">
        <w:t xml:space="preserve">the Communicable Diseases Genomics Network (CDGN) </w:t>
      </w:r>
    </w:p>
    <w:p w14:paraId="779EEAB6" w14:textId="2E74273E" w:rsidR="00E23B02" w:rsidRDefault="00180FFE" w:rsidP="00083C6B">
      <w:pPr>
        <w:pStyle w:val="BodyText"/>
        <w:numPr>
          <w:ilvl w:val="0"/>
          <w:numId w:val="27"/>
        </w:numPr>
        <w:tabs>
          <w:tab w:val="left" w:pos="9214"/>
        </w:tabs>
        <w:spacing w:before="117"/>
        <w:ind w:right="281"/>
      </w:pPr>
      <w:r w:rsidRPr="005B6722">
        <w:t xml:space="preserve">the Public Health Laboratory Network (PHLN) </w:t>
      </w:r>
    </w:p>
    <w:p w14:paraId="19074801" w14:textId="77777777" w:rsidR="00E23B02" w:rsidRDefault="00180FFE" w:rsidP="00083C6B">
      <w:pPr>
        <w:pStyle w:val="BodyText"/>
        <w:numPr>
          <w:ilvl w:val="0"/>
          <w:numId w:val="27"/>
        </w:numPr>
        <w:tabs>
          <w:tab w:val="left" w:pos="9214"/>
        </w:tabs>
        <w:spacing w:before="117"/>
        <w:ind w:right="281"/>
      </w:pPr>
      <w:r w:rsidRPr="005B6722">
        <w:t>the Communicable Diseases Network Australia (CDNA)</w:t>
      </w:r>
      <w:r w:rsidR="009B7999" w:rsidRPr="005B6722">
        <w:t xml:space="preserve"> </w:t>
      </w:r>
    </w:p>
    <w:p w14:paraId="227F4B63" w14:textId="03CE67CB" w:rsidR="00180FFE" w:rsidRPr="005B6722" w:rsidRDefault="009B7999" w:rsidP="00083C6B">
      <w:pPr>
        <w:pStyle w:val="BodyText"/>
        <w:numPr>
          <w:ilvl w:val="0"/>
          <w:numId w:val="27"/>
        </w:numPr>
        <w:tabs>
          <w:tab w:val="left" w:pos="9214"/>
        </w:tabs>
        <w:spacing w:before="117"/>
        <w:ind w:right="281"/>
      </w:pPr>
      <w:proofErr w:type="gramStart"/>
      <w:r w:rsidRPr="005B6722">
        <w:t>other</w:t>
      </w:r>
      <w:proofErr w:type="gramEnd"/>
      <w:r w:rsidRPr="005B6722">
        <w:t xml:space="preserve"> </w:t>
      </w:r>
      <w:r w:rsidR="001E0F90">
        <w:t xml:space="preserve">relevant </w:t>
      </w:r>
      <w:r w:rsidRPr="005B6722">
        <w:t>expert groups</w:t>
      </w:r>
      <w:r w:rsidR="00180FFE" w:rsidRPr="005B6722">
        <w:t>.</w:t>
      </w:r>
    </w:p>
    <w:p w14:paraId="13E45943" w14:textId="71C4FDC0" w:rsidR="00180FFE" w:rsidRPr="005B6722" w:rsidRDefault="00180FFE" w:rsidP="00F52A7A">
      <w:pPr>
        <w:pStyle w:val="BodyText"/>
        <w:tabs>
          <w:tab w:val="left" w:pos="9072"/>
        </w:tabs>
        <w:spacing w:before="120"/>
        <w:ind w:left="284" w:right="284"/>
      </w:pPr>
      <w:r w:rsidRPr="005B6722">
        <w:t xml:space="preserve">The </w:t>
      </w:r>
      <w:r w:rsidR="006E1B88">
        <w:t>P</w:t>
      </w:r>
      <w:r w:rsidRPr="005B6722">
        <w:t xml:space="preserve">lan identifies priority actions that </w:t>
      </w:r>
      <w:r w:rsidR="006E1B88">
        <w:t>meet</w:t>
      </w:r>
      <w:r w:rsidR="006E1B88" w:rsidRPr="005B6722">
        <w:t xml:space="preserve"> </w:t>
      </w:r>
      <w:r w:rsidRPr="005B6722">
        <w:t xml:space="preserve">the agreed outcomes of the </w:t>
      </w:r>
      <w:r w:rsidR="00DA2CC2">
        <w:t xml:space="preserve">Framework’s </w:t>
      </w:r>
      <w:r w:rsidRPr="005B6722">
        <w:t>strategic priority areas:</w:t>
      </w:r>
    </w:p>
    <w:p w14:paraId="3A412878" w14:textId="77777777" w:rsidR="00180FFE" w:rsidRPr="00F52A7A" w:rsidRDefault="00180FFE" w:rsidP="00180FFE">
      <w:pPr>
        <w:pStyle w:val="BodyText"/>
        <w:tabs>
          <w:tab w:val="left" w:pos="9072"/>
        </w:tabs>
        <w:ind w:left="282" w:right="281"/>
        <w:rPr>
          <w:sz w:val="16"/>
          <w:szCs w:val="16"/>
        </w:rPr>
      </w:pPr>
    </w:p>
    <w:p w14:paraId="70BA6838" w14:textId="7B0FCFB6" w:rsidR="00180FFE" w:rsidRPr="005B6722" w:rsidRDefault="00180FFE" w:rsidP="00180FFE">
      <w:pPr>
        <w:pStyle w:val="BodyText"/>
        <w:numPr>
          <w:ilvl w:val="0"/>
          <w:numId w:val="21"/>
        </w:numPr>
        <w:tabs>
          <w:tab w:val="left" w:pos="9072"/>
        </w:tabs>
        <w:ind w:right="281"/>
      </w:pPr>
      <w:r w:rsidRPr="005B6722">
        <w:t xml:space="preserve">Standardised </w:t>
      </w:r>
      <w:r w:rsidR="00CF3087">
        <w:t>n</w:t>
      </w:r>
      <w:r w:rsidRPr="005B6722">
        <w:t xml:space="preserve">ational </w:t>
      </w:r>
      <w:r w:rsidR="00CF3087">
        <w:t>a</w:t>
      </w:r>
      <w:r w:rsidR="00CF3087" w:rsidRPr="005B6722">
        <w:t>pproach</w:t>
      </w:r>
    </w:p>
    <w:p w14:paraId="3A3D2A60" w14:textId="28A06DDB" w:rsidR="00180FFE" w:rsidRPr="005B6722" w:rsidRDefault="00141B8A" w:rsidP="00180FFE">
      <w:pPr>
        <w:pStyle w:val="BodyText"/>
        <w:numPr>
          <w:ilvl w:val="0"/>
          <w:numId w:val="21"/>
        </w:numPr>
        <w:tabs>
          <w:tab w:val="left" w:pos="9072"/>
        </w:tabs>
        <w:ind w:right="281"/>
      </w:pPr>
      <w:r>
        <w:t>Technology and d</w:t>
      </w:r>
      <w:r w:rsidR="00180FFE" w:rsidRPr="005B6722">
        <w:t xml:space="preserve">ata </w:t>
      </w:r>
      <w:r w:rsidR="00CF3087">
        <w:t>g</w:t>
      </w:r>
      <w:r w:rsidR="00CF3087" w:rsidRPr="005B6722">
        <w:t>overnance</w:t>
      </w:r>
    </w:p>
    <w:p w14:paraId="578F6C6E" w14:textId="6B83CEB9" w:rsidR="00180FFE" w:rsidRPr="005B6722" w:rsidRDefault="00180FFE" w:rsidP="00180FFE">
      <w:pPr>
        <w:pStyle w:val="BodyText"/>
        <w:numPr>
          <w:ilvl w:val="0"/>
          <w:numId w:val="21"/>
        </w:numPr>
        <w:tabs>
          <w:tab w:val="left" w:pos="9072"/>
        </w:tabs>
        <w:ind w:right="281"/>
      </w:pPr>
      <w:r w:rsidRPr="005B6722">
        <w:t xml:space="preserve">Integration into </w:t>
      </w:r>
      <w:r w:rsidR="00CF3087">
        <w:t>p</w:t>
      </w:r>
      <w:r w:rsidR="00CF3087" w:rsidRPr="005B6722">
        <w:t xml:space="preserve">ublic </w:t>
      </w:r>
      <w:r w:rsidR="00CF3087">
        <w:t>h</w:t>
      </w:r>
      <w:r w:rsidR="00CF3087" w:rsidRPr="005B6722">
        <w:t>ealth</w:t>
      </w:r>
    </w:p>
    <w:p w14:paraId="343FA3B5" w14:textId="5E3DFC2C" w:rsidR="00180FFE" w:rsidRPr="00DA2CC2" w:rsidRDefault="00141B8A" w:rsidP="00180FFE">
      <w:pPr>
        <w:pStyle w:val="BodyText"/>
        <w:numPr>
          <w:ilvl w:val="0"/>
          <w:numId w:val="21"/>
        </w:numPr>
        <w:tabs>
          <w:tab w:val="left" w:pos="9072"/>
        </w:tabs>
        <w:ind w:right="281"/>
      </w:pPr>
      <w:r>
        <w:t>A</w:t>
      </w:r>
      <w:r w:rsidR="00180FFE" w:rsidRPr="005B6722">
        <w:t xml:space="preserve">ccess and </w:t>
      </w:r>
      <w:r w:rsidR="00CF3087">
        <w:t>w</w:t>
      </w:r>
      <w:r w:rsidR="00CF3087" w:rsidRPr="005B6722">
        <w:t>orkforce</w:t>
      </w:r>
    </w:p>
    <w:p w14:paraId="0878383D" w14:textId="55D9CCFD" w:rsidR="00180FFE" w:rsidRPr="00083C6B" w:rsidRDefault="00180FFE" w:rsidP="000848F1">
      <w:pPr>
        <w:pStyle w:val="BodyText"/>
        <w:numPr>
          <w:ilvl w:val="0"/>
          <w:numId w:val="21"/>
        </w:numPr>
        <w:tabs>
          <w:tab w:val="left" w:pos="9072"/>
        </w:tabs>
        <w:ind w:right="281"/>
      </w:pPr>
      <w:r w:rsidRPr="00DA2CC2">
        <w:t>Financing</w:t>
      </w:r>
    </w:p>
    <w:p w14:paraId="5EBD63EB" w14:textId="77777777" w:rsidR="00DA2CC2" w:rsidRPr="000848F1" w:rsidRDefault="00DA2CC2" w:rsidP="00083C6B">
      <w:pPr>
        <w:pStyle w:val="BodyText"/>
        <w:tabs>
          <w:tab w:val="left" w:pos="9072"/>
        </w:tabs>
        <w:ind w:left="1002" w:right="281"/>
        <w:rPr>
          <w:sz w:val="16"/>
          <w:szCs w:val="16"/>
        </w:rPr>
      </w:pPr>
    </w:p>
    <w:p w14:paraId="7314137E" w14:textId="6B79EB2B" w:rsidR="00DA2CC2" w:rsidRDefault="00DA2CC2" w:rsidP="00180FFE">
      <w:pPr>
        <w:pStyle w:val="BodyText"/>
        <w:ind w:left="282" w:right="281"/>
      </w:pPr>
      <w:r>
        <w:t xml:space="preserve">Essential to these </w:t>
      </w:r>
      <w:r w:rsidR="006E1B88">
        <w:t>priority areas</w:t>
      </w:r>
      <w:r>
        <w:t xml:space="preserve"> are:</w:t>
      </w:r>
    </w:p>
    <w:p w14:paraId="1E2B9770" w14:textId="1F99EC4D" w:rsidR="00DA2CC2" w:rsidRDefault="00A40D5A" w:rsidP="00A3416E">
      <w:pPr>
        <w:pStyle w:val="BodyText"/>
        <w:numPr>
          <w:ilvl w:val="0"/>
          <w:numId w:val="28"/>
        </w:numPr>
        <w:ind w:right="281"/>
      </w:pPr>
      <w:r w:rsidRPr="005B6722">
        <w:t>clear governance arrangements</w:t>
      </w:r>
    </w:p>
    <w:p w14:paraId="3D94A34B" w14:textId="6F0B14CB" w:rsidR="00DA2CC2" w:rsidRDefault="00A40D5A" w:rsidP="00A3416E">
      <w:pPr>
        <w:pStyle w:val="BodyText"/>
        <w:numPr>
          <w:ilvl w:val="0"/>
          <w:numId w:val="28"/>
        </w:numPr>
        <w:ind w:right="281"/>
      </w:pPr>
      <w:r w:rsidRPr="005B6722">
        <w:t>a responsible approach to ethical</w:t>
      </w:r>
      <w:r w:rsidR="005D1BED">
        <w:t>, equity</w:t>
      </w:r>
      <w:r w:rsidRPr="005B6722">
        <w:t xml:space="preserve"> and legal issues </w:t>
      </w:r>
    </w:p>
    <w:p w14:paraId="07123BB4" w14:textId="3EB24AF7" w:rsidR="00180FFE" w:rsidRDefault="00A40D5A" w:rsidP="00A3416E">
      <w:pPr>
        <w:pStyle w:val="BodyText"/>
        <w:numPr>
          <w:ilvl w:val="0"/>
          <w:numId w:val="28"/>
        </w:numPr>
        <w:ind w:right="281"/>
      </w:pPr>
      <w:proofErr w:type="gramStart"/>
      <w:r w:rsidRPr="005B6722">
        <w:t>stakeholder</w:t>
      </w:r>
      <w:proofErr w:type="gramEnd"/>
      <w:r w:rsidRPr="005B6722">
        <w:t xml:space="preserve"> engagement</w:t>
      </w:r>
      <w:r w:rsidR="00DA2CC2">
        <w:t>.</w:t>
      </w:r>
    </w:p>
    <w:p w14:paraId="58F2C87C" w14:textId="77777777" w:rsidR="00237982" w:rsidRPr="005B6722" w:rsidRDefault="00237982" w:rsidP="003B5908">
      <w:pPr>
        <w:pStyle w:val="BodyText"/>
        <w:ind w:left="1002" w:right="281"/>
      </w:pPr>
    </w:p>
    <w:p w14:paraId="642CE340" w14:textId="5FB4BD7E" w:rsidR="00180FFE" w:rsidRPr="005B6722" w:rsidRDefault="00180FFE" w:rsidP="003B5908">
      <w:pPr>
        <w:pStyle w:val="Heading2"/>
        <w:spacing w:before="41"/>
        <w:ind w:left="0"/>
      </w:pPr>
      <w:bookmarkStart w:id="47" w:name="_Toc57196954"/>
      <w:r w:rsidRPr="005B6722">
        <w:t>Background</w:t>
      </w:r>
      <w:bookmarkEnd w:id="47"/>
    </w:p>
    <w:p w14:paraId="2916F26E" w14:textId="58489A2A" w:rsidR="00180FFE" w:rsidRPr="005B6722" w:rsidRDefault="00180FFE" w:rsidP="00180FFE">
      <w:pPr>
        <w:pStyle w:val="BodyText"/>
        <w:tabs>
          <w:tab w:val="left" w:pos="9072"/>
        </w:tabs>
        <w:spacing w:before="120"/>
        <w:ind w:left="284" w:right="281"/>
      </w:pPr>
      <w:r w:rsidRPr="005B6722">
        <w:t xml:space="preserve">The Framework </w:t>
      </w:r>
      <w:r w:rsidR="00C0551D">
        <w:t>provides</w:t>
      </w:r>
      <w:r w:rsidRPr="005B6722">
        <w:t xml:space="preserve"> a consistent, national and strategic view </w:t>
      </w:r>
      <w:r w:rsidR="00AF46CD">
        <w:t xml:space="preserve">for the </w:t>
      </w:r>
      <w:r w:rsidRPr="005B6722">
        <w:t>integrati</w:t>
      </w:r>
      <w:r w:rsidR="00AF46CD">
        <w:t>o</w:t>
      </w:r>
      <w:r w:rsidRPr="005B6722">
        <w:t>n</w:t>
      </w:r>
      <w:r w:rsidR="00AF46CD">
        <w:t xml:space="preserve"> of</w:t>
      </w:r>
      <w:r w:rsidRPr="005B6722">
        <w:t xml:space="preserve"> microbial genomics into the Australian health system</w:t>
      </w:r>
      <w:r w:rsidR="00655329">
        <w:t>.</w:t>
      </w:r>
      <w:r w:rsidRPr="005B6722">
        <w:t xml:space="preserve"> </w:t>
      </w:r>
      <w:r w:rsidR="00E72BE2">
        <w:t xml:space="preserve">The Framework also </w:t>
      </w:r>
      <w:r w:rsidR="00AF46CD">
        <w:t>considers</w:t>
      </w:r>
      <w:r w:rsidRPr="005B6722">
        <w:t xml:space="preserve"> microbial genomics policy issues and challenges need</w:t>
      </w:r>
      <w:r w:rsidR="00C0551D">
        <w:t>ing</w:t>
      </w:r>
      <w:r w:rsidRPr="005B6722">
        <w:t xml:space="preserve"> to </w:t>
      </w:r>
      <w:proofErr w:type="gramStart"/>
      <w:r w:rsidRPr="005B6722">
        <w:t>be addressed</w:t>
      </w:r>
      <w:proofErr w:type="gramEnd"/>
      <w:r w:rsidRPr="005B6722">
        <w:t xml:space="preserve">. It sets the direction for a nationally co-ordinated approach to microbial </w:t>
      </w:r>
      <w:proofErr w:type="gramStart"/>
      <w:r w:rsidRPr="005B6722">
        <w:t>genomics which</w:t>
      </w:r>
      <w:proofErr w:type="gramEnd"/>
      <w:r w:rsidRPr="005B6722">
        <w:t xml:space="preserve"> avoids duplication of effort and leverages current</w:t>
      </w:r>
      <w:r w:rsidRPr="005B6722">
        <w:rPr>
          <w:spacing w:val="-30"/>
        </w:rPr>
        <w:t xml:space="preserve"> </w:t>
      </w:r>
      <w:r w:rsidRPr="005B6722">
        <w:t>activit</w:t>
      </w:r>
      <w:r w:rsidR="008C21A8" w:rsidRPr="005B6722">
        <w:t>ies.</w:t>
      </w:r>
    </w:p>
    <w:p w14:paraId="3524F1BE" w14:textId="042896A8" w:rsidR="00237982" w:rsidRPr="005B6722" w:rsidRDefault="00180FFE" w:rsidP="00D27FC8">
      <w:pPr>
        <w:pStyle w:val="BodyText"/>
        <w:tabs>
          <w:tab w:val="left" w:pos="9214"/>
        </w:tabs>
        <w:spacing w:before="119"/>
        <w:ind w:left="282" w:right="281"/>
      </w:pPr>
      <w:r w:rsidRPr="005B6722">
        <w:t>The Framework is a blueprint for coordinated action by governments, health professionals, non-government organisations and industry</w:t>
      </w:r>
      <w:r w:rsidR="00655329">
        <w:t>,</w:t>
      </w:r>
      <w:r w:rsidRPr="005B6722">
        <w:t xml:space="preserve"> </w:t>
      </w:r>
      <w:r w:rsidR="00655329">
        <w:t>working</w:t>
      </w:r>
      <w:r w:rsidRPr="005B6722">
        <w:t xml:space="preserve"> in partnership to embed microbial genomics in</w:t>
      </w:r>
      <w:r w:rsidR="008C21A8" w:rsidRPr="005B6722">
        <w:t>to</w:t>
      </w:r>
      <w:r w:rsidRPr="005B6722">
        <w:t xml:space="preserve"> the Australian health system. Some states and territories have </w:t>
      </w:r>
      <w:r w:rsidR="003752F8">
        <w:t>their own</w:t>
      </w:r>
      <w:r w:rsidR="003752F8" w:rsidRPr="005B6722">
        <w:t xml:space="preserve"> </w:t>
      </w:r>
      <w:r w:rsidRPr="005B6722">
        <w:t>microbial genomic</w:t>
      </w:r>
      <w:r w:rsidR="00065526" w:rsidRPr="005B6722">
        <w:t>s</w:t>
      </w:r>
      <w:r w:rsidRPr="005B6722">
        <w:t xml:space="preserve"> policy strategies</w:t>
      </w:r>
      <w:r w:rsidR="00655329">
        <w:t>.</w:t>
      </w:r>
      <w:r w:rsidRPr="005B6722">
        <w:t xml:space="preserve"> </w:t>
      </w:r>
      <w:r w:rsidR="003752F8">
        <w:t>T</w:t>
      </w:r>
      <w:r w:rsidRPr="005B6722">
        <w:t xml:space="preserve">his is the first time a national </w:t>
      </w:r>
      <w:r w:rsidR="001E0F90">
        <w:t>framework</w:t>
      </w:r>
      <w:r w:rsidRPr="005B6722">
        <w:t xml:space="preserve"> articulates short to long-term goals </w:t>
      </w:r>
      <w:r w:rsidR="00577022">
        <w:t xml:space="preserve">to strengthen this capability across a number of strategic priority </w:t>
      </w:r>
      <w:r w:rsidR="00577022">
        <w:lastRenderedPageBreak/>
        <w:t>areas.</w:t>
      </w:r>
      <w:r w:rsidRPr="005B6722">
        <w:t xml:space="preserve"> </w:t>
      </w:r>
      <w:r w:rsidR="00CF05D3">
        <w:t xml:space="preserve">The </w:t>
      </w:r>
      <w:r w:rsidR="00655329" w:rsidRPr="005B6722">
        <w:t>Australian</w:t>
      </w:r>
      <w:r w:rsidR="00655329">
        <w:t xml:space="preserve"> Government and</w:t>
      </w:r>
      <w:r w:rsidR="00655329" w:rsidRPr="005B6722">
        <w:t xml:space="preserve"> state</w:t>
      </w:r>
      <w:r w:rsidR="00655329">
        <w:t xml:space="preserve"> </w:t>
      </w:r>
      <w:r w:rsidR="00655329" w:rsidRPr="005B6722">
        <w:t>and territor</w:t>
      </w:r>
      <w:r w:rsidR="00655329">
        <w:t>y governments</w:t>
      </w:r>
      <w:r w:rsidR="00655329" w:rsidRPr="005B6722">
        <w:t xml:space="preserve"> under the Australian Health Ministers’ Advisory Council (AHMAC) governance arrangements</w:t>
      </w:r>
      <w:r w:rsidR="00655329">
        <w:t xml:space="preserve"> developed the </w:t>
      </w:r>
      <w:r w:rsidRPr="005B6722">
        <w:t>Framework.</w:t>
      </w:r>
    </w:p>
    <w:p w14:paraId="2F09F81B" w14:textId="77777777" w:rsidR="00180FFE" w:rsidRPr="005B6722" w:rsidRDefault="00180FFE" w:rsidP="003B5908">
      <w:pPr>
        <w:pStyle w:val="BodyText"/>
        <w:tabs>
          <w:tab w:val="left" w:pos="9214"/>
        </w:tabs>
        <w:spacing w:before="119"/>
        <w:ind w:left="282" w:right="281"/>
        <w:rPr>
          <w:sz w:val="20"/>
        </w:rPr>
      </w:pPr>
    </w:p>
    <w:p w14:paraId="2C800345" w14:textId="62EF4580" w:rsidR="00180FFE" w:rsidRPr="005B6722" w:rsidRDefault="00180FFE" w:rsidP="00180FFE">
      <w:pPr>
        <w:pStyle w:val="Heading2"/>
        <w:spacing w:before="0"/>
      </w:pPr>
      <w:bookmarkStart w:id="48" w:name="_bookmark1"/>
      <w:bookmarkStart w:id="49" w:name="_Toc57196955"/>
      <w:bookmarkEnd w:id="48"/>
      <w:r w:rsidRPr="005B6722">
        <w:t xml:space="preserve">Translating the Framework into </w:t>
      </w:r>
      <w:r w:rsidR="00065526" w:rsidRPr="005B6722">
        <w:t>a</w:t>
      </w:r>
      <w:r w:rsidRPr="005B6722">
        <w:t>ction</w:t>
      </w:r>
      <w:bookmarkEnd w:id="49"/>
    </w:p>
    <w:p w14:paraId="460A3147" w14:textId="40ABE86A" w:rsidR="00180FFE" w:rsidRPr="005B6722" w:rsidRDefault="00180FFE" w:rsidP="00180FFE">
      <w:pPr>
        <w:pStyle w:val="BodyText"/>
        <w:spacing w:before="120"/>
        <w:ind w:left="284" w:right="281"/>
      </w:pPr>
      <w:r w:rsidRPr="005B6722">
        <w:t xml:space="preserve">The Plan acknowledges </w:t>
      </w:r>
      <w:r w:rsidR="001E0F90">
        <w:t xml:space="preserve">that </w:t>
      </w:r>
      <w:r w:rsidRPr="005B6722">
        <w:t>involving all governments</w:t>
      </w:r>
      <w:r w:rsidR="00116AC9">
        <w:t xml:space="preserve">, </w:t>
      </w:r>
      <w:r w:rsidRPr="005B6722">
        <w:t xml:space="preserve">laboratory and public health sectors is </w:t>
      </w:r>
      <w:r w:rsidR="003752F8">
        <w:t>key</w:t>
      </w:r>
      <w:r w:rsidR="003752F8" w:rsidRPr="005B6722">
        <w:t xml:space="preserve"> </w:t>
      </w:r>
      <w:r w:rsidRPr="005B6722">
        <w:t>to harnessing the</w:t>
      </w:r>
      <w:r w:rsidR="00116AC9">
        <w:t xml:space="preserve"> power and subsequent health</w:t>
      </w:r>
      <w:r w:rsidRPr="005B6722">
        <w:t xml:space="preserve"> benefits of microbial genomics. The </w:t>
      </w:r>
      <w:r w:rsidR="003752F8" w:rsidRPr="005B6722">
        <w:t>first</w:t>
      </w:r>
      <w:r w:rsidR="003752F8">
        <w:t xml:space="preserve"> </w:t>
      </w:r>
      <w:r w:rsidRPr="005B6722">
        <w:t xml:space="preserve">Plan </w:t>
      </w:r>
      <w:r w:rsidR="006B6616">
        <w:t xml:space="preserve">will operationalise </w:t>
      </w:r>
      <w:r w:rsidRPr="005B6722">
        <w:t>the Framework. It proposes strategic projects and actions that will drive results over the longer term</w:t>
      </w:r>
      <w:r w:rsidR="006B6616">
        <w:t xml:space="preserve"> and </w:t>
      </w:r>
      <w:r w:rsidRPr="005B6722">
        <w:t xml:space="preserve">high-priority actions </w:t>
      </w:r>
      <w:r w:rsidR="006B6616">
        <w:t>for</w:t>
      </w:r>
      <w:r w:rsidRPr="005B6722">
        <w:t xml:space="preserve"> the short term. As the Framework has a </w:t>
      </w:r>
      <w:proofErr w:type="gramStart"/>
      <w:r w:rsidRPr="005B6722">
        <w:t>long term</w:t>
      </w:r>
      <w:proofErr w:type="gramEnd"/>
      <w:r w:rsidRPr="005B6722">
        <w:t xml:space="preserve"> vision, some actions are expected to go beyond its initial three-year </w:t>
      </w:r>
      <w:r w:rsidR="003752F8">
        <w:t>duration</w:t>
      </w:r>
      <w:r w:rsidRPr="005B6722">
        <w:t>.</w:t>
      </w:r>
    </w:p>
    <w:p w14:paraId="10114803" w14:textId="77777777" w:rsidR="00180FFE" w:rsidRPr="005B6722" w:rsidRDefault="00180FFE" w:rsidP="00180FFE">
      <w:pPr>
        <w:pStyle w:val="BodyText"/>
        <w:spacing w:before="11"/>
        <w:ind w:right="281"/>
        <w:rPr>
          <w:sz w:val="18"/>
          <w:szCs w:val="18"/>
        </w:rPr>
      </w:pPr>
    </w:p>
    <w:p w14:paraId="02045F0E" w14:textId="7FBC92A2" w:rsidR="00180FFE" w:rsidRPr="005B6722" w:rsidRDefault="00180FFE" w:rsidP="00180FFE">
      <w:pPr>
        <w:pStyle w:val="BodyText"/>
        <w:ind w:left="282" w:right="281"/>
      </w:pPr>
      <w:r w:rsidRPr="005B6722">
        <w:t xml:space="preserve">The Australian Government and state and </w:t>
      </w:r>
      <w:r w:rsidR="0032774B" w:rsidRPr="005B6722">
        <w:t>territor</w:t>
      </w:r>
      <w:r w:rsidR="0032774B">
        <w:t>y governments</w:t>
      </w:r>
      <w:r w:rsidR="0032774B" w:rsidRPr="005B6722">
        <w:t xml:space="preserve"> </w:t>
      </w:r>
      <w:r w:rsidR="006B6616">
        <w:t xml:space="preserve">have </w:t>
      </w:r>
      <w:r w:rsidRPr="005B6722">
        <w:t>already ma</w:t>
      </w:r>
      <w:r w:rsidR="006B6616">
        <w:t>de</w:t>
      </w:r>
      <w:r w:rsidRPr="005B6722">
        <w:t xml:space="preserve"> </w:t>
      </w:r>
      <w:r w:rsidR="003752F8">
        <w:t>large</w:t>
      </w:r>
      <w:r w:rsidR="003752F8" w:rsidRPr="005B6722">
        <w:t xml:space="preserve"> </w:t>
      </w:r>
      <w:r w:rsidRPr="005B6722">
        <w:t>investments into microbial genomics, including research streams. In 20</w:t>
      </w:r>
      <w:r w:rsidR="009B7999" w:rsidRPr="005B6722">
        <w:t>20</w:t>
      </w:r>
      <w:r w:rsidRPr="005B6722">
        <w:t>,</w:t>
      </w:r>
      <w:r w:rsidR="00CB104A" w:rsidRPr="005B6722">
        <w:t xml:space="preserve"> </w:t>
      </w:r>
      <w:r w:rsidRPr="005B6722">
        <w:t xml:space="preserve">the Australian Government </w:t>
      </w:r>
      <w:r w:rsidR="00CB104A" w:rsidRPr="005B6722">
        <w:t>announced</w:t>
      </w:r>
      <w:r w:rsidR="00944C60" w:rsidRPr="005B6722">
        <w:t xml:space="preserve"> $27 million in</w:t>
      </w:r>
      <w:r w:rsidR="00CB104A" w:rsidRPr="005B6722">
        <w:t xml:space="preserve"> funding under the Medical R</w:t>
      </w:r>
      <w:r w:rsidR="00944C60" w:rsidRPr="005B6722">
        <w:t>esearch Future Fund</w:t>
      </w:r>
      <w:r w:rsidR="001E3EA2" w:rsidRPr="005B6722">
        <w:t xml:space="preserve"> (MRFF)</w:t>
      </w:r>
      <w:r w:rsidR="000848F1">
        <w:t>. This funding will</w:t>
      </w:r>
      <w:r w:rsidR="00944C60" w:rsidRPr="005B6722">
        <w:t xml:space="preserve"> support </w:t>
      </w:r>
      <w:proofErr w:type="gramStart"/>
      <w:r w:rsidRPr="005B6722">
        <w:t>large scale</w:t>
      </w:r>
      <w:proofErr w:type="gramEnd"/>
      <w:r w:rsidRPr="005B6722">
        <w:t xml:space="preserve"> </w:t>
      </w:r>
      <w:r w:rsidR="00944C60" w:rsidRPr="005B6722">
        <w:t>pathogen genomics</w:t>
      </w:r>
      <w:r w:rsidRPr="005B6722">
        <w:t xml:space="preserve"> research studies </w:t>
      </w:r>
      <w:r w:rsidR="00944C60" w:rsidRPr="005B6722">
        <w:t>that are</w:t>
      </w:r>
      <w:r w:rsidRPr="005B6722">
        <w:t xml:space="preserve"> late in the research and development pipeline</w:t>
      </w:r>
      <w:r w:rsidR="00294260" w:rsidRPr="005B6722">
        <w:t xml:space="preserve">. These projects </w:t>
      </w:r>
      <w:r w:rsidRPr="005B6722">
        <w:t xml:space="preserve">aim to </w:t>
      </w:r>
      <w:r w:rsidR="004E0923">
        <w:t>show</w:t>
      </w:r>
      <w:r w:rsidR="004E0923" w:rsidRPr="005B6722">
        <w:t xml:space="preserve"> </w:t>
      </w:r>
      <w:r w:rsidRPr="005B6722">
        <w:t>clinical and</w:t>
      </w:r>
      <w:r w:rsidR="00CF3087">
        <w:t>/</w:t>
      </w:r>
      <w:r w:rsidRPr="005B6722">
        <w:t xml:space="preserve">or public health </w:t>
      </w:r>
      <w:r w:rsidR="004E0923">
        <w:t>value</w:t>
      </w:r>
      <w:r w:rsidRPr="005B6722">
        <w:t>, cost-effectiveness and translational capacity</w:t>
      </w:r>
      <w:r w:rsidR="000848F1">
        <w:t xml:space="preserve">. This kind of </w:t>
      </w:r>
      <w:r w:rsidRPr="005B6722">
        <w:t xml:space="preserve">evidence is </w:t>
      </w:r>
      <w:r w:rsidR="003752F8">
        <w:t>key</w:t>
      </w:r>
      <w:r w:rsidR="003752F8" w:rsidRPr="005B6722">
        <w:t xml:space="preserve"> </w:t>
      </w:r>
      <w:r w:rsidRPr="005B6722">
        <w:t xml:space="preserve">to the adoption of genomics in the mainstream health system. </w:t>
      </w:r>
    </w:p>
    <w:p w14:paraId="7CBF45E4" w14:textId="77777777" w:rsidR="00180FFE" w:rsidRPr="005B6722" w:rsidRDefault="00180FFE" w:rsidP="00180FFE">
      <w:pPr>
        <w:pStyle w:val="BodyText"/>
        <w:ind w:left="282" w:right="281"/>
      </w:pPr>
    </w:p>
    <w:p w14:paraId="50E949AB" w14:textId="7F183030" w:rsidR="00180FFE" w:rsidRPr="005B6722" w:rsidRDefault="00180FFE" w:rsidP="00180FFE">
      <w:pPr>
        <w:pStyle w:val="BodyText"/>
        <w:ind w:left="282" w:right="281"/>
      </w:pPr>
      <w:r w:rsidRPr="005B6722">
        <w:t xml:space="preserve">While </w:t>
      </w:r>
      <w:r w:rsidR="0022701E">
        <w:t xml:space="preserve">the </w:t>
      </w:r>
      <w:r w:rsidRPr="005B6722">
        <w:t xml:space="preserve">current pilot </w:t>
      </w:r>
      <w:r w:rsidR="006B6616">
        <w:t>im</w:t>
      </w:r>
      <w:r w:rsidRPr="005B6722">
        <w:t xml:space="preserve">plementation </w:t>
      </w:r>
      <w:r w:rsidR="006B6616">
        <w:t>activities</w:t>
      </w:r>
      <w:r w:rsidRPr="005B6722">
        <w:t xml:space="preserve"> </w:t>
      </w:r>
      <w:r w:rsidR="0022701E">
        <w:t>show reasonable</w:t>
      </w:r>
      <w:r w:rsidR="006473B6">
        <w:t xml:space="preserve"> evidence of success, </w:t>
      </w:r>
      <w:r w:rsidRPr="005B6722">
        <w:t xml:space="preserve">governments need to </w:t>
      </w:r>
      <w:r w:rsidR="001E0F90">
        <w:t>consider and prioritise further investment in</w:t>
      </w:r>
      <w:r w:rsidRPr="005B6722">
        <w:t xml:space="preserve"> microbial genomics</w:t>
      </w:r>
      <w:r w:rsidR="00065526" w:rsidRPr="005B6722">
        <w:t>-</w:t>
      </w:r>
      <w:r w:rsidR="001E0F90">
        <w:t>related activities</w:t>
      </w:r>
      <w:r w:rsidR="001165F8">
        <w:t>. I</w:t>
      </w:r>
      <w:r w:rsidR="007D64D6">
        <w:t>nvestment</w:t>
      </w:r>
      <w:r w:rsidR="00581A96">
        <w:t xml:space="preserve"> </w:t>
      </w:r>
      <w:proofErr w:type="gramStart"/>
      <w:r w:rsidR="00581A96">
        <w:t>is</w:t>
      </w:r>
      <w:r w:rsidRPr="005B6722">
        <w:t xml:space="preserve"> </w:t>
      </w:r>
      <w:r w:rsidR="000848F1">
        <w:t>needed</w:t>
      </w:r>
      <w:proofErr w:type="gramEnd"/>
      <w:r w:rsidRPr="005B6722">
        <w:t xml:space="preserve"> </w:t>
      </w:r>
      <w:r w:rsidR="001165F8">
        <w:t>to support national coordination, standardisation and interoperability, so that the value of microbial genomics can</w:t>
      </w:r>
      <w:r w:rsidRPr="005B6722">
        <w:t xml:space="preserve"> be successfully </w:t>
      </w:r>
      <w:r w:rsidR="00602D67">
        <w:t>realised</w:t>
      </w:r>
      <w:r w:rsidR="005F437F" w:rsidRPr="005B6722">
        <w:t xml:space="preserve"> </w:t>
      </w:r>
      <w:r w:rsidR="00065526" w:rsidRPr="005B6722">
        <w:t>in public health practice</w:t>
      </w:r>
      <w:r w:rsidRPr="005B6722">
        <w:t xml:space="preserve">. </w:t>
      </w:r>
    </w:p>
    <w:p w14:paraId="20BC100C" w14:textId="77777777" w:rsidR="00180FFE" w:rsidRPr="005B6722" w:rsidRDefault="00180FFE" w:rsidP="00180FFE">
      <w:pPr>
        <w:pStyle w:val="BodyText"/>
        <w:spacing w:before="10"/>
        <w:ind w:right="281"/>
        <w:rPr>
          <w:sz w:val="18"/>
          <w:szCs w:val="18"/>
        </w:rPr>
      </w:pPr>
    </w:p>
    <w:p w14:paraId="69C0578D" w14:textId="77777777" w:rsidR="00180FFE" w:rsidRPr="005B6722" w:rsidRDefault="00180FFE" w:rsidP="00180FFE">
      <w:pPr>
        <w:pStyle w:val="Heading2"/>
        <w:spacing w:before="0"/>
        <w:ind w:right="281"/>
      </w:pPr>
      <w:bookmarkStart w:id="50" w:name="_bookmark2"/>
      <w:bookmarkStart w:id="51" w:name="_Toc57196956"/>
      <w:bookmarkEnd w:id="50"/>
      <w:r w:rsidRPr="005B6722">
        <w:t>Sector consultation</w:t>
      </w:r>
      <w:bookmarkEnd w:id="51"/>
    </w:p>
    <w:p w14:paraId="12EBA919" w14:textId="0A5E1C22" w:rsidR="00180FFE" w:rsidRPr="005B6722" w:rsidRDefault="00180FFE" w:rsidP="00180FFE">
      <w:pPr>
        <w:pStyle w:val="BodyText"/>
        <w:spacing w:before="120"/>
        <w:ind w:left="284" w:right="281"/>
      </w:pPr>
      <w:r w:rsidRPr="005B6722">
        <w:t xml:space="preserve">A broad range of stakeholders </w:t>
      </w:r>
      <w:proofErr w:type="gramStart"/>
      <w:r w:rsidRPr="005B6722">
        <w:t xml:space="preserve">were identified and consulted </w:t>
      </w:r>
      <w:r w:rsidR="00CF3087">
        <w:t>during the</w:t>
      </w:r>
      <w:r w:rsidRPr="005B6722">
        <w:t xml:space="preserve"> development of the Framework</w:t>
      </w:r>
      <w:proofErr w:type="gramEnd"/>
      <w:r w:rsidRPr="005B6722">
        <w:t>. Consultation with key networks</w:t>
      </w:r>
      <w:r w:rsidR="00D72557" w:rsidRPr="005B6722">
        <w:t>,</w:t>
      </w:r>
      <w:r w:rsidR="00CF3087">
        <w:t xml:space="preserve"> including</w:t>
      </w:r>
      <w:r w:rsidRPr="005B6722">
        <w:t xml:space="preserve"> PHLN, CDGN</w:t>
      </w:r>
      <w:r w:rsidR="00CF3087">
        <w:t xml:space="preserve">, </w:t>
      </w:r>
      <w:r w:rsidRPr="005B6722">
        <w:t>CDNA</w:t>
      </w:r>
      <w:r w:rsidR="00D72557" w:rsidRPr="005B6722">
        <w:t>,</w:t>
      </w:r>
      <w:r w:rsidR="00CF3087">
        <w:t xml:space="preserve"> </w:t>
      </w:r>
      <w:r w:rsidRPr="005B6722">
        <w:t>state and territory governments and other relevant policy makers</w:t>
      </w:r>
      <w:r w:rsidR="00294260" w:rsidRPr="005B6722">
        <w:t xml:space="preserve"> </w:t>
      </w:r>
      <w:r w:rsidRPr="005B6722">
        <w:t>have informed</w:t>
      </w:r>
      <w:r w:rsidRPr="005B6722">
        <w:rPr>
          <w:b/>
        </w:rPr>
        <w:t xml:space="preserve"> </w:t>
      </w:r>
      <w:r w:rsidR="00CF3087" w:rsidRPr="00AE059E">
        <w:t xml:space="preserve">the </w:t>
      </w:r>
      <w:r w:rsidR="00294260" w:rsidRPr="00AE059E">
        <w:t>development of</w:t>
      </w:r>
      <w:r w:rsidR="00294260" w:rsidRPr="005B6722">
        <w:rPr>
          <w:b/>
        </w:rPr>
        <w:t xml:space="preserve"> </w:t>
      </w:r>
      <w:r w:rsidRPr="005B6722">
        <w:t>the Plan for the Framework.</w:t>
      </w:r>
    </w:p>
    <w:p w14:paraId="75C2D4A2" w14:textId="77777777" w:rsidR="00180FFE" w:rsidRPr="005B6722" w:rsidRDefault="00180FFE" w:rsidP="00180FFE">
      <w:pPr>
        <w:pStyle w:val="BodyText"/>
        <w:spacing w:before="8"/>
        <w:rPr>
          <w:sz w:val="18"/>
          <w:szCs w:val="18"/>
        </w:rPr>
      </w:pPr>
    </w:p>
    <w:p w14:paraId="4E643FAA" w14:textId="77777777" w:rsidR="00180FFE" w:rsidRPr="005B6722" w:rsidRDefault="00180FFE" w:rsidP="00180FFE">
      <w:pPr>
        <w:pStyle w:val="Heading2"/>
      </w:pPr>
      <w:bookmarkStart w:id="52" w:name="_bookmark3"/>
      <w:bookmarkStart w:id="53" w:name="_bookmark4"/>
      <w:bookmarkStart w:id="54" w:name="_bookmark5"/>
      <w:bookmarkStart w:id="55" w:name="_Toc57196957"/>
      <w:bookmarkEnd w:id="52"/>
      <w:bookmarkEnd w:id="53"/>
      <w:bookmarkEnd w:id="54"/>
      <w:r w:rsidRPr="005B6722">
        <w:t>Roles and responsibilities</w:t>
      </w:r>
      <w:bookmarkEnd w:id="55"/>
    </w:p>
    <w:p w14:paraId="76EB3D7D" w14:textId="7C4AC480" w:rsidR="00180FFE" w:rsidRPr="005B6722" w:rsidRDefault="00180FFE" w:rsidP="00180FFE">
      <w:pPr>
        <w:pStyle w:val="BodyText"/>
        <w:spacing w:before="120"/>
        <w:ind w:left="284" w:right="281"/>
      </w:pPr>
      <w:r w:rsidRPr="005B6722">
        <w:t>Each level of government has specific roles and responsibilities across the range of health policies and programs that involve</w:t>
      </w:r>
      <w:r w:rsidR="00D72557" w:rsidRPr="005B6722">
        <w:t>,</w:t>
      </w:r>
      <w:r w:rsidRPr="005B6722">
        <w:t xml:space="preserve"> or </w:t>
      </w:r>
      <w:proofErr w:type="gramStart"/>
      <w:r w:rsidRPr="005B6722">
        <w:t>are becoming increasingly influenced</w:t>
      </w:r>
      <w:proofErr w:type="gramEnd"/>
      <w:r w:rsidRPr="005B6722">
        <w:t xml:space="preserve"> by, microbial genomics. The Framework does not change the nature of these roles and responsibilities, but </w:t>
      </w:r>
      <w:r w:rsidR="005F437F">
        <w:t>looks</w:t>
      </w:r>
      <w:r w:rsidR="005F437F" w:rsidRPr="005B6722">
        <w:t xml:space="preserve"> </w:t>
      </w:r>
      <w:r w:rsidRPr="005B6722">
        <w:t xml:space="preserve">to create a more cohesive approach across all governments. The Framework and </w:t>
      </w:r>
      <w:r w:rsidR="00D65394">
        <w:t xml:space="preserve">the </w:t>
      </w:r>
      <w:r w:rsidRPr="005B6722">
        <w:t xml:space="preserve">Plan recognise coordinated and </w:t>
      </w:r>
      <w:r w:rsidR="005F437F">
        <w:t>thorough</w:t>
      </w:r>
      <w:r w:rsidR="005F437F" w:rsidRPr="005B6722" w:rsidDel="005F437F">
        <w:t xml:space="preserve"> </w:t>
      </w:r>
      <w:r w:rsidRPr="005B6722">
        <w:t xml:space="preserve">planning </w:t>
      </w:r>
      <w:proofErr w:type="gramStart"/>
      <w:r w:rsidRPr="005B6722">
        <w:t xml:space="preserve">is </w:t>
      </w:r>
      <w:r w:rsidR="005F437F">
        <w:t>needed</w:t>
      </w:r>
      <w:proofErr w:type="gramEnd"/>
      <w:r w:rsidR="005F437F" w:rsidRPr="005B6722">
        <w:t xml:space="preserve"> </w:t>
      </w:r>
      <w:r w:rsidRPr="005B6722">
        <w:t>between all levels of government and across the laboratory and public health sector</w:t>
      </w:r>
      <w:r w:rsidR="002E0578">
        <w:t>.</w:t>
      </w:r>
      <w:r w:rsidRPr="005B6722">
        <w:t xml:space="preserve"> </w:t>
      </w:r>
      <w:r w:rsidR="002E0578">
        <w:t xml:space="preserve">The Framework </w:t>
      </w:r>
      <w:r w:rsidRPr="005B6722">
        <w:t>embodies this approach</w:t>
      </w:r>
      <w:r w:rsidR="00D72557" w:rsidRPr="005B6722">
        <w:t>,</w:t>
      </w:r>
      <w:r w:rsidRPr="005B6722">
        <w:t xml:space="preserve"> with all levels of government involved in both its development and implementation.</w:t>
      </w:r>
    </w:p>
    <w:p w14:paraId="39A2D15B" w14:textId="77777777" w:rsidR="00180FFE" w:rsidRPr="005B6722" w:rsidRDefault="00180FFE" w:rsidP="00180FFE">
      <w:pPr>
        <w:pStyle w:val="BodyText"/>
        <w:spacing w:before="1"/>
        <w:ind w:right="281"/>
      </w:pPr>
    </w:p>
    <w:p w14:paraId="071B53CB" w14:textId="529AE8CA" w:rsidR="00237982" w:rsidRPr="005B6722" w:rsidRDefault="00581A96" w:rsidP="00180FFE">
      <w:pPr>
        <w:pStyle w:val="BodyText"/>
        <w:ind w:left="282" w:right="281"/>
      </w:pPr>
      <w:r>
        <w:t>The</w:t>
      </w:r>
      <w:r w:rsidR="00180FFE" w:rsidRPr="005B6722">
        <w:t xml:space="preserve"> Framework is the responsibility of the </w:t>
      </w:r>
      <w:r w:rsidR="00CF3087">
        <w:t xml:space="preserve">federal, </w:t>
      </w:r>
      <w:r w:rsidR="00180FFE" w:rsidRPr="005B6722">
        <w:t>state and territor</w:t>
      </w:r>
      <w:r w:rsidR="00CF3087">
        <w:t>y governments</w:t>
      </w:r>
      <w:r w:rsidR="00180FFE" w:rsidRPr="005B6722">
        <w:t xml:space="preserve"> under the AHMAC governance arrangements</w:t>
      </w:r>
      <w:bookmarkStart w:id="56" w:name="_Ref57456048"/>
      <w:r w:rsidR="00893E97">
        <w:rPr>
          <w:rStyle w:val="FootnoteReference"/>
        </w:rPr>
        <w:footnoteReference w:id="2"/>
      </w:r>
      <w:bookmarkEnd w:id="56"/>
      <w:r>
        <w:t>.</w:t>
      </w:r>
      <w:r w:rsidR="00180FFE" w:rsidRPr="005B6722">
        <w:t xml:space="preserve"> </w:t>
      </w:r>
      <w:r w:rsidR="005F437F">
        <w:t>T</w:t>
      </w:r>
      <w:r w:rsidR="00180FFE" w:rsidRPr="005B6722">
        <w:t xml:space="preserve">he work and cooperation of pathology laboratories, public health </w:t>
      </w:r>
      <w:r w:rsidR="00ED6BB2">
        <w:t>authorities</w:t>
      </w:r>
      <w:r w:rsidR="00180FFE" w:rsidRPr="005B6722">
        <w:t xml:space="preserve">, research organisations and educational leaders </w:t>
      </w:r>
      <w:r w:rsidR="006473B6">
        <w:t>is</w:t>
      </w:r>
      <w:r w:rsidR="00180FFE" w:rsidRPr="005B6722">
        <w:t xml:space="preserve"> </w:t>
      </w:r>
      <w:r w:rsidR="005F437F">
        <w:lastRenderedPageBreak/>
        <w:t>essential</w:t>
      </w:r>
      <w:r w:rsidR="005F437F" w:rsidRPr="005B6722">
        <w:t xml:space="preserve"> </w:t>
      </w:r>
      <w:r w:rsidR="00180FFE" w:rsidRPr="005B6722">
        <w:t>to achiev</w:t>
      </w:r>
      <w:r>
        <w:t>ing</w:t>
      </w:r>
      <w:r w:rsidR="00180FFE" w:rsidRPr="005B6722">
        <w:t xml:space="preserve"> the </w:t>
      </w:r>
      <w:r>
        <w:t xml:space="preserve">Framework’s </w:t>
      </w:r>
      <w:r w:rsidR="00180FFE" w:rsidRPr="005B6722">
        <w:t xml:space="preserve">overall vision. </w:t>
      </w:r>
    </w:p>
    <w:p w14:paraId="069FE8B3" w14:textId="77777777" w:rsidR="00354058" w:rsidRDefault="00354058" w:rsidP="003B5908">
      <w:pPr>
        <w:pStyle w:val="BodyText"/>
        <w:ind w:left="282" w:right="281"/>
      </w:pPr>
      <w:bookmarkStart w:id="57" w:name="_bookmark6"/>
      <w:bookmarkEnd w:id="57"/>
    </w:p>
    <w:p w14:paraId="0F4DAA57" w14:textId="3B8E6610" w:rsidR="00180FFE" w:rsidRPr="005B6722" w:rsidRDefault="00180FFE" w:rsidP="00235B39">
      <w:pPr>
        <w:pStyle w:val="Heading2"/>
        <w:keepNext/>
      </w:pPr>
      <w:bookmarkStart w:id="58" w:name="_Toc57196958"/>
      <w:r w:rsidRPr="005B6722">
        <w:t xml:space="preserve">Priority </w:t>
      </w:r>
      <w:r w:rsidR="00CF05D3">
        <w:t>k</w:t>
      </w:r>
      <w:r w:rsidRPr="005B6722">
        <w:t>ey</w:t>
      </w:r>
      <w:bookmarkEnd w:id="58"/>
    </w:p>
    <w:p w14:paraId="775B6A22" w14:textId="3344503B" w:rsidR="00180FFE" w:rsidRPr="003B5908" w:rsidRDefault="00180FFE" w:rsidP="003B5908">
      <w:pPr>
        <w:pStyle w:val="BodyText"/>
        <w:keepNext/>
        <w:ind w:left="426" w:hanging="142"/>
        <w:rPr>
          <w:sz w:val="20"/>
        </w:rPr>
      </w:pPr>
      <w:r w:rsidRPr="005B6722">
        <w:t xml:space="preserve">Indicative priorities proposed for each </w:t>
      </w:r>
      <w:r w:rsidR="007E651B" w:rsidRPr="005B6722">
        <w:t>activity</w:t>
      </w:r>
      <w:r w:rsidRPr="005B6722">
        <w:t xml:space="preserve"> </w:t>
      </w:r>
      <w:r w:rsidR="00D65394">
        <w:t>are</w:t>
      </w:r>
      <w:r w:rsidRPr="005B6722">
        <w:t xml:space="preserve">: </w:t>
      </w:r>
    </w:p>
    <w:p w14:paraId="090389B3" w14:textId="5EC6B80E" w:rsidR="00180FFE" w:rsidRPr="005B6722" w:rsidRDefault="00CF05D3" w:rsidP="00180FFE">
      <w:pPr>
        <w:pStyle w:val="BodyText"/>
        <w:numPr>
          <w:ilvl w:val="0"/>
          <w:numId w:val="22"/>
        </w:numPr>
      </w:pPr>
      <w:r>
        <w:t>l</w:t>
      </w:r>
      <w:r w:rsidR="00180FFE" w:rsidRPr="005B6722">
        <w:t xml:space="preserve">ow </w:t>
      </w:r>
    </w:p>
    <w:p w14:paraId="67C64881" w14:textId="088FDC03" w:rsidR="00180FFE" w:rsidRPr="005B6722" w:rsidRDefault="00CF05D3" w:rsidP="00180FFE">
      <w:pPr>
        <w:pStyle w:val="BodyText"/>
        <w:numPr>
          <w:ilvl w:val="0"/>
          <w:numId w:val="22"/>
        </w:numPr>
      </w:pPr>
      <w:r>
        <w:t>m</w:t>
      </w:r>
      <w:r w:rsidR="00180FFE" w:rsidRPr="005B6722">
        <w:t>edium</w:t>
      </w:r>
    </w:p>
    <w:p w14:paraId="3CD86AB5" w14:textId="11F81A49" w:rsidR="00180FFE" w:rsidRPr="005B6722" w:rsidRDefault="00CF05D3" w:rsidP="00180FFE">
      <w:pPr>
        <w:pStyle w:val="BodyText"/>
        <w:numPr>
          <w:ilvl w:val="0"/>
          <w:numId w:val="22"/>
        </w:numPr>
      </w:pPr>
      <w:r>
        <w:t>h</w:t>
      </w:r>
      <w:r w:rsidR="00180FFE" w:rsidRPr="005B6722">
        <w:t>igh</w:t>
      </w:r>
    </w:p>
    <w:p w14:paraId="55828688" w14:textId="77777777" w:rsidR="00180FFE" w:rsidRPr="00F52A7A" w:rsidRDefault="00180FFE" w:rsidP="00180FFE">
      <w:pPr>
        <w:pStyle w:val="BodyText"/>
        <w:ind w:left="720"/>
        <w:rPr>
          <w:sz w:val="20"/>
          <w:szCs w:val="20"/>
        </w:rPr>
      </w:pPr>
    </w:p>
    <w:p w14:paraId="36989D75" w14:textId="24D3C876" w:rsidR="002E0578" w:rsidRDefault="00180FFE" w:rsidP="00180FFE">
      <w:pPr>
        <w:pStyle w:val="BodyText"/>
        <w:ind w:left="284"/>
      </w:pPr>
      <w:r w:rsidRPr="005B6722">
        <w:t xml:space="preserve">The level of priority </w:t>
      </w:r>
      <w:r w:rsidR="00B850BF">
        <w:t>is determined through consideration of</w:t>
      </w:r>
      <w:r w:rsidR="002E0578">
        <w:t>:</w:t>
      </w:r>
    </w:p>
    <w:p w14:paraId="1ADF1A4C" w14:textId="674D1B29" w:rsidR="002E0578" w:rsidRDefault="00B850BF" w:rsidP="00CE49BF">
      <w:pPr>
        <w:pStyle w:val="BodyText"/>
        <w:numPr>
          <w:ilvl w:val="0"/>
          <w:numId w:val="26"/>
        </w:numPr>
      </w:pPr>
      <w:r>
        <w:t xml:space="preserve">the </w:t>
      </w:r>
      <w:r w:rsidR="00D65394">
        <w:t>need</w:t>
      </w:r>
      <w:r w:rsidR="00D65394" w:rsidRPr="005B6722">
        <w:t xml:space="preserve"> </w:t>
      </w:r>
      <w:r w:rsidR="00180FFE" w:rsidRPr="005B6722">
        <w:t>for implementation</w:t>
      </w:r>
    </w:p>
    <w:p w14:paraId="0E033F4A" w14:textId="48107A4C" w:rsidR="00411192" w:rsidRDefault="00180FFE" w:rsidP="00CE49BF">
      <w:pPr>
        <w:pStyle w:val="BodyText"/>
        <w:numPr>
          <w:ilvl w:val="0"/>
          <w:numId w:val="26"/>
        </w:numPr>
      </w:pPr>
      <w:r w:rsidRPr="005B6722">
        <w:t xml:space="preserve">the sequential need for an activity </w:t>
      </w:r>
    </w:p>
    <w:p w14:paraId="0B6FF503" w14:textId="1C1E7EAA" w:rsidR="00180FFE" w:rsidRPr="005B6722" w:rsidRDefault="00180FFE" w:rsidP="00CE49BF">
      <w:pPr>
        <w:pStyle w:val="BodyText"/>
        <w:numPr>
          <w:ilvl w:val="0"/>
          <w:numId w:val="26"/>
        </w:numPr>
      </w:pPr>
      <w:proofErr w:type="gramStart"/>
      <w:r w:rsidRPr="005B6722">
        <w:t>the</w:t>
      </w:r>
      <w:proofErr w:type="gramEnd"/>
      <w:r w:rsidRPr="005B6722">
        <w:t xml:space="preserve"> beneficial influence or impact the action will have on national capacity, capability and utilisation of microbial genomics in the public health system.  </w:t>
      </w:r>
    </w:p>
    <w:p w14:paraId="61173341" w14:textId="77777777" w:rsidR="00180FFE" w:rsidRPr="005B6722" w:rsidRDefault="00180FFE" w:rsidP="00180FFE">
      <w:pPr>
        <w:pStyle w:val="BodyText"/>
      </w:pPr>
    </w:p>
    <w:p w14:paraId="5216232C" w14:textId="3B308C27" w:rsidR="00180FFE" w:rsidRPr="005B6722" w:rsidRDefault="00180FFE" w:rsidP="00180FFE">
      <w:pPr>
        <w:pStyle w:val="Heading2"/>
      </w:pPr>
      <w:bookmarkStart w:id="59" w:name="_Toc57196959"/>
      <w:r w:rsidRPr="005B6722">
        <w:t xml:space="preserve">Indicative </w:t>
      </w:r>
      <w:r w:rsidR="00CF05D3">
        <w:t>a</w:t>
      </w:r>
      <w:r w:rsidRPr="005B6722">
        <w:t xml:space="preserve">ction </w:t>
      </w:r>
      <w:r w:rsidR="00CF05D3">
        <w:t>t</w:t>
      </w:r>
      <w:r w:rsidRPr="005B6722">
        <w:t>imeframes</w:t>
      </w:r>
      <w:bookmarkEnd w:id="59"/>
    </w:p>
    <w:p w14:paraId="3D8E2910" w14:textId="7262B907" w:rsidR="00180FFE" w:rsidRPr="005B6722" w:rsidRDefault="00180FFE" w:rsidP="003B5908">
      <w:pPr>
        <w:pStyle w:val="BodyText"/>
        <w:tabs>
          <w:tab w:val="left" w:pos="8505"/>
        </w:tabs>
        <w:spacing w:before="120" w:line="292" w:lineRule="exact"/>
      </w:pPr>
      <w:r w:rsidRPr="005B6722">
        <w:t xml:space="preserve">Indicative timeframes proposed for each activity </w:t>
      </w:r>
      <w:r w:rsidR="00D65394">
        <w:t>are</w:t>
      </w:r>
      <w:r w:rsidRPr="005B6722">
        <w:t>:</w:t>
      </w:r>
    </w:p>
    <w:p w14:paraId="11CA30A5" w14:textId="0A921D35" w:rsidR="00180FFE" w:rsidRPr="005B6722" w:rsidRDefault="00180FFE" w:rsidP="00180FFE">
      <w:pPr>
        <w:pStyle w:val="ListParagraph"/>
        <w:numPr>
          <w:ilvl w:val="0"/>
          <w:numId w:val="1"/>
        </w:numPr>
        <w:tabs>
          <w:tab w:val="left" w:pos="1054"/>
          <w:tab w:val="left" w:pos="1055"/>
          <w:tab w:val="left" w:pos="8505"/>
        </w:tabs>
        <w:spacing w:line="305" w:lineRule="exact"/>
        <w:ind w:left="1054"/>
        <w:rPr>
          <w:sz w:val="24"/>
        </w:rPr>
      </w:pPr>
      <w:r w:rsidRPr="005B6722">
        <w:rPr>
          <w:sz w:val="24"/>
        </w:rPr>
        <w:t>short-term (1 – 1.5 years)</w:t>
      </w:r>
    </w:p>
    <w:p w14:paraId="14B8D7A7" w14:textId="1C270E36" w:rsidR="00180FFE" w:rsidRPr="005B6722" w:rsidRDefault="00180FFE" w:rsidP="00180FFE">
      <w:pPr>
        <w:pStyle w:val="ListParagraph"/>
        <w:numPr>
          <w:ilvl w:val="0"/>
          <w:numId w:val="1"/>
        </w:numPr>
        <w:tabs>
          <w:tab w:val="left" w:pos="1054"/>
          <w:tab w:val="left" w:pos="1055"/>
          <w:tab w:val="left" w:pos="8505"/>
        </w:tabs>
        <w:spacing w:line="305" w:lineRule="exact"/>
        <w:ind w:left="1054"/>
        <w:rPr>
          <w:sz w:val="24"/>
        </w:rPr>
      </w:pPr>
      <w:r w:rsidRPr="005B6722">
        <w:rPr>
          <w:sz w:val="24"/>
        </w:rPr>
        <w:t>medium-term (1.5 – 3 years)</w:t>
      </w:r>
    </w:p>
    <w:p w14:paraId="1235CD81" w14:textId="77777777" w:rsidR="00180FFE" w:rsidRPr="005B6722" w:rsidRDefault="00180FFE" w:rsidP="00180FFE">
      <w:pPr>
        <w:pStyle w:val="ListParagraph"/>
        <w:numPr>
          <w:ilvl w:val="0"/>
          <w:numId w:val="1"/>
        </w:numPr>
        <w:tabs>
          <w:tab w:val="left" w:pos="1054"/>
          <w:tab w:val="left" w:pos="1055"/>
          <w:tab w:val="left" w:pos="8505"/>
        </w:tabs>
        <w:spacing w:line="305" w:lineRule="exact"/>
        <w:ind w:left="1054"/>
        <w:rPr>
          <w:sz w:val="24"/>
        </w:rPr>
      </w:pPr>
      <w:proofErr w:type="gramStart"/>
      <w:r w:rsidRPr="005B6722">
        <w:rPr>
          <w:sz w:val="24"/>
        </w:rPr>
        <w:t>long-term</w:t>
      </w:r>
      <w:proofErr w:type="gramEnd"/>
      <w:r w:rsidRPr="005B6722">
        <w:rPr>
          <w:sz w:val="24"/>
        </w:rPr>
        <w:t xml:space="preserve"> (more than 3 years).</w:t>
      </w:r>
    </w:p>
    <w:p w14:paraId="35198B4E" w14:textId="77777777" w:rsidR="00180FFE" w:rsidRPr="005B6722" w:rsidRDefault="00180FFE" w:rsidP="00180FFE">
      <w:pPr>
        <w:pStyle w:val="ListParagraph"/>
        <w:tabs>
          <w:tab w:val="left" w:pos="1054"/>
          <w:tab w:val="left" w:pos="1055"/>
          <w:tab w:val="left" w:pos="8505"/>
        </w:tabs>
        <w:spacing w:line="305" w:lineRule="exact"/>
        <w:ind w:left="1054" w:firstLine="0"/>
        <w:rPr>
          <w:sz w:val="24"/>
        </w:rPr>
      </w:pPr>
    </w:p>
    <w:p w14:paraId="30020714" w14:textId="6D6D96FE" w:rsidR="00180FFE" w:rsidRPr="005B6722" w:rsidRDefault="00180FFE" w:rsidP="00180FFE">
      <w:pPr>
        <w:pStyle w:val="BodyText"/>
        <w:tabs>
          <w:tab w:val="left" w:pos="8931"/>
          <w:tab w:val="left" w:pos="9214"/>
        </w:tabs>
        <w:spacing w:before="2"/>
        <w:ind w:left="334" w:right="281"/>
      </w:pPr>
      <w:r w:rsidRPr="005B6722">
        <w:t xml:space="preserve">Timeframes </w:t>
      </w:r>
      <w:r w:rsidR="00B850BF">
        <w:t xml:space="preserve">show </w:t>
      </w:r>
      <w:r w:rsidRPr="005B6722">
        <w:t xml:space="preserve">the expected length of time </w:t>
      </w:r>
      <w:r w:rsidR="00D65394">
        <w:t>needed</w:t>
      </w:r>
      <w:r w:rsidR="00D65394" w:rsidRPr="005B6722">
        <w:t xml:space="preserve"> </w:t>
      </w:r>
      <w:r w:rsidRPr="005B6722">
        <w:t>to complete the proposed activity</w:t>
      </w:r>
      <w:r w:rsidR="00CF3087">
        <w:t>. S</w:t>
      </w:r>
      <w:r w:rsidRPr="005B6722">
        <w:t xml:space="preserve">ome activities flagged as long-term are ongoing and likely to go beyond the </w:t>
      </w:r>
      <w:r w:rsidR="00B850BF">
        <w:t>duration</w:t>
      </w:r>
      <w:r w:rsidRPr="005B6722">
        <w:t xml:space="preserve"> of the first iteration of the Framework and </w:t>
      </w:r>
      <w:r w:rsidR="00D65394">
        <w:t xml:space="preserve">the </w:t>
      </w:r>
      <w:r w:rsidRPr="005B6722">
        <w:t>Plan.</w:t>
      </w:r>
    </w:p>
    <w:p w14:paraId="58D658A4" w14:textId="77777777" w:rsidR="00180FFE" w:rsidRPr="005B6722" w:rsidRDefault="00180FFE" w:rsidP="00180FFE">
      <w:pPr>
        <w:pStyle w:val="BodyText"/>
        <w:tabs>
          <w:tab w:val="left" w:pos="8931"/>
          <w:tab w:val="left" w:pos="9214"/>
        </w:tabs>
        <w:spacing w:before="2"/>
        <w:ind w:left="334" w:right="281"/>
      </w:pPr>
    </w:p>
    <w:p w14:paraId="32136545" w14:textId="77777777" w:rsidR="00180FFE" w:rsidRPr="005B6722" w:rsidRDefault="00180FFE" w:rsidP="00180FFE">
      <w:pPr>
        <w:pStyle w:val="BodyText"/>
        <w:sectPr w:rsidR="00180FFE" w:rsidRPr="005B6722" w:rsidSect="00D27FC8">
          <w:pgSz w:w="11910" w:h="16840"/>
          <w:pgMar w:top="1080" w:right="853" w:bottom="1135" w:left="1420" w:header="756" w:footer="1075" w:gutter="0"/>
          <w:cols w:space="720"/>
        </w:sectPr>
      </w:pPr>
    </w:p>
    <w:p w14:paraId="2D20CBCE" w14:textId="77777777" w:rsidR="00180FFE" w:rsidRPr="005B6722" w:rsidRDefault="00180FFE" w:rsidP="00180FFE">
      <w:pPr>
        <w:pStyle w:val="Heading1"/>
      </w:pPr>
      <w:bookmarkStart w:id="60" w:name="_Toc57196960"/>
      <w:r w:rsidRPr="005B6722">
        <w:lastRenderedPageBreak/>
        <w:t>Governance</w:t>
      </w:r>
      <w:bookmarkEnd w:id="60"/>
    </w:p>
    <w:p w14:paraId="5E37591A" w14:textId="20468B08" w:rsidR="00180FFE" w:rsidRPr="005B6722" w:rsidRDefault="00180FFE" w:rsidP="00180FFE">
      <w:pPr>
        <w:pStyle w:val="BodyText"/>
        <w:spacing w:before="239"/>
        <w:ind w:left="282" w:right="698"/>
        <w:rPr>
          <w:b/>
        </w:rPr>
      </w:pPr>
      <w:r w:rsidRPr="005B6722">
        <w:t xml:space="preserve">Governance is </w:t>
      </w:r>
      <w:r w:rsidR="00D65394">
        <w:t>key</w:t>
      </w:r>
      <w:r w:rsidR="00D65394" w:rsidRPr="005B6722">
        <w:t xml:space="preserve"> </w:t>
      </w:r>
      <w:r w:rsidRPr="005B6722">
        <w:t xml:space="preserve">for driving and co-ordinating implementation of the National Framework. To ensure the Australian Government and state and territory governments are all involved and work is progressed in a cohesive way, it is appropriate for the governance arrangements to </w:t>
      </w:r>
      <w:proofErr w:type="gramStart"/>
      <w:r w:rsidRPr="005B6722">
        <w:t>be established</w:t>
      </w:r>
      <w:proofErr w:type="gramEnd"/>
      <w:r w:rsidRPr="005B6722">
        <w:t xml:space="preserve"> under the AHMAC</w:t>
      </w:r>
      <w:r w:rsidR="00C20D4C">
        <w:t xml:space="preserve"> (or equivalent)</w:t>
      </w:r>
      <w:r w:rsidRPr="005B6722">
        <w:t xml:space="preserve"> structure</w:t>
      </w:r>
      <w:r w:rsidR="00C20D4C" w:rsidRPr="00C20D4C">
        <w:rPr>
          <w:vertAlign w:val="superscript"/>
        </w:rPr>
        <w:fldChar w:fldCharType="begin"/>
      </w:r>
      <w:r w:rsidR="00C20D4C" w:rsidRPr="00C20D4C">
        <w:rPr>
          <w:vertAlign w:val="superscript"/>
        </w:rPr>
        <w:instrText xml:space="preserve"> NOTEREF _Ref57456048 \h </w:instrText>
      </w:r>
      <w:r w:rsidR="00C20D4C">
        <w:rPr>
          <w:vertAlign w:val="superscript"/>
        </w:rPr>
        <w:instrText xml:space="preserve"> \* MERGEFORMAT </w:instrText>
      </w:r>
      <w:r w:rsidR="00C20D4C" w:rsidRPr="00C20D4C">
        <w:rPr>
          <w:vertAlign w:val="superscript"/>
        </w:rPr>
      </w:r>
      <w:r w:rsidR="00C20D4C" w:rsidRPr="00C20D4C">
        <w:rPr>
          <w:vertAlign w:val="superscript"/>
        </w:rPr>
        <w:fldChar w:fldCharType="separate"/>
      </w:r>
      <w:r w:rsidR="00C20D4C" w:rsidRPr="00C20D4C">
        <w:rPr>
          <w:vertAlign w:val="superscript"/>
        </w:rPr>
        <w:t>1</w:t>
      </w:r>
      <w:r w:rsidR="00C20D4C" w:rsidRPr="00C20D4C">
        <w:rPr>
          <w:vertAlign w:val="superscript"/>
        </w:rPr>
        <w:fldChar w:fldCharType="end"/>
      </w:r>
      <w:r w:rsidRPr="005B6722">
        <w:t>.</w:t>
      </w:r>
    </w:p>
    <w:p w14:paraId="0C622E4A" w14:textId="3A96DF0C" w:rsidR="00180FFE" w:rsidRPr="005B6722" w:rsidRDefault="00180FFE" w:rsidP="00180FFE">
      <w:pPr>
        <w:pStyle w:val="BodyText"/>
        <w:spacing w:before="9"/>
        <w:rPr>
          <w:b/>
          <w:sz w:val="15"/>
        </w:rPr>
      </w:pPr>
    </w:p>
    <w:p w14:paraId="2D967951" w14:textId="77777777" w:rsidR="00180FFE" w:rsidRPr="008610F1" w:rsidRDefault="00180FFE" w:rsidP="00180FFE">
      <w:pPr>
        <w:pStyle w:val="BodyText"/>
        <w:spacing w:before="20"/>
        <w:ind w:right="1102"/>
      </w:pPr>
    </w:p>
    <w:tbl>
      <w:tblPr>
        <w:tblStyle w:val="TableGrid"/>
        <w:tblW w:w="9665" w:type="dxa"/>
        <w:tblLook w:val="04A0" w:firstRow="1" w:lastRow="0" w:firstColumn="1" w:lastColumn="0" w:noHBand="0" w:noVBand="1"/>
        <w:tblCaption w:val="Governance Arrangements"/>
        <w:tblDescription w:val="Outlines the governance arrangements under the Australian Health Ministers' Advisory Committee (or equivalent) structure. This table describes the actions, roles and lead responsibilities for the specified committees, and timeframes for implementation."/>
      </w:tblPr>
      <w:tblGrid>
        <w:gridCol w:w="3510"/>
        <w:gridCol w:w="2342"/>
        <w:gridCol w:w="1630"/>
        <w:gridCol w:w="2183"/>
      </w:tblGrid>
      <w:tr w:rsidR="00180FFE" w:rsidRPr="005B6722" w14:paraId="1EA79530" w14:textId="77777777" w:rsidTr="00752E10">
        <w:trPr>
          <w:tblHeader/>
        </w:trPr>
        <w:tc>
          <w:tcPr>
            <w:tcW w:w="3510" w:type="dxa"/>
            <w:shd w:val="clear" w:color="auto" w:fill="9CC2E5" w:themeFill="accent1" w:themeFillTint="99"/>
          </w:tcPr>
          <w:p w14:paraId="00B8E741" w14:textId="77777777" w:rsidR="00180FFE" w:rsidRPr="00AE059E" w:rsidRDefault="00180FFE" w:rsidP="003557CE">
            <w:pPr>
              <w:rPr>
                <w:rFonts w:ascii="Times New Roman"/>
                <w:sz w:val="26"/>
                <w:lang w:val="en-AU"/>
              </w:rPr>
            </w:pPr>
            <w:r w:rsidRPr="005B6722">
              <w:rPr>
                <w:b/>
                <w:sz w:val="24"/>
              </w:rPr>
              <w:t>National Action</w:t>
            </w:r>
          </w:p>
        </w:tc>
        <w:tc>
          <w:tcPr>
            <w:tcW w:w="2342" w:type="dxa"/>
            <w:shd w:val="clear" w:color="auto" w:fill="9CC2E5" w:themeFill="accent1" w:themeFillTint="99"/>
          </w:tcPr>
          <w:p w14:paraId="508C5F63" w14:textId="77777777" w:rsidR="00180FFE" w:rsidRPr="00AE059E" w:rsidRDefault="00180FFE" w:rsidP="003557CE">
            <w:pPr>
              <w:rPr>
                <w:b/>
                <w:sz w:val="24"/>
                <w:lang w:val="en-AU"/>
              </w:rPr>
            </w:pPr>
            <w:r w:rsidRPr="005B6722">
              <w:rPr>
                <w:b/>
                <w:sz w:val="24"/>
              </w:rPr>
              <w:t xml:space="preserve">Roles </w:t>
            </w:r>
          </w:p>
        </w:tc>
        <w:tc>
          <w:tcPr>
            <w:tcW w:w="1630" w:type="dxa"/>
            <w:shd w:val="clear" w:color="auto" w:fill="9CC2E5" w:themeFill="accent1" w:themeFillTint="99"/>
          </w:tcPr>
          <w:p w14:paraId="34342A57" w14:textId="77777777" w:rsidR="00180FFE" w:rsidRPr="00AE059E" w:rsidRDefault="00180FFE" w:rsidP="003557CE">
            <w:pPr>
              <w:rPr>
                <w:rFonts w:ascii="Times New Roman"/>
                <w:sz w:val="26"/>
                <w:lang w:val="en-AU"/>
              </w:rPr>
            </w:pPr>
            <w:r w:rsidRPr="005B6722">
              <w:rPr>
                <w:b/>
                <w:sz w:val="24"/>
              </w:rPr>
              <w:t>Timeframe</w:t>
            </w:r>
          </w:p>
        </w:tc>
        <w:tc>
          <w:tcPr>
            <w:tcW w:w="2183" w:type="dxa"/>
            <w:shd w:val="clear" w:color="auto" w:fill="9CC2E5" w:themeFill="accent1" w:themeFillTint="99"/>
          </w:tcPr>
          <w:p w14:paraId="50491496" w14:textId="77777777" w:rsidR="00180FFE" w:rsidRPr="00AE059E" w:rsidRDefault="00180FFE" w:rsidP="003557CE">
            <w:pPr>
              <w:rPr>
                <w:rFonts w:ascii="Times New Roman"/>
                <w:sz w:val="26"/>
                <w:lang w:val="en-AU"/>
              </w:rPr>
            </w:pPr>
            <w:r w:rsidRPr="005B6722">
              <w:rPr>
                <w:b/>
                <w:sz w:val="24"/>
              </w:rPr>
              <w:t>Lead Responsibility</w:t>
            </w:r>
          </w:p>
        </w:tc>
      </w:tr>
      <w:tr w:rsidR="00180FFE" w:rsidRPr="005B6722" w14:paraId="10616DA1" w14:textId="77777777" w:rsidTr="003557CE">
        <w:tc>
          <w:tcPr>
            <w:tcW w:w="3510" w:type="dxa"/>
          </w:tcPr>
          <w:p w14:paraId="1E130BFC" w14:textId="4D507604" w:rsidR="00180FFE" w:rsidRPr="00AE059E" w:rsidRDefault="00180FFE" w:rsidP="006473B6">
            <w:pPr>
              <w:rPr>
                <w:lang w:val="en-AU"/>
              </w:rPr>
            </w:pPr>
            <w:r w:rsidRPr="005B6722">
              <w:rPr>
                <w:b/>
                <w:sz w:val="24"/>
              </w:rPr>
              <w:t xml:space="preserve">Action i: </w:t>
            </w:r>
            <w:r w:rsidRPr="005B6722">
              <w:rPr>
                <w:sz w:val="24"/>
              </w:rPr>
              <w:t xml:space="preserve">The Australian Government and state and territory governments will establish governance arrangements through the </w:t>
            </w:r>
            <w:r w:rsidR="00CA62D1" w:rsidRPr="005B6722">
              <w:rPr>
                <w:sz w:val="24"/>
              </w:rPr>
              <w:t>Australian Health Protection Princip</w:t>
            </w:r>
            <w:r w:rsidR="006473B6">
              <w:rPr>
                <w:sz w:val="24"/>
              </w:rPr>
              <w:t>a</w:t>
            </w:r>
            <w:r w:rsidR="00CA62D1" w:rsidRPr="005B6722">
              <w:rPr>
                <w:sz w:val="24"/>
              </w:rPr>
              <w:t xml:space="preserve">l Committee (AHPPC) </w:t>
            </w:r>
            <w:r w:rsidRPr="005B6722">
              <w:rPr>
                <w:sz w:val="24"/>
              </w:rPr>
              <w:t>structure</w:t>
            </w:r>
            <w:r w:rsidR="00411192">
              <w:rPr>
                <w:sz w:val="24"/>
              </w:rPr>
              <w:t>. AHPPC will</w:t>
            </w:r>
            <w:r w:rsidRPr="005B6722">
              <w:rPr>
                <w:sz w:val="24"/>
              </w:rPr>
              <w:t xml:space="preserve"> provide advice on the implementation of the Framework, ensuring ongoing national consistency.</w:t>
            </w:r>
          </w:p>
        </w:tc>
        <w:tc>
          <w:tcPr>
            <w:tcW w:w="2342" w:type="dxa"/>
          </w:tcPr>
          <w:p w14:paraId="5BBF8934" w14:textId="50F720B2" w:rsidR="00180FFE" w:rsidRPr="00AE059E" w:rsidRDefault="00CF3087" w:rsidP="00D20170">
            <w:pPr>
              <w:pStyle w:val="TableParagraph"/>
              <w:spacing w:before="11"/>
              <w:rPr>
                <w:sz w:val="23"/>
                <w:lang w:val="en-AU"/>
              </w:rPr>
            </w:pPr>
            <w:r>
              <w:rPr>
                <w:sz w:val="24"/>
              </w:rPr>
              <w:t>Health</w:t>
            </w:r>
            <w:r w:rsidR="007E651B" w:rsidRPr="005B6722">
              <w:rPr>
                <w:sz w:val="24"/>
              </w:rPr>
              <w:t xml:space="preserve"> </w:t>
            </w:r>
            <w:r w:rsidR="00180FFE" w:rsidRPr="005B6722">
              <w:rPr>
                <w:sz w:val="24"/>
              </w:rPr>
              <w:t xml:space="preserve">will discuss available options with relevant committees and networks. </w:t>
            </w:r>
          </w:p>
        </w:tc>
        <w:tc>
          <w:tcPr>
            <w:tcW w:w="1630" w:type="dxa"/>
          </w:tcPr>
          <w:p w14:paraId="5DFF74BE" w14:textId="0F8B1F18" w:rsidR="00180FFE" w:rsidRPr="00AE059E" w:rsidRDefault="00180FFE" w:rsidP="003557CE">
            <w:pPr>
              <w:rPr>
                <w:rFonts w:ascii="Times New Roman"/>
                <w:sz w:val="26"/>
                <w:lang w:val="en-AU"/>
              </w:rPr>
            </w:pPr>
            <w:r w:rsidRPr="005B6722">
              <w:rPr>
                <w:sz w:val="24"/>
              </w:rPr>
              <w:t>Short</w:t>
            </w:r>
            <w:r w:rsidR="007E651B" w:rsidRPr="005B6722">
              <w:rPr>
                <w:sz w:val="24"/>
              </w:rPr>
              <w:t>-</w:t>
            </w:r>
            <w:r w:rsidRPr="005B6722">
              <w:rPr>
                <w:sz w:val="24"/>
              </w:rPr>
              <w:t>term</w:t>
            </w:r>
          </w:p>
        </w:tc>
        <w:tc>
          <w:tcPr>
            <w:tcW w:w="2183" w:type="dxa"/>
          </w:tcPr>
          <w:p w14:paraId="2C2E8999" w14:textId="244825ED" w:rsidR="00180FFE" w:rsidRPr="00AE059E" w:rsidRDefault="00180FFE" w:rsidP="007E651B">
            <w:pPr>
              <w:rPr>
                <w:rFonts w:ascii="Times New Roman"/>
                <w:sz w:val="26"/>
                <w:lang w:val="en-AU"/>
              </w:rPr>
            </w:pPr>
            <w:r w:rsidRPr="005B6722">
              <w:rPr>
                <w:sz w:val="24"/>
              </w:rPr>
              <w:t>Health and relevant committees</w:t>
            </w:r>
          </w:p>
        </w:tc>
      </w:tr>
      <w:tr w:rsidR="00180FFE" w:rsidRPr="005B6722" w14:paraId="4C04DA71" w14:textId="77777777" w:rsidTr="003557CE">
        <w:tc>
          <w:tcPr>
            <w:tcW w:w="3510" w:type="dxa"/>
          </w:tcPr>
          <w:p w14:paraId="04B77210" w14:textId="7EE3B0BD" w:rsidR="00180FFE" w:rsidRPr="00AE059E" w:rsidRDefault="00180FFE" w:rsidP="00D72557">
            <w:pPr>
              <w:rPr>
                <w:lang w:val="en-AU"/>
              </w:rPr>
            </w:pPr>
            <w:r w:rsidRPr="005B6722">
              <w:rPr>
                <w:b/>
                <w:sz w:val="24"/>
              </w:rPr>
              <w:t xml:space="preserve">Action ii: </w:t>
            </w:r>
            <w:r w:rsidRPr="005B6722">
              <w:rPr>
                <w:sz w:val="24"/>
              </w:rPr>
              <w:t>The Australian Government and state and territory governments will evaluate the National Microbial Genomics Framework. This evaluation will begin in 2022 to inform the future directions in microbial genomics policy.</w:t>
            </w:r>
          </w:p>
        </w:tc>
        <w:tc>
          <w:tcPr>
            <w:tcW w:w="2342" w:type="dxa"/>
          </w:tcPr>
          <w:p w14:paraId="0C9F889D" w14:textId="3F185856" w:rsidR="00180FFE" w:rsidRPr="00AE059E" w:rsidRDefault="00180FFE" w:rsidP="003557CE">
            <w:pPr>
              <w:pStyle w:val="TableParagraph"/>
              <w:spacing w:before="11"/>
              <w:rPr>
                <w:sz w:val="23"/>
                <w:lang w:val="en-AU"/>
              </w:rPr>
            </w:pPr>
            <w:r w:rsidRPr="005B6722">
              <w:rPr>
                <w:sz w:val="24"/>
              </w:rPr>
              <w:t>Health will lead an evaluation, including development of an evaluation plan.</w:t>
            </w:r>
          </w:p>
        </w:tc>
        <w:tc>
          <w:tcPr>
            <w:tcW w:w="1630" w:type="dxa"/>
          </w:tcPr>
          <w:p w14:paraId="5F48965F" w14:textId="33AE2A67" w:rsidR="00180FFE" w:rsidRPr="00AE059E" w:rsidRDefault="00D20170" w:rsidP="00D20170">
            <w:pPr>
              <w:rPr>
                <w:rFonts w:ascii="Times New Roman"/>
                <w:sz w:val="26"/>
                <w:lang w:val="en-AU"/>
              </w:rPr>
            </w:pPr>
            <w:r>
              <w:rPr>
                <w:sz w:val="24"/>
              </w:rPr>
              <w:t>Medium</w:t>
            </w:r>
            <w:r w:rsidR="007E651B" w:rsidRPr="005B6722">
              <w:rPr>
                <w:sz w:val="24"/>
              </w:rPr>
              <w:t>-</w:t>
            </w:r>
            <w:r w:rsidR="00180FFE" w:rsidRPr="005B6722">
              <w:rPr>
                <w:sz w:val="24"/>
              </w:rPr>
              <w:t>term</w:t>
            </w:r>
          </w:p>
        </w:tc>
        <w:tc>
          <w:tcPr>
            <w:tcW w:w="2183" w:type="dxa"/>
          </w:tcPr>
          <w:p w14:paraId="7EBDA235" w14:textId="77777777" w:rsidR="00180FFE" w:rsidRPr="00AE059E" w:rsidRDefault="00180FFE" w:rsidP="003557CE">
            <w:pPr>
              <w:rPr>
                <w:rFonts w:ascii="Times New Roman"/>
                <w:sz w:val="26"/>
                <w:lang w:val="en-AU"/>
              </w:rPr>
            </w:pPr>
            <w:r w:rsidRPr="005B6722">
              <w:rPr>
                <w:sz w:val="24"/>
              </w:rPr>
              <w:t>Health</w:t>
            </w:r>
          </w:p>
        </w:tc>
      </w:tr>
    </w:tbl>
    <w:p w14:paraId="713CFF62" w14:textId="77777777" w:rsidR="00180FFE" w:rsidRPr="005B6722" w:rsidRDefault="00180FFE" w:rsidP="00180FFE">
      <w:pPr>
        <w:pStyle w:val="BodyText"/>
        <w:spacing w:before="20"/>
        <w:ind w:left="282" w:right="1102"/>
      </w:pPr>
    </w:p>
    <w:p w14:paraId="4C1E46BD" w14:textId="77777777" w:rsidR="00180FFE" w:rsidRPr="005B6722" w:rsidRDefault="00180FFE" w:rsidP="00180FFE">
      <w:pPr>
        <w:pStyle w:val="BodyText"/>
        <w:spacing w:before="10"/>
        <w:rPr>
          <w:sz w:val="20"/>
        </w:rPr>
      </w:pPr>
    </w:p>
    <w:p w14:paraId="408CAF7B" w14:textId="77777777" w:rsidR="00180FFE" w:rsidRPr="005B6722" w:rsidRDefault="00180FFE" w:rsidP="00180FFE">
      <w:pPr>
        <w:rPr>
          <w:b/>
          <w:bCs/>
          <w:sz w:val="36"/>
          <w:szCs w:val="36"/>
        </w:rPr>
      </w:pPr>
      <w:r w:rsidRPr="005B6722">
        <w:br w:type="page"/>
      </w:r>
    </w:p>
    <w:p w14:paraId="7034CDF5" w14:textId="77777777" w:rsidR="00180FFE" w:rsidRPr="005B6722" w:rsidRDefault="00180FFE" w:rsidP="00180FFE">
      <w:pPr>
        <w:pStyle w:val="Heading1"/>
      </w:pPr>
      <w:bookmarkStart w:id="61" w:name="_Toc57196961"/>
      <w:r w:rsidRPr="005B6722">
        <w:lastRenderedPageBreak/>
        <w:t>Accountability - measuring and reporting</w:t>
      </w:r>
      <w:bookmarkEnd w:id="61"/>
    </w:p>
    <w:p w14:paraId="34CE2CC3" w14:textId="13A00361" w:rsidR="00180FFE" w:rsidRPr="005B6722" w:rsidRDefault="00180FFE" w:rsidP="00180FFE">
      <w:pPr>
        <w:pStyle w:val="BodyText"/>
        <w:spacing w:before="7"/>
        <w:rPr>
          <w:b/>
          <w:sz w:val="17"/>
        </w:rPr>
      </w:pPr>
    </w:p>
    <w:p w14:paraId="6497F8F3" w14:textId="77777777" w:rsidR="00180FFE" w:rsidRPr="008610F1" w:rsidRDefault="00180FFE" w:rsidP="00180FFE">
      <w:pPr>
        <w:pStyle w:val="BodyText"/>
        <w:rPr>
          <w:sz w:val="20"/>
        </w:rPr>
      </w:pPr>
    </w:p>
    <w:tbl>
      <w:tblPr>
        <w:tblStyle w:val="TableGrid"/>
        <w:tblW w:w="9947" w:type="dxa"/>
        <w:tblLook w:val="04A0" w:firstRow="1" w:lastRow="0" w:firstColumn="1" w:lastColumn="0" w:noHBand="0" w:noVBand="1"/>
        <w:tblCaption w:val="Accountability - measuring and reporting"/>
        <w:tblDescription w:val="Outlines the national processes in place to report, measure and monitor the progress of the Implementation Plan."/>
      </w:tblPr>
      <w:tblGrid>
        <w:gridCol w:w="3510"/>
        <w:gridCol w:w="2410"/>
        <w:gridCol w:w="1843"/>
        <w:gridCol w:w="2184"/>
      </w:tblGrid>
      <w:tr w:rsidR="00180FFE" w:rsidRPr="005B6722" w14:paraId="4D55A03A" w14:textId="77777777" w:rsidTr="00752E10">
        <w:trPr>
          <w:tblHeader/>
        </w:trPr>
        <w:tc>
          <w:tcPr>
            <w:tcW w:w="3510" w:type="dxa"/>
            <w:shd w:val="clear" w:color="auto" w:fill="9CC2E5" w:themeFill="accent1" w:themeFillTint="99"/>
          </w:tcPr>
          <w:p w14:paraId="35366063" w14:textId="77777777" w:rsidR="00180FFE" w:rsidRPr="00AE059E" w:rsidRDefault="00180FFE" w:rsidP="003557CE">
            <w:pPr>
              <w:rPr>
                <w:rFonts w:ascii="Times New Roman"/>
                <w:sz w:val="26"/>
                <w:lang w:val="en-AU"/>
              </w:rPr>
            </w:pPr>
            <w:r w:rsidRPr="005B6722">
              <w:rPr>
                <w:b/>
                <w:sz w:val="24"/>
              </w:rPr>
              <w:t>National Action</w:t>
            </w:r>
          </w:p>
        </w:tc>
        <w:tc>
          <w:tcPr>
            <w:tcW w:w="2410" w:type="dxa"/>
            <w:shd w:val="clear" w:color="auto" w:fill="9CC2E5" w:themeFill="accent1" w:themeFillTint="99"/>
          </w:tcPr>
          <w:p w14:paraId="021C9534" w14:textId="77777777" w:rsidR="00180FFE" w:rsidRPr="00AE059E" w:rsidRDefault="00180FFE" w:rsidP="003557CE">
            <w:pPr>
              <w:rPr>
                <w:b/>
                <w:sz w:val="24"/>
                <w:lang w:val="en-AU"/>
              </w:rPr>
            </w:pPr>
            <w:r w:rsidRPr="005B6722">
              <w:rPr>
                <w:b/>
                <w:sz w:val="24"/>
              </w:rPr>
              <w:t xml:space="preserve">Roles </w:t>
            </w:r>
          </w:p>
        </w:tc>
        <w:tc>
          <w:tcPr>
            <w:tcW w:w="1843" w:type="dxa"/>
            <w:shd w:val="clear" w:color="auto" w:fill="9CC2E5" w:themeFill="accent1" w:themeFillTint="99"/>
          </w:tcPr>
          <w:p w14:paraId="1D949A33" w14:textId="77777777" w:rsidR="00180FFE" w:rsidRPr="00AE059E" w:rsidRDefault="00180FFE" w:rsidP="003557CE">
            <w:pPr>
              <w:rPr>
                <w:rFonts w:ascii="Times New Roman"/>
                <w:sz w:val="26"/>
                <w:lang w:val="en-AU"/>
              </w:rPr>
            </w:pPr>
            <w:r w:rsidRPr="005B6722">
              <w:rPr>
                <w:b/>
                <w:sz w:val="24"/>
              </w:rPr>
              <w:t>Timeframe</w:t>
            </w:r>
          </w:p>
        </w:tc>
        <w:tc>
          <w:tcPr>
            <w:tcW w:w="2184" w:type="dxa"/>
            <w:shd w:val="clear" w:color="auto" w:fill="9CC2E5" w:themeFill="accent1" w:themeFillTint="99"/>
          </w:tcPr>
          <w:p w14:paraId="68EC53BE" w14:textId="77777777" w:rsidR="00180FFE" w:rsidRPr="00AE059E" w:rsidRDefault="00180FFE" w:rsidP="003557CE">
            <w:pPr>
              <w:rPr>
                <w:rFonts w:ascii="Times New Roman"/>
                <w:sz w:val="26"/>
                <w:lang w:val="en-AU"/>
              </w:rPr>
            </w:pPr>
            <w:r w:rsidRPr="005B6722">
              <w:rPr>
                <w:b/>
                <w:sz w:val="24"/>
              </w:rPr>
              <w:t>Lead Responsibility</w:t>
            </w:r>
          </w:p>
        </w:tc>
      </w:tr>
      <w:tr w:rsidR="00180FFE" w:rsidRPr="005B6722" w14:paraId="78B7E2B2" w14:textId="77777777" w:rsidTr="003557CE">
        <w:tc>
          <w:tcPr>
            <w:tcW w:w="3510" w:type="dxa"/>
          </w:tcPr>
          <w:p w14:paraId="68F0A2BD" w14:textId="00812B93" w:rsidR="00180FFE" w:rsidRPr="00AE059E" w:rsidRDefault="00180FFE" w:rsidP="00A52E84">
            <w:pPr>
              <w:rPr>
                <w:lang w:val="en-AU"/>
              </w:rPr>
            </w:pPr>
            <w:r w:rsidRPr="005B6722">
              <w:rPr>
                <w:b/>
                <w:sz w:val="24"/>
              </w:rPr>
              <w:t xml:space="preserve">Action iii: </w:t>
            </w:r>
            <w:r w:rsidR="004702A8" w:rsidRPr="00CE49BF">
              <w:rPr>
                <w:sz w:val="24"/>
              </w:rPr>
              <w:t>Develop a</w:t>
            </w:r>
            <w:r w:rsidRPr="005B6722">
              <w:rPr>
                <w:sz w:val="24"/>
              </w:rPr>
              <w:t>n annual report on implementation progress of the Framework.</w:t>
            </w:r>
          </w:p>
        </w:tc>
        <w:tc>
          <w:tcPr>
            <w:tcW w:w="2410" w:type="dxa"/>
          </w:tcPr>
          <w:p w14:paraId="72A02C69" w14:textId="6E311375" w:rsidR="00180FFE" w:rsidRPr="00AE059E" w:rsidRDefault="00180FFE" w:rsidP="003557CE">
            <w:pPr>
              <w:pStyle w:val="TableParagraph"/>
              <w:spacing w:before="11"/>
              <w:rPr>
                <w:sz w:val="23"/>
                <w:lang w:val="en-AU"/>
              </w:rPr>
            </w:pPr>
            <w:r w:rsidRPr="00CE49BF">
              <w:rPr>
                <w:sz w:val="24"/>
              </w:rPr>
              <w:t>Health in collaboration with relevant committees and networks.</w:t>
            </w:r>
          </w:p>
        </w:tc>
        <w:tc>
          <w:tcPr>
            <w:tcW w:w="1843" w:type="dxa"/>
          </w:tcPr>
          <w:p w14:paraId="05D4ACBD" w14:textId="6BC45E52" w:rsidR="00180FFE" w:rsidRPr="00AE059E" w:rsidRDefault="00180FFE" w:rsidP="003557CE">
            <w:pPr>
              <w:rPr>
                <w:rFonts w:ascii="Times New Roman"/>
                <w:sz w:val="26"/>
                <w:lang w:val="en-AU"/>
              </w:rPr>
            </w:pPr>
            <w:r w:rsidRPr="005B6722">
              <w:rPr>
                <w:sz w:val="24"/>
              </w:rPr>
              <w:t>Short</w:t>
            </w:r>
            <w:r w:rsidR="007E651B" w:rsidRPr="005B6722">
              <w:rPr>
                <w:sz w:val="24"/>
              </w:rPr>
              <w:t>-</w:t>
            </w:r>
            <w:r w:rsidRPr="005B6722">
              <w:rPr>
                <w:sz w:val="24"/>
              </w:rPr>
              <w:t>term</w:t>
            </w:r>
          </w:p>
        </w:tc>
        <w:tc>
          <w:tcPr>
            <w:tcW w:w="2184" w:type="dxa"/>
          </w:tcPr>
          <w:p w14:paraId="4AF3740D" w14:textId="000032FB" w:rsidR="00180FFE" w:rsidRPr="00AE059E" w:rsidRDefault="00180FFE" w:rsidP="003557CE">
            <w:pPr>
              <w:rPr>
                <w:rFonts w:ascii="Times New Roman"/>
                <w:sz w:val="26"/>
                <w:lang w:val="en-AU"/>
              </w:rPr>
            </w:pPr>
            <w:r w:rsidRPr="005B6722">
              <w:rPr>
                <w:sz w:val="24"/>
              </w:rPr>
              <w:t>Health and relevant committees</w:t>
            </w:r>
          </w:p>
        </w:tc>
      </w:tr>
      <w:tr w:rsidR="00180FFE" w:rsidRPr="005B6722" w14:paraId="779560D3" w14:textId="77777777" w:rsidTr="003557CE">
        <w:tc>
          <w:tcPr>
            <w:tcW w:w="3510" w:type="dxa"/>
          </w:tcPr>
          <w:p w14:paraId="4180CDE9" w14:textId="37E78BEB" w:rsidR="00180FFE" w:rsidRPr="00AE059E" w:rsidRDefault="00180FFE" w:rsidP="00A52E84">
            <w:pPr>
              <w:rPr>
                <w:b/>
                <w:sz w:val="24"/>
                <w:lang w:val="en-AU"/>
              </w:rPr>
            </w:pPr>
            <w:r w:rsidRPr="005B6722">
              <w:rPr>
                <w:b/>
                <w:sz w:val="24"/>
              </w:rPr>
              <w:t xml:space="preserve">Action iv: </w:t>
            </w:r>
            <w:r w:rsidR="004702A8" w:rsidRPr="005C0022">
              <w:rPr>
                <w:sz w:val="24"/>
              </w:rPr>
              <w:t>Develop a</w:t>
            </w:r>
            <w:r w:rsidRPr="005B6722">
              <w:rPr>
                <w:sz w:val="24"/>
              </w:rPr>
              <w:t xml:space="preserve"> national system performance framework (with </w:t>
            </w:r>
            <w:proofErr w:type="gramStart"/>
            <w:r w:rsidRPr="005B6722">
              <w:rPr>
                <w:sz w:val="24"/>
              </w:rPr>
              <w:t>high level</w:t>
            </w:r>
            <w:proofErr w:type="gramEnd"/>
            <w:r w:rsidRPr="005B6722">
              <w:rPr>
                <w:sz w:val="24"/>
              </w:rPr>
              <w:t xml:space="preserve"> indicators to </w:t>
            </w:r>
            <w:r w:rsidR="004E0923">
              <w:rPr>
                <w:sz w:val="24"/>
              </w:rPr>
              <w:t>show</w:t>
            </w:r>
            <w:r w:rsidR="004E0923" w:rsidRPr="005B6722">
              <w:rPr>
                <w:sz w:val="24"/>
              </w:rPr>
              <w:t xml:space="preserve"> </w:t>
            </w:r>
            <w:r w:rsidRPr="005B6722">
              <w:rPr>
                <w:sz w:val="24"/>
              </w:rPr>
              <w:t>what success looks like)</w:t>
            </w:r>
            <w:r w:rsidR="00411192">
              <w:rPr>
                <w:sz w:val="24"/>
              </w:rPr>
              <w:t>.</w:t>
            </w:r>
            <w:r w:rsidRPr="005B6722">
              <w:rPr>
                <w:sz w:val="24"/>
              </w:rPr>
              <w:t xml:space="preserve"> </w:t>
            </w:r>
            <w:r w:rsidR="00411192">
              <w:rPr>
                <w:sz w:val="24"/>
              </w:rPr>
              <w:t>This will</w:t>
            </w:r>
            <w:r w:rsidRPr="005B6722">
              <w:rPr>
                <w:sz w:val="24"/>
              </w:rPr>
              <w:t xml:space="preserve"> monitor whether </w:t>
            </w:r>
            <w:r w:rsidR="00D20170">
              <w:rPr>
                <w:sz w:val="24"/>
              </w:rPr>
              <w:t xml:space="preserve">public health </w:t>
            </w:r>
            <w:r w:rsidRPr="005B6722">
              <w:rPr>
                <w:sz w:val="24"/>
              </w:rPr>
              <w:t xml:space="preserve">microbial genomics </w:t>
            </w:r>
            <w:proofErr w:type="gramStart"/>
            <w:r w:rsidRPr="005B6722">
              <w:rPr>
                <w:sz w:val="24"/>
              </w:rPr>
              <w:t>is being embedded</w:t>
            </w:r>
            <w:proofErr w:type="gramEnd"/>
            <w:r w:rsidRPr="005B6722">
              <w:rPr>
                <w:sz w:val="24"/>
              </w:rPr>
              <w:t xml:space="preserve"> in the laboratory and public health sectors in an equitable and efficient way. Development and future inclusion of ethical and cost-effectiveness indicators will be encouraged.</w:t>
            </w:r>
          </w:p>
        </w:tc>
        <w:tc>
          <w:tcPr>
            <w:tcW w:w="2410" w:type="dxa"/>
          </w:tcPr>
          <w:p w14:paraId="0568383E" w14:textId="0BE17D23" w:rsidR="00180FFE" w:rsidRPr="00AE059E" w:rsidRDefault="00180FFE" w:rsidP="003557CE">
            <w:pPr>
              <w:pStyle w:val="TableParagraph"/>
              <w:spacing w:before="11"/>
              <w:rPr>
                <w:sz w:val="23"/>
                <w:lang w:val="en-AU"/>
              </w:rPr>
            </w:pPr>
            <w:r w:rsidRPr="005B6722">
              <w:rPr>
                <w:sz w:val="24"/>
              </w:rPr>
              <w:t xml:space="preserve">Health to </w:t>
            </w:r>
            <w:r w:rsidR="00D20170">
              <w:rPr>
                <w:sz w:val="24"/>
              </w:rPr>
              <w:t xml:space="preserve">support </w:t>
            </w:r>
            <w:r w:rsidRPr="005B6722">
              <w:rPr>
                <w:sz w:val="24"/>
              </w:rPr>
              <w:t>develop</w:t>
            </w:r>
            <w:r w:rsidR="00D20170">
              <w:rPr>
                <w:sz w:val="24"/>
              </w:rPr>
              <w:t>ment of</w:t>
            </w:r>
            <w:r w:rsidRPr="005B6722">
              <w:rPr>
                <w:sz w:val="24"/>
              </w:rPr>
              <w:t xml:space="preserve"> a performance framework in consultation with relevant committees and networks.</w:t>
            </w:r>
          </w:p>
        </w:tc>
        <w:tc>
          <w:tcPr>
            <w:tcW w:w="1843" w:type="dxa"/>
          </w:tcPr>
          <w:p w14:paraId="0A4258C6" w14:textId="22B08573" w:rsidR="00180FFE" w:rsidRPr="00AE059E" w:rsidRDefault="001E3EA2" w:rsidP="001E3EA2">
            <w:pPr>
              <w:pStyle w:val="TableParagraph"/>
              <w:spacing w:before="11"/>
              <w:rPr>
                <w:sz w:val="23"/>
                <w:lang w:val="en-AU"/>
              </w:rPr>
            </w:pPr>
            <w:r w:rsidRPr="005B6722">
              <w:rPr>
                <w:sz w:val="24"/>
              </w:rPr>
              <w:t>Medium</w:t>
            </w:r>
            <w:r w:rsidR="007E651B" w:rsidRPr="005B6722">
              <w:rPr>
                <w:sz w:val="24"/>
              </w:rPr>
              <w:t>-</w:t>
            </w:r>
            <w:r w:rsidR="00180FFE" w:rsidRPr="005B6722">
              <w:rPr>
                <w:sz w:val="24"/>
              </w:rPr>
              <w:t>term</w:t>
            </w:r>
          </w:p>
        </w:tc>
        <w:tc>
          <w:tcPr>
            <w:tcW w:w="2184" w:type="dxa"/>
          </w:tcPr>
          <w:p w14:paraId="2E546AE3" w14:textId="68FC6471" w:rsidR="00180FFE" w:rsidRPr="00AE059E" w:rsidRDefault="00180FFE" w:rsidP="003557CE">
            <w:pPr>
              <w:rPr>
                <w:sz w:val="24"/>
                <w:lang w:val="en-AU"/>
              </w:rPr>
            </w:pPr>
            <w:r w:rsidRPr="005B6722">
              <w:rPr>
                <w:sz w:val="24"/>
              </w:rPr>
              <w:t>Health and relevant committees and networks</w:t>
            </w:r>
          </w:p>
        </w:tc>
      </w:tr>
      <w:tr w:rsidR="00180FFE" w:rsidRPr="005B6722" w14:paraId="067B89D8" w14:textId="77777777" w:rsidTr="003557CE">
        <w:tc>
          <w:tcPr>
            <w:tcW w:w="3510" w:type="dxa"/>
          </w:tcPr>
          <w:p w14:paraId="38B0811A" w14:textId="3C29C9FD" w:rsidR="00180FFE" w:rsidRPr="00AE059E" w:rsidRDefault="00180FFE" w:rsidP="00D65394">
            <w:pPr>
              <w:rPr>
                <w:b/>
                <w:sz w:val="24"/>
                <w:lang w:val="en-AU"/>
              </w:rPr>
            </w:pPr>
            <w:r w:rsidRPr="005B6722">
              <w:rPr>
                <w:b/>
                <w:sz w:val="24"/>
              </w:rPr>
              <w:t xml:space="preserve">Action v: </w:t>
            </w:r>
            <w:r w:rsidRPr="005B6722">
              <w:rPr>
                <w:sz w:val="24"/>
              </w:rPr>
              <w:t xml:space="preserve">The Australian Government and state and territory governments will regularly review and report on progress against actions </w:t>
            </w:r>
            <w:r w:rsidR="004702A8">
              <w:rPr>
                <w:sz w:val="24"/>
              </w:rPr>
              <w:t>in</w:t>
            </w:r>
            <w:r w:rsidR="004702A8" w:rsidRPr="005B6722">
              <w:rPr>
                <w:sz w:val="24"/>
              </w:rPr>
              <w:t xml:space="preserve"> </w:t>
            </w:r>
            <w:r w:rsidRPr="005B6722">
              <w:rPr>
                <w:sz w:val="24"/>
              </w:rPr>
              <w:t>the Plan</w:t>
            </w:r>
            <w:r w:rsidR="004702A8">
              <w:rPr>
                <w:sz w:val="24"/>
              </w:rPr>
              <w:t>. This will occur</w:t>
            </w:r>
            <w:r w:rsidRPr="005B6722">
              <w:rPr>
                <w:sz w:val="24"/>
              </w:rPr>
              <w:t xml:space="preserve"> over </w:t>
            </w:r>
            <w:r w:rsidR="004702A8">
              <w:rPr>
                <w:sz w:val="24"/>
              </w:rPr>
              <w:t>the</w:t>
            </w:r>
            <w:r w:rsidRPr="005B6722">
              <w:rPr>
                <w:sz w:val="24"/>
              </w:rPr>
              <w:t xml:space="preserve"> </w:t>
            </w:r>
            <w:r w:rsidR="00CA62D1" w:rsidRPr="005B6722">
              <w:rPr>
                <w:sz w:val="24"/>
              </w:rPr>
              <w:t xml:space="preserve">initial </w:t>
            </w:r>
            <w:proofErr w:type="gramStart"/>
            <w:r w:rsidR="00CA62D1" w:rsidRPr="005B6722">
              <w:rPr>
                <w:sz w:val="24"/>
              </w:rPr>
              <w:t xml:space="preserve">three </w:t>
            </w:r>
            <w:r w:rsidRPr="005B6722">
              <w:rPr>
                <w:sz w:val="24"/>
              </w:rPr>
              <w:t>year</w:t>
            </w:r>
            <w:proofErr w:type="gramEnd"/>
            <w:r w:rsidRPr="005B6722">
              <w:rPr>
                <w:sz w:val="24"/>
              </w:rPr>
              <w:t xml:space="preserve"> life span to inform </w:t>
            </w:r>
            <w:r w:rsidR="004702A8">
              <w:rPr>
                <w:sz w:val="24"/>
              </w:rPr>
              <w:t>the</w:t>
            </w:r>
            <w:r w:rsidRPr="005B6722">
              <w:rPr>
                <w:sz w:val="24"/>
              </w:rPr>
              <w:t xml:space="preserve"> next iteration. </w:t>
            </w:r>
          </w:p>
        </w:tc>
        <w:tc>
          <w:tcPr>
            <w:tcW w:w="2410" w:type="dxa"/>
          </w:tcPr>
          <w:p w14:paraId="6655A56C" w14:textId="67986CDA" w:rsidR="00180FFE" w:rsidRPr="00AE059E" w:rsidRDefault="00180FFE" w:rsidP="003557CE">
            <w:pPr>
              <w:pStyle w:val="TableParagraph"/>
              <w:spacing w:before="11"/>
              <w:rPr>
                <w:sz w:val="23"/>
                <w:lang w:val="en-AU"/>
              </w:rPr>
            </w:pPr>
            <w:r w:rsidRPr="005B6722">
              <w:rPr>
                <w:sz w:val="24"/>
              </w:rPr>
              <w:t>Health to make arrangements for a regular review of the Implementation Plan.</w:t>
            </w:r>
          </w:p>
        </w:tc>
        <w:tc>
          <w:tcPr>
            <w:tcW w:w="1843" w:type="dxa"/>
          </w:tcPr>
          <w:p w14:paraId="7EB81E69" w14:textId="5D94E11A" w:rsidR="00180FFE" w:rsidRPr="00AE059E" w:rsidRDefault="00180FFE" w:rsidP="003557CE">
            <w:pPr>
              <w:pStyle w:val="TableParagraph"/>
              <w:spacing w:before="11"/>
              <w:rPr>
                <w:sz w:val="23"/>
                <w:lang w:val="en-AU"/>
              </w:rPr>
            </w:pPr>
            <w:r w:rsidRPr="005B6722">
              <w:rPr>
                <w:sz w:val="24"/>
              </w:rPr>
              <w:t>Short</w:t>
            </w:r>
            <w:r w:rsidR="007E651B" w:rsidRPr="005B6722">
              <w:rPr>
                <w:sz w:val="24"/>
              </w:rPr>
              <w:t>-</w:t>
            </w:r>
            <w:r w:rsidRPr="005B6722">
              <w:rPr>
                <w:sz w:val="24"/>
              </w:rPr>
              <w:t>term</w:t>
            </w:r>
          </w:p>
        </w:tc>
        <w:tc>
          <w:tcPr>
            <w:tcW w:w="2184" w:type="dxa"/>
          </w:tcPr>
          <w:p w14:paraId="78739DD9" w14:textId="45BCAE4E" w:rsidR="00180FFE" w:rsidRPr="00AE059E" w:rsidRDefault="00180FFE" w:rsidP="003557CE">
            <w:pPr>
              <w:rPr>
                <w:sz w:val="24"/>
                <w:lang w:val="en-AU"/>
              </w:rPr>
            </w:pPr>
            <w:r w:rsidRPr="005B6722">
              <w:rPr>
                <w:sz w:val="24"/>
              </w:rPr>
              <w:t>Health and relevant committees and networks</w:t>
            </w:r>
          </w:p>
        </w:tc>
      </w:tr>
    </w:tbl>
    <w:p w14:paraId="4C63C842" w14:textId="77777777" w:rsidR="00180FFE" w:rsidRPr="005B6722" w:rsidRDefault="00180FFE" w:rsidP="00180FFE">
      <w:pPr>
        <w:pStyle w:val="BodyText"/>
        <w:rPr>
          <w:sz w:val="20"/>
        </w:rPr>
      </w:pPr>
    </w:p>
    <w:p w14:paraId="2B066CEF" w14:textId="77777777" w:rsidR="00180FFE" w:rsidRPr="005B6722" w:rsidRDefault="00180FFE" w:rsidP="00180FFE">
      <w:pPr>
        <w:pStyle w:val="BodyText"/>
        <w:rPr>
          <w:sz w:val="20"/>
        </w:rPr>
      </w:pPr>
    </w:p>
    <w:p w14:paraId="308DE850" w14:textId="77777777" w:rsidR="00180FFE" w:rsidRPr="005B6722" w:rsidRDefault="00180FFE" w:rsidP="00180FFE">
      <w:pPr>
        <w:pStyle w:val="BodyText"/>
        <w:rPr>
          <w:sz w:val="20"/>
        </w:rPr>
        <w:sectPr w:rsidR="00180FFE" w:rsidRPr="005B6722" w:rsidSect="003557CE">
          <w:pgSz w:w="11910" w:h="16840"/>
          <w:pgMar w:top="1080" w:right="1137" w:bottom="1260" w:left="1420" w:header="756" w:footer="1075" w:gutter="0"/>
          <w:cols w:space="720"/>
          <w:docGrid w:linePitch="299"/>
        </w:sectPr>
      </w:pPr>
    </w:p>
    <w:p w14:paraId="03D47163" w14:textId="2158E9A3" w:rsidR="00180FFE" w:rsidRPr="005B6722" w:rsidRDefault="00180FFE" w:rsidP="00180FFE">
      <w:pPr>
        <w:pStyle w:val="Heading1"/>
        <w:ind w:left="0"/>
      </w:pPr>
      <w:bookmarkStart w:id="62" w:name="_bookmark7"/>
      <w:bookmarkStart w:id="63" w:name="_bookmark8"/>
      <w:bookmarkStart w:id="64" w:name="_bookmark9"/>
      <w:bookmarkStart w:id="65" w:name="_Toc57196962"/>
      <w:bookmarkEnd w:id="62"/>
      <w:bookmarkEnd w:id="63"/>
      <w:bookmarkEnd w:id="64"/>
      <w:r w:rsidRPr="005B6722">
        <w:lastRenderedPageBreak/>
        <w:t xml:space="preserve">Strategic Priority 1: Standardised </w:t>
      </w:r>
      <w:r w:rsidR="00E81ABF">
        <w:t>n</w:t>
      </w:r>
      <w:r w:rsidRPr="005B6722">
        <w:t xml:space="preserve">ational </w:t>
      </w:r>
      <w:r w:rsidR="00E81ABF">
        <w:t>a</w:t>
      </w:r>
      <w:r w:rsidRPr="005B6722">
        <w:t>pproach</w:t>
      </w:r>
      <w:bookmarkEnd w:id="65"/>
    </w:p>
    <w:p w14:paraId="080E879C" w14:textId="4774C51F" w:rsidR="00180FFE" w:rsidRPr="005B6722" w:rsidRDefault="00180FFE" w:rsidP="00180FFE">
      <w:pPr>
        <w:pStyle w:val="BodyText"/>
        <w:spacing w:before="9"/>
        <w:rPr>
          <w:b/>
          <w:sz w:val="16"/>
        </w:rPr>
      </w:pPr>
    </w:p>
    <w:p w14:paraId="30751855" w14:textId="77777777" w:rsidR="00180FFE" w:rsidRPr="008610F1" w:rsidRDefault="00180FFE" w:rsidP="00180FFE">
      <w:pPr>
        <w:pStyle w:val="BodyText"/>
        <w:spacing w:before="11"/>
        <w:rPr>
          <w:b/>
          <w:sz w:val="17"/>
        </w:rPr>
      </w:pPr>
    </w:p>
    <w:p w14:paraId="1733323F" w14:textId="77777777" w:rsidR="00180FFE" w:rsidRPr="005B6722" w:rsidRDefault="00180FFE" w:rsidP="00180FFE">
      <w:pPr>
        <w:pStyle w:val="Heading2"/>
        <w:spacing w:before="44"/>
      </w:pPr>
      <w:bookmarkStart w:id="66" w:name="_bookmark10"/>
      <w:bookmarkStart w:id="67" w:name="_Toc57196963"/>
      <w:bookmarkEnd w:id="66"/>
      <w:r w:rsidRPr="005B6722">
        <w:t>Prior and current activities</w:t>
      </w:r>
      <w:bookmarkEnd w:id="67"/>
    </w:p>
    <w:p w14:paraId="221B6BA9" w14:textId="278C58E3" w:rsidR="00180FFE" w:rsidRPr="005B6722" w:rsidRDefault="00180FFE" w:rsidP="00180FFE">
      <w:pPr>
        <w:pStyle w:val="BodyText"/>
        <w:spacing w:before="239"/>
        <w:ind w:left="282" w:right="698"/>
      </w:pPr>
      <w:r w:rsidRPr="005B6722">
        <w:t xml:space="preserve">Many initiatives to support development of a standardised national approach </w:t>
      </w:r>
      <w:proofErr w:type="gramStart"/>
      <w:r w:rsidRPr="005B6722">
        <w:t>have been completed</w:t>
      </w:r>
      <w:proofErr w:type="gramEnd"/>
      <w:r w:rsidRPr="005B6722">
        <w:t xml:space="preserve"> or are underway. The Australian Government and state and territor</w:t>
      </w:r>
      <w:r w:rsidR="0032774B">
        <w:t>y governments</w:t>
      </w:r>
      <w:r w:rsidRPr="005B6722">
        <w:t xml:space="preserve"> are supporting microbial genomics research and projects aimed at improving consistency and harmonisation among public health laboratory systems</w:t>
      </w:r>
      <w:r w:rsidR="004702A8">
        <w:t>.</w:t>
      </w:r>
    </w:p>
    <w:p w14:paraId="10FE04E5" w14:textId="3DF51148" w:rsidR="00180FFE" w:rsidRPr="005B6722" w:rsidRDefault="00E81ABF" w:rsidP="00180FFE">
      <w:pPr>
        <w:pStyle w:val="BodyText"/>
        <w:numPr>
          <w:ilvl w:val="0"/>
          <w:numId w:val="16"/>
        </w:numPr>
        <w:spacing w:before="239"/>
        <w:ind w:right="698"/>
      </w:pPr>
      <w:r>
        <w:t>I</w:t>
      </w:r>
      <w:r w:rsidR="00180FFE" w:rsidRPr="005B6722">
        <w:t>n 2014, PHLN developed recommendations for genomic-guided public health laboratory surveillance</w:t>
      </w:r>
      <w:r w:rsidR="004702A8">
        <w:t xml:space="preserve">. The </w:t>
      </w:r>
      <w:r w:rsidR="00180FFE" w:rsidRPr="005B6722">
        <w:t>high priority challenges</w:t>
      </w:r>
      <w:r w:rsidR="004702A8">
        <w:t xml:space="preserve"> identified included</w:t>
      </w:r>
      <w:r w:rsidR="00180FFE" w:rsidRPr="005B6722">
        <w:t>:</w:t>
      </w:r>
    </w:p>
    <w:p w14:paraId="7C0E7824" w14:textId="7DA4CDC5" w:rsidR="00180FFE" w:rsidRPr="005B6722" w:rsidRDefault="004702A8" w:rsidP="00180FFE">
      <w:pPr>
        <w:pStyle w:val="BodyText"/>
        <w:numPr>
          <w:ilvl w:val="1"/>
          <w:numId w:val="16"/>
        </w:numPr>
        <w:spacing w:before="60"/>
        <w:ind w:left="1723" w:right="697" w:hanging="357"/>
      </w:pPr>
      <w:r>
        <w:t>h</w:t>
      </w:r>
      <w:r w:rsidR="00180FFE" w:rsidRPr="005B6722">
        <w:t xml:space="preserve">armonisation and evaluation of </w:t>
      </w:r>
      <w:r w:rsidRPr="005B6722">
        <w:t xml:space="preserve">data analysis </w:t>
      </w:r>
      <w:r w:rsidR="00180FFE" w:rsidRPr="005B6722">
        <w:t>pipelines</w:t>
      </w:r>
    </w:p>
    <w:p w14:paraId="5223EAB3" w14:textId="3676FDDF" w:rsidR="00180FFE" w:rsidRPr="005B6722" w:rsidRDefault="004702A8" w:rsidP="00180FFE">
      <w:pPr>
        <w:pStyle w:val="BodyText"/>
        <w:numPr>
          <w:ilvl w:val="1"/>
          <w:numId w:val="16"/>
        </w:numPr>
        <w:spacing w:before="60"/>
        <w:ind w:left="1723" w:right="697" w:hanging="357"/>
      </w:pPr>
      <w:r>
        <w:t>p</w:t>
      </w:r>
      <w:r w:rsidR="00180FFE" w:rsidRPr="005B6722">
        <w:t>rovision of appropriate proficiency testing and quality control for microbial genome sequencing</w:t>
      </w:r>
    </w:p>
    <w:p w14:paraId="46EFA4FA" w14:textId="0DF61EDE" w:rsidR="00180FFE" w:rsidRPr="005B6722" w:rsidRDefault="004702A8" w:rsidP="00180FFE">
      <w:pPr>
        <w:pStyle w:val="BodyText"/>
        <w:numPr>
          <w:ilvl w:val="1"/>
          <w:numId w:val="16"/>
        </w:numPr>
        <w:spacing w:before="60"/>
        <w:ind w:left="1723" w:right="697" w:hanging="357"/>
      </w:pPr>
      <w:r>
        <w:t>s</w:t>
      </w:r>
      <w:r w:rsidR="00180FFE" w:rsidRPr="005B6722">
        <w:t>ustainable data governance, storage and sharing</w:t>
      </w:r>
    </w:p>
    <w:p w14:paraId="7298DD63" w14:textId="3DF5F694" w:rsidR="00180FFE" w:rsidRPr="005B6722" w:rsidRDefault="004702A8" w:rsidP="00180FFE">
      <w:pPr>
        <w:pStyle w:val="BodyText"/>
        <w:numPr>
          <w:ilvl w:val="1"/>
          <w:numId w:val="16"/>
        </w:numPr>
        <w:spacing w:before="60"/>
        <w:ind w:left="1723" w:right="697" w:hanging="357"/>
      </w:pPr>
      <w:proofErr w:type="gramStart"/>
      <w:r>
        <w:t>w</w:t>
      </w:r>
      <w:r w:rsidR="00180FFE" w:rsidRPr="005B6722">
        <w:t>orkforce</w:t>
      </w:r>
      <w:proofErr w:type="gramEnd"/>
      <w:r w:rsidR="00180FFE" w:rsidRPr="005B6722">
        <w:t xml:space="preserve"> development and upskilling.</w:t>
      </w:r>
    </w:p>
    <w:p w14:paraId="6D72259C" w14:textId="5C9BC4E7" w:rsidR="00180FFE" w:rsidRPr="005B6722" w:rsidRDefault="00E81ABF" w:rsidP="00180FFE">
      <w:pPr>
        <w:pStyle w:val="BodyText"/>
        <w:numPr>
          <w:ilvl w:val="0"/>
          <w:numId w:val="16"/>
        </w:numPr>
        <w:spacing w:before="239"/>
        <w:ind w:right="698"/>
      </w:pPr>
      <w:r>
        <w:t>I</w:t>
      </w:r>
      <w:r w:rsidR="00180FFE" w:rsidRPr="005B6722">
        <w:t>n 2016, the Australian Government supported a cross-jurisdictional microbial genomics project, led by the University of Melbourne</w:t>
      </w:r>
      <w:r w:rsidR="004702A8">
        <w:t xml:space="preserve">. This </w:t>
      </w:r>
      <w:r w:rsidR="00180FFE" w:rsidRPr="005B6722">
        <w:t>included:</w:t>
      </w:r>
    </w:p>
    <w:p w14:paraId="4F19BB3F" w14:textId="5EDDC84E" w:rsidR="00180FFE" w:rsidRPr="005B6722" w:rsidRDefault="00180FFE" w:rsidP="00180FFE">
      <w:pPr>
        <w:pStyle w:val="BodyText"/>
        <w:numPr>
          <w:ilvl w:val="1"/>
          <w:numId w:val="16"/>
        </w:numPr>
        <w:spacing w:before="60"/>
        <w:ind w:left="1723" w:right="697" w:hanging="357"/>
      </w:pPr>
      <w:r w:rsidRPr="005B6722">
        <w:t>preparation of a roadmap for development of an Australian CDGN</w:t>
      </w:r>
    </w:p>
    <w:p w14:paraId="2931372E" w14:textId="7D5A31DF" w:rsidR="00180FFE" w:rsidRPr="005B6722" w:rsidRDefault="004702A8" w:rsidP="00180FFE">
      <w:pPr>
        <w:pStyle w:val="BodyText"/>
        <w:numPr>
          <w:ilvl w:val="1"/>
          <w:numId w:val="16"/>
        </w:numPr>
        <w:spacing w:before="60"/>
        <w:ind w:left="1723" w:right="697" w:hanging="357"/>
      </w:pPr>
      <w:r>
        <w:t>a</w:t>
      </w:r>
      <w:r w:rsidR="00180FFE" w:rsidRPr="005B6722">
        <w:t xml:space="preserve"> pilot project to sequence and analyse two pathogens of public health importance, </w:t>
      </w:r>
      <w:r w:rsidR="00180FFE" w:rsidRPr="005B6722">
        <w:rPr>
          <w:i/>
        </w:rPr>
        <w:t xml:space="preserve">Listeria </w:t>
      </w:r>
      <w:proofErr w:type="spellStart"/>
      <w:r w:rsidR="00180FFE" w:rsidRPr="005B6722">
        <w:rPr>
          <w:i/>
        </w:rPr>
        <w:t>monocytogenes</w:t>
      </w:r>
      <w:proofErr w:type="spellEnd"/>
      <w:r w:rsidR="00180FFE" w:rsidRPr="005B6722">
        <w:t xml:space="preserve"> and selected non-</w:t>
      </w:r>
      <w:proofErr w:type="spellStart"/>
      <w:r w:rsidR="00180FFE" w:rsidRPr="005B6722">
        <w:t>typhoidal</w:t>
      </w:r>
      <w:proofErr w:type="spellEnd"/>
      <w:r w:rsidR="00180FFE" w:rsidRPr="005B6722">
        <w:t xml:space="preserve"> </w:t>
      </w:r>
      <w:r w:rsidR="00180FFE" w:rsidRPr="005B6722">
        <w:rPr>
          <w:i/>
        </w:rPr>
        <w:t>Salmonella</w:t>
      </w:r>
      <w:r w:rsidR="00180FFE" w:rsidRPr="005B6722">
        <w:t xml:space="preserve"> species</w:t>
      </w:r>
    </w:p>
    <w:p w14:paraId="601EAAA3" w14:textId="0E92F8FB" w:rsidR="00180FFE" w:rsidRPr="005B6722" w:rsidRDefault="004702A8" w:rsidP="00180FFE">
      <w:pPr>
        <w:pStyle w:val="BodyText"/>
        <w:numPr>
          <w:ilvl w:val="1"/>
          <w:numId w:val="16"/>
        </w:numPr>
        <w:spacing w:before="60"/>
        <w:ind w:left="1723" w:right="697" w:hanging="357"/>
      </w:pPr>
      <w:proofErr w:type="gramStart"/>
      <w:r>
        <w:t>s</w:t>
      </w:r>
      <w:r w:rsidR="00180FFE" w:rsidRPr="005B6722">
        <w:t>equencing</w:t>
      </w:r>
      <w:proofErr w:type="gramEnd"/>
      <w:r w:rsidR="00180FFE" w:rsidRPr="005B6722">
        <w:t xml:space="preserve"> a back catalogue of priority pathogens of public health importance</w:t>
      </w:r>
      <w:r>
        <w:t>. This would</w:t>
      </w:r>
      <w:r w:rsidR="00180FFE" w:rsidRPr="005B6722">
        <w:t xml:space="preserve"> provide the critical contextual genomic data to be used in future outbreak investigations.</w:t>
      </w:r>
    </w:p>
    <w:p w14:paraId="138521A2" w14:textId="2A0EDD69" w:rsidR="00180FFE" w:rsidRPr="005B6722" w:rsidRDefault="00E81ABF" w:rsidP="00180FFE">
      <w:pPr>
        <w:pStyle w:val="BodyText"/>
        <w:numPr>
          <w:ilvl w:val="0"/>
          <w:numId w:val="16"/>
        </w:numPr>
        <w:spacing w:before="239"/>
        <w:ind w:right="698"/>
      </w:pPr>
      <w:r>
        <w:t>In</w:t>
      </w:r>
      <w:r w:rsidR="00180FFE" w:rsidRPr="005B6722">
        <w:t xml:space="preserve"> 2017, CDGN and PHLN developed the report ‘</w:t>
      </w:r>
      <w:r w:rsidR="00180FFE" w:rsidRPr="005B6722">
        <w:rPr>
          <w:i/>
        </w:rPr>
        <w:t xml:space="preserve">Data sharing to improve decision making in public health: a case for </w:t>
      </w:r>
      <w:proofErr w:type="gramStart"/>
      <w:r w:rsidR="00180FFE" w:rsidRPr="005B6722">
        <w:rPr>
          <w:i/>
        </w:rPr>
        <w:t>Australian Public Health Laboratories’</w:t>
      </w:r>
      <w:proofErr w:type="gramEnd"/>
      <w:r w:rsidR="008B1888">
        <w:t>.</w:t>
      </w:r>
      <w:r w:rsidR="00180FFE" w:rsidRPr="005B6722">
        <w:t xml:space="preserve"> </w:t>
      </w:r>
      <w:r w:rsidR="008B1888">
        <w:t xml:space="preserve">The report </w:t>
      </w:r>
      <w:r w:rsidR="00180FFE" w:rsidRPr="005B6722">
        <w:t>examine</w:t>
      </w:r>
      <w:r w:rsidR="008B1888">
        <w:t>s</w:t>
      </w:r>
      <w:r w:rsidR="00180FFE" w:rsidRPr="005B6722">
        <w:t xml:space="preserve"> foundational approaches for an effective and efficient </w:t>
      </w:r>
      <w:proofErr w:type="gramStart"/>
      <w:r w:rsidR="00180FFE" w:rsidRPr="005B6722">
        <w:t>data sharing</w:t>
      </w:r>
      <w:proofErr w:type="gramEnd"/>
      <w:r w:rsidR="00180FFE" w:rsidRPr="005B6722">
        <w:t xml:space="preserve"> scheme in the Australian public health system</w:t>
      </w:r>
      <w:r>
        <w:t>.</w:t>
      </w:r>
    </w:p>
    <w:p w14:paraId="75680556" w14:textId="1D43008B" w:rsidR="00180FFE" w:rsidRPr="005B6722" w:rsidRDefault="00E81ABF" w:rsidP="00180FFE">
      <w:pPr>
        <w:pStyle w:val="BodyText"/>
        <w:numPr>
          <w:ilvl w:val="0"/>
          <w:numId w:val="16"/>
        </w:numPr>
        <w:spacing w:before="239"/>
        <w:ind w:right="698"/>
      </w:pPr>
      <w:r>
        <w:t>As</w:t>
      </w:r>
      <w:r w:rsidR="00180FFE" w:rsidRPr="005B6722">
        <w:t xml:space="preserve"> part of the 2014-15 budget, the Australian Government announced the establishment of the $20 billion MRFF</w:t>
      </w:r>
      <w:r w:rsidR="008B1888">
        <w:t>. The MRFF</w:t>
      </w:r>
      <w:r w:rsidR="00180FFE" w:rsidRPr="005B6722">
        <w:t xml:space="preserve"> provide</w:t>
      </w:r>
      <w:r w:rsidR="008B1888">
        <w:t>s</w:t>
      </w:r>
      <w:r w:rsidR="00180FFE" w:rsidRPr="005B6722">
        <w:t xml:space="preserve"> a sustainable source of funding for vital medical research over the medium to longer term. </w:t>
      </w:r>
      <w:r w:rsidR="004702A8">
        <w:t>I</w:t>
      </w:r>
      <w:r w:rsidR="00180FFE" w:rsidRPr="005B6722">
        <w:t>n May 2018</w:t>
      </w:r>
      <w:r w:rsidR="004702A8">
        <w:t>,</w:t>
      </w:r>
      <w:r w:rsidR="00180FFE" w:rsidRPr="005B6722">
        <w:t xml:space="preserve"> the Australian Government announced the Genomics Health Futures Mission (GHFM)</w:t>
      </w:r>
      <w:r w:rsidR="008B1888">
        <w:t xml:space="preserve">. </w:t>
      </w:r>
      <w:r w:rsidR="00E3166A">
        <w:t>In 2020, u</w:t>
      </w:r>
      <w:r w:rsidR="00180FFE" w:rsidRPr="005B6722">
        <w:t xml:space="preserve">nder </w:t>
      </w:r>
      <w:r w:rsidR="008B1888">
        <w:t>the GHFM</w:t>
      </w:r>
      <w:r w:rsidR="004702A8" w:rsidRPr="00A37690">
        <w:t>,</w:t>
      </w:r>
      <w:r w:rsidR="00180FFE" w:rsidRPr="00A37690">
        <w:t xml:space="preserve"> </w:t>
      </w:r>
      <w:r w:rsidR="001E3EA2" w:rsidRPr="00A37690">
        <w:t>$27 million</w:t>
      </w:r>
      <w:r w:rsidR="001E3EA2" w:rsidRPr="005B6722">
        <w:t xml:space="preserve"> </w:t>
      </w:r>
      <w:proofErr w:type="gramStart"/>
      <w:r w:rsidR="008B1888">
        <w:t>was</w:t>
      </w:r>
      <w:r w:rsidR="00180FFE" w:rsidRPr="005B6722">
        <w:t xml:space="preserve"> dedicated</w:t>
      </w:r>
      <w:proofErr w:type="gramEnd"/>
      <w:r w:rsidR="00180FFE" w:rsidRPr="005B6722">
        <w:t xml:space="preserve"> to fund </w:t>
      </w:r>
      <w:r w:rsidR="001E3EA2" w:rsidRPr="005B6722">
        <w:t xml:space="preserve">translational </w:t>
      </w:r>
      <w:r w:rsidR="00180FFE" w:rsidRPr="005B6722">
        <w:t xml:space="preserve">research </w:t>
      </w:r>
      <w:r w:rsidR="001E3EA2" w:rsidRPr="005B6722">
        <w:t xml:space="preserve">projects involving </w:t>
      </w:r>
      <w:r w:rsidR="00180FFE" w:rsidRPr="005B6722">
        <w:t>pathogen genomics. The grant opportunity recognises that such evidence is critical to the adoption of genomics in mainstream healthcare</w:t>
      </w:r>
      <w:r>
        <w:t>.</w:t>
      </w:r>
    </w:p>
    <w:p w14:paraId="7F2A1B74" w14:textId="571F3A68" w:rsidR="00180FFE" w:rsidRPr="005B6722" w:rsidRDefault="00180FFE" w:rsidP="00841489">
      <w:pPr>
        <w:pStyle w:val="BodyText"/>
        <w:numPr>
          <w:ilvl w:val="0"/>
          <w:numId w:val="16"/>
        </w:numPr>
        <w:spacing w:before="239"/>
        <w:ind w:right="698"/>
      </w:pPr>
      <w:r w:rsidRPr="005B6722">
        <w:t xml:space="preserve">Over 2018-19, Health supported the </w:t>
      </w:r>
      <w:r w:rsidR="00CF3087">
        <w:t>Royal College of Pathologists of Australasia Quality Assurance Program</w:t>
      </w:r>
      <w:r w:rsidR="00E81ABF">
        <w:t>s</w:t>
      </w:r>
      <w:r w:rsidR="00CF3087">
        <w:t xml:space="preserve"> (</w:t>
      </w:r>
      <w:r w:rsidRPr="005B6722">
        <w:t>RCPA</w:t>
      </w:r>
      <w:r w:rsidR="00A37690">
        <w:t xml:space="preserve"> </w:t>
      </w:r>
      <w:r w:rsidRPr="005B6722">
        <w:t>QAP</w:t>
      </w:r>
      <w:r w:rsidR="00CF3087">
        <w:t>)</w:t>
      </w:r>
      <w:r w:rsidRPr="005B6722">
        <w:t xml:space="preserve"> Biosecurity program to develop a proficiency testing program (PTP) for the whole genome sequencing (WGS) of </w:t>
      </w:r>
      <w:r w:rsidRPr="00DE7FC2">
        <w:rPr>
          <w:i/>
        </w:rPr>
        <w:t>Salmonella</w:t>
      </w:r>
      <w:r w:rsidR="00E3166A">
        <w:rPr>
          <w:i/>
        </w:rPr>
        <w:t xml:space="preserve">. </w:t>
      </w:r>
      <w:r w:rsidR="00E3166A" w:rsidRPr="00E3166A">
        <w:t>This</w:t>
      </w:r>
      <w:r w:rsidRPr="00E3166A">
        <w:t xml:space="preserve"> </w:t>
      </w:r>
      <w:r w:rsidRPr="005B6722">
        <w:t xml:space="preserve">was offered to interested laboratories </w:t>
      </w:r>
      <w:proofErr w:type="gramStart"/>
      <w:r w:rsidR="008B1888">
        <w:t xml:space="preserve">for </w:t>
      </w:r>
      <w:r w:rsidRPr="005B6722">
        <w:t>free</w:t>
      </w:r>
      <w:proofErr w:type="gramEnd"/>
      <w:r w:rsidRPr="005B6722">
        <w:t xml:space="preserve">. </w:t>
      </w:r>
      <w:r w:rsidR="00841489" w:rsidRPr="005B6722">
        <w:t xml:space="preserve">The PTP provided </w:t>
      </w:r>
      <w:proofErr w:type="gramStart"/>
      <w:r w:rsidR="00841489" w:rsidRPr="005B6722">
        <w:t xml:space="preserve">important insights into </w:t>
      </w:r>
      <w:r w:rsidR="001E3EA2" w:rsidRPr="005B6722">
        <w:t xml:space="preserve">established </w:t>
      </w:r>
      <w:r w:rsidR="00841489" w:rsidRPr="005B6722">
        <w:t>WGS</w:t>
      </w:r>
      <w:r w:rsidR="001E3EA2" w:rsidRPr="005B6722">
        <w:t xml:space="preserve"> practices</w:t>
      </w:r>
      <w:r w:rsidR="00841489" w:rsidRPr="005B6722">
        <w:t xml:space="preserve"> and</w:t>
      </w:r>
      <w:r w:rsidR="001E3EA2" w:rsidRPr="005B6722">
        <w:t xml:space="preserve"> how performance and standardisation may be improved</w:t>
      </w:r>
      <w:proofErr w:type="gramEnd"/>
      <w:r w:rsidR="001E3EA2" w:rsidRPr="005B6722">
        <w:t>. Following the success</w:t>
      </w:r>
      <w:r w:rsidR="004672F2">
        <w:t>ful</w:t>
      </w:r>
      <w:r w:rsidR="001E3EA2" w:rsidRPr="005B6722">
        <w:t xml:space="preserve"> first pilot WGS PTP, </w:t>
      </w:r>
      <w:r w:rsidR="001E3EA2" w:rsidRPr="005B6722">
        <w:lastRenderedPageBreak/>
        <w:t>further modules will be offered over 2020-21</w:t>
      </w:r>
      <w:r w:rsidR="008B1888">
        <w:t>. These modules</w:t>
      </w:r>
      <w:r w:rsidR="00841489" w:rsidRPr="005B6722">
        <w:t xml:space="preserve"> </w:t>
      </w:r>
      <w:r w:rsidR="00914032" w:rsidRPr="005B6722">
        <w:t>monitor</w:t>
      </w:r>
      <w:r w:rsidR="00841489" w:rsidRPr="005B6722">
        <w:t xml:space="preserve"> </w:t>
      </w:r>
      <w:r w:rsidR="001E3EA2" w:rsidRPr="005B6722">
        <w:t xml:space="preserve">the </w:t>
      </w:r>
      <w:r w:rsidR="00914032" w:rsidRPr="005B6722">
        <w:t>quality</w:t>
      </w:r>
      <w:r w:rsidR="001E3EA2" w:rsidRPr="005B6722">
        <w:t xml:space="preserve"> of sequencing practices </w:t>
      </w:r>
      <w:r w:rsidR="00914032" w:rsidRPr="005B6722">
        <w:t>in Australian</w:t>
      </w:r>
      <w:r w:rsidR="001E3EA2" w:rsidRPr="005B6722">
        <w:t xml:space="preserve"> public health</w:t>
      </w:r>
      <w:r w:rsidR="00914032" w:rsidRPr="005B6722">
        <w:t xml:space="preserve"> laboratories</w:t>
      </w:r>
      <w:r w:rsidR="000217BD">
        <w:t>.</w:t>
      </w:r>
    </w:p>
    <w:p w14:paraId="0D6C2608" w14:textId="64107E2C" w:rsidR="00180FFE" w:rsidRPr="005B6722" w:rsidRDefault="00180FFE" w:rsidP="00180FFE">
      <w:pPr>
        <w:pStyle w:val="BodyText"/>
        <w:numPr>
          <w:ilvl w:val="0"/>
          <w:numId w:val="16"/>
        </w:numPr>
        <w:spacing w:before="239"/>
        <w:ind w:right="698"/>
      </w:pPr>
      <w:r w:rsidRPr="005B6722">
        <w:t xml:space="preserve">In 2018, CDGN was formalised as an Expert Reference Panel under </w:t>
      </w:r>
      <w:r w:rsidR="007E651B" w:rsidRPr="005B6722">
        <w:t>PHLN</w:t>
      </w:r>
      <w:r w:rsidRPr="005B6722">
        <w:t>. CDGN aims to create a unified and coordinated public health microbial genomics network</w:t>
      </w:r>
      <w:r w:rsidR="00F433FA">
        <w:t>. This network will</w:t>
      </w:r>
      <w:r w:rsidRPr="005B6722">
        <w:t xml:space="preserve"> </w:t>
      </w:r>
      <w:r w:rsidR="009D7046">
        <w:t xml:space="preserve">continue to </w:t>
      </w:r>
      <w:r w:rsidRPr="005B6722">
        <w:t>advise and interact with existing laboratory and public health networks, government, policy makers, and other relevant stakeholders.</w:t>
      </w:r>
      <w:r w:rsidR="001E3EA2" w:rsidRPr="005B6722">
        <w:t xml:space="preserve"> The membership of CDGN </w:t>
      </w:r>
      <w:proofErr w:type="gramStart"/>
      <w:r w:rsidR="001E3EA2" w:rsidRPr="005B6722">
        <w:t>was expanded</w:t>
      </w:r>
      <w:proofErr w:type="gramEnd"/>
      <w:r w:rsidR="001E3EA2" w:rsidRPr="005B6722">
        <w:t xml:space="preserve"> over 2020</w:t>
      </w:r>
      <w:r w:rsidR="000B5D20" w:rsidRPr="005B6722">
        <w:t xml:space="preserve"> to include representation from CDNA</w:t>
      </w:r>
      <w:r w:rsidR="00F433FA">
        <w:t>. The expansion also</w:t>
      </w:r>
      <w:r w:rsidR="001E3EA2" w:rsidRPr="005B6722">
        <w:t xml:space="preserve"> </w:t>
      </w:r>
      <w:r w:rsidR="0035258B">
        <w:t xml:space="preserve">allowed </w:t>
      </w:r>
      <w:r w:rsidR="001E3EA2" w:rsidRPr="005B6722">
        <w:t>associate members</w:t>
      </w:r>
      <w:r w:rsidR="000B5D20" w:rsidRPr="005B6722">
        <w:t xml:space="preserve"> to join committee meetings for the COVID-19 response</w:t>
      </w:r>
      <w:r w:rsidR="00E81ABF">
        <w:t>.</w:t>
      </w:r>
    </w:p>
    <w:p w14:paraId="1D9476A4" w14:textId="0A231590" w:rsidR="00CA62D1" w:rsidRPr="005B6722" w:rsidRDefault="00CA62D1" w:rsidP="00180FFE">
      <w:pPr>
        <w:pStyle w:val="BodyText"/>
        <w:numPr>
          <w:ilvl w:val="0"/>
          <w:numId w:val="16"/>
        </w:numPr>
        <w:spacing w:before="239"/>
        <w:ind w:right="698"/>
      </w:pPr>
      <w:r w:rsidRPr="005B6722">
        <w:t>In 2020</w:t>
      </w:r>
      <w:r w:rsidR="000B5D20" w:rsidRPr="005B6722">
        <w:t xml:space="preserve">, to </w:t>
      </w:r>
      <w:r w:rsidR="009D7046">
        <w:t xml:space="preserve">enhance </w:t>
      </w:r>
      <w:r w:rsidR="000B5D20" w:rsidRPr="005B6722">
        <w:t>the COVID-19 response</w:t>
      </w:r>
      <w:r w:rsidRPr="005B6722">
        <w:t xml:space="preserve">, CDGN </w:t>
      </w:r>
      <w:r w:rsidR="000B5D20" w:rsidRPr="005B6722">
        <w:t xml:space="preserve">also </w:t>
      </w:r>
      <w:r w:rsidR="0035258B">
        <w:t>fast-tracked</w:t>
      </w:r>
      <w:r w:rsidR="0035258B" w:rsidRPr="005B6722" w:rsidDel="0035258B">
        <w:t xml:space="preserve"> </w:t>
      </w:r>
      <w:r w:rsidR="000B5D20" w:rsidRPr="005B6722">
        <w:t xml:space="preserve">implementation of </w:t>
      </w:r>
      <w:r w:rsidR="00467768" w:rsidRPr="005B6722">
        <w:t>its</w:t>
      </w:r>
      <w:r w:rsidRPr="005B6722">
        <w:t xml:space="preserve"> genomic data sharing platform</w:t>
      </w:r>
      <w:r w:rsidR="00F433FA">
        <w:t>. The platform</w:t>
      </w:r>
      <w:r w:rsidRPr="005B6722">
        <w:t xml:space="preserve"> </w:t>
      </w:r>
      <w:r w:rsidR="000B5D20" w:rsidRPr="005B6722">
        <w:t>enable</w:t>
      </w:r>
      <w:r w:rsidR="00F433FA">
        <w:t>s</w:t>
      </w:r>
      <w:r w:rsidR="000B5D20" w:rsidRPr="005B6722">
        <w:t xml:space="preserve"> the </w:t>
      </w:r>
      <w:r w:rsidR="0035258B">
        <w:t>fast</w:t>
      </w:r>
      <w:r w:rsidR="0035258B" w:rsidRPr="005B6722">
        <w:t xml:space="preserve"> </w:t>
      </w:r>
      <w:r w:rsidR="000B5D20" w:rsidRPr="005B6722">
        <w:t xml:space="preserve">sharing and analysis of </w:t>
      </w:r>
      <w:r w:rsidRPr="005B6722">
        <w:t>SARS-CoV-2</w:t>
      </w:r>
      <w:r w:rsidR="000B5D20" w:rsidRPr="005B6722">
        <w:t xml:space="preserve"> (the virus that causes COVID-19) sequences. </w:t>
      </w:r>
      <w:r w:rsidR="0082044A">
        <w:t>Before</w:t>
      </w:r>
      <w:r w:rsidRPr="005B6722">
        <w:t xml:space="preserve"> the pandemic, the platform was being </w:t>
      </w:r>
      <w:r w:rsidR="0035258B">
        <w:t>t</w:t>
      </w:r>
      <w:r w:rsidR="009D7046">
        <w:t>rialled</w:t>
      </w:r>
      <w:r w:rsidR="0035258B" w:rsidRPr="005B6722">
        <w:t xml:space="preserve"> </w:t>
      </w:r>
      <w:r w:rsidR="000B5D20" w:rsidRPr="005B6722">
        <w:t xml:space="preserve">with a focus on </w:t>
      </w:r>
      <w:r w:rsidRPr="005B6722">
        <w:t xml:space="preserve">food-borne </w:t>
      </w:r>
      <w:r w:rsidR="000B5D20" w:rsidRPr="005B6722">
        <w:t>pathogens</w:t>
      </w:r>
      <w:r w:rsidRPr="005B6722">
        <w:t xml:space="preserve"> (</w:t>
      </w:r>
      <w:r w:rsidR="0082044A">
        <w:t>for example,</w:t>
      </w:r>
      <w:r w:rsidRPr="005B6722">
        <w:t xml:space="preserve"> </w:t>
      </w:r>
      <w:r w:rsidR="00CF3087" w:rsidRPr="00AE059E">
        <w:rPr>
          <w:i/>
        </w:rPr>
        <w:t>S</w:t>
      </w:r>
      <w:r w:rsidRPr="00AE059E">
        <w:rPr>
          <w:i/>
        </w:rPr>
        <w:t>almonella</w:t>
      </w:r>
      <w:r w:rsidRPr="005B6722">
        <w:t>).</w:t>
      </w:r>
    </w:p>
    <w:p w14:paraId="08FBC22C" w14:textId="726F10FF" w:rsidR="00180FFE" w:rsidRPr="005B6722" w:rsidRDefault="00180FFE" w:rsidP="00180FFE">
      <w:pPr>
        <w:pStyle w:val="BodyText"/>
        <w:spacing w:before="239"/>
        <w:ind w:left="282" w:right="698"/>
      </w:pPr>
      <w:r w:rsidRPr="005B6722">
        <w:t>Next steps will include contin</w:t>
      </w:r>
      <w:r w:rsidR="00276BE0" w:rsidRPr="005B6722">
        <w:t xml:space="preserve">uing to </w:t>
      </w:r>
      <w:r w:rsidRPr="005B6722">
        <w:t xml:space="preserve">support </w:t>
      </w:r>
      <w:r w:rsidR="00276BE0" w:rsidRPr="005B6722">
        <w:t>CDGN</w:t>
      </w:r>
      <w:r w:rsidR="009D7046">
        <w:t xml:space="preserve"> under existing governance arrangements</w:t>
      </w:r>
      <w:r w:rsidR="00F433FA">
        <w:t xml:space="preserve">. </w:t>
      </w:r>
      <w:r w:rsidR="00444156">
        <w:t>This will</w:t>
      </w:r>
      <w:r w:rsidR="00276BE0" w:rsidRPr="005B6722">
        <w:t xml:space="preserve"> ensure </w:t>
      </w:r>
      <w:r w:rsidRPr="005B6722">
        <w:t>a national approach</w:t>
      </w:r>
      <w:r w:rsidR="00276BE0" w:rsidRPr="005B6722">
        <w:t xml:space="preserve"> to implementation </w:t>
      </w:r>
      <w:proofErr w:type="gramStart"/>
      <w:r w:rsidR="00276BE0" w:rsidRPr="005B6722">
        <w:t>is maintained</w:t>
      </w:r>
      <w:proofErr w:type="gramEnd"/>
      <w:r w:rsidR="00276BE0" w:rsidRPr="005B6722">
        <w:t>; rai</w:t>
      </w:r>
      <w:r w:rsidR="000B5D20" w:rsidRPr="005B6722">
        <w:t>s</w:t>
      </w:r>
      <w:r w:rsidR="00276BE0" w:rsidRPr="005B6722">
        <w:t>ing</w:t>
      </w:r>
      <w:r w:rsidR="000B5D20" w:rsidRPr="005B6722">
        <w:t xml:space="preserve"> the profile of</w:t>
      </w:r>
      <w:r w:rsidR="00276BE0" w:rsidRPr="005B6722">
        <w:t xml:space="preserve"> this and other participating networks and the work being undertaken</w:t>
      </w:r>
      <w:r w:rsidR="00444156">
        <w:t>.</w:t>
      </w:r>
      <w:r w:rsidR="00276BE0" w:rsidRPr="005B6722">
        <w:t xml:space="preserve"> </w:t>
      </w:r>
      <w:r w:rsidR="004672F2">
        <w:t xml:space="preserve">This will </w:t>
      </w:r>
      <w:r w:rsidR="00276BE0" w:rsidRPr="005B6722">
        <w:t>encourag</w:t>
      </w:r>
      <w:r w:rsidR="00B30EC2">
        <w:t>e</w:t>
      </w:r>
      <w:r w:rsidR="00276BE0" w:rsidRPr="005B6722">
        <w:t xml:space="preserve"> </w:t>
      </w:r>
      <w:r w:rsidR="00B30EC2">
        <w:t xml:space="preserve">the </w:t>
      </w:r>
      <w:r w:rsidRPr="005B6722">
        <w:t xml:space="preserve">sharing </w:t>
      </w:r>
      <w:r w:rsidR="00276BE0" w:rsidRPr="005B6722">
        <w:t xml:space="preserve">of </w:t>
      </w:r>
      <w:r w:rsidRPr="005B6722">
        <w:t>best practice</w:t>
      </w:r>
      <w:r w:rsidR="00276BE0" w:rsidRPr="005B6722">
        <w:t xml:space="preserve"> experience</w:t>
      </w:r>
      <w:r w:rsidR="004672F2">
        <w:t xml:space="preserve"> and</w:t>
      </w:r>
      <w:r w:rsidRPr="005B6722">
        <w:t xml:space="preserve"> </w:t>
      </w:r>
      <w:r w:rsidR="00B30EC2">
        <w:t xml:space="preserve">drive the consistent application of </w:t>
      </w:r>
      <w:r w:rsidRPr="005B6722">
        <w:t>microbial genomics in the public health system.</w:t>
      </w:r>
    </w:p>
    <w:p w14:paraId="3D54CD7A" w14:textId="77777777" w:rsidR="00180FFE" w:rsidRPr="005B6722" w:rsidRDefault="00180FFE" w:rsidP="00180FFE">
      <w:pPr>
        <w:pStyle w:val="BodyText"/>
        <w:spacing w:before="1"/>
        <w:ind w:right="698"/>
      </w:pPr>
    </w:p>
    <w:p w14:paraId="795BA3B3" w14:textId="77777777" w:rsidR="00180FFE" w:rsidRPr="005B6722" w:rsidRDefault="00180FFE" w:rsidP="00180FFE">
      <w:pPr>
        <w:pStyle w:val="BodyText"/>
        <w:spacing w:before="10"/>
        <w:rPr>
          <w:sz w:val="19"/>
        </w:rPr>
      </w:pPr>
    </w:p>
    <w:p w14:paraId="4BA3F6D3" w14:textId="77777777" w:rsidR="00180FFE" w:rsidRPr="005B6722" w:rsidRDefault="00180FFE" w:rsidP="00180FFE">
      <w:pPr>
        <w:rPr>
          <w:b/>
          <w:bCs/>
          <w:i/>
          <w:sz w:val="28"/>
          <w:szCs w:val="28"/>
        </w:rPr>
      </w:pPr>
      <w:bookmarkStart w:id="68" w:name="_bookmark11"/>
      <w:bookmarkEnd w:id="68"/>
      <w:r w:rsidRPr="005B6722">
        <w:br w:type="page"/>
      </w:r>
    </w:p>
    <w:bookmarkStart w:id="69" w:name="_Toc57196964"/>
    <w:p w14:paraId="6C40CC99" w14:textId="621A9260" w:rsidR="00180FFE" w:rsidRPr="005B6722" w:rsidRDefault="00180FFE" w:rsidP="00180FFE">
      <w:pPr>
        <w:pStyle w:val="Heading2"/>
        <w:spacing w:before="120"/>
        <w:ind w:left="284"/>
      </w:pPr>
      <w:r w:rsidRPr="00225618">
        <w:rPr>
          <w:noProof/>
          <w:sz w:val="19"/>
          <w:lang w:bidi="ar-SA"/>
        </w:rPr>
        <w:lastRenderedPageBreak/>
        <mc:AlternateContent>
          <mc:Choice Requires="wps">
            <w:drawing>
              <wp:anchor distT="0" distB="0" distL="114300" distR="114300" simplePos="0" relativeHeight="251669504" behindDoc="1" locked="0" layoutInCell="1" allowOverlap="1" wp14:anchorId="4B21AA0B" wp14:editId="69AF1E28">
                <wp:simplePos x="0" y="0"/>
                <wp:positionH relativeFrom="column">
                  <wp:posOffset>15875</wp:posOffset>
                </wp:positionH>
                <wp:positionV relativeFrom="paragraph">
                  <wp:posOffset>15240</wp:posOffset>
                </wp:positionV>
                <wp:extent cx="6172200" cy="45720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6172200" cy="4572000"/>
                        </a:xfrm>
                        <a:prstGeom prst="rect">
                          <a:avLst/>
                        </a:prstGeom>
                        <a:solidFill>
                          <a:schemeClr val="accent1">
                            <a:alpha val="15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265DC" id="Rectangle 16" o:spid="_x0000_s1026" style="position:absolute;margin-left:1.25pt;margin-top:1.2pt;width:486pt;height:5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" fillcolor="#5b9bd5 [3204]" strokecolor="#1f4d78 [1604]">
                <v:fill opacity="9766f"/>
              </v:rect>
            </w:pict>
          </mc:Fallback>
        </mc:AlternateContent>
      </w:r>
      <w:r w:rsidRPr="005B6722">
        <w:t xml:space="preserve">Agreed </w:t>
      </w:r>
      <w:r w:rsidR="00E81ABF">
        <w:t>o</w:t>
      </w:r>
      <w:r w:rsidRPr="005B6722">
        <w:t xml:space="preserve">utcomes and </w:t>
      </w:r>
      <w:r w:rsidR="00E81ABF">
        <w:t>p</w:t>
      </w:r>
      <w:r w:rsidRPr="005B6722">
        <w:t xml:space="preserve">riority </w:t>
      </w:r>
      <w:r w:rsidR="00E81ABF">
        <w:t>a</w:t>
      </w:r>
      <w:r w:rsidRPr="005B6722">
        <w:t xml:space="preserve">reas for </w:t>
      </w:r>
      <w:r w:rsidR="00E81ABF">
        <w:t>a</w:t>
      </w:r>
      <w:r w:rsidRPr="005B6722">
        <w:t>ction</w:t>
      </w:r>
      <w:bookmarkEnd w:id="69"/>
    </w:p>
    <w:p w14:paraId="0CF60285" w14:textId="77777777" w:rsidR="00180FFE" w:rsidRPr="008610F1" w:rsidRDefault="00180FFE" w:rsidP="00180FFE">
      <w:pPr>
        <w:tabs>
          <w:tab w:val="left" w:pos="284"/>
        </w:tabs>
        <w:rPr>
          <w:b/>
        </w:rPr>
      </w:pPr>
      <w:r w:rsidRPr="008610F1">
        <w:rPr>
          <w:b/>
        </w:rPr>
        <w:tab/>
      </w:r>
    </w:p>
    <w:p w14:paraId="54CB6263" w14:textId="77777777" w:rsidR="00180FFE" w:rsidRPr="005B6722" w:rsidRDefault="00180FFE" w:rsidP="00180FFE">
      <w:pPr>
        <w:ind w:firstLine="282"/>
        <w:rPr>
          <w:b/>
          <w:sz w:val="24"/>
          <w:szCs w:val="24"/>
        </w:rPr>
      </w:pPr>
      <w:r w:rsidRPr="005B6722">
        <w:rPr>
          <w:b/>
          <w:sz w:val="24"/>
          <w:szCs w:val="24"/>
        </w:rPr>
        <w:t>Outcome 1.1 – Establishment of standardised policies and procedures</w:t>
      </w:r>
    </w:p>
    <w:p w14:paraId="198A410A" w14:textId="7C0E7424" w:rsidR="00180FFE" w:rsidRPr="005B6722" w:rsidRDefault="00180FFE" w:rsidP="00180FFE">
      <w:pPr>
        <w:pStyle w:val="ListParagraph"/>
        <w:widowControl/>
        <w:numPr>
          <w:ilvl w:val="0"/>
          <w:numId w:val="3"/>
        </w:numPr>
        <w:autoSpaceDE/>
        <w:autoSpaceDN/>
        <w:ind w:hanging="436"/>
        <w:rPr>
          <w:sz w:val="24"/>
          <w:szCs w:val="24"/>
        </w:rPr>
      </w:pPr>
      <w:r w:rsidRPr="005B6722">
        <w:rPr>
          <w:sz w:val="24"/>
          <w:szCs w:val="24"/>
        </w:rPr>
        <w:t>Develop common standards, nomenclature and reporting outputs and formats that are fit for purpose for public health surveillance and response</w:t>
      </w:r>
      <w:r w:rsidR="00E81ABF">
        <w:rPr>
          <w:sz w:val="24"/>
          <w:szCs w:val="24"/>
        </w:rPr>
        <w:t>.</w:t>
      </w:r>
    </w:p>
    <w:p w14:paraId="67EDE4A3" w14:textId="7FDEEE6E" w:rsidR="00180FFE" w:rsidRPr="005B6722" w:rsidRDefault="00180FFE" w:rsidP="00180FFE">
      <w:pPr>
        <w:pStyle w:val="ListParagraph"/>
        <w:widowControl/>
        <w:numPr>
          <w:ilvl w:val="0"/>
          <w:numId w:val="3"/>
        </w:numPr>
        <w:autoSpaceDE/>
        <w:autoSpaceDN/>
        <w:ind w:hanging="436"/>
        <w:rPr>
          <w:sz w:val="24"/>
          <w:szCs w:val="24"/>
        </w:rPr>
      </w:pPr>
      <w:r w:rsidRPr="005B6722">
        <w:rPr>
          <w:sz w:val="24"/>
          <w:szCs w:val="24"/>
        </w:rPr>
        <w:t xml:space="preserve">Agree on a national open-source </w:t>
      </w:r>
      <w:proofErr w:type="gramStart"/>
      <w:r w:rsidRPr="005B6722">
        <w:rPr>
          <w:sz w:val="24"/>
          <w:szCs w:val="24"/>
        </w:rPr>
        <w:t>platform which hosts bioinformatics pipelines</w:t>
      </w:r>
      <w:proofErr w:type="gramEnd"/>
      <w:r w:rsidRPr="005B6722">
        <w:rPr>
          <w:sz w:val="24"/>
          <w:szCs w:val="24"/>
        </w:rPr>
        <w:t xml:space="preserve"> and a data repository that is available to all public health laboratories.</w:t>
      </w:r>
    </w:p>
    <w:p w14:paraId="2C693069" w14:textId="77777777" w:rsidR="00180FFE" w:rsidRPr="005B6722" w:rsidRDefault="00180FFE" w:rsidP="00180FFE">
      <w:pPr>
        <w:rPr>
          <w:sz w:val="24"/>
          <w:szCs w:val="24"/>
        </w:rPr>
      </w:pPr>
    </w:p>
    <w:p w14:paraId="5A72F4E6" w14:textId="77777777" w:rsidR="00180FFE" w:rsidRPr="005B6722" w:rsidRDefault="00180FFE" w:rsidP="00180FFE">
      <w:pPr>
        <w:ind w:firstLine="282"/>
        <w:rPr>
          <w:b/>
          <w:sz w:val="24"/>
          <w:szCs w:val="24"/>
        </w:rPr>
      </w:pPr>
      <w:r w:rsidRPr="005B6722">
        <w:rPr>
          <w:b/>
          <w:sz w:val="24"/>
          <w:szCs w:val="24"/>
        </w:rPr>
        <w:t>Outcome 1.2 – Harmonisation of laboratory-based sequencing and surveillance methods</w:t>
      </w:r>
    </w:p>
    <w:p w14:paraId="072A03B5" w14:textId="518A763F" w:rsidR="00180FFE" w:rsidRPr="005B6722" w:rsidRDefault="00180FFE" w:rsidP="00180FFE">
      <w:pPr>
        <w:pStyle w:val="ListParagraph"/>
        <w:widowControl/>
        <w:numPr>
          <w:ilvl w:val="0"/>
          <w:numId w:val="3"/>
        </w:numPr>
        <w:autoSpaceDE/>
        <w:autoSpaceDN/>
        <w:ind w:hanging="436"/>
        <w:rPr>
          <w:sz w:val="24"/>
          <w:szCs w:val="24"/>
        </w:rPr>
      </w:pPr>
      <w:r w:rsidRPr="005B6722">
        <w:rPr>
          <w:sz w:val="24"/>
          <w:szCs w:val="24"/>
        </w:rPr>
        <w:t>Develop harmonised laboratory-based sequencing methodologies</w:t>
      </w:r>
      <w:r w:rsidR="00E81ABF">
        <w:rPr>
          <w:sz w:val="24"/>
          <w:szCs w:val="24"/>
        </w:rPr>
        <w:t>.</w:t>
      </w:r>
    </w:p>
    <w:p w14:paraId="71DCFCA9" w14:textId="1C2CACCF" w:rsidR="00180FFE" w:rsidRPr="005B6722" w:rsidRDefault="00180FFE" w:rsidP="00180FFE">
      <w:pPr>
        <w:pStyle w:val="ListParagraph"/>
        <w:widowControl/>
        <w:numPr>
          <w:ilvl w:val="0"/>
          <w:numId w:val="3"/>
        </w:numPr>
        <w:autoSpaceDE/>
        <w:autoSpaceDN/>
        <w:ind w:hanging="436"/>
        <w:rPr>
          <w:sz w:val="24"/>
          <w:szCs w:val="24"/>
        </w:rPr>
      </w:pPr>
      <w:r w:rsidRPr="005B6722">
        <w:rPr>
          <w:sz w:val="24"/>
          <w:szCs w:val="24"/>
        </w:rPr>
        <w:t>Develop standardised microbial genomic</w:t>
      </w:r>
      <w:r w:rsidR="00DA7CF8" w:rsidRPr="005B6722">
        <w:rPr>
          <w:sz w:val="24"/>
          <w:szCs w:val="24"/>
        </w:rPr>
        <w:t>s</w:t>
      </w:r>
      <w:r w:rsidRPr="005B6722">
        <w:rPr>
          <w:sz w:val="24"/>
          <w:szCs w:val="24"/>
        </w:rPr>
        <w:t xml:space="preserve"> surveillance methods.</w:t>
      </w:r>
    </w:p>
    <w:p w14:paraId="45D5CB4B" w14:textId="77777777" w:rsidR="00180FFE" w:rsidRPr="005B6722" w:rsidRDefault="00180FFE" w:rsidP="00180FFE">
      <w:pPr>
        <w:rPr>
          <w:sz w:val="24"/>
          <w:szCs w:val="24"/>
        </w:rPr>
      </w:pPr>
    </w:p>
    <w:p w14:paraId="35E4C54D" w14:textId="77777777" w:rsidR="00180FFE" w:rsidRPr="005B6722" w:rsidRDefault="00180FFE" w:rsidP="00180FFE">
      <w:pPr>
        <w:ind w:firstLine="282"/>
        <w:rPr>
          <w:b/>
          <w:sz w:val="24"/>
          <w:szCs w:val="24"/>
        </w:rPr>
      </w:pPr>
      <w:r w:rsidRPr="005B6722">
        <w:rPr>
          <w:b/>
          <w:sz w:val="24"/>
          <w:szCs w:val="24"/>
        </w:rPr>
        <w:t>Outcome 1.3 – Establishment of quality services</w:t>
      </w:r>
    </w:p>
    <w:p w14:paraId="2471F8A3" w14:textId="47E741C0" w:rsidR="00180FFE" w:rsidRPr="005B6722" w:rsidRDefault="00180FFE" w:rsidP="00180FFE">
      <w:pPr>
        <w:pStyle w:val="ListParagraph"/>
        <w:widowControl/>
        <w:numPr>
          <w:ilvl w:val="0"/>
          <w:numId w:val="2"/>
        </w:numPr>
        <w:autoSpaceDE/>
        <w:autoSpaceDN/>
        <w:ind w:hanging="489"/>
        <w:rPr>
          <w:sz w:val="24"/>
          <w:szCs w:val="24"/>
        </w:rPr>
      </w:pPr>
      <w:r w:rsidRPr="005B6722">
        <w:rPr>
          <w:sz w:val="24"/>
          <w:szCs w:val="24"/>
        </w:rPr>
        <w:t>Develop quality assurance and proficiency testing specific to microbial genomics</w:t>
      </w:r>
      <w:r w:rsidR="00E81ABF">
        <w:rPr>
          <w:sz w:val="24"/>
          <w:szCs w:val="24"/>
        </w:rPr>
        <w:t>.</w:t>
      </w:r>
    </w:p>
    <w:p w14:paraId="435C3AA4" w14:textId="0DD24E0D" w:rsidR="00180FFE" w:rsidRPr="005B6722" w:rsidRDefault="00421672" w:rsidP="00180FFE">
      <w:pPr>
        <w:pStyle w:val="ListParagraph"/>
        <w:widowControl/>
        <w:numPr>
          <w:ilvl w:val="0"/>
          <w:numId w:val="2"/>
        </w:numPr>
        <w:autoSpaceDE/>
        <w:autoSpaceDN/>
        <w:ind w:hanging="489"/>
        <w:rPr>
          <w:sz w:val="24"/>
          <w:szCs w:val="24"/>
        </w:rPr>
      </w:pPr>
      <w:r>
        <w:rPr>
          <w:sz w:val="24"/>
          <w:szCs w:val="24"/>
        </w:rPr>
        <w:t>Enhance</w:t>
      </w:r>
      <w:r w:rsidR="0082044A" w:rsidRPr="005B6722">
        <w:rPr>
          <w:sz w:val="24"/>
          <w:szCs w:val="24"/>
        </w:rPr>
        <w:t xml:space="preserve"> </w:t>
      </w:r>
      <w:r w:rsidR="00180FFE" w:rsidRPr="005B6722">
        <w:rPr>
          <w:sz w:val="24"/>
          <w:szCs w:val="24"/>
        </w:rPr>
        <w:t xml:space="preserve">technical competence and integrity </w:t>
      </w:r>
      <w:r>
        <w:rPr>
          <w:sz w:val="24"/>
          <w:szCs w:val="24"/>
        </w:rPr>
        <w:t>with</w:t>
      </w:r>
      <w:r w:rsidR="00180FFE" w:rsidRPr="005B6722">
        <w:rPr>
          <w:sz w:val="24"/>
          <w:szCs w:val="24"/>
        </w:rPr>
        <w:t>in organisations offering microbial genomics services through collaboration with NPAAC, NATA and RCPA QAP</w:t>
      </w:r>
      <w:r w:rsidR="00E81ABF">
        <w:rPr>
          <w:sz w:val="24"/>
          <w:szCs w:val="24"/>
        </w:rPr>
        <w:t>).</w:t>
      </w:r>
    </w:p>
    <w:p w14:paraId="44426C9C" w14:textId="2236FF72" w:rsidR="00180FFE" w:rsidRPr="005B6722" w:rsidRDefault="00180FFE" w:rsidP="00180FFE">
      <w:pPr>
        <w:pStyle w:val="ListParagraph"/>
        <w:widowControl/>
        <w:numPr>
          <w:ilvl w:val="0"/>
          <w:numId w:val="2"/>
        </w:numPr>
        <w:autoSpaceDE/>
        <w:autoSpaceDN/>
        <w:ind w:hanging="489"/>
        <w:rPr>
          <w:sz w:val="24"/>
          <w:szCs w:val="24"/>
        </w:rPr>
      </w:pPr>
      <w:r w:rsidRPr="005B6722">
        <w:rPr>
          <w:sz w:val="24"/>
          <w:szCs w:val="24"/>
        </w:rPr>
        <w:t>Promote sharing of sequence data nationally and with international laboratories to inform detection and investigation of multi-country outbreaks.</w:t>
      </w:r>
    </w:p>
    <w:p w14:paraId="434D7E01" w14:textId="77777777" w:rsidR="00180FFE" w:rsidRPr="005B6722" w:rsidRDefault="00180FFE" w:rsidP="00180FFE">
      <w:pPr>
        <w:tabs>
          <w:tab w:val="left" w:pos="284"/>
        </w:tabs>
      </w:pPr>
    </w:p>
    <w:p w14:paraId="0EE7C455" w14:textId="77777777" w:rsidR="00180FFE" w:rsidRPr="005B6722" w:rsidRDefault="00180FFE" w:rsidP="00180FFE">
      <w:pPr>
        <w:rPr>
          <w:b/>
          <w:sz w:val="24"/>
          <w:szCs w:val="24"/>
        </w:rPr>
      </w:pPr>
      <w:bookmarkStart w:id="70" w:name="_bookmark12"/>
      <w:bookmarkEnd w:id="70"/>
      <w:r w:rsidRPr="005B6722">
        <w:rPr>
          <w:b/>
          <w:sz w:val="24"/>
          <w:szCs w:val="24"/>
        </w:rPr>
        <w:br w:type="page"/>
      </w:r>
    </w:p>
    <w:p w14:paraId="6C63ADCB" w14:textId="77777777" w:rsidR="00180FFE" w:rsidRPr="005B6722" w:rsidRDefault="00180FFE" w:rsidP="00180FFE">
      <w:pPr>
        <w:rPr>
          <w:b/>
          <w:sz w:val="24"/>
          <w:szCs w:val="24"/>
        </w:rPr>
        <w:sectPr w:rsidR="00180FFE" w:rsidRPr="005B6722">
          <w:pgSz w:w="11910" w:h="16840"/>
          <w:pgMar w:top="1080" w:right="720" w:bottom="1260" w:left="1420" w:header="756" w:footer="1075" w:gutter="0"/>
          <w:cols w:space="720"/>
        </w:sectPr>
      </w:pPr>
    </w:p>
    <w:p w14:paraId="470F386F" w14:textId="58090065" w:rsidR="00180FFE" w:rsidRPr="005B6722" w:rsidRDefault="0012584E" w:rsidP="00180FFE">
      <w:pPr>
        <w:pStyle w:val="Heading2"/>
        <w:ind w:hanging="282"/>
        <w:rPr>
          <w:rFonts w:ascii="Times New Roman"/>
        </w:rPr>
      </w:pPr>
      <w:bookmarkStart w:id="71" w:name="_Toc57196965"/>
      <w:r>
        <w:lastRenderedPageBreak/>
        <w:t>A</w:t>
      </w:r>
      <w:r w:rsidR="00180FFE" w:rsidRPr="005B6722">
        <w:t xml:space="preserve">ctions – Standardised </w:t>
      </w:r>
      <w:r w:rsidR="00E81ABF">
        <w:t>n</w:t>
      </w:r>
      <w:r w:rsidR="00180FFE" w:rsidRPr="005B6722">
        <w:t xml:space="preserve">ational </w:t>
      </w:r>
      <w:r w:rsidR="00E81ABF">
        <w:t>a</w:t>
      </w:r>
      <w:r w:rsidR="00180FFE" w:rsidRPr="005B6722">
        <w:t>pproach</w:t>
      </w:r>
      <w:bookmarkEnd w:id="71"/>
    </w:p>
    <w:tbl>
      <w:tblPr>
        <w:tblStyle w:val="TableGrid"/>
        <w:tblW w:w="14490" w:type="dxa"/>
        <w:tblLook w:val="04A0" w:firstRow="1" w:lastRow="0" w:firstColumn="1" w:lastColumn="0" w:noHBand="0" w:noVBand="1"/>
        <w:tblCaption w:val="Actions - Standardised national approach"/>
        <w:tblDescription w:val="Lists the activities under Outcome 1, that will work towards standardising a national approach to microbial whole genomic sequencing."/>
      </w:tblPr>
      <w:tblGrid>
        <w:gridCol w:w="8339"/>
        <w:gridCol w:w="1543"/>
        <w:gridCol w:w="3365"/>
        <w:gridCol w:w="1243"/>
      </w:tblGrid>
      <w:tr w:rsidR="00180FFE" w:rsidRPr="005B6722" w14:paraId="32959898" w14:textId="77777777" w:rsidTr="00752E10">
        <w:trPr>
          <w:tblHeader/>
        </w:trPr>
        <w:tc>
          <w:tcPr>
            <w:tcW w:w="8339" w:type="dxa"/>
            <w:shd w:val="clear" w:color="auto" w:fill="9CC2E5" w:themeFill="accent1" w:themeFillTint="99"/>
          </w:tcPr>
          <w:p w14:paraId="2DF4E58C" w14:textId="77777777" w:rsidR="00180FFE" w:rsidRPr="00AE059E" w:rsidRDefault="00180FFE" w:rsidP="003557CE">
            <w:pPr>
              <w:rPr>
                <w:rFonts w:ascii="Times New Roman"/>
                <w:sz w:val="26"/>
                <w:lang w:val="en-AU"/>
              </w:rPr>
            </w:pPr>
            <w:r w:rsidRPr="005B6722">
              <w:rPr>
                <w:b/>
                <w:sz w:val="24"/>
              </w:rPr>
              <w:t>National Action</w:t>
            </w:r>
          </w:p>
        </w:tc>
        <w:tc>
          <w:tcPr>
            <w:tcW w:w="1543" w:type="dxa"/>
            <w:shd w:val="clear" w:color="auto" w:fill="9CC2E5" w:themeFill="accent1" w:themeFillTint="99"/>
          </w:tcPr>
          <w:p w14:paraId="271702EE" w14:textId="77777777" w:rsidR="00180FFE" w:rsidRPr="00AE059E" w:rsidRDefault="00180FFE" w:rsidP="003557CE">
            <w:pPr>
              <w:rPr>
                <w:b/>
                <w:sz w:val="24"/>
                <w:lang w:val="en-AU"/>
              </w:rPr>
            </w:pPr>
            <w:r w:rsidRPr="005B6722">
              <w:rPr>
                <w:b/>
                <w:sz w:val="24"/>
              </w:rPr>
              <w:t>Timeframe</w:t>
            </w:r>
          </w:p>
        </w:tc>
        <w:tc>
          <w:tcPr>
            <w:tcW w:w="3365" w:type="dxa"/>
            <w:shd w:val="clear" w:color="auto" w:fill="9CC2E5" w:themeFill="accent1" w:themeFillTint="99"/>
          </w:tcPr>
          <w:p w14:paraId="38D81A7C" w14:textId="77777777" w:rsidR="00180FFE" w:rsidRPr="00AE059E" w:rsidRDefault="00180FFE" w:rsidP="003557CE">
            <w:pPr>
              <w:rPr>
                <w:rFonts w:ascii="Times New Roman"/>
                <w:sz w:val="26"/>
                <w:lang w:val="en-AU"/>
              </w:rPr>
            </w:pPr>
            <w:r w:rsidRPr="005B6722">
              <w:rPr>
                <w:b/>
                <w:sz w:val="24"/>
              </w:rPr>
              <w:t>Lead Responsibility</w:t>
            </w:r>
          </w:p>
        </w:tc>
        <w:tc>
          <w:tcPr>
            <w:tcW w:w="1243" w:type="dxa"/>
            <w:shd w:val="clear" w:color="auto" w:fill="9CC2E5" w:themeFill="accent1" w:themeFillTint="99"/>
          </w:tcPr>
          <w:p w14:paraId="557CDF76" w14:textId="77777777" w:rsidR="00180FFE" w:rsidRPr="00AE059E" w:rsidRDefault="00180FFE" w:rsidP="003557CE">
            <w:pPr>
              <w:rPr>
                <w:b/>
                <w:sz w:val="24"/>
                <w:lang w:val="en-AU"/>
              </w:rPr>
            </w:pPr>
            <w:r w:rsidRPr="005B6722">
              <w:rPr>
                <w:b/>
                <w:sz w:val="24"/>
              </w:rPr>
              <w:t>Priority</w:t>
            </w:r>
          </w:p>
        </w:tc>
      </w:tr>
      <w:tr w:rsidR="00180FFE" w:rsidRPr="005B6722" w14:paraId="51BE042E" w14:textId="77777777" w:rsidTr="003557CE">
        <w:tc>
          <w:tcPr>
            <w:tcW w:w="14490" w:type="dxa"/>
            <w:gridSpan w:val="4"/>
          </w:tcPr>
          <w:p w14:paraId="300BDA2F" w14:textId="77777777" w:rsidR="00180FFE" w:rsidRPr="00AE059E" w:rsidRDefault="00180FFE" w:rsidP="003557CE">
            <w:pPr>
              <w:rPr>
                <w:b/>
                <w:sz w:val="24"/>
                <w:szCs w:val="24"/>
                <w:lang w:val="en-AU"/>
              </w:rPr>
            </w:pPr>
            <w:r w:rsidRPr="005B6722">
              <w:rPr>
                <w:b/>
                <w:sz w:val="24"/>
                <w:szCs w:val="24"/>
              </w:rPr>
              <w:t xml:space="preserve">Outcome 1.1 – Establishment of </w:t>
            </w:r>
            <w:proofErr w:type="spellStart"/>
            <w:r w:rsidRPr="005B6722">
              <w:rPr>
                <w:b/>
                <w:sz w:val="24"/>
                <w:szCs w:val="24"/>
              </w:rPr>
              <w:t>standardised</w:t>
            </w:r>
            <w:proofErr w:type="spellEnd"/>
            <w:r w:rsidRPr="005B6722">
              <w:rPr>
                <w:b/>
                <w:sz w:val="24"/>
                <w:szCs w:val="24"/>
              </w:rPr>
              <w:t xml:space="preserve"> policies and procedures</w:t>
            </w:r>
          </w:p>
        </w:tc>
      </w:tr>
      <w:tr w:rsidR="00180FFE" w:rsidRPr="005B6722" w14:paraId="6FCC2552" w14:textId="77777777" w:rsidTr="003557CE">
        <w:tc>
          <w:tcPr>
            <w:tcW w:w="8339" w:type="dxa"/>
          </w:tcPr>
          <w:p w14:paraId="01B34104" w14:textId="7BCE8C43" w:rsidR="00180FFE" w:rsidRPr="00AE059E" w:rsidRDefault="00276BE0" w:rsidP="003557CE">
            <w:pPr>
              <w:rPr>
                <w:sz w:val="24"/>
                <w:szCs w:val="24"/>
                <w:lang w:val="en-AU"/>
              </w:rPr>
            </w:pPr>
            <w:r w:rsidRPr="005B6722">
              <w:rPr>
                <w:sz w:val="24"/>
                <w:szCs w:val="24"/>
              </w:rPr>
              <w:t xml:space="preserve">1.1.1 </w:t>
            </w:r>
            <w:r w:rsidR="00180FFE" w:rsidRPr="005B6722">
              <w:rPr>
                <w:sz w:val="24"/>
                <w:szCs w:val="24"/>
              </w:rPr>
              <w:t>Consider microbial genomics in the context of any broader review of health technology</w:t>
            </w:r>
            <w:r w:rsidR="00332962" w:rsidRPr="005B6722">
              <w:rPr>
                <w:sz w:val="24"/>
                <w:szCs w:val="24"/>
              </w:rPr>
              <w:t xml:space="preserve"> and systems</w:t>
            </w:r>
            <w:r w:rsidR="00180FFE" w:rsidRPr="005B6722">
              <w:rPr>
                <w:sz w:val="24"/>
                <w:szCs w:val="24"/>
              </w:rPr>
              <w:t xml:space="preserve"> assessment to support national consistency.</w:t>
            </w:r>
          </w:p>
        </w:tc>
        <w:tc>
          <w:tcPr>
            <w:tcW w:w="1543" w:type="dxa"/>
          </w:tcPr>
          <w:p w14:paraId="54D1E3EF" w14:textId="65342CF8" w:rsidR="00180FFE" w:rsidRPr="00AE059E" w:rsidRDefault="00176972" w:rsidP="00176972">
            <w:pPr>
              <w:rPr>
                <w:rFonts w:asciiTheme="minorHAnsi" w:hAnsiTheme="minorHAnsi" w:cstheme="minorHAnsi"/>
                <w:sz w:val="24"/>
                <w:szCs w:val="24"/>
                <w:lang w:val="en-AU"/>
              </w:rPr>
            </w:pPr>
            <w:r w:rsidRPr="005B6722">
              <w:rPr>
                <w:rFonts w:asciiTheme="minorHAnsi" w:hAnsiTheme="minorHAnsi" w:cstheme="minorHAnsi"/>
                <w:sz w:val="24"/>
                <w:szCs w:val="24"/>
              </w:rPr>
              <w:t>Medium</w:t>
            </w:r>
          </w:p>
        </w:tc>
        <w:tc>
          <w:tcPr>
            <w:tcW w:w="3365" w:type="dxa"/>
          </w:tcPr>
          <w:p w14:paraId="13222B7C"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Health</w:t>
            </w:r>
          </w:p>
        </w:tc>
        <w:tc>
          <w:tcPr>
            <w:tcW w:w="1243" w:type="dxa"/>
          </w:tcPr>
          <w:p w14:paraId="20EAEE7E" w14:textId="77777777" w:rsidR="00180FFE" w:rsidRPr="00AE059E" w:rsidRDefault="00180FFE" w:rsidP="003557CE">
            <w:pPr>
              <w:rPr>
                <w:sz w:val="24"/>
                <w:szCs w:val="24"/>
                <w:lang w:val="en-AU"/>
              </w:rPr>
            </w:pPr>
            <w:r w:rsidRPr="005B6722">
              <w:rPr>
                <w:sz w:val="24"/>
                <w:szCs w:val="24"/>
              </w:rPr>
              <w:t>Medium</w:t>
            </w:r>
          </w:p>
        </w:tc>
      </w:tr>
      <w:tr w:rsidR="00180FFE" w:rsidRPr="005B6722" w14:paraId="0CA0F31B" w14:textId="77777777" w:rsidTr="003557CE">
        <w:tc>
          <w:tcPr>
            <w:tcW w:w="8339" w:type="dxa"/>
          </w:tcPr>
          <w:p w14:paraId="05C0BAEC" w14:textId="33463847" w:rsidR="00180FFE" w:rsidRPr="00AE059E" w:rsidRDefault="00276BE0" w:rsidP="0035258B">
            <w:pPr>
              <w:rPr>
                <w:sz w:val="24"/>
                <w:szCs w:val="24"/>
                <w:lang w:val="en-AU"/>
              </w:rPr>
            </w:pPr>
            <w:r w:rsidRPr="005B6722">
              <w:rPr>
                <w:sz w:val="24"/>
                <w:szCs w:val="24"/>
              </w:rPr>
              <w:t xml:space="preserve">1.1.2 </w:t>
            </w:r>
            <w:r w:rsidR="00180FFE" w:rsidRPr="005B6722">
              <w:rPr>
                <w:sz w:val="24"/>
                <w:szCs w:val="24"/>
              </w:rPr>
              <w:t>Review and update relevant existing guidelines</w:t>
            </w:r>
            <w:r w:rsidR="00180FFE" w:rsidRPr="005B6722">
              <w:rPr>
                <w:rStyle w:val="CommentReference"/>
              </w:rPr>
              <w:t xml:space="preserve"> </w:t>
            </w:r>
            <w:r w:rsidR="00180FFE" w:rsidRPr="005B6722">
              <w:rPr>
                <w:sz w:val="24"/>
                <w:szCs w:val="24"/>
              </w:rPr>
              <w:t>and standards, or develop new ones where appropriate</w:t>
            </w:r>
            <w:r w:rsidR="00122D64">
              <w:rPr>
                <w:sz w:val="24"/>
                <w:szCs w:val="24"/>
              </w:rPr>
              <w:t>. This is</w:t>
            </w:r>
            <w:r w:rsidR="00180FFE" w:rsidRPr="005B6722">
              <w:rPr>
                <w:sz w:val="24"/>
                <w:szCs w:val="24"/>
              </w:rPr>
              <w:t xml:space="preserve"> to ensure microbial genomics applications: are evidence-based; nationally consistent (where appropriate)</w:t>
            </w:r>
            <w:proofErr w:type="gramStart"/>
            <w:r w:rsidR="0005729D">
              <w:rPr>
                <w:sz w:val="24"/>
                <w:szCs w:val="24"/>
              </w:rPr>
              <w:t>;</w:t>
            </w:r>
            <w:proofErr w:type="gramEnd"/>
            <w:r w:rsidR="00180FFE" w:rsidRPr="005B6722">
              <w:rPr>
                <w:sz w:val="24"/>
                <w:szCs w:val="24"/>
              </w:rPr>
              <w:t xml:space="preserve"> and </w:t>
            </w:r>
            <w:r w:rsidR="0035258B">
              <w:rPr>
                <w:sz w:val="24"/>
                <w:szCs w:val="24"/>
              </w:rPr>
              <w:t>in line</w:t>
            </w:r>
            <w:r w:rsidR="0035258B" w:rsidRPr="005B6722">
              <w:rPr>
                <w:sz w:val="24"/>
                <w:szCs w:val="24"/>
              </w:rPr>
              <w:t xml:space="preserve"> </w:t>
            </w:r>
            <w:r w:rsidR="00180FFE" w:rsidRPr="005B6722">
              <w:rPr>
                <w:sz w:val="24"/>
                <w:szCs w:val="24"/>
              </w:rPr>
              <w:t>with agreed national approaches.</w:t>
            </w:r>
          </w:p>
        </w:tc>
        <w:tc>
          <w:tcPr>
            <w:tcW w:w="1543" w:type="dxa"/>
          </w:tcPr>
          <w:p w14:paraId="4DCF9439"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c>
          <w:tcPr>
            <w:tcW w:w="3365" w:type="dxa"/>
          </w:tcPr>
          <w:p w14:paraId="2F763A28"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CDGN, PHLN</w:t>
            </w:r>
          </w:p>
        </w:tc>
        <w:tc>
          <w:tcPr>
            <w:tcW w:w="1243" w:type="dxa"/>
          </w:tcPr>
          <w:p w14:paraId="65A1D623" w14:textId="77777777" w:rsidR="00180FFE" w:rsidRPr="00AE059E" w:rsidRDefault="00180FFE" w:rsidP="003557CE">
            <w:pPr>
              <w:rPr>
                <w:sz w:val="24"/>
                <w:szCs w:val="24"/>
                <w:lang w:val="en-AU"/>
              </w:rPr>
            </w:pPr>
            <w:r w:rsidRPr="005B6722">
              <w:rPr>
                <w:sz w:val="24"/>
                <w:szCs w:val="24"/>
              </w:rPr>
              <w:t>Medium</w:t>
            </w:r>
          </w:p>
        </w:tc>
      </w:tr>
      <w:tr w:rsidR="00180FFE" w:rsidRPr="005B6722" w14:paraId="4E8B51B1" w14:textId="77777777" w:rsidTr="003557CE">
        <w:tc>
          <w:tcPr>
            <w:tcW w:w="8339" w:type="dxa"/>
          </w:tcPr>
          <w:p w14:paraId="159B05FD" w14:textId="513C1E3A" w:rsidR="00180FFE" w:rsidRPr="00AE059E" w:rsidRDefault="00276BE0" w:rsidP="00332962">
            <w:pPr>
              <w:rPr>
                <w:sz w:val="24"/>
                <w:szCs w:val="24"/>
                <w:lang w:val="en-AU"/>
              </w:rPr>
            </w:pPr>
            <w:r w:rsidRPr="005B6722">
              <w:rPr>
                <w:sz w:val="24"/>
                <w:szCs w:val="24"/>
              </w:rPr>
              <w:t xml:space="preserve">1.1.3 </w:t>
            </w:r>
            <w:r w:rsidR="00180FFE" w:rsidRPr="005B6722">
              <w:rPr>
                <w:sz w:val="24"/>
                <w:szCs w:val="24"/>
              </w:rPr>
              <w:t xml:space="preserve">Build on existing mechanisms, systems and processes (where possible) </w:t>
            </w:r>
            <w:r w:rsidR="00332962" w:rsidRPr="005B6722">
              <w:rPr>
                <w:sz w:val="24"/>
                <w:szCs w:val="24"/>
              </w:rPr>
              <w:t>to ensure</w:t>
            </w:r>
            <w:r w:rsidR="00180FFE" w:rsidRPr="005B6722">
              <w:rPr>
                <w:sz w:val="24"/>
                <w:szCs w:val="24"/>
              </w:rPr>
              <w:t xml:space="preserve"> nationally adopted supply of service </w:t>
            </w:r>
            <w:r w:rsidR="00332962" w:rsidRPr="005B6722">
              <w:rPr>
                <w:sz w:val="24"/>
                <w:szCs w:val="24"/>
              </w:rPr>
              <w:t xml:space="preserve">and </w:t>
            </w:r>
            <w:r w:rsidR="00180FFE" w:rsidRPr="005B6722">
              <w:rPr>
                <w:sz w:val="24"/>
                <w:szCs w:val="24"/>
              </w:rPr>
              <w:t>cohesive approaches to microbial genomic applications.</w:t>
            </w:r>
          </w:p>
        </w:tc>
        <w:tc>
          <w:tcPr>
            <w:tcW w:w="1543" w:type="dxa"/>
          </w:tcPr>
          <w:p w14:paraId="774170B5"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c>
          <w:tcPr>
            <w:tcW w:w="3365" w:type="dxa"/>
          </w:tcPr>
          <w:p w14:paraId="248DB9A1" w14:textId="77777777" w:rsidR="00180FFE" w:rsidRPr="00AE059E" w:rsidRDefault="00180FFE" w:rsidP="003557CE">
            <w:pPr>
              <w:rPr>
                <w:rFonts w:ascii="Times New Roman"/>
                <w:sz w:val="24"/>
                <w:szCs w:val="24"/>
                <w:lang w:val="en-AU"/>
              </w:rPr>
            </w:pPr>
            <w:r w:rsidRPr="005B6722">
              <w:rPr>
                <w:rFonts w:asciiTheme="minorHAnsi" w:hAnsiTheme="minorHAnsi" w:cstheme="minorHAnsi"/>
                <w:sz w:val="24"/>
                <w:szCs w:val="24"/>
              </w:rPr>
              <w:t>Health</w:t>
            </w:r>
          </w:p>
        </w:tc>
        <w:tc>
          <w:tcPr>
            <w:tcW w:w="1243" w:type="dxa"/>
          </w:tcPr>
          <w:p w14:paraId="6C17224A" w14:textId="77777777" w:rsidR="00180FFE" w:rsidRPr="00AE059E" w:rsidRDefault="00180FFE" w:rsidP="003557CE">
            <w:pPr>
              <w:rPr>
                <w:sz w:val="24"/>
                <w:szCs w:val="24"/>
                <w:lang w:val="en-AU"/>
              </w:rPr>
            </w:pPr>
            <w:r w:rsidRPr="005B6722">
              <w:rPr>
                <w:sz w:val="24"/>
                <w:szCs w:val="24"/>
              </w:rPr>
              <w:t>Medium</w:t>
            </w:r>
          </w:p>
        </w:tc>
      </w:tr>
      <w:tr w:rsidR="00180FFE" w:rsidRPr="005B6722" w14:paraId="6F144C92" w14:textId="77777777" w:rsidTr="003557CE">
        <w:tc>
          <w:tcPr>
            <w:tcW w:w="8339" w:type="dxa"/>
          </w:tcPr>
          <w:p w14:paraId="51C9C0DA" w14:textId="0459A2E1" w:rsidR="00180FFE" w:rsidRPr="00AE059E" w:rsidRDefault="00276BE0" w:rsidP="0005729D">
            <w:pPr>
              <w:rPr>
                <w:sz w:val="24"/>
                <w:szCs w:val="24"/>
                <w:lang w:val="en-AU"/>
              </w:rPr>
            </w:pPr>
            <w:r w:rsidRPr="005B6722">
              <w:rPr>
                <w:sz w:val="24"/>
                <w:szCs w:val="24"/>
              </w:rPr>
              <w:t xml:space="preserve">1.1.4 </w:t>
            </w:r>
            <w:r w:rsidR="00180FFE" w:rsidRPr="005B6722">
              <w:rPr>
                <w:sz w:val="24"/>
                <w:szCs w:val="24"/>
              </w:rPr>
              <w:t xml:space="preserve">Develop a consistent approach to </w:t>
            </w:r>
            <w:r w:rsidR="00C368F0" w:rsidRPr="005B6722">
              <w:rPr>
                <w:sz w:val="24"/>
                <w:szCs w:val="24"/>
              </w:rPr>
              <w:t xml:space="preserve">microbial </w:t>
            </w:r>
            <w:r w:rsidR="00180FFE" w:rsidRPr="005B6722">
              <w:rPr>
                <w:sz w:val="24"/>
                <w:szCs w:val="24"/>
              </w:rPr>
              <w:t>genomics data analys</w:t>
            </w:r>
            <w:r w:rsidR="00C368F0" w:rsidRPr="005B6722">
              <w:rPr>
                <w:sz w:val="24"/>
                <w:szCs w:val="24"/>
              </w:rPr>
              <w:t>e</w:t>
            </w:r>
            <w:r w:rsidR="00180FFE" w:rsidRPr="005B6722">
              <w:rPr>
                <w:sz w:val="24"/>
                <w:szCs w:val="24"/>
              </w:rPr>
              <w:t xml:space="preserve">s across jurisdictions, noting the challenges and approaches in analysis can depend on the </w:t>
            </w:r>
            <w:r w:rsidR="0005729D">
              <w:rPr>
                <w:sz w:val="24"/>
                <w:szCs w:val="24"/>
              </w:rPr>
              <w:t>organism.</w:t>
            </w:r>
            <w:r w:rsidR="00180FFE" w:rsidRPr="005B6722">
              <w:rPr>
                <w:sz w:val="24"/>
                <w:szCs w:val="24"/>
              </w:rPr>
              <w:t xml:space="preserve">  </w:t>
            </w:r>
          </w:p>
        </w:tc>
        <w:tc>
          <w:tcPr>
            <w:tcW w:w="1543" w:type="dxa"/>
          </w:tcPr>
          <w:p w14:paraId="43F844F6" w14:textId="52478E4B" w:rsidR="00180FFE" w:rsidRPr="00AE059E" w:rsidRDefault="00176972" w:rsidP="00176972">
            <w:pPr>
              <w:rPr>
                <w:rFonts w:asciiTheme="minorHAnsi" w:hAnsiTheme="minorHAnsi" w:cstheme="minorHAnsi"/>
                <w:sz w:val="24"/>
                <w:szCs w:val="24"/>
                <w:lang w:val="en-AU"/>
              </w:rPr>
            </w:pPr>
            <w:r w:rsidRPr="005B6722">
              <w:rPr>
                <w:rFonts w:asciiTheme="minorHAnsi" w:hAnsiTheme="minorHAnsi" w:cstheme="minorHAnsi"/>
                <w:sz w:val="24"/>
                <w:szCs w:val="24"/>
              </w:rPr>
              <w:t>Medium</w:t>
            </w:r>
          </w:p>
        </w:tc>
        <w:tc>
          <w:tcPr>
            <w:tcW w:w="3365" w:type="dxa"/>
          </w:tcPr>
          <w:p w14:paraId="267A5C13"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CDGN</w:t>
            </w:r>
          </w:p>
        </w:tc>
        <w:tc>
          <w:tcPr>
            <w:tcW w:w="1243" w:type="dxa"/>
          </w:tcPr>
          <w:p w14:paraId="3F2AFC0D" w14:textId="77777777" w:rsidR="00180FFE" w:rsidRPr="00AE059E" w:rsidRDefault="00180FFE" w:rsidP="003557CE">
            <w:pPr>
              <w:rPr>
                <w:sz w:val="24"/>
                <w:szCs w:val="24"/>
                <w:lang w:val="en-AU"/>
              </w:rPr>
            </w:pPr>
            <w:r w:rsidRPr="005B6722">
              <w:rPr>
                <w:sz w:val="24"/>
                <w:szCs w:val="24"/>
              </w:rPr>
              <w:t>High</w:t>
            </w:r>
          </w:p>
        </w:tc>
      </w:tr>
      <w:tr w:rsidR="00180FFE" w:rsidRPr="005B6722" w14:paraId="1B10EB96" w14:textId="77777777" w:rsidTr="003557CE">
        <w:tc>
          <w:tcPr>
            <w:tcW w:w="8339" w:type="dxa"/>
          </w:tcPr>
          <w:p w14:paraId="78CA72AC" w14:textId="138320F9" w:rsidR="00180FFE" w:rsidRPr="00AE059E" w:rsidRDefault="00276BE0" w:rsidP="003557CE">
            <w:pPr>
              <w:rPr>
                <w:sz w:val="24"/>
                <w:szCs w:val="24"/>
                <w:lang w:val="en-AU"/>
              </w:rPr>
            </w:pPr>
            <w:r w:rsidRPr="005B6722">
              <w:rPr>
                <w:sz w:val="24"/>
                <w:szCs w:val="24"/>
              </w:rPr>
              <w:t xml:space="preserve">1.1.5 </w:t>
            </w:r>
            <w:r w:rsidR="00180FFE" w:rsidRPr="005B6722">
              <w:rPr>
                <w:sz w:val="24"/>
                <w:szCs w:val="24"/>
              </w:rPr>
              <w:t>Identify and establish national surveillance using genomics for priority organisms of national public health concern.</w:t>
            </w:r>
          </w:p>
        </w:tc>
        <w:tc>
          <w:tcPr>
            <w:tcW w:w="1543" w:type="dxa"/>
          </w:tcPr>
          <w:p w14:paraId="099E3795" w14:textId="7DCA44FC"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 xml:space="preserve">Short </w:t>
            </w:r>
            <w:r w:rsidR="0005729D">
              <w:rPr>
                <w:rFonts w:asciiTheme="minorHAnsi" w:hAnsiTheme="minorHAnsi" w:cstheme="minorHAnsi"/>
                <w:sz w:val="24"/>
                <w:szCs w:val="24"/>
              </w:rPr>
              <w:t>(</w:t>
            </w:r>
            <w:r w:rsidRPr="005B6722">
              <w:rPr>
                <w:rFonts w:asciiTheme="minorHAnsi" w:hAnsiTheme="minorHAnsi" w:cstheme="minorHAnsi"/>
                <w:sz w:val="24"/>
                <w:szCs w:val="24"/>
              </w:rPr>
              <w:t>ongoing</w:t>
            </w:r>
            <w:r w:rsidR="0005729D">
              <w:rPr>
                <w:rFonts w:asciiTheme="minorHAnsi" w:hAnsiTheme="minorHAnsi" w:cstheme="minorHAnsi"/>
                <w:sz w:val="24"/>
                <w:szCs w:val="24"/>
              </w:rPr>
              <w:t>)</w:t>
            </w:r>
          </w:p>
        </w:tc>
        <w:tc>
          <w:tcPr>
            <w:tcW w:w="3365" w:type="dxa"/>
          </w:tcPr>
          <w:p w14:paraId="15C715CA" w14:textId="73D23994"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CDGN, PHLN</w:t>
            </w:r>
            <w:r w:rsidR="00176972" w:rsidRPr="005B6722">
              <w:rPr>
                <w:rFonts w:asciiTheme="minorHAnsi" w:hAnsiTheme="minorHAnsi" w:cstheme="minorHAnsi"/>
                <w:sz w:val="24"/>
                <w:szCs w:val="24"/>
              </w:rPr>
              <w:t>, Health</w:t>
            </w:r>
          </w:p>
        </w:tc>
        <w:tc>
          <w:tcPr>
            <w:tcW w:w="1243" w:type="dxa"/>
          </w:tcPr>
          <w:p w14:paraId="119BA4E0" w14:textId="77777777" w:rsidR="00180FFE" w:rsidRPr="00AE059E" w:rsidRDefault="00180FFE" w:rsidP="003557CE">
            <w:pPr>
              <w:rPr>
                <w:sz w:val="24"/>
                <w:szCs w:val="24"/>
                <w:lang w:val="en-AU"/>
              </w:rPr>
            </w:pPr>
            <w:r w:rsidRPr="005B6722">
              <w:rPr>
                <w:sz w:val="24"/>
                <w:szCs w:val="24"/>
              </w:rPr>
              <w:t>High</w:t>
            </w:r>
          </w:p>
        </w:tc>
      </w:tr>
      <w:tr w:rsidR="00180FFE" w:rsidRPr="005B6722" w14:paraId="43912AB4" w14:textId="77777777" w:rsidTr="003557CE">
        <w:tc>
          <w:tcPr>
            <w:tcW w:w="14490" w:type="dxa"/>
            <w:gridSpan w:val="4"/>
          </w:tcPr>
          <w:p w14:paraId="732A9488" w14:textId="77777777" w:rsidR="00180FFE" w:rsidRPr="00AE059E" w:rsidRDefault="00180FFE" w:rsidP="003557CE">
            <w:pPr>
              <w:rPr>
                <w:b/>
                <w:sz w:val="24"/>
                <w:szCs w:val="24"/>
                <w:lang w:val="en-AU"/>
              </w:rPr>
            </w:pPr>
            <w:r w:rsidRPr="005B6722">
              <w:rPr>
                <w:b/>
                <w:sz w:val="24"/>
                <w:szCs w:val="24"/>
              </w:rPr>
              <w:t xml:space="preserve">Outcome 1.2 – </w:t>
            </w:r>
            <w:proofErr w:type="spellStart"/>
            <w:r w:rsidRPr="005B6722">
              <w:rPr>
                <w:b/>
                <w:sz w:val="24"/>
                <w:szCs w:val="24"/>
              </w:rPr>
              <w:t>Harmonisation</w:t>
            </w:r>
            <w:proofErr w:type="spellEnd"/>
            <w:r w:rsidRPr="005B6722">
              <w:rPr>
                <w:b/>
                <w:sz w:val="24"/>
                <w:szCs w:val="24"/>
              </w:rPr>
              <w:t xml:space="preserve"> of laboratory-based sequencing and surveillance methods</w:t>
            </w:r>
          </w:p>
        </w:tc>
      </w:tr>
      <w:tr w:rsidR="00F3700F" w:rsidRPr="005B6722" w14:paraId="52C6861C" w14:textId="77777777" w:rsidTr="003557CE">
        <w:tc>
          <w:tcPr>
            <w:tcW w:w="8339" w:type="dxa"/>
          </w:tcPr>
          <w:p w14:paraId="2329973B" w14:textId="690E180D" w:rsidR="00F3700F" w:rsidRPr="00AE059E" w:rsidRDefault="00276BE0" w:rsidP="00602D67">
            <w:pPr>
              <w:rPr>
                <w:sz w:val="24"/>
                <w:szCs w:val="24"/>
                <w:lang w:val="en-AU"/>
              </w:rPr>
            </w:pPr>
            <w:r w:rsidRPr="005B6722">
              <w:rPr>
                <w:sz w:val="24"/>
                <w:szCs w:val="24"/>
              </w:rPr>
              <w:t>1.2.</w:t>
            </w:r>
            <w:r w:rsidR="004E588A" w:rsidRPr="005B6722">
              <w:rPr>
                <w:sz w:val="24"/>
                <w:szCs w:val="24"/>
              </w:rPr>
              <w:t>1</w:t>
            </w:r>
            <w:r w:rsidRPr="005B6722">
              <w:rPr>
                <w:sz w:val="24"/>
                <w:szCs w:val="24"/>
              </w:rPr>
              <w:t xml:space="preserve"> </w:t>
            </w:r>
            <w:r w:rsidR="00F3700F" w:rsidRPr="005B6722">
              <w:rPr>
                <w:sz w:val="24"/>
                <w:szCs w:val="24"/>
              </w:rPr>
              <w:t xml:space="preserve">Develop and promote laboratory guidelines and decision support tools </w:t>
            </w:r>
            <w:proofErr w:type="gramStart"/>
            <w:r w:rsidR="00F3700F" w:rsidRPr="005B6722">
              <w:rPr>
                <w:sz w:val="24"/>
                <w:szCs w:val="24"/>
              </w:rPr>
              <w:t xml:space="preserve">to clearly </w:t>
            </w:r>
            <w:r w:rsidR="0035258B">
              <w:rPr>
                <w:sz w:val="24"/>
                <w:szCs w:val="24"/>
              </w:rPr>
              <w:t>describe</w:t>
            </w:r>
            <w:proofErr w:type="gramEnd"/>
            <w:r w:rsidR="0035258B" w:rsidRPr="005B6722">
              <w:rPr>
                <w:sz w:val="24"/>
                <w:szCs w:val="24"/>
              </w:rPr>
              <w:t xml:space="preserve"> </w:t>
            </w:r>
            <w:r w:rsidR="00F3700F" w:rsidRPr="005B6722">
              <w:rPr>
                <w:sz w:val="24"/>
                <w:szCs w:val="24"/>
              </w:rPr>
              <w:t>appropriate referral practices</w:t>
            </w:r>
            <w:r w:rsidR="0082044A">
              <w:rPr>
                <w:sz w:val="24"/>
                <w:szCs w:val="24"/>
              </w:rPr>
              <w:t>.</w:t>
            </w:r>
            <w:r w:rsidR="00F3700F" w:rsidRPr="005B6722">
              <w:rPr>
                <w:sz w:val="24"/>
                <w:szCs w:val="24"/>
              </w:rPr>
              <w:t xml:space="preserve"> </w:t>
            </w:r>
            <w:r w:rsidR="0082044A">
              <w:rPr>
                <w:sz w:val="24"/>
                <w:szCs w:val="24"/>
              </w:rPr>
              <w:t>That is,</w:t>
            </w:r>
            <w:r w:rsidR="00F3700F" w:rsidRPr="005B6722">
              <w:rPr>
                <w:sz w:val="24"/>
                <w:szCs w:val="24"/>
              </w:rPr>
              <w:t xml:space="preserve"> when should WGS be requested by general practitioners, diagnostic laboratories, </w:t>
            </w:r>
            <w:r w:rsidR="0005729D">
              <w:rPr>
                <w:sz w:val="24"/>
                <w:szCs w:val="24"/>
              </w:rPr>
              <w:t xml:space="preserve">or </w:t>
            </w:r>
            <w:r w:rsidR="00F3700F" w:rsidRPr="005B6722">
              <w:rPr>
                <w:sz w:val="24"/>
                <w:szCs w:val="24"/>
              </w:rPr>
              <w:t>other public health clients</w:t>
            </w:r>
            <w:r w:rsidR="004E588A" w:rsidRPr="005B6722">
              <w:rPr>
                <w:sz w:val="24"/>
                <w:szCs w:val="24"/>
              </w:rPr>
              <w:t xml:space="preserve"> to ensure use of resources is</w:t>
            </w:r>
            <w:r w:rsidR="00602D67">
              <w:rPr>
                <w:sz w:val="24"/>
                <w:szCs w:val="24"/>
              </w:rPr>
              <w:t xml:space="preserve"> </w:t>
            </w:r>
            <w:proofErr w:type="gramStart"/>
            <w:r w:rsidR="00602D67">
              <w:rPr>
                <w:sz w:val="24"/>
                <w:szCs w:val="24"/>
              </w:rPr>
              <w:t>efficient</w:t>
            </w:r>
            <w:r w:rsidR="004E588A" w:rsidRPr="005B6722">
              <w:rPr>
                <w:sz w:val="24"/>
                <w:szCs w:val="24"/>
              </w:rPr>
              <w:t>.</w:t>
            </w:r>
            <w:proofErr w:type="gramEnd"/>
          </w:p>
        </w:tc>
        <w:tc>
          <w:tcPr>
            <w:tcW w:w="1543" w:type="dxa"/>
          </w:tcPr>
          <w:p w14:paraId="0D9B854F" w14:textId="17A4E4E7" w:rsidR="00F3700F" w:rsidRPr="00AE059E" w:rsidRDefault="00F3700F" w:rsidP="003557CE">
            <w:pPr>
              <w:rPr>
                <w:sz w:val="24"/>
                <w:szCs w:val="24"/>
                <w:lang w:val="en-AU"/>
              </w:rPr>
            </w:pPr>
            <w:r w:rsidRPr="005B6722">
              <w:rPr>
                <w:sz w:val="24"/>
                <w:szCs w:val="24"/>
              </w:rPr>
              <w:t>Medium</w:t>
            </w:r>
          </w:p>
        </w:tc>
        <w:tc>
          <w:tcPr>
            <w:tcW w:w="3365" w:type="dxa"/>
          </w:tcPr>
          <w:p w14:paraId="2255D722" w14:textId="11D39240" w:rsidR="00F3700F" w:rsidRPr="00AE059E" w:rsidRDefault="00F3700F" w:rsidP="003557CE">
            <w:pPr>
              <w:rPr>
                <w:sz w:val="24"/>
                <w:szCs w:val="24"/>
                <w:lang w:val="en-AU"/>
              </w:rPr>
            </w:pPr>
            <w:r w:rsidRPr="005B6722">
              <w:rPr>
                <w:sz w:val="24"/>
                <w:szCs w:val="24"/>
              </w:rPr>
              <w:t>CDGN, PHLN</w:t>
            </w:r>
          </w:p>
        </w:tc>
        <w:tc>
          <w:tcPr>
            <w:tcW w:w="1243" w:type="dxa"/>
          </w:tcPr>
          <w:p w14:paraId="522AE601" w14:textId="03BD17D6" w:rsidR="00F3700F" w:rsidRPr="00AE059E" w:rsidRDefault="00F3700F" w:rsidP="003557CE">
            <w:pPr>
              <w:rPr>
                <w:sz w:val="24"/>
                <w:szCs w:val="24"/>
                <w:lang w:val="en-AU"/>
              </w:rPr>
            </w:pPr>
            <w:r w:rsidRPr="005B6722">
              <w:rPr>
                <w:sz w:val="24"/>
                <w:szCs w:val="24"/>
              </w:rPr>
              <w:t>Medium</w:t>
            </w:r>
          </w:p>
        </w:tc>
      </w:tr>
      <w:tr w:rsidR="00180FFE" w:rsidRPr="005B6722" w14:paraId="2CA5B6F7" w14:textId="77777777" w:rsidTr="003557CE">
        <w:tc>
          <w:tcPr>
            <w:tcW w:w="8339" w:type="dxa"/>
          </w:tcPr>
          <w:p w14:paraId="75CA2BC7" w14:textId="378F3652" w:rsidR="00180FFE" w:rsidRPr="00AE059E" w:rsidRDefault="00276BE0" w:rsidP="00E81ABF">
            <w:pPr>
              <w:rPr>
                <w:sz w:val="24"/>
                <w:szCs w:val="24"/>
                <w:lang w:val="en-AU"/>
              </w:rPr>
            </w:pPr>
            <w:r w:rsidRPr="005B6722">
              <w:rPr>
                <w:sz w:val="24"/>
                <w:szCs w:val="24"/>
              </w:rPr>
              <w:t>1.2.</w:t>
            </w:r>
            <w:r w:rsidR="004E588A" w:rsidRPr="005B6722">
              <w:rPr>
                <w:sz w:val="24"/>
                <w:szCs w:val="24"/>
              </w:rPr>
              <w:t>2</w:t>
            </w:r>
            <w:r w:rsidRPr="005B6722">
              <w:rPr>
                <w:sz w:val="24"/>
                <w:szCs w:val="24"/>
              </w:rPr>
              <w:t xml:space="preserve"> </w:t>
            </w:r>
            <w:r w:rsidR="00180FFE" w:rsidRPr="005B6722">
              <w:rPr>
                <w:sz w:val="24"/>
                <w:szCs w:val="24"/>
              </w:rPr>
              <w:t xml:space="preserve">Encourage engagement between </w:t>
            </w:r>
            <w:r w:rsidR="0005729D">
              <w:rPr>
                <w:sz w:val="24"/>
                <w:szCs w:val="24"/>
              </w:rPr>
              <w:t>g</w:t>
            </w:r>
            <w:r w:rsidR="0005729D" w:rsidRPr="005B6722">
              <w:rPr>
                <w:sz w:val="24"/>
                <w:szCs w:val="24"/>
              </w:rPr>
              <w:t>overnments</w:t>
            </w:r>
            <w:r w:rsidR="00180FFE" w:rsidRPr="005B6722">
              <w:rPr>
                <w:sz w:val="24"/>
                <w:szCs w:val="24"/>
              </w:rPr>
              <w:t>, laboratories, public health units</w:t>
            </w:r>
            <w:r w:rsidR="00BA3504">
              <w:rPr>
                <w:sz w:val="24"/>
                <w:szCs w:val="24"/>
              </w:rPr>
              <w:t xml:space="preserve"> (PHUs)</w:t>
            </w:r>
            <w:r w:rsidR="00180FFE" w:rsidRPr="005B6722">
              <w:rPr>
                <w:sz w:val="24"/>
                <w:szCs w:val="24"/>
              </w:rPr>
              <w:t xml:space="preserve"> and the research sector to discuss, </w:t>
            </w:r>
            <w:r w:rsidR="00602D67">
              <w:rPr>
                <w:sz w:val="24"/>
                <w:szCs w:val="24"/>
              </w:rPr>
              <w:t>discover</w:t>
            </w:r>
            <w:r w:rsidR="0035258B" w:rsidRPr="005B6722">
              <w:rPr>
                <w:sz w:val="24"/>
                <w:szCs w:val="24"/>
              </w:rPr>
              <w:t xml:space="preserve"> </w:t>
            </w:r>
            <w:r w:rsidR="00180FFE" w:rsidRPr="005B6722">
              <w:rPr>
                <w:sz w:val="24"/>
                <w:szCs w:val="24"/>
              </w:rPr>
              <w:t>and address any ethical and/or legal issues associated with microbial genomics (</w:t>
            </w:r>
            <w:r w:rsidR="008D47A0">
              <w:rPr>
                <w:sz w:val="24"/>
                <w:szCs w:val="24"/>
              </w:rPr>
              <w:t>especially</w:t>
            </w:r>
            <w:r w:rsidR="00180FFE" w:rsidRPr="005B6722">
              <w:rPr>
                <w:sz w:val="24"/>
                <w:szCs w:val="24"/>
              </w:rPr>
              <w:t xml:space="preserve"> metagenomics).</w:t>
            </w:r>
          </w:p>
        </w:tc>
        <w:tc>
          <w:tcPr>
            <w:tcW w:w="1543" w:type="dxa"/>
          </w:tcPr>
          <w:p w14:paraId="67FE6667" w14:textId="77777777" w:rsidR="00180FFE" w:rsidRPr="00AE059E" w:rsidRDefault="00180FFE" w:rsidP="003557CE">
            <w:pPr>
              <w:rPr>
                <w:sz w:val="24"/>
                <w:szCs w:val="24"/>
                <w:lang w:val="en-AU"/>
              </w:rPr>
            </w:pPr>
            <w:r w:rsidRPr="005B6722">
              <w:rPr>
                <w:sz w:val="24"/>
                <w:szCs w:val="24"/>
              </w:rPr>
              <w:t>Medium</w:t>
            </w:r>
          </w:p>
        </w:tc>
        <w:tc>
          <w:tcPr>
            <w:tcW w:w="3365" w:type="dxa"/>
          </w:tcPr>
          <w:p w14:paraId="25AB7A07" w14:textId="6AAB9703" w:rsidR="00180FFE" w:rsidRPr="00AE059E" w:rsidRDefault="004E588A" w:rsidP="003557CE">
            <w:pPr>
              <w:rPr>
                <w:sz w:val="24"/>
                <w:szCs w:val="24"/>
                <w:lang w:val="en-AU"/>
              </w:rPr>
            </w:pPr>
            <w:r w:rsidRPr="005B6722">
              <w:rPr>
                <w:sz w:val="24"/>
                <w:szCs w:val="24"/>
              </w:rPr>
              <w:t xml:space="preserve">CDGN, PHLN, </w:t>
            </w:r>
            <w:r w:rsidR="00180FFE" w:rsidRPr="005B6722">
              <w:rPr>
                <w:sz w:val="24"/>
                <w:szCs w:val="24"/>
              </w:rPr>
              <w:t>Health</w:t>
            </w:r>
          </w:p>
        </w:tc>
        <w:tc>
          <w:tcPr>
            <w:tcW w:w="1243" w:type="dxa"/>
          </w:tcPr>
          <w:p w14:paraId="3E7514A4" w14:textId="77777777" w:rsidR="00180FFE" w:rsidRPr="00AE059E" w:rsidRDefault="00180FFE" w:rsidP="003557CE">
            <w:pPr>
              <w:rPr>
                <w:sz w:val="24"/>
                <w:szCs w:val="24"/>
                <w:lang w:val="en-AU"/>
              </w:rPr>
            </w:pPr>
            <w:r w:rsidRPr="005B6722">
              <w:rPr>
                <w:sz w:val="24"/>
                <w:szCs w:val="24"/>
              </w:rPr>
              <w:t>Medium</w:t>
            </w:r>
          </w:p>
        </w:tc>
      </w:tr>
      <w:tr w:rsidR="00180FFE" w:rsidRPr="005B6722" w14:paraId="7E9B8A07" w14:textId="77777777" w:rsidTr="003557CE">
        <w:tc>
          <w:tcPr>
            <w:tcW w:w="8339" w:type="dxa"/>
          </w:tcPr>
          <w:p w14:paraId="6C68DDF8" w14:textId="32AFC2FF" w:rsidR="00180FFE" w:rsidRPr="00AE059E" w:rsidRDefault="00276BE0">
            <w:pPr>
              <w:rPr>
                <w:sz w:val="24"/>
                <w:szCs w:val="24"/>
                <w:lang w:val="en-AU"/>
              </w:rPr>
            </w:pPr>
            <w:r w:rsidRPr="005B6722">
              <w:rPr>
                <w:sz w:val="24"/>
                <w:szCs w:val="24"/>
              </w:rPr>
              <w:t>1.2.</w:t>
            </w:r>
            <w:r w:rsidR="004E588A" w:rsidRPr="005B6722">
              <w:rPr>
                <w:sz w:val="24"/>
                <w:szCs w:val="24"/>
              </w:rPr>
              <w:t>3</w:t>
            </w:r>
            <w:r w:rsidRPr="005B6722">
              <w:rPr>
                <w:sz w:val="24"/>
                <w:szCs w:val="24"/>
              </w:rPr>
              <w:t xml:space="preserve"> </w:t>
            </w:r>
            <w:r w:rsidR="008D47A0">
              <w:rPr>
                <w:sz w:val="24"/>
                <w:szCs w:val="24"/>
              </w:rPr>
              <w:t>Involve</w:t>
            </w:r>
            <w:r w:rsidR="00180FFE" w:rsidRPr="005B6722">
              <w:rPr>
                <w:sz w:val="24"/>
                <w:szCs w:val="24"/>
              </w:rPr>
              <w:t xml:space="preserve"> health sector partners outside of core public health systems to promote awareness and understanding of microbial genomics, such as remote area clinics and hospitals.</w:t>
            </w:r>
          </w:p>
        </w:tc>
        <w:tc>
          <w:tcPr>
            <w:tcW w:w="1543" w:type="dxa"/>
          </w:tcPr>
          <w:p w14:paraId="0E1874CC" w14:textId="77777777" w:rsidR="00180FFE" w:rsidRPr="00AE059E" w:rsidRDefault="00180FFE" w:rsidP="003557CE">
            <w:pPr>
              <w:rPr>
                <w:sz w:val="24"/>
                <w:szCs w:val="24"/>
                <w:lang w:val="en-AU"/>
              </w:rPr>
            </w:pPr>
            <w:r w:rsidRPr="005B6722">
              <w:rPr>
                <w:sz w:val="24"/>
                <w:szCs w:val="24"/>
              </w:rPr>
              <w:t>Medium</w:t>
            </w:r>
          </w:p>
        </w:tc>
        <w:tc>
          <w:tcPr>
            <w:tcW w:w="3365" w:type="dxa"/>
          </w:tcPr>
          <w:p w14:paraId="5B4579C5" w14:textId="33716279" w:rsidR="00180FFE" w:rsidRPr="00AE059E" w:rsidRDefault="004E588A" w:rsidP="003557CE">
            <w:pPr>
              <w:rPr>
                <w:sz w:val="24"/>
                <w:szCs w:val="24"/>
                <w:lang w:val="en-AU"/>
              </w:rPr>
            </w:pPr>
            <w:r w:rsidRPr="005B6722">
              <w:rPr>
                <w:sz w:val="24"/>
                <w:szCs w:val="24"/>
              </w:rPr>
              <w:t xml:space="preserve">CDGN, PHLN, </w:t>
            </w:r>
            <w:r w:rsidR="00180FFE" w:rsidRPr="005B6722">
              <w:rPr>
                <w:sz w:val="24"/>
                <w:szCs w:val="24"/>
              </w:rPr>
              <w:t>Health</w:t>
            </w:r>
          </w:p>
        </w:tc>
        <w:tc>
          <w:tcPr>
            <w:tcW w:w="1243" w:type="dxa"/>
          </w:tcPr>
          <w:p w14:paraId="135D553C" w14:textId="77777777" w:rsidR="00180FFE" w:rsidRPr="00AE059E" w:rsidRDefault="00180FFE" w:rsidP="003557CE">
            <w:pPr>
              <w:rPr>
                <w:sz w:val="24"/>
                <w:szCs w:val="24"/>
                <w:lang w:val="en-AU"/>
              </w:rPr>
            </w:pPr>
            <w:r w:rsidRPr="005B6722">
              <w:rPr>
                <w:sz w:val="24"/>
                <w:szCs w:val="24"/>
              </w:rPr>
              <w:t>Medium</w:t>
            </w:r>
          </w:p>
        </w:tc>
      </w:tr>
      <w:tr w:rsidR="00180FFE" w:rsidRPr="005B6722" w14:paraId="68710819" w14:textId="77777777" w:rsidTr="003557CE">
        <w:tc>
          <w:tcPr>
            <w:tcW w:w="8339" w:type="dxa"/>
          </w:tcPr>
          <w:p w14:paraId="300B2754" w14:textId="09FE0A06" w:rsidR="00180FFE" w:rsidRPr="00AE059E" w:rsidRDefault="00276BE0" w:rsidP="009B2973">
            <w:pPr>
              <w:rPr>
                <w:sz w:val="24"/>
                <w:szCs w:val="24"/>
                <w:lang w:val="en-AU"/>
              </w:rPr>
            </w:pPr>
            <w:r w:rsidRPr="005B6722">
              <w:rPr>
                <w:sz w:val="24"/>
                <w:szCs w:val="24"/>
              </w:rPr>
              <w:t>1.2.</w:t>
            </w:r>
            <w:r w:rsidR="004E588A" w:rsidRPr="005B6722">
              <w:rPr>
                <w:sz w:val="24"/>
                <w:szCs w:val="24"/>
              </w:rPr>
              <w:t>4</w:t>
            </w:r>
            <w:r w:rsidRPr="005B6722">
              <w:rPr>
                <w:sz w:val="24"/>
                <w:szCs w:val="24"/>
              </w:rPr>
              <w:t xml:space="preserve"> </w:t>
            </w:r>
            <w:r w:rsidR="00180FFE" w:rsidRPr="005B6722">
              <w:rPr>
                <w:sz w:val="24"/>
                <w:szCs w:val="24"/>
              </w:rPr>
              <w:t xml:space="preserve">Design and </w:t>
            </w:r>
            <w:r w:rsidR="0035258B">
              <w:rPr>
                <w:sz w:val="24"/>
                <w:szCs w:val="24"/>
              </w:rPr>
              <w:t>provide</w:t>
            </w:r>
            <w:r w:rsidR="0035258B" w:rsidRPr="005B6722">
              <w:rPr>
                <w:sz w:val="24"/>
                <w:szCs w:val="24"/>
              </w:rPr>
              <w:t xml:space="preserve"> </w:t>
            </w:r>
            <w:r w:rsidR="00180FFE" w:rsidRPr="005B6722">
              <w:rPr>
                <w:sz w:val="24"/>
                <w:szCs w:val="24"/>
              </w:rPr>
              <w:t>an annual survey</w:t>
            </w:r>
            <w:r w:rsidR="00F65308" w:rsidRPr="005B6722">
              <w:rPr>
                <w:sz w:val="24"/>
                <w:szCs w:val="24"/>
              </w:rPr>
              <w:t xml:space="preserve"> for public health laboratories</w:t>
            </w:r>
            <w:r w:rsidR="001D3B15">
              <w:rPr>
                <w:sz w:val="24"/>
                <w:szCs w:val="24"/>
              </w:rPr>
              <w:t xml:space="preserve"> and public health professionals</w:t>
            </w:r>
            <w:r w:rsidR="00F65308" w:rsidRPr="005B6722">
              <w:rPr>
                <w:sz w:val="24"/>
                <w:szCs w:val="24"/>
              </w:rPr>
              <w:t xml:space="preserve"> working with microbial genomics</w:t>
            </w:r>
            <w:r w:rsidR="009D7046">
              <w:rPr>
                <w:sz w:val="24"/>
                <w:szCs w:val="24"/>
              </w:rPr>
              <w:t xml:space="preserve"> </w:t>
            </w:r>
            <w:r w:rsidR="00180FFE" w:rsidRPr="005B6722">
              <w:rPr>
                <w:sz w:val="24"/>
                <w:szCs w:val="24"/>
              </w:rPr>
              <w:t>to measure</w:t>
            </w:r>
            <w:r w:rsidR="00BF348E" w:rsidRPr="005B6722">
              <w:rPr>
                <w:sz w:val="24"/>
                <w:szCs w:val="24"/>
              </w:rPr>
              <w:t xml:space="preserve"> the</w:t>
            </w:r>
            <w:r w:rsidR="00180FFE" w:rsidRPr="005B6722">
              <w:rPr>
                <w:sz w:val="24"/>
                <w:szCs w:val="24"/>
              </w:rPr>
              <w:t xml:space="preserve"> impact and progress of the </w:t>
            </w:r>
            <w:proofErr w:type="spellStart"/>
            <w:r w:rsidR="00180FFE" w:rsidRPr="005B6722">
              <w:rPr>
                <w:sz w:val="24"/>
                <w:szCs w:val="24"/>
              </w:rPr>
              <w:t>modernisation</w:t>
            </w:r>
            <w:proofErr w:type="spellEnd"/>
            <w:r w:rsidR="00180FFE" w:rsidRPr="005B6722">
              <w:rPr>
                <w:sz w:val="24"/>
                <w:szCs w:val="24"/>
              </w:rPr>
              <w:t xml:space="preserve"> of national microbial genomics capability and </w:t>
            </w:r>
            <w:r w:rsidR="00180FFE" w:rsidRPr="005B6722">
              <w:rPr>
                <w:sz w:val="24"/>
                <w:szCs w:val="24"/>
              </w:rPr>
              <w:lastRenderedPageBreak/>
              <w:t>capacity</w:t>
            </w:r>
            <w:r w:rsidR="00BF348E" w:rsidRPr="005B6722">
              <w:rPr>
                <w:sz w:val="24"/>
                <w:szCs w:val="24"/>
              </w:rPr>
              <w:t xml:space="preserve">. This will </w:t>
            </w:r>
            <w:r w:rsidR="0035258B">
              <w:rPr>
                <w:sz w:val="24"/>
                <w:szCs w:val="24"/>
              </w:rPr>
              <w:t xml:space="preserve">also </w:t>
            </w:r>
            <w:r w:rsidR="00BF348E" w:rsidRPr="005B6722">
              <w:rPr>
                <w:sz w:val="24"/>
                <w:szCs w:val="24"/>
              </w:rPr>
              <w:t>provide</w:t>
            </w:r>
            <w:r w:rsidR="00180FFE" w:rsidRPr="005B6722">
              <w:rPr>
                <w:sz w:val="24"/>
                <w:szCs w:val="24"/>
              </w:rPr>
              <w:t xml:space="preserve"> a </w:t>
            </w:r>
            <w:r w:rsidR="0035258B">
              <w:rPr>
                <w:sz w:val="24"/>
                <w:szCs w:val="24"/>
              </w:rPr>
              <w:t>practical</w:t>
            </w:r>
            <w:r w:rsidR="0035258B" w:rsidRPr="005B6722">
              <w:rPr>
                <w:sz w:val="24"/>
                <w:szCs w:val="24"/>
              </w:rPr>
              <w:t xml:space="preserve"> </w:t>
            </w:r>
            <w:r w:rsidR="00180FFE" w:rsidRPr="005B6722">
              <w:rPr>
                <w:sz w:val="24"/>
                <w:szCs w:val="24"/>
              </w:rPr>
              <w:t>evidence base</w:t>
            </w:r>
            <w:r w:rsidR="009B2973">
              <w:rPr>
                <w:sz w:val="24"/>
                <w:szCs w:val="24"/>
              </w:rPr>
              <w:t xml:space="preserve"> for policy makers,</w:t>
            </w:r>
            <w:r w:rsidR="00180FFE" w:rsidRPr="005B6722">
              <w:rPr>
                <w:sz w:val="24"/>
                <w:szCs w:val="24"/>
              </w:rPr>
              <w:t xml:space="preserve"> </w:t>
            </w:r>
            <w:r w:rsidR="009B2973">
              <w:rPr>
                <w:sz w:val="24"/>
                <w:szCs w:val="24"/>
              </w:rPr>
              <w:t xml:space="preserve">discover </w:t>
            </w:r>
            <w:r w:rsidR="00180FFE" w:rsidRPr="005B6722">
              <w:rPr>
                <w:sz w:val="24"/>
                <w:szCs w:val="24"/>
              </w:rPr>
              <w:t xml:space="preserve">areas </w:t>
            </w:r>
            <w:r w:rsidR="00BF348E" w:rsidRPr="005B6722">
              <w:rPr>
                <w:sz w:val="24"/>
                <w:szCs w:val="24"/>
              </w:rPr>
              <w:t xml:space="preserve">for </w:t>
            </w:r>
            <w:r w:rsidR="00180FFE" w:rsidRPr="005B6722">
              <w:rPr>
                <w:sz w:val="24"/>
                <w:szCs w:val="24"/>
              </w:rPr>
              <w:t>improvement</w:t>
            </w:r>
            <w:r w:rsidR="00BF348E" w:rsidRPr="005B6722">
              <w:rPr>
                <w:sz w:val="24"/>
                <w:szCs w:val="24"/>
              </w:rPr>
              <w:t>,</w:t>
            </w:r>
            <w:r w:rsidR="00180FFE" w:rsidRPr="005B6722">
              <w:rPr>
                <w:sz w:val="24"/>
                <w:szCs w:val="24"/>
              </w:rPr>
              <w:t xml:space="preserve"> and disseminate best practices and lessons learned.</w:t>
            </w:r>
          </w:p>
        </w:tc>
        <w:tc>
          <w:tcPr>
            <w:tcW w:w="1543" w:type="dxa"/>
          </w:tcPr>
          <w:p w14:paraId="36F093DD" w14:textId="77777777" w:rsidR="00180FFE" w:rsidRPr="00AE059E" w:rsidRDefault="00180FFE" w:rsidP="003557CE">
            <w:pPr>
              <w:rPr>
                <w:sz w:val="24"/>
                <w:szCs w:val="24"/>
                <w:lang w:val="en-AU"/>
              </w:rPr>
            </w:pPr>
            <w:r w:rsidRPr="005B6722">
              <w:rPr>
                <w:sz w:val="24"/>
                <w:szCs w:val="24"/>
              </w:rPr>
              <w:lastRenderedPageBreak/>
              <w:t>Medium</w:t>
            </w:r>
          </w:p>
        </w:tc>
        <w:tc>
          <w:tcPr>
            <w:tcW w:w="3365" w:type="dxa"/>
          </w:tcPr>
          <w:p w14:paraId="466550AA" w14:textId="77777777" w:rsidR="00180FFE" w:rsidRPr="00AE059E" w:rsidRDefault="00180FFE" w:rsidP="003557CE">
            <w:pPr>
              <w:rPr>
                <w:sz w:val="24"/>
                <w:szCs w:val="24"/>
                <w:lang w:val="en-AU"/>
              </w:rPr>
            </w:pPr>
            <w:r w:rsidRPr="005B6722">
              <w:rPr>
                <w:sz w:val="24"/>
                <w:szCs w:val="24"/>
              </w:rPr>
              <w:t>Health, CDGN</w:t>
            </w:r>
          </w:p>
        </w:tc>
        <w:tc>
          <w:tcPr>
            <w:tcW w:w="1243" w:type="dxa"/>
          </w:tcPr>
          <w:p w14:paraId="37D45942" w14:textId="77777777" w:rsidR="00180FFE" w:rsidRPr="00AE059E" w:rsidRDefault="00180FFE" w:rsidP="003557CE">
            <w:pPr>
              <w:rPr>
                <w:sz w:val="24"/>
                <w:szCs w:val="24"/>
                <w:lang w:val="en-AU"/>
              </w:rPr>
            </w:pPr>
            <w:r w:rsidRPr="005B6722">
              <w:rPr>
                <w:sz w:val="24"/>
                <w:szCs w:val="24"/>
              </w:rPr>
              <w:t>Medium</w:t>
            </w:r>
          </w:p>
        </w:tc>
      </w:tr>
      <w:tr w:rsidR="00180FFE" w:rsidRPr="005B6722" w14:paraId="571A799B" w14:textId="77777777" w:rsidTr="003557CE">
        <w:tc>
          <w:tcPr>
            <w:tcW w:w="14490" w:type="dxa"/>
            <w:gridSpan w:val="4"/>
          </w:tcPr>
          <w:p w14:paraId="5350A017" w14:textId="77777777" w:rsidR="00180FFE" w:rsidRPr="00AE059E" w:rsidRDefault="00180FFE" w:rsidP="003557CE">
            <w:pPr>
              <w:rPr>
                <w:b/>
                <w:sz w:val="24"/>
                <w:szCs w:val="24"/>
                <w:lang w:val="en-AU"/>
              </w:rPr>
            </w:pPr>
            <w:r w:rsidRPr="005B6722">
              <w:rPr>
                <w:b/>
                <w:sz w:val="24"/>
                <w:szCs w:val="24"/>
              </w:rPr>
              <w:t>Outcome 1.3 – Establishment of quality services</w:t>
            </w:r>
          </w:p>
        </w:tc>
      </w:tr>
      <w:tr w:rsidR="00180FFE" w:rsidRPr="005B6722" w14:paraId="43C39F8D" w14:textId="77777777" w:rsidTr="003557CE">
        <w:tc>
          <w:tcPr>
            <w:tcW w:w="8339" w:type="dxa"/>
          </w:tcPr>
          <w:p w14:paraId="2DB814B0" w14:textId="53018C93" w:rsidR="00180FFE" w:rsidRPr="00AE059E" w:rsidRDefault="00276BE0" w:rsidP="00E81ABF">
            <w:pPr>
              <w:rPr>
                <w:sz w:val="24"/>
                <w:szCs w:val="24"/>
                <w:lang w:val="en-AU"/>
              </w:rPr>
            </w:pPr>
            <w:r w:rsidRPr="005B6722">
              <w:rPr>
                <w:sz w:val="24"/>
                <w:szCs w:val="24"/>
              </w:rPr>
              <w:t xml:space="preserve">1.3.1 </w:t>
            </w:r>
            <w:r w:rsidR="00180FFE" w:rsidRPr="005B6722">
              <w:rPr>
                <w:sz w:val="24"/>
                <w:szCs w:val="24"/>
              </w:rPr>
              <w:t>Develop nationally consistent protocols</w:t>
            </w:r>
            <w:r w:rsidR="00B92CAE">
              <w:rPr>
                <w:sz w:val="24"/>
                <w:szCs w:val="24"/>
              </w:rPr>
              <w:t>. This includes</w:t>
            </w:r>
            <w:r w:rsidR="009B2973">
              <w:rPr>
                <w:sz w:val="24"/>
                <w:szCs w:val="24"/>
              </w:rPr>
              <w:t xml:space="preserve"> providing </w:t>
            </w:r>
            <w:r w:rsidR="004E588A" w:rsidRPr="005B6722">
              <w:rPr>
                <w:sz w:val="24"/>
                <w:szCs w:val="24"/>
              </w:rPr>
              <w:t xml:space="preserve">input </w:t>
            </w:r>
            <w:r w:rsidR="00B92CAE">
              <w:rPr>
                <w:sz w:val="24"/>
                <w:szCs w:val="24"/>
              </w:rPr>
              <w:t>in</w:t>
            </w:r>
            <w:r w:rsidR="004E588A" w:rsidRPr="005B6722">
              <w:rPr>
                <w:sz w:val="24"/>
                <w:szCs w:val="24"/>
              </w:rPr>
              <w:t xml:space="preserve">to development of </w:t>
            </w:r>
            <w:r w:rsidR="00180FFE" w:rsidRPr="005B6722">
              <w:rPr>
                <w:sz w:val="24"/>
                <w:szCs w:val="24"/>
              </w:rPr>
              <w:t>accreditation</w:t>
            </w:r>
            <w:r w:rsidR="004E588A" w:rsidRPr="005B6722">
              <w:rPr>
                <w:sz w:val="24"/>
                <w:szCs w:val="24"/>
              </w:rPr>
              <w:t xml:space="preserve"> protocols</w:t>
            </w:r>
            <w:r w:rsidR="00180FFE" w:rsidRPr="005B6722">
              <w:rPr>
                <w:sz w:val="24"/>
                <w:szCs w:val="24"/>
              </w:rPr>
              <w:t xml:space="preserve"> for public health laboratories working with microbial genomics</w:t>
            </w:r>
            <w:r w:rsidR="00D9088B">
              <w:rPr>
                <w:sz w:val="24"/>
                <w:szCs w:val="24"/>
              </w:rPr>
              <w:t xml:space="preserve"> </w:t>
            </w:r>
            <w:r w:rsidR="004E588A" w:rsidRPr="005B6722">
              <w:rPr>
                <w:sz w:val="24"/>
                <w:szCs w:val="24"/>
              </w:rPr>
              <w:t xml:space="preserve">with </w:t>
            </w:r>
            <w:r w:rsidR="00E81ABF">
              <w:rPr>
                <w:sz w:val="24"/>
                <w:szCs w:val="24"/>
              </w:rPr>
              <w:t xml:space="preserve">NATA </w:t>
            </w:r>
            <w:r w:rsidR="004E588A" w:rsidRPr="005B6722">
              <w:rPr>
                <w:sz w:val="24"/>
                <w:szCs w:val="24"/>
              </w:rPr>
              <w:t xml:space="preserve">and </w:t>
            </w:r>
            <w:r w:rsidR="00E81ABF">
              <w:rPr>
                <w:sz w:val="24"/>
                <w:szCs w:val="24"/>
              </w:rPr>
              <w:t>RCPA</w:t>
            </w:r>
            <w:r w:rsidR="00180FFE" w:rsidRPr="005B6722">
              <w:rPr>
                <w:sz w:val="24"/>
                <w:szCs w:val="24"/>
              </w:rPr>
              <w:t xml:space="preserve">.  </w:t>
            </w:r>
          </w:p>
        </w:tc>
        <w:tc>
          <w:tcPr>
            <w:tcW w:w="1543" w:type="dxa"/>
          </w:tcPr>
          <w:p w14:paraId="09FE7490"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c>
          <w:tcPr>
            <w:tcW w:w="3365" w:type="dxa"/>
          </w:tcPr>
          <w:p w14:paraId="01CA7CE0"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CDGN, PHLN</w:t>
            </w:r>
          </w:p>
        </w:tc>
        <w:tc>
          <w:tcPr>
            <w:tcW w:w="1243" w:type="dxa"/>
          </w:tcPr>
          <w:p w14:paraId="50255891"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High</w:t>
            </w:r>
          </w:p>
        </w:tc>
      </w:tr>
      <w:tr w:rsidR="00180FFE" w:rsidRPr="005B6722" w14:paraId="02A6A3BB" w14:textId="77777777" w:rsidTr="003557CE">
        <w:tc>
          <w:tcPr>
            <w:tcW w:w="8339" w:type="dxa"/>
          </w:tcPr>
          <w:p w14:paraId="42CCABC8" w14:textId="0D4740ED" w:rsidR="00180FFE" w:rsidRPr="00AE059E" w:rsidRDefault="00276BE0" w:rsidP="00B92CAE">
            <w:pPr>
              <w:rPr>
                <w:sz w:val="24"/>
                <w:szCs w:val="24"/>
                <w:lang w:val="en-AU"/>
              </w:rPr>
            </w:pPr>
            <w:r w:rsidRPr="005B6722">
              <w:rPr>
                <w:sz w:val="24"/>
                <w:szCs w:val="24"/>
              </w:rPr>
              <w:t xml:space="preserve">1.3.2 </w:t>
            </w:r>
            <w:r w:rsidR="00180FFE" w:rsidRPr="005B6722">
              <w:rPr>
                <w:sz w:val="24"/>
                <w:szCs w:val="24"/>
              </w:rPr>
              <w:t xml:space="preserve">Continue to support </w:t>
            </w:r>
            <w:r w:rsidR="009256E6" w:rsidRPr="005B6722">
              <w:rPr>
                <w:sz w:val="24"/>
                <w:szCs w:val="24"/>
              </w:rPr>
              <w:t xml:space="preserve">the development and implementation of </w:t>
            </w:r>
            <w:r w:rsidR="00180FFE" w:rsidRPr="005B6722">
              <w:rPr>
                <w:sz w:val="24"/>
                <w:szCs w:val="24"/>
              </w:rPr>
              <w:t xml:space="preserve">microbial genomics-related PTP to </w:t>
            </w:r>
            <w:proofErr w:type="gramStart"/>
            <w:r w:rsidR="00180FFE" w:rsidRPr="005B6722">
              <w:rPr>
                <w:sz w:val="24"/>
                <w:szCs w:val="24"/>
              </w:rPr>
              <w:t>be offered</w:t>
            </w:r>
            <w:proofErr w:type="gramEnd"/>
            <w:r w:rsidR="00180FFE" w:rsidRPr="005B6722">
              <w:rPr>
                <w:sz w:val="24"/>
                <w:szCs w:val="24"/>
              </w:rPr>
              <w:t xml:space="preserve"> to laboratories through the RCPA QAP. </w:t>
            </w:r>
          </w:p>
        </w:tc>
        <w:tc>
          <w:tcPr>
            <w:tcW w:w="1543" w:type="dxa"/>
          </w:tcPr>
          <w:p w14:paraId="40E6DD0A" w14:textId="77777777" w:rsidR="00180FFE" w:rsidRPr="00AE059E" w:rsidRDefault="00180FFE" w:rsidP="003557CE">
            <w:pPr>
              <w:rPr>
                <w:sz w:val="24"/>
                <w:szCs w:val="24"/>
                <w:lang w:val="en-AU"/>
              </w:rPr>
            </w:pPr>
            <w:r w:rsidRPr="005B6722">
              <w:rPr>
                <w:sz w:val="24"/>
                <w:szCs w:val="24"/>
              </w:rPr>
              <w:t>Short</w:t>
            </w:r>
          </w:p>
        </w:tc>
        <w:tc>
          <w:tcPr>
            <w:tcW w:w="3365" w:type="dxa"/>
          </w:tcPr>
          <w:p w14:paraId="73BAAA1D" w14:textId="77777777" w:rsidR="00180FFE" w:rsidRPr="00AE059E" w:rsidRDefault="00180FFE" w:rsidP="003557CE">
            <w:pPr>
              <w:rPr>
                <w:sz w:val="24"/>
                <w:szCs w:val="24"/>
                <w:lang w:val="en-AU"/>
              </w:rPr>
            </w:pPr>
            <w:r w:rsidRPr="005B6722">
              <w:rPr>
                <w:sz w:val="24"/>
                <w:szCs w:val="24"/>
              </w:rPr>
              <w:t>CDGN, PHLN, Health</w:t>
            </w:r>
          </w:p>
        </w:tc>
        <w:tc>
          <w:tcPr>
            <w:tcW w:w="1243" w:type="dxa"/>
          </w:tcPr>
          <w:p w14:paraId="5B1D0070" w14:textId="77777777" w:rsidR="00180FFE" w:rsidRPr="00AE059E" w:rsidRDefault="00180FFE" w:rsidP="003557CE">
            <w:pPr>
              <w:rPr>
                <w:sz w:val="24"/>
                <w:szCs w:val="24"/>
                <w:lang w:val="en-AU"/>
              </w:rPr>
            </w:pPr>
            <w:r w:rsidRPr="005B6722">
              <w:rPr>
                <w:sz w:val="24"/>
                <w:szCs w:val="24"/>
              </w:rPr>
              <w:t>High</w:t>
            </w:r>
          </w:p>
        </w:tc>
      </w:tr>
      <w:tr w:rsidR="00180FFE" w:rsidRPr="005B6722" w14:paraId="3492BAEC" w14:textId="77777777" w:rsidTr="003557CE">
        <w:tc>
          <w:tcPr>
            <w:tcW w:w="8339" w:type="dxa"/>
          </w:tcPr>
          <w:p w14:paraId="4DE3E4A5" w14:textId="0E7FFA06" w:rsidR="00180FFE" w:rsidRPr="00AE059E" w:rsidRDefault="00276BE0" w:rsidP="008B6CAF">
            <w:pPr>
              <w:rPr>
                <w:sz w:val="24"/>
                <w:szCs w:val="24"/>
                <w:lang w:val="en-AU"/>
              </w:rPr>
            </w:pPr>
            <w:r w:rsidRPr="005B6722">
              <w:rPr>
                <w:sz w:val="24"/>
                <w:szCs w:val="24"/>
              </w:rPr>
              <w:t xml:space="preserve">1.3.3 </w:t>
            </w:r>
            <w:r w:rsidR="00180FFE" w:rsidRPr="005B6722">
              <w:rPr>
                <w:sz w:val="24"/>
                <w:szCs w:val="24"/>
              </w:rPr>
              <w:t>Participate in QAP programs (</w:t>
            </w:r>
            <w:r w:rsidR="0005729D" w:rsidRPr="0005729D">
              <w:rPr>
                <w:sz w:val="24"/>
                <w:szCs w:val="24"/>
              </w:rPr>
              <w:t xml:space="preserve">Global Microbial Identifier </w:t>
            </w:r>
            <w:r w:rsidR="0005729D">
              <w:rPr>
                <w:sz w:val="24"/>
                <w:szCs w:val="24"/>
              </w:rPr>
              <w:t>(</w:t>
            </w:r>
            <w:r w:rsidR="00180FFE" w:rsidRPr="005B6722">
              <w:rPr>
                <w:sz w:val="24"/>
                <w:szCs w:val="24"/>
              </w:rPr>
              <w:t>GMI</w:t>
            </w:r>
            <w:r w:rsidR="0005729D">
              <w:rPr>
                <w:sz w:val="24"/>
                <w:szCs w:val="24"/>
              </w:rPr>
              <w:t>)</w:t>
            </w:r>
            <w:r w:rsidR="00180FFE" w:rsidRPr="005B6722">
              <w:rPr>
                <w:sz w:val="24"/>
                <w:szCs w:val="24"/>
              </w:rPr>
              <w:t xml:space="preserve">, </w:t>
            </w:r>
            <w:r w:rsidR="0005729D">
              <w:rPr>
                <w:sz w:val="24"/>
                <w:szCs w:val="24"/>
              </w:rPr>
              <w:t>External Quality Assessment (</w:t>
            </w:r>
            <w:r w:rsidR="00180FFE" w:rsidRPr="005B6722">
              <w:rPr>
                <w:sz w:val="24"/>
                <w:szCs w:val="24"/>
              </w:rPr>
              <w:t>EQA</w:t>
            </w:r>
            <w:r w:rsidR="0005729D">
              <w:rPr>
                <w:sz w:val="24"/>
                <w:szCs w:val="24"/>
              </w:rPr>
              <w:t>)</w:t>
            </w:r>
            <w:r w:rsidR="00180FFE" w:rsidRPr="005B6722">
              <w:rPr>
                <w:sz w:val="24"/>
                <w:szCs w:val="24"/>
              </w:rPr>
              <w:t xml:space="preserve">, </w:t>
            </w:r>
            <w:proofErr w:type="gramStart"/>
            <w:r w:rsidR="00180FFE" w:rsidRPr="005B6722">
              <w:rPr>
                <w:sz w:val="24"/>
                <w:szCs w:val="24"/>
              </w:rPr>
              <w:t>RCPA</w:t>
            </w:r>
            <w:proofErr w:type="gramEnd"/>
            <w:r w:rsidR="00180FFE" w:rsidRPr="005B6722">
              <w:rPr>
                <w:sz w:val="24"/>
                <w:szCs w:val="24"/>
              </w:rPr>
              <w:t xml:space="preserve">) </w:t>
            </w:r>
            <w:r w:rsidR="009256E6" w:rsidRPr="005B6722">
              <w:rPr>
                <w:sz w:val="24"/>
                <w:szCs w:val="24"/>
              </w:rPr>
              <w:t xml:space="preserve">to maintain </w:t>
            </w:r>
            <w:r w:rsidR="008B6CAF">
              <w:rPr>
                <w:sz w:val="24"/>
                <w:szCs w:val="24"/>
              </w:rPr>
              <w:t>key</w:t>
            </w:r>
            <w:r w:rsidR="008B6CAF" w:rsidRPr="005B6722">
              <w:rPr>
                <w:sz w:val="24"/>
                <w:szCs w:val="24"/>
              </w:rPr>
              <w:t xml:space="preserve"> </w:t>
            </w:r>
            <w:r w:rsidR="009256E6" w:rsidRPr="005B6722">
              <w:rPr>
                <w:sz w:val="24"/>
                <w:szCs w:val="24"/>
              </w:rPr>
              <w:t>microbial</w:t>
            </w:r>
            <w:r w:rsidR="00BF348E" w:rsidRPr="005B6722">
              <w:rPr>
                <w:sz w:val="24"/>
                <w:szCs w:val="24"/>
              </w:rPr>
              <w:t xml:space="preserve"> </w:t>
            </w:r>
            <w:r w:rsidR="009256E6" w:rsidRPr="005B6722">
              <w:rPr>
                <w:sz w:val="24"/>
                <w:szCs w:val="24"/>
              </w:rPr>
              <w:t xml:space="preserve">genomics-related technical skills </w:t>
            </w:r>
            <w:r w:rsidR="00180FFE" w:rsidRPr="005B6722">
              <w:rPr>
                <w:sz w:val="24"/>
                <w:szCs w:val="24"/>
              </w:rPr>
              <w:t>and share best practices and lessons learn</w:t>
            </w:r>
            <w:r w:rsidR="008D47A0">
              <w:rPr>
                <w:sz w:val="24"/>
                <w:szCs w:val="24"/>
              </w:rPr>
              <w:t>ed</w:t>
            </w:r>
            <w:r w:rsidR="00180FFE" w:rsidRPr="005B6722">
              <w:rPr>
                <w:sz w:val="24"/>
                <w:szCs w:val="24"/>
              </w:rPr>
              <w:t xml:space="preserve"> with other laboratories.</w:t>
            </w:r>
          </w:p>
        </w:tc>
        <w:tc>
          <w:tcPr>
            <w:tcW w:w="1543" w:type="dxa"/>
          </w:tcPr>
          <w:p w14:paraId="3AC77220" w14:textId="77777777" w:rsidR="00180FFE" w:rsidRPr="00AE059E" w:rsidRDefault="00180FFE" w:rsidP="003557CE">
            <w:pPr>
              <w:rPr>
                <w:sz w:val="24"/>
                <w:szCs w:val="24"/>
                <w:lang w:val="en-AU"/>
              </w:rPr>
            </w:pPr>
            <w:r w:rsidRPr="005B6722">
              <w:rPr>
                <w:sz w:val="24"/>
                <w:szCs w:val="24"/>
              </w:rPr>
              <w:t>Short</w:t>
            </w:r>
          </w:p>
        </w:tc>
        <w:tc>
          <w:tcPr>
            <w:tcW w:w="3365" w:type="dxa"/>
          </w:tcPr>
          <w:p w14:paraId="1071FA7D" w14:textId="77777777" w:rsidR="00180FFE" w:rsidRPr="00AE059E" w:rsidRDefault="00180FFE" w:rsidP="003557CE">
            <w:pPr>
              <w:rPr>
                <w:sz w:val="24"/>
                <w:szCs w:val="24"/>
                <w:lang w:val="en-AU"/>
              </w:rPr>
            </w:pPr>
            <w:r w:rsidRPr="005B6722">
              <w:rPr>
                <w:sz w:val="24"/>
                <w:szCs w:val="24"/>
              </w:rPr>
              <w:t>CDGN, PHLN</w:t>
            </w:r>
          </w:p>
        </w:tc>
        <w:tc>
          <w:tcPr>
            <w:tcW w:w="1243" w:type="dxa"/>
          </w:tcPr>
          <w:p w14:paraId="7FA33E1C" w14:textId="77777777" w:rsidR="00180FFE" w:rsidRPr="00AE059E" w:rsidRDefault="00180FFE" w:rsidP="003557CE">
            <w:pPr>
              <w:rPr>
                <w:sz w:val="24"/>
                <w:szCs w:val="24"/>
                <w:lang w:val="en-AU"/>
              </w:rPr>
            </w:pPr>
            <w:r w:rsidRPr="005B6722">
              <w:rPr>
                <w:sz w:val="24"/>
                <w:szCs w:val="24"/>
              </w:rPr>
              <w:t>High</w:t>
            </w:r>
          </w:p>
        </w:tc>
      </w:tr>
      <w:tr w:rsidR="00180FFE" w:rsidRPr="005B6722" w14:paraId="6EFCD1C7" w14:textId="77777777" w:rsidTr="003557CE">
        <w:tc>
          <w:tcPr>
            <w:tcW w:w="8339" w:type="dxa"/>
          </w:tcPr>
          <w:p w14:paraId="04232068" w14:textId="01983913" w:rsidR="00180FFE" w:rsidRPr="00AE059E" w:rsidRDefault="00276BE0" w:rsidP="004E588A">
            <w:pPr>
              <w:rPr>
                <w:sz w:val="24"/>
                <w:szCs w:val="24"/>
                <w:lang w:val="en-AU"/>
              </w:rPr>
            </w:pPr>
            <w:r w:rsidRPr="005B6722">
              <w:rPr>
                <w:sz w:val="24"/>
                <w:szCs w:val="24"/>
              </w:rPr>
              <w:t xml:space="preserve">1.3.4 </w:t>
            </w:r>
            <w:r w:rsidR="00180FFE" w:rsidRPr="005B6722">
              <w:rPr>
                <w:sz w:val="24"/>
                <w:szCs w:val="24"/>
              </w:rPr>
              <w:t>Generate high quality, locally relevant reference genomes for pathogens of public health significance in Australia</w:t>
            </w:r>
            <w:r w:rsidR="008B6CAF">
              <w:rPr>
                <w:sz w:val="24"/>
                <w:szCs w:val="24"/>
              </w:rPr>
              <w:t>. This is</w:t>
            </w:r>
            <w:r w:rsidR="00180FFE" w:rsidRPr="005B6722">
              <w:rPr>
                <w:sz w:val="24"/>
                <w:szCs w:val="24"/>
              </w:rPr>
              <w:t xml:space="preserve"> to </w:t>
            </w:r>
            <w:proofErr w:type="gramStart"/>
            <w:r w:rsidR="00180FFE" w:rsidRPr="005B6722">
              <w:rPr>
                <w:sz w:val="24"/>
                <w:szCs w:val="24"/>
              </w:rPr>
              <w:t>be shared</w:t>
            </w:r>
            <w:proofErr w:type="gramEnd"/>
            <w:r w:rsidR="00180FFE" w:rsidRPr="005B6722">
              <w:rPr>
                <w:sz w:val="24"/>
                <w:szCs w:val="24"/>
              </w:rPr>
              <w:t xml:space="preserve"> among jurisdictional laboratories; and</w:t>
            </w:r>
            <w:r w:rsidR="004E588A" w:rsidRPr="005B6722">
              <w:rPr>
                <w:sz w:val="24"/>
                <w:szCs w:val="24"/>
              </w:rPr>
              <w:t xml:space="preserve"> </w:t>
            </w:r>
            <w:r w:rsidR="00180FFE" w:rsidRPr="005B6722">
              <w:rPr>
                <w:sz w:val="24"/>
                <w:szCs w:val="24"/>
              </w:rPr>
              <w:t>release these genomes to the wider international community.</w:t>
            </w:r>
          </w:p>
        </w:tc>
        <w:tc>
          <w:tcPr>
            <w:tcW w:w="1543" w:type="dxa"/>
          </w:tcPr>
          <w:p w14:paraId="529EE642" w14:textId="77777777" w:rsidR="00180FFE" w:rsidRPr="00AE059E" w:rsidRDefault="00180FFE" w:rsidP="003557CE">
            <w:pPr>
              <w:rPr>
                <w:sz w:val="24"/>
                <w:szCs w:val="24"/>
                <w:lang w:val="en-AU"/>
              </w:rPr>
            </w:pPr>
            <w:r w:rsidRPr="005B6722">
              <w:rPr>
                <w:sz w:val="24"/>
                <w:szCs w:val="24"/>
              </w:rPr>
              <w:t>Short (ongoing)</w:t>
            </w:r>
          </w:p>
        </w:tc>
        <w:tc>
          <w:tcPr>
            <w:tcW w:w="3365" w:type="dxa"/>
          </w:tcPr>
          <w:p w14:paraId="34F45FD3" w14:textId="77777777" w:rsidR="00180FFE" w:rsidRPr="00AE059E" w:rsidRDefault="00180FFE" w:rsidP="003557CE">
            <w:pPr>
              <w:rPr>
                <w:sz w:val="24"/>
                <w:szCs w:val="24"/>
                <w:lang w:val="en-AU"/>
              </w:rPr>
            </w:pPr>
            <w:r w:rsidRPr="005B6722">
              <w:rPr>
                <w:sz w:val="24"/>
                <w:szCs w:val="24"/>
              </w:rPr>
              <w:t>Relevant PHLN laboratories</w:t>
            </w:r>
          </w:p>
        </w:tc>
        <w:tc>
          <w:tcPr>
            <w:tcW w:w="1243" w:type="dxa"/>
          </w:tcPr>
          <w:p w14:paraId="1E0CE012" w14:textId="77777777" w:rsidR="00180FFE" w:rsidRPr="00AE059E" w:rsidRDefault="00180FFE" w:rsidP="003557CE">
            <w:pPr>
              <w:rPr>
                <w:sz w:val="24"/>
                <w:szCs w:val="24"/>
                <w:lang w:val="en-AU"/>
              </w:rPr>
            </w:pPr>
            <w:r w:rsidRPr="005B6722">
              <w:rPr>
                <w:sz w:val="24"/>
                <w:szCs w:val="24"/>
              </w:rPr>
              <w:t>High</w:t>
            </w:r>
          </w:p>
        </w:tc>
      </w:tr>
    </w:tbl>
    <w:p w14:paraId="7408A4D1" w14:textId="77777777" w:rsidR="00180FFE" w:rsidRPr="005B6722" w:rsidRDefault="00180FFE" w:rsidP="00180FFE">
      <w:pPr>
        <w:pStyle w:val="BodyText"/>
        <w:spacing w:before="7"/>
        <w:rPr>
          <w:rFonts w:ascii="Times New Roman"/>
        </w:rPr>
      </w:pPr>
    </w:p>
    <w:p w14:paraId="0AA7EAED" w14:textId="77777777" w:rsidR="00180FFE" w:rsidRPr="005B6722" w:rsidRDefault="00180FFE" w:rsidP="00180FFE">
      <w:pPr>
        <w:rPr>
          <w:rFonts w:ascii="Times New Roman"/>
          <w:sz w:val="26"/>
        </w:rPr>
        <w:sectPr w:rsidR="00180FFE" w:rsidRPr="005B6722" w:rsidSect="003557CE">
          <w:pgSz w:w="16840" w:h="11910" w:orient="landscape"/>
          <w:pgMar w:top="1420" w:right="1080" w:bottom="720" w:left="1260" w:header="756" w:footer="1075" w:gutter="0"/>
          <w:cols w:space="720"/>
          <w:docGrid w:linePitch="299"/>
        </w:sectPr>
      </w:pPr>
    </w:p>
    <w:p w14:paraId="66EC4975" w14:textId="67562EA9" w:rsidR="00180FFE" w:rsidRPr="005B6722" w:rsidRDefault="00180FFE" w:rsidP="00180FFE">
      <w:pPr>
        <w:pStyle w:val="Heading1"/>
      </w:pPr>
      <w:bookmarkStart w:id="72" w:name="_bookmark13"/>
      <w:bookmarkStart w:id="73" w:name="_Toc57196966"/>
      <w:bookmarkEnd w:id="72"/>
      <w:r w:rsidRPr="005B6722">
        <w:lastRenderedPageBreak/>
        <w:t>Strategic</w:t>
      </w:r>
      <w:r w:rsidRPr="005B6722">
        <w:rPr>
          <w:spacing w:val="-20"/>
        </w:rPr>
        <w:t xml:space="preserve"> </w:t>
      </w:r>
      <w:r w:rsidRPr="005B6722">
        <w:t>Priority</w:t>
      </w:r>
      <w:r w:rsidRPr="005B6722">
        <w:rPr>
          <w:spacing w:val="-7"/>
        </w:rPr>
        <w:t xml:space="preserve"> </w:t>
      </w:r>
      <w:r w:rsidRPr="005B6722">
        <w:t xml:space="preserve">2: Technology and </w:t>
      </w:r>
      <w:r w:rsidRPr="005B6722">
        <w:rPr>
          <w:spacing w:val="-3"/>
        </w:rPr>
        <w:t>Data Governance</w:t>
      </w:r>
      <w:bookmarkEnd w:id="73"/>
    </w:p>
    <w:p w14:paraId="11CAF2A9" w14:textId="2166B763" w:rsidR="00180FFE" w:rsidRPr="005B6722" w:rsidRDefault="00180FFE" w:rsidP="00180FFE">
      <w:pPr>
        <w:pStyle w:val="BodyText"/>
        <w:spacing w:before="4"/>
        <w:rPr>
          <w:b/>
          <w:sz w:val="17"/>
        </w:rPr>
      </w:pPr>
    </w:p>
    <w:p w14:paraId="31CBF91D" w14:textId="77777777" w:rsidR="00180FFE" w:rsidRPr="008610F1" w:rsidRDefault="00180FFE" w:rsidP="00180FFE">
      <w:pPr>
        <w:pStyle w:val="BodyText"/>
        <w:spacing w:before="11"/>
        <w:rPr>
          <w:b/>
          <w:sz w:val="17"/>
        </w:rPr>
      </w:pPr>
    </w:p>
    <w:p w14:paraId="79209E74" w14:textId="77777777" w:rsidR="00180FFE" w:rsidRPr="005B6722" w:rsidRDefault="00180FFE" w:rsidP="00180FFE">
      <w:pPr>
        <w:pStyle w:val="Heading2"/>
        <w:spacing w:before="44"/>
      </w:pPr>
      <w:bookmarkStart w:id="74" w:name="_bookmark14"/>
      <w:bookmarkStart w:id="75" w:name="_Toc57196967"/>
      <w:bookmarkEnd w:id="74"/>
      <w:r w:rsidRPr="005B6722">
        <w:t>Current activities</w:t>
      </w:r>
      <w:bookmarkEnd w:id="75"/>
    </w:p>
    <w:p w14:paraId="736BCEEF" w14:textId="07C38D8B" w:rsidR="00180FFE" w:rsidRPr="005B6722" w:rsidRDefault="008D47A0" w:rsidP="00180FFE">
      <w:pPr>
        <w:pStyle w:val="BodyText"/>
        <w:tabs>
          <w:tab w:val="left" w:pos="8364"/>
        </w:tabs>
        <w:spacing w:before="239"/>
        <w:ind w:left="282" w:right="698"/>
      </w:pPr>
      <w:r>
        <w:t>Several</w:t>
      </w:r>
      <w:r w:rsidR="00180FFE" w:rsidRPr="005B6722">
        <w:t xml:space="preserve"> jurisdictions are investing in developing standards, policies and procedures to support a common infrastructure for </w:t>
      </w:r>
      <w:r w:rsidR="00A52E84">
        <w:t>managing</w:t>
      </w:r>
      <w:r w:rsidR="00180FFE" w:rsidRPr="005B6722">
        <w:t xml:space="preserve"> and </w:t>
      </w:r>
      <w:r w:rsidR="00A52E84">
        <w:t>using</w:t>
      </w:r>
      <w:r w:rsidR="00180FFE" w:rsidRPr="005B6722">
        <w:t xml:space="preserve"> microbial genomics data. However, inconsistencies in </w:t>
      </w:r>
      <w:r w:rsidR="00BF348E" w:rsidRPr="005B6722">
        <w:t xml:space="preserve">the </w:t>
      </w:r>
      <w:r w:rsidR="00180FFE" w:rsidRPr="005B6722">
        <w:t>technolog</w:t>
      </w:r>
      <w:r w:rsidR="00BF348E" w:rsidRPr="005B6722">
        <w:t>ies used</w:t>
      </w:r>
      <w:r w:rsidR="00180FFE" w:rsidRPr="005B6722">
        <w:t xml:space="preserve"> and data governance</w:t>
      </w:r>
      <w:r w:rsidR="00A52E84">
        <w:t>,</w:t>
      </w:r>
      <w:r w:rsidR="00180FFE" w:rsidRPr="005B6722">
        <w:t xml:space="preserve"> such as data storage infrastructure and bioinformatics analyses</w:t>
      </w:r>
      <w:r w:rsidR="00A52E84">
        <w:t>,</w:t>
      </w:r>
      <w:r w:rsidR="00180FFE" w:rsidRPr="005B6722">
        <w:t xml:space="preserve"> </w:t>
      </w:r>
      <w:r w:rsidR="00A52E84">
        <w:t>raise</w:t>
      </w:r>
      <w:r w:rsidR="00A52E84" w:rsidRPr="005B6722">
        <w:t xml:space="preserve"> </w:t>
      </w:r>
      <w:r w:rsidR="00180FFE" w:rsidRPr="005B6722">
        <w:t xml:space="preserve">challenges </w:t>
      </w:r>
      <w:r w:rsidR="00A52E84">
        <w:t>for</w:t>
      </w:r>
      <w:r w:rsidR="00180FFE" w:rsidRPr="005B6722">
        <w:t xml:space="preserve"> rapid sharing of data</w:t>
      </w:r>
      <w:r w:rsidR="008B6CAF">
        <w:t>. I</w:t>
      </w:r>
      <w:r w:rsidR="00A52E84">
        <w:t xml:space="preserve">n </w:t>
      </w:r>
      <w:r w:rsidR="00180FFE" w:rsidRPr="005B6722">
        <w:t xml:space="preserve">particular </w:t>
      </w:r>
      <w:r w:rsidR="00797231">
        <w:t xml:space="preserve">for outbreak </w:t>
      </w:r>
      <w:r w:rsidR="00180FFE" w:rsidRPr="005B6722">
        <w:t>detection and the investigation of established outbreaks. Various initiatives are underway to address the</w:t>
      </w:r>
      <w:r w:rsidR="00BF348E" w:rsidRPr="005B6722">
        <w:t>se</w:t>
      </w:r>
      <w:r w:rsidR="00180FFE" w:rsidRPr="005B6722">
        <w:t xml:space="preserve"> challenges and improve data sharing </w:t>
      </w:r>
      <w:r w:rsidR="00D9088B">
        <w:t>between</w:t>
      </w:r>
      <w:r w:rsidR="00180FFE" w:rsidRPr="005B6722">
        <w:t xml:space="preserve"> jurisdictions</w:t>
      </w:r>
      <w:r w:rsidR="00A52E84">
        <w:t>. These</w:t>
      </w:r>
      <w:r w:rsidR="00180FFE" w:rsidRPr="005B6722">
        <w:t xml:space="preserve"> </w:t>
      </w:r>
      <w:r w:rsidR="00A52E84">
        <w:t>include</w:t>
      </w:r>
      <w:r w:rsidR="00180FFE" w:rsidRPr="005B6722">
        <w:t xml:space="preserve">: </w:t>
      </w:r>
    </w:p>
    <w:p w14:paraId="09EE9E57" w14:textId="7D7AB718" w:rsidR="00180FFE" w:rsidRPr="005B6722" w:rsidRDefault="00A52E84" w:rsidP="00180FFE">
      <w:pPr>
        <w:pStyle w:val="BodyText"/>
        <w:numPr>
          <w:ilvl w:val="0"/>
          <w:numId w:val="17"/>
        </w:numPr>
        <w:tabs>
          <w:tab w:val="left" w:pos="8364"/>
        </w:tabs>
        <w:spacing w:before="239"/>
        <w:ind w:right="698"/>
      </w:pPr>
      <w:proofErr w:type="gramStart"/>
      <w:r>
        <w:t>maintaining</w:t>
      </w:r>
      <w:proofErr w:type="gramEnd"/>
      <w:r>
        <w:t xml:space="preserve"> </w:t>
      </w:r>
      <w:r w:rsidR="00180FFE" w:rsidRPr="005B6722">
        <w:t>data sharing agreement</w:t>
      </w:r>
      <w:r w:rsidR="00AA500B" w:rsidRPr="005B6722">
        <w:t>s established</w:t>
      </w:r>
      <w:r w:rsidR="00180FFE" w:rsidRPr="005B6722">
        <w:t xml:space="preserve"> by CDGN </w:t>
      </w:r>
      <w:r w:rsidR="00AA500B" w:rsidRPr="005B6722">
        <w:t>and</w:t>
      </w:r>
      <w:r w:rsidR="00180FFE" w:rsidRPr="005B6722">
        <w:t xml:space="preserve"> signed by jurisdiction</w:t>
      </w:r>
      <w:r w:rsidR="00D9088B">
        <w:t>s</w:t>
      </w:r>
      <w:r w:rsidR="00180FFE" w:rsidRPr="005B6722">
        <w:t xml:space="preserve">. </w:t>
      </w:r>
      <w:r w:rsidR="0005729D">
        <w:t>These agreements</w:t>
      </w:r>
      <w:r w:rsidR="00180FFE" w:rsidRPr="005B6722">
        <w:t xml:space="preserve"> establish trust for cooperative, safe and equitable data sharing between CDGN laboratories</w:t>
      </w:r>
    </w:p>
    <w:p w14:paraId="223D184B" w14:textId="67CF0FCC" w:rsidR="00180FFE" w:rsidRPr="005B6722" w:rsidRDefault="00180FFE" w:rsidP="00180FFE">
      <w:pPr>
        <w:pStyle w:val="BodyText"/>
        <w:numPr>
          <w:ilvl w:val="0"/>
          <w:numId w:val="17"/>
        </w:numPr>
        <w:tabs>
          <w:tab w:val="left" w:pos="8364"/>
        </w:tabs>
        <w:spacing w:before="239"/>
        <w:ind w:right="698"/>
      </w:pPr>
      <w:proofErr w:type="gramStart"/>
      <w:r w:rsidRPr="005B6722">
        <w:t>develop</w:t>
      </w:r>
      <w:r w:rsidR="00A52E84">
        <w:t>ing</w:t>
      </w:r>
      <w:proofErr w:type="gramEnd"/>
      <w:r w:rsidRPr="005B6722">
        <w:t xml:space="preserve"> a data sharing protocol and request form</w:t>
      </w:r>
      <w:r w:rsidR="004E588A" w:rsidRPr="005B6722">
        <w:t xml:space="preserve"> </w:t>
      </w:r>
      <w:r w:rsidRPr="005B6722">
        <w:t xml:space="preserve">that will complement existing internal laboratory processes. The form will </w:t>
      </w:r>
      <w:r w:rsidR="00AB0E80">
        <w:t>give</w:t>
      </w:r>
      <w:r w:rsidR="00AB0E80" w:rsidRPr="005B6722">
        <w:t xml:space="preserve"> </w:t>
      </w:r>
      <w:r w:rsidRPr="005B6722">
        <w:t>relevant details on the context, type of request</w:t>
      </w:r>
      <w:r w:rsidR="00BF348E" w:rsidRPr="005B6722">
        <w:t>, expected outputs</w:t>
      </w:r>
      <w:r w:rsidRPr="005B6722">
        <w:t xml:space="preserve"> and details of relevant contact persons to streamline request</w:t>
      </w:r>
      <w:r w:rsidR="00BF348E" w:rsidRPr="005B6722">
        <w:t>s</w:t>
      </w:r>
      <w:r w:rsidRPr="005B6722">
        <w:t xml:space="preserve"> for sequence data from laboratories</w:t>
      </w:r>
    </w:p>
    <w:p w14:paraId="1CD9C0ED" w14:textId="45EE9F42" w:rsidR="00180FFE" w:rsidRPr="005B6722" w:rsidRDefault="00A52E84" w:rsidP="00180FFE">
      <w:pPr>
        <w:pStyle w:val="BodyText"/>
        <w:numPr>
          <w:ilvl w:val="0"/>
          <w:numId w:val="17"/>
        </w:numPr>
        <w:tabs>
          <w:tab w:val="left" w:pos="8364"/>
        </w:tabs>
        <w:spacing w:before="239"/>
        <w:ind w:right="698"/>
      </w:pPr>
      <w:proofErr w:type="gramStart"/>
      <w:r>
        <w:t>t</w:t>
      </w:r>
      <w:r w:rsidR="00180FFE" w:rsidRPr="005B6722">
        <w:t>he</w:t>
      </w:r>
      <w:proofErr w:type="gramEnd"/>
      <w:r w:rsidR="00180FFE" w:rsidRPr="005B6722">
        <w:t xml:space="preserve"> Microbiological Diagnostic Unit Public Health Laboratory (MDU PHL) at the Peter Doherty Institute for Infection and Immunity on behalf of CDGN, </w:t>
      </w:r>
      <w:r w:rsidR="004E588A" w:rsidRPr="005B6722">
        <w:t>is accelerating implementation</w:t>
      </w:r>
      <w:r w:rsidR="00180FFE" w:rsidRPr="005B6722">
        <w:t xml:space="preserve"> of a national system for </w:t>
      </w:r>
      <w:r w:rsidR="00B40577">
        <w:t xml:space="preserve">data </w:t>
      </w:r>
      <w:r w:rsidR="00180FFE" w:rsidRPr="005B6722">
        <w:t>storage</w:t>
      </w:r>
      <w:r w:rsidR="00AB0E80">
        <w:t>. The system will store</w:t>
      </w:r>
      <w:r w:rsidR="00180FFE" w:rsidRPr="005B6722">
        <w:t xml:space="preserve"> </w:t>
      </w:r>
      <w:r w:rsidR="00BF348E" w:rsidRPr="005B6722">
        <w:t xml:space="preserve">microbial </w:t>
      </w:r>
      <w:r w:rsidR="00180FFE" w:rsidRPr="005B6722">
        <w:t xml:space="preserve">genomics data </w:t>
      </w:r>
      <w:r w:rsidR="00BF348E" w:rsidRPr="005B6722">
        <w:t xml:space="preserve">with </w:t>
      </w:r>
      <w:r w:rsidR="00180FFE" w:rsidRPr="005B6722">
        <w:t>(minimal) epidemiological data</w:t>
      </w:r>
      <w:r w:rsidR="00AB0E80">
        <w:t>.</w:t>
      </w:r>
      <w:r w:rsidR="00180FFE" w:rsidRPr="005B6722">
        <w:t xml:space="preserve"> </w:t>
      </w:r>
      <w:r w:rsidR="00AB0E80">
        <w:t xml:space="preserve">This is </w:t>
      </w:r>
      <w:r w:rsidR="00180FFE" w:rsidRPr="005B6722">
        <w:t>in addition to a public health bioinformatics platform</w:t>
      </w:r>
      <w:r w:rsidR="00BF348E" w:rsidRPr="005B6722">
        <w:t>,</w:t>
      </w:r>
      <w:r w:rsidR="00180FFE" w:rsidRPr="005B6722">
        <w:t xml:space="preserve"> allowing standardised analyses across different laboratories</w:t>
      </w:r>
      <w:r w:rsidR="007E651B" w:rsidRPr="005B6722">
        <w:t>.</w:t>
      </w:r>
    </w:p>
    <w:p w14:paraId="68CB091B" w14:textId="53B0E75C" w:rsidR="00180FFE" w:rsidRPr="005B6722" w:rsidRDefault="00F63019" w:rsidP="00180FFE">
      <w:pPr>
        <w:pStyle w:val="BodyText"/>
        <w:tabs>
          <w:tab w:val="left" w:pos="8364"/>
        </w:tabs>
        <w:spacing w:before="239"/>
        <w:ind w:left="284" w:right="698"/>
      </w:pPr>
      <w:proofErr w:type="gramStart"/>
      <w:r w:rsidRPr="005B6722">
        <w:t xml:space="preserve">To </w:t>
      </w:r>
      <w:r w:rsidR="008B6CAF">
        <w:t>completely</w:t>
      </w:r>
      <w:r w:rsidR="008B6CAF" w:rsidRPr="005B6722">
        <w:t xml:space="preserve"> </w:t>
      </w:r>
      <w:r w:rsidRPr="005B6722">
        <w:t>realise</w:t>
      </w:r>
      <w:proofErr w:type="gramEnd"/>
      <w:r w:rsidRPr="005B6722">
        <w:t xml:space="preserve"> the value of nationally integrated microbial genomics for public health action, </w:t>
      </w:r>
      <w:r w:rsidR="00D9088B">
        <w:t xml:space="preserve">proposed </w:t>
      </w:r>
      <w:r w:rsidRPr="005B6722">
        <w:t>next steps include formalis</w:t>
      </w:r>
      <w:r w:rsidR="008D49B6">
        <w:t>ing</w:t>
      </w:r>
      <w:r w:rsidR="00180FFE" w:rsidRPr="005B6722">
        <w:t xml:space="preserve"> a national approach to </w:t>
      </w:r>
      <w:r w:rsidRPr="005B6722">
        <w:t>the integration of</w:t>
      </w:r>
      <w:r w:rsidR="00180FFE" w:rsidRPr="005B6722">
        <w:t xml:space="preserve"> microbial genomics data</w:t>
      </w:r>
      <w:r w:rsidR="00177D51">
        <w:t xml:space="preserve"> with r</w:t>
      </w:r>
      <w:r w:rsidR="00180FFE" w:rsidRPr="005B6722">
        <w:t xml:space="preserve">elevant </w:t>
      </w:r>
      <w:r w:rsidR="00037AD8" w:rsidRPr="005B6722">
        <w:t>contextual</w:t>
      </w:r>
      <w:r w:rsidR="00177D51">
        <w:t xml:space="preserve"> </w:t>
      </w:r>
      <w:r w:rsidR="00037AD8" w:rsidRPr="005B6722">
        <w:t>/</w:t>
      </w:r>
      <w:r w:rsidR="00177D51">
        <w:t xml:space="preserve"> </w:t>
      </w:r>
      <w:r w:rsidR="00037AD8" w:rsidRPr="005B6722">
        <w:t xml:space="preserve">epidemiological </w:t>
      </w:r>
      <w:r w:rsidR="00180FFE" w:rsidRPr="005B6722">
        <w:t>metadata</w:t>
      </w:r>
      <w:r w:rsidR="00177D51">
        <w:t xml:space="preserve"> in</w:t>
      </w:r>
      <w:r w:rsidRPr="005B6722">
        <w:t xml:space="preserve"> a </w:t>
      </w:r>
      <w:r w:rsidR="00180FFE" w:rsidRPr="005B6722">
        <w:t>legally robust, equitable and safe</w:t>
      </w:r>
      <w:r w:rsidRPr="005B6722">
        <w:t xml:space="preserve"> </w:t>
      </w:r>
      <w:r w:rsidR="008D49B6">
        <w:t>way</w:t>
      </w:r>
      <w:r w:rsidR="00180FFE" w:rsidRPr="005B6722">
        <w:t xml:space="preserve">. </w:t>
      </w:r>
    </w:p>
    <w:p w14:paraId="502935D0" w14:textId="77777777" w:rsidR="00180FFE" w:rsidRPr="005B6722" w:rsidRDefault="00180FFE" w:rsidP="00180FFE">
      <w:pPr>
        <w:rPr>
          <w:b/>
          <w:bCs/>
          <w:i/>
          <w:sz w:val="28"/>
          <w:szCs w:val="28"/>
        </w:rPr>
      </w:pPr>
      <w:r w:rsidRPr="005B6722">
        <w:rPr>
          <w:b/>
          <w:bCs/>
          <w:i/>
          <w:sz w:val="28"/>
          <w:szCs w:val="28"/>
        </w:rPr>
        <w:br w:type="page"/>
      </w:r>
    </w:p>
    <w:p w14:paraId="580240B5" w14:textId="77777777" w:rsidR="00180FFE" w:rsidRPr="005B6722" w:rsidRDefault="00180FFE" w:rsidP="00180FFE">
      <w:pPr>
        <w:rPr>
          <w:b/>
          <w:bCs/>
          <w:i/>
          <w:sz w:val="28"/>
          <w:szCs w:val="28"/>
        </w:rPr>
      </w:pPr>
    </w:p>
    <w:bookmarkStart w:id="76" w:name="_Toc57196968"/>
    <w:p w14:paraId="697938EB" w14:textId="77777777" w:rsidR="00180FFE" w:rsidRPr="005B6722" w:rsidRDefault="00180FFE" w:rsidP="00180FFE">
      <w:pPr>
        <w:pStyle w:val="Heading2"/>
        <w:spacing w:before="44"/>
      </w:pPr>
      <w:r w:rsidRPr="00225618">
        <w:rPr>
          <w:noProof/>
          <w:sz w:val="19"/>
          <w:lang w:bidi="ar-SA"/>
        </w:rPr>
        <mc:AlternateContent>
          <mc:Choice Requires="wps">
            <w:drawing>
              <wp:anchor distT="0" distB="0" distL="114300" distR="114300" simplePos="0" relativeHeight="251665408" behindDoc="1" locked="0" layoutInCell="1" allowOverlap="1" wp14:anchorId="7923505A" wp14:editId="2764AF2D">
                <wp:simplePos x="0" y="0"/>
                <wp:positionH relativeFrom="margin">
                  <wp:posOffset>2309</wp:posOffset>
                </wp:positionH>
                <wp:positionV relativeFrom="paragraph">
                  <wp:posOffset>11430</wp:posOffset>
                </wp:positionV>
                <wp:extent cx="6080125" cy="8697191"/>
                <wp:effectExtent l="0" t="0" r="15875" b="27940"/>
                <wp:wrapNone/>
                <wp:docPr id="17" name="Rectangle 17"/>
                <wp:cNvGraphicFramePr/>
                <a:graphic xmlns:a="http://schemas.openxmlformats.org/drawingml/2006/main">
                  <a:graphicData uri="http://schemas.microsoft.com/office/word/2010/wordprocessingShape">
                    <wps:wsp>
                      <wps:cNvSpPr/>
                      <wps:spPr>
                        <a:xfrm>
                          <a:off x="0" y="0"/>
                          <a:ext cx="6080125" cy="8697191"/>
                        </a:xfrm>
                        <a:prstGeom prst="rect">
                          <a:avLst/>
                        </a:prstGeom>
                        <a:solidFill>
                          <a:schemeClr val="accent1">
                            <a:alpha val="15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4D4B2" id="Rectangle 17" o:spid="_x0000_s1026" style="position:absolute;margin-left:.2pt;margin-top:.9pt;width:478.75pt;height:684.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" fillcolor="#5b9bd5 [3204]" strokecolor="#1f4d78 [1604]">
                <v:fill opacity="9766f"/>
                <w10:wrap anchorx="margin"/>
              </v:rect>
            </w:pict>
          </mc:Fallback>
        </mc:AlternateContent>
      </w:r>
      <w:r w:rsidRPr="005B6722">
        <w:t>Agreed Outcomes and Priority Areas for Action</w:t>
      </w:r>
      <w:bookmarkEnd w:id="76"/>
    </w:p>
    <w:p w14:paraId="6A896F0D" w14:textId="77777777" w:rsidR="00180FFE" w:rsidRPr="005B6722" w:rsidRDefault="00180FFE" w:rsidP="00180FFE">
      <w:pPr>
        <w:tabs>
          <w:tab w:val="left" w:pos="284"/>
          <w:tab w:val="left" w:pos="1851"/>
        </w:tabs>
        <w:rPr>
          <w:b/>
          <w:sz w:val="18"/>
          <w:szCs w:val="18"/>
        </w:rPr>
      </w:pPr>
      <w:r w:rsidRPr="005B6722">
        <w:rPr>
          <w:b/>
        </w:rPr>
        <w:tab/>
      </w:r>
      <w:r w:rsidRPr="005B6722">
        <w:rPr>
          <w:b/>
        </w:rPr>
        <w:tab/>
      </w:r>
    </w:p>
    <w:p w14:paraId="35764434" w14:textId="77777777" w:rsidR="00180FFE" w:rsidRPr="005B6722" w:rsidRDefault="00180FFE" w:rsidP="00180FFE">
      <w:pPr>
        <w:rPr>
          <w:b/>
          <w:sz w:val="24"/>
          <w:szCs w:val="24"/>
        </w:rPr>
      </w:pPr>
      <w:r w:rsidRPr="005B6722">
        <w:rPr>
          <w:b/>
          <w:sz w:val="24"/>
          <w:szCs w:val="24"/>
        </w:rPr>
        <w:t xml:space="preserve"> Outcome 2.1 – Technology</w:t>
      </w:r>
    </w:p>
    <w:p w14:paraId="152349BF" w14:textId="0AC46951" w:rsidR="00180FFE" w:rsidRPr="005B6722" w:rsidRDefault="00180FFE" w:rsidP="00180FFE">
      <w:pPr>
        <w:pStyle w:val="ListParagraph"/>
        <w:widowControl/>
        <w:numPr>
          <w:ilvl w:val="0"/>
          <w:numId w:val="14"/>
        </w:numPr>
        <w:autoSpaceDE/>
        <w:autoSpaceDN/>
        <w:rPr>
          <w:b/>
          <w:sz w:val="24"/>
          <w:szCs w:val="24"/>
        </w:rPr>
      </w:pPr>
      <w:r w:rsidRPr="005B6722">
        <w:rPr>
          <w:sz w:val="24"/>
          <w:szCs w:val="24"/>
        </w:rPr>
        <w:t xml:space="preserve">Acquire and maintain comparable sequencing instruments across </w:t>
      </w:r>
      <w:proofErr w:type="gramStart"/>
      <w:r w:rsidRPr="005B6722">
        <w:rPr>
          <w:sz w:val="24"/>
          <w:szCs w:val="24"/>
        </w:rPr>
        <w:t>jurisdictions which</w:t>
      </w:r>
      <w:proofErr w:type="gramEnd"/>
      <w:r w:rsidRPr="005B6722">
        <w:rPr>
          <w:sz w:val="24"/>
          <w:szCs w:val="24"/>
        </w:rPr>
        <w:t xml:space="preserve"> have the flexibility to be configured for use in the Australian setting</w:t>
      </w:r>
      <w:r w:rsidR="00452744">
        <w:rPr>
          <w:sz w:val="24"/>
          <w:szCs w:val="24"/>
        </w:rPr>
        <w:t>.</w:t>
      </w:r>
    </w:p>
    <w:p w14:paraId="05D0E979" w14:textId="77777777" w:rsidR="00180FFE" w:rsidRPr="005B6722" w:rsidRDefault="00180FFE" w:rsidP="00180FFE">
      <w:pPr>
        <w:pStyle w:val="ListParagraph"/>
        <w:widowControl/>
        <w:numPr>
          <w:ilvl w:val="0"/>
          <w:numId w:val="14"/>
        </w:numPr>
        <w:autoSpaceDE/>
        <w:autoSpaceDN/>
        <w:rPr>
          <w:b/>
          <w:sz w:val="24"/>
          <w:szCs w:val="24"/>
        </w:rPr>
      </w:pPr>
      <w:r w:rsidRPr="005B6722">
        <w:rPr>
          <w:sz w:val="24"/>
          <w:szCs w:val="24"/>
        </w:rPr>
        <w:t xml:space="preserve">Develop and maintain high-performance computing infrastructure to support data storage and sharing that can adapt to emerging microbial genomics technologies.   </w:t>
      </w:r>
    </w:p>
    <w:p w14:paraId="3A998C91" w14:textId="77777777" w:rsidR="00180FFE" w:rsidRPr="005B6722" w:rsidRDefault="00180FFE" w:rsidP="00180FFE">
      <w:pPr>
        <w:tabs>
          <w:tab w:val="left" w:pos="1197"/>
        </w:tabs>
        <w:rPr>
          <w:b/>
          <w:sz w:val="18"/>
          <w:szCs w:val="18"/>
        </w:rPr>
      </w:pPr>
      <w:r w:rsidRPr="005B6722">
        <w:rPr>
          <w:b/>
          <w:sz w:val="24"/>
          <w:szCs w:val="24"/>
        </w:rPr>
        <w:tab/>
      </w:r>
    </w:p>
    <w:p w14:paraId="2FB266B3" w14:textId="77777777" w:rsidR="00180FFE" w:rsidRPr="005B6722" w:rsidRDefault="00180FFE" w:rsidP="00180FFE">
      <w:pPr>
        <w:rPr>
          <w:b/>
          <w:sz w:val="24"/>
          <w:szCs w:val="24"/>
        </w:rPr>
      </w:pPr>
      <w:r w:rsidRPr="005B6722">
        <w:rPr>
          <w:b/>
          <w:sz w:val="24"/>
          <w:szCs w:val="24"/>
        </w:rPr>
        <w:t xml:space="preserve"> Outcome 2.2 – Data sharing</w:t>
      </w:r>
    </w:p>
    <w:p w14:paraId="6A1ABA90" w14:textId="5F267599" w:rsidR="00180FFE" w:rsidRPr="005B6722" w:rsidRDefault="00180FFE" w:rsidP="00180FFE">
      <w:pPr>
        <w:pStyle w:val="ListParagraph"/>
        <w:widowControl/>
        <w:numPr>
          <w:ilvl w:val="0"/>
          <w:numId w:val="4"/>
        </w:numPr>
        <w:autoSpaceDE/>
        <w:autoSpaceDN/>
        <w:ind w:left="720" w:hanging="294"/>
        <w:rPr>
          <w:sz w:val="24"/>
          <w:szCs w:val="24"/>
        </w:rPr>
      </w:pPr>
      <w:r w:rsidRPr="005B6722">
        <w:rPr>
          <w:sz w:val="24"/>
          <w:szCs w:val="24"/>
        </w:rPr>
        <w:t>Enable multi-directional microbial genomic data and critical metadata sharing across and within jurisdictions, to the Australian Government and internationally</w:t>
      </w:r>
      <w:r w:rsidR="00601C84">
        <w:rPr>
          <w:sz w:val="24"/>
          <w:szCs w:val="24"/>
        </w:rPr>
        <w:t xml:space="preserve">. This should </w:t>
      </w:r>
      <w:r w:rsidRPr="005B6722">
        <w:rPr>
          <w:sz w:val="24"/>
          <w:szCs w:val="24"/>
        </w:rPr>
        <w:t>includ</w:t>
      </w:r>
      <w:r w:rsidR="00601C84">
        <w:rPr>
          <w:sz w:val="24"/>
          <w:szCs w:val="24"/>
        </w:rPr>
        <w:t xml:space="preserve">e </w:t>
      </w:r>
      <w:r w:rsidRPr="005B6722">
        <w:rPr>
          <w:sz w:val="24"/>
          <w:szCs w:val="24"/>
        </w:rPr>
        <w:t>the provision of data and/or isolates to public health laboratories from non-reference laboratories</w:t>
      </w:r>
      <w:r w:rsidR="00452744">
        <w:rPr>
          <w:sz w:val="24"/>
          <w:szCs w:val="24"/>
        </w:rPr>
        <w:t>.</w:t>
      </w:r>
      <w:r w:rsidRPr="005B6722">
        <w:rPr>
          <w:sz w:val="24"/>
          <w:szCs w:val="24"/>
        </w:rPr>
        <w:t xml:space="preserve"> </w:t>
      </w:r>
    </w:p>
    <w:p w14:paraId="1E7428D7" w14:textId="7B2C4E99" w:rsidR="00180FFE" w:rsidRPr="005B6722" w:rsidRDefault="00180FFE" w:rsidP="00180FFE">
      <w:pPr>
        <w:pStyle w:val="ListParagraph"/>
        <w:widowControl/>
        <w:numPr>
          <w:ilvl w:val="0"/>
          <w:numId w:val="4"/>
        </w:numPr>
        <w:autoSpaceDE/>
        <w:autoSpaceDN/>
        <w:ind w:left="720" w:hanging="294"/>
        <w:rPr>
          <w:sz w:val="24"/>
          <w:szCs w:val="24"/>
        </w:rPr>
      </w:pPr>
      <w:r w:rsidRPr="005B6722">
        <w:rPr>
          <w:sz w:val="24"/>
          <w:szCs w:val="24"/>
        </w:rPr>
        <w:t>Develop an agreed national protocol for sharing isolates and/or genomic, phenotypic, and epidemiological metadata</w:t>
      </w:r>
      <w:r w:rsidR="00452744">
        <w:rPr>
          <w:sz w:val="24"/>
          <w:szCs w:val="24"/>
        </w:rPr>
        <w:t>.</w:t>
      </w:r>
      <w:r w:rsidRPr="005B6722">
        <w:rPr>
          <w:sz w:val="24"/>
          <w:szCs w:val="24"/>
        </w:rPr>
        <w:t xml:space="preserve"> </w:t>
      </w:r>
    </w:p>
    <w:p w14:paraId="694F839D" w14:textId="19CCC65C" w:rsidR="00180FFE" w:rsidRPr="005B6722" w:rsidRDefault="00180FFE" w:rsidP="00180FFE">
      <w:pPr>
        <w:pStyle w:val="ListParagraph"/>
        <w:widowControl/>
        <w:numPr>
          <w:ilvl w:val="0"/>
          <w:numId w:val="4"/>
        </w:numPr>
        <w:autoSpaceDE/>
        <w:autoSpaceDN/>
        <w:ind w:left="720"/>
        <w:rPr>
          <w:i/>
          <w:sz w:val="24"/>
          <w:szCs w:val="24"/>
        </w:rPr>
      </w:pPr>
      <w:r w:rsidRPr="005B6722">
        <w:rPr>
          <w:sz w:val="24"/>
          <w:szCs w:val="24"/>
        </w:rPr>
        <w:t>Ensure data sharing is compliant with the appropriate national and jurisdictional legislation and guidelines</w:t>
      </w:r>
      <w:r w:rsidR="008D49B6">
        <w:rPr>
          <w:sz w:val="24"/>
          <w:szCs w:val="24"/>
        </w:rPr>
        <w:t>. For example,</w:t>
      </w:r>
      <w:r w:rsidRPr="005B6722">
        <w:rPr>
          <w:sz w:val="24"/>
          <w:szCs w:val="24"/>
        </w:rPr>
        <w:t xml:space="preserve"> the </w:t>
      </w:r>
      <w:r w:rsidRPr="005B6722">
        <w:rPr>
          <w:i/>
          <w:sz w:val="24"/>
          <w:szCs w:val="24"/>
        </w:rPr>
        <w:t>Privacy Act 1988</w:t>
      </w:r>
      <w:r w:rsidRPr="005B6722">
        <w:rPr>
          <w:sz w:val="24"/>
          <w:szCs w:val="24"/>
        </w:rPr>
        <w:t xml:space="preserve">, the </w:t>
      </w:r>
      <w:r w:rsidRPr="005B6722">
        <w:rPr>
          <w:i/>
          <w:sz w:val="24"/>
          <w:szCs w:val="24"/>
        </w:rPr>
        <w:t>National Health Security Act 2007</w:t>
      </w:r>
      <w:r w:rsidRPr="005B6722">
        <w:rPr>
          <w:sz w:val="24"/>
          <w:szCs w:val="24"/>
        </w:rPr>
        <w:t xml:space="preserve">, the </w:t>
      </w:r>
      <w:r w:rsidRPr="005B6722">
        <w:rPr>
          <w:i/>
          <w:sz w:val="24"/>
          <w:szCs w:val="24"/>
        </w:rPr>
        <w:t>National Statement on Ethical Conduct in Human Research (2007)</w:t>
      </w:r>
      <w:r w:rsidRPr="005B6722">
        <w:rPr>
          <w:sz w:val="24"/>
          <w:szCs w:val="24"/>
        </w:rPr>
        <w:t xml:space="preserve"> and any organisational ethical frameworks for public health practice. </w:t>
      </w:r>
    </w:p>
    <w:p w14:paraId="2A791120" w14:textId="77777777" w:rsidR="00180FFE" w:rsidRPr="005B6722" w:rsidRDefault="00180FFE" w:rsidP="00180FFE">
      <w:pPr>
        <w:pStyle w:val="ListParagraph"/>
        <w:tabs>
          <w:tab w:val="left" w:pos="1833"/>
        </w:tabs>
        <w:rPr>
          <w:sz w:val="18"/>
          <w:szCs w:val="18"/>
        </w:rPr>
      </w:pPr>
      <w:r w:rsidRPr="005B6722">
        <w:rPr>
          <w:sz w:val="24"/>
          <w:szCs w:val="24"/>
        </w:rPr>
        <w:tab/>
      </w:r>
      <w:r w:rsidRPr="005B6722">
        <w:rPr>
          <w:sz w:val="24"/>
          <w:szCs w:val="24"/>
        </w:rPr>
        <w:tab/>
      </w:r>
    </w:p>
    <w:p w14:paraId="0192D278" w14:textId="77777777" w:rsidR="00180FFE" w:rsidRPr="005B6722" w:rsidRDefault="00180FFE" w:rsidP="00180FFE">
      <w:pPr>
        <w:rPr>
          <w:b/>
          <w:sz w:val="24"/>
          <w:szCs w:val="24"/>
        </w:rPr>
      </w:pPr>
      <w:r w:rsidRPr="005B6722">
        <w:rPr>
          <w:b/>
          <w:sz w:val="24"/>
          <w:szCs w:val="24"/>
        </w:rPr>
        <w:t xml:space="preserve"> Outcome 2.3 – Data storage</w:t>
      </w:r>
    </w:p>
    <w:p w14:paraId="78A0F0E6" w14:textId="45C91E8B" w:rsidR="00180FFE" w:rsidRPr="005B6722" w:rsidRDefault="00180FFE" w:rsidP="00180FFE">
      <w:pPr>
        <w:pStyle w:val="ListParagraph"/>
        <w:widowControl/>
        <w:numPr>
          <w:ilvl w:val="0"/>
          <w:numId w:val="5"/>
        </w:numPr>
        <w:autoSpaceDE/>
        <w:autoSpaceDN/>
        <w:ind w:left="720" w:hanging="294"/>
        <w:rPr>
          <w:sz w:val="24"/>
          <w:szCs w:val="24"/>
        </w:rPr>
      </w:pPr>
      <w:r w:rsidRPr="005B6722">
        <w:rPr>
          <w:sz w:val="24"/>
          <w:szCs w:val="24"/>
        </w:rPr>
        <w:t>Develop nationally agreed standards for data collection, safe storage, data sharing, custodianship, analys</w:t>
      </w:r>
      <w:r w:rsidR="00C96831" w:rsidRPr="005B6722">
        <w:rPr>
          <w:sz w:val="24"/>
          <w:szCs w:val="24"/>
        </w:rPr>
        <w:t>e</w:t>
      </w:r>
      <w:r w:rsidRPr="005B6722">
        <w:rPr>
          <w:sz w:val="24"/>
          <w:szCs w:val="24"/>
        </w:rPr>
        <w:t xml:space="preserve">s, </w:t>
      </w:r>
      <w:proofErr w:type="gramStart"/>
      <w:r w:rsidRPr="005B6722">
        <w:rPr>
          <w:sz w:val="24"/>
          <w:szCs w:val="24"/>
        </w:rPr>
        <w:t>reporting</w:t>
      </w:r>
      <w:proofErr w:type="gramEnd"/>
      <w:r w:rsidRPr="005B6722">
        <w:rPr>
          <w:sz w:val="24"/>
          <w:szCs w:val="24"/>
        </w:rPr>
        <w:t xml:space="preserve"> and privacy requirements</w:t>
      </w:r>
      <w:r w:rsidR="00452744">
        <w:rPr>
          <w:sz w:val="24"/>
          <w:szCs w:val="24"/>
        </w:rPr>
        <w:t>.</w:t>
      </w:r>
    </w:p>
    <w:p w14:paraId="5146A74F" w14:textId="77777777" w:rsidR="00180FFE" w:rsidRPr="005B6722" w:rsidRDefault="00180FFE" w:rsidP="00180FFE">
      <w:pPr>
        <w:pStyle w:val="ListParagraph"/>
        <w:widowControl/>
        <w:numPr>
          <w:ilvl w:val="0"/>
          <w:numId w:val="5"/>
        </w:numPr>
        <w:autoSpaceDE/>
        <w:autoSpaceDN/>
        <w:ind w:left="720" w:hanging="294"/>
        <w:rPr>
          <w:sz w:val="24"/>
          <w:szCs w:val="24"/>
        </w:rPr>
      </w:pPr>
      <w:r w:rsidRPr="005B6722">
        <w:rPr>
          <w:sz w:val="24"/>
          <w:szCs w:val="24"/>
        </w:rPr>
        <w:t>Develop infrastructure to support secure storage of microbial genomic data.</w:t>
      </w:r>
    </w:p>
    <w:p w14:paraId="1E8D5B8A" w14:textId="77777777" w:rsidR="00180FFE" w:rsidRPr="005B6722" w:rsidRDefault="00180FFE" w:rsidP="00180FFE">
      <w:pPr>
        <w:tabs>
          <w:tab w:val="left" w:pos="1216"/>
        </w:tabs>
        <w:rPr>
          <w:b/>
          <w:sz w:val="18"/>
          <w:szCs w:val="18"/>
        </w:rPr>
      </w:pPr>
      <w:r w:rsidRPr="005B6722">
        <w:rPr>
          <w:b/>
          <w:sz w:val="24"/>
          <w:szCs w:val="24"/>
        </w:rPr>
        <w:tab/>
      </w:r>
    </w:p>
    <w:p w14:paraId="2FFD8ECE" w14:textId="77777777" w:rsidR="00180FFE" w:rsidRPr="005B6722" w:rsidRDefault="00180FFE" w:rsidP="00180FFE">
      <w:pPr>
        <w:rPr>
          <w:b/>
          <w:sz w:val="24"/>
          <w:szCs w:val="24"/>
        </w:rPr>
      </w:pPr>
      <w:r w:rsidRPr="005B6722">
        <w:rPr>
          <w:b/>
          <w:sz w:val="24"/>
          <w:szCs w:val="24"/>
        </w:rPr>
        <w:t xml:space="preserve"> Outcome 2.4 – Use of data</w:t>
      </w:r>
    </w:p>
    <w:p w14:paraId="2D5C4E3A" w14:textId="50A73423" w:rsidR="00180FFE" w:rsidRPr="005B6722" w:rsidRDefault="00180FFE" w:rsidP="00180FFE">
      <w:pPr>
        <w:pStyle w:val="ListParagraph"/>
        <w:widowControl/>
        <w:numPr>
          <w:ilvl w:val="0"/>
          <w:numId w:val="6"/>
        </w:numPr>
        <w:autoSpaceDE/>
        <w:autoSpaceDN/>
        <w:ind w:left="709" w:hanging="283"/>
        <w:rPr>
          <w:sz w:val="24"/>
          <w:szCs w:val="24"/>
        </w:rPr>
      </w:pPr>
      <w:r w:rsidRPr="005B6722">
        <w:rPr>
          <w:sz w:val="24"/>
          <w:szCs w:val="24"/>
        </w:rPr>
        <w:t>Agree on common standards for the public health use of microbial genomics data across jurisdictions</w:t>
      </w:r>
      <w:r w:rsidR="00452744">
        <w:rPr>
          <w:sz w:val="24"/>
          <w:szCs w:val="24"/>
        </w:rPr>
        <w:t>.</w:t>
      </w:r>
    </w:p>
    <w:p w14:paraId="4931D54C" w14:textId="5C17D67A" w:rsidR="00180FFE" w:rsidRPr="005B6722" w:rsidRDefault="00180FFE" w:rsidP="00180FFE">
      <w:pPr>
        <w:pStyle w:val="ListParagraph"/>
        <w:widowControl/>
        <w:numPr>
          <w:ilvl w:val="0"/>
          <w:numId w:val="6"/>
        </w:numPr>
        <w:autoSpaceDE/>
        <w:autoSpaceDN/>
        <w:ind w:left="709" w:hanging="283"/>
        <w:rPr>
          <w:sz w:val="24"/>
          <w:szCs w:val="24"/>
        </w:rPr>
      </w:pPr>
      <w:r w:rsidRPr="005B6722">
        <w:rPr>
          <w:sz w:val="24"/>
          <w:szCs w:val="24"/>
        </w:rPr>
        <w:t>Agree on common reporting standards for microbial genomics</w:t>
      </w:r>
      <w:r w:rsidR="00452744">
        <w:rPr>
          <w:sz w:val="24"/>
          <w:szCs w:val="24"/>
        </w:rPr>
        <w:t>.</w:t>
      </w:r>
    </w:p>
    <w:p w14:paraId="17D0905D" w14:textId="6CC44066" w:rsidR="00180FFE" w:rsidRPr="005B6722" w:rsidRDefault="00180FFE" w:rsidP="00180FFE">
      <w:pPr>
        <w:pStyle w:val="ListParagraph"/>
        <w:widowControl/>
        <w:numPr>
          <w:ilvl w:val="0"/>
          <w:numId w:val="6"/>
        </w:numPr>
        <w:autoSpaceDE/>
        <w:autoSpaceDN/>
        <w:ind w:left="709" w:hanging="283"/>
        <w:rPr>
          <w:sz w:val="24"/>
          <w:szCs w:val="24"/>
        </w:rPr>
      </w:pPr>
      <w:r w:rsidRPr="005B6722">
        <w:rPr>
          <w:sz w:val="24"/>
          <w:szCs w:val="24"/>
        </w:rPr>
        <w:t>Agree on a common reporting format across laboratories and jurisdictions.</w:t>
      </w:r>
    </w:p>
    <w:p w14:paraId="373F0BC3" w14:textId="77777777" w:rsidR="00180FFE" w:rsidRPr="005B6722" w:rsidRDefault="00180FFE" w:rsidP="00180FFE">
      <w:pPr>
        <w:widowControl/>
        <w:autoSpaceDE/>
        <w:autoSpaceDN/>
        <w:rPr>
          <w:sz w:val="18"/>
          <w:szCs w:val="18"/>
        </w:rPr>
      </w:pPr>
      <w:r w:rsidRPr="005B6722">
        <w:rPr>
          <w:sz w:val="24"/>
          <w:szCs w:val="24"/>
        </w:rPr>
        <w:tab/>
      </w:r>
      <w:r w:rsidRPr="005B6722">
        <w:rPr>
          <w:sz w:val="24"/>
          <w:szCs w:val="24"/>
        </w:rPr>
        <w:tab/>
      </w:r>
    </w:p>
    <w:p w14:paraId="08B318BA" w14:textId="77777777" w:rsidR="00180FFE" w:rsidRPr="005B6722" w:rsidRDefault="00180FFE" w:rsidP="00180FFE">
      <w:pPr>
        <w:rPr>
          <w:b/>
          <w:sz w:val="24"/>
          <w:szCs w:val="24"/>
        </w:rPr>
      </w:pPr>
      <w:r w:rsidRPr="005B6722">
        <w:rPr>
          <w:b/>
          <w:sz w:val="24"/>
          <w:szCs w:val="24"/>
        </w:rPr>
        <w:t xml:space="preserve"> Outcome 2.5 – Data governance</w:t>
      </w:r>
    </w:p>
    <w:p w14:paraId="59C845BA" w14:textId="617A4AE4" w:rsidR="00180FFE" w:rsidRPr="005B6722" w:rsidRDefault="00180FFE" w:rsidP="00180FFE">
      <w:pPr>
        <w:pStyle w:val="ListParagraph"/>
        <w:widowControl/>
        <w:numPr>
          <w:ilvl w:val="0"/>
          <w:numId w:val="7"/>
        </w:numPr>
        <w:autoSpaceDE/>
        <w:autoSpaceDN/>
        <w:ind w:left="720"/>
        <w:rPr>
          <w:sz w:val="24"/>
          <w:szCs w:val="24"/>
        </w:rPr>
      </w:pPr>
      <w:r w:rsidRPr="005B6722">
        <w:rPr>
          <w:sz w:val="24"/>
          <w:szCs w:val="24"/>
        </w:rPr>
        <w:t>Review legislation and regulation at both state</w:t>
      </w:r>
      <w:r w:rsidR="00474D94">
        <w:rPr>
          <w:sz w:val="24"/>
          <w:szCs w:val="24"/>
        </w:rPr>
        <w:t>/territory</w:t>
      </w:r>
      <w:r w:rsidRPr="005B6722">
        <w:rPr>
          <w:sz w:val="24"/>
          <w:szCs w:val="24"/>
        </w:rPr>
        <w:t xml:space="preserve"> and federal levels to identify whether there are any impediments to implementation of microbial genomics, particularly in relation to data sharing</w:t>
      </w:r>
      <w:r w:rsidR="00452744">
        <w:rPr>
          <w:sz w:val="24"/>
          <w:szCs w:val="24"/>
        </w:rPr>
        <w:t>.</w:t>
      </w:r>
    </w:p>
    <w:p w14:paraId="7327C636" w14:textId="2DF37B7A" w:rsidR="00180FFE" w:rsidRPr="005B6722" w:rsidRDefault="00180FFE" w:rsidP="00180FFE">
      <w:pPr>
        <w:pStyle w:val="ListParagraph"/>
        <w:widowControl/>
        <w:numPr>
          <w:ilvl w:val="0"/>
          <w:numId w:val="7"/>
        </w:numPr>
        <w:autoSpaceDE/>
        <w:autoSpaceDN/>
        <w:ind w:left="720" w:hanging="294"/>
        <w:rPr>
          <w:sz w:val="24"/>
          <w:szCs w:val="24"/>
        </w:rPr>
      </w:pPr>
      <w:r w:rsidRPr="005B6722">
        <w:rPr>
          <w:sz w:val="24"/>
          <w:szCs w:val="24"/>
        </w:rPr>
        <w:t xml:space="preserve">Ensure microbial genomics outcomes </w:t>
      </w:r>
      <w:proofErr w:type="gramStart"/>
      <w:r w:rsidRPr="005B6722">
        <w:rPr>
          <w:sz w:val="24"/>
          <w:szCs w:val="24"/>
        </w:rPr>
        <w:t>are achieved</w:t>
      </w:r>
      <w:proofErr w:type="gramEnd"/>
      <w:r w:rsidRPr="005B6722">
        <w:rPr>
          <w:sz w:val="24"/>
          <w:szCs w:val="24"/>
        </w:rPr>
        <w:t xml:space="preserve"> to the greatest extent possible</w:t>
      </w:r>
      <w:r w:rsidR="00452744">
        <w:rPr>
          <w:sz w:val="24"/>
          <w:szCs w:val="24"/>
        </w:rPr>
        <w:t>.</w:t>
      </w:r>
    </w:p>
    <w:p w14:paraId="57EBF70F" w14:textId="3DC45A06" w:rsidR="00180FFE" w:rsidRPr="005B6722" w:rsidRDefault="00180FFE" w:rsidP="00180FFE">
      <w:pPr>
        <w:pStyle w:val="ListParagraph"/>
        <w:widowControl/>
        <w:numPr>
          <w:ilvl w:val="0"/>
          <w:numId w:val="7"/>
        </w:numPr>
        <w:autoSpaceDE/>
        <w:autoSpaceDN/>
        <w:ind w:left="720" w:hanging="294"/>
        <w:rPr>
          <w:sz w:val="24"/>
          <w:szCs w:val="24"/>
        </w:rPr>
      </w:pPr>
      <w:r w:rsidRPr="005B6722">
        <w:rPr>
          <w:sz w:val="24"/>
          <w:szCs w:val="24"/>
        </w:rPr>
        <w:t>Support discussions for implementation of a national governance structure</w:t>
      </w:r>
      <w:r w:rsidR="00452744">
        <w:rPr>
          <w:sz w:val="24"/>
          <w:szCs w:val="24"/>
        </w:rPr>
        <w:t>.</w:t>
      </w:r>
    </w:p>
    <w:p w14:paraId="1271D497" w14:textId="5203CA1C" w:rsidR="00180FFE" w:rsidRPr="005B6722" w:rsidRDefault="00180FFE" w:rsidP="00180FFE">
      <w:pPr>
        <w:pStyle w:val="ListParagraph"/>
        <w:widowControl/>
        <w:numPr>
          <w:ilvl w:val="0"/>
          <w:numId w:val="7"/>
        </w:numPr>
        <w:autoSpaceDE/>
        <w:autoSpaceDN/>
        <w:ind w:left="720" w:hanging="294"/>
        <w:rPr>
          <w:sz w:val="24"/>
          <w:szCs w:val="24"/>
        </w:rPr>
      </w:pPr>
      <w:r w:rsidRPr="005B6722">
        <w:rPr>
          <w:sz w:val="24"/>
          <w:szCs w:val="24"/>
        </w:rPr>
        <w:t xml:space="preserve">Ensure data </w:t>
      </w:r>
      <w:proofErr w:type="gramStart"/>
      <w:r w:rsidRPr="005B6722">
        <w:rPr>
          <w:sz w:val="24"/>
          <w:szCs w:val="24"/>
        </w:rPr>
        <w:t>are being handled</w:t>
      </w:r>
      <w:proofErr w:type="gramEnd"/>
      <w:r w:rsidRPr="005B6722">
        <w:rPr>
          <w:sz w:val="24"/>
          <w:szCs w:val="24"/>
        </w:rPr>
        <w:t xml:space="preserve"> in an ethical and culturally appropriate way</w:t>
      </w:r>
      <w:r w:rsidR="00452744">
        <w:rPr>
          <w:sz w:val="24"/>
          <w:szCs w:val="24"/>
        </w:rPr>
        <w:t>.</w:t>
      </w:r>
      <w:r w:rsidRPr="005B6722">
        <w:rPr>
          <w:sz w:val="24"/>
          <w:szCs w:val="24"/>
        </w:rPr>
        <w:t xml:space="preserve"> </w:t>
      </w:r>
    </w:p>
    <w:p w14:paraId="33F56C0A" w14:textId="30C8E2F9" w:rsidR="00180FFE" w:rsidRPr="005B6722" w:rsidRDefault="00180FFE" w:rsidP="00180FFE">
      <w:pPr>
        <w:pStyle w:val="ListParagraph"/>
        <w:widowControl/>
        <w:numPr>
          <w:ilvl w:val="0"/>
          <w:numId w:val="7"/>
        </w:numPr>
        <w:autoSpaceDE/>
        <w:autoSpaceDN/>
        <w:ind w:left="720" w:hanging="294"/>
        <w:rPr>
          <w:sz w:val="24"/>
          <w:szCs w:val="24"/>
        </w:rPr>
      </w:pPr>
      <w:r w:rsidRPr="005B6722">
        <w:rPr>
          <w:sz w:val="24"/>
          <w:szCs w:val="24"/>
        </w:rPr>
        <w:t>Ensure meaningful and appropriate recognition of data sources by both primary and secondary users</w:t>
      </w:r>
      <w:r w:rsidR="00452744">
        <w:rPr>
          <w:sz w:val="24"/>
          <w:szCs w:val="24"/>
        </w:rPr>
        <w:t>.</w:t>
      </w:r>
    </w:p>
    <w:p w14:paraId="693E8489" w14:textId="3108B439" w:rsidR="00180FFE" w:rsidRPr="005B6722" w:rsidRDefault="00180FFE" w:rsidP="00180FFE">
      <w:pPr>
        <w:pStyle w:val="ListParagraph"/>
        <w:widowControl/>
        <w:numPr>
          <w:ilvl w:val="0"/>
          <w:numId w:val="7"/>
        </w:numPr>
        <w:autoSpaceDE/>
        <w:autoSpaceDN/>
        <w:ind w:left="720" w:hanging="294"/>
        <w:rPr>
          <w:sz w:val="24"/>
          <w:szCs w:val="24"/>
        </w:rPr>
      </w:pPr>
      <w:r w:rsidRPr="005B6722">
        <w:rPr>
          <w:sz w:val="24"/>
          <w:szCs w:val="24"/>
        </w:rPr>
        <w:t>Establish trust between data-sharing entities and encourage further data sharing among active and potential providers</w:t>
      </w:r>
      <w:r w:rsidR="00452744">
        <w:rPr>
          <w:sz w:val="24"/>
          <w:szCs w:val="24"/>
        </w:rPr>
        <w:t>.</w:t>
      </w:r>
    </w:p>
    <w:p w14:paraId="532FE4FF" w14:textId="42BB6ECF" w:rsidR="00A04F14" w:rsidRPr="005B6722" w:rsidRDefault="00180FFE" w:rsidP="00180FFE">
      <w:pPr>
        <w:pStyle w:val="ListParagraph"/>
        <w:widowControl/>
        <w:numPr>
          <w:ilvl w:val="0"/>
          <w:numId w:val="7"/>
        </w:numPr>
        <w:autoSpaceDE/>
        <w:autoSpaceDN/>
        <w:ind w:left="720" w:hanging="294"/>
        <w:rPr>
          <w:sz w:val="24"/>
          <w:szCs w:val="24"/>
        </w:rPr>
      </w:pPr>
      <w:r w:rsidRPr="005B6722">
        <w:rPr>
          <w:sz w:val="24"/>
          <w:szCs w:val="24"/>
        </w:rPr>
        <w:t xml:space="preserve">Ensure data privacy and security </w:t>
      </w:r>
      <w:proofErr w:type="gramStart"/>
      <w:r w:rsidRPr="005B6722">
        <w:rPr>
          <w:sz w:val="24"/>
          <w:szCs w:val="24"/>
        </w:rPr>
        <w:t>is maintained</w:t>
      </w:r>
      <w:proofErr w:type="gramEnd"/>
      <w:r w:rsidRPr="005B6722">
        <w:rPr>
          <w:sz w:val="24"/>
          <w:szCs w:val="24"/>
        </w:rPr>
        <w:t xml:space="preserve"> throughout the data collection, handling and storage process.</w:t>
      </w:r>
      <w:bookmarkStart w:id="77" w:name="_bookmark15"/>
      <w:bookmarkEnd w:id="77"/>
    </w:p>
    <w:p w14:paraId="346FC297" w14:textId="39693664" w:rsidR="00180FFE" w:rsidRPr="00BA34C4" w:rsidRDefault="00180FFE" w:rsidP="00BA34C4">
      <w:pPr>
        <w:rPr>
          <w:highlight w:val="yellow"/>
        </w:rPr>
        <w:sectPr w:rsidR="00180FFE" w:rsidRPr="00BA34C4" w:rsidSect="003557CE">
          <w:pgSz w:w="11910" w:h="16840"/>
          <w:pgMar w:top="1080" w:right="1420" w:bottom="1260" w:left="1420" w:header="756" w:footer="1075" w:gutter="0"/>
          <w:cols w:space="720"/>
        </w:sectPr>
      </w:pPr>
    </w:p>
    <w:p w14:paraId="3E88E123" w14:textId="0D9DFD86" w:rsidR="00180FFE" w:rsidRPr="005B6722" w:rsidRDefault="00180FFE" w:rsidP="00180FFE">
      <w:pPr>
        <w:pStyle w:val="Heading2"/>
        <w:spacing w:before="41"/>
        <w:ind w:left="0"/>
      </w:pPr>
      <w:bookmarkStart w:id="78" w:name="_bookmark16"/>
      <w:bookmarkStart w:id="79" w:name="_Toc57196969"/>
      <w:bookmarkEnd w:id="78"/>
      <w:r w:rsidRPr="005B6722">
        <w:lastRenderedPageBreak/>
        <w:t xml:space="preserve">Actions – Technology and </w:t>
      </w:r>
      <w:r w:rsidR="00633111">
        <w:t>d</w:t>
      </w:r>
      <w:r w:rsidRPr="005B6722">
        <w:t xml:space="preserve">ata </w:t>
      </w:r>
      <w:r w:rsidR="00633111">
        <w:t>g</w:t>
      </w:r>
      <w:r w:rsidRPr="005B6722">
        <w:t>overnance</w:t>
      </w:r>
      <w:bookmarkEnd w:id="79"/>
    </w:p>
    <w:tbl>
      <w:tblPr>
        <w:tblStyle w:val="TableGrid"/>
        <w:tblW w:w="5000" w:type="pct"/>
        <w:tblLook w:val="04A0" w:firstRow="1" w:lastRow="0" w:firstColumn="1" w:lastColumn="0" w:noHBand="0" w:noVBand="1"/>
        <w:tblCaption w:val="Actions - Technology and data governance"/>
        <w:tblDescription w:val="Lists the activities under Outcome 2, that will work towards building robust technologies and data governance processes for microbial whole genomic sequencing."/>
      </w:tblPr>
      <w:tblGrid>
        <w:gridCol w:w="9164"/>
        <w:gridCol w:w="1449"/>
        <w:gridCol w:w="1837"/>
        <w:gridCol w:w="2040"/>
      </w:tblGrid>
      <w:tr w:rsidR="00180FFE" w:rsidRPr="005B6722" w14:paraId="0892FF37" w14:textId="77777777" w:rsidTr="00752E10">
        <w:trPr>
          <w:tblHeader/>
        </w:trPr>
        <w:tc>
          <w:tcPr>
            <w:tcW w:w="3162" w:type="pct"/>
            <w:shd w:val="clear" w:color="auto" w:fill="9CC2E5" w:themeFill="accent1" w:themeFillTint="99"/>
          </w:tcPr>
          <w:p w14:paraId="2431E418" w14:textId="77777777" w:rsidR="00180FFE" w:rsidRPr="00AE059E" w:rsidRDefault="00180FFE" w:rsidP="003557CE">
            <w:pPr>
              <w:rPr>
                <w:b/>
                <w:lang w:val="en-AU"/>
              </w:rPr>
            </w:pPr>
            <w:r w:rsidRPr="005B6722">
              <w:rPr>
                <w:b/>
              </w:rPr>
              <w:t>National Action</w:t>
            </w:r>
          </w:p>
        </w:tc>
        <w:tc>
          <w:tcPr>
            <w:tcW w:w="500" w:type="pct"/>
            <w:shd w:val="clear" w:color="auto" w:fill="9CC2E5" w:themeFill="accent1" w:themeFillTint="99"/>
          </w:tcPr>
          <w:p w14:paraId="2908212C" w14:textId="77777777" w:rsidR="00180FFE" w:rsidRPr="00AE059E" w:rsidRDefault="00180FFE" w:rsidP="003557CE">
            <w:pPr>
              <w:rPr>
                <w:b/>
                <w:lang w:val="en-AU"/>
              </w:rPr>
            </w:pPr>
            <w:r w:rsidRPr="005B6722">
              <w:rPr>
                <w:b/>
              </w:rPr>
              <w:t>Timeframe</w:t>
            </w:r>
          </w:p>
        </w:tc>
        <w:tc>
          <w:tcPr>
            <w:tcW w:w="634" w:type="pct"/>
            <w:shd w:val="clear" w:color="auto" w:fill="9CC2E5" w:themeFill="accent1" w:themeFillTint="99"/>
          </w:tcPr>
          <w:p w14:paraId="37ED4E28" w14:textId="77777777" w:rsidR="00180FFE" w:rsidRPr="00AE059E" w:rsidRDefault="00180FFE" w:rsidP="003557CE">
            <w:pPr>
              <w:rPr>
                <w:b/>
                <w:lang w:val="en-AU"/>
              </w:rPr>
            </w:pPr>
            <w:r w:rsidRPr="005B6722">
              <w:rPr>
                <w:b/>
              </w:rPr>
              <w:t>Lead Responsibility</w:t>
            </w:r>
          </w:p>
        </w:tc>
        <w:tc>
          <w:tcPr>
            <w:tcW w:w="704" w:type="pct"/>
            <w:shd w:val="clear" w:color="auto" w:fill="9CC2E5" w:themeFill="accent1" w:themeFillTint="99"/>
          </w:tcPr>
          <w:p w14:paraId="25DC1EB6" w14:textId="77777777" w:rsidR="00180FFE" w:rsidRPr="00AE059E" w:rsidRDefault="00180FFE" w:rsidP="003557CE">
            <w:pPr>
              <w:rPr>
                <w:b/>
                <w:lang w:val="en-AU"/>
              </w:rPr>
            </w:pPr>
            <w:r w:rsidRPr="005B6722">
              <w:rPr>
                <w:b/>
              </w:rPr>
              <w:t>Priority</w:t>
            </w:r>
          </w:p>
        </w:tc>
      </w:tr>
      <w:tr w:rsidR="00180FFE" w:rsidRPr="005B6722" w14:paraId="12B3E115" w14:textId="77777777" w:rsidTr="003557CE">
        <w:tc>
          <w:tcPr>
            <w:tcW w:w="5000" w:type="pct"/>
            <w:gridSpan w:val="4"/>
            <w:shd w:val="clear" w:color="auto" w:fill="DEEAF6" w:themeFill="accent1" w:themeFillTint="33"/>
          </w:tcPr>
          <w:p w14:paraId="0A55A552" w14:textId="77777777" w:rsidR="00180FFE" w:rsidRPr="00AE059E" w:rsidRDefault="00180FFE" w:rsidP="003557CE">
            <w:pPr>
              <w:rPr>
                <w:b/>
                <w:bCs/>
                <w:lang w:val="en-AU"/>
              </w:rPr>
            </w:pPr>
            <w:r w:rsidRPr="005B6722">
              <w:rPr>
                <w:b/>
                <w:bCs/>
              </w:rPr>
              <w:t>Outcome 2.1 – Technology</w:t>
            </w:r>
          </w:p>
        </w:tc>
      </w:tr>
      <w:tr w:rsidR="00180FFE" w:rsidRPr="005B6722" w14:paraId="40D37A6D" w14:textId="77777777" w:rsidTr="003557CE">
        <w:tc>
          <w:tcPr>
            <w:tcW w:w="3162" w:type="pct"/>
          </w:tcPr>
          <w:p w14:paraId="19CE8F24" w14:textId="1249CA6D" w:rsidR="00180FFE" w:rsidRPr="00AE059E" w:rsidRDefault="000429CA" w:rsidP="003557CE">
            <w:pPr>
              <w:rPr>
                <w:sz w:val="24"/>
                <w:szCs w:val="24"/>
                <w:lang w:val="en-AU"/>
              </w:rPr>
            </w:pPr>
            <w:r w:rsidRPr="005B6722">
              <w:rPr>
                <w:sz w:val="24"/>
                <w:szCs w:val="24"/>
              </w:rPr>
              <w:t xml:space="preserve">2.1.1 </w:t>
            </w:r>
            <w:r w:rsidR="00180FFE" w:rsidRPr="005B6722">
              <w:rPr>
                <w:sz w:val="24"/>
                <w:szCs w:val="24"/>
              </w:rPr>
              <w:t xml:space="preserve">Develop robust business cases to seek funding opportunities required for the establishment, maintenance and advancement of </w:t>
            </w:r>
            <w:r w:rsidR="008B4291" w:rsidRPr="005B6722">
              <w:rPr>
                <w:sz w:val="24"/>
                <w:szCs w:val="24"/>
              </w:rPr>
              <w:t xml:space="preserve">public health </w:t>
            </w:r>
            <w:r w:rsidR="00180FFE" w:rsidRPr="005B6722">
              <w:rPr>
                <w:sz w:val="24"/>
                <w:szCs w:val="24"/>
              </w:rPr>
              <w:t>laboratory capacity and capability in microbial genomics.</w:t>
            </w:r>
          </w:p>
        </w:tc>
        <w:tc>
          <w:tcPr>
            <w:tcW w:w="500" w:type="pct"/>
          </w:tcPr>
          <w:p w14:paraId="24560782" w14:textId="77777777" w:rsidR="00180FFE" w:rsidRPr="00AE059E" w:rsidRDefault="00180FFE" w:rsidP="003557CE">
            <w:pPr>
              <w:rPr>
                <w:lang w:val="en-AU"/>
              </w:rPr>
            </w:pPr>
            <w:r w:rsidRPr="005B6722">
              <w:t>Short (ongoing)</w:t>
            </w:r>
          </w:p>
        </w:tc>
        <w:tc>
          <w:tcPr>
            <w:tcW w:w="634" w:type="pct"/>
          </w:tcPr>
          <w:p w14:paraId="136ADF3F" w14:textId="77777777" w:rsidR="00180FFE" w:rsidRPr="00AE059E" w:rsidRDefault="00180FFE" w:rsidP="003557CE">
            <w:pPr>
              <w:rPr>
                <w:lang w:val="en-AU"/>
              </w:rPr>
            </w:pPr>
            <w:r w:rsidRPr="005B6722">
              <w:t>CDGN, PHLN</w:t>
            </w:r>
          </w:p>
        </w:tc>
        <w:tc>
          <w:tcPr>
            <w:tcW w:w="704" w:type="pct"/>
          </w:tcPr>
          <w:p w14:paraId="06031F46" w14:textId="77777777" w:rsidR="00180FFE" w:rsidRPr="00AE059E" w:rsidRDefault="00180FFE" w:rsidP="003557CE">
            <w:pPr>
              <w:rPr>
                <w:lang w:val="en-AU"/>
              </w:rPr>
            </w:pPr>
            <w:r w:rsidRPr="005B6722">
              <w:t>High</w:t>
            </w:r>
          </w:p>
        </w:tc>
      </w:tr>
      <w:tr w:rsidR="00180FFE" w:rsidRPr="005B6722" w14:paraId="74AD5FA5" w14:textId="77777777" w:rsidTr="003557CE">
        <w:tc>
          <w:tcPr>
            <w:tcW w:w="3162" w:type="pct"/>
          </w:tcPr>
          <w:p w14:paraId="0C0C71B5" w14:textId="07C95177" w:rsidR="00180FFE" w:rsidRPr="00AE059E" w:rsidRDefault="000429CA">
            <w:pPr>
              <w:rPr>
                <w:sz w:val="24"/>
                <w:szCs w:val="24"/>
                <w:lang w:val="en-AU"/>
              </w:rPr>
            </w:pPr>
            <w:r w:rsidRPr="005B6722">
              <w:rPr>
                <w:sz w:val="24"/>
                <w:szCs w:val="24"/>
              </w:rPr>
              <w:t xml:space="preserve">2.1.2 </w:t>
            </w:r>
            <w:r w:rsidR="00BE0E22">
              <w:rPr>
                <w:sz w:val="24"/>
                <w:szCs w:val="24"/>
              </w:rPr>
              <w:t>Create</w:t>
            </w:r>
            <w:r w:rsidR="00BE0E22" w:rsidRPr="005B6722">
              <w:rPr>
                <w:sz w:val="24"/>
                <w:szCs w:val="24"/>
              </w:rPr>
              <w:t xml:space="preserve"> </w:t>
            </w:r>
            <w:r w:rsidR="00180FFE" w:rsidRPr="005B6722">
              <w:rPr>
                <w:sz w:val="24"/>
                <w:szCs w:val="24"/>
              </w:rPr>
              <w:t>a shared, access-controlled, scalable repository</w:t>
            </w:r>
            <w:r w:rsidR="00180FFE" w:rsidRPr="005B6722" w:rsidDel="00AD6EEB">
              <w:rPr>
                <w:sz w:val="24"/>
                <w:szCs w:val="24"/>
              </w:rPr>
              <w:t xml:space="preserve"> </w:t>
            </w:r>
            <w:r w:rsidR="008B4291" w:rsidRPr="005B6722">
              <w:rPr>
                <w:sz w:val="24"/>
                <w:szCs w:val="24"/>
              </w:rPr>
              <w:t xml:space="preserve">that allows </w:t>
            </w:r>
            <w:r w:rsidR="00180FFE" w:rsidRPr="005B6722">
              <w:rPr>
                <w:sz w:val="24"/>
                <w:szCs w:val="24"/>
              </w:rPr>
              <w:t xml:space="preserve">laboratories to upload and share sequence data and associated </w:t>
            </w:r>
            <w:r w:rsidR="000744D7" w:rsidRPr="005B6722">
              <w:rPr>
                <w:sz w:val="24"/>
                <w:szCs w:val="24"/>
              </w:rPr>
              <w:t xml:space="preserve">contextual and epidemiological </w:t>
            </w:r>
            <w:r w:rsidR="00180FFE" w:rsidRPr="005B6722">
              <w:rPr>
                <w:sz w:val="24"/>
                <w:szCs w:val="24"/>
              </w:rPr>
              <w:t xml:space="preserve">metadata across jurisdictions and internationally. </w:t>
            </w:r>
          </w:p>
        </w:tc>
        <w:tc>
          <w:tcPr>
            <w:tcW w:w="500" w:type="pct"/>
          </w:tcPr>
          <w:p w14:paraId="5472D284" w14:textId="77777777" w:rsidR="00180FFE" w:rsidRPr="00AE059E" w:rsidRDefault="00180FFE" w:rsidP="003557CE">
            <w:pPr>
              <w:rPr>
                <w:lang w:val="en-AU"/>
              </w:rPr>
            </w:pPr>
            <w:r w:rsidRPr="005B6722">
              <w:t>Short</w:t>
            </w:r>
          </w:p>
        </w:tc>
        <w:tc>
          <w:tcPr>
            <w:tcW w:w="634" w:type="pct"/>
          </w:tcPr>
          <w:p w14:paraId="540300C5" w14:textId="77777777" w:rsidR="00180FFE" w:rsidRPr="00AE059E" w:rsidRDefault="00180FFE" w:rsidP="003557CE">
            <w:pPr>
              <w:rPr>
                <w:lang w:val="en-AU"/>
              </w:rPr>
            </w:pPr>
            <w:r w:rsidRPr="005B6722">
              <w:t>CDGN</w:t>
            </w:r>
          </w:p>
        </w:tc>
        <w:tc>
          <w:tcPr>
            <w:tcW w:w="704" w:type="pct"/>
          </w:tcPr>
          <w:p w14:paraId="12417836" w14:textId="77777777" w:rsidR="00180FFE" w:rsidRPr="00AE059E" w:rsidRDefault="00180FFE" w:rsidP="003557CE">
            <w:pPr>
              <w:rPr>
                <w:lang w:val="en-AU"/>
              </w:rPr>
            </w:pPr>
            <w:r w:rsidRPr="005B6722">
              <w:t>High</w:t>
            </w:r>
          </w:p>
        </w:tc>
      </w:tr>
      <w:tr w:rsidR="00180FFE" w:rsidRPr="005B6722" w14:paraId="26964C87" w14:textId="77777777" w:rsidTr="003557CE">
        <w:tc>
          <w:tcPr>
            <w:tcW w:w="3162" w:type="pct"/>
          </w:tcPr>
          <w:p w14:paraId="3A3B2757" w14:textId="4365A8F9" w:rsidR="00180FFE" w:rsidRPr="00AE059E" w:rsidRDefault="000429CA" w:rsidP="000744D7">
            <w:pPr>
              <w:rPr>
                <w:sz w:val="24"/>
                <w:szCs w:val="24"/>
                <w:lang w:val="en-AU"/>
              </w:rPr>
            </w:pPr>
            <w:r w:rsidRPr="005B6722">
              <w:rPr>
                <w:sz w:val="24"/>
                <w:szCs w:val="24"/>
              </w:rPr>
              <w:t xml:space="preserve">2.1.3 </w:t>
            </w:r>
            <w:r w:rsidR="00180FFE" w:rsidRPr="005B6722">
              <w:rPr>
                <w:sz w:val="24"/>
                <w:szCs w:val="24"/>
              </w:rPr>
              <w:t xml:space="preserve">Develop a </w:t>
            </w:r>
            <w:r w:rsidR="008B4291" w:rsidRPr="005B6722">
              <w:rPr>
                <w:sz w:val="24"/>
                <w:szCs w:val="24"/>
              </w:rPr>
              <w:t xml:space="preserve">microbial </w:t>
            </w:r>
            <w:r w:rsidR="00180FFE" w:rsidRPr="005B6722">
              <w:rPr>
                <w:sz w:val="24"/>
                <w:szCs w:val="24"/>
              </w:rPr>
              <w:t>genomic</w:t>
            </w:r>
            <w:r w:rsidR="008B4291" w:rsidRPr="005B6722">
              <w:rPr>
                <w:sz w:val="24"/>
                <w:szCs w:val="24"/>
              </w:rPr>
              <w:t>s</w:t>
            </w:r>
            <w:r w:rsidR="00180FFE" w:rsidRPr="005B6722">
              <w:rPr>
                <w:sz w:val="24"/>
                <w:szCs w:val="24"/>
              </w:rPr>
              <w:t xml:space="preserve"> analysis and </w:t>
            </w:r>
            <w:proofErr w:type="spellStart"/>
            <w:r w:rsidR="00180FFE" w:rsidRPr="005B6722">
              <w:rPr>
                <w:sz w:val="24"/>
                <w:szCs w:val="24"/>
              </w:rPr>
              <w:t>visualisation</w:t>
            </w:r>
            <w:proofErr w:type="spellEnd"/>
            <w:r w:rsidR="00180FFE" w:rsidRPr="005B6722">
              <w:rPr>
                <w:sz w:val="24"/>
                <w:szCs w:val="24"/>
              </w:rPr>
              <w:t xml:space="preserve"> tool for integrated genomics data that </w:t>
            </w:r>
            <w:proofErr w:type="gramStart"/>
            <w:r w:rsidR="00180FFE" w:rsidRPr="005B6722">
              <w:rPr>
                <w:sz w:val="24"/>
                <w:szCs w:val="24"/>
              </w:rPr>
              <w:t>can be accessed</w:t>
            </w:r>
            <w:proofErr w:type="gramEnd"/>
            <w:r w:rsidR="00180FFE" w:rsidRPr="005B6722">
              <w:rPr>
                <w:sz w:val="24"/>
                <w:szCs w:val="24"/>
              </w:rPr>
              <w:t xml:space="preserve"> by </w:t>
            </w:r>
            <w:r w:rsidR="000744D7" w:rsidRPr="005B6722">
              <w:rPr>
                <w:sz w:val="24"/>
                <w:szCs w:val="24"/>
              </w:rPr>
              <w:t>public health laboratories undertaking sequencing</w:t>
            </w:r>
            <w:r w:rsidR="00180FFE" w:rsidRPr="005B6722">
              <w:rPr>
                <w:sz w:val="24"/>
                <w:szCs w:val="24"/>
              </w:rPr>
              <w:t>.</w:t>
            </w:r>
          </w:p>
        </w:tc>
        <w:tc>
          <w:tcPr>
            <w:tcW w:w="500" w:type="pct"/>
          </w:tcPr>
          <w:p w14:paraId="0A610BC0" w14:textId="2E1035AC" w:rsidR="00180FFE" w:rsidRPr="00AE059E" w:rsidRDefault="000429CA" w:rsidP="000429CA">
            <w:pPr>
              <w:rPr>
                <w:lang w:val="en-AU"/>
              </w:rPr>
            </w:pPr>
            <w:r w:rsidRPr="005B6722">
              <w:t>Short</w:t>
            </w:r>
          </w:p>
        </w:tc>
        <w:tc>
          <w:tcPr>
            <w:tcW w:w="634" w:type="pct"/>
          </w:tcPr>
          <w:p w14:paraId="480C81BE" w14:textId="77777777" w:rsidR="00180FFE" w:rsidRPr="00AE059E" w:rsidRDefault="00180FFE" w:rsidP="003557CE">
            <w:pPr>
              <w:rPr>
                <w:lang w:val="en-AU"/>
              </w:rPr>
            </w:pPr>
            <w:r w:rsidRPr="005B6722">
              <w:t>CDGN, MDU PHL</w:t>
            </w:r>
          </w:p>
        </w:tc>
        <w:tc>
          <w:tcPr>
            <w:tcW w:w="704" w:type="pct"/>
          </w:tcPr>
          <w:p w14:paraId="22DA2A52" w14:textId="77777777" w:rsidR="00180FFE" w:rsidRPr="00AE059E" w:rsidRDefault="00180FFE" w:rsidP="003557CE">
            <w:pPr>
              <w:rPr>
                <w:lang w:val="en-AU"/>
              </w:rPr>
            </w:pPr>
            <w:r w:rsidRPr="005B6722">
              <w:t>Medium</w:t>
            </w:r>
          </w:p>
        </w:tc>
      </w:tr>
      <w:tr w:rsidR="00180FFE" w:rsidRPr="005B6722" w14:paraId="1C638D2E" w14:textId="77777777" w:rsidTr="003557CE">
        <w:tc>
          <w:tcPr>
            <w:tcW w:w="3162" w:type="pct"/>
            <w:shd w:val="clear" w:color="auto" w:fill="auto"/>
          </w:tcPr>
          <w:p w14:paraId="6F02AE7B" w14:textId="00DF3CB2" w:rsidR="00180FFE" w:rsidRPr="00AE059E" w:rsidRDefault="000429CA" w:rsidP="003557CE">
            <w:pPr>
              <w:rPr>
                <w:sz w:val="24"/>
                <w:szCs w:val="24"/>
                <w:lang w:val="en-AU"/>
              </w:rPr>
            </w:pPr>
            <w:r w:rsidRPr="005B6722">
              <w:rPr>
                <w:sz w:val="24"/>
                <w:szCs w:val="24"/>
              </w:rPr>
              <w:t xml:space="preserve">2.1.4 </w:t>
            </w:r>
            <w:r w:rsidR="00180FFE" w:rsidRPr="005B6722">
              <w:rPr>
                <w:sz w:val="24"/>
                <w:szCs w:val="24"/>
              </w:rPr>
              <w:t xml:space="preserve">Establish national agreement on minimum </w:t>
            </w:r>
            <w:proofErr w:type="gramStart"/>
            <w:r w:rsidR="00180FFE" w:rsidRPr="005B6722">
              <w:rPr>
                <w:sz w:val="24"/>
                <w:szCs w:val="24"/>
              </w:rPr>
              <w:t>sequence data quality metrics</w:t>
            </w:r>
            <w:proofErr w:type="gramEnd"/>
            <w:r w:rsidR="00180FFE" w:rsidRPr="005B6722">
              <w:rPr>
                <w:sz w:val="24"/>
                <w:szCs w:val="24"/>
              </w:rPr>
              <w:t xml:space="preserve"> and protocols for sequence quality control.</w:t>
            </w:r>
          </w:p>
        </w:tc>
        <w:tc>
          <w:tcPr>
            <w:tcW w:w="500" w:type="pct"/>
            <w:shd w:val="clear" w:color="auto" w:fill="auto"/>
          </w:tcPr>
          <w:p w14:paraId="54ECA3E9" w14:textId="77777777" w:rsidR="00180FFE" w:rsidRPr="00AE059E" w:rsidRDefault="00180FFE" w:rsidP="003557CE">
            <w:pPr>
              <w:rPr>
                <w:lang w:val="en-AU"/>
              </w:rPr>
            </w:pPr>
            <w:r w:rsidRPr="005B6722">
              <w:t>Short</w:t>
            </w:r>
          </w:p>
        </w:tc>
        <w:tc>
          <w:tcPr>
            <w:tcW w:w="634" w:type="pct"/>
            <w:shd w:val="clear" w:color="auto" w:fill="auto"/>
          </w:tcPr>
          <w:p w14:paraId="15590BF9" w14:textId="77777777" w:rsidR="00180FFE" w:rsidRPr="00AE059E" w:rsidRDefault="00180FFE" w:rsidP="003557CE">
            <w:pPr>
              <w:rPr>
                <w:lang w:val="en-AU"/>
              </w:rPr>
            </w:pPr>
            <w:r w:rsidRPr="005B6722">
              <w:t>CDGN</w:t>
            </w:r>
          </w:p>
        </w:tc>
        <w:tc>
          <w:tcPr>
            <w:tcW w:w="704" w:type="pct"/>
            <w:shd w:val="clear" w:color="auto" w:fill="auto"/>
          </w:tcPr>
          <w:p w14:paraId="142CF945" w14:textId="77777777" w:rsidR="00180FFE" w:rsidRPr="00AE059E" w:rsidRDefault="00180FFE" w:rsidP="003557CE">
            <w:pPr>
              <w:rPr>
                <w:lang w:val="en-AU"/>
              </w:rPr>
            </w:pPr>
            <w:r w:rsidRPr="005B6722">
              <w:t>High</w:t>
            </w:r>
          </w:p>
        </w:tc>
      </w:tr>
      <w:tr w:rsidR="00180FFE" w:rsidRPr="005B6722" w14:paraId="2B50ADA9" w14:textId="77777777" w:rsidTr="003557CE">
        <w:tc>
          <w:tcPr>
            <w:tcW w:w="3162" w:type="pct"/>
          </w:tcPr>
          <w:p w14:paraId="322BF1A2" w14:textId="236D875C" w:rsidR="00180FFE" w:rsidRPr="00AE059E" w:rsidRDefault="000429CA" w:rsidP="003557CE">
            <w:pPr>
              <w:rPr>
                <w:sz w:val="24"/>
                <w:szCs w:val="24"/>
                <w:lang w:val="en-AU"/>
              </w:rPr>
            </w:pPr>
            <w:r w:rsidRPr="005B6722">
              <w:rPr>
                <w:sz w:val="24"/>
                <w:szCs w:val="24"/>
              </w:rPr>
              <w:t xml:space="preserve">2.1.5 </w:t>
            </w:r>
            <w:r w:rsidR="00180FFE" w:rsidRPr="005B6722">
              <w:rPr>
                <w:sz w:val="24"/>
                <w:szCs w:val="24"/>
              </w:rPr>
              <w:t xml:space="preserve">Assess the feasibility and costs associated with establishing microbial genomics and bioinformatics capability and capacity in each jurisdiction, in comparison to </w:t>
            </w:r>
            <w:proofErr w:type="spellStart"/>
            <w:r w:rsidR="00180FFE" w:rsidRPr="005B6722">
              <w:rPr>
                <w:sz w:val="24"/>
                <w:szCs w:val="24"/>
              </w:rPr>
              <w:t>centralised</w:t>
            </w:r>
            <w:proofErr w:type="spellEnd"/>
            <w:r w:rsidR="00180FFE" w:rsidRPr="005B6722">
              <w:rPr>
                <w:sz w:val="24"/>
                <w:szCs w:val="24"/>
              </w:rPr>
              <w:t xml:space="preserve"> solutions. </w:t>
            </w:r>
          </w:p>
        </w:tc>
        <w:tc>
          <w:tcPr>
            <w:tcW w:w="500" w:type="pct"/>
          </w:tcPr>
          <w:p w14:paraId="5AE1981C" w14:textId="77777777" w:rsidR="00180FFE" w:rsidRPr="00AE059E" w:rsidRDefault="00180FFE" w:rsidP="003557CE">
            <w:pPr>
              <w:rPr>
                <w:lang w:val="en-AU"/>
              </w:rPr>
            </w:pPr>
            <w:r w:rsidRPr="005B6722">
              <w:t>Medium</w:t>
            </w:r>
          </w:p>
        </w:tc>
        <w:tc>
          <w:tcPr>
            <w:tcW w:w="634" w:type="pct"/>
          </w:tcPr>
          <w:p w14:paraId="1B955639" w14:textId="77777777" w:rsidR="00180FFE" w:rsidRPr="00AE059E" w:rsidRDefault="00180FFE" w:rsidP="003557CE">
            <w:pPr>
              <w:rPr>
                <w:lang w:val="en-AU"/>
              </w:rPr>
            </w:pPr>
            <w:r w:rsidRPr="005B6722">
              <w:t>CDGN, Health</w:t>
            </w:r>
          </w:p>
        </w:tc>
        <w:tc>
          <w:tcPr>
            <w:tcW w:w="704" w:type="pct"/>
          </w:tcPr>
          <w:p w14:paraId="4B197956" w14:textId="207E5030" w:rsidR="00180FFE" w:rsidRPr="00AE059E" w:rsidRDefault="00337278" w:rsidP="003557CE">
            <w:pPr>
              <w:rPr>
                <w:lang w:val="en-AU"/>
              </w:rPr>
            </w:pPr>
            <w:r w:rsidRPr="005B6722">
              <w:t>High</w:t>
            </w:r>
          </w:p>
        </w:tc>
      </w:tr>
      <w:tr w:rsidR="00180FFE" w:rsidRPr="005B6722" w14:paraId="481A78D0" w14:textId="77777777" w:rsidTr="003557CE">
        <w:tc>
          <w:tcPr>
            <w:tcW w:w="5000" w:type="pct"/>
            <w:gridSpan w:val="4"/>
            <w:shd w:val="clear" w:color="auto" w:fill="DEEAF6" w:themeFill="accent1" w:themeFillTint="33"/>
          </w:tcPr>
          <w:p w14:paraId="512308EE" w14:textId="77777777" w:rsidR="00180FFE" w:rsidRPr="00AE059E" w:rsidRDefault="00180FFE" w:rsidP="003557CE">
            <w:pPr>
              <w:rPr>
                <w:b/>
                <w:bCs/>
                <w:sz w:val="24"/>
                <w:szCs w:val="24"/>
                <w:lang w:val="en-AU"/>
              </w:rPr>
            </w:pPr>
            <w:r w:rsidRPr="005B6722">
              <w:rPr>
                <w:b/>
                <w:bCs/>
                <w:sz w:val="24"/>
                <w:szCs w:val="24"/>
              </w:rPr>
              <w:t>Outcome 2.2 – Data sharing</w:t>
            </w:r>
          </w:p>
        </w:tc>
      </w:tr>
      <w:tr w:rsidR="00180FFE" w:rsidRPr="005B6722" w14:paraId="696669AA" w14:textId="77777777" w:rsidTr="003557CE">
        <w:tc>
          <w:tcPr>
            <w:tcW w:w="3162" w:type="pct"/>
          </w:tcPr>
          <w:p w14:paraId="3A99A20C" w14:textId="146817D4" w:rsidR="00180FFE" w:rsidRPr="00AE059E" w:rsidRDefault="000429CA" w:rsidP="003557CE">
            <w:pPr>
              <w:rPr>
                <w:sz w:val="24"/>
                <w:szCs w:val="24"/>
                <w:lang w:val="en-AU"/>
              </w:rPr>
            </w:pPr>
            <w:r w:rsidRPr="005B6722">
              <w:rPr>
                <w:sz w:val="24"/>
                <w:szCs w:val="24"/>
              </w:rPr>
              <w:t xml:space="preserve">2.2.1 </w:t>
            </w:r>
            <w:r w:rsidR="00180FFE" w:rsidRPr="005B6722">
              <w:rPr>
                <w:sz w:val="24"/>
                <w:szCs w:val="24"/>
              </w:rPr>
              <w:t>Develop a national data sharing agreement and protocol for the sharing of sequencing data, epidemiological metadata and</w:t>
            </w:r>
            <w:r w:rsidR="008B4291" w:rsidRPr="005B6722">
              <w:rPr>
                <w:sz w:val="24"/>
                <w:szCs w:val="24"/>
              </w:rPr>
              <w:t xml:space="preserve"> microbial</w:t>
            </w:r>
            <w:r w:rsidR="00180FFE" w:rsidRPr="005B6722">
              <w:rPr>
                <w:sz w:val="24"/>
                <w:szCs w:val="24"/>
              </w:rPr>
              <w:t xml:space="preserve"> isolates between public health laboratories in all states and territories.</w:t>
            </w:r>
          </w:p>
        </w:tc>
        <w:tc>
          <w:tcPr>
            <w:tcW w:w="500" w:type="pct"/>
          </w:tcPr>
          <w:p w14:paraId="32EA8213" w14:textId="77777777" w:rsidR="00180FFE" w:rsidRPr="00AE059E" w:rsidRDefault="00180FFE" w:rsidP="003557CE">
            <w:pPr>
              <w:rPr>
                <w:lang w:val="en-AU"/>
              </w:rPr>
            </w:pPr>
            <w:r w:rsidRPr="005B6722">
              <w:t>Short</w:t>
            </w:r>
          </w:p>
        </w:tc>
        <w:tc>
          <w:tcPr>
            <w:tcW w:w="634" w:type="pct"/>
          </w:tcPr>
          <w:p w14:paraId="698CD2F7" w14:textId="77777777" w:rsidR="00180FFE" w:rsidRPr="00AE059E" w:rsidRDefault="00180FFE" w:rsidP="003557CE">
            <w:pPr>
              <w:rPr>
                <w:lang w:val="en-AU"/>
              </w:rPr>
            </w:pPr>
            <w:r w:rsidRPr="005B6722">
              <w:t>CDGN</w:t>
            </w:r>
          </w:p>
        </w:tc>
        <w:tc>
          <w:tcPr>
            <w:tcW w:w="704" w:type="pct"/>
          </w:tcPr>
          <w:p w14:paraId="5A86332F" w14:textId="77777777" w:rsidR="00180FFE" w:rsidRPr="00AE059E" w:rsidRDefault="00180FFE" w:rsidP="003557CE">
            <w:pPr>
              <w:rPr>
                <w:lang w:val="en-AU"/>
              </w:rPr>
            </w:pPr>
            <w:r w:rsidRPr="005B6722">
              <w:t>High</w:t>
            </w:r>
          </w:p>
        </w:tc>
      </w:tr>
      <w:tr w:rsidR="00180FFE" w:rsidRPr="005B6722" w14:paraId="6F7DDD84" w14:textId="77777777" w:rsidTr="003557CE">
        <w:tc>
          <w:tcPr>
            <w:tcW w:w="3162" w:type="pct"/>
          </w:tcPr>
          <w:p w14:paraId="18F08590" w14:textId="316D71B5" w:rsidR="00180FFE" w:rsidRPr="00AE059E" w:rsidRDefault="000429CA" w:rsidP="003557CE">
            <w:pPr>
              <w:rPr>
                <w:sz w:val="24"/>
                <w:szCs w:val="24"/>
                <w:lang w:val="en-AU"/>
              </w:rPr>
            </w:pPr>
            <w:r w:rsidRPr="005B6722">
              <w:rPr>
                <w:sz w:val="24"/>
                <w:szCs w:val="24"/>
              </w:rPr>
              <w:t xml:space="preserve">2.2.2 </w:t>
            </w:r>
            <w:r w:rsidR="00180FFE" w:rsidRPr="005B6722">
              <w:rPr>
                <w:sz w:val="24"/>
                <w:szCs w:val="24"/>
              </w:rPr>
              <w:t xml:space="preserve">Support sector engagement with international microbial genomics alliances to promote shared access to data for research and global </w:t>
            </w:r>
            <w:proofErr w:type="spellStart"/>
            <w:r w:rsidR="00180FFE" w:rsidRPr="005B6722">
              <w:rPr>
                <w:sz w:val="24"/>
                <w:szCs w:val="24"/>
              </w:rPr>
              <w:t>harmonisation</w:t>
            </w:r>
            <w:proofErr w:type="spellEnd"/>
            <w:r w:rsidR="00180FFE" w:rsidRPr="005B6722">
              <w:rPr>
                <w:sz w:val="24"/>
                <w:szCs w:val="24"/>
              </w:rPr>
              <w:t xml:space="preserve"> of data where appropriate.</w:t>
            </w:r>
          </w:p>
        </w:tc>
        <w:tc>
          <w:tcPr>
            <w:tcW w:w="500" w:type="pct"/>
          </w:tcPr>
          <w:p w14:paraId="5E40A0E1" w14:textId="77777777" w:rsidR="00180FFE" w:rsidRPr="00AE059E" w:rsidRDefault="00180FFE" w:rsidP="003557CE">
            <w:pPr>
              <w:rPr>
                <w:lang w:val="en-AU"/>
              </w:rPr>
            </w:pPr>
            <w:r w:rsidRPr="005B6722">
              <w:t>Medium</w:t>
            </w:r>
          </w:p>
        </w:tc>
        <w:tc>
          <w:tcPr>
            <w:tcW w:w="634" w:type="pct"/>
          </w:tcPr>
          <w:p w14:paraId="7068C116" w14:textId="77777777" w:rsidR="00180FFE" w:rsidRPr="00AE059E" w:rsidRDefault="00180FFE" w:rsidP="003557CE">
            <w:pPr>
              <w:rPr>
                <w:lang w:val="en-AU"/>
              </w:rPr>
            </w:pPr>
            <w:r w:rsidRPr="005B6722">
              <w:t>CDGN, PHLN, CDNA, Health</w:t>
            </w:r>
          </w:p>
        </w:tc>
        <w:tc>
          <w:tcPr>
            <w:tcW w:w="704" w:type="pct"/>
          </w:tcPr>
          <w:p w14:paraId="7DC451AA" w14:textId="77777777" w:rsidR="00180FFE" w:rsidRPr="00AE059E" w:rsidRDefault="00180FFE" w:rsidP="003557CE">
            <w:pPr>
              <w:rPr>
                <w:lang w:val="en-AU"/>
              </w:rPr>
            </w:pPr>
            <w:r w:rsidRPr="005B6722">
              <w:t>Medium</w:t>
            </w:r>
          </w:p>
        </w:tc>
      </w:tr>
      <w:tr w:rsidR="00180FFE" w:rsidRPr="005B6722" w14:paraId="6353A81B" w14:textId="77777777" w:rsidTr="003557CE">
        <w:tc>
          <w:tcPr>
            <w:tcW w:w="3162" w:type="pct"/>
          </w:tcPr>
          <w:p w14:paraId="4AA80D69" w14:textId="655220F3" w:rsidR="00180FFE" w:rsidRPr="00AE059E" w:rsidRDefault="000429CA" w:rsidP="003557CE">
            <w:pPr>
              <w:widowControl/>
              <w:autoSpaceDE/>
              <w:autoSpaceDN/>
              <w:rPr>
                <w:sz w:val="24"/>
                <w:szCs w:val="24"/>
                <w:lang w:val="en-AU"/>
              </w:rPr>
            </w:pPr>
            <w:r w:rsidRPr="005B6722">
              <w:rPr>
                <w:sz w:val="24"/>
                <w:szCs w:val="24"/>
              </w:rPr>
              <w:t xml:space="preserve">2.2.3 </w:t>
            </w:r>
            <w:r w:rsidR="00180FFE" w:rsidRPr="005B6722">
              <w:rPr>
                <w:sz w:val="24"/>
                <w:szCs w:val="24"/>
              </w:rPr>
              <w:t>Involve the private pathology sector in key data sharing discussions across laboratories through existing networks including PHLN, CDGN and Australian Pathology.</w:t>
            </w:r>
          </w:p>
        </w:tc>
        <w:tc>
          <w:tcPr>
            <w:tcW w:w="500" w:type="pct"/>
          </w:tcPr>
          <w:p w14:paraId="2C1743BF" w14:textId="77777777" w:rsidR="00180FFE" w:rsidRPr="00AE059E" w:rsidRDefault="00180FFE" w:rsidP="003557CE">
            <w:pPr>
              <w:rPr>
                <w:lang w:val="en-AU"/>
              </w:rPr>
            </w:pPr>
            <w:r w:rsidRPr="005B6722">
              <w:t>Medium</w:t>
            </w:r>
          </w:p>
        </w:tc>
        <w:tc>
          <w:tcPr>
            <w:tcW w:w="634" w:type="pct"/>
          </w:tcPr>
          <w:p w14:paraId="138EBE9F" w14:textId="77777777" w:rsidR="00180FFE" w:rsidRPr="00AE059E" w:rsidRDefault="00180FFE" w:rsidP="003557CE">
            <w:pPr>
              <w:rPr>
                <w:lang w:val="en-AU"/>
              </w:rPr>
            </w:pPr>
            <w:r w:rsidRPr="005B6722">
              <w:t>CDGN, PHLN, Health</w:t>
            </w:r>
          </w:p>
        </w:tc>
        <w:tc>
          <w:tcPr>
            <w:tcW w:w="704" w:type="pct"/>
          </w:tcPr>
          <w:p w14:paraId="66339122" w14:textId="77777777" w:rsidR="00180FFE" w:rsidRPr="00AE059E" w:rsidRDefault="00180FFE" w:rsidP="003557CE">
            <w:pPr>
              <w:rPr>
                <w:lang w:val="en-AU"/>
              </w:rPr>
            </w:pPr>
            <w:r w:rsidRPr="005B6722">
              <w:t>Medium</w:t>
            </w:r>
          </w:p>
        </w:tc>
      </w:tr>
      <w:tr w:rsidR="00180FFE" w:rsidRPr="005B6722" w14:paraId="06856B3D" w14:textId="77777777" w:rsidTr="003557CE">
        <w:tc>
          <w:tcPr>
            <w:tcW w:w="3162" w:type="pct"/>
          </w:tcPr>
          <w:p w14:paraId="1B64FD16" w14:textId="72D723CC" w:rsidR="00180FFE" w:rsidRPr="00AE059E" w:rsidRDefault="000429CA" w:rsidP="00474D94">
            <w:pPr>
              <w:widowControl/>
              <w:autoSpaceDE/>
              <w:autoSpaceDN/>
              <w:rPr>
                <w:sz w:val="24"/>
                <w:szCs w:val="24"/>
                <w:lang w:val="en-AU"/>
              </w:rPr>
            </w:pPr>
            <w:r w:rsidRPr="005B6722">
              <w:rPr>
                <w:sz w:val="24"/>
                <w:szCs w:val="24"/>
              </w:rPr>
              <w:t xml:space="preserve">2.2.4 </w:t>
            </w:r>
            <w:r w:rsidR="00180FFE" w:rsidRPr="005B6722">
              <w:rPr>
                <w:sz w:val="24"/>
                <w:szCs w:val="24"/>
              </w:rPr>
              <w:t>Develop a common process for timely data sharing in the event of an outbreak relevant to Australia</w:t>
            </w:r>
            <w:r w:rsidR="00474D94">
              <w:rPr>
                <w:sz w:val="24"/>
                <w:szCs w:val="24"/>
              </w:rPr>
              <w:t>. This will</w:t>
            </w:r>
            <w:r w:rsidR="00180FFE" w:rsidRPr="005B6722">
              <w:rPr>
                <w:sz w:val="24"/>
                <w:szCs w:val="24"/>
              </w:rPr>
              <w:t xml:space="preserve"> complement the </w:t>
            </w:r>
            <w:r w:rsidR="00180FFE" w:rsidRPr="005B6722">
              <w:rPr>
                <w:i/>
                <w:sz w:val="24"/>
                <w:szCs w:val="24"/>
              </w:rPr>
              <w:t>WHO’s draft code of conduct for open and timely sharing of pathogen genetic sequence data during outbreaks of infectious disease</w:t>
            </w:r>
            <w:r w:rsidR="00180FFE" w:rsidRPr="005B6722">
              <w:rPr>
                <w:sz w:val="24"/>
                <w:szCs w:val="24"/>
              </w:rPr>
              <w:t>.</w:t>
            </w:r>
          </w:p>
        </w:tc>
        <w:tc>
          <w:tcPr>
            <w:tcW w:w="500" w:type="pct"/>
          </w:tcPr>
          <w:p w14:paraId="0C4DF057" w14:textId="77777777" w:rsidR="00180FFE" w:rsidRPr="00AE059E" w:rsidRDefault="00180FFE" w:rsidP="003557CE">
            <w:pPr>
              <w:rPr>
                <w:lang w:val="en-AU"/>
              </w:rPr>
            </w:pPr>
            <w:r w:rsidRPr="005B6722">
              <w:t>Short</w:t>
            </w:r>
          </w:p>
        </w:tc>
        <w:tc>
          <w:tcPr>
            <w:tcW w:w="634" w:type="pct"/>
          </w:tcPr>
          <w:p w14:paraId="2509E7B0" w14:textId="77777777" w:rsidR="00180FFE" w:rsidRPr="00AE059E" w:rsidRDefault="00180FFE" w:rsidP="003557CE">
            <w:pPr>
              <w:rPr>
                <w:lang w:val="en-AU"/>
              </w:rPr>
            </w:pPr>
            <w:r w:rsidRPr="005B6722">
              <w:t>CDGN, PHLN, Health</w:t>
            </w:r>
          </w:p>
        </w:tc>
        <w:tc>
          <w:tcPr>
            <w:tcW w:w="704" w:type="pct"/>
          </w:tcPr>
          <w:p w14:paraId="080A199E" w14:textId="77777777" w:rsidR="00180FFE" w:rsidRPr="00AE059E" w:rsidRDefault="00180FFE" w:rsidP="003557CE">
            <w:pPr>
              <w:rPr>
                <w:lang w:val="en-AU"/>
              </w:rPr>
            </w:pPr>
            <w:r w:rsidRPr="005B6722">
              <w:t>High</w:t>
            </w:r>
          </w:p>
        </w:tc>
      </w:tr>
      <w:tr w:rsidR="00116AC9" w:rsidRPr="005B6722" w14:paraId="5D596454" w14:textId="77777777" w:rsidTr="003557CE">
        <w:tc>
          <w:tcPr>
            <w:tcW w:w="3162" w:type="pct"/>
          </w:tcPr>
          <w:p w14:paraId="623597BB" w14:textId="77777777" w:rsidR="00116AC9" w:rsidRDefault="00116AC9" w:rsidP="00505E96">
            <w:pPr>
              <w:widowControl/>
              <w:autoSpaceDE/>
              <w:autoSpaceDN/>
              <w:rPr>
                <w:sz w:val="24"/>
                <w:szCs w:val="24"/>
              </w:rPr>
            </w:pPr>
            <w:r>
              <w:rPr>
                <w:sz w:val="24"/>
                <w:szCs w:val="24"/>
              </w:rPr>
              <w:t xml:space="preserve">2.2.5 </w:t>
            </w:r>
            <w:r w:rsidR="001F522C">
              <w:rPr>
                <w:sz w:val="24"/>
                <w:szCs w:val="24"/>
              </w:rPr>
              <w:t xml:space="preserve">Support </w:t>
            </w:r>
            <w:r w:rsidR="00A04F14">
              <w:rPr>
                <w:sz w:val="24"/>
                <w:szCs w:val="24"/>
              </w:rPr>
              <w:t xml:space="preserve">the </w:t>
            </w:r>
            <w:r w:rsidR="001F522C">
              <w:rPr>
                <w:sz w:val="24"/>
                <w:szCs w:val="24"/>
              </w:rPr>
              <w:t>integration of microbial genomics</w:t>
            </w:r>
            <w:r w:rsidR="00A04F14">
              <w:rPr>
                <w:sz w:val="24"/>
                <w:szCs w:val="24"/>
              </w:rPr>
              <w:t xml:space="preserve"> data</w:t>
            </w:r>
            <w:r w:rsidR="00505E96">
              <w:rPr>
                <w:sz w:val="24"/>
                <w:szCs w:val="24"/>
              </w:rPr>
              <w:t xml:space="preserve"> for non-human samples i.e. food</w:t>
            </w:r>
            <w:r w:rsidR="001F522C">
              <w:rPr>
                <w:sz w:val="24"/>
                <w:szCs w:val="24"/>
              </w:rPr>
              <w:t>.</w:t>
            </w:r>
          </w:p>
          <w:p w14:paraId="22D09551" w14:textId="0650BB7E" w:rsidR="00B40577" w:rsidRPr="005B6722" w:rsidRDefault="00B40577" w:rsidP="00505E96">
            <w:pPr>
              <w:widowControl/>
              <w:autoSpaceDE/>
              <w:autoSpaceDN/>
              <w:rPr>
                <w:sz w:val="24"/>
                <w:szCs w:val="24"/>
              </w:rPr>
            </w:pPr>
          </w:p>
        </w:tc>
        <w:tc>
          <w:tcPr>
            <w:tcW w:w="500" w:type="pct"/>
          </w:tcPr>
          <w:p w14:paraId="36FD18DF" w14:textId="243F09CB" w:rsidR="00116AC9" w:rsidRPr="005B6722" w:rsidRDefault="001F522C" w:rsidP="003557CE">
            <w:r>
              <w:t>Medium</w:t>
            </w:r>
          </w:p>
        </w:tc>
        <w:tc>
          <w:tcPr>
            <w:tcW w:w="634" w:type="pct"/>
          </w:tcPr>
          <w:p w14:paraId="26AFF1B0" w14:textId="48D5A7AD" w:rsidR="00116AC9" w:rsidRPr="005B6722" w:rsidRDefault="001F522C" w:rsidP="003557CE">
            <w:r>
              <w:t>CDGN</w:t>
            </w:r>
          </w:p>
        </w:tc>
        <w:tc>
          <w:tcPr>
            <w:tcW w:w="704" w:type="pct"/>
          </w:tcPr>
          <w:p w14:paraId="46D7BC23" w14:textId="33AA37B6" w:rsidR="00116AC9" w:rsidRPr="005B6722" w:rsidRDefault="001F522C" w:rsidP="003557CE">
            <w:r>
              <w:t>Medium</w:t>
            </w:r>
          </w:p>
        </w:tc>
      </w:tr>
      <w:tr w:rsidR="00180FFE" w:rsidRPr="005B6722" w14:paraId="23B5BD47" w14:textId="77777777" w:rsidTr="003557CE">
        <w:tc>
          <w:tcPr>
            <w:tcW w:w="5000" w:type="pct"/>
            <w:gridSpan w:val="4"/>
            <w:shd w:val="clear" w:color="auto" w:fill="DEEAF6" w:themeFill="accent1" w:themeFillTint="33"/>
          </w:tcPr>
          <w:p w14:paraId="476FB669" w14:textId="77777777" w:rsidR="00180FFE" w:rsidRPr="00AE059E" w:rsidRDefault="00180FFE" w:rsidP="003557CE">
            <w:pPr>
              <w:rPr>
                <w:b/>
                <w:bCs/>
                <w:sz w:val="24"/>
                <w:szCs w:val="24"/>
                <w:lang w:val="en-AU"/>
              </w:rPr>
            </w:pPr>
            <w:r w:rsidRPr="005B6722">
              <w:rPr>
                <w:b/>
                <w:bCs/>
                <w:sz w:val="24"/>
                <w:szCs w:val="24"/>
              </w:rPr>
              <w:lastRenderedPageBreak/>
              <w:t>Outcome 2.3 – Data storage</w:t>
            </w:r>
          </w:p>
        </w:tc>
      </w:tr>
      <w:tr w:rsidR="00180FFE" w:rsidRPr="005B6722" w14:paraId="3F910DB3" w14:textId="77777777" w:rsidTr="003557CE">
        <w:tc>
          <w:tcPr>
            <w:tcW w:w="3162" w:type="pct"/>
          </w:tcPr>
          <w:p w14:paraId="0E2B0C30" w14:textId="3B48ACA5" w:rsidR="00180FFE" w:rsidRPr="00AE059E" w:rsidRDefault="000429CA" w:rsidP="000429CA">
            <w:pPr>
              <w:rPr>
                <w:sz w:val="24"/>
                <w:szCs w:val="24"/>
                <w:lang w:val="en-AU"/>
              </w:rPr>
            </w:pPr>
            <w:r w:rsidRPr="005B6722">
              <w:rPr>
                <w:sz w:val="24"/>
                <w:szCs w:val="24"/>
              </w:rPr>
              <w:t xml:space="preserve">2.3.1 </w:t>
            </w:r>
            <w:r w:rsidR="00180FFE" w:rsidRPr="005B6722">
              <w:rPr>
                <w:sz w:val="24"/>
                <w:szCs w:val="24"/>
              </w:rPr>
              <w:t>Define minimum security handling requirements, i.e. for microbial genomics data pipelines, systems</w:t>
            </w:r>
            <w:r w:rsidRPr="005B6722">
              <w:rPr>
                <w:sz w:val="24"/>
                <w:szCs w:val="24"/>
              </w:rPr>
              <w:t xml:space="preserve">, </w:t>
            </w:r>
            <w:r w:rsidR="00180FFE" w:rsidRPr="005B6722">
              <w:rPr>
                <w:sz w:val="24"/>
                <w:szCs w:val="24"/>
              </w:rPr>
              <w:t>data sharing</w:t>
            </w:r>
            <w:r w:rsidR="000744D7" w:rsidRPr="005B6722">
              <w:rPr>
                <w:sz w:val="24"/>
                <w:szCs w:val="24"/>
              </w:rPr>
              <w:t xml:space="preserve"> and storage</w:t>
            </w:r>
            <w:r w:rsidR="00180FFE" w:rsidRPr="005B6722">
              <w:rPr>
                <w:sz w:val="24"/>
                <w:szCs w:val="24"/>
              </w:rPr>
              <w:t>.</w:t>
            </w:r>
          </w:p>
        </w:tc>
        <w:tc>
          <w:tcPr>
            <w:tcW w:w="500" w:type="pct"/>
          </w:tcPr>
          <w:p w14:paraId="247F342D" w14:textId="77777777" w:rsidR="00180FFE" w:rsidRPr="00AE059E" w:rsidRDefault="00180FFE" w:rsidP="003557CE">
            <w:pPr>
              <w:rPr>
                <w:lang w:val="en-AU"/>
              </w:rPr>
            </w:pPr>
            <w:r w:rsidRPr="005B6722">
              <w:t>Short</w:t>
            </w:r>
          </w:p>
        </w:tc>
        <w:tc>
          <w:tcPr>
            <w:tcW w:w="634" w:type="pct"/>
          </w:tcPr>
          <w:p w14:paraId="3F0178AA" w14:textId="5392455B" w:rsidR="00180FFE" w:rsidRPr="00AE059E" w:rsidRDefault="00180FFE" w:rsidP="003557CE">
            <w:pPr>
              <w:rPr>
                <w:lang w:val="en-AU"/>
              </w:rPr>
            </w:pPr>
            <w:r w:rsidRPr="005B6722">
              <w:t>CDGN</w:t>
            </w:r>
            <w:r w:rsidR="00337278" w:rsidRPr="005B6722">
              <w:t>, Health</w:t>
            </w:r>
          </w:p>
        </w:tc>
        <w:tc>
          <w:tcPr>
            <w:tcW w:w="704" w:type="pct"/>
          </w:tcPr>
          <w:p w14:paraId="367EF530" w14:textId="77777777" w:rsidR="00180FFE" w:rsidRPr="00AE059E" w:rsidRDefault="00180FFE" w:rsidP="003557CE">
            <w:pPr>
              <w:rPr>
                <w:lang w:val="en-AU"/>
              </w:rPr>
            </w:pPr>
            <w:r w:rsidRPr="005B6722">
              <w:t>High</w:t>
            </w:r>
          </w:p>
        </w:tc>
      </w:tr>
      <w:tr w:rsidR="00180FFE" w:rsidRPr="005B6722" w14:paraId="7A816DF4" w14:textId="77777777" w:rsidTr="003557CE">
        <w:tc>
          <w:tcPr>
            <w:tcW w:w="3162" w:type="pct"/>
          </w:tcPr>
          <w:p w14:paraId="3AC76F02" w14:textId="73FF5C66" w:rsidR="00180FFE" w:rsidRPr="00AE059E" w:rsidRDefault="000429CA">
            <w:pPr>
              <w:rPr>
                <w:i/>
                <w:sz w:val="24"/>
                <w:szCs w:val="24"/>
                <w:lang w:val="en-AU"/>
              </w:rPr>
            </w:pPr>
            <w:r w:rsidRPr="005B6722">
              <w:rPr>
                <w:sz w:val="24"/>
                <w:szCs w:val="24"/>
              </w:rPr>
              <w:t xml:space="preserve">2.3.2 </w:t>
            </w:r>
            <w:r w:rsidR="00180FFE" w:rsidRPr="005B6722">
              <w:rPr>
                <w:sz w:val="24"/>
                <w:szCs w:val="24"/>
              </w:rPr>
              <w:t xml:space="preserve">Explore nationally accessible and sustainable data storage and computational infrastructure options, noting </w:t>
            </w:r>
            <w:r w:rsidR="008B4291" w:rsidRPr="005B6722">
              <w:rPr>
                <w:sz w:val="24"/>
                <w:szCs w:val="24"/>
              </w:rPr>
              <w:t xml:space="preserve">these </w:t>
            </w:r>
            <w:r w:rsidR="00D6201A">
              <w:rPr>
                <w:sz w:val="24"/>
                <w:szCs w:val="24"/>
              </w:rPr>
              <w:t xml:space="preserve">also </w:t>
            </w:r>
            <w:r w:rsidR="00180FFE" w:rsidRPr="005B6722">
              <w:rPr>
                <w:sz w:val="24"/>
                <w:szCs w:val="24"/>
              </w:rPr>
              <w:t xml:space="preserve">need to be financially sustainable. </w:t>
            </w:r>
          </w:p>
        </w:tc>
        <w:tc>
          <w:tcPr>
            <w:tcW w:w="500" w:type="pct"/>
          </w:tcPr>
          <w:p w14:paraId="0FFA778C" w14:textId="77777777" w:rsidR="00180FFE" w:rsidRPr="00AE059E" w:rsidRDefault="00180FFE" w:rsidP="003557CE">
            <w:pPr>
              <w:rPr>
                <w:lang w:val="en-AU"/>
              </w:rPr>
            </w:pPr>
            <w:r w:rsidRPr="005B6722">
              <w:t>Short</w:t>
            </w:r>
          </w:p>
        </w:tc>
        <w:tc>
          <w:tcPr>
            <w:tcW w:w="634" w:type="pct"/>
          </w:tcPr>
          <w:p w14:paraId="16C8E4D8" w14:textId="77777777" w:rsidR="00180FFE" w:rsidRPr="00AE059E" w:rsidRDefault="00180FFE" w:rsidP="003557CE">
            <w:pPr>
              <w:rPr>
                <w:lang w:val="en-AU"/>
              </w:rPr>
            </w:pPr>
            <w:r w:rsidRPr="005B6722">
              <w:t>CDGN</w:t>
            </w:r>
          </w:p>
        </w:tc>
        <w:tc>
          <w:tcPr>
            <w:tcW w:w="704" w:type="pct"/>
          </w:tcPr>
          <w:p w14:paraId="33FFE1AD" w14:textId="77777777" w:rsidR="00180FFE" w:rsidRPr="00AE059E" w:rsidRDefault="00180FFE" w:rsidP="003557CE">
            <w:pPr>
              <w:rPr>
                <w:lang w:val="en-AU"/>
              </w:rPr>
            </w:pPr>
            <w:r w:rsidRPr="005B6722">
              <w:t>High</w:t>
            </w:r>
          </w:p>
        </w:tc>
      </w:tr>
      <w:tr w:rsidR="00180FFE" w:rsidRPr="005B6722" w14:paraId="11C05427" w14:textId="77777777" w:rsidTr="003557CE">
        <w:tc>
          <w:tcPr>
            <w:tcW w:w="3162" w:type="pct"/>
          </w:tcPr>
          <w:p w14:paraId="52642E1D" w14:textId="1FC3C2C7" w:rsidR="00180FFE" w:rsidRPr="00AE059E" w:rsidRDefault="000429CA" w:rsidP="000744D7">
            <w:pPr>
              <w:rPr>
                <w:sz w:val="24"/>
                <w:szCs w:val="24"/>
                <w:lang w:val="en-AU"/>
              </w:rPr>
            </w:pPr>
            <w:r w:rsidRPr="005B6722">
              <w:rPr>
                <w:sz w:val="24"/>
                <w:szCs w:val="24"/>
              </w:rPr>
              <w:t>2.3.</w:t>
            </w:r>
            <w:r w:rsidR="00505E96">
              <w:rPr>
                <w:sz w:val="24"/>
                <w:szCs w:val="24"/>
              </w:rPr>
              <w:t>3</w:t>
            </w:r>
            <w:r w:rsidRPr="005B6722">
              <w:rPr>
                <w:sz w:val="24"/>
                <w:szCs w:val="24"/>
              </w:rPr>
              <w:t xml:space="preserve"> </w:t>
            </w:r>
            <w:r w:rsidR="00180FFE" w:rsidRPr="005B6722">
              <w:rPr>
                <w:sz w:val="24"/>
                <w:szCs w:val="24"/>
              </w:rPr>
              <w:t xml:space="preserve">Establish a reference genome repository that </w:t>
            </w:r>
            <w:proofErr w:type="gramStart"/>
            <w:r w:rsidR="00180FFE" w:rsidRPr="005B6722">
              <w:rPr>
                <w:sz w:val="24"/>
                <w:szCs w:val="24"/>
              </w:rPr>
              <w:t>can be accessed</w:t>
            </w:r>
            <w:proofErr w:type="gramEnd"/>
            <w:r w:rsidR="00180FFE" w:rsidRPr="005B6722">
              <w:rPr>
                <w:sz w:val="24"/>
                <w:szCs w:val="24"/>
              </w:rPr>
              <w:t xml:space="preserve"> by </w:t>
            </w:r>
            <w:r w:rsidR="000744D7" w:rsidRPr="005B6722">
              <w:rPr>
                <w:sz w:val="24"/>
                <w:szCs w:val="24"/>
              </w:rPr>
              <w:t>public health laboratories undertaking sequencing</w:t>
            </w:r>
            <w:r w:rsidR="00180FFE" w:rsidRPr="005B6722">
              <w:rPr>
                <w:sz w:val="24"/>
                <w:szCs w:val="24"/>
              </w:rPr>
              <w:t xml:space="preserve">. </w:t>
            </w:r>
          </w:p>
        </w:tc>
        <w:tc>
          <w:tcPr>
            <w:tcW w:w="500" w:type="pct"/>
          </w:tcPr>
          <w:p w14:paraId="1D710E98" w14:textId="77777777" w:rsidR="00180FFE" w:rsidRDefault="00180FFE" w:rsidP="003557CE">
            <w:r w:rsidRPr="005B6722">
              <w:t xml:space="preserve">Short </w:t>
            </w:r>
          </w:p>
          <w:p w14:paraId="6849EDC4" w14:textId="49E01E24" w:rsidR="00505E96" w:rsidRPr="00AE059E" w:rsidRDefault="00505E96" w:rsidP="003557CE">
            <w:pPr>
              <w:rPr>
                <w:lang w:val="en-AU"/>
              </w:rPr>
            </w:pPr>
            <w:r>
              <w:t>(ongoing)</w:t>
            </w:r>
          </w:p>
        </w:tc>
        <w:tc>
          <w:tcPr>
            <w:tcW w:w="634" w:type="pct"/>
          </w:tcPr>
          <w:p w14:paraId="7733733B" w14:textId="77777777" w:rsidR="00180FFE" w:rsidRPr="00AE059E" w:rsidRDefault="00180FFE" w:rsidP="003557CE">
            <w:pPr>
              <w:rPr>
                <w:lang w:val="en-AU"/>
              </w:rPr>
            </w:pPr>
            <w:r w:rsidRPr="005B6722">
              <w:t>CDGN</w:t>
            </w:r>
          </w:p>
        </w:tc>
        <w:tc>
          <w:tcPr>
            <w:tcW w:w="704" w:type="pct"/>
          </w:tcPr>
          <w:p w14:paraId="0BD8A861" w14:textId="77777777" w:rsidR="00180FFE" w:rsidRPr="00AE059E" w:rsidRDefault="00180FFE" w:rsidP="003557CE">
            <w:pPr>
              <w:rPr>
                <w:lang w:val="en-AU"/>
              </w:rPr>
            </w:pPr>
            <w:r w:rsidRPr="005B6722">
              <w:t>High</w:t>
            </w:r>
          </w:p>
        </w:tc>
      </w:tr>
      <w:tr w:rsidR="00180FFE" w:rsidRPr="005B6722" w14:paraId="4CB7D109" w14:textId="77777777" w:rsidTr="003557CE">
        <w:tc>
          <w:tcPr>
            <w:tcW w:w="5000" w:type="pct"/>
            <w:gridSpan w:val="4"/>
            <w:shd w:val="clear" w:color="auto" w:fill="DEEAF6" w:themeFill="accent1" w:themeFillTint="33"/>
          </w:tcPr>
          <w:p w14:paraId="1A691784" w14:textId="77777777" w:rsidR="00180FFE" w:rsidRPr="00AE059E" w:rsidRDefault="00180FFE" w:rsidP="003557CE">
            <w:pPr>
              <w:rPr>
                <w:b/>
                <w:bCs/>
                <w:sz w:val="24"/>
                <w:szCs w:val="24"/>
                <w:lang w:val="en-AU"/>
              </w:rPr>
            </w:pPr>
            <w:r w:rsidRPr="005B6722">
              <w:rPr>
                <w:b/>
                <w:bCs/>
                <w:sz w:val="24"/>
                <w:szCs w:val="24"/>
              </w:rPr>
              <w:t>Outcome 2.4 – Use of data</w:t>
            </w:r>
          </w:p>
        </w:tc>
      </w:tr>
      <w:tr w:rsidR="00180FFE" w:rsidRPr="005B6722" w14:paraId="35076FA7" w14:textId="77777777" w:rsidTr="003557CE">
        <w:tc>
          <w:tcPr>
            <w:tcW w:w="3162" w:type="pct"/>
          </w:tcPr>
          <w:p w14:paraId="42DB14F2" w14:textId="635707FA" w:rsidR="00180FFE" w:rsidRPr="00AE059E" w:rsidRDefault="000429CA" w:rsidP="00455D7C">
            <w:pPr>
              <w:rPr>
                <w:sz w:val="24"/>
                <w:szCs w:val="24"/>
                <w:lang w:val="en-AU"/>
              </w:rPr>
            </w:pPr>
            <w:r w:rsidRPr="005B6722">
              <w:rPr>
                <w:sz w:val="24"/>
                <w:szCs w:val="24"/>
              </w:rPr>
              <w:t xml:space="preserve">2.4.1 </w:t>
            </w:r>
            <w:proofErr w:type="spellStart"/>
            <w:r w:rsidR="00180FFE" w:rsidRPr="005B6722">
              <w:rPr>
                <w:sz w:val="24"/>
                <w:szCs w:val="24"/>
              </w:rPr>
              <w:t>Formalise</w:t>
            </w:r>
            <w:proofErr w:type="spellEnd"/>
            <w:r w:rsidR="00180FFE" w:rsidRPr="005B6722">
              <w:rPr>
                <w:sz w:val="24"/>
                <w:szCs w:val="24"/>
              </w:rPr>
              <w:t xml:space="preserve"> processes to identify, promote, monitor and report best practice in microbial genomics</w:t>
            </w:r>
            <w:r w:rsidR="008B4291" w:rsidRPr="005B6722">
              <w:rPr>
                <w:sz w:val="24"/>
                <w:szCs w:val="24"/>
              </w:rPr>
              <w:t xml:space="preserve"> for public health action</w:t>
            </w:r>
            <w:r w:rsidR="00455D7C">
              <w:rPr>
                <w:sz w:val="24"/>
                <w:szCs w:val="24"/>
              </w:rPr>
              <w:t>. This includes</w:t>
            </w:r>
            <w:r w:rsidR="00177D51">
              <w:rPr>
                <w:sz w:val="24"/>
                <w:szCs w:val="24"/>
              </w:rPr>
              <w:t xml:space="preserve"> </w:t>
            </w:r>
            <w:r w:rsidR="00B308B8">
              <w:rPr>
                <w:sz w:val="24"/>
                <w:szCs w:val="24"/>
              </w:rPr>
              <w:t xml:space="preserve">the timely </w:t>
            </w:r>
            <w:r w:rsidR="00180FFE" w:rsidRPr="005B6722">
              <w:rPr>
                <w:sz w:val="24"/>
                <w:szCs w:val="24"/>
              </w:rPr>
              <w:t xml:space="preserve">sharing of </w:t>
            </w:r>
            <w:r w:rsidR="00003E98" w:rsidRPr="005B6722">
              <w:rPr>
                <w:sz w:val="24"/>
                <w:szCs w:val="24"/>
              </w:rPr>
              <w:t xml:space="preserve">sequencing </w:t>
            </w:r>
            <w:r w:rsidR="00180FFE" w:rsidRPr="005B6722">
              <w:rPr>
                <w:sz w:val="24"/>
                <w:szCs w:val="24"/>
              </w:rPr>
              <w:t xml:space="preserve">data and </w:t>
            </w:r>
            <w:r w:rsidR="00003E98" w:rsidRPr="005B6722">
              <w:rPr>
                <w:sz w:val="24"/>
                <w:szCs w:val="24"/>
              </w:rPr>
              <w:t xml:space="preserve">other related </w:t>
            </w:r>
            <w:r w:rsidR="00180FFE" w:rsidRPr="005B6722">
              <w:rPr>
                <w:sz w:val="24"/>
                <w:szCs w:val="24"/>
              </w:rPr>
              <w:t>information.</w:t>
            </w:r>
          </w:p>
        </w:tc>
        <w:tc>
          <w:tcPr>
            <w:tcW w:w="500" w:type="pct"/>
          </w:tcPr>
          <w:p w14:paraId="69BF571C" w14:textId="77777777" w:rsidR="00180FFE" w:rsidRPr="00AE059E" w:rsidRDefault="00180FFE" w:rsidP="003557CE">
            <w:pPr>
              <w:rPr>
                <w:lang w:val="en-AU"/>
              </w:rPr>
            </w:pPr>
            <w:r w:rsidRPr="005B6722">
              <w:t>Medium</w:t>
            </w:r>
          </w:p>
        </w:tc>
        <w:tc>
          <w:tcPr>
            <w:tcW w:w="634" w:type="pct"/>
          </w:tcPr>
          <w:p w14:paraId="6C7DCD26" w14:textId="77777777" w:rsidR="00180FFE" w:rsidRPr="00AE059E" w:rsidRDefault="00180FFE" w:rsidP="003557CE">
            <w:pPr>
              <w:rPr>
                <w:lang w:val="en-AU"/>
              </w:rPr>
            </w:pPr>
            <w:r w:rsidRPr="005B6722">
              <w:t>CDGN, PHLN</w:t>
            </w:r>
          </w:p>
        </w:tc>
        <w:tc>
          <w:tcPr>
            <w:tcW w:w="704" w:type="pct"/>
          </w:tcPr>
          <w:p w14:paraId="31340DF0" w14:textId="77777777" w:rsidR="00180FFE" w:rsidRPr="00AE059E" w:rsidRDefault="00180FFE" w:rsidP="003557CE">
            <w:pPr>
              <w:rPr>
                <w:lang w:val="en-AU"/>
              </w:rPr>
            </w:pPr>
            <w:r w:rsidRPr="005B6722">
              <w:t>Medium</w:t>
            </w:r>
          </w:p>
        </w:tc>
      </w:tr>
      <w:tr w:rsidR="00180FFE" w:rsidRPr="005B6722" w14:paraId="78204C4E" w14:textId="77777777" w:rsidTr="003557CE">
        <w:tc>
          <w:tcPr>
            <w:tcW w:w="3162" w:type="pct"/>
          </w:tcPr>
          <w:p w14:paraId="79532DBC" w14:textId="7B0A6B85" w:rsidR="00180FFE" w:rsidRPr="00AE059E" w:rsidRDefault="000429CA">
            <w:pPr>
              <w:rPr>
                <w:sz w:val="24"/>
                <w:szCs w:val="24"/>
                <w:lang w:val="en-AU"/>
              </w:rPr>
            </w:pPr>
            <w:r w:rsidRPr="005B6722">
              <w:rPr>
                <w:sz w:val="24"/>
                <w:szCs w:val="24"/>
              </w:rPr>
              <w:t xml:space="preserve">2.4.2 </w:t>
            </w:r>
            <w:r w:rsidR="00180FFE" w:rsidRPr="005B6722">
              <w:rPr>
                <w:sz w:val="24"/>
                <w:szCs w:val="24"/>
              </w:rPr>
              <w:t>For key pathogen</w:t>
            </w:r>
            <w:r w:rsidR="008B4291" w:rsidRPr="005B6722">
              <w:rPr>
                <w:sz w:val="24"/>
                <w:szCs w:val="24"/>
              </w:rPr>
              <w:t>s</w:t>
            </w:r>
            <w:r w:rsidR="00180FFE" w:rsidRPr="005B6722">
              <w:rPr>
                <w:sz w:val="24"/>
                <w:szCs w:val="24"/>
              </w:rPr>
              <w:t>, define which public health laboratories are capable of conducting analys</w:t>
            </w:r>
            <w:r w:rsidR="008B4291" w:rsidRPr="005B6722">
              <w:rPr>
                <w:sz w:val="24"/>
                <w:szCs w:val="24"/>
              </w:rPr>
              <w:t>e</w:t>
            </w:r>
            <w:r w:rsidR="00180FFE" w:rsidRPr="005B6722">
              <w:rPr>
                <w:sz w:val="24"/>
                <w:szCs w:val="24"/>
              </w:rPr>
              <w:t>s and reporting at a national level</w:t>
            </w:r>
            <w:r w:rsidR="00D6201A">
              <w:rPr>
                <w:sz w:val="24"/>
                <w:szCs w:val="24"/>
              </w:rPr>
              <w:t>.</w:t>
            </w:r>
            <w:r w:rsidR="00180FFE" w:rsidRPr="005B6722">
              <w:rPr>
                <w:sz w:val="24"/>
                <w:szCs w:val="24"/>
              </w:rPr>
              <w:t xml:space="preserve"> </w:t>
            </w:r>
            <w:proofErr w:type="gramStart"/>
            <w:r w:rsidR="00D6201A">
              <w:rPr>
                <w:sz w:val="24"/>
                <w:szCs w:val="24"/>
              </w:rPr>
              <w:t>Ideally</w:t>
            </w:r>
            <w:proofErr w:type="gramEnd"/>
            <w:r w:rsidR="00D6201A">
              <w:rPr>
                <w:sz w:val="24"/>
                <w:szCs w:val="24"/>
              </w:rPr>
              <w:t xml:space="preserve"> they </w:t>
            </w:r>
            <w:r w:rsidR="00180FFE" w:rsidRPr="005B6722">
              <w:rPr>
                <w:sz w:val="24"/>
                <w:szCs w:val="24"/>
              </w:rPr>
              <w:t>could take the lead in the event of a multi-jurisdictional outbreak. This may depend on the organism and the capacity and capability of the laboratory at the time of the investigation.</w:t>
            </w:r>
          </w:p>
        </w:tc>
        <w:tc>
          <w:tcPr>
            <w:tcW w:w="500" w:type="pct"/>
          </w:tcPr>
          <w:p w14:paraId="070E7DDC" w14:textId="77777777" w:rsidR="00180FFE" w:rsidRPr="00AE059E" w:rsidRDefault="00180FFE" w:rsidP="003557CE">
            <w:pPr>
              <w:rPr>
                <w:lang w:val="en-AU"/>
              </w:rPr>
            </w:pPr>
            <w:r w:rsidRPr="005B6722">
              <w:t>Short</w:t>
            </w:r>
          </w:p>
        </w:tc>
        <w:tc>
          <w:tcPr>
            <w:tcW w:w="634" w:type="pct"/>
          </w:tcPr>
          <w:p w14:paraId="51FF1E70" w14:textId="1ACD5BFB" w:rsidR="00180FFE" w:rsidRPr="00AE059E" w:rsidRDefault="000429CA" w:rsidP="003557CE">
            <w:pPr>
              <w:rPr>
                <w:lang w:val="en-AU"/>
              </w:rPr>
            </w:pPr>
            <w:r w:rsidRPr="005B6722">
              <w:t xml:space="preserve">CDGN, </w:t>
            </w:r>
            <w:r w:rsidR="00180FFE" w:rsidRPr="005B6722">
              <w:t>PHLN</w:t>
            </w:r>
          </w:p>
        </w:tc>
        <w:tc>
          <w:tcPr>
            <w:tcW w:w="704" w:type="pct"/>
          </w:tcPr>
          <w:p w14:paraId="433F8D66" w14:textId="77777777" w:rsidR="00180FFE" w:rsidRPr="00AE059E" w:rsidRDefault="00180FFE" w:rsidP="003557CE">
            <w:pPr>
              <w:rPr>
                <w:lang w:val="en-AU"/>
              </w:rPr>
            </w:pPr>
            <w:r w:rsidRPr="005B6722">
              <w:t>High</w:t>
            </w:r>
          </w:p>
        </w:tc>
      </w:tr>
      <w:tr w:rsidR="00180FFE" w:rsidRPr="005B6722" w14:paraId="24FB379E" w14:textId="77777777" w:rsidTr="003557CE">
        <w:tc>
          <w:tcPr>
            <w:tcW w:w="3162" w:type="pct"/>
          </w:tcPr>
          <w:p w14:paraId="0A1C4CC4" w14:textId="20916DC2" w:rsidR="00180FFE" w:rsidRPr="00AE059E" w:rsidRDefault="000429CA" w:rsidP="008B4291">
            <w:pPr>
              <w:rPr>
                <w:sz w:val="24"/>
                <w:szCs w:val="24"/>
                <w:lang w:val="en-AU"/>
              </w:rPr>
            </w:pPr>
            <w:r w:rsidRPr="005B6722">
              <w:rPr>
                <w:sz w:val="24"/>
                <w:szCs w:val="24"/>
              </w:rPr>
              <w:t xml:space="preserve">2.4.3 </w:t>
            </w:r>
            <w:r w:rsidR="00180FFE" w:rsidRPr="005B6722">
              <w:rPr>
                <w:sz w:val="24"/>
                <w:szCs w:val="24"/>
              </w:rPr>
              <w:t xml:space="preserve">Establish nationally </w:t>
            </w:r>
            <w:proofErr w:type="spellStart"/>
            <w:r w:rsidR="00180FFE" w:rsidRPr="005B6722">
              <w:rPr>
                <w:sz w:val="24"/>
                <w:szCs w:val="24"/>
              </w:rPr>
              <w:t>standardised</w:t>
            </w:r>
            <w:proofErr w:type="spellEnd"/>
            <w:r w:rsidR="00180FFE" w:rsidRPr="005B6722">
              <w:rPr>
                <w:sz w:val="24"/>
                <w:szCs w:val="24"/>
              </w:rPr>
              <w:t xml:space="preserve"> reporting formats to communicate microbial genomic data to end-users</w:t>
            </w:r>
            <w:r w:rsidR="008B4291" w:rsidRPr="005B6722">
              <w:rPr>
                <w:sz w:val="24"/>
                <w:szCs w:val="24"/>
              </w:rPr>
              <w:t xml:space="preserve"> for public health action</w:t>
            </w:r>
            <w:r w:rsidR="00180FFE" w:rsidRPr="005B6722">
              <w:rPr>
                <w:sz w:val="24"/>
                <w:szCs w:val="24"/>
              </w:rPr>
              <w:t>.</w:t>
            </w:r>
          </w:p>
        </w:tc>
        <w:tc>
          <w:tcPr>
            <w:tcW w:w="500" w:type="pct"/>
          </w:tcPr>
          <w:p w14:paraId="7AB9BB90" w14:textId="0840518F" w:rsidR="00180FFE" w:rsidRPr="00AE059E" w:rsidRDefault="00180FFE" w:rsidP="003557CE">
            <w:pPr>
              <w:rPr>
                <w:lang w:val="en-AU"/>
              </w:rPr>
            </w:pPr>
            <w:r w:rsidRPr="005B6722">
              <w:t xml:space="preserve">Short </w:t>
            </w:r>
            <w:r w:rsidR="00A04F14">
              <w:t>(ongoing)</w:t>
            </w:r>
          </w:p>
        </w:tc>
        <w:tc>
          <w:tcPr>
            <w:tcW w:w="634" w:type="pct"/>
          </w:tcPr>
          <w:p w14:paraId="425D84A4" w14:textId="77777777" w:rsidR="00180FFE" w:rsidRPr="00AE059E" w:rsidRDefault="00180FFE" w:rsidP="003557CE">
            <w:pPr>
              <w:rPr>
                <w:lang w:val="en-AU"/>
              </w:rPr>
            </w:pPr>
            <w:r w:rsidRPr="005B6722">
              <w:t>CDGN, PHLN</w:t>
            </w:r>
          </w:p>
        </w:tc>
        <w:tc>
          <w:tcPr>
            <w:tcW w:w="704" w:type="pct"/>
          </w:tcPr>
          <w:p w14:paraId="18B64ED6" w14:textId="77777777" w:rsidR="00180FFE" w:rsidRPr="00AE059E" w:rsidRDefault="00180FFE" w:rsidP="003557CE">
            <w:pPr>
              <w:rPr>
                <w:lang w:val="en-AU"/>
              </w:rPr>
            </w:pPr>
            <w:r w:rsidRPr="005B6722">
              <w:t>High</w:t>
            </w:r>
          </w:p>
        </w:tc>
      </w:tr>
      <w:tr w:rsidR="00180FFE" w:rsidRPr="005B6722" w14:paraId="6B1C0867" w14:textId="77777777" w:rsidTr="003557CE">
        <w:tc>
          <w:tcPr>
            <w:tcW w:w="5000" w:type="pct"/>
            <w:gridSpan w:val="4"/>
            <w:shd w:val="clear" w:color="auto" w:fill="DEEAF6" w:themeFill="accent1" w:themeFillTint="33"/>
          </w:tcPr>
          <w:p w14:paraId="54917400" w14:textId="77777777" w:rsidR="00180FFE" w:rsidRPr="00AE059E" w:rsidRDefault="00180FFE" w:rsidP="003557CE">
            <w:pPr>
              <w:rPr>
                <w:b/>
                <w:bCs/>
                <w:sz w:val="24"/>
                <w:szCs w:val="24"/>
                <w:lang w:val="en-AU"/>
              </w:rPr>
            </w:pPr>
            <w:r w:rsidRPr="005B6722">
              <w:rPr>
                <w:b/>
                <w:bCs/>
                <w:sz w:val="24"/>
                <w:szCs w:val="24"/>
              </w:rPr>
              <w:t>Outcome 2.5 – Data governance</w:t>
            </w:r>
          </w:p>
        </w:tc>
      </w:tr>
      <w:tr w:rsidR="00180FFE" w:rsidRPr="005B6722" w14:paraId="1776C2CD" w14:textId="77777777" w:rsidTr="003557CE">
        <w:tc>
          <w:tcPr>
            <w:tcW w:w="3162" w:type="pct"/>
          </w:tcPr>
          <w:p w14:paraId="2D7B408B" w14:textId="1EB7EAA9" w:rsidR="00180FFE" w:rsidRPr="00AE059E" w:rsidRDefault="000429CA" w:rsidP="003557CE">
            <w:pPr>
              <w:rPr>
                <w:sz w:val="24"/>
                <w:szCs w:val="24"/>
                <w:lang w:val="en-AU"/>
              </w:rPr>
            </w:pPr>
            <w:r w:rsidRPr="005B6722">
              <w:rPr>
                <w:sz w:val="24"/>
                <w:szCs w:val="24"/>
              </w:rPr>
              <w:t xml:space="preserve">2.5.1 </w:t>
            </w:r>
            <w:r w:rsidR="00180FFE" w:rsidRPr="005B6722">
              <w:rPr>
                <w:sz w:val="24"/>
                <w:szCs w:val="24"/>
              </w:rPr>
              <w:t>Review legislation and regulation at both state</w:t>
            </w:r>
            <w:r w:rsidR="00455D7C">
              <w:rPr>
                <w:sz w:val="24"/>
                <w:szCs w:val="24"/>
              </w:rPr>
              <w:t>/territory</w:t>
            </w:r>
            <w:r w:rsidR="00180FFE" w:rsidRPr="005B6722">
              <w:rPr>
                <w:sz w:val="24"/>
                <w:szCs w:val="24"/>
              </w:rPr>
              <w:t xml:space="preserve"> and federal levels to identify any impediments to implementation of microbial genomics</w:t>
            </w:r>
            <w:r w:rsidR="008B4291" w:rsidRPr="005B6722">
              <w:rPr>
                <w:sz w:val="24"/>
                <w:szCs w:val="24"/>
              </w:rPr>
              <w:t xml:space="preserve"> for public health action</w:t>
            </w:r>
            <w:r w:rsidR="00180FFE" w:rsidRPr="005B6722">
              <w:rPr>
                <w:sz w:val="24"/>
                <w:szCs w:val="24"/>
              </w:rPr>
              <w:t>, particularly in relation to data sharing.</w:t>
            </w:r>
          </w:p>
        </w:tc>
        <w:tc>
          <w:tcPr>
            <w:tcW w:w="500" w:type="pct"/>
          </w:tcPr>
          <w:p w14:paraId="6C67E857" w14:textId="77777777" w:rsidR="00180FFE" w:rsidRPr="00AE059E" w:rsidRDefault="00180FFE" w:rsidP="003557CE">
            <w:pPr>
              <w:rPr>
                <w:lang w:val="en-AU"/>
              </w:rPr>
            </w:pPr>
            <w:r w:rsidRPr="005B6722">
              <w:t>Medium</w:t>
            </w:r>
          </w:p>
        </w:tc>
        <w:tc>
          <w:tcPr>
            <w:tcW w:w="634" w:type="pct"/>
          </w:tcPr>
          <w:p w14:paraId="69493542" w14:textId="77777777" w:rsidR="00180FFE" w:rsidRPr="00AE059E" w:rsidRDefault="00180FFE" w:rsidP="003557CE">
            <w:pPr>
              <w:rPr>
                <w:lang w:val="en-AU"/>
              </w:rPr>
            </w:pPr>
            <w:r w:rsidRPr="005B6722">
              <w:t>CDGN, CDNA, Health</w:t>
            </w:r>
          </w:p>
        </w:tc>
        <w:tc>
          <w:tcPr>
            <w:tcW w:w="704" w:type="pct"/>
          </w:tcPr>
          <w:p w14:paraId="388D154B" w14:textId="77777777" w:rsidR="00180FFE" w:rsidRPr="00AE059E" w:rsidRDefault="00180FFE" w:rsidP="003557CE">
            <w:pPr>
              <w:rPr>
                <w:lang w:val="en-AU"/>
              </w:rPr>
            </w:pPr>
            <w:r w:rsidRPr="005B6722">
              <w:t>High</w:t>
            </w:r>
          </w:p>
        </w:tc>
      </w:tr>
      <w:tr w:rsidR="00180FFE" w:rsidRPr="005B6722" w14:paraId="6B87E8FE" w14:textId="77777777" w:rsidTr="003557CE">
        <w:tc>
          <w:tcPr>
            <w:tcW w:w="3162" w:type="pct"/>
          </w:tcPr>
          <w:p w14:paraId="421C032C" w14:textId="3FB02DFF" w:rsidR="00180FFE" w:rsidRPr="00AE059E" w:rsidRDefault="000429CA" w:rsidP="003557CE">
            <w:pPr>
              <w:rPr>
                <w:sz w:val="24"/>
                <w:szCs w:val="24"/>
                <w:lang w:val="en-AU"/>
              </w:rPr>
            </w:pPr>
            <w:r w:rsidRPr="005B6722">
              <w:rPr>
                <w:sz w:val="24"/>
                <w:szCs w:val="24"/>
              </w:rPr>
              <w:t xml:space="preserve">2.5.2 </w:t>
            </w:r>
            <w:r w:rsidR="00180FFE" w:rsidRPr="005B6722">
              <w:rPr>
                <w:sz w:val="24"/>
                <w:szCs w:val="24"/>
              </w:rPr>
              <w:t xml:space="preserve">Develop a national microbial </w:t>
            </w:r>
            <w:proofErr w:type="gramStart"/>
            <w:r w:rsidR="00180FFE" w:rsidRPr="005B6722">
              <w:rPr>
                <w:sz w:val="24"/>
                <w:szCs w:val="24"/>
              </w:rPr>
              <w:t>genomics data governance framework</w:t>
            </w:r>
            <w:proofErr w:type="gramEnd"/>
            <w:r w:rsidR="00180FFE" w:rsidRPr="005B6722">
              <w:rPr>
                <w:sz w:val="24"/>
                <w:szCs w:val="24"/>
              </w:rPr>
              <w:t xml:space="preserve"> that aligns with international frameworks.</w:t>
            </w:r>
          </w:p>
        </w:tc>
        <w:tc>
          <w:tcPr>
            <w:tcW w:w="500" w:type="pct"/>
          </w:tcPr>
          <w:p w14:paraId="47B27A83" w14:textId="77777777" w:rsidR="00180FFE" w:rsidRPr="00AE059E" w:rsidRDefault="00180FFE" w:rsidP="003557CE">
            <w:pPr>
              <w:rPr>
                <w:lang w:val="en-AU"/>
              </w:rPr>
            </w:pPr>
            <w:r w:rsidRPr="005B6722">
              <w:t>Medium</w:t>
            </w:r>
          </w:p>
        </w:tc>
        <w:tc>
          <w:tcPr>
            <w:tcW w:w="634" w:type="pct"/>
          </w:tcPr>
          <w:p w14:paraId="2512D107" w14:textId="77777777" w:rsidR="00180FFE" w:rsidRPr="00AE059E" w:rsidRDefault="00180FFE" w:rsidP="003557CE">
            <w:pPr>
              <w:rPr>
                <w:lang w:val="en-AU"/>
              </w:rPr>
            </w:pPr>
            <w:r w:rsidRPr="005B6722">
              <w:t>CDGN, PHLN, CDNA, Health</w:t>
            </w:r>
          </w:p>
        </w:tc>
        <w:tc>
          <w:tcPr>
            <w:tcW w:w="704" w:type="pct"/>
          </w:tcPr>
          <w:p w14:paraId="5DE9C06C" w14:textId="77777777" w:rsidR="00180FFE" w:rsidRPr="00AE059E" w:rsidRDefault="00180FFE" w:rsidP="003557CE">
            <w:pPr>
              <w:rPr>
                <w:lang w:val="en-AU"/>
              </w:rPr>
            </w:pPr>
            <w:r w:rsidRPr="005B6722">
              <w:t>Medium</w:t>
            </w:r>
          </w:p>
        </w:tc>
      </w:tr>
      <w:tr w:rsidR="00180FFE" w:rsidRPr="005B6722" w14:paraId="19D065BE" w14:textId="77777777" w:rsidTr="003557CE">
        <w:tc>
          <w:tcPr>
            <w:tcW w:w="3162" w:type="pct"/>
          </w:tcPr>
          <w:p w14:paraId="5802387B" w14:textId="7106D401" w:rsidR="00180FFE" w:rsidRPr="00AE059E" w:rsidRDefault="000429CA" w:rsidP="008B4291">
            <w:pPr>
              <w:rPr>
                <w:sz w:val="24"/>
                <w:szCs w:val="24"/>
                <w:lang w:val="en-AU"/>
              </w:rPr>
            </w:pPr>
            <w:r w:rsidRPr="005B6722">
              <w:rPr>
                <w:sz w:val="24"/>
                <w:szCs w:val="24"/>
              </w:rPr>
              <w:t xml:space="preserve">2.5.3 </w:t>
            </w:r>
            <w:r w:rsidR="00180FFE" w:rsidRPr="005B6722">
              <w:rPr>
                <w:sz w:val="24"/>
                <w:szCs w:val="24"/>
              </w:rPr>
              <w:t>Develop nationally agreed standards for data collection, safe storage, data sharing, custodianship, analys</w:t>
            </w:r>
            <w:r w:rsidR="008B4291" w:rsidRPr="005B6722">
              <w:rPr>
                <w:sz w:val="24"/>
                <w:szCs w:val="24"/>
              </w:rPr>
              <w:t>e</w:t>
            </w:r>
            <w:r w:rsidR="00180FFE" w:rsidRPr="005B6722">
              <w:rPr>
                <w:sz w:val="24"/>
                <w:szCs w:val="24"/>
              </w:rPr>
              <w:t>s, reporting and privacy requirements.</w:t>
            </w:r>
          </w:p>
        </w:tc>
        <w:tc>
          <w:tcPr>
            <w:tcW w:w="500" w:type="pct"/>
          </w:tcPr>
          <w:p w14:paraId="683DA936" w14:textId="77777777" w:rsidR="00180FFE" w:rsidRPr="00AE059E" w:rsidRDefault="00180FFE" w:rsidP="003557CE">
            <w:pPr>
              <w:rPr>
                <w:lang w:val="en-AU"/>
              </w:rPr>
            </w:pPr>
            <w:r w:rsidRPr="005B6722">
              <w:t>Medium</w:t>
            </w:r>
          </w:p>
        </w:tc>
        <w:tc>
          <w:tcPr>
            <w:tcW w:w="634" w:type="pct"/>
          </w:tcPr>
          <w:p w14:paraId="2091775A" w14:textId="77777777" w:rsidR="00180FFE" w:rsidRPr="00AE059E" w:rsidRDefault="00180FFE" w:rsidP="003557CE">
            <w:pPr>
              <w:rPr>
                <w:lang w:val="en-AU"/>
              </w:rPr>
            </w:pPr>
            <w:r w:rsidRPr="005B6722">
              <w:t>CDGN, PHLN, CDNA, Health</w:t>
            </w:r>
          </w:p>
        </w:tc>
        <w:tc>
          <w:tcPr>
            <w:tcW w:w="704" w:type="pct"/>
          </w:tcPr>
          <w:p w14:paraId="079C7F68" w14:textId="77777777" w:rsidR="00180FFE" w:rsidRPr="00AE059E" w:rsidRDefault="00180FFE" w:rsidP="003557CE">
            <w:pPr>
              <w:rPr>
                <w:lang w:val="en-AU"/>
              </w:rPr>
            </w:pPr>
            <w:r w:rsidRPr="005B6722">
              <w:t>Medium</w:t>
            </w:r>
          </w:p>
        </w:tc>
      </w:tr>
    </w:tbl>
    <w:p w14:paraId="6ADBDCE6" w14:textId="77777777" w:rsidR="00180FFE" w:rsidRPr="005B6722" w:rsidRDefault="00180FFE" w:rsidP="00180FFE">
      <w:pPr>
        <w:rPr>
          <w:sz w:val="25"/>
        </w:rPr>
        <w:sectPr w:rsidR="00180FFE" w:rsidRPr="005B6722" w:rsidSect="003557CE">
          <w:pgSz w:w="16840" w:h="11910" w:orient="landscape"/>
          <w:pgMar w:top="1420" w:right="1080" w:bottom="720" w:left="1260" w:header="756" w:footer="1075" w:gutter="0"/>
          <w:cols w:space="720"/>
          <w:docGrid w:linePitch="299"/>
        </w:sectPr>
      </w:pPr>
    </w:p>
    <w:p w14:paraId="0FB64A36" w14:textId="0830A016" w:rsidR="00180FFE" w:rsidRPr="005B6722" w:rsidRDefault="00180FFE" w:rsidP="00180FFE">
      <w:pPr>
        <w:pStyle w:val="Heading1"/>
        <w:ind w:right="1779"/>
      </w:pPr>
      <w:bookmarkStart w:id="80" w:name="_bookmark17"/>
      <w:bookmarkStart w:id="81" w:name="_Toc57196970"/>
      <w:bookmarkEnd w:id="80"/>
      <w:r w:rsidRPr="005B6722">
        <w:lastRenderedPageBreak/>
        <w:t>Strategic Priority 3: Integration into Public Health</w:t>
      </w:r>
      <w:bookmarkEnd w:id="81"/>
    </w:p>
    <w:p w14:paraId="5F49A766" w14:textId="5F568E53" w:rsidR="00180FFE" w:rsidRPr="005B6722" w:rsidRDefault="00180FFE" w:rsidP="00180FFE">
      <w:pPr>
        <w:pStyle w:val="BodyText"/>
        <w:spacing w:before="6"/>
        <w:rPr>
          <w:b/>
          <w:sz w:val="17"/>
        </w:rPr>
      </w:pPr>
    </w:p>
    <w:p w14:paraId="27A7CD39" w14:textId="77777777" w:rsidR="00180FFE" w:rsidRPr="008610F1" w:rsidRDefault="00180FFE" w:rsidP="00180FFE">
      <w:pPr>
        <w:pStyle w:val="BodyText"/>
        <w:spacing w:before="11"/>
        <w:rPr>
          <w:b/>
          <w:sz w:val="17"/>
        </w:rPr>
      </w:pPr>
    </w:p>
    <w:p w14:paraId="6B78BD06" w14:textId="77777777" w:rsidR="00180FFE" w:rsidRPr="005B6722" w:rsidRDefault="00180FFE" w:rsidP="00180FFE">
      <w:pPr>
        <w:pStyle w:val="Heading2"/>
        <w:spacing w:before="44"/>
      </w:pPr>
      <w:bookmarkStart w:id="82" w:name="_bookmark18"/>
      <w:bookmarkStart w:id="83" w:name="_Toc57196971"/>
      <w:bookmarkEnd w:id="82"/>
      <w:r w:rsidRPr="005B6722">
        <w:t>Current activities</w:t>
      </w:r>
      <w:bookmarkEnd w:id="83"/>
    </w:p>
    <w:p w14:paraId="11F88DA9" w14:textId="2F1DCB2E" w:rsidR="00180FFE" w:rsidRPr="005B6722" w:rsidRDefault="00180FFE" w:rsidP="00180FFE">
      <w:pPr>
        <w:pStyle w:val="BodyText"/>
        <w:ind w:left="282" w:right="698"/>
      </w:pPr>
      <w:r w:rsidRPr="005B6722">
        <w:t>There is a collective effort by the Australian Government and state and territor</w:t>
      </w:r>
      <w:r w:rsidR="0032774B">
        <w:t xml:space="preserve">y governments </w:t>
      </w:r>
      <w:r w:rsidRPr="005B6722">
        <w:t xml:space="preserve">to prioritise microbial genomics integration activities to improve public health outcomes. While several microbial genomics activities in surveillance and response </w:t>
      </w:r>
      <w:proofErr w:type="gramStart"/>
      <w:r w:rsidRPr="005B6722">
        <w:t>are being undertaken</w:t>
      </w:r>
      <w:proofErr w:type="gramEnd"/>
      <w:r w:rsidRPr="005B6722">
        <w:t xml:space="preserve"> in states and territories, there remains significant steps for these to be optimised and fully implemented as routine activities in public health systems. Current efforts include: </w:t>
      </w:r>
    </w:p>
    <w:p w14:paraId="075F5740" w14:textId="7C98902B" w:rsidR="00180FFE" w:rsidRPr="005B6722" w:rsidRDefault="00180FFE" w:rsidP="00180FFE">
      <w:pPr>
        <w:pStyle w:val="BodyText"/>
        <w:numPr>
          <w:ilvl w:val="0"/>
          <w:numId w:val="18"/>
        </w:numPr>
        <w:ind w:right="698"/>
      </w:pPr>
      <w:r w:rsidRPr="005B6722">
        <w:t xml:space="preserve">WGS </w:t>
      </w:r>
      <w:r w:rsidR="00A04F14">
        <w:t>to identify and confirm clusters/</w:t>
      </w:r>
      <w:r w:rsidRPr="005B6722">
        <w:t xml:space="preserve">disease outbreaks, and sharing of isolates and </w:t>
      </w:r>
      <w:r w:rsidR="008B4291" w:rsidRPr="005B6722">
        <w:t xml:space="preserve">microbial </w:t>
      </w:r>
      <w:r w:rsidRPr="005B6722">
        <w:t xml:space="preserve">sequences </w:t>
      </w:r>
      <w:r w:rsidR="008B4291" w:rsidRPr="005B6722">
        <w:t>between</w:t>
      </w:r>
      <w:r w:rsidRPr="005B6722">
        <w:t xml:space="preserve"> jurisdictions in the event of a multi-jurisdictional outbreak</w:t>
      </w:r>
    </w:p>
    <w:p w14:paraId="6FA2F755" w14:textId="77777777" w:rsidR="00180FFE" w:rsidRPr="005B6722" w:rsidRDefault="00180FFE" w:rsidP="00180FFE">
      <w:pPr>
        <w:pStyle w:val="BodyText"/>
        <w:numPr>
          <w:ilvl w:val="0"/>
          <w:numId w:val="18"/>
        </w:numPr>
        <w:ind w:right="698"/>
      </w:pPr>
      <w:r w:rsidRPr="005B6722">
        <w:t xml:space="preserve">Jurisdictional implementation of WGS into public health microbiology services for: </w:t>
      </w:r>
    </w:p>
    <w:p w14:paraId="4EBDD4D0" w14:textId="31CEC715" w:rsidR="008B4291" w:rsidRPr="005B6722" w:rsidRDefault="008B4291" w:rsidP="00180FFE">
      <w:pPr>
        <w:pStyle w:val="BodyText"/>
        <w:numPr>
          <w:ilvl w:val="1"/>
          <w:numId w:val="18"/>
        </w:numPr>
        <w:ind w:right="698"/>
        <w:rPr>
          <w:i/>
          <w:iCs/>
        </w:rPr>
      </w:pPr>
      <w:r w:rsidRPr="005B6722">
        <w:t>S</w:t>
      </w:r>
      <w:r w:rsidR="000429CA" w:rsidRPr="005B6722">
        <w:t>evere Acute Respiratory Syndrome Coronavirus 2 (S</w:t>
      </w:r>
      <w:r w:rsidRPr="005B6722">
        <w:t>ARS-CoV-2</w:t>
      </w:r>
      <w:r w:rsidR="000429CA" w:rsidRPr="005B6722">
        <w:t>)</w:t>
      </w:r>
    </w:p>
    <w:p w14:paraId="59F763D9" w14:textId="2A02F6AB" w:rsidR="00180FFE" w:rsidRPr="005B6722" w:rsidRDefault="00180FFE" w:rsidP="00180FFE">
      <w:pPr>
        <w:pStyle w:val="BodyText"/>
        <w:numPr>
          <w:ilvl w:val="1"/>
          <w:numId w:val="18"/>
        </w:numPr>
        <w:ind w:right="698"/>
      </w:pPr>
      <w:r w:rsidRPr="005B6722">
        <w:rPr>
          <w:i/>
          <w:iCs/>
        </w:rPr>
        <w:t xml:space="preserve">Listeria </w:t>
      </w:r>
      <w:proofErr w:type="spellStart"/>
      <w:r w:rsidRPr="005B6722">
        <w:rPr>
          <w:i/>
          <w:iCs/>
        </w:rPr>
        <w:t>monocytogenes</w:t>
      </w:r>
      <w:proofErr w:type="spellEnd"/>
    </w:p>
    <w:p w14:paraId="02BE724C" w14:textId="77777777" w:rsidR="00180FFE" w:rsidRPr="005B6722" w:rsidRDefault="00180FFE" w:rsidP="00180FFE">
      <w:pPr>
        <w:pStyle w:val="BodyText"/>
        <w:numPr>
          <w:ilvl w:val="1"/>
          <w:numId w:val="18"/>
        </w:numPr>
        <w:ind w:right="698"/>
        <w:rPr>
          <w:i/>
          <w:iCs/>
        </w:rPr>
      </w:pPr>
      <w:r w:rsidRPr="005B6722">
        <w:rPr>
          <w:i/>
          <w:iCs/>
        </w:rPr>
        <w:t>Mycobacterium tuberculosis</w:t>
      </w:r>
    </w:p>
    <w:p w14:paraId="5F3387C1" w14:textId="77777777" w:rsidR="00180FFE" w:rsidRPr="005B6722" w:rsidRDefault="00180FFE" w:rsidP="00180FFE">
      <w:pPr>
        <w:pStyle w:val="BodyText"/>
        <w:numPr>
          <w:ilvl w:val="1"/>
          <w:numId w:val="18"/>
        </w:numPr>
        <w:ind w:right="698"/>
      </w:pPr>
      <w:r w:rsidRPr="005B6722">
        <w:rPr>
          <w:i/>
          <w:iCs/>
        </w:rPr>
        <w:t xml:space="preserve">Neisseria </w:t>
      </w:r>
      <w:proofErr w:type="spellStart"/>
      <w:r w:rsidRPr="005B6722">
        <w:rPr>
          <w:i/>
          <w:iCs/>
        </w:rPr>
        <w:t>meningitidis</w:t>
      </w:r>
      <w:proofErr w:type="spellEnd"/>
    </w:p>
    <w:p w14:paraId="56EBCF28" w14:textId="77777777" w:rsidR="00180FFE" w:rsidRPr="005B6722" w:rsidRDefault="00180FFE" w:rsidP="00180FFE">
      <w:pPr>
        <w:pStyle w:val="BodyText"/>
        <w:numPr>
          <w:ilvl w:val="1"/>
          <w:numId w:val="18"/>
        </w:numPr>
        <w:ind w:right="698"/>
      </w:pPr>
      <w:r w:rsidRPr="005B6722">
        <w:rPr>
          <w:i/>
          <w:iCs/>
        </w:rPr>
        <w:t xml:space="preserve">Legionella </w:t>
      </w:r>
      <w:proofErr w:type="spellStart"/>
      <w:r w:rsidRPr="005B6722">
        <w:rPr>
          <w:i/>
          <w:iCs/>
        </w:rPr>
        <w:t>pneumophila</w:t>
      </w:r>
      <w:proofErr w:type="spellEnd"/>
    </w:p>
    <w:p w14:paraId="2F770C6C" w14:textId="77777777" w:rsidR="00180FFE" w:rsidRPr="005B6722" w:rsidRDefault="00180FFE" w:rsidP="00180FFE">
      <w:pPr>
        <w:pStyle w:val="BodyText"/>
        <w:numPr>
          <w:ilvl w:val="1"/>
          <w:numId w:val="18"/>
        </w:numPr>
        <w:ind w:right="698"/>
      </w:pPr>
      <w:r w:rsidRPr="005B6722">
        <w:t>Shiga toxin-producing</w:t>
      </w:r>
      <w:r w:rsidRPr="005B6722">
        <w:rPr>
          <w:i/>
        </w:rPr>
        <w:t xml:space="preserve"> Escherichia coli </w:t>
      </w:r>
      <w:r w:rsidRPr="00AE059E">
        <w:t>(STEC)</w:t>
      </w:r>
    </w:p>
    <w:p w14:paraId="05244B60" w14:textId="77777777" w:rsidR="00180FFE" w:rsidRPr="005B6722" w:rsidRDefault="00180FFE" w:rsidP="00180FFE">
      <w:pPr>
        <w:pStyle w:val="BodyText"/>
        <w:numPr>
          <w:ilvl w:val="1"/>
          <w:numId w:val="18"/>
        </w:numPr>
        <w:ind w:right="698"/>
      </w:pPr>
      <w:r w:rsidRPr="005B6722">
        <w:rPr>
          <w:i/>
        </w:rPr>
        <w:t>Salmonella</w:t>
      </w:r>
      <w:r w:rsidRPr="005B6722">
        <w:t xml:space="preserve"> </w:t>
      </w:r>
      <w:proofErr w:type="spellStart"/>
      <w:r w:rsidRPr="005B6722">
        <w:rPr>
          <w:i/>
          <w:iCs/>
        </w:rPr>
        <w:t>enterica</w:t>
      </w:r>
      <w:proofErr w:type="spellEnd"/>
      <w:r w:rsidRPr="005B6722">
        <w:t xml:space="preserve"> spp.</w:t>
      </w:r>
    </w:p>
    <w:p w14:paraId="5C6C67EE" w14:textId="77777777" w:rsidR="00180FFE" w:rsidRPr="005B6722" w:rsidRDefault="00180FFE" w:rsidP="00180FFE">
      <w:pPr>
        <w:pStyle w:val="BodyText"/>
        <w:numPr>
          <w:ilvl w:val="1"/>
          <w:numId w:val="18"/>
        </w:numPr>
        <w:ind w:right="698"/>
      </w:pPr>
      <w:proofErr w:type="spellStart"/>
      <w:r w:rsidRPr="005B6722">
        <w:rPr>
          <w:i/>
          <w:iCs/>
        </w:rPr>
        <w:t>Shigella</w:t>
      </w:r>
      <w:proofErr w:type="spellEnd"/>
      <w:r w:rsidRPr="005B6722">
        <w:t xml:space="preserve"> spp.</w:t>
      </w:r>
    </w:p>
    <w:p w14:paraId="45DC0F4B" w14:textId="77777777" w:rsidR="00180FFE" w:rsidRPr="005B6722" w:rsidRDefault="00180FFE" w:rsidP="00180FFE">
      <w:pPr>
        <w:pStyle w:val="BodyText"/>
        <w:numPr>
          <w:ilvl w:val="1"/>
          <w:numId w:val="18"/>
        </w:numPr>
        <w:ind w:right="698"/>
      </w:pPr>
      <w:r w:rsidRPr="005B6722">
        <w:t xml:space="preserve">toxin positive </w:t>
      </w:r>
      <w:proofErr w:type="spellStart"/>
      <w:r w:rsidRPr="005B6722">
        <w:rPr>
          <w:i/>
          <w:iCs/>
        </w:rPr>
        <w:t>Corynebacterium</w:t>
      </w:r>
      <w:proofErr w:type="spellEnd"/>
      <w:r w:rsidRPr="005B6722">
        <w:rPr>
          <w:i/>
          <w:iCs/>
        </w:rPr>
        <w:t xml:space="preserve"> </w:t>
      </w:r>
      <w:proofErr w:type="spellStart"/>
      <w:r w:rsidRPr="005B6722">
        <w:rPr>
          <w:i/>
          <w:iCs/>
        </w:rPr>
        <w:t>diphtheriae</w:t>
      </w:r>
      <w:proofErr w:type="spellEnd"/>
    </w:p>
    <w:p w14:paraId="2643976D" w14:textId="77777777" w:rsidR="00180FFE" w:rsidRPr="005B6722" w:rsidRDefault="00180FFE" w:rsidP="00180FFE">
      <w:pPr>
        <w:pStyle w:val="BodyText"/>
        <w:numPr>
          <w:ilvl w:val="1"/>
          <w:numId w:val="18"/>
        </w:numPr>
        <w:ind w:right="698"/>
      </w:pPr>
      <w:r w:rsidRPr="005B6722">
        <w:t>Hepatitis A virus</w:t>
      </w:r>
    </w:p>
    <w:p w14:paraId="0A14E8A6" w14:textId="51904720" w:rsidR="00180FFE" w:rsidRPr="005B6722" w:rsidRDefault="00180FFE" w:rsidP="00180FFE">
      <w:pPr>
        <w:pStyle w:val="BodyText"/>
        <w:numPr>
          <w:ilvl w:val="1"/>
          <w:numId w:val="18"/>
        </w:numPr>
        <w:ind w:right="698"/>
      </w:pPr>
      <w:proofErr w:type="spellStart"/>
      <w:r w:rsidRPr="005B6722">
        <w:t>Carbapenemase</w:t>
      </w:r>
      <w:proofErr w:type="spellEnd"/>
      <w:r w:rsidRPr="005B6722">
        <w:t xml:space="preserve">-producing </w:t>
      </w:r>
      <w:proofErr w:type="spellStart"/>
      <w:r w:rsidRPr="005B6722">
        <w:t>enterobacteriaceae</w:t>
      </w:r>
      <w:proofErr w:type="spellEnd"/>
      <w:r w:rsidRPr="005B6722">
        <w:t xml:space="preserve"> (CPE)</w:t>
      </w:r>
      <w:r w:rsidR="001324A3">
        <w:t xml:space="preserve"> and other antibiotic-resistant pathogens</w:t>
      </w:r>
    </w:p>
    <w:p w14:paraId="5F2DD6AF" w14:textId="77777777" w:rsidR="00180FFE" w:rsidRPr="005B6722" w:rsidRDefault="00180FFE" w:rsidP="00180FFE">
      <w:pPr>
        <w:pStyle w:val="BodyText"/>
        <w:numPr>
          <w:ilvl w:val="1"/>
          <w:numId w:val="18"/>
        </w:numPr>
        <w:ind w:right="698"/>
      </w:pPr>
      <w:r w:rsidRPr="005B6722">
        <w:rPr>
          <w:i/>
        </w:rPr>
        <w:t xml:space="preserve">Candida </w:t>
      </w:r>
      <w:proofErr w:type="spellStart"/>
      <w:r w:rsidRPr="005B6722">
        <w:rPr>
          <w:i/>
        </w:rPr>
        <w:t>auris</w:t>
      </w:r>
      <w:proofErr w:type="spellEnd"/>
    </w:p>
    <w:p w14:paraId="7C91E21E" w14:textId="1CD9F80F" w:rsidR="00180FFE" w:rsidRPr="005B6722" w:rsidRDefault="00180FFE" w:rsidP="00180FFE">
      <w:pPr>
        <w:pStyle w:val="BodyText"/>
        <w:numPr>
          <w:ilvl w:val="0"/>
          <w:numId w:val="18"/>
        </w:numPr>
        <w:ind w:right="698"/>
      </w:pPr>
      <w:r w:rsidRPr="005B6722">
        <w:rPr>
          <w:iCs/>
        </w:rPr>
        <w:t xml:space="preserve">Current implementation </w:t>
      </w:r>
      <w:proofErr w:type="gramStart"/>
      <w:r w:rsidRPr="005B6722">
        <w:rPr>
          <w:iCs/>
        </w:rPr>
        <w:t xml:space="preserve">is </w:t>
      </w:r>
      <w:r w:rsidR="00502105">
        <w:rPr>
          <w:iCs/>
        </w:rPr>
        <w:t>most advanced</w:t>
      </w:r>
      <w:proofErr w:type="gramEnd"/>
      <w:r w:rsidR="00502105">
        <w:rPr>
          <w:iCs/>
        </w:rPr>
        <w:t xml:space="preserve"> within </w:t>
      </w:r>
      <w:r w:rsidRPr="005B6722">
        <w:rPr>
          <w:iCs/>
        </w:rPr>
        <w:t>the large</w:t>
      </w:r>
      <w:r w:rsidR="00502105">
        <w:rPr>
          <w:iCs/>
        </w:rPr>
        <w:t xml:space="preserve"> public health</w:t>
      </w:r>
      <w:r w:rsidRPr="005B6722">
        <w:rPr>
          <w:iCs/>
        </w:rPr>
        <w:t xml:space="preserve"> </w:t>
      </w:r>
      <w:r w:rsidR="008B4291" w:rsidRPr="005B6722">
        <w:rPr>
          <w:iCs/>
        </w:rPr>
        <w:t xml:space="preserve">laboratories </w:t>
      </w:r>
      <w:r w:rsidRPr="005B6722">
        <w:rPr>
          <w:iCs/>
        </w:rPr>
        <w:t xml:space="preserve">in </w:t>
      </w:r>
      <w:r w:rsidR="0005729D">
        <w:rPr>
          <w:iCs/>
        </w:rPr>
        <w:t>Victoria, New South Wales and Queensland</w:t>
      </w:r>
      <w:r w:rsidR="00CC147B">
        <w:rPr>
          <w:iCs/>
        </w:rPr>
        <w:t>.</w:t>
      </w:r>
      <w:r w:rsidRPr="005B6722">
        <w:rPr>
          <w:iCs/>
        </w:rPr>
        <w:t xml:space="preserve"> </w:t>
      </w:r>
      <w:r w:rsidR="00CC147B">
        <w:rPr>
          <w:iCs/>
        </w:rPr>
        <w:t>E</w:t>
      </w:r>
      <w:r w:rsidRPr="005B6722">
        <w:rPr>
          <w:iCs/>
        </w:rPr>
        <w:t xml:space="preserve">ach laboratory </w:t>
      </w:r>
      <w:r w:rsidR="00CC147B">
        <w:rPr>
          <w:iCs/>
        </w:rPr>
        <w:t xml:space="preserve">is </w:t>
      </w:r>
      <w:r w:rsidRPr="005B6722">
        <w:rPr>
          <w:iCs/>
        </w:rPr>
        <w:t xml:space="preserve">at </w:t>
      </w:r>
      <w:r w:rsidR="00CC147B">
        <w:rPr>
          <w:iCs/>
        </w:rPr>
        <w:t xml:space="preserve">a </w:t>
      </w:r>
      <w:r w:rsidRPr="005B6722">
        <w:rPr>
          <w:iCs/>
        </w:rPr>
        <w:t>different stage</w:t>
      </w:r>
      <w:r w:rsidR="00003E98" w:rsidRPr="005B6722">
        <w:rPr>
          <w:iCs/>
        </w:rPr>
        <w:t xml:space="preserve"> of building sequencing capability</w:t>
      </w:r>
      <w:r w:rsidRPr="005B6722">
        <w:rPr>
          <w:iCs/>
        </w:rPr>
        <w:t xml:space="preserve"> for different pathogens.</w:t>
      </w:r>
    </w:p>
    <w:p w14:paraId="039CA458" w14:textId="2D376D9D" w:rsidR="00180FFE" w:rsidRPr="005B6722" w:rsidRDefault="000429CA" w:rsidP="00180FFE">
      <w:pPr>
        <w:pStyle w:val="BodyText"/>
        <w:spacing w:before="120"/>
        <w:ind w:left="284" w:right="697"/>
      </w:pPr>
      <w:r w:rsidRPr="005B6722">
        <w:t>Research o</w:t>
      </w:r>
      <w:r w:rsidR="00180FFE" w:rsidRPr="005B6722">
        <w:t>pportunities</w:t>
      </w:r>
      <w:r w:rsidR="00003E98" w:rsidRPr="005B6722">
        <w:t xml:space="preserve"> </w:t>
      </w:r>
      <w:proofErr w:type="gramStart"/>
      <w:r w:rsidR="00003E98" w:rsidRPr="005B6722">
        <w:t>are also being explored</w:t>
      </w:r>
      <w:proofErr w:type="gramEnd"/>
      <w:r w:rsidR="00180FFE" w:rsidRPr="005B6722">
        <w:t xml:space="preserve"> through leading research bodies and consortiums focus</w:t>
      </w:r>
      <w:r w:rsidR="00003E98" w:rsidRPr="005B6722">
        <w:t>ing</w:t>
      </w:r>
      <w:r w:rsidR="00180FFE" w:rsidRPr="005B6722">
        <w:t xml:space="preserve"> on a range of microbial genomics issues. States and </w:t>
      </w:r>
      <w:r w:rsidR="008B4291" w:rsidRPr="005B6722">
        <w:t>t</w:t>
      </w:r>
      <w:r w:rsidR="00180FFE" w:rsidRPr="005B6722">
        <w:t xml:space="preserve">erritories continue to engage in collaborative research partnerships </w:t>
      </w:r>
      <w:r w:rsidR="008B4291" w:rsidRPr="005B6722">
        <w:t xml:space="preserve">to </w:t>
      </w:r>
      <w:r w:rsidR="00180FFE" w:rsidRPr="005B6722">
        <w:t>ensure evidence-based integration of public health microbial genomics in Australia. Various research projects currently underway include:</w:t>
      </w:r>
    </w:p>
    <w:p w14:paraId="2B5978CB" w14:textId="03DFC8DF" w:rsidR="00180FFE" w:rsidRPr="005B6722" w:rsidRDefault="00180FFE" w:rsidP="00180FFE">
      <w:pPr>
        <w:pStyle w:val="BodyText"/>
        <w:numPr>
          <w:ilvl w:val="0"/>
          <w:numId w:val="19"/>
        </w:numPr>
        <w:ind w:right="698"/>
      </w:pPr>
      <w:r w:rsidRPr="005B6722">
        <w:t>The Victorian Partnership Project, a NHMRC-funded collaboration between the MDU PHL, the Victorian Department of Health and Human Services and the University of Melbourne</w:t>
      </w:r>
    </w:p>
    <w:p w14:paraId="227BDFC3" w14:textId="3B29C13E" w:rsidR="00180FFE" w:rsidRPr="005B6722" w:rsidRDefault="00180FFE" w:rsidP="00180FFE">
      <w:pPr>
        <w:pStyle w:val="BodyText"/>
        <w:numPr>
          <w:ilvl w:val="0"/>
          <w:numId w:val="19"/>
        </w:numPr>
        <w:tabs>
          <w:tab w:val="left" w:pos="8364"/>
        </w:tabs>
        <w:ind w:right="697"/>
      </w:pPr>
      <w:r w:rsidRPr="005B6722">
        <w:t>The NSW Health Public Health Genomics Partnership which comprises NSW Health, NSW Health Pathology, and five different universities based in NSW</w:t>
      </w:r>
    </w:p>
    <w:p w14:paraId="43F37961" w14:textId="4BE74422" w:rsidR="00841031" w:rsidRPr="005B6722" w:rsidRDefault="00180FFE" w:rsidP="00180FFE">
      <w:pPr>
        <w:pStyle w:val="BodyText"/>
        <w:numPr>
          <w:ilvl w:val="0"/>
          <w:numId w:val="19"/>
        </w:numPr>
        <w:tabs>
          <w:tab w:val="left" w:pos="8364"/>
        </w:tabs>
        <w:ind w:right="697"/>
      </w:pPr>
      <w:r w:rsidRPr="005B6722">
        <w:t>Queensland Genomics Infectious Disease Project</w:t>
      </w:r>
      <w:r w:rsidR="006E51B2" w:rsidRPr="005B6722">
        <w:t>, a collaboration</w:t>
      </w:r>
      <w:r w:rsidRPr="005B6722">
        <w:t xml:space="preserve"> funded by </w:t>
      </w:r>
      <w:r w:rsidR="006E51B2" w:rsidRPr="005B6722">
        <w:t xml:space="preserve">QLD </w:t>
      </w:r>
      <w:r w:rsidRPr="005B6722">
        <w:t xml:space="preserve">Health </w:t>
      </w:r>
      <w:r w:rsidR="006E51B2" w:rsidRPr="005B6722">
        <w:t>between the QLD Health Communicable Disease Branch,</w:t>
      </w:r>
      <w:r w:rsidRPr="005B6722">
        <w:t xml:space="preserve"> Pathology Queensland, Q</w:t>
      </w:r>
      <w:r w:rsidR="006E51B2" w:rsidRPr="005B6722">
        <w:t xml:space="preserve">LD </w:t>
      </w:r>
      <w:r w:rsidRPr="005B6722">
        <w:t>H</w:t>
      </w:r>
      <w:r w:rsidR="006E51B2" w:rsidRPr="005B6722">
        <w:t>ealth</w:t>
      </w:r>
      <w:r w:rsidRPr="005B6722">
        <w:t xml:space="preserve"> Forensic and Scientific Services, </w:t>
      </w:r>
      <w:r w:rsidR="006E51B2" w:rsidRPr="005B6722">
        <w:t xml:space="preserve">the </w:t>
      </w:r>
      <w:r w:rsidRPr="005B6722">
        <w:t>U</w:t>
      </w:r>
      <w:r w:rsidR="006E51B2" w:rsidRPr="005B6722">
        <w:t xml:space="preserve">niversity of </w:t>
      </w:r>
      <w:r w:rsidRPr="005B6722">
        <w:t>Q</w:t>
      </w:r>
      <w:r w:rsidR="006E51B2" w:rsidRPr="005B6722">
        <w:t>ueensland</w:t>
      </w:r>
      <w:r w:rsidRPr="005B6722">
        <w:t xml:space="preserve"> Centre for Clinical Research and other</w:t>
      </w:r>
      <w:r w:rsidR="006E51B2" w:rsidRPr="005B6722">
        <w:t xml:space="preserve"> partner</w:t>
      </w:r>
      <w:r w:rsidRPr="005B6722">
        <w:t>s</w:t>
      </w:r>
    </w:p>
    <w:p w14:paraId="0543F16B" w14:textId="022DB9AD" w:rsidR="00180FFE" w:rsidRPr="005B6722" w:rsidRDefault="00841031" w:rsidP="00841031">
      <w:pPr>
        <w:pStyle w:val="BodyText"/>
        <w:numPr>
          <w:ilvl w:val="0"/>
          <w:numId w:val="19"/>
        </w:numPr>
        <w:tabs>
          <w:tab w:val="left" w:pos="8364"/>
        </w:tabs>
        <w:ind w:right="697"/>
      </w:pPr>
      <w:r w:rsidRPr="005B6722">
        <w:lastRenderedPageBreak/>
        <w:t>CDGN</w:t>
      </w:r>
      <w:r w:rsidR="00CE436E" w:rsidRPr="005B6722">
        <w:t>’s MRFF grant</w:t>
      </w:r>
      <w:r w:rsidRPr="005B6722">
        <w:t xml:space="preserve"> for genomics research into the behaviour, spread and evolution of the SARS-CoV-2 virus</w:t>
      </w:r>
    </w:p>
    <w:p w14:paraId="45F3D7EA" w14:textId="546FF9E4" w:rsidR="000429CA" w:rsidRPr="005B6722" w:rsidRDefault="000429CA" w:rsidP="00841031">
      <w:pPr>
        <w:pStyle w:val="BodyText"/>
        <w:numPr>
          <w:ilvl w:val="0"/>
          <w:numId w:val="19"/>
        </w:numPr>
        <w:tabs>
          <w:tab w:val="left" w:pos="8364"/>
        </w:tabs>
        <w:ind w:right="697"/>
      </w:pPr>
      <w:r w:rsidRPr="005B6722">
        <w:t xml:space="preserve">CDGN’s MRFF grant for </w:t>
      </w:r>
      <w:r w:rsidR="00CD32CE" w:rsidRPr="005B6722">
        <w:t xml:space="preserve">a </w:t>
      </w:r>
      <w:proofErr w:type="gramStart"/>
      <w:r w:rsidR="00CD32CE" w:rsidRPr="005B6722">
        <w:t>large scale</w:t>
      </w:r>
      <w:proofErr w:type="gramEnd"/>
      <w:r w:rsidR="00CD32CE" w:rsidRPr="005B6722">
        <w:t xml:space="preserve"> integrated public health pathogen genomics research program</w:t>
      </w:r>
      <w:r w:rsidR="00CC147B">
        <w:t>. This will</w:t>
      </w:r>
      <w:r w:rsidR="00CD32CE" w:rsidRPr="005B6722">
        <w:t xml:space="preserve"> </w:t>
      </w:r>
      <w:r w:rsidR="004E0923">
        <w:t>show</w:t>
      </w:r>
      <w:r w:rsidR="004E0923" w:rsidRPr="005B6722">
        <w:t xml:space="preserve"> </w:t>
      </w:r>
      <w:r w:rsidR="004E0923">
        <w:t>value</w:t>
      </w:r>
      <w:r w:rsidR="00CD32CE" w:rsidRPr="005B6722">
        <w:t>, cost effectiveness and capacity for translation of genomics into public health nationally.</w:t>
      </w:r>
    </w:p>
    <w:p w14:paraId="1A91447B" w14:textId="54DA2F0E" w:rsidR="00180FFE" w:rsidRPr="005B6722" w:rsidRDefault="00180FFE" w:rsidP="00180FFE">
      <w:pPr>
        <w:pStyle w:val="BodyText"/>
        <w:spacing w:before="120"/>
        <w:ind w:left="284" w:right="284"/>
      </w:pPr>
      <w:r w:rsidRPr="005B6722">
        <w:t>The next steps are to consider how microbial genomics data</w:t>
      </w:r>
      <w:r w:rsidR="00003E98" w:rsidRPr="005B6722">
        <w:t xml:space="preserve"> for public health</w:t>
      </w:r>
      <w:r w:rsidRPr="005B6722">
        <w:t xml:space="preserve"> </w:t>
      </w:r>
      <w:proofErr w:type="gramStart"/>
      <w:r w:rsidRPr="005B6722">
        <w:t>could be more broadly integrated</w:t>
      </w:r>
      <w:proofErr w:type="gramEnd"/>
      <w:r w:rsidRPr="005B6722">
        <w:t xml:space="preserve"> into existing animal</w:t>
      </w:r>
      <w:r w:rsidR="00003E98" w:rsidRPr="005B6722">
        <w:t xml:space="preserve"> (One Health)</w:t>
      </w:r>
      <w:r w:rsidRPr="005B6722">
        <w:t>, food safety and AMR surveillance systems and networks</w:t>
      </w:r>
      <w:r w:rsidR="00CC147B">
        <w:t>.</w:t>
      </w:r>
      <w:r w:rsidRPr="005B6722">
        <w:t xml:space="preserve"> </w:t>
      </w:r>
      <w:r w:rsidR="00CC147B">
        <w:t>This</w:t>
      </w:r>
      <w:r w:rsidR="00502105">
        <w:t xml:space="preserve"> will include </w:t>
      </w:r>
      <w:r w:rsidRPr="005B6722">
        <w:t>identif</w:t>
      </w:r>
      <w:r w:rsidR="00502105">
        <w:t>ication of priority organisms to</w:t>
      </w:r>
      <w:r w:rsidRPr="005B6722">
        <w:t xml:space="preserve"> take full advantage of </w:t>
      </w:r>
      <w:r w:rsidR="00E73D67" w:rsidRPr="005B6722">
        <w:t xml:space="preserve">microbial </w:t>
      </w:r>
      <w:r w:rsidRPr="005B6722">
        <w:t xml:space="preserve">genomics for </w:t>
      </w:r>
      <w:r w:rsidR="00003E98" w:rsidRPr="005B6722">
        <w:t>real-time diagnostics, support</w:t>
      </w:r>
      <w:r w:rsidR="004E0923">
        <w:t>ing</w:t>
      </w:r>
      <w:r w:rsidR="00003E98" w:rsidRPr="005B6722">
        <w:t xml:space="preserve"> </w:t>
      </w:r>
      <w:r w:rsidRPr="005B6722">
        <w:t xml:space="preserve">timely outbreak </w:t>
      </w:r>
      <w:r w:rsidR="00CE436E" w:rsidRPr="005B6722">
        <w:t>investigation</w:t>
      </w:r>
      <w:r w:rsidRPr="005B6722">
        <w:t xml:space="preserve">. Greater systemic collaboration with researchers is also required to </w:t>
      </w:r>
      <w:r w:rsidR="009E73E2">
        <w:t>boost</w:t>
      </w:r>
      <w:r w:rsidR="009E73E2" w:rsidRPr="005B6722">
        <w:t xml:space="preserve"> </w:t>
      </w:r>
      <w:r w:rsidRPr="005B6722">
        <w:t>opportunities for improvement and application of microbial genomics</w:t>
      </w:r>
      <w:r w:rsidR="00E73D67" w:rsidRPr="005B6722">
        <w:t xml:space="preserve"> for public health action</w:t>
      </w:r>
      <w:r w:rsidRPr="005B6722">
        <w:t xml:space="preserve">. </w:t>
      </w:r>
      <w:r w:rsidRPr="005B6722">
        <w:br w:type="page"/>
      </w:r>
    </w:p>
    <w:bookmarkStart w:id="84" w:name="_bookmark19"/>
    <w:bookmarkEnd w:id="84"/>
    <w:p w14:paraId="51FCD569" w14:textId="77777777" w:rsidR="00180FFE" w:rsidRPr="005B6722" w:rsidRDefault="00180FFE" w:rsidP="00180FFE">
      <w:pPr>
        <w:rPr>
          <w:b/>
          <w:bCs/>
          <w:i/>
          <w:sz w:val="28"/>
          <w:szCs w:val="28"/>
        </w:rPr>
      </w:pPr>
      <w:r w:rsidRPr="00225618">
        <w:rPr>
          <w:noProof/>
          <w:lang w:bidi="ar-SA"/>
        </w:rPr>
        <w:lastRenderedPageBreak/>
        <mc:AlternateContent>
          <mc:Choice Requires="wps">
            <w:drawing>
              <wp:anchor distT="0" distB="0" distL="114300" distR="114300" simplePos="0" relativeHeight="251663360" behindDoc="1" locked="0" layoutInCell="1" allowOverlap="1" wp14:anchorId="4CC9E565" wp14:editId="7A5EEA6F">
                <wp:simplePos x="0" y="0"/>
                <wp:positionH relativeFrom="column">
                  <wp:posOffset>-101600</wp:posOffset>
                </wp:positionH>
                <wp:positionV relativeFrom="paragraph">
                  <wp:posOffset>219074</wp:posOffset>
                </wp:positionV>
                <wp:extent cx="5943059" cy="6067425"/>
                <wp:effectExtent l="0" t="0" r="19685" b="28575"/>
                <wp:wrapNone/>
                <wp:docPr id="18" name="Rectangle 18"/>
                <wp:cNvGraphicFramePr/>
                <a:graphic xmlns:a="http://schemas.openxmlformats.org/drawingml/2006/main">
                  <a:graphicData uri="http://schemas.microsoft.com/office/word/2010/wordprocessingShape">
                    <wps:wsp>
                      <wps:cNvSpPr/>
                      <wps:spPr>
                        <a:xfrm>
                          <a:off x="0" y="0"/>
                          <a:ext cx="5943059" cy="6067425"/>
                        </a:xfrm>
                        <a:prstGeom prst="rect">
                          <a:avLst/>
                        </a:prstGeom>
                        <a:solidFill>
                          <a:schemeClr val="accent1">
                            <a:alpha val="15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D91ED" id="Rectangle 18" o:spid="_x0000_s1026" style="position:absolute;margin-left:-8pt;margin-top:17.25pt;width:467.95pt;height:47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" fillcolor="#5b9bd5 [3204]" strokecolor="#1f4d78 [1604]">
                <v:fill opacity="9766f"/>
              </v:rect>
            </w:pict>
          </mc:Fallback>
        </mc:AlternateContent>
      </w:r>
    </w:p>
    <w:p w14:paraId="6B93F5DB" w14:textId="77777777" w:rsidR="00180FFE" w:rsidRPr="008610F1" w:rsidRDefault="00180FFE" w:rsidP="00180FFE">
      <w:pPr>
        <w:pStyle w:val="Heading2"/>
        <w:spacing w:before="44"/>
      </w:pPr>
      <w:bookmarkStart w:id="85" w:name="_Toc57196972"/>
      <w:r w:rsidRPr="008610F1">
        <w:t>Agreed Outcomes and Priority Areas for Action</w:t>
      </w:r>
      <w:bookmarkEnd w:id="85"/>
    </w:p>
    <w:p w14:paraId="264BD529" w14:textId="77777777" w:rsidR="00180FFE" w:rsidRPr="005B6722" w:rsidRDefault="00180FFE" w:rsidP="00180FFE">
      <w:pPr>
        <w:pStyle w:val="BodyText"/>
      </w:pPr>
    </w:p>
    <w:p w14:paraId="463D5073" w14:textId="77777777" w:rsidR="00180FFE" w:rsidRPr="005B6722" w:rsidRDefault="00180FFE" w:rsidP="00180FFE">
      <w:pPr>
        <w:rPr>
          <w:b/>
          <w:sz w:val="24"/>
          <w:szCs w:val="24"/>
        </w:rPr>
      </w:pPr>
      <w:r w:rsidRPr="005B6722">
        <w:rPr>
          <w:b/>
          <w:sz w:val="24"/>
          <w:szCs w:val="24"/>
        </w:rPr>
        <w:t>Outcome 3.1 – Integration of microbial genomics data into epidemiological systems</w:t>
      </w:r>
    </w:p>
    <w:p w14:paraId="39441B5A" w14:textId="7C6D6679" w:rsidR="00180FFE" w:rsidRPr="005B6722" w:rsidRDefault="00180FFE" w:rsidP="00180FFE">
      <w:pPr>
        <w:pStyle w:val="ListParagraph"/>
        <w:widowControl/>
        <w:numPr>
          <w:ilvl w:val="0"/>
          <w:numId w:val="8"/>
        </w:numPr>
        <w:autoSpaceDE/>
        <w:autoSpaceDN/>
        <w:ind w:left="720" w:hanging="436"/>
        <w:rPr>
          <w:sz w:val="24"/>
          <w:szCs w:val="24"/>
        </w:rPr>
      </w:pPr>
      <w:r w:rsidRPr="005B6722">
        <w:rPr>
          <w:sz w:val="24"/>
          <w:szCs w:val="24"/>
        </w:rPr>
        <w:t>Facilitate integration into epidemiological and AMR surveillance systems</w:t>
      </w:r>
      <w:r w:rsidR="00452744">
        <w:rPr>
          <w:sz w:val="24"/>
          <w:szCs w:val="24"/>
        </w:rPr>
        <w:t>.</w:t>
      </w:r>
    </w:p>
    <w:p w14:paraId="04DA21CB" w14:textId="0A6372C7" w:rsidR="00180FFE" w:rsidRPr="005B6722" w:rsidRDefault="00180FFE" w:rsidP="00180FFE">
      <w:pPr>
        <w:pStyle w:val="ListParagraph"/>
        <w:widowControl/>
        <w:numPr>
          <w:ilvl w:val="0"/>
          <w:numId w:val="8"/>
        </w:numPr>
        <w:autoSpaceDE/>
        <w:autoSpaceDN/>
        <w:ind w:left="720" w:hanging="436"/>
        <w:rPr>
          <w:sz w:val="24"/>
          <w:szCs w:val="24"/>
        </w:rPr>
      </w:pPr>
      <w:r w:rsidRPr="005B6722">
        <w:rPr>
          <w:sz w:val="24"/>
          <w:szCs w:val="24"/>
        </w:rPr>
        <w:t>Facilitate integration into laboratory information systems</w:t>
      </w:r>
      <w:r w:rsidR="00452744">
        <w:rPr>
          <w:sz w:val="24"/>
          <w:szCs w:val="24"/>
        </w:rPr>
        <w:t>.</w:t>
      </w:r>
    </w:p>
    <w:p w14:paraId="3F4F10E8" w14:textId="2913BE81" w:rsidR="00180FFE" w:rsidRPr="005B6722" w:rsidRDefault="00180FFE" w:rsidP="00180FFE">
      <w:pPr>
        <w:pStyle w:val="ListParagraph"/>
        <w:widowControl/>
        <w:numPr>
          <w:ilvl w:val="0"/>
          <w:numId w:val="8"/>
        </w:numPr>
        <w:autoSpaceDE/>
        <w:autoSpaceDN/>
        <w:ind w:left="720" w:hanging="436"/>
        <w:rPr>
          <w:sz w:val="24"/>
          <w:szCs w:val="24"/>
        </w:rPr>
      </w:pPr>
      <w:r w:rsidRPr="005B6722">
        <w:rPr>
          <w:sz w:val="24"/>
          <w:szCs w:val="24"/>
        </w:rPr>
        <w:t>Facilitate integration into food safety and regulatory sector arrangements</w:t>
      </w:r>
      <w:r w:rsidR="00452744">
        <w:rPr>
          <w:sz w:val="24"/>
          <w:szCs w:val="24"/>
        </w:rPr>
        <w:t>.</w:t>
      </w:r>
    </w:p>
    <w:p w14:paraId="57487BE8" w14:textId="78A23AA2" w:rsidR="00180FFE" w:rsidRPr="005B6722" w:rsidRDefault="00180FFE" w:rsidP="00180FFE">
      <w:pPr>
        <w:pStyle w:val="ListParagraph"/>
        <w:widowControl/>
        <w:numPr>
          <w:ilvl w:val="0"/>
          <w:numId w:val="8"/>
        </w:numPr>
        <w:autoSpaceDE/>
        <w:autoSpaceDN/>
        <w:ind w:left="720" w:hanging="436"/>
        <w:rPr>
          <w:sz w:val="24"/>
          <w:szCs w:val="24"/>
        </w:rPr>
      </w:pPr>
      <w:r w:rsidRPr="005B6722">
        <w:rPr>
          <w:sz w:val="24"/>
          <w:szCs w:val="24"/>
        </w:rPr>
        <w:t>Facilitate integration into animal health sector arrangements.</w:t>
      </w:r>
    </w:p>
    <w:p w14:paraId="12C65524" w14:textId="77777777" w:rsidR="00180FFE" w:rsidRPr="005B6722" w:rsidRDefault="00180FFE" w:rsidP="00180FFE">
      <w:pPr>
        <w:rPr>
          <w:b/>
          <w:sz w:val="24"/>
          <w:szCs w:val="24"/>
        </w:rPr>
      </w:pPr>
    </w:p>
    <w:p w14:paraId="5DBD0218" w14:textId="77777777" w:rsidR="00180FFE" w:rsidRPr="005B6722" w:rsidRDefault="00180FFE" w:rsidP="00180FFE">
      <w:pPr>
        <w:rPr>
          <w:b/>
          <w:sz w:val="24"/>
          <w:szCs w:val="24"/>
        </w:rPr>
      </w:pPr>
      <w:r w:rsidRPr="005B6722">
        <w:rPr>
          <w:b/>
          <w:sz w:val="24"/>
          <w:szCs w:val="24"/>
        </w:rPr>
        <w:t>Outcome 3.2 – Identification of priority organisms</w:t>
      </w:r>
    </w:p>
    <w:p w14:paraId="37063F84" w14:textId="3270C1EC" w:rsidR="00180FFE" w:rsidRPr="005B6722" w:rsidRDefault="00180FFE" w:rsidP="003B5908">
      <w:pPr>
        <w:pStyle w:val="ListParagraph"/>
        <w:widowControl/>
        <w:numPr>
          <w:ilvl w:val="0"/>
          <w:numId w:val="9"/>
        </w:numPr>
        <w:autoSpaceDE/>
        <w:autoSpaceDN/>
        <w:rPr>
          <w:sz w:val="24"/>
          <w:szCs w:val="24"/>
        </w:rPr>
      </w:pPr>
      <w:r w:rsidRPr="005B6722">
        <w:rPr>
          <w:sz w:val="24"/>
          <w:szCs w:val="24"/>
        </w:rPr>
        <w:t>Determine a list of priority organisms through consultation and collaboration with PHLN,</w:t>
      </w:r>
      <w:r w:rsidR="00E81ABF" w:rsidRPr="005A5D24">
        <w:t xml:space="preserve"> </w:t>
      </w:r>
      <w:r w:rsidR="00E81ABF" w:rsidRPr="00E81ABF">
        <w:rPr>
          <w:sz w:val="24"/>
          <w:szCs w:val="24"/>
        </w:rPr>
        <w:t>Australian (Counter) Bioterrorism Laboratory Network</w:t>
      </w:r>
      <w:r w:rsidRPr="005B6722">
        <w:rPr>
          <w:sz w:val="24"/>
          <w:szCs w:val="24"/>
        </w:rPr>
        <w:t xml:space="preserve"> </w:t>
      </w:r>
      <w:r w:rsidR="00E81ABF">
        <w:rPr>
          <w:sz w:val="24"/>
          <w:szCs w:val="24"/>
        </w:rPr>
        <w:t>(</w:t>
      </w:r>
      <w:r w:rsidRPr="005B6722">
        <w:rPr>
          <w:sz w:val="24"/>
          <w:szCs w:val="24"/>
        </w:rPr>
        <w:t>ABLN</w:t>
      </w:r>
      <w:r w:rsidR="00E81ABF">
        <w:rPr>
          <w:sz w:val="24"/>
          <w:szCs w:val="24"/>
        </w:rPr>
        <w:t>)</w:t>
      </w:r>
      <w:r w:rsidRPr="005B6722">
        <w:rPr>
          <w:sz w:val="24"/>
          <w:szCs w:val="24"/>
        </w:rPr>
        <w:t xml:space="preserve">, CDNA, CDGN, AHPPC, </w:t>
      </w:r>
      <w:r w:rsidR="00E81ABF" w:rsidRPr="00E81ABF">
        <w:rPr>
          <w:sz w:val="24"/>
          <w:szCs w:val="24"/>
        </w:rPr>
        <w:t>Australian Strategic and Technical Advisory Group on AMR</w:t>
      </w:r>
      <w:r w:rsidR="00E81ABF">
        <w:rPr>
          <w:sz w:val="24"/>
          <w:szCs w:val="24"/>
        </w:rPr>
        <w:t xml:space="preserve"> (</w:t>
      </w:r>
      <w:r w:rsidRPr="005B6722">
        <w:rPr>
          <w:sz w:val="24"/>
          <w:szCs w:val="24"/>
        </w:rPr>
        <w:t>ASTAG</w:t>
      </w:r>
      <w:r w:rsidR="00E81ABF">
        <w:rPr>
          <w:sz w:val="24"/>
          <w:szCs w:val="24"/>
        </w:rPr>
        <w:t>)</w:t>
      </w:r>
      <w:r w:rsidRPr="005B6722">
        <w:rPr>
          <w:sz w:val="24"/>
          <w:szCs w:val="24"/>
        </w:rPr>
        <w:t xml:space="preserve">, </w:t>
      </w:r>
      <w:proofErr w:type="spellStart"/>
      <w:r w:rsidRPr="005B6722">
        <w:rPr>
          <w:sz w:val="24"/>
          <w:szCs w:val="24"/>
        </w:rPr>
        <w:t>OzFoodNet</w:t>
      </w:r>
      <w:proofErr w:type="spellEnd"/>
      <w:r w:rsidRPr="005B6722">
        <w:rPr>
          <w:sz w:val="24"/>
          <w:szCs w:val="24"/>
        </w:rPr>
        <w:t xml:space="preserve">, the </w:t>
      </w:r>
      <w:r w:rsidR="00C1748B" w:rsidRPr="005B6722">
        <w:rPr>
          <w:sz w:val="24"/>
          <w:szCs w:val="24"/>
        </w:rPr>
        <w:t>Australian</w:t>
      </w:r>
      <w:r w:rsidR="007E651B" w:rsidRPr="005B6722">
        <w:rPr>
          <w:sz w:val="24"/>
          <w:szCs w:val="24"/>
        </w:rPr>
        <w:t xml:space="preserve"> I</w:t>
      </w:r>
      <w:r w:rsidRPr="005B6722">
        <w:rPr>
          <w:sz w:val="24"/>
          <w:szCs w:val="24"/>
        </w:rPr>
        <w:t xml:space="preserve">ntelligence </w:t>
      </w:r>
      <w:r w:rsidR="007E651B" w:rsidRPr="005B6722">
        <w:rPr>
          <w:sz w:val="24"/>
          <w:szCs w:val="24"/>
        </w:rPr>
        <w:t>C</w:t>
      </w:r>
      <w:r w:rsidRPr="005B6722">
        <w:rPr>
          <w:sz w:val="24"/>
          <w:szCs w:val="24"/>
        </w:rPr>
        <w:t>ommunity, research organisations and other relevant stakeholders to identify where sequencing provides an enhanced public health benefit over existing laboratory methodologies</w:t>
      </w:r>
      <w:r w:rsidR="00452744">
        <w:rPr>
          <w:sz w:val="24"/>
          <w:szCs w:val="24"/>
        </w:rPr>
        <w:t>.</w:t>
      </w:r>
    </w:p>
    <w:p w14:paraId="05BF7AE8" w14:textId="23F85857" w:rsidR="00180FFE" w:rsidRPr="005B6722" w:rsidRDefault="00180FFE" w:rsidP="00180FFE">
      <w:pPr>
        <w:pStyle w:val="ListParagraph"/>
        <w:widowControl/>
        <w:numPr>
          <w:ilvl w:val="0"/>
          <w:numId w:val="9"/>
        </w:numPr>
        <w:autoSpaceDE/>
        <w:autoSpaceDN/>
        <w:ind w:left="720" w:hanging="436"/>
        <w:rPr>
          <w:sz w:val="24"/>
          <w:szCs w:val="24"/>
        </w:rPr>
      </w:pPr>
      <w:r w:rsidRPr="005B6722">
        <w:rPr>
          <w:sz w:val="24"/>
          <w:szCs w:val="24"/>
        </w:rPr>
        <w:t>Facilitate the rapid detection and characterisation of emerging and/or newly imported pathogens and other bio-threats</w:t>
      </w:r>
      <w:r w:rsidR="00452744">
        <w:rPr>
          <w:sz w:val="24"/>
          <w:szCs w:val="24"/>
        </w:rPr>
        <w:t>.</w:t>
      </w:r>
    </w:p>
    <w:p w14:paraId="1DDAC27E" w14:textId="07EEDC95" w:rsidR="00180FFE" w:rsidRPr="005B6722" w:rsidRDefault="00180FFE" w:rsidP="00180FFE">
      <w:pPr>
        <w:pStyle w:val="ListParagraph"/>
        <w:widowControl/>
        <w:numPr>
          <w:ilvl w:val="0"/>
          <w:numId w:val="9"/>
        </w:numPr>
        <w:autoSpaceDE/>
        <w:autoSpaceDN/>
        <w:ind w:left="720" w:hanging="436"/>
        <w:rPr>
          <w:sz w:val="24"/>
          <w:szCs w:val="24"/>
        </w:rPr>
      </w:pPr>
      <w:r w:rsidRPr="005B6722">
        <w:rPr>
          <w:sz w:val="24"/>
          <w:szCs w:val="24"/>
        </w:rPr>
        <w:t xml:space="preserve">Improve knowledge on what type of microbial genomics information improves public health disease control and response and how this </w:t>
      </w:r>
      <w:proofErr w:type="gramStart"/>
      <w:r w:rsidRPr="005B6722">
        <w:rPr>
          <w:sz w:val="24"/>
          <w:szCs w:val="24"/>
        </w:rPr>
        <w:t>is applied</w:t>
      </w:r>
      <w:proofErr w:type="gramEnd"/>
      <w:r w:rsidRPr="005B6722">
        <w:rPr>
          <w:sz w:val="24"/>
          <w:szCs w:val="24"/>
        </w:rPr>
        <w:t xml:space="preserve"> in relation to priority organisms, particularly its role in maintaining national health security and biosecurity</w:t>
      </w:r>
      <w:r w:rsidR="00452744">
        <w:rPr>
          <w:sz w:val="24"/>
          <w:szCs w:val="24"/>
        </w:rPr>
        <w:t>.</w:t>
      </w:r>
    </w:p>
    <w:p w14:paraId="6C6415B1" w14:textId="1708C06E" w:rsidR="00180FFE" w:rsidRPr="005B6722" w:rsidRDefault="00180FFE" w:rsidP="00180FFE">
      <w:pPr>
        <w:pStyle w:val="ListParagraph"/>
        <w:widowControl/>
        <w:numPr>
          <w:ilvl w:val="0"/>
          <w:numId w:val="9"/>
        </w:numPr>
        <w:autoSpaceDE/>
        <w:autoSpaceDN/>
        <w:ind w:left="720" w:hanging="436"/>
        <w:rPr>
          <w:sz w:val="24"/>
          <w:szCs w:val="24"/>
        </w:rPr>
      </w:pPr>
      <w:r w:rsidRPr="005B6722">
        <w:rPr>
          <w:sz w:val="24"/>
          <w:szCs w:val="24"/>
        </w:rPr>
        <w:t>Facilitate and encourage private microbiology laboratories to share microbial genomics</w:t>
      </w:r>
      <w:r w:rsidR="00E73D67" w:rsidRPr="005B6722">
        <w:rPr>
          <w:sz w:val="24"/>
          <w:szCs w:val="24"/>
        </w:rPr>
        <w:t>-</w:t>
      </w:r>
      <w:r w:rsidRPr="005B6722">
        <w:rPr>
          <w:sz w:val="24"/>
          <w:szCs w:val="24"/>
        </w:rPr>
        <w:t>related data for public health and surveillance purposes for priority organisms.</w:t>
      </w:r>
    </w:p>
    <w:p w14:paraId="56A110CC" w14:textId="77777777" w:rsidR="00180FFE" w:rsidRPr="005B6722" w:rsidRDefault="00180FFE" w:rsidP="00180FFE">
      <w:pPr>
        <w:ind w:left="284"/>
        <w:rPr>
          <w:sz w:val="24"/>
          <w:szCs w:val="24"/>
        </w:rPr>
      </w:pPr>
    </w:p>
    <w:p w14:paraId="7C0E58B8" w14:textId="77777777" w:rsidR="00180FFE" w:rsidRPr="005B6722" w:rsidRDefault="00180FFE" w:rsidP="00180FFE">
      <w:pPr>
        <w:rPr>
          <w:b/>
          <w:sz w:val="24"/>
          <w:szCs w:val="24"/>
        </w:rPr>
      </w:pPr>
      <w:r w:rsidRPr="005B6722">
        <w:rPr>
          <w:sz w:val="24"/>
          <w:szCs w:val="24"/>
        </w:rPr>
        <w:t xml:space="preserve"> </w:t>
      </w:r>
      <w:r w:rsidRPr="005B6722">
        <w:rPr>
          <w:b/>
          <w:sz w:val="24"/>
          <w:szCs w:val="24"/>
        </w:rPr>
        <w:t>Outcome 3.3 – Prioritisation of public health microbial genomics research</w:t>
      </w:r>
    </w:p>
    <w:p w14:paraId="4D6E794A" w14:textId="25B572BA" w:rsidR="00180FFE" w:rsidRPr="005B6722" w:rsidRDefault="00180FFE" w:rsidP="00180FFE">
      <w:pPr>
        <w:pStyle w:val="ListParagraph"/>
        <w:widowControl/>
        <w:numPr>
          <w:ilvl w:val="0"/>
          <w:numId w:val="9"/>
        </w:numPr>
        <w:autoSpaceDE/>
        <w:autoSpaceDN/>
        <w:ind w:left="720" w:hanging="436"/>
        <w:rPr>
          <w:sz w:val="24"/>
          <w:szCs w:val="24"/>
        </w:rPr>
      </w:pPr>
      <w:r w:rsidRPr="005B6722">
        <w:rPr>
          <w:sz w:val="24"/>
          <w:szCs w:val="24"/>
        </w:rPr>
        <w:t>Enhance communication with microbial genomics researchers to identify gaps for improvement in disease control for public health purposes</w:t>
      </w:r>
      <w:r w:rsidR="00452744">
        <w:rPr>
          <w:sz w:val="24"/>
          <w:szCs w:val="24"/>
        </w:rPr>
        <w:t>.</w:t>
      </w:r>
    </w:p>
    <w:p w14:paraId="222FDBD5" w14:textId="143020BC" w:rsidR="00180FFE" w:rsidRPr="005B6722" w:rsidRDefault="00180FFE" w:rsidP="00180FFE">
      <w:pPr>
        <w:pStyle w:val="ListParagraph"/>
        <w:widowControl/>
        <w:numPr>
          <w:ilvl w:val="0"/>
          <w:numId w:val="9"/>
        </w:numPr>
        <w:autoSpaceDE/>
        <w:autoSpaceDN/>
        <w:ind w:left="720" w:hanging="436"/>
        <w:rPr>
          <w:sz w:val="24"/>
          <w:szCs w:val="24"/>
        </w:rPr>
      </w:pPr>
      <w:r w:rsidRPr="005B6722">
        <w:rPr>
          <w:sz w:val="24"/>
          <w:szCs w:val="24"/>
        </w:rPr>
        <w:t>Maximise microbial genomics research opportunities to enhance public health outcomes</w:t>
      </w:r>
      <w:r w:rsidR="00452744">
        <w:rPr>
          <w:sz w:val="24"/>
          <w:szCs w:val="24"/>
        </w:rPr>
        <w:t>.</w:t>
      </w:r>
    </w:p>
    <w:p w14:paraId="21114CF4" w14:textId="77777777" w:rsidR="00180FFE" w:rsidRPr="005B6722" w:rsidRDefault="00180FFE" w:rsidP="00180FFE">
      <w:pPr>
        <w:pStyle w:val="ListParagraph"/>
        <w:widowControl/>
        <w:numPr>
          <w:ilvl w:val="0"/>
          <w:numId w:val="9"/>
        </w:numPr>
        <w:autoSpaceDE/>
        <w:autoSpaceDN/>
        <w:ind w:left="720" w:hanging="436"/>
        <w:rPr>
          <w:rFonts w:ascii="Arial" w:hAnsi="Arial" w:cs="Arial"/>
          <w:b/>
          <w:sz w:val="24"/>
          <w:szCs w:val="24"/>
        </w:rPr>
      </w:pPr>
      <w:r w:rsidRPr="005B6722">
        <w:rPr>
          <w:sz w:val="24"/>
          <w:szCs w:val="24"/>
        </w:rPr>
        <w:t xml:space="preserve">Ensure early identification of translational research priorities in microbial genomics. </w:t>
      </w:r>
    </w:p>
    <w:p w14:paraId="2FC1E690" w14:textId="77777777" w:rsidR="00180FFE" w:rsidRPr="005B6722" w:rsidRDefault="00180FFE" w:rsidP="00180FFE">
      <w:pPr>
        <w:rPr>
          <w:b/>
          <w:bCs/>
          <w:i/>
          <w:sz w:val="28"/>
          <w:szCs w:val="28"/>
        </w:rPr>
      </w:pPr>
      <w:bookmarkStart w:id="86" w:name="_bookmark20"/>
      <w:bookmarkEnd w:id="86"/>
    </w:p>
    <w:p w14:paraId="3CB6E573" w14:textId="77777777" w:rsidR="00180FFE" w:rsidRPr="005B6722" w:rsidRDefault="00180FFE" w:rsidP="00180FFE">
      <w:pPr>
        <w:pStyle w:val="Heading2"/>
        <w:spacing w:before="41"/>
        <w:sectPr w:rsidR="00180FFE" w:rsidRPr="005B6722" w:rsidSect="003557CE">
          <w:pgSz w:w="11910" w:h="16840"/>
          <w:pgMar w:top="1080" w:right="1420" w:bottom="1260" w:left="1420" w:header="756" w:footer="1075" w:gutter="0"/>
          <w:cols w:space="720"/>
        </w:sectPr>
      </w:pPr>
    </w:p>
    <w:p w14:paraId="4F8D3D06" w14:textId="2555657E" w:rsidR="00180FFE" w:rsidRPr="005B6722" w:rsidRDefault="00180FFE" w:rsidP="00180FFE">
      <w:pPr>
        <w:pStyle w:val="Heading2"/>
        <w:spacing w:before="41"/>
      </w:pPr>
      <w:bookmarkStart w:id="87" w:name="_Toc57196973"/>
      <w:r w:rsidRPr="005B6722">
        <w:lastRenderedPageBreak/>
        <w:t>Actions – Integration into Public Health</w:t>
      </w:r>
      <w:bookmarkEnd w:id="87"/>
    </w:p>
    <w:tbl>
      <w:tblPr>
        <w:tblStyle w:val="TableGrid"/>
        <w:tblW w:w="5000" w:type="pct"/>
        <w:tblLook w:val="04A0" w:firstRow="1" w:lastRow="0" w:firstColumn="1" w:lastColumn="0" w:noHBand="0" w:noVBand="1"/>
        <w:tblCaption w:val="Actions - Integration into Public Health"/>
        <w:tblDescription w:val="Lists the activities under Outcome 3, that will work towards integrating microbial whole genomic sequencing into public health processes."/>
      </w:tblPr>
      <w:tblGrid>
        <w:gridCol w:w="9254"/>
        <w:gridCol w:w="1446"/>
        <w:gridCol w:w="1837"/>
        <w:gridCol w:w="1953"/>
      </w:tblGrid>
      <w:tr w:rsidR="00180FFE" w:rsidRPr="005B6722" w14:paraId="1B8B5326" w14:textId="77777777" w:rsidTr="00752E10">
        <w:trPr>
          <w:tblHeader/>
        </w:trPr>
        <w:tc>
          <w:tcPr>
            <w:tcW w:w="3193" w:type="pct"/>
            <w:shd w:val="clear" w:color="auto" w:fill="9CC2E5" w:themeFill="accent1" w:themeFillTint="99"/>
          </w:tcPr>
          <w:p w14:paraId="786AFD9F" w14:textId="77777777" w:rsidR="00180FFE" w:rsidRPr="00AE059E" w:rsidRDefault="00180FFE" w:rsidP="003557CE">
            <w:pPr>
              <w:rPr>
                <w:rFonts w:ascii="Times New Roman"/>
                <w:sz w:val="26"/>
                <w:lang w:val="en-AU"/>
              </w:rPr>
            </w:pPr>
            <w:r w:rsidRPr="005B6722">
              <w:rPr>
                <w:b/>
                <w:sz w:val="24"/>
              </w:rPr>
              <w:t>National Action</w:t>
            </w:r>
          </w:p>
        </w:tc>
        <w:tc>
          <w:tcPr>
            <w:tcW w:w="499" w:type="pct"/>
            <w:shd w:val="clear" w:color="auto" w:fill="9CC2E5" w:themeFill="accent1" w:themeFillTint="99"/>
          </w:tcPr>
          <w:p w14:paraId="3B90B2ED" w14:textId="77777777" w:rsidR="00180FFE" w:rsidRPr="00AE059E" w:rsidRDefault="00180FFE" w:rsidP="003557CE">
            <w:pPr>
              <w:rPr>
                <w:rFonts w:ascii="Times New Roman"/>
                <w:sz w:val="26"/>
                <w:lang w:val="en-AU"/>
              </w:rPr>
            </w:pPr>
            <w:r w:rsidRPr="005B6722">
              <w:rPr>
                <w:b/>
                <w:sz w:val="24"/>
              </w:rPr>
              <w:t>Timeframe</w:t>
            </w:r>
          </w:p>
        </w:tc>
        <w:tc>
          <w:tcPr>
            <w:tcW w:w="634" w:type="pct"/>
            <w:shd w:val="clear" w:color="auto" w:fill="9CC2E5" w:themeFill="accent1" w:themeFillTint="99"/>
          </w:tcPr>
          <w:p w14:paraId="392CF2CF" w14:textId="77777777" w:rsidR="00180FFE" w:rsidRPr="00AE059E" w:rsidRDefault="00180FFE" w:rsidP="003557CE">
            <w:pPr>
              <w:rPr>
                <w:rFonts w:ascii="Times New Roman"/>
                <w:sz w:val="26"/>
                <w:lang w:val="en-AU"/>
              </w:rPr>
            </w:pPr>
            <w:r w:rsidRPr="005B6722">
              <w:rPr>
                <w:b/>
                <w:sz w:val="24"/>
              </w:rPr>
              <w:t>Lead Responsibility</w:t>
            </w:r>
          </w:p>
        </w:tc>
        <w:tc>
          <w:tcPr>
            <w:tcW w:w="670" w:type="pct"/>
            <w:shd w:val="clear" w:color="auto" w:fill="9CC2E5" w:themeFill="accent1" w:themeFillTint="99"/>
          </w:tcPr>
          <w:p w14:paraId="0C6BB855" w14:textId="77777777" w:rsidR="00180FFE" w:rsidRPr="00AE059E" w:rsidRDefault="00180FFE" w:rsidP="003557CE">
            <w:pPr>
              <w:rPr>
                <w:b/>
                <w:sz w:val="24"/>
                <w:lang w:val="en-AU"/>
              </w:rPr>
            </w:pPr>
            <w:r w:rsidRPr="005B6722">
              <w:rPr>
                <w:b/>
                <w:sz w:val="24"/>
              </w:rPr>
              <w:t>Priority</w:t>
            </w:r>
          </w:p>
        </w:tc>
      </w:tr>
      <w:tr w:rsidR="00180FFE" w:rsidRPr="005B6722" w14:paraId="151C1B95" w14:textId="77777777" w:rsidTr="003557CE">
        <w:tc>
          <w:tcPr>
            <w:tcW w:w="5000" w:type="pct"/>
            <w:gridSpan w:val="4"/>
            <w:shd w:val="clear" w:color="auto" w:fill="DEEAF6" w:themeFill="accent1" w:themeFillTint="33"/>
          </w:tcPr>
          <w:p w14:paraId="4B018A1B" w14:textId="77777777" w:rsidR="00180FFE" w:rsidRPr="00AE059E" w:rsidRDefault="00180FFE" w:rsidP="003557CE">
            <w:pPr>
              <w:rPr>
                <w:b/>
                <w:bCs/>
                <w:sz w:val="24"/>
                <w:szCs w:val="24"/>
                <w:lang w:val="en-AU"/>
              </w:rPr>
            </w:pPr>
            <w:r w:rsidRPr="005B6722">
              <w:rPr>
                <w:b/>
                <w:bCs/>
                <w:sz w:val="24"/>
                <w:szCs w:val="24"/>
              </w:rPr>
              <w:t>Outcome 3.1 – Integration of microbial genomics data into epidemiological systems</w:t>
            </w:r>
          </w:p>
        </w:tc>
      </w:tr>
      <w:tr w:rsidR="00180FFE" w:rsidRPr="005B6722" w14:paraId="7F48E0AF" w14:textId="77777777" w:rsidTr="003557CE">
        <w:tc>
          <w:tcPr>
            <w:tcW w:w="3193" w:type="pct"/>
          </w:tcPr>
          <w:p w14:paraId="725ADA93" w14:textId="5E9C8CF9" w:rsidR="00180FFE" w:rsidRPr="00AE059E" w:rsidRDefault="00CD32CE" w:rsidP="009244A2">
            <w:pPr>
              <w:rPr>
                <w:sz w:val="24"/>
                <w:szCs w:val="24"/>
                <w:lang w:val="en-AU"/>
              </w:rPr>
            </w:pPr>
            <w:r w:rsidRPr="005B6722">
              <w:rPr>
                <w:sz w:val="24"/>
                <w:szCs w:val="24"/>
              </w:rPr>
              <w:t xml:space="preserve">3.1.1 </w:t>
            </w:r>
            <w:r w:rsidR="009E73E2">
              <w:rPr>
                <w:sz w:val="24"/>
                <w:szCs w:val="24"/>
              </w:rPr>
              <w:t>Look into</w:t>
            </w:r>
            <w:r w:rsidR="009E73E2" w:rsidRPr="005B6722">
              <w:rPr>
                <w:sz w:val="24"/>
                <w:szCs w:val="24"/>
              </w:rPr>
              <w:t xml:space="preserve"> </w:t>
            </w:r>
            <w:r w:rsidR="00180FFE" w:rsidRPr="005B6722">
              <w:rPr>
                <w:sz w:val="24"/>
                <w:szCs w:val="24"/>
              </w:rPr>
              <w:t xml:space="preserve">how microbial genomics data </w:t>
            </w:r>
            <w:r w:rsidR="001324A3">
              <w:rPr>
                <w:sz w:val="24"/>
                <w:szCs w:val="24"/>
              </w:rPr>
              <w:t xml:space="preserve">and </w:t>
            </w:r>
            <w:r w:rsidR="00180FFE" w:rsidRPr="005B6722">
              <w:rPr>
                <w:sz w:val="24"/>
                <w:szCs w:val="24"/>
              </w:rPr>
              <w:t xml:space="preserve">new </w:t>
            </w:r>
            <w:proofErr w:type="gramStart"/>
            <w:r w:rsidR="00180FFE" w:rsidRPr="005B6722">
              <w:rPr>
                <w:sz w:val="24"/>
                <w:szCs w:val="24"/>
              </w:rPr>
              <w:t>laboratory information management systems</w:t>
            </w:r>
            <w:proofErr w:type="gramEnd"/>
            <w:r w:rsidR="00180FFE" w:rsidRPr="005B6722">
              <w:rPr>
                <w:sz w:val="24"/>
                <w:szCs w:val="24"/>
              </w:rPr>
              <w:t xml:space="preserve"> and epidemiological surveillance systems </w:t>
            </w:r>
            <w:r w:rsidR="001324A3">
              <w:rPr>
                <w:sz w:val="24"/>
                <w:szCs w:val="24"/>
              </w:rPr>
              <w:t xml:space="preserve">can be integrated </w:t>
            </w:r>
            <w:r w:rsidR="00180FFE" w:rsidRPr="005B6722">
              <w:rPr>
                <w:sz w:val="24"/>
                <w:szCs w:val="24"/>
              </w:rPr>
              <w:t>to support decision-making</w:t>
            </w:r>
            <w:r w:rsidR="006D1FBD">
              <w:rPr>
                <w:sz w:val="24"/>
                <w:szCs w:val="24"/>
              </w:rPr>
              <w:t>.</w:t>
            </w:r>
            <w:r w:rsidR="009244A2">
              <w:rPr>
                <w:sz w:val="24"/>
                <w:szCs w:val="24"/>
              </w:rPr>
              <w:t xml:space="preserve"> F</w:t>
            </w:r>
            <w:r w:rsidR="006D1FBD">
              <w:rPr>
                <w:sz w:val="24"/>
                <w:szCs w:val="24"/>
              </w:rPr>
              <w:t xml:space="preserve">ind out how </w:t>
            </w:r>
            <w:r w:rsidR="000B2E96">
              <w:rPr>
                <w:sz w:val="24"/>
                <w:szCs w:val="24"/>
              </w:rPr>
              <w:t>systems</w:t>
            </w:r>
            <w:r w:rsidR="006D1FBD">
              <w:rPr>
                <w:sz w:val="24"/>
                <w:szCs w:val="24"/>
              </w:rPr>
              <w:t xml:space="preserve"> can</w:t>
            </w:r>
            <w:r w:rsidR="00180FFE" w:rsidRPr="005B6722">
              <w:rPr>
                <w:sz w:val="24"/>
                <w:szCs w:val="24"/>
              </w:rPr>
              <w:t xml:space="preserve"> facilitate seamless notification pathways for effective public health action.</w:t>
            </w:r>
          </w:p>
        </w:tc>
        <w:tc>
          <w:tcPr>
            <w:tcW w:w="499" w:type="pct"/>
          </w:tcPr>
          <w:p w14:paraId="22802321" w14:textId="5E6A6A0F" w:rsidR="00180FFE" w:rsidRPr="00AE059E" w:rsidRDefault="001324A3" w:rsidP="003557CE">
            <w:pPr>
              <w:rPr>
                <w:rFonts w:asciiTheme="minorHAnsi" w:hAnsiTheme="minorHAnsi" w:cstheme="minorHAnsi"/>
                <w:sz w:val="24"/>
                <w:szCs w:val="24"/>
                <w:lang w:val="en-AU"/>
              </w:rPr>
            </w:pPr>
            <w:r>
              <w:rPr>
                <w:rFonts w:asciiTheme="minorHAnsi" w:hAnsiTheme="minorHAnsi" w:cstheme="minorHAnsi"/>
                <w:sz w:val="24"/>
                <w:szCs w:val="24"/>
              </w:rPr>
              <w:t>Long</w:t>
            </w:r>
          </w:p>
        </w:tc>
        <w:tc>
          <w:tcPr>
            <w:tcW w:w="634" w:type="pct"/>
          </w:tcPr>
          <w:p w14:paraId="28D067DB" w14:textId="53E9F89A"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CDGN, PHLN</w:t>
            </w:r>
            <w:r w:rsidR="00C6756D" w:rsidRPr="005B6722">
              <w:rPr>
                <w:rFonts w:asciiTheme="minorHAnsi" w:hAnsiTheme="minorHAnsi" w:cstheme="minorHAnsi"/>
                <w:sz w:val="24"/>
                <w:szCs w:val="24"/>
              </w:rPr>
              <w:t>, CDNA</w:t>
            </w:r>
          </w:p>
        </w:tc>
        <w:tc>
          <w:tcPr>
            <w:tcW w:w="670" w:type="pct"/>
          </w:tcPr>
          <w:p w14:paraId="5E2CFF3E"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High</w:t>
            </w:r>
          </w:p>
        </w:tc>
      </w:tr>
      <w:tr w:rsidR="00180FFE" w:rsidRPr="005B6722" w14:paraId="5B5F287A" w14:textId="77777777" w:rsidTr="003557CE">
        <w:tc>
          <w:tcPr>
            <w:tcW w:w="3193" w:type="pct"/>
          </w:tcPr>
          <w:p w14:paraId="29E0A0BF" w14:textId="36D91CA0" w:rsidR="00180FFE" w:rsidRPr="00AE059E" w:rsidRDefault="00CD32CE">
            <w:pPr>
              <w:rPr>
                <w:sz w:val="24"/>
                <w:szCs w:val="24"/>
                <w:lang w:val="en-AU"/>
              </w:rPr>
            </w:pPr>
            <w:r w:rsidRPr="005B6722">
              <w:rPr>
                <w:sz w:val="24"/>
                <w:szCs w:val="24"/>
              </w:rPr>
              <w:t xml:space="preserve">3.1.2 </w:t>
            </w:r>
            <w:r w:rsidR="00180FFE" w:rsidRPr="005B6722">
              <w:rPr>
                <w:sz w:val="24"/>
                <w:szCs w:val="24"/>
              </w:rPr>
              <w:t xml:space="preserve">Develop and pilot </w:t>
            </w:r>
            <w:proofErr w:type="spellStart"/>
            <w:r w:rsidR="00180FFE" w:rsidRPr="005B6722">
              <w:rPr>
                <w:sz w:val="24"/>
                <w:szCs w:val="24"/>
              </w:rPr>
              <w:t>standardised</w:t>
            </w:r>
            <w:proofErr w:type="spellEnd"/>
            <w:r w:rsidR="00180FFE" w:rsidRPr="005B6722">
              <w:rPr>
                <w:sz w:val="24"/>
                <w:szCs w:val="24"/>
              </w:rPr>
              <w:t xml:space="preserve"> reports and nomenclature</w:t>
            </w:r>
            <w:r w:rsidR="006D1FBD" w:rsidRPr="005B6722">
              <w:rPr>
                <w:sz w:val="24"/>
                <w:szCs w:val="24"/>
              </w:rPr>
              <w:t xml:space="preserve"> </w:t>
            </w:r>
            <w:r w:rsidR="00180FFE" w:rsidRPr="005B6722">
              <w:rPr>
                <w:sz w:val="24"/>
                <w:szCs w:val="24"/>
              </w:rPr>
              <w:t>for key pathogens that effectively communicates data to end-users.</w:t>
            </w:r>
          </w:p>
        </w:tc>
        <w:tc>
          <w:tcPr>
            <w:tcW w:w="499" w:type="pct"/>
          </w:tcPr>
          <w:p w14:paraId="29838CF0"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Short</w:t>
            </w:r>
          </w:p>
        </w:tc>
        <w:tc>
          <w:tcPr>
            <w:tcW w:w="634" w:type="pct"/>
          </w:tcPr>
          <w:p w14:paraId="36C2ACF4" w14:textId="77777777" w:rsidR="00180FFE" w:rsidRPr="00AE059E" w:rsidRDefault="00180FFE" w:rsidP="003557CE">
            <w:pPr>
              <w:rPr>
                <w:sz w:val="24"/>
                <w:szCs w:val="24"/>
                <w:lang w:val="en-AU"/>
              </w:rPr>
            </w:pPr>
            <w:r w:rsidRPr="005B6722">
              <w:rPr>
                <w:sz w:val="24"/>
                <w:szCs w:val="24"/>
              </w:rPr>
              <w:t>CDGN, PHLN, CDNA</w:t>
            </w:r>
          </w:p>
        </w:tc>
        <w:tc>
          <w:tcPr>
            <w:tcW w:w="670" w:type="pct"/>
          </w:tcPr>
          <w:p w14:paraId="6571D758" w14:textId="77777777" w:rsidR="00180FFE" w:rsidRPr="00AE059E" w:rsidRDefault="00180FFE" w:rsidP="003557CE">
            <w:pPr>
              <w:ind w:left="-194" w:firstLine="194"/>
              <w:rPr>
                <w:sz w:val="24"/>
                <w:szCs w:val="24"/>
                <w:lang w:val="en-AU"/>
              </w:rPr>
            </w:pPr>
            <w:r w:rsidRPr="005B6722">
              <w:rPr>
                <w:sz w:val="24"/>
                <w:szCs w:val="24"/>
              </w:rPr>
              <w:t>High</w:t>
            </w:r>
          </w:p>
        </w:tc>
      </w:tr>
      <w:tr w:rsidR="00180FFE" w:rsidRPr="005B6722" w14:paraId="1F4D8EB6" w14:textId="77777777" w:rsidTr="003557CE">
        <w:tc>
          <w:tcPr>
            <w:tcW w:w="3193" w:type="pct"/>
          </w:tcPr>
          <w:p w14:paraId="6CA0C488" w14:textId="422BFCBE" w:rsidR="00180FFE" w:rsidRPr="00AE059E" w:rsidRDefault="00CD32CE" w:rsidP="009244A2">
            <w:pPr>
              <w:rPr>
                <w:i/>
                <w:sz w:val="24"/>
                <w:szCs w:val="24"/>
                <w:lang w:val="en-AU"/>
              </w:rPr>
            </w:pPr>
            <w:r w:rsidRPr="005B6722">
              <w:rPr>
                <w:sz w:val="24"/>
                <w:szCs w:val="24"/>
              </w:rPr>
              <w:t xml:space="preserve">3.1.3 </w:t>
            </w:r>
            <w:r w:rsidR="00180FFE" w:rsidRPr="005B6722">
              <w:rPr>
                <w:sz w:val="24"/>
                <w:szCs w:val="24"/>
              </w:rPr>
              <w:t xml:space="preserve">Using pilot implementation </w:t>
            </w:r>
            <w:proofErr w:type="gramStart"/>
            <w:r w:rsidR="00180FFE" w:rsidRPr="005B6722">
              <w:rPr>
                <w:sz w:val="24"/>
                <w:szCs w:val="24"/>
              </w:rPr>
              <w:t>projects,</w:t>
            </w:r>
            <w:proofErr w:type="gramEnd"/>
            <w:r w:rsidR="009E73E2">
              <w:rPr>
                <w:sz w:val="24"/>
                <w:szCs w:val="24"/>
              </w:rPr>
              <w:t xml:space="preserve"> look at</w:t>
            </w:r>
            <w:r w:rsidR="009E73E2" w:rsidRPr="005B6722">
              <w:rPr>
                <w:sz w:val="24"/>
                <w:szCs w:val="24"/>
              </w:rPr>
              <w:t xml:space="preserve"> </w:t>
            </w:r>
            <w:r w:rsidR="00180FFE" w:rsidRPr="005B6722">
              <w:rPr>
                <w:sz w:val="24"/>
                <w:szCs w:val="24"/>
              </w:rPr>
              <w:t xml:space="preserve">the possibility of interoperable routine </w:t>
            </w:r>
            <w:r w:rsidR="00B63B95" w:rsidRPr="005B6722">
              <w:rPr>
                <w:sz w:val="24"/>
                <w:szCs w:val="24"/>
              </w:rPr>
              <w:t xml:space="preserve">microbial </w:t>
            </w:r>
            <w:r w:rsidR="00180FFE" w:rsidRPr="005B6722">
              <w:rPr>
                <w:sz w:val="24"/>
                <w:szCs w:val="24"/>
              </w:rPr>
              <w:t xml:space="preserve">genomics sequencing for </w:t>
            </w:r>
            <w:r w:rsidR="00B63B95" w:rsidRPr="005B6722">
              <w:rPr>
                <w:sz w:val="24"/>
                <w:szCs w:val="24"/>
              </w:rPr>
              <w:t>surveillance</w:t>
            </w:r>
            <w:r w:rsidR="00180FFE" w:rsidRPr="005B6722">
              <w:rPr>
                <w:sz w:val="24"/>
                <w:szCs w:val="24"/>
              </w:rPr>
              <w:t xml:space="preserve"> of priority organisms</w:t>
            </w:r>
            <w:r w:rsidR="006D1FBD">
              <w:rPr>
                <w:sz w:val="24"/>
                <w:szCs w:val="24"/>
              </w:rPr>
              <w:t xml:space="preserve">. This will </w:t>
            </w:r>
            <w:r w:rsidR="00180FFE" w:rsidRPr="005B6722">
              <w:rPr>
                <w:sz w:val="24"/>
                <w:szCs w:val="24"/>
              </w:rPr>
              <w:t xml:space="preserve">measure and identify local transmissions for </w:t>
            </w:r>
            <w:r w:rsidR="00005AD4" w:rsidRPr="005B6722">
              <w:rPr>
                <w:sz w:val="24"/>
                <w:szCs w:val="24"/>
              </w:rPr>
              <w:t>outbreak management and control</w:t>
            </w:r>
            <w:r w:rsidR="00180FFE" w:rsidRPr="005B6722">
              <w:rPr>
                <w:sz w:val="24"/>
                <w:szCs w:val="24"/>
              </w:rPr>
              <w:t xml:space="preserve">. </w:t>
            </w:r>
          </w:p>
        </w:tc>
        <w:tc>
          <w:tcPr>
            <w:tcW w:w="499" w:type="pct"/>
          </w:tcPr>
          <w:p w14:paraId="6EA08B0B"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c>
          <w:tcPr>
            <w:tcW w:w="634" w:type="pct"/>
          </w:tcPr>
          <w:p w14:paraId="200305BB" w14:textId="3189D757" w:rsidR="00180FFE" w:rsidRPr="00AE059E" w:rsidRDefault="00180FFE" w:rsidP="00CD32CE">
            <w:pPr>
              <w:rPr>
                <w:rFonts w:asciiTheme="minorHAnsi" w:hAnsiTheme="minorHAnsi" w:cstheme="minorHAnsi"/>
                <w:sz w:val="24"/>
                <w:szCs w:val="24"/>
                <w:lang w:val="en-AU"/>
              </w:rPr>
            </w:pPr>
            <w:r w:rsidRPr="005B6722">
              <w:rPr>
                <w:rFonts w:asciiTheme="minorHAnsi" w:hAnsiTheme="minorHAnsi" w:cstheme="minorHAnsi"/>
                <w:sz w:val="24"/>
                <w:szCs w:val="24"/>
              </w:rPr>
              <w:t xml:space="preserve">CDGN, PHLN </w:t>
            </w:r>
          </w:p>
        </w:tc>
        <w:tc>
          <w:tcPr>
            <w:tcW w:w="670" w:type="pct"/>
          </w:tcPr>
          <w:p w14:paraId="2EFF9D98"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r>
      <w:tr w:rsidR="00180FFE" w:rsidRPr="005B6722" w14:paraId="0C8A040B" w14:textId="77777777" w:rsidTr="003557CE">
        <w:tc>
          <w:tcPr>
            <w:tcW w:w="3193" w:type="pct"/>
          </w:tcPr>
          <w:p w14:paraId="7D68A252" w14:textId="25F86A47" w:rsidR="00180FFE" w:rsidRPr="00AE059E" w:rsidRDefault="00CD32CE" w:rsidP="009E73E2">
            <w:pPr>
              <w:rPr>
                <w:sz w:val="24"/>
                <w:szCs w:val="24"/>
                <w:lang w:val="en-AU"/>
              </w:rPr>
            </w:pPr>
            <w:r w:rsidRPr="005B6722">
              <w:rPr>
                <w:sz w:val="24"/>
                <w:szCs w:val="24"/>
              </w:rPr>
              <w:t xml:space="preserve">3.1.4 </w:t>
            </w:r>
            <w:r w:rsidR="00180FFE" w:rsidRPr="005B6722">
              <w:rPr>
                <w:sz w:val="24"/>
                <w:szCs w:val="24"/>
              </w:rPr>
              <w:t>Develop exercises to test the use of microbial genomics in the event of a disease outbreak</w:t>
            </w:r>
            <w:r w:rsidR="00060A9F">
              <w:rPr>
                <w:sz w:val="24"/>
                <w:szCs w:val="24"/>
              </w:rPr>
              <w:t>. These will</w:t>
            </w:r>
            <w:r w:rsidR="00180FFE" w:rsidRPr="005B6722">
              <w:rPr>
                <w:sz w:val="24"/>
                <w:szCs w:val="24"/>
              </w:rPr>
              <w:t xml:space="preserve"> assess and </w:t>
            </w:r>
            <w:r w:rsidR="009E73E2">
              <w:rPr>
                <w:sz w:val="24"/>
                <w:szCs w:val="24"/>
              </w:rPr>
              <w:t>look at</w:t>
            </w:r>
            <w:r w:rsidR="009E73E2" w:rsidRPr="005B6722">
              <w:rPr>
                <w:sz w:val="24"/>
                <w:szCs w:val="24"/>
              </w:rPr>
              <w:t xml:space="preserve"> </w:t>
            </w:r>
            <w:r w:rsidR="00180FFE" w:rsidRPr="005B6722">
              <w:rPr>
                <w:sz w:val="24"/>
                <w:szCs w:val="24"/>
              </w:rPr>
              <w:t>strengths and opportunities to improve Australia’s integration of microbial genomics in</w:t>
            </w:r>
            <w:r w:rsidR="00C755A3" w:rsidRPr="005B6722">
              <w:rPr>
                <w:sz w:val="24"/>
                <w:szCs w:val="24"/>
              </w:rPr>
              <w:t>to</w:t>
            </w:r>
            <w:r w:rsidR="00180FFE" w:rsidRPr="005B6722">
              <w:rPr>
                <w:sz w:val="24"/>
                <w:szCs w:val="24"/>
              </w:rPr>
              <w:t xml:space="preserve"> public health</w:t>
            </w:r>
            <w:r w:rsidR="00C755A3" w:rsidRPr="005B6722">
              <w:rPr>
                <w:sz w:val="24"/>
                <w:szCs w:val="24"/>
              </w:rPr>
              <w:t xml:space="preserve"> responses</w:t>
            </w:r>
            <w:r w:rsidR="00180FFE" w:rsidRPr="005B6722">
              <w:rPr>
                <w:sz w:val="24"/>
                <w:szCs w:val="24"/>
              </w:rPr>
              <w:t xml:space="preserve">.  </w:t>
            </w:r>
          </w:p>
        </w:tc>
        <w:tc>
          <w:tcPr>
            <w:tcW w:w="499" w:type="pct"/>
          </w:tcPr>
          <w:p w14:paraId="32282B8F"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c>
          <w:tcPr>
            <w:tcW w:w="634" w:type="pct"/>
          </w:tcPr>
          <w:p w14:paraId="4A1BEBE2"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Health, CDGN</w:t>
            </w:r>
          </w:p>
        </w:tc>
        <w:tc>
          <w:tcPr>
            <w:tcW w:w="670" w:type="pct"/>
          </w:tcPr>
          <w:p w14:paraId="2C351C43"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r>
      <w:tr w:rsidR="00180FFE" w:rsidRPr="005B6722" w14:paraId="399C60BF" w14:textId="77777777" w:rsidTr="003557CE">
        <w:tc>
          <w:tcPr>
            <w:tcW w:w="3193" w:type="pct"/>
          </w:tcPr>
          <w:p w14:paraId="25C9DB56" w14:textId="04EE70BB" w:rsidR="00180FFE" w:rsidRPr="00AE059E" w:rsidRDefault="00CD32CE" w:rsidP="009244A2">
            <w:pPr>
              <w:rPr>
                <w:sz w:val="24"/>
                <w:szCs w:val="24"/>
                <w:lang w:val="en-AU"/>
              </w:rPr>
            </w:pPr>
            <w:r w:rsidRPr="005B6722">
              <w:rPr>
                <w:sz w:val="24"/>
                <w:szCs w:val="24"/>
              </w:rPr>
              <w:t xml:space="preserve">3.1.5 </w:t>
            </w:r>
            <w:r w:rsidR="00180FFE" w:rsidRPr="005B6722">
              <w:rPr>
                <w:sz w:val="24"/>
                <w:szCs w:val="24"/>
              </w:rPr>
              <w:t>Develop a</w:t>
            </w:r>
            <w:r w:rsidR="009244A2">
              <w:rPr>
                <w:sz w:val="24"/>
                <w:szCs w:val="24"/>
              </w:rPr>
              <w:t xml:space="preserve"> streamlined</w:t>
            </w:r>
            <w:r w:rsidR="00180FFE" w:rsidRPr="005B6722">
              <w:rPr>
                <w:sz w:val="24"/>
                <w:szCs w:val="24"/>
              </w:rPr>
              <w:t xml:space="preserve"> process that facilitates</w:t>
            </w:r>
            <w:r w:rsidR="009244A2">
              <w:rPr>
                <w:sz w:val="24"/>
                <w:szCs w:val="24"/>
              </w:rPr>
              <w:t xml:space="preserve"> and encourages</w:t>
            </w:r>
            <w:r w:rsidR="00180FFE" w:rsidRPr="005B6722">
              <w:rPr>
                <w:sz w:val="24"/>
                <w:szCs w:val="24"/>
              </w:rPr>
              <w:t xml:space="preserve"> </w:t>
            </w:r>
            <w:r w:rsidR="00B36307">
              <w:rPr>
                <w:sz w:val="24"/>
                <w:szCs w:val="24"/>
              </w:rPr>
              <w:t xml:space="preserve">timely </w:t>
            </w:r>
            <w:r w:rsidR="00180FFE" w:rsidRPr="005B6722">
              <w:rPr>
                <w:sz w:val="24"/>
                <w:szCs w:val="24"/>
              </w:rPr>
              <w:t>request</w:t>
            </w:r>
            <w:r w:rsidR="00C755A3" w:rsidRPr="005B6722">
              <w:rPr>
                <w:sz w:val="24"/>
                <w:szCs w:val="24"/>
              </w:rPr>
              <w:t>s</w:t>
            </w:r>
            <w:r w:rsidR="00180FFE" w:rsidRPr="005B6722">
              <w:rPr>
                <w:sz w:val="24"/>
                <w:szCs w:val="24"/>
              </w:rPr>
              <w:t xml:space="preserve"> for data sharing between jurisdictions</w:t>
            </w:r>
            <w:r w:rsidR="00B21D98">
              <w:rPr>
                <w:sz w:val="24"/>
                <w:szCs w:val="24"/>
              </w:rPr>
              <w:t xml:space="preserve"> to inform public health investigation and action</w:t>
            </w:r>
            <w:r w:rsidR="009E73E2">
              <w:rPr>
                <w:sz w:val="24"/>
                <w:szCs w:val="24"/>
              </w:rPr>
              <w:t xml:space="preserve">. </w:t>
            </w:r>
            <w:r w:rsidR="000B2E96">
              <w:rPr>
                <w:sz w:val="24"/>
                <w:szCs w:val="24"/>
              </w:rPr>
              <w:t>N</w:t>
            </w:r>
            <w:r w:rsidR="001324A3">
              <w:rPr>
                <w:sz w:val="24"/>
                <w:szCs w:val="24"/>
              </w:rPr>
              <w:t xml:space="preserve">ational epidemiology </w:t>
            </w:r>
            <w:r w:rsidR="00180FFE" w:rsidRPr="005B6722">
              <w:rPr>
                <w:sz w:val="24"/>
                <w:szCs w:val="24"/>
              </w:rPr>
              <w:t xml:space="preserve">networks </w:t>
            </w:r>
            <w:r w:rsidR="001324A3">
              <w:rPr>
                <w:sz w:val="24"/>
                <w:szCs w:val="24"/>
              </w:rPr>
              <w:t>(</w:t>
            </w:r>
            <w:r w:rsidR="0087607A">
              <w:rPr>
                <w:sz w:val="24"/>
                <w:szCs w:val="24"/>
              </w:rPr>
              <w:t>e.</w:t>
            </w:r>
            <w:r w:rsidR="001324A3">
              <w:rPr>
                <w:sz w:val="24"/>
                <w:szCs w:val="24"/>
              </w:rPr>
              <w:t>g.</w:t>
            </w:r>
            <w:r w:rsidR="00180FFE" w:rsidRPr="005B6722">
              <w:rPr>
                <w:sz w:val="24"/>
                <w:szCs w:val="24"/>
              </w:rPr>
              <w:t xml:space="preserve"> </w:t>
            </w:r>
            <w:proofErr w:type="spellStart"/>
            <w:r w:rsidR="00180FFE" w:rsidRPr="005B6722">
              <w:rPr>
                <w:sz w:val="24"/>
                <w:szCs w:val="24"/>
              </w:rPr>
              <w:t>OzFoodNet</w:t>
            </w:r>
            <w:proofErr w:type="spellEnd"/>
            <w:r w:rsidR="00180FFE" w:rsidRPr="005B6722">
              <w:rPr>
                <w:sz w:val="24"/>
                <w:szCs w:val="24"/>
              </w:rPr>
              <w:t xml:space="preserve">, </w:t>
            </w:r>
            <w:r w:rsidR="0032774B" w:rsidRPr="0032774B">
              <w:rPr>
                <w:sz w:val="24"/>
                <w:szCs w:val="24"/>
              </w:rPr>
              <w:t>National Neisseria Network</w:t>
            </w:r>
            <w:r w:rsidR="001324A3">
              <w:rPr>
                <w:sz w:val="24"/>
                <w:szCs w:val="24"/>
              </w:rPr>
              <w:t xml:space="preserve">, </w:t>
            </w:r>
            <w:proofErr w:type="gramStart"/>
            <w:r w:rsidR="0087607A">
              <w:rPr>
                <w:sz w:val="24"/>
                <w:szCs w:val="24"/>
              </w:rPr>
              <w:t>National</w:t>
            </w:r>
            <w:proofErr w:type="gramEnd"/>
            <w:r w:rsidR="0087607A">
              <w:rPr>
                <w:sz w:val="24"/>
                <w:szCs w:val="24"/>
              </w:rPr>
              <w:t xml:space="preserve"> </w:t>
            </w:r>
            <w:r w:rsidR="0032774B" w:rsidRPr="0032774B">
              <w:rPr>
                <w:sz w:val="24"/>
                <w:szCs w:val="24"/>
              </w:rPr>
              <w:t>Tuberculosis Advisory Committee</w:t>
            </w:r>
            <w:r w:rsidR="001324A3">
              <w:rPr>
                <w:sz w:val="24"/>
                <w:szCs w:val="24"/>
              </w:rPr>
              <w:t>)</w:t>
            </w:r>
            <w:r w:rsidR="00180FFE" w:rsidRPr="005B6722">
              <w:rPr>
                <w:sz w:val="24"/>
                <w:szCs w:val="24"/>
              </w:rPr>
              <w:t xml:space="preserve"> and </w:t>
            </w:r>
            <w:r w:rsidR="00C755A3" w:rsidRPr="005B6722">
              <w:rPr>
                <w:sz w:val="24"/>
                <w:szCs w:val="24"/>
              </w:rPr>
              <w:t xml:space="preserve">public health </w:t>
            </w:r>
            <w:r w:rsidR="00180FFE" w:rsidRPr="005B6722">
              <w:rPr>
                <w:sz w:val="24"/>
                <w:szCs w:val="24"/>
              </w:rPr>
              <w:t>laboratories</w:t>
            </w:r>
            <w:r w:rsidR="000B2E96">
              <w:rPr>
                <w:sz w:val="24"/>
                <w:szCs w:val="24"/>
              </w:rPr>
              <w:t xml:space="preserve"> should also be involved in development of this process</w:t>
            </w:r>
            <w:r w:rsidR="00180FFE" w:rsidRPr="005B6722">
              <w:rPr>
                <w:sz w:val="24"/>
                <w:szCs w:val="24"/>
              </w:rPr>
              <w:t xml:space="preserve">. </w:t>
            </w:r>
          </w:p>
        </w:tc>
        <w:tc>
          <w:tcPr>
            <w:tcW w:w="499" w:type="pct"/>
          </w:tcPr>
          <w:p w14:paraId="4BF034B4"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Short</w:t>
            </w:r>
          </w:p>
        </w:tc>
        <w:tc>
          <w:tcPr>
            <w:tcW w:w="634" w:type="pct"/>
          </w:tcPr>
          <w:p w14:paraId="5922BBA6" w14:textId="4C200676" w:rsidR="00180FFE" w:rsidRPr="00AE059E" w:rsidRDefault="00180FFE" w:rsidP="001324A3">
            <w:pPr>
              <w:ind w:right="-97"/>
              <w:rPr>
                <w:rFonts w:asciiTheme="minorHAnsi" w:hAnsiTheme="minorHAnsi" w:cstheme="minorHAnsi"/>
                <w:sz w:val="24"/>
                <w:szCs w:val="24"/>
                <w:lang w:val="en-AU"/>
              </w:rPr>
            </w:pPr>
            <w:r w:rsidRPr="005B6722">
              <w:rPr>
                <w:rFonts w:asciiTheme="minorHAnsi" w:hAnsiTheme="minorHAnsi" w:cstheme="minorHAnsi"/>
                <w:sz w:val="24"/>
                <w:szCs w:val="24"/>
              </w:rPr>
              <w:t>CDGN, PHLN, CDNA</w:t>
            </w:r>
          </w:p>
        </w:tc>
        <w:tc>
          <w:tcPr>
            <w:tcW w:w="670" w:type="pct"/>
          </w:tcPr>
          <w:p w14:paraId="2485BC7A"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High</w:t>
            </w:r>
          </w:p>
        </w:tc>
      </w:tr>
      <w:tr w:rsidR="00180FFE" w:rsidRPr="005B6722" w14:paraId="3D742494" w14:textId="77777777" w:rsidTr="003557CE">
        <w:tc>
          <w:tcPr>
            <w:tcW w:w="3193" w:type="pct"/>
          </w:tcPr>
          <w:p w14:paraId="3F3863B7" w14:textId="4A675A20" w:rsidR="00180FFE" w:rsidRPr="00AE059E" w:rsidRDefault="00CD32CE" w:rsidP="009244A2">
            <w:pPr>
              <w:rPr>
                <w:sz w:val="24"/>
                <w:szCs w:val="24"/>
                <w:lang w:val="en-AU"/>
              </w:rPr>
            </w:pPr>
            <w:r w:rsidRPr="005B6722">
              <w:rPr>
                <w:sz w:val="24"/>
                <w:szCs w:val="24"/>
              </w:rPr>
              <w:t xml:space="preserve">3.1.6 </w:t>
            </w:r>
            <w:r w:rsidR="00180FFE" w:rsidRPr="005B6722">
              <w:rPr>
                <w:sz w:val="24"/>
                <w:szCs w:val="24"/>
              </w:rPr>
              <w:t>Encourage</w:t>
            </w:r>
            <w:r w:rsidR="009244A2">
              <w:rPr>
                <w:sz w:val="24"/>
                <w:szCs w:val="24"/>
              </w:rPr>
              <w:t xml:space="preserve"> the</w:t>
            </w:r>
            <w:r w:rsidR="00180FFE" w:rsidRPr="005B6722">
              <w:rPr>
                <w:sz w:val="24"/>
                <w:szCs w:val="24"/>
              </w:rPr>
              <w:t xml:space="preserve"> </w:t>
            </w:r>
            <w:r w:rsidR="00060A9F">
              <w:rPr>
                <w:sz w:val="24"/>
                <w:szCs w:val="24"/>
              </w:rPr>
              <w:t>use</w:t>
            </w:r>
            <w:r w:rsidR="00060A9F" w:rsidRPr="005B6722">
              <w:rPr>
                <w:sz w:val="24"/>
                <w:szCs w:val="24"/>
              </w:rPr>
              <w:t xml:space="preserve"> </w:t>
            </w:r>
            <w:r w:rsidR="00180FFE" w:rsidRPr="005B6722">
              <w:rPr>
                <w:sz w:val="24"/>
                <w:szCs w:val="24"/>
              </w:rPr>
              <w:t>of microbial genomics technology and the integration of genomics data from animal and environmental sources</w:t>
            </w:r>
            <w:r w:rsidR="001A6F7B">
              <w:rPr>
                <w:sz w:val="24"/>
                <w:szCs w:val="24"/>
              </w:rPr>
              <w:t>.</w:t>
            </w:r>
            <w:r w:rsidR="00180FFE" w:rsidRPr="005B6722">
              <w:rPr>
                <w:sz w:val="24"/>
                <w:szCs w:val="24"/>
              </w:rPr>
              <w:t xml:space="preserve"> </w:t>
            </w:r>
            <w:r w:rsidR="001A6F7B">
              <w:rPr>
                <w:sz w:val="24"/>
                <w:szCs w:val="24"/>
              </w:rPr>
              <w:t xml:space="preserve">Encourage </w:t>
            </w:r>
            <w:r w:rsidR="00180FFE" w:rsidRPr="005B6722">
              <w:rPr>
                <w:sz w:val="24"/>
                <w:szCs w:val="24"/>
              </w:rPr>
              <w:t xml:space="preserve">working towards a cross-sectorial integrated </w:t>
            </w:r>
            <w:proofErr w:type="spellStart"/>
            <w:r w:rsidR="00180FFE" w:rsidRPr="005B6722">
              <w:rPr>
                <w:sz w:val="24"/>
                <w:szCs w:val="24"/>
              </w:rPr>
              <w:t>OneHealth</w:t>
            </w:r>
            <w:proofErr w:type="spellEnd"/>
            <w:r w:rsidR="00180FFE" w:rsidRPr="005B6722">
              <w:rPr>
                <w:sz w:val="24"/>
                <w:szCs w:val="24"/>
              </w:rPr>
              <w:t xml:space="preserve"> approach to surveillance of communicable diseases and AMR</w:t>
            </w:r>
            <w:r w:rsidR="001A6F7B">
              <w:rPr>
                <w:sz w:val="24"/>
                <w:szCs w:val="24"/>
              </w:rPr>
              <w:t xml:space="preserve">. </w:t>
            </w:r>
            <w:r w:rsidR="009244A2">
              <w:rPr>
                <w:sz w:val="24"/>
                <w:szCs w:val="24"/>
              </w:rPr>
              <w:t>Achieve this</w:t>
            </w:r>
            <w:r w:rsidR="006F5EA0">
              <w:rPr>
                <w:sz w:val="24"/>
                <w:szCs w:val="24"/>
              </w:rPr>
              <w:t xml:space="preserve"> through closer engagement with networks such as the Laboratories for Emergency Animal Disease Diagnosis and Response (LEADDR)</w:t>
            </w:r>
            <w:r w:rsidR="00180FFE" w:rsidRPr="005B6722">
              <w:rPr>
                <w:sz w:val="24"/>
                <w:szCs w:val="24"/>
              </w:rPr>
              <w:t>.</w:t>
            </w:r>
          </w:p>
        </w:tc>
        <w:tc>
          <w:tcPr>
            <w:tcW w:w="499" w:type="pct"/>
          </w:tcPr>
          <w:p w14:paraId="715645A2"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Long</w:t>
            </w:r>
          </w:p>
        </w:tc>
        <w:tc>
          <w:tcPr>
            <w:tcW w:w="634" w:type="pct"/>
          </w:tcPr>
          <w:p w14:paraId="15BA561C" w14:textId="63C80F7B" w:rsidR="00180FFE" w:rsidRPr="00AE059E" w:rsidRDefault="00180FFE" w:rsidP="006F5EA0">
            <w:pPr>
              <w:ind w:right="-97"/>
              <w:rPr>
                <w:rFonts w:asciiTheme="minorHAnsi" w:hAnsiTheme="minorHAnsi" w:cstheme="minorHAnsi"/>
                <w:sz w:val="24"/>
                <w:szCs w:val="24"/>
                <w:lang w:val="en-AU"/>
              </w:rPr>
            </w:pPr>
            <w:r w:rsidRPr="005B6722">
              <w:rPr>
                <w:rFonts w:asciiTheme="minorHAnsi" w:hAnsiTheme="minorHAnsi" w:cstheme="minorHAnsi"/>
                <w:sz w:val="24"/>
                <w:szCs w:val="24"/>
              </w:rPr>
              <w:t xml:space="preserve">CDGN, PHLN </w:t>
            </w:r>
          </w:p>
        </w:tc>
        <w:tc>
          <w:tcPr>
            <w:tcW w:w="670" w:type="pct"/>
          </w:tcPr>
          <w:p w14:paraId="28862632" w14:textId="0D06CCFC" w:rsidR="00180FFE" w:rsidRPr="00AE059E" w:rsidRDefault="001324A3" w:rsidP="003557CE">
            <w:pPr>
              <w:rPr>
                <w:rFonts w:asciiTheme="minorHAnsi" w:hAnsiTheme="minorHAnsi" w:cstheme="minorHAnsi"/>
                <w:sz w:val="24"/>
                <w:szCs w:val="24"/>
                <w:lang w:val="en-AU"/>
              </w:rPr>
            </w:pPr>
            <w:r>
              <w:rPr>
                <w:rFonts w:asciiTheme="minorHAnsi" w:hAnsiTheme="minorHAnsi" w:cstheme="minorHAnsi"/>
                <w:sz w:val="24"/>
                <w:szCs w:val="24"/>
              </w:rPr>
              <w:t>Medium</w:t>
            </w:r>
          </w:p>
        </w:tc>
      </w:tr>
      <w:tr w:rsidR="00180FFE" w:rsidRPr="005B6722" w14:paraId="069A44BD" w14:textId="77777777" w:rsidTr="003557CE">
        <w:tc>
          <w:tcPr>
            <w:tcW w:w="5000" w:type="pct"/>
            <w:gridSpan w:val="4"/>
            <w:shd w:val="clear" w:color="auto" w:fill="DEEAF6" w:themeFill="accent1" w:themeFillTint="33"/>
          </w:tcPr>
          <w:p w14:paraId="2BAC287E" w14:textId="77777777" w:rsidR="00180FFE" w:rsidRPr="00AE059E" w:rsidRDefault="00180FFE" w:rsidP="003557CE">
            <w:pPr>
              <w:rPr>
                <w:b/>
                <w:bCs/>
                <w:sz w:val="24"/>
                <w:szCs w:val="24"/>
                <w:lang w:val="en-AU"/>
              </w:rPr>
            </w:pPr>
            <w:r w:rsidRPr="005B6722">
              <w:rPr>
                <w:b/>
                <w:bCs/>
                <w:sz w:val="24"/>
                <w:szCs w:val="24"/>
              </w:rPr>
              <w:t>Outcome 3.2 – Identification of priority organisms</w:t>
            </w:r>
          </w:p>
        </w:tc>
      </w:tr>
      <w:tr w:rsidR="00180FFE" w:rsidRPr="005B6722" w14:paraId="5387C4F3" w14:textId="77777777" w:rsidTr="003557CE">
        <w:tc>
          <w:tcPr>
            <w:tcW w:w="3193" w:type="pct"/>
          </w:tcPr>
          <w:p w14:paraId="674BCDC4" w14:textId="10CA3707" w:rsidR="00180FFE" w:rsidRPr="00AE059E" w:rsidRDefault="00CD32CE" w:rsidP="009244A2">
            <w:pPr>
              <w:rPr>
                <w:sz w:val="24"/>
                <w:szCs w:val="24"/>
                <w:lang w:val="en-AU"/>
              </w:rPr>
            </w:pPr>
            <w:r w:rsidRPr="005B6722">
              <w:rPr>
                <w:sz w:val="24"/>
                <w:szCs w:val="24"/>
              </w:rPr>
              <w:t xml:space="preserve">3.2.1 </w:t>
            </w:r>
            <w:r w:rsidR="00180FFE" w:rsidRPr="005B6722">
              <w:rPr>
                <w:sz w:val="24"/>
                <w:szCs w:val="24"/>
              </w:rPr>
              <w:t xml:space="preserve">Drawing from national and international experience, </w:t>
            </w:r>
            <w:r w:rsidR="009244A2">
              <w:rPr>
                <w:sz w:val="24"/>
                <w:szCs w:val="24"/>
              </w:rPr>
              <w:t>d</w:t>
            </w:r>
            <w:r w:rsidR="001A6F7B">
              <w:rPr>
                <w:sz w:val="24"/>
                <w:szCs w:val="24"/>
              </w:rPr>
              <w:t>ecide on</w:t>
            </w:r>
            <w:r w:rsidR="001A6F7B" w:rsidRPr="005B6722">
              <w:rPr>
                <w:sz w:val="24"/>
                <w:szCs w:val="24"/>
              </w:rPr>
              <w:t xml:space="preserve"> </w:t>
            </w:r>
            <w:r w:rsidR="00180FFE" w:rsidRPr="005B6722">
              <w:rPr>
                <w:sz w:val="24"/>
                <w:szCs w:val="24"/>
              </w:rPr>
              <w:t>a list of priority organisms</w:t>
            </w:r>
            <w:r w:rsidR="009244A2">
              <w:rPr>
                <w:sz w:val="24"/>
                <w:szCs w:val="24"/>
              </w:rPr>
              <w:t xml:space="preserve"> where sequencing would enhance pathogen detection and public health response. This should be decided</w:t>
            </w:r>
            <w:r w:rsidR="00180FFE" w:rsidRPr="005B6722">
              <w:rPr>
                <w:sz w:val="24"/>
                <w:szCs w:val="24"/>
              </w:rPr>
              <w:t xml:space="preserve"> through consultation and collaboration with relevant </w:t>
            </w:r>
            <w:r w:rsidR="00180FFE" w:rsidRPr="005B6722">
              <w:rPr>
                <w:sz w:val="24"/>
                <w:szCs w:val="24"/>
              </w:rPr>
              <w:lastRenderedPageBreak/>
              <w:t>stakeholders</w:t>
            </w:r>
            <w:r w:rsidR="009244A2">
              <w:rPr>
                <w:sz w:val="24"/>
                <w:szCs w:val="24"/>
              </w:rPr>
              <w:t xml:space="preserve">. </w:t>
            </w:r>
            <w:r w:rsidR="001A6F7B">
              <w:rPr>
                <w:sz w:val="24"/>
                <w:szCs w:val="24"/>
              </w:rPr>
              <w:t xml:space="preserve">This </w:t>
            </w:r>
            <w:r w:rsidR="00005AD4" w:rsidRPr="005B6722">
              <w:rPr>
                <w:sz w:val="24"/>
                <w:szCs w:val="24"/>
              </w:rPr>
              <w:t>i</w:t>
            </w:r>
            <w:r w:rsidR="00180FFE" w:rsidRPr="005B6722">
              <w:rPr>
                <w:sz w:val="24"/>
                <w:szCs w:val="24"/>
              </w:rPr>
              <w:t>nclud</w:t>
            </w:r>
            <w:r w:rsidR="001A6F7B">
              <w:rPr>
                <w:sz w:val="24"/>
                <w:szCs w:val="24"/>
              </w:rPr>
              <w:t>es</w:t>
            </w:r>
            <w:r w:rsidR="00180FFE" w:rsidRPr="005B6722">
              <w:rPr>
                <w:sz w:val="24"/>
                <w:szCs w:val="24"/>
              </w:rPr>
              <w:t xml:space="preserve"> defining appropriate sampling frames, stages of implementation and indicators of effective implementation.</w:t>
            </w:r>
          </w:p>
        </w:tc>
        <w:tc>
          <w:tcPr>
            <w:tcW w:w="499" w:type="pct"/>
          </w:tcPr>
          <w:p w14:paraId="6221C080" w14:textId="77777777" w:rsidR="00180FFE" w:rsidRPr="00AE059E" w:rsidRDefault="00180FFE" w:rsidP="003557CE">
            <w:pPr>
              <w:rPr>
                <w:sz w:val="24"/>
                <w:szCs w:val="24"/>
                <w:lang w:val="en-AU"/>
              </w:rPr>
            </w:pPr>
            <w:r w:rsidRPr="005B6722">
              <w:rPr>
                <w:sz w:val="24"/>
                <w:szCs w:val="24"/>
              </w:rPr>
              <w:lastRenderedPageBreak/>
              <w:t>Short</w:t>
            </w:r>
          </w:p>
        </w:tc>
        <w:tc>
          <w:tcPr>
            <w:tcW w:w="634" w:type="pct"/>
          </w:tcPr>
          <w:p w14:paraId="43E2E8B5" w14:textId="77777777" w:rsidR="00180FFE" w:rsidRPr="00AE059E" w:rsidRDefault="00180FFE" w:rsidP="003557CE">
            <w:pPr>
              <w:rPr>
                <w:sz w:val="24"/>
                <w:szCs w:val="24"/>
                <w:lang w:val="en-AU"/>
              </w:rPr>
            </w:pPr>
            <w:r w:rsidRPr="005B6722">
              <w:rPr>
                <w:sz w:val="24"/>
                <w:szCs w:val="24"/>
              </w:rPr>
              <w:t>CDGN, PHLN, CDNA</w:t>
            </w:r>
          </w:p>
        </w:tc>
        <w:tc>
          <w:tcPr>
            <w:tcW w:w="670" w:type="pct"/>
          </w:tcPr>
          <w:p w14:paraId="73064B68" w14:textId="77777777" w:rsidR="00180FFE" w:rsidRPr="00AE059E" w:rsidRDefault="00180FFE" w:rsidP="003557CE">
            <w:pPr>
              <w:rPr>
                <w:sz w:val="24"/>
                <w:szCs w:val="24"/>
                <w:lang w:val="en-AU"/>
              </w:rPr>
            </w:pPr>
            <w:r w:rsidRPr="005B6722">
              <w:rPr>
                <w:sz w:val="24"/>
                <w:szCs w:val="24"/>
              </w:rPr>
              <w:t>High</w:t>
            </w:r>
          </w:p>
        </w:tc>
      </w:tr>
      <w:tr w:rsidR="00180FFE" w:rsidRPr="005B6722" w14:paraId="0D1D36B6" w14:textId="77777777" w:rsidTr="003557CE">
        <w:tc>
          <w:tcPr>
            <w:tcW w:w="3193" w:type="pct"/>
          </w:tcPr>
          <w:p w14:paraId="1A9B74F9" w14:textId="02B3C7BE" w:rsidR="00180FFE" w:rsidRPr="00AE059E" w:rsidRDefault="00CD32CE" w:rsidP="00756B3E">
            <w:pPr>
              <w:rPr>
                <w:sz w:val="24"/>
                <w:szCs w:val="24"/>
                <w:lang w:val="en-AU"/>
              </w:rPr>
            </w:pPr>
            <w:r w:rsidRPr="005B6722">
              <w:rPr>
                <w:sz w:val="24"/>
                <w:szCs w:val="24"/>
              </w:rPr>
              <w:t xml:space="preserve">3.2.2 </w:t>
            </w:r>
            <w:r w:rsidR="00180FFE" w:rsidRPr="005B6722">
              <w:rPr>
                <w:sz w:val="24"/>
                <w:szCs w:val="24"/>
              </w:rPr>
              <w:t xml:space="preserve">Through existing networks, reach out to and encourage private pathology laboratories to </w:t>
            </w:r>
            <w:r w:rsidR="00756B3E" w:rsidRPr="005B6722">
              <w:rPr>
                <w:sz w:val="24"/>
                <w:szCs w:val="24"/>
              </w:rPr>
              <w:t xml:space="preserve">share isolates of priority organisms </w:t>
            </w:r>
            <w:r w:rsidR="00180FFE" w:rsidRPr="005B6722">
              <w:rPr>
                <w:sz w:val="24"/>
                <w:szCs w:val="24"/>
              </w:rPr>
              <w:t>for public health surveillance purposes.</w:t>
            </w:r>
          </w:p>
        </w:tc>
        <w:tc>
          <w:tcPr>
            <w:tcW w:w="499" w:type="pct"/>
          </w:tcPr>
          <w:p w14:paraId="58E32E00" w14:textId="77777777" w:rsidR="00180FFE" w:rsidRPr="00AE059E" w:rsidRDefault="00180FFE" w:rsidP="003557CE">
            <w:pPr>
              <w:rPr>
                <w:sz w:val="24"/>
                <w:szCs w:val="24"/>
                <w:lang w:val="en-AU"/>
              </w:rPr>
            </w:pPr>
            <w:r w:rsidRPr="005B6722">
              <w:rPr>
                <w:sz w:val="24"/>
                <w:szCs w:val="24"/>
              </w:rPr>
              <w:t>Medium</w:t>
            </w:r>
          </w:p>
          <w:p w14:paraId="1E68A306" w14:textId="77777777" w:rsidR="00180FFE" w:rsidRPr="00AE059E" w:rsidRDefault="00180FFE" w:rsidP="003557CE">
            <w:pPr>
              <w:rPr>
                <w:sz w:val="24"/>
                <w:szCs w:val="24"/>
                <w:lang w:val="en-AU"/>
              </w:rPr>
            </w:pPr>
          </w:p>
        </w:tc>
        <w:tc>
          <w:tcPr>
            <w:tcW w:w="634" w:type="pct"/>
          </w:tcPr>
          <w:p w14:paraId="2F42DBAC" w14:textId="77777777" w:rsidR="00180FFE" w:rsidRPr="00AE059E" w:rsidRDefault="00180FFE" w:rsidP="003557CE">
            <w:pPr>
              <w:rPr>
                <w:sz w:val="24"/>
                <w:szCs w:val="24"/>
                <w:lang w:val="en-AU"/>
              </w:rPr>
            </w:pPr>
            <w:r w:rsidRPr="005B6722">
              <w:rPr>
                <w:sz w:val="24"/>
                <w:szCs w:val="24"/>
              </w:rPr>
              <w:t>CDGN, PHLN, Health</w:t>
            </w:r>
          </w:p>
        </w:tc>
        <w:tc>
          <w:tcPr>
            <w:tcW w:w="670" w:type="pct"/>
          </w:tcPr>
          <w:p w14:paraId="32F21BB1" w14:textId="77777777" w:rsidR="00180FFE" w:rsidRPr="00AE059E" w:rsidRDefault="00180FFE" w:rsidP="003557CE">
            <w:pPr>
              <w:rPr>
                <w:sz w:val="24"/>
                <w:szCs w:val="24"/>
                <w:lang w:val="en-AU"/>
              </w:rPr>
            </w:pPr>
            <w:r w:rsidRPr="005B6722">
              <w:rPr>
                <w:sz w:val="24"/>
                <w:szCs w:val="24"/>
              </w:rPr>
              <w:t>Medium</w:t>
            </w:r>
          </w:p>
        </w:tc>
      </w:tr>
      <w:tr w:rsidR="00180FFE" w:rsidRPr="005B6722" w14:paraId="0F2FEB1A" w14:textId="77777777" w:rsidTr="003557CE">
        <w:tc>
          <w:tcPr>
            <w:tcW w:w="5000" w:type="pct"/>
            <w:gridSpan w:val="4"/>
            <w:shd w:val="clear" w:color="auto" w:fill="DEEAF6" w:themeFill="accent1" w:themeFillTint="33"/>
          </w:tcPr>
          <w:p w14:paraId="34C89CB0" w14:textId="77777777" w:rsidR="00180FFE" w:rsidRPr="00AE059E" w:rsidRDefault="00180FFE" w:rsidP="003557CE">
            <w:pPr>
              <w:rPr>
                <w:b/>
                <w:bCs/>
                <w:sz w:val="24"/>
                <w:szCs w:val="24"/>
                <w:lang w:val="en-AU"/>
              </w:rPr>
            </w:pPr>
            <w:r w:rsidRPr="005B6722">
              <w:rPr>
                <w:b/>
                <w:bCs/>
                <w:sz w:val="24"/>
                <w:szCs w:val="24"/>
              </w:rPr>
              <w:t xml:space="preserve">Outcome 3.3 – </w:t>
            </w:r>
            <w:proofErr w:type="spellStart"/>
            <w:r w:rsidRPr="005B6722">
              <w:rPr>
                <w:b/>
                <w:bCs/>
                <w:sz w:val="24"/>
                <w:szCs w:val="24"/>
              </w:rPr>
              <w:t>Prioritisation</w:t>
            </w:r>
            <w:proofErr w:type="spellEnd"/>
            <w:r w:rsidRPr="005B6722">
              <w:rPr>
                <w:b/>
                <w:bCs/>
                <w:sz w:val="24"/>
                <w:szCs w:val="24"/>
              </w:rPr>
              <w:t xml:space="preserve"> of public health microbial genomics research</w:t>
            </w:r>
          </w:p>
        </w:tc>
      </w:tr>
      <w:tr w:rsidR="00180FFE" w:rsidRPr="005B6722" w14:paraId="62106097" w14:textId="77777777" w:rsidTr="003557CE">
        <w:tc>
          <w:tcPr>
            <w:tcW w:w="3193" w:type="pct"/>
          </w:tcPr>
          <w:p w14:paraId="3C5AEBC9" w14:textId="1D29F48A" w:rsidR="00180FFE" w:rsidRPr="00AE059E" w:rsidRDefault="00CD32CE" w:rsidP="009E73E2">
            <w:pPr>
              <w:rPr>
                <w:sz w:val="24"/>
                <w:szCs w:val="24"/>
                <w:lang w:val="en-AU"/>
              </w:rPr>
            </w:pPr>
            <w:r w:rsidRPr="005B6722">
              <w:rPr>
                <w:sz w:val="24"/>
                <w:szCs w:val="24"/>
              </w:rPr>
              <w:t xml:space="preserve">3.3.1 </w:t>
            </w:r>
            <w:r w:rsidR="00180FFE" w:rsidRPr="005B6722">
              <w:rPr>
                <w:sz w:val="24"/>
                <w:szCs w:val="24"/>
              </w:rPr>
              <w:t xml:space="preserve">Develop a national research agenda for microbial genomics </w:t>
            </w:r>
            <w:r w:rsidR="00C755A3" w:rsidRPr="005B6722">
              <w:rPr>
                <w:sz w:val="24"/>
                <w:szCs w:val="24"/>
              </w:rPr>
              <w:t>for public health action</w:t>
            </w:r>
            <w:r w:rsidR="009E73E2">
              <w:rPr>
                <w:sz w:val="24"/>
                <w:szCs w:val="24"/>
              </w:rPr>
              <w:t>.</w:t>
            </w:r>
            <w:r w:rsidR="00C755A3" w:rsidRPr="005B6722">
              <w:rPr>
                <w:sz w:val="24"/>
                <w:szCs w:val="24"/>
              </w:rPr>
              <w:t xml:space="preserve"> </w:t>
            </w:r>
            <w:r w:rsidR="009E73E2">
              <w:rPr>
                <w:sz w:val="24"/>
                <w:szCs w:val="24"/>
              </w:rPr>
              <w:t>Look at</w:t>
            </w:r>
            <w:r w:rsidR="00180FFE" w:rsidRPr="005B6722">
              <w:rPr>
                <w:sz w:val="24"/>
                <w:szCs w:val="24"/>
              </w:rPr>
              <w:t xml:space="preserve"> opportunities to link to Australian </w:t>
            </w:r>
            <w:proofErr w:type="gramStart"/>
            <w:r w:rsidR="00180FFE" w:rsidRPr="005B6722">
              <w:rPr>
                <w:sz w:val="24"/>
                <w:szCs w:val="24"/>
              </w:rPr>
              <w:t>Government and state</w:t>
            </w:r>
            <w:proofErr w:type="gramEnd"/>
            <w:r w:rsidR="0032774B">
              <w:rPr>
                <w:sz w:val="24"/>
                <w:szCs w:val="24"/>
              </w:rPr>
              <w:t xml:space="preserve"> and </w:t>
            </w:r>
            <w:r w:rsidR="00180FFE" w:rsidRPr="005B6722">
              <w:rPr>
                <w:sz w:val="24"/>
                <w:szCs w:val="24"/>
              </w:rPr>
              <w:t>territory</w:t>
            </w:r>
            <w:r w:rsidR="0032774B">
              <w:rPr>
                <w:sz w:val="24"/>
                <w:szCs w:val="24"/>
              </w:rPr>
              <w:t xml:space="preserve"> government</w:t>
            </w:r>
            <w:r w:rsidR="00180FFE" w:rsidRPr="005B6722">
              <w:rPr>
                <w:sz w:val="24"/>
                <w:szCs w:val="24"/>
              </w:rPr>
              <w:t xml:space="preserve"> research priorities.</w:t>
            </w:r>
          </w:p>
        </w:tc>
        <w:tc>
          <w:tcPr>
            <w:tcW w:w="499" w:type="pct"/>
          </w:tcPr>
          <w:p w14:paraId="07143F5C" w14:textId="77777777" w:rsidR="00180FFE" w:rsidRPr="00AE059E" w:rsidRDefault="00180FFE" w:rsidP="003557CE">
            <w:pPr>
              <w:rPr>
                <w:sz w:val="24"/>
                <w:szCs w:val="24"/>
                <w:lang w:val="en-AU"/>
              </w:rPr>
            </w:pPr>
            <w:r w:rsidRPr="005B6722">
              <w:rPr>
                <w:sz w:val="24"/>
                <w:szCs w:val="24"/>
              </w:rPr>
              <w:t>Medium</w:t>
            </w:r>
          </w:p>
        </w:tc>
        <w:tc>
          <w:tcPr>
            <w:tcW w:w="634" w:type="pct"/>
          </w:tcPr>
          <w:p w14:paraId="2ECF6EE2" w14:textId="77777777" w:rsidR="00180FFE" w:rsidRPr="00AE059E" w:rsidRDefault="00180FFE" w:rsidP="003557CE">
            <w:pPr>
              <w:rPr>
                <w:sz w:val="24"/>
                <w:szCs w:val="24"/>
                <w:lang w:val="en-AU"/>
              </w:rPr>
            </w:pPr>
            <w:r w:rsidRPr="005B6722">
              <w:rPr>
                <w:sz w:val="24"/>
                <w:szCs w:val="24"/>
              </w:rPr>
              <w:t>CDGN, PHLN, CDNA</w:t>
            </w:r>
          </w:p>
        </w:tc>
        <w:tc>
          <w:tcPr>
            <w:tcW w:w="670" w:type="pct"/>
          </w:tcPr>
          <w:p w14:paraId="66DDB25C" w14:textId="77777777" w:rsidR="00180FFE" w:rsidRPr="00AE059E" w:rsidRDefault="00180FFE" w:rsidP="003557CE">
            <w:pPr>
              <w:rPr>
                <w:sz w:val="24"/>
                <w:szCs w:val="24"/>
                <w:lang w:val="en-AU"/>
              </w:rPr>
            </w:pPr>
            <w:r w:rsidRPr="005B6722">
              <w:rPr>
                <w:sz w:val="24"/>
                <w:szCs w:val="24"/>
              </w:rPr>
              <w:t>Medium</w:t>
            </w:r>
          </w:p>
        </w:tc>
      </w:tr>
      <w:tr w:rsidR="00180FFE" w:rsidRPr="005B6722" w14:paraId="1CCFDDA3" w14:textId="77777777" w:rsidTr="003557CE">
        <w:tc>
          <w:tcPr>
            <w:tcW w:w="3193" w:type="pct"/>
          </w:tcPr>
          <w:p w14:paraId="295673A6" w14:textId="6621A954" w:rsidR="00180FFE" w:rsidRPr="00AE059E" w:rsidRDefault="00CD32CE">
            <w:pPr>
              <w:rPr>
                <w:sz w:val="24"/>
                <w:szCs w:val="24"/>
                <w:lang w:val="en-AU"/>
              </w:rPr>
            </w:pPr>
            <w:r w:rsidRPr="005B6722">
              <w:rPr>
                <w:sz w:val="24"/>
                <w:szCs w:val="24"/>
              </w:rPr>
              <w:t xml:space="preserve">3.3.2 </w:t>
            </w:r>
            <w:r w:rsidR="00180FFE" w:rsidRPr="005B6722">
              <w:rPr>
                <w:sz w:val="24"/>
                <w:szCs w:val="24"/>
              </w:rPr>
              <w:t xml:space="preserve">Map current </w:t>
            </w:r>
            <w:r w:rsidR="00C755A3" w:rsidRPr="005B6722">
              <w:rPr>
                <w:bCs/>
                <w:sz w:val="24"/>
                <w:szCs w:val="24"/>
              </w:rPr>
              <w:t>public health microbial genomics</w:t>
            </w:r>
            <w:r w:rsidR="00C755A3" w:rsidRPr="005B6722">
              <w:rPr>
                <w:b/>
                <w:bCs/>
                <w:sz w:val="24"/>
                <w:szCs w:val="24"/>
              </w:rPr>
              <w:t xml:space="preserve"> </w:t>
            </w:r>
            <w:r w:rsidR="00180FFE" w:rsidRPr="005B6722">
              <w:rPr>
                <w:sz w:val="24"/>
                <w:szCs w:val="24"/>
              </w:rPr>
              <w:t>research activities and explore options to strengthen national coordination</w:t>
            </w:r>
            <w:r w:rsidR="00FE7BA7">
              <w:rPr>
                <w:sz w:val="24"/>
                <w:szCs w:val="24"/>
              </w:rPr>
              <w:t>. This will</w:t>
            </w:r>
            <w:r w:rsidR="00180FFE" w:rsidRPr="005B6722">
              <w:rPr>
                <w:sz w:val="24"/>
                <w:szCs w:val="24"/>
              </w:rPr>
              <w:t xml:space="preserve"> inform development of a national research agenda to guide sustainable and strategic research investment.</w:t>
            </w:r>
          </w:p>
        </w:tc>
        <w:tc>
          <w:tcPr>
            <w:tcW w:w="499" w:type="pct"/>
          </w:tcPr>
          <w:p w14:paraId="749F6544" w14:textId="77777777" w:rsidR="00180FFE" w:rsidRPr="00AE059E" w:rsidRDefault="00180FFE" w:rsidP="003557CE">
            <w:pPr>
              <w:rPr>
                <w:sz w:val="24"/>
                <w:szCs w:val="24"/>
                <w:lang w:val="en-AU"/>
              </w:rPr>
            </w:pPr>
            <w:r w:rsidRPr="005B6722">
              <w:rPr>
                <w:sz w:val="24"/>
                <w:szCs w:val="24"/>
              </w:rPr>
              <w:t>Medium</w:t>
            </w:r>
          </w:p>
        </w:tc>
        <w:tc>
          <w:tcPr>
            <w:tcW w:w="634" w:type="pct"/>
          </w:tcPr>
          <w:p w14:paraId="21FCEA3A" w14:textId="77777777" w:rsidR="00180FFE" w:rsidRPr="00AE059E" w:rsidRDefault="00180FFE" w:rsidP="003557CE">
            <w:pPr>
              <w:rPr>
                <w:sz w:val="24"/>
                <w:szCs w:val="24"/>
                <w:lang w:val="en-AU"/>
              </w:rPr>
            </w:pPr>
            <w:r w:rsidRPr="005B6722">
              <w:rPr>
                <w:sz w:val="24"/>
                <w:szCs w:val="24"/>
              </w:rPr>
              <w:t>CDGN, PHLN, CDNA, Health</w:t>
            </w:r>
          </w:p>
        </w:tc>
        <w:tc>
          <w:tcPr>
            <w:tcW w:w="670" w:type="pct"/>
          </w:tcPr>
          <w:p w14:paraId="7EB264BF" w14:textId="77777777" w:rsidR="00180FFE" w:rsidRPr="00AE059E" w:rsidRDefault="00180FFE" w:rsidP="003557CE">
            <w:pPr>
              <w:rPr>
                <w:sz w:val="24"/>
                <w:szCs w:val="24"/>
                <w:lang w:val="en-AU"/>
              </w:rPr>
            </w:pPr>
            <w:r w:rsidRPr="005B6722">
              <w:rPr>
                <w:sz w:val="24"/>
                <w:szCs w:val="24"/>
              </w:rPr>
              <w:t>Medium</w:t>
            </w:r>
          </w:p>
        </w:tc>
      </w:tr>
      <w:tr w:rsidR="00180FFE" w:rsidRPr="005B6722" w14:paraId="352C2A9A" w14:textId="77777777" w:rsidTr="003557CE">
        <w:tc>
          <w:tcPr>
            <w:tcW w:w="3193" w:type="pct"/>
          </w:tcPr>
          <w:p w14:paraId="6D767F91" w14:textId="5C9044EC" w:rsidR="00180FFE" w:rsidRPr="00AE059E" w:rsidRDefault="00995F64" w:rsidP="009E73E2">
            <w:pPr>
              <w:rPr>
                <w:sz w:val="24"/>
                <w:szCs w:val="24"/>
                <w:lang w:val="en-AU"/>
              </w:rPr>
            </w:pPr>
            <w:r w:rsidRPr="005B6722">
              <w:rPr>
                <w:sz w:val="24"/>
                <w:szCs w:val="24"/>
              </w:rPr>
              <w:t>3.3.</w:t>
            </w:r>
            <w:r w:rsidR="00DE7FC2">
              <w:rPr>
                <w:sz w:val="24"/>
                <w:szCs w:val="24"/>
              </w:rPr>
              <w:t>3</w:t>
            </w:r>
            <w:r w:rsidRPr="005B6722">
              <w:rPr>
                <w:sz w:val="24"/>
                <w:szCs w:val="24"/>
              </w:rPr>
              <w:t xml:space="preserve"> </w:t>
            </w:r>
            <w:r w:rsidR="00180FFE" w:rsidRPr="005B6722">
              <w:rPr>
                <w:sz w:val="24"/>
                <w:szCs w:val="24"/>
              </w:rPr>
              <w:t>Support translational research opportunities that can improve public health investigation, surveillance and response</w:t>
            </w:r>
            <w:r w:rsidR="00C6756D" w:rsidRPr="005B6722">
              <w:rPr>
                <w:sz w:val="24"/>
                <w:szCs w:val="24"/>
              </w:rPr>
              <w:t xml:space="preserve"> through commissioning and consulting with relevant academic institutions</w:t>
            </w:r>
            <w:r w:rsidR="00180FFE" w:rsidRPr="005B6722">
              <w:rPr>
                <w:sz w:val="24"/>
                <w:szCs w:val="24"/>
              </w:rPr>
              <w:t xml:space="preserve"> </w:t>
            </w:r>
            <w:r w:rsidR="009E73E2">
              <w:rPr>
                <w:sz w:val="24"/>
                <w:szCs w:val="24"/>
              </w:rPr>
              <w:t>(</w:t>
            </w:r>
            <w:r w:rsidR="00180FFE" w:rsidRPr="005B6722">
              <w:rPr>
                <w:sz w:val="24"/>
                <w:szCs w:val="24"/>
              </w:rPr>
              <w:t>i.e. cutting-edge sequencing technologies, clinical metagenomics and application of machine learning/artificial intelligence methodologies</w:t>
            </w:r>
            <w:r w:rsidR="009E73E2">
              <w:rPr>
                <w:sz w:val="24"/>
                <w:szCs w:val="24"/>
              </w:rPr>
              <w:t>)</w:t>
            </w:r>
            <w:r w:rsidR="00180FFE" w:rsidRPr="005B6722">
              <w:rPr>
                <w:sz w:val="24"/>
                <w:szCs w:val="24"/>
              </w:rPr>
              <w:t>.</w:t>
            </w:r>
          </w:p>
        </w:tc>
        <w:tc>
          <w:tcPr>
            <w:tcW w:w="499" w:type="pct"/>
          </w:tcPr>
          <w:p w14:paraId="7608D735" w14:textId="3960F363" w:rsidR="00180FFE" w:rsidRPr="00AE059E" w:rsidRDefault="00C6756D" w:rsidP="003557CE">
            <w:pPr>
              <w:rPr>
                <w:sz w:val="24"/>
                <w:szCs w:val="24"/>
                <w:lang w:val="en-AU"/>
              </w:rPr>
            </w:pPr>
            <w:r w:rsidRPr="005B6722">
              <w:rPr>
                <w:sz w:val="24"/>
                <w:szCs w:val="24"/>
              </w:rPr>
              <w:t>Medium</w:t>
            </w:r>
          </w:p>
        </w:tc>
        <w:tc>
          <w:tcPr>
            <w:tcW w:w="634" w:type="pct"/>
          </w:tcPr>
          <w:p w14:paraId="4C34FE12" w14:textId="5765F8D3" w:rsidR="00180FFE" w:rsidRPr="00AE059E" w:rsidRDefault="00180FFE" w:rsidP="00C6756D">
            <w:pPr>
              <w:rPr>
                <w:sz w:val="24"/>
                <w:szCs w:val="24"/>
                <w:lang w:val="en-AU"/>
              </w:rPr>
            </w:pPr>
            <w:r w:rsidRPr="005B6722">
              <w:rPr>
                <w:sz w:val="24"/>
                <w:szCs w:val="24"/>
              </w:rPr>
              <w:t>CDGN, PHLN, CDNA, Health</w:t>
            </w:r>
          </w:p>
        </w:tc>
        <w:tc>
          <w:tcPr>
            <w:tcW w:w="670" w:type="pct"/>
          </w:tcPr>
          <w:p w14:paraId="2803CF15" w14:textId="77777777" w:rsidR="00180FFE" w:rsidRPr="00AE059E" w:rsidRDefault="00180FFE" w:rsidP="003557CE">
            <w:pPr>
              <w:rPr>
                <w:sz w:val="24"/>
                <w:szCs w:val="24"/>
                <w:lang w:val="en-AU"/>
              </w:rPr>
            </w:pPr>
            <w:r w:rsidRPr="005B6722">
              <w:rPr>
                <w:sz w:val="24"/>
                <w:szCs w:val="24"/>
              </w:rPr>
              <w:t>High</w:t>
            </w:r>
          </w:p>
        </w:tc>
      </w:tr>
    </w:tbl>
    <w:p w14:paraId="7A6B24D7" w14:textId="77777777" w:rsidR="00180FFE" w:rsidRPr="005B6722" w:rsidRDefault="00180FFE" w:rsidP="00180FFE">
      <w:pPr>
        <w:tabs>
          <w:tab w:val="left" w:pos="3465"/>
        </w:tabs>
        <w:sectPr w:rsidR="00180FFE" w:rsidRPr="005B6722" w:rsidSect="003557CE">
          <w:pgSz w:w="16840" w:h="11910" w:orient="landscape"/>
          <w:pgMar w:top="1420" w:right="1080" w:bottom="1420" w:left="1260" w:header="756" w:footer="1075" w:gutter="0"/>
          <w:cols w:space="720"/>
          <w:docGrid w:linePitch="299"/>
        </w:sectPr>
      </w:pPr>
    </w:p>
    <w:p w14:paraId="7B715692" w14:textId="65521203" w:rsidR="00180FFE" w:rsidRPr="005B6722" w:rsidRDefault="00180FFE" w:rsidP="00180FFE">
      <w:pPr>
        <w:pStyle w:val="Heading1"/>
        <w:ind w:right="702"/>
      </w:pPr>
      <w:bookmarkStart w:id="88" w:name="_bookmark21"/>
      <w:bookmarkStart w:id="89" w:name="_Toc57196974"/>
      <w:bookmarkEnd w:id="88"/>
      <w:r w:rsidRPr="005B6722">
        <w:lastRenderedPageBreak/>
        <w:t>Strategic Priority 4: Access and Workforce</w:t>
      </w:r>
      <w:bookmarkEnd w:id="89"/>
    </w:p>
    <w:p w14:paraId="461312A7" w14:textId="45C5C403" w:rsidR="00180FFE" w:rsidRPr="005B6722" w:rsidRDefault="00180FFE" w:rsidP="00180FFE">
      <w:pPr>
        <w:pStyle w:val="BodyText"/>
        <w:spacing w:before="6"/>
        <w:rPr>
          <w:b/>
          <w:sz w:val="17"/>
        </w:rPr>
      </w:pPr>
    </w:p>
    <w:p w14:paraId="64BF74FF" w14:textId="77777777" w:rsidR="00180FFE" w:rsidRPr="008610F1" w:rsidRDefault="00180FFE" w:rsidP="00180FFE">
      <w:pPr>
        <w:pStyle w:val="BodyText"/>
        <w:spacing w:before="11"/>
        <w:rPr>
          <w:b/>
          <w:sz w:val="17"/>
        </w:rPr>
      </w:pPr>
    </w:p>
    <w:p w14:paraId="1FF83CCC" w14:textId="77777777" w:rsidR="00180FFE" w:rsidRPr="005B6722" w:rsidRDefault="00180FFE" w:rsidP="00180FFE">
      <w:pPr>
        <w:pStyle w:val="Heading2"/>
        <w:spacing w:before="44"/>
      </w:pPr>
      <w:bookmarkStart w:id="90" w:name="_bookmark22"/>
      <w:bookmarkStart w:id="91" w:name="_Toc57196975"/>
      <w:bookmarkEnd w:id="90"/>
      <w:r w:rsidRPr="005B6722">
        <w:t>Current activities</w:t>
      </w:r>
      <w:bookmarkEnd w:id="91"/>
    </w:p>
    <w:p w14:paraId="11410FA4" w14:textId="50EECA5B" w:rsidR="00180FFE" w:rsidRPr="005B6722" w:rsidRDefault="00180FFE" w:rsidP="00180FFE">
      <w:pPr>
        <w:pStyle w:val="BodyText"/>
        <w:tabs>
          <w:tab w:val="left" w:pos="9072"/>
        </w:tabs>
        <w:spacing w:before="120"/>
        <w:ind w:left="284" w:right="140"/>
      </w:pPr>
      <w:r w:rsidRPr="005B6722">
        <w:t xml:space="preserve">The introduction of microbial genomics in the Australian </w:t>
      </w:r>
      <w:r w:rsidR="00C238DE" w:rsidRPr="005B6722">
        <w:t xml:space="preserve">public health </w:t>
      </w:r>
      <w:r w:rsidRPr="005B6722">
        <w:t>laboratory and public health sector</w:t>
      </w:r>
      <w:r w:rsidR="00107899" w:rsidRPr="005B6722">
        <w:t xml:space="preserve"> more broadly</w:t>
      </w:r>
      <w:r w:rsidRPr="005B6722">
        <w:t xml:space="preserve"> presents a major workforce development challenge. There is a clear need to upskill the existing workforce through increasing capacity and capability in microbial genomics technolog</w:t>
      </w:r>
      <w:r w:rsidR="00EC59A7" w:rsidRPr="005B6722">
        <w:t>ies,</w:t>
      </w:r>
      <w:r w:rsidRPr="005B6722">
        <w:t xml:space="preserve"> as well as bioinformatics</w:t>
      </w:r>
      <w:r w:rsidR="00A8287C">
        <w:t>.</w:t>
      </w:r>
      <w:r w:rsidRPr="005B6722">
        <w:t xml:space="preserve"> </w:t>
      </w:r>
      <w:r w:rsidR="000B2E96">
        <w:t>This will help b</w:t>
      </w:r>
      <w:r w:rsidRPr="005B6722">
        <w:t xml:space="preserve">uild an appropriately skilled workforce that is literate in </w:t>
      </w:r>
      <w:r w:rsidR="00EC59A7" w:rsidRPr="005B6722">
        <w:t xml:space="preserve">microbial </w:t>
      </w:r>
      <w:r w:rsidRPr="005B6722">
        <w:t xml:space="preserve">genomics </w:t>
      </w:r>
      <w:r w:rsidR="00EC59A7" w:rsidRPr="005B6722">
        <w:t>sequencing</w:t>
      </w:r>
      <w:r w:rsidR="00107899" w:rsidRPr="005B6722">
        <w:t xml:space="preserve"> and analysis</w:t>
      </w:r>
      <w:r w:rsidRPr="005B6722">
        <w:t xml:space="preserve">. </w:t>
      </w:r>
    </w:p>
    <w:p w14:paraId="0801BC88" w14:textId="0BDEA387" w:rsidR="00180FFE" w:rsidRPr="005B6722" w:rsidRDefault="00180FFE" w:rsidP="00180FFE">
      <w:pPr>
        <w:pStyle w:val="BodyText"/>
        <w:tabs>
          <w:tab w:val="left" w:pos="9072"/>
        </w:tabs>
        <w:spacing w:before="120"/>
        <w:ind w:left="284" w:right="140"/>
      </w:pPr>
      <w:r w:rsidRPr="005B6722">
        <w:t xml:space="preserve">Many states and territories are taking action </w:t>
      </w:r>
      <w:proofErr w:type="gramStart"/>
      <w:r w:rsidRPr="005B6722">
        <w:t>to better understand</w:t>
      </w:r>
      <w:proofErr w:type="gramEnd"/>
      <w:r w:rsidRPr="005B6722">
        <w:t xml:space="preserve"> how the workforce </w:t>
      </w:r>
      <w:r w:rsidR="000B2E96">
        <w:t>should</w:t>
      </w:r>
      <w:r w:rsidRPr="005B6722">
        <w:t xml:space="preserve"> evolve to support microbial genomics as an integral part of mainstream laboratory testing. </w:t>
      </w:r>
      <w:r w:rsidR="00410F29">
        <w:t>T</w:t>
      </w:r>
      <w:r w:rsidRPr="005B6722">
        <w:t xml:space="preserve">he majority of these activities </w:t>
      </w:r>
      <w:proofErr w:type="gramStart"/>
      <w:r w:rsidRPr="005B6722">
        <w:t>are</w:t>
      </w:r>
      <w:r w:rsidR="00AA6D2B">
        <w:t xml:space="preserve"> </w:t>
      </w:r>
      <w:r w:rsidR="006F5EA0">
        <w:t xml:space="preserve">currently </w:t>
      </w:r>
      <w:r w:rsidR="00AA6D2B">
        <w:t xml:space="preserve">being </w:t>
      </w:r>
      <w:r w:rsidR="0073238A">
        <w:t>supported</w:t>
      </w:r>
      <w:proofErr w:type="gramEnd"/>
      <w:r w:rsidR="0073238A">
        <w:t xml:space="preserve"> by</w:t>
      </w:r>
      <w:r w:rsidR="00AA6D2B">
        <w:t xml:space="preserve"> existing resources </w:t>
      </w:r>
      <w:r w:rsidRPr="005B6722">
        <w:t>and require sustainable funding to maintain the provision of training, workshops and upskilling</w:t>
      </w:r>
      <w:r w:rsidR="00A8287C">
        <w:t xml:space="preserve">. </w:t>
      </w:r>
      <w:r w:rsidR="00410F29">
        <w:t>This is true i</w:t>
      </w:r>
      <w:r w:rsidR="00A8287C">
        <w:t xml:space="preserve">n </w:t>
      </w:r>
      <w:r w:rsidRPr="005B6722">
        <w:t xml:space="preserve">particular </w:t>
      </w:r>
      <w:r w:rsidR="00410F29">
        <w:t xml:space="preserve">for </w:t>
      </w:r>
      <w:r w:rsidRPr="005B6722">
        <w:t xml:space="preserve">smaller jurisdictions without dedicated microbial genomics resources. </w:t>
      </w:r>
    </w:p>
    <w:p w14:paraId="31B8364F" w14:textId="7734266A" w:rsidR="00633111" w:rsidRPr="005B6722" w:rsidRDefault="009E73E2" w:rsidP="00180FFE">
      <w:pPr>
        <w:pStyle w:val="BodyText"/>
        <w:tabs>
          <w:tab w:val="left" w:pos="9072"/>
        </w:tabs>
        <w:spacing w:before="120"/>
        <w:ind w:left="284" w:right="140"/>
      </w:pPr>
      <w:r>
        <w:t>Health</w:t>
      </w:r>
      <w:r w:rsidR="00180FFE" w:rsidRPr="005B6722">
        <w:t xml:space="preserve"> </w:t>
      </w:r>
      <w:r w:rsidR="00756B3E" w:rsidRPr="005B6722">
        <w:t>continues</w:t>
      </w:r>
      <w:r w:rsidR="00180FFE" w:rsidRPr="005B6722">
        <w:t xml:space="preserve"> to</w:t>
      </w:r>
      <w:r w:rsidR="00756B3E" w:rsidRPr="005B6722">
        <w:t xml:space="preserve"> support</w:t>
      </w:r>
      <w:r w:rsidR="00180FFE" w:rsidRPr="005B6722">
        <w:t xml:space="preserve"> the </w:t>
      </w:r>
      <w:r w:rsidR="00107899" w:rsidRPr="005B6722">
        <w:t>CDGN</w:t>
      </w:r>
      <w:r w:rsidR="00180FFE" w:rsidRPr="005B6722">
        <w:t xml:space="preserve"> to </w:t>
      </w:r>
      <w:r w:rsidR="00C238DE" w:rsidRPr="005B6722">
        <w:t>provide</w:t>
      </w:r>
      <w:r w:rsidR="00180FFE" w:rsidRPr="005B6722">
        <w:t xml:space="preserve"> coordination and bioinformatics support to jurisdictions</w:t>
      </w:r>
      <w:r w:rsidR="00107899" w:rsidRPr="005B6722">
        <w:t xml:space="preserve"> that are developing capability and capacity</w:t>
      </w:r>
      <w:r w:rsidR="00180FFE" w:rsidRPr="005B6722">
        <w:t xml:space="preserve">. </w:t>
      </w:r>
      <w:proofErr w:type="gramStart"/>
      <w:r w:rsidR="00180FFE" w:rsidRPr="005B6722">
        <w:t xml:space="preserve">The network has used this funding to upskill laboratory staff and improve bioinformatics literacy across jurisdictions that do not have dedicated </w:t>
      </w:r>
      <w:proofErr w:type="spellStart"/>
      <w:r w:rsidR="00180FFE" w:rsidRPr="005B6722">
        <w:t>bioinformatician</w:t>
      </w:r>
      <w:r w:rsidR="00EC59A7" w:rsidRPr="005B6722">
        <w:t>s</w:t>
      </w:r>
      <w:proofErr w:type="spellEnd"/>
      <w:r w:rsidR="00180FFE" w:rsidRPr="005B6722">
        <w:t xml:space="preserve"> or bioinformatics </w:t>
      </w:r>
      <w:r w:rsidR="00C238DE" w:rsidRPr="005B6722">
        <w:t>expertise</w:t>
      </w:r>
      <w:r w:rsidR="00180FFE" w:rsidRPr="005B6722">
        <w:t>.</w:t>
      </w:r>
      <w:proofErr w:type="gramEnd"/>
    </w:p>
    <w:p w14:paraId="6E22F8EE" w14:textId="30012A24" w:rsidR="00633111" w:rsidRPr="005B6722" w:rsidRDefault="00756B3E" w:rsidP="005A5D24">
      <w:pPr>
        <w:pStyle w:val="BodyText"/>
        <w:tabs>
          <w:tab w:val="left" w:pos="9072"/>
        </w:tabs>
        <w:spacing w:before="120"/>
        <w:ind w:left="284" w:right="140"/>
      </w:pPr>
      <w:r w:rsidRPr="005B6722">
        <w:t xml:space="preserve">The </w:t>
      </w:r>
      <w:r w:rsidR="00180FFE" w:rsidRPr="005B6722">
        <w:t>Australian Government is also</w:t>
      </w:r>
      <w:r w:rsidR="00107899" w:rsidRPr="005B6722">
        <w:t xml:space="preserve"> in the early stages of</w:t>
      </w:r>
      <w:r w:rsidR="00180FFE" w:rsidRPr="005B6722">
        <w:t xml:space="preserve"> </w:t>
      </w:r>
      <w:r w:rsidR="007E651B" w:rsidRPr="005B6722">
        <w:t>developing</w:t>
      </w:r>
      <w:r w:rsidR="00180FFE" w:rsidRPr="005B6722">
        <w:t xml:space="preserve"> a National Public Health Laboratory Strategy</w:t>
      </w:r>
      <w:r w:rsidR="00452744">
        <w:t xml:space="preserve">. This is </w:t>
      </w:r>
      <w:r w:rsidR="00180FFE" w:rsidRPr="005B6722">
        <w:t>not microbial genomics</w:t>
      </w:r>
      <w:r w:rsidR="00EC59A7" w:rsidRPr="005B6722">
        <w:t>-</w:t>
      </w:r>
      <w:r w:rsidR="00180FFE" w:rsidRPr="005B6722">
        <w:t xml:space="preserve">specific, </w:t>
      </w:r>
      <w:r w:rsidR="0073238A">
        <w:t>however</w:t>
      </w:r>
      <w:r w:rsidR="003F0107">
        <w:t xml:space="preserve"> </w:t>
      </w:r>
      <w:r w:rsidR="00180FFE" w:rsidRPr="005B6722">
        <w:t xml:space="preserve">will assist to </w:t>
      </w:r>
      <w:r w:rsidR="00C238DE" w:rsidRPr="005B6722">
        <w:t xml:space="preserve">determine </w:t>
      </w:r>
      <w:r w:rsidR="00180FFE" w:rsidRPr="005B6722">
        <w:t xml:space="preserve">workforce needs more broadly in the public health laboratory system as a first step </w:t>
      </w:r>
      <w:r w:rsidR="00EC59A7" w:rsidRPr="005B6722">
        <w:t xml:space="preserve">to </w:t>
      </w:r>
      <w:r w:rsidR="00180FFE" w:rsidRPr="005B6722">
        <w:t>understanding gaps and opportunities.</w:t>
      </w:r>
    </w:p>
    <w:p w14:paraId="46ADB0C9" w14:textId="263FDB1A" w:rsidR="00633111" w:rsidRPr="005B6722" w:rsidRDefault="003F0107" w:rsidP="005A5D24">
      <w:pPr>
        <w:pStyle w:val="BodyText"/>
        <w:tabs>
          <w:tab w:val="left" w:pos="9072"/>
        </w:tabs>
        <w:spacing w:before="120"/>
        <w:ind w:left="284" w:right="140"/>
      </w:pPr>
      <w:r>
        <w:t>A</w:t>
      </w:r>
      <w:r w:rsidR="00A8287C">
        <w:t xml:space="preserve"> workforce mapping exercise </w:t>
      </w:r>
      <w:proofErr w:type="gramStart"/>
      <w:r>
        <w:t>is needed</w:t>
      </w:r>
      <w:proofErr w:type="gramEnd"/>
      <w:r>
        <w:t xml:space="preserve"> </w:t>
      </w:r>
      <w:r w:rsidR="00A8287C">
        <w:t xml:space="preserve">to understand the </w:t>
      </w:r>
      <w:r w:rsidR="0073238A">
        <w:t xml:space="preserve">specific gaps that need to be addressed </w:t>
      </w:r>
      <w:r w:rsidR="00A8287C">
        <w:t>t</w:t>
      </w:r>
      <w:r w:rsidR="00180FFE" w:rsidRPr="005B6722">
        <w:t>o improve access</w:t>
      </w:r>
      <w:r w:rsidR="0073238A">
        <w:t xml:space="preserve"> to and build microbial genomics </w:t>
      </w:r>
      <w:r w:rsidR="00107899" w:rsidRPr="005B6722">
        <w:t>capability and capacity</w:t>
      </w:r>
      <w:r w:rsidR="0073238A">
        <w:t xml:space="preserve">. </w:t>
      </w:r>
      <w:r w:rsidR="009E73E2">
        <w:t>Th</w:t>
      </w:r>
      <w:r w:rsidR="00410F29">
        <w:t>e workforce mapping exercise</w:t>
      </w:r>
      <w:r w:rsidR="009E73E2">
        <w:t xml:space="preserve"> </w:t>
      </w:r>
      <w:r w:rsidR="00410F29">
        <w:t>should</w:t>
      </w:r>
      <w:r w:rsidR="009E73E2">
        <w:t xml:space="preserve"> look at</w:t>
      </w:r>
      <w:r w:rsidR="00180FFE" w:rsidRPr="005B6722">
        <w:t xml:space="preserve"> mechanisms</w:t>
      </w:r>
      <w:r w:rsidR="00107899" w:rsidRPr="005B6722">
        <w:t xml:space="preserve"> for </w:t>
      </w:r>
      <w:r w:rsidR="00180FFE" w:rsidRPr="005B6722">
        <w:t>safe, equitable, efficient</w:t>
      </w:r>
      <w:r w:rsidR="00107899" w:rsidRPr="005B6722">
        <w:t xml:space="preserve">, </w:t>
      </w:r>
      <w:r w:rsidR="00180FFE" w:rsidRPr="005B6722">
        <w:t>effective</w:t>
      </w:r>
      <w:r w:rsidR="00107899" w:rsidRPr="005B6722">
        <w:t xml:space="preserve"> and informed </w:t>
      </w:r>
      <w:r w:rsidR="00F13EA9">
        <w:t xml:space="preserve">service </w:t>
      </w:r>
      <w:r w:rsidR="00107899" w:rsidRPr="005B6722">
        <w:t>delivery</w:t>
      </w:r>
      <w:r w:rsidR="00180FFE" w:rsidRPr="005B6722">
        <w:t xml:space="preserve">. There is a pressing need for </w:t>
      </w:r>
      <w:r w:rsidR="00A8287C">
        <w:t>more</w:t>
      </w:r>
      <w:r w:rsidR="00A8287C" w:rsidRPr="005B6722">
        <w:t xml:space="preserve"> </w:t>
      </w:r>
      <w:proofErr w:type="spellStart"/>
      <w:r w:rsidR="00180FFE" w:rsidRPr="005B6722">
        <w:t>bioinformaticians</w:t>
      </w:r>
      <w:proofErr w:type="spellEnd"/>
      <w:r w:rsidR="00180FFE" w:rsidRPr="005B6722">
        <w:t xml:space="preserve">, computer scientists, genomic epidemiologists, translational </w:t>
      </w:r>
      <w:r w:rsidR="00AA6D2B">
        <w:t xml:space="preserve">genomics </w:t>
      </w:r>
      <w:r w:rsidR="00180FFE" w:rsidRPr="005B6722">
        <w:t>researchers,</w:t>
      </w:r>
      <w:r w:rsidR="00AA6D2B">
        <w:t xml:space="preserve"> </w:t>
      </w:r>
      <w:proofErr w:type="gramStart"/>
      <w:r w:rsidR="00AA6D2B">
        <w:t>genomics</w:t>
      </w:r>
      <w:proofErr w:type="gramEnd"/>
      <w:r w:rsidR="00AA6D2B">
        <w:t>-literate</w:t>
      </w:r>
      <w:r w:rsidR="00180FFE" w:rsidRPr="005B6722">
        <w:t xml:space="preserve"> microbiologists and data analysts</w:t>
      </w:r>
      <w:r w:rsidR="00F13EA9">
        <w:t xml:space="preserve">. This </w:t>
      </w:r>
      <w:r>
        <w:t xml:space="preserve">will help </w:t>
      </w:r>
      <w:r w:rsidR="00180FFE" w:rsidRPr="005B6722">
        <w:t>to meet the growing demand for microbial genomics in the public health system.</w:t>
      </w:r>
    </w:p>
    <w:p w14:paraId="7C840D03" w14:textId="77464919" w:rsidR="00180FFE" w:rsidRPr="005B6722" w:rsidRDefault="00180FFE" w:rsidP="005A5D24">
      <w:pPr>
        <w:pStyle w:val="BodyText"/>
        <w:tabs>
          <w:tab w:val="left" w:pos="9072"/>
        </w:tabs>
        <w:spacing w:before="120"/>
        <w:ind w:left="284" w:right="140"/>
      </w:pPr>
      <w:r w:rsidRPr="005B6722">
        <w:t xml:space="preserve">The need for </w:t>
      </w:r>
      <w:r w:rsidR="00107899" w:rsidRPr="005B6722">
        <w:t xml:space="preserve">improved and standardised </w:t>
      </w:r>
      <w:r w:rsidRPr="005B6722">
        <w:t>education</w:t>
      </w:r>
      <w:r w:rsidR="00107899" w:rsidRPr="005B6722">
        <w:t xml:space="preserve"> opportunities that cover</w:t>
      </w:r>
      <w:r w:rsidRPr="005B6722">
        <w:t xml:space="preserve"> microbial genomics for laboratory, clinical</w:t>
      </w:r>
      <w:r w:rsidR="00107899" w:rsidRPr="005B6722">
        <w:t>,</w:t>
      </w:r>
      <w:r w:rsidRPr="005B6722">
        <w:t xml:space="preserve"> public health and government sector staff is widely recognised as being critical to maximising the potential benefits of microbial genomics </w:t>
      </w:r>
      <w:r w:rsidR="00EC59A7" w:rsidRPr="005B6722">
        <w:t>for public health action</w:t>
      </w:r>
      <w:r w:rsidRPr="005B6722">
        <w:t>.</w:t>
      </w:r>
    </w:p>
    <w:p w14:paraId="70F4368E" w14:textId="77777777" w:rsidR="00180FFE" w:rsidRPr="005B6722" w:rsidRDefault="00180FFE" w:rsidP="00180FFE">
      <w:pPr>
        <w:pStyle w:val="BodyText"/>
        <w:spacing w:before="9"/>
        <w:rPr>
          <w:sz w:val="19"/>
        </w:rPr>
      </w:pPr>
    </w:p>
    <w:p w14:paraId="63DDD933" w14:textId="77777777" w:rsidR="00180FFE" w:rsidRPr="005B6722" w:rsidRDefault="00180FFE" w:rsidP="00180FFE">
      <w:pPr>
        <w:rPr>
          <w:b/>
          <w:bCs/>
          <w:i/>
          <w:sz w:val="28"/>
          <w:szCs w:val="28"/>
        </w:rPr>
      </w:pPr>
      <w:bookmarkStart w:id="92" w:name="_bookmark23"/>
      <w:bookmarkEnd w:id="92"/>
      <w:r w:rsidRPr="005B6722">
        <w:br w:type="page"/>
      </w:r>
    </w:p>
    <w:bookmarkStart w:id="93" w:name="_Toc57196976"/>
    <w:p w14:paraId="50E25DDB" w14:textId="525C6983" w:rsidR="00180FFE" w:rsidRPr="005B6722" w:rsidRDefault="00180FFE" w:rsidP="00180FFE">
      <w:pPr>
        <w:pStyle w:val="Heading2"/>
        <w:spacing w:before="44"/>
      </w:pPr>
      <w:r w:rsidRPr="00225618">
        <w:rPr>
          <w:noProof/>
          <w:lang w:bidi="ar-SA"/>
        </w:rPr>
        <w:lastRenderedPageBreak/>
        <mc:AlternateContent>
          <mc:Choice Requires="wps">
            <w:drawing>
              <wp:anchor distT="0" distB="0" distL="114300" distR="114300" simplePos="0" relativeHeight="251659264" behindDoc="1" locked="0" layoutInCell="1" allowOverlap="1" wp14:anchorId="1A651CCA" wp14:editId="5DB42BED">
                <wp:simplePos x="0" y="0"/>
                <wp:positionH relativeFrom="column">
                  <wp:posOffset>-206375</wp:posOffset>
                </wp:positionH>
                <wp:positionV relativeFrom="paragraph">
                  <wp:posOffset>-76200</wp:posOffset>
                </wp:positionV>
                <wp:extent cx="6305550" cy="63150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6305550" cy="6315075"/>
                        </a:xfrm>
                        <a:prstGeom prst="rect">
                          <a:avLst/>
                        </a:prstGeom>
                        <a:solidFill>
                          <a:schemeClr val="accent1">
                            <a:alpha val="15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BD6D6" id="Rectangle 19" o:spid="_x0000_s1026" style="position:absolute;margin-left:-16.25pt;margin-top:-6pt;width:496.5pt;height:49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" fillcolor="#5b9bd5 [3204]" strokecolor="#1f4d78 [1604]">
                <v:fill opacity="9766f"/>
              </v:rect>
            </w:pict>
          </mc:Fallback>
        </mc:AlternateContent>
      </w:r>
      <w:r w:rsidRPr="005B6722">
        <w:t xml:space="preserve">Agreed </w:t>
      </w:r>
      <w:r w:rsidR="00633111">
        <w:t>o</w:t>
      </w:r>
      <w:r w:rsidRPr="005B6722">
        <w:t xml:space="preserve">utcomes and </w:t>
      </w:r>
      <w:r w:rsidR="00633111">
        <w:t>p</w:t>
      </w:r>
      <w:r w:rsidR="00633111" w:rsidRPr="005B6722">
        <w:t xml:space="preserve">riority </w:t>
      </w:r>
      <w:r w:rsidR="00633111">
        <w:t>a</w:t>
      </w:r>
      <w:r w:rsidR="00633111" w:rsidRPr="005B6722">
        <w:t xml:space="preserve">reas </w:t>
      </w:r>
      <w:r w:rsidRPr="005B6722">
        <w:t xml:space="preserve">for </w:t>
      </w:r>
      <w:bookmarkEnd w:id="93"/>
      <w:r w:rsidR="00633111">
        <w:t>a</w:t>
      </w:r>
      <w:r w:rsidR="00633111" w:rsidRPr="005B6722">
        <w:t>ction</w:t>
      </w:r>
    </w:p>
    <w:p w14:paraId="17377CB8" w14:textId="77777777" w:rsidR="00180FFE" w:rsidRPr="008610F1" w:rsidRDefault="00180FFE" w:rsidP="00180FFE">
      <w:pPr>
        <w:pStyle w:val="BodyText"/>
      </w:pPr>
    </w:p>
    <w:p w14:paraId="46B8505F" w14:textId="77777777" w:rsidR="00180FFE" w:rsidRPr="005B6722" w:rsidRDefault="00180FFE" w:rsidP="00180FFE">
      <w:pPr>
        <w:rPr>
          <w:b/>
          <w:sz w:val="24"/>
          <w:szCs w:val="24"/>
        </w:rPr>
      </w:pPr>
      <w:r w:rsidRPr="005B6722">
        <w:rPr>
          <w:b/>
          <w:sz w:val="24"/>
          <w:szCs w:val="24"/>
        </w:rPr>
        <w:t>Outcome 4.1 – Enhanced capacity and capability</w:t>
      </w:r>
    </w:p>
    <w:p w14:paraId="27F028D3" w14:textId="50ADAC36" w:rsidR="00180FFE" w:rsidRPr="005B6722" w:rsidRDefault="00180FFE" w:rsidP="00180FFE">
      <w:pPr>
        <w:pStyle w:val="ListParagraph"/>
        <w:widowControl/>
        <w:numPr>
          <w:ilvl w:val="0"/>
          <w:numId w:val="10"/>
        </w:numPr>
        <w:autoSpaceDE/>
        <w:autoSpaceDN/>
        <w:ind w:left="720"/>
        <w:rPr>
          <w:sz w:val="24"/>
          <w:szCs w:val="24"/>
        </w:rPr>
      </w:pPr>
      <w:r w:rsidRPr="005B6722">
        <w:rPr>
          <w:sz w:val="24"/>
          <w:szCs w:val="24"/>
        </w:rPr>
        <w:t>Assess, foster, establish and maintain national microbial genomics capacity and capability</w:t>
      </w:r>
      <w:r w:rsidR="003F0107">
        <w:rPr>
          <w:sz w:val="24"/>
          <w:szCs w:val="24"/>
        </w:rPr>
        <w:t>.</w:t>
      </w:r>
    </w:p>
    <w:p w14:paraId="435AF819" w14:textId="142A02CB" w:rsidR="00180FFE" w:rsidRPr="005B6722" w:rsidRDefault="00180FFE" w:rsidP="00180FFE">
      <w:pPr>
        <w:pStyle w:val="ListParagraph"/>
        <w:widowControl/>
        <w:numPr>
          <w:ilvl w:val="0"/>
          <w:numId w:val="10"/>
        </w:numPr>
        <w:autoSpaceDE/>
        <w:autoSpaceDN/>
        <w:ind w:left="720"/>
        <w:rPr>
          <w:sz w:val="24"/>
          <w:szCs w:val="24"/>
        </w:rPr>
      </w:pPr>
      <w:r w:rsidRPr="005B6722">
        <w:rPr>
          <w:sz w:val="24"/>
          <w:szCs w:val="24"/>
        </w:rPr>
        <w:t>Ensure equitable access to capability, including high-performance computing infrastructure, for all jurisdictions</w:t>
      </w:r>
      <w:r w:rsidR="003F0107">
        <w:rPr>
          <w:sz w:val="24"/>
          <w:szCs w:val="24"/>
        </w:rPr>
        <w:t>.</w:t>
      </w:r>
    </w:p>
    <w:p w14:paraId="13ECC1EF" w14:textId="35FDA3B7" w:rsidR="00180FFE" w:rsidRPr="005B6722" w:rsidRDefault="00180FFE" w:rsidP="00180FFE">
      <w:pPr>
        <w:pStyle w:val="ListParagraph"/>
        <w:widowControl/>
        <w:numPr>
          <w:ilvl w:val="0"/>
          <w:numId w:val="10"/>
        </w:numPr>
        <w:autoSpaceDE/>
        <w:autoSpaceDN/>
        <w:ind w:left="720"/>
        <w:rPr>
          <w:sz w:val="24"/>
          <w:szCs w:val="24"/>
        </w:rPr>
      </w:pPr>
      <w:r w:rsidRPr="005B6722">
        <w:rPr>
          <w:sz w:val="24"/>
          <w:szCs w:val="24"/>
        </w:rPr>
        <w:t>Develop bioinformatics expertise, noting that this cannot be generalised across organism types</w:t>
      </w:r>
      <w:r w:rsidR="003F0107">
        <w:rPr>
          <w:sz w:val="24"/>
          <w:szCs w:val="24"/>
        </w:rPr>
        <w:t>.</w:t>
      </w:r>
      <w:r w:rsidRPr="005B6722">
        <w:rPr>
          <w:sz w:val="24"/>
          <w:szCs w:val="24"/>
        </w:rPr>
        <w:t xml:space="preserve"> </w:t>
      </w:r>
    </w:p>
    <w:p w14:paraId="7CD8A20C" w14:textId="736E8860" w:rsidR="00180FFE" w:rsidRPr="005B6722" w:rsidRDefault="00180FFE" w:rsidP="00180FFE">
      <w:pPr>
        <w:pStyle w:val="ListParagraph"/>
        <w:widowControl/>
        <w:numPr>
          <w:ilvl w:val="0"/>
          <w:numId w:val="10"/>
        </w:numPr>
        <w:autoSpaceDE/>
        <w:autoSpaceDN/>
        <w:ind w:left="720"/>
        <w:rPr>
          <w:sz w:val="24"/>
          <w:szCs w:val="24"/>
        </w:rPr>
      </w:pPr>
      <w:r w:rsidRPr="005B6722">
        <w:rPr>
          <w:sz w:val="24"/>
          <w:szCs w:val="24"/>
        </w:rPr>
        <w:t>Maintain and build on engagement with private laboratories.</w:t>
      </w:r>
    </w:p>
    <w:p w14:paraId="1DCD975B" w14:textId="77777777" w:rsidR="00180FFE" w:rsidRPr="005B6722" w:rsidRDefault="00180FFE" w:rsidP="00180FFE">
      <w:pPr>
        <w:rPr>
          <w:b/>
          <w:sz w:val="24"/>
          <w:szCs w:val="24"/>
        </w:rPr>
      </w:pPr>
    </w:p>
    <w:p w14:paraId="73342E3C" w14:textId="77777777" w:rsidR="00180FFE" w:rsidRPr="005B6722" w:rsidRDefault="00180FFE" w:rsidP="00180FFE">
      <w:pPr>
        <w:rPr>
          <w:b/>
          <w:sz w:val="24"/>
          <w:szCs w:val="24"/>
        </w:rPr>
      </w:pPr>
      <w:r w:rsidRPr="005B6722">
        <w:rPr>
          <w:b/>
          <w:sz w:val="24"/>
          <w:szCs w:val="24"/>
        </w:rPr>
        <w:t>Outcome 4.2 – Standardised microbial genomics equipment and expertise</w:t>
      </w:r>
    </w:p>
    <w:p w14:paraId="33DEAC22" w14:textId="7A8F4B35" w:rsidR="00180FFE" w:rsidRPr="005B6722" w:rsidRDefault="00180FFE" w:rsidP="00180FFE">
      <w:pPr>
        <w:pStyle w:val="ListParagraph"/>
        <w:widowControl/>
        <w:numPr>
          <w:ilvl w:val="0"/>
          <w:numId w:val="11"/>
        </w:numPr>
        <w:autoSpaceDE/>
        <w:autoSpaceDN/>
        <w:ind w:left="720"/>
        <w:rPr>
          <w:sz w:val="24"/>
          <w:szCs w:val="24"/>
        </w:rPr>
      </w:pPr>
      <w:r w:rsidRPr="005B6722">
        <w:rPr>
          <w:sz w:val="24"/>
          <w:szCs w:val="24"/>
        </w:rPr>
        <w:t>Maintain comparable instrumentation across jurisdictions</w:t>
      </w:r>
      <w:r w:rsidR="003F0107">
        <w:rPr>
          <w:sz w:val="24"/>
          <w:szCs w:val="24"/>
        </w:rPr>
        <w:t>.</w:t>
      </w:r>
    </w:p>
    <w:p w14:paraId="007E6368" w14:textId="664191A3" w:rsidR="00180FFE" w:rsidRPr="005B6722" w:rsidRDefault="00180FFE" w:rsidP="00180FFE">
      <w:pPr>
        <w:pStyle w:val="ListParagraph"/>
        <w:widowControl/>
        <w:numPr>
          <w:ilvl w:val="0"/>
          <w:numId w:val="11"/>
        </w:numPr>
        <w:autoSpaceDE/>
        <w:autoSpaceDN/>
        <w:ind w:left="720"/>
        <w:rPr>
          <w:sz w:val="24"/>
          <w:szCs w:val="24"/>
        </w:rPr>
      </w:pPr>
      <w:r w:rsidRPr="005B6722">
        <w:rPr>
          <w:sz w:val="24"/>
          <w:szCs w:val="24"/>
        </w:rPr>
        <w:t>Maintain comparable levels of expertise across jurisdictions.</w:t>
      </w:r>
    </w:p>
    <w:p w14:paraId="0BB83219" w14:textId="77777777" w:rsidR="00180FFE" w:rsidRPr="005B6722" w:rsidRDefault="00180FFE" w:rsidP="00180FFE">
      <w:pPr>
        <w:rPr>
          <w:b/>
          <w:sz w:val="24"/>
          <w:szCs w:val="24"/>
        </w:rPr>
      </w:pPr>
    </w:p>
    <w:p w14:paraId="3466AE18" w14:textId="77777777" w:rsidR="00180FFE" w:rsidRPr="005B6722" w:rsidRDefault="00180FFE" w:rsidP="00180FFE">
      <w:pPr>
        <w:rPr>
          <w:b/>
          <w:sz w:val="24"/>
          <w:szCs w:val="24"/>
        </w:rPr>
      </w:pPr>
      <w:r w:rsidRPr="005B6722">
        <w:rPr>
          <w:b/>
          <w:sz w:val="24"/>
          <w:szCs w:val="24"/>
        </w:rPr>
        <w:t>Outcome 4.3 – Encourage innovation</w:t>
      </w:r>
    </w:p>
    <w:p w14:paraId="623198DC" w14:textId="763A1E7A" w:rsidR="00180FFE" w:rsidRPr="005B6722" w:rsidRDefault="00180FFE" w:rsidP="00180FFE">
      <w:pPr>
        <w:pStyle w:val="ListParagraph"/>
        <w:widowControl/>
        <w:numPr>
          <w:ilvl w:val="0"/>
          <w:numId w:val="12"/>
        </w:numPr>
        <w:autoSpaceDE/>
        <w:autoSpaceDN/>
        <w:ind w:left="720"/>
        <w:rPr>
          <w:sz w:val="24"/>
          <w:szCs w:val="24"/>
        </w:rPr>
      </w:pPr>
      <w:r w:rsidRPr="005B6722">
        <w:rPr>
          <w:sz w:val="24"/>
          <w:szCs w:val="24"/>
        </w:rPr>
        <w:t xml:space="preserve">Promote national and international collaboration and innovation across laboratories, </w:t>
      </w:r>
      <w:r w:rsidR="00BA3504">
        <w:rPr>
          <w:sz w:val="24"/>
          <w:szCs w:val="24"/>
        </w:rPr>
        <w:t>PHUs</w:t>
      </w:r>
      <w:r w:rsidRPr="005B6722">
        <w:rPr>
          <w:sz w:val="24"/>
          <w:szCs w:val="24"/>
        </w:rPr>
        <w:t xml:space="preserve"> and academia to keep pace with advances in microbial genomics technology, including non-culture based approaches, in future.</w:t>
      </w:r>
    </w:p>
    <w:p w14:paraId="23C212B8" w14:textId="77777777" w:rsidR="00180FFE" w:rsidRPr="005B6722" w:rsidRDefault="00180FFE" w:rsidP="00180FFE">
      <w:pPr>
        <w:rPr>
          <w:b/>
          <w:sz w:val="24"/>
          <w:szCs w:val="24"/>
        </w:rPr>
      </w:pPr>
    </w:p>
    <w:p w14:paraId="6754D018" w14:textId="77777777" w:rsidR="00180FFE" w:rsidRPr="005B6722" w:rsidRDefault="00180FFE" w:rsidP="00180FFE">
      <w:pPr>
        <w:rPr>
          <w:b/>
          <w:sz w:val="24"/>
          <w:szCs w:val="24"/>
        </w:rPr>
      </w:pPr>
      <w:r w:rsidRPr="005B6722">
        <w:rPr>
          <w:b/>
          <w:sz w:val="24"/>
          <w:szCs w:val="24"/>
        </w:rPr>
        <w:t>Outcome 4.4 – Workforce development</w:t>
      </w:r>
    </w:p>
    <w:p w14:paraId="3BC00BD9" w14:textId="01F6DE1D" w:rsidR="00180FFE" w:rsidRPr="005B6722" w:rsidRDefault="00180FFE" w:rsidP="00180FFE">
      <w:pPr>
        <w:pStyle w:val="ListParagraph"/>
        <w:widowControl/>
        <w:numPr>
          <w:ilvl w:val="0"/>
          <w:numId w:val="12"/>
        </w:numPr>
        <w:autoSpaceDE/>
        <w:autoSpaceDN/>
        <w:ind w:left="720"/>
        <w:rPr>
          <w:rFonts w:ascii="Arial" w:hAnsi="Arial" w:cs="Arial"/>
          <w:b/>
          <w:sz w:val="24"/>
          <w:szCs w:val="24"/>
        </w:rPr>
      </w:pPr>
      <w:r w:rsidRPr="005B6722">
        <w:rPr>
          <w:sz w:val="24"/>
          <w:szCs w:val="24"/>
        </w:rPr>
        <w:t>Promote establishment, improvement and maintenance of genomics literacy and related skills in both laboratory and non-laboratory settings (for example, public health clinicians and epidemiologists) through microbial genomics education, training and quality assurance</w:t>
      </w:r>
      <w:r w:rsidR="003F0107">
        <w:rPr>
          <w:sz w:val="24"/>
          <w:szCs w:val="24"/>
        </w:rPr>
        <w:t>.</w:t>
      </w:r>
    </w:p>
    <w:p w14:paraId="51936995" w14:textId="59B3EEC4" w:rsidR="00180FFE" w:rsidRPr="005B6722" w:rsidRDefault="00180FFE" w:rsidP="00180FFE">
      <w:pPr>
        <w:pStyle w:val="ListParagraph"/>
        <w:widowControl/>
        <w:numPr>
          <w:ilvl w:val="0"/>
          <w:numId w:val="12"/>
        </w:numPr>
        <w:autoSpaceDE/>
        <w:autoSpaceDN/>
        <w:ind w:left="720"/>
        <w:rPr>
          <w:rFonts w:ascii="Arial" w:hAnsi="Arial" w:cs="Arial"/>
          <w:b/>
          <w:sz w:val="24"/>
          <w:szCs w:val="24"/>
        </w:rPr>
      </w:pPr>
      <w:r w:rsidRPr="005B6722">
        <w:rPr>
          <w:sz w:val="24"/>
          <w:szCs w:val="24"/>
        </w:rPr>
        <w:t>Promote workforce training strategies and planning to ensure consistent and equal access to upskilling opportunities across jurisdictions and microbiology service providers</w:t>
      </w:r>
      <w:r w:rsidR="003F0107">
        <w:rPr>
          <w:sz w:val="24"/>
          <w:szCs w:val="24"/>
        </w:rPr>
        <w:t>.</w:t>
      </w:r>
    </w:p>
    <w:p w14:paraId="1F466C99" w14:textId="54FD2E11" w:rsidR="00180FFE" w:rsidRPr="005B6722" w:rsidRDefault="00180FFE" w:rsidP="00180FFE">
      <w:pPr>
        <w:pStyle w:val="ListParagraph"/>
        <w:widowControl/>
        <w:numPr>
          <w:ilvl w:val="0"/>
          <w:numId w:val="12"/>
        </w:numPr>
        <w:autoSpaceDE/>
        <w:autoSpaceDN/>
        <w:ind w:left="720"/>
        <w:rPr>
          <w:rFonts w:ascii="Arial" w:hAnsi="Arial" w:cs="Arial"/>
          <w:b/>
          <w:sz w:val="24"/>
          <w:szCs w:val="24"/>
        </w:rPr>
      </w:pPr>
      <w:r w:rsidRPr="005B6722">
        <w:rPr>
          <w:sz w:val="24"/>
          <w:szCs w:val="24"/>
        </w:rPr>
        <w:t>Facilitate collaboration, partnerships and networks between professional colleges and societies to promote and support the sharing of knowledge.</w:t>
      </w:r>
    </w:p>
    <w:p w14:paraId="6BC0D989" w14:textId="77777777" w:rsidR="00180FFE" w:rsidRPr="005B6722" w:rsidRDefault="00180FFE" w:rsidP="00180FFE">
      <w:pPr>
        <w:rPr>
          <w:b/>
          <w:bCs/>
          <w:i/>
          <w:sz w:val="28"/>
          <w:szCs w:val="28"/>
        </w:rPr>
      </w:pPr>
      <w:bookmarkStart w:id="94" w:name="_bookmark24"/>
      <w:bookmarkEnd w:id="94"/>
      <w:r w:rsidRPr="005B6722">
        <w:br w:type="page"/>
      </w:r>
    </w:p>
    <w:p w14:paraId="60664033" w14:textId="77777777" w:rsidR="00180FFE" w:rsidRPr="005B6722" w:rsidRDefault="00180FFE" w:rsidP="00180FFE">
      <w:pPr>
        <w:pStyle w:val="Heading2"/>
        <w:spacing w:before="41" w:after="240"/>
        <w:ind w:left="284"/>
        <w:sectPr w:rsidR="00180FFE" w:rsidRPr="005B6722" w:rsidSect="003557CE">
          <w:pgSz w:w="11910" w:h="16840"/>
          <w:pgMar w:top="1080" w:right="1278" w:bottom="1260" w:left="1420" w:header="756" w:footer="1075" w:gutter="0"/>
          <w:cols w:space="720"/>
        </w:sectPr>
      </w:pPr>
    </w:p>
    <w:p w14:paraId="4DB9BFDD" w14:textId="0D524B2B" w:rsidR="00180FFE" w:rsidRPr="005B6722" w:rsidRDefault="00180FFE" w:rsidP="00180FFE">
      <w:pPr>
        <w:pStyle w:val="Heading2"/>
        <w:spacing w:before="41" w:after="240"/>
        <w:ind w:left="284"/>
      </w:pPr>
      <w:bookmarkStart w:id="95" w:name="_Toc57196977"/>
      <w:r w:rsidRPr="005B6722">
        <w:lastRenderedPageBreak/>
        <w:t xml:space="preserve">Actions – Access and </w:t>
      </w:r>
      <w:r w:rsidR="00633111">
        <w:t>w</w:t>
      </w:r>
      <w:r w:rsidRPr="005B6722">
        <w:t>orkforce</w:t>
      </w:r>
      <w:bookmarkEnd w:id="95"/>
    </w:p>
    <w:tbl>
      <w:tblPr>
        <w:tblStyle w:val="TableGrid"/>
        <w:tblW w:w="5000" w:type="pct"/>
        <w:tblLook w:val="04A0" w:firstRow="1" w:lastRow="0" w:firstColumn="1" w:lastColumn="0" w:noHBand="0" w:noVBand="1"/>
        <w:tblCaption w:val="Actions - Access and workforce"/>
        <w:tblDescription w:val="Lists the activities under Outcome 4, that will work towards establishing microbial whole genomic sequencing capability and capacity; and continue to innovate as the microbial whole genomic sequencing field grows."/>
      </w:tblPr>
      <w:tblGrid>
        <w:gridCol w:w="9089"/>
        <w:gridCol w:w="1379"/>
        <w:gridCol w:w="2156"/>
        <w:gridCol w:w="1866"/>
      </w:tblGrid>
      <w:tr w:rsidR="00180FFE" w:rsidRPr="005B6722" w14:paraId="23FF7429" w14:textId="77777777" w:rsidTr="00752E10">
        <w:trPr>
          <w:tblHeader/>
        </w:trPr>
        <w:tc>
          <w:tcPr>
            <w:tcW w:w="3136" w:type="pct"/>
            <w:shd w:val="clear" w:color="auto" w:fill="9CC2E5" w:themeFill="accent1" w:themeFillTint="99"/>
          </w:tcPr>
          <w:p w14:paraId="6A026B3B" w14:textId="77777777" w:rsidR="00180FFE" w:rsidRPr="00AE059E" w:rsidRDefault="00180FFE" w:rsidP="003557CE">
            <w:pPr>
              <w:rPr>
                <w:rFonts w:ascii="Times New Roman"/>
                <w:sz w:val="26"/>
                <w:lang w:val="en-AU"/>
              </w:rPr>
            </w:pPr>
            <w:r w:rsidRPr="005B6722">
              <w:rPr>
                <w:b/>
                <w:sz w:val="24"/>
              </w:rPr>
              <w:t>National Action</w:t>
            </w:r>
          </w:p>
        </w:tc>
        <w:tc>
          <w:tcPr>
            <w:tcW w:w="476" w:type="pct"/>
            <w:shd w:val="clear" w:color="auto" w:fill="9CC2E5" w:themeFill="accent1" w:themeFillTint="99"/>
          </w:tcPr>
          <w:p w14:paraId="79D8B07D" w14:textId="77777777" w:rsidR="00180FFE" w:rsidRPr="00AE059E" w:rsidRDefault="00180FFE" w:rsidP="003557CE">
            <w:pPr>
              <w:rPr>
                <w:rFonts w:ascii="Times New Roman"/>
                <w:sz w:val="26"/>
                <w:lang w:val="en-AU"/>
              </w:rPr>
            </w:pPr>
            <w:r w:rsidRPr="005B6722">
              <w:rPr>
                <w:b/>
                <w:sz w:val="24"/>
              </w:rPr>
              <w:t>Timeframe</w:t>
            </w:r>
          </w:p>
        </w:tc>
        <w:tc>
          <w:tcPr>
            <w:tcW w:w="744" w:type="pct"/>
            <w:shd w:val="clear" w:color="auto" w:fill="9CC2E5" w:themeFill="accent1" w:themeFillTint="99"/>
          </w:tcPr>
          <w:p w14:paraId="08F7A77F" w14:textId="77777777" w:rsidR="00180FFE" w:rsidRPr="00AE059E" w:rsidRDefault="00180FFE" w:rsidP="003557CE">
            <w:pPr>
              <w:rPr>
                <w:rFonts w:ascii="Times New Roman"/>
                <w:sz w:val="26"/>
                <w:lang w:val="en-AU"/>
              </w:rPr>
            </w:pPr>
            <w:r w:rsidRPr="005B6722">
              <w:rPr>
                <w:b/>
                <w:sz w:val="24"/>
              </w:rPr>
              <w:t>Lead Responsibility</w:t>
            </w:r>
          </w:p>
        </w:tc>
        <w:tc>
          <w:tcPr>
            <w:tcW w:w="644" w:type="pct"/>
            <w:shd w:val="clear" w:color="auto" w:fill="9CC2E5" w:themeFill="accent1" w:themeFillTint="99"/>
          </w:tcPr>
          <w:p w14:paraId="1FE15ED2" w14:textId="77777777" w:rsidR="00180FFE" w:rsidRPr="00AE059E" w:rsidRDefault="00180FFE" w:rsidP="003557CE">
            <w:pPr>
              <w:rPr>
                <w:b/>
                <w:sz w:val="24"/>
                <w:lang w:val="en-AU"/>
              </w:rPr>
            </w:pPr>
            <w:r w:rsidRPr="005B6722">
              <w:rPr>
                <w:b/>
                <w:sz w:val="24"/>
              </w:rPr>
              <w:t>Priority</w:t>
            </w:r>
          </w:p>
        </w:tc>
      </w:tr>
      <w:tr w:rsidR="00180FFE" w:rsidRPr="005B6722" w14:paraId="26254F95" w14:textId="77777777" w:rsidTr="003557CE">
        <w:tc>
          <w:tcPr>
            <w:tcW w:w="5000" w:type="pct"/>
            <w:gridSpan w:val="4"/>
            <w:shd w:val="clear" w:color="auto" w:fill="DEEAF6" w:themeFill="accent1" w:themeFillTint="33"/>
          </w:tcPr>
          <w:p w14:paraId="1A180284" w14:textId="77777777" w:rsidR="00180FFE" w:rsidRPr="00AE059E" w:rsidRDefault="00180FFE" w:rsidP="003557CE">
            <w:pPr>
              <w:rPr>
                <w:b/>
                <w:bCs/>
                <w:lang w:val="en-AU"/>
              </w:rPr>
            </w:pPr>
            <w:r w:rsidRPr="005B6722">
              <w:rPr>
                <w:b/>
                <w:bCs/>
                <w:sz w:val="24"/>
                <w:szCs w:val="24"/>
              </w:rPr>
              <w:t>Outcome 4.1 – Enhanced capacity and capability</w:t>
            </w:r>
          </w:p>
        </w:tc>
      </w:tr>
      <w:tr w:rsidR="00180FFE" w:rsidRPr="005B6722" w14:paraId="74F1A64C" w14:textId="77777777" w:rsidTr="003557CE">
        <w:tc>
          <w:tcPr>
            <w:tcW w:w="3136" w:type="pct"/>
          </w:tcPr>
          <w:p w14:paraId="006AC181" w14:textId="08BB3A3C" w:rsidR="00180FFE" w:rsidRPr="00AE059E" w:rsidRDefault="000B7178" w:rsidP="003557CE">
            <w:pPr>
              <w:rPr>
                <w:sz w:val="24"/>
                <w:szCs w:val="24"/>
                <w:lang w:val="en-AU"/>
              </w:rPr>
            </w:pPr>
            <w:r w:rsidRPr="005B6722">
              <w:rPr>
                <w:sz w:val="24"/>
                <w:szCs w:val="24"/>
              </w:rPr>
              <w:t xml:space="preserve">4.1.1 </w:t>
            </w:r>
            <w:r w:rsidR="00180FFE" w:rsidRPr="005B6722">
              <w:rPr>
                <w:sz w:val="24"/>
                <w:szCs w:val="24"/>
              </w:rPr>
              <w:t xml:space="preserve">Build a skilled and literate national </w:t>
            </w:r>
            <w:r w:rsidR="0018756F" w:rsidRPr="005B6722">
              <w:rPr>
                <w:sz w:val="24"/>
                <w:szCs w:val="24"/>
              </w:rPr>
              <w:t xml:space="preserve">public health </w:t>
            </w:r>
            <w:r w:rsidR="00180FFE" w:rsidRPr="005B6722">
              <w:rPr>
                <w:sz w:val="24"/>
                <w:szCs w:val="24"/>
              </w:rPr>
              <w:t xml:space="preserve">microbial genomics workforce through development of workforce strategies and planning. </w:t>
            </w:r>
          </w:p>
        </w:tc>
        <w:tc>
          <w:tcPr>
            <w:tcW w:w="476" w:type="pct"/>
          </w:tcPr>
          <w:p w14:paraId="1A8E1216"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Long</w:t>
            </w:r>
          </w:p>
        </w:tc>
        <w:tc>
          <w:tcPr>
            <w:tcW w:w="744" w:type="pct"/>
          </w:tcPr>
          <w:p w14:paraId="57588D84"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CDGN, PHLN, CDNA, Health</w:t>
            </w:r>
          </w:p>
        </w:tc>
        <w:tc>
          <w:tcPr>
            <w:tcW w:w="644" w:type="pct"/>
          </w:tcPr>
          <w:p w14:paraId="7B39D6C8"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r>
      <w:tr w:rsidR="00180FFE" w:rsidRPr="005B6722" w14:paraId="47807530" w14:textId="77777777" w:rsidTr="003557CE">
        <w:tc>
          <w:tcPr>
            <w:tcW w:w="3136" w:type="pct"/>
          </w:tcPr>
          <w:p w14:paraId="7585A452" w14:textId="3FB0FA95" w:rsidR="00180FFE" w:rsidRPr="00AE059E" w:rsidRDefault="000B7178" w:rsidP="003557CE">
            <w:pPr>
              <w:rPr>
                <w:sz w:val="24"/>
                <w:szCs w:val="24"/>
                <w:lang w:val="en-AU"/>
              </w:rPr>
            </w:pPr>
            <w:r w:rsidRPr="005B6722">
              <w:rPr>
                <w:sz w:val="24"/>
                <w:szCs w:val="24"/>
              </w:rPr>
              <w:t xml:space="preserve">4.1.2 </w:t>
            </w:r>
            <w:r w:rsidR="00180FFE" w:rsidRPr="005B6722">
              <w:rPr>
                <w:sz w:val="24"/>
                <w:szCs w:val="24"/>
              </w:rPr>
              <w:t>Improve the microbial genomics literacy and capability of the health workforce</w:t>
            </w:r>
            <w:r w:rsidR="00D30BE3">
              <w:rPr>
                <w:sz w:val="24"/>
                <w:szCs w:val="24"/>
              </w:rPr>
              <w:t>. Do this</w:t>
            </w:r>
            <w:r w:rsidR="00180FFE" w:rsidRPr="005B6722">
              <w:rPr>
                <w:sz w:val="24"/>
                <w:szCs w:val="24"/>
              </w:rPr>
              <w:t xml:space="preserve"> through the development, delivery and ongoing maintenance of appropriate microbial genomics education, training and skills.</w:t>
            </w:r>
          </w:p>
        </w:tc>
        <w:tc>
          <w:tcPr>
            <w:tcW w:w="476" w:type="pct"/>
          </w:tcPr>
          <w:p w14:paraId="22FDE197" w14:textId="77777777" w:rsidR="00180FFE" w:rsidRPr="00AE059E" w:rsidRDefault="00180FFE" w:rsidP="003557CE">
            <w:pPr>
              <w:rPr>
                <w:sz w:val="24"/>
                <w:szCs w:val="24"/>
                <w:lang w:val="en-AU"/>
              </w:rPr>
            </w:pPr>
            <w:r w:rsidRPr="005B6722">
              <w:rPr>
                <w:sz w:val="24"/>
                <w:szCs w:val="24"/>
              </w:rPr>
              <w:t>Medium</w:t>
            </w:r>
          </w:p>
        </w:tc>
        <w:tc>
          <w:tcPr>
            <w:tcW w:w="744" w:type="pct"/>
          </w:tcPr>
          <w:p w14:paraId="00C424D1" w14:textId="7B4FFC9E" w:rsidR="00180FFE" w:rsidRPr="00AE059E" w:rsidRDefault="00180FFE" w:rsidP="003557CE">
            <w:pPr>
              <w:rPr>
                <w:sz w:val="24"/>
                <w:szCs w:val="24"/>
                <w:lang w:val="en-AU"/>
              </w:rPr>
            </w:pPr>
            <w:r w:rsidRPr="005B6722">
              <w:rPr>
                <w:sz w:val="24"/>
                <w:szCs w:val="24"/>
              </w:rPr>
              <w:t>CDGN,</w:t>
            </w:r>
            <w:r w:rsidR="000B7178" w:rsidRPr="005B6722">
              <w:rPr>
                <w:sz w:val="24"/>
                <w:szCs w:val="24"/>
              </w:rPr>
              <w:t xml:space="preserve"> PHLN, CDNA,</w:t>
            </w:r>
            <w:r w:rsidRPr="005B6722">
              <w:rPr>
                <w:sz w:val="24"/>
                <w:szCs w:val="24"/>
              </w:rPr>
              <w:t xml:space="preserve"> Relevant Training Providers</w:t>
            </w:r>
            <w:r w:rsidR="000B7178" w:rsidRPr="005B6722">
              <w:rPr>
                <w:sz w:val="24"/>
                <w:szCs w:val="24"/>
              </w:rPr>
              <w:t xml:space="preserve"> and Institutions</w:t>
            </w:r>
          </w:p>
        </w:tc>
        <w:tc>
          <w:tcPr>
            <w:tcW w:w="644" w:type="pct"/>
          </w:tcPr>
          <w:p w14:paraId="7FC519EC"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r>
      <w:tr w:rsidR="00180FFE" w:rsidRPr="005B6722" w14:paraId="722CDA94" w14:textId="77777777" w:rsidTr="003557CE">
        <w:tc>
          <w:tcPr>
            <w:tcW w:w="3136" w:type="pct"/>
          </w:tcPr>
          <w:p w14:paraId="261C7A98" w14:textId="7B649724" w:rsidR="00180FFE" w:rsidRPr="00AE059E" w:rsidRDefault="000B7178" w:rsidP="00734D33">
            <w:pPr>
              <w:rPr>
                <w:sz w:val="24"/>
                <w:szCs w:val="24"/>
                <w:lang w:val="en-AU"/>
              </w:rPr>
            </w:pPr>
            <w:r w:rsidRPr="005B6722">
              <w:rPr>
                <w:sz w:val="24"/>
                <w:szCs w:val="24"/>
              </w:rPr>
              <w:t xml:space="preserve">4.1.3 </w:t>
            </w:r>
            <w:r w:rsidR="00180FFE" w:rsidRPr="005B6722">
              <w:rPr>
                <w:sz w:val="24"/>
                <w:szCs w:val="24"/>
              </w:rPr>
              <w:t xml:space="preserve">Assess what bioinformatics support and analytical approaches </w:t>
            </w:r>
            <w:r w:rsidR="00D30BE3">
              <w:rPr>
                <w:sz w:val="24"/>
                <w:szCs w:val="24"/>
              </w:rPr>
              <w:t xml:space="preserve">public and private laboratories </w:t>
            </w:r>
            <w:r w:rsidR="00180FFE" w:rsidRPr="005B6722">
              <w:rPr>
                <w:sz w:val="24"/>
                <w:szCs w:val="24"/>
              </w:rPr>
              <w:t xml:space="preserve">need </w:t>
            </w:r>
            <w:r w:rsidR="00F62680">
              <w:rPr>
                <w:sz w:val="24"/>
                <w:szCs w:val="24"/>
              </w:rPr>
              <w:t>(including</w:t>
            </w:r>
            <w:r w:rsidR="006F5EA0">
              <w:rPr>
                <w:sz w:val="24"/>
                <w:szCs w:val="24"/>
              </w:rPr>
              <w:t xml:space="preserve"> </w:t>
            </w:r>
            <w:r w:rsidR="00F62680">
              <w:rPr>
                <w:sz w:val="24"/>
                <w:szCs w:val="24"/>
              </w:rPr>
              <w:t xml:space="preserve">public </w:t>
            </w:r>
            <w:r w:rsidR="006F5EA0">
              <w:rPr>
                <w:sz w:val="24"/>
                <w:szCs w:val="24"/>
              </w:rPr>
              <w:t>hospital laboratories</w:t>
            </w:r>
            <w:r w:rsidR="00F62680">
              <w:rPr>
                <w:sz w:val="24"/>
                <w:szCs w:val="24"/>
              </w:rPr>
              <w:t xml:space="preserve">) </w:t>
            </w:r>
            <w:r w:rsidR="00BA34C4">
              <w:rPr>
                <w:sz w:val="24"/>
                <w:szCs w:val="24"/>
              </w:rPr>
              <w:t xml:space="preserve">across </w:t>
            </w:r>
            <w:r w:rsidR="00180FFE" w:rsidRPr="005B6722">
              <w:rPr>
                <w:sz w:val="24"/>
                <w:szCs w:val="24"/>
              </w:rPr>
              <w:t>jurisdictions</w:t>
            </w:r>
            <w:r w:rsidR="009E73E2">
              <w:rPr>
                <w:sz w:val="24"/>
                <w:szCs w:val="24"/>
              </w:rPr>
              <w:t>. This will</w:t>
            </w:r>
            <w:r w:rsidR="00180FFE" w:rsidRPr="005B6722">
              <w:rPr>
                <w:sz w:val="24"/>
                <w:szCs w:val="24"/>
              </w:rPr>
              <w:t xml:space="preserve"> </w:t>
            </w:r>
            <w:r w:rsidR="00734D33">
              <w:rPr>
                <w:sz w:val="24"/>
                <w:szCs w:val="24"/>
              </w:rPr>
              <w:t>assist to</w:t>
            </w:r>
            <w:r w:rsidR="00410F29">
              <w:rPr>
                <w:sz w:val="24"/>
                <w:szCs w:val="24"/>
              </w:rPr>
              <w:t xml:space="preserve"> </w:t>
            </w:r>
            <w:r w:rsidR="00734D33">
              <w:rPr>
                <w:sz w:val="24"/>
                <w:szCs w:val="24"/>
              </w:rPr>
              <w:t xml:space="preserve">find </w:t>
            </w:r>
            <w:r w:rsidR="00D30BE3">
              <w:rPr>
                <w:sz w:val="24"/>
                <w:szCs w:val="24"/>
              </w:rPr>
              <w:t xml:space="preserve">improvement </w:t>
            </w:r>
            <w:r w:rsidR="00180FFE" w:rsidRPr="005B6722">
              <w:rPr>
                <w:sz w:val="24"/>
                <w:szCs w:val="24"/>
              </w:rPr>
              <w:t>opportunities</w:t>
            </w:r>
            <w:r w:rsidR="00734D33">
              <w:rPr>
                <w:sz w:val="24"/>
                <w:szCs w:val="24"/>
              </w:rPr>
              <w:t xml:space="preserve"> that may</w:t>
            </w:r>
            <w:r w:rsidR="00601C84">
              <w:rPr>
                <w:sz w:val="24"/>
                <w:szCs w:val="24"/>
              </w:rPr>
              <w:t xml:space="preserve"> benefit from </w:t>
            </w:r>
            <w:r w:rsidR="00180FFE" w:rsidRPr="005B6722">
              <w:rPr>
                <w:sz w:val="24"/>
                <w:szCs w:val="24"/>
              </w:rPr>
              <w:t>national coordination.</w:t>
            </w:r>
          </w:p>
        </w:tc>
        <w:tc>
          <w:tcPr>
            <w:tcW w:w="476" w:type="pct"/>
          </w:tcPr>
          <w:p w14:paraId="2D97EFFD" w14:textId="77777777" w:rsidR="00180FFE" w:rsidRPr="00AE059E" w:rsidRDefault="00180FFE" w:rsidP="003557CE">
            <w:pPr>
              <w:rPr>
                <w:sz w:val="24"/>
                <w:szCs w:val="24"/>
                <w:lang w:val="en-AU"/>
              </w:rPr>
            </w:pPr>
            <w:r w:rsidRPr="005B6722">
              <w:rPr>
                <w:sz w:val="24"/>
                <w:szCs w:val="24"/>
              </w:rPr>
              <w:t>Short</w:t>
            </w:r>
          </w:p>
        </w:tc>
        <w:tc>
          <w:tcPr>
            <w:tcW w:w="744" w:type="pct"/>
          </w:tcPr>
          <w:p w14:paraId="38DE7D6D" w14:textId="77777777" w:rsidR="00180FFE" w:rsidRPr="00AE059E" w:rsidRDefault="00180FFE" w:rsidP="003557CE">
            <w:pPr>
              <w:rPr>
                <w:sz w:val="24"/>
                <w:szCs w:val="24"/>
                <w:lang w:val="en-AU"/>
              </w:rPr>
            </w:pPr>
            <w:r w:rsidRPr="005B6722">
              <w:rPr>
                <w:sz w:val="24"/>
                <w:szCs w:val="24"/>
              </w:rPr>
              <w:t>CDGN</w:t>
            </w:r>
          </w:p>
        </w:tc>
        <w:tc>
          <w:tcPr>
            <w:tcW w:w="644" w:type="pct"/>
          </w:tcPr>
          <w:p w14:paraId="4A7E8122" w14:textId="77777777" w:rsidR="00180FFE" w:rsidRPr="00AE059E" w:rsidRDefault="00180FFE" w:rsidP="003557CE">
            <w:pPr>
              <w:rPr>
                <w:sz w:val="24"/>
                <w:szCs w:val="24"/>
                <w:lang w:val="en-AU"/>
              </w:rPr>
            </w:pPr>
            <w:r w:rsidRPr="005B6722">
              <w:rPr>
                <w:sz w:val="24"/>
                <w:szCs w:val="24"/>
              </w:rPr>
              <w:t>High</w:t>
            </w:r>
          </w:p>
        </w:tc>
      </w:tr>
      <w:tr w:rsidR="00180FFE" w:rsidRPr="005B6722" w14:paraId="145846E1" w14:textId="77777777" w:rsidTr="003557CE">
        <w:tc>
          <w:tcPr>
            <w:tcW w:w="5000" w:type="pct"/>
            <w:gridSpan w:val="4"/>
            <w:shd w:val="clear" w:color="auto" w:fill="DEEAF6" w:themeFill="accent1" w:themeFillTint="33"/>
          </w:tcPr>
          <w:p w14:paraId="3DCA48D1" w14:textId="77777777" w:rsidR="00180FFE" w:rsidRPr="00AE059E" w:rsidRDefault="00180FFE" w:rsidP="003557CE">
            <w:pPr>
              <w:rPr>
                <w:b/>
                <w:bCs/>
                <w:sz w:val="24"/>
                <w:szCs w:val="24"/>
                <w:lang w:val="en-AU"/>
              </w:rPr>
            </w:pPr>
            <w:r w:rsidRPr="005B6722">
              <w:rPr>
                <w:b/>
                <w:bCs/>
                <w:sz w:val="24"/>
                <w:szCs w:val="24"/>
              </w:rPr>
              <w:t xml:space="preserve">Outcome 4.2 – </w:t>
            </w:r>
            <w:proofErr w:type="spellStart"/>
            <w:r w:rsidRPr="005B6722">
              <w:rPr>
                <w:b/>
                <w:bCs/>
                <w:sz w:val="24"/>
                <w:szCs w:val="24"/>
              </w:rPr>
              <w:t>Standardised</w:t>
            </w:r>
            <w:proofErr w:type="spellEnd"/>
            <w:r w:rsidRPr="005B6722">
              <w:rPr>
                <w:b/>
                <w:bCs/>
                <w:sz w:val="24"/>
                <w:szCs w:val="24"/>
              </w:rPr>
              <w:t xml:space="preserve"> microbial genomics equipment and expertise</w:t>
            </w:r>
          </w:p>
        </w:tc>
      </w:tr>
      <w:tr w:rsidR="00180FFE" w:rsidRPr="005B6722" w14:paraId="1F287D8D" w14:textId="77777777" w:rsidTr="003557CE">
        <w:tc>
          <w:tcPr>
            <w:tcW w:w="3136" w:type="pct"/>
          </w:tcPr>
          <w:p w14:paraId="19A3EE1F" w14:textId="00CA1026" w:rsidR="00180FFE" w:rsidRPr="00AE059E" w:rsidRDefault="003149F8" w:rsidP="00410F29">
            <w:pPr>
              <w:rPr>
                <w:sz w:val="24"/>
                <w:szCs w:val="24"/>
                <w:lang w:val="en-AU"/>
              </w:rPr>
            </w:pPr>
            <w:r w:rsidRPr="005B6722">
              <w:rPr>
                <w:sz w:val="24"/>
                <w:szCs w:val="24"/>
              </w:rPr>
              <w:t xml:space="preserve">4.2.1 </w:t>
            </w:r>
            <w:r w:rsidR="00180FFE" w:rsidRPr="005B6722">
              <w:rPr>
                <w:sz w:val="24"/>
                <w:szCs w:val="24"/>
              </w:rPr>
              <w:t>Identify barriers to equity of access for laboratories and develop a national approach to address these</w:t>
            </w:r>
            <w:r w:rsidR="00D30BE3">
              <w:rPr>
                <w:sz w:val="24"/>
                <w:szCs w:val="24"/>
              </w:rPr>
              <w:t>.</w:t>
            </w:r>
            <w:r w:rsidR="00180FFE" w:rsidRPr="005B6722">
              <w:rPr>
                <w:sz w:val="24"/>
                <w:szCs w:val="24"/>
              </w:rPr>
              <w:t xml:space="preserve"> </w:t>
            </w:r>
            <w:r w:rsidR="00410F29">
              <w:rPr>
                <w:sz w:val="24"/>
                <w:szCs w:val="24"/>
              </w:rPr>
              <w:t>A</w:t>
            </w:r>
            <w:r w:rsidR="00180FFE" w:rsidRPr="005B6722">
              <w:rPr>
                <w:sz w:val="24"/>
                <w:szCs w:val="24"/>
              </w:rPr>
              <w:t>ccess is multi-dimensional and includes location, cost, availability and appropriateness.</w:t>
            </w:r>
          </w:p>
        </w:tc>
        <w:tc>
          <w:tcPr>
            <w:tcW w:w="476" w:type="pct"/>
          </w:tcPr>
          <w:p w14:paraId="40F2E092" w14:textId="77777777" w:rsidR="00180FFE" w:rsidRPr="00AE059E" w:rsidRDefault="00180FFE" w:rsidP="003557CE">
            <w:pPr>
              <w:rPr>
                <w:sz w:val="24"/>
                <w:szCs w:val="24"/>
                <w:lang w:val="en-AU"/>
              </w:rPr>
            </w:pPr>
            <w:r w:rsidRPr="005B6722">
              <w:rPr>
                <w:sz w:val="24"/>
                <w:szCs w:val="24"/>
              </w:rPr>
              <w:t>Short</w:t>
            </w:r>
          </w:p>
        </w:tc>
        <w:tc>
          <w:tcPr>
            <w:tcW w:w="744" w:type="pct"/>
          </w:tcPr>
          <w:p w14:paraId="409E1B8D" w14:textId="77777777" w:rsidR="00180FFE" w:rsidRPr="00AE059E" w:rsidRDefault="00180FFE" w:rsidP="003557CE">
            <w:pPr>
              <w:rPr>
                <w:sz w:val="24"/>
                <w:szCs w:val="24"/>
                <w:lang w:val="en-AU"/>
              </w:rPr>
            </w:pPr>
            <w:r w:rsidRPr="005B6722">
              <w:rPr>
                <w:sz w:val="24"/>
                <w:szCs w:val="24"/>
              </w:rPr>
              <w:t>CDGN, PHLN, Health</w:t>
            </w:r>
          </w:p>
        </w:tc>
        <w:tc>
          <w:tcPr>
            <w:tcW w:w="644" w:type="pct"/>
          </w:tcPr>
          <w:p w14:paraId="0C93DA40" w14:textId="77777777" w:rsidR="00180FFE" w:rsidRPr="00AE059E" w:rsidRDefault="00180FFE" w:rsidP="003557CE">
            <w:pPr>
              <w:rPr>
                <w:sz w:val="24"/>
                <w:szCs w:val="24"/>
                <w:lang w:val="en-AU"/>
              </w:rPr>
            </w:pPr>
            <w:r w:rsidRPr="005B6722">
              <w:rPr>
                <w:sz w:val="24"/>
                <w:szCs w:val="24"/>
              </w:rPr>
              <w:t>High</w:t>
            </w:r>
          </w:p>
        </w:tc>
      </w:tr>
      <w:tr w:rsidR="00180FFE" w:rsidRPr="005B6722" w14:paraId="0E40E52D" w14:textId="77777777" w:rsidTr="003557CE">
        <w:tc>
          <w:tcPr>
            <w:tcW w:w="3136" w:type="pct"/>
          </w:tcPr>
          <w:p w14:paraId="6F655BD1" w14:textId="5E6F3B71" w:rsidR="00180FFE" w:rsidRPr="00AE059E" w:rsidRDefault="003149F8" w:rsidP="003149F8">
            <w:pPr>
              <w:rPr>
                <w:sz w:val="24"/>
                <w:szCs w:val="24"/>
                <w:lang w:val="en-AU"/>
              </w:rPr>
            </w:pPr>
            <w:r w:rsidRPr="005B6722">
              <w:rPr>
                <w:sz w:val="24"/>
                <w:szCs w:val="24"/>
              </w:rPr>
              <w:t xml:space="preserve">4.2.2 </w:t>
            </w:r>
            <w:r w:rsidR="00180FFE" w:rsidRPr="005B6722">
              <w:rPr>
                <w:sz w:val="24"/>
                <w:szCs w:val="24"/>
              </w:rPr>
              <w:t xml:space="preserve">Develop a public health bioinformatics platform allowing </w:t>
            </w:r>
            <w:proofErr w:type="spellStart"/>
            <w:r w:rsidR="00180FFE" w:rsidRPr="005B6722">
              <w:rPr>
                <w:sz w:val="24"/>
                <w:szCs w:val="24"/>
              </w:rPr>
              <w:t>standardised</w:t>
            </w:r>
            <w:proofErr w:type="spellEnd"/>
            <w:r w:rsidR="00180FFE" w:rsidRPr="005B6722">
              <w:rPr>
                <w:sz w:val="24"/>
                <w:szCs w:val="24"/>
              </w:rPr>
              <w:t xml:space="preserve"> analyses across </w:t>
            </w:r>
            <w:r w:rsidRPr="005B6722">
              <w:rPr>
                <w:sz w:val="24"/>
                <w:szCs w:val="24"/>
              </w:rPr>
              <w:t>public health sequencing</w:t>
            </w:r>
            <w:r w:rsidR="00180FFE" w:rsidRPr="005B6722">
              <w:rPr>
                <w:sz w:val="24"/>
                <w:szCs w:val="24"/>
              </w:rPr>
              <w:t xml:space="preserve"> laboratories. </w:t>
            </w:r>
          </w:p>
        </w:tc>
        <w:tc>
          <w:tcPr>
            <w:tcW w:w="476" w:type="pct"/>
          </w:tcPr>
          <w:p w14:paraId="1E8059B6" w14:textId="77777777" w:rsidR="00180FFE" w:rsidRPr="00AE059E" w:rsidRDefault="00180FFE" w:rsidP="003557CE">
            <w:pPr>
              <w:rPr>
                <w:sz w:val="24"/>
                <w:szCs w:val="24"/>
                <w:lang w:val="en-AU"/>
              </w:rPr>
            </w:pPr>
            <w:r w:rsidRPr="005B6722">
              <w:rPr>
                <w:sz w:val="24"/>
                <w:szCs w:val="24"/>
              </w:rPr>
              <w:t>Short</w:t>
            </w:r>
          </w:p>
        </w:tc>
        <w:tc>
          <w:tcPr>
            <w:tcW w:w="744" w:type="pct"/>
          </w:tcPr>
          <w:p w14:paraId="3CFE6D77" w14:textId="77777777" w:rsidR="00180FFE" w:rsidRPr="00AE059E" w:rsidRDefault="00180FFE" w:rsidP="003557CE">
            <w:pPr>
              <w:rPr>
                <w:sz w:val="24"/>
                <w:szCs w:val="24"/>
                <w:lang w:val="en-AU"/>
              </w:rPr>
            </w:pPr>
            <w:r w:rsidRPr="005B6722">
              <w:rPr>
                <w:sz w:val="24"/>
                <w:szCs w:val="24"/>
              </w:rPr>
              <w:t>CDGN, MDU PHL</w:t>
            </w:r>
          </w:p>
        </w:tc>
        <w:tc>
          <w:tcPr>
            <w:tcW w:w="644" w:type="pct"/>
          </w:tcPr>
          <w:p w14:paraId="07BA399D" w14:textId="77777777" w:rsidR="00180FFE" w:rsidRPr="00AE059E" w:rsidRDefault="00180FFE" w:rsidP="003557CE">
            <w:pPr>
              <w:rPr>
                <w:sz w:val="24"/>
                <w:szCs w:val="24"/>
                <w:lang w:val="en-AU"/>
              </w:rPr>
            </w:pPr>
            <w:r w:rsidRPr="005B6722">
              <w:rPr>
                <w:sz w:val="24"/>
                <w:szCs w:val="24"/>
              </w:rPr>
              <w:t>High</w:t>
            </w:r>
          </w:p>
        </w:tc>
      </w:tr>
      <w:tr w:rsidR="00180FFE" w:rsidRPr="005B6722" w14:paraId="4647D431" w14:textId="77777777" w:rsidTr="003557CE">
        <w:tc>
          <w:tcPr>
            <w:tcW w:w="3136" w:type="pct"/>
          </w:tcPr>
          <w:p w14:paraId="6AA4981B" w14:textId="3D3BEB79" w:rsidR="00180FFE" w:rsidRPr="00AE059E" w:rsidRDefault="003149F8" w:rsidP="003557CE">
            <w:pPr>
              <w:rPr>
                <w:sz w:val="24"/>
                <w:szCs w:val="24"/>
                <w:lang w:val="en-AU"/>
              </w:rPr>
            </w:pPr>
            <w:r w:rsidRPr="005B6722">
              <w:rPr>
                <w:sz w:val="24"/>
                <w:szCs w:val="24"/>
              </w:rPr>
              <w:t xml:space="preserve">4.2.3 </w:t>
            </w:r>
            <w:r w:rsidR="00180FFE" w:rsidRPr="005B6722">
              <w:rPr>
                <w:sz w:val="24"/>
                <w:szCs w:val="24"/>
              </w:rPr>
              <w:t xml:space="preserve">Develop and maintain guidelines on </w:t>
            </w:r>
            <w:r w:rsidR="0018756F" w:rsidRPr="005B6722">
              <w:rPr>
                <w:sz w:val="24"/>
                <w:szCs w:val="24"/>
              </w:rPr>
              <w:t xml:space="preserve">public health </w:t>
            </w:r>
            <w:r w:rsidR="00180FFE" w:rsidRPr="005B6722">
              <w:rPr>
                <w:sz w:val="24"/>
                <w:szCs w:val="24"/>
              </w:rPr>
              <w:t>microbial genomics testing and research as appropriate and encourage national adoption.</w:t>
            </w:r>
          </w:p>
        </w:tc>
        <w:tc>
          <w:tcPr>
            <w:tcW w:w="476" w:type="pct"/>
          </w:tcPr>
          <w:p w14:paraId="476C3CD1" w14:textId="77777777" w:rsidR="00180FFE" w:rsidRPr="00AE059E" w:rsidRDefault="00180FFE" w:rsidP="003557CE">
            <w:pPr>
              <w:rPr>
                <w:sz w:val="24"/>
                <w:szCs w:val="24"/>
                <w:lang w:val="en-AU"/>
              </w:rPr>
            </w:pPr>
            <w:r w:rsidRPr="005B6722">
              <w:rPr>
                <w:sz w:val="24"/>
                <w:szCs w:val="24"/>
              </w:rPr>
              <w:t>Medium</w:t>
            </w:r>
          </w:p>
        </w:tc>
        <w:tc>
          <w:tcPr>
            <w:tcW w:w="744" w:type="pct"/>
          </w:tcPr>
          <w:p w14:paraId="1E66052E" w14:textId="77777777" w:rsidR="00180FFE" w:rsidRPr="00AE059E" w:rsidRDefault="00180FFE" w:rsidP="003557CE">
            <w:pPr>
              <w:rPr>
                <w:sz w:val="24"/>
                <w:szCs w:val="24"/>
                <w:lang w:val="en-AU"/>
              </w:rPr>
            </w:pPr>
            <w:r w:rsidRPr="005B6722">
              <w:rPr>
                <w:sz w:val="24"/>
                <w:szCs w:val="24"/>
              </w:rPr>
              <w:t>CDGN, PHLN, Health</w:t>
            </w:r>
          </w:p>
        </w:tc>
        <w:tc>
          <w:tcPr>
            <w:tcW w:w="644" w:type="pct"/>
          </w:tcPr>
          <w:p w14:paraId="4AE174BA" w14:textId="77777777" w:rsidR="00180FFE" w:rsidRPr="00AE059E" w:rsidRDefault="00180FFE" w:rsidP="003557CE">
            <w:pPr>
              <w:rPr>
                <w:sz w:val="24"/>
                <w:szCs w:val="24"/>
                <w:lang w:val="en-AU"/>
              </w:rPr>
            </w:pPr>
            <w:r w:rsidRPr="005B6722">
              <w:rPr>
                <w:sz w:val="24"/>
                <w:szCs w:val="24"/>
              </w:rPr>
              <w:t>Medium</w:t>
            </w:r>
          </w:p>
        </w:tc>
      </w:tr>
      <w:tr w:rsidR="00180FFE" w:rsidRPr="005B6722" w14:paraId="11B8E5B9" w14:textId="77777777" w:rsidTr="003557CE">
        <w:tc>
          <w:tcPr>
            <w:tcW w:w="3136" w:type="pct"/>
          </w:tcPr>
          <w:p w14:paraId="4CA446B9" w14:textId="62DA3A4C" w:rsidR="00180FFE" w:rsidRPr="00AE059E" w:rsidRDefault="003149F8" w:rsidP="00410F29">
            <w:pPr>
              <w:rPr>
                <w:sz w:val="24"/>
                <w:szCs w:val="24"/>
                <w:lang w:val="en-AU"/>
              </w:rPr>
            </w:pPr>
            <w:r w:rsidRPr="005B6722">
              <w:rPr>
                <w:sz w:val="24"/>
                <w:szCs w:val="24"/>
              </w:rPr>
              <w:t xml:space="preserve">4.2.4 </w:t>
            </w:r>
            <w:r w:rsidR="00180FFE" w:rsidRPr="005B6722">
              <w:rPr>
                <w:sz w:val="24"/>
                <w:szCs w:val="24"/>
              </w:rPr>
              <w:t xml:space="preserve">Map the </w:t>
            </w:r>
            <w:r w:rsidR="0018756F" w:rsidRPr="005B6722">
              <w:rPr>
                <w:sz w:val="24"/>
                <w:szCs w:val="24"/>
              </w:rPr>
              <w:t xml:space="preserve">public health </w:t>
            </w:r>
            <w:r w:rsidR="00180FFE" w:rsidRPr="005B6722">
              <w:rPr>
                <w:sz w:val="24"/>
                <w:szCs w:val="24"/>
              </w:rPr>
              <w:t>microbial genomics workforce initiatives underway</w:t>
            </w:r>
            <w:r w:rsidR="0018756F" w:rsidRPr="005B6722">
              <w:rPr>
                <w:sz w:val="24"/>
                <w:szCs w:val="24"/>
              </w:rPr>
              <w:t xml:space="preserve">, </w:t>
            </w:r>
            <w:r w:rsidRPr="005B6722">
              <w:rPr>
                <w:sz w:val="24"/>
                <w:szCs w:val="24"/>
              </w:rPr>
              <w:t xml:space="preserve">and </w:t>
            </w:r>
            <w:r w:rsidR="00410F29">
              <w:rPr>
                <w:sz w:val="24"/>
                <w:szCs w:val="24"/>
              </w:rPr>
              <w:t>find</w:t>
            </w:r>
            <w:r w:rsidR="00C17BB7" w:rsidRPr="005B6722">
              <w:rPr>
                <w:sz w:val="24"/>
                <w:szCs w:val="24"/>
              </w:rPr>
              <w:t xml:space="preserve"> </w:t>
            </w:r>
            <w:r w:rsidRPr="005B6722">
              <w:rPr>
                <w:sz w:val="24"/>
                <w:szCs w:val="24"/>
              </w:rPr>
              <w:t>opportunities</w:t>
            </w:r>
            <w:r w:rsidR="00180FFE" w:rsidRPr="005B6722">
              <w:rPr>
                <w:sz w:val="24"/>
                <w:szCs w:val="24"/>
              </w:rPr>
              <w:t xml:space="preserve"> </w:t>
            </w:r>
            <w:proofErr w:type="gramStart"/>
            <w:r w:rsidR="00180FFE" w:rsidRPr="005B6722">
              <w:rPr>
                <w:sz w:val="24"/>
                <w:szCs w:val="24"/>
              </w:rPr>
              <w:t>to further develop</w:t>
            </w:r>
            <w:proofErr w:type="gramEnd"/>
            <w:r w:rsidR="00180FFE" w:rsidRPr="005B6722">
              <w:rPr>
                <w:sz w:val="24"/>
                <w:szCs w:val="24"/>
              </w:rPr>
              <w:t xml:space="preserve"> the necessary capabilities</w:t>
            </w:r>
            <w:r w:rsidR="00D30BE3">
              <w:rPr>
                <w:sz w:val="24"/>
                <w:szCs w:val="24"/>
              </w:rPr>
              <w:t>.</w:t>
            </w:r>
            <w:r w:rsidR="00180FFE" w:rsidRPr="005B6722">
              <w:rPr>
                <w:sz w:val="24"/>
                <w:szCs w:val="24"/>
              </w:rPr>
              <w:t xml:space="preserve"> </w:t>
            </w:r>
            <w:proofErr w:type="gramStart"/>
            <w:r w:rsidR="00D30BE3">
              <w:rPr>
                <w:sz w:val="24"/>
                <w:szCs w:val="24"/>
              </w:rPr>
              <w:t>Also</w:t>
            </w:r>
            <w:proofErr w:type="gramEnd"/>
            <w:r w:rsidR="00D30BE3">
              <w:rPr>
                <w:sz w:val="24"/>
                <w:szCs w:val="24"/>
              </w:rPr>
              <w:t xml:space="preserve"> </w:t>
            </w:r>
            <w:r w:rsidR="00180FFE" w:rsidRPr="005B6722">
              <w:rPr>
                <w:sz w:val="24"/>
                <w:szCs w:val="24"/>
              </w:rPr>
              <w:t xml:space="preserve">consider strategies to support </w:t>
            </w:r>
            <w:r w:rsidRPr="005B6722">
              <w:rPr>
                <w:sz w:val="24"/>
                <w:szCs w:val="24"/>
              </w:rPr>
              <w:t xml:space="preserve">the </w:t>
            </w:r>
            <w:r w:rsidR="00180FFE" w:rsidRPr="005B6722">
              <w:rPr>
                <w:sz w:val="24"/>
                <w:szCs w:val="24"/>
              </w:rPr>
              <w:t>equitable supply and distribution of that workforce.</w:t>
            </w:r>
          </w:p>
        </w:tc>
        <w:tc>
          <w:tcPr>
            <w:tcW w:w="476" w:type="pct"/>
          </w:tcPr>
          <w:p w14:paraId="553A08C3" w14:textId="77777777" w:rsidR="00180FFE" w:rsidRPr="00AE059E" w:rsidRDefault="00180FFE" w:rsidP="003557CE">
            <w:pPr>
              <w:rPr>
                <w:sz w:val="24"/>
                <w:szCs w:val="24"/>
                <w:lang w:val="en-AU"/>
              </w:rPr>
            </w:pPr>
            <w:r w:rsidRPr="005B6722">
              <w:rPr>
                <w:rFonts w:asciiTheme="minorHAnsi" w:hAnsiTheme="minorHAnsi" w:cstheme="minorHAnsi"/>
                <w:sz w:val="24"/>
                <w:szCs w:val="24"/>
              </w:rPr>
              <w:t>Medium</w:t>
            </w:r>
          </w:p>
        </w:tc>
        <w:tc>
          <w:tcPr>
            <w:tcW w:w="744" w:type="pct"/>
          </w:tcPr>
          <w:p w14:paraId="2E6F0DB6" w14:textId="77777777" w:rsidR="00180FFE" w:rsidRPr="00AE059E" w:rsidRDefault="00180FFE" w:rsidP="003557CE">
            <w:pPr>
              <w:rPr>
                <w:sz w:val="24"/>
                <w:szCs w:val="24"/>
                <w:lang w:val="en-AU"/>
              </w:rPr>
            </w:pPr>
            <w:r w:rsidRPr="005B6722">
              <w:rPr>
                <w:rFonts w:asciiTheme="minorHAnsi" w:hAnsiTheme="minorHAnsi" w:cstheme="minorHAnsi"/>
                <w:sz w:val="24"/>
                <w:szCs w:val="24"/>
              </w:rPr>
              <w:t>CDGN</w:t>
            </w:r>
          </w:p>
        </w:tc>
        <w:tc>
          <w:tcPr>
            <w:tcW w:w="644" w:type="pct"/>
          </w:tcPr>
          <w:p w14:paraId="756DD608" w14:textId="77777777" w:rsidR="00180FFE" w:rsidRPr="00AE059E" w:rsidRDefault="00180FFE" w:rsidP="003557CE">
            <w:pPr>
              <w:rPr>
                <w:sz w:val="24"/>
                <w:szCs w:val="24"/>
                <w:lang w:val="en-AU"/>
              </w:rPr>
            </w:pPr>
            <w:r w:rsidRPr="005B6722">
              <w:rPr>
                <w:sz w:val="24"/>
                <w:szCs w:val="24"/>
              </w:rPr>
              <w:t>Medium</w:t>
            </w:r>
          </w:p>
        </w:tc>
      </w:tr>
      <w:tr w:rsidR="00180FFE" w:rsidRPr="005B6722" w14:paraId="40238859" w14:textId="77777777" w:rsidTr="003557CE">
        <w:tc>
          <w:tcPr>
            <w:tcW w:w="5000" w:type="pct"/>
            <w:gridSpan w:val="4"/>
            <w:shd w:val="clear" w:color="auto" w:fill="DEEAF6" w:themeFill="accent1" w:themeFillTint="33"/>
          </w:tcPr>
          <w:p w14:paraId="7D51A493" w14:textId="77777777" w:rsidR="00180FFE" w:rsidRPr="00AE059E" w:rsidRDefault="00180FFE" w:rsidP="003557CE">
            <w:pPr>
              <w:rPr>
                <w:b/>
                <w:bCs/>
                <w:sz w:val="24"/>
                <w:szCs w:val="24"/>
                <w:lang w:val="en-AU"/>
              </w:rPr>
            </w:pPr>
            <w:r w:rsidRPr="005B6722">
              <w:rPr>
                <w:b/>
                <w:bCs/>
                <w:sz w:val="24"/>
                <w:szCs w:val="24"/>
              </w:rPr>
              <w:t>Outcome 4.3 – Encourage innovation</w:t>
            </w:r>
          </w:p>
        </w:tc>
      </w:tr>
      <w:tr w:rsidR="00180FFE" w:rsidRPr="005B6722" w14:paraId="618B5B48" w14:textId="77777777" w:rsidTr="003557CE">
        <w:tc>
          <w:tcPr>
            <w:tcW w:w="3136" w:type="pct"/>
          </w:tcPr>
          <w:p w14:paraId="2E329C5E" w14:textId="79A33DDF" w:rsidR="00180FFE" w:rsidRPr="00AE059E" w:rsidRDefault="003149F8">
            <w:pPr>
              <w:rPr>
                <w:sz w:val="24"/>
                <w:szCs w:val="24"/>
                <w:lang w:val="en-AU"/>
              </w:rPr>
            </w:pPr>
            <w:r w:rsidRPr="005B6722">
              <w:rPr>
                <w:sz w:val="24"/>
                <w:szCs w:val="24"/>
              </w:rPr>
              <w:t xml:space="preserve">4.3.1 </w:t>
            </w:r>
            <w:r w:rsidR="00180FFE" w:rsidRPr="005B6722">
              <w:rPr>
                <w:sz w:val="24"/>
                <w:szCs w:val="24"/>
              </w:rPr>
              <w:t xml:space="preserve">Foster partnerships and stakeholder engagement to </w:t>
            </w:r>
            <w:r w:rsidR="00182100">
              <w:rPr>
                <w:sz w:val="24"/>
                <w:szCs w:val="24"/>
              </w:rPr>
              <w:t>encourage</w:t>
            </w:r>
            <w:r w:rsidR="00182100" w:rsidRPr="005B6722">
              <w:rPr>
                <w:sz w:val="24"/>
                <w:szCs w:val="24"/>
              </w:rPr>
              <w:t xml:space="preserve"> </w:t>
            </w:r>
            <w:r w:rsidR="00180FFE" w:rsidRPr="005B6722">
              <w:rPr>
                <w:sz w:val="24"/>
                <w:szCs w:val="24"/>
              </w:rPr>
              <w:t>innovation in microbial genomics to improve public health outcomes.</w:t>
            </w:r>
          </w:p>
        </w:tc>
        <w:tc>
          <w:tcPr>
            <w:tcW w:w="476" w:type="pct"/>
          </w:tcPr>
          <w:p w14:paraId="66A59A69" w14:textId="77777777" w:rsidR="00180FFE" w:rsidRPr="00AE059E" w:rsidRDefault="00180FFE" w:rsidP="003557CE">
            <w:pPr>
              <w:rPr>
                <w:sz w:val="24"/>
                <w:szCs w:val="24"/>
                <w:lang w:val="en-AU"/>
              </w:rPr>
            </w:pPr>
            <w:r w:rsidRPr="005B6722">
              <w:rPr>
                <w:sz w:val="24"/>
                <w:szCs w:val="24"/>
              </w:rPr>
              <w:t>Medium</w:t>
            </w:r>
          </w:p>
        </w:tc>
        <w:tc>
          <w:tcPr>
            <w:tcW w:w="744" w:type="pct"/>
          </w:tcPr>
          <w:p w14:paraId="7A21AD4B" w14:textId="77777777" w:rsidR="00180FFE" w:rsidRPr="00AE059E" w:rsidRDefault="00180FFE" w:rsidP="003557CE">
            <w:pPr>
              <w:rPr>
                <w:sz w:val="24"/>
                <w:szCs w:val="24"/>
                <w:lang w:val="en-AU"/>
              </w:rPr>
            </w:pPr>
            <w:r w:rsidRPr="005B6722">
              <w:rPr>
                <w:sz w:val="24"/>
                <w:szCs w:val="24"/>
              </w:rPr>
              <w:t xml:space="preserve">CDGN, PHLN, CDNA, Health </w:t>
            </w:r>
          </w:p>
        </w:tc>
        <w:tc>
          <w:tcPr>
            <w:tcW w:w="644" w:type="pct"/>
          </w:tcPr>
          <w:p w14:paraId="79021FD0" w14:textId="77777777" w:rsidR="00180FFE" w:rsidRPr="00AE059E" w:rsidRDefault="00180FFE" w:rsidP="003557CE">
            <w:pPr>
              <w:rPr>
                <w:sz w:val="24"/>
                <w:szCs w:val="24"/>
                <w:lang w:val="en-AU"/>
              </w:rPr>
            </w:pPr>
            <w:r w:rsidRPr="005B6722">
              <w:rPr>
                <w:sz w:val="24"/>
                <w:szCs w:val="24"/>
              </w:rPr>
              <w:t>Medium</w:t>
            </w:r>
          </w:p>
        </w:tc>
      </w:tr>
      <w:tr w:rsidR="00180FFE" w:rsidRPr="005B6722" w14:paraId="1CC65428" w14:textId="77777777" w:rsidTr="003557CE">
        <w:tc>
          <w:tcPr>
            <w:tcW w:w="3136" w:type="pct"/>
          </w:tcPr>
          <w:p w14:paraId="3A39C893" w14:textId="386601AF" w:rsidR="00180FFE" w:rsidRPr="00AE059E" w:rsidRDefault="003149F8">
            <w:pPr>
              <w:rPr>
                <w:sz w:val="24"/>
                <w:szCs w:val="24"/>
                <w:lang w:val="en-AU"/>
              </w:rPr>
            </w:pPr>
            <w:r w:rsidRPr="005B6722">
              <w:rPr>
                <w:sz w:val="24"/>
                <w:szCs w:val="24"/>
              </w:rPr>
              <w:t xml:space="preserve">4.3.2 </w:t>
            </w:r>
            <w:r w:rsidR="00180FFE" w:rsidRPr="005B6722">
              <w:rPr>
                <w:sz w:val="24"/>
                <w:szCs w:val="24"/>
              </w:rPr>
              <w:t xml:space="preserve">Consult with private industry to explore opportunities for partnerships to support development and sustainable application of </w:t>
            </w:r>
            <w:r w:rsidR="0018756F" w:rsidRPr="005B6722">
              <w:rPr>
                <w:sz w:val="24"/>
                <w:szCs w:val="24"/>
              </w:rPr>
              <w:t xml:space="preserve">public health </w:t>
            </w:r>
            <w:r w:rsidR="00180FFE" w:rsidRPr="005B6722">
              <w:rPr>
                <w:sz w:val="24"/>
                <w:szCs w:val="24"/>
              </w:rPr>
              <w:t>microbial genomic knowledge.</w:t>
            </w:r>
          </w:p>
        </w:tc>
        <w:tc>
          <w:tcPr>
            <w:tcW w:w="476" w:type="pct"/>
          </w:tcPr>
          <w:p w14:paraId="55D08D10" w14:textId="77777777" w:rsidR="00180FFE" w:rsidRPr="00AE059E" w:rsidRDefault="00180FFE" w:rsidP="003557CE">
            <w:pPr>
              <w:rPr>
                <w:sz w:val="24"/>
                <w:szCs w:val="24"/>
                <w:lang w:val="en-AU"/>
              </w:rPr>
            </w:pPr>
            <w:r w:rsidRPr="005B6722">
              <w:rPr>
                <w:sz w:val="24"/>
                <w:szCs w:val="24"/>
              </w:rPr>
              <w:t>Medium</w:t>
            </w:r>
          </w:p>
        </w:tc>
        <w:tc>
          <w:tcPr>
            <w:tcW w:w="744" w:type="pct"/>
          </w:tcPr>
          <w:p w14:paraId="3CC07A9A" w14:textId="7EEEB420" w:rsidR="00180FFE" w:rsidRPr="00AE059E" w:rsidRDefault="00180FFE" w:rsidP="003149F8">
            <w:pPr>
              <w:rPr>
                <w:sz w:val="24"/>
                <w:szCs w:val="24"/>
                <w:lang w:val="en-AU"/>
              </w:rPr>
            </w:pPr>
            <w:r w:rsidRPr="005B6722">
              <w:rPr>
                <w:sz w:val="24"/>
                <w:szCs w:val="24"/>
              </w:rPr>
              <w:t>CDGN, PHLN, Health</w:t>
            </w:r>
          </w:p>
        </w:tc>
        <w:tc>
          <w:tcPr>
            <w:tcW w:w="644" w:type="pct"/>
          </w:tcPr>
          <w:p w14:paraId="3F2C2CFA" w14:textId="77777777" w:rsidR="00180FFE" w:rsidRPr="00AE059E" w:rsidRDefault="00180FFE" w:rsidP="003557CE">
            <w:pPr>
              <w:rPr>
                <w:sz w:val="24"/>
                <w:szCs w:val="24"/>
                <w:lang w:val="en-AU"/>
              </w:rPr>
            </w:pPr>
            <w:r w:rsidRPr="005B6722">
              <w:rPr>
                <w:sz w:val="24"/>
                <w:szCs w:val="24"/>
              </w:rPr>
              <w:t>Medium</w:t>
            </w:r>
          </w:p>
        </w:tc>
      </w:tr>
      <w:tr w:rsidR="00180FFE" w:rsidRPr="005B6722" w14:paraId="30AE3466" w14:textId="77777777" w:rsidTr="003557CE">
        <w:tc>
          <w:tcPr>
            <w:tcW w:w="3136" w:type="pct"/>
          </w:tcPr>
          <w:p w14:paraId="66B7DFA1" w14:textId="1323C585" w:rsidR="00180FFE" w:rsidRPr="00AE059E" w:rsidRDefault="003149F8" w:rsidP="00C17BB7">
            <w:pPr>
              <w:rPr>
                <w:sz w:val="24"/>
                <w:szCs w:val="24"/>
                <w:lang w:val="en-AU"/>
              </w:rPr>
            </w:pPr>
            <w:r w:rsidRPr="005B6722">
              <w:rPr>
                <w:sz w:val="24"/>
                <w:szCs w:val="24"/>
              </w:rPr>
              <w:t xml:space="preserve">4.3.3 </w:t>
            </w:r>
            <w:r w:rsidR="00180FFE" w:rsidRPr="005B6722">
              <w:rPr>
                <w:sz w:val="24"/>
                <w:szCs w:val="24"/>
              </w:rPr>
              <w:t xml:space="preserve">Explore the field of metagenomics </w:t>
            </w:r>
            <w:r w:rsidR="0018756F" w:rsidRPr="005B6722">
              <w:rPr>
                <w:sz w:val="24"/>
                <w:szCs w:val="24"/>
              </w:rPr>
              <w:t xml:space="preserve">for </w:t>
            </w:r>
            <w:r w:rsidR="00180FFE" w:rsidRPr="005B6722">
              <w:rPr>
                <w:sz w:val="24"/>
                <w:szCs w:val="24"/>
              </w:rPr>
              <w:t>public health</w:t>
            </w:r>
            <w:r w:rsidR="00C17BB7">
              <w:rPr>
                <w:sz w:val="24"/>
                <w:szCs w:val="24"/>
              </w:rPr>
              <w:t xml:space="preserve">. Harness </w:t>
            </w:r>
            <w:r w:rsidR="00180FFE" w:rsidRPr="005B6722">
              <w:rPr>
                <w:sz w:val="24"/>
                <w:szCs w:val="24"/>
              </w:rPr>
              <w:t xml:space="preserve">its ability to investigate </w:t>
            </w:r>
            <w:r w:rsidR="00180FFE" w:rsidRPr="005B6722">
              <w:rPr>
                <w:sz w:val="24"/>
                <w:szCs w:val="24"/>
              </w:rPr>
              <w:lastRenderedPageBreak/>
              <w:t xml:space="preserve">unidentified </w:t>
            </w:r>
            <w:r w:rsidR="0018756F" w:rsidRPr="005B6722">
              <w:rPr>
                <w:sz w:val="24"/>
                <w:szCs w:val="24"/>
              </w:rPr>
              <w:t xml:space="preserve">pathogens </w:t>
            </w:r>
            <w:r w:rsidR="00180FFE" w:rsidRPr="005B6722">
              <w:rPr>
                <w:sz w:val="24"/>
                <w:szCs w:val="24"/>
              </w:rPr>
              <w:t xml:space="preserve">in clinical isolates or the environment, where standard </w:t>
            </w:r>
            <w:r w:rsidR="0018756F" w:rsidRPr="005B6722">
              <w:rPr>
                <w:sz w:val="24"/>
                <w:szCs w:val="24"/>
              </w:rPr>
              <w:t>laboratory</w:t>
            </w:r>
            <w:r w:rsidR="00180FFE" w:rsidRPr="005B6722">
              <w:rPr>
                <w:sz w:val="24"/>
                <w:szCs w:val="24"/>
              </w:rPr>
              <w:t xml:space="preserve"> practices may fail to detect viruses.</w:t>
            </w:r>
          </w:p>
        </w:tc>
        <w:tc>
          <w:tcPr>
            <w:tcW w:w="476" w:type="pct"/>
          </w:tcPr>
          <w:p w14:paraId="370B1741" w14:textId="77777777" w:rsidR="00180FFE" w:rsidRPr="00AE059E" w:rsidRDefault="00180FFE" w:rsidP="003557CE">
            <w:pPr>
              <w:rPr>
                <w:sz w:val="24"/>
                <w:szCs w:val="24"/>
                <w:lang w:val="en-AU"/>
              </w:rPr>
            </w:pPr>
            <w:r w:rsidRPr="005B6722">
              <w:rPr>
                <w:sz w:val="24"/>
                <w:szCs w:val="24"/>
              </w:rPr>
              <w:lastRenderedPageBreak/>
              <w:t>Long</w:t>
            </w:r>
          </w:p>
        </w:tc>
        <w:tc>
          <w:tcPr>
            <w:tcW w:w="744" w:type="pct"/>
          </w:tcPr>
          <w:p w14:paraId="3F87E471" w14:textId="77777777" w:rsidR="00180FFE" w:rsidRPr="00AE059E" w:rsidRDefault="00180FFE" w:rsidP="003557CE">
            <w:pPr>
              <w:rPr>
                <w:sz w:val="24"/>
                <w:szCs w:val="24"/>
                <w:lang w:val="en-AU"/>
              </w:rPr>
            </w:pPr>
            <w:r w:rsidRPr="005B6722">
              <w:rPr>
                <w:sz w:val="24"/>
                <w:szCs w:val="24"/>
              </w:rPr>
              <w:t>CDGN, PHLN</w:t>
            </w:r>
          </w:p>
        </w:tc>
        <w:tc>
          <w:tcPr>
            <w:tcW w:w="644" w:type="pct"/>
          </w:tcPr>
          <w:p w14:paraId="5B5395FF" w14:textId="77777777" w:rsidR="00180FFE" w:rsidRPr="00AE059E" w:rsidRDefault="00180FFE" w:rsidP="003557CE">
            <w:pPr>
              <w:rPr>
                <w:sz w:val="24"/>
                <w:szCs w:val="24"/>
                <w:lang w:val="en-AU"/>
              </w:rPr>
            </w:pPr>
            <w:r w:rsidRPr="005B6722">
              <w:rPr>
                <w:sz w:val="24"/>
                <w:szCs w:val="24"/>
              </w:rPr>
              <w:t>Low</w:t>
            </w:r>
          </w:p>
        </w:tc>
      </w:tr>
      <w:tr w:rsidR="00180FFE" w:rsidRPr="005B6722" w14:paraId="41E09966" w14:textId="77777777" w:rsidTr="003557CE">
        <w:tc>
          <w:tcPr>
            <w:tcW w:w="5000" w:type="pct"/>
            <w:gridSpan w:val="4"/>
            <w:shd w:val="clear" w:color="auto" w:fill="DEEAF6" w:themeFill="accent1" w:themeFillTint="33"/>
          </w:tcPr>
          <w:p w14:paraId="261D01F3" w14:textId="33E5C7E0" w:rsidR="00180FFE" w:rsidRPr="00AE059E" w:rsidRDefault="00180FFE" w:rsidP="00176920">
            <w:pPr>
              <w:rPr>
                <w:b/>
                <w:bCs/>
                <w:lang w:val="en-AU"/>
              </w:rPr>
            </w:pPr>
            <w:r w:rsidRPr="005B6722">
              <w:rPr>
                <w:b/>
                <w:bCs/>
                <w:sz w:val="24"/>
                <w:szCs w:val="24"/>
              </w:rPr>
              <w:t>Outcome 4.</w:t>
            </w:r>
            <w:r w:rsidR="00176920" w:rsidRPr="005B6722">
              <w:rPr>
                <w:b/>
                <w:bCs/>
                <w:sz w:val="24"/>
                <w:szCs w:val="24"/>
              </w:rPr>
              <w:t>4</w:t>
            </w:r>
            <w:r w:rsidRPr="005B6722">
              <w:rPr>
                <w:b/>
                <w:bCs/>
                <w:sz w:val="24"/>
                <w:szCs w:val="24"/>
              </w:rPr>
              <w:t xml:space="preserve"> – Workforce development</w:t>
            </w:r>
          </w:p>
        </w:tc>
      </w:tr>
      <w:tr w:rsidR="00180FFE" w:rsidRPr="005B6722" w14:paraId="4FE23A6A" w14:textId="77777777" w:rsidTr="003557CE">
        <w:tc>
          <w:tcPr>
            <w:tcW w:w="3136" w:type="pct"/>
          </w:tcPr>
          <w:p w14:paraId="6069BAE4" w14:textId="4DD12279" w:rsidR="00180FFE" w:rsidRPr="00AE059E" w:rsidRDefault="00176920">
            <w:pPr>
              <w:rPr>
                <w:sz w:val="24"/>
                <w:szCs w:val="24"/>
                <w:lang w:val="en-AU"/>
              </w:rPr>
            </w:pPr>
            <w:r w:rsidRPr="005B6722">
              <w:rPr>
                <w:sz w:val="24"/>
                <w:szCs w:val="24"/>
              </w:rPr>
              <w:t xml:space="preserve">4.4.1 </w:t>
            </w:r>
            <w:r w:rsidR="000F680C">
              <w:rPr>
                <w:sz w:val="24"/>
                <w:szCs w:val="24"/>
              </w:rPr>
              <w:t>Involve</w:t>
            </w:r>
            <w:r w:rsidR="00180FFE" w:rsidRPr="005B6722">
              <w:rPr>
                <w:sz w:val="24"/>
                <w:szCs w:val="24"/>
              </w:rPr>
              <w:t xml:space="preserve"> relevant professional bodies and colleges who oversee and inform workforce training to streamline </w:t>
            </w:r>
            <w:r w:rsidR="0018756F" w:rsidRPr="005B6722">
              <w:rPr>
                <w:sz w:val="24"/>
                <w:szCs w:val="24"/>
              </w:rPr>
              <w:t xml:space="preserve">public health </w:t>
            </w:r>
            <w:r w:rsidR="00180FFE" w:rsidRPr="005B6722">
              <w:rPr>
                <w:sz w:val="24"/>
                <w:szCs w:val="24"/>
              </w:rPr>
              <w:t>microbial genomics curricula</w:t>
            </w:r>
            <w:r w:rsidR="000F680C">
              <w:rPr>
                <w:sz w:val="24"/>
                <w:szCs w:val="24"/>
              </w:rPr>
              <w:t>.</w:t>
            </w:r>
            <w:r w:rsidR="00180FFE" w:rsidRPr="005B6722">
              <w:rPr>
                <w:sz w:val="24"/>
                <w:szCs w:val="24"/>
              </w:rPr>
              <w:t xml:space="preserve"> </w:t>
            </w:r>
            <w:r w:rsidR="000F680C">
              <w:rPr>
                <w:sz w:val="24"/>
                <w:szCs w:val="24"/>
              </w:rPr>
              <w:t>E</w:t>
            </w:r>
            <w:r w:rsidR="00180FFE" w:rsidRPr="005B6722">
              <w:rPr>
                <w:sz w:val="24"/>
                <w:szCs w:val="24"/>
              </w:rPr>
              <w:t xml:space="preserve">nsure a consistent approach to teaching and training of </w:t>
            </w:r>
            <w:r w:rsidR="00C755A3" w:rsidRPr="005B6722">
              <w:rPr>
                <w:sz w:val="24"/>
                <w:szCs w:val="24"/>
              </w:rPr>
              <w:t xml:space="preserve">microbial </w:t>
            </w:r>
            <w:r w:rsidR="00E06622" w:rsidRPr="005B6722">
              <w:rPr>
                <w:sz w:val="24"/>
                <w:szCs w:val="24"/>
              </w:rPr>
              <w:t xml:space="preserve">genomic </w:t>
            </w:r>
            <w:r w:rsidR="00180FFE" w:rsidRPr="005B6722">
              <w:rPr>
                <w:sz w:val="24"/>
                <w:szCs w:val="24"/>
              </w:rPr>
              <w:t xml:space="preserve">sequencing </w:t>
            </w:r>
            <w:r w:rsidR="0018756F" w:rsidRPr="005B6722">
              <w:rPr>
                <w:sz w:val="24"/>
                <w:szCs w:val="24"/>
              </w:rPr>
              <w:t xml:space="preserve">for use in </w:t>
            </w:r>
            <w:r w:rsidR="00180FFE" w:rsidRPr="005B6722">
              <w:rPr>
                <w:sz w:val="24"/>
                <w:szCs w:val="24"/>
              </w:rPr>
              <w:t>public health.</w:t>
            </w:r>
          </w:p>
        </w:tc>
        <w:tc>
          <w:tcPr>
            <w:tcW w:w="476" w:type="pct"/>
          </w:tcPr>
          <w:p w14:paraId="533398B0" w14:textId="77777777" w:rsidR="00180FFE" w:rsidRPr="00AE059E" w:rsidRDefault="00180FFE" w:rsidP="003557CE">
            <w:pPr>
              <w:rPr>
                <w:sz w:val="24"/>
                <w:szCs w:val="24"/>
                <w:lang w:val="en-AU"/>
              </w:rPr>
            </w:pPr>
            <w:r w:rsidRPr="005B6722">
              <w:rPr>
                <w:sz w:val="24"/>
                <w:szCs w:val="24"/>
              </w:rPr>
              <w:t>Medium</w:t>
            </w:r>
          </w:p>
        </w:tc>
        <w:tc>
          <w:tcPr>
            <w:tcW w:w="744" w:type="pct"/>
          </w:tcPr>
          <w:p w14:paraId="7D758C4C" w14:textId="77777777" w:rsidR="00180FFE" w:rsidRPr="00AE059E" w:rsidRDefault="00180FFE" w:rsidP="003557CE">
            <w:pPr>
              <w:rPr>
                <w:sz w:val="24"/>
                <w:szCs w:val="24"/>
                <w:lang w:val="en-AU"/>
              </w:rPr>
            </w:pPr>
            <w:r w:rsidRPr="005B6722">
              <w:rPr>
                <w:sz w:val="24"/>
                <w:szCs w:val="24"/>
              </w:rPr>
              <w:t>PHLN, CDNA, Health</w:t>
            </w:r>
          </w:p>
        </w:tc>
        <w:tc>
          <w:tcPr>
            <w:tcW w:w="644" w:type="pct"/>
          </w:tcPr>
          <w:p w14:paraId="21944330" w14:textId="77777777" w:rsidR="00180FFE" w:rsidRPr="00AE059E" w:rsidRDefault="00180FFE" w:rsidP="003557CE">
            <w:pPr>
              <w:rPr>
                <w:lang w:val="en-AU"/>
              </w:rPr>
            </w:pPr>
            <w:r w:rsidRPr="005B6722">
              <w:t>Medium</w:t>
            </w:r>
          </w:p>
        </w:tc>
      </w:tr>
      <w:tr w:rsidR="00180FFE" w:rsidRPr="005B6722" w14:paraId="70DC0A82" w14:textId="77777777" w:rsidTr="003557CE">
        <w:tc>
          <w:tcPr>
            <w:tcW w:w="3136" w:type="pct"/>
          </w:tcPr>
          <w:p w14:paraId="34E7D444" w14:textId="2C761F14" w:rsidR="00180FFE" w:rsidRPr="00AE059E" w:rsidRDefault="00176920" w:rsidP="00C17BB7">
            <w:pPr>
              <w:rPr>
                <w:sz w:val="24"/>
                <w:szCs w:val="24"/>
                <w:lang w:val="en-AU"/>
              </w:rPr>
            </w:pPr>
            <w:r w:rsidRPr="005B6722">
              <w:rPr>
                <w:sz w:val="24"/>
                <w:szCs w:val="24"/>
              </w:rPr>
              <w:t xml:space="preserve">4.4.2 </w:t>
            </w:r>
            <w:r w:rsidR="000F680C">
              <w:rPr>
                <w:sz w:val="24"/>
                <w:szCs w:val="24"/>
              </w:rPr>
              <w:t>Involve</w:t>
            </w:r>
            <w:r w:rsidR="00180FFE" w:rsidRPr="005B6722">
              <w:rPr>
                <w:sz w:val="24"/>
                <w:szCs w:val="24"/>
              </w:rPr>
              <w:t xml:space="preserve"> relevant stakeholders, sectors and subject matter experts to improve genomics health literacy</w:t>
            </w:r>
            <w:r w:rsidR="00C17BB7">
              <w:rPr>
                <w:sz w:val="24"/>
                <w:szCs w:val="24"/>
              </w:rPr>
              <w:t>. S</w:t>
            </w:r>
            <w:r w:rsidR="00180FFE" w:rsidRPr="005B6722">
              <w:rPr>
                <w:sz w:val="24"/>
                <w:szCs w:val="24"/>
              </w:rPr>
              <w:t>hare experiences and lessons learn</w:t>
            </w:r>
            <w:r w:rsidR="00B215FF">
              <w:rPr>
                <w:sz w:val="24"/>
                <w:szCs w:val="24"/>
              </w:rPr>
              <w:t>ed</w:t>
            </w:r>
            <w:r w:rsidR="00180FFE" w:rsidRPr="005B6722">
              <w:rPr>
                <w:sz w:val="24"/>
                <w:szCs w:val="24"/>
              </w:rPr>
              <w:t xml:space="preserve"> and raise awareness of the integration of microbial genomics in</w:t>
            </w:r>
            <w:r w:rsidR="0018756F" w:rsidRPr="005B6722">
              <w:rPr>
                <w:sz w:val="24"/>
                <w:szCs w:val="24"/>
              </w:rPr>
              <w:t>to</w:t>
            </w:r>
            <w:r w:rsidR="00180FFE" w:rsidRPr="005B6722">
              <w:rPr>
                <w:sz w:val="24"/>
                <w:szCs w:val="24"/>
              </w:rPr>
              <w:t xml:space="preserve"> the Australian public health system.</w:t>
            </w:r>
          </w:p>
        </w:tc>
        <w:tc>
          <w:tcPr>
            <w:tcW w:w="476" w:type="pct"/>
          </w:tcPr>
          <w:p w14:paraId="3CC713CA" w14:textId="77777777" w:rsidR="00180FFE" w:rsidRPr="00AE059E" w:rsidRDefault="00180FFE" w:rsidP="003557CE">
            <w:pPr>
              <w:rPr>
                <w:sz w:val="24"/>
                <w:szCs w:val="24"/>
                <w:lang w:val="en-AU"/>
              </w:rPr>
            </w:pPr>
            <w:r w:rsidRPr="005B6722">
              <w:rPr>
                <w:sz w:val="24"/>
                <w:szCs w:val="24"/>
              </w:rPr>
              <w:t>Medium</w:t>
            </w:r>
          </w:p>
        </w:tc>
        <w:tc>
          <w:tcPr>
            <w:tcW w:w="744" w:type="pct"/>
          </w:tcPr>
          <w:p w14:paraId="3C4EF31E" w14:textId="77777777" w:rsidR="00180FFE" w:rsidRPr="00AE059E" w:rsidRDefault="00180FFE" w:rsidP="003557CE">
            <w:pPr>
              <w:rPr>
                <w:sz w:val="24"/>
                <w:szCs w:val="24"/>
                <w:lang w:val="en-AU"/>
              </w:rPr>
            </w:pPr>
            <w:r w:rsidRPr="005B6722">
              <w:rPr>
                <w:sz w:val="24"/>
                <w:szCs w:val="24"/>
              </w:rPr>
              <w:t>CDGN, PHLN, CDNA, Health</w:t>
            </w:r>
          </w:p>
        </w:tc>
        <w:tc>
          <w:tcPr>
            <w:tcW w:w="644" w:type="pct"/>
          </w:tcPr>
          <w:p w14:paraId="3BD18B5C" w14:textId="77777777" w:rsidR="00180FFE" w:rsidRPr="00AE059E" w:rsidRDefault="00180FFE" w:rsidP="003557CE">
            <w:pPr>
              <w:rPr>
                <w:lang w:val="en-AU"/>
              </w:rPr>
            </w:pPr>
            <w:r w:rsidRPr="005B6722">
              <w:t>Medium</w:t>
            </w:r>
          </w:p>
        </w:tc>
      </w:tr>
      <w:tr w:rsidR="00180FFE" w:rsidRPr="005B6722" w14:paraId="2B8657E5" w14:textId="77777777" w:rsidTr="003557CE">
        <w:tc>
          <w:tcPr>
            <w:tcW w:w="3136" w:type="pct"/>
          </w:tcPr>
          <w:p w14:paraId="448BFF02" w14:textId="665D68FD" w:rsidR="00180FFE" w:rsidRPr="00AE059E" w:rsidRDefault="00176920" w:rsidP="003557CE">
            <w:pPr>
              <w:rPr>
                <w:sz w:val="24"/>
                <w:szCs w:val="24"/>
                <w:lang w:val="en-AU"/>
              </w:rPr>
            </w:pPr>
            <w:r w:rsidRPr="005B6722">
              <w:rPr>
                <w:sz w:val="24"/>
                <w:szCs w:val="24"/>
              </w:rPr>
              <w:t xml:space="preserve">4.4.3 </w:t>
            </w:r>
            <w:r w:rsidR="00180FFE" w:rsidRPr="005B6722">
              <w:rPr>
                <w:sz w:val="24"/>
                <w:szCs w:val="24"/>
              </w:rPr>
              <w:t xml:space="preserve">Provide coordination and bioinformatics training and support across jurisdictions to ensure equitable sharing of practices, knowledge and information to all jurisdictions. </w:t>
            </w:r>
          </w:p>
        </w:tc>
        <w:tc>
          <w:tcPr>
            <w:tcW w:w="476" w:type="pct"/>
          </w:tcPr>
          <w:p w14:paraId="49C2CB37" w14:textId="77777777" w:rsidR="00180FFE" w:rsidRPr="00AE059E" w:rsidRDefault="00180FFE" w:rsidP="003557CE">
            <w:pPr>
              <w:rPr>
                <w:sz w:val="24"/>
                <w:szCs w:val="24"/>
                <w:lang w:val="en-AU"/>
              </w:rPr>
            </w:pPr>
            <w:r w:rsidRPr="005B6722">
              <w:rPr>
                <w:sz w:val="24"/>
                <w:szCs w:val="24"/>
              </w:rPr>
              <w:t>Short</w:t>
            </w:r>
          </w:p>
        </w:tc>
        <w:tc>
          <w:tcPr>
            <w:tcW w:w="744" w:type="pct"/>
          </w:tcPr>
          <w:p w14:paraId="50FACE80" w14:textId="77777777" w:rsidR="00180FFE" w:rsidRPr="00AE059E" w:rsidRDefault="00180FFE" w:rsidP="003557CE">
            <w:pPr>
              <w:rPr>
                <w:sz w:val="24"/>
                <w:szCs w:val="24"/>
                <w:lang w:val="en-AU"/>
              </w:rPr>
            </w:pPr>
            <w:r w:rsidRPr="005B6722">
              <w:rPr>
                <w:sz w:val="24"/>
                <w:szCs w:val="24"/>
              </w:rPr>
              <w:t>CDGN</w:t>
            </w:r>
          </w:p>
        </w:tc>
        <w:tc>
          <w:tcPr>
            <w:tcW w:w="644" w:type="pct"/>
          </w:tcPr>
          <w:p w14:paraId="40D0F651" w14:textId="77777777" w:rsidR="00180FFE" w:rsidRPr="00AE059E" w:rsidRDefault="00180FFE" w:rsidP="003557CE">
            <w:pPr>
              <w:rPr>
                <w:lang w:val="en-AU"/>
              </w:rPr>
            </w:pPr>
            <w:r w:rsidRPr="005B6722">
              <w:t>High</w:t>
            </w:r>
          </w:p>
        </w:tc>
      </w:tr>
    </w:tbl>
    <w:p w14:paraId="5BE6B731" w14:textId="77777777" w:rsidR="00180FFE" w:rsidRPr="005B6722" w:rsidRDefault="00180FFE" w:rsidP="00180FFE">
      <w:pPr>
        <w:rPr>
          <w:sz w:val="24"/>
          <w:szCs w:val="24"/>
        </w:rPr>
      </w:pPr>
    </w:p>
    <w:p w14:paraId="3D0ECC2F" w14:textId="77777777" w:rsidR="00180FFE" w:rsidRPr="005B6722" w:rsidRDefault="00180FFE" w:rsidP="00180FFE">
      <w:pPr>
        <w:rPr>
          <w:sz w:val="24"/>
          <w:szCs w:val="24"/>
        </w:rPr>
        <w:sectPr w:rsidR="00180FFE" w:rsidRPr="005B6722" w:rsidSect="003557CE">
          <w:pgSz w:w="16840" w:h="11910" w:orient="landscape"/>
          <w:pgMar w:top="1420" w:right="1080" w:bottom="1278" w:left="1260" w:header="756" w:footer="1075" w:gutter="0"/>
          <w:cols w:space="720"/>
          <w:docGrid w:linePitch="299"/>
        </w:sectPr>
      </w:pPr>
    </w:p>
    <w:p w14:paraId="7BBC0ACD" w14:textId="38B19650" w:rsidR="00180FFE" w:rsidRPr="005B6722" w:rsidRDefault="00180FFE" w:rsidP="00180FFE">
      <w:pPr>
        <w:pStyle w:val="Heading1"/>
      </w:pPr>
      <w:bookmarkStart w:id="96" w:name="_bookmark25"/>
      <w:bookmarkStart w:id="97" w:name="_Toc57196978"/>
      <w:bookmarkEnd w:id="96"/>
      <w:r w:rsidRPr="005B6722">
        <w:lastRenderedPageBreak/>
        <w:t>Strategic Priority 5: Financing</w:t>
      </w:r>
      <w:bookmarkEnd w:id="97"/>
    </w:p>
    <w:p w14:paraId="77F7519B" w14:textId="4844C114" w:rsidR="00180FFE" w:rsidRPr="005B6722" w:rsidRDefault="00180FFE" w:rsidP="00180FFE">
      <w:pPr>
        <w:pStyle w:val="BodyText"/>
        <w:spacing w:before="3"/>
        <w:rPr>
          <w:b/>
          <w:sz w:val="17"/>
        </w:rPr>
      </w:pPr>
    </w:p>
    <w:p w14:paraId="6602A051" w14:textId="77777777" w:rsidR="00180FFE" w:rsidRPr="008610F1" w:rsidRDefault="00180FFE" w:rsidP="00180FFE">
      <w:pPr>
        <w:pStyle w:val="BodyText"/>
        <w:spacing w:before="11"/>
        <w:rPr>
          <w:b/>
          <w:sz w:val="17"/>
        </w:rPr>
      </w:pPr>
    </w:p>
    <w:p w14:paraId="0DCD2AC1" w14:textId="77777777" w:rsidR="00180FFE" w:rsidRPr="005B6722" w:rsidRDefault="00180FFE" w:rsidP="00180FFE">
      <w:pPr>
        <w:pStyle w:val="Heading2"/>
        <w:spacing w:before="44"/>
      </w:pPr>
      <w:bookmarkStart w:id="98" w:name="_bookmark26"/>
      <w:bookmarkStart w:id="99" w:name="_Toc57196979"/>
      <w:bookmarkEnd w:id="98"/>
      <w:r w:rsidRPr="005B6722">
        <w:t>Current activities</w:t>
      </w:r>
      <w:bookmarkEnd w:id="99"/>
    </w:p>
    <w:p w14:paraId="12EDF419" w14:textId="77777777" w:rsidR="00180FFE" w:rsidRPr="005B6722" w:rsidRDefault="00180FFE" w:rsidP="00180FFE">
      <w:pPr>
        <w:pStyle w:val="BodyText"/>
        <w:tabs>
          <w:tab w:val="left" w:pos="9072"/>
        </w:tabs>
        <w:ind w:left="282" w:right="140"/>
      </w:pPr>
    </w:p>
    <w:p w14:paraId="4DBA2F95" w14:textId="68FB742A" w:rsidR="00180FFE" w:rsidRPr="005B6722" w:rsidRDefault="00180FFE" w:rsidP="00180FFE">
      <w:pPr>
        <w:pStyle w:val="BodyText"/>
        <w:tabs>
          <w:tab w:val="left" w:pos="9072"/>
        </w:tabs>
        <w:ind w:left="282" w:right="140"/>
      </w:pPr>
      <w:r w:rsidRPr="005B6722">
        <w:t>In May 2018, the Australian Government announced an investment of $500 million over 10 years for a GHFM under the MRFF</w:t>
      </w:r>
      <w:r w:rsidR="000F6C67">
        <w:t xml:space="preserve">. This </w:t>
      </w:r>
      <w:r w:rsidR="005D5527">
        <w:t>is</w:t>
      </w:r>
      <w:r w:rsidRPr="005B6722">
        <w:t xml:space="preserve"> to help save or transform the lives of more than 200,000 Australians through research into better testing, diagnosis and treatment. The </w:t>
      </w:r>
      <w:r w:rsidR="00B215FF">
        <w:t>purpose</w:t>
      </w:r>
      <w:r w:rsidR="00B215FF" w:rsidRPr="005B6722">
        <w:t xml:space="preserve"> </w:t>
      </w:r>
      <w:r w:rsidRPr="005B6722">
        <w:t>of the GHFM is to deliver better diagnostics and targeted treatments, avoid unnecessary health costs, and improve patient experience and outcomes.</w:t>
      </w:r>
    </w:p>
    <w:p w14:paraId="7AC0526C" w14:textId="77777777" w:rsidR="00180FFE" w:rsidRPr="005B6722" w:rsidRDefault="00180FFE" w:rsidP="00180FFE">
      <w:pPr>
        <w:pStyle w:val="BodyText"/>
        <w:tabs>
          <w:tab w:val="left" w:pos="9072"/>
        </w:tabs>
        <w:ind w:left="282" w:right="140"/>
      </w:pPr>
    </w:p>
    <w:p w14:paraId="3F26FDA2" w14:textId="5963BE15" w:rsidR="00180FFE" w:rsidRPr="005B6722" w:rsidRDefault="00180FFE" w:rsidP="00180FFE">
      <w:pPr>
        <w:pStyle w:val="BodyText"/>
        <w:tabs>
          <w:tab w:val="left" w:pos="9072"/>
        </w:tabs>
        <w:ind w:left="282" w:right="140"/>
      </w:pPr>
      <w:r w:rsidRPr="005B6722">
        <w:t xml:space="preserve">In April 2019, it was announced that </w:t>
      </w:r>
      <w:r w:rsidR="00176920" w:rsidRPr="005B6722">
        <w:t xml:space="preserve">a grant opportunity under </w:t>
      </w:r>
      <w:r w:rsidRPr="005B6722">
        <w:t xml:space="preserve">the MRFF would be dedicated </w:t>
      </w:r>
      <w:r w:rsidR="00AF7139">
        <w:t>a</w:t>
      </w:r>
      <w:r w:rsidRPr="005B6722">
        <w:t xml:space="preserve"> GHFM Flagship</w:t>
      </w:r>
      <w:r w:rsidR="00AF7139">
        <w:t xml:space="preserve"> </w:t>
      </w:r>
      <w:r w:rsidRPr="005B6722">
        <w:t xml:space="preserve">for </w:t>
      </w:r>
      <w:r w:rsidR="00DE7FC2">
        <w:t>p</w:t>
      </w:r>
      <w:r w:rsidRPr="005B6722">
        <w:t xml:space="preserve">athogen </w:t>
      </w:r>
      <w:r w:rsidR="00DE7FC2">
        <w:t>g</w:t>
      </w:r>
      <w:r w:rsidRPr="005B6722">
        <w:t>enomics. This flagship recognises the application of genome sequencing technologies to the characterisation and analysis of pathogens</w:t>
      </w:r>
      <w:r w:rsidR="005D5527">
        <w:t xml:space="preserve">. </w:t>
      </w:r>
      <w:r w:rsidR="00AF7139">
        <w:t>This</w:t>
      </w:r>
      <w:r w:rsidR="005D5527">
        <w:t xml:space="preserve"> </w:t>
      </w:r>
      <w:r w:rsidRPr="005B6722">
        <w:t>inform</w:t>
      </w:r>
      <w:r w:rsidR="005D5527">
        <w:t>s</w:t>
      </w:r>
      <w:r w:rsidRPr="005B6722">
        <w:t xml:space="preserve"> clinical and public health investigations of, and responses to, infectious disease.</w:t>
      </w:r>
    </w:p>
    <w:p w14:paraId="55DD0831" w14:textId="77777777" w:rsidR="00180FFE" w:rsidRPr="005B6722" w:rsidRDefault="00180FFE" w:rsidP="00180FFE">
      <w:pPr>
        <w:pStyle w:val="BodyText"/>
        <w:tabs>
          <w:tab w:val="left" w:pos="9072"/>
        </w:tabs>
        <w:ind w:left="282" w:right="140"/>
      </w:pPr>
    </w:p>
    <w:p w14:paraId="1B901F90" w14:textId="6DC27741" w:rsidR="00180FFE" w:rsidRPr="005B6722" w:rsidRDefault="00CB0351" w:rsidP="00180FFE">
      <w:pPr>
        <w:pStyle w:val="BodyText"/>
        <w:tabs>
          <w:tab w:val="left" w:pos="9072"/>
        </w:tabs>
        <w:ind w:left="282" w:right="140"/>
      </w:pPr>
      <w:r>
        <w:t>An</w:t>
      </w:r>
      <w:r w:rsidR="00180FFE" w:rsidRPr="005B6722">
        <w:t xml:space="preserve"> evidence base </w:t>
      </w:r>
      <w:proofErr w:type="gramStart"/>
      <w:r w:rsidR="00AF7139">
        <w:t>is slowly being established</w:t>
      </w:r>
      <w:proofErr w:type="gramEnd"/>
      <w:r>
        <w:t xml:space="preserve"> to </w:t>
      </w:r>
      <w:r w:rsidR="00213D25">
        <w:t>understand</w:t>
      </w:r>
      <w:r w:rsidR="004E0923" w:rsidRPr="005B6722">
        <w:t xml:space="preserve"> </w:t>
      </w:r>
      <w:r w:rsidR="00180FFE" w:rsidRPr="005B6722">
        <w:t>the value and cost-effectiveness of microbial genomic</w:t>
      </w:r>
      <w:r w:rsidR="00EB7A4D" w:rsidRPr="005B6722">
        <w:t>s</w:t>
      </w:r>
      <w:r w:rsidR="00213D25">
        <w:t xml:space="preserve"> in the Australian context</w:t>
      </w:r>
      <w:r w:rsidR="006F7E0D">
        <w:t xml:space="preserve">. </w:t>
      </w:r>
      <w:r w:rsidR="003F0107">
        <w:t xml:space="preserve">This </w:t>
      </w:r>
      <w:proofErr w:type="gramStart"/>
      <w:r>
        <w:t>can</w:t>
      </w:r>
      <w:r w:rsidR="003F0107">
        <w:t xml:space="preserve"> be done</w:t>
      </w:r>
      <w:proofErr w:type="gramEnd"/>
      <w:r w:rsidR="003F0107">
        <w:t xml:space="preserve"> </w:t>
      </w:r>
      <w:r w:rsidR="00180FFE" w:rsidRPr="005B6722">
        <w:t>by exploring</w:t>
      </w:r>
      <w:r w:rsidR="00213D25">
        <w:t>, evaluating</w:t>
      </w:r>
      <w:r w:rsidR="00180FFE" w:rsidRPr="005B6722">
        <w:t xml:space="preserve"> and reporting on economic evidence that supports the integration of microbial genomics into Australian laboratories. This is necessary to </w:t>
      </w:r>
      <w:r w:rsidR="00213D25">
        <w:t xml:space="preserve">inform how a </w:t>
      </w:r>
      <w:r w:rsidR="00180FFE" w:rsidRPr="005B6722">
        <w:t xml:space="preserve">sustainable funding model </w:t>
      </w:r>
      <w:proofErr w:type="gramStart"/>
      <w:r w:rsidR="00AF7139">
        <w:t>co</w:t>
      </w:r>
      <w:r w:rsidR="00213D25">
        <w:t>uld be established</w:t>
      </w:r>
      <w:proofErr w:type="gramEnd"/>
      <w:r w:rsidR="00213D25">
        <w:t xml:space="preserve"> </w:t>
      </w:r>
      <w:r w:rsidR="00180FFE" w:rsidRPr="005B6722">
        <w:t xml:space="preserve">that considers the cost-effectiveness of services </w:t>
      </w:r>
      <w:r w:rsidR="006F7E0D">
        <w:t>and</w:t>
      </w:r>
      <w:r w:rsidR="00180FFE" w:rsidRPr="005B6722">
        <w:t xml:space="preserve"> acknowledges the clinical and/or public health applications of pathogen genomics</w:t>
      </w:r>
      <w:r w:rsidR="006F7E0D">
        <w:t>. These</w:t>
      </w:r>
      <w:r w:rsidR="00180FFE" w:rsidRPr="005B6722">
        <w:t xml:space="preserve"> include:</w:t>
      </w:r>
    </w:p>
    <w:p w14:paraId="42BC8049" w14:textId="1214A178" w:rsidR="00176920" w:rsidRPr="005B6722" w:rsidRDefault="003F0107" w:rsidP="00180FFE">
      <w:pPr>
        <w:pStyle w:val="BodyText"/>
        <w:numPr>
          <w:ilvl w:val="0"/>
          <w:numId w:val="20"/>
        </w:numPr>
        <w:tabs>
          <w:tab w:val="left" w:pos="9072"/>
        </w:tabs>
        <w:ind w:right="140"/>
      </w:pPr>
      <w:r>
        <w:t>c</w:t>
      </w:r>
      <w:r w:rsidR="00176920" w:rsidRPr="005B6722">
        <w:t>ommunicable disease outbreak investigation</w:t>
      </w:r>
    </w:p>
    <w:p w14:paraId="0317900A" w14:textId="3C833895" w:rsidR="00180FFE" w:rsidRPr="005B6722" w:rsidRDefault="003F0107" w:rsidP="00180FFE">
      <w:pPr>
        <w:pStyle w:val="BodyText"/>
        <w:numPr>
          <w:ilvl w:val="0"/>
          <w:numId w:val="20"/>
        </w:numPr>
        <w:tabs>
          <w:tab w:val="left" w:pos="9072"/>
        </w:tabs>
        <w:ind w:right="140"/>
      </w:pPr>
      <w:r>
        <w:t>d</w:t>
      </w:r>
      <w:r w:rsidR="00180FFE" w:rsidRPr="005B6722">
        <w:t>evelopment and use of precision medicine</w:t>
      </w:r>
    </w:p>
    <w:p w14:paraId="39FD7001" w14:textId="5BB884BF" w:rsidR="00180FFE" w:rsidRPr="005B6722" w:rsidRDefault="003F0107" w:rsidP="00180FFE">
      <w:pPr>
        <w:pStyle w:val="BodyText"/>
        <w:numPr>
          <w:ilvl w:val="0"/>
          <w:numId w:val="20"/>
        </w:numPr>
        <w:tabs>
          <w:tab w:val="left" w:pos="9072"/>
        </w:tabs>
        <w:ind w:right="140"/>
      </w:pPr>
      <w:r>
        <w:t>i</w:t>
      </w:r>
      <w:r w:rsidR="00180FFE" w:rsidRPr="005B6722">
        <w:t xml:space="preserve">dentification and surveillance </w:t>
      </w:r>
      <w:r w:rsidR="00EB7A4D" w:rsidRPr="005B6722">
        <w:t xml:space="preserve">of </w:t>
      </w:r>
      <w:r w:rsidR="00180FFE" w:rsidRPr="005B6722">
        <w:t>antimicrobial resistance, noting its role in improving individual patient care</w:t>
      </w:r>
    </w:p>
    <w:p w14:paraId="4ABE9BD3" w14:textId="26710B86" w:rsidR="00180FFE" w:rsidRPr="005B6722" w:rsidRDefault="003F0107" w:rsidP="00180FFE">
      <w:pPr>
        <w:pStyle w:val="BodyText"/>
        <w:numPr>
          <w:ilvl w:val="0"/>
          <w:numId w:val="20"/>
        </w:numPr>
        <w:tabs>
          <w:tab w:val="left" w:pos="9072"/>
        </w:tabs>
        <w:ind w:right="140"/>
      </w:pPr>
      <w:proofErr w:type="gramStart"/>
      <w:r>
        <w:t>c</w:t>
      </w:r>
      <w:r w:rsidR="00180FFE" w:rsidRPr="005B6722">
        <w:t>haracterisation</w:t>
      </w:r>
      <w:proofErr w:type="gramEnd"/>
      <w:r w:rsidR="00180FFE" w:rsidRPr="005B6722">
        <w:t xml:space="preserve"> of host-pathogen interactions and high-risk microbial populations </w:t>
      </w:r>
      <w:r w:rsidR="006F7E0D">
        <w:t>needed</w:t>
      </w:r>
      <w:r w:rsidR="006F7E0D" w:rsidRPr="005B6722">
        <w:t xml:space="preserve"> </w:t>
      </w:r>
      <w:r w:rsidR="00180FFE" w:rsidRPr="005B6722">
        <w:t xml:space="preserve">to identify priority pathogens that are </w:t>
      </w:r>
      <w:r w:rsidR="006F7E0D">
        <w:t>important</w:t>
      </w:r>
      <w:r w:rsidR="006F7E0D" w:rsidRPr="005B6722">
        <w:t xml:space="preserve"> </w:t>
      </w:r>
      <w:r w:rsidR="00180FFE" w:rsidRPr="005B6722">
        <w:t xml:space="preserve">to human health. </w:t>
      </w:r>
    </w:p>
    <w:p w14:paraId="0D6CC6BF" w14:textId="77777777" w:rsidR="00180FFE" w:rsidRPr="005B6722" w:rsidRDefault="00180FFE" w:rsidP="00180FFE">
      <w:pPr>
        <w:pStyle w:val="BodyText"/>
        <w:tabs>
          <w:tab w:val="left" w:pos="9072"/>
        </w:tabs>
        <w:ind w:left="282" w:right="140"/>
      </w:pPr>
    </w:p>
    <w:p w14:paraId="21113FBE" w14:textId="38A15A73" w:rsidR="00180FFE" w:rsidRPr="005B6722" w:rsidRDefault="00180FFE" w:rsidP="00180FFE">
      <w:pPr>
        <w:pStyle w:val="BodyText"/>
        <w:tabs>
          <w:tab w:val="left" w:pos="9072"/>
        </w:tabs>
        <w:ind w:left="282" w:right="140"/>
      </w:pPr>
      <w:r w:rsidRPr="005B6722">
        <w:t xml:space="preserve">The application of microbial genomics in public health has the potential to </w:t>
      </w:r>
      <w:r w:rsidR="00CC3CDE" w:rsidRPr="005B6722">
        <w:t>reduce</w:t>
      </w:r>
      <w:r w:rsidRPr="005B6722">
        <w:t xml:space="preserve"> the financial burden of communicable disease management and outbreak investigation and response</w:t>
      </w:r>
      <w:r w:rsidR="006F7E0D">
        <w:t>. This is</w:t>
      </w:r>
      <w:r w:rsidRPr="005B6722">
        <w:t xml:space="preserve"> through </w:t>
      </w:r>
      <w:r w:rsidR="00CC3CDE" w:rsidRPr="005B6722">
        <w:t>earlier characterisation of outbreaks and implementation of public health intervention measures.</w:t>
      </w:r>
      <w:r w:rsidRPr="005B6722">
        <w:t xml:space="preserve"> Without sustainable funding, laboratories </w:t>
      </w:r>
      <w:r w:rsidR="006F7E0D">
        <w:t>are</w:t>
      </w:r>
      <w:r w:rsidRPr="005B6722">
        <w:t xml:space="preserve"> limited in their capacity to provide </w:t>
      </w:r>
      <w:r w:rsidR="00C755A3" w:rsidRPr="005B6722">
        <w:t xml:space="preserve">microbial </w:t>
      </w:r>
      <w:r w:rsidRPr="005B6722">
        <w:t xml:space="preserve">sequencing services for the purposes of clinical and/or public health </w:t>
      </w:r>
      <w:r w:rsidR="004E0923">
        <w:t>value</w:t>
      </w:r>
      <w:r w:rsidR="006F7E0D">
        <w:t>.</w:t>
      </w:r>
      <w:r w:rsidR="004E0923" w:rsidRPr="005B6722">
        <w:t xml:space="preserve"> </w:t>
      </w:r>
      <w:r w:rsidR="00A07B7F">
        <w:t>Support for</w:t>
      </w:r>
      <w:r w:rsidR="00AF7139">
        <w:t>,</w:t>
      </w:r>
      <w:r w:rsidR="00A07B7F">
        <w:t xml:space="preserve"> </w:t>
      </w:r>
      <w:r w:rsidR="00CB0351">
        <w:t>and investment in</w:t>
      </w:r>
      <w:r w:rsidR="00AF7139">
        <w:t>,</w:t>
      </w:r>
      <w:r w:rsidR="00CB0351">
        <w:t xml:space="preserve"> </w:t>
      </w:r>
      <w:r w:rsidR="00A07B7F">
        <w:t>advanc</w:t>
      </w:r>
      <w:r w:rsidR="00CB0351">
        <w:t>ing</w:t>
      </w:r>
      <w:r w:rsidR="00A07B7F">
        <w:t xml:space="preserve"> </w:t>
      </w:r>
      <w:r w:rsidRPr="005B6722">
        <w:t>technolog</w:t>
      </w:r>
      <w:r w:rsidR="00A07B7F">
        <w:t>y is</w:t>
      </w:r>
      <w:r w:rsidRPr="005B6722">
        <w:t xml:space="preserve"> needed to drive innovation and capability in this rapidly evolving environment.  </w:t>
      </w:r>
    </w:p>
    <w:p w14:paraId="2DC711E6" w14:textId="77777777" w:rsidR="00180FFE" w:rsidRPr="005B6722" w:rsidRDefault="00180FFE" w:rsidP="00180FFE">
      <w:pPr>
        <w:pStyle w:val="BodyText"/>
        <w:ind w:left="282" w:right="1144"/>
      </w:pPr>
    </w:p>
    <w:p w14:paraId="49066F08" w14:textId="77777777" w:rsidR="00180FFE" w:rsidRPr="005B6722" w:rsidRDefault="00180FFE" w:rsidP="00180FFE">
      <w:pPr>
        <w:rPr>
          <w:b/>
          <w:bCs/>
          <w:i/>
          <w:sz w:val="28"/>
          <w:szCs w:val="28"/>
        </w:rPr>
      </w:pPr>
      <w:r w:rsidRPr="005B6722">
        <w:br w:type="page"/>
      </w:r>
    </w:p>
    <w:bookmarkStart w:id="100" w:name="_Toc57196980"/>
    <w:p w14:paraId="16DE74E1" w14:textId="77777777" w:rsidR="00180FFE" w:rsidRPr="005B6722" w:rsidRDefault="00180FFE" w:rsidP="00180FFE">
      <w:pPr>
        <w:pStyle w:val="Heading2"/>
        <w:spacing w:before="44"/>
      </w:pPr>
      <w:r w:rsidRPr="00225618">
        <w:rPr>
          <w:noProof/>
          <w:lang w:bidi="ar-SA"/>
        </w:rPr>
        <w:lastRenderedPageBreak/>
        <mc:AlternateContent>
          <mc:Choice Requires="wps">
            <w:drawing>
              <wp:anchor distT="0" distB="0" distL="114300" distR="114300" simplePos="0" relativeHeight="251670528" behindDoc="1" locked="0" layoutInCell="1" allowOverlap="1" wp14:anchorId="2AF20CA3" wp14:editId="38F7AC80">
                <wp:simplePos x="0" y="0"/>
                <wp:positionH relativeFrom="column">
                  <wp:posOffset>-44451</wp:posOffset>
                </wp:positionH>
                <wp:positionV relativeFrom="paragraph">
                  <wp:posOffset>0</wp:posOffset>
                </wp:positionV>
                <wp:extent cx="6181725" cy="3001993"/>
                <wp:effectExtent l="0" t="0" r="28575" b="27305"/>
                <wp:wrapNone/>
                <wp:docPr id="21" name="Rectangle 21"/>
                <wp:cNvGraphicFramePr/>
                <a:graphic xmlns:a="http://schemas.openxmlformats.org/drawingml/2006/main">
                  <a:graphicData uri="http://schemas.microsoft.com/office/word/2010/wordprocessingShape">
                    <wps:wsp>
                      <wps:cNvSpPr/>
                      <wps:spPr>
                        <a:xfrm>
                          <a:off x="0" y="0"/>
                          <a:ext cx="6181725" cy="3001993"/>
                        </a:xfrm>
                        <a:prstGeom prst="rect">
                          <a:avLst/>
                        </a:prstGeom>
                        <a:solidFill>
                          <a:schemeClr val="accent1">
                            <a:alpha val="15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0615E" id="Rectangle 21" o:spid="_x0000_s1026" style="position:absolute;margin-left:-3.5pt;margin-top:0;width:486.75pt;height:23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" fillcolor="#5b9bd5 [3204]" strokecolor="#1f4d78 [1604]">
                <v:fill opacity="9766f"/>
              </v:rect>
            </w:pict>
          </mc:Fallback>
        </mc:AlternateContent>
      </w:r>
      <w:r w:rsidRPr="005B6722">
        <w:t>Agreed Outcomes and Priority Areas for Action</w:t>
      </w:r>
      <w:bookmarkEnd w:id="100"/>
    </w:p>
    <w:p w14:paraId="6F368F96" w14:textId="77777777" w:rsidR="00180FFE" w:rsidRPr="008610F1" w:rsidRDefault="00180FFE" w:rsidP="00180FFE">
      <w:pPr>
        <w:pStyle w:val="BodyText"/>
        <w:spacing w:before="7"/>
        <w:rPr>
          <w:sz w:val="19"/>
        </w:rPr>
      </w:pPr>
    </w:p>
    <w:p w14:paraId="1B2F6202" w14:textId="77777777" w:rsidR="00180FFE" w:rsidRPr="005B6722" w:rsidRDefault="00180FFE" w:rsidP="00180FFE">
      <w:pPr>
        <w:rPr>
          <w:b/>
          <w:sz w:val="24"/>
          <w:szCs w:val="24"/>
        </w:rPr>
      </w:pPr>
      <w:r w:rsidRPr="005B6722">
        <w:rPr>
          <w:b/>
          <w:sz w:val="24"/>
          <w:szCs w:val="24"/>
        </w:rPr>
        <w:t>Outcome 5.1 – Establishment of a sustainable funding model</w:t>
      </w:r>
    </w:p>
    <w:p w14:paraId="03CFAB97" w14:textId="7504DAFC" w:rsidR="00180FFE" w:rsidRPr="005B6722" w:rsidRDefault="00180FFE" w:rsidP="00180FFE">
      <w:pPr>
        <w:pStyle w:val="ListParagraph"/>
        <w:widowControl/>
        <w:numPr>
          <w:ilvl w:val="0"/>
          <w:numId w:val="13"/>
        </w:numPr>
        <w:autoSpaceDE/>
        <w:autoSpaceDN/>
        <w:ind w:left="720"/>
        <w:rPr>
          <w:sz w:val="24"/>
          <w:szCs w:val="24"/>
        </w:rPr>
      </w:pPr>
      <w:r w:rsidRPr="005B6722">
        <w:rPr>
          <w:sz w:val="24"/>
          <w:szCs w:val="24"/>
        </w:rPr>
        <w:t>Develop a sustainable funding model involving a partnership between the Australian Government and the states and territories</w:t>
      </w:r>
      <w:r w:rsidR="003F0107">
        <w:rPr>
          <w:sz w:val="24"/>
          <w:szCs w:val="24"/>
        </w:rPr>
        <w:t>.</w:t>
      </w:r>
    </w:p>
    <w:p w14:paraId="50F6708F" w14:textId="2E7D6ECD" w:rsidR="00180FFE" w:rsidRPr="005B6722" w:rsidRDefault="00180FFE" w:rsidP="00180FFE">
      <w:pPr>
        <w:pStyle w:val="ListParagraph"/>
        <w:widowControl/>
        <w:numPr>
          <w:ilvl w:val="0"/>
          <w:numId w:val="13"/>
        </w:numPr>
        <w:autoSpaceDE/>
        <w:autoSpaceDN/>
        <w:ind w:left="720"/>
        <w:rPr>
          <w:sz w:val="24"/>
          <w:szCs w:val="24"/>
        </w:rPr>
      </w:pPr>
      <w:r w:rsidRPr="005B6722">
        <w:rPr>
          <w:sz w:val="24"/>
          <w:szCs w:val="24"/>
        </w:rPr>
        <w:t xml:space="preserve">Improve flexibility to keep pace with </w:t>
      </w:r>
      <w:r w:rsidR="00F107D6">
        <w:rPr>
          <w:sz w:val="24"/>
          <w:szCs w:val="24"/>
        </w:rPr>
        <w:t xml:space="preserve">technology </w:t>
      </w:r>
      <w:r w:rsidRPr="005B6722">
        <w:rPr>
          <w:sz w:val="24"/>
          <w:szCs w:val="24"/>
        </w:rPr>
        <w:t>advances and the expanding role of microbial genomics.</w:t>
      </w:r>
    </w:p>
    <w:p w14:paraId="1948FA57" w14:textId="77777777" w:rsidR="00180FFE" w:rsidRPr="005B6722" w:rsidRDefault="00180FFE" w:rsidP="00180FFE">
      <w:pPr>
        <w:rPr>
          <w:sz w:val="24"/>
          <w:szCs w:val="24"/>
        </w:rPr>
      </w:pPr>
    </w:p>
    <w:p w14:paraId="1FB88DA9" w14:textId="77777777" w:rsidR="00180FFE" w:rsidRPr="005B6722" w:rsidRDefault="00180FFE" w:rsidP="00180FFE">
      <w:pPr>
        <w:rPr>
          <w:b/>
          <w:sz w:val="24"/>
          <w:szCs w:val="24"/>
        </w:rPr>
      </w:pPr>
      <w:r w:rsidRPr="005B6722">
        <w:rPr>
          <w:b/>
          <w:sz w:val="24"/>
          <w:szCs w:val="24"/>
        </w:rPr>
        <w:t>Outcome 5.2 – Establishment of cost-effectiveness</w:t>
      </w:r>
    </w:p>
    <w:p w14:paraId="061F4CC3" w14:textId="0D03515A" w:rsidR="00180FFE" w:rsidRPr="005B6722" w:rsidRDefault="00180FFE" w:rsidP="00180FFE">
      <w:pPr>
        <w:pStyle w:val="ListParagraph"/>
        <w:widowControl/>
        <w:numPr>
          <w:ilvl w:val="0"/>
          <w:numId w:val="15"/>
        </w:numPr>
        <w:autoSpaceDE/>
        <w:autoSpaceDN/>
        <w:rPr>
          <w:sz w:val="24"/>
          <w:szCs w:val="24"/>
        </w:rPr>
      </w:pPr>
      <w:r w:rsidRPr="005B6722">
        <w:rPr>
          <w:sz w:val="24"/>
          <w:szCs w:val="24"/>
        </w:rPr>
        <w:t>Ensure the cost of introducing and maintaining microbial genomic technology results in savings accrued from improvement in patient care</w:t>
      </w:r>
      <w:r w:rsidR="002B7734" w:rsidRPr="005B6722">
        <w:rPr>
          <w:sz w:val="24"/>
          <w:szCs w:val="24"/>
        </w:rPr>
        <w:t>,</w:t>
      </w:r>
      <w:r w:rsidRPr="005B6722">
        <w:rPr>
          <w:sz w:val="24"/>
          <w:szCs w:val="24"/>
        </w:rPr>
        <w:t xml:space="preserve"> and replacement of existing</w:t>
      </w:r>
      <w:r w:rsidR="00A07B7F">
        <w:rPr>
          <w:sz w:val="24"/>
          <w:szCs w:val="24"/>
        </w:rPr>
        <w:t xml:space="preserve"> testing </w:t>
      </w:r>
      <w:r w:rsidRPr="005B6722">
        <w:rPr>
          <w:sz w:val="24"/>
          <w:szCs w:val="24"/>
        </w:rPr>
        <w:t>technolog</w:t>
      </w:r>
      <w:r w:rsidR="00A07B7F">
        <w:rPr>
          <w:sz w:val="24"/>
          <w:szCs w:val="24"/>
        </w:rPr>
        <w:t>y</w:t>
      </w:r>
      <w:r w:rsidRPr="005B6722">
        <w:rPr>
          <w:sz w:val="24"/>
          <w:szCs w:val="24"/>
        </w:rPr>
        <w:t xml:space="preserve">. Initial </w:t>
      </w:r>
      <w:r w:rsidR="00A07B7F">
        <w:rPr>
          <w:sz w:val="24"/>
          <w:szCs w:val="24"/>
        </w:rPr>
        <w:t xml:space="preserve">establishment of genomics capability </w:t>
      </w:r>
      <w:r w:rsidRPr="005B6722">
        <w:rPr>
          <w:sz w:val="24"/>
          <w:szCs w:val="24"/>
        </w:rPr>
        <w:t xml:space="preserve">will </w:t>
      </w:r>
      <w:r w:rsidR="00F107D6">
        <w:rPr>
          <w:sz w:val="24"/>
          <w:szCs w:val="24"/>
        </w:rPr>
        <w:t>lead to</w:t>
      </w:r>
      <w:r w:rsidRPr="005B6722">
        <w:rPr>
          <w:sz w:val="24"/>
          <w:szCs w:val="24"/>
        </w:rPr>
        <w:t xml:space="preserve"> a short-term increase in costs while new workflow processes </w:t>
      </w:r>
      <w:r w:rsidR="00F107D6">
        <w:rPr>
          <w:sz w:val="24"/>
          <w:szCs w:val="24"/>
        </w:rPr>
        <w:t xml:space="preserve">are developed </w:t>
      </w:r>
      <w:r w:rsidR="00FE7CD3">
        <w:rPr>
          <w:sz w:val="24"/>
          <w:szCs w:val="24"/>
        </w:rPr>
        <w:t xml:space="preserve">and outdated testing methods </w:t>
      </w:r>
      <w:proofErr w:type="gramStart"/>
      <w:r w:rsidR="00FE7CD3">
        <w:rPr>
          <w:sz w:val="24"/>
          <w:szCs w:val="24"/>
        </w:rPr>
        <w:t>are replaced</w:t>
      </w:r>
      <w:proofErr w:type="gramEnd"/>
      <w:r w:rsidRPr="005B6722">
        <w:rPr>
          <w:sz w:val="24"/>
          <w:szCs w:val="24"/>
        </w:rPr>
        <w:t>.</w:t>
      </w:r>
    </w:p>
    <w:p w14:paraId="79D08970" w14:textId="77777777" w:rsidR="00180FFE" w:rsidRPr="005B6722" w:rsidRDefault="00180FFE" w:rsidP="00180FFE">
      <w:pPr>
        <w:rPr>
          <w:vanish/>
          <w:sz w:val="24"/>
        </w:rPr>
      </w:pPr>
      <w:bookmarkStart w:id="101" w:name="_bookmark27"/>
      <w:bookmarkEnd w:id="101"/>
    </w:p>
    <w:p w14:paraId="50357B28" w14:textId="77777777" w:rsidR="00180FFE" w:rsidRPr="005B6722" w:rsidRDefault="00180FFE" w:rsidP="00180FFE">
      <w:pPr>
        <w:rPr>
          <w:sz w:val="24"/>
        </w:rPr>
      </w:pPr>
    </w:p>
    <w:p w14:paraId="2EC295E8" w14:textId="77777777" w:rsidR="00180FFE" w:rsidRPr="005B6722" w:rsidRDefault="00180FFE" w:rsidP="00180FFE">
      <w:pPr>
        <w:rPr>
          <w:sz w:val="24"/>
        </w:rPr>
      </w:pPr>
    </w:p>
    <w:p w14:paraId="79FDC017" w14:textId="77777777" w:rsidR="00180FFE" w:rsidRPr="005B6722" w:rsidRDefault="00180FFE" w:rsidP="00180FFE">
      <w:pPr>
        <w:rPr>
          <w:sz w:val="24"/>
        </w:rPr>
      </w:pPr>
    </w:p>
    <w:p w14:paraId="16BF3841" w14:textId="77777777" w:rsidR="00180FFE" w:rsidRPr="005B6722" w:rsidRDefault="00180FFE" w:rsidP="00180FFE">
      <w:pPr>
        <w:rPr>
          <w:sz w:val="24"/>
        </w:rPr>
      </w:pPr>
    </w:p>
    <w:p w14:paraId="40DDDFDE" w14:textId="77777777" w:rsidR="00180FFE" w:rsidRPr="005B6722" w:rsidRDefault="00180FFE" w:rsidP="00180FFE">
      <w:pPr>
        <w:rPr>
          <w:sz w:val="24"/>
        </w:rPr>
        <w:sectPr w:rsidR="00180FFE" w:rsidRPr="005B6722" w:rsidSect="003557CE">
          <w:pgSz w:w="11910" w:h="16840"/>
          <w:pgMar w:top="1080" w:right="1278" w:bottom="1260" w:left="1420" w:header="756" w:footer="1075" w:gutter="0"/>
          <w:cols w:space="720"/>
          <w:docGrid w:linePitch="299"/>
        </w:sectPr>
      </w:pPr>
    </w:p>
    <w:p w14:paraId="1AE221B7" w14:textId="58370814" w:rsidR="00180FFE" w:rsidRPr="005B6722" w:rsidRDefault="00180FFE" w:rsidP="00180FFE">
      <w:pPr>
        <w:pStyle w:val="Heading2"/>
        <w:spacing w:before="41"/>
        <w:ind w:left="0"/>
      </w:pPr>
      <w:bookmarkStart w:id="102" w:name="_Toc57196981"/>
      <w:r w:rsidRPr="005B6722">
        <w:lastRenderedPageBreak/>
        <w:t>Actions – Financing</w:t>
      </w:r>
      <w:bookmarkEnd w:id="102"/>
    </w:p>
    <w:p w14:paraId="703429B1" w14:textId="77777777" w:rsidR="00180FFE" w:rsidRPr="005B6722" w:rsidRDefault="00180FFE" w:rsidP="00180FFE">
      <w:pPr>
        <w:pStyle w:val="BodyText"/>
      </w:pPr>
    </w:p>
    <w:tbl>
      <w:tblPr>
        <w:tblStyle w:val="TableGrid"/>
        <w:tblW w:w="0" w:type="auto"/>
        <w:tblLook w:val="04A0" w:firstRow="1" w:lastRow="0" w:firstColumn="1" w:lastColumn="0" w:noHBand="0" w:noVBand="1"/>
        <w:tblCaption w:val="Actions - Financing"/>
        <w:tblDescription w:val="Lists the activities under Outcome 5, that will work towards establishing sustainable funding and maintain cost-effective practices for microbial whole genomic sequencing."/>
      </w:tblPr>
      <w:tblGrid>
        <w:gridCol w:w="9947"/>
        <w:gridCol w:w="1306"/>
        <w:gridCol w:w="2197"/>
        <w:gridCol w:w="1040"/>
      </w:tblGrid>
      <w:tr w:rsidR="00F80661" w:rsidRPr="005B6722" w14:paraId="7A4D1DEA" w14:textId="77777777" w:rsidTr="00752E10">
        <w:trPr>
          <w:tblHeader/>
        </w:trPr>
        <w:tc>
          <w:tcPr>
            <w:tcW w:w="0" w:type="auto"/>
            <w:shd w:val="clear" w:color="auto" w:fill="9CC2E5" w:themeFill="accent1" w:themeFillTint="99"/>
          </w:tcPr>
          <w:p w14:paraId="1C305EB1" w14:textId="77777777" w:rsidR="00180FFE" w:rsidRPr="00AE059E" w:rsidRDefault="00180FFE" w:rsidP="003557CE">
            <w:pPr>
              <w:rPr>
                <w:rFonts w:ascii="Times New Roman"/>
                <w:sz w:val="26"/>
                <w:lang w:val="en-AU"/>
              </w:rPr>
            </w:pPr>
            <w:r w:rsidRPr="005B6722">
              <w:rPr>
                <w:b/>
                <w:sz w:val="24"/>
              </w:rPr>
              <w:t>National Action</w:t>
            </w:r>
          </w:p>
        </w:tc>
        <w:tc>
          <w:tcPr>
            <w:tcW w:w="0" w:type="auto"/>
            <w:shd w:val="clear" w:color="auto" w:fill="9CC2E5" w:themeFill="accent1" w:themeFillTint="99"/>
          </w:tcPr>
          <w:p w14:paraId="06AD7BA7" w14:textId="77777777" w:rsidR="00180FFE" w:rsidRPr="00AE059E" w:rsidRDefault="00180FFE" w:rsidP="003557CE">
            <w:pPr>
              <w:rPr>
                <w:rFonts w:ascii="Times New Roman"/>
                <w:sz w:val="26"/>
                <w:lang w:val="en-AU"/>
              </w:rPr>
            </w:pPr>
            <w:r w:rsidRPr="005B6722">
              <w:rPr>
                <w:b/>
                <w:sz w:val="24"/>
              </w:rPr>
              <w:t>Timeframe</w:t>
            </w:r>
          </w:p>
        </w:tc>
        <w:tc>
          <w:tcPr>
            <w:tcW w:w="0" w:type="auto"/>
            <w:shd w:val="clear" w:color="auto" w:fill="9CC2E5" w:themeFill="accent1" w:themeFillTint="99"/>
          </w:tcPr>
          <w:p w14:paraId="486D76DB" w14:textId="77777777" w:rsidR="00180FFE" w:rsidRPr="00AE059E" w:rsidRDefault="00180FFE" w:rsidP="003557CE">
            <w:pPr>
              <w:rPr>
                <w:rFonts w:ascii="Times New Roman"/>
                <w:sz w:val="26"/>
                <w:lang w:val="en-AU"/>
              </w:rPr>
            </w:pPr>
            <w:r w:rsidRPr="005B6722">
              <w:rPr>
                <w:b/>
                <w:sz w:val="24"/>
              </w:rPr>
              <w:t>Lead Responsibility</w:t>
            </w:r>
          </w:p>
        </w:tc>
        <w:tc>
          <w:tcPr>
            <w:tcW w:w="0" w:type="auto"/>
            <w:shd w:val="clear" w:color="auto" w:fill="9CC2E5" w:themeFill="accent1" w:themeFillTint="99"/>
          </w:tcPr>
          <w:p w14:paraId="2A758A73" w14:textId="77777777" w:rsidR="00180FFE" w:rsidRPr="00AE059E" w:rsidRDefault="00180FFE" w:rsidP="003557CE">
            <w:pPr>
              <w:rPr>
                <w:b/>
                <w:sz w:val="24"/>
                <w:lang w:val="en-AU"/>
              </w:rPr>
            </w:pPr>
            <w:r w:rsidRPr="005B6722">
              <w:rPr>
                <w:b/>
                <w:sz w:val="24"/>
              </w:rPr>
              <w:t>Priority</w:t>
            </w:r>
          </w:p>
        </w:tc>
      </w:tr>
      <w:tr w:rsidR="00180FFE" w:rsidRPr="005B6722" w14:paraId="330EFD82" w14:textId="77777777" w:rsidTr="003557CE">
        <w:tc>
          <w:tcPr>
            <w:tcW w:w="0" w:type="auto"/>
            <w:gridSpan w:val="4"/>
            <w:shd w:val="clear" w:color="auto" w:fill="DEEAF6" w:themeFill="accent1" w:themeFillTint="33"/>
          </w:tcPr>
          <w:p w14:paraId="7B81866D" w14:textId="77777777" w:rsidR="00180FFE" w:rsidRPr="00AE059E" w:rsidRDefault="00180FFE" w:rsidP="003557CE">
            <w:pPr>
              <w:rPr>
                <w:b/>
                <w:bCs/>
                <w:sz w:val="24"/>
                <w:szCs w:val="24"/>
                <w:lang w:val="en-AU"/>
              </w:rPr>
            </w:pPr>
            <w:r w:rsidRPr="005B6722">
              <w:rPr>
                <w:b/>
                <w:bCs/>
                <w:sz w:val="24"/>
                <w:szCs w:val="24"/>
              </w:rPr>
              <w:t>Outcome 5.1 – Establishment of a sustainable funding model</w:t>
            </w:r>
          </w:p>
        </w:tc>
      </w:tr>
      <w:tr w:rsidR="00F80661" w:rsidRPr="005B6722" w14:paraId="1075E905" w14:textId="77777777" w:rsidTr="00D27FC8">
        <w:tc>
          <w:tcPr>
            <w:tcW w:w="0" w:type="auto"/>
          </w:tcPr>
          <w:p w14:paraId="61202C15" w14:textId="612E251F" w:rsidR="00180FFE" w:rsidRPr="00AE059E" w:rsidRDefault="00982232">
            <w:pPr>
              <w:rPr>
                <w:sz w:val="24"/>
                <w:szCs w:val="24"/>
                <w:lang w:val="en-AU"/>
              </w:rPr>
            </w:pPr>
            <w:r w:rsidRPr="005B6722">
              <w:rPr>
                <w:sz w:val="24"/>
                <w:szCs w:val="24"/>
              </w:rPr>
              <w:t xml:space="preserve">5.1.1 </w:t>
            </w:r>
            <w:r w:rsidR="00F107D6">
              <w:rPr>
                <w:sz w:val="24"/>
                <w:szCs w:val="24"/>
              </w:rPr>
              <w:t xml:space="preserve">Look at </w:t>
            </w:r>
            <w:r w:rsidR="00180FFE" w:rsidRPr="005B6722">
              <w:rPr>
                <w:sz w:val="24"/>
                <w:szCs w:val="24"/>
              </w:rPr>
              <w:t>equitable financing and purchasing models to inform the appropriate integration of safe, effective and cost-</w:t>
            </w:r>
            <w:r w:rsidR="00235B39" w:rsidRPr="005B6722">
              <w:rPr>
                <w:sz w:val="24"/>
                <w:szCs w:val="24"/>
              </w:rPr>
              <w:t>efficient</w:t>
            </w:r>
            <w:r w:rsidR="00180FFE" w:rsidRPr="005B6722">
              <w:rPr>
                <w:sz w:val="24"/>
                <w:szCs w:val="24"/>
              </w:rPr>
              <w:t xml:space="preserve"> </w:t>
            </w:r>
            <w:r w:rsidR="000A53F6">
              <w:rPr>
                <w:sz w:val="24"/>
                <w:szCs w:val="24"/>
              </w:rPr>
              <w:t xml:space="preserve">public health </w:t>
            </w:r>
            <w:r w:rsidR="00180FFE" w:rsidRPr="005B6722">
              <w:rPr>
                <w:sz w:val="24"/>
                <w:szCs w:val="24"/>
              </w:rPr>
              <w:t>microbial genomics deliver</w:t>
            </w:r>
            <w:r w:rsidR="000A53F6">
              <w:rPr>
                <w:sz w:val="24"/>
                <w:szCs w:val="24"/>
              </w:rPr>
              <w:t>y</w:t>
            </w:r>
            <w:r w:rsidR="00180FFE" w:rsidRPr="005B6722">
              <w:rPr>
                <w:sz w:val="24"/>
                <w:szCs w:val="24"/>
              </w:rPr>
              <w:t>.</w:t>
            </w:r>
          </w:p>
        </w:tc>
        <w:tc>
          <w:tcPr>
            <w:tcW w:w="0" w:type="auto"/>
          </w:tcPr>
          <w:p w14:paraId="2A4802E3" w14:textId="77777777" w:rsidR="00180FFE" w:rsidRPr="00AE059E" w:rsidRDefault="00180FFE" w:rsidP="003557CE">
            <w:pPr>
              <w:rPr>
                <w:rFonts w:ascii="Times New Roman"/>
                <w:sz w:val="24"/>
                <w:szCs w:val="24"/>
                <w:lang w:val="en-AU"/>
              </w:rPr>
            </w:pPr>
            <w:r w:rsidRPr="005B6722">
              <w:rPr>
                <w:sz w:val="24"/>
                <w:szCs w:val="24"/>
              </w:rPr>
              <w:t>Medium</w:t>
            </w:r>
          </w:p>
        </w:tc>
        <w:tc>
          <w:tcPr>
            <w:tcW w:w="0" w:type="auto"/>
          </w:tcPr>
          <w:p w14:paraId="27A38F77"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CDGN, PHLN, CDNA, AHPPC, Health</w:t>
            </w:r>
          </w:p>
        </w:tc>
        <w:tc>
          <w:tcPr>
            <w:tcW w:w="0" w:type="auto"/>
          </w:tcPr>
          <w:p w14:paraId="48C38945"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r>
      <w:tr w:rsidR="00F80661" w:rsidRPr="005B6722" w14:paraId="222208E1" w14:textId="77777777" w:rsidTr="003557CE">
        <w:tc>
          <w:tcPr>
            <w:tcW w:w="0" w:type="auto"/>
          </w:tcPr>
          <w:p w14:paraId="16792D33" w14:textId="7A7BA4B3" w:rsidR="00180FFE" w:rsidRPr="00AE059E" w:rsidRDefault="00982232" w:rsidP="00F80661">
            <w:pPr>
              <w:rPr>
                <w:sz w:val="24"/>
                <w:szCs w:val="24"/>
                <w:lang w:val="en-AU"/>
              </w:rPr>
            </w:pPr>
            <w:proofErr w:type="gramStart"/>
            <w:r w:rsidRPr="005B6722">
              <w:rPr>
                <w:sz w:val="24"/>
                <w:szCs w:val="24"/>
              </w:rPr>
              <w:t xml:space="preserve">5.1.2 </w:t>
            </w:r>
            <w:r w:rsidR="001E08CE">
              <w:rPr>
                <w:sz w:val="24"/>
                <w:szCs w:val="24"/>
              </w:rPr>
              <w:t>Look into</w:t>
            </w:r>
            <w:r w:rsidR="001E08CE" w:rsidRPr="005B6722">
              <w:rPr>
                <w:sz w:val="24"/>
                <w:szCs w:val="24"/>
              </w:rPr>
              <w:t xml:space="preserve"> </w:t>
            </w:r>
            <w:r w:rsidR="00180FFE" w:rsidRPr="005B6722">
              <w:rPr>
                <w:sz w:val="24"/>
                <w:szCs w:val="24"/>
              </w:rPr>
              <w:t>funding opportunities at both the national and state and territory</w:t>
            </w:r>
            <w:proofErr w:type="gramEnd"/>
            <w:r w:rsidR="00180FFE" w:rsidRPr="005B6722">
              <w:rPr>
                <w:sz w:val="24"/>
                <w:szCs w:val="24"/>
              </w:rPr>
              <w:t xml:space="preserve"> level</w:t>
            </w:r>
            <w:r w:rsidR="00F107D6">
              <w:rPr>
                <w:sz w:val="24"/>
                <w:szCs w:val="24"/>
              </w:rPr>
              <w:t>, for example,</w:t>
            </w:r>
            <w:r w:rsidR="000A53F6">
              <w:rPr>
                <w:sz w:val="24"/>
                <w:szCs w:val="24"/>
              </w:rPr>
              <w:t xml:space="preserve"> through grant </w:t>
            </w:r>
            <w:r w:rsidR="0054615A">
              <w:rPr>
                <w:sz w:val="24"/>
                <w:szCs w:val="24"/>
              </w:rPr>
              <w:t>opportunities, to enhance</w:t>
            </w:r>
            <w:r w:rsidR="00F80661">
              <w:rPr>
                <w:sz w:val="24"/>
                <w:szCs w:val="24"/>
              </w:rPr>
              <w:t xml:space="preserve"> microbial sequencing</w:t>
            </w:r>
            <w:r w:rsidR="0054615A">
              <w:rPr>
                <w:sz w:val="24"/>
                <w:szCs w:val="24"/>
              </w:rPr>
              <w:t xml:space="preserve"> capability and capacity</w:t>
            </w:r>
            <w:r w:rsidR="00F80661">
              <w:rPr>
                <w:sz w:val="24"/>
                <w:szCs w:val="24"/>
              </w:rPr>
              <w:t xml:space="preserve">. Funding opportunities that focus on </w:t>
            </w:r>
            <w:r w:rsidR="000A53F6">
              <w:rPr>
                <w:sz w:val="24"/>
                <w:szCs w:val="24"/>
              </w:rPr>
              <w:t xml:space="preserve">public health surveillance </w:t>
            </w:r>
            <w:r w:rsidR="0054615A">
              <w:rPr>
                <w:sz w:val="24"/>
                <w:szCs w:val="24"/>
              </w:rPr>
              <w:t xml:space="preserve">and / </w:t>
            </w:r>
            <w:r w:rsidR="000A53F6">
              <w:rPr>
                <w:sz w:val="24"/>
                <w:szCs w:val="24"/>
              </w:rPr>
              <w:t xml:space="preserve">or </w:t>
            </w:r>
            <w:r w:rsidR="0054615A">
              <w:rPr>
                <w:sz w:val="24"/>
                <w:szCs w:val="24"/>
              </w:rPr>
              <w:t xml:space="preserve">to </w:t>
            </w:r>
            <w:r w:rsidR="00180FFE" w:rsidRPr="005B6722">
              <w:rPr>
                <w:sz w:val="24"/>
                <w:szCs w:val="24"/>
              </w:rPr>
              <w:t xml:space="preserve">inform </w:t>
            </w:r>
            <w:proofErr w:type="spellStart"/>
            <w:r w:rsidR="00180FFE" w:rsidRPr="005B6722">
              <w:rPr>
                <w:sz w:val="24"/>
                <w:szCs w:val="24"/>
              </w:rPr>
              <w:t>individualised</w:t>
            </w:r>
            <w:proofErr w:type="spellEnd"/>
            <w:r w:rsidR="00180FFE" w:rsidRPr="005B6722">
              <w:rPr>
                <w:sz w:val="24"/>
                <w:szCs w:val="24"/>
              </w:rPr>
              <w:t xml:space="preserve"> patient care</w:t>
            </w:r>
            <w:r w:rsidR="00F80661">
              <w:rPr>
                <w:sz w:val="24"/>
                <w:szCs w:val="24"/>
              </w:rPr>
              <w:t xml:space="preserve"> </w:t>
            </w:r>
            <w:proofErr w:type="gramStart"/>
            <w:r w:rsidR="00F80661">
              <w:rPr>
                <w:sz w:val="24"/>
                <w:szCs w:val="24"/>
              </w:rPr>
              <w:t>should be targeted</w:t>
            </w:r>
            <w:proofErr w:type="gramEnd"/>
            <w:r w:rsidR="00180FFE" w:rsidRPr="005B6722">
              <w:rPr>
                <w:sz w:val="24"/>
                <w:szCs w:val="24"/>
              </w:rPr>
              <w:t xml:space="preserve">. </w:t>
            </w:r>
          </w:p>
        </w:tc>
        <w:tc>
          <w:tcPr>
            <w:tcW w:w="0" w:type="auto"/>
          </w:tcPr>
          <w:p w14:paraId="41C7C2D6"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Short</w:t>
            </w:r>
          </w:p>
        </w:tc>
        <w:tc>
          <w:tcPr>
            <w:tcW w:w="0" w:type="auto"/>
          </w:tcPr>
          <w:p w14:paraId="278A6642"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CDGN, PHLN, CDNA</w:t>
            </w:r>
          </w:p>
        </w:tc>
        <w:tc>
          <w:tcPr>
            <w:tcW w:w="0" w:type="auto"/>
          </w:tcPr>
          <w:p w14:paraId="0381B5A4"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High</w:t>
            </w:r>
          </w:p>
        </w:tc>
      </w:tr>
      <w:tr w:rsidR="00180FFE" w:rsidRPr="005B6722" w14:paraId="47F7C2AA" w14:textId="77777777" w:rsidTr="003557CE">
        <w:tc>
          <w:tcPr>
            <w:tcW w:w="0" w:type="auto"/>
            <w:gridSpan w:val="4"/>
            <w:shd w:val="clear" w:color="auto" w:fill="DEEAF6" w:themeFill="accent1" w:themeFillTint="33"/>
          </w:tcPr>
          <w:p w14:paraId="0EBB7157" w14:textId="77777777" w:rsidR="00180FFE" w:rsidRPr="00AE059E" w:rsidRDefault="00180FFE" w:rsidP="003557CE">
            <w:pPr>
              <w:rPr>
                <w:rFonts w:asciiTheme="minorHAnsi" w:hAnsiTheme="minorHAnsi" w:cstheme="minorHAnsi"/>
                <w:b/>
                <w:bCs/>
                <w:sz w:val="24"/>
                <w:szCs w:val="24"/>
                <w:lang w:val="en-AU"/>
              </w:rPr>
            </w:pPr>
            <w:r w:rsidRPr="005B6722">
              <w:rPr>
                <w:rFonts w:asciiTheme="minorHAnsi" w:hAnsiTheme="minorHAnsi" w:cstheme="minorHAnsi"/>
                <w:b/>
                <w:bCs/>
                <w:sz w:val="24"/>
                <w:szCs w:val="24"/>
              </w:rPr>
              <w:t>Outcome 5.2 – Establishment of cost-effectiveness</w:t>
            </w:r>
          </w:p>
        </w:tc>
      </w:tr>
      <w:tr w:rsidR="00F80661" w:rsidRPr="005B6722" w14:paraId="25E396B6" w14:textId="77777777" w:rsidTr="00D27FC8">
        <w:tc>
          <w:tcPr>
            <w:tcW w:w="0" w:type="auto"/>
          </w:tcPr>
          <w:p w14:paraId="06F3C61C" w14:textId="6D84D6FC" w:rsidR="00180FFE" w:rsidRPr="00AE059E" w:rsidRDefault="00982232" w:rsidP="001E08CE">
            <w:pPr>
              <w:rPr>
                <w:sz w:val="24"/>
                <w:szCs w:val="24"/>
                <w:lang w:val="en-AU"/>
              </w:rPr>
            </w:pPr>
            <w:r w:rsidRPr="005B6722">
              <w:rPr>
                <w:sz w:val="24"/>
                <w:szCs w:val="24"/>
              </w:rPr>
              <w:t xml:space="preserve">5.2.1 </w:t>
            </w:r>
            <w:r w:rsidR="001E08CE">
              <w:rPr>
                <w:sz w:val="24"/>
                <w:szCs w:val="24"/>
              </w:rPr>
              <w:t>Look at</w:t>
            </w:r>
            <w:r w:rsidR="001E08CE" w:rsidRPr="005B6722">
              <w:rPr>
                <w:sz w:val="24"/>
                <w:szCs w:val="24"/>
              </w:rPr>
              <w:t xml:space="preserve"> </w:t>
            </w:r>
            <w:r w:rsidR="00180FFE" w:rsidRPr="005B6722">
              <w:rPr>
                <w:sz w:val="24"/>
                <w:szCs w:val="24"/>
              </w:rPr>
              <w:t>suitable indicators to evaluate and report on the value and cost-effectiveness of implemented microbial genomics services.</w:t>
            </w:r>
          </w:p>
        </w:tc>
        <w:tc>
          <w:tcPr>
            <w:tcW w:w="0" w:type="auto"/>
          </w:tcPr>
          <w:p w14:paraId="5103C530" w14:textId="5A839A77" w:rsidR="00180FFE" w:rsidRPr="00AE059E" w:rsidRDefault="00982232" w:rsidP="003557CE">
            <w:pPr>
              <w:rPr>
                <w:sz w:val="24"/>
                <w:szCs w:val="24"/>
                <w:lang w:val="en-AU"/>
              </w:rPr>
            </w:pPr>
            <w:r w:rsidRPr="005B6722">
              <w:rPr>
                <w:sz w:val="24"/>
                <w:szCs w:val="24"/>
              </w:rPr>
              <w:t>Long</w:t>
            </w:r>
          </w:p>
        </w:tc>
        <w:tc>
          <w:tcPr>
            <w:tcW w:w="0" w:type="auto"/>
          </w:tcPr>
          <w:p w14:paraId="18B091F0" w14:textId="77777777" w:rsidR="00180FFE" w:rsidRPr="00AE059E" w:rsidRDefault="00180FFE" w:rsidP="003557CE">
            <w:pPr>
              <w:rPr>
                <w:sz w:val="24"/>
                <w:szCs w:val="24"/>
                <w:lang w:val="en-AU"/>
              </w:rPr>
            </w:pPr>
            <w:r w:rsidRPr="005B6722">
              <w:rPr>
                <w:sz w:val="24"/>
                <w:szCs w:val="24"/>
              </w:rPr>
              <w:t>CDGN, PHLN, CDNA, Health</w:t>
            </w:r>
          </w:p>
        </w:tc>
        <w:tc>
          <w:tcPr>
            <w:tcW w:w="0" w:type="auto"/>
          </w:tcPr>
          <w:p w14:paraId="48DB7350"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r>
      <w:tr w:rsidR="00F80661" w:rsidRPr="005B6722" w14:paraId="6CB3B0D7" w14:textId="77777777" w:rsidTr="00D27FC8">
        <w:tc>
          <w:tcPr>
            <w:tcW w:w="0" w:type="auto"/>
          </w:tcPr>
          <w:p w14:paraId="27198502" w14:textId="1305A271" w:rsidR="00180FFE" w:rsidRPr="00AE059E" w:rsidRDefault="00982232" w:rsidP="003557CE">
            <w:pPr>
              <w:rPr>
                <w:sz w:val="24"/>
                <w:szCs w:val="24"/>
                <w:lang w:val="en-AU"/>
              </w:rPr>
            </w:pPr>
            <w:r w:rsidRPr="005B6722">
              <w:rPr>
                <w:sz w:val="24"/>
                <w:szCs w:val="24"/>
              </w:rPr>
              <w:t xml:space="preserve">5.2.2 </w:t>
            </w:r>
            <w:r w:rsidR="00180FFE" w:rsidRPr="005B6722">
              <w:rPr>
                <w:sz w:val="24"/>
                <w:szCs w:val="24"/>
              </w:rPr>
              <w:t>Develop partnerships, funding and data sharing approaches for microbial genomics that promote access to safe, efficient and cost-effective services.</w:t>
            </w:r>
          </w:p>
        </w:tc>
        <w:tc>
          <w:tcPr>
            <w:tcW w:w="0" w:type="auto"/>
          </w:tcPr>
          <w:p w14:paraId="19105CBE" w14:textId="05C9ACE9" w:rsidR="00180FFE" w:rsidRPr="00AE059E" w:rsidRDefault="00982232" w:rsidP="00982232">
            <w:pPr>
              <w:rPr>
                <w:sz w:val="24"/>
                <w:szCs w:val="24"/>
                <w:lang w:val="en-AU"/>
              </w:rPr>
            </w:pPr>
            <w:r w:rsidRPr="005B6722">
              <w:rPr>
                <w:sz w:val="24"/>
                <w:szCs w:val="24"/>
              </w:rPr>
              <w:t>Medium</w:t>
            </w:r>
          </w:p>
        </w:tc>
        <w:tc>
          <w:tcPr>
            <w:tcW w:w="0" w:type="auto"/>
          </w:tcPr>
          <w:p w14:paraId="23C2B5A6" w14:textId="77777777" w:rsidR="00180FFE" w:rsidRPr="00AE059E" w:rsidRDefault="00180FFE" w:rsidP="003557CE">
            <w:pPr>
              <w:rPr>
                <w:sz w:val="24"/>
                <w:szCs w:val="24"/>
                <w:lang w:val="en-AU"/>
              </w:rPr>
            </w:pPr>
            <w:r w:rsidRPr="005B6722">
              <w:rPr>
                <w:sz w:val="24"/>
                <w:szCs w:val="24"/>
              </w:rPr>
              <w:t>CDGN, PHLN, CDNA, Health</w:t>
            </w:r>
          </w:p>
        </w:tc>
        <w:tc>
          <w:tcPr>
            <w:tcW w:w="0" w:type="auto"/>
          </w:tcPr>
          <w:p w14:paraId="7FBF65DC"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r>
      <w:tr w:rsidR="00F80661" w:rsidRPr="005B6722" w14:paraId="355BB1AD" w14:textId="77777777" w:rsidTr="003557CE">
        <w:tc>
          <w:tcPr>
            <w:tcW w:w="0" w:type="auto"/>
          </w:tcPr>
          <w:p w14:paraId="44941520" w14:textId="2D9D3B7F" w:rsidR="00180FFE" w:rsidRPr="00AE059E" w:rsidRDefault="00982232" w:rsidP="00AF7139">
            <w:pPr>
              <w:rPr>
                <w:sz w:val="24"/>
                <w:szCs w:val="24"/>
                <w:lang w:val="en-AU"/>
              </w:rPr>
            </w:pPr>
            <w:r w:rsidRPr="005B6722">
              <w:rPr>
                <w:sz w:val="24"/>
                <w:szCs w:val="24"/>
              </w:rPr>
              <w:t xml:space="preserve">5.2.3 </w:t>
            </w:r>
            <w:r w:rsidR="00180FFE" w:rsidRPr="005B6722">
              <w:rPr>
                <w:sz w:val="24"/>
                <w:szCs w:val="24"/>
              </w:rPr>
              <w:t xml:space="preserve">Collaborate across governments and stakeholders to </w:t>
            </w:r>
            <w:proofErr w:type="spellStart"/>
            <w:r w:rsidR="00180FFE" w:rsidRPr="005B6722">
              <w:rPr>
                <w:sz w:val="24"/>
                <w:szCs w:val="24"/>
              </w:rPr>
              <w:t>maximise</w:t>
            </w:r>
            <w:proofErr w:type="spellEnd"/>
            <w:r w:rsidR="00180FFE" w:rsidRPr="005B6722">
              <w:rPr>
                <w:sz w:val="24"/>
                <w:szCs w:val="24"/>
              </w:rPr>
              <w:t xml:space="preserve"> investment</w:t>
            </w:r>
            <w:r w:rsidR="00AF7139">
              <w:rPr>
                <w:sz w:val="24"/>
                <w:szCs w:val="24"/>
              </w:rPr>
              <w:t>,</w:t>
            </w:r>
            <w:r w:rsidR="00180FFE" w:rsidRPr="005B6722">
              <w:rPr>
                <w:sz w:val="24"/>
                <w:szCs w:val="24"/>
              </w:rPr>
              <w:t xml:space="preserve"> reduce duplication of effort</w:t>
            </w:r>
            <w:r w:rsidR="00AF7139">
              <w:rPr>
                <w:sz w:val="24"/>
                <w:szCs w:val="24"/>
              </w:rPr>
              <w:t xml:space="preserve"> and to use resources efficiently</w:t>
            </w:r>
            <w:r w:rsidR="00180FFE" w:rsidRPr="005B6722">
              <w:rPr>
                <w:sz w:val="24"/>
                <w:szCs w:val="24"/>
              </w:rPr>
              <w:t>.</w:t>
            </w:r>
          </w:p>
        </w:tc>
        <w:tc>
          <w:tcPr>
            <w:tcW w:w="0" w:type="auto"/>
          </w:tcPr>
          <w:p w14:paraId="7FFB518D" w14:textId="77777777" w:rsidR="00180FFE" w:rsidRPr="00AE059E" w:rsidRDefault="00180FFE" w:rsidP="003557CE">
            <w:pPr>
              <w:rPr>
                <w:sz w:val="24"/>
                <w:szCs w:val="24"/>
                <w:lang w:val="en-AU"/>
              </w:rPr>
            </w:pPr>
            <w:r w:rsidRPr="005B6722">
              <w:rPr>
                <w:sz w:val="24"/>
                <w:szCs w:val="24"/>
              </w:rPr>
              <w:t>Long</w:t>
            </w:r>
          </w:p>
        </w:tc>
        <w:tc>
          <w:tcPr>
            <w:tcW w:w="0" w:type="auto"/>
          </w:tcPr>
          <w:p w14:paraId="677481C3" w14:textId="77777777" w:rsidR="00180FFE" w:rsidRPr="00AE059E" w:rsidRDefault="00180FFE" w:rsidP="003557CE">
            <w:pPr>
              <w:rPr>
                <w:sz w:val="24"/>
                <w:szCs w:val="24"/>
                <w:lang w:val="en-AU"/>
              </w:rPr>
            </w:pPr>
            <w:r w:rsidRPr="005B6722">
              <w:rPr>
                <w:sz w:val="24"/>
                <w:szCs w:val="24"/>
              </w:rPr>
              <w:t>CDGN, PHLN, CDNA, AHPPC, Health</w:t>
            </w:r>
          </w:p>
        </w:tc>
        <w:tc>
          <w:tcPr>
            <w:tcW w:w="0" w:type="auto"/>
          </w:tcPr>
          <w:p w14:paraId="7BA2F346" w14:textId="77777777" w:rsidR="00180FFE" w:rsidRPr="00AE059E" w:rsidRDefault="00180FFE" w:rsidP="003557CE">
            <w:pPr>
              <w:rPr>
                <w:rFonts w:asciiTheme="minorHAnsi" w:hAnsiTheme="minorHAnsi" w:cstheme="minorHAnsi"/>
                <w:sz w:val="24"/>
                <w:szCs w:val="24"/>
                <w:lang w:val="en-AU"/>
              </w:rPr>
            </w:pPr>
            <w:r w:rsidRPr="005B6722">
              <w:rPr>
                <w:rFonts w:asciiTheme="minorHAnsi" w:hAnsiTheme="minorHAnsi" w:cstheme="minorHAnsi"/>
                <w:sz w:val="24"/>
                <w:szCs w:val="24"/>
              </w:rPr>
              <w:t>Medium</w:t>
            </w:r>
          </w:p>
        </w:tc>
      </w:tr>
    </w:tbl>
    <w:p w14:paraId="19BC0D65" w14:textId="77777777" w:rsidR="00180FFE" w:rsidRPr="005B6722" w:rsidRDefault="00180FFE" w:rsidP="00180FFE">
      <w:pPr>
        <w:pStyle w:val="BodyText"/>
      </w:pPr>
    </w:p>
    <w:sectPr w:rsidR="00180FFE" w:rsidRPr="005B6722" w:rsidSect="003557CE">
      <w:pgSz w:w="16840" w:h="11910" w:orient="landscape"/>
      <w:pgMar w:top="1420" w:right="1080" w:bottom="1278" w:left="1260" w:header="756" w:footer="1075"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3C85B" w16cid:durableId="22DFA12B"/>
  <w16cid:commentId w16cid:paraId="728A2079" w16cid:durableId="22DFA7B8"/>
  <w16cid:commentId w16cid:paraId="380CC4DC" w16cid:durableId="22DFA80B"/>
  <w16cid:commentId w16cid:paraId="5CE8EBFC" w16cid:durableId="22DFA840"/>
  <w16cid:commentId w16cid:paraId="3EE9BF97" w16cid:durableId="22DFA872"/>
  <w16cid:commentId w16cid:paraId="2867EABC" w16cid:durableId="22DFA9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DED8A" w14:textId="77777777" w:rsidR="00752E10" w:rsidRDefault="00752E10">
      <w:r>
        <w:separator/>
      </w:r>
    </w:p>
  </w:endnote>
  <w:endnote w:type="continuationSeparator" w:id="0">
    <w:p w14:paraId="27964205" w14:textId="77777777" w:rsidR="00752E10" w:rsidRDefault="00752E10">
      <w:r>
        <w:continuationSeparator/>
      </w:r>
    </w:p>
  </w:endnote>
  <w:endnote w:type="continuationNotice" w:id="1">
    <w:p w14:paraId="3011244C" w14:textId="77777777" w:rsidR="00752E10" w:rsidRDefault="00752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DFBC" w14:textId="2427D1F3" w:rsidR="00752E10" w:rsidRDefault="00752E10">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0889A6F7" wp14:editId="23D70C8D">
              <wp:simplePos x="0" y="0"/>
              <wp:positionH relativeFrom="page">
                <wp:posOffset>6303645</wp:posOffset>
              </wp:positionH>
              <wp:positionV relativeFrom="page">
                <wp:posOffset>9869805</wp:posOffset>
              </wp:positionV>
              <wp:extent cx="203200" cy="194310"/>
              <wp:effectExtent l="0" t="190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77182" w14:textId="1A20E45E" w:rsidR="00752E10" w:rsidRDefault="00752E10">
                          <w:pPr>
                            <w:pStyle w:val="BodyText"/>
                            <w:spacing w:before="10"/>
                            <w:ind w:left="40"/>
                            <w:rPr>
                              <w:rFonts w:ascii="Times New Roman"/>
                            </w:rPr>
                          </w:pPr>
                          <w:r>
                            <w:fldChar w:fldCharType="begin"/>
                          </w:r>
                          <w:r>
                            <w:rPr>
                              <w:rFonts w:ascii="Times New Roman"/>
                            </w:rPr>
                            <w:instrText xml:space="preserve"> PAGE </w:instrText>
                          </w:r>
                          <w:r>
                            <w:fldChar w:fldCharType="separate"/>
                          </w:r>
                          <w:r w:rsidR="0018351E">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9A6F7" id="_x0000_t202" coordsize="21600,21600" o:spt="202" path="m,l,21600r21600,l21600,xe">
              <v:stroke joinstyle="miter"/>
              <v:path gradientshapeok="t" o:connecttype="rect"/>
            </v:shapetype>
            <v:shape id="Text Box 2" o:spid="_x0000_s1026" type="#_x0000_t202" style="position:absolute;margin-left:496.35pt;margin-top:777.15pt;width:16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pH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" filled="f" stroked="f">
              <v:textbox inset="0,0,0,0">
                <w:txbxContent>
                  <w:p w14:paraId="0F577182" w14:textId="1A20E45E" w:rsidR="00752E10" w:rsidRDefault="00752E10">
                    <w:pPr>
                      <w:pStyle w:val="BodyText"/>
                      <w:spacing w:before="10"/>
                      <w:ind w:left="40"/>
                      <w:rPr>
                        <w:rFonts w:ascii="Times New Roman"/>
                      </w:rPr>
                    </w:pPr>
                    <w:r>
                      <w:fldChar w:fldCharType="begin"/>
                    </w:r>
                    <w:r>
                      <w:rPr>
                        <w:rFonts w:ascii="Times New Roman"/>
                      </w:rPr>
                      <w:instrText xml:space="preserve"> PAGE </w:instrText>
                    </w:r>
                    <w:r>
                      <w:fldChar w:fldCharType="separate"/>
                    </w:r>
                    <w:r w:rsidR="0018351E">
                      <w:rPr>
                        <w:rFonts w:ascii="Times New Roman"/>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64E70" w14:textId="77777777" w:rsidR="00752E10" w:rsidRDefault="00752E10">
      <w:r>
        <w:separator/>
      </w:r>
    </w:p>
  </w:footnote>
  <w:footnote w:type="continuationSeparator" w:id="0">
    <w:p w14:paraId="47134B1C" w14:textId="77777777" w:rsidR="00752E10" w:rsidRDefault="00752E10">
      <w:r>
        <w:continuationSeparator/>
      </w:r>
    </w:p>
  </w:footnote>
  <w:footnote w:type="continuationNotice" w:id="1">
    <w:p w14:paraId="77ED9662" w14:textId="77777777" w:rsidR="00752E10" w:rsidRDefault="00752E10"/>
  </w:footnote>
  <w:footnote w:id="2">
    <w:p w14:paraId="37974971" w14:textId="513FC7BC" w:rsidR="00752E10" w:rsidRDefault="00752E10">
      <w:pPr>
        <w:pStyle w:val="FootnoteText"/>
      </w:pPr>
      <w:r>
        <w:rPr>
          <w:rStyle w:val="FootnoteReference"/>
        </w:rPr>
        <w:footnoteRef/>
      </w:r>
      <w:r>
        <w:t xml:space="preserve"> On 29 May 2020, it </w:t>
      </w:r>
      <w:proofErr w:type="gramStart"/>
      <w:r>
        <w:t>was announced</w:t>
      </w:r>
      <w:proofErr w:type="gramEnd"/>
      <w:r>
        <w:t xml:space="preserve"> that the Council of Australian Governments (COAG) would cease and the former COAG Councils and Ministerial Forums would be reviewed and rationalised. The Framework and Plan </w:t>
      </w:r>
      <w:proofErr w:type="gramStart"/>
      <w:r>
        <w:t>will be managed</w:t>
      </w:r>
      <w:proofErr w:type="gramEnd"/>
      <w:r>
        <w:t xml:space="preserve"> under AHMAC equivalent governance arrangements, once determined.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ADEB" w14:textId="26064DBF" w:rsidR="00752E10" w:rsidRDefault="00752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DF1"/>
    <w:multiLevelType w:val="hybridMultilevel"/>
    <w:tmpl w:val="8E74A1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4844F7"/>
    <w:multiLevelType w:val="hybridMultilevel"/>
    <w:tmpl w:val="FC029C2E"/>
    <w:lvl w:ilvl="0" w:tplc="0C09000F">
      <w:start w:val="1"/>
      <w:numFmt w:val="decimal"/>
      <w:lvlText w:val="%1."/>
      <w:lvlJc w:val="left"/>
      <w:pPr>
        <w:ind w:left="1002" w:hanging="360"/>
      </w:pPr>
    </w:lvl>
    <w:lvl w:ilvl="1" w:tplc="0C090019" w:tentative="1">
      <w:start w:val="1"/>
      <w:numFmt w:val="lowerLetter"/>
      <w:lvlText w:val="%2."/>
      <w:lvlJc w:val="left"/>
      <w:pPr>
        <w:ind w:left="1722" w:hanging="360"/>
      </w:pPr>
    </w:lvl>
    <w:lvl w:ilvl="2" w:tplc="0C09001B" w:tentative="1">
      <w:start w:val="1"/>
      <w:numFmt w:val="lowerRoman"/>
      <w:lvlText w:val="%3."/>
      <w:lvlJc w:val="right"/>
      <w:pPr>
        <w:ind w:left="2442" w:hanging="180"/>
      </w:pPr>
    </w:lvl>
    <w:lvl w:ilvl="3" w:tplc="0C09000F" w:tentative="1">
      <w:start w:val="1"/>
      <w:numFmt w:val="decimal"/>
      <w:lvlText w:val="%4."/>
      <w:lvlJc w:val="left"/>
      <w:pPr>
        <w:ind w:left="3162" w:hanging="360"/>
      </w:pPr>
    </w:lvl>
    <w:lvl w:ilvl="4" w:tplc="0C090019" w:tentative="1">
      <w:start w:val="1"/>
      <w:numFmt w:val="lowerLetter"/>
      <w:lvlText w:val="%5."/>
      <w:lvlJc w:val="left"/>
      <w:pPr>
        <w:ind w:left="3882" w:hanging="360"/>
      </w:pPr>
    </w:lvl>
    <w:lvl w:ilvl="5" w:tplc="0C09001B" w:tentative="1">
      <w:start w:val="1"/>
      <w:numFmt w:val="lowerRoman"/>
      <w:lvlText w:val="%6."/>
      <w:lvlJc w:val="right"/>
      <w:pPr>
        <w:ind w:left="4602" w:hanging="180"/>
      </w:pPr>
    </w:lvl>
    <w:lvl w:ilvl="6" w:tplc="0C09000F" w:tentative="1">
      <w:start w:val="1"/>
      <w:numFmt w:val="decimal"/>
      <w:lvlText w:val="%7."/>
      <w:lvlJc w:val="left"/>
      <w:pPr>
        <w:ind w:left="5322" w:hanging="360"/>
      </w:pPr>
    </w:lvl>
    <w:lvl w:ilvl="7" w:tplc="0C090019" w:tentative="1">
      <w:start w:val="1"/>
      <w:numFmt w:val="lowerLetter"/>
      <w:lvlText w:val="%8."/>
      <w:lvlJc w:val="left"/>
      <w:pPr>
        <w:ind w:left="6042" w:hanging="360"/>
      </w:pPr>
    </w:lvl>
    <w:lvl w:ilvl="8" w:tplc="0C09001B" w:tentative="1">
      <w:start w:val="1"/>
      <w:numFmt w:val="lowerRoman"/>
      <w:lvlText w:val="%9."/>
      <w:lvlJc w:val="right"/>
      <w:pPr>
        <w:ind w:left="6762" w:hanging="180"/>
      </w:pPr>
    </w:lvl>
  </w:abstractNum>
  <w:abstractNum w:abstractNumId="2" w15:restartNumberingAfterBreak="0">
    <w:nsid w:val="107A48B8"/>
    <w:multiLevelType w:val="hybridMultilevel"/>
    <w:tmpl w:val="7F7081D8"/>
    <w:lvl w:ilvl="0" w:tplc="0C090001">
      <w:start w:val="1"/>
      <w:numFmt w:val="bullet"/>
      <w:lvlText w:val=""/>
      <w:lvlJc w:val="left"/>
      <w:pPr>
        <w:ind w:left="1156" w:hanging="360"/>
      </w:pPr>
      <w:rPr>
        <w:rFonts w:ascii="Symbol" w:hAnsi="Symbol"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3" w15:restartNumberingAfterBreak="0">
    <w:nsid w:val="12783B71"/>
    <w:multiLevelType w:val="hybridMultilevel"/>
    <w:tmpl w:val="1C44C98E"/>
    <w:lvl w:ilvl="0" w:tplc="0C090001">
      <w:start w:val="1"/>
      <w:numFmt w:val="bullet"/>
      <w:lvlText w:val=""/>
      <w:lvlJc w:val="left"/>
      <w:pPr>
        <w:ind w:left="1002" w:hanging="360"/>
      </w:pPr>
      <w:rPr>
        <w:rFonts w:ascii="Symbol" w:hAnsi="Symbol" w:hint="default"/>
      </w:rPr>
    </w:lvl>
    <w:lvl w:ilvl="1" w:tplc="0C090003">
      <w:start w:val="1"/>
      <w:numFmt w:val="bullet"/>
      <w:lvlText w:val="o"/>
      <w:lvlJc w:val="left"/>
      <w:pPr>
        <w:ind w:left="1722" w:hanging="360"/>
      </w:pPr>
      <w:rPr>
        <w:rFonts w:ascii="Courier New" w:hAnsi="Courier New" w:cs="Courier New" w:hint="default"/>
      </w:rPr>
    </w:lvl>
    <w:lvl w:ilvl="2" w:tplc="0C090005" w:tentative="1">
      <w:start w:val="1"/>
      <w:numFmt w:val="bullet"/>
      <w:lvlText w:val=""/>
      <w:lvlJc w:val="left"/>
      <w:pPr>
        <w:ind w:left="2442" w:hanging="360"/>
      </w:pPr>
      <w:rPr>
        <w:rFonts w:ascii="Wingdings" w:hAnsi="Wingdings" w:hint="default"/>
      </w:rPr>
    </w:lvl>
    <w:lvl w:ilvl="3" w:tplc="0C090001" w:tentative="1">
      <w:start w:val="1"/>
      <w:numFmt w:val="bullet"/>
      <w:lvlText w:val=""/>
      <w:lvlJc w:val="left"/>
      <w:pPr>
        <w:ind w:left="3162" w:hanging="360"/>
      </w:pPr>
      <w:rPr>
        <w:rFonts w:ascii="Symbol" w:hAnsi="Symbol" w:hint="default"/>
      </w:rPr>
    </w:lvl>
    <w:lvl w:ilvl="4" w:tplc="0C090003" w:tentative="1">
      <w:start w:val="1"/>
      <w:numFmt w:val="bullet"/>
      <w:lvlText w:val="o"/>
      <w:lvlJc w:val="left"/>
      <w:pPr>
        <w:ind w:left="3882" w:hanging="360"/>
      </w:pPr>
      <w:rPr>
        <w:rFonts w:ascii="Courier New" w:hAnsi="Courier New" w:cs="Courier New" w:hint="default"/>
      </w:rPr>
    </w:lvl>
    <w:lvl w:ilvl="5" w:tplc="0C090005" w:tentative="1">
      <w:start w:val="1"/>
      <w:numFmt w:val="bullet"/>
      <w:lvlText w:val=""/>
      <w:lvlJc w:val="left"/>
      <w:pPr>
        <w:ind w:left="4602" w:hanging="360"/>
      </w:pPr>
      <w:rPr>
        <w:rFonts w:ascii="Wingdings" w:hAnsi="Wingdings" w:hint="default"/>
      </w:rPr>
    </w:lvl>
    <w:lvl w:ilvl="6" w:tplc="0C090001" w:tentative="1">
      <w:start w:val="1"/>
      <w:numFmt w:val="bullet"/>
      <w:lvlText w:val=""/>
      <w:lvlJc w:val="left"/>
      <w:pPr>
        <w:ind w:left="5322" w:hanging="360"/>
      </w:pPr>
      <w:rPr>
        <w:rFonts w:ascii="Symbol" w:hAnsi="Symbol" w:hint="default"/>
      </w:rPr>
    </w:lvl>
    <w:lvl w:ilvl="7" w:tplc="0C090003" w:tentative="1">
      <w:start w:val="1"/>
      <w:numFmt w:val="bullet"/>
      <w:lvlText w:val="o"/>
      <w:lvlJc w:val="left"/>
      <w:pPr>
        <w:ind w:left="6042" w:hanging="360"/>
      </w:pPr>
      <w:rPr>
        <w:rFonts w:ascii="Courier New" w:hAnsi="Courier New" w:cs="Courier New" w:hint="default"/>
      </w:rPr>
    </w:lvl>
    <w:lvl w:ilvl="8" w:tplc="0C090005" w:tentative="1">
      <w:start w:val="1"/>
      <w:numFmt w:val="bullet"/>
      <w:lvlText w:val=""/>
      <w:lvlJc w:val="left"/>
      <w:pPr>
        <w:ind w:left="6762" w:hanging="360"/>
      </w:pPr>
      <w:rPr>
        <w:rFonts w:ascii="Wingdings" w:hAnsi="Wingdings" w:hint="default"/>
      </w:rPr>
    </w:lvl>
  </w:abstractNum>
  <w:abstractNum w:abstractNumId="4" w15:restartNumberingAfterBreak="0">
    <w:nsid w:val="1A084F60"/>
    <w:multiLevelType w:val="hybridMultilevel"/>
    <w:tmpl w:val="9D8A1E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4492FE7"/>
    <w:multiLevelType w:val="hybridMultilevel"/>
    <w:tmpl w:val="E474C2F0"/>
    <w:lvl w:ilvl="0" w:tplc="0C090001">
      <w:start w:val="1"/>
      <w:numFmt w:val="bullet"/>
      <w:lvlText w:val=""/>
      <w:lvlJc w:val="left"/>
      <w:pPr>
        <w:ind w:left="2908" w:hanging="360"/>
      </w:pPr>
      <w:rPr>
        <w:rFonts w:ascii="Symbol" w:hAnsi="Symbol" w:hint="default"/>
      </w:rPr>
    </w:lvl>
    <w:lvl w:ilvl="1" w:tplc="0C090003">
      <w:start w:val="1"/>
      <w:numFmt w:val="bullet"/>
      <w:lvlText w:val="o"/>
      <w:lvlJc w:val="left"/>
      <w:pPr>
        <w:ind w:left="3628" w:hanging="360"/>
      </w:pPr>
      <w:rPr>
        <w:rFonts w:ascii="Courier New" w:hAnsi="Courier New" w:cs="Courier New" w:hint="default"/>
      </w:rPr>
    </w:lvl>
    <w:lvl w:ilvl="2" w:tplc="0C090005" w:tentative="1">
      <w:start w:val="1"/>
      <w:numFmt w:val="bullet"/>
      <w:lvlText w:val=""/>
      <w:lvlJc w:val="left"/>
      <w:pPr>
        <w:ind w:left="4348" w:hanging="360"/>
      </w:pPr>
      <w:rPr>
        <w:rFonts w:ascii="Wingdings" w:hAnsi="Wingdings" w:hint="default"/>
      </w:rPr>
    </w:lvl>
    <w:lvl w:ilvl="3" w:tplc="0C090001" w:tentative="1">
      <w:start w:val="1"/>
      <w:numFmt w:val="bullet"/>
      <w:lvlText w:val=""/>
      <w:lvlJc w:val="left"/>
      <w:pPr>
        <w:ind w:left="5068" w:hanging="360"/>
      </w:pPr>
      <w:rPr>
        <w:rFonts w:ascii="Symbol" w:hAnsi="Symbol" w:hint="default"/>
      </w:rPr>
    </w:lvl>
    <w:lvl w:ilvl="4" w:tplc="0C090003" w:tentative="1">
      <w:start w:val="1"/>
      <w:numFmt w:val="bullet"/>
      <w:lvlText w:val="o"/>
      <w:lvlJc w:val="left"/>
      <w:pPr>
        <w:ind w:left="5788" w:hanging="360"/>
      </w:pPr>
      <w:rPr>
        <w:rFonts w:ascii="Courier New" w:hAnsi="Courier New" w:cs="Courier New" w:hint="default"/>
      </w:rPr>
    </w:lvl>
    <w:lvl w:ilvl="5" w:tplc="0C090005" w:tentative="1">
      <w:start w:val="1"/>
      <w:numFmt w:val="bullet"/>
      <w:lvlText w:val=""/>
      <w:lvlJc w:val="left"/>
      <w:pPr>
        <w:ind w:left="6508" w:hanging="360"/>
      </w:pPr>
      <w:rPr>
        <w:rFonts w:ascii="Wingdings" w:hAnsi="Wingdings" w:hint="default"/>
      </w:rPr>
    </w:lvl>
    <w:lvl w:ilvl="6" w:tplc="0C090001" w:tentative="1">
      <w:start w:val="1"/>
      <w:numFmt w:val="bullet"/>
      <w:lvlText w:val=""/>
      <w:lvlJc w:val="left"/>
      <w:pPr>
        <w:ind w:left="7228" w:hanging="360"/>
      </w:pPr>
      <w:rPr>
        <w:rFonts w:ascii="Symbol" w:hAnsi="Symbol" w:hint="default"/>
      </w:rPr>
    </w:lvl>
    <w:lvl w:ilvl="7" w:tplc="0C090003" w:tentative="1">
      <w:start w:val="1"/>
      <w:numFmt w:val="bullet"/>
      <w:lvlText w:val="o"/>
      <w:lvlJc w:val="left"/>
      <w:pPr>
        <w:ind w:left="7948" w:hanging="360"/>
      </w:pPr>
      <w:rPr>
        <w:rFonts w:ascii="Courier New" w:hAnsi="Courier New" w:cs="Courier New" w:hint="default"/>
      </w:rPr>
    </w:lvl>
    <w:lvl w:ilvl="8" w:tplc="0C090005" w:tentative="1">
      <w:start w:val="1"/>
      <w:numFmt w:val="bullet"/>
      <w:lvlText w:val=""/>
      <w:lvlJc w:val="left"/>
      <w:pPr>
        <w:ind w:left="8668" w:hanging="360"/>
      </w:pPr>
      <w:rPr>
        <w:rFonts w:ascii="Wingdings" w:hAnsi="Wingdings" w:hint="default"/>
      </w:rPr>
    </w:lvl>
  </w:abstractNum>
  <w:abstractNum w:abstractNumId="6" w15:restartNumberingAfterBreak="0">
    <w:nsid w:val="24A32980"/>
    <w:multiLevelType w:val="hybridMultilevel"/>
    <w:tmpl w:val="A6A8F704"/>
    <w:lvl w:ilvl="0" w:tplc="0C090001">
      <w:start w:val="1"/>
      <w:numFmt w:val="bullet"/>
      <w:lvlText w:val=""/>
      <w:lvlJc w:val="left"/>
      <w:pPr>
        <w:ind w:left="1002" w:hanging="360"/>
      </w:pPr>
      <w:rPr>
        <w:rFonts w:ascii="Symbol" w:hAnsi="Symbol" w:hint="default"/>
      </w:rPr>
    </w:lvl>
    <w:lvl w:ilvl="1" w:tplc="0C090003" w:tentative="1">
      <w:start w:val="1"/>
      <w:numFmt w:val="bullet"/>
      <w:lvlText w:val="o"/>
      <w:lvlJc w:val="left"/>
      <w:pPr>
        <w:ind w:left="1722" w:hanging="360"/>
      </w:pPr>
      <w:rPr>
        <w:rFonts w:ascii="Courier New" w:hAnsi="Courier New" w:cs="Courier New" w:hint="default"/>
      </w:rPr>
    </w:lvl>
    <w:lvl w:ilvl="2" w:tplc="0C090005" w:tentative="1">
      <w:start w:val="1"/>
      <w:numFmt w:val="bullet"/>
      <w:lvlText w:val=""/>
      <w:lvlJc w:val="left"/>
      <w:pPr>
        <w:ind w:left="2442" w:hanging="360"/>
      </w:pPr>
      <w:rPr>
        <w:rFonts w:ascii="Wingdings" w:hAnsi="Wingdings" w:hint="default"/>
      </w:rPr>
    </w:lvl>
    <w:lvl w:ilvl="3" w:tplc="0C090001" w:tentative="1">
      <w:start w:val="1"/>
      <w:numFmt w:val="bullet"/>
      <w:lvlText w:val=""/>
      <w:lvlJc w:val="left"/>
      <w:pPr>
        <w:ind w:left="3162" w:hanging="360"/>
      </w:pPr>
      <w:rPr>
        <w:rFonts w:ascii="Symbol" w:hAnsi="Symbol" w:hint="default"/>
      </w:rPr>
    </w:lvl>
    <w:lvl w:ilvl="4" w:tplc="0C090003" w:tentative="1">
      <w:start w:val="1"/>
      <w:numFmt w:val="bullet"/>
      <w:lvlText w:val="o"/>
      <w:lvlJc w:val="left"/>
      <w:pPr>
        <w:ind w:left="3882" w:hanging="360"/>
      </w:pPr>
      <w:rPr>
        <w:rFonts w:ascii="Courier New" w:hAnsi="Courier New" w:cs="Courier New" w:hint="default"/>
      </w:rPr>
    </w:lvl>
    <w:lvl w:ilvl="5" w:tplc="0C090005" w:tentative="1">
      <w:start w:val="1"/>
      <w:numFmt w:val="bullet"/>
      <w:lvlText w:val=""/>
      <w:lvlJc w:val="left"/>
      <w:pPr>
        <w:ind w:left="4602" w:hanging="360"/>
      </w:pPr>
      <w:rPr>
        <w:rFonts w:ascii="Wingdings" w:hAnsi="Wingdings" w:hint="default"/>
      </w:rPr>
    </w:lvl>
    <w:lvl w:ilvl="6" w:tplc="0C090001" w:tentative="1">
      <w:start w:val="1"/>
      <w:numFmt w:val="bullet"/>
      <w:lvlText w:val=""/>
      <w:lvlJc w:val="left"/>
      <w:pPr>
        <w:ind w:left="5322" w:hanging="360"/>
      </w:pPr>
      <w:rPr>
        <w:rFonts w:ascii="Symbol" w:hAnsi="Symbol" w:hint="default"/>
      </w:rPr>
    </w:lvl>
    <w:lvl w:ilvl="7" w:tplc="0C090003" w:tentative="1">
      <w:start w:val="1"/>
      <w:numFmt w:val="bullet"/>
      <w:lvlText w:val="o"/>
      <w:lvlJc w:val="left"/>
      <w:pPr>
        <w:ind w:left="6042" w:hanging="360"/>
      </w:pPr>
      <w:rPr>
        <w:rFonts w:ascii="Courier New" w:hAnsi="Courier New" w:cs="Courier New" w:hint="default"/>
      </w:rPr>
    </w:lvl>
    <w:lvl w:ilvl="8" w:tplc="0C090005" w:tentative="1">
      <w:start w:val="1"/>
      <w:numFmt w:val="bullet"/>
      <w:lvlText w:val=""/>
      <w:lvlJc w:val="left"/>
      <w:pPr>
        <w:ind w:left="6762" w:hanging="360"/>
      </w:pPr>
      <w:rPr>
        <w:rFonts w:ascii="Wingdings" w:hAnsi="Wingdings" w:hint="default"/>
      </w:rPr>
    </w:lvl>
  </w:abstractNum>
  <w:abstractNum w:abstractNumId="7" w15:restartNumberingAfterBreak="0">
    <w:nsid w:val="26CD3C12"/>
    <w:multiLevelType w:val="hybridMultilevel"/>
    <w:tmpl w:val="B3623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42F376A"/>
    <w:multiLevelType w:val="hybridMultilevel"/>
    <w:tmpl w:val="EA962C0C"/>
    <w:lvl w:ilvl="0" w:tplc="0C090001">
      <w:start w:val="1"/>
      <w:numFmt w:val="bullet"/>
      <w:lvlText w:val=""/>
      <w:lvlJc w:val="left"/>
      <w:pPr>
        <w:ind w:left="1592" w:hanging="360"/>
      </w:pPr>
      <w:rPr>
        <w:rFonts w:ascii="Symbol" w:hAnsi="Symbol" w:hint="default"/>
      </w:rPr>
    </w:lvl>
    <w:lvl w:ilvl="1" w:tplc="0C090003" w:tentative="1">
      <w:start w:val="1"/>
      <w:numFmt w:val="bullet"/>
      <w:lvlText w:val="o"/>
      <w:lvlJc w:val="left"/>
      <w:pPr>
        <w:ind w:left="2312" w:hanging="360"/>
      </w:pPr>
      <w:rPr>
        <w:rFonts w:ascii="Courier New" w:hAnsi="Courier New" w:cs="Courier New" w:hint="default"/>
      </w:rPr>
    </w:lvl>
    <w:lvl w:ilvl="2" w:tplc="0C090005" w:tentative="1">
      <w:start w:val="1"/>
      <w:numFmt w:val="bullet"/>
      <w:lvlText w:val=""/>
      <w:lvlJc w:val="left"/>
      <w:pPr>
        <w:ind w:left="3032" w:hanging="360"/>
      </w:pPr>
      <w:rPr>
        <w:rFonts w:ascii="Wingdings" w:hAnsi="Wingdings" w:hint="default"/>
      </w:rPr>
    </w:lvl>
    <w:lvl w:ilvl="3" w:tplc="0C090001" w:tentative="1">
      <w:start w:val="1"/>
      <w:numFmt w:val="bullet"/>
      <w:lvlText w:val=""/>
      <w:lvlJc w:val="left"/>
      <w:pPr>
        <w:ind w:left="3752" w:hanging="360"/>
      </w:pPr>
      <w:rPr>
        <w:rFonts w:ascii="Symbol" w:hAnsi="Symbol" w:hint="default"/>
      </w:rPr>
    </w:lvl>
    <w:lvl w:ilvl="4" w:tplc="0C090003" w:tentative="1">
      <w:start w:val="1"/>
      <w:numFmt w:val="bullet"/>
      <w:lvlText w:val="o"/>
      <w:lvlJc w:val="left"/>
      <w:pPr>
        <w:ind w:left="4472" w:hanging="360"/>
      </w:pPr>
      <w:rPr>
        <w:rFonts w:ascii="Courier New" w:hAnsi="Courier New" w:cs="Courier New" w:hint="default"/>
      </w:rPr>
    </w:lvl>
    <w:lvl w:ilvl="5" w:tplc="0C090005" w:tentative="1">
      <w:start w:val="1"/>
      <w:numFmt w:val="bullet"/>
      <w:lvlText w:val=""/>
      <w:lvlJc w:val="left"/>
      <w:pPr>
        <w:ind w:left="5192" w:hanging="360"/>
      </w:pPr>
      <w:rPr>
        <w:rFonts w:ascii="Wingdings" w:hAnsi="Wingdings" w:hint="default"/>
      </w:rPr>
    </w:lvl>
    <w:lvl w:ilvl="6" w:tplc="0C090001" w:tentative="1">
      <w:start w:val="1"/>
      <w:numFmt w:val="bullet"/>
      <w:lvlText w:val=""/>
      <w:lvlJc w:val="left"/>
      <w:pPr>
        <w:ind w:left="5912" w:hanging="360"/>
      </w:pPr>
      <w:rPr>
        <w:rFonts w:ascii="Symbol" w:hAnsi="Symbol" w:hint="default"/>
      </w:rPr>
    </w:lvl>
    <w:lvl w:ilvl="7" w:tplc="0C090003" w:tentative="1">
      <w:start w:val="1"/>
      <w:numFmt w:val="bullet"/>
      <w:lvlText w:val="o"/>
      <w:lvlJc w:val="left"/>
      <w:pPr>
        <w:ind w:left="6632" w:hanging="360"/>
      </w:pPr>
      <w:rPr>
        <w:rFonts w:ascii="Courier New" w:hAnsi="Courier New" w:cs="Courier New" w:hint="default"/>
      </w:rPr>
    </w:lvl>
    <w:lvl w:ilvl="8" w:tplc="0C090005" w:tentative="1">
      <w:start w:val="1"/>
      <w:numFmt w:val="bullet"/>
      <w:lvlText w:val=""/>
      <w:lvlJc w:val="left"/>
      <w:pPr>
        <w:ind w:left="7352" w:hanging="360"/>
      </w:pPr>
      <w:rPr>
        <w:rFonts w:ascii="Wingdings" w:hAnsi="Wingdings" w:hint="default"/>
      </w:rPr>
    </w:lvl>
  </w:abstractNum>
  <w:abstractNum w:abstractNumId="9" w15:restartNumberingAfterBreak="0">
    <w:nsid w:val="361D47E6"/>
    <w:multiLevelType w:val="hybridMultilevel"/>
    <w:tmpl w:val="172E8D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C097889"/>
    <w:multiLevelType w:val="hybridMultilevel"/>
    <w:tmpl w:val="F8C8A5D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3F1666DC"/>
    <w:multiLevelType w:val="hybridMultilevel"/>
    <w:tmpl w:val="96326FA6"/>
    <w:lvl w:ilvl="0" w:tplc="0C090001">
      <w:start w:val="1"/>
      <w:numFmt w:val="bullet"/>
      <w:lvlText w:val=""/>
      <w:lvlJc w:val="left"/>
      <w:pPr>
        <w:ind w:left="1005" w:hanging="360"/>
      </w:pPr>
      <w:rPr>
        <w:rFonts w:ascii="Symbol" w:hAnsi="Symbol" w:hint="default"/>
      </w:rPr>
    </w:lvl>
    <w:lvl w:ilvl="1" w:tplc="0C090003">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2" w15:restartNumberingAfterBreak="0">
    <w:nsid w:val="3F9739EB"/>
    <w:multiLevelType w:val="hybridMultilevel"/>
    <w:tmpl w:val="70DE6FCC"/>
    <w:lvl w:ilvl="0" w:tplc="0C090001">
      <w:start w:val="1"/>
      <w:numFmt w:val="bullet"/>
      <w:lvlText w:val=""/>
      <w:lvlJc w:val="left"/>
      <w:pPr>
        <w:ind w:left="1308" w:hanging="360"/>
      </w:pPr>
      <w:rPr>
        <w:rFonts w:ascii="Symbol" w:hAnsi="Symbol" w:hint="default"/>
      </w:rPr>
    </w:lvl>
    <w:lvl w:ilvl="1" w:tplc="0C090003" w:tentative="1">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13" w15:restartNumberingAfterBreak="0">
    <w:nsid w:val="4BC46B7F"/>
    <w:multiLevelType w:val="hybridMultilevel"/>
    <w:tmpl w:val="7E60B4A2"/>
    <w:lvl w:ilvl="0" w:tplc="0C090001">
      <w:start w:val="1"/>
      <w:numFmt w:val="bullet"/>
      <w:lvlText w:val=""/>
      <w:lvlJc w:val="left"/>
      <w:pPr>
        <w:ind w:left="1002" w:hanging="360"/>
      </w:pPr>
      <w:rPr>
        <w:rFonts w:ascii="Symbol" w:hAnsi="Symbol" w:hint="default"/>
      </w:rPr>
    </w:lvl>
    <w:lvl w:ilvl="1" w:tplc="0C090003" w:tentative="1">
      <w:start w:val="1"/>
      <w:numFmt w:val="bullet"/>
      <w:lvlText w:val="o"/>
      <w:lvlJc w:val="left"/>
      <w:pPr>
        <w:ind w:left="1722" w:hanging="360"/>
      </w:pPr>
      <w:rPr>
        <w:rFonts w:ascii="Courier New" w:hAnsi="Courier New" w:cs="Courier New" w:hint="default"/>
      </w:rPr>
    </w:lvl>
    <w:lvl w:ilvl="2" w:tplc="0C090005" w:tentative="1">
      <w:start w:val="1"/>
      <w:numFmt w:val="bullet"/>
      <w:lvlText w:val=""/>
      <w:lvlJc w:val="left"/>
      <w:pPr>
        <w:ind w:left="2442" w:hanging="360"/>
      </w:pPr>
      <w:rPr>
        <w:rFonts w:ascii="Wingdings" w:hAnsi="Wingdings" w:hint="default"/>
      </w:rPr>
    </w:lvl>
    <w:lvl w:ilvl="3" w:tplc="0C090001" w:tentative="1">
      <w:start w:val="1"/>
      <w:numFmt w:val="bullet"/>
      <w:lvlText w:val=""/>
      <w:lvlJc w:val="left"/>
      <w:pPr>
        <w:ind w:left="3162" w:hanging="360"/>
      </w:pPr>
      <w:rPr>
        <w:rFonts w:ascii="Symbol" w:hAnsi="Symbol" w:hint="default"/>
      </w:rPr>
    </w:lvl>
    <w:lvl w:ilvl="4" w:tplc="0C090003" w:tentative="1">
      <w:start w:val="1"/>
      <w:numFmt w:val="bullet"/>
      <w:lvlText w:val="o"/>
      <w:lvlJc w:val="left"/>
      <w:pPr>
        <w:ind w:left="3882" w:hanging="360"/>
      </w:pPr>
      <w:rPr>
        <w:rFonts w:ascii="Courier New" w:hAnsi="Courier New" w:cs="Courier New" w:hint="default"/>
      </w:rPr>
    </w:lvl>
    <w:lvl w:ilvl="5" w:tplc="0C090005" w:tentative="1">
      <w:start w:val="1"/>
      <w:numFmt w:val="bullet"/>
      <w:lvlText w:val=""/>
      <w:lvlJc w:val="left"/>
      <w:pPr>
        <w:ind w:left="4602" w:hanging="360"/>
      </w:pPr>
      <w:rPr>
        <w:rFonts w:ascii="Wingdings" w:hAnsi="Wingdings" w:hint="default"/>
      </w:rPr>
    </w:lvl>
    <w:lvl w:ilvl="6" w:tplc="0C090001" w:tentative="1">
      <w:start w:val="1"/>
      <w:numFmt w:val="bullet"/>
      <w:lvlText w:val=""/>
      <w:lvlJc w:val="left"/>
      <w:pPr>
        <w:ind w:left="5322" w:hanging="360"/>
      </w:pPr>
      <w:rPr>
        <w:rFonts w:ascii="Symbol" w:hAnsi="Symbol" w:hint="default"/>
      </w:rPr>
    </w:lvl>
    <w:lvl w:ilvl="7" w:tplc="0C090003" w:tentative="1">
      <w:start w:val="1"/>
      <w:numFmt w:val="bullet"/>
      <w:lvlText w:val="o"/>
      <w:lvlJc w:val="left"/>
      <w:pPr>
        <w:ind w:left="6042" w:hanging="360"/>
      </w:pPr>
      <w:rPr>
        <w:rFonts w:ascii="Courier New" w:hAnsi="Courier New" w:cs="Courier New" w:hint="default"/>
      </w:rPr>
    </w:lvl>
    <w:lvl w:ilvl="8" w:tplc="0C090005" w:tentative="1">
      <w:start w:val="1"/>
      <w:numFmt w:val="bullet"/>
      <w:lvlText w:val=""/>
      <w:lvlJc w:val="left"/>
      <w:pPr>
        <w:ind w:left="6762" w:hanging="360"/>
      </w:pPr>
      <w:rPr>
        <w:rFonts w:ascii="Wingdings" w:hAnsi="Wingdings" w:hint="default"/>
      </w:rPr>
    </w:lvl>
  </w:abstractNum>
  <w:abstractNum w:abstractNumId="14" w15:restartNumberingAfterBreak="0">
    <w:nsid w:val="4C1E6EC0"/>
    <w:multiLevelType w:val="hybridMultilevel"/>
    <w:tmpl w:val="2488C778"/>
    <w:lvl w:ilvl="0" w:tplc="0C090001">
      <w:start w:val="1"/>
      <w:numFmt w:val="bullet"/>
      <w:lvlText w:val=""/>
      <w:lvlJc w:val="left"/>
      <w:pPr>
        <w:ind w:left="1308" w:hanging="360"/>
      </w:pPr>
      <w:rPr>
        <w:rFonts w:ascii="Symbol" w:hAnsi="Symbol" w:hint="default"/>
      </w:rPr>
    </w:lvl>
    <w:lvl w:ilvl="1" w:tplc="0C090003" w:tentative="1">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15" w15:restartNumberingAfterBreak="0">
    <w:nsid w:val="58D06548"/>
    <w:multiLevelType w:val="hybridMultilevel"/>
    <w:tmpl w:val="9622FB04"/>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6" w15:restartNumberingAfterBreak="0">
    <w:nsid w:val="5BFD2F8B"/>
    <w:multiLevelType w:val="hybridMultilevel"/>
    <w:tmpl w:val="39224B82"/>
    <w:lvl w:ilvl="0" w:tplc="0C090001">
      <w:start w:val="1"/>
      <w:numFmt w:val="bullet"/>
      <w:lvlText w:val=""/>
      <w:lvlJc w:val="left"/>
      <w:pPr>
        <w:ind w:left="1308" w:hanging="360"/>
      </w:pPr>
      <w:rPr>
        <w:rFonts w:ascii="Symbol" w:hAnsi="Symbol" w:hint="default"/>
      </w:rPr>
    </w:lvl>
    <w:lvl w:ilvl="1" w:tplc="0C090003" w:tentative="1">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17" w15:restartNumberingAfterBreak="0">
    <w:nsid w:val="5C0902EB"/>
    <w:multiLevelType w:val="hybridMultilevel"/>
    <w:tmpl w:val="30E65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FA7415"/>
    <w:multiLevelType w:val="hybridMultilevel"/>
    <w:tmpl w:val="256630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2150D83"/>
    <w:multiLevelType w:val="hybridMultilevel"/>
    <w:tmpl w:val="F4E46652"/>
    <w:lvl w:ilvl="0" w:tplc="0C090001">
      <w:start w:val="1"/>
      <w:numFmt w:val="bullet"/>
      <w:lvlText w:val=""/>
      <w:lvlJc w:val="left"/>
      <w:pPr>
        <w:ind w:left="1209" w:hanging="360"/>
      </w:pPr>
      <w:rPr>
        <w:rFonts w:ascii="Symbol" w:hAnsi="Symbol" w:hint="default"/>
      </w:rPr>
    </w:lvl>
    <w:lvl w:ilvl="1" w:tplc="0C090003" w:tentative="1">
      <w:start w:val="1"/>
      <w:numFmt w:val="bullet"/>
      <w:lvlText w:val="o"/>
      <w:lvlJc w:val="left"/>
      <w:pPr>
        <w:ind w:left="1929" w:hanging="360"/>
      </w:pPr>
      <w:rPr>
        <w:rFonts w:ascii="Courier New" w:hAnsi="Courier New" w:cs="Courier New" w:hint="default"/>
      </w:rPr>
    </w:lvl>
    <w:lvl w:ilvl="2" w:tplc="0C090005" w:tentative="1">
      <w:start w:val="1"/>
      <w:numFmt w:val="bullet"/>
      <w:lvlText w:val=""/>
      <w:lvlJc w:val="left"/>
      <w:pPr>
        <w:ind w:left="2649" w:hanging="360"/>
      </w:pPr>
      <w:rPr>
        <w:rFonts w:ascii="Wingdings" w:hAnsi="Wingdings" w:hint="default"/>
      </w:rPr>
    </w:lvl>
    <w:lvl w:ilvl="3" w:tplc="0C090001" w:tentative="1">
      <w:start w:val="1"/>
      <w:numFmt w:val="bullet"/>
      <w:lvlText w:val=""/>
      <w:lvlJc w:val="left"/>
      <w:pPr>
        <w:ind w:left="3369" w:hanging="360"/>
      </w:pPr>
      <w:rPr>
        <w:rFonts w:ascii="Symbol" w:hAnsi="Symbol" w:hint="default"/>
      </w:rPr>
    </w:lvl>
    <w:lvl w:ilvl="4" w:tplc="0C090003" w:tentative="1">
      <w:start w:val="1"/>
      <w:numFmt w:val="bullet"/>
      <w:lvlText w:val="o"/>
      <w:lvlJc w:val="left"/>
      <w:pPr>
        <w:ind w:left="4089" w:hanging="360"/>
      </w:pPr>
      <w:rPr>
        <w:rFonts w:ascii="Courier New" w:hAnsi="Courier New" w:cs="Courier New" w:hint="default"/>
      </w:rPr>
    </w:lvl>
    <w:lvl w:ilvl="5" w:tplc="0C090005" w:tentative="1">
      <w:start w:val="1"/>
      <w:numFmt w:val="bullet"/>
      <w:lvlText w:val=""/>
      <w:lvlJc w:val="left"/>
      <w:pPr>
        <w:ind w:left="4809" w:hanging="360"/>
      </w:pPr>
      <w:rPr>
        <w:rFonts w:ascii="Wingdings" w:hAnsi="Wingdings" w:hint="default"/>
      </w:rPr>
    </w:lvl>
    <w:lvl w:ilvl="6" w:tplc="0C090001" w:tentative="1">
      <w:start w:val="1"/>
      <w:numFmt w:val="bullet"/>
      <w:lvlText w:val=""/>
      <w:lvlJc w:val="left"/>
      <w:pPr>
        <w:ind w:left="5529" w:hanging="360"/>
      </w:pPr>
      <w:rPr>
        <w:rFonts w:ascii="Symbol" w:hAnsi="Symbol" w:hint="default"/>
      </w:rPr>
    </w:lvl>
    <w:lvl w:ilvl="7" w:tplc="0C090003" w:tentative="1">
      <w:start w:val="1"/>
      <w:numFmt w:val="bullet"/>
      <w:lvlText w:val="o"/>
      <w:lvlJc w:val="left"/>
      <w:pPr>
        <w:ind w:left="6249" w:hanging="360"/>
      </w:pPr>
      <w:rPr>
        <w:rFonts w:ascii="Courier New" w:hAnsi="Courier New" w:cs="Courier New" w:hint="default"/>
      </w:rPr>
    </w:lvl>
    <w:lvl w:ilvl="8" w:tplc="0C090005" w:tentative="1">
      <w:start w:val="1"/>
      <w:numFmt w:val="bullet"/>
      <w:lvlText w:val=""/>
      <w:lvlJc w:val="left"/>
      <w:pPr>
        <w:ind w:left="6969" w:hanging="360"/>
      </w:pPr>
      <w:rPr>
        <w:rFonts w:ascii="Wingdings" w:hAnsi="Wingdings" w:hint="default"/>
      </w:rPr>
    </w:lvl>
  </w:abstractNum>
  <w:abstractNum w:abstractNumId="20" w15:restartNumberingAfterBreak="0">
    <w:nsid w:val="65C50B64"/>
    <w:multiLevelType w:val="hybridMultilevel"/>
    <w:tmpl w:val="660C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372FCF"/>
    <w:multiLevelType w:val="hybridMultilevel"/>
    <w:tmpl w:val="94EEDC94"/>
    <w:lvl w:ilvl="0" w:tplc="B0B812E8">
      <w:numFmt w:val="bullet"/>
      <w:lvlText w:val=""/>
      <w:lvlJc w:val="left"/>
      <w:pPr>
        <w:ind w:left="1002" w:hanging="360"/>
      </w:pPr>
      <w:rPr>
        <w:rFonts w:ascii="Symbol" w:eastAsia="Symbol" w:hAnsi="Symbol" w:cs="Symbol" w:hint="default"/>
        <w:w w:val="100"/>
        <w:sz w:val="24"/>
        <w:szCs w:val="24"/>
        <w:lang w:val="en-AU" w:eastAsia="en-AU" w:bidi="en-AU"/>
      </w:rPr>
    </w:lvl>
    <w:lvl w:ilvl="1" w:tplc="B832F4AE">
      <w:numFmt w:val="bullet"/>
      <w:lvlText w:val="•"/>
      <w:lvlJc w:val="left"/>
      <w:pPr>
        <w:ind w:left="1876" w:hanging="360"/>
      </w:pPr>
      <w:rPr>
        <w:rFonts w:hint="default"/>
        <w:lang w:val="en-AU" w:eastAsia="en-AU" w:bidi="en-AU"/>
      </w:rPr>
    </w:lvl>
    <w:lvl w:ilvl="2" w:tplc="7A50D2EA">
      <w:numFmt w:val="bullet"/>
      <w:lvlText w:val="•"/>
      <w:lvlJc w:val="left"/>
      <w:pPr>
        <w:ind w:left="2753" w:hanging="360"/>
      </w:pPr>
      <w:rPr>
        <w:rFonts w:hint="default"/>
        <w:lang w:val="en-AU" w:eastAsia="en-AU" w:bidi="en-AU"/>
      </w:rPr>
    </w:lvl>
    <w:lvl w:ilvl="3" w:tplc="EF2625B0">
      <w:numFmt w:val="bullet"/>
      <w:lvlText w:val="•"/>
      <w:lvlJc w:val="left"/>
      <w:pPr>
        <w:ind w:left="3629" w:hanging="360"/>
      </w:pPr>
      <w:rPr>
        <w:rFonts w:hint="default"/>
        <w:lang w:val="en-AU" w:eastAsia="en-AU" w:bidi="en-AU"/>
      </w:rPr>
    </w:lvl>
    <w:lvl w:ilvl="4" w:tplc="56100E32">
      <w:numFmt w:val="bullet"/>
      <w:lvlText w:val="•"/>
      <w:lvlJc w:val="left"/>
      <w:pPr>
        <w:ind w:left="4506" w:hanging="360"/>
      </w:pPr>
      <w:rPr>
        <w:rFonts w:hint="default"/>
        <w:lang w:val="en-AU" w:eastAsia="en-AU" w:bidi="en-AU"/>
      </w:rPr>
    </w:lvl>
    <w:lvl w:ilvl="5" w:tplc="DCFC6886">
      <w:numFmt w:val="bullet"/>
      <w:lvlText w:val="•"/>
      <w:lvlJc w:val="left"/>
      <w:pPr>
        <w:ind w:left="5383" w:hanging="360"/>
      </w:pPr>
      <w:rPr>
        <w:rFonts w:hint="default"/>
        <w:lang w:val="en-AU" w:eastAsia="en-AU" w:bidi="en-AU"/>
      </w:rPr>
    </w:lvl>
    <w:lvl w:ilvl="6" w:tplc="6D9A4872">
      <w:numFmt w:val="bullet"/>
      <w:lvlText w:val="•"/>
      <w:lvlJc w:val="left"/>
      <w:pPr>
        <w:ind w:left="6259" w:hanging="360"/>
      </w:pPr>
      <w:rPr>
        <w:rFonts w:hint="default"/>
        <w:lang w:val="en-AU" w:eastAsia="en-AU" w:bidi="en-AU"/>
      </w:rPr>
    </w:lvl>
    <w:lvl w:ilvl="7" w:tplc="CAAEFE74">
      <w:numFmt w:val="bullet"/>
      <w:lvlText w:val="•"/>
      <w:lvlJc w:val="left"/>
      <w:pPr>
        <w:ind w:left="7136" w:hanging="360"/>
      </w:pPr>
      <w:rPr>
        <w:rFonts w:hint="default"/>
        <w:lang w:val="en-AU" w:eastAsia="en-AU" w:bidi="en-AU"/>
      </w:rPr>
    </w:lvl>
    <w:lvl w:ilvl="8" w:tplc="2FC623F2">
      <w:numFmt w:val="bullet"/>
      <w:lvlText w:val="•"/>
      <w:lvlJc w:val="left"/>
      <w:pPr>
        <w:ind w:left="8013" w:hanging="360"/>
      </w:pPr>
      <w:rPr>
        <w:rFonts w:hint="default"/>
        <w:lang w:val="en-AU" w:eastAsia="en-AU" w:bidi="en-AU"/>
      </w:rPr>
    </w:lvl>
  </w:abstractNum>
  <w:abstractNum w:abstractNumId="22" w15:restartNumberingAfterBreak="0">
    <w:nsid w:val="74E0760E"/>
    <w:multiLevelType w:val="hybridMultilevel"/>
    <w:tmpl w:val="82EAAEDE"/>
    <w:lvl w:ilvl="0" w:tplc="0C090001">
      <w:start w:val="1"/>
      <w:numFmt w:val="bullet"/>
      <w:lvlText w:val=""/>
      <w:lvlJc w:val="left"/>
      <w:pPr>
        <w:ind w:left="1002" w:hanging="360"/>
      </w:pPr>
      <w:rPr>
        <w:rFonts w:ascii="Symbol" w:hAnsi="Symbol" w:hint="default"/>
      </w:rPr>
    </w:lvl>
    <w:lvl w:ilvl="1" w:tplc="0C090003" w:tentative="1">
      <w:start w:val="1"/>
      <w:numFmt w:val="bullet"/>
      <w:lvlText w:val="o"/>
      <w:lvlJc w:val="left"/>
      <w:pPr>
        <w:ind w:left="1722" w:hanging="360"/>
      </w:pPr>
      <w:rPr>
        <w:rFonts w:ascii="Courier New" w:hAnsi="Courier New" w:cs="Courier New" w:hint="default"/>
      </w:rPr>
    </w:lvl>
    <w:lvl w:ilvl="2" w:tplc="0C090005" w:tentative="1">
      <w:start w:val="1"/>
      <w:numFmt w:val="bullet"/>
      <w:lvlText w:val=""/>
      <w:lvlJc w:val="left"/>
      <w:pPr>
        <w:ind w:left="2442" w:hanging="360"/>
      </w:pPr>
      <w:rPr>
        <w:rFonts w:ascii="Wingdings" w:hAnsi="Wingdings" w:hint="default"/>
      </w:rPr>
    </w:lvl>
    <w:lvl w:ilvl="3" w:tplc="0C090001" w:tentative="1">
      <w:start w:val="1"/>
      <w:numFmt w:val="bullet"/>
      <w:lvlText w:val=""/>
      <w:lvlJc w:val="left"/>
      <w:pPr>
        <w:ind w:left="3162" w:hanging="360"/>
      </w:pPr>
      <w:rPr>
        <w:rFonts w:ascii="Symbol" w:hAnsi="Symbol" w:hint="default"/>
      </w:rPr>
    </w:lvl>
    <w:lvl w:ilvl="4" w:tplc="0C090003" w:tentative="1">
      <w:start w:val="1"/>
      <w:numFmt w:val="bullet"/>
      <w:lvlText w:val="o"/>
      <w:lvlJc w:val="left"/>
      <w:pPr>
        <w:ind w:left="3882" w:hanging="360"/>
      </w:pPr>
      <w:rPr>
        <w:rFonts w:ascii="Courier New" w:hAnsi="Courier New" w:cs="Courier New" w:hint="default"/>
      </w:rPr>
    </w:lvl>
    <w:lvl w:ilvl="5" w:tplc="0C090005" w:tentative="1">
      <w:start w:val="1"/>
      <w:numFmt w:val="bullet"/>
      <w:lvlText w:val=""/>
      <w:lvlJc w:val="left"/>
      <w:pPr>
        <w:ind w:left="4602" w:hanging="360"/>
      </w:pPr>
      <w:rPr>
        <w:rFonts w:ascii="Wingdings" w:hAnsi="Wingdings" w:hint="default"/>
      </w:rPr>
    </w:lvl>
    <w:lvl w:ilvl="6" w:tplc="0C090001" w:tentative="1">
      <w:start w:val="1"/>
      <w:numFmt w:val="bullet"/>
      <w:lvlText w:val=""/>
      <w:lvlJc w:val="left"/>
      <w:pPr>
        <w:ind w:left="5322" w:hanging="360"/>
      </w:pPr>
      <w:rPr>
        <w:rFonts w:ascii="Symbol" w:hAnsi="Symbol" w:hint="default"/>
      </w:rPr>
    </w:lvl>
    <w:lvl w:ilvl="7" w:tplc="0C090003" w:tentative="1">
      <w:start w:val="1"/>
      <w:numFmt w:val="bullet"/>
      <w:lvlText w:val="o"/>
      <w:lvlJc w:val="left"/>
      <w:pPr>
        <w:ind w:left="6042" w:hanging="360"/>
      </w:pPr>
      <w:rPr>
        <w:rFonts w:ascii="Courier New" w:hAnsi="Courier New" w:cs="Courier New" w:hint="default"/>
      </w:rPr>
    </w:lvl>
    <w:lvl w:ilvl="8" w:tplc="0C090005" w:tentative="1">
      <w:start w:val="1"/>
      <w:numFmt w:val="bullet"/>
      <w:lvlText w:val=""/>
      <w:lvlJc w:val="left"/>
      <w:pPr>
        <w:ind w:left="6762" w:hanging="360"/>
      </w:pPr>
      <w:rPr>
        <w:rFonts w:ascii="Wingdings" w:hAnsi="Wingdings" w:hint="default"/>
      </w:rPr>
    </w:lvl>
  </w:abstractNum>
  <w:abstractNum w:abstractNumId="23" w15:restartNumberingAfterBreak="0">
    <w:nsid w:val="75285434"/>
    <w:multiLevelType w:val="hybridMultilevel"/>
    <w:tmpl w:val="11F8CB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7F65B38"/>
    <w:multiLevelType w:val="hybridMultilevel"/>
    <w:tmpl w:val="81E0FE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87C79E3"/>
    <w:multiLevelType w:val="hybridMultilevel"/>
    <w:tmpl w:val="9C26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F068CF"/>
    <w:multiLevelType w:val="hybridMultilevel"/>
    <w:tmpl w:val="DDA47836"/>
    <w:lvl w:ilvl="0" w:tplc="D90AFB7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A684471"/>
    <w:multiLevelType w:val="hybridMultilevel"/>
    <w:tmpl w:val="C39609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19"/>
  </w:num>
  <w:num w:numId="3">
    <w:abstractNumId w:val="2"/>
  </w:num>
  <w:num w:numId="4">
    <w:abstractNumId w:val="14"/>
  </w:num>
  <w:num w:numId="5">
    <w:abstractNumId w:val="16"/>
  </w:num>
  <w:num w:numId="6">
    <w:abstractNumId w:val="5"/>
  </w:num>
  <w:num w:numId="7">
    <w:abstractNumId w:val="12"/>
  </w:num>
  <w:num w:numId="8">
    <w:abstractNumId w:val="8"/>
  </w:num>
  <w:num w:numId="9">
    <w:abstractNumId w:val="10"/>
  </w:num>
  <w:num w:numId="10">
    <w:abstractNumId w:val="0"/>
  </w:num>
  <w:num w:numId="11">
    <w:abstractNumId w:val="27"/>
  </w:num>
  <w:num w:numId="12">
    <w:abstractNumId w:val="7"/>
  </w:num>
  <w:num w:numId="13">
    <w:abstractNumId w:val="24"/>
  </w:num>
  <w:num w:numId="14">
    <w:abstractNumId w:val="17"/>
  </w:num>
  <w:num w:numId="15">
    <w:abstractNumId w:val="25"/>
  </w:num>
  <w:num w:numId="16">
    <w:abstractNumId w:val="11"/>
  </w:num>
  <w:num w:numId="17">
    <w:abstractNumId w:val="15"/>
  </w:num>
  <w:num w:numId="18">
    <w:abstractNumId w:val="3"/>
  </w:num>
  <w:num w:numId="19">
    <w:abstractNumId w:val="22"/>
  </w:num>
  <w:num w:numId="20">
    <w:abstractNumId w:val="6"/>
  </w:num>
  <w:num w:numId="21">
    <w:abstractNumId w:val="1"/>
  </w:num>
  <w:num w:numId="22">
    <w:abstractNumId w:val="18"/>
  </w:num>
  <w:num w:numId="23">
    <w:abstractNumId w:val="23"/>
  </w:num>
  <w:num w:numId="24">
    <w:abstractNumId w:val="26"/>
  </w:num>
  <w:num w:numId="25">
    <w:abstractNumId w:val="20"/>
  </w:num>
  <w:num w:numId="26">
    <w:abstractNumId w:val="9"/>
  </w:num>
  <w:num w:numId="27">
    <w:abstractNumId w:val="4"/>
  </w:num>
  <w:num w:numId="2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FE"/>
    <w:rsid w:val="00003E98"/>
    <w:rsid w:val="00005AD4"/>
    <w:rsid w:val="000173C0"/>
    <w:rsid w:val="000207FD"/>
    <w:rsid w:val="000217BD"/>
    <w:rsid w:val="00037AD8"/>
    <w:rsid w:val="000429CA"/>
    <w:rsid w:val="00051CEE"/>
    <w:rsid w:val="0005729D"/>
    <w:rsid w:val="00060A9F"/>
    <w:rsid w:val="00060D34"/>
    <w:rsid w:val="00065526"/>
    <w:rsid w:val="000744D7"/>
    <w:rsid w:val="00076883"/>
    <w:rsid w:val="00076D07"/>
    <w:rsid w:val="00083C6B"/>
    <w:rsid w:val="000848F1"/>
    <w:rsid w:val="00085E2C"/>
    <w:rsid w:val="000A53F6"/>
    <w:rsid w:val="000B2E96"/>
    <w:rsid w:val="000B5D20"/>
    <w:rsid w:val="000B7178"/>
    <w:rsid w:val="000E50D5"/>
    <w:rsid w:val="000F680C"/>
    <w:rsid w:val="000F6C67"/>
    <w:rsid w:val="00107899"/>
    <w:rsid w:val="001165F8"/>
    <w:rsid w:val="00116AC9"/>
    <w:rsid w:val="00122D64"/>
    <w:rsid w:val="0012584E"/>
    <w:rsid w:val="00131C2B"/>
    <w:rsid w:val="001324A3"/>
    <w:rsid w:val="00132911"/>
    <w:rsid w:val="00141B8A"/>
    <w:rsid w:val="0015621B"/>
    <w:rsid w:val="0016166B"/>
    <w:rsid w:val="00165584"/>
    <w:rsid w:val="00176051"/>
    <w:rsid w:val="00176920"/>
    <w:rsid w:val="00176972"/>
    <w:rsid w:val="00177D51"/>
    <w:rsid w:val="00180FFE"/>
    <w:rsid w:val="00182100"/>
    <w:rsid w:val="0018351E"/>
    <w:rsid w:val="0018756F"/>
    <w:rsid w:val="001A6F7B"/>
    <w:rsid w:val="001B54E7"/>
    <w:rsid w:val="001B599A"/>
    <w:rsid w:val="001C0D1B"/>
    <w:rsid w:val="001D3B15"/>
    <w:rsid w:val="001E08CE"/>
    <w:rsid w:val="001E0F90"/>
    <w:rsid w:val="001E3EA2"/>
    <w:rsid w:val="001F284F"/>
    <w:rsid w:val="001F522C"/>
    <w:rsid w:val="00213D25"/>
    <w:rsid w:val="00214BBD"/>
    <w:rsid w:val="00225618"/>
    <w:rsid w:val="0022701E"/>
    <w:rsid w:val="00235B39"/>
    <w:rsid w:val="00237982"/>
    <w:rsid w:val="00254ECA"/>
    <w:rsid w:val="00276BE0"/>
    <w:rsid w:val="0028366C"/>
    <w:rsid w:val="00291C8D"/>
    <w:rsid w:val="00294260"/>
    <w:rsid w:val="002B7734"/>
    <w:rsid w:val="002B796E"/>
    <w:rsid w:val="002E0578"/>
    <w:rsid w:val="002F7A2D"/>
    <w:rsid w:val="003026BF"/>
    <w:rsid w:val="003149F8"/>
    <w:rsid w:val="0032774B"/>
    <w:rsid w:val="00332962"/>
    <w:rsid w:val="00337278"/>
    <w:rsid w:val="0035258B"/>
    <w:rsid w:val="00354058"/>
    <w:rsid w:val="003557CE"/>
    <w:rsid w:val="003752F8"/>
    <w:rsid w:val="0039136F"/>
    <w:rsid w:val="003A6BA7"/>
    <w:rsid w:val="003B5908"/>
    <w:rsid w:val="003C2D71"/>
    <w:rsid w:val="003F0107"/>
    <w:rsid w:val="003F5600"/>
    <w:rsid w:val="00405003"/>
    <w:rsid w:val="004074E4"/>
    <w:rsid w:val="00410F29"/>
    <w:rsid w:val="00411192"/>
    <w:rsid w:val="0041161B"/>
    <w:rsid w:val="00421672"/>
    <w:rsid w:val="004224D9"/>
    <w:rsid w:val="00425FCA"/>
    <w:rsid w:val="00444156"/>
    <w:rsid w:val="0045089E"/>
    <w:rsid w:val="00452744"/>
    <w:rsid w:val="00455D7C"/>
    <w:rsid w:val="00462A9D"/>
    <w:rsid w:val="004672F2"/>
    <w:rsid w:val="00467768"/>
    <w:rsid w:val="004702A8"/>
    <w:rsid w:val="00474D94"/>
    <w:rsid w:val="004A3358"/>
    <w:rsid w:val="004B4827"/>
    <w:rsid w:val="004D06EA"/>
    <w:rsid w:val="004E0923"/>
    <w:rsid w:val="004E588A"/>
    <w:rsid w:val="00502105"/>
    <w:rsid w:val="00505E96"/>
    <w:rsid w:val="005200BE"/>
    <w:rsid w:val="00533A3E"/>
    <w:rsid w:val="0054615A"/>
    <w:rsid w:val="00554207"/>
    <w:rsid w:val="005709D1"/>
    <w:rsid w:val="005715E3"/>
    <w:rsid w:val="00577022"/>
    <w:rsid w:val="00581A96"/>
    <w:rsid w:val="00583EA8"/>
    <w:rsid w:val="005973C2"/>
    <w:rsid w:val="005A5D24"/>
    <w:rsid w:val="005B2B68"/>
    <w:rsid w:val="005B6722"/>
    <w:rsid w:val="005C0022"/>
    <w:rsid w:val="005C0DA0"/>
    <w:rsid w:val="005D1BED"/>
    <w:rsid w:val="005D5527"/>
    <w:rsid w:val="005F437F"/>
    <w:rsid w:val="00601C84"/>
    <w:rsid w:val="00602D67"/>
    <w:rsid w:val="0061244E"/>
    <w:rsid w:val="00633111"/>
    <w:rsid w:val="006473B6"/>
    <w:rsid w:val="00655329"/>
    <w:rsid w:val="006859F2"/>
    <w:rsid w:val="006A2739"/>
    <w:rsid w:val="006B6616"/>
    <w:rsid w:val="006D1FBD"/>
    <w:rsid w:val="006E0A68"/>
    <w:rsid w:val="006E1B88"/>
    <w:rsid w:val="006E51B2"/>
    <w:rsid w:val="006F5EA0"/>
    <w:rsid w:val="006F7E0D"/>
    <w:rsid w:val="00720165"/>
    <w:rsid w:val="0073238A"/>
    <w:rsid w:val="00734D33"/>
    <w:rsid w:val="00752E10"/>
    <w:rsid w:val="00756B3E"/>
    <w:rsid w:val="007711C7"/>
    <w:rsid w:val="0079532A"/>
    <w:rsid w:val="00797231"/>
    <w:rsid w:val="007C5D4E"/>
    <w:rsid w:val="007D64D6"/>
    <w:rsid w:val="007E3399"/>
    <w:rsid w:val="007E55EC"/>
    <w:rsid w:val="007E651B"/>
    <w:rsid w:val="007F0F93"/>
    <w:rsid w:val="0081231F"/>
    <w:rsid w:val="00816B7F"/>
    <w:rsid w:val="0082044A"/>
    <w:rsid w:val="00841031"/>
    <w:rsid w:val="00841489"/>
    <w:rsid w:val="00844564"/>
    <w:rsid w:val="008610F1"/>
    <w:rsid w:val="008741FA"/>
    <w:rsid w:val="0087607A"/>
    <w:rsid w:val="00893E97"/>
    <w:rsid w:val="008B1888"/>
    <w:rsid w:val="008B4291"/>
    <w:rsid w:val="008B6CAF"/>
    <w:rsid w:val="008B707C"/>
    <w:rsid w:val="008C21A8"/>
    <w:rsid w:val="008D47A0"/>
    <w:rsid w:val="008D49B6"/>
    <w:rsid w:val="008F78F8"/>
    <w:rsid w:val="00902A63"/>
    <w:rsid w:val="00914032"/>
    <w:rsid w:val="0091459D"/>
    <w:rsid w:val="009178ED"/>
    <w:rsid w:val="009244A2"/>
    <w:rsid w:val="009256E6"/>
    <w:rsid w:val="00925F47"/>
    <w:rsid w:val="0093034B"/>
    <w:rsid w:val="0093519A"/>
    <w:rsid w:val="00944C60"/>
    <w:rsid w:val="00954F4B"/>
    <w:rsid w:val="00963C05"/>
    <w:rsid w:val="00982232"/>
    <w:rsid w:val="0098313B"/>
    <w:rsid w:val="00995F64"/>
    <w:rsid w:val="009B2973"/>
    <w:rsid w:val="009B5C57"/>
    <w:rsid w:val="009B7999"/>
    <w:rsid w:val="009D7046"/>
    <w:rsid w:val="009E715B"/>
    <w:rsid w:val="009E73E2"/>
    <w:rsid w:val="00A04F14"/>
    <w:rsid w:val="00A07B7F"/>
    <w:rsid w:val="00A3416E"/>
    <w:rsid w:val="00A37690"/>
    <w:rsid w:val="00A4092E"/>
    <w:rsid w:val="00A40D5A"/>
    <w:rsid w:val="00A52E84"/>
    <w:rsid w:val="00A7199C"/>
    <w:rsid w:val="00A8287C"/>
    <w:rsid w:val="00A86B0E"/>
    <w:rsid w:val="00AA500B"/>
    <w:rsid w:val="00AA6D2B"/>
    <w:rsid w:val="00AB0E80"/>
    <w:rsid w:val="00AD1747"/>
    <w:rsid w:val="00AE059E"/>
    <w:rsid w:val="00AE5A98"/>
    <w:rsid w:val="00AF46CD"/>
    <w:rsid w:val="00AF7139"/>
    <w:rsid w:val="00B02141"/>
    <w:rsid w:val="00B215FF"/>
    <w:rsid w:val="00B21D98"/>
    <w:rsid w:val="00B2416F"/>
    <w:rsid w:val="00B305FC"/>
    <w:rsid w:val="00B308B8"/>
    <w:rsid w:val="00B30EC2"/>
    <w:rsid w:val="00B36307"/>
    <w:rsid w:val="00B40577"/>
    <w:rsid w:val="00B63B95"/>
    <w:rsid w:val="00B75910"/>
    <w:rsid w:val="00B850BF"/>
    <w:rsid w:val="00B92CAE"/>
    <w:rsid w:val="00BA34C4"/>
    <w:rsid w:val="00BA3504"/>
    <w:rsid w:val="00BB1CE9"/>
    <w:rsid w:val="00BE0E22"/>
    <w:rsid w:val="00BE2D78"/>
    <w:rsid w:val="00BF348E"/>
    <w:rsid w:val="00C0551D"/>
    <w:rsid w:val="00C10B54"/>
    <w:rsid w:val="00C1748B"/>
    <w:rsid w:val="00C17BB7"/>
    <w:rsid w:val="00C20D4C"/>
    <w:rsid w:val="00C238DE"/>
    <w:rsid w:val="00C368F0"/>
    <w:rsid w:val="00C636B8"/>
    <w:rsid w:val="00C6756D"/>
    <w:rsid w:val="00C755A3"/>
    <w:rsid w:val="00C91C5C"/>
    <w:rsid w:val="00C96831"/>
    <w:rsid w:val="00CA62D1"/>
    <w:rsid w:val="00CB0351"/>
    <w:rsid w:val="00CB104A"/>
    <w:rsid w:val="00CC147B"/>
    <w:rsid w:val="00CC3CDE"/>
    <w:rsid w:val="00CC608A"/>
    <w:rsid w:val="00CD32CE"/>
    <w:rsid w:val="00CE436E"/>
    <w:rsid w:val="00CE49BF"/>
    <w:rsid w:val="00CF05D3"/>
    <w:rsid w:val="00CF0D0E"/>
    <w:rsid w:val="00CF3087"/>
    <w:rsid w:val="00D15C47"/>
    <w:rsid w:val="00D20170"/>
    <w:rsid w:val="00D27FC8"/>
    <w:rsid w:val="00D30BE3"/>
    <w:rsid w:val="00D46A96"/>
    <w:rsid w:val="00D6201A"/>
    <w:rsid w:val="00D633C3"/>
    <w:rsid w:val="00D65394"/>
    <w:rsid w:val="00D72557"/>
    <w:rsid w:val="00D8742C"/>
    <w:rsid w:val="00D9088B"/>
    <w:rsid w:val="00D93A82"/>
    <w:rsid w:val="00DA2CC2"/>
    <w:rsid w:val="00DA5859"/>
    <w:rsid w:val="00DA7CF8"/>
    <w:rsid w:val="00DB2543"/>
    <w:rsid w:val="00DC1274"/>
    <w:rsid w:val="00DE7FC2"/>
    <w:rsid w:val="00E06622"/>
    <w:rsid w:val="00E23B02"/>
    <w:rsid w:val="00E3166A"/>
    <w:rsid w:val="00E33D96"/>
    <w:rsid w:val="00E4491E"/>
    <w:rsid w:val="00E47C9B"/>
    <w:rsid w:val="00E72BE2"/>
    <w:rsid w:val="00E73D61"/>
    <w:rsid w:val="00E73D67"/>
    <w:rsid w:val="00E81ABF"/>
    <w:rsid w:val="00EB7A4D"/>
    <w:rsid w:val="00EC0F9A"/>
    <w:rsid w:val="00EC59A7"/>
    <w:rsid w:val="00EC6132"/>
    <w:rsid w:val="00ED039C"/>
    <w:rsid w:val="00ED6BB2"/>
    <w:rsid w:val="00F107D6"/>
    <w:rsid w:val="00F13EA9"/>
    <w:rsid w:val="00F30A1F"/>
    <w:rsid w:val="00F3700F"/>
    <w:rsid w:val="00F433FA"/>
    <w:rsid w:val="00F50956"/>
    <w:rsid w:val="00F52A7A"/>
    <w:rsid w:val="00F62680"/>
    <w:rsid w:val="00F63019"/>
    <w:rsid w:val="00F65308"/>
    <w:rsid w:val="00F729E8"/>
    <w:rsid w:val="00F74207"/>
    <w:rsid w:val="00F80661"/>
    <w:rsid w:val="00F94006"/>
    <w:rsid w:val="00FA189C"/>
    <w:rsid w:val="00FA32DF"/>
    <w:rsid w:val="00FB1AE6"/>
    <w:rsid w:val="00FB4FB8"/>
    <w:rsid w:val="00FE7BA7"/>
    <w:rsid w:val="00FE7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45DF7"/>
  <w15:chartTrackingRefBased/>
  <w15:docId w15:val="{C2D18C9F-2A1D-48F5-B8DF-C47D81E9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0FFE"/>
    <w:pPr>
      <w:widowControl w:val="0"/>
      <w:autoSpaceDE w:val="0"/>
      <w:autoSpaceDN w:val="0"/>
      <w:spacing w:after="0" w:line="240" w:lineRule="auto"/>
    </w:pPr>
    <w:rPr>
      <w:rFonts w:ascii="Calibri" w:eastAsia="Calibri" w:hAnsi="Calibri" w:cs="Calibri"/>
      <w:lang w:eastAsia="en-AU" w:bidi="en-AU"/>
    </w:rPr>
  </w:style>
  <w:style w:type="paragraph" w:styleId="Heading1">
    <w:name w:val="heading 1"/>
    <w:basedOn w:val="Normal"/>
    <w:link w:val="Heading1Char"/>
    <w:uiPriority w:val="1"/>
    <w:qFormat/>
    <w:rsid w:val="00180FFE"/>
    <w:pPr>
      <w:spacing w:before="42"/>
      <w:ind w:left="282"/>
      <w:outlineLvl w:val="0"/>
    </w:pPr>
    <w:rPr>
      <w:b/>
      <w:bCs/>
      <w:sz w:val="36"/>
      <w:szCs w:val="36"/>
    </w:rPr>
  </w:style>
  <w:style w:type="paragraph" w:styleId="Heading2">
    <w:name w:val="heading 2"/>
    <w:basedOn w:val="Normal"/>
    <w:link w:val="Heading2Char"/>
    <w:uiPriority w:val="1"/>
    <w:qFormat/>
    <w:rsid w:val="00180FFE"/>
    <w:pPr>
      <w:spacing w:before="1"/>
      <w:ind w:left="282"/>
      <w:outlineLvl w:val="1"/>
    </w:pPr>
    <w:rPr>
      <w:b/>
      <w:bCs/>
      <w:i/>
      <w:sz w:val="28"/>
      <w:szCs w:val="28"/>
    </w:rPr>
  </w:style>
  <w:style w:type="paragraph" w:styleId="Heading3">
    <w:name w:val="heading 3"/>
    <w:basedOn w:val="Normal"/>
    <w:link w:val="Heading3Char"/>
    <w:uiPriority w:val="1"/>
    <w:qFormat/>
    <w:rsid w:val="00180FFE"/>
    <w:pPr>
      <w:spacing w:before="52"/>
      <w:ind w:left="28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0FFE"/>
    <w:rPr>
      <w:rFonts w:ascii="Calibri" w:eastAsia="Calibri" w:hAnsi="Calibri" w:cs="Calibri"/>
      <w:b/>
      <w:bCs/>
      <w:sz w:val="36"/>
      <w:szCs w:val="36"/>
      <w:lang w:eastAsia="en-AU" w:bidi="en-AU"/>
    </w:rPr>
  </w:style>
  <w:style w:type="character" w:customStyle="1" w:styleId="Heading2Char">
    <w:name w:val="Heading 2 Char"/>
    <w:basedOn w:val="DefaultParagraphFont"/>
    <w:link w:val="Heading2"/>
    <w:uiPriority w:val="1"/>
    <w:rsid w:val="00180FFE"/>
    <w:rPr>
      <w:rFonts w:ascii="Calibri" w:eastAsia="Calibri" w:hAnsi="Calibri" w:cs="Calibri"/>
      <w:b/>
      <w:bCs/>
      <w:i/>
      <w:sz w:val="28"/>
      <w:szCs w:val="28"/>
      <w:lang w:eastAsia="en-AU" w:bidi="en-AU"/>
    </w:rPr>
  </w:style>
  <w:style w:type="character" w:customStyle="1" w:styleId="Heading3Char">
    <w:name w:val="Heading 3 Char"/>
    <w:basedOn w:val="DefaultParagraphFont"/>
    <w:link w:val="Heading3"/>
    <w:uiPriority w:val="1"/>
    <w:rsid w:val="00180FFE"/>
    <w:rPr>
      <w:rFonts w:ascii="Calibri" w:eastAsia="Calibri" w:hAnsi="Calibri" w:cs="Calibri"/>
      <w:b/>
      <w:bCs/>
      <w:sz w:val="24"/>
      <w:szCs w:val="24"/>
      <w:lang w:eastAsia="en-AU" w:bidi="en-AU"/>
    </w:rPr>
  </w:style>
  <w:style w:type="paragraph" w:styleId="TOC1">
    <w:name w:val="toc 1"/>
    <w:basedOn w:val="Normal"/>
    <w:uiPriority w:val="39"/>
    <w:qFormat/>
    <w:rsid w:val="00180FFE"/>
    <w:pPr>
      <w:spacing w:before="120"/>
      <w:ind w:left="282" w:right="984"/>
    </w:pPr>
    <w:rPr>
      <w:b/>
      <w:bCs/>
      <w:sz w:val="24"/>
      <w:szCs w:val="24"/>
    </w:rPr>
  </w:style>
  <w:style w:type="paragraph" w:styleId="TOC2">
    <w:name w:val="toc 2"/>
    <w:basedOn w:val="Normal"/>
    <w:uiPriority w:val="39"/>
    <w:qFormat/>
    <w:rsid w:val="00180FFE"/>
    <w:pPr>
      <w:ind w:left="522"/>
    </w:pPr>
    <w:rPr>
      <w:sz w:val="19"/>
      <w:szCs w:val="19"/>
    </w:rPr>
  </w:style>
  <w:style w:type="paragraph" w:styleId="BodyText">
    <w:name w:val="Body Text"/>
    <w:basedOn w:val="Normal"/>
    <w:link w:val="BodyTextChar"/>
    <w:uiPriority w:val="1"/>
    <w:qFormat/>
    <w:rsid w:val="00180FFE"/>
    <w:rPr>
      <w:sz w:val="24"/>
      <w:szCs w:val="24"/>
    </w:rPr>
  </w:style>
  <w:style w:type="character" w:customStyle="1" w:styleId="BodyTextChar">
    <w:name w:val="Body Text Char"/>
    <w:basedOn w:val="DefaultParagraphFont"/>
    <w:link w:val="BodyText"/>
    <w:uiPriority w:val="1"/>
    <w:rsid w:val="00180FFE"/>
    <w:rPr>
      <w:rFonts w:ascii="Calibri" w:eastAsia="Calibri" w:hAnsi="Calibri" w:cs="Calibri"/>
      <w:sz w:val="24"/>
      <w:szCs w:val="24"/>
      <w:lang w:eastAsia="en-AU" w:bidi="en-AU"/>
    </w:rPr>
  </w:style>
  <w:style w:type="paragraph" w:styleId="ListParagraph">
    <w:name w:val="List Paragraph"/>
    <w:basedOn w:val="Normal"/>
    <w:uiPriority w:val="34"/>
    <w:qFormat/>
    <w:rsid w:val="00180FFE"/>
    <w:pPr>
      <w:ind w:left="642" w:hanging="360"/>
    </w:pPr>
  </w:style>
  <w:style w:type="paragraph" w:customStyle="1" w:styleId="TableParagraph">
    <w:name w:val="Table Paragraph"/>
    <w:basedOn w:val="Normal"/>
    <w:uiPriority w:val="1"/>
    <w:qFormat/>
    <w:rsid w:val="00180FFE"/>
  </w:style>
  <w:style w:type="paragraph" w:styleId="BalloonText">
    <w:name w:val="Balloon Text"/>
    <w:basedOn w:val="Normal"/>
    <w:link w:val="BalloonTextChar"/>
    <w:uiPriority w:val="99"/>
    <w:semiHidden/>
    <w:unhideWhenUsed/>
    <w:rsid w:val="00180FFE"/>
    <w:rPr>
      <w:rFonts w:ascii="Tahoma" w:hAnsi="Tahoma" w:cs="Tahoma"/>
      <w:sz w:val="16"/>
      <w:szCs w:val="16"/>
    </w:rPr>
  </w:style>
  <w:style w:type="character" w:customStyle="1" w:styleId="BalloonTextChar">
    <w:name w:val="Balloon Text Char"/>
    <w:basedOn w:val="DefaultParagraphFont"/>
    <w:link w:val="BalloonText"/>
    <w:uiPriority w:val="99"/>
    <w:semiHidden/>
    <w:rsid w:val="00180FFE"/>
    <w:rPr>
      <w:rFonts w:ascii="Tahoma" w:eastAsia="Calibri" w:hAnsi="Tahoma" w:cs="Tahoma"/>
      <w:sz w:val="16"/>
      <w:szCs w:val="16"/>
      <w:lang w:eastAsia="en-AU" w:bidi="en-AU"/>
    </w:rPr>
  </w:style>
  <w:style w:type="paragraph" w:styleId="Header">
    <w:name w:val="header"/>
    <w:basedOn w:val="Normal"/>
    <w:link w:val="HeaderChar"/>
    <w:uiPriority w:val="99"/>
    <w:unhideWhenUsed/>
    <w:rsid w:val="00180FFE"/>
    <w:pPr>
      <w:tabs>
        <w:tab w:val="center" w:pos="4513"/>
        <w:tab w:val="right" w:pos="9026"/>
      </w:tabs>
    </w:pPr>
  </w:style>
  <w:style w:type="character" w:customStyle="1" w:styleId="HeaderChar">
    <w:name w:val="Header Char"/>
    <w:basedOn w:val="DefaultParagraphFont"/>
    <w:link w:val="Header"/>
    <w:uiPriority w:val="99"/>
    <w:rsid w:val="00180FFE"/>
    <w:rPr>
      <w:rFonts w:ascii="Calibri" w:eastAsia="Calibri" w:hAnsi="Calibri" w:cs="Calibri"/>
      <w:lang w:eastAsia="en-AU" w:bidi="en-AU"/>
    </w:rPr>
  </w:style>
  <w:style w:type="paragraph" w:styleId="Footer">
    <w:name w:val="footer"/>
    <w:basedOn w:val="Normal"/>
    <w:link w:val="FooterChar"/>
    <w:uiPriority w:val="99"/>
    <w:unhideWhenUsed/>
    <w:rsid w:val="00180FFE"/>
    <w:pPr>
      <w:tabs>
        <w:tab w:val="center" w:pos="4513"/>
        <w:tab w:val="right" w:pos="9026"/>
      </w:tabs>
    </w:pPr>
  </w:style>
  <w:style w:type="character" w:customStyle="1" w:styleId="FooterChar">
    <w:name w:val="Footer Char"/>
    <w:basedOn w:val="DefaultParagraphFont"/>
    <w:link w:val="Footer"/>
    <w:uiPriority w:val="99"/>
    <w:rsid w:val="00180FFE"/>
    <w:rPr>
      <w:rFonts w:ascii="Calibri" w:eastAsia="Calibri" w:hAnsi="Calibri" w:cs="Calibri"/>
      <w:lang w:eastAsia="en-AU" w:bidi="en-AU"/>
    </w:rPr>
  </w:style>
  <w:style w:type="paragraph" w:styleId="TOCHeading">
    <w:name w:val="TOC Heading"/>
    <w:basedOn w:val="Heading1"/>
    <w:next w:val="Normal"/>
    <w:uiPriority w:val="39"/>
    <w:semiHidden/>
    <w:unhideWhenUsed/>
    <w:qFormat/>
    <w:rsid w:val="00180FFE"/>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val="en-US" w:eastAsia="ja-JP" w:bidi="ar-SA"/>
    </w:rPr>
  </w:style>
  <w:style w:type="character" w:styleId="Hyperlink">
    <w:name w:val="Hyperlink"/>
    <w:basedOn w:val="DefaultParagraphFont"/>
    <w:uiPriority w:val="99"/>
    <w:unhideWhenUsed/>
    <w:rsid w:val="00180FFE"/>
    <w:rPr>
      <w:color w:val="0563C1" w:themeColor="hyperlink"/>
      <w:u w:val="single"/>
    </w:rPr>
  </w:style>
  <w:style w:type="table" w:styleId="TableGrid">
    <w:name w:val="Table Grid"/>
    <w:basedOn w:val="TableNormal"/>
    <w:uiPriority w:val="59"/>
    <w:rsid w:val="00180FF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0FFE"/>
    <w:rPr>
      <w:sz w:val="16"/>
      <w:szCs w:val="16"/>
    </w:rPr>
  </w:style>
  <w:style w:type="paragraph" w:styleId="CommentText">
    <w:name w:val="annotation text"/>
    <w:basedOn w:val="Normal"/>
    <w:link w:val="CommentTextChar"/>
    <w:uiPriority w:val="99"/>
    <w:unhideWhenUsed/>
    <w:rsid w:val="00180FFE"/>
    <w:rPr>
      <w:sz w:val="20"/>
      <w:szCs w:val="20"/>
    </w:rPr>
  </w:style>
  <w:style w:type="character" w:customStyle="1" w:styleId="CommentTextChar">
    <w:name w:val="Comment Text Char"/>
    <w:basedOn w:val="DefaultParagraphFont"/>
    <w:link w:val="CommentText"/>
    <w:uiPriority w:val="99"/>
    <w:rsid w:val="00180FFE"/>
    <w:rPr>
      <w:rFonts w:ascii="Calibri" w:eastAsia="Calibri" w:hAnsi="Calibri" w:cs="Calibri"/>
      <w:sz w:val="20"/>
      <w:szCs w:val="20"/>
      <w:lang w:eastAsia="en-AU" w:bidi="en-AU"/>
    </w:rPr>
  </w:style>
  <w:style w:type="paragraph" w:styleId="CommentSubject">
    <w:name w:val="annotation subject"/>
    <w:basedOn w:val="CommentText"/>
    <w:next w:val="CommentText"/>
    <w:link w:val="CommentSubjectChar"/>
    <w:uiPriority w:val="99"/>
    <w:semiHidden/>
    <w:unhideWhenUsed/>
    <w:rsid w:val="00180FFE"/>
    <w:rPr>
      <w:b/>
      <w:bCs/>
    </w:rPr>
  </w:style>
  <w:style w:type="character" w:customStyle="1" w:styleId="CommentSubjectChar">
    <w:name w:val="Comment Subject Char"/>
    <w:basedOn w:val="CommentTextChar"/>
    <w:link w:val="CommentSubject"/>
    <w:uiPriority w:val="99"/>
    <w:semiHidden/>
    <w:rsid w:val="00180FFE"/>
    <w:rPr>
      <w:rFonts w:ascii="Calibri" w:eastAsia="Calibri" w:hAnsi="Calibri" w:cs="Calibri"/>
      <w:b/>
      <w:bCs/>
      <w:sz w:val="20"/>
      <w:szCs w:val="20"/>
      <w:lang w:eastAsia="en-AU" w:bidi="en-AU"/>
    </w:rPr>
  </w:style>
  <w:style w:type="paragraph" w:styleId="Revision">
    <w:name w:val="Revision"/>
    <w:hidden/>
    <w:uiPriority w:val="99"/>
    <w:semiHidden/>
    <w:rsid w:val="00180FFE"/>
    <w:pPr>
      <w:spacing w:after="0" w:line="240" w:lineRule="auto"/>
    </w:pPr>
    <w:rPr>
      <w:rFonts w:ascii="Calibri" w:eastAsia="Calibri" w:hAnsi="Calibri" w:cs="Calibri"/>
      <w:lang w:eastAsia="en-AU" w:bidi="en-AU"/>
    </w:rPr>
  </w:style>
  <w:style w:type="paragraph" w:styleId="TOC3">
    <w:name w:val="toc 3"/>
    <w:basedOn w:val="Normal"/>
    <w:next w:val="Normal"/>
    <w:autoRedefine/>
    <w:uiPriority w:val="39"/>
    <w:unhideWhenUsed/>
    <w:rsid w:val="00180FFE"/>
    <w:pPr>
      <w:spacing w:after="100"/>
      <w:ind w:left="440"/>
    </w:pPr>
  </w:style>
  <w:style w:type="paragraph" w:styleId="FootnoteText">
    <w:name w:val="footnote text"/>
    <w:basedOn w:val="Normal"/>
    <w:link w:val="FootnoteTextChar"/>
    <w:uiPriority w:val="99"/>
    <w:semiHidden/>
    <w:unhideWhenUsed/>
    <w:rsid w:val="00893E97"/>
    <w:rPr>
      <w:sz w:val="20"/>
      <w:szCs w:val="20"/>
    </w:rPr>
  </w:style>
  <w:style w:type="character" w:customStyle="1" w:styleId="FootnoteTextChar">
    <w:name w:val="Footnote Text Char"/>
    <w:basedOn w:val="DefaultParagraphFont"/>
    <w:link w:val="FootnoteText"/>
    <w:uiPriority w:val="99"/>
    <w:semiHidden/>
    <w:rsid w:val="00893E97"/>
    <w:rPr>
      <w:rFonts w:ascii="Calibri" w:eastAsia="Calibri" w:hAnsi="Calibri" w:cs="Calibri"/>
      <w:sz w:val="20"/>
      <w:szCs w:val="20"/>
      <w:lang w:eastAsia="en-AU" w:bidi="en-AU"/>
    </w:rPr>
  </w:style>
  <w:style w:type="character" w:styleId="FootnoteReference">
    <w:name w:val="footnote reference"/>
    <w:basedOn w:val="DefaultParagraphFont"/>
    <w:uiPriority w:val="99"/>
    <w:semiHidden/>
    <w:unhideWhenUsed/>
    <w:rsid w:val="00893E97"/>
    <w:rPr>
      <w:vertAlign w:val="superscript"/>
    </w:rPr>
  </w:style>
  <w:style w:type="paragraph" w:styleId="Title">
    <w:name w:val="Title"/>
    <w:basedOn w:val="Normal"/>
    <w:next w:val="Normal"/>
    <w:link w:val="TitleChar"/>
    <w:uiPriority w:val="10"/>
    <w:qFormat/>
    <w:rsid w:val="00B75910"/>
    <w:pPr>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75910"/>
    <w:rPr>
      <w:rFonts w:asciiTheme="majorHAnsi" w:eastAsiaTheme="majorEastAsia" w:hAnsiTheme="majorHAnsi" w:cstheme="majorBidi"/>
      <w:spacing w:val="-10"/>
      <w:kern w:val="28"/>
      <w:sz w:val="52"/>
      <w:szCs w:val="56"/>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35630">
      <w:bodyDiv w:val="1"/>
      <w:marLeft w:val="0"/>
      <w:marRight w:val="0"/>
      <w:marTop w:val="0"/>
      <w:marBottom w:val="0"/>
      <w:divBdr>
        <w:top w:val="none" w:sz="0" w:space="0" w:color="auto"/>
        <w:left w:val="none" w:sz="0" w:space="0" w:color="auto"/>
        <w:bottom w:val="none" w:sz="0" w:space="0" w:color="auto"/>
        <w:right w:val="none" w:sz="0" w:space="0" w:color="auto"/>
      </w:divBdr>
    </w:div>
    <w:div w:id="736559544">
      <w:bodyDiv w:val="1"/>
      <w:marLeft w:val="0"/>
      <w:marRight w:val="0"/>
      <w:marTop w:val="0"/>
      <w:marBottom w:val="0"/>
      <w:divBdr>
        <w:top w:val="none" w:sz="0" w:space="0" w:color="auto"/>
        <w:left w:val="none" w:sz="0" w:space="0" w:color="auto"/>
        <w:bottom w:val="none" w:sz="0" w:space="0" w:color="auto"/>
        <w:right w:val="none" w:sz="0" w:space="0" w:color="auto"/>
      </w:divBdr>
    </w:div>
    <w:div w:id="844395090">
      <w:bodyDiv w:val="1"/>
      <w:marLeft w:val="0"/>
      <w:marRight w:val="0"/>
      <w:marTop w:val="0"/>
      <w:marBottom w:val="0"/>
      <w:divBdr>
        <w:top w:val="none" w:sz="0" w:space="0" w:color="auto"/>
        <w:left w:val="none" w:sz="0" w:space="0" w:color="auto"/>
        <w:bottom w:val="none" w:sz="0" w:space="0" w:color="auto"/>
        <w:right w:val="none" w:sz="0" w:space="0" w:color="auto"/>
      </w:divBdr>
    </w:div>
    <w:div w:id="1049065335">
      <w:bodyDiv w:val="1"/>
      <w:marLeft w:val="0"/>
      <w:marRight w:val="0"/>
      <w:marTop w:val="0"/>
      <w:marBottom w:val="0"/>
      <w:divBdr>
        <w:top w:val="none" w:sz="0" w:space="0" w:color="auto"/>
        <w:left w:val="none" w:sz="0" w:space="0" w:color="auto"/>
        <w:bottom w:val="none" w:sz="0" w:space="0" w:color="auto"/>
        <w:right w:val="none" w:sz="0" w:space="0" w:color="auto"/>
      </w:divBdr>
    </w:div>
    <w:div w:id="1195114778">
      <w:bodyDiv w:val="1"/>
      <w:marLeft w:val="0"/>
      <w:marRight w:val="0"/>
      <w:marTop w:val="0"/>
      <w:marBottom w:val="0"/>
      <w:divBdr>
        <w:top w:val="none" w:sz="0" w:space="0" w:color="auto"/>
        <w:left w:val="none" w:sz="0" w:space="0" w:color="auto"/>
        <w:bottom w:val="none" w:sz="0" w:space="0" w:color="auto"/>
        <w:right w:val="none" w:sz="0" w:space="0" w:color="auto"/>
      </w:divBdr>
    </w:div>
    <w:div w:id="1272931161">
      <w:bodyDiv w:val="1"/>
      <w:marLeft w:val="0"/>
      <w:marRight w:val="0"/>
      <w:marTop w:val="0"/>
      <w:marBottom w:val="0"/>
      <w:divBdr>
        <w:top w:val="none" w:sz="0" w:space="0" w:color="auto"/>
        <w:left w:val="none" w:sz="0" w:space="0" w:color="auto"/>
        <w:bottom w:val="none" w:sz="0" w:space="0" w:color="auto"/>
        <w:right w:val="none" w:sz="0" w:space="0" w:color="auto"/>
      </w:divBdr>
    </w:div>
    <w:div w:id="1352761279">
      <w:bodyDiv w:val="1"/>
      <w:marLeft w:val="0"/>
      <w:marRight w:val="0"/>
      <w:marTop w:val="0"/>
      <w:marBottom w:val="0"/>
      <w:divBdr>
        <w:top w:val="none" w:sz="0" w:space="0" w:color="auto"/>
        <w:left w:val="none" w:sz="0" w:space="0" w:color="auto"/>
        <w:bottom w:val="none" w:sz="0" w:space="0" w:color="auto"/>
        <w:right w:val="none" w:sz="0" w:space="0" w:color="auto"/>
      </w:divBdr>
    </w:div>
    <w:div w:id="1371884216">
      <w:bodyDiv w:val="1"/>
      <w:marLeft w:val="0"/>
      <w:marRight w:val="0"/>
      <w:marTop w:val="0"/>
      <w:marBottom w:val="0"/>
      <w:divBdr>
        <w:top w:val="none" w:sz="0" w:space="0" w:color="auto"/>
        <w:left w:val="none" w:sz="0" w:space="0" w:color="auto"/>
        <w:bottom w:val="none" w:sz="0" w:space="0" w:color="auto"/>
        <w:right w:val="none" w:sz="0" w:space="0" w:color="auto"/>
      </w:divBdr>
    </w:div>
    <w:div w:id="1675455514">
      <w:bodyDiv w:val="1"/>
      <w:marLeft w:val="0"/>
      <w:marRight w:val="0"/>
      <w:marTop w:val="0"/>
      <w:marBottom w:val="0"/>
      <w:divBdr>
        <w:top w:val="none" w:sz="0" w:space="0" w:color="auto"/>
        <w:left w:val="none" w:sz="0" w:space="0" w:color="auto"/>
        <w:bottom w:val="none" w:sz="0" w:space="0" w:color="auto"/>
        <w:right w:val="none" w:sz="0" w:space="0" w:color="auto"/>
      </w:divBdr>
    </w:div>
    <w:div w:id="1685135504">
      <w:bodyDiv w:val="1"/>
      <w:marLeft w:val="0"/>
      <w:marRight w:val="0"/>
      <w:marTop w:val="0"/>
      <w:marBottom w:val="0"/>
      <w:divBdr>
        <w:top w:val="none" w:sz="0" w:space="0" w:color="auto"/>
        <w:left w:val="none" w:sz="0" w:space="0" w:color="auto"/>
        <w:bottom w:val="none" w:sz="0" w:space="0" w:color="auto"/>
        <w:right w:val="none" w:sz="0" w:space="0" w:color="auto"/>
      </w:divBdr>
    </w:div>
    <w:div w:id="1729106111">
      <w:bodyDiv w:val="1"/>
      <w:marLeft w:val="0"/>
      <w:marRight w:val="0"/>
      <w:marTop w:val="0"/>
      <w:marBottom w:val="0"/>
      <w:divBdr>
        <w:top w:val="none" w:sz="0" w:space="0" w:color="auto"/>
        <w:left w:val="none" w:sz="0" w:space="0" w:color="auto"/>
        <w:bottom w:val="none" w:sz="0" w:space="0" w:color="auto"/>
        <w:right w:val="none" w:sz="0" w:space="0" w:color="auto"/>
      </w:divBdr>
    </w:div>
    <w:div w:id="2097356964">
      <w:bodyDiv w:val="1"/>
      <w:marLeft w:val="0"/>
      <w:marRight w:val="0"/>
      <w:marTop w:val="0"/>
      <w:marBottom w:val="0"/>
      <w:divBdr>
        <w:top w:val="none" w:sz="0" w:space="0" w:color="auto"/>
        <w:left w:val="none" w:sz="0" w:space="0" w:color="auto"/>
        <w:bottom w:val="none" w:sz="0" w:space="0" w:color="auto"/>
        <w:right w:val="none" w:sz="0" w:space="0" w:color="auto"/>
      </w:divBdr>
    </w:div>
    <w:div w:id="21116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2DC3-64F9-4A6C-9312-8DB101B6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7491</Words>
  <Characters>42701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plan for the National Microbial Genomics Framework 2021–2022</dc:title>
  <dc:subject>Communicable diseases; Emergency health management; Health technology</dc:subject>
  <dc:creator>Australian Government Department of Health</dc:creator>
  <cp:keywords>genomics</cp:keywords>
  <dc:description/>
  <cp:lastModifiedBy>MCCAY, Meryl</cp:lastModifiedBy>
  <cp:revision>6</cp:revision>
  <dcterms:created xsi:type="dcterms:W3CDTF">2021-02-07T23:59:00Z</dcterms:created>
  <dcterms:modified xsi:type="dcterms:W3CDTF">2021-02-08T03:44:00Z</dcterms:modified>
</cp:coreProperties>
</file>