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EF" w:rsidRDefault="00F65022" w:rsidP="009E5261">
      <w:pPr>
        <w:pStyle w:val="Title"/>
      </w:pPr>
      <w:bookmarkStart w:id="0" w:name="_GoBack"/>
      <w:bookmarkEnd w:id="0"/>
      <w:r>
        <w:t xml:space="preserve">COVID-19 Vaccination </w:t>
      </w:r>
      <w:r w:rsidR="00F36A54">
        <w:t xml:space="preserve">Program </w:t>
      </w:r>
    </w:p>
    <w:p w:rsidR="00280050" w:rsidRDefault="00BB4787" w:rsidP="009E5261">
      <w:pPr>
        <w:pStyle w:val="Title"/>
      </w:pPr>
      <w:r>
        <w:rPr>
          <w:rFonts w:ascii="Calibri Light" w:eastAsia="Times New Roman" w:hAnsi="Calibri Light" w:cs="Times New Roman"/>
          <w:color w:val="3494BA"/>
          <w:sz w:val="48"/>
        </w:rPr>
        <w:t xml:space="preserve">Culturally and Linguistically </w:t>
      </w:r>
      <w:r w:rsidRPr="00EB31C6">
        <w:rPr>
          <w:rFonts w:ascii="Calibri Light" w:eastAsia="Times New Roman" w:hAnsi="Calibri Light" w:cs="Times New Roman"/>
          <w:color w:val="3494BA"/>
          <w:sz w:val="48"/>
        </w:rPr>
        <w:t>Diverse Communities</w:t>
      </w:r>
      <w:r w:rsidRPr="00902310">
        <w:rPr>
          <w:rFonts w:ascii="Calibri Light" w:eastAsia="Times New Roman" w:hAnsi="Calibri Light" w:cs="Times New Roman"/>
          <w:color w:val="3494BA"/>
          <w:sz w:val="48"/>
        </w:rPr>
        <w:t xml:space="preserve"> </w:t>
      </w:r>
      <w:r w:rsidR="009E5261" w:rsidRPr="00E44DEF">
        <w:rPr>
          <w:sz w:val="48"/>
        </w:rPr>
        <w:t xml:space="preserve">Implementation Plan </w:t>
      </w:r>
      <w:r w:rsidR="00080181">
        <w:rPr>
          <w:sz w:val="48"/>
        </w:rPr>
        <w:t>–</w:t>
      </w:r>
    </w:p>
    <w:p w:rsidR="009E5261" w:rsidRDefault="00285AA3" w:rsidP="005F59C6">
      <w:pPr>
        <w:pStyle w:val="Heading1"/>
      </w:pPr>
      <w:r>
        <w:t>Introduction</w:t>
      </w:r>
    </w:p>
    <w:p w:rsidR="00E44DEF" w:rsidRDefault="002E1D83" w:rsidP="002E1D83">
      <w:r>
        <w:t xml:space="preserve">The </w:t>
      </w:r>
      <w:hyperlink r:id="rId8" w:history="1">
        <w:r w:rsidRPr="009E5261">
          <w:rPr>
            <w:rStyle w:val="Hyperlink"/>
            <w:i/>
          </w:rPr>
          <w:t>Australian COVID-19 Vaccination Policy</w:t>
        </w:r>
      </w:hyperlink>
      <w:r>
        <w:t xml:space="preserve">, endorsed by </w:t>
      </w:r>
      <w:r w:rsidR="000B66F8">
        <w:t xml:space="preserve">the </w:t>
      </w:r>
      <w:r>
        <w:t xml:space="preserve">National Cabinet on 13 November 2020, sets out key principles for the </w:t>
      </w:r>
      <w:r w:rsidR="000B66F8">
        <w:t xml:space="preserve">COVID-19 Vaccination Program (Program) </w:t>
      </w:r>
      <w:r>
        <w:t>roll</w:t>
      </w:r>
      <w:r w:rsidR="000B66F8">
        <w:t>-</w:t>
      </w:r>
      <w:r>
        <w:t xml:space="preserve">out, such as that COVID-19 vaccines will be made available for free to </w:t>
      </w:r>
      <w:r w:rsidR="00943E34">
        <w:t>every person in Australia</w:t>
      </w:r>
      <w:r>
        <w:t>. Further, it outlines how COVID-19 vaccines will be accessible on a rolling basis, dependent on vaccine delivery schedules and the identification of groups for most urgent vaccination.</w:t>
      </w:r>
    </w:p>
    <w:p w:rsidR="008C2FE2" w:rsidRDefault="008C2FE2" w:rsidP="008C2FE2">
      <w:pPr>
        <w:pStyle w:val="Heading1"/>
      </w:pPr>
      <w:r>
        <w:t>Status of this document</w:t>
      </w:r>
    </w:p>
    <w:p w:rsidR="004E601D" w:rsidRDefault="004E601D" w:rsidP="004E601D">
      <w:r>
        <w:t>This Plan has been developed by the Australian Government, in consultation with relevant peak bodies and State and Territory Governments.</w:t>
      </w:r>
    </w:p>
    <w:p w:rsidR="004E601D" w:rsidRDefault="004E601D" w:rsidP="004E601D">
      <w:r>
        <w:t xml:space="preserve">It should </w:t>
      </w:r>
      <w:r w:rsidR="00920A19">
        <w:t xml:space="preserve">be read in conjunction with </w:t>
      </w:r>
      <w:hyperlink r:id="rId9" w:history="1">
        <w:r w:rsidR="00920A19" w:rsidRPr="000B66F8">
          <w:rPr>
            <w:rStyle w:val="Hyperlink"/>
            <w:i/>
          </w:rPr>
          <w:t>Australia’s COVID-19 Vaccine National Rollout Strategy</w:t>
        </w:r>
      </w:hyperlink>
      <w:r w:rsidR="00920A19">
        <w:t xml:space="preserve"> released on 7 January 2021 </w:t>
      </w:r>
      <w:r w:rsidRPr="00E10BAE">
        <w:t>and state and territory implementation plans.</w:t>
      </w:r>
    </w:p>
    <w:p w:rsidR="004E601D" w:rsidRDefault="004E601D" w:rsidP="004E601D">
      <w:r>
        <w:t xml:space="preserve">This Plan will be brought forward to </w:t>
      </w:r>
      <w:r w:rsidR="000B66F8">
        <w:t xml:space="preserve">the </w:t>
      </w:r>
      <w:r>
        <w:t xml:space="preserve">National Cabinet for information. </w:t>
      </w:r>
      <w:r w:rsidR="00943E34">
        <w:t>It</w:t>
      </w:r>
      <w:r w:rsidR="002002B9">
        <w:t xml:space="preserve"> </w:t>
      </w:r>
      <w:r>
        <w:t>will be iterative,</w:t>
      </w:r>
      <w:r w:rsidR="00943E34">
        <w:t xml:space="preserve"> and will</w:t>
      </w:r>
      <w:r>
        <w:t xml:space="preserve"> be updated as further information becomes available, including in relation to:</w:t>
      </w:r>
    </w:p>
    <w:p w:rsidR="004E601D" w:rsidRDefault="004E601D" w:rsidP="004E601D">
      <w:pPr>
        <w:pStyle w:val="ListParagraph"/>
        <w:numPr>
          <w:ilvl w:val="0"/>
          <w:numId w:val="12"/>
        </w:numPr>
      </w:pPr>
      <w:r>
        <w:t xml:space="preserve">Which vaccines purchased by the Australian Government have been registered by the Therapeutic Goods Administration (TGA), when, and what populations these vaccines are registered as suitable for. </w:t>
      </w:r>
    </w:p>
    <w:p w:rsidR="004E601D" w:rsidRDefault="004E601D" w:rsidP="004E601D">
      <w:pPr>
        <w:pStyle w:val="ListParagraph"/>
        <w:numPr>
          <w:ilvl w:val="0"/>
          <w:numId w:val="12"/>
        </w:numPr>
      </w:pPr>
      <w:r>
        <w:t>The final delivery schedules for purchased vaccines, including quantities and delivery locations.</w:t>
      </w:r>
    </w:p>
    <w:p w:rsidR="004E601D" w:rsidRDefault="004E601D" w:rsidP="004E601D">
      <w:pPr>
        <w:pStyle w:val="ListParagraph"/>
        <w:numPr>
          <w:ilvl w:val="0"/>
          <w:numId w:val="12"/>
        </w:numPr>
      </w:pPr>
      <w:r>
        <w:t>The distribution and logistics model developed by the Australian Government’s procured partners to support delivery to vaccination sites.</w:t>
      </w:r>
    </w:p>
    <w:p w:rsidR="004E601D" w:rsidRDefault="004E601D" w:rsidP="004E601D">
      <w:pPr>
        <w:pStyle w:val="ListParagraph"/>
        <w:numPr>
          <w:ilvl w:val="0"/>
          <w:numId w:val="12"/>
        </w:numPr>
      </w:pPr>
      <w:r>
        <w:t>Details on the methods and requirements around data reporting to support program-level data consolidation.</w:t>
      </w:r>
    </w:p>
    <w:p w:rsidR="004E601D" w:rsidRDefault="004E601D" w:rsidP="004E601D">
      <w:pPr>
        <w:pStyle w:val="ListParagraph"/>
        <w:numPr>
          <w:ilvl w:val="0"/>
          <w:numId w:val="12"/>
        </w:numPr>
      </w:pPr>
      <w:r>
        <w:t xml:space="preserve">Ongoing information on the </w:t>
      </w:r>
      <w:r w:rsidR="000B66F8">
        <w:t>roll-out</w:t>
      </w:r>
      <w:r>
        <w:t xml:space="preserve"> of vaccines that may require adjustment to the approach.</w:t>
      </w:r>
    </w:p>
    <w:p w:rsidR="00E44DEF" w:rsidRDefault="004F5A1F" w:rsidP="00E44DEF">
      <w:pPr>
        <w:pStyle w:val="Heading1"/>
      </w:pPr>
      <w:r>
        <w:lastRenderedPageBreak/>
        <w:t>Culturally</w:t>
      </w:r>
      <w:r w:rsidR="00150644">
        <w:t>, ethnically</w:t>
      </w:r>
      <w:r>
        <w:t xml:space="preserve"> and linguistically diverse</w:t>
      </w:r>
      <w:r w:rsidR="00900000">
        <w:t xml:space="preserve"> communities in</w:t>
      </w:r>
      <w:r>
        <w:t xml:space="preserve"> </w:t>
      </w:r>
      <w:r w:rsidR="0099286C">
        <w:t>Australia</w:t>
      </w:r>
    </w:p>
    <w:p w:rsidR="004F5A1F" w:rsidRDefault="004F5A1F" w:rsidP="004F5A1F">
      <w:r>
        <w:t xml:space="preserve">Australia is a diverse nation, and this is reflected in the diversity of religion, spirituality, sexuality, culture, </w:t>
      </w:r>
      <w:r w:rsidR="0085181A">
        <w:t xml:space="preserve">gender, </w:t>
      </w:r>
      <w:r>
        <w:t>socio-economic background,</w:t>
      </w:r>
      <w:r w:rsidR="00CB23BD">
        <w:t xml:space="preserve"> migration pathways,</w:t>
      </w:r>
      <w:r>
        <w:t xml:space="preserve"> geographic spread, medical and care needs, and personal experiences of the population. </w:t>
      </w:r>
    </w:p>
    <w:p w:rsidR="007139AB" w:rsidRDefault="004F5A1F" w:rsidP="004F5A1F">
      <w:r>
        <w:t xml:space="preserve">The Australian Government is committed to ensuring that </w:t>
      </w:r>
      <w:r w:rsidR="00361C32">
        <w:t xml:space="preserve">every person in Australia </w:t>
      </w:r>
      <w:r w:rsidR="002A65A6">
        <w:t>(including citizens, permanent residents</w:t>
      </w:r>
      <w:r w:rsidR="00CB23BD">
        <w:t>, temporary residents</w:t>
      </w:r>
      <w:r w:rsidR="00FD0D19">
        <w:t>, refugees,</w:t>
      </w:r>
      <w:r w:rsidR="00CB23BD">
        <w:t xml:space="preserve"> temporary migrants</w:t>
      </w:r>
      <w:r w:rsidR="00FD0D19">
        <w:t>, people in immigration detention centres and people without valid visas</w:t>
      </w:r>
      <w:r w:rsidR="00B228F0">
        <w:t>)</w:t>
      </w:r>
      <w:r w:rsidR="002A65A6">
        <w:t xml:space="preserve"> </w:t>
      </w:r>
      <w:r>
        <w:t>can access information and services</w:t>
      </w:r>
      <w:r w:rsidR="00DD646F">
        <w:t xml:space="preserve"> </w:t>
      </w:r>
      <w:r w:rsidR="0085181A">
        <w:t xml:space="preserve">that </w:t>
      </w:r>
      <w:r w:rsidR="00DD646F">
        <w:t>are</w:t>
      </w:r>
      <w:r>
        <w:t xml:space="preserve"> appropriate for their individual characteristics and life experiences.</w:t>
      </w:r>
      <w:r w:rsidR="00695EF2">
        <w:t xml:space="preserve"> </w:t>
      </w:r>
      <w:r w:rsidR="007139AB">
        <w:t>The Australian Government has established the Culturally and Linguistically Divers</w:t>
      </w:r>
      <w:r w:rsidR="00943E34">
        <w:t>e</w:t>
      </w:r>
      <w:r w:rsidR="007139AB">
        <w:t xml:space="preserve"> Communities </w:t>
      </w:r>
      <w:r w:rsidR="00C51B5F">
        <w:t>COVID</w:t>
      </w:r>
      <w:r w:rsidR="007139AB">
        <w:t>-19 Health Advisory Group to provide expert</w:t>
      </w:r>
      <w:r w:rsidR="00943E34">
        <w:t xml:space="preserve"> advice</w:t>
      </w:r>
      <w:r w:rsidR="00410102">
        <w:t xml:space="preserve"> on the COVID-19 response, </w:t>
      </w:r>
      <w:r w:rsidR="00943E34">
        <w:t>including on the</w:t>
      </w:r>
      <w:r w:rsidR="007139AB">
        <w:t xml:space="preserve"> deliver</w:t>
      </w:r>
      <w:r w:rsidR="00943E34">
        <w:t>y</w:t>
      </w:r>
      <w:r w:rsidR="007139AB">
        <w:t xml:space="preserve"> the </w:t>
      </w:r>
      <w:r w:rsidR="00943E34">
        <w:t xml:space="preserve">COVID-19 </w:t>
      </w:r>
      <w:r w:rsidR="00695EF2">
        <w:t>Vaccination Program</w:t>
      </w:r>
      <w:r w:rsidR="007139AB">
        <w:t>.</w:t>
      </w:r>
    </w:p>
    <w:p w:rsidR="00750D22" w:rsidRDefault="00361C32" w:rsidP="002E1D83">
      <w:pPr>
        <w:pStyle w:val="Heading1"/>
      </w:pPr>
      <w:r w:rsidRPr="00E83330">
        <w:t>Culturally</w:t>
      </w:r>
      <w:r w:rsidR="00E83330">
        <w:t>, ethnically</w:t>
      </w:r>
      <w:r w:rsidRPr="00E83330">
        <w:t xml:space="preserve"> and </w:t>
      </w:r>
      <w:r w:rsidR="00CB23BD">
        <w:t>l</w:t>
      </w:r>
      <w:r w:rsidRPr="00E83330">
        <w:t xml:space="preserve">inguistically </w:t>
      </w:r>
      <w:r w:rsidR="00CB23BD">
        <w:t>d</w:t>
      </w:r>
      <w:r w:rsidRPr="00E83330">
        <w:t xml:space="preserve">iverse </w:t>
      </w:r>
      <w:r w:rsidR="00CB23BD">
        <w:t>c</w:t>
      </w:r>
      <w:r w:rsidRPr="00E83330">
        <w:t>ommunities</w:t>
      </w:r>
      <w:r w:rsidR="00750D22">
        <w:t xml:space="preserve"> </w:t>
      </w:r>
      <w:r>
        <w:t xml:space="preserve">and </w:t>
      </w:r>
      <w:r w:rsidR="00CB23BD">
        <w:t xml:space="preserve">the COVID-19 </w:t>
      </w:r>
      <w:r w:rsidR="00750D22">
        <w:t>vaccination program</w:t>
      </w:r>
    </w:p>
    <w:p w:rsidR="00410102" w:rsidRDefault="00660DF8" w:rsidP="008835A2">
      <w:pPr>
        <w:rPr>
          <w:rFonts w:ascii="Calibri" w:eastAsia="Times New Roman" w:hAnsi="Calibri" w:cs="Times New Roman"/>
        </w:rPr>
      </w:pPr>
      <w:r>
        <w:rPr>
          <w:rFonts w:ascii="Calibri" w:eastAsia="Times New Roman" w:hAnsi="Calibri" w:cs="Times New Roman"/>
        </w:rPr>
        <w:t>To be successful,</w:t>
      </w:r>
      <w:r w:rsidR="002A65A6">
        <w:rPr>
          <w:rFonts w:ascii="Calibri" w:eastAsia="Times New Roman" w:hAnsi="Calibri" w:cs="Times New Roman"/>
        </w:rPr>
        <w:t xml:space="preserve"> </w:t>
      </w:r>
      <w:r w:rsidR="00695EF2">
        <w:rPr>
          <w:rFonts w:ascii="Calibri" w:eastAsia="Times New Roman" w:hAnsi="Calibri" w:cs="Times New Roman"/>
        </w:rPr>
        <w:t xml:space="preserve">high uptake of </w:t>
      </w:r>
      <w:r w:rsidR="002A65A6">
        <w:rPr>
          <w:rFonts w:ascii="Calibri" w:eastAsia="Times New Roman" w:hAnsi="Calibri" w:cs="Times New Roman"/>
        </w:rPr>
        <w:t>COVID-19 vaccination will</w:t>
      </w:r>
      <w:r w:rsidR="00695EF2">
        <w:rPr>
          <w:rFonts w:ascii="Calibri" w:eastAsia="Times New Roman" w:hAnsi="Calibri" w:cs="Times New Roman"/>
        </w:rPr>
        <w:t xml:space="preserve"> be</w:t>
      </w:r>
      <w:r w:rsidR="002A65A6">
        <w:rPr>
          <w:rFonts w:ascii="Calibri" w:eastAsia="Times New Roman" w:hAnsi="Calibri" w:cs="Times New Roman"/>
        </w:rPr>
        <w:t xml:space="preserve"> require</w:t>
      </w:r>
      <w:r w:rsidR="00695EF2">
        <w:rPr>
          <w:rFonts w:ascii="Calibri" w:eastAsia="Times New Roman" w:hAnsi="Calibri" w:cs="Times New Roman"/>
        </w:rPr>
        <w:t>d</w:t>
      </w:r>
      <w:r w:rsidR="002A65A6">
        <w:rPr>
          <w:rFonts w:ascii="Calibri" w:eastAsia="Times New Roman" w:hAnsi="Calibri" w:cs="Times New Roman"/>
        </w:rPr>
        <w:t xml:space="preserve"> across all </w:t>
      </w:r>
      <w:r w:rsidR="00CB23BD">
        <w:rPr>
          <w:rFonts w:ascii="Calibri" w:eastAsia="Times New Roman" w:hAnsi="Calibri" w:cs="Times New Roman"/>
        </w:rPr>
        <w:t>people in Australia</w:t>
      </w:r>
      <w:r w:rsidR="002A65A6">
        <w:rPr>
          <w:rFonts w:ascii="Calibri" w:eastAsia="Times New Roman" w:hAnsi="Calibri" w:cs="Times New Roman"/>
        </w:rPr>
        <w:t>. Therefore</w:t>
      </w:r>
      <w:r w:rsidR="00CB23BD">
        <w:rPr>
          <w:rFonts w:ascii="Calibri" w:eastAsia="Times New Roman" w:hAnsi="Calibri" w:cs="Times New Roman"/>
        </w:rPr>
        <w:t>,</w:t>
      </w:r>
      <w:r w:rsidR="002A65A6">
        <w:rPr>
          <w:rFonts w:ascii="Calibri" w:eastAsia="Times New Roman" w:hAnsi="Calibri" w:cs="Times New Roman"/>
        </w:rPr>
        <w:t xml:space="preserve"> </w:t>
      </w:r>
      <w:r w:rsidR="00E83330">
        <w:rPr>
          <w:rFonts w:ascii="Calibri" w:eastAsia="Times New Roman" w:hAnsi="Calibri" w:cs="Times New Roman"/>
        </w:rPr>
        <w:t xml:space="preserve">the </w:t>
      </w:r>
      <w:r w:rsidR="00E83330" w:rsidRPr="0010254F">
        <w:rPr>
          <w:rFonts w:ascii="Calibri" w:eastAsia="Times New Roman" w:hAnsi="Calibri" w:cs="Times New Roman"/>
        </w:rPr>
        <w:t xml:space="preserve">COVID-19 </w:t>
      </w:r>
      <w:r w:rsidR="00695EF2">
        <w:rPr>
          <w:rFonts w:ascii="Calibri" w:eastAsia="Times New Roman" w:hAnsi="Calibri" w:cs="Times New Roman"/>
        </w:rPr>
        <w:t>Vaccination Program</w:t>
      </w:r>
      <w:r w:rsidR="00E83330">
        <w:rPr>
          <w:rFonts w:ascii="Calibri" w:eastAsia="Times New Roman" w:hAnsi="Calibri" w:cs="Times New Roman"/>
        </w:rPr>
        <w:t xml:space="preserve"> </w:t>
      </w:r>
      <w:r w:rsidR="00292569">
        <w:rPr>
          <w:rFonts w:ascii="Calibri" w:eastAsia="Times New Roman" w:hAnsi="Calibri" w:cs="Times New Roman"/>
        </w:rPr>
        <w:t xml:space="preserve">will need </w:t>
      </w:r>
      <w:r w:rsidR="00DD646F">
        <w:rPr>
          <w:rFonts w:ascii="Calibri" w:eastAsia="Times New Roman" w:hAnsi="Calibri" w:cs="Times New Roman"/>
        </w:rPr>
        <w:t xml:space="preserve">to </w:t>
      </w:r>
      <w:r w:rsidR="00292569">
        <w:rPr>
          <w:rFonts w:ascii="Calibri" w:eastAsia="Times New Roman" w:hAnsi="Calibri" w:cs="Times New Roman"/>
        </w:rPr>
        <w:t>meet the requirements of</w:t>
      </w:r>
      <w:r w:rsidR="002A65A6">
        <w:rPr>
          <w:rFonts w:ascii="Calibri" w:eastAsia="Times New Roman" w:hAnsi="Calibri" w:cs="Times New Roman"/>
        </w:rPr>
        <w:t xml:space="preserve"> all individuals</w:t>
      </w:r>
      <w:r w:rsidR="00CB23BD">
        <w:rPr>
          <w:rFonts w:ascii="Calibri" w:eastAsia="Times New Roman" w:hAnsi="Calibri" w:cs="Times New Roman"/>
        </w:rPr>
        <w:t xml:space="preserve"> and communities</w:t>
      </w:r>
      <w:r w:rsidR="002A65A6">
        <w:rPr>
          <w:rFonts w:ascii="Calibri" w:eastAsia="Times New Roman" w:hAnsi="Calibri" w:cs="Times New Roman"/>
        </w:rPr>
        <w:t xml:space="preserve">, including those </w:t>
      </w:r>
      <w:r w:rsidR="00943E34">
        <w:rPr>
          <w:rFonts w:ascii="Calibri" w:eastAsia="Times New Roman" w:hAnsi="Calibri" w:cs="Times New Roman"/>
        </w:rPr>
        <w:t>from c</w:t>
      </w:r>
      <w:r w:rsidR="008835A2" w:rsidRPr="0010254F">
        <w:rPr>
          <w:rFonts w:ascii="Calibri" w:eastAsia="Times New Roman" w:hAnsi="Calibri" w:cs="Times New Roman"/>
        </w:rPr>
        <w:t>ultural</w:t>
      </w:r>
      <w:r w:rsidR="00E83330">
        <w:rPr>
          <w:rFonts w:ascii="Calibri" w:eastAsia="Times New Roman" w:hAnsi="Calibri" w:cs="Times New Roman"/>
        </w:rPr>
        <w:t>ly, ethnically</w:t>
      </w:r>
      <w:r w:rsidR="008835A2" w:rsidRPr="0010254F">
        <w:rPr>
          <w:rFonts w:ascii="Calibri" w:eastAsia="Times New Roman" w:hAnsi="Calibri" w:cs="Times New Roman"/>
        </w:rPr>
        <w:t xml:space="preserve"> and linguistic</w:t>
      </w:r>
      <w:r w:rsidR="00E83330">
        <w:rPr>
          <w:rFonts w:ascii="Calibri" w:eastAsia="Times New Roman" w:hAnsi="Calibri" w:cs="Times New Roman"/>
        </w:rPr>
        <w:t>ally</w:t>
      </w:r>
      <w:r w:rsidR="008835A2" w:rsidRPr="0010254F">
        <w:rPr>
          <w:rFonts w:ascii="Calibri" w:eastAsia="Times New Roman" w:hAnsi="Calibri" w:cs="Times New Roman"/>
        </w:rPr>
        <w:t xml:space="preserve"> diversity </w:t>
      </w:r>
      <w:r w:rsidR="00E83330">
        <w:rPr>
          <w:rFonts w:ascii="Calibri" w:eastAsia="Times New Roman" w:hAnsi="Calibri" w:cs="Times New Roman"/>
        </w:rPr>
        <w:t xml:space="preserve">communities </w:t>
      </w:r>
      <w:r w:rsidR="008835A2" w:rsidRPr="0010254F">
        <w:rPr>
          <w:rFonts w:ascii="Calibri" w:eastAsia="Times New Roman" w:hAnsi="Calibri" w:cs="Times New Roman"/>
        </w:rPr>
        <w:t>in Australia</w:t>
      </w:r>
      <w:r w:rsidR="002A65A6">
        <w:rPr>
          <w:rFonts w:ascii="Calibri" w:eastAsia="Times New Roman" w:hAnsi="Calibri" w:cs="Times New Roman"/>
        </w:rPr>
        <w:t>.</w:t>
      </w:r>
      <w:r w:rsidR="00695EF2">
        <w:rPr>
          <w:rFonts w:ascii="Calibri" w:eastAsia="Times New Roman" w:hAnsi="Calibri" w:cs="Times New Roman"/>
        </w:rPr>
        <w:t xml:space="preserve"> </w:t>
      </w:r>
      <w:r w:rsidR="002A65A6">
        <w:rPr>
          <w:rFonts w:ascii="Calibri" w:eastAsia="Times New Roman" w:hAnsi="Calibri" w:cs="Times New Roman"/>
        </w:rPr>
        <w:t xml:space="preserve">It is important to recognise </w:t>
      </w:r>
      <w:r w:rsidR="00B228F0">
        <w:rPr>
          <w:rFonts w:ascii="Calibri" w:eastAsia="Times New Roman" w:hAnsi="Calibri" w:cs="Times New Roman"/>
        </w:rPr>
        <w:t xml:space="preserve">that </w:t>
      </w:r>
      <w:r w:rsidR="002A65A6">
        <w:rPr>
          <w:rFonts w:ascii="Calibri" w:eastAsia="Times New Roman" w:hAnsi="Calibri" w:cs="Times New Roman"/>
        </w:rPr>
        <w:t>people from c</w:t>
      </w:r>
      <w:r w:rsidR="002A65A6" w:rsidRPr="0010254F">
        <w:rPr>
          <w:rFonts w:ascii="Calibri" w:eastAsia="Times New Roman" w:hAnsi="Calibri" w:cs="Times New Roman"/>
        </w:rPr>
        <w:t>ultural</w:t>
      </w:r>
      <w:r w:rsidR="002A65A6">
        <w:rPr>
          <w:rFonts w:ascii="Calibri" w:eastAsia="Times New Roman" w:hAnsi="Calibri" w:cs="Times New Roman"/>
        </w:rPr>
        <w:t>ly, ethnically</w:t>
      </w:r>
      <w:r w:rsidR="002A65A6" w:rsidRPr="0010254F">
        <w:rPr>
          <w:rFonts w:ascii="Calibri" w:eastAsia="Times New Roman" w:hAnsi="Calibri" w:cs="Times New Roman"/>
        </w:rPr>
        <w:t xml:space="preserve"> and linguistic</w:t>
      </w:r>
      <w:r w:rsidR="002A65A6">
        <w:rPr>
          <w:rFonts w:ascii="Calibri" w:eastAsia="Times New Roman" w:hAnsi="Calibri" w:cs="Times New Roman"/>
        </w:rPr>
        <w:t>ally</w:t>
      </w:r>
      <w:r w:rsidR="002A65A6" w:rsidRPr="0010254F">
        <w:rPr>
          <w:rFonts w:ascii="Calibri" w:eastAsia="Times New Roman" w:hAnsi="Calibri" w:cs="Times New Roman"/>
        </w:rPr>
        <w:t xml:space="preserve"> divers</w:t>
      </w:r>
      <w:r w:rsidR="00B228F0">
        <w:rPr>
          <w:rFonts w:ascii="Calibri" w:eastAsia="Times New Roman" w:hAnsi="Calibri" w:cs="Times New Roman"/>
        </w:rPr>
        <w:t>e</w:t>
      </w:r>
      <w:r w:rsidR="002A65A6" w:rsidRPr="0010254F">
        <w:rPr>
          <w:rFonts w:ascii="Calibri" w:eastAsia="Times New Roman" w:hAnsi="Calibri" w:cs="Times New Roman"/>
        </w:rPr>
        <w:t xml:space="preserve"> </w:t>
      </w:r>
      <w:r w:rsidR="002A65A6">
        <w:rPr>
          <w:rFonts w:ascii="Calibri" w:eastAsia="Times New Roman" w:hAnsi="Calibri" w:cs="Times New Roman"/>
        </w:rPr>
        <w:t xml:space="preserve">communities are a significant part of the </w:t>
      </w:r>
      <w:r w:rsidR="00B228F0">
        <w:rPr>
          <w:rFonts w:ascii="Calibri" w:eastAsia="Times New Roman" w:hAnsi="Calibri" w:cs="Times New Roman"/>
        </w:rPr>
        <w:t>health, aged care</w:t>
      </w:r>
      <w:r w:rsidR="00AE23FB">
        <w:rPr>
          <w:rFonts w:ascii="Calibri" w:eastAsia="Times New Roman" w:hAnsi="Calibri" w:cs="Times New Roman"/>
        </w:rPr>
        <w:t>, childcare</w:t>
      </w:r>
      <w:r w:rsidR="00B228F0">
        <w:rPr>
          <w:rFonts w:ascii="Calibri" w:eastAsia="Times New Roman" w:hAnsi="Calibri" w:cs="Times New Roman"/>
        </w:rPr>
        <w:t xml:space="preserve"> and disability</w:t>
      </w:r>
      <w:r w:rsidR="00410102">
        <w:rPr>
          <w:rFonts w:ascii="Calibri" w:eastAsia="Times New Roman" w:hAnsi="Calibri" w:cs="Times New Roman"/>
        </w:rPr>
        <w:t xml:space="preserve"> workforce</w:t>
      </w:r>
      <w:r w:rsidR="00B228F0">
        <w:rPr>
          <w:rFonts w:ascii="Calibri" w:eastAsia="Times New Roman" w:hAnsi="Calibri" w:cs="Times New Roman"/>
        </w:rPr>
        <w:t xml:space="preserve"> and</w:t>
      </w:r>
      <w:r w:rsidR="002A65A6">
        <w:rPr>
          <w:rFonts w:ascii="Calibri" w:eastAsia="Times New Roman" w:hAnsi="Calibri" w:cs="Times New Roman"/>
        </w:rPr>
        <w:t xml:space="preserve"> will be among the first people in Australia to receive vaccinations. It is imperative that the COVID-19 </w:t>
      </w:r>
      <w:r w:rsidR="00695EF2">
        <w:rPr>
          <w:rFonts w:ascii="Calibri" w:eastAsia="Times New Roman" w:hAnsi="Calibri" w:cs="Times New Roman"/>
        </w:rPr>
        <w:t>Vaccination Program</w:t>
      </w:r>
      <w:r w:rsidR="002A65A6">
        <w:rPr>
          <w:rFonts w:ascii="Calibri" w:eastAsia="Times New Roman" w:hAnsi="Calibri" w:cs="Times New Roman"/>
        </w:rPr>
        <w:t xml:space="preserve"> is designed and delivered in a manner which is accessible a</w:t>
      </w:r>
      <w:r w:rsidR="0067240E">
        <w:rPr>
          <w:rFonts w:ascii="Calibri" w:eastAsia="Times New Roman" w:hAnsi="Calibri" w:cs="Times New Roman"/>
        </w:rPr>
        <w:t xml:space="preserve">nd culturally safe </w:t>
      </w:r>
      <w:r w:rsidR="00FA175C">
        <w:rPr>
          <w:rFonts w:ascii="Calibri" w:eastAsia="Times New Roman" w:hAnsi="Calibri" w:cs="Times New Roman"/>
        </w:rPr>
        <w:t>for</w:t>
      </w:r>
      <w:r w:rsidR="0067240E">
        <w:rPr>
          <w:rFonts w:ascii="Calibri" w:eastAsia="Times New Roman" w:hAnsi="Calibri" w:cs="Times New Roman"/>
        </w:rPr>
        <w:t xml:space="preserve"> those from culturally</w:t>
      </w:r>
      <w:r w:rsidR="00CB23BD">
        <w:rPr>
          <w:rFonts w:ascii="Calibri" w:eastAsia="Times New Roman" w:hAnsi="Calibri" w:cs="Times New Roman"/>
        </w:rPr>
        <w:t>, ethnically</w:t>
      </w:r>
      <w:r w:rsidR="0067240E">
        <w:rPr>
          <w:rFonts w:ascii="Calibri" w:eastAsia="Times New Roman" w:hAnsi="Calibri" w:cs="Times New Roman"/>
        </w:rPr>
        <w:t xml:space="preserve"> and linguistically diverse backgrounds. </w:t>
      </w:r>
      <w:r w:rsidR="005A3406">
        <w:rPr>
          <w:rFonts w:ascii="Calibri" w:eastAsia="Times New Roman" w:hAnsi="Calibri" w:cs="Times New Roman"/>
        </w:rPr>
        <w:t>This includes ensuring that communications are developed that draw on the expertise and knowledge of the culturally and linguistically diverse communi</w:t>
      </w:r>
      <w:r w:rsidR="00B228F0">
        <w:rPr>
          <w:rFonts w:ascii="Calibri" w:eastAsia="Times New Roman" w:hAnsi="Calibri" w:cs="Times New Roman"/>
        </w:rPr>
        <w:t>ties</w:t>
      </w:r>
      <w:r w:rsidR="005A3406">
        <w:rPr>
          <w:rFonts w:ascii="Calibri" w:eastAsia="Times New Roman" w:hAnsi="Calibri" w:cs="Times New Roman"/>
        </w:rPr>
        <w:t xml:space="preserve"> and that information and services are delivered </w:t>
      </w:r>
      <w:r w:rsidR="00A52001">
        <w:rPr>
          <w:rFonts w:ascii="Calibri" w:eastAsia="Times New Roman" w:hAnsi="Calibri" w:cs="Times New Roman"/>
        </w:rPr>
        <w:t>in appropriate</w:t>
      </w:r>
      <w:r w:rsidR="00FA175C">
        <w:rPr>
          <w:rFonts w:ascii="Calibri" w:eastAsia="Times New Roman" w:hAnsi="Calibri" w:cs="Times New Roman"/>
        </w:rPr>
        <w:t xml:space="preserve"> languages and formats </w:t>
      </w:r>
      <w:r w:rsidR="00A52001">
        <w:rPr>
          <w:rFonts w:ascii="Calibri" w:eastAsia="Times New Roman" w:hAnsi="Calibri" w:cs="Times New Roman"/>
        </w:rPr>
        <w:t xml:space="preserve">and </w:t>
      </w:r>
      <w:r w:rsidR="00FA175C">
        <w:rPr>
          <w:rFonts w:ascii="Calibri" w:eastAsia="Times New Roman" w:hAnsi="Calibri" w:cs="Times New Roman"/>
        </w:rPr>
        <w:t>with</w:t>
      </w:r>
      <w:r w:rsidR="005A3406">
        <w:rPr>
          <w:rFonts w:ascii="Calibri" w:eastAsia="Times New Roman" w:hAnsi="Calibri" w:cs="Times New Roman"/>
        </w:rPr>
        <w:t>in appropriate</w:t>
      </w:r>
      <w:r w:rsidR="00FA175C">
        <w:rPr>
          <w:rFonts w:ascii="Calibri" w:eastAsia="Times New Roman" w:hAnsi="Calibri" w:cs="Times New Roman"/>
        </w:rPr>
        <w:t xml:space="preserve"> facilities and locations.</w:t>
      </w:r>
    </w:p>
    <w:p w:rsidR="002E7761" w:rsidRDefault="00A80762" w:rsidP="002E7761">
      <w:r>
        <w:t>Key consideratio</w:t>
      </w:r>
      <w:r w:rsidR="00365D3A">
        <w:t>ns should include:</w:t>
      </w:r>
    </w:p>
    <w:p w:rsidR="00C12C5E" w:rsidRDefault="00927FDC" w:rsidP="002E7761">
      <w:pPr>
        <w:pStyle w:val="ListParagraph"/>
        <w:numPr>
          <w:ilvl w:val="0"/>
          <w:numId w:val="36"/>
        </w:numPr>
      </w:pPr>
      <w:r>
        <w:t xml:space="preserve">Ensuring </w:t>
      </w:r>
      <w:r w:rsidR="00CB23BD">
        <w:t xml:space="preserve">that the </w:t>
      </w:r>
      <w:r>
        <w:t xml:space="preserve">easy to read information on the vaccine and </w:t>
      </w:r>
      <w:r w:rsidR="00695EF2">
        <w:t>the National Booking System</w:t>
      </w:r>
      <w:r>
        <w:t xml:space="preserve"> is available</w:t>
      </w:r>
      <w:r w:rsidR="00C12C5E">
        <w:t xml:space="preserve"> and distributed widely</w:t>
      </w:r>
      <w:r>
        <w:t xml:space="preserve"> in </w:t>
      </w:r>
      <w:r w:rsidR="00FA175C">
        <w:t xml:space="preserve">multiple </w:t>
      </w:r>
      <w:r w:rsidR="00FD297D">
        <w:t>formats</w:t>
      </w:r>
      <w:r w:rsidR="00B643A8">
        <w:t xml:space="preserve"> including audio, electronic and written</w:t>
      </w:r>
      <w:r w:rsidR="00D20D70">
        <w:t>, multiple digital channels and</w:t>
      </w:r>
      <w:r w:rsidR="005A3406">
        <w:t xml:space="preserve"> </w:t>
      </w:r>
      <w:r w:rsidR="00FA175C">
        <w:t>in</w:t>
      </w:r>
      <w:r w:rsidR="00410102">
        <w:t xml:space="preserve"> a variety of community</w:t>
      </w:r>
      <w:r w:rsidR="005A3406">
        <w:t xml:space="preserve"> languages</w:t>
      </w:r>
      <w:r w:rsidR="00695EF2">
        <w:t>.</w:t>
      </w:r>
    </w:p>
    <w:p w:rsidR="00927FDC" w:rsidRDefault="00C12C5E" w:rsidP="00C12C5E">
      <w:pPr>
        <w:pStyle w:val="ListParagraph"/>
        <w:numPr>
          <w:ilvl w:val="0"/>
          <w:numId w:val="36"/>
        </w:numPr>
      </w:pPr>
      <w:r>
        <w:t xml:space="preserve">Ensuring that there are channels available to culturally, ethnically and linguistically diverse communities to ask questions related to </w:t>
      </w:r>
      <w:r>
        <w:lastRenderedPageBreak/>
        <w:t xml:space="preserve">distributed information related to the vaccine and the National Booking System. </w:t>
      </w:r>
      <w:r w:rsidR="00927FDC">
        <w:t xml:space="preserve">Accessibility of the </w:t>
      </w:r>
      <w:r w:rsidR="00695EF2">
        <w:t>National B</w:t>
      </w:r>
      <w:r w:rsidR="00927FDC">
        <w:t xml:space="preserve">ooking </w:t>
      </w:r>
      <w:r w:rsidR="00695EF2">
        <w:t>S</w:t>
      </w:r>
      <w:r w:rsidR="00927FDC">
        <w:t>ystem and availability of appropriate supports for those unable to directly access</w:t>
      </w:r>
      <w:r w:rsidR="00FD297D">
        <w:t xml:space="preserve"> the </w:t>
      </w:r>
      <w:r w:rsidR="00695EF2">
        <w:t>National Booking System</w:t>
      </w:r>
      <w:r w:rsidR="00660DF8">
        <w:t>. For example, the</w:t>
      </w:r>
      <w:r w:rsidR="00B643A8">
        <w:t xml:space="preserve"> </w:t>
      </w:r>
      <w:r w:rsidR="00695EF2">
        <w:t>National Booking System</w:t>
      </w:r>
      <w:r w:rsidR="00B643A8">
        <w:t xml:space="preserve"> should be electronic</w:t>
      </w:r>
      <w:r w:rsidR="005A3406">
        <w:t xml:space="preserve"> and available by telephone</w:t>
      </w:r>
      <w:r w:rsidR="00B643A8">
        <w:t xml:space="preserve">, accessible via mobile phone, not </w:t>
      </w:r>
      <w:r w:rsidR="00AE23FB">
        <w:t xml:space="preserve">required to be </w:t>
      </w:r>
      <w:r w:rsidR="00B643A8">
        <w:t xml:space="preserve">linked to MyGov </w:t>
      </w:r>
      <w:r w:rsidR="00D20D70">
        <w:t xml:space="preserve">ensuring there are other entry points </w:t>
      </w:r>
      <w:r w:rsidR="00B643A8">
        <w:t>and should include appointment reminders in</w:t>
      </w:r>
      <w:r w:rsidR="00484EB9">
        <w:t xml:space="preserve"> the preferred</w:t>
      </w:r>
      <w:r w:rsidR="00B643A8">
        <w:t xml:space="preserve"> language</w:t>
      </w:r>
      <w:r w:rsidR="00695EF2">
        <w:t>.</w:t>
      </w:r>
    </w:p>
    <w:p w:rsidR="00150644" w:rsidRDefault="008C2525" w:rsidP="005A3406">
      <w:pPr>
        <w:pStyle w:val="ListParagraph"/>
        <w:numPr>
          <w:ilvl w:val="0"/>
          <w:numId w:val="36"/>
        </w:numPr>
      </w:pPr>
      <w:r>
        <w:t>Th</w:t>
      </w:r>
      <w:r w:rsidR="005A3406">
        <w:t xml:space="preserve">e need to </w:t>
      </w:r>
      <w:r w:rsidR="00292569">
        <w:t>work with community leaders</w:t>
      </w:r>
      <w:r w:rsidR="00CB23BD">
        <w:t xml:space="preserve"> and other community representatives</w:t>
      </w:r>
      <w:r w:rsidR="00292569">
        <w:t xml:space="preserve"> to ensure </w:t>
      </w:r>
      <w:r w:rsidR="00150644">
        <w:t>vaccination delivery sites</w:t>
      </w:r>
      <w:r w:rsidR="00292569">
        <w:t xml:space="preserve"> are </w:t>
      </w:r>
      <w:r w:rsidR="005A3406">
        <w:t>situated in areas physically accessible and acceptable to culturally and linguistically diverse communities</w:t>
      </w:r>
      <w:r w:rsidR="00A55D2B">
        <w:t>, and providing in-reach services where required</w:t>
      </w:r>
      <w:r w:rsidR="00695EF2">
        <w:t>.</w:t>
      </w:r>
      <w:r w:rsidR="00150644">
        <w:t xml:space="preserve"> </w:t>
      </w:r>
    </w:p>
    <w:p w:rsidR="00150644" w:rsidRDefault="00150644" w:rsidP="00150644">
      <w:pPr>
        <w:pStyle w:val="ListParagraph"/>
        <w:numPr>
          <w:ilvl w:val="0"/>
          <w:numId w:val="36"/>
        </w:numPr>
      </w:pPr>
      <w:r>
        <w:t xml:space="preserve">The need to organise administration of clinics </w:t>
      </w:r>
      <w:r w:rsidR="00292569">
        <w:t xml:space="preserve">to support </w:t>
      </w:r>
      <w:r w:rsidR="00292569">
        <w:rPr>
          <w:rFonts w:eastAsia="Times New Roman" w:cstheme="minorHAnsi"/>
        </w:rPr>
        <w:t>culturally safe</w:t>
      </w:r>
      <w:r w:rsidR="006C7B43">
        <w:rPr>
          <w:rFonts w:eastAsia="Times New Roman" w:cstheme="minorHAnsi"/>
        </w:rPr>
        <w:t xml:space="preserve"> and appropriate </w:t>
      </w:r>
      <w:r>
        <w:t>practices</w:t>
      </w:r>
      <w:r w:rsidR="006C7B43">
        <w:t xml:space="preserve">, </w:t>
      </w:r>
      <w:r w:rsidR="008C2525">
        <w:t>including provision of information in appropriate languages</w:t>
      </w:r>
      <w:r w:rsidR="00695EF2">
        <w:t>.</w:t>
      </w:r>
      <w:r>
        <w:t xml:space="preserve"> </w:t>
      </w:r>
    </w:p>
    <w:p w:rsidR="002E7761" w:rsidRDefault="002E7761" w:rsidP="002E7761">
      <w:pPr>
        <w:pStyle w:val="ListParagraph"/>
        <w:numPr>
          <w:ilvl w:val="0"/>
          <w:numId w:val="36"/>
        </w:numPr>
      </w:pPr>
      <w:r>
        <w:t>Ensuring the vaccination workforce has capabili</w:t>
      </w:r>
      <w:r w:rsidR="00D03EEE">
        <w:t>ties in working with culturally and linguistically diverse people</w:t>
      </w:r>
      <w:r w:rsidR="00CB23BD">
        <w:t>, encouraging workforce diversity,</w:t>
      </w:r>
      <w:r w:rsidR="00B643A8">
        <w:t xml:space="preserve"> and </w:t>
      </w:r>
      <w:r w:rsidR="00CB23BD">
        <w:t xml:space="preserve">ensuring </w:t>
      </w:r>
      <w:r w:rsidR="00B643A8">
        <w:t>that a</w:t>
      </w:r>
      <w:r w:rsidR="006C7B43">
        <w:t xml:space="preserve"> professional </w:t>
      </w:r>
      <w:r w:rsidR="00B643A8">
        <w:t xml:space="preserve">interpreter workforce is embedded in clinical services, including </w:t>
      </w:r>
      <w:r w:rsidR="00CB23BD">
        <w:t xml:space="preserve">for </w:t>
      </w:r>
      <w:r w:rsidR="00B643A8">
        <w:t>screening</w:t>
      </w:r>
      <w:r w:rsidR="005A3406">
        <w:t xml:space="preserve"> and obtaining informed consent</w:t>
      </w:r>
      <w:r w:rsidR="00695EF2">
        <w:t>.</w:t>
      </w:r>
      <w:r w:rsidR="00060BCB">
        <w:t xml:space="preserve"> </w:t>
      </w:r>
    </w:p>
    <w:p w:rsidR="006C7B43" w:rsidRDefault="006C7B43" w:rsidP="002E7761">
      <w:pPr>
        <w:pStyle w:val="ListParagraph"/>
        <w:numPr>
          <w:ilvl w:val="0"/>
          <w:numId w:val="36"/>
        </w:numPr>
      </w:pPr>
      <w:r>
        <w:t>Ensuring that the vaccine is available at no cost to</w:t>
      </w:r>
      <w:r w:rsidR="00A52001">
        <w:t xml:space="preserve"> everyone in Australia including </w:t>
      </w:r>
      <w:r>
        <w:t>those who may not have Medicare eligibility</w:t>
      </w:r>
      <w:r w:rsidR="00060BCB">
        <w:t>.</w:t>
      </w:r>
      <w:r>
        <w:t xml:space="preserve"> </w:t>
      </w:r>
    </w:p>
    <w:p w:rsidR="00D760C3" w:rsidRDefault="00D503CD" w:rsidP="002E7761">
      <w:pPr>
        <w:pStyle w:val="ListParagraph"/>
        <w:numPr>
          <w:ilvl w:val="0"/>
          <w:numId w:val="36"/>
        </w:numPr>
      </w:pPr>
      <w:r>
        <w:t xml:space="preserve">Recognition that people from </w:t>
      </w:r>
      <w:r w:rsidR="00695EF2">
        <w:t>c</w:t>
      </w:r>
      <w:r>
        <w:t>ulturally</w:t>
      </w:r>
      <w:r w:rsidR="00CB23BD">
        <w:t>, ethnically</w:t>
      </w:r>
      <w:r>
        <w:t xml:space="preserve"> and </w:t>
      </w:r>
      <w:r w:rsidR="00695EF2">
        <w:t>l</w:t>
      </w:r>
      <w:r>
        <w:t xml:space="preserve">inguistically </w:t>
      </w:r>
      <w:r w:rsidR="00695EF2">
        <w:t>d</w:t>
      </w:r>
      <w:r>
        <w:t xml:space="preserve">iverse backgrounds may also identify as Aboriginal and/or Torres Strait Islander, or live with disability, and therefore communications and services need to be both culturally appropriate, and disability appropriate. </w:t>
      </w:r>
    </w:p>
    <w:p w:rsidR="00241E71" w:rsidRDefault="007139AB" w:rsidP="00EF40F7">
      <w:pPr>
        <w:pStyle w:val="ListParagraph"/>
        <w:numPr>
          <w:ilvl w:val="0"/>
          <w:numId w:val="36"/>
        </w:numPr>
      </w:pPr>
      <w:r>
        <w:t>Considerations</w:t>
      </w:r>
      <w:r w:rsidR="00AA163D">
        <w:t xml:space="preserve"> for vaccine communications and delivery</w:t>
      </w:r>
      <w:r>
        <w:t xml:space="preserve"> should include </w:t>
      </w:r>
      <w:r w:rsidR="00AA163D">
        <w:t>the groups within the culturally</w:t>
      </w:r>
      <w:r w:rsidR="00CB23BD">
        <w:t>, ethnically</w:t>
      </w:r>
      <w:r w:rsidR="00AA163D">
        <w:t xml:space="preserve"> and linguistically diverse communit</w:t>
      </w:r>
      <w:r w:rsidR="00060BCB">
        <w:t>ies</w:t>
      </w:r>
      <w:r w:rsidR="00AA163D">
        <w:t xml:space="preserve"> who are prioritised for early vaccine delivery, including the elderly, those living with comorbidities</w:t>
      </w:r>
      <w:r w:rsidR="00410102">
        <w:t xml:space="preserve">, </w:t>
      </w:r>
      <w:r w:rsidR="00AA163D">
        <w:t>and people working in the aged care, disability and health sectors.</w:t>
      </w:r>
      <w:r w:rsidR="00695EF2">
        <w:t xml:space="preserve"> </w:t>
      </w:r>
    </w:p>
    <w:p w:rsidR="004E601D" w:rsidRDefault="00A55D2B" w:rsidP="004E601D">
      <w:pPr>
        <w:pStyle w:val="Heading1"/>
      </w:pPr>
      <w:r>
        <w:t xml:space="preserve">Accessing vaccines </w:t>
      </w:r>
    </w:p>
    <w:p w:rsidR="000A3836" w:rsidRDefault="00A9791A" w:rsidP="00A55D2B">
      <w:r>
        <w:t xml:space="preserve">People from </w:t>
      </w:r>
      <w:r w:rsidR="00241E71" w:rsidRPr="00A9791A">
        <w:t>culturally</w:t>
      </w:r>
      <w:r>
        <w:t>, ethnically</w:t>
      </w:r>
      <w:r w:rsidR="00241E71">
        <w:t xml:space="preserve"> and l</w:t>
      </w:r>
      <w:r w:rsidRPr="00A9791A">
        <w:t xml:space="preserve">inguistically </w:t>
      </w:r>
      <w:r w:rsidR="00241E71">
        <w:t>diverse c</w:t>
      </w:r>
      <w:r w:rsidRPr="00A9791A">
        <w:t>ommunities</w:t>
      </w:r>
      <w:r>
        <w:t xml:space="preserve"> </w:t>
      </w:r>
      <w:r w:rsidR="00E3272E">
        <w:t xml:space="preserve">should be able to </w:t>
      </w:r>
      <w:r w:rsidR="00AF731E">
        <w:t>access</w:t>
      </w:r>
      <w:r w:rsidR="00E3272E">
        <w:t xml:space="preserve"> </w:t>
      </w:r>
      <w:r w:rsidR="00241E71">
        <w:t xml:space="preserve">culturally safe </w:t>
      </w:r>
      <w:r w:rsidR="00A55D2B">
        <w:t xml:space="preserve">and accessible </w:t>
      </w:r>
      <w:r w:rsidR="00060BCB">
        <w:t>vaccine hubs</w:t>
      </w:r>
      <w:r w:rsidR="00E3272E">
        <w:t xml:space="preserve"> or medical facilities to receive their COVID-19 vaccinatio</w:t>
      </w:r>
      <w:r w:rsidR="00A55D2B">
        <w:t>n.</w:t>
      </w:r>
      <w:r w:rsidR="00695EF2">
        <w:t xml:space="preserve"> </w:t>
      </w:r>
      <w:r w:rsidR="00A55D2B">
        <w:t>To enhance community trust</w:t>
      </w:r>
      <w:r w:rsidR="00060BCB">
        <w:t xml:space="preserve"> and access</w:t>
      </w:r>
      <w:r w:rsidR="00A55D2B">
        <w:t xml:space="preserve">, consideration will be given to </w:t>
      </w:r>
      <w:r w:rsidR="00060BCB">
        <w:t>embedding</w:t>
      </w:r>
      <w:r w:rsidR="00A55D2B">
        <w:t xml:space="preserve"> clinics within organisations which already serve culturally</w:t>
      </w:r>
      <w:r w:rsidR="00CB23BD">
        <w:t>, ethnically</w:t>
      </w:r>
      <w:r w:rsidR="00A55D2B">
        <w:t xml:space="preserve"> and linguistically diverse communities.</w:t>
      </w:r>
      <w:r w:rsidR="00695EF2">
        <w:t xml:space="preserve"> </w:t>
      </w:r>
    </w:p>
    <w:p w:rsidR="004E601D" w:rsidRDefault="004E601D" w:rsidP="004E601D">
      <w:r>
        <w:lastRenderedPageBreak/>
        <w:t xml:space="preserve">Clinical governance and vaccination site management will be the responsibility of the </w:t>
      </w:r>
      <w:r w:rsidR="00237C5D">
        <w:t xml:space="preserve">vaccination </w:t>
      </w:r>
      <w:r>
        <w:t>provider.</w:t>
      </w:r>
      <w:r w:rsidR="00A9791A">
        <w:t xml:space="preserve"> </w:t>
      </w:r>
      <w:r w:rsidR="00A55D2B">
        <w:t>Providers</w:t>
      </w:r>
      <w:r w:rsidR="00A9791A">
        <w:t xml:space="preserve"> will need to demonstrate that they are working with community</w:t>
      </w:r>
      <w:r w:rsidR="00C01427">
        <w:t xml:space="preserve"> organisations and leaders</w:t>
      </w:r>
      <w:r w:rsidR="00A9791A">
        <w:t xml:space="preserve"> in their region to ensure </w:t>
      </w:r>
      <w:r w:rsidR="00A55D2B">
        <w:t xml:space="preserve">that their clinic is operating in a </w:t>
      </w:r>
      <w:r w:rsidR="00A9791A">
        <w:t>culturally safe way.</w:t>
      </w:r>
      <w:r w:rsidR="00695EF2">
        <w:t xml:space="preserve"> </w:t>
      </w:r>
      <w:r w:rsidR="00A430E7">
        <w:rPr>
          <w:rFonts w:cstheme="minorHAnsi"/>
        </w:rPr>
        <w:t xml:space="preserve">Having </w:t>
      </w:r>
      <w:r w:rsidR="00CB23BD">
        <w:rPr>
          <w:rFonts w:cstheme="minorHAnsi"/>
        </w:rPr>
        <w:t xml:space="preserve">a diverse workforce, </w:t>
      </w:r>
      <w:r w:rsidR="00A430E7" w:rsidRPr="00A430E7">
        <w:rPr>
          <w:rFonts w:cstheme="minorHAnsi"/>
        </w:rPr>
        <w:t>bilingual</w:t>
      </w:r>
      <w:r w:rsidR="00A430E7">
        <w:rPr>
          <w:rFonts w:cstheme="minorHAnsi"/>
        </w:rPr>
        <w:t xml:space="preserve"> workers</w:t>
      </w:r>
      <w:r w:rsidR="00CB23BD">
        <w:rPr>
          <w:rFonts w:cstheme="minorHAnsi"/>
        </w:rPr>
        <w:t>, and interpreters</w:t>
      </w:r>
      <w:r w:rsidR="00A430E7">
        <w:rPr>
          <w:rFonts w:cstheme="minorHAnsi"/>
        </w:rPr>
        <w:t xml:space="preserve"> </w:t>
      </w:r>
      <w:r w:rsidR="00A430E7" w:rsidRPr="00A430E7">
        <w:rPr>
          <w:rFonts w:cstheme="minorHAnsi"/>
        </w:rPr>
        <w:t>available</w:t>
      </w:r>
      <w:r w:rsidR="00A430E7">
        <w:rPr>
          <w:rFonts w:cstheme="minorHAnsi"/>
        </w:rPr>
        <w:t xml:space="preserve"> at vaccine encounters</w:t>
      </w:r>
      <w:r w:rsidR="00A430E7" w:rsidRPr="00A430E7">
        <w:rPr>
          <w:rFonts w:cstheme="minorHAnsi"/>
        </w:rPr>
        <w:t xml:space="preserve"> and us</w:t>
      </w:r>
      <w:r w:rsidR="00A430E7">
        <w:rPr>
          <w:rFonts w:cstheme="minorHAnsi"/>
        </w:rPr>
        <w:t xml:space="preserve">ing </w:t>
      </w:r>
      <w:r w:rsidR="00A430E7" w:rsidRPr="00A430E7">
        <w:rPr>
          <w:rFonts w:cstheme="minorHAnsi"/>
        </w:rPr>
        <w:t>these engagements to impart health information</w:t>
      </w:r>
      <w:r w:rsidR="003150A3">
        <w:rPr>
          <w:rFonts w:cstheme="minorHAnsi"/>
        </w:rPr>
        <w:t>, ensure that people are aware of the requirement to receive a second dose of the vaccine</w:t>
      </w:r>
      <w:r w:rsidR="00A430E7" w:rsidRPr="00A430E7">
        <w:rPr>
          <w:rFonts w:cstheme="minorHAnsi"/>
        </w:rPr>
        <w:t xml:space="preserve"> and refer to further services</w:t>
      </w:r>
      <w:r w:rsidR="00CB23BD">
        <w:rPr>
          <w:rFonts w:cstheme="minorHAnsi"/>
        </w:rPr>
        <w:t xml:space="preserve"> where needed</w:t>
      </w:r>
      <w:r w:rsidR="00A430E7">
        <w:rPr>
          <w:rFonts w:cstheme="minorHAnsi"/>
        </w:rPr>
        <w:t xml:space="preserve"> will be an important value add of any encounter</w:t>
      </w:r>
      <w:r w:rsidR="00A430E7" w:rsidRPr="00A430E7">
        <w:rPr>
          <w:rFonts w:cstheme="minorHAnsi"/>
        </w:rPr>
        <w:t>.</w:t>
      </w:r>
    </w:p>
    <w:p w:rsidR="004E601D" w:rsidRPr="00A16CF9" w:rsidRDefault="004E601D" w:rsidP="004E601D">
      <w:pPr>
        <w:pStyle w:val="Heading1"/>
      </w:pPr>
      <w:r>
        <w:t xml:space="preserve">Summary of responsibilities for COVID-19 vaccination </w:t>
      </w:r>
    </w:p>
    <w:p w:rsidR="004E601D" w:rsidRPr="003F45DA" w:rsidRDefault="004E601D" w:rsidP="004E601D">
      <w:r w:rsidRPr="003F45DA">
        <w:t xml:space="preserve">The Australian Government will be responsible for leading the implementation of the </w:t>
      </w:r>
      <w:r>
        <w:t xml:space="preserve">COVID-19 </w:t>
      </w:r>
      <w:r w:rsidR="00695EF2">
        <w:t>Vaccination Program</w:t>
      </w:r>
      <w:r>
        <w:t xml:space="preserve">, in consultation with relevant peak bodies and </w:t>
      </w:r>
      <w:r w:rsidR="00CA6E5A">
        <w:t>s</w:t>
      </w:r>
      <w:r>
        <w:t xml:space="preserve">tate and </w:t>
      </w:r>
      <w:r w:rsidR="00CA6E5A">
        <w:t>t</w:t>
      </w:r>
      <w:r>
        <w:t xml:space="preserve">erritory </w:t>
      </w:r>
      <w:r w:rsidR="00CA6E5A">
        <w:t>g</w:t>
      </w:r>
      <w:r>
        <w:t>overnments.</w:t>
      </w:r>
    </w:p>
    <w:p w:rsidR="004E601D" w:rsidRPr="003F45DA" w:rsidRDefault="004E601D" w:rsidP="004E601D">
      <w:r w:rsidRPr="003F45DA">
        <w:t xml:space="preserve">Clear lines of responsibility are required to ensure that this complex process is well managed, and </w:t>
      </w:r>
      <w:r>
        <w:t>accountabilities are well</w:t>
      </w:r>
      <w:r w:rsidRPr="003F45DA">
        <w:t xml:space="preserve"> </w:t>
      </w:r>
      <w:r>
        <w:t>understood</w:t>
      </w:r>
      <w:r w:rsidRPr="003F45DA">
        <w:t xml:space="preserve"> at each stage of the process. </w:t>
      </w:r>
    </w:p>
    <w:p w:rsidR="004E601D" w:rsidRDefault="004E601D" w:rsidP="004E601D">
      <w:r w:rsidRPr="003F45DA">
        <w:t xml:space="preserve">The following articulates the respective roles and responsibilities of </w:t>
      </w:r>
      <w:r>
        <w:t>all parties in relation to COVID</w:t>
      </w:r>
      <w:r>
        <w:noBreakHyphen/>
        <w:t>19 vaccination.</w:t>
      </w:r>
    </w:p>
    <w:p w:rsidR="00410102" w:rsidRDefault="00410102" w:rsidP="004E601D"/>
    <w:tbl>
      <w:tblPr>
        <w:tblStyle w:val="TableGrid"/>
        <w:tblW w:w="0" w:type="auto"/>
        <w:tblLook w:val="04A0" w:firstRow="1" w:lastRow="0" w:firstColumn="1" w:lastColumn="0" w:noHBand="0" w:noVBand="1"/>
      </w:tblPr>
      <w:tblGrid>
        <w:gridCol w:w="2405"/>
        <w:gridCol w:w="6611"/>
      </w:tblGrid>
      <w:tr w:rsidR="004E601D" w:rsidRPr="00A16CF9" w:rsidTr="00AA063F">
        <w:tc>
          <w:tcPr>
            <w:tcW w:w="2405" w:type="dxa"/>
            <w:shd w:val="clear" w:color="auto" w:fill="A9D5E7" w:themeFill="accent1" w:themeFillTint="66"/>
          </w:tcPr>
          <w:p w:rsidR="004E601D" w:rsidRPr="00A16CF9" w:rsidRDefault="004E601D" w:rsidP="007E5B0E">
            <w:pPr>
              <w:rPr>
                <w:b/>
              </w:rPr>
            </w:pPr>
          </w:p>
        </w:tc>
        <w:tc>
          <w:tcPr>
            <w:tcW w:w="6611" w:type="dxa"/>
            <w:shd w:val="clear" w:color="auto" w:fill="A9D5E7" w:themeFill="accent1" w:themeFillTint="66"/>
          </w:tcPr>
          <w:p w:rsidR="004E601D" w:rsidRPr="00A16CF9" w:rsidRDefault="004E601D" w:rsidP="007E5B0E">
            <w:pPr>
              <w:rPr>
                <w:b/>
              </w:rPr>
            </w:pPr>
            <w:r>
              <w:rPr>
                <w:b/>
              </w:rPr>
              <w:t>Responsibilities</w:t>
            </w:r>
          </w:p>
        </w:tc>
      </w:tr>
      <w:tr w:rsidR="004E601D" w:rsidTr="00AA063F">
        <w:tc>
          <w:tcPr>
            <w:tcW w:w="2405" w:type="dxa"/>
            <w:shd w:val="clear" w:color="auto" w:fill="FFFFFF" w:themeFill="background1"/>
          </w:tcPr>
          <w:p w:rsidR="004E601D" w:rsidRDefault="004E601D" w:rsidP="007E5B0E">
            <w:r w:rsidRPr="0002762C">
              <w:rPr>
                <w:rFonts w:cstheme="minorHAnsi"/>
                <w:b/>
                <w:szCs w:val="22"/>
              </w:rPr>
              <w:t>Australian Government</w:t>
            </w:r>
          </w:p>
        </w:tc>
        <w:tc>
          <w:tcPr>
            <w:tcW w:w="6611" w:type="dxa"/>
            <w:shd w:val="clear" w:color="auto" w:fill="FFFFFF" w:themeFill="background1"/>
          </w:tcPr>
          <w:p w:rsidR="00DD646F" w:rsidRPr="0023146C" w:rsidRDefault="00DD646F" w:rsidP="004A3520">
            <w:pPr>
              <w:pStyle w:val="ListParagraph"/>
              <w:numPr>
                <w:ilvl w:val="0"/>
                <w:numId w:val="30"/>
              </w:numPr>
              <w:contextualSpacing w:val="0"/>
            </w:pPr>
            <w:r w:rsidRPr="0023146C">
              <w:t>select</w:t>
            </w:r>
            <w:r>
              <w:t xml:space="preserve"> </w:t>
            </w:r>
            <w:r w:rsidRPr="0023146C">
              <w:t>and</w:t>
            </w:r>
            <w:r>
              <w:t xml:space="preserve"> </w:t>
            </w:r>
            <w:r w:rsidRPr="0023146C">
              <w:t>procure</w:t>
            </w:r>
            <w:r>
              <w:t xml:space="preserve"> </w:t>
            </w:r>
            <w:r w:rsidRPr="0023146C">
              <w:t>COVID-19</w:t>
            </w:r>
            <w:r>
              <w:t xml:space="preserve"> </w:t>
            </w:r>
            <w:r w:rsidRPr="0023146C">
              <w:t>vaccines</w:t>
            </w:r>
            <w:r>
              <w:t xml:space="preserve"> </w:t>
            </w:r>
          </w:p>
          <w:p w:rsidR="00DD646F" w:rsidRPr="0023146C" w:rsidRDefault="00DD646F" w:rsidP="004A3520">
            <w:pPr>
              <w:pStyle w:val="ListParagraph"/>
              <w:numPr>
                <w:ilvl w:val="0"/>
                <w:numId w:val="30"/>
              </w:numPr>
              <w:contextualSpacing w:val="0"/>
            </w:pPr>
            <w:r w:rsidRPr="0023146C">
              <w:t>formally</w:t>
            </w:r>
            <w:r>
              <w:t xml:space="preserve"> </w:t>
            </w:r>
            <w:r w:rsidRPr="0023146C">
              <w:t>accept</w:t>
            </w:r>
            <w:r>
              <w:t xml:space="preserve"> </w:t>
            </w:r>
            <w:r w:rsidRPr="0023146C">
              <w:t>vaccines</w:t>
            </w:r>
            <w:r>
              <w:t xml:space="preserve"> </w:t>
            </w:r>
            <w:r w:rsidRPr="0023146C">
              <w:t>from</w:t>
            </w:r>
            <w:r>
              <w:t xml:space="preserve"> </w:t>
            </w:r>
            <w:r w:rsidRPr="0023146C">
              <w:t>suppliers</w:t>
            </w:r>
            <w:r>
              <w:t xml:space="preserve"> </w:t>
            </w:r>
            <w:r w:rsidRPr="0023146C">
              <w:t>and</w:t>
            </w:r>
            <w:r>
              <w:t xml:space="preserve"> </w:t>
            </w:r>
            <w:r w:rsidRPr="0023146C">
              <w:t>ensure</w:t>
            </w:r>
            <w:r>
              <w:t xml:space="preserve"> </w:t>
            </w:r>
            <w:r w:rsidRPr="0023146C">
              <w:t>they</w:t>
            </w:r>
            <w:r>
              <w:t xml:space="preserve"> </w:t>
            </w:r>
            <w:r w:rsidRPr="0023146C">
              <w:t>meet</w:t>
            </w:r>
            <w:r>
              <w:t xml:space="preserve"> </w:t>
            </w:r>
            <w:r w:rsidRPr="0023146C">
              <w:t>the</w:t>
            </w:r>
            <w:r>
              <w:t xml:space="preserve"> </w:t>
            </w:r>
            <w:r w:rsidRPr="0023146C">
              <w:t>required</w:t>
            </w:r>
            <w:r>
              <w:t xml:space="preserve"> </w:t>
            </w:r>
            <w:r w:rsidRPr="0023146C">
              <w:t>standards</w:t>
            </w:r>
          </w:p>
          <w:p w:rsidR="00DD646F" w:rsidRPr="0023146C" w:rsidRDefault="00DD646F" w:rsidP="004A3520">
            <w:pPr>
              <w:pStyle w:val="ListParagraph"/>
              <w:numPr>
                <w:ilvl w:val="0"/>
                <w:numId w:val="30"/>
              </w:numPr>
              <w:contextualSpacing w:val="0"/>
            </w:pPr>
            <w:r w:rsidRPr="0023146C">
              <w:t>safely</w:t>
            </w:r>
            <w:r>
              <w:t xml:space="preserve"> </w:t>
            </w:r>
            <w:r w:rsidRPr="0023146C">
              <w:t>transport</w:t>
            </w:r>
            <w:r>
              <w:t xml:space="preserve"> </w:t>
            </w:r>
            <w:r w:rsidRPr="0023146C">
              <w:t>vaccine</w:t>
            </w:r>
            <w:r>
              <w:t xml:space="preserve"> </w:t>
            </w:r>
            <w:r w:rsidRPr="0023146C">
              <w:t>doses</w:t>
            </w:r>
            <w:r>
              <w:t xml:space="preserve"> </w:t>
            </w:r>
            <w:r w:rsidRPr="0023146C">
              <w:t>to</w:t>
            </w:r>
            <w:r>
              <w:t xml:space="preserve"> </w:t>
            </w:r>
            <w:r w:rsidRPr="0023146C">
              <w:t>storage</w:t>
            </w:r>
            <w:r>
              <w:t xml:space="preserve"> </w:t>
            </w:r>
            <w:r w:rsidRPr="0023146C">
              <w:t>and</w:t>
            </w:r>
            <w:r>
              <w:t xml:space="preserve"> </w:t>
            </w:r>
            <w:r w:rsidRPr="0023146C">
              <w:t>administration</w:t>
            </w:r>
            <w:r>
              <w:t xml:space="preserve"> </w:t>
            </w:r>
            <w:r w:rsidRPr="0023146C">
              <w:t>sites</w:t>
            </w:r>
            <w:r>
              <w:t xml:space="preserve"> </w:t>
            </w:r>
            <w:r w:rsidRPr="0023146C">
              <w:t>within</w:t>
            </w:r>
            <w:r>
              <w:t xml:space="preserve"> </w:t>
            </w:r>
            <w:r w:rsidRPr="0023146C">
              <w:t>each</w:t>
            </w:r>
            <w:r>
              <w:t xml:space="preserve"> </w:t>
            </w:r>
            <w:r w:rsidRPr="0023146C">
              <w:t>state</w:t>
            </w:r>
            <w:r>
              <w:t xml:space="preserve"> </w:t>
            </w:r>
            <w:r w:rsidRPr="0023146C">
              <w:t>and</w:t>
            </w:r>
            <w:r>
              <w:t xml:space="preserve"> </w:t>
            </w:r>
            <w:r w:rsidRPr="0023146C">
              <w:t>territory,</w:t>
            </w:r>
            <w:r>
              <w:t xml:space="preserve"> </w:t>
            </w:r>
            <w:r w:rsidRPr="0023146C">
              <w:t>and</w:t>
            </w:r>
            <w:r>
              <w:t xml:space="preserve"> </w:t>
            </w:r>
            <w:r w:rsidRPr="0023146C">
              <w:t>between</w:t>
            </w:r>
            <w:r>
              <w:t xml:space="preserve"> </w:t>
            </w:r>
            <w:r w:rsidRPr="0023146C">
              <w:t>these</w:t>
            </w:r>
            <w:r>
              <w:t xml:space="preserve"> </w:t>
            </w:r>
            <w:r w:rsidRPr="0023146C">
              <w:t>sites</w:t>
            </w:r>
            <w:r>
              <w:t xml:space="preserve"> </w:t>
            </w:r>
            <w:r w:rsidRPr="0023146C">
              <w:t>and</w:t>
            </w:r>
            <w:r>
              <w:t xml:space="preserve"> </w:t>
            </w:r>
            <w:r w:rsidRPr="0023146C">
              <w:t>vaccination</w:t>
            </w:r>
            <w:r>
              <w:t xml:space="preserve"> </w:t>
            </w:r>
            <w:r w:rsidRPr="0023146C">
              <w:t>locations</w:t>
            </w:r>
            <w:r>
              <w:t xml:space="preserve"> </w:t>
            </w:r>
            <w:r w:rsidRPr="0023146C">
              <w:t>where</w:t>
            </w:r>
            <w:r>
              <w:t xml:space="preserve"> </w:t>
            </w:r>
            <w:r w:rsidRPr="0023146C">
              <w:t>it</w:t>
            </w:r>
            <w:r>
              <w:t xml:space="preserve"> </w:t>
            </w:r>
            <w:r w:rsidRPr="0023146C">
              <w:t>determines</w:t>
            </w:r>
            <w:r>
              <w:t xml:space="preserve"> </w:t>
            </w:r>
            <w:r w:rsidRPr="0023146C">
              <w:t>necessary</w:t>
            </w:r>
          </w:p>
          <w:p w:rsidR="00DD646F" w:rsidRDefault="00DD646F" w:rsidP="004A3520">
            <w:pPr>
              <w:pStyle w:val="ListParagraph"/>
              <w:numPr>
                <w:ilvl w:val="0"/>
                <w:numId w:val="30"/>
              </w:numPr>
              <w:contextualSpacing w:val="0"/>
            </w:pPr>
            <w:r>
              <w:t>establish and manage a system to track and trace vaccine doses</w:t>
            </w:r>
          </w:p>
          <w:p w:rsidR="00DD646F" w:rsidRPr="0023146C" w:rsidRDefault="00DD646F" w:rsidP="004A3520">
            <w:pPr>
              <w:pStyle w:val="ListParagraph"/>
              <w:numPr>
                <w:ilvl w:val="0"/>
                <w:numId w:val="30"/>
              </w:numPr>
              <w:contextualSpacing w:val="0"/>
            </w:pPr>
            <w:r w:rsidRPr="0023146C">
              <w:t>specify</w:t>
            </w:r>
            <w:r>
              <w:t xml:space="preserve"> </w:t>
            </w:r>
            <w:r w:rsidRPr="0023146C">
              <w:t>priority</w:t>
            </w:r>
            <w:r>
              <w:t xml:space="preserve"> </w:t>
            </w:r>
            <w:r w:rsidRPr="0023146C">
              <w:t>populations,</w:t>
            </w:r>
            <w:r>
              <w:t xml:space="preserve"> </w:t>
            </w:r>
            <w:r w:rsidRPr="0023146C">
              <w:t>drawing</w:t>
            </w:r>
            <w:r>
              <w:t xml:space="preserve"> </w:t>
            </w:r>
            <w:r w:rsidRPr="0023146C">
              <w:t>from</w:t>
            </w:r>
            <w:r>
              <w:t xml:space="preserve"> </w:t>
            </w:r>
            <w:r w:rsidRPr="0023146C">
              <w:t>advice</w:t>
            </w:r>
            <w:r>
              <w:t xml:space="preserve"> </w:t>
            </w:r>
            <w:r w:rsidRPr="0023146C">
              <w:t>from</w:t>
            </w:r>
            <w:r>
              <w:t xml:space="preserve"> </w:t>
            </w:r>
            <w:r w:rsidRPr="0023146C">
              <w:t>ATAGI</w:t>
            </w:r>
          </w:p>
          <w:p w:rsidR="00DD646F" w:rsidRPr="0023146C" w:rsidRDefault="00DD646F" w:rsidP="004A3520">
            <w:pPr>
              <w:pStyle w:val="ListParagraph"/>
              <w:numPr>
                <w:ilvl w:val="0"/>
                <w:numId w:val="30"/>
              </w:numPr>
              <w:contextualSpacing w:val="0"/>
            </w:pPr>
            <w:r w:rsidRPr="0023146C">
              <w:t>establish</w:t>
            </w:r>
            <w:r>
              <w:t xml:space="preserve"> </w:t>
            </w:r>
            <w:r w:rsidRPr="0023146C">
              <w:t>overarching</w:t>
            </w:r>
            <w:r>
              <w:t xml:space="preserve"> </w:t>
            </w:r>
            <w:r w:rsidRPr="0023146C">
              <w:t>principles</w:t>
            </w:r>
            <w:r>
              <w:t xml:space="preserve"> </w:t>
            </w:r>
            <w:r w:rsidRPr="0023146C">
              <w:t>for</w:t>
            </w:r>
            <w:r>
              <w:t xml:space="preserve"> </w:t>
            </w:r>
            <w:r w:rsidRPr="0023146C">
              <w:t>immunisation</w:t>
            </w:r>
            <w:r>
              <w:t xml:space="preserve"> </w:t>
            </w:r>
            <w:r w:rsidRPr="0023146C">
              <w:t>scheduling</w:t>
            </w:r>
          </w:p>
          <w:p w:rsidR="00DD646F" w:rsidRPr="0023146C" w:rsidRDefault="00DD646F" w:rsidP="004A3520">
            <w:pPr>
              <w:pStyle w:val="ListParagraph"/>
              <w:numPr>
                <w:ilvl w:val="0"/>
                <w:numId w:val="30"/>
              </w:numPr>
              <w:contextualSpacing w:val="0"/>
            </w:pPr>
            <w:r w:rsidRPr="0023146C">
              <w:t>specify</w:t>
            </w:r>
            <w:r>
              <w:t xml:space="preserve"> </w:t>
            </w:r>
            <w:r w:rsidRPr="0023146C">
              <w:t>minimum</w:t>
            </w:r>
            <w:r>
              <w:t xml:space="preserve"> </w:t>
            </w:r>
            <w:r w:rsidRPr="0023146C">
              <w:t>training</w:t>
            </w:r>
            <w:r>
              <w:t xml:space="preserve"> </w:t>
            </w:r>
            <w:r w:rsidRPr="0023146C">
              <w:t>requirements</w:t>
            </w:r>
            <w:r>
              <w:t xml:space="preserve"> </w:t>
            </w:r>
            <w:r w:rsidRPr="0023146C">
              <w:t>for</w:t>
            </w:r>
            <w:r>
              <w:t xml:space="preserve"> </w:t>
            </w:r>
            <w:r w:rsidRPr="0023146C">
              <w:t>the</w:t>
            </w:r>
            <w:r>
              <w:t xml:space="preserve"> </w:t>
            </w:r>
            <w:r w:rsidRPr="0023146C">
              <w:t>immunisation</w:t>
            </w:r>
            <w:r>
              <w:t xml:space="preserve"> </w:t>
            </w:r>
            <w:r w:rsidRPr="0023146C">
              <w:t>workforce</w:t>
            </w:r>
            <w:r>
              <w:t xml:space="preserve"> </w:t>
            </w:r>
          </w:p>
          <w:p w:rsidR="00DD646F" w:rsidRPr="0023146C" w:rsidRDefault="00DD646F" w:rsidP="004A3520">
            <w:pPr>
              <w:pStyle w:val="ListParagraph"/>
              <w:numPr>
                <w:ilvl w:val="0"/>
                <w:numId w:val="30"/>
              </w:numPr>
              <w:contextualSpacing w:val="0"/>
            </w:pPr>
            <w:r w:rsidRPr="0023146C">
              <w:t>specify</w:t>
            </w:r>
            <w:r>
              <w:t xml:space="preserve"> </w:t>
            </w:r>
            <w:r w:rsidRPr="0023146C">
              <w:t>types</w:t>
            </w:r>
            <w:r>
              <w:t xml:space="preserve"> </w:t>
            </w:r>
            <w:r w:rsidRPr="0023146C">
              <w:t>of</w:t>
            </w:r>
            <w:r>
              <w:t xml:space="preserve"> </w:t>
            </w:r>
            <w:r w:rsidRPr="0023146C">
              <w:t>and</w:t>
            </w:r>
            <w:r>
              <w:t xml:space="preserve"> </w:t>
            </w:r>
            <w:r w:rsidRPr="0023146C">
              <w:t>minimum</w:t>
            </w:r>
            <w:r>
              <w:t xml:space="preserve"> </w:t>
            </w:r>
            <w:r w:rsidRPr="0023146C">
              <w:t>requirements</w:t>
            </w:r>
            <w:r>
              <w:t xml:space="preserve"> </w:t>
            </w:r>
            <w:r w:rsidRPr="0023146C">
              <w:t>for</w:t>
            </w:r>
            <w:r>
              <w:t xml:space="preserve"> </w:t>
            </w:r>
            <w:r w:rsidRPr="0023146C">
              <w:t>vaccination</w:t>
            </w:r>
            <w:r>
              <w:t xml:space="preserve"> </w:t>
            </w:r>
            <w:r w:rsidRPr="0023146C">
              <w:t>locations</w:t>
            </w:r>
          </w:p>
          <w:p w:rsidR="00DD646F" w:rsidRPr="0023146C" w:rsidRDefault="00DD646F" w:rsidP="004A3520">
            <w:pPr>
              <w:pStyle w:val="ListParagraph"/>
              <w:numPr>
                <w:ilvl w:val="0"/>
                <w:numId w:val="30"/>
              </w:numPr>
              <w:contextualSpacing w:val="0"/>
            </w:pPr>
            <w:r w:rsidRPr="0023146C">
              <w:t>establish</w:t>
            </w:r>
            <w:r>
              <w:t xml:space="preserve"> </w:t>
            </w:r>
            <w:r w:rsidRPr="0023146C">
              <w:t>clinical</w:t>
            </w:r>
            <w:r>
              <w:t xml:space="preserve"> </w:t>
            </w:r>
            <w:r w:rsidRPr="0023146C">
              <w:t>governance</w:t>
            </w:r>
            <w:r>
              <w:t xml:space="preserve"> </w:t>
            </w:r>
            <w:r w:rsidRPr="0023146C">
              <w:t>requirements</w:t>
            </w:r>
          </w:p>
          <w:p w:rsidR="004E601D" w:rsidRDefault="00660DF8" w:rsidP="004A3520">
            <w:pPr>
              <w:pStyle w:val="ListParagraph"/>
              <w:numPr>
                <w:ilvl w:val="0"/>
                <w:numId w:val="30"/>
              </w:numPr>
              <w:spacing w:after="160"/>
            </w:pPr>
            <w:r>
              <w:t>develop</w:t>
            </w:r>
            <w:r w:rsidR="004E601D" w:rsidRPr="0002762C">
              <w:t xml:space="preserve"> and deliver </w:t>
            </w:r>
            <w:r w:rsidR="00DD646F">
              <w:t>a</w:t>
            </w:r>
            <w:r w:rsidR="004E601D" w:rsidRPr="0002762C">
              <w:t xml:space="preserve"> national communications campaign</w:t>
            </w:r>
            <w:r w:rsidR="004E601D">
              <w:t>, including materials about the vaccination program for</w:t>
            </w:r>
            <w:r w:rsidR="00237C5D">
              <w:t xml:space="preserve"> </w:t>
            </w:r>
            <w:r w:rsidR="00CA6E5A">
              <w:t>culturally</w:t>
            </w:r>
            <w:r w:rsidR="00CB23BD">
              <w:t>, ethnically</w:t>
            </w:r>
            <w:r w:rsidR="00CA6E5A">
              <w:t xml:space="preserve"> and linguistically diverse </w:t>
            </w:r>
            <w:r w:rsidR="00237C5D">
              <w:t>communities</w:t>
            </w:r>
          </w:p>
          <w:p w:rsidR="004E601D" w:rsidRDefault="004E601D" w:rsidP="004A3520">
            <w:pPr>
              <w:pStyle w:val="ListParagraph"/>
              <w:numPr>
                <w:ilvl w:val="0"/>
                <w:numId w:val="30"/>
              </w:numPr>
              <w:spacing w:after="160"/>
            </w:pPr>
            <w:r w:rsidRPr="0002762C">
              <w:t>set data collection and reporting requirements</w:t>
            </w:r>
            <w:r>
              <w:t>, including</w:t>
            </w:r>
            <w:r w:rsidRPr="0002762C">
              <w:t xml:space="preserve"> adverse event monitoring via the TGA</w:t>
            </w:r>
          </w:p>
          <w:p w:rsidR="004A3520" w:rsidRDefault="004A3520" w:rsidP="004A3520">
            <w:pPr>
              <w:pStyle w:val="ListParagraph"/>
              <w:numPr>
                <w:ilvl w:val="0"/>
                <w:numId w:val="30"/>
              </w:numPr>
              <w:contextualSpacing w:val="0"/>
            </w:pPr>
            <w:r w:rsidRPr="00731590">
              <w:t>further</w:t>
            </w:r>
            <w:r>
              <w:t xml:space="preserve"> </w:t>
            </w:r>
            <w:r w:rsidRPr="00731590">
              <w:t>strengthen</w:t>
            </w:r>
            <w:r>
              <w:t xml:space="preserve"> </w:t>
            </w:r>
            <w:r w:rsidRPr="00731590">
              <w:t>the</w:t>
            </w:r>
            <w:r>
              <w:t xml:space="preserve"> </w:t>
            </w:r>
            <w:r w:rsidRPr="00731590">
              <w:t>capabilities</w:t>
            </w:r>
            <w:r>
              <w:t xml:space="preserve"> </w:t>
            </w:r>
            <w:r w:rsidRPr="00731590">
              <w:t>of</w:t>
            </w:r>
            <w:r>
              <w:t xml:space="preserve"> </w:t>
            </w:r>
            <w:r w:rsidRPr="00731590">
              <w:t>the</w:t>
            </w:r>
            <w:r>
              <w:t xml:space="preserve"> </w:t>
            </w:r>
            <w:r w:rsidRPr="00731590">
              <w:t>current</w:t>
            </w:r>
            <w:r>
              <w:t xml:space="preserve"> </w:t>
            </w:r>
            <w:r w:rsidRPr="00731590">
              <w:t>national</w:t>
            </w:r>
            <w:r>
              <w:t xml:space="preserve"> </w:t>
            </w:r>
            <w:r w:rsidRPr="00731590">
              <w:t>active</w:t>
            </w:r>
            <w:r>
              <w:t xml:space="preserve"> </w:t>
            </w:r>
            <w:r w:rsidRPr="00731590">
              <w:t>safety</w:t>
            </w:r>
            <w:r>
              <w:t xml:space="preserve"> </w:t>
            </w:r>
            <w:r w:rsidRPr="00731590">
              <w:t>surveillance</w:t>
            </w:r>
            <w:r>
              <w:t xml:space="preserve"> </w:t>
            </w:r>
            <w:r w:rsidRPr="00731590">
              <w:t>system</w:t>
            </w:r>
            <w:r>
              <w:t xml:space="preserve">, </w:t>
            </w:r>
            <w:r w:rsidRPr="00731590">
              <w:t>known</w:t>
            </w:r>
            <w:r>
              <w:t xml:space="preserve"> </w:t>
            </w:r>
            <w:r w:rsidRPr="00731590">
              <w:t>as</w:t>
            </w:r>
            <w:r>
              <w:t xml:space="preserve"> </w:t>
            </w:r>
            <w:r w:rsidRPr="00731590">
              <w:t>AusVaxSafety</w:t>
            </w:r>
          </w:p>
          <w:p w:rsidR="00241E71" w:rsidRDefault="004E601D" w:rsidP="004A3520">
            <w:pPr>
              <w:pStyle w:val="ListParagraph"/>
              <w:numPr>
                <w:ilvl w:val="0"/>
                <w:numId w:val="30"/>
              </w:numPr>
              <w:spacing w:after="160"/>
            </w:pPr>
            <w:r>
              <w:t>establis</w:t>
            </w:r>
            <w:r w:rsidR="004A3520">
              <w:t>h</w:t>
            </w:r>
            <w:r>
              <w:t xml:space="preserve"> </w:t>
            </w:r>
            <w:r w:rsidR="004A3520">
              <w:t>and maintain a</w:t>
            </w:r>
            <w:r>
              <w:t xml:space="preserve"> National Booking System</w:t>
            </w:r>
            <w:r w:rsidR="00B643A8">
              <w:t xml:space="preserve"> that is available to </w:t>
            </w:r>
            <w:r w:rsidR="00260486">
              <w:t xml:space="preserve">all </w:t>
            </w:r>
            <w:r w:rsidR="00B643A8">
              <w:t>people</w:t>
            </w:r>
            <w:r w:rsidR="00260486">
              <w:t>, including those</w:t>
            </w:r>
            <w:r w:rsidR="00B643A8">
              <w:t xml:space="preserve"> without access to MyGov</w:t>
            </w:r>
            <w:r w:rsidR="00260486">
              <w:t xml:space="preserve"> and those without Medicare eligibility</w:t>
            </w:r>
          </w:p>
          <w:p w:rsidR="004E601D" w:rsidRDefault="004A3520" w:rsidP="004A3520">
            <w:pPr>
              <w:pStyle w:val="ListParagraph"/>
              <w:numPr>
                <w:ilvl w:val="0"/>
                <w:numId w:val="30"/>
              </w:numPr>
              <w:spacing w:after="160"/>
            </w:pPr>
            <w:r>
              <w:t xml:space="preserve">continue to support and receive advice from </w:t>
            </w:r>
            <w:r w:rsidR="00241E71">
              <w:t>the Culturally and Linguistically Divers</w:t>
            </w:r>
            <w:r w:rsidR="00CA6E5A">
              <w:t>e</w:t>
            </w:r>
            <w:r w:rsidR="00241E71">
              <w:t xml:space="preserve"> Communities Covid-19 Health Advisory Group</w:t>
            </w:r>
            <w:r>
              <w:t>.</w:t>
            </w:r>
          </w:p>
        </w:tc>
      </w:tr>
      <w:tr w:rsidR="004E601D" w:rsidRPr="00A16CF9" w:rsidTr="00AA063F">
        <w:tc>
          <w:tcPr>
            <w:tcW w:w="2405" w:type="dxa"/>
          </w:tcPr>
          <w:p w:rsidR="004E601D" w:rsidRDefault="004E601D" w:rsidP="007E5B0E">
            <w:pPr>
              <w:rPr>
                <w:rFonts w:cstheme="minorHAnsi"/>
                <w:b/>
                <w:szCs w:val="22"/>
              </w:rPr>
            </w:pPr>
            <w:r>
              <w:rPr>
                <w:rFonts w:cstheme="minorHAnsi"/>
                <w:b/>
                <w:szCs w:val="22"/>
              </w:rPr>
              <w:t xml:space="preserve">Vaccination providers </w:t>
            </w:r>
          </w:p>
        </w:tc>
        <w:tc>
          <w:tcPr>
            <w:tcW w:w="6611" w:type="dxa"/>
          </w:tcPr>
          <w:p w:rsidR="004E601D" w:rsidRDefault="004E601D" w:rsidP="007E5B0E">
            <w:pPr>
              <w:pStyle w:val="ListParagraph"/>
              <w:numPr>
                <w:ilvl w:val="0"/>
                <w:numId w:val="37"/>
              </w:numPr>
              <w:spacing w:after="160"/>
            </w:pPr>
            <w:r w:rsidRPr="00143726">
              <w:t>provide support for all aspects of administration (principally including workforce management, eligibility checking, scheduling of appointments to manage supply and demand, reporting, refrigerated storage capacity and management, physical secur</w:t>
            </w:r>
            <w:r>
              <w:t xml:space="preserve">ity, </w:t>
            </w:r>
            <w:r w:rsidR="00FE5262">
              <w:t>and</w:t>
            </w:r>
            <w:r w:rsidR="00660DF8">
              <w:t xml:space="preserve"> </w:t>
            </w:r>
            <w:r>
              <w:t>follow-up for second dose</w:t>
            </w:r>
            <w:r w:rsidR="00FE5262">
              <w:t>)</w:t>
            </w:r>
            <w:r w:rsidRPr="00143726">
              <w:t xml:space="preserve"> </w:t>
            </w:r>
          </w:p>
          <w:p w:rsidR="004E601D" w:rsidRDefault="004E601D" w:rsidP="007E5B0E">
            <w:pPr>
              <w:pStyle w:val="ListParagraph"/>
              <w:numPr>
                <w:ilvl w:val="0"/>
                <w:numId w:val="37"/>
              </w:numPr>
              <w:spacing w:after="160"/>
            </w:pPr>
            <w:r>
              <w:t xml:space="preserve">meet accreditation standards as per their relative health professional qualification and registrations and ensure they meet </w:t>
            </w:r>
            <w:r>
              <w:lastRenderedPageBreak/>
              <w:t xml:space="preserve">Commonwealth, </w:t>
            </w:r>
            <w:r w:rsidR="00410102">
              <w:t>s</w:t>
            </w:r>
            <w:r>
              <w:t xml:space="preserve">tate and </w:t>
            </w:r>
            <w:r w:rsidR="00410102">
              <w:t>t</w:t>
            </w:r>
            <w:r>
              <w:t xml:space="preserve">erritory </w:t>
            </w:r>
            <w:r w:rsidR="00FE5262">
              <w:t xml:space="preserve">legislative </w:t>
            </w:r>
            <w:r>
              <w:t xml:space="preserve">requirements to provide authorised </w:t>
            </w:r>
            <w:r w:rsidR="00FE5262">
              <w:t xml:space="preserve">immunisers </w:t>
            </w:r>
            <w:r>
              <w:t>to the deployed location</w:t>
            </w:r>
          </w:p>
          <w:p w:rsidR="004E601D" w:rsidRDefault="004E601D" w:rsidP="007E5B0E">
            <w:pPr>
              <w:pStyle w:val="ListParagraph"/>
              <w:numPr>
                <w:ilvl w:val="0"/>
                <w:numId w:val="37"/>
              </w:numPr>
              <w:spacing w:after="160"/>
            </w:pPr>
            <w:r>
              <w:t xml:space="preserve">provide vaccination to </w:t>
            </w:r>
            <w:r w:rsidR="00237C5D">
              <w:t>consumers</w:t>
            </w:r>
            <w:r w:rsidR="00B643A8">
              <w:t xml:space="preserve"> in a culturally </w:t>
            </w:r>
            <w:r w:rsidR="00060BCB">
              <w:t xml:space="preserve">appropriate and </w:t>
            </w:r>
            <w:r w:rsidR="00B643A8">
              <w:t>safe way</w:t>
            </w:r>
          </w:p>
          <w:p w:rsidR="004E601D" w:rsidRDefault="004E601D" w:rsidP="007E5B0E">
            <w:pPr>
              <w:pStyle w:val="ListParagraph"/>
              <w:numPr>
                <w:ilvl w:val="0"/>
                <w:numId w:val="37"/>
              </w:numPr>
              <w:spacing w:after="160"/>
            </w:pPr>
            <w:r>
              <w:t xml:space="preserve">manage and comply with cold-chain management requirements as per the </w:t>
            </w:r>
            <w:hyperlink r:id="rId10" w:history="1">
              <w:r w:rsidR="00FE5262" w:rsidRPr="005672EE">
                <w:rPr>
                  <w:rStyle w:val="Hyperlink"/>
                  <w:i/>
                </w:rPr>
                <w:t>National Vaccine Storage Guidelines ‘Strive for 5’</w:t>
              </w:r>
            </w:hyperlink>
            <w:r>
              <w:t xml:space="preserve"> and other requirements specified by the Commonwealth</w:t>
            </w:r>
          </w:p>
          <w:p w:rsidR="004E601D" w:rsidRDefault="004E601D" w:rsidP="007E5B0E">
            <w:pPr>
              <w:pStyle w:val="ListParagraph"/>
              <w:numPr>
                <w:ilvl w:val="0"/>
                <w:numId w:val="37"/>
              </w:numPr>
              <w:spacing w:after="160"/>
            </w:pPr>
            <w:r>
              <w:t>record all vaccinations in the Australian Immunisation Register</w:t>
            </w:r>
            <w:r w:rsidR="00B643A8">
              <w:t xml:space="preserve"> and provide the option for individuals to have a separate vaccination record</w:t>
            </w:r>
          </w:p>
          <w:p w:rsidR="004E601D" w:rsidRPr="00731590" w:rsidRDefault="00FE5262" w:rsidP="007E5B0E">
            <w:pPr>
              <w:pStyle w:val="ListParagraph"/>
              <w:numPr>
                <w:ilvl w:val="0"/>
                <w:numId w:val="37"/>
              </w:numPr>
              <w:spacing w:after="160"/>
            </w:pPr>
            <w:r>
              <w:t xml:space="preserve">ensure the confidentiality and integrity of any systems or data through conformance with </w:t>
            </w:r>
            <w:r w:rsidRPr="005672EE">
              <w:rPr>
                <w:i/>
              </w:rPr>
              <w:t>Australian Government IT Security Standards</w:t>
            </w:r>
            <w:r>
              <w:t xml:space="preserve"> as published by the Australian Cyber Security Centre, including but not limited to the </w:t>
            </w:r>
            <w:hyperlink r:id="rId11" w:history="1">
              <w:r w:rsidRPr="005672EE">
                <w:rPr>
                  <w:rStyle w:val="Hyperlink"/>
                  <w:i/>
                </w:rPr>
                <w:t>Australian Government Information Security Manual</w:t>
              </w:r>
            </w:hyperlink>
            <w:r>
              <w:t>.</w:t>
            </w:r>
          </w:p>
        </w:tc>
      </w:tr>
    </w:tbl>
    <w:p w:rsidR="009E5261" w:rsidRDefault="009E5261" w:rsidP="00C621E5">
      <w:pPr>
        <w:pStyle w:val="Heading1"/>
      </w:pPr>
      <w:r>
        <w:lastRenderedPageBreak/>
        <w:t xml:space="preserve">Workforce and </w:t>
      </w:r>
      <w:r w:rsidR="00260486">
        <w:t>t</w:t>
      </w:r>
      <w:r>
        <w:t xml:space="preserve">raining </w:t>
      </w:r>
      <w:r w:rsidR="00260486">
        <w:t>r</w:t>
      </w:r>
      <w:r>
        <w:t>equirements</w:t>
      </w:r>
    </w:p>
    <w:p w:rsidR="00B303D5" w:rsidRPr="00B303D5" w:rsidRDefault="00B303D5" w:rsidP="00B303D5">
      <w:r w:rsidRPr="00B303D5">
        <w:t xml:space="preserve">People administering </w:t>
      </w:r>
      <w:r w:rsidR="00260486">
        <w:t>vaccinations</w:t>
      </w:r>
      <w:r w:rsidR="00260486" w:rsidRPr="00B303D5">
        <w:t xml:space="preserve"> </w:t>
      </w:r>
      <w:r w:rsidRPr="00B303D5">
        <w:t xml:space="preserve">should be trained </w:t>
      </w:r>
      <w:r w:rsidR="00427FB4">
        <w:t>to work with people from</w:t>
      </w:r>
      <w:r w:rsidR="002502D2">
        <w:t xml:space="preserve"> </w:t>
      </w:r>
      <w:r w:rsidR="00150644">
        <w:t xml:space="preserve">culturally, ethnically and linguistically diverse </w:t>
      </w:r>
      <w:r w:rsidR="00D35C11">
        <w:t>communities</w:t>
      </w:r>
      <w:r w:rsidR="00B643A8">
        <w:t xml:space="preserve"> to ensure that services are delivered in a culturally </w:t>
      </w:r>
      <w:r w:rsidR="00060BCB">
        <w:t xml:space="preserve">appropriate and </w:t>
      </w:r>
      <w:r w:rsidR="00B643A8">
        <w:t>safe way</w:t>
      </w:r>
      <w:r w:rsidR="00260486">
        <w:t>, with the assistance of interpreters where needed</w:t>
      </w:r>
      <w:r w:rsidRPr="00B303D5">
        <w:t xml:space="preserve">. </w:t>
      </w:r>
    </w:p>
    <w:p w:rsidR="00A73C90" w:rsidRDefault="00A73C90" w:rsidP="00A73C90">
      <w:pPr>
        <w:pStyle w:val="Heading3"/>
      </w:pPr>
      <w:r>
        <w:t>Training</w:t>
      </w:r>
    </w:p>
    <w:p w:rsidR="00B303D5" w:rsidRDefault="00B303D5" w:rsidP="00B303D5">
      <w:r>
        <w:t>The immunisation workforce</w:t>
      </w:r>
      <w:r w:rsidR="00660DF8">
        <w:t xml:space="preserve"> </w:t>
      </w:r>
      <w:r>
        <w:t>identified as delivering COVID-19 vaccination</w:t>
      </w:r>
      <w:r w:rsidR="00FE5262">
        <w:t xml:space="preserve">, including clerical staff where appropriate, </w:t>
      </w:r>
      <w:r>
        <w:t xml:space="preserve"> will be required to have undertaken the relevant training, including:</w:t>
      </w:r>
    </w:p>
    <w:p w:rsidR="00B303D5" w:rsidRDefault="00B303D5" w:rsidP="00B303D5">
      <w:pPr>
        <w:pStyle w:val="ListParagraph"/>
        <w:numPr>
          <w:ilvl w:val="0"/>
          <w:numId w:val="21"/>
        </w:numPr>
      </w:pPr>
      <w:r>
        <w:t>General requirements for any authorised immuniser in their jurisdiction</w:t>
      </w:r>
      <w:r w:rsidRPr="005E5F5B">
        <w:t>,</w:t>
      </w:r>
      <w:r>
        <w:t xml:space="preserve"> includ</w:t>
      </w:r>
      <w:r w:rsidR="00FE5262">
        <w:t>ing</w:t>
      </w:r>
      <w:r>
        <w:t xml:space="preserve"> at a minimum </w:t>
      </w:r>
      <w:r w:rsidR="00FE5262">
        <w:t xml:space="preserve">completion of a training course that meets </w:t>
      </w:r>
      <w:r>
        <w:t xml:space="preserve">the requirements of the </w:t>
      </w:r>
      <w:hyperlink r:id="rId12" w:history="1">
        <w:r w:rsidRPr="00B82038">
          <w:rPr>
            <w:rStyle w:val="Hyperlink"/>
          </w:rPr>
          <w:t>National Immunisation Education Framework for Health Professionals</w:t>
        </w:r>
      </w:hyperlink>
      <w:r>
        <w:rPr>
          <w:rStyle w:val="Hyperlink"/>
        </w:rPr>
        <w:t>.</w:t>
      </w:r>
    </w:p>
    <w:p w:rsidR="00B303D5" w:rsidRPr="002B5285" w:rsidRDefault="00B303D5" w:rsidP="00B303D5">
      <w:pPr>
        <w:pStyle w:val="ListParagraph"/>
        <w:numPr>
          <w:ilvl w:val="0"/>
          <w:numId w:val="21"/>
        </w:numPr>
      </w:pPr>
      <w:r w:rsidRPr="002B5285">
        <w:t xml:space="preserve">Training on the use of multi-dose vials, infection control, wastage, and adverse event reporting – to be identified by the Australian Government in cooperation with ATAGI and other identified organisations such as Health Education Services </w:t>
      </w:r>
      <w:r>
        <w:t>Australia</w:t>
      </w:r>
      <w:r w:rsidR="002A485C">
        <w:t>.</w:t>
      </w:r>
    </w:p>
    <w:p w:rsidR="00B303D5" w:rsidRDefault="00B303D5" w:rsidP="00B303D5">
      <w:pPr>
        <w:pStyle w:val="ListParagraph"/>
        <w:numPr>
          <w:ilvl w:val="0"/>
          <w:numId w:val="21"/>
        </w:numPr>
      </w:pPr>
      <w:r>
        <w:t>Specific training on each vaccine, including cold storage and handling requirements</w:t>
      </w:r>
      <w:r w:rsidR="00695EF2">
        <w:t xml:space="preserve"> </w:t>
      </w:r>
      <w:r>
        <w:t xml:space="preserve">– to be identified and provided by the Australian Government </w:t>
      </w:r>
      <w:r w:rsidR="00FE5262">
        <w:t xml:space="preserve">in </w:t>
      </w:r>
      <w:r>
        <w:t>cooperation with vaccine developers and manufacturers.</w:t>
      </w:r>
    </w:p>
    <w:p w:rsidR="00B303D5" w:rsidRDefault="00B303D5" w:rsidP="00B303D5">
      <w:pPr>
        <w:pStyle w:val="ListParagraph"/>
        <w:numPr>
          <w:ilvl w:val="0"/>
          <w:numId w:val="21"/>
        </w:numPr>
      </w:pPr>
      <w:r>
        <w:t>Training on reporting requirements</w:t>
      </w:r>
      <w:r w:rsidR="001E1420">
        <w:t>, including appropriate systems and processes</w:t>
      </w:r>
      <w:r w:rsidR="00260486">
        <w:t xml:space="preserve"> and use of the Australian Immunisation Register (AIR)</w:t>
      </w:r>
      <w:r>
        <w:t xml:space="preserve"> – to be identified and provided by the Australian Government.</w:t>
      </w:r>
    </w:p>
    <w:p w:rsidR="00260486" w:rsidRDefault="00260486" w:rsidP="00B303D5">
      <w:pPr>
        <w:pStyle w:val="ListParagraph"/>
        <w:numPr>
          <w:ilvl w:val="0"/>
          <w:numId w:val="21"/>
        </w:numPr>
      </w:pPr>
      <w:r>
        <w:t>Training on working with interpreters, and inclusion of language services and bicultural workers into program delivery where relevant.</w:t>
      </w:r>
    </w:p>
    <w:p w:rsidR="00FE5262" w:rsidRDefault="00FE5262" w:rsidP="00FE5262">
      <w:pPr>
        <w:pStyle w:val="ListParagraph"/>
        <w:numPr>
          <w:ilvl w:val="0"/>
          <w:numId w:val="21"/>
        </w:numPr>
      </w:pPr>
      <w:r>
        <w:t>Training on working with people with cognitive impairment, including ensuring consent has been appropriately given on behalf of aged care recipients who are unable to consent themselves.</w:t>
      </w:r>
    </w:p>
    <w:p w:rsidR="008835A2" w:rsidRDefault="008835A2" w:rsidP="008835A2">
      <w:pPr>
        <w:keepNext/>
        <w:keepLines/>
        <w:spacing w:before="160" w:line="240" w:lineRule="auto"/>
        <w:outlineLvl w:val="2"/>
        <w:rPr>
          <w:rFonts w:ascii="Calibri Light" w:eastAsia="Times New Roman" w:hAnsi="Calibri Light" w:cs="Times New Roman"/>
          <w:b/>
          <w:color w:val="7FC0DB"/>
          <w:sz w:val="24"/>
          <w:szCs w:val="24"/>
        </w:rPr>
      </w:pPr>
      <w:r w:rsidRPr="002502D2">
        <w:rPr>
          <w:rFonts w:ascii="Calibri Light" w:eastAsia="Times New Roman" w:hAnsi="Calibri Light" w:cs="Times New Roman"/>
          <w:b/>
          <w:color w:val="7FC0DB"/>
          <w:sz w:val="24"/>
          <w:szCs w:val="24"/>
        </w:rPr>
        <w:lastRenderedPageBreak/>
        <w:t>Training accessibility for</w:t>
      </w:r>
      <w:r w:rsidR="00CB22E5">
        <w:rPr>
          <w:rFonts w:ascii="Calibri Light" w:eastAsia="Times New Roman" w:hAnsi="Calibri Light" w:cs="Times New Roman"/>
          <w:b/>
          <w:color w:val="7FC0DB"/>
          <w:sz w:val="24"/>
          <w:szCs w:val="24"/>
        </w:rPr>
        <w:t xml:space="preserve"> administrators</w:t>
      </w:r>
      <w:r w:rsidRPr="002502D2">
        <w:rPr>
          <w:rFonts w:ascii="Calibri Light" w:eastAsia="Times New Roman" w:hAnsi="Calibri Light" w:cs="Times New Roman"/>
          <w:b/>
          <w:color w:val="7FC0DB"/>
          <w:sz w:val="24"/>
          <w:szCs w:val="24"/>
        </w:rPr>
        <w:t xml:space="preserve"> </w:t>
      </w:r>
      <w:r w:rsidR="00CB22E5">
        <w:rPr>
          <w:rFonts w:ascii="Calibri Light" w:eastAsia="Times New Roman" w:hAnsi="Calibri Light" w:cs="Times New Roman"/>
          <w:b/>
          <w:color w:val="7FC0DB"/>
          <w:sz w:val="24"/>
          <w:szCs w:val="24"/>
        </w:rPr>
        <w:t xml:space="preserve">delivering vaccines to </w:t>
      </w:r>
      <w:r w:rsidR="00CB22E5" w:rsidRPr="00CB22E5">
        <w:rPr>
          <w:rFonts w:ascii="Calibri Light" w:eastAsia="Times New Roman" w:hAnsi="Calibri Light" w:cs="Times New Roman"/>
          <w:b/>
          <w:color w:val="7FC0DB"/>
          <w:sz w:val="24"/>
          <w:szCs w:val="24"/>
        </w:rPr>
        <w:t>culturally, ethnically and linguistically diverse communities</w:t>
      </w:r>
      <w:r w:rsidR="00CB22E5">
        <w:t xml:space="preserve"> </w:t>
      </w:r>
    </w:p>
    <w:p w:rsidR="006819C2" w:rsidRPr="006819C2" w:rsidRDefault="006819C2" w:rsidP="006819C2">
      <w:pPr>
        <w:rPr>
          <w:rFonts w:ascii="Calibri" w:eastAsia="Times New Roman" w:hAnsi="Calibri" w:cs="Times New Roman"/>
        </w:rPr>
      </w:pPr>
      <w:r w:rsidRPr="006819C2">
        <w:rPr>
          <w:rFonts w:ascii="Calibri" w:eastAsia="Times New Roman" w:hAnsi="Calibri" w:cs="Times New Roman"/>
        </w:rPr>
        <w:t xml:space="preserve">The training outlined above needs to be accessible for individuals from culturally, ethnically and linguistically diverse backgrounds, and needs to include training on cultural safety for culturally and linguistically diverse groups.  </w:t>
      </w:r>
    </w:p>
    <w:p w:rsidR="00B303D5" w:rsidRDefault="00B303D5" w:rsidP="00B303D5">
      <w:pPr>
        <w:pStyle w:val="Heading1"/>
      </w:pPr>
      <w:r>
        <w:t xml:space="preserve">Monitoring stock, </w:t>
      </w:r>
      <w:r w:rsidR="00260486">
        <w:t>m</w:t>
      </w:r>
      <w:r>
        <w:t xml:space="preserve">inimising wastage and </w:t>
      </w:r>
      <w:r w:rsidR="00260486">
        <w:t>r</w:t>
      </w:r>
      <w:r>
        <w:t>eporting on uptake</w:t>
      </w:r>
    </w:p>
    <w:p w:rsidR="00B303D5" w:rsidRDefault="00695EF2" w:rsidP="00B303D5">
      <w:pPr>
        <w:pStyle w:val="Heading3"/>
      </w:pPr>
      <w:r>
        <w:t>National Booking System</w:t>
      </w:r>
      <w:r w:rsidR="00B303D5">
        <w:t xml:space="preserve"> for COVID-19 Vaccination Program</w:t>
      </w:r>
    </w:p>
    <w:p w:rsidR="001E1420" w:rsidRPr="00D01B99" w:rsidRDefault="001E1420" w:rsidP="001E1420">
      <w:pPr>
        <w:rPr>
          <w:rFonts w:ascii="Calibri" w:eastAsia="Times New Roman" w:hAnsi="Calibri" w:cs="Times New Roman"/>
        </w:rPr>
      </w:pPr>
      <w:r w:rsidRPr="0010254F">
        <w:rPr>
          <w:rFonts w:ascii="Calibri" w:eastAsia="Times New Roman" w:hAnsi="Calibri" w:cs="Times New Roman"/>
        </w:rPr>
        <w:t xml:space="preserve">The Australian Government will procure and establish a nationally consistent booking system to </w:t>
      </w:r>
      <w:r w:rsidRPr="00D01B99">
        <w:rPr>
          <w:rFonts w:ascii="Calibri" w:eastAsia="Times New Roman" w:hAnsi="Calibri" w:cs="Times New Roman"/>
        </w:rPr>
        <w:t xml:space="preserve">facilitate participation in </w:t>
      </w:r>
      <w:r w:rsidR="00A430E7">
        <w:rPr>
          <w:rFonts w:ascii="Calibri" w:eastAsia="Times New Roman" w:hAnsi="Calibri" w:cs="Times New Roman"/>
        </w:rPr>
        <w:t xml:space="preserve">the </w:t>
      </w:r>
      <w:r w:rsidRPr="00D01B99">
        <w:rPr>
          <w:rFonts w:ascii="Calibri" w:eastAsia="Times New Roman" w:hAnsi="Calibri" w:cs="Times New Roman"/>
        </w:rPr>
        <w:t xml:space="preserve">COVID-19 </w:t>
      </w:r>
      <w:r w:rsidR="00695EF2">
        <w:rPr>
          <w:rFonts w:ascii="Calibri" w:eastAsia="Times New Roman" w:hAnsi="Calibri" w:cs="Times New Roman"/>
        </w:rPr>
        <w:t>Vaccination Program</w:t>
      </w:r>
      <w:r w:rsidRPr="00D01B99">
        <w:rPr>
          <w:rFonts w:ascii="Calibri" w:eastAsia="Times New Roman" w:hAnsi="Calibri" w:cs="Times New Roman"/>
        </w:rPr>
        <w:t xml:space="preserve">. All identified vaccination locations must participate and utilise this system for facilitating access to vaccination. </w:t>
      </w:r>
    </w:p>
    <w:p w:rsidR="008835A2" w:rsidRPr="00D01B99" w:rsidRDefault="008835A2" w:rsidP="008835A2">
      <w:pPr>
        <w:rPr>
          <w:rFonts w:ascii="Calibri" w:eastAsia="Times New Roman" w:hAnsi="Calibri" w:cs="Times New Roman"/>
        </w:rPr>
      </w:pPr>
      <w:r w:rsidRPr="00D01B99">
        <w:rPr>
          <w:rFonts w:ascii="Calibri" w:eastAsia="Times New Roman" w:hAnsi="Calibri" w:cs="Times New Roman"/>
        </w:rPr>
        <w:t>The National Booking System</w:t>
      </w:r>
      <w:r w:rsidR="0067605B">
        <w:rPr>
          <w:rFonts w:ascii="Calibri" w:eastAsia="Times New Roman" w:hAnsi="Calibri" w:cs="Times New Roman"/>
        </w:rPr>
        <w:t xml:space="preserve"> will reflect </w:t>
      </w:r>
      <w:r w:rsidRPr="00D01B99">
        <w:rPr>
          <w:rFonts w:ascii="Calibri" w:eastAsia="Times New Roman" w:hAnsi="Calibri" w:cs="Times New Roman"/>
        </w:rPr>
        <w:t>the needs of culturally</w:t>
      </w:r>
      <w:r w:rsidR="00150644">
        <w:rPr>
          <w:rFonts w:ascii="Calibri" w:eastAsia="Times New Roman" w:hAnsi="Calibri" w:cs="Times New Roman"/>
        </w:rPr>
        <w:t>, ethnically</w:t>
      </w:r>
      <w:r w:rsidRPr="00D01B99">
        <w:rPr>
          <w:rFonts w:ascii="Calibri" w:eastAsia="Times New Roman" w:hAnsi="Calibri" w:cs="Times New Roman"/>
        </w:rPr>
        <w:t xml:space="preserve"> and linguistically diverse populations</w:t>
      </w:r>
      <w:r w:rsidR="007139AB">
        <w:rPr>
          <w:rFonts w:ascii="Calibri" w:eastAsia="Times New Roman" w:hAnsi="Calibri" w:cs="Times New Roman"/>
        </w:rPr>
        <w:t>.</w:t>
      </w:r>
      <w:r w:rsidR="00695EF2">
        <w:rPr>
          <w:rFonts w:ascii="Calibri" w:eastAsia="Times New Roman" w:hAnsi="Calibri" w:cs="Times New Roman"/>
        </w:rPr>
        <w:t xml:space="preserve"> </w:t>
      </w:r>
      <w:r w:rsidR="007139AB">
        <w:rPr>
          <w:rFonts w:ascii="Calibri" w:eastAsia="Times New Roman" w:hAnsi="Calibri" w:cs="Times New Roman"/>
        </w:rPr>
        <w:t>This includes ensuring that booking information is available in languages other than English (including any reminders for bookings) and that different modes of booking are available for those who are unable to access the internet.</w:t>
      </w:r>
      <w:r w:rsidR="00695EF2">
        <w:rPr>
          <w:rFonts w:ascii="Calibri" w:eastAsia="Times New Roman" w:hAnsi="Calibri" w:cs="Times New Roman"/>
        </w:rPr>
        <w:t xml:space="preserve"> </w:t>
      </w:r>
    </w:p>
    <w:p w:rsidR="00B303D5" w:rsidRDefault="00B303D5" w:rsidP="00B303D5">
      <w:pPr>
        <w:pStyle w:val="Heading3"/>
      </w:pPr>
      <w:r>
        <w:t xml:space="preserve">Mechanisms to facilitate proof of COVID-19 vaccination </w:t>
      </w:r>
    </w:p>
    <w:p w:rsidR="001E1420" w:rsidRPr="001E1420" w:rsidRDefault="00B303D5" w:rsidP="001E1420">
      <w:pPr>
        <w:rPr>
          <w:rFonts w:ascii="Calibri" w:hAnsi="Calibri" w:cs="Times New Roman"/>
        </w:rPr>
      </w:pPr>
      <w:r>
        <w:t xml:space="preserve">All providers participating in the COVID-19 </w:t>
      </w:r>
      <w:r w:rsidR="00695EF2">
        <w:t>Vaccination Program</w:t>
      </w:r>
      <w:r>
        <w:t xml:space="preserve"> will be required to enter </w:t>
      </w:r>
      <w:r w:rsidR="00FE5262">
        <w:t xml:space="preserve">patient records for </w:t>
      </w:r>
      <w:r>
        <w:t>all COVID</w:t>
      </w:r>
      <w:r>
        <w:noBreakHyphen/>
        <w:t>19 vaccinations administered at any location in to the AIR.</w:t>
      </w:r>
      <w:r w:rsidR="00E865CE">
        <w:t xml:space="preserve"> </w:t>
      </w:r>
      <w:r w:rsidR="0067605B">
        <w:t>I</w:t>
      </w:r>
      <w:r w:rsidR="00E865CE">
        <w:t xml:space="preserve">nformation </w:t>
      </w:r>
      <w:r w:rsidR="00F65B20">
        <w:t xml:space="preserve">will be </w:t>
      </w:r>
      <w:r w:rsidR="00E865CE">
        <w:t>provided to culturally</w:t>
      </w:r>
      <w:r w:rsidR="00150644">
        <w:t>, ethnically</w:t>
      </w:r>
      <w:r w:rsidR="00E865CE">
        <w:t xml:space="preserve"> and linguistically diverse recipients </w:t>
      </w:r>
      <w:r w:rsidR="00F65B20">
        <w:t>that includes how to access their vaccine status.</w:t>
      </w:r>
      <w:r w:rsidR="00695EF2">
        <w:t xml:space="preserve"> </w:t>
      </w:r>
      <w:r w:rsidR="00F65B20">
        <w:t xml:space="preserve">This </w:t>
      </w:r>
      <w:r w:rsidR="0067605B">
        <w:t>information will</w:t>
      </w:r>
      <w:r w:rsidR="00E865CE">
        <w:t xml:space="preserve"> be</w:t>
      </w:r>
      <w:r w:rsidR="00EF6E89">
        <w:t xml:space="preserve"> accurate and clear and </w:t>
      </w:r>
      <w:r w:rsidR="00E865CE">
        <w:t xml:space="preserve">accessible in </w:t>
      </w:r>
      <w:r w:rsidR="0067605B">
        <w:t xml:space="preserve">all main </w:t>
      </w:r>
      <w:r w:rsidR="00E865CE">
        <w:t>language</w:t>
      </w:r>
      <w:r w:rsidR="0067605B">
        <w:t>s</w:t>
      </w:r>
      <w:r w:rsidR="00EF6E89">
        <w:t>.</w:t>
      </w:r>
      <w:r w:rsidR="00E865CE">
        <w:t xml:space="preserve"> </w:t>
      </w:r>
    </w:p>
    <w:p w:rsidR="001E1420" w:rsidRPr="00D01B99" w:rsidRDefault="001E1420" w:rsidP="001E1420">
      <w:pPr>
        <w:rPr>
          <w:rFonts w:ascii="Calibri" w:eastAsia="Times New Roman" w:hAnsi="Calibri" w:cs="Times New Roman"/>
        </w:rPr>
      </w:pPr>
      <w:r w:rsidRPr="00D01B99">
        <w:rPr>
          <w:rFonts w:ascii="Calibri" w:eastAsia="Times New Roman" w:hAnsi="Calibri" w:cs="Times New Roman"/>
        </w:rPr>
        <w:t xml:space="preserve">All those who are administered a COVID-19 vaccine through the COVID-19 </w:t>
      </w:r>
      <w:r w:rsidR="00695EF2">
        <w:rPr>
          <w:rFonts w:ascii="Calibri" w:eastAsia="Times New Roman" w:hAnsi="Calibri" w:cs="Times New Roman"/>
        </w:rPr>
        <w:t>Vaccination Program</w:t>
      </w:r>
      <w:r w:rsidRPr="00D01B99">
        <w:rPr>
          <w:rFonts w:ascii="Calibri" w:eastAsia="Times New Roman" w:hAnsi="Calibri" w:cs="Times New Roman"/>
        </w:rPr>
        <w:t xml:space="preserve"> will be able to access proof of this vaccination through at least one of three options: </w:t>
      </w:r>
    </w:p>
    <w:p w:rsidR="001E1420" w:rsidRPr="00D01B99" w:rsidRDefault="00FD56F6" w:rsidP="001E1420">
      <w:pPr>
        <w:numPr>
          <w:ilvl w:val="0"/>
          <w:numId w:val="31"/>
        </w:numPr>
        <w:contextualSpacing/>
        <w:rPr>
          <w:rFonts w:ascii="Calibri" w:eastAsia="Times New Roman" w:hAnsi="Calibri" w:cs="Times New Roman"/>
        </w:rPr>
      </w:pPr>
      <w:r w:rsidRPr="00D01B99">
        <w:rPr>
          <w:rFonts w:ascii="Calibri" w:eastAsia="Times New Roman" w:hAnsi="Calibri" w:cs="Times New Roman"/>
        </w:rPr>
        <w:t>My Health</w:t>
      </w:r>
      <w:r w:rsidR="001E1420" w:rsidRPr="00D01B99">
        <w:rPr>
          <w:rFonts w:ascii="Calibri" w:eastAsia="Times New Roman" w:hAnsi="Calibri" w:cs="Times New Roman"/>
        </w:rPr>
        <w:t xml:space="preserve"> Record</w:t>
      </w:r>
    </w:p>
    <w:p w:rsidR="001E1420" w:rsidRPr="00D01B99" w:rsidRDefault="001E1420" w:rsidP="001E1420">
      <w:pPr>
        <w:numPr>
          <w:ilvl w:val="0"/>
          <w:numId w:val="31"/>
        </w:numPr>
        <w:contextualSpacing/>
        <w:rPr>
          <w:rFonts w:ascii="Calibri" w:eastAsia="Times New Roman" w:hAnsi="Calibri" w:cs="Times New Roman"/>
        </w:rPr>
      </w:pPr>
      <w:r w:rsidRPr="00D01B99">
        <w:rPr>
          <w:rFonts w:ascii="Calibri" w:eastAsia="Times New Roman" w:hAnsi="Calibri" w:cs="Times New Roman"/>
        </w:rPr>
        <w:t>Immunisation History Statement (accessed through the Medicare app or online)</w:t>
      </w:r>
    </w:p>
    <w:p w:rsidR="00660DF8" w:rsidRPr="00660DF8" w:rsidRDefault="001E1420" w:rsidP="00660DF8">
      <w:pPr>
        <w:numPr>
          <w:ilvl w:val="0"/>
          <w:numId w:val="31"/>
        </w:numPr>
        <w:contextualSpacing/>
        <w:rPr>
          <w:rFonts w:ascii="Calibri" w:eastAsia="Times New Roman" w:hAnsi="Calibri" w:cs="Times New Roman"/>
        </w:rPr>
      </w:pPr>
      <w:r w:rsidRPr="00D01B99">
        <w:rPr>
          <w:rFonts w:ascii="Calibri" w:eastAsia="Times New Roman" w:hAnsi="Calibri" w:cs="Times New Roman"/>
        </w:rPr>
        <w:t>Certificate printed in hard copy at the time of vaccination</w:t>
      </w:r>
      <w:r w:rsidR="00EF6E89" w:rsidRPr="00660DF8">
        <w:rPr>
          <w:rFonts w:ascii="Calibri" w:eastAsia="Times New Roman" w:hAnsi="Calibri" w:cs="Times New Roman"/>
        </w:rPr>
        <w:t>, followed by an electronic copy record via email</w:t>
      </w:r>
      <w:r w:rsidR="00D6773D">
        <w:rPr>
          <w:rFonts w:ascii="Calibri" w:eastAsia="Times New Roman" w:hAnsi="Calibri" w:cs="Times New Roman"/>
        </w:rPr>
        <w:t>.</w:t>
      </w:r>
    </w:p>
    <w:p w:rsidR="00501926" w:rsidRDefault="00501926" w:rsidP="00501926">
      <w:pPr>
        <w:pStyle w:val="Heading1"/>
      </w:pPr>
      <w:r>
        <w:lastRenderedPageBreak/>
        <w:t>Coordinati</w:t>
      </w:r>
      <w:r w:rsidR="00660DF8">
        <w:t>n</w:t>
      </w:r>
      <w:r w:rsidR="00EF6E89">
        <w:t>g</w:t>
      </w:r>
      <w:r>
        <w:t xml:space="preserve"> of safety monitoring and surveillance of adverse events</w:t>
      </w:r>
    </w:p>
    <w:p w:rsidR="00501926" w:rsidRDefault="00501926" w:rsidP="00501926">
      <w:r>
        <w:t>The Australian Government will require appropriate safety signalling and adverse events monitoring and scenario planning to be in place</w:t>
      </w:r>
      <w:r w:rsidR="00260486">
        <w:t xml:space="preserve"> as COVID-19 vaccination is implemented</w:t>
      </w:r>
      <w:r>
        <w:t>.</w:t>
      </w:r>
    </w:p>
    <w:p w:rsidR="00741309" w:rsidRPr="00F56A00" w:rsidRDefault="00741309" w:rsidP="00741309">
      <w:pPr>
        <w:rPr>
          <w:rFonts w:ascii="Calibri" w:eastAsia="Times New Roman" w:hAnsi="Calibri" w:cs="Times New Roman"/>
        </w:rPr>
      </w:pPr>
      <w:r w:rsidRPr="00F56A00">
        <w:rPr>
          <w:rFonts w:ascii="Calibri" w:eastAsia="Times New Roman" w:hAnsi="Calibri" w:cs="Times New Roman"/>
        </w:rPr>
        <w:t>As Australia’s regulator of medicines, vaccines, medical devices and all other therapeutic products, the Therapeutic Goods Administration (TGA) has rigorous safety standards. These well-established processes will be crucial in ensuring that any COVID-19 vaccine used in Australia is safe and effective.</w:t>
      </w:r>
    </w:p>
    <w:p w:rsidR="00741309" w:rsidRPr="00F56A00" w:rsidRDefault="00741309" w:rsidP="00741309">
      <w:pPr>
        <w:rPr>
          <w:rFonts w:ascii="Calibri" w:eastAsia="Times New Roman" w:hAnsi="Calibri" w:cs="Times New Roman"/>
        </w:rPr>
      </w:pPr>
      <w:r w:rsidRPr="00F56A00">
        <w:rPr>
          <w:rFonts w:ascii="Calibri" w:eastAsia="Times New Roman" w:hAnsi="Calibri" w:cs="Times New Roman"/>
        </w:rPr>
        <w:t>The TGA already undertakes a range of safety monitoring activities for all medicines and vaccines supplied in Australia. These robust procedures, collectively known as pharmacovigilance, enable us to quickly detect, investigate and respond to any potential safety issues when they arise.</w:t>
      </w:r>
    </w:p>
    <w:p w:rsidR="00741309" w:rsidRDefault="00741309" w:rsidP="00741309">
      <w:pPr>
        <w:rPr>
          <w:rFonts w:ascii="Calibri" w:eastAsia="Times New Roman" w:hAnsi="Calibri" w:cs="Times New Roman"/>
        </w:rPr>
      </w:pPr>
      <w:r w:rsidRPr="00F56A00">
        <w:rPr>
          <w:rFonts w:ascii="Calibri" w:eastAsia="Times New Roman" w:hAnsi="Calibri" w:cs="Times New Roman"/>
        </w:rPr>
        <w:t>While the Australian Government is making every effort to expedite the availability of one or more vaccines to protect against COVID-19, these standards will not be compromised. Rather, the TGA is strengthening the normal surveillance processes for collecting and analysing reports of adverse events relating to these products.</w:t>
      </w:r>
    </w:p>
    <w:p w:rsidR="00D3303F" w:rsidRDefault="00D3303F" w:rsidP="00D3303F">
      <w:pPr>
        <w:rPr>
          <w:rFonts w:ascii="Calibri" w:eastAsia="Times New Roman" w:hAnsi="Calibri" w:cs="Times New Roman"/>
        </w:rPr>
      </w:pPr>
      <w:r w:rsidRPr="00121C38">
        <w:rPr>
          <w:rFonts w:ascii="Calibri" w:eastAsia="Times New Roman" w:hAnsi="Calibri" w:cs="Times New Roman"/>
        </w:rPr>
        <w:t xml:space="preserve">The Australian Government </w:t>
      </w:r>
      <w:r>
        <w:rPr>
          <w:rFonts w:ascii="Calibri" w:eastAsia="Times New Roman" w:hAnsi="Calibri" w:cs="Times New Roman"/>
        </w:rPr>
        <w:t>is</w:t>
      </w:r>
      <w:r w:rsidRPr="00121C38">
        <w:rPr>
          <w:rFonts w:ascii="Calibri" w:eastAsia="Times New Roman" w:hAnsi="Calibri" w:cs="Times New Roman"/>
        </w:rPr>
        <w:t xml:space="preserve"> working to </w:t>
      </w:r>
      <w:r>
        <w:rPr>
          <w:rFonts w:ascii="Calibri" w:eastAsia="Times New Roman" w:hAnsi="Calibri" w:cs="Times New Roman"/>
        </w:rPr>
        <w:t xml:space="preserve">expand and enhance </w:t>
      </w:r>
      <w:r w:rsidRPr="00121C38">
        <w:rPr>
          <w:rFonts w:ascii="Calibri" w:eastAsia="Times New Roman" w:hAnsi="Calibri" w:cs="Times New Roman"/>
        </w:rPr>
        <w:t xml:space="preserve">the national, active safety surveillance system known as AusVaxSafety. </w:t>
      </w:r>
      <w:r>
        <w:rPr>
          <w:rFonts w:ascii="Calibri" w:eastAsia="Times New Roman" w:hAnsi="Calibri" w:cs="Times New Roman"/>
        </w:rPr>
        <w:t xml:space="preserve">This includes investigating opportunities to identify adverse events following </w:t>
      </w:r>
      <w:r w:rsidR="00260486">
        <w:rPr>
          <w:rFonts w:ascii="Calibri" w:eastAsia="Times New Roman" w:hAnsi="Calibri" w:cs="Times New Roman"/>
        </w:rPr>
        <w:t>vaccination</w:t>
      </w:r>
      <w:r w:rsidR="00260486" w:rsidRPr="00333882">
        <w:rPr>
          <w:rFonts w:ascii="Calibri" w:eastAsia="Times New Roman" w:hAnsi="Calibri" w:cs="Times New Roman"/>
        </w:rPr>
        <w:t xml:space="preserve"> </w:t>
      </w:r>
      <w:r w:rsidR="00920A19">
        <w:rPr>
          <w:rFonts w:ascii="Calibri" w:eastAsia="Times New Roman" w:hAnsi="Calibri" w:cs="Times New Roman"/>
        </w:rPr>
        <w:t>if they occur</w:t>
      </w:r>
      <w:r w:rsidRPr="00333882">
        <w:rPr>
          <w:rFonts w:ascii="Calibri" w:eastAsia="Times New Roman" w:hAnsi="Calibri" w:cs="Times New Roman"/>
        </w:rPr>
        <w:t xml:space="preserve"> in </w:t>
      </w:r>
      <w:r>
        <w:rPr>
          <w:rFonts w:ascii="Calibri" w:eastAsia="Times New Roman" w:hAnsi="Calibri" w:cs="Times New Roman"/>
        </w:rPr>
        <w:t xml:space="preserve">individuals belonging to </w:t>
      </w:r>
      <w:r w:rsidR="00260486">
        <w:rPr>
          <w:rFonts w:ascii="Calibri" w:eastAsia="Times New Roman" w:hAnsi="Calibri" w:cs="Times New Roman"/>
        </w:rPr>
        <w:t xml:space="preserve">culturally, ethnically and </w:t>
      </w:r>
      <w:r w:rsidRPr="00333882">
        <w:rPr>
          <w:rFonts w:ascii="Calibri" w:eastAsia="Times New Roman" w:hAnsi="Calibri" w:cs="Times New Roman"/>
        </w:rPr>
        <w:t>linguistical</w:t>
      </w:r>
      <w:r>
        <w:rPr>
          <w:rFonts w:ascii="Calibri" w:eastAsia="Times New Roman" w:hAnsi="Calibri" w:cs="Times New Roman"/>
        </w:rPr>
        <w:t xml:space="preserve">ly diverse groups </w:t>
      </w:r>
      <w:r w:rsidR="007E5B0E">
        <w:rPr>
          <w:rFonts w:ascii="Calibri" w:eastAsia="Times New Roman" w:hAnsi="Calibri" w:cs="Times New Roman"/>
        </w:rPr>
        <w:t>through the use of demographic information</w:t>
      </w:r>
      <w:r>
        <w:rPr>
          <w:rFonts w:ascii="Calibri" w:eastAsia="Times New Roman" w:hAnsi="Calibri" w:cs="Times New Roman"/>
        </w:rPr>
        <w:t xml:space="preserve">. This will enable </w:t>
      </w:r>
      <w:r w:rsidRPr="00333882">
        <w:rPr>
          <w:rFonts w:ascii="Calibri" w:eastAsia="Times New Roman" w:hAnsi="Calibri" w:cs="Times New Roman"/>
        </w:rPr>
        <w:t xml:space="preserve">safety signals specific to these demographic groups </w:t>
      </w:r>
      <w:r>
        <w:rPr>
          <w:rFonts w:ascii="Calibri" w:eastAsia="Times New Roman" w:hAnsi="Calibri" w:cs="Times New Roman"/>
        </w:rPr>
        <w:t>to be flagged for further analysis.</w:t>
      </w:r>
    </w:p>
    <w:p w:rsidR="001E1420" w:rsidRPr="001E1420" w:rsidRDefault="001E1420" w:rsidP="001E1420">
      <w:pPr>
        <w:rPr>
          <w:rFonts w:ascii="Calibri" w:eastAsia="Times New Roman" w:hAnsi="Calibri" w:cs="Times New Roman"/>
        </w:rPr>
      </w:pPr>
      <w:r w:rsidRPr="001E1420">
        <w:rPr>
          <w:rFonts w:ascii="Calibri" w:eastAsia="Times New Roman" w:hAnsi="Calibri" w:cs="Times New Roman"/>
        </w:rPr>
        <w:t>The key considerations for culturally</w:t>
      </w:r>
      <w:r w:rsidR="00B46F54">
        <w:rPr>
          <w:rFonts w:ascii="Calibri" w:eastAsia="Times New Roman" w:hAnsi="Calibri" w:cs="Times New Roman"/>
        </w:rPr>
        <w:t>, ethnically</w:t>
      </w:r>
      <w:r w:rsidRPr="001E1420">
        <w:rPr>
          <w:rFonts w:ascii="Calibri" w:eastAsia="Times New Roman" w:hAnsi="Calibri" w:cs="Times New Roman"/>
        </w:rPr>
        <w:t xml:space="preserve"> and linguistically diverse populations in relation to safety monitoring and surveillance of adverse events include:</w:t>
      </w:r>
    </w:p>
    <w:p w:rsidR="00741309" w:rsidRPr="00741309" w:rsidRDefault="00741309" w:rsidP="00741309">
      <w:pPr>
        <w:pStyle w:val="ListParagraph"/>
        <w:numPr>
          <w:ilvl w:val="0"/>
          <w:numId w:val="31"/>
        </w:numPr>
        <w:rPr>
          <w:rFonts w:ascii="Calibri" w:hAnsi="Calibri" w:cs="Times New Roman"/>
        </w:rPr>
      </w:pPr>
      <w:r w:rsidRPr="00741309">
        <w:rPr>
          <w:rFonts w:ascii="Calibri" w:hAnsi="Calibri" w:cs="Times New Roman"/>
        </w:rPr>
        <w:t>providing accessible information about how the safety of COVID-19 vaccines is monitored and what people should do if they think they may be experiencing a</w:t>
      </w:r>
      <w:r w:rsidR="00BD39FC">
        <w:rPr>
          <w:rFonts w:ascii="Calibri" w:hAnsi="Calibri" w:cs="Times New Roman"/>
        </w:rPr>
        <w:t>n adverse event following immunisation (AEFI)</w:t>
      </w:r>
    </w:p>
    <w:p w:rsidR="00741309" w:rsidRPr="00741309" w:rsidRDefault="00741309" w:rsidP="00741309">
      <w:pPr>
        <w:pStyle w:val="ListParagraph"/>
        <w:numPr>
          <w:ilvl w:val="0"/>
          <w:numId w:val="31"/>
        </w:numPr>
        <w:rPr>
          <w:rFonts w:ascii="Calibri" w:hAnsi="Calibri" w:cs="Times New Roman"/>
        </w:rPr>
      </w:pPr>
      <w:r w:rsidRPr="00741309">
        <w:rPr>
          <w:rFonts w:ascii="Calibri" w:hAnsi="Calibri" w:cs="Times New Roman"/>
        </w:rPr>
        <w:t xml:space="preserve">encouraging </w:t>
      </w:r>
      <w:r w:rsidR="00260486">
        <w:rPr>
          <w:rFonts w:ascii="Calibri" w:hAnsi="Calibri" w:cs="Times New Roman"/>
        </w:rPr>
        <w:t xml:space="preserve">all </w:t>
      </w:r>
      <w:r w:rsidRPr="00741309">
        <w:rPr>
          <w:rFonts w:ascii="Calibri" w:hAnsi="Calibri" w:cs="Times New Roman"/>
        </w:rPr>
        <w:t xml:space="preserve">health professionals and consumers to report suspected </w:t>
      </w:r>
      <w:r w:rsidR="00EF6E89">
        <w:rPr>
          <w:rFonts w:ascii="Calibri" w:hAnsi="Calibri" w:cs="Times New Roman"/>
        </w:rPr>
        <w:t>AEFI</w:t>
      </w:r>
      <w:r w:rsidRPr="00741309">
        <w:rPr>
          <w:rFonts w:ascii="Calibri" w:hAnsi="Calibri" w:cs="Times New Roman"/>
        </w:rPr>
        <w:t xml:space="preserve"> with COVID-19 vaccines</w:t>
      </w:r>
    </w:p>
    <w:p w:rsidR="00741309" w:rsidRPr="00741309" w:rsidRDefault="00741309" w:rsidP="00741309">
      <w:pPr>
        <w:pStyle w:val="ListParagraph"/>
        <w:numPr>
          <w:ilvl w:val="0"/>
          <w:numId w:val="31"/>
        </w:numPr>
        <w:rPr>
          <w:rFonts w:ascii="Calibri" w:hAnsi="Calibri" w:cs="Times New Roman"/>
        </w:rPr>
      </w:pPr>
      <w:r w:rsidRPr="00741309">
        <w:rPr>
          <w:rFonts w:ascii="Calibri" w:hAnsi="Calibri" w:cs="Times New Roman"/>
        </w:rPr>
        <w:t xml:space="preserve">facilitating the reporting of </w:t>
      </w:r>
      <w:r w:rsidR="00EF6E89">
        <w:rPr>
          <w:rFonts w:ascii="Calibri" w:hAnsi="Calibri" w:cs="Times New Roman"/>
        </w:rPr>
        <w:t>AEFI</w:t>
      </w:r>
      <w:r w:rsidRPr="00741309">
        <w:rPr>
          <w:rFonts w:ascii="Calibri" w:hAnsi="Calibri" w:cs="Times New Roman"/>
        </w:rPr>
        <w:t xml:space="preserve"> with COVID-19 vaccines through the use of translated materials</w:t>
      </w:r>
      <w:r w:rsidR="00260486">
        <w:rPr>
          <w:rFonts w:ascii="Calibri" w:hAnsi="Calibri" w:cs="Times New Roman"/>
        </w:rPr>
        <w:t>, accessible reporting mechanisms</w:t>
      </w:r>
      <w:r w:rsidRPr="00741309">
        <w:rPr>
          <w:rFonts w:ascii="Calibri" w:hAnsi="Calibri" w:cs="Times New Roman"/>
        </w:rPr>
        <w:t xml:space="preserve"> and interpreting services</w:t>
      </w:r>
      <w:r w:rsidR="00260486">
        <w:rPr>
          <w:rFonts w:ascii="Calibri" w:hAnsi="Calibri" w:cs="Times New Roman"/>
        </w:rPr>
        <w:t xml:space="preserve"> where required</w:t>
      </w:r>
      <w:r>
        <w:rPr>
          <w:rFonts w:ascii="Calibri" w:hAnsi="Calibri" w:cs="Times New Roman"/>
        </w:rPr>
        <w:t>.</w:t>
      </w:r>
    </w:p>
    <w:p w:rsidR="00907304" w:rsidRDefault="00907304" w:rsidP="00907304">
      <w:pPr>
        <w:pStyle w:val="Heading1"/>
      </w:pPr>
      <w:r>
        <w:lastRenderedPageBreak/>
        <w:t>Communication</w:t>
      </w:r>
    </w:p>
    <w:p w:rsidR="00BB4787" w:rsidRDefault="004A5609" w:rsidP="00BB4787">
      <w:pPr>
        <w:rPr>
          <w:rFonts w:ascii="Calibri" w:eastAsia="Times New Roman" w:hAnsi="Calibri" w:cs="Times New Roman"/>
        </w:rPr>
      </w:pPr>
      <w:r>
        <w:rPr>
          <w:rFonts w:ascii="Calibri" w:eastAsia="Times New Roman" w:hAnsi="Calibri" w:cs="Times New Roman"/>
        </w:rPr>
        <w:t>A national communication strategy will be developed by the Australian Government</w:t>
      </w:r>
      <w:r w:rsidR="000775AD">
        <w:rPr>
          <w:rFonts w:ascii="Calibri" w:eastAsia="Times New Roman" w:hAnsi="Calibri" w:cs="Times New Roman"/>
        </w:rPr>
        <w:t>, in consultation with culturally, ethnically and linguistically diverse communities</w:t>
      </w:r>
      <w:r>
        <w:rPr>
          <w:rFonts w:ascii="Calibri" w:eastAsia="Times New Roman" w:hAnsi="Calibri" w:cs="Times New Roman"/>
        </w:rPr>
        <w:t xml:space="preserve">. It will focus on the </w:t>
      </w:r>
      <w:r w:rsidR="00BB4787" w:rsidRPr="0010254F">
        <w:rPr>
          <w:rFonts w:ascii="Calibri" w:eastAsia="Times New Roman" w:hAnsi="Calibri" w:cs="Times New Roman"/>
        </w:rPr>
        <w:t xml:space="preserve">strategic communication approach for the development and deployment of public information for a COVID-19 </w:t>
      </w:r>
      <w:r w:rsidR="00695EF2">
        <w:rPr>
          <w:rFonts w:ascii="Calibri" w:eastAsia="Times New Roman" w:hAnsi="Calibri" w:cs="Times New Roman"/>
        </w:rPr>
        <w:t>Vaccination Program</w:t>
      </w:r>
      <w:r w:rsidR="00BB4787" w:rsidRPr="0010254F">
        <w:rPr>
          <w:rFonts w:ascii="Calibri" w:eastAsia="Times New Roman" w:hAnsi="Calibri" w:cs="Times New Roman"/>
        </w:rPr>
        <w:t xml:space="preserve">. This strategy will </w:t>
      </w:r>
      <w:r w:rsidR="00BB4787">
        <w:rPr>
          <w:rFonts w:ascii="Calibri" w:eastAsia="Times New Roman" w:hAnsi="Calibri" w:cs="Times New Roman"/>
        </w:rPr>
        <w:t xml:space="preserve">be </w:t>
      </w:r>
      <w:r w:rsidR="00BB4787" w:rsidRPr="0010254F">
        <w:rPr>
          <w:rFonts w:ascii="Calibri" w:eastAsia="Times New Roman" w:hAnsi="Calibri" w:cs="Times New Roman"/>
        </w:rPr>
        <w:t xml:space="preserve">supported by </w:t>
      </w:r>
      <w:r>
        <w:rPr>
          <w:rFonts w:ascii="Calibri" w:eastAsia="Times New Roman" w:hAnsi="Calibri" w:cs="Times New Roman"/>
        </w:rPr>
        <w:t xml:space="preserve">a </w:t>
      </w:r>
      <w:r w:rsidR="00BB4787" w:rsidRPr="0010254F">
        <w:rPr>
          <w:rFonts w:ascii="Calibri" w:eastAsia="Times New Roman" w:hAnsi="Calibri" w:cs="Times New Roman"/>
        </w:rPr>
        <w:t>communication action plan</w:t>
      </w:r>
      <w:r>
        <w:rPr>
          <w:rFonts w:ascii="Calibri" w:eastAsia="Times New Roman" w:hAnsi="Calibri" w:cs="Times New Roman"/>
        </w:rPr>
        <w:t xml:space="preserve"> for</w:t>
      </w:r>
      <w:r w:rsidR="00BB4787" w:rsidRPr="0010254F">
        <w:rPr>
          <w:rFonts w:ascii="Calibri" w:eastAsia="Times New Roman" w:hAnsi="Calibri" w:cs="Times New Roman"/>
        </w:rPr>
        <w:t xml:space="preserve"> culturally</w:t>
      </w:r>
      <w:r w:rsidR="00150644">
        <w:rPr>
          <w:rFonts w:ascii="Calibri" w:eastAsia="Times New Roman" w:hAnsi="Calibri" w:cs="Times New Roman"/>
        </w:rPr>
        <w:t>, ethnically</w:t>
      </w:r>
      <w:r w:rsidR="00BB4787" w:rsidRPr="0010254F">
        <w:rPr>
          <w:rFonts w:ascii="Calibri" w:eastAsia="Times New Roman" w:hAnsi="Calibri" w:cs="Times New Roman"/>
        </w:rPr>
        <w:t xml:space="preserve"> and linguistically diverse populations. </w:t>
      </w:r>
    </w:p>
    <w:p w:rsidR="004A5609" w:rsidRDefault="004A5609" w:rsidP="004A5609">
      <w:pPr>
        <w:pStyle w:val="CommentText"/>
        <w:rPr>
          <w:rFonts w:cstheme="minorHAnsi"/>
          <w:b/>
        </w:rPr>
      </w:pPr>
      <w:r>
        <w:t>Th</w:t>
      </w:r>
      <w:r w:rsidR="0067605B">
        <w:t xml:space="preserve">e </w:t>
      </w:r>
      <w:r w:rsidR="00EF6E89">
        <w:t xml:space="preserve">Culturally and Linguistically Diverse Communities </w:t>
      </w:r>
      <w:r w:rsidR="0067605B">
        <w:t>COVID-19 Health</w:t>
      </w:r>
      <w:r>
        <w:t xml:space="preserve"> Advisory Group has stated that an effective communication plan will include the following elements:</w:t>
      </w:r>
    </w:p>
    <w:p w:rsidR="004A5609" w:rsidRPr="006B6C5C" w:rsidRDefault="004A5609" w:rsidP="004A5609">
      <w:pPr>
        <w:rPr>
          <w:rFonts w:cstheme="minorHAnsi"/>
          <w:b/>
        </w:rPr>
      </w:pPr>
      <w:r w:rsidRPr="006B6C5C">
        <w:rPr>
          <w:rFonts w:cstheme="minorHAnsi"/>
          <w:b/>
        </w:rPr>
        <w:t>Supporting service delivery</w:t>
      </w:r>
    </w:p>
    <w:p w:rsidR="00260486" w:rsidRDefault="00260486" w:rsidP="004A5609">
      <w:pPr>
        <w:pStyle w:val="ListParagraph"/>
        <w:numPr>
          <w:ilvl w:val="0"/>
          <w:numId w:val="45"/>
        </w:numPr>
        <w:spacing w:after="160" w:line="259" w:lineRule="auto"/>
        <w:rPr>
          <w:rFonts w:cstheme="minorHAnsi"/>
        </w:rPr>
      </w:pPr>
      <w:r>
        <w:rPr>
          <w:rFonts w:cstheme="minorHAnsi"/>
        </w:rPr>
        <w:t>Clear messaging that the COVID-19 Vaccination Program is inclusive and directed to all people in Australia.</w:t>
      </w:r>
    </w:p>
    <w:p w:rsidR="004A5609" w:rsidRPr="00173AEA" w:rsidRDefault="004A5609" w:rsidP="004A5609">
      <w:pPr>
        <w:pStyle w:val="ListParagraph"/>
        <w:numPr>
          <w:ilvl w:val="0"/>
          <w:numId w:val="45"/>
        </w:numPr>
        <w:spacing w:after="160" w:line="259" w:lineRule="auto"/>
        <w:rPr>
          <w:rFonts w:cstheme="minorHAnsi"/>
        </w:rPr>
      </w:pPr>
      <w:r>
        <w:rPr>
          <w:rFonts w:cstheme="minorHAnsi"/>
        </w:rPr>
        <w:t xml:space="preserve">An </w:t>
      </w:r>
      <w:r w:rsidRPr="00173AEA">
        <w:rPr>
          <w:rFonts w:cstheme="minorHAnsi"/>
        </w:rPr>
        <w:t xml:space="preserve">interpreter workforce </w:t>
      </w:r>
      <w:r>
        <w:rPr>
          <w:rFonts w:cstheme="minorHAnsi"/>
        </w:rPr>
        <w:t>must be part of clinical service delivery</w:t>
      </w:r>
      <w:r w:rsidRPr="00173AEA">
        <w:rPr>
          <w:rFonts w:cstheme="minorHAnsi"/>
        </w:rPr>
        <w:t xml:space="preserve">, </w:t>
      </w:r>
      <w:r>
        <w:rPr>
          <w:rFonts w:cstheme="minorHAnsi"/>
        </w:rPr>
        <w:t>including screening and testing</w:t>
      </w:r>
      <w:r w:rsidRPr="00173AEA">
        <w:rPr>
          <w:rFonts w:cstheme="minorHAnsi"/>
        </w:rPr>
        <w:t>.</w:t>
      </w:r>
    </w:p>
    <w:p w:rsidR="004A5609" w:rsidRPr="007600B3" w:rsidRDefault="004A5609" w:rsidP="004A5609">
      <w:pPr>
        <w:pStyle w:val="ListParagraph"/>
        <w:numPr>
          <w:ilvl w:val="0"/>
          <w:numId w:val="45"/>
        </w:numPr>
        <w:spacing w:after="160" w:line="259" w:lineRule="auto"/>
        <w:rPr>
          <w:rFonts w:cstheme="minorHAnsi"/>
        </w:rPr>
      </w:pPr>
      <w:r w:rsidRPr="00173AEA">
        <w:rPr>
          <w:rFonts w:eastAsia="Times New Roman" w:cstheme="minorHAnsi"/>
        </w:rPr>
        <w:t xml:space="preserve">Culturally </w:t>
      </w:r>
      <w:r w:rsidR="00260486">
        <w:rPr>
          <w:rFonts w:eastAsia="Times New Roman" w:cstheme="minorHAnsi"/>
        </w:rPr>
        <w:t xml:space="preserve">and language </w:t>
      </w:r>
      <w:r w:rsidRPr="00173AEA">
        <w:rPr>
          <w:rFonts w:eastAsia="Times New Roman" w:cstheme="minorHAnsi"/>
        </w:rPr>
        <w:t>appropriate resources (</w:t>
      </w:r>
      <w:r>
        <w:rPr>
          <w:rFonts w:eastAsia="Times New Roman" w:cstheme="minorHAnsi"/>
        </w:rPr>
        <w:t xml:space="preserve">audio, </w:t>
      </w:r>
      <w:r w:rsidRPr="00173AEA">
        <w:rPr>
          <w:rFonts w:eastAsia="Times New Roman" w:cstheme="minorHAnsi"/>
        </w:rPr>
        <w:t>electronic and written) should be available to assist primary health services to connect with communities</w:t>
      </w:r>
      <w:r w:rsidR="00260486">
        <w:rPr>
          <w:rFonts w:eastAsia="Times New Roman" w:cstheme="minorHAnsi"/>
        </w:rPr>
        <w:t>, avoiding delays in disseminating translated materials</w:t>
      </w:r>
      <w:r w:rsidRPr="00173AEA">
        <w:rPr>
          <w:rFonts w:eastAsia="Times New Roman" w:cstheme="minorHAnsi"/>
        </w:rPr>
        <w:t xml:space="preserve">. </w:t>
      </w:r>
    </w:p>
    <w:p w:rsidR="0085181A" w:rsidRPr="0085181A" w:rsidRDefault="0085181A" w:rsidP="0085181A">
      <w:pPr>
        <w:pStyle w:val="ListParagraph"/>
        <w:numPr>
          <w:ilvl w:val="0"/>
          <w:numId w:val="45"/>
        </w:numPr>
        <w:spacing w:after="160" w:line="259" w:lineRule="auto"/>
        <w:rPr>
          <w:rFonts w:cstheme="minorHAnsi"/>
        </w:rPr>
      </w:pPr>
      <w:r>
        <w:rPr>
          <w:rFonts w:cstheme="minorHAnsi"/>
        </w:rPr>
        <w:t>A trained bilingual health educator workforce must be deployed to engage communities and distribute culturally appropriate information about the vaccine.</w:t>
      </w:r>
    </w:p>
    <w:p w:rsidR="004A5609" w:rsidRPr="00436D19" w:rsidRDefault="004A5609" w:rsidP="004A5609">
      <w:pPr>
        <w:pStyle w:val="ListParagraph"/>
        <w:numPr>
          <w:ilvl w:val="0"/>
          <w:numId w:val="45"/>
        </w:numPr>
        <w:spacing w:after="160" w:line="259" w:lineRule="auto"/>
        <w:rPr>
          <w:rFonts w:cstheme="minorHAnsi"/>
        </w:rPr>
      </w:pPr>
      <w:r w:rsidRPr="00173AEA">
        <w:rPr>
          <w:rFonts w:eastAsia="Times New Roman" w:cstheme="minorHAnsi"/>
        </w:rPr>
        <w:t xml:space="preserve">The allied </w:t>
      </w:r>
      <w:r w:rsidRPr="00173AEA">
        <w:rPr>
          <w:rFonts w:cstheme="minorHAnsi"/>
        </w:rPr>
        <w:t>health</w:t>
      </w:r>
      <w:r w:rsidRPr="00173AEA">
        <w:rPr>
          <w:rFonts w:eastAsia="Times New Roman" w:cstheme="minorHAnsi"/>
        </w:rPr>
        <w:t xml:space="preserve"> service system and the mental health system </w:t>
      </w:r>
      <w:r>
        <w:rPr>
          <w:rFonts w:eastAsia="Times New Roman" w:cstheme="minorHAnsi"/>
        </w:rPr>
        <w:t>should</w:t>
      </w:r>
      <w:r w:rsidRPr="00173AEA">
        <w:rPr>
          <w:rFonts w:eastAsia="Times New Roman" w:cstheme="minorHAnsi"/>
        </w:rPr>
        <w:t xml:space="preserve"> have access to language services to support </w:t>
      </w:r>
      <w:r>
        <w:rPr>
          <w:rFonts w:cstheme="minorHAnsi"/>
        </w:rPr>
        <w:t>culturally, ethnically and linguistically d</w:t>
      </w:r>
      <w:r w:rsidRPr="00173AEA">
        <w:rPr>
          <w:rFonts w:cstheme="minorHAnsi"/>
        </w:rPr>
        <w:t xml:space="preserve">iverse </w:t>
      </w:r>
      <w:r>
        <w:rPr>
          <w:rFonts w:cstheme="minorHAnsi"/>
        </w:rPr>
        <w:t>c</w:t>
      </w:r>
      <w:r w:rsidRPr="00173AEA">
        <w:rPr>
          <w:rFonts w:cstheme="minorHAnsi"/>
        </w:rPr>
        <w:t>ommunities</w:t>
      </w:r>
      <w:r w:rsidRPr="00173AEA">
        <w:rPr>
          <w:rFonts w:eastAsia="Times New Roman" w:cstheme="minorHAnsi"/>
        </w:rPr>
        <w:t xml:space="preserve"> to acc</w:t>
      </w:r>
      <w:r>
        <w:rPr>
          <w:rFonts w:eastAsia="Times New Roman" w:cstheme="minorHAnsi"/>
        </w:rPr>
        <w:t xml:space="preserve">ess these elements of the </w:t>
      </w:r>
      <w:r w:rsidR="00EF6E89">
        <w:rPr>
          <w:rFonts w:eastAsia="Times New Roman" w:cstheme="minorHAnsi"/>
        </w:rPr>
        <w:t>COVID</w:t>
      </w:r>
      <w:r>
        <w:rPr>
          <w:rFonts w:eastAsia="Times New Roman" w:cstheme="minorHAnsi"/>
        </w:rPr>
        <w:noBreakHyphen/>
      </w:r>
      <w:r w:rsidRPr="00173AEA">
        <w:rPr>
          <w:rFonts w:eastAsia="Times New Roman" w:cstheme="minorHAnsi"/>
        </w:rPr>
        <w:t>19 response.</w:t>
      </w:r>
    </w:p>
    <w:p w:rsidR="004A5609" w:rsidRPr="006B6C5C" w:rsidRDefault="004A5609" w:rsidP="004A5609">
      <w:pPr>
        <w:rPr>
          <w:rFonts w:cstheme="minorHAnsi"/>
          <w:b/>
        </w:rPr>
      </w:pPr>
      <w:r w:rsidRPr="006B6C5C">
        <w:rPr>
          <w:rFonts w:cstheme="minorHAnsi"/>
          <w:b/>
        </w:rPr>
        <w:t>Supporting communities</w:t>
      </w:r>
    </w:p>
    <w:p w:rsidR="004A5609" w:rsidRDefault="004A5609" w:rsidP="004A5609">
      <w:pPr>
        <w:pStyle w:val="ListParagraph"/>
        <w:numPr>
          <w:ilvl w:val="0"/>
          <w:numId w:val="45"/>
        </w:numPr>
        <w:spacing w:after="160" w:line="259" w:lineRule="auto"/>
        <w:rPr>
          <w:rFonts w:cstheme="minorHAnsi"/>
        </w:rPr>
      </w:pPr>
      <w:r w:rsidRPr="00173AEA">
        <w:rPr>
          <w:rFonts w:cstheme="minorHAnsi"/>
        </w:rPr>
        <w:t>Commun</w:t>
      </w:r>
      <w:r>
        <w:rPr>
          <w:rFonts w:cstheme="minorHAnsi"/>
        </w:rPr>
        <w:t xml:space="preserve">ity leaders </w:t>
      </w:r>
      <w:r w:rsidR="00FA12D9">
        <w:rPr>
          <w:rFonts w:cstheme="minorHAnsi"/>
        </w:rPr>
        <w:t xml:space="preserve">and young people, </w:t>
      </w:r>
      <w:r w:rsidR="0085181A">
        <w:rPr>
          <w:rFonts w:cstheme="minorHAnsi"/>
        </w:rPr>
        <w:t xml:space="preserve">and multicultural community organisations </w:t>
      </w:r>
      <w:r>
        <w:rPr>
          <w:rFonts w:cstheme="minorHAnsi"/>
        </w:rPr>
        <w:t>are a gateway into c</w:t>
      </w:r>
      <w:r w:rsidRPr="00173AEA">
        <w:rPr>
          <w:rFonts w:cstheme="minorHAnsi"/>
        </w:rPr>
        <w:t>ulturally</w:t>
      </w:r>
      <w:r>
        <w:rPr>
          <w:rFonts w:cstheme="minorHAnsi"/>
        </w:rPr>
        <w:t>,</w:t>
      </w:r>
      <w:r w:rsidR="00260486">
        <w:rPr>
          <w:rFonts w:cstheme="minorHAnsi"/>
        </w:rPr>
        <w:t xml:space="preserve"> ethnically and</w:t>
      </w:r>
      <w:r>
        <w:rPr>
          <w:rFonts w:cstheme="minorHAnsi"/>
        </w:rPr>
        <w:t xml:space="preserve"> l</w:t>
      </w:r>
      <w:r w:rsidRPr="00173AEA">
        <w:rPr>
          <w:rFonts w:cstheme="minorHAnsi"/>
        </w:rPr>
        <w:t xml:space="preserve">inguistically </w:t>
      </w:r>
      <w:r>
        <w:rPr>
          <w:rFonts w:cstheme="minorHAnsi"/>
        </w:rPr>
        <w:t>diverse c</w:t>
      </w:r>
      <w:r w:rsidRPr="00173AEA">
        <w:rPr>
          <w:rFonts w:cstheme="minorHAnsi"/>
        </w:rPr>
        <w:t xml:space="preserve">ommunities, </w:t>
      </w:r>
      <w:r>
        <w:rPr>
          <w:rFonts w:cstheme="minorHAnsi"/>
        </w:rPr>
        <w:t xml:space="preserve">are </w:t>
      </w:r>
      <w:r w:rsidRPr="00173AEA">
        <w:rPr>
          <w:rFonts w:cstheme="minorHAnsi"/>
        </w:rPr>
        <w:t>a voice for their community and can advise governments and services on their community’s needs.</w:t>
      </w:r>
    </w:p>
    <w:p w:rsidR="004A5609" w:rsidRDefault="004A5609" w:rsidP="004A5609">
      <w:pPr>
        <w:pStyle w:val="ListParagraph"/>
        <w:numPr>
          <w:ilvl w:val="0"/>
          <w:numId w:val="45"/>
        </w:numPr>
        <w:spacing w:after="160" w:line="259" w:lineRule="auto"/>
        <w:rPr>
          <w:rFonts w:cstheme="minorHAnsi"/>
        </w:rPr>
      </w:pPr>
      <w:r>
        <w:rPr>
          <w:rFonts w:cstheme="minorHAnsi"/>
        </w:rPr>
        <w:t xml:space="preserve">Communication, messaging and information channels should be tested with communities and community members paid to provide feedback. </w:t>
      </w:r>
    </w:p>
    <w:p w:rsidR="004A5609" w:rsidRPr="0072529D" w:rsidRDefault="004A5609" w:rsidP="004A5609">
      <w:pPr>
        <w:rPr>
          <w:rFonts w:cstheme="minorHAnsi"/>
          <w:b/>
        </w:rPr>
      </w:pPr>
      <w:r w:rsidRPr="0072529D">
        <w:rPr>
          <w:rFonts w:cstheme="minorHAnsi"/>
          <w:b/>
        </w:rPr>
        <w:t>Clear</w:t>
      </w:r>
      <w:r w:rsidR="0085181A">
        <w:rPr>
          <w:rFonts w:cstheme="minorHAnsi"/>
          <w:b/>
        </w:rPr>
        <w:t>, tailored</w:t>
      </w:r>
      <w:r w:rsidRPr="0072529D">
        <w:rPr>
          <w:rFonts w:cstheme="minorHAnsi"/>
          <w:b/>
        </w:rPr>
        <w:t xml:space="preserve"> messaging </w:t>
      </w:r>
    </w:p>
    <w:p w:rsidR="004A5609" w:rsidRPr="0072529D" w:rsidRDefault="004A5609" w:rsidP="004A5609">
      <w:pPr>
        <w:pStyle w:val="ListParagraph"/>
        <w:numPr>
          <w:ilvl w:val="0"/>
          <w:numId w:val="45"/>
        </w:numPr>
        <w:spacing w:after="160" w:line="259" w:lineRule="auto"/>
        <w:rPr>
          <w:rFonts w:cstheme="minorHAnsi"/>
        </w:rPr>
      </w:pPr>
      <w:r w:rsidRPr="0072529D">
        <w:rPr>
          <w:rFonts w:cstheme="minorHAnsi"/>
        </w:rPr>
        <w:t>Behavioural messaging</w:t>
      </w:r>
      <w:r>
        <w:rPr>
          <w:rFonts w:cstheme="minorHAnsi"/>
        </w:rPr>
        <w:t xml:space="preserve"> </w:t>
      </w:r>
      <w:r w:rsidRPr="0072529D">
        <w:rPr>
          <w:rFonts w:cstheme="minorHAnsi"/>
        </w:rPr>
        <w:t>focused on ‘why’</w:t>
      </w:r>
      <w:r w:rsidR="00260486">
        <w:rPr>
          <w:rFonts w:cstheme="minorHAnsi"/>
        </w:rPr>
        <w:t xml:space="preserve"> and Australia’s inclusive approach to COVID-19 vaccination</w:t>
      </w:r>
      <w:r w:rsidRPr="0072529D">
        <w:rPr>
          <w:rFonts w:cstheme="minorHAnsi"/>
        </w:rPr>
        <w:t xml:space="preserve"> </w:t>
      </w:r>
      <w:r>
        <w:rPr>
          <w:rFonts w:cstheme="minorHAnsi"/>
        </w:rPr>
        <w:t xml:space="preserve">will build community confidence. This requires </w:t>
      </w:r>
      <w:r w:rsidRPr="00C537B6">
        <w:rPr>
          <w:rFonts w:cstheme="minorHAnsi"/>
        </w:rPr>
        <w:t xml:space="preserve">simple and clear messaging in written, electronic and audio formats that </w:t>
      </w:r>
      <w:r w:rsidR="0085181A">
        <w:rPr>
          <w:rFonts w:cstheme="minorHAnsi"/>
        </w:rPr>
        <w:t xml:space="preserve">is tailored for specific cohorts, and </w:t>
      </w:r>
      <w:r w:rsidRPr="00C537B6">
        <w:rPr>
          <w:rFonts w:cstheme="minorHAnsi"/>
        </w:rPr>
        <w:t>focus</w:t>
      </w:r>
      <w:r w:rsidR="0085181A">
        <w:rPr>
          <w:rFonts w:cstheme="minorHAnsi"/>
        </w:rPr>
        <w:t>es</w:t>
      </w:r>
      <w:r w:rsidRPr="00C537B6">
        <w:rPr>
          <w:rFonts w:cstheme="minorHAnsi"/>
        </w:rPr>
        <w:t xml:space="preserve"> on core issues</w:t>
      </w:r>
      <w:r w:rsidR="0085181A">
        <w:rPr>
          <w:rFonts w:cstheme="minorHAnsi"/>
        </w:rPr>
        <w:t>,</w:t>
      </w:r>
      <w:r w:rsidRPr="00C537B6">
        <w:rPr>
          <w:rFonts w:cstheme="minorHAnsi"/>
        </w:rPr>
        <w:t xml:space="preserve"> including that vaccines are safe and they prevent diseases</w:t>
      </w:r>
      <w:r>
        <w:rPr>
          <w:rFonts w:cstheme="minorHAnsi"/>
        </w:rPr>
        <w:t xml:space="preserve">. </w:t>
      </w:r>
    </w:p>
    <w:p w:rsidR="004A5609" w:rsidRPr="00B643A8" w:rsidRDefault="004A5609" w:rsidP="007139AB">
      <w:pPr>
        <w:pStyle w:val="ListParagraph"/>
        <w:numPr>
          <w:ilvl w:val="0"/>
          <w:numId w:val="45"/>
        </w:numPr>
        <w:spacing w:after="160" w:line="259" w:lineRule="auto"/>
        <w:rPr>
          <w:rFonts w:cstheme="minorHAnsi"/>
          <w:b/>
        </w:rPr>
      </w:pPr>
      <w:r>
        <w:rPr>
          <w:rFonts w:cstheme="minorHAnsi"/>
        </w:rPr>
        <w:lastRenderedPageBreak/>
        <w:t xml:space="preserve">Determine the </w:t>
      </w:r>
      <w:r w:rsidRPr="00AD7E54">
        <w:rPr>
          <w:rFonts w:cstheme="minorHAnsi"/>
        </w:rPr>
        <w:t>specific language groups to be targeted in the first phase of the vaccine communications</w:t>
      </w:r>
      <w:r>
        <w:rPr>
          <w:rFonts w:cstheme="minorHAnsi"/>
        </w:rPr>
        <w:t xml:space="preserve">. </w:t>
      </w:r>
    </w:p>
    <w:p w:rsidR="00BB4787" w:rsidRDefault="007139AB" w:rsidP="00BB4787">
      <w:pPr>
        <w:rPr>
          <w:rFonts w:ascii="Calibri" w:eastAsia="Times New Roman" w:hAnsi="Calibri" w:cs="Times New Roman"/>
        </w:rPr>
      </w:pPr>
      <w:r>
        <w:rPr>
          <w:rFonts w:ascii="Calibri" w:eastAsia="Times New Roman" w:hAnsi="Calibri" w:cs="Times New Roman"/>
        </w:rPr>
        <w:t>These elements will be taken into account in the communications strategy to be developed by the Department of Health.</w:t>
      </w:r>
      <w:r w:rsidR="00695EF2">
        <w:rPr>
          <w:rFonts w:ascii="Calibri" w:eastAsia="Times New Roman" w:hAnsi="Calibri" w:cs="Times New Roman"/>
        </w:rPr>
        <w:t xml:space="preserve"> </w:t>
      </w:r>
      <w:r>
        <w:rPr>
          <w:rFonts w:ascii="Calibri" w:eastAsia="Times New Roman" w:hAnsi="Calibri" w:cs="Times New Roman"/>
        </w:rPr>
        <w:t>In addition, t</w:t>
      </w:r>
      <w:r w:rsidR="00BB4787">
        <w:rPr>
          <w:rFonts w:ascii="Calibri" w:eastAsia="Times New Roman" w:hAnsi="Calibri" w:cs="Times New Roman"/>
        </w:rPr>
        <w:t>he Department of Health has engaged the services of a culturally</w:t>
      </w:r>
      <w:r w:rsidR="00260486">
        <w:rPr>
          <w:rFonts w:ascii="Calibri" w:eastAsia="Times New Roman" w:hAnsi="Calibri" w:cs="Times New Roman"/>
        </w:rPr>
        <w:t>, ethnically</w:t>
      </w:r>
      <w:r w:rsidR="00BB4787">
        <w:rPr>
          <w:rFonts w:ascii="Calibri" w:eastAsia="Times New Roman" w:hAnsi="Calibri" w:cs="Times New Roman"/>
        </w:rPr>
        <w:t xml:space="preserve"> and linguistically diverse </w:t>
      </w:r>
      <w:r w:rsidR="00B643A8">
        <w:rPr>
          <w:rFonts w:ascii="Calibri" w:eastAsia="Times New Roman" w:hAnsi="Calibri" w:cs="Times New Roman"/>
        </w:rPr>
        <w:t xml:space="preserve">specialised </w:t>
      </w:r>
      <w:r w:rsidR="00BB4787">
        <w:rPr>
          <w:rFonts w:ascii="Calibri" w:eastAsia="Times New Roman" w:hAnsi="Calibri" w:cs="Times New Roman"/>
        </w:rPr>
        <w:t>public relations agency to develop a comprehensive public relations strategy to communicate with culturally</w:t>
      </w:r>
      <w:r w:rsidR="00260486">
        <w:rPr>
          <w:rFonts w:ascii="Calibri" w:eastAsia="Times New Roman" w:hAnsi="Calibri" w:cs="Times New Roman"/>
        </w:rPr>
        <w:t>, ethnically</w:t>
      </w:r>
      <w:r w:rsidR="00BB4787">
        <w:rPr>
          <w:rFonts w:ascii="Calibri" w:eastAsia="Times New Roman" w:hAnsi="Calibri" w:cs="Times New Roman"/>
        </w:rPr>
        <w:t xml:space="preserve"> and linguistically diverse populations. </w:t>
      </w:r>
    </w:p>
    <w:p w:rsidR="00BB4787" w:rsidRDefault="00BB4787" w:rsidP="00BB4787">
      <w:pPr>
        <w:rPr>
          <w:rFonts w:ascii="Calibri" w:eastAsia="Times New Roman" w:hAnsi="Calibri" w:cs="Times New Roman"/>
        </w:rPr>
      </w:pPr>
      <w:r w:rsidRPr="0010254F">
        <w:rPr>
          <w:rFonts w:ascii="Calibri" w:eastAsia="Times New Roman" w:hAnsi="Calibri" w:cs="Times New Roman"/>
        </w:rPr>
        <w:t xml:space="preserve">The strategy </w:t>
      </w:r>
      <w:r>
        <w:rPr>
          <w:rFonts w:ascii="Calibri" w:eastAsia="Times New Roman" w:hAnsi="Calibri" w:cs="Times New Roman"/>
        </w:rPr>
        <w:t xml:space="preserve">will </w:t>
      </w:r>
      <w:r w:rsidRPr="0010254F">
        <w:rPr>
          <w:rFonts w:ascii="Calibri" w:eastAsia="Times New Roman" w:hAnsi="Calibri" w:cs="Times New Roman"/>
        </w:rPr>
        <w:t>recognise that communication for culturally</w:t>
      </w:r>
      <w:r w:rsidR="00260486">
        <w:rPr>
          <w:rFonts w:ascii="Calibri" w:eastAsia="Times New Roman" w:hAnsi="Calibri" w:cs="Times New Roman"/>
        </w:rPr>
        <w:t>, ethnically</w:t>
      </w:r>
      <w:r w:rsidRPr="0010254F">
        <w:rPr>
          <w:rFonts w:ascii="Calibri" w:eastAsia="Times New Roman" w:hAnsi="Calibri" w:cs="Times New Roman"/>
        </w:rPr>
        <w:t xml:space="preserve"> and linguistically diverse populations </w:t>
      </w:r>
      <w:r w:rsidR="004A5609">
        <w:rPr>
          <w:rFonts w:ascii="Calibri" w:eastAsia="Times New Roman" w:hAnsi="Calibri" w:cs="Times New Roman"/>
        </w:rPr>
        <w:t xml:space="preserve">must be </w:t>
      </w:r>
      <w:r w:rsidRPr="0010254F">
        <w:rPr>
          <w:rFonts w:ascii="Calibri" w:eastAsia="Times New Roman" w:hAnsi="Calibri" w:cs="Times New Roman"/>
        </w:rPr>
        <w:t>tailored, and consider the different needs of these populations</w:t>
      </w:r>
      <w:r w:rsidR="00FA12D9">
        <w:rPr>
          <w:rFonts w:ascii="Calibri" w:eastAsia="Times New Roman" w:hAnsi="Calibri" w:cs="Times New Roman"/>
        </w:rPr>
        <w:t>, and cohorts within these,</w:t>
      </w:r>
      <w:r>
        <w:rPr>
          <w:rFonts w:ascii="Calibri" w:eastAsia="Times New Roman" w:hAnsi="Calibri" w:cs="Times New Roman"/>
        </w:rPr>
        <w:t xml:space="preserve"> including:</w:t>
      </w:r>
    </w:p>
    <w:p w:rsidR="00BB4787" w:rsidRPr="00D5181E" w:rsidRDefault="00BB4787" w:rsidP="00BB4787">
      <w:pPr>
        <w:pStyle w:val="ListParagraph"/>
        <w:numPr>
          <w:ilvl w:val="0"/>
          <w:numId w:val="41"/>
        </w:numPr>
        <w:spacing w:after="160" w:line="259" w:lineRule="auto"/>
        <w:rPr>
          <w:rFonts w:cstheme="minorHAnsi"/>
        </w:rPr>
      </w:pPr>
      <w:r w:rsidRPr="00D5181E">
        <w:rPr>
          <w:rFonts w:cstheme="minorHAnsi"/>
        </w:rPr>
        <w:t>the wide range of</w:t>
      </w:r>
      <w:r>
        <w:rPr>
          <w:rFonts w:cstheme="minorHAnsi"/>
        </w:rPr>
        <w:t xml:space="preserve"> </w:t>
      </w:r>
      <w:r>
        <w:rPr>
          <w:rFonts w:ascii="Calibri" w:hAnsi="Calibri" w:cs="Times New Roman"/>
        </w:rPr>
        <w:t>culturally</w:t>
      </w:r>
      <w:r w:rsidR="00150644">
        <w:rPr>
          <w:rFonts w:ascii="Calibri" w:hAnsi="Calibri" w:cs="Times New Roman"/>
        </w:rPr>
        <w:t>, ethnically</w:t>
      </w:r>
      <w:r>
        <w:rPr>
          <w:rFonts w:ascii="Calibri" w:hAnsi="Calibri" w:cs="Times New Roman"/>
        </w:rPr>
        <w:t xml:space="preserve"> and linguistically diverse</w:t>
      </w:r>
      <w:r w:rsidRPr="00D5181E">
        <w:rPr>
          <w:rFonts w:cstheme="minorHAnsi"/>
        </w:rPr>
        <w:t xml:space="preserve"> communities in Australia with different communication needs and preferences</w:t>
      </w:r>
    </w:p>
    <w:p w:rsidR="00BB4787" w:rsidRDefault="00BB4787" w:rsidP="00BB4787">
      <w:pPr>
        <w:pStyle w:val="ListParagraph"/>
        <w:numPr>
          <w:ilvl w:val="0"/>
          <w:numId w:val="41"/>
        </w:numPr>
        <w:spacing w:after="160" w:line="259" w:lineRule="auto"/>
        <w:rPr>
          <w:rFonts w:cstheme="minorHAnsi"/>
        </w:rPr>
      </w:pPr>
      <w:r w:rsidRPr="00D5181E">
        <w:rPr>
          <w:rFonts w:cstheme="minorHAnsi"/>
        </w:rPr>
        <w:t>one in five people in Australia speak a language other than English</w:t>
      </w:r>
    </w:p>
    <w:p w:rsidR="00BB4787" w:rsidRDefault="00BB4787" w:rsidP="00BB4787">
      <w:pPr>
        <w:pStyle w:val="ListParagraph"/>
        <w:numPr>
          <w:ilvl w:val="0"/>
          <w:numId w:val="41"/>
        </w:numPr>
        <w:spacing w:after="160" w:line="259" w:lineRule="auto"/>
        <w:rPr>
          <w:rFonts w:cstheme="minorHAnsi"/>
        </w:rPr>
      </w:pPr>
      <w:r>
        <w:rPr>
          <w:rFonts w:ascii="Calibri" w:hAnsi="Calibri" w:cs="Times New Roman"/>
        </w:rPr>
        <w:t>culturally</w:t>
      </w:r>
      <w:r w:rsidR="00150644">
        <w:rPr>
          <w:rFonts w:ascii="Calibri" w:hAnsi="Calibri" w:cs="Times New Roman"/>
        </w:rPr>
        <w:t>, ethnically</w:t>
      </w:r>
      <w:r>
        <w:rPr>
          <w:rFonts w:ascii="Calibri" w:hAnsi="Calibri" w:cs="Times New Roman"/>
        </w:rPr>
        <w:t xml:space="preserve"> and linguistically diverse</w:t>
      </w:r>
      <w:r w:rsidRPr="00D5181E">
        <w:rPr>
          <w:rFonts w:cstheme="minorHAnsi"/>
        </w:rPr>
        <w:t xml:space="preserve"> audiences </w:t>
      </w:r>
      <w:r w:rsidR="00260486">
        <w:rPr>
          <w:rFonts w:cstheme="minorHAnsi"/>
        </w:rPr>
        <w:t>may</w:t>
      </w:r>
      <w:r w:rsidRPr="008B24AB">
        <w:rPr>
          <w:rFonts w:cstheme="minorHAnsi"/>
        </w:rPr>
        <w:t xml:space="preserve"> be difficult to reach and may not </w:t>
      </w:r>
      <w:r w:rsidR="00260486">
        <w:rPr>
          <w:rFonts w:cstheme="minorHAnsi"/>
        </w:rPr>
        <w:t xml:space="preserve">have the same access to </w:t>
      </w:r>
      <w:r w:rsidRPr="008B24AB">
        <w:rPr>
          <w:rFonts w:cstheme="minorHAnsi"/>
        </w:rPr>
        <w:t xml:space="preserve">mainstream </w:t>
      </w:r>
      <w:r w:rsidR="00260486">
        <w:rPr>
          <w:rFonts w:cstheme="minorHAnsi"/>
        </w:rPr>
        <w:t>health information</w:t>
      </w:r>
    </w:p>
    <w:p w:rsidR="00FA12D9" w:rsidRPr="00D5181E" w:rsidRDefault="00FA12D9" w:rsidP="00BB4787">
      <w:pPr>
        <w:pStyle w:val="ListParagraph"/>
        <w:numPr>
          <w:ilvl w:val="0"/>
          <w:numId w:val="41"/>
        </w:numPr>
        <w:spacing w:after="160" w:line="259" w:lineRule="auto"/>
        <w:rPr>
          <w:rFonts w:cstheme="minorHAnsi"/>
        </w:rPr>
      </w:pPr>
      <w:r>
        <w:rPr>
          <w:rFonts w:cstheme="minorHAnsi"/>
        </w:rPr>
        <w:t>utilising a diversity of channels acknowledges the diverse platforms, and preferences amongst cohorts, and is an important strategy for broader reach</w:t>
      </w:r>
    </w:p>
    <w:p w:rsidR="00BB4787" w:rsidRDefault="00BB4787" w:rsidP="00BB4787">
      <w:pPr>
        <w:pStyle w:val="ListParagraph"/>
        <w:numPr>
          <w:ilvl w:val="0"/>
          <w:numId w:val="41"/>
        </w:numPr>
        <w:spacing w:after="160" w:line="259" w:lineRule="auto"/>
        <w:rPr>
          <w:rFonts w:cstheme="minorHAnsi"/>
        </w:rPr>
      </w:pPr>
      <w:r>
        <w:rPr>
          <w:rFonts w:ascii="Calibri" w:hAnsi="Calibri" w:cs="Times New Roman"/>
        </w:rPr>
        <w:t>culturally</w:t>
      </w:r>
      <w:r w:rsidR="00150644">
        <w:rPr>
          <w:rFonts w:ascii="Calibri" w:hAnsi="Calibri" w:cs="Times New Roman"/>
        </w:rPr>
        <w:t>, ethnically</w:t>
      </w:r>
      <w:r>
        <w:rPr>
          <w:rFonts w:ascii="Calibri" w:hAnsi="Calibri" w:cs="Times New Roman"/>
        </w:rPr>
        <w:t xml:space="preserve"> and linguistically diverse</w:t>
      </w:r>
      <w:r w:rsidRPr="00D5181E">
        <w:rPr>
          <w:rFonts w:cstheme="minorHAnsi"/>
        </w:rPr>
        <w:t xml:space="preserve"> audiences may not know about the Translating Interpreting Services communication line.</w:t>
      </w:r>
    </w:p>
    <w:p w:rsidR="00BB4787" w:rsidRPr="00F6775B" w:rsidRDefault="00BB4787" w:rsidP="00BB4787">
      <w:pPr>
        <w:spacing w:after="160" w:line="259" w:lineRule="auto"/>
        <w:rPr>
          <w:rFonts w:cstheme="minorHAnsi"/>
        </w:rPr>
      </w:pPr>
      <w:r>
        <w:rPr>
          <w:rFonts w:cstheme="minorHAnsi"/>
        </w:rPr>
        <w:t xml:space="preserve">The </w:t>
      </w:r>
      <w:r w:rsidR="004A5609" w:rsidRPr="0010254F">
        <w:rPr>
          <w:rFonts w:ascii="Calibri" w:eastAsia="Times New Roman" w:hAnsi="Calibri" w:cs="Times New Roman"/>
        </w:rPr>
        <w:t>communication action plan</w:t>
      </w:r>
      <w:r w:rsidR="004A5609">
        <w:rPr>
          <w:rFonts w:ascii="Calibri" w:eastAsia="Times New Roman" w:hAnsi="Calibri" w:cs="Times New Roman"/>
        </w:rPr>
        <w:t xml:space="preserve"> </w:t>
      </w:r>
      <w:r w:rsidR="004A5609">
        <w:rPr>
          <w:rFonts w:cstheme="minorHAnsi"/>
        </w:rPr>
        <w:t xml:space="preserve">will </w:t>
      </w:r>
      <w:r>
        <w:rPr>
          <w:rFonts w:cstheme="minorHAnsi"/>
        </w:rPr>
        <w:t>identify key vulnerable populations and key sensitivities among culturally</w:t>
      </w:r>
      <w:r w:rsidR="00260486">
        <w:rPr>
          <w:rFonts w:cstheme="minorHAnsi"/>
        </w:rPr>
        <w:t>, ethnically</w:t>
      </w:r>
      <w:r>
        <w:rPr>
          <w:rFonts w:cstheme="minorHAnsi"/>
        </w:rPr>
        <w:t xml:space="preserve"> and linguistically diverse communities.</w:t>
      </w:r>
    </w:p>
    <w:p w:rsidR="00BB4787" w:rsidRDefault="00BB4787" w:rsidP="00BB4787">
      <w:pPr>
        <w:rPr>
          <w:rFonts w:cstheme="minorHAnsi"/>
        </w:rPr>
      </w:pPr>
      <w:r>
        <w:rPr>
          <w:rFonts w:cstheme="minorHAnsi"/>
        </w:rPr>
        <w:t>Communications will aim to:</w:t>
      </w:r>
    </w:p>
    <w:p w:rsidR="00BB4787" w:rsidRPr="00B334B6" w:rsidRDefault="00BB4787" w:rsidP="00BB4787">
      <w:pPr>
        <w:pStyle w:val="ListParagraph"/>
        <w:numPr>
          <w:ilvl w:val="0"/>
          <w:numId w:val="42"/>
        </w:numPr>
        <w:spacing w:after="160" w:line="259" w:lineRule="auto"/>
        <w:rPr>
          <w:rFonts w:cstheme="minorHAnsi"/>
        </w:rPr>
      </w:pPr>
      <w:r>
        <w:rPr>
          <w:rFonts w:cstheme="minorHAnsi"/>
        </w:rPr>
        <w:t>create understanding about the</w:t>
      </w:r>
      <w:r w:rsidRPr="00B334B6">
        <w:rPr>
          <w:rFonts w:cstheme="minorHAnsi"/>
        </w:rPr>
        <w:t xml:space="preserve"> approval processes </w:t>
      </w:r>
      <w:r w:rsidR="00741309" w:rsidRPr="00B334B6">
        <w:rPr>
          <w:rFonts w:cstheme="minorHAnsi"/>
        </w:rPr>
        <w:t xml:space="preserve">and safety of </w:t>
      </w:r>
      <w:r w:rsidRPr="00B334B6">
        <w:rPr>
          <w:rFonts w:cstheme="minorHAnsi"/>
        </w:rPr>
        <w:t xml:space="preserve">COVID-19 vaccines </w:t>
      </w:r>
    </w:p>
    <w:p w:rsidR="00BB4787" w:rsidRDefault="00BB4787" w:rsidP="00BB4787">
      <w:pPr>
        <w:pStyle w:val="ListParagraph"/>
        <w:numPr>
          <w:ilvl w:val="0"/>
          <w:numId w:val="42"/>
        </w:numPr>
        <w:spacing w:after="160" w:line="259" w:lineRule="auto"/>
        <w:rPr>
          <w:rFonts w:cstheme="minorHAnsi"/>
        </w:rPr>
      </w:pPr>
      <w:r w:rsidRPr="00B334B6">
        <w:rPr>
          <w:rFonts w:cstheme="minorHAnsi"/>
        </w:rPr>
        <w:t xml:space="preserve">create confidence and trust in the </w:t>
      </w:r>
      <w:r>
        <w:rPr>
          <w:rFonts w:cstheme="minorHAnsi"/>
        </w:rPr>
        <w:t xml:space="preserve">vaccine </w:t>
      </w:r>
      <w:r w:rsidRPr="00B334B6">
        <w:rPr>
          <w:rFonts w:cstheme="minorHAnsi"/>
        </w:rPr>
        <w:t xml:space="preserve">approval </w:t>
      </w:r>
      <w:r w:rsidR="00741309">
        <w:rPr>
          <w:rFonts w:cstheme="minorHAnsi"/>
        </w:rPr>
        <w:t xml:space="preserve">and safety monitoring </w:t>
      </w:r>
      <w:r w:rsidRPr="00B334B6">
        <w:rPr>
          <w:rFonts w:cstheme="minorHAnsi"/>
        </w:rPr>
        <w:t>process</w:t>
      </w:r>
      <w:r w:rsidR="00741309">
        <w:rPr>
          <w:rFonts w:cstheme="minorHAnsi"/>
        </w:rPr>
        <w:t>es</w:t>
      </w:r>
    </w:p>
    <w:p w:rsidR="00BB4787" w:rsidRDefault="00BB4787" w:rsidP="00BB4787">
      <w:pPr>
        <w:pStyle w:val="ListParagraph"/>
        <w:numPr>
          <w:ilvl w:val="0"/>
          <w:numId w:val="42"/>
        </w:numPr>
        <w:spacing w:after="160" w:line="259" w:lineRule="auto"/>
        <w:rPr>
          <w:rFonts w:cstheme="minorHAnsi"/>
        </w:rPr>
      </w:pPr>
      <w:r>
        <w:rPr>
          <w:rFonts w:cstheme="minorHAnsi"/>
        </w:rPr>
        <w:t xml:space="preserve">encourage </w:t>
      </w:r>
      <w:r>
        <w:rPr>
          <w:rFonts w:ascii="Calibri" w:hAnsi="Calibri" w:cs="Times New Roman"/>
        </w:rPr>
        <w:t>culturally</w:t>
      </w:r>
      <w:r w:rsidR="00150644">
        <w:rPr>
          <w:rFonts w:ascii="Calibri" w:hAnsi="Calibri" w:cs="Times New Roman"/>
        </w:rPr>
        <w:t>, ethnically</w:t>
      </w:r>
      <w:r>
        <w:rPr>
          <w:rFonts w:ascii="Calibri" w:hAnsi="Calibri" w:cs="Times New Roman"/>
        </w:rPr>
        <w:t xml:space="preserve"> and linguistically diverse communities</w:t>
      </w:r>
      <w:r>
        <w:rPr>
          <w:rFonts w:cstheme="minorHAnsi"/>
        </w:rPr>
        <w:t xml:space="preserve"> to get vaccinated once a vaccine is available</w:t>
      </w:r>
    </w:p>
    <w:p w:rsidR="00741309" w:rsidRDefault="00741309" w:rsidP="00741309">
      <w:pPr>
        <w:pStyle w:val="ListParagraph"/>
        <w:numPr>
          <w:ilvl w:val="0"/>
          <w:numId w:val="42"/>
        </w:numPr>
        <w:spacing w:after="160" w:line="259" w:lineRule="auto"/>
        <w:rPr>
          <w:rFonts w:cstheme="minorHAnsi"/>
        </w:rPr>
      </w:pPr>
      <w:r>
        <w:rPr>
          <w:rFonts w:cstheme="minorHAnsi"/>
        </w:rPr>
        <w:t>encourage culturally</w:t>
      </w:r>
      <w:r w:rsidR="00150644">
        <w:rPr>
          <w:rFonts w:cstheme="minorHAnsi"/>
        </w:rPr>
        <w:t>, ethnically</w:t>
      </w:r>
      <w:r>
        <w:rPr>
          <w:rFonts w:cstheme="minorHAnsi"/>
        </w:rPr>
        <w:t xml:space="preserve"> and linguistically diverse communities to report suspected </w:t>
      </w:r>
      <w:r w:rsidR="00EF6E89">
        <w:rPr>
          <w:rFonts w:cstheme="minorHAnsi"/>
        </w:rPr>
        <w:t>AEFI</w:t>
      </w:r>
      <w:r>
        <w:rPr>
          <w:rFonts w:cstheme="minorHAnsi"/>
        </w:rPr>
        <w:t xml:space="preserve"> with COVID-19 vaccines</w:t>
      </w:r>
    </w:p>
    <w:p w:rsidR="00741309" w:rsidRDefault="00741309" w:rsidP="00741309">
      <w:pPr>
        <w:pStyle w:val="ListParagraph"/>
        <w:numPr>
          <w:ilvl w:val="0"/>
          <w:numId w:val="42"/>
        </w:numPr>
        <w:spacing w:after="160" w:line="259" w:lineRule="auto"/>
        <w:rPr>
          <w:rFonts w:cstheme="minorHAnsi"/>
        </w:rPr>
      </w:pPr>
      <w:r>
        <w:rPr>
          <w:rFonts w:cstheme="minorHAnsi"/>
        </w:rPr>
        <w:t>address safety concerns within specific cultural groups if they arise to maintain confidence in the vaccin</w:t>
      </w:r>
      <w:r w:rsidR="00260486">
        <w:rPr>
          <w:rFonts w:cstheme="minorHAnsi"/>
        </w:rPr>
        <w:t>ation</w:t>
      </w:r>
      <w:r>
        <w:rPr>
          <w:rFonts w:cstheme="minorHAnsi"/>
        </w:rPr>
        <w:t xml:space="preserve"> program</w:t>
      </w:r>
    </w:p>
    <w:p w:rsidR="00BB4787" w:rsidRPr="00B334B6" w:rsidRDefault="00BB4787" w:rsidP="00BB4787">
      <w:pPr>
        <w:pStyle w:val="ListParagraph"/>
        <w:numPr>
          <w:ilvl w:val="0"/>
          <w:numId w:val="42"/>
        </w:numPr>
        <w:spacing w:after="160" w:line="259" w:lineRule="auto"/>
        <w:rPr>
          <w:rFonts w:cstheme="minorHAnsi"/>
        </w:rPr>
      </w:pPr>
      <w:r>
        <w:rPr>
          <w:rFonts w:cstheme="minorHAnsi"/>
        </w:rPr>
        <w:t>explain the vaccination program</w:t>
      </w:r>
      <w:r w:rsidR="00260486">
        <w:rPr>
          <w:rFonts w:cstheme="minorHAnsi"/>
        </w:rPr>
        <w:t xml:space="preserve"> as it evolves</w:t>
      </w:r>
      <w:r>
        <w:rPr>
          <w:rFonts w:cstheme="minorHAnsi"/>
        </w:rPr>
        <w:t>.</w:t>
      </w:r>
    </w:p>
    <w:p w:rsidR="00BB4787" w:rsidRPr="002452C3" w:rsidRDefault="00BB4787" w:rsidP="00BB4787">
      <w:pPr>
        <w:spacing w:before="120" w:line="240" w:lineRule="auto"/>
        <w:rPr>
          <w:rFonts w:cstheme="minorHAnsi"/>
        </w:rPr>
      </w:pPr>
      <w:r>
        <w:rPr>
          <w:rFonts w:cstheme="minorHAnsi"/>
        </w:rPr>
        <w:lastRenderedPageBreak/>
        <w:t>The overall c</w:t>
      </w:r>
      <w:r w:rsidRPr="002452C3">
        <w:rPr>
          <w:rFonts w:cstheme="minorHAnsi"/>
        </w:rPr>
        <w:t>ommunication for the vaccine will be delivered in the following phases:</w:t>
      </w:r>
    </w:p>
    <w:p w:rsidR="00BB4787" w:rsidRPr="007C0931" w:rsidRDefault="00BB4787" w:rsidP="00BB4787">
      <w:pPr>
        <w:pStyle w:val="ListParagraph"/>
        <w:numPr>
          <w:ilvl w:val="0"/>
          <w:numId w:val="43"/>
        </w:numPr>
        <w:spacing w:before="120" w:line="240" w:lineRule="auto"/>
        <w:rPr>
          <w:rFonts w:cstheme="minorHAnsi"/>
        </w:rPr>
      </w:pPr>
      <w:r w:rsidRPr="007C0931">
        <w:rPr>
          <w:rFonts w:cstheme="minorHAnsi"/>
        </w:rPr>
        <w:t>Phase one (pre-approval phase)</w:t>
      </w:r>
    </w:p>
    <w:p w:rsidR="00BB4787" w:rsidRPr="002C760C" w:rsidRDefault="00BB4787" w:rsidP="00BB4787">
      <w:pPr>
        <w:pStyle w:val="ListParagraph"/>
        <w:numPr>
          <w:ilvl w:val="0"/>
          <w:numId w:val="43"/>
        </w:numPr>
        <w:spacing w:before="120" w:line="240" w:lineRule="auto"/>
        <w:rPr>
          <w:rFonts w:cstheme="minorHAnsi"/>
        </w:rPr>
      </w:pPr>
      <w:r w:rsidRPr="002C760C">
        <w:rPr>
          <w:rFonts w:cstheme="minorHAnsi"/>
        </w:rPr>
        <w:t xml:space="preserve">Phase two (priority groups </w:t>
      </w:r>
      <w:r w:rsidR="000B66F8">
        <w:rPr>
          <w:rFonts w:cstheme="minorHAnsi"/>
        </w:rPr>
        <w:t>roll-out</w:t>
      </w:r>
      <w:r w:rsidRPr="002C760C">
        <w:rPr>
          <w:rFonts w:cstheme="minorHAnsi"/>
        </w:rPr>
        <w:t>)</w:t>
      </w:r>
    </w:p>
    <w:p w:rsidR="00BB4787" w:rsidRPr="002452C3" w:rsidRDefault="00BB4787" w:rsidP="00BB4787">
      <w:pPr>
        <w:pStyle w:val="ListParagraph"/>
        <w:numPr>
          <w:ilvl w:val="0"/>
          <w:numId w:val="43"/>
        </w:numPr>
        <w:spacing w:before="120" w:line="240" w:lineRule="auto"/>
        <w:rPr>
          <w:rFonts w:cstheme="minorHAnsi"/>
        </w:rPr>
      </w:pPr>
      <w:r w:rsidRPr="002C760C">
        <w:rPr>
          <w:rFonts w:cstheme="minorHAnsi"/>
        </w:rPr>
        <w:t>Phase three (general public)</w:t>
      </w:r>
    </w:p>
    <w:p w:rsidR="00BB4787" w:rsidRDefault="00BB4787" w:rsidP="00BB4787">
      <w:pPr>
        <w:rPr>
          <w:rFonts w:ascii="Calibri" w:hAnsi="Calibri" w:cs="Times New Roman"/>
        </w:rPr>
      </w:pPr>
      <w:r w:rsidRPr="002502D2">
        <w:rPr>
          <w:rFonts w:ascii="Calibri" w:hAnsi="Calibri" w:cs="Times New Roman"/>
          <w:i/>
        </w:rPr>
        <w:t>Key messages for phase one include</w:t>
      </w:r>
      <w:r>
        <w:rPr>
          <w:rFonts w:ascii="Calibri" w:hAnsi="Calibri" w:cs="Times New Roman"/>
        </w:rPr>
        <w:t>:</w:t>
      </w:r>
    </w:p>
    <w:p w:rsidR="00BB4787" w:rsidRPr="00F9106F" w:rsidRDefault="00BB4787" w:rsidP="00BB4787">
      <w:pPr>
        <w:pStyle w:val="ListParagraph"/>
        <w:numPr>
          <w:ilvl w:val="0"/>
          <w:numId w:val="43"/>
        </w:numPr>
        <w:spacing w:before="120" w:line="240" w:lineRule="auto"/>
        <w:rPr>
          <w:rFonts w:cstheme="minorHAnsi"/>
        </w:rPr>
      </w:pPr>
      <w:r w:rsidRPr="00F9106F">
        <w:rPr>
          <w:rFonts w:cstheme="minorHAnsi"/>
        </w:rPr>
        <w:t>A COVID-19 vaccine is the best way to protect the community.</w:t>
      </w:r>
    </w:p>
    <w:p w:rsidR="00BB4787" w:rsidRPr="003A3A69" w:rsidRDefault="00BB4787" w:rsidP="00BB4787">
      <w:pPr>
        <w:pStyle w:val="ListParagraph"/>
        <w:numPr>
          <w:ilvl w:val="0"/>
          <w:numId w:val="43"/>
        </w:numPr>
        <w:spacing w:before="120" w:line="240" w:lineRule="auto"/>
        <w:rPr>
          <w:rFonts w:cstheme="minorHAnsi"/>
        </w:rPr>
      </w:pPr>
      <w:r w:rsidRPr="003A3A69">
        <w:rPr>
          <w:rFonts w:cstheme="minorHAnsi"/>
        </w:rPr>
        <w:t xml:space="preserve">The Australian Government is working to access and deliver safe and effective COVID-19 vaccines for </w:t>
      </w:r>
      <w:r w:rsidR="00D760C3">
        <w:rPr>
          <w:rFonts w:cstheme="minorHAnsi"/>
        </w:rPr>
        <w:t>everyone in Australia</w:t>
      </w:r>
      <w:r w:rsidRPr="003A3A69">
        <w:rPr>
          <w:rFonts w:cstheme="minorHAnsi"/>
        </w:rPr>
        <w:t>.</w:t>
      </w:r>
    </w:p>
    <w:p w:rsidR="00BB4787" w:rsidRDefault="00BB4787" w:rsidP="00BB4787">
      <w:pPr>
        <w:pStyle w:val="ListParagraph"/>
        <w:numPr>
          <w:ilvl w:val="0"/>
          <w:numId w:val="43"/>
        </w:numPr>
        <w:spacing w:before="120" w:line="240" w:lineRule="auto"/>
        <w:rPr>
          <w:rFonts w:cstheme="minorHAnsi"/>
        </w:rPr>
      </w:pPr>
      <w:r w:rsidRPr="003A3A69">
        <w:rPr>
          <w:rFonts w:cstheme="minorHAnsi"/>
        </w:rPr>
        <w:t xml:space="preserve">Before a COVID-19 vaccine is approved for use in Australia it must pass the Therapeutic Goods Administration’s (TGA) rigorous assessment and approval processes to ensure it is effective and safe for use. </w:t>
      </w:r>
    </w:p>
    <w:p w:rsidR="00741309" w:rsidRPr="00F56A00" w:rsidRDefault="00741309" w:rsidP="00741309">
      <w:pPr>
        <w:pStyle w:val="ListParagraph"/>
        <w:numPr>
          <w:ilvl w:val="0"/>
          <w:numId w:val="43"/>
        </w:numPr>
        <w:rPr>
          <w:rFonts w:cstheme="minorHAnsi"/>
        </w:rPr>
      </w:pPr>
      <w:r w:rsidRPr="00F56A00">
        <w:rPr>
          <w:rFonts w:cstheme="minorHAnsi"/>
        </w:rPr>
        <w:t xml:space="preserve">The TGA has rigorous safety standards and monitors the safety of all vaccines </w:t>
      </w:r>
      <w:r>
        <w:rPr>
          <w:rFonts w:cstheme="minorHAnsi"/>
        </w:rPr>
        <w:t xml:space="preserve">once they are </w:t>
      </w:r>
      <w:r w:rsidRPr="00F56A00">
        <w:rPr>
          <w:rFonts w:cstheme="minorHAnsi"/>
        </w:rPr>
        <w:t>supplied in Australia. We have robust procedures to quickly detect, investigate and respond to</w:t>
      </w:r>
      <w:r w:rsidR="00260486">
        <w:rPr>
          <w:rFonts w:cstheme="minorHAnsi"/>
        </w:rPr>
        <w:t xml:space="preserve"> any</w:t>
      </w:r>
      <w:r w:rsidRPr="00F56A00">
        <w:rPr>
          <w:rFonts w:cstheme="minorHAnsi"/>
        </w:rPr>
        <w:t xml:space="preserve"> potential safety issues if they arise.</w:t>
      </w:r>
    </w:p>
    <w:p w:rsidR="00BB4787" w:rsidRDefault="00BB4787" w:rsidP="00BB4787">
      <w:pPr>
        <w:pStyle w:val="ListParagraph"/>
        <w:numPr>
          <w:ilvl w:val="0"/>
          <w:numId w:val="43"/>
        </w:numPr>
        <w:spacing w:before="120" w:line="240" w:lineRule="auto"/>
        <w:rPr>
          <w:rFonts w:cstheme="minorHAnsi"/>
        </w:rPr>
      </w:pPr>
      <w:r w:rsidRPr="00ED6103">
        <w:rPr>
          <w:rFonts w:cstheme="minorHAnsi"/>
        </w:rPr>
        <w:t xml:space="preserve">COVID-19 vaccines will be made available for free to </w:t>
      </w:r>
      <w:r w:rsidR="0067605B">
        <w:rPr>
          <w:rFonts w:cstheme="minorHAnsi"/>
        </w:rPr>
        <w:t>everyone in Australia.</w:t>
      </w:r>
    </w:p>
    <w:p w:rsidR="00BB4787" w:rsidRDefault="00BB4787" w:rsidP="00BB4787">
      <w:pPr>
        <w:pStyle w:val="ListParagraph"/>
        <w:numPr>
          <w:ilvl w:val="0"/>
          <w:numId w:val="43"/>
        </w:numPr>
        <w:spacing w:before="120" w:line="240" w:lineRule="auto"/>
        <w:rPr>
          <w:rFonts w:cstheme="minorHAnsi"/>
        </w:rPr>
      </w:pPr>
      <w:r>
        <w:rPr>
          <w:rFonts w:cstheme="minorHAnsi"/>
        </w:rPr>
        <w:t>The COVID-1</w:t>
      </w:r>
      <w:r w:rsidR="00A322A1">
        <w:rPr>
          <w:rFonts w:cstheme="minorHAnsi"/>
        </w:rPr>
        <w:t>9</w:t>
      </w:r>
      <w:r>
        <w:rPr>
          <w:rFonts w:cstheme="minorHAnsi"/>
        </w:rPr>
        <w:t xml:space="preserve"> vaccine will</w:t>
      </w:r>
      <w:r w:rsidR="00660DF8">
        <w:rPr>
          <w:rFonts w:cstheme="minorHAnsi"/>
        </w:rPr>
        <w:t xml:space="preserve"> </w:t>
      </w:r>
      <w:r w:rsidR="00EF6E89">
        <w:rPr>
          <w:rFonts w:cstheme="minorHAnsi"/>
        </w:rPr>
        <w:t>be voluntary</w:t>
      </w:r>
      <w:r>
        <w:rPr>
          <w:rFonts w:cstheme="minorHAnsi"/>
        </w:rPr>
        <w:t>.</w:t>
      </w:r>
    </w:p>
    <w:p w:rsidR="00BB4787" w:rsidRDefault="00BB4787" w:rsidP="00BB4787">
      <w:pPr>
        <w:pStyle w:val="ListParagraph"/>
        <w:numPr>
          <w:ilvl w:val="0"/>
          <w:numId w:val="43"/>
        </w:numPr>
        <w:spacing w:before="120" w:line="240" w:lineRule="auto"/>
        <w:rPr>
          <w:rFonts w:cstheme="minorHAnsi"/>
        </w:rPr>
      </w:pPr>
      <w:r w:rsidRPr="003A3A69">
        <w:rPr>
          <w:rFonts w:cstheme="minorHAnsi"/>
        </w:rPr>
        <w:t>Visit</w:t>
      </w:r>
      <w:r>
        <w:rPr>
          <w:rFonts w:cstheme="minorHAnsi"/>
        </w:rPr>
        <w:t xml:space="preserve"> </w:t>
      </w:r>
      <w:hyperlink r:id="rId13" w:history="1">
        <w:r w:rsidRPr="009C64AB">
          <w:rPr>
            <w:rStyle w:val="Hyperlink"/>
            <w:rFonts w:cstheme="minorHAnsi"/>
          </w:rPr>
          <w:t>www.health.gov.au/covid-19-vaccines</w:t>
        </w:r>
      </w:hyperlink>
      <w:r>
        <w:rPr>
          <w:rFonts w:cstheme="minorHAnsi"/>
        </w:rPr>
        <w:t xml:space="preserve"> </w:t>
      </w:r>
      <w:r w:rsidRPr="003A3A69">
        <w:rPr>
          <w:rFonts w:cstheme="minorHAnsi"/>
        </w:rPr>
        <w:t>to stay up-to-date with the latest, reputable information and to opt-in to the COVID-19 vaccine</w:t>
      </w:r>
      <w:r>
        <w:rPr>
          <w:rFonts w:cstheme="minorHAnsi"/>
        </w:rPr>
        <w:t>s</w:t>
      </w:r>
      <w:r w:rsidRPr="003A3A69">
        <w:rPr>
          <w:rFonts w:cstheme="minorHAnsi"/>
        </w:rPr>
        <w:t xml:space="preserve"> update.</w:t>
      </w:r>
    </w:p>
    <w:p w:rsidR="00BB4787" w:rsidRDefault="00BB4787" w:rsidP="00BB4787">
      <w:pPr>
        <w:pStyle w:val="ListParagraph"/>
        <w:numPr>
          <w:ilvl w:val="0"/>
          <w:numId w:val="43"/>
        </w:numPr>
        <w:spacing w:before="120" w:line="240" w:lineRule="auto"/>
        <w:rPr>
          <w:rFonts w:cstheme="minorHAnsi"/>
        </w:rPr>
      </w:pPr>
      <w:r>
        <w:rPr>
          <w:rFonts w:cstheme="minorHAnsi"/>
        </w:rPr>
        <w:t>C</w:t>
      </w:r>
      <w:r w:rsidRPr="006A02CB">
        <w:rPr>
          <w:rFonts w:cstheme="minorHAnsi"/>
        </w:rPr>
        <w:t>all the Coronavirus Helpline on 1800 020 080 or the translating and interpreting service on 131 450.</w:t>
      </w:r>
    </w:p>
    <w:p w:rsidR="00BB4787" w:rsidRPr="002502D2" w:rsidRDefault="00BB4787" w:rsidP="00BB4787">
      <w:pPr>
        <w:rPr>
          <w:rFonts w:ascii="Calibri" w:hAnsi="Calibri" w:cs="Times New Roman"/>
          <w:i/>
        </w:rPr>
      </w:pPr>
      <w:r w:rsidRPr="002502D2">
        <w:rPr>
          <w:rFonts w:ascii="Calibri" w:hAnsi="Calibri" w:cs="Times New Roman"/>
          <w:i/>
        </w:rPr>
        <w:t>Key messages for phase two:</w:t>
      </w:r>
    </w:p>
    <w:p w:rsidR="00BB4787" w:rsidRPr="00C54405" w:rsidRDefault="00BB4787" w:rsidP="00BB4787">
      <w:pPr>
        <w:pStyle w:val="ListParagraph"/>
        <w:numPr>
          <w:ilvl w:val="0"/>
          <w:numId w:val="43"/>
        </w:numPr>
        <w:spacing w:before="120" w:line="240" w:lineRule="auto"/>
        <w:rPr>
          <w:rFonts w:cstheme="minorHAnsi"/>
        </w:rPr>
      </w:pPr>
      <w:r w:rsidRPr="00C54405">
        <w:rPr>
          <w:rFonts w:cstheme="minorHAnsi"/>
        </w:rPr>
        <w:t>A vaccine, or vaccines</w:t>
      </w:r>
      <w:r>
        <w:rPr>
          <w:rFonts w:cstheme="minorHAnsi"/>
        </w:rPr>
        <w:t>,</w:t>
      </w:r>
      <w:r w:rsidRPr="00C54405">
        <w:rPr>
          <w:rFonts w:cstheme="minorHAnsi"/>
        </w:rPr>
        <w:t xml:space="preserve"> are now available to the identified priority groups. </w:t>
      </w:r>
    </w:p>
    <w:p w:rsidR="00BB4787" w:rsidRPr="00C54405" w:rsidRDefault="00BB4787" w:rsidP="00BB4787">
      <w:pPr>
        <w:pStyle w:val="ListParagraph"/>
        <w:numPr>
          <w:ilvl w:val="0"/>
          <w:numId w:val="43"/>
        </w:numPr>
        <w:spacing w:before="120" w:line="240" w:lineRule="auto"/>
        <w:rPr>
          <w:rFonts w:cstheme="minorHAnsi"/>
        </w:rPr>
      </w:pPr>
      <w:r w:rsidRPr="00C54405">
        <w:rPr>
          <w:rFonts w:cstheme="minorHAnsi"/>
        </w:rPr>
        <w:t>Information on how the vaccine will be rolled out, including on the dosage requirements.</w:t>
      </w:r>
    </w:p>
    <w:p w:rsidR="00741309" w:rsidRDefault="00BB4787" w:rsidP="00BB4787">
      <w:pPr>
        <w:pStyle w:val="ListParagraph"/>
        <w:numPr>
          <w:ilvl w:val="0"/>
          <w:numId w:val="43"/>
        </w:numPr>
        <w:spacing w:before="120" w:line="240" w:lineRule="auto"/>
        <w:rPr>
          <w:rFonts w:cstheme="minorHAnsi"/>
        </w:rPr>
      </w:pPr>
      <w:r w:rsidRPr="00C54405">
        <w:rPr>
          <w:rFonts w:cstheme="minorHAnsi"/>
        </w:rPr>
        <w:t>Continue</w:t>
      </w:r>
      <w:r>
        <w:rPr>
          <w:rFonts w:cstheme="minorHAnsi"/>
        </w:rPr>
        <w:t>d</w:t>
      </w:r>
      <w:r w:rsidRPr="00C54405">
        <w:rPr>
          <w:rFonts w:cstheme="minorHAnsi"/>
        </w:rPr>
        <w:t xml:space="preserve"> messaging around the safety and effic</w:t>
      </w:r>
      <w:r w:rsidR="00741309">
        <w:rPr>
          <w:rFonts w:cstheme="minorHAnsi"/>
        </w:rPr>
        <w:t>ac</w:t>
      </w:r>
      <w:r w:rsidRPr="00C54405">
        <w:rPr>
          <w:rFonts w:cstheme="minorHAnsi"/>
        </w:rPr>
        <w:t xml:space="preserve">y of the approved vaccine and the TGA </w:t>
      </w:r>
      <w:r>
        <w:rPr>
          <w:rFonts w:cstheme="minorHAnsi"/>
        </w:rPr>
        <w:t xml:space="preserve">post-registration monitoring </w:t>
      </w:r>
      <w:r w:rsidRPr="00C54405">
        <w:rPr>
          <w:rFonts w:cstheme="minorHAnsi"/>
        </w:rPr>
        <w:t>process</w:t>
      </w:r>
      <w:r w:rsidR="00741309">
        <w:rPr>
          <w:rFonts w:cstheme="minorHAnsi"/>
        </w:rPr>
        <w:t>, including information about the regulatory actions undertaken by the TGA in response to</w:t>
      </w:r>
      <w:r w:rsidR="00260486">
        <w:rPr>
          <w:rFonts w:cstheme="minorHAnsi"/>
        </w:rPr>
        <w:t xml:space="preserve"> any</w:t>
      </w:r>
      <w:r w:rsidR="00741309">
        <w:rPr>
          <w:rFonts w:cstheme="minorHAnsi"/>
        </w:rPr>
        <w:t xml:space="preserve"> specific safety issues if they arise.</w:t>
      </w:r>
    </w:p>
    <w:p w:rsidR="00BB4787" w:rsidRPr="00C54405" w:rsidRDefault="00741309" w:rsidP="00BB4787">
      <w:pPr>
        <w:pStyle w:val="ListParagraph"/>
        <w:numPr>
          <w:ilvl w:val="0"/>
          <w:numId w:val="43"/>
        </w:numPr>
        <w:spacing w:before="120" w:line="240" w:lineRule="auto"/>
        <w:rPr>
          <w:rFonts w:cstheme="minorHAnsi"/>
        </w:rPr>
      </w:pPr>
      <w:r>
        <w:rPr>
          <w:rFonts w:cstheme="minorHAnsi"/>
        </w:rPr>
        <w:t xml:space="preserve">Encourage health professionals and consumers to report suspected </w:t>
      </w:r>
      <w:r w:rsidR="00EF6E89">
        <w:rPr>
          <w:rFonts w:cstheme="minorHAnsi"/>
        </w:rPr>
        <w:t>AEFI</w:t>
      </w:r>
      <w:r>
        <w:rPr>
          <w:rFonts w:cstheme="minorHAnsi"/>
        </w:rPr>
        <w:t xml:space="preserve"> and provide information about how to report</w:t>
      </w:r>
      <w:r w:rsidR="00D82C45">
        <w:rPr>
          <w:rFonts w:cstheme="minorHAnsi"/>
        </w:rPr>
        <w:t>.</w:t>
      </w:r>
      <w:r w:rsidR="00695EF2">
        <w:rPr>
          <w:rFonts w:cstheme="minorHAnsi"/>
        </w:rPr>
        <w:t xml:space="preserve"> </w:t>
      </w:r>
    </w:p>
    <w:p w:rsidR="00BB4787" w:rsidRPr="002502D2" w:rsidRDefault="00BB4787" w:rsidP="00BB4787">
      <w:pPr>
        <w:rPr>
          <w:rFonts w:ascii="Calibri" w:hAnsi="Calibri" w:cs="Times New Roman"/>
          <w:i/>
        </w:rPr>
      </w:pPr>
      <w:r w:rsidRPr="002502D2">
        <w:rPr>
          <w:rFonts w:ascii="Calibri" w:hAnsi="Calibri" w:cs="Times New Roman"/>
          <w:i/>
        </w:rPr>
        <w:t>Key messages for phase three:</w:t>
      </w:r>
    </w:p>
    <w:p w:rsidR="00BB4787" w:rsidRPr="00C54405" w:rsidRDefault="00BB4787" w:rsidP="00BB4787">
      <w:pPr>
        <w:pStyle w:val="ListParagraph"/>
        <w:numPr>
          <w:ilvl w:val="0"/>
          <w:numId w:val="43"/>
        </w:numPr>
        <w:spacing w:before="120" w:line="240" w:lineRule="auto"/>
        <w:rPr>
          <w:rFonts w:cstheme="minorHAnsi"/>
        </w:rPr>
      </w:pPr>
      <w:r w:rsidRPr="00C54405">
        <w:rPr>
          <w:rFonts w:cstheme="minorHAnsi"/>
        </w:rPr>
        <w:t xml:space="preserve">As more doses are made available, </w:t>
      </w:r>
      <w:r w:rsidR="000B66F8">
        <w:rPr>
          <w:rFonts w:cstheme="minorHAnsi"/>
        </w:rPr>
        <w:t>roll-out</w:t>
      </w:r>
      <w:r w:rsidRPr="00C54405">
        <w:rPr>
          <w:rFonts w:cstheme="minorHAnsi"/>
        </w:rPr>
        <w:t xml:space="preserve"> will begin to the general public. </w:t>
      </w:r>
    </w:p>
    <w:p w:rsidR="00BB4787" w:rsidRPr="00C54405" w:rsidRDefault="00BB4787" w:rsidP="00BB4787">
      <w:pPr>
        <w:pStyle w:val="ListParagraph"/>
        <w:numPr>
          <w:ilvl w:val="0"/>
          <w:numId w:val="43"/>
        </w:numPr>
        <w:spacing w:before="120" w:line="240" w:lineRule="auto"/>
        <w:rPr>
          <w:rFonts w:cstheme="minorHAnsi"/>
        </w:rPr>
      </w:pPr>
      <w:r w:rsidRPr="00C54405">
        <w:rPr>
          <w:rFonts w:cstheme="minorHAnsi"/>
        </w:rPr>
        <w:t xml:space="preserve">Information on the dosage requirements, and where people can go to be vaccinated. </w:t>
      </w:r>
    </w:p>
    <w:p w:rsidR="00BB4787" w:rsidRDefault="00BB4787" w:rsidP="00BB4787">
      <w:pPr>
        <w:pStyle w:val="ListParagraph"/>
        <w:numPr>
          <w:ilvl w:val="0"/>
          <w:numId w:val="43"/>
        </w:numPr>
        <w:spacing w:before="120" w:line="240" w:lineRule="auto"/>
        <w:rPr>
          <w:rFonts w:cstheme="minorHAnsi"/>
        </w:rPr>
      </w:pPr>
      <w:r w:rsidRPr="00C54405">
        <w:rPr>
          <w:rFonts w:cstheme="minorHAnsi"/>
        </w:rPr>
        <w:lastRenderedPageBreak/>
        <w:t>Continue</w:t>
      </w:r>
      <w:r>
        <w:rPr>
          <w:rFonts w:cstheme="minorHAnsi"/>
        </w:rPr>
        <w:t>d</w:t>
      </w:r>
      <w:r w:rsidRPr="00C54405">
        <w:rPr>
          <w:rFonts w:cstheme="minorHAnsi"/>
        </w:rPr>
        <w:t xml:space="preserve"> messaging around the safety and effi</w:t>
      </w:r>
      <w:r w:rsidR="00741309">
        <w:rPr>
          <w:rFonts w:cstheme="minorHAnsi"/>
        </w:rPr>
        <w:t>ca</w:t>
      </w:r>
      <w:r w:rsidRPr="00C54405">
        <w:rPr>
          <w:rFonts w:cstheme="minorHAnsi"/>
        </w:rPr>
        <w:t xml:space="preserve">cy of the approved vaccine and the TGA </w:t>
      </w:r>
      <w:r>
        <w:rPr>
          <w:rFonts w:cstheme="minorHAnsi"/>
        </w:rPr>
        <w:t xml:space="preserve">post-registration monitoring </w:t>
      </w:r>
      <w:r w:rsidRPr="00C54405">
        <w:rPr>
          <w:rFonts w:cstheme="minorHAnsi"/>
        </w:rPr>
        <w:t xml:space="preserve">process to encourage uptake. </w:t>
      </w:r>
    </w:p>
    <w:p w:rsidR="00741309" w:rsidRDefault="00741309" w:rsidP="00741309">
      <w:pPr>
        <w:pStyle w:val="ListParagraph"/>
        <w:numPr>
          <w:ilvl w:val="0"/>
          <w:numId w:val="43"/>
        </w:numPr>
        <w:spacing w:before="120" w:line="240" w:lineRule="auto"/>
        <w:rPr>
          <w:rFonts w:cstheme="minorHAnsi"/>
        </w:rPr>
      </w:pPr>
      <w:r>
        <w:rPr>
          <w:rFonts w:cstheme="minorHAnsi"/>
        </w:rPr>
        <w:t xml:space="preserve">Encourage health professionals and consumers to report suspected </w:t>
      </w:r>
      <w:r w:rsidR="00E22888">
        <w:rPr>
          <w:rFonts w:cstheme="minorHAnsi"/>
        </w:rPr>
        <w:t>AEFI</w:t>
      </w:r>
      <w:r>
        <w:rPr>
          <w:rFonts w:cstheme="minorHAnsi"/>
        </w:rPr>
        <w:t xml:space="preserve"> and provide information about how to report.</w:t>
      </w:r>
      <w:r w:rsidRPr="00C54405">
        <w:rPr>
          <w:rFonts w:cstheme="minorHAnsi"/>
        </w:rPr>
        <w:t xml:space="preserve"> </w:t>
      </w:r>
    </w:p>
    <w:p w:rsidR="00741309" w:rsidRPr="00741309" w:rsidRDefault="00741309" w:rsidP="00741309">
      <w:pPr>
        <w:pStyle w:val="ListParagraph"/>
        <w:numPr>
          <w:ilvl w:val="0"/>
          <w:numId w:val="43"/>
        </w:numPr>
        <w:spacing w:before="120" w:line="240" w:lineRule="auto"/>
        <w:rPr>
          <w:rFonts w:cstheme="minorHAnsi"/>
        </w:rPr>
      </w:pPr>
      <w:r>
        <w:rPr>
          <w:rFonts w:cstheme="minorHAnsi"/>
        </w:rPr>
        <w:t xml:space="preserve">Provide information about the regulatory actions undertaken by the TGA in response to specific safety issues if they arise </w:t>
      </w:r>
    </w:p>
    <w:p w:rsidR="00BB4787" w:rsidRDefault="00BB4787" w:rsidP="0085181A">
      <w:pPr>
        <w:rPr>
          <w:rFonts w:cstheme="minorHAnsi"/>
        </w:rPr>
      </w:pPr>
      <w:r>
        <w:rPr>
          <w:rFonts w:cstheme="minorHAnsi"/>
        </w:rPr>
        <w:t>These messages are/will be adapted and refined for culturally</w:t>
      </w:r>
      <w:r w:rsidR="00260486">
        <w:rPr>
          <w:rFonts w:cstheme="minorHAnsi"/>
        </w:rPr>
        <w:t>, ethnically</w:t>
      </w:r>
      <w:r>
        <w:rPr>
          <w:rFonts w:cstheme="minorHAnsi"/>
        </w:rPr>
        <w:t xml:space="preserve"> and linguistically diverse audience</w:t>
      </w:r>
      <w:r w:rsidR="00A52001">
        <w:rPr>
          <w:rFonts w:cstheme="minorHAnsi"/>
        </w:rPr>
        <w:t>s</w:t>
      </w:r>
      <w:r w:rsidR="0085181A">
        <w:rPr>
          <w:rFonts w:cstheme="minorHAnsi"/>
        </w:rPr>
        <w:t xml:space="preserve">, taking into account not only cultural and language differences, but also those due to gender, age, sexuality, </w:t>
      </w:r>
      <w:r w:rsidR="0085181A" w:rsidRPr="001B60CB">
        <w:rPr>
          <w:rFonts w:cstheme="minorHAnsi"/>
        </w:rPr>
        <w:t>religion, socio-economic background, geographic spread, medical and care needs</w:t>
      </w:r>
      <w:r w:rsidR="0085181A">
        <w:rPr>
          <w:rFonts w:cstheme="minorHAnsi"/>
        </w:rPr>
        <w:t xml:space="preserve">. </w:t>
      </w:r>
      <w:r>
        <w:rPr>
          <w:rFonts w:cstheme="minorHAnsi"/>
        </w:rPr>
        <w:t>Further refinement will occur once a vaccine</w:t>
      </w:r>
      <w:r w:rsidR="00260486">
        <w:rPr>
          <w:rFonts w:cstheme="minorHAnsi"/>
        </w:rPr>
        <w:t>/vaccines</w:t>
      </w:r>
      <w:r>
        <w:rPr>
          <w:rFonts w:cstheme="minorHAnsi"/>
        </w:rPr>
        <w:t xml:space="preserve"> has</w:t>
      </w:r>
      <w:r w:rsidR="00260486">
        <w:rPr>
          <w:rFonts w:cstheme="minorHAnsi"/>
        </w:rPr>
        <w:t>/have</w:t>
      </w:r>
      <w:r>
        <w:rPr>
          <w:rFonts w:cstheme="minorHAnsi"/>
        </w:rPr>
        <w:t xml:space="preserve"> been approved and details can be determined for priority groups and </w:t>
      </w:r>
      <w:r w:rsidR="000B66F8">
        <w:rPr>
          <w:rFonts w:cstheme="minorHAnsi"/>
        </w:rPr>
        <w:t>roll-out</w:t>
      </w:r>
      <w:r>
        <w:rPr>
          <w:rFonts w:cstheme="minorHAnsi"/>
        </w:rPr>
        <w:t xml:space="preserve">. </w:t>
      </w:r>
    </w:p>
    <w:p w:rsidR="00BB4787" w:rsidRDefault="00BB4787" w:rsidP="00BB4787">
      <w:pPr>
        <w:rPr>
          <w:rFonts w:ascii="Calibri" w:eastAsia="Times New Roman" w:hAnsi="Calibri" w:cs="Times New Roman"/>
        </w:rPr>
      </w:pPr>
      <w:r>
        <w:rPr>
          <w:rFonts w:cstheme="minorHAnsi"/>
        </w:rPr>
        <w:t xml:space="preserve">Communications will be delivered through the Department of Health’s existing channels alongside </w:t>
      </w:r>
      <w:r w:rsidR="00F65B20">
        <w:rPr>
          <w:rFonts w:cstheme="minorHAnsi"/>
        </w:rPr>
        <w:t>other</w:t>
      </w:r>
      <w:r w:rsidR="00260486">
        <w:rPr>
          <w:rFonts w:cstheme="minorHAnsi"/>
        </w:rPr>
        <w:t xml:space="preserve"> channels</w:t>
      </w:r>
      <w:r w:rsidR="00F65B20">
        <w:rPr>
          <w:rFonts w:cstheme="minorHAnsi"/>
        </w:rPr>
        <w:t xml:space="preserve"> </w:t>
      </w:r>
      <w:r w:rsidR="00A52001">
        <w:rPr>
          <w:rFonts w:cstheme="minorHAnsi"/>
        </w:rPr>
        <w:t xml:space="preserve">and </w:t>
      </w:r>
      <w:r>
        <w:rPr>
          <w:rFonts w:cstheme="minorHAnsi"/>
        </w:rPr>
        <w:t>recommendations from the public relations agency</w:t>
      </w:r>
      <w:r w:rsidR="00F65B20">
        <w:rPr>
          <w:rFonts w:cstheme="minorHAnsi"/>
        </w:rPr>
        <w:t xml:space="preserve"> and those identified through consultation with community leaders and organisations</w:t>
      </w:r>
      <w:r>
        <w:rPr>
          <w:rFonts w:cstheme="minorHAnsi"/>
        </w:rPr>
        <w:t>.</w:t>
      </w:r>
      <w:r w:rsidR="00695EF2">
        <w:rPr>
          <w:rFonts w:cstheme="minorHAnsi"/>
        </w:rPr>
        <w:t xml:space="preserve"> </w:t>
      </w:r>
      <w:r w:rsidR="00C8240E">
        <w:rPr>
          <w:rFonts w:cstheme="minorHAnsi"/>
        </w:rPr>
        <w:t>These will include communications to community organisations and health care providers who are trusted sources and can disseminate and discuss with communities.</w:t>
      </w:r>
      <w:r>
        <w:rPr>
          <w:rFonts w:cstheme="minorHAnsi"/>
        </w:rPr>
        <w:t xml:space="preserve"> Communication products will be translated</w:t>
      </w:r>
      <w:r w:rsidR="00A52001">
        <w:rPr>
          <w:rFonts w:cstheme="minorHAnsi"/>
        </w:rPr>
        <w:t xml:space="preserve">, </w:t>
      </w:r>
      <w:r>
        <w:rPr>
          <w:rFonts w:cstheme="minorHAnsi"/>
        </w:rPr>
        <w:t>tailored</w:t>
      </w:r>
      <w:r w:rsidR="00A52001">
        <w:rPr>
          <w:rFonts w:cstheme="minorHAnsi"/>
        </w:rPr>
        <w:t xml:space="preserve"> and widely dispersed</w:t>
      </w:r>
      <w:r>
        <w:rPr>
          <w:rFonts w:cstheme="minorHAnsi"/>
        </w:rPr>
        <w:t xml:space="preserve"> to ensure they are easily accessible and understood f</w:t>
      </w:r>
      <w:r w:rsidRPr="0010254F">
        <w:rPr>
          <w:rFonts w:ascii="Calibri" w:eastAsia="Times New Roman" w:hAnsi="Calibri" w:cs="Times New Roman"/>
        </w:rPr>
        <w:t>or culturally and linguistically diverse populations</w:t>
      </w:r>
      <w:r w:rsidR="00FE39B7">
        <w:rPr>
          <w:rFonts w:ascii="Calibri" w:eastAsia="Times New Roman" w:hAnsi="Calibri" w:cs="Times New Roman"/>
        </w:rPr>
        <w:t>, with the intention of releasing English and other language versions simultaneously</w:t>
      </w:r>
      <w:r>
        <w:rPr>
          <w:rFonts w:ascii="Calibri" w:eastAsia="Times New Roman" w:hAnsi="Calibri" w:cs="Times New Roman"/>
        </w:rPr>
        <w:t>.</w:t>
      </w:r>
    </w:p>
    <w:p w:rsidR="00BB4787" w:rsidRPr="0010254F" w:rsidRDefault="00BB4787" w:rsidP="00BB4787">
      <w:pPr>
        <w:rPr>
          <w:rFonts w:ascii="Calibri" w:eastAsia="Times New Roman" w:hAnsi="Calibri" w:cs="Times New Roman"/>
        </w:rPr>
      </w:pPr>
      <w:r w:rsidRPr="0010254F">
        <w:rPr>
          <w:rFonts w:ascii="Calibri" w:eastAsia="Times New Roman" w:hAnsi="Calibri" w:cs="Times New Roman"/>
        </w:rPr>
        <w:t>The Commonwealth Department of Health will work closely with</w:t>
      </w:r>
      <w:r>
        <w:rPr>
          <w:rFonts w:ascii="Calibri" w:eastAsia="Times New Roman" w:hAnsi="Calibri" w:cs="Times New Roman"/>
        </w:rPr>
        <w:t xml:space="preserve"> </w:t>
      </w:r>
      <w:r w:rsidRPr="0010254F">
        <w:rPr>
          <w:rFonts w:ascii="Calibri" w:eastAsia="Times New Roman" w:hAnsi="Calibri" w:cs="Times New Roman"/>
        </w:rPr>
        <w:t>advisory groups</w:t>
      </w:r>
      <w:r w:rsidR="00D82C45">
        <w:rPr>
          <w:rFonts w:ascii="Calibri" w:eastAsia="Times New Roman" w:hAnsi="Calibri" w:cs="Times New Roman"/>
        </w:rPr>
        <w:t xml:space="preserve"> such as the Culturally and Linguistically Diverse Communities COVID-19 Health Advisory Group</w:t>
      </w:r>
      <w:r>
        <w:rPr>
          <w:rFonts w:ascii="Calibri" w:eastAsia="Times New Roman" w:hAnsi="Calibri" w:cs="Times New Roman"/>
        </w:rPr>
        <w:t>, other Commonwealth departments as required, peak organisations,</w:t>
      </w:r>
      <w:r w:rsidRPr="0010254F">
        <w:rPr>
          <w:rFonts w:ascii="Calibri" w:eastAsia="Times New Roman" w:hAnsi="Calibri" w:cs="Times New Roman"/>
        </w:rPr>
        <w:t xml:space="preserve"> state and territory health department communication and media units</w:t>
      </w:r>
      <w:r>
        <w:rPr>
          <w:rFonts w:ascii="Calibri" w:eastAsia="Times New Roman" w:hAnsi="Calibri" w:cs="Times New Roman"/>
        </w:rPr>
        <w:t>, public relations agencies, and other stakeholders</w:t>
      </w:r>
      <w:r w:rsidRPr="0010254F">
        <w:rPr>
          <w:rFonts w:ascii="Calibri" w:eastAsia="Times New Roman" w:hAnsi="Calibri" w:cs="Times New Roman"/>
        </w:rPr>
        <w:t xml:space="preserve"> to keep the healthcare providers and communities informed. </w:t>
      </w:r>
    </w:p>
    <w:p w:rsidR="006D129C" w:rsidRPr="00080181" w:rsidRDefault="00BB4787" w:rsidP="00080181">
      <w:pPr>
        <w:keepNext/>
        <w:keepLines/>
        <w:spacing w:before="320" w:after="0" w:line="240" w:lineRule="auto"/>
        <w:outlineLvl w:val="0"/>
        <w:rPr>
          <w:rFonts w:ascii="Calibri" w:eastAsia="Times New Roman" w:hAnsi="Calibri" w:cs="Times New Roman"/>
        </w:rPr>
      </w:pPr>
      <w:r w:rsidRPr="0010254F">
        <w:rPr>
          <w:rFonts w:ascii="Calibri" w:eastAsia="Times New Roman" w:hAnsi="Calibri" w:cs="Times New Roman"/>
        </w:rPr>
        <w:t xml:space="preserve">Media regarding the Australian Government activities related to delivery and </w:t>
      </w:r>
      <w:r w:rsidR="000B66F8">
        <w:rPr>
          <w:rFonts w:ascii="Calibri" w:eastAsia="Times New Roman" w:hAnsi="Calibri" w:cs="Times New Roman"/>
        </w:rPr>
        <w:t>roll-out</w:t>
      </w:r>
      <w:r w:rsidRPr="0010254F">
        <w:rPr>
          <w:rFonts w:ascii="Calibri" w:eastAsia="Times New Roman" w:hAnsi="Calibri" w:cs="Times New Roman"/>
        </w:rPr>
        <w:t xml:space="preserve"> of a COVID-19 vaccine will be coordinated by the Public Information Branch in the Office of Health Protection and Response Division in the Department of Health. They will work closely across all levels of government.</w:t>
      </w:r>
    </w:p>
    <w:sectPr w:rsidR="006D129C" w:rsidRPr="00080181" w:rsidSect="003F45D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A1" w:rsidRDefault="00003DA1" w:rsidP="00786195">
      <w:pPr>
        <w:spacing w:after="0" w:line="240" w:lineRule="auto"/>
      </w:pPr>
      <w:r>
        <w:separator/>
      </w:r>
    </w:p>
  </w:endnote>
  <w:endnote w:type="continuationSeparator" w:id="0">
    <w:p w:rsidR="00003DA1" w:rsidRDefault="00003DA1" w:rsidP="0078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79113"/>
      <w:docPartObj>
        <w:docPartGallery w:val="Page Numbers (Bottom of Page)"/>
        <w:docPartUnique/>
      </w:docPartObj>
    </w:sdtPr>
    <w:sdtEndPr>
      <w:rPr>
        <w:noProof/>
      </w:rPr>
    </w:sdtEndPr>
    <w:sdtContent>
      <w:p w:rsidR="007E5B0E" w:rsidRDefault="007E5B0E">
        <w:pPr>
          <w:pStyle w:val="Footer"/>
        </w:pPr>
        <w:r>
          <w:fldChar w:fldCharType="begin"/>
        </w:r>
        <w:r>
          <w:instrText xml:space="preserve"> PAGE   \* MERGEFORMAT </w:instrText>
        </w:r>
        <w:r>
          <w:fldChar w:fldCharType="separate"/>
        </w:r>
        <w:r w:rsidR="00997E96">
          <w:rPr>
            <w:noProof/>
          </w:rPr>
          <w:t>9</w:t>
        </w:r>
        <w:r>
          <w:rPr>
            <w:noProof/>
          </w:rPr>
          <w:fldChar w:fldCharType="end"/>
        </w:r>
      </w:p>
    </w:sdtContent>
  </w:sdt>
  <w:p w:rsidR="007E5B0E" w:rsidRDefault="007E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A1" w:rsidRDefault="00003DA1" w:rsidP="00786195">
      <w:pPr>
        <w:spacing w:after="0" w:line="240" w:lineRule="auto"/>
      </w:pPr>
      <w:r>
        <w:separator/>
      </w:r>
    </w:p>
  </w:footnote>
  <w:footnote w:type="continuationSeparator" w:id="0">
    <w:p w:rsidR="00003DA1" w:rsidRDefault="00003DA1" w:rsidP="00786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DE1"/>
    <w:multiLevelType w:val="hybridMultilevel"/>
    <w:tmpl w:val="09DA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55218"/>
    <w:multiLevelType w:val="hybridMultilevel"/>
    <w:tmpl w:val="4200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2B16"/>
    <w:multiLevelType w:val="hybridMultilevel"/>
    <w:tmpl w:val="6FEE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17052"/>
    <w:multiLevelType w:val="hybridMultilevel"/>
    <w:tmpl w:val="FDC65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80156"/>
    <w:multiLevelType w:val="hybridMultilevel"/>
    <w:tmpl w:val="F41A4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63029"/>
    <w:multiLevelType w:val="hybridMultilevel"/>
    <w:tmpl w:val="BD84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51B9B"/>
    <w:multiLevelType w:val="hybridMultilevel"/>
    <w:tmpl w:val="63EE3A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53242C"/>
    <w:multiLevelType w:val="hybridMultilevel"/>
    <w:tmpl w:val="C2B42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F517F"/>
    <w:multiLevelType w:val="hybridMultilevel"/>
    <w:tmpl w:val="65CCA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003FDD"/>
    <w:multiLevelType w:val="hybridMultilevel"/>
    <w:tmpl w:val="8B0CE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C747A5"/>
    <w:multiLevelType w:val="hybridMultilevel"/>
    <w:tmpl w:val="8E943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E0FAD"/>
    <w:multiLevelType w:val="hybridMultilevel"/>
    <w:tmpl w:val="387E93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26096C"/>
    <w:multiLevelType w:val="hybridMultilevel"/>
    <w:tmpl w:val="7E8E7946"/>
    <w:lvl w:ilvl="0" w:tplc="8C400AF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2E3F2B"/>
    <w:multiLevelType w:val="hybridMultilevel"/>
    <w:tmpl w:val="345E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F50CE2"/>
    <w:multiLevelType w:val="hybridMultilevel"/>
    <w:tmpl w:val="188631BC"/>
    <w:lvl w:ilvl="0" w:tplc="48A08D0A">
      <w:start w:val="1"/>
      <w:numFmt w:val="decimal"/>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C568D"/>
    <w:multiLevelType w:val="hybridMultilevel"/>
    <w:tmpl w:val="42447E9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C2243A"/>
    <w:multiLevelType w:val="hybridMultilevel"/>
    <w:tmpl w:val="D60413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1FE26428"/>
    <w:multiLevelType w:val="hybridMultilevel"/>
    <w:tmpl w:val="7824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4B0E9E"/>
    <w:multiLevelType w:val="hybridMultilevel"/>
    <w:tmpl w:val="0CFC6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225F51"/>
    <w:multiLevelType w:val="hybridMultilevel"/>
    <w:tmpl w:val="C2E42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4034E2"/>
    <w:multiLevelType w:val="hybridMultilevel"/>
    <w:tmpl w:val="02C6CD84"/>
    <w:lvl w:ilvl="0" w:tplc="D03AD4F2">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EB5402"/>
    <w:multiLevelType w:val="hybridMultilevel"/>
    <w:tmpl w:val="28B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B785F"/>
    <w:multiLevelType w:val="hybridMultilevel"/>
    <w:tmpl w:val="54AC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30046"/>
    <w:multiLevelType w:val="hybridMultilevel"/>
    <w:tmpl w:val="FD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AD64B6"/>
    <w:multiLevelType w:val="hybridMultilevel"/>
    <w:tmpl w:val="C9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4F2364"/>
    <w:multiLevelType w:val="hybridMultilevel"/>
    <w:tmpl w:val="F51CE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EF5B3E"/>
    <w:multiLevelType w:val="hybridMultilevel"/>
    <w:tmpl w:val="40BA8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813678"/>
    <w:multiLevelType w:val="hybridMultilevel"/>
    <w:tmpl w:val="9F865A78"/>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825552"/>
    <w:multiLevelType w:val="hybridMultilevel"/>
    <w:tmpl w:val="DD04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1D1D81"/>
    <w:multiLevelType w:val="hybridMultilevel"/>
    <w:tmpl w:val="1F6A9932"/>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1F5037"/>
    <w:multiLevelType w:val="hybridMultilevel"/>
    <w:tmpl w:val="108AD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CD16AF"/>
    <w:multiLevelType w:val="hybridMultilevel"/>
    <w:tmpl w:val="23CC8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A365E6"/>
    <w:multiLevelType w:val="hybridMultilevel"/>
    <w:tmpl w:val="01E6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FC4B0D"/>
    <w:multiLevelType w:val="hybridMultilevel"/>
    <w:tmpl w:val="D938D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65606A"/>
    <w:multiLevelType w:val="hybridMultilevel"/>
    <w:tmpl w:val="F1E2FBE8"/>
    <w:lvl w:ilvl="0" w:tplc="AF08431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C51564"/>
    <w:multiLevelType w:val="hybridMultilevel"/>
    <w:tmpl w:val="90A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E76D5E"/>
    <w:multiLevelType w:val="hybridMultilevel"/>
    <w:tmpl w:val="16DEAC08"/>
    <w:lvl w:ilvl="0" w:tplc="EE3ACA70">
      <w:start w:val="1"/>
      <w:numFmt w:val="bullet"/>
      <w:lvlText w:val=""/>
      <w:lvlJc w:val="left"/>
      <w:pPr>
        <w:ind w:left="720" w:hanging="360"/>
      </w:pPr>
      <w:rPr>
        <w:rFonts w:ascii="Symbol" w:hAnsi="Symbol" w:hint="default"/>
      </w:rPr>
    </w:lvl>
    <w:lvl w:ilvl="1" w:tplc="BC80FF94">
      <w:start w:val="1"/>
      <w:numFmt w:val="bullet"/>
      <w:lvlText w:val="o"/>
      <w:lvlJc w:val="left"/>
      <w:pPr>
        <w:ind w:left="1440" w:hanging="360"/>
      </w:pPr>
      <w:rPr>
        <w:rFonts w:ascii="Courier New" w:hAnsi="Courier New" w:cs="Courier New" w:hint="default"/>
      </w:rPr>
    </w:lvl>
    <w:lvl w:ilvl="2" w:tplc="5D562BAE" w:tentative="1">
      <w:start w:val="1"/>
      <w:numFmt w:val="bullet"/>
      <w:lvlText w:val=""/>
      <w:lvlJc w:val="left"/>
      <w:pPr>
        <w:ind w:left="2160" w:hanging="360"/>
      </w:pPr>
      <w:rPr>
        <w:rFonts w:ascii="Wingdings" w:hAnsi="Wingdings" w:hint="default"/>
      </w:rPr>
    </w:lvl>
    <w:lvl w:ilvl="3" w:tplc="4052F6BC" w:tentative="1">
      <w:start w:val="1"/>
      <w:numFmt w:val="bullet"/>
      <w:lvlText w:val=""/>
      <w:lvlJc w:val="left"/>
      <w:pPr>
        <w:ind w:left="2880" w:hanging="360"/>
      </w:pPr>
      <w:rPr>
        <w:rFonts w:ascii="Symbol" w:hAnsi="Symbol" w:hint="default"/>
      </w:rPr>
    </w:lvl>
    <w:lvl w:ilvl="4" w:tplc="4044F374" w:tentative="1">
      <w:start w:val="1"/>
      <w:numFmt w:val="bullet"/>
      <w:lvlText w:val="o"/>
      <w:lvlJc w:val="left"/>
      <w:pPr>
        <w:ind w:left="3600" w:hanging="360"/>
      </w:pPr>
      <w:rPr>
        <w:rFonts w:ascii="Courier New" w:hAnsi="Courier New" w:cs="Courier New" w:hint="default"/>
      </w:rPr>
    </w:lvl>
    <w:lvl w:ilvl="5" w:tplc="70DC322E" w:tentative="1">
      <w:start w:val="1"/>
      <w:numFmt w:val="bullet"/>
      <w:lvlText w:val=""/>
      <w:lvlJc w:val="left"/>
      <w:pPr>
        <w:ind w:left="4320" w:hanging="360"/>
      </w:pPr>
      <w:rPr>
        <w:rFonts w:ascii="Wingdings" w:hAnsi="Wingdings" w:hint="default"/>
      </w:rPr>
    </w:lvl>
    <w:lvl w:ilvl="6" w:tplc="92F2F1FE" w:tentative="1">
      <w:start w:val="1"/>
      <w:numFmt w:val="bullet"/>
      <w:lvlText w:val=""/>
      <w:lvlJc w:val="left"/>
      <w:pPr>
        <w:ind w:left="5040" w:hanging="360"/>
      </w:pPr>
      <w:rPr>
        <w:rFonts w:ascii="Symbol" w:hAnsi="Symbol" w:hint="default"/>
      </w:rPr>
    </w:lvl>
    <w:lvl w:ilvl="7" w:tplc="2696B0D4" w:tentative="1">
      <w:start w:val="1"/>
      <w:numFmt w:val="bullet"/>
      <w:lvlText w:val="o"/>
      <w:lvlJc w:val="left"/>
      <w:pPr>
        <w:ind w:left="5760" w:hanging="360"/>
      </w:pPr>
      <w:rPr>
        <w:rFonts w:ascii="Courier New" w:hAnsi="Courier New" w:cs="Courier New" w:hint="default"/>
      </w:rPr>
    </w:lvl>
    <w:lvl w:ilvl="8" w:tplc="4D70316A" w:tentative="1">
      <w:start w:val="1"/>
      <w:numFmt w:val="bullet"/>
      <w:lvlText w:val=""/>
      <w:lvlJc w:val="left"/>
      <w:pPr>
        <w:ind w:left="6480" w:hanging="360"/>
      </w:pPr>
      <w:rPr>
        <w:rFonts w:ascii="Wingdings" w:hAnsi="Wingdings" w:hint="default"/>
      </w:rPr>
    </w:lvl>
  </w:abstractNum>
  <w:abstractNum w:abstractNumId="37" w15:restartNumberingAfterBreak="0">
    <w:nsid w:val="666F09E9"/>
    <w:multiLevelType w:val="hybridMultilevel"/>
    <w:tmpl w:val="B0AC2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3A64DA"/>
    <w:multiLevelType w:val="hybridMultilevel"/>
    <w:tmpl w:val="8CAE8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BC3F3A"/>
    <w:multiLevelType w:val="hybridMultilevel"/>
    <w:tmpl w:val="85EE6690"/>
    <w:lvl w:ilvl="0" w:tplc="911AF66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0B06837"/>
    <w:multiLevelType w:val="hybridMultilevel"/>
    <w:tmpl w:val="8C507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821D4F"/>
    <w:multiLevelType w:val="hybridMultilevel"/>
    <w:tmpl w:val="2E386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442CE4"/>
    <w:multiLevelType w:val="hybridMultilevel"/>
    <w:tmpl w:val="7AD8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C8780E"/>
    <w:multiLevelType w:val="hybridMultilevel"/>
    <w:tmpl w:val="27869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340737"/>
    <w:multiLevelType w:val="hybridMultilevel"/>
    <w:tmpl w:val="EF22AD2E"/>
    <w:lvl w:ilvl="0" w:tplc="D03AD4F2">
      <w:numFmt w:val="bullet"/>
      <w:lvlText w:val="•"/>
      <w:lvlJc w:val="left"/>
      <w:pPr>
        <w:ind w:left="1080" w:hanging="72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B7FAB"/>
    <w:multiLevelType w:val="hybridMultilevel"/>
    <w:tmpl w:val="33548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2"/>
  </w:num>
  <w:num w:numId="4">
    <w:abstractNumId w:val="45"/>
  </w:num>
  <w:num w:numId="5">
    <w:abstractNumId w:val="24"/>
  </w:num>
  <w:num w:numId="6">
    <w:abstractNumId w:val="19"/>
  </w:num>
  <w:num w:numId="7">
    <w:abstractNumId w:val="38"/>
  </w:num>
  <w:num w:numId="8">
    <w:abstractNumId w:val="35"/>
  </w:num>
  <w:num w:numId="9">
    <w:abstractNumId w:val="17"/>
  </w:num>
  <w:num w:numId="10">
    <w:abstractNumId w:val="26"/>
  </w:num>
  <w:num w:numId="11">
    <w:abstractNumId w:val="11"/>
  </w:num>
  <w:num w:numId="12">
    <w:abstractNumId w:val="13"/>
  </w:num>
  <w:num w:numId="13">
    <w:abstractNumId w:val="37"/>
  </w:num>
  <w:num w:numId="14">
    <w:abstractNumId w:val="44"/>
  </w:num>
  <w:num w:numId="15">
    <w:abstractNumId w:val="20"/>
  </w:num>
  <w:num w:numId="16">
    <w:abstractNumId w:val="30"/>
  </w:num>
  <w:num w:numId="17">
    <w:abstractNumId w:val="31"/>
  </w:num>
  <w:num w:numId="18">
    <w:abstractNumId w:val="41"/>
  </w:num>
  <w:num w:numId="19">
    <w:abstractNumId w:val="25"/>
  </w:num>
  <w:num w:numId="20">
    <w:abstractNumId w:val="40"/>
  </w:num>
  <w:num w:numId="21">
    <w:abstractNumId w:val="6"/>
  </w:num>
  <w:num w:numId="22">
    <w:abstractNumId w:val="1"/>
  </w:num>
  <w:num w:numId="23">
    <w:abstractNumId w:val="43"/>
  </w:num>
  <w:num w:numId="24">
    <w:abstractNumId w:val="28"/>
  </w:num>
  <w:num w:numId="25">
    <w:abstractNumId w:val="36"/>
  </w:num>
  <w:num w:numId="26">
    <w:abstractNumId w:val="15"/>
  </w:num>
  <w:num w:numId="27">
    <w:abstractNumId w:val="18"/>
  </w:num>
  <w:num w:numId="28">
    <w:abstractNumId w:val="34"/>
  </w:num>
  <w:num w:numId="29">
    <w:abstractNumId w:val="33"/>
  </w:num>
  <w:num w:numId="30">
    <w:abstractNumId w:val="7"/>
  </w:num>
  <w:num w:numId="31">
    <w:abstractNumId w:val="8"/>
  </w:num>
  <w:num w:numId="32">
    <w:abstractNumId w:val="21"/>
  </w:num>
  <w:num w:numId="33">
    <w:abstractNumId w:val="10"/>
  </w:num>
  <w:num w:numId="34">
    <w:abstractNumId w:val="32"/>
  </w:num>
  <w:num w:numId="35">
    <w:abstractNumId w:val="16"/>
  </w:num>
  <w:num w:numId="36">
    <w:abstractNumId w:val="3"/>
  </w:num>
  <w:num w:numId="37">
    <w:abstractNumId w:val="29"/>
  </w:num>
  <w:num w:numId="38">
    <w:abstractNumId w:val="14"/>
  </w:num>
  <w:num w:numId="39">
    <w:abstractNumId w:val="27"/>
  </w:num>
  <w:num w:numId="40">
    <w:abstractNumId w:val="2"/>
  </w:num>
  <w:num w:numId="41">
    <w:abstractNumId w:val="22"/>
  </w:num>
  <w:num w:numId="42">
    <w:abstractNumId w:val="5"/>
  </w:num>
  <w:num w:numId="43">
    <w:abstractNumId w:val="23"/>
  </w:num>
  <w:num w:numId="44">
    <w:abstractNumId w:val="39"/>
  </w:num>
  <w:num w:numId="45">
    <w:abstractNumId w:val="9"/>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61"/>
    <w:rsid w:val="00003837"/>
    <w:rsid w:val="00003DA1"/>
    <w:rsid w:val="0000487B"/>
    <w:rsid w:val="00010780"/>
    <w:rsid w:val="000111FB"/>
    <w:rsid w:val="00011BA4"/>
    <w:rsid w:val="0001362D"/>
    <w:rsid w:val="0002287F"/>
    <w:rsid w:val="00025F2C"/>
    <w:rsid w:val="0002762C"/>
    <w:rsid w:val="00041917"/>
    <w:rsid w:val="00060BCB"/>
    <w:rsid w:val="000634AC"/>
    <w:rsid w:val="000775AD"/>
    <w:rsid w:val="00080181"/>
    <w:rsid w:val="00095A03"/>
    <w:rsid w:val="000A3836"/>
    <w:rsid w:val="000B66F8"/>
    <w:rsid w:val="000C063F"/>
    <w:rsid w:val="000C1F64"/>
    <w:rsid w:val="000C6F5C"/>
    <w:rsid w:val="000C7CF8"/>
    <w:rsid w:val="000D6708"/>
    <w:rsid w:val="000F2F31"/>
    <w:rsid w:val="00100C18"/>
    <w:rsid w:val="0010135A"/>
    <w:rsid w:val="00105A70"/>
    <w:rsid w:val="001348CB"/>
    <w:rsid w:val="00150644"/>
    <w:rsid w:val="0016672F"/>
    <w:rsid w:val="00171957"/>
    <w:rsid w:val="00193D38"/>
    <w:rsid w:val="001B0F83"/>
    <w:rsid w:val="001B2A6B"/>
    <w:rsid w:val="001B3753"/>
    <w:rsid w:val="001B7A02"/>
    <w:rsid w:val="001C6785"/>
    <w:rsid w:val="001D008F"/>
    <w:rsid w:val="001D1444"/>
    <w:rsid w:val="001E1420"/>
    <w:rsid w:val="001E61A4"/>
    <w:rsid w:val="001F1EF1"/>
    <w:rsid w:val="002002B9"/>
    <w:rsid w:val="00203973"/>
    <w:rsid w:val="00213789"/>
    <w:rsid w:val="00223FBC"/>
    <w:rsid w:val="002240B7"/>
    <w:rsid w:val="00234A86"/>
    <w:rsid w:val="00237C5D"/>
    <w:rsid w:val="00241E71"/>
    <w:rsid w:val="002454B9"/>
    <w:rsid w:val="002502D2"/>
    <w:rsid w:val="0025129F"/>
    <w:rsid w:val="00254470"/>
    <w:rsid w:val="00260486"/>
    <w:rsid w:val="00267EAE"/>
    <w:rsid w:val="0027702F"/>
    <w:rsid w:val="00280050"/>
    <w:rsid w:val="0028406A"/>
    <w:rsid w:val="00285AA3"/>
    <w:rsid w:val="00292569"/>
    <w:rsid w:val="00293BAE"/>
    <w:rsid w:val="0029775A"/>
    <w:rsid w:val="002A0BD1"/>
    <w:rsid w:val="002A3A29"/>
    <w:rsid w:val="002A485C"/>
    <w:rsid w:val="002A65A6"/>
    <w:rsid w:val="002B1D89"/>
    <w:rsid w:val="002B5285"/>
    <w:rsid w:val="002C42B4"/>
    <w:rsid w:val="002D1637"/>
    <w:rsid w:val="002E1D83"/>
    <w:rsid w:val="002E4B20"/>
    <w:rsid w:val="002E7761"/>
    <w:rsid w:val="002F2345"/>
    <w:rsid w:val="002F598B"/>
    <w:rsid w:val="002F7074"/>
    <w:rsid w:val="00304695"/>
    <w:rsid w:val="00304CE7"/>
    <w:rsid w:val="0030592D"/>
    <w:rsid w:val="003060D9"/>
    <w:rsid w:val="00310D2A"/>
    <w:rsid w:val="00315027"/>
    <w:rsid w:val="003150A3"/>
    <w:rsid w:val="0031556D"/>
    <w:rsid w:val="0031700A"/>
    <w:rsid w:val="00323C80"/>
    <w:rsid w:val="0034718D"/>
    <w:rsid w:val="00351A87"/>
    <w:rsid w:val="00356435"/>
    <w:rsid w:val="00361C32"/>
    <w:rsid w:val="00364B7D"/>
    <w:rsid w:val="00365D3A"/>
    <w:rsid w:val="00383404"/>
    <w:rsid w:val="00383C04"/>
    <w:rsid w:val="003C0A08"/>
    <w:rsid w:val="003C64B9"/>
    <w:rsid w:val="003D06A7"/>
    <w:rsid w:val="003D0C9F"/>
    <w:rsid w:val="003D5296"/>
    <w:rsid w:val="003D52B9"/>
    <w:rsid w:val="003E22EA"/>
    <w:rsid w:val="003E2F24"/>
    <w:rsid w:val="003E5BE9"/>
    <w:rsid w:val="003F433B"/>
    <w:rsid w:val="003F45DA"/>
    <w:rsid w:val="00400FB4"/>
    <w:rsid w:val="004035BF"/>
    <w:rsid w:val="00404B54"/>
    <w:rsid w:val="00405655"/>
    <w:rsid w:val="00410102"/>
    <w:rsid w:val="004104D3"/>
    <w:rsid w:val="00412101"/>
    <w:rsid w:val="004251A5"/>
    <w:rsid w:val="00427408"/>
    <w:rsid w:val="00427FB4"/>
    <w:rsid w:val="004316AA"/>
    <w:rsid w:val="00434921"/>
    <w:rsid w:val="004360F5"/>
    <w:rsid w:val="00436741"/>
    <w:rsid w:val="00437143"/>
    <w:rsid w:val="004627A2"/>
    <w:rsid w:val="00484EB9"/>
    <w:rsid w:val="00487D9C"/>
    <w:rsid w:val="00494FAD"/>
    <w:rsid w:val="004A2358"/>
    <w:rsid w:val="004A3520"/>
    <w:rsid w:val="004A5609"/>
    <w:rsid w:val="004C2EE0"/>
    <w:rsid w:val="004E2DF6"/>
    <w:rsid w:val="004E601D"/>
    <w:rsid w:val="004F1D23"/>
    <w:rsid w:val="004F5A1F"/>
    <w:rsid w:val="00501926"/>
    <w:rsid w:val="0051296F"/>
    <w:rsid w:val="00513190"/>
    <w:rsid w:val="00515A8D"/>
    <w:rsid w:val="005304CB"/>
    <w:rsid w:val="00531065"/>
    <w:rsid w:val="00541463"/>
    <w:rsid w:val="0056382A"/>
    <w:rsid w:val="00565FF7"/>
    <w:rsid w:val="00580355"/>
    <w:rsid w:val="00591F2E"/>
    <w:rsid w:val="005A3406"/>
    <w:rsid w:val="005A5AFA"/>
    <w:rsid w:val="005A7924"/>
    <w:rsid w:val="005B503C"/>
    <w:rsid w:val="005C7A5E"/>
    <w:rsid w:val="005D0DE4"/>
    <w:rsid w:val="005D534E"/>
    <w:rsid w:val="005E2A21"/>
    <w:rsid w:val="005F302D"/>
    <w:rsid w:val="005F4D3E"/>
    <w:rsid w:val="005F59C6"/>
    <w:rsid w:val="00606C13"/>
    <w:rsid w:val="00612626"/>
    <w:rsid w:val="0062139C"/>
    <w:rsid w:val="0065019C"/>
    <w:rsid w:val="006533E5"/>
    <w:rsid w:val="00657B36"/>
    <w:rsid w:val="00660DF8"/>
    <w:rsid w:val="00671477"/>
    <w:rsid w:val="0067240E"/>
    <w:rsid w:val="00673A7E"/>
    <w:rsid w:val="00675D64"/>
    <w:rsid w:val="0067605B"/>
    <w:rsid w:val="00676CC7"/>
    <w:rsid w:val="006819C2"/>
    <w:rsid w:val="00683F8E"/>
    <w:rsid w:val="00687817"/>
    <w:rsid w:val="00695EF2"/>
    <w:rsid w:val="006C7B43"/>
    <w:rsid w:val="006C7E5C"/>
    <w:rsid w:val="006D129C"/>
    <w:rsid w:val="006D2A21"/>
    <w:rsid w:val="006D2A3C"/>
    <w:rsid w:val="006D6063"/>
    <w:rsid w:val="006F59DC"/>
    <w:rsid w:val="006F684C"/>
    <w:rsid w:val="00701BF7"/>
    <w:rsid w:val="00707A84"/>
    <w:rsid w:val="007139AB"/>
    <w:rsid w:val="0072051D"/>
    <w:rsid w:val="007262E8"/>
    <w:rsid w:val="00737C66"/>
    <w:rsid w:val="00741309"/>
    <w:rsid w:val="007459EA"/>
    <w:rsid w:val="00750D22"/>
    <w:rsid w:val="007600B3"/>
    <w:rsid w:val="00773E53"/>
    <w:rsid w:val="00786195"/>
    <w:rsid w:val="007A6FFC"/>
    <w:rsid w:val="007B37CB"/>
    <w:rsid w:val="007C2246"/>
    <w:rsid w:val="007D0571"/>
    <w:rsid w:val="007D4C8E"/>
    <w:rsid w:val="007E0D8E"/>
    <w:rsid w:val="007E5B0E"/>
    <w:rsid w:val="007E7A03"/>
    <w:rsid w:val="007F4F66"/>
    <w:rsid w:val="007F5771"/>
    <w:rsid w:val="00802397"/>
    <w:rsid w:val="00806199"/>
    <w:rsid w:val="00837B68"/>
    <w:rsid w:val="00841639"/>
    <w:rsid w:val="008434F2"/>
    <w:rsid w:val="008453BA"/>
    <w:rsid w:val="00847D49"/>
    <w:rsid w:val="0085181A"/>
    <w:rsid w:val="00855D8F"/>
    <w:rsid w:val="008653E0"/>
    <w:rsid w:val="0087203D"/>
    <w:rsid w:val="00881FAC"/>
    <w:rsid w:val="008835A2"/>
    <w:rsid w:val="00893B64"/>
    <w:rsid w:val="00897ED2"/>
    <w:rsid w:val="008B0959"/>
    <w:rsid w:val="008C2525"/>
    <w:rsid w:val="008C2FE2"/>
    <w:rsid w:val="008C48D0"/>
    <w:rsid w:val="008C5F7D"/>
    <w:rsid w:val="008F4191"/>
    <w:rsid w:val="00900000"/>
    <w:rsid w:val="00903B94"/>
    <w:rsid w:val="00907304"/>
    <w:rsid w:val="0091087B"/>
    <w:rsid w:val="00920318"/>
    <w:rsid w:val="00920A19"/>
    <w:rsid w:val="009246CA"/>
    <w:rsid w:val="00927FDC"/>
    <w:rsid w:val="0093213E"/>
    <w:rsid w:val="00936E9B"/>
    <w:rsid w:val="00940970"/>
    <w:rsid w:val="00943E34"/>
    <w:rsid w:val="00950716"/>
    <w:rsid w:val="009567E6"/>
    <w:rsid w:val="00956B1A"/>
    <w:rsid w:val="00984496"/>
    <w:rsid w:val="00987435"/>
    <w:rsid w:val="0099286C"/>
    <w:rsid w:val="00997E96"/>
    <w:rsid w:val="009A1ECC"/>
    <w:rsid w:val="009A40EB"/>
    <w:rsid w:val="009B0142"/>
    <w:rsid w:val="009B1220"/>
    <w:rsid w:val="009C5C4C"/>
    <w:rsid w:val="009D342C"/>
    <w:rsid w:val="009E29CC"/>
    <w:rsid w:val="009E5261"/>
    <w:rsid w:val="009E6B62"/>
    <w:rsid w:val="009F3529"/>
    <w:rsid w:val="009F6959"/>
    <w:rsid w:val="00A03541"/>
    <w:rsid w:val="00A0501D"/>
    <w:rsid w:val="00A05706"/>
    <w:rsid w:val="00A16CF9"/>
    <w:rsid w:val="00A22695"/>
    <w:rsid w:val="00A322A1"/>
    <w:rsid w:val="00A430E7"/>
    <w:rsid w:val="00A45624"/>
    <w:rsid w:val="00A52001"/>
    <w:rsid w:val="00A55D2B"/>
    <w:rsid w:val="00A609B1"/>
    <w:rsid w:val="00A670EA"/>
    <w:rsid w:val="00A73C90"/>
    <w:rsid w:val="00A77791"/>
    <w:rsid w:val="00A80762"/>
    <w:rsid w:val="00A96855"/>
    <w:rsid w:val="00A9791A"/>
    <w:rsid w:val="00AA063F"/>
    <w:rsid w:val="00AA163D"/>
    <w:rsid w:val="00AB0550"/>
    <w:rsid w:val="00AC4EE6"/>
    <w:rsid w:val="00AE1C1E"/>
    <w:rsid w:val="00AE23FB"/>
    <w:rsid w:val="00AE7671"/>
    <w:rsid w:val="00AF1C94"/>
    <w:rsid w:val="00AF431A"/>
    <w:rsid w:val="00AF731E"/>
    <w:rsid w:val="00B10EF9"/>
    <w:rsid w:val="00B228DB"/>
    <w:rsid w:val="00B228F0"/>
    <w:rsid w:val="00B25F2D"/>
    <w:rsid w:val="00B303D5"/>
    <w:rsid w:val="00B46F54"/>
    <w:rsid w:val="00B53875"/>
    <w:rsid w:val="00B57FAA"/>
    <w:rsid w:val="00B643A8"/>
    <w:rsid w:val="00B654CA"/>
    <w:rsid w:val="00B66846"/>
    <w:rsid w:val="00B730E6"/>
    <w:rsid w:val="00B7753C"/>
    <w:rsid w:val="00BA6782"/>
    <w:rsid w:val="00BB0D2F"/>
    <w:rsid w:val="00BB1EF9"/>
    <w:rsid w:val="00BB4787"/>
    <w:rsid w:val="00BD35CA"/>
    <w:rsid w:val="00BD39FC"/>
    <w:rsid w:val="00BD42D2"/>
    <w:rsid w:val="00BE2F46"/>
    <w:rsid w:val="00C01427"/>
    <w:rsid w:val="00C056B1"/>
    <w:rsid w:val="00C05EB9"/>
    <w:rsid w:val="00C12C5E"/>
    <w:rsid w:val="00C50029"/>
    <w:rsid w:val="00C51B5F"/>
    <w:rsid w:val="00C55035"/>
    <w:rsid w:val="00C621E5"/>
    <w:rsid w:val="00C8240E"/>
    <w:rsid w:val="00CA6E5A"/>
    <w:rsid w:val="00CB22E5"/>
    <w:rsid w:val="00CB23BD"/>
    <w:rsid w:val="00CB6885"/>
    <w:rsid w:val="00CD4E3A"/>
    <w:rsid w:val="00D03EEE"/>
    <w:rsid w:val="00D134F7"/>
    <w:rsid w:val="00D149FA"/>
    <w:rsid w:val="00D20D70"/>
    <w:rsid w:val="00D24739"/>
    <w:rsid w:val="00D25989"/>
    <w:rsid w:val="00D3303F"/>
    <w:rsid w:val="00D35C11"/>
    <w:rsid w:val="00D40ACB"/>
    <w:rsid w:val="00D503CD"/>
    <w:rsid w:val="00D54C12"/>
    <w:rsid w:val="00D6773D"/>
    <w:rsid w:val="00D73D53"/>
    <w:rsid w:val="00D7589D"/>
    <w:rsid w:val="00D760C3"/>
    <w:rsid w:val="00D82C45"/>
    <w:rsid w:val="00DA272D"/>
    <w:rsid w:val="00DA2E87"/>
    <w:rsid w:val="00DB5C9E"/>
    <w:rsid w:val="00DD646F"/>
    <w:rsid w:val="00DD793E"/>
    <w:rsid w:val="00DE0739"/>
    <w:rsid w:val="00DE1812"/>
    <w:rsid w:val="00DE1B9C"/>
    <w:rsid w:val="00DE4819"/>
    <w:rsid w:val="00DE511F"/>
    <w:rsid w:val="00DE5734"/>
    <w:rsid w:val="00DF6887"/>
    <w:rsid w:val="00E02D0D"/>
    <w:rsid w:val="00E04534"/>
    <w:rsid w:val="00E050C1"/>
    <w:rsid w:val="00E10BAE"/>
    <w:rsid w:val="00E124C1"/>
    <w:rsid w:val="00E124C5"/>
    <w:rsid w:val="00E22888"/>
    <w:rsid w:val="00E3272E"/>
    <w:rsid w:val="00E3443A"/>
    <w:rsid w:val="00E44DEF"/>
    <w:rsid w:val="00E70CB7"/>
    <w:rsid w:val="00E77BDD"/>
    <w:rsid w:val="00E81E63"/>
    <w:rsid w:val="00E83330"/>
    <w:rsid w:val="00E865CE"/>
    <w:rsid w:val="00E92B55"/>
    <w:rsid w:val="00EA030F"/>
    <w:rsid w:val="00EA6BB2"/>
    <w:rsid w:val="00EC05EE"/>
    <w:rsid w:val="00EC4716"/>
    <w:rsid w:val="00ED33C1"/>
    <w:rsid w:val="00ED51E9"/>
    <w:rsid w:val="00EF2011"/>
    <w:rsid w:val="00EF40F7"/>
    <w:rsid w:val="00EF6E89"/>
    <w:rsid w:val="00F14D6C"/>
    <w:rsid w:val="00F16B30"/>
    <w:rsid w:val="00F20DE2"/>
    <w:rsid w:val="00F35424"/>
    <w:rsid w:val="00F36A54"/>
    <w:rsid w:val="00F44F07"/>
    <w:rsid w:val="00F5686C"/>
    <w:rsid w:val="00F63832"/>
    <w:rsid w:val="00F65022"/>
    <w:rsid w:val="00F65B20"/>
    <w:rsid w:val="00F74A90"/>
    <w:rsid w:val="00F83490"/>
    <w:rsid w:val="00F8567A"/>
    <w:rsid w:val="00FA12D9"/>
    <w:rsid w:val="00FA175C"/>
    <w:rsid w:val="00FB233E"/>
    <w:rsid w:val="00FD0D19"/>
    <w:rsid w:val="00FD1FD4"/>
    <w:rsid w:val="00FD297D"/>
    <w:rsid w:val="00FD56F6"/>
    <w:rsid w:val="00FE39B7"/>
    <w:rsid w:val="00FE5262"/>
    <w:rsid w:val="00FF0310"/>
    <w:rsid w:val="00FF5453"/>
    <w:rsid w:val="00FF5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7F5C793-FC15-46E3-A6EE-7CF54D4E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5"/>
    <w:rPr>
      <w:sz w:val="22"/>
    </w:rPr>
  </w:style>
  <w:style w:type="paragraph" w:styleId="Heading1">
    <w:name w:val="heading 1"/>
    <w:basedOn w:val="Normal"/>
    <w:next w:val="Normal"/>
    <w:link w:val="Heading1Char"/>
    <w:uiPriority w:val="9"/>
    <w:qFormat/>
    <w:rsid w:val="009E5261"/>
    <w:pPr>
      <w:keepNext/>
      <w:keepLines/>
      <w:spacing w:before="320" w:after="0" w:line="240" w:lineRule="auto"/>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9E526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A22695"/>
    <w:pPr>
      <w:keepNext/>
      <w:keepLines/>
      <w:spacing w:before="160" w:line="240" w:lineRule="auto"/>
      <w:outlineLvl w:val="2"/>
    </w:pPr>
    <w:rPr>
      <w:rFonts w:asciiTheme="majorHAnsi" w:eastAsiaTheme="majorEastAsia" w:hAnsiTheme="majorHAnsi" w:cstheme="majorBidi"/>
      <w:b/>
      <w:color w:val="7FC0DB" w:themeColor="accent1" w:themeTint="99"/>
      <w:sz w:val="24"/>
      <w:szCs w:val="24"/>
    </w:rPr>
  </w:style>
  <w:style w:type="paragraph" w:styleId="Heading4">
    <w:name w:val="heading 4"/>
    <w:basedOn w:val="Normal"/>
    <w:next w:val="Normal"/>
    <w:link w:val="Heading4Char"/>
    <w:uiPriority w:val="9"/>
    <w:unhideWhenUsed/>
    <w:qFormat/>
    <w:rsid w:val="009E5261"/>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9E5261"/>
    <w:pPr>
      <w:keepNext/>
      <w:keepLines/>
      <w:spacing w:before="40" w:after="0"/>
      <w:outlineLvl w:val="4"/>
    </w:pPr>
    <w:rPr>
      <w:rFonts w:asciiTheme="majorHAnsi" w:eastAsiaTheme="majorEastAsia" w:hAnsiTheme="majorHAnsi" w:cstheme="majorBidi"/>
      <w:color w:val="373545" w:themeColor="text2"/>
      <w:szCs w:val="22"/>
    </w:rPr>
  </w:style>
  <w:style w:type="paragraph" w:styleId="Heading6">
    <w:name w:val="heading 6"/>
    <w:basedOn w:val="Normal"/>
    <w:next w:val="Normal"/>
    <w:link w:val="Heading6Char"/>
    <w:uiPriority w:val="9"/>
    <w:semiHidden/>
    <w:unhideWhenUsed/>
    <w:qFormat/>
    <w:rsid w:val="009E5261"/>
    <w:pPr>
      <w:keepNext/>
      <w:keepLines/>
      <w:spacing w:before="40" w:after="0"/>
      <w:outlineLvl w:val="5"/>
    </w:pPr>
    <w:rPr>
      <w:rFonts w:asciiTheme="majorHAnsi" w:eastAsiaTheme="majorEastAsia" w:hAnsiTheme="majorHAnsi" w:cstheme="majorBidi"/>
      <w:i/>
      <w:iCs/>
      <w:color w:val="373545" w:themeColor="text2"/>
      <w:sz w:val="21"/>
      <w:szCs w:val="21"/>
    </w:rPr>
  </w:style>
  <w:style w:type="paragraph" w:styleId="Heading7">
    <w:name w:val="heading 7"/>
    <w:basedOn w:val="Normal"/>
    <w:next w:val="Normal"/>
    <w:link w:val="Heading7Char"/>
    <w:uiPriority w:val="9"/>
    <w:semiHidden/>
    <w:unhideWhenUsed/>
    <w:qFormat/>
    <w:rsid w:val="009E5261"/>
    <w:pPr>
      <w:keepNext/>
      <w:keepLines/>
      <w:spacing w:before="40" w:after="0"/>
      <w:outlineLvl w:val="6"/>
    </w:pPr>
    <w:rPr>
      <w:rFonts w:asciiTheme="majorHAnsi" w:eastAsiaTheme="majorEastAsia" w:hAnsiTheme="majorHAnsi" w:cstheme="majorBidi"/>
      <w:i/>
      <w:iCs/>
      <w:color w:val="1A495D" w:themeColor="accent1" w:themeShade="80"/>
      <w:sz w:val="21"/>
      <w:szCs w:val="21"/>
    </w:rPr>
  </w:style>
  <w:style w:type="paragraph" w:styleId="Heading8">
    <w:name w:val="heading 8"/>
    <w:basedOn w:val="Normal"/>
    <w:next w:val="Normal"/>
    <w:link w:val="Heading8Char"/>
    <w:uiPriority w:val="9"/>
    <w:semiHidden/>
    <w:unhideWhenUsed/>
    <w:qFormat/>
    <w:rsid w:val="009E5261"/>
    <w:pPr>
      <w:keepNext/>
      <w:keepLines/>
      <w:spacing w:before="40" w:after="0"/>
      <w:outlineLvl w:val="7"/>
    </w:pPr>
    <w:rPr>
      <w:rFonts w:asciiTheme="majorHAnsi" w:eastAsiaTheme="majorEastAsia" w:hAnsiTheme="majorHAnsi" w:cstheme="majorBidi"/>
      <w:b/>
      <w:bCs/>
      <w:color w:val="373545" w:themeColor="text2"/>
    </w:rPr>
  </w:style>
  <w:style w:type="paragraph" w:styleId="Heading9">
    <w:name w:val="heading 9"/>
    <w:basedOn w:val="Normal"/>
    <w:next w:val="Normal"/>
    <w:link w:val="Heading9Char"/>
    <w:uiPriority w:val="9"/>
    <w:semiHidden/>
    <w:unhideWhenUsed/>
    <w:qFormat/>
    <w:rsid w:val="009E5261"/>
    <w:pPr>
      <w:keepNext/>
      <w:keepLines/>
      <w:spacing w:before="40" w:after="0"/>
      <w:outlineLvl w:val="8"/>
    </w:pPr>
    <w:rPr>
      <w:rFonts w:asciiTheme="majorHAnsi" w:eastAsiaTheme="majorEastAsia" w:hAnsiTheme="majorHAnsi" w:cstheme="majorBidi"/>
      <w:b/>
      <w:bCs/>
      <w:i/>
      <w:iCs/>
      <w:color w:val="373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11"/>
    <w:rPr>
      <w:rFonts w:ascii="Segoe UI" w:hAnsi="Segoe UI" w:cs="Segoe UI"/>
      <w:sz w:val="18"/>
      <w:szCs w:val="18"/>
    </w:rPr>
  </w:style>
  <w:style w:type="character" w:styleId="CommentReference">
    <w:name w:val="annotation reference"/>
    <w:basedOn w:val="DefaultParagraphFont"/>
    <w:uiPriority w:val="99"/>
    <w:semiHidden/>
    <w:unhideWhenUsed/>
    <w:rsid w:val="00EF2011"/>
    <w:rPr>
      <w:sz w:val="16"/>
      <w:szCs w:val="16"/>
    </w:rPr>
  </w:style>
  <w:style w:type="paragraph" w:styleId="CommentText">
    <w:name w:val="annotation text"/>
    <w:basedOn w:val="Normal"/>
    <w:link w:val="CommentTextChar"/>
    <w:uiPriority w:val="99"/>
    <w:unhideWhenUsed/>
    <w:rsid w:val="00EF2011"/>
  </w:style>
  <w:style w:type="character" w:customStyle="1" w:styleId="CommentTextChar">
    <w:name w:val="Comment Text Char"/>
    <w:basedOn w:val="DefaultParagraphFont"/>
    <w:link w:val="CommentText"/>
    <w:uiPriority w:val="99"/>
    <w:rsid w:val="00EF2011"/>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EF2011"/>
    <w:rPr>
      <w:b/>
      <w:bCs/>
    </w:rPr>
  </w:style>
  <w:style w:type="character" w:customStyle="1" w:styleId="CommentSubjectChar">
    <w:name w:val="Comment Subject Char"/>
    <w:basedOn w:val="CommentTextChar"/>
    <w:link w:val="CommentSubject"/>
    <w:uiPriority w:val="99"/>
    <w:semiHidden/>
    <w:rsid w:val="00EF2011"/>
    <w:rPr>
      <w:rFonts w:asciiTheme="minorHAnsi" w:hAnsiTheme="minorHAnsi" w:cstheme="minorHAnsi"/>
      <w:b/>
      <w:bCs/>
      <w:sz w:val="20"/>
      <w:szCs w:val="20"/>
    </w:rPr>
  </w:style>
  <w:style w:type="paragraph" w:styleId="Footer">
    <w:name w:val="footer"/>
    <w:basedOn w:val="Normal"/>
    <w:link w:val="FooterChar"/>
    <w:uiPriority w:val="99"/>
    <w:unhideWhenUsed/>
    <w:rsid w:val="00EF2011"/>
    <w:pPr>
      <w:tabs>
        <w:tab w:val="center" w:pos="4513"/>
        <w:tab w:val="right" w:pos="9026"/>
      </w:tabs>
    </w:pPr>
  </w:style>
  <w:style w:type="character" w:customStyle="1" w:styleId="FooterChar">
    <w:name w:val="Footer Char"/>
    <w:basedOn w:val="DefaultParagraphFont"/>
    <w:link w:val="Footer"/>
    <w:uiPriority w:val="99"/>
    <w:rsid w:val="00EF2011"/>
    <w:rPr>
      <w:rFonts w:asciiTheme="minorHAnsi" w:hAnsiTheme="minorHAnsi" w:cstheme="minorHAnsi"/>
      <w:sz w:val="22"/>
    </w:rPr>
  </w:style>
  <w:style w:type="table" w:styleId="GridTable4-Accent1">
    <w:name w:val="Grid Table 4 Accent 1"/>
    <w:basedOn w:val="TableNormal"/>
    <w:uiPriority w:val="49"/>
    <w:rsid w:val="00EF2011"/>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Header">
    <w:name w:val="header"/>
    <w:basedOn w:val="Normal"/>
    <w:link w:val="HeaderChar"/>
    <w:uiPriority w:val="99"/>
    <w:unhideWhenUsed/>
    <w:rsid w:val="00EF2011"/>
    <w:pPr>
      <w:tabs>
        <w:tab w:val="center" w:pos="4513"/>
        <w:tab w:val="right" w:pos="9026"/>
      </w:tabs>
    </w:pPr>
  </w:style>
  <w:style w:type="character" w:customStyle="1" w:styleId="HeaderChar">
    <w:name w:val="Header Char"/>
    <w:basedOn w:val="DefaultParagraphFont"/>
    <w:link w:val="Header"/>
    <w:uiPriority w:val="99"/>
    <w:rsid w:val="00EF2011"/>
    <w:rPr>
      <w:rFonts w:asciiTheme="minorHAnsi" w:hAnsiTheme="minorHAnsi" w:cstheme="minorHAnsi"/>
      <w:sz w:val="22"/>
    </w:rPr>
  </w:style>
  <w:style w:type="character" w:customStyle="1" w:styleId="Heading1Char">
    <w:name w:val="Heading 1 Char"/>
    <w:basedOn w:val="DefaultParagraphFont"/>
    <w:link w:val="Heading1"/>
    <w:uiPriority w:val="9"/>
    <w:rsid w:val="009E5261"/>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9E526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A22695"/>
    <w:rPr>
      <w:rFonts w:asciiTheme="majorHAnsi" w:eastAsiaTheme="majorEastAsia" w:hAnsiTheme="majorHAnsi" w:cstheme="majorBidi"/>
      <w:b/>
      <w:color w:val="7FC0DB" w:themeColor="accent1" w:themeTint="99"/>
      <w:sz w:val="24"/>
      <w:szCs w:val="24"/>
    </w:rPr>
  </w:style>
  <w:style w:type="character" w:customStyle="1" w:styleId="Heading4Char">
    <w:name w:val="Heading 4 Char"/>
    <w:basedOn w:val="DefaultParagraphFont"/>
    <w:link w:val="Heading4"/>
    <w:uiPriority w:val="9"/>
    <w:rsid w:val="009E5261"/>
    <w:rPr>
      <w:rFonts w:asciiTheme="majorHAnsi" w:eastAsiaTheme="majorEastAsia" w:hAnsiTheme="majorHAnsi" w:cstheme="majorBidi"/>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EF2011"/>
    <w:pPr>
      <w:ind w:left="720"/>
      <w:contextualSpacing/>
    </w:pPr>
  </w:style>
  <w:style w:type="paragraph" w:styleId="NoSpacing">
    <w:name w:val="No Spacing"/>
    <w:uiPriority w:val="1"/>
    <w:qFormat/>
    <w:rsid w:val="009E5261"/>
    <w:pPr>
      <w:spacing w:after="0" w:line="240" w:lineRule="auto"/>
    </w:pPr>
  </w:style>
  <w:style w:type="character" w:styleId="Strong">
    <w:name w:val="Strong"/>
    <w:basedOn w:val="DefaultParagraphFont"/>
    <w:uiPriority w:val="22"/>
    <w:qFormat/>
    <w:rsid w:val="009E5261"/>
    <w:rPr>
      <w:b/>
      <w:bCs/>
    </w:rPr>
  </w:style>
  <w:style w:type="table" w:styleId="TableGrid">
    <w:name w:val="Table Grid"/>
    <w:basedOn w:val="TableNormal"/>
    <w:uiPriority w:val="59"/>
    <w:rsid w:val="00EF2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
    <w:name w:val="Security"/>
    <w:basedOn w:val="Normal"/>
    <w:link w:val="SecurityChar"/>
    <w:rsid w:val="00984496"/>
    <w:pPr>
      <w:jc w:val="center"/>
    </w:pPr>
    <w:rPr>
      <w:rFonts w:ascii="Calibri" w:eastAsia="Calibri" w:hAnsi="Calibri" w:cs="Times New Roman"/>
      <w:b/>
      <w:color w:val="4C4C4C"/>
      <w:sz w:val="32"/>
      <w:szCs w:val="32"/>
      <w:lang w:val="en-US"/>
    </w:rPr>
  </w:style>
  <w:style w:type="character" w:customStyle="1" w:styleId="SecurityChar">
    <w:name w:val="Security Char"/>
    <w:link w:val="Security"/>
    <w:rsid w:val="00984496"/>
    <w:rPr>
      <w:rFonts w:ascii="Calibri" w:eastAsia="Calibri" w:hAnsi="Calibri"/>
      <w:b/>
      <w:color w:val="4C4C4C"/>
      <w:sz w:val="32"/>
      <w:szCs w:val="32"/>
      <w:lang w:val="en-US"/>
    </w:rPr>
  </w:style>
  <w:style w:type="paragraph" w:styleId="Title">
    <w:name w:val="Title"/>
    <w:basedOn w:val="Normal"/>
    <w:next w:val="Normal"/>
    <w:link w:val="TitleChar"/>
    <w:uiPriority w:val="10"/>
    <w:qFormat/>
    <w:rsid w:val="009E5261"/>
    <w:pPr>
      <w:spacing w:after="0" w:line="240" w:lineRule="auto"/>
      <w:contextualSpacing/>
    </w:pPr>
    <w:rPr>
      <w:rFonts w:asciiTheme="majorHAnsi" w:eastAsiaTheme="majorEastAsia" w:hAnsiTheme="majorHAnsi" w:cstheme="majorBidi"/>
      <w:color w:val="3494BA" w:themeColor="accent1"/>
      <w:spacing w:val="-10"/>
      <w:sz w:val="56"/>
      <w:szCs w:val="56"/>
    </w:rPr>
  </w:style>
  <w:style w:type="character" w:customStyle="1" w:styleId="TitleChar">
    <w:name w:val="Title Char"/>
    <w:basedOn w:val="DefaultParagraphFont"/>
    <w:link w:val="Title"/>
    <w:uiPriority w:val="10"/>
    <w:rsid w:val="009E5261"/>
    <w:rPr>
      <w:rFonts w:asciiTheme="majorHAnsi" w:eastAsiaTheme="majorEastAsia" w:hAnsiTheme="majorHAnsi" w:cstheme="majorBidi"/>
      <w:color w:val="3494BA" w:themeColor="accent1"/>
      <w:spacing w:val="-10"/>
      <w:sz w:val="56"/>
      <w:szCs w:val="56"/>
    </w:rPr>
  </w:style>
  <w:style w:type="character" w:customStyle="1" w:styleId="Heading5Char">
    <w:name w:val="Heading 5 Char"/>
    <w:basedOn w:val="DefaultParagraphFont"/>
    <w:link w:val="Heading5"/>
    <w:uiPriority w:val="9"/>
    <w:rsid w:val="009E5261"/>
    <w:rPr>
      <w:rFonts w:asciiTheme="majorHAnsi" w:eastAsiaTheme="majorEastAsia" w:hAnsiTheme="majorHAnsi" w:cstheme="majorBidi"/>
      <w:color w:val="373545" w:themeColor="text2"/>
      <w:sz w:val="22"/>
      <w:szCs w:val="22"/>
    </w:rPr>
  </w:style>
  <w:style w:type="character" w:customStyle="1" w:styleId="Heading6Char">
    <w:name w:val="Heading 6 Char"/>
    <w:basedOn w:val="DefaultParagraphFont"/>
    <w:link w:val="Heading6"/>
    <w:uiPriority w:val="9"/>
    <w:semiHidden/>
    <w:rsid w:val="009E5261"/>
    <w:rPr>
      <w:rFonts w:asciiTheme="majorHAnsi" w:eastAsiaTheme="majorEastAsia" w:hAnsiTheme="majorHAnsi" w:cstheme="majorBidi"/>
      <w:i/>
      <w:iCs/>
      <w:color w:val="373545" w:themeColor="text2"/>
      <w:sz w:val="21"/>
      <w:szCs w:val="21"/>
    </w:rPr>
  </w:style>
  <w:style w:type="character" w:customStyle="1" w:styleId="Heading7Char">
    <w:name w:val="Heading 7 Char"/>
    <w:basedOn w:val="DefaultParagraphFont"/>
    <w:link w:val="Heading7"/>
    <w:uiPriority w:val="9"/>
    <w:semiHidden/>
    <w:rsid w:val="009E5261"/>
    <w:rPr>
      <w:rFonts w:asciiTheme="majorHAnsi" w:eastAsiaTheme="majorEastAsia" w:hAnsiTheme="majorHAnsi" w:cstheme="majorBidi"/>
      <w:i/>
      <w:iCs/>
      <w:color w:val="1A495D" w:themeColor="accent1" w:themeShade="80"/>
      <w:sz w:val="21"/>
      <w:szCs w:val="21"/>
    </w:rPr>
  </w:style>
  <w:style w:type="character" w:customStyle="1" w:styleId="Heading8Char">
    <w:name w:val="Heading 8 Char"/>
    <w:basedOn w:val="DefaultParagraphFont"/>
    <w:link w:val="Heading8"/>
    <w:uiPriority w:val="9"/>
    <w:semiHidden/>
    <w:rsid w:val="009E5261"/>
    <w:rPr>
      <w:rFonts w:asciiTheme="majorHAnsi" w:eastAsiaTheme="majorEastAsia" w:hAnsiTheme="majorHAnsi" w:cstheme="majorBidi"/>
      <w:b/>
      <w:bCs/>
      <w:color w:val="373545" w:themeColor="text2"/>
    </w:rPr>
  </w:style>
  <w:style w:type="character" w:customStyle="1" w:styleId="Heading9Char">
    <w:name w:val="Heading 9 Char"/>
    <w:basedOn w:val="DefaultParagraphFont"/>
    <w:link w:val="Heading9"/>
    <w:uiPriority w:val="9"/>
    <w:semiHidden/>
    <w:rsid w:val="009E5261"/>
    <w:rPr>
      <w:rFonts w:asciiTheme="majorHAnsi" w:eastAsiaTheme="majorEastAsia" w:hAnsiTheme="majorHAnsi" w:cstheme="majorBidi"/>
      <w:b/>
      <w:bCs/>
      <w:i/>
      <w:iCs/>
      <w:color w:val="373545" w:themeColor="text2"/>
    </w:rPr>
  </w:style>
  <w:style w:type="paragraph" w:styleId="Caption">
    <w:name w:val="caption"/>
    <w:basedOn w:val="Normal"/>
    <w:next w:val="Normal"/>
    <w:uiPriority w:val="35"/>
    <w:unhideWhenUsed/>
    <w:qFormat/>
    <w:rsid w:val="009E5261"/>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9E526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E5261"/>
    <w:rPr>
      <w:rFonts w:asciiTheme="majorHAnsi" w:eastAsiaTheme="majorEastAsia" w:hAnsiTheme="majorHAnsi" w:cstheme="majorBidi"/>
      <w:sz w:val="24"/>
      <w:szCs w:val="24"/>
    </w:rPr>
  </w:style>
  <w:style w:type="character" w:styleId="Emphasis">
    <w:name w:val="Emphasis"/>
    <w:basedOn w:val="DefaultParagraphFont"/>
    <w:uiPriority w:val="20"/>
    <w:qFormat/>
    <w:rsid w:val="009E5261"/>
    <w:rPr>
      <w:i/>
      <w:iCs/>
    </w:rPr>
  </w:style>
  <w:style w:type="paragraph" w:styleId="Quote">
    <w:name w:val="Quote"/>
    <w:basedOn w:val="Normal"/>
    <w:next w:val="Normal"/>
    <w:link w:val="QuoteChar"/>
    <w:uiPriority w:val="29"/>
    <w:qFormat/>
    <w:rsid w:val="009E526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E5261"/>
    <w:rPr>
      <w:i/>
      <w:iCs/>
      <w:color w:val="404040" w:themeColor="text1" w:themeTint="BF"/>
    </w:rPr>
  </w:style>
  <w:style w:type="paragraph" w:styleId="IntenseQuote">
    <w:name w:val="Intense Quote"/>
    <w:basedOn w:val="Normal"/>
    <w:next w:val="Normal"/>
    <w:link w:val="IntenseQuoteChar"/>
    <w:uiPriority w:val="30"/>
    <w:qFormat/>
    <w:rsid w:val="009E5261"/>
    <w:pPr>
      <w:pBdr>
        <w:left w:val="single" w:sz="18" w:space="12" w:color="3494BA" w:themeColor="accent1"/>
      </w:pBdr>
      <w:spacing w:before="100" w:beforeAutospacing="1" w:line="300" w:lineRule="auto"/>
      <w:ind w:left="1224" w:right="1224"/>
    </w:pPr>
    <w:rPr>
      <w:rFonts w:asciiTheme="majorHAnsi" w:eastAsiaTheme="majorEastAsia" w:hAnsiTheme="majorHAnsi" w:cstheme="majorBidi"/>
      <w:color w:val="3494BA" w:themeColor="accent1"/>
      <w:sz w:val="28"/>
      <w:szCs w:val="28"/>
    </w:rPr>
  </w:style>
  <w:style w:type="character" w:customStyle="1" w:styleId="IntenseQuoteChar">
    <w:name w:val="Intense Quote Char"/>
    <w:basedOn w:val="DefaultParagraphFont"/>
    <w:link w:val="IntenseQuote"/>
    <w:uiPriority w:val="30"/>
    <w:rsid w:val="009E5261"/>
    <w:rPr>
      <w:rFonts w:asciiTheme="majorHAnsi" w:eastAsiaTheme="majorEastAsia" w:hAnsiTheme="majorHAnsi" w:cstheme="majorBidi"/>
      <w:color w:val="3494BA" w:themeColor="accent1"/>
      <w:sz w:val="28"/>
      <w:szCs w:val="28"/>
    </w:rPr>
  </w:style>
  <w:style w:type="character" w:styleId="SubtleEmphasis">
    <w:name w:val="Subtle Emphasis"/>
    <w:basedOn w:val="DefaultParagraphFont"/>
    <w:uiPriority w:val="19"/>
    <w:qFormat/>
    <w:rsid w:val="009E5261"/>
    <w:rPr>
      <w:i/>
      <w:iCs/>
      <w:color w:val="404040" w:themeColor="text1" w:themeTint="BF"/>
    </w:rPr>
  </w:style>
  <w:style w:type="character" w:styleId="IntenseEmphasis">
    <w:name w:val="Intense Emphasis"/>
    <w:basedOn w:val="DefaultParagraphFont"/>
    <w:uiPriority w:val="21"/>
    <w:qFormat/>
    <w:rsid w:val="009E5261"/>
    <w:rPr>
      <w:b/>
      <w:bCs/>
      <w:i/>
      <w:iCs/>
    </w:rPr>
  </w:style>
  <w:style w:type="character" w:styleId="SubtleReference">
    <w:name w:val="Subtle Reference"/>
    <w:basedOn w:val="DefaultParagraphFont"/>
    <w:uiPriority w:val="31"/>
    <w:qFormat/>
    <w:rsid w:val="009E526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E5261"/>
    <w:rPr>
      <w:b/>
      <w:bCs/>
      <w:smallCaps/>
      <w:spacing w:val="5"/>
      <w:u w:val="single"/>
    </w:rPr>
  </w:style>
  <w:style w:type="character" w:styleId="BookTitle">
    <w:name w:val="Book Title"/>
    <w:basedOn w:val="DefaultParagraphFont"/>
    <w:uiPriority w:val="33"/>
    <w:qFormat/>
    <w:rsid w:val="009E5261"/>
    <w:rPr>
      <w:b/>
      <w:bCs/>
      <w:smallCaps/>
    </w:rPr>
  </w:style>
  <w:style w:type="paragraph" w:styleId="TOCHeading">
    <w:name w:val="TOC Heading"/>
    <w:basedOn w:val="Heading1"/>
    <w:next w:val="Normal"/>
    <w:uiPriority w:val="39"/>
    <w:semiHidden/>
    <w:unhideWhenUsed/>
    <w:qFormat/>
    <w:rsid w:val="009E5261"/>
    <w:pPr>
      <w:outlineLvl w:val="9"/>
    </w:pPr>
  </w:style>
  <w:style w:type="character" w:styleId="Hyperlink">
    <w:name w:val="Hyperlink"/>
    <w:aliases w:val="Hyperlink Cab"/>
    <w:basedOn w:val="DefaultParagraphFont"/>
    <w:uiPriority w:val="99"/>
    <w:unhideWhenUsed/>
    <w:rsid w:val="009E5261"/>
    <w:rPr>
      <w:color w:val="6B9F25" w:themeColor="hyperlink"/>
      <w:u w:val="singl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228DB"/>
  </w:style>
  <w:style w:type="character" w:styleId="FollowedHyperlink">
    <w:name w:val="FollowedHyperlink"/>
    <w:basedOn w:val="DefaultParagraphFont"/>
    <w:uiPriority w:val="99"/>
    <w:semiHidden/>
    <w:unhideWhenUsed/>
    <w:rsid w:val="002E1D83"/>
    <w:rPr>
      <w:color w:val="9F6715" w:themeColor="followedHyperlink"/>
      <w:u w:val="single"/>
    </w:rPr>
  </w:style>
  <w:style w:type="paragraph" w:styleId="BodyText">
    <w:name w:val="Body Text"/>
    <w:basedOn w:val="Normal"/>
    <w:link w:val="BodyTextChar"/>
    <w:uiPriority w:val="99"/>
    <w:rsid w:val="00C621E5"/>
    <w:pPr>
      <w:suppressAutoHyphens/>
      <w:autoSpaceDE w:val="0"/>
      <w:autoSpaceDN w:val="0"/>
      <w:adjustRightInd w:val="0"/>
      <w:spacing w:before="57" w:after="68" w:line="260" w:lineRule="atLeast"/>
      <w:textAlignment w:val="center"/>
    </w:pPr>
    <w:rPr>
      <w:rFonts w:ascii="Helvetica" w:hAnsi="Helvetica" w:cs="Helvetica"/>
      <w:color w:val="000000"/>
      <w:lang w:val="en-US"/>
    </w:rPr>
  </w:style>
  <w:style w:type="character" w:customStyle="1" w:styleId="BodyTextChar">
    <w:name w:val="Body Text Char"/>
    <w:basedOn w:val="DefaultParagraphFont"/>
    <w:link w:val="BodyText"/>
    <w:uiPriority w:val="99"/>
    <w:rsid w:val="00C621E5"/>
    <w:rPr>
      <w:rFonts w:ascii="Helvetica" w:hAnsi="Helvetica" w:cs="Helvetica"/>
      <w:color w:val="000000"/>
      <w:lang w:val="en-US"/>
    </w:rPr>
  </w:style>
  <w:style w:type="paragraph" w:customStyle="1" w:styleId="Bulletpoint-">
    <w:name w:val="Bullet point-"/>
    <w:basedOn w:val="BodyText"/>
    <w:uiPriority w:val="99"/>
    <w:rsid w:val="00C621E5"/>
    <w:pPr>
      <w:tabs>
        <w:tab w:val="left" w:pos="320"/>
      </w:tabs>
      <w:spacing w:after="57"/>
      <w:ind w:left="601" w:hanging="300"/>
    </w:pPr>
  </w:style>
  <w:style w:type="character" w:customStyle="1" w:styleId="bold">
    <w:name w:val="bold"/>
    <w:uiPriority w:val="99"/>
    <w:rsid w:val="00C621E5"/>
    <w:rPr>
      <w:rFonts w:ascii="Helvetica Neue" w:hAnsi="Helvetica Neue" w:cs="Helvetica Neue"/>
      <w:b/>
      <w:bCs/>
      <w:spacing w:val="0"/>
      <w:sz w:val="20"/>
      <w:szCs w:val="20"/>
    </w:rPr>
  </w:style>
  <w:style w:type="paragraph" w:customStyle="1" w:styleId="Default">
    <w:name w:val="Default"/>
    <w:rsid w:val="0093213E"/>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254470"/>
    <w:rPr>
      <w:vertAlign w:val="superscript"/>
    </w:rPr>
  </w:style>
  <w:style w:type="paragraph" w:styleId="FootnoteText">
    <w:name w:val="footnote text"/>
    <w:basedOn w:val="Normal"/>
    <w:link w:val="FootnoteTextChar"/>
    <w:uiPriority w:val="99"/>
    <w:semiHidden/>
    <w:unhideWhenUsed/>
    <w:rsid w:val="00D24739"/>
    <w:pPr>
      <w:spacing w:after="0" w:line="240" w:lineRule="auto"/>
    </w:pPr>
    <w:rPr>
      <w:rFonts w:ascii="Arial" w:eastAsiaTheme="minorHAnsi" w:hAnsi="Arial"/>
      <w:sz w:val="20"/>
    </w:rPr>
  </w:style>
  <w:style w:type="character" w:customStyle="1" w:styleId="FootnoteTextChar">
    <w:name w:val="Footnote Text Char"/>
    <w:basedOn w:val="DefaultParagraphFont"/>
    <w:link w:val="FootnoteText"/>
    <w:uiPriority w:val="99"/>
    <w:semiHidden/>
    <w:rsid w:val="00D24739"/>
    <w:rPr>
      <w:rFonts w:ascii="Arial" w:eastAsiaTheme="minorHAnsi" w:hAnsi="Arial"/>
    </w:rPr>
  </w:style>
  <w:style w:type="paragraph" w:styleId="Revision">
    <w:name w:val="Revision"/>
    <w:hidden/>
    <w:uiPriority w:val="99"/>
    <w:semiHidden/>
    <w:rsid w:val="00E92B55"/>
    <w:pPr>
      <w:spacing w:after="0" w:line="240" w:lineRule="auto"/>
    </w:pPr>
    <w:rPr>
      <w:sz w:val="22"/>
    </w:rPr>
  </w:style>
  <w:style w:type="paragraph" w:customStyle="1" w:styleId="null">
    <w:name w:val="null"/>
    <w:basedOn w:val="Normal"/>
    <w:rsid w:val="006819C2"/>
    <w:pPr>
      <w:spacing w:before="100" w:beforeAutospacing="1" w:after="100" w:afterAutospacing="1" w:line="240" w:lineRule="auto"/>
    </w:pPr>
    <w:rPr>
      <w:rFonts w:ascii="Times New Roman" w:eastAsiaTheme="minorHAnsi" w:hAnsi="Times New Roman" w:cs="Times New Roman"/>
      <w:sz w:val="24"/>
      <w:szCs w:val="24"/>
      <w:lang w:eastAsia="en-AU"/>
    </w:rPr>
  </w:style>
  <w:style w:type="character" w:customStyle="1" w:styleId="null1">
    <w:name w:val="null1"/>
    <w:basedOn w:val="DefaultParagraphFont"/>
    <w:rsid w:val="0068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news/covid-19-vaccination-policy-endorsement" TargetMode="External"/><Relationship Id="rId13" Type="http://schemas.openxmlformats.org/officeDocument/2006/relationships/hyperlink" Target="http://www.health.gov.au/covid-19-vacc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sites/default/files/nat-immun-education-framework-health-profes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gov.au/acsc/view-all-content/is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lth.gov.au/resources/publications/national-vaccine-storage-guidelines-strive-for-5" TargetMode="External"/><Relationship Id="rId4" Type="http://schemas.openxmlformats.org/officeDocument/2006/relationships/settings" Target="settings.xml"/><Relationship Id="rId9" Type="http://schemas.openxmlformats.org/officeDocument/2006/relationships/hyperlink" Target="https://www.health.gov.au/news/australias-covid-19-vaccine-national-rollout-strateg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User%20templates\Esa%20-%20Normal.dotm"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BEE47-6C07-40F7-818B-ABDFC7B2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 Normal.dotm</Template>
  <TotalTime>0</TotalTime>
  <Pages>9</Pages>
  <Words>3797</Words>
  <Characters>21643</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Nancy</dc:creator>
  <cp:keywords/>
  <dc:description/>
  <cp:lastModifiedBy>HUNT, Tessa</cp:lastModifiedBy>
  <cp:revision>2</cp:revision>
  <cp:lastPrinted>2020-12-22T00:36:00Z</cp:lastPrinted>
  <dcterms:created xsi:type="dcterms:W3CDTF">2021-02-23T00:36:00Z</dcterms:created>
  <dcterms:modified xsi:type="dcterms:W3CDTF">2021-02-23T00:36:00Z</dcterms:modified>
</cp:coreProperties>
</file>