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75E034D" w14:textId="13A3CEA5" w:rsidR="00FC5BEB" w:rsidRPr="002E448B" w:rsidRDefault="00FC5BEB" w:rsidP="009A31FC">
      <w:pPr>
        <w:pStyle w:val="covTitle"/>
        <w:spacing w:before="120"/>
        <w:ind w:left="0" w:firstLine="397"/>
        <w:rPr>
          <w:rFonts w:asciiTheme="majorHAnsi" w:hAnsiTheme="majorHAnsi" w:cstheme="majorHAnsi"/>
        </w:rPr>
      </w:pPr>
    </w:p>
    <w:p w14:paraId="6CB18B4B" w14:textId="77777777" w:rsidR="00FC5BEB" w:rsidRPr="002E448B" w:rsidRDefault="00FC5BEB" w:rsidP="009A31FC">
      <w:pPr>
        <w:pStyle w:val="covTitle"/>
        <w:spacing w:before="120"/>
        <w:ind w:left="0" w:firstLine="397"/>
        <w:rPr>
          <w:rFonts w:asciiTheme="majorHAnsi" w:hAnsiTheme="majorHAnsi" w:cstheme="majorHAnsi"/>
        </w:rPr>
      </w:pPr>
    </w:p>
    <w:p w14:paraId="7239B2DB" w14:textId="77777777" w:rsidR="00FC5BEB" w:rsidRPr="002E448B" w:rsidRDefault="00FC5BEB" w:rsidP="009A31FC">
      <w:pPr>
        <w:pStyle w:val="covTitle"/>
        <w:spacing w:before="120"/>
        <w:ind w:left="0" w:firstLine="397"/>
        <w:rPr>
          <w:rFonts w:asciiTheme="majorHAnsi" w:hAnsiTheme="majorHAnsi" w:cstheme="majorHAnsi"/>
        </w:rPr>
      </w:pPr>
    </w:p>
    <w:p w14:paraId="2A8F6A14" w14:textId="77777777" w:rsidR="007A2E76" w:rsidRPr="002E448B" w:rsidRDefault="007A2E76" w:rsidP="00FC5BEB">
      <w:pPr>
        <w:pStyle w:val="covTitle"/>
        <w:spacing w:before="120" w:line="480" w:lineRule="auto"/>
        <w:ind w:left="0" w:firstLine="397"/>
        <w:rPr>
          <w:rFonts w:asciiTheme="majorHAnsi" w:hAnsiTheme="majorHAnsi" w:cstheme="majorHAnsi"/>
        </w:rPr>
      </w:pPr>
    </w:p>
    <w:p w14:paraId="5AE5581B" w14:textId="77777777" w:rsidR="007A2E76" w:rsidRPr="002E448B" w:rsidRDefault="007A2E76" w:rsidP="00FC5BEB">
      <w:pPr>
        <w:pStyle w:val="covTitle"/>
        <w:spacing w:before="120" w:line="480" w:lineRule="auto"/>
        <w:ind w:left="0" w:firstLine="397"/>
        <w:rPr>
          <w:rFonts w:asciiTheme="majorHAnsi" w:hAnsiTheme="majorHAnsi" w:cstheme="majorHAnsi"/>
        </w:rPr>
      </w:pPr>
    </w:p>
    <w:p w14:paraId="2B71F1A8" w14:textId="77777777" w:rsidR="00406E79" w:rsidRPr="002E448B" w:rsidRDefault="00406E79" w:rsidP="00406E79">
      <w:pPr>
        <w:pStyle w:val="covBodyText"/>
        <w:rPr>
          <w:rFonts w:asciiTheme="majorHAnsi" w:hAnsiTheme="majorHAnsi" w:cstheme="majorHAnsi"/>
        </w:rPr>
      </w:pPr>
    </w:p>
    <w:p w14:paraId="23299305" w14:textId="77777777" w:rsidR="00CD1FAA" w:rsidRPr="002E448B" w:rsidRDefault="005917F9" w:rsidP="00941D46">
      <w:pPr>
        <w:pStyle w:val="covTitle"/>
        <w:spacing w:before="120" w:after="240" w:line="360" w:lineRule="auto"/>
        <w:ind w:left="-284"/>
        <w:rPr>
          <w:rFonts w:asciiTheme="majorHAnsi" w:hAnsiTheme="majorHAnsi" w:cstheme="majorHAnsi"/>
          <w:sz w:val="52"/>
          <w:szCs w:val="52"/>
        </w:rPr>
      </w:pPr>
      <w:r w:rsidRPr="002E448B">
        <w:rPr>
          <w:rFonts w:asciiTheme="majorHAnsi" w:hAnsiTheme="majorHAnsi" w:cstheme="majorHAnsi"/>
          <w:sz w:val="52"/>
          <w:szCs w:val="52"/>
        </w:rPr>
        <w:t>Department of Health</w:t>
      </w:r>
    </w:p>
    <w:p w14:paraId="0CF9E5FC" w14:textId="4652E461" w:rsidR="00BB0099" w:rsidRPr="002E448B" w:rsidRDefault="00D94EFD" w:rsidP="00941D46">
      <w:pPr>
        <w:pStyle w:val="covBodyText"/>
        <w:ind w:left="-284"/>
        <w:rPr>
          <w:rFonts w:asciiTheme="majorHAnsi" w:hAnsiTheme="majorHAnsi" w:cstheme="majorHAnsi"/>
        </w:rPr>
      </w:pPr>
      <w:r w:rsidRPr="002E448B">
        <w:rPr>
          <w:rFonts w:asciiTheme="majorHAnsi" w:hAnsiTheme="majorHAnsi" w:cstheme="majorHAnsi"/>
          <w:b/>
          <w:sz w:val="44"/>
        </w:rPr>
        <w:t xml:space="preserve">PHASE 1A OF </w:t>
      </w:r>
      <w:r w:rsidR="00DF33EF" w:rsidRPr="002E448B">
        <w:rPr>
          <w:rFonts w:asciiTheme="majorHAnsi" w:hAnsiTheme="majorHAnsi" w:cstheme="majorHAnsi"/>
          <w:b/>
          <w:sz w:val="44"/>
        </w:rPr>
        <w:t>THE COVID-19 VACCINE STRATEGY</w:t>
      </w:r>
      <w:bookmarkStart w:id="0" w:name="_GoBack"/>
      <w:bookmarkEnd w:id="0"/>
      <w:r w:rsidR="00DA6C7F" w:rsidRPr="002E448B">
        <w:rPr>
          <w:rFonts w:asciiTheme="majorHAnsi" w:hAnsiTheme="majorHAnsi" w:cstheme="majorHAnsi"/>
          <w:b/>
          <w:sz w:val="44"/>
        </w:rPr>
        <w:br/>
      </w:r>
    </w:p>
    <w:p w14:paraId="69F8ACBE" w14:textId="6C56B784" w:rsidR="00406E79" w:rsidRPr="002E448B" w:rsidRDefault="00BE352E" w:rsidP="00941D46">
      <w:pPr>
        <w:pStyle w:val="covBodyText"/>
        <w:spacing w:line="480" w:lineRule="auto"/>
        <w:ind w:left="-284"/>
        <w:rPr>
          <w:rFonts w:asciiTheme="majorHAnsi" w:hAnsiTheme="majorHAnsi" w:cstheme="majorHAnsi"/>
          <w:b/>
          <w:sz w:val="32"/>
          <w:szCs w:val="16"/>
        </w:rPr>
      </w:pPr>
      <w:r w:rsidRPr="002E448B">
        <w:rPr>
          <w:rFonts w:asciiTheme="majorHAnsi" w:hAnsiTheme="majorHAnsi" w:cstheme="majorHAnsi"/>
          <w:b/>
          <w:sz w:val="32"/>
          <w:szCs w:val="16"/>
        </w:rPr>
        <w:t xml:space="preserve">Summary </w:t>
      </w:r>
      <w:r w:rsidR="00066BF4" w:rsidRPr="002E448B">
        <w:rPr>
          <w:rFonts w:asciiTheme="majorHAnsi" w:hAnsiTheme="majorHAnsi" w:cstheme="majorHAnsi"/>
          <w:b/>
          <w:sz w:val="32"/>
          <w:szCs w:val="16"/>
        </w:rPr>
        <w:t xml:space="preserve">Document: </w:t>
      </w:r>
      <w:r w:rsidR="00BB0099" w:rsidRPr="002E448B">
        <w:rPr>
          <w:rFonts w:asciiTheme="majorHAnsi" w:hAnsiTheme="majorHAnsi" w:cstheme="majorHAnsi"/>
          <w:b/>
          <w:sz w:val="32"/>
          <w:szCs w:val="16"/>
        </w:rPr>
        <w:t>Privacy Impact Assessment</w:t>
      </w:r>
      <w:r w:rsidRPr="002E448B">
        <w:rPr>
          <w:rFonts w:asciiTheme="majorHAnsi" w:hAnsiTheme="majorHAnsi" w:cstheme="majorHAnsi"/>
          <w:b/>
          <w:sz w:val="32"/>
          <w:szCs w:val="16"/>
        </w:rPr>
        <w:t xml:space="preserve"> Report</w:t>
      </w:r>
    </w:p>
    <w:p w14:paraId="3BEAF6B2" w14:textId="452A93C6" w:rsidR="00A3792E" w:rsidRPr="002E448B" w:rsidRDefault="0014124D" w:rsidP="00941D46">
      <w:pPr>
        <w:pStyle w:val="CoverDateWhite"/>
        <w:ind w:left="-284"/>
        <w:rPr>
          <w:rFonts w:asciiTheme="majorHAnsi" w:hAnsiTheme="majorHAnsi" w:cstheme="majorHAnsi"/>
          <w:color w:val="auto"/>
          <w:sz w:val="28"/>
        </w:rPr>
      </w:pPr>
      <w:r w:rsidRPr="002E448B">
        <w:rPr>
          <w:rFonts w:asciiTheme="majorHAnsi" w:hAnsiTheme="majorHAnsi" w:cstheme="majorHAnsi"/>
          <w:i/>
          <w:iCs/>
          <w:color w:val="auto"/>
          <w:sz w:val="28"/>
        </w:rPr>
        <w:t xml:space="preserve">February </w:t>
      </w:r>
      <w:r w:rsidR="00406E79" w:rsidRPr="002E448B">
        <w:rPr>
          <w:rFonts w:asciiTheme="majorHAnsi" w:hAnsiTheme="majorHAnsi" w:cstheme="majorHAnsi"/>
          <w:i/>
          <w:iCs/>
          <w:color w:val="auto"/>
          <w:sz w:val="28"/>
        </w:rPr>
        <w:t xml:space="preserve">2021 </w:t>
      </w:r>
    </w:p>
    <w:p w14:paraId="4006F07E" w14:textId="77777777" w:rsidR="00352B4B" w:rsidRPr="002E448B" w:rsidRDefault="00352B4B" w:rsidP="00A3792E">
      <w:pPr>
        <w:pStyle w:val="CoverDateWhite"/>
        <w:spacing w:after="0"/>
        <w:ind w:left="426"/>
        <w:rPr>
          <w:rFonts w:asciiTheme="majorHAnsi" w:hAnsiTheme="majorHAnsi" w:cstheme="majorHAnsi"/>
          <w:color w:val="auto"/>
          <w:sz w:val="20"/>
        </w:rPr>
      </w:pPr>
    </w:p>
    <w:p w14:paraId="1F3261AB" w14:textId="01F43107" w:rsidR="00F83E48" w:rsidRPr="002E448B" w:rsidRDefault="00FC5BEB" w:rsidP="007218AD">
      <w:pPr>
        <w:pStyle w:val="mainTitle"/>
        <w:ind w:left="1702" w:hanging="1702"/>
        <w:rPr>
          <w:rFonts w:asciiTheme="majorHAnsi" w:hAnsiTheme="majorHAnsi" w:cstheme="majorHAnsi"/>
        </w:rPr>
      </w:pPr>
      <w:r w:rsidRPr="002E448B">
        <w:rPr>
          <w:rFonts w:asciiTheme="majorHAnsi" w:hAnsiTheme="majorHAnsi" w:cstheme="majorHAnsi"/>
        </w:rPr>
        <w:br w:type="page"/>
      </w:r>
    </w:p>
    <w:p w14:paraId="16B5ED06" w14:textId="77777777" w:rsidR="00140B67" w:rsidRPr="008D352E" w:rsidRDefault="00140B67" w:rsidP="00DC3BC8">
      <w:pPr>
        <w:spacing w:before="160" w:after="160"/>
        <w:rPr>
          <w:rFonts w:asciiTheme="majorHAnsi" w:hAnsiTheme="majorHAnsi" w:cstheme="majorHAnsi"/>
          <w:b/>
          <w:bCs/>
          <w:sz w:val="26"/>
          <w:szCs w:val="26"/>
        </w:rPr>
      </w:pPr>
      <w:bookmarkStart w:id="1" w:name="_Toc64461736"/>
      <w:r w:rsidRPr="008D352E">
        <w:rPr>
          <w:rFonts w:asciiTheme="majorHAnsi" w:hAnsiTheme="majorHAnsi" w:cstheme="majorHAnsi"/>
          <w:b/>
          <w:bCs/>
          <w:sz w:val="26"/>
          <w:szCs w:val="26"/>
        </w:rPr>
        <w:lastRenderedPageBreak/>
        <w:t>Introduction to this Summary Document</w:t>
      </w:r>
      <w:bookmarkEnd w:id="1"/>
      <w:r w:rsidRPr="008D352E">
        <w:rPr>
          <w:rFonts w:asciiTheme="majorHAnsi" w:hAnsiTheme="majorHAnsi" w:cstheme="majorHAnsi"/>
          <w:b/>
          <w:bCs/>
          <w:sz w:val="26"/>
          <w:szCs w:val="26"/>
        </w:rPr>
        <w:t xml:space="preserve">  </w:t>
      </w:r>
    </w:p>
    <w:p w14:paraId="32C7F951" w14:textId="77777777" w:rsidR="008D352E" w:rsidRDefault="008D352E" w:rsidP="00DC3BC8">
      <w:pPr>
        <w:spacing w:before="160" w:after="160"/>
        <w:rPr>
          <w:rFonts w:asciiTheme="majorHAnsi" w:hAnsiTheme="majorHAnsi" w:cstheme="majorHAnsi"/>
        </w:rPr>
      </w:pPr>
    </w:p>
    <w:p w14:paraId="5C52C90F" w14:textId="0D73E940" w:rsidR="00140B67" w:rsidRPr="002E448B" w:rsidRDefault="00140B67" w:rsidP="00DC3BC8">
      <w:pPr>
        <w:spacing w:before="160" w:after="160"/>
        <w:rPr>
          <w:rFonts w:asciiTheme="majorHAnsi" w:hAnsiTheme="majorHAnsi" w:cstheme="majorHAnsi"/>
        </w:rPr>
      </w:pPr>
      <w:r w:rsidRPr="002E448B">
        <w:rPr>
          <w:rFonts w:asciiTheme="majorHAnsi" w:hAnsiTheme="majorHAnsi" w:cstheme="majorHAnsi"/>
        </w:rPr>
        <w:t>The Commonwealth Department of Health (Health) is responsible for administration of the Australian Government’s COVID-19 Vaccine and Treatment Strategy and Phase 1a of the COVID-19 Vaccine National Roll-out Strategy (the Vaccine Strategy).</w:t>
      </w:r>
    </w:p>
    <w:p w14:paraId="6EF82208" w14:textId="77777777" w:rsidR="00140B67" w:rsidRPr="002E448B" w:rsidRDefault="00140B67" w:rsidP="00DC3BC8">
      <w:pPr>
        <w:spacing w:before="160" w:after="160"/>
        <w:rPr>
          <w:rFonts w:asciiTheme="majorHAnsi" w:hAnsiTheme="majorHAnsi" w:cstheme="majorHAnsi"/>
        </w:rPr>
      </w:pPr>
      <w:r w:rsidRPr="002E448B">
        <w:rPr>
          <w:rFonts w:asciiTheme="majorHAnsi" w:hAnsiTheme="majorHAnsi" w:cstheme="majorHAnsi"/>
        </w:rPr>
        <w:t>Health recognises the critical importance of ensuring that the Vaccine Strategy is supported by robust and enforceable privacy protections, to ensure that Australians can have trust and confidence in the handling of their personal information when they choose to receive a COVID-19 vaccine.</w:t>
      </w:r>
    </w:p>
    <w:p w14:paraId="403E8817" w14:textId="2719E6B8" w:rsidR="00140B67" w:rsidRPr="002E448B" w:rsidRDefault="00140B67" w:rsidP="00DC3BC8">
      <w:pPr>
        <w:spacing w:before="160" w:after="160"/>
        <w:rPr>
          <w:rFonts w:asciiTheme="majorHAnsi" w:hAnsiTheme="majorHAnsi" w:cstheme="majorHAnsi"/>
        </w:rPr>
      </w:pPr>
      <w:r w:rsidRPr="002E448B">
        <w:rPr>
          <w:rFonts w:asciiTheme="majorHAnsi" w:hAnsiTheme="majorHAnsi" w:cstheme="majorHAnsi"/>
        </w:rPr>
        <w:t xml:space="preserve">Accordingly, Health engaged law firm </w:t>
      </w:r>
      <w:proofErr w:type="spellStart"/>
      <w:r w:rsidRPr="002E448B">
        <w:rPr>
          <w:rFonts w:asciiTheme="majorHAnsi" w:hAnsiTheme="majorHAnsi" w:cstheme="majorHAnsi"/>
        </w:rPr>
        <w:t>Maddocks</w:t>
      </w:r>
      <w:proofErr w:type="spellEnd"/>
      <w:r w:rsidRPr="002E448B">
        <w:rPr>
          <w:rFonts w:asciiTheme="majorHAnsi" w:hAnsiTheme="majorHAnsi" w:cstheme="majorHAnsi"/>
        </w:rPr>
        <w:t xml:space="preserve"> to undertake a privacy impact assessment (PIA) in relation to the implementation of the Vaccine Strategy, to ensure that Health would be </w:t>
      </w:r>
      <w:r w:rsidR="008D352E">
        <w:rPr>
          <w:rFonts w:asciiTheme="majorHAnsi" w:hAnsiTheme="majorHAnsi" w:cstheme="majorHAnsi"/>
        </w:rPr>
        <w:t xml:space="preserve">properly </w:t>
      </w:r>
      <w:r w:rsidRPr="002E448B">
        <w:rPr>
          <w:rFonts w:asciiTheme="majorHAnsi" w:hAnsiTheme="majorHAnsi" w:cstheme="majorHAnsi"/>
        </w:rPr>
        <w:t xml:space="preserve">advised about the relevant privacy risks, and provided with any additional mitigation strategies needed to minimise the privacy impacts for individuals. </w:t>
      </w:r>
    </w:p>
    <w:p w14:paraId="39F7A582" w14:textId="0772479B" w:rsidR="00140B67" w:rsidRPr="002E448B" w:rsidRDefault="00140B67" w:rsidP="00DC3BC8">
      <w:pPr>
        <w:spacing w:before="160" w:after="160"/>
        <w:rPr>
          <w:rFonts w:asciiTheme="majorHAnsi" w:hAnsiTheme="majorHAnsi" w:cstheme="majorHAnsi"/>
        </w:rPr>
      </w:pPr>
      <w:r w:rsidRPr="002E448B">
        <w:rPr>
          <w:rFonts w:asciiTheme="majorHAnsi" w:hAnsiTheme="majorHAnsi" w:cstheme="majorHAnsi"/>
        </w:rPr>
        <w:t xml:space="preserve">Health </w:t>
      </w:r>
      <w:r w:rsidR="00592DB2" w:rsidRPr="002E448B">
        <w:rPr>
          <w:rFonts w:asciiTheme="majorHAnsi" w:hAnsiTheme="majorHAnsi" w:cstheme="majorHAnsi"/>
        </w:rPr>
        <w:t>participated</w:t>
      </w:r>
      <w:r w:rsidRPr="002E448B">
        <w:rPr>
          <w:rFonts w:asciiTheme="majorHAnsi" w:hAnsiTheme="majorHAnsi" w:cstheme="majorHAnsi"/>
        </w:rPr>
        <w:t xml:space="preserve"> in the PIA process undertaken by </w:t>
      </w:r>
      <w:proofErr w:type="spellStart"/>
      <w:r w:rsidRPr="002E448B">
        <w:rPr>
          <w:rFonts w:asciiTheme="majorHAnsi" w:hAnsiTheme="majorHAnsi" w:cstheme="majorHAnsi"/>
        </w:rPr>
        <w:t>Maddocks</w:t>
      </w:r>
      <w:proofErr w:type="spellEnd"/>
      <w:r w:rsidRPr="002E448B">
        <w:rPr>
          <w:rFonts w:asciiTheme="majorHAnsi" w:hAnsiTheme="majorHAnsi" w:cstheme="majorHAnsi"/>
        </w:rPr>
        <w:t xml:space="preserve">, and other stakeholders were also </w:t>
      </w:r>
      <w:r w:rsidR="008D352E">
        <w:rPr>
          <w:rFonts w:asciiTheme="majorHAnsi" w:hAnsiTheme="majorHAnsi" w:cstheme="majorHAnsi"/>
        </w:rPr>
        <w:t>involved in the consultation process</w:t>
      </w:r>
      <w:r w:rsidRPr="002E448B">
        <w:rPr>
          <w:rFonts w:asciiTheme="majorHAnsi" w:hAnsiTheme="majorHAnsi" w:cstheme="majorHAnsi"/>
        </w:rPr>
        <w:t>, including the Office of the Australian Information Commissioner</w:t>
      </w:r>
      <w:r w:rsidR="008D352E">
        <w:rPr>
          <w:rFonts w:asciiTheme="majorHAnsi" w:hAnsiTheme="majorHAnsi" w:cstheme="majorHAnsi"/>
        </w:rPr>
        <w:t>.</w:t>
      </w:r>
      <w:r w:rsidRPr="002E448B">
        <w:rPr>
          <w:rFonts w:asciiTheme="majorHAnsi" w:hAnsiTheme="majorHAnsi" w:cstheme="majorHAnsi"/>
        </w:rPr>
        <w:t xml:space="preserve"> </w:t>
      </w:r>
    </w:p>
    <w:p w14:paraId="6C954D2E" w14:textId="77777777" w:rsidR="00140B67" w:rsidRPr="002E448B" w:rsidRDefault="00140B67" w:rsidP="00DC3BC8">
      <w:pPr>
        <w:spacing w:before="160" w:after="160"/>
        <w:rPr>
          <w:rFonts w:asciiTheme="majorHAnsi" w:hAnsiTheme="majorHAnsi" w:cstheme="majorHAnsi"/>
        </w:rPr>
      </w:pPr>
      <w:r w:rsidRPr="002E448B">
        <w:rPr>
          <w:rFonts w:asciiTheme="majorHAnsi" w:hAnsiTheme="majorHAnsi" w:cstheme="majorHAnsi"/>
        </w:rPr>
        <w:t xml:space="preserve">The PIA process culminated in </w:t>
      </w:r>
      <w:proofErr w:type="spellStart"/>
      <w:r w:rsidRPr="002E448B">
        <w:rPr>
          <w:rFonts w:asciiTheme="majorHAnsi" w:hAnsiTheme="majorHAnsi" w:cstheme="majorHAnsi"/>
        </w:rPr>
        <w:t>Maddocks</w:t>
      </w:r>
      <w:proofErr w:type="spellEnd"/>
      <w:r w:rsidRPr="002E448B">
        <w:rPr>
          <w:rFonts w:asciiTheme="majorHAnsi" w:hAnsiTheme="majorHAnsi" w:cstheme="majorHAnsi"/>
        </w:rPr>
        <w:t xml:space="preserve"> preparing a PIA report containing its findings and recommendations, supported by detailed analysis of its reasoning for those findings and recommendations.</w:t>
      </w:r>
    </w:p>
    <w:p w14:paraId="36BEDF90" w14:textId="22B7AF2B" w:rsidR="00140B67" w:rsidRPr="002E448B" w:rsidRDefault="00140B67" w:rsidP="00DC3BC8">
      <w:pPr>
        <w:spacing w:before="160" w:after="160"/>
        <w:rPr>
          <w:rFonts w:asciiTheme="majorHAnsi" w:hAnsiTheme="majorHAnsi" w:cstheme="majorHAnsi"/>
        </w:rPr>
      </w:pPr>
      <w:r w:rsidRPr="002E448B">
        <w:rPr>
          <w:rFonts w:asciiTheme="majorHAnsi" w:hAnsiTheme="majorHAnsi" w:cstheme="majorHAnsi"/>
        </w:rPr>
        <w:t xml:space="preserve">This document is designed to provide interested persons with a shorter-form document, by setting out extracts containing the essential components of the </w:t>
      </w:r>
      <w:proofErr w:type="spellStart"/>
      <w:r w:rsidRPr="002E448B">
        <w:rPr>
          <w:rFonts w:asciiTheme="majorHAnsi" w:hAnsiTheme="majorHAnsi" w:cstheme="majorHAnsi"/>
        </w:rPr>
        <w:t>Maddocks</w:t>
      </w:r>
      <w:proofErr w:type="spellEnd"/>
      <w:r w:rsidRPr="002E448B">
        <w:rPr>
          <w:rFonts w:asciiTheme="majorHAnsi" w:hAnsiTheme="majorHAnsi" w:cstheme="majorHAnsi"/>
        </w:rPr>
        <w:t xml:space="preserve"> PIA report, as part of Health’s commitment to ensuring </w:t>
      </w:r>
      <w:r w:rsidR="008D352E">
        <w:rPr>
          <w:rFonts w:asciiTheme="majorHAnsi" w:hAnsiTheme="majorHAnsi" w:cstheme="majorHAnsi"/>
        </w:rPr>
        <w:t xml:space="preserve">effective </w:t>
      </w:r>
      <w:r w:rsidRPr="002E448B">
        <w:rPr>
          <w:rFonts w:asciiTheme="majorHAnsi" w:hAnsiTheme="majorHAnsi" w:cstheme="majorHAnsi"/>
        </w:rPr>
        <w:t xml:space="preserve">communication about the handling of personal information in connection with Vaccine Strategy. </w:t>
      </w:r>
    </w:p>
    <w:p w14:paraId="539368E9" w14:textId="11667F49" w:rsidR="00140B67" w:rsidRPr="002E448B" w:rsidRDefault="00140B67" w:rsidP="00DC3BC8">
      <w:pPr>
        <w:spacing w:before="160" w:after="160"/>
        <w:rPr>
          <w:rFonts w:asciiTheme="majorHAnsi" w:hAnsiTheme="majorHAnsi" w:cstheme="majorHAnsi"/>
        </w:rPr>
      </w:pPr>
      <w:r w:rsidRPr="002E448B">
        <w:rPr>
          <w:rFonts w:asciiTheme="majorHAnsi" w:hAnsiTheme="majorHAnsi" w:cstheme="majorHAnsi"/>
        </w:rPr>
        <w:t xml:space="preserve">This document contains the following complete sections of the </w:t>
      </w:r>
      <w:proofErr w:type="spellStart"/>
      <w:r w:rsidRPr="002E448B">
        <w:rPr>
          <w:rFonts w:asciiTheme="majorHAnsi" w:hAnsiTheme="majorHAnsi" w:cstheme="majorHAnsi"/>
        </w:rPr>
        <w:t>Maddocks</w:t>
      </w:r>
      <w:proofErr w:type="spellEnd"/>
      <w:r w:rsidRPr="002E448B">
        <w:rPr>
          <w:rFonts w:asciiTheme="majorHAnsi" w:hAnsiTheme="majorHAnsi" w:cstheme="majorHAnsi"/>
        </w:rPr>
        <w:t xml:space="preserve"> PIA report (these sections </w:t>
      </w:r>
      <w:r w:rsidR="008D352E">
        <w:rPr>
          <w:rFonts w:asciiTheme="majorHAnsi" w:hAnsiTheme="majorHAnsi" w:cstheme="majorHAnsi"/>
        </w:rPr>
        <w:t xml:space="preserve">replicate those in the </w:t>
      </w:r>
      <w:proofErr w:type="spellStart"/>
      <w:r w:rsidR="008D352E">
        <w:rPr>
          <w:rFonts w:asciiTheme="majorHAnsi" w:hAnsiTheme="majorHAnsi" w:cstheme="majorHAnsi"/>
        </w:rPr>
        <w:t>Maddocks</w:t>
      </w:r>
      <w:proofErr w:type="spellEnd"/>
      <w:r w:rsidR="008D352E">
        <w:rPr>
          <w:rFonts w:asciiTheme="majorHAnsi" w:hAnsiTheme="majorHAnsi" w:cstheme="majorHAnsi"/>
        </w:rPr>
        <w:t xml:space="preserve"> PIA report, and </w:t>
      </w:r>
      <w:r w:rsidRPr="002E448B">
        <w:rPr>
          <w:rFonts w:asciiTheme="majorHAnsi" w:hAnsiTheme="majorHAnsi" w:cstheme="majorHAnsi"/>
        </w:rPr>
        <w:t>have not been abridged or altered in any way):</w:t>
      </w:r>
    </w:p>
    <w:p w14:paraId="592C8510" w14:textId="77777777" w:rsidR="00140B67" w:rsidRPr="002E448B" w:rsidRDefault="00140B67" w:rsidP="00DC3BC8">
      <w:pPr>
        <w:pStyle w:val="ListParagraph"/>
        <w:numPr>
          <w:ilvl w:val="0"/>
          <w:numId w:val="34"/>
        </w:numPr>
        <w:spacing w:before="160" w:after="160"/>
        <w:ind w:left="714" w:hanging="357"/>
        <w:contextualSpacing w:val="0"/>
        <w:rPr>
          <w:rFonts w:asciiTheme="majorHAnsi" w:hAnsiTheme="majorHAnsi" w:cstheme="majorHAnsi"/>
        </w:rPr>
      </w:pPr>
      <w:r w:rsidRPr="002E448B">
        <w:rPr>
          <w:rFonts w:asciiTheme="majorHAnsi" w:hAnsiTheme="majorHAnsi" w:cstheme="majorHAnsi"/>
          <w:b/>
          <w:bCs/>
        </w:rPr>
        <w:t>Part A – Executive Summary</w:t>
      </w:r>
      <w:r w:rsidRPr="002E448B">
        <w:rPr>
          <w:rFonts w:asciiTheme="majorHAnsi" w:hAnsiTheme="majorHAnsi" w:cstheme="majorHAnsi"/>
        </w:rPr>
        <w:t xml:space="preserve">: This section contains a summary of the potential privacy risks identified by </w:t>
      </w:r>
      <w:proofErr w:type="spellStart"/>
      <w:r w:rsidRPr="002E448B">
        <w:rPr>
          <w:rFonts w:asciiTheme="majorHAnsi" w:hAnsiTheme="majorHAnsi" w:cstheme="majorHAnsi"/>
        </w:rPr>
        <w:t>Maddocks</w:t>
      </w:r>
      <w:proofErr w:type="spellEnd"/>
      <w:r w:rsidRPr="002E448B">
        <w:rPr>
          <w:rFonts w:asciiTheme="majorHAnsi" w:hAnsiTheme="majorHAnsi" w:cstheme="majorHAnsi"/>
        </w:rPr>
        <w:t xml:space="preserve">, together with a list of the recommendations that were made as a result of the analysis in the </w:t>
      </w:r>
      <w:proofErr w:type="spellStart"/>
      <w:r w:rsidRPr="002E448B">
        <w:rPr>
          <w:rFonts w:asciiTheme="majorHAnsi" w:hAnsiTheme="majorHAnsi" w:cstheme="majorHAnsi"/>
        </w:rPr>
        <w:t>Maddocks</w:t>
      </w:r>
      <w:proofErr w:type="spellEnd"/>
      <w:r w:rsidRPr="002E448B">
        <w:rPr>
          <w:rFonts w:asciiTheme="majorHAnsi" w:hAnsiTheme="majorHAnsi" w:cstheme="majorHAnsi"/>
        </w:rPr>
        <w:t xml:space="preserve"> PIA report.</w:t>
      </w:r>
    </w:p>
    <w:p w14:paraId="1BF9AF86" w14:textId="598B68FD" w:rsidR="00140B67" w:rsidRPr="002E448B" w:rsidRDefault="00140B67" w:rsidP="00DC3BC8">
      <w:pPr>
        <w:pStyle w:val="ListParagraph"/>
        <w:numPr>
          <w:ilvl w:val="0"/>
          <w:numId w:val="34"/>
        </w:numPr>
        <w:spacing w:before="160" w:after="160"/>
        <w:ind w:left="714" w:hanging="357"/>
        <w:contextualSpacing w:val="0"/>
        <w:rPr>
          <w:rFonts w:asciiTheme="majorHAnsi" w:hAnsiTheme="majorHAnsi" w:cstheme="majorHAnsi"/>
        </w:rPr>
      </w:pPr>
      <w:r w:rsidRPr="002E448B">
        <w:rPr>
          <w:rFonts w:asciiTheme="majorHAnsi" w:hAnsiTheme="majorHAnsi" w:cstheme="majorHAnsi"/>
          <w:b/>
          <w:bCs/>
        </w:rPr>
        <w:t>Part B – Methodology:</w:t>
      </w:r>
      <w:r w:rsidRPr="002E448B">
        <w:rPr>
          <w:rFonts w:asciiTheme="majorHAnsi" w:hAnsiTheme="majorHAnsi" w:cstheme="majorHAnsi"/>
        </w:rPr>
        <w:t xml:space="preserve"> This sets out the process used by </w:t>
      </w:r>
      <w:proofErr w:type="spellStart"/>
      <w:r w:rsidRPr="002E448B">
        <w:rPr>
          <w:rFonts w:asciiTheme="majorHAnsi" w:hAnsiTheme="majorHAnsi" w:cstheme="majorHAnsi"/>
        </w:rPr>
        <w:t>Maddocks</w:t>
      </w:r>
      <w:proofErr w:type="spellEnd"/>
      <w:r w:rsidRPr="002E448B">
        <w:rPr>
          <w:rFonts w:asciiTheme="majorHAnsi" w:hAnsiTheme="majorHAnsi" w:cstheme="majorHAnsi"/>
        </w:rPr>
        <w:t xml:space="preserve"> to conduct the PIA.</w:t>
      </w:r>
    </w:p>
    <w:p w14:paraId="54CF730E" w14:textId="77777777" w:rsidR="00140B67" w:rsidRPr="002E448B" w:rsidRDefault="00140B67" w:rsidP="00DC3BC8">
      <w:pPr>
        <w:pStyle w:val="ListParagraph"/>
        <w:numPr>
          <w:ilvl w:val="0"/>
          <w:numId w:val="34"/>
        </w:numPr>
        <w:spacing w:before="160" w:after="160"/>
        <w:ind w:left="714" w:hanging="357"/>
        <w:contextualSpacing w:val="0"/>
        <w:rPr>
          <w:rFonts w:asciiTheme="majorHAnsi" w:hAnsiTheme="majorHAnsi" w:cstheme="majorHAnsi"/>
        </w:rPr>
      </w:pPr>
      <w:r w:rsidRPr="002E448B">
        <w:rPr>
          <w:rFonts w:asciiTheme="majorHAnsi" w:hAnsiTheme="majorHAnsi" w:cstheme="majorHAnsi"/>
          <w:b/>
          <w:bCs/>
        </w:rPr>
        <w:t>Part C – Project Description</w:t>
      </w:r>
      <w:r w:rsidRPr="002E448B">
        <w:rPr>
          <w:rFonts w:asciiTheme="majorHAnsi" w:hAnsiTheme="majorHAnsi" w:cstheme="majorHAnsi"/>
        </w:rPr>
        <w:t xml:space="preserve">: This section contains a comprehensive description of the Vaccine Strategy analysed in the </w:t>
      </w:r>
      <w:proofErr w:type="spellStart"/>
      <w:r w:rsidRPr="002E448B">
        <w:rPr>
          <w:rFonts w:asciiTheme="majorHAnsi" w:hAnsiTheme="majorHAnsi" w:cstheme="majorHAnsi"/>
        </w:rPr>
        <w:t>Maddocks</w:t>
      </w:r>
      <w:proofErr w:type="spellEnd"/>
      <w:r w:rsidRPr="002E448B">
        <w:rPr>
          <w:rFonts w:asciiTheme="majorHAnsi" w:hAnsiTheme="majorHAnsi" w:cstheme="majorHAnsi"/>
        </w:rPr>
        <w:t xml:space="preserve"> PIA report, and the associated information flows, which is designed to assist readers in understanding the basis on which the PIA was undertaken. </w:t>
      </w:r>
    </w:p>
    <w:p w14:paraId="357DD5F3" w14:textId="458CD053" w:rsidR="00140B67" w:rsidRPr="002E448B" w:rsidRDefault="00140B67" w:rsidP="00DC3BC8">
      <w:pPr>
        <w:pStyle w:val="ListParagraph"/>
        <w:numPr>
          <w:ilvl w:val="0"/>
          <w:numId w:val="34"/>
        </w:numPr>
        <w:spacing w:before="160" w:after="160"/>
        <w:ind w:left="714" w:hanging="357"/>
        <w:contextualSpacing w:val="0"/>
        <w:rPr>
          <w:rFonts w:asciiTheme="majorHAnsi" w:hAnsiTheme="majorHAnsi" w:cstheme="majorHAnsi"/>
        </w:rPr>
      </w:pPr>
      <w:bookmarkStart w:id="2" w:name="_Hlk64797184"/>
      <w:r w:rsidRPr="002E448B">
        <w:rPr>
          <w:rFonts w:asciiTheme="majorHAnsi" w:hAnsiTheme="majorHAnsi" w:cstheme="majorHAnsi"/>
          <w:b/>
          <w:bCs/>
        </w:rPr>
        <w:t>Part E – Glossary</w:t>
      </w:r>
      <w:r w:rsidRPr="002E448B">
        <w:rPr>
          <w:rFonts w:asciiTheme="majorHAnsi" w:hAnsiTheme="majorHAnsi" w:cstheme="majorHAnsi"/>
        </w:rPr>
        <w:t xml:space="preserve">: This section sets out a list of capitalised terms that </w:t>
      </w:r>
      <w:r w:rsidR="00CD5A8E">
        <w:rPr>
          <w:rFonts w:asciiTheme="majorHAnsi" w:hAnsiTheme="majorHAnsi" w:cstheme="majorHAnsi"/>
        </w:rPr>
        <w:t>are</w:t>
      </w:r>
      <w:r w:rsidRPr="002E448B">
        <w:rPr>
          <w:rFonts w:asciiTheme="majorHAnsi" w:hAnsiTheme="majorHAnsi" w:cstheme="majorHAnsi"/>
        </w:rPr>
        <w:t xml:space="preserve"> used in the </w:t>
      </w:r>
      <w:r w:rsidR="00CD5A8E">
        <w:rPr>
          <w:rFonts w:asciiTheme="majorHAnsi" w:hAnsiTheme="majorHAnsi" w:cstheme="majorHAnsi"/>
        </w:rPr>
        <w:t>PIA report</w:t>
      </w:r>
      <w:r w:rsidRPr="002E448B">
        <w:rPr>
          <w:rFonts w:asciiTheme="majorHAnsi" w:hAnsiTheme="majorHAnsi" w:cstheme="majorHAnsi"/>
        </w:rPr>
        <w:t>, and their definitions; and</w:t>
      </w:r>
    </w:p>
    <w:bookmarkEnd w:id="2"/>
    <w:p w14:paraId="37859A67" w14:textId="77777777" w:rsidR="00140B67" w:rsidRPr="002E448B" w:rsidRDefault="00140B67" w:rsidP="00DC3BC8">
      <w:pPr>
        <w:pStyle w:val="ListParagraph"/>
        <w:numPr>
          <w:ilvl w:val="0"/>
          <w:numId w:val="34"/>
        </w:numPr>
        <w:spacing w:before="160" w:after="160"/>
        <w:ind w:left="714" w:hanging="357"/>
        <w:contextualSpacing w:val="0"/>
        <w:rPr>
          <w:rFonts w:asciiTheme="majorHAnsi" w:hAnsiTheme="majorHAnsi" w:cstheme="majorHAnsi"/>
        </w:rPr>
      </w:pPr>
      <w:r w:rsidRPr="002E448B">
        <w:rPr>
          <w:rFonts w:asciiTheme="majorHAnsi" w:hAnsiTheme="majorHAnsi" w:cstheme="majorHAnsi"/>
          <w:b/>
          <w:bCs/>
        </w:rPr>
        <w:t>Attachment 1 – Information Flow Diagram</w:t>
      </w:r>
      <w:r w:rsidRPr="002E448B">
        <w:rPr>
          <w:rFonts w:asciiTheme="majorHAnsi" w:hAnsiTheme="majorHAnsi" w:cstheme="majorHAnsi"/>
        </w:rPr>
        <w:t xml:space="preserve">: This section sets out the diagram of the information flows analysed as part of the PIA report. </w:t>
      </w:r>
    </w:p>
    <w:p w14:paraId="1B813411" w14:textId="6535DFE3" w:rsidR="00140B67" w:rsidRDefault="00140B67" w:rsidP="00DC3BC8">
      <w:pPr>
        <w:spacing w:before="160" w:after="160"/>
        <w:rPr>
          <w:rFonts w:asciiTheme="majorHAnsi" w:hAnsiTheme="majorHAnsi" w:cstheme="majorHAnsi"/>
          <w:i/>
          <w:iCs/>
        </w:rPr>
      </w:pPr>
      <w:r w:rsidRPr="002E448B">
        <w:rPr>
          <w:rFonts w:asciiTheme="majorHAnsi" w:hAnsiTheme="majorHAnsi" w:cstheme="majorHAnsi"/>
        </w:rPr>
        <w:t xml:space="preserve">This document does not include </w:t>
      </w:r>
      <w:r w:rsidRPr="002E448B">
        <w:rPr>
          <w:rFonts w:asciiTheme="majorHAnsi" w:hAnsiTheme="majorHAnsi" w:cstheme="majorHAnsi"/>
          <w:b/>
          <w:bCs/>
        </w:rPr>
        <w:t>Part D – Key Concepts</w:t>
      </w:r>
      <w:r w:rsidRPr="002E448B">
        <w:rPr>
          <w:rFonts w:asciiTheme="majorHAnsi" w:hAnsiTheme="majorHAnsi" w:cstheme="majorHAnsi"/>
        </w:rPr>
        <w:t xml:space="preserve">, or </w:t>
      </w:r>
      <w:r w:rsidRPr="002E448B">
        <w:rPr>
          <w:rFonts w:asciiTheme="majorHAnsi" w:hAnsiTheme="majorHAnsi" w:cstheme="majorHAnsi"/>
          <w:b/>
          <w:bCs/>
        </w:rPr>
        <w:t xml:space="preserve">Part E – </w:t>
      </w:r>
      <w:r w:rsidR="009622CF">
        <w:rPr>
          <w:rFonts w:asciiTheme="majorHAnsi" w:hAnsiTheme="majorHAnsi" w:cstheme="majorHAnsi"/>
          <w:b/>
          <w:bCs/>
        </w:rPr>
        <w:t>APP Compliance</w:t>
      </w:r>
      <w:r w:rsidRPr="002E448B">
        <w:rPr>
          <w:rFonts w:asciiTheme="majorHAnsi" w:hAnsiTheme="majorHAnsi" w:cstheme="majorHAnsi"/>
        </w:rPr>
        <w:t xml:space="preserve">, of the </w:t>
      </w:r>
      <w:proofErr w:type="spellStart"/>
      <w:r w:rsidRPr="002E448B">
        <w:rPr>
          <w:rFonts w:asciiTheme="majorHAnsi" w:hAnsiTheme="majorHAnsi" w:cstheme="majorHAnsi"/>
        </w:rPr>
        <w:t>Maddocks</w:t>
      </w:r>
      <w:proofErr w:type="spellEnd"/>
      <w:r w:rsidRPr="002E448B">
        <w:rPr>
          <w:rFonts w:asciiTheme="majorHAnsi" w:hAnsiTheme="majorHAnsi" w:cstheme="majorHAnsi"/>
        </w:rPr>
        <w:t xml:space="preserve"> PIA report, which contain </w:t>
      </w:r>
      <w:proofErr w:type="spellStart"/>
      <w:r w:rsidRPr="002E448B">
        <w:rPr>
          <w:rFonts w:asciiTheme="majorHAnsi" w:hAnsiTheme="majorHAnsi" w:cstheme="majorHAnsi"/>
        </w:rPr>
        <w:t>Maddocks</w:t>
      </w:r>
      <w:proofErr w:type="spellEnd"/>
      <w:r w:rsidRPr="002E448B">
        <w:rPr>
          <w:rFonts w:asciiTheme="majorHAnsi" w:hAnsiTheme="majorHAnsi" w:cstheme="majorHAnsi"/>
        </w:rPr>
        <w:t xml:space="preserve">’ detailed analysis of the information flows against the requirements of the </w:t>
      </w:r>
      <w:r w:rsidRPr="002E448B">
        <w:rPr>
          <w:rFonts w:asciiTheme="majorHAnsi" w:hAnsiTheme="majorHAnsi" w:cstheme="majorHAnsi"/>
          <w:i/>
          <w:iCs/>
        </w:rPr>
        <w:t>Privacy Act 1988</w:t>
      </w:r>
      <w:r w:rsidRPr="002E448B">
        <w:rPr>
          <w:rFonts w:asciiTheme="majorHAnsi" w:hAnsiTheme="majorHAnsi" w:cstheme="majorHAnsi"/>
        </w:rPr>
        <w:t xml:space="preserve"> (</w:t>
      </w:r>
      <w:proofErr w:type="spellStart"/>
      <w:r w:rsidRPr="002E448B">
        <w:rPr>
          <w:rFonts w:asciiTheme="majorHAnsi" w:hAnsiTheme="majorHAnsi" w:cstheme="majorHAnsi"/>
        </w:rPr>
        <w:t>Cth</w:t>
      </w:r>
      <w:proofErr w:type="spellEnd"/>
      <w:r w:rsidRPr="002E448B">
        <w:rPr>
          <w:rFonts w:asciiTheme="majorHAnsi" w:hAnsiTheme="majorHAnsi" w:cstheme="majorHAnsi"/>
        </w:rPr>
        <w:t xml:space="preserve">) and privacy best practice, </w:t>
      </w:r>
      <w:r w:rsidR="009622CF">
        <w:rPr>
          <w:rFonts w:asciiTheme="majorHAnsi" w:hAnsiTheme="majorHAnsi" w:cstheme="majorHAnsi"/>
        </w:rPr>
        <w:t xml:space="preserve">and </w:t>
      </w:r>
      <w:r w:rsidRPr="002E448B">
        <w:rPr>
          <w:rFonts w:asciiTheme="majorHAnsi" w:hAnsiTheme="majorHAnsi" w:cstheme="majorHAnsi"/>
        </w:rPr>
        <w:t xml:space="preserve">explain how </w:t>
      </w:r>
      <w:proofErr w:type="spellStart"/>
      <w:r w:rsidRPr="002E448B">
        <w:rPr>
          <w:rFonts w:asciiTheme="majorHAnsi" w:hAnsiTheme="majorHAnsi" w:cstheme="majorHAnsi"/>
        </w:rPr>
        <w:t>Maddocks</w:t>
      </w:r>
      <w:proofErr w:type="spellEnd"/>
      <w:r w:rsidRPr="002E448B">
        <w:rPr>
          <w:rFonts w:asciiTheme="majorHAnsi" w:hAnsiTheme="majorHAnsi" w:cstheme="majorHAnsi"/>
        </w:rPr>
        <w:t xml:space="preserve"> reached its conclusions</w:t>
      </w:r>
      <w:r w:rsidRPr="002E448B">
        <w:rPr>
          <w:rFonts w:asciiTheme="majorHAnsi" w:hAnsiTheme="majorHAnsi" w:cstheme="majorHAnsi"/>
          <w:i/>
          <w:iCs/>
        </w:rPr>
        <w:t xml:space="preserve">. </w:t>
      </w:r>
      <w:r w:rsidR="00C702D5" w:rsidRPr="009622CF">
        <w:rPr>
          <w:rFonts w:asciiTheme="majorHAnsi" w:hAnsiTheme="majorHAnsi" w:cstheme="majorHAnsi"/>
        </w:rPr>
        <w:t>Persons who are interested in receiving a full copy of the</w:t>
      </w:r>
      <w:r w:rsidR="00C702D5">
        <w:rPr>
          <w:rFonts w:asciiTheme="majorHAnsi" w:hAnsiTheme="majorHAnsi" w:cstheme="majorHAnsi"/>
        </w:rPr>
        <w:t xml:space="preserve"> </w:t>
      </w:r>
      <w:proofErr w:type="spellStart"/>
      <w:r w:rsidR="00C702D5">
        <w:rPr>
          <w:rFonts w:asciiTheme="majorHAnsi" w:hAnsiTheme="majorHAnsi" w:cstheme="majorHAnsi"/>
        </w:rPr>
        <w:t>Maddocks</w:t>
      </w:r>
      <w:proofErr w:type="spellEnd"/>
      <w:r w:rsidR="00C702D5">
        <w:rPr>
          <w:rFonts w:asciiTheme="majorHAnsi" w:hAnsiTheme="majorHAnsi" w:cstheme="majorHAnsi"/>
        </w:rPr>
        <w:t xml:space="preserve"> PIA report can make a </w:t>
      </w:r>
      <w:hyperlink r:id="rId11" w:history="1">
        <w:r w:rsidR="00C702D5" w:rsidRPr="00ED33A8">
          <w:rPr>
            <w:rStyle w:val="Hyperlink"/>
            <w:rFonts w:asciiTheme="majorHAnsi" w:hAnsiTheme="majorHAnsi" w:cstheme="majorHAnsi"/>
          </w:rPr>
          <w:t>Freedom of Information request</w:t>
        </w:r>
      </w:hyperlink>
      <w:r w:rsidR="00C702D5">
        <w:rPr>
          <w:rFonts w:asciiTheme="majorHAnsi" w:hAnsiTheme="majorHAnsi" w:cstheme="majorHAnsi"/>
        </w:rPr>
        <w:t xml:space="preserve"> to the Department</w:t>
      </w:r>
      <w:r w:rsidR="00C702D5" w:rsidRPr="002E448B">
        <w:rPr>
          <w:rFonts w:asciiTheme="majorHAnsi" w:hAnsiTheme="majorHAnsi" w:cstheme="majorHAnsi"/>
          <w:i/>
          <w:iCs/>
        </w:rPr>
        <w:t>.</w:t>
      </w:r>
      <w:r w:rsidR="00C702D5" w:rsidRPr="002E448B" w:rsidDel="00C702D5">
        <w:rPr>
          <w:rFonts w:asciiTheme="majorHAnsi" w:hAnsiTheme="majorHAnsi" w:cstheme="majorHAnsi"/>
          <w:i/>
          <w:iCs/>
        </w:rPr>
        <w:t xml:space="preserve"> </w:t>
      </w:r>
    </w:p>
    <w:p w14:paraId="5502ED70" w14:textId="66253A1B" w:rsidR="009622CF" w:rsidRPr="00C5473D" w:rsidRDefault="009622CF" w:rsidP="00DC3BC8">
      <w:pPr>
        <w:spacing w:before="160" w:after="160"/>
        <w:rPr>
          <w:rFonts w:asciiTheme="majorHAnsi" w:hAnsiTheme="majorHAnsi" w:cstheme="majorHAnsi"/>
          <w:i/>
          <w:iCs/>
        </w:rPr>
      </w:pPr>
      <w:r>
        <w:rPr>
          <w:rFonts w:asciiTheme="majorHAnsi" w:hAnsiTheme="majorHAnsi" w:cstheme="majorHAnsi"/>
        </w:rPr>
        <w:t xml:space="preserve">Health has also created a document setting out its responses to the recommendations in the </w:t>
      </w:r>
      <w:proofErr w:type="spellStart"/>
      <w:r>
        <w:rPr>
          <w:rFonts w:asciiTheme="majorHAnsi" w:hAnsiTheme="majorHAnsi" w:cstheme="majorHAnsi"/>
        </w:rPr>
        <w:t>Maddocks</w:t>
      </w:r>
      <w:proofErr w:type="spellEnd"/>
      <w:r>
        <w:rPr>
          <w:rFonts w:asciiTheme="majorHAnsi" w:hAnsiTheme="majorHAnsi" w:cstheme="majorHAnsi"/>
        </w:rPr>
        <w:t xml:space="preserve"> PIA report, which is available </w:t>
      </w:r>
      <w:r w:rsidR="005534D7">
        <w:rPr>
          <w:rFonts w:asciiTheme="majorHAnsi" w:hAnsiTheme="majorHAnsi" w:cstheme="majorHAnsi"/>
        </w:rPr>
        <w:t>on its website.</w:t>
      </w:r>
    </w:p>
    <w:p w14:paraId="1E49E2F1" w14:textId="6216FF66" w:rsidR="00140B67" w:rsidRPr="002E448B" w:rsidRDefault="008D352E" w:rsidP="00C5473D">
      <w:pPr>
        <w:rPr>
          <w:rFonts w:asciiTheme="majorHAnsi" w:hAnsiTheme="majorHAnsi" w:cstheme="majorHAnsi"/>
        </w:rPr>
      </w:pPr>
      <w:r>
        <w:rPr>
          <w:rFonts w:asciiTheme="majorHAnsi" w:hAnsiTheme="majorHAnsi" w:cstheme="majorHAnsi"/>
        </w:rPr>
        <w:t xml:space="preserve">Health trusts that publication of the extracts </w:t>
      </w:r>
      <w:r w:rsidR="009622CF">
        <w:rPr>
          <w:rFonts w:asciiTheme="majorHAnsi" w:hAnsiTheme="majorHAnsi" w:cstheme="majorHAnsi"/>
        </w:rPr>
        <w:t xml:space="preserve">from the PIA report, together with </w:t>
      </w:r>
      <w:r w:rsidR="00C5473D">
        <w:rPr>
          <w:rFonts w:asciiTheme="majorHAnsi" w:hAnsiTheme="majorHAnsi" w:cstheme="majorHAnsi"/>
        </w:rPr>
        <w:t xml:space="preserve">Health’s responses to the recommendations, </w:t>
      </w:r>
      <w:r>
        <w:rPr>
          <w:rFonts w:asciiTheme="majorHAnsi" w:hAnsiTheme="majorHAnsi" w:cstheme="majorHAnsi"/>
        </w:rPr>
        <w:t xml:space="preserve">will assist in fostering </w:t>
      </w:r>
      <w:r w:rsidRPr="008D352E">
        <w:rPr>
          <w:rFonts w:asciiTheme="majorHAnsi" w:hAnsiTheme="majorHAnsi" w:cstheme="majorHAnsi"/>
        </w:rPr>
        <w:t xml:space="preserve">ongoing public support and participation in the </w:t>
      </w:r>
      <w:r>
        <w:rPr>
          <w:rFonts w:asciiTheme="majorHAnsi" w:hAnsiTheme="majorHAnsi" w:cstheme="majorHAnsi"/>
        </w:rPr>
        <w:t>COVID-19 vaccine roll-out.</w:t>
      </w:r>
      <w:bookmarkStart w:id="3" w:name="_Toc17707320"/>
      <w:bookmarkStart w:id="4" w:name="_Toc38274217"/>
      <w:bookmarkStart w:id="5" w:name="_Ref512868325"/>
      <w:bookmarkStart w:id="6" w:name="_Ref513147578"/>
      <w:bookmarkStart w:id="7" w:name="_Ref36658559"/>
      <w:bookmarkStart w:id="8" w:name="_Ref36658706"/>
      <w:bookmarkStart w:id="9" w:name="_Ref36658714"/>
      <w:bookmarkStart w:id="10" w:name="_Hlk22741585"/>
      <w:bookmarkStart w:id="11" w:name="_Hlk36709325"/>
    </w:p>
    <w:p w14:paraId="2F6C7D88" w14:textId="11CFEE5A" w:rsidR="00140B67" w:rsidRPr="002E448B" w:rsidRDefault="00140B67" w:rsidP="00140B67">
      <w:pPr>
        <w:pStyle w:val="covTitle"/>
        <w:spacing w:before="120"/>
        <w:ind w:left="0" w:firstLine="397"/>
        <w:rPr>
          <w:rFonts w:asciiTheme="majorHAnsi" w:hAnsiTheme="majorHAnsi" w:cstheme="majorHAnsi"/>
        </w:rPr>
      </w:pPr>
    </w:p>
    <w:p w14:paraId="70189794" w14:textId="015D161E" w:rsidR="00140B67" w:rsidRPr="002E448B" w:rsidRDefault="00140B67" w:rsidP="00140B67">
      <w:pPr>
        <w:pStyle w:val="covTitle"/>
        <w:spacing w:before="120" w:line="480" w:lineRule="auto"/>
        <w:ind w:left="0" w:firstLine="397"/>
        <w:rPr>
          <w:rFonts w:asciiTheme="majorHAnsi" w:hAnsiTheme="majorHAnsi" w:cstheme="majorHAnsi"/>
        </w:rPr>
      </w:pPr>
    </w:p>
    <w:p w14:paraId="413103A0" w14:textId="70F7BA06" w:rsidR="00977798" w:rsidRPr="002E448B" w:rsidRDefault="00DC3BC8" w:rsidP="00977798">
      <w:pPr>
        <w:pStyle w:val="covTitle"/>
        <w:spacing w:before="2000"/>
        <w:rPr>
          <w:rFonts w:asciiTheme="majorHAnsi" w:hAnsiTheme="majorHAnsi" w:cstheme="majorHAnsi"/>
        </w:rPr>
      </w:pPr>
      <w:r w:rsidRPr="002E448B">
        <w:rPr>
          <w:rFonts w:asciiTheme="majorHAnsi" w:hAnsiTheme="majorHAnsi" w:cstheme="majorHAnsi"/>
          <w:noProof/>
        </w:rPr>
        <w:drawing>
          <wp:anchor distT="0" distB="0" distL="114300" distR="114300" simplePos="0" relativeHeight="251668480" behindDoc="1" locked="0" layoutInCell="1" allowOverlap="1" wp14:anchorId="0037CEDF" wp14:editId="1AC04F5A">
            <wp:simplePos x="0" y="0"/>
            <wp:positionH relativeFrom="margin">
              <wp:posOffset>-1023766</wp:posOffset>
            </wp:positionH>
            <wp:positionV relativeFrom="paragraph">
              <wp:posOffset>-71950</wp:posOffset>
            </wp:positionV>
            <wp:extent cx="9051290" cy="6309360"/>
            <wp:effectExtent l="0" t="0" r="0" b="0"/>
            <wp:wrapNone/>
            <wp:docPr id="2" name="Picture 2" descr="A picture containing fence, building&#10;&#10;Description generated with very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EBBING SOLID PNG MEDIUM.PNG"/>
                    <pic:cNvPicPr/>
                  </pic:nvPicPr>
                  <pic:blipFill>
                    <a:blip r:embed="rId12">
                      <a:duotone>
                        <a:prstClr val="black"/>
                        <a:schemeClr val="accent1">
                          <a:lumMod val="75000"/>
                          <a:tint val="45000"/>
                          <a:satMod val="400000"/>
                        </a:schemeClr>
                      </a:duotone>
                      <a:extLst>
                        <a:ext uri="{28A0092B-C50C-407E-A947-70E740481C1C}">
                          <a14:useLocalDpi xmlns:a14="http://schemas.microsoft.com/office/drawing/2010/main" val="0"/>
                        </a:ext>
                      </a:extLst>
                    </a:blip>
                    <a:stretch>
                      <a:fillRect/>
                    </a:stretch>
                  </pic:blipFill>
                  <pic:spPr>
                    <a:xfrm>
                      <a:off x="0" y="0"/>
                      <a:ext cx="9051290" cy="6309360"/>
                    </a:xfrm>
                    <a:prstGeom prst="rect">
                      <a:avLst/>
                    </a:prstGeom>
                  </pic:spPr>
                </pic:pic>
              </a:graphicData>
            </a:graphic>
            <wp14:sizeRelH relativeFrom="page">
              <wp14:pctWidth>0</wp14:pctWidth>
            </wp14:sizeRelH>
            <wp14:sizeRelV relativeFrom="page">
              <wp14:pctHeight>0</wp14:pctHeight>
            </wp14:sizeRelV>
          </wp:anchor>
        </w:drawing>
      </w:r>
      <w:r w:rsidR="00977798" w:rsidRPr="002E448B">
        <w:rPr>
          <w:rFonts w:asciiTheme="majorHAnsi" w:hAnsiTheme="majorHAnsi" w:cstheme="majorHAnsi"/>
          <w:noProof/>
        </w:rPr>
        <mc:AlternateContent>
          <mc:Choice Requires="wps">
            <w:drawing>
              <wp:anchor distT="0" distB="0" distL="114300" distR="114300" simplePos="0" relativeHeight="251666432" behindDoc="0" locked="0" layoutInCell="0" allowOverlap="0" wp14:anchorId="1D8C3DAF" wp14:editId="1AEADFF3">
                <wp:simplePos x="0" y="0"/>
                <wp:positionH relativeFrom="page">
                  <wp:align>right</wp:align>
                </wp:positionH>
                <wp:positionV relativeFrom="page">
                  <wp:posOffset>805180</wp:posOffset>
                </wp:positionV>
                <wp:extent cx="1814195" cy="1151890"/>
                <wp:effectExtent l="0" t="0" r="0" b="0"/>
                <wp:wrapSquare wrapText="bothSides"/>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14195" cy="11518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2CCD4A" w14:textId="77777777" w:rsidR="008D352E" w:rsidRPr="00C44B98" w:rsidRDefault="008D352E" w:rsidP="00977798">
                            <w:pPr>
                              <w:spacing w:before="120"/>
                              <w:rPr>
                                <w:rFonts w:asciiTheme="majorHAnsi" w:hAnsiTheme="majorHAnsi" w:cstheme="majorHAnsi"/>
                                <w:sz w:val="14"/>
                                <w:szCs w:val="14"/>
                              </w:rPr>
                            </w:pPr>
                            <w:r w:rsidRPr="00C44B98">
                              <w:rPr>
                                <w:rFonts w:asciiTheme="majorHAnsi" w:hAnsiTheme="majorHAnsi" w:cstheme="majorHAnsi"/>
                                <w:sz w:val="14"/>
                                <w:szCs w:val="14"/>
                              </w:rPr>
                              <w:t>Lawyers</w:t>
                            </w:r>
                          </w:p>
                          <w:p w14:paraId="54CC80B9" w14:textId="77777777" w:rsidR="008D352E" w:rsidRPr="00C44B98" w:rsidRDefault="008D352E" w:rsidP="00977798">
                            <w:pPr>
                              <w:rPr>
                                <w:rFonts w:asciiTheme="majorHAnsi" w:hAnsiTheme="majorHAnsi" w:cstheme="majorHAnsi"/>
                                <w:sz w:val="14"/>
                                <w:szCs w:val="14"/>
                              </w:rPr>
                            </w:pPr>
                            <w:r w:rsidRPr="00C44B98">
                              <w:rPr>
                                <w:rFonts w:asciiTheme="majorHAnsi" w:hAnsiTheme="majorHAnsi" w:cstheme="majorHAnsi"/>
                                <w:sz w:val="14"/>
                                <w:szCs w:val="14"/>
                              </w:rPr>
                              <w:t>Level 1</w:t>
                            </w:r>
                          </w:p>
                          <w:p w14:paraId="4473282D" w14:textId="77777777" w:rsidR="008D352E" w:rsidRPr="00C44B98" w:rsidRDefault="008D352E" w:rsidP="00977798">
                            <w:pPr>
                              <w:rPr>
                                <w:rFonts w:asciiTheme="majorHAnsi" w:hAnsiTheme="majorHAnsi" w:cstheme="majorHAnsi"/>
                                <w:sz w:val="14"/>
                                <w:szCs w:val="14"/>
                              </w:rPr>
                            </w:pPr>
                            <w:r w:rsidRPr="00C44B98">
                              <w:rPr>
                                <w:rFonts w:asciiTheme="majorHAnsi" w:hAnsiTheme="majorHAnsi" w:cstheme="majorHAnsi"/>
                                <w:sz w:val="14"/>
                                <w:szCs w:val="14"/>
                              </w:rPr>
                              <w:t>40 Macquarie Street</w:t>
                            </w:r>
                          </w:p>
                          <w:p w14:paraId="10D92091" w14:textId="77777777" w:rsidR="008D352E" w:rsidRPr="00C44B98" w:rsidRDefault="008D352E" w:rsidP="00977798">
                            <w:pPr>
                              <w:rPr>
                                <w:rFonts w:asciiTheme="majorHAnsi" w:hAnsiTheme="majorHAnsi" w:cstheme="majorHAnsi"/>
                                <w:sz w:val="14"/>
                                <w:szCs w:val="14"/>
                              </w:rPr>
                            </w:pPr>
                            <w:r w:rsidRPr="00C44B98">
                              <w:rPr>
                                <w:rFonts w:asciiTheme="majorHAnsi" w:hAnsiTheme="majorHAnsi" w:cstheme="majorHAnsi"/>
                                <w:sz w:val="14"/>
                                <w:szCs w:val="14"/>
                              </w:rPr>
                              <w:t>Barton ACT 2600 Australia</w:t>
                            </w:r>
                          </w:p>
                          <w:p w14:paraId="74C30276" w14:textId="77777777" w:rsidR="008D352E" w:rsidRPr="00C44B98" w:rsidRDefault="008D352E" w:rsidP="00977798">
                            <w:pPr>
                              <w:spacing w:before="120"/>
                              <w:rPr>
                                <w:rFonts w:asciiTheme="majorHAnsi" w:hAnsiTheme="majorHAnsi" w:cstheme="majorHAnsi"/>
                                <w:sz w:val="14"/>
                                <w:szCs w:val="14"/>
                              </w:rPr>
                            </w:pPr>
                            <w:r w:rsidRPr="00C44B98">
                              <w:rPr>
                                <w:rFonts w:asciiTheme="majorHAnsi" w:hAnsiTheme="majorHAnsi" w:cstheme="majorHAnsi"/>
                                <w:sz w:val="14"/>
                                <w:szCs w:val="14"/>
                              </w:rPr>
                              <w:t>Telephone 61 2 6120 4800</w:t>
                            </w:r>
                          </w:p>
                          <w:p w14:paraId="78425403" w14:textId="77777777" w:rsidR="008D352E" w:rsidRPr="00C44B98" w:rsidRDefault="008D352E" w:rsidP="00977798">
                            <w:pPr>
                              <w:rPr>
                                <w:rFonts w:asciiTheme="majorHAnsi" w:hAnsiTheme="majorHAnsi" w:cstheme="majorHAnsi"/>
                                <w:sz w:val="14"/>
                                <w:szCs w:val="14"/>
                              </w:rPr>
                            </w:pPr>
                            <w:r w:rsidRPr="00C44B98">
                              <w:rPr>
                                <w:rFonts w:asciiTheme="majorHAnsi" w:hAnsiTheme="majorHAnsi" w:cstheme="majorHAnsi"/>
                                <w:sz w:val="14"/>
                                <w:szCs w:val="14"/>
                              </w:rPr>
                              <w:t>Facsimile 61 2 6230 1479</w:t>
                            </w:r>
                          </w:p>
                          <w:p w14:paraId="239DEDB4" w14:textId="77777777" w:rsidR="008D352E" w:rsidRPr="00C44B98" w:rsidRDefault="008D352E" w:rsidP="00977798">
                            <w:pPr>
                              <w:spacing w:before="120"/>
                              <w:rPr>
                                <w:rFonts w:asciiTheme="majorHAnsi" w:hAnsiTheme="majorHAnsi" w:cstheme="majorHAnsi"/>
                                <w:sz w:val="14"/>
                                <w:szCs w:val="14"/>
                              </w:rPr>
                            </w:pPr>
                            <w:r w:rsidRPr="00C44B98">
                              <w:rPr>
                                <w:rFonts w:asciiTheme="majorHAnsi" w:hAnsiTheme="majorHAnsi" w:cstheme="majorHAnsi"/>
                                <w:sz w:val="14"/>
                                <w:szCs w:val="14"/>
                              </w:rPr>
                              <w:t>info@maddocks.com.au</w:t>
                            </w:r>
                          </w:p>
                          <w:p w14:paraId="7CB4DA8B" w14:textId="77777777" w:rsidR="008D352E" w:rsidRPr="00C44B98" w:rsidRDefault="008D352E" w:rsidP="00977798">
                            <w:pPr>
                              <w:rPr>
                                <w:rFonts w:asciiTheme="majorHAnsi" w:hAnsiTheme="majorHAnsi" w:cstheme="majorHAnsi"/>
                                <w:sz w:val="14"/>
                                <w:szCs w:val="14"/>
                              </w:rPr>
                            </w:pPr>
                            <w:r w:rsidRPr="00C44B98">
                              <w:rPr>
                                <w:rFonts w:asciiTheme="majorHAnsi" w:hAnsiTheme="majorHAnsi" w:cstheme="majorHAnsi"/>
                                <w:sz w:val="14"/>
                                <w:szCs w:val="14"/>
                              </w:rPr>
                              <w:t>www.maddocks.com.au</w:t>
                            </w:r>
                          </w:p>
                        </w:txbxContent>
                      </wps:txbx>
                      <wps:bodyPr rot="0" vert="horz" wrap="square" lIns="91440" tIns="10800" rIns="91440" bIns="1080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1D8C3DAF" id="_x0000_t202" coordsize="21600,21600" o:spt="202" path="m,l,21600r21600,l21600,xe">
                <v:stroke joinstyle="miter"/>
                <v:path gradientshapeok="t" o:connecttype="rect"/>
              </v:shapetype>
              <v:shape id="Text Box 1" o:spid="_x0000_s1026" type="#_x0000_t202" style="position:absolute;left:0;text-align:left;margin-left:91.65pt;margin-top:63.4pt;width:142.85pt;height:90.7pt;z-index:251666432;visibility:visible;mso-wrap-style:square;mso-width-percent:0;mso-height-percent:0;mso-wrap-distance-left:9pt;mso-wrap-distance-top:0;mso-wrap-distance-right:9pt;mso-wrap-distance-bottom:0;mso-position-horizontal:right;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" o:allowincell="f" o:allowoverlap="f" filled="f" stroked="f">
                <v:textbox inset=",.3mm,,.3mm">
                  <w:txbxContent>
                    <w:p w14:paraId="5F2CCD4A" w14:textId="77777777" w:rsidR="008D352E" w:rsidRPr="00C44B98" w:rsidRDefault="008D352E" w:rsidP="00977798">
                      <w:pPr>
                        <w:spacing w:before="120"/>
                        <w:rPr>
                          <w:rFonts w:asciiTheme="majorHAnsi" w:hAnsiTheme="majorHAnsi" w:cstheme="majorHAnsi"/>
                          <w:sz w:val="14"/>
                          <w:szCs w:val="14"/>
                        </w:rPr>
                      </w:pPr>
                      <w:r w:rsidRPr="00C44B98">
                        <w:rPr>
                          <w:rFonts w:asciiTheme="majorHAnsi" w:hAnsiTheme="majorHAnsi" w:cstheme="majorHAnsi"/>
                          <w:sz w:val="14"/>
                          <w:szCs w:val="14"/>
                        </w:rPr>
                        <w:t>Lawyers</w:t>
                      </w:r>
                    </w:p>
                    <w:p w14:paraId="54CC80B9" w14:textId="77777777" w:rsidR="008D352E" w:rsidRPr="00C44B98" w:rsidRDefault="008D352E" w:rsidP="00977798">
                      <w:pPr>
                        <w:rPr>
                          <w:rFonts w:asciiTheme="majorHAnsi" w:hAnsiTheme="majorHAnsi" w:cstheme="majorHAnsi"/>
                          <w:sz w:val="14"/>
                          <w:szCs w:val="14"/>
                        </w:rPr>
                      </w:pPr>
                      <w:r w:rsidRPr="00C44B98">
                        <w:rPr>
                          <w:rFonts w:asciiTheme="majorHAnsi" w:hAnsiTheme="majorHAnsi" w:cstheme="majorHAnsi"/>
                          <w:sz w:val="14"/>
                          <w:szCs w:val="14"/>
                        </w:rPr>
                        <w:t>Level 1</w:t>
                      </w:r>
                    </w:p>
                    <w:p w14:paraId="4473282D" w14:textId="77777777" w:rsidR="008D352E" w:rsidRPr="00C44B98" w:rsidRDefault="008D352E" w:rsidP="00977798">
                      <w:pPr>
                        <w:rPr>
                          <w:rFonts w:asciiTheme="majorHAnsi" w:hAnsiTheme="majorHAnsi" w:cstheme="majorHAnsi"/>
                          <w:sz w:val="14"/>
                          <w:szCs w:val="14"/>
                        </w:rPr>
                      </w:pPr>
                      <w:r w:rsidRPr="00C44B98">
                        <w:rPr>
                          <w:rFonts w:asciiTheme="majorHAnsi" w:hAnsiTheme="majorHAnsi" w:cstheme="majorHAnsi"/>
                          <w:sz w:val="14"/>
                          <w:szCs w:val="14"/>
                        </w:rPr>
                        <w:t>40 Macquarie Street</w:t>
                      </w:r>
                    </w:p>
                    <w:p w14:paraId="10D92091" w14:textId="77777777" w:rsidR="008D352E" w:rsidRPr="00C44B98" w:rsidRDefault="008D352E" w:rsidP="00977798">
                      <w:pPr>
                        <w:rPr>
                          <w:rFonts w:asciiTheme="majorHAnsi" w:hAnsiTheme="majorHAnsi" w:cstheme="majorHAnsi"/>
                          <w:sz w:val="14"/>
                          <w:szCs w:val="14"/>
                        </w:rPr>
                      </w:pPr>
                      <w:r w:rsidRPr="00C44B98">
                        <w:rPr>
                          <w:rFonts w:asciiTheme="majorHAnsi" w:hAnsiTheme="majorHAnsi" w:cstheme="majorHAnsi"/>
                          <w:sz w:val="14"/>
                          <w:szCs w:val="14"/>
                        </w:rPr>
                        <w:t>Barton ACT 2600 Australia</w:t>
                      </w:r>
                    </w:p>
                    <w:p w14:paraId="74C30276" w14:textId="77777777" w:rsidR="008D352E" w:rsidRPr="00C44B98" w:rsidRDefault="008D352E" w:rsidP="00977798">
                      <w:pPr>
                        <w:spacing w:before="120"/>
                        <w:rPr>
                          <w:rFonts w:asciiTheme="majorHAnsi" w:hAnsiTheme="majorHAnsi" w:cstheme="majorHAnsi"/>
                          <w:sz w:val="14"/>
                          <w:szCs w:val="14"/>
                        </w:rPr>
                      </w:pPr>
                      <w:r w:rsidRPr="00C44B98">
                        <w:rPr>
                          <w:rFonts w:asciiTheme="majorHAnsi" w:hAnsiTheme="majorHAnsi" w:cstheme="majorHAnsi"/>
                          <w:sz w:val="14"/>
                          <w:szCs w:val="14"/>
                        </w:rPr>
                        <w:t>Telephone 61 2 6120 4800</w:t>
                      </w:r>
                    </w:p>
                    <w:p w14:paraId="78425403" w14:textId="77777777" w:rsidR="008D352E" w:rsidRPr="00C44B98" w:rsidRDefault="008D352E" w:rsidP="00977798">
                      <w:pPr>
                        <w:rPr>
                          <w:rFonts w:asciiTheme="majorHAnsi" w:hAnsiTheme="majorHAnsi" w:cstheme="majorHAnsi"/>
                          <w:sz w:val="14"/>
                          <w:szCs w:val="14"/>
                        </w:rPr>
                      </w:pPr>
                      <w:r w:rsidRPr="00C44B98">
                        <w:rPr>
                          <w:rFonts w:asciiTheme="majorHAnsi" w:hAnsiTheme="majorHAnsi" w:cstheme="majorHAnsi"/>
                          <w:sz w:val="14"/>
                          <w:szCs w:val="14"/>
                        </w:rPr>
                        <w:t>Facsimile 61 2 6230 1479</w:t>
                      </w:r>
                    </w:p>
                    <w:p w14:paraId="239DEDB4" w14:textId="77777777" w:rsidR="008D352E" w:rsidRPr="00C44B98" w:rsidRDefault="008D352E" w:rsidP="00977798">
                      <w:pPr>
                        <w:spacing w:before="120"/>
                        <w:rPr>
                          <w:rFonts w:asciiTheme="majorHAnsi" w:hAnsiTheme="majorHAnsi" w:cstheme="majorHAnsi"/>
                          <w:sz w:val="14"/>
                          <w:szCs w:val="14"/>
                        </w:rPr>
                      </w:pPr>
                      <w:r w:rsidRPr="00C44B98">
                        <w:rPr>
                          <w:rFonts w:asciiTheme="majorHAnsi" w:hAnsiTheme="majorHAnsi" w:cstheme="majorHAnsi"/>
                          <w:sz w:val="14"/>
                          <w:szCs w:val="14"/>
                        </w:rPr>
                        <w:t>info@maddocks.com.au</w:t>
                      </w:r>
                    </w:p>
                    <w:p w14:paraId="7CB4DA8B" w14:textId="77777777" w:rsidR="008D352E" w:rsidRPr="00C44B98" w:rsidRDefault="008D352E" w:rsidP="00977798">
                      <w:pPr>
                        <w:rPr>
                          <w:rFonts w:asciiTheme="majorHAnsi" w:hAnsiTheme="majorHAnsi" w:cstheme="majorHAnsi"/>
                          <w:sz w:val="14"/>
                          <w:szCs w:val="14"/>
                        </w:rPr>
                      </w:pPr>
                      <w:r w:rsidRPr="00C44B98">
                        <w:rPr>
                          <w:rFonts w:asciiTheme="majorHAnsi" w:hAnsiTheme="majorHAnsi" w:cstheme="majorHAnsi"/>
                          <w:sz w:val="14"/>
                          <w:szCs w:val="14"/>
                        </w:rPr>
                        <w:t>www.maddocks.com.au</w:t>
                      </w:r>
                    </w:p>
                  </w:txbxContent>
                </v:textbox>
                <w10:wrap type="square" anchorx="page" anchory="page"/>
              </v:shape>
            </w:pict>
          </mc:Fallback>
        </mc:AlternateContent>
      </w:r>
      <w:r w:rsidR="00977798" w:rsidRPr="002E448B">
        <w:rPr>
          <w:rFonts w:asciiTheme="majorHAnsi" w:hAnsiTheme="majorHAnsi" w:cstheme="majorHAnsi"/>
          <w:noProof/>
        </w:rPr>
        <w:drawing>
          <wp:anchor distT="0" distB="0" distL="114300" distR="0" simplePos="0" relativeHeight="251667456" behindDoc="0" locked="0" layoutInCell="1" allowOverlap="0" wp14:anchorId="62E52079" wp14:editId="3DDCB889">
            <wp:simplePos x="0" y="0"/>
            <wp:positionH relativeFrom="page">
              <wp:posOffset>5786120</wp:posOffset>
            </wp:positionH>
            <wp:positionV relativeFrom="page">
              <wp:posOffset>361950</wp:posOffset>
            </wp:positionV>
            <wp:extent cx="1552575" cy="371475"/>
            <wp:effectExtent l="0" t="0" r="9525" b="9525"/>
            <wp:wrapSquare wrapText="bothSides"/>
            <wp:docPr id="8" name="Picture 4" descr="Maddock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552575" cy="3714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064F828" w14:textId="77777777" w:rsidR="00977798" w:rsidRPr="002E448B" w:rsidRDefault="00977798" w:rsidP="00977798">
      <w:pPr>
        <w:pStyle w:val="covTitle"/>
        <w:spacing w:before="120"/>
        <w:ind w:left="0" w:firstLine="397"/>
        <w:rPr>
          <w:rFonts w:asciiTheme="majorHAnsi" w:hAnsiTheme="majorHAnsi" w:cstheme="majorHAnsi"/>
        </w:rPr>
      </w:pPr>
    </w:p>
    <w:p w14:paraId="0C90C0A5" w14:textId="77777777" w:rsidR="00977798" w:rsidRPr="002E448B" w:rsidRDefault="00977798" w:rsidP="00977798">
      <w:pPr>
        <w:pStyle w:val="covTitle"/>
        <w:spacing w:before="120"/>
        <w:ind w:left="0" w:firstLine="397"/>
        <w:rPr>
          <w:rFonts w:asciiTheme="majorHAnsi" w:hAnsiTheme="majorHAnsi" w:cstheme="majorHAnsi"/>
        </w:rPr>
      </w:pPr>
    </w:p>
    <w:p w14:paraId="283B3091" w14:textId="77777777" w:rsidR="00977798" w:rsidRPr="002E448B" w:rsidRDefault="00977798" w:rsidP="00977798">
      <w:pPr>
        <w:pStyle w:val="covTitle"/>
        <w:spacing w:before="120"/>
        <w:ind w:left="0" w:firstLine="397"/>
        <w:rPr>
          <w:rFonts w:asciiTheme="majorHAnsi" w:hAnsiTheme="majorHAnsi" w:cstheme="majorHAnsi"/>
        </w:rPr>
      </w:pPr>
    </w:p>
    <w:p w14:paraId="01C2EE1E" w14:textId="77777777" w:rsidR="00977798" w:rsidRPr="002E448B" w:rsidRDefault="00977798" w:rsidP="00977798">
      <w:pPr>
        <w:pStyle w:val="covTitle"/>
        <w:spacing w:before="120" w:line="480" w:lineRule="auto"/>
        <w:ind w:left="0" w:firstLine="397"/>
        <w:rPr>
          <w:rFonts w:asciiTheme="majorHAnsi" w:hAnsiTheme="majorHAnsi" w:cstheme="majorHAnsi"/>
        </w:rPr>
      </w:pPr>
    </w:p>
    <w:p w14:paraId="2E35944B" w14:textId="77777777" w:rsidR="00977798" w:rsidRPr="002E448B" w:rsidRDefault="00977798" w:rsidP="00977798">
      <w:pPr>
        <w:pStyle w:val="covTitle"/>
        <w:spacing w:before="120" w:line="480" w:lineRule="auto"/>
        <w:ind w:left="0" w:firstLine="397"/>
        <w:rPr>
          <w:rFonts w:asciiTheme="majorHAnsi" w:hAnsiTheme="majorHAnsi" w:cstheme="majorHAnsi"/>
        </w:rPr>
      </w:pPr>
    </w:p>
    <w:p w14:paraId="5886DF35" w14:textId="77777777" w:rsidR="00977798" w:rsidRPr="002E448B" w:rsidRDefault="00977798" w:rsidP="00977798">
      <w:pPr>
        <w:pStyle w:val="covBodyText"/>
        <w:rPr>
          <w:rFonts w:asciiTheme="majorHAnsi" w:hAnsiTheme="majorHAnsi" w:cstheme="majorHAnsi"/>
        </w:rPr>
      </w:pPr>
    </w:p>
    <w:p w14:paraId="5BAC1E85" w14:textId="77777777" w:rsidR="00DC3BC8" w:rsidRPr="002E448B" w:rsidRDefault="00DC3BC8" w:rsidP="00977798">
      <w:pPr>
        <w:pStyle w:val="covTitle"/>
        <w:spacing w:before="120" w:after="240" w:line="360" w:lineRule="auto"/>
        <w:ind w:left="0"/>
        <w:rPr>
          <w:rFonts w:asciiTheme="majorHAnsi" w:hAnsiTheme="majorHAnsi" w:cstheme="majorHAnsi"/>
          <w:sz w:val="52"/>
          <w:szCs w:val="52"/>
        </w:rPr>
      </w:pPr>
    </w:p>
    <w:p w14:paraId="44A4074B" w14:textId="77777777" w:rsidR="00DC3BC8" w:rsidRPr="002E448B" w:rsidRDefault="00DC3BC8" w:rsidP="00977798">
      <w:pPr>
        <w:pStyle w:val="covTitle"/>
        <w:spacing w:before="120" w:after="240" w:line="360" w:lineRule="auto"/>
        <w:ind w:left="0"/>
        <w:rPr>
          <w:rFonts w:asciiTheme="majorHAnsi" w:hAnsiTheme="majorHAnsi" w:cstheme="majorHAnsi"/>
          <w:sz w:val="52"/>
          <w:szCs w:val="52"/>
        </w:rPr>
      </w:pPr>
    </w:p>
    <w:p w14:paraId="3F00A2B7" w14:textId="77777777" w:rsidR="00DC3BC8" w:rsidRPr="002E448B" w:rsidRDefault="00DC3BC8" w:rsidP="00977798">
      <w:pPr>
        <w:pStyle w:val="covTitle"/>
        <w:spacing w:before="120" w:after="240" w:line="360" w:lineRule="auto"/>
        <w:ind w:left="0"/>
        <w:rPr>
          <w:rFonts w:asciiTheme="majorHAnsi" w:hAnsiTheme="majorHAnsi" w:cstheme="majorHAnsi"/>
          <w:sz w:val="52"/>
          <w:szCs w:val="52"/>
        </w:rPr>
      </w:pPr>
    </w:p>
    <w:p w14:paraId="7F73076D" w14:textId="63B8AE39" w:rsidR="00977798" w:rsidRPr="002E448B" w:rsidRDefault="00977798" w:rsidP="00977798">
      <w:pPr>
        <w:pStyle w:val="covTitle"/>
        <w:spacing w:before="120" w:after="240" w:line="360" w:lineRule="auto"/>
        <w:ind w:left="0"/>
        <w:rPr>
          <w:rFonts w:asciiTheme="majorHAnsi" w:hAnsiTheme="majorHAnsi" w:cstheme="majorHAnsi"/>
          <w:sz w:val="52"/>
          <w:szCs w:val="52"/>
        </w:rPr>
      </w:pPr>
      <w:r w:rsidRPr="002E448B">
        <w:rPr>
          <w:rFonts w:asciiTheme="majorHAnsi" w:hAnsiTheme="majorHAnsi" w:cstheme="majorHAnsi"/>
          <w:sz w:val="52"/>
          <w:szCs w:val="52"/>
        </w:rPr>
        <w:t>Department of Health</w:t>
      </w:r>
    </w:p>
    <w:p w14:paraId="7AF0EA9D" w14:textId="77777777" w:rsidR="00977798" w:rsidRPr="002E448B" w:rsidRDefault="00977798" w:rsidP="00977798">
      <w:pPr>
        <w:pStyle w:val="covBodyText"/>
        <w:ind w:left="0"/>
        <w:rPr>
          <w:rFonts w:asciiTheme="majorHAnsi" w:hAnsiTheme="majorHAnsi" w:cstheme="majorHAnsi"/>
        </w:rPr>
      </w:pPr>
      <w:r w:rsidRPr="002E448B">
        <w:rPr>
          <w:rFonts w:asciiTheme="majorHAnsi" w:hAnsiTheme="majorHAnsi" w:cstheme="majorHAnsi"/>
          <w:b/>
          <w:color w:val="82002A" w:themeColor="accent1"/>
          <w:sz w:val="44"/>
        </w:rPr>
        <w:t>PHASE 1A OF THE COVID-19 VACCINE STRATEGY</w:t>
      </w:r>
      <w:r w:rsidRPr="002E448B">
        <w:rPr>
          <w:rFonts w:asciiTheme="majorHAnsi" w:hAnsiTheme="majorHAnsi" w:cstheme="majorHAnsi"/>
          <w:b/>
          <w:color w:val="82002A" w:themeColor="accent1"/>
          <w:sz w:val="44"/>
        </w:rPr>
        <w:br/>
      </w:r>
    </w:p>
    <w:p w14:paraId="0765795B" w14:textId="77777777" w:rsidR="00977798" w:rsidRPr="002E448B" w:rsidRDefault="00977798" w:rsidP="00977798">
      <w:pPr>
        <w:pStyle w:val="covBodyText"/>
        <w:spacing w:line="480" w:lineRule="auto"/>
        <w:ind w:left="0"/>
        <w:rPr>
          <w:rFonts w:asciiTheme="majorHAnsi" w:hAnsiTheme="majorHAnsi" w:cstheme="majorHAnsi"/>
          <w:b/>
          <w:i/>
          <w:iCs/>
          <w:sz w:val="40"/>
        </w:rPr>
      </w:pPr>
      <w:r w:rsidRPr="002E448B">
        <w:rPr>
          <w:rFonts w:asciiTheme="majorHAnsi" w:hAnsiTheme="majorHAnsi" w:cstheme="majorHAnsi"/>
          <w:b/>
          <w:i/>
          <w:iCs/>
          <w:sz w:val="40"/>
        </w:rPr>
        <w:t>Privacy Impact Assessment</w:t>
      </w:r>
    </w:p>
    <w:p w14:paraId="5AED5653" w14:textId="504B57EB" w:rsidR="00977798" w:rsidRPr="002E448B" w:rsidRDefault="00977798" w:rsidP="00977798">
      <w:pPr>
        <w:pStyle w:val="CoverDateWhite"/>
        <w:rPr>
          <w:rFonts w:asciiTheme="majorHAnsi" w:hAnsiTheme="majorHAnsi" w:cstheme="majorHAnsi"/>
          <w:color w:val="auto"/>
          <w:sz w:val="28"/>
        </w:rPr>
      </w:pPr>
      <w:r w:rsidRPr="002E448B">
        <w:rPr>
          <w:rFonts w:asciiTheme="majorHAnsi" w:hAnsiTheme="majorHAnsi" w:cstheme="majorHAnsi"/>
          <w:i/>
          <w:iCs/>
          <w:color w:val="auto"/>
          <w:sz w:val="28"/>
        </w:rPr>
        <w:t xml:space="preserve">Analysis as at </w:t>
      </w:r>
      <w:r w:rsidR="005075C0">
        <w:rPr>
          <w:rFonts w:asciiTheme="majorHAnsi" w:hAnsiTheme="majorHAnsi" w:cstheme="majorHAnsi"/>
          <w:i/>
          <w:iCs/>
          <w:color w:val="auto"/>
          <w:sz w:val="28"/>
        </w:rPr>
        <w:t>20</w:t>
      </w:r>
      <w:r w:rsidRPr="002E448B">
        <w:rPr>
          <w:rFonts w:asciiTheme="majorHAnsi" w:hAnsiTheme="majorHAnsi" w:cstheme="majorHAnsi"/>
          <w:i/>
          <w:iCs/>
          <w:color w:val="auto"/>
          <w:sz w:val="28"/>
        </w:rPr>
        <w:t xml:space="preserve"> February 2021 </w:t>
      </w:r>
    </w:p>
    <w:p w14:paraId="5E1585D1" w14:textId="77777777" w:rsidR="00977798" w:rsidRPr="002E448B" w:rsidRDefault="00977798" w:rsidP="00977798">
      <w:pPr>
        <w:pStyle w:val="CoverDateWhite"/>
        <w:spacing w:after="0"/>
        <w:ind w:left="426"/>
        <w:rPr>
          <w:rFonts w:asciiTheme="majorHAnsi" w:hAnsiTheme="majorHAnsi" w:cstheme="majorHAnsi"/>
          <w:color w:val="auto"/>
          <w:sz w:val="20"/>
        </w:rPr>
      </w:pPr>
    </w:p>
    <w:p w14:paraId="7ABB90B1" w14:textId="77777777" w:rsidR="00977798" w:rsidRPr="002E448B" w:rsidRDefault="00977798" w:rsidP="00977798">
      <w:pPr>
        <w:pStyle w:val="CoverDateWhite"/>
        <w:spacing w:after="0"/>
        <w:ind w:left="426"/>
        <w:rPr>
          <w:rFonts w:asciiTheme="majorHAnsi" w:hAnsiTheme="majorHAnsi" w:cstheme="majorHAnsi"/>
          <w:color w:val="auto"/>
          <w:sz w:val="20"/>
        </w:rPr>
      </w:pPr>
    </w:p>
    <w:p w14:paraId="08AADA7A" w14:textId="77777777" w:rsidR="00977798" w:rsidRPr="002E448B" w:rsidRDefault="00977798" w:rsidP="00977798">
      <w:pPr>
        <w:pStyle w:val="mainTitle"/>
        <w:ind w:left="1702" w:hanging="1702"/>
        <w:rPr>
          <w:rFonts w:asciiTheme="majorHAnsi" w:hAnsiTheme="majorHAnsi" w:cstheme="majorHAnsi"/>
        </w:rPr>
      </w:pPr>
      <w:r w:rsidRPr="002E448B">
        <w:rPr>
          <w:rFonts w:asciiTheme="majorHAnsi" w:hAnsiTheme="majorHAnsi" w:cstheme="majorHAnsi"/>
          <w:sz w:val="18"/>
          <w:szCs w:val="22"/>
        </w:rPr>
        <w:t xml:space="preserve">© </w:t>
      </w:r>
      <w:proofErr w:type="spellStart"/>
      <w:r w:rsidRPr="002E448B">
        <w:rPr>
          <w:rFonts w:asciiTheme="majorHAnsi" w:hAnsiTheme="majorHAnsi" w:cstheme="majorHAnsi"/>
          <w:sz w:val="18"/>
          <w:szCs w:val="22"/>
        </w:rPr>
        <w:t>Maddocks</w:t>
      </w:r>
      <w:proofErr w:type="spellEnd"/>
      <w:r w:rsidRPr="002E448B">
        <w:rPr>
          <w:rFonts w:asciiTheme="majorHAnsi" w:hAnsiTheme="majorHAnsi" w:cstheme="majorHAnsi"/>
          <w:sz w:val="18"/>
          <w:szCs w:val="22"/>
        </w:rPr>
        <w:t xml:space="preserve"> 2021</w:t>
      </w:r>
      <w:r w:rsidRPr="002E448B">
        <w:rPr>
          <w:rFonts w:asciiTheme="majorHAnsi" w:hAnsiTheme="majorHAnsi" w:cstheme="majorHAnsi"/>
        </w:rPr>
        <w:br w:type="page"/>
      </w:r>
    </w:p>
    <w:bookmarkStart w:id="12" w:name="_Ref59399100" w:displacedByCustomXml="next"/>
    <w:bookmarkStart w:id="13" w:name="_Toc64655029" w:displacedByCustomXml="next"/>
    <w:sdt>
      <w:sdtPr>
        <w:rPr>
          <w:rFonts w:asciiTheme="majorHAnsi" w:eastAsiaTheme="minorEastAsia" w:hAnsiTheme="majorHAnsi" w:cstheme="majorHAnsi"/>
          <w:b w:val="0"/>
          <w:sz w:val="3276"/>
          <w:szCs w:val="3276"/>
          <w:lang w:eastAsia="en-AU"/>
        </w:rPr>
        <w:id w:val="891073889"/>
        <w:docPartObj>
          <w:docPartGallery w:val="Table of Contents"/>
          <w:docPartUnique/>
        </w:docPartObj>
      </w:sdtPr>
      <w:sdtEndPr>
        <w:rPr>
          <w:rFonts w:eastAsia="Calibri Light"/>
          <w:bCs/>
          <w:noProof/>
          <w:sz w:val="20"/>
          <w:szCs w:val="20"/>
          <w:lang w:val="en-US"/>
        </w:rPr>
      </w:sdtEndPr>
      <w:sdtContent>
        <w:p w14:paraId="6CD8E086" w14:textId="77777777" w:rsidR="00DC3BC8" w:rsidRPr="002E448B" w:rsidRDefault="00DC3BC8" w:rsidP="00DC3BC8">
          <w:pPr>
            <w:pStyle w:val="mainTitle"/>
            <w:ind w:left="1702" w:hanging="1702"/>
            <w:rPr>
              <w:rFonts w:asciiTheme="majorHAnsi" w:hAnsiTheme="majorHAnsi" w:cstheme="majorHAnsi"/>
            </w:rPr>
          </w:pPr>
          <w:r w:rsidRPr="002E448B">
            <w:rPr>
              <w:rFonts w:asciiTheme="majorHAnsi" w:hAnsiTheme="majorHAnsi" w:cstheme="majorHAnsi"/>
            </w:rPr>
            <w:t>Contents</w:t>
          </w:r>
        </w:p>
        <w:p w14:paraId="2BF8EB90" w14:textId="4B15D19F" w:rsidR="002E448B" w:rsidRPr="002E448B" w:rsidRDefault="00DC3BC8">
          <w:pPr>
            <w:pStyle w:val="TOC1"/>
            <w:rPr>
              <w:rFonts w:asciiTheme="majorHAnsi" w:eastAsiaTheme="minorEastAsia" w:hAnsiTheme="majorHAnsi" w:cstheme="majorHAnsi"/>
              <w:b w:val="0"/>
              <w:noProof/>
              <w:sz w:val="22"/>
              <w:szCs w:val="22"/>
              <w:lang w:eastAsia="en-AU"/>
            </w:rPr>
          </w:pPr>
          <w:r w:rsidRPr="002E448B">
            <w:rPr>
              <w:rFonts w:asciiTheme="majorHAnsi" w:hAnsiTheme="majorHAnsi" w:cstheme="majorHAnsi"/>
              <w:sz w:val="22"/>
            </w:rPr>
            <w:fldChar w:fldCharType="begin" w:fldLock="1"/>
          </w:r>
          <w:r w:rsidRPr="002E448B">
            <w:rPr>
              <w:rFonts w:asciiTheme="majorHAnsi" w:hAnsiTheme="majorHAnsi" w:cstheme="majorHAnsi"/>
              <w:sz w:val="22"/>
            </w:rPr>
            <w:instrText xml:space="preserve"> TOC \h \z \t "Heading 1,2,Numpara1,2,legalAttachment,1,legalPart,1" </w:instrText>
          </w:r>
          <w:r w:rsidRPr="002E448B">
            <w:rPr>
              <w:rFonts w:asciiTheme="majorHAnsi" w:hAnsiTheme="majorHAnsi" w:cstheme="majorHAnsi"/>
              <w:sz w:val="22"/>
            </w:rPr>
            <w:fldChar w:fldCharType="separate"/>
          </w:r>
          <w:hyperlink w:anchor="_Toc64657532" w:history="1">
            <w:r w:rsidR="002E448B" w:rsidRPr="002E448B">
              <w:rPr>
                <w:rStyle w:val="Hyperlink"/>
                <w:rFonts w:asciiTheme="majorHAnsi" w:hAnsiTheme="majorHAnsi" w:cstheme="majorHAnsi"/>
                <w:noProof/>
              </w:rPr>
              <w:t>Part A</w:t>
            </w:r>
            <w:r w:rsidR="002E448B" w:rsidRPr="002E448B">
              <w:rPr>
                <w:rFonts w:asciiTheme="majorHAnsi" w:eastAsiaTheme="minorEastAsia" w:hAnsiTheme="majorHAnsi" w:cstheme="majorHAnsi"/>
                <w:b w:val="0"/>
                <w:noProof/>
                <w:sz w:val="22"/>
                <w:szCs w:val="22"/>
                <w:lang w:eastAsia="en-AU"/>
              </w:rPr>
              <w:tab/>
            </w:r>
            <w:r w:rsidR="002E448B" w:rsidRPr="002E448B">
              <w:rPr>
                <w:rStyle w:val="Hyperlink"/>
                <w:rFonts w:asciiTheme="majorHAnsi" w:hAnsiTheme="majorHAnsi" w:cstheme="majorHAnsi"/>
                <w:noProof/>
              </w:rPr>
              <w:t>EXECUTIVE SUMMARY</w:t>
            </w:r>
            <w:r w:rsidR="002E448B" w:rsidRPr="002E448B">
              <w:rPr>
                <w:rFonts w:asciiTheme="majorHAnsi" w:hAnsiTheme="majorHAnsi" w:cstheme="majorHAnsi"/>
                <w:noProof/>
                <w:webHidden/>
              </w:rPr>
              <w:tab/>
            </w:r>
            <w:r w:rsidR="002E448B" w:rsidRPr="002E448B">
              <w:rPr>
                <w:rFonts w:asciiTheme="majorHAnsi" w:hAnsiTheme="majorHAnsi" w:cstheme="majorHAnsi"/>
                <w:noProof/>
                <w:webHidden/>
              </w:rPr>
              <w:fldChar w:fldCharType="begin" w:fldLock="1"/>
            </w:r>
            <w:r w:rsidR="002E448B" w:rsidRPr="002E448B">
              <w:rPr>
                <w:rFonts w:asciiTheme="majorHAnsi" w:hAnsiTheme="majorHAnsi" w:cstheme="majorHAnsi"/>
                <w:noProof/>
                <w:webHidden/>
              </w:rPr>
              <w:instrText xml:space="preserve"> PAGEREF _Toc64657532 \h </w:instrText>
            </w:r>
            <w:r w:rsidR="002E448B" w:rsidRPr="002E448B">
              <w:rPr>
                <w:rFonts w:asciiTheme="majorHAnsi" w:hAnsiTheme="majorHAnsi" w:cstheme="majorHAnsi"/>
                <w:noProof/>
                <w:webHidden/>
              </w:rPr>
            </w:r>
            <w:r w:rsidR="002E448B" w:rsidRPr="002E448B">
              <w:rPr>
                <w:rFonts w:asciiTheme="majorHAnsi" w:hAnsiTheme="majorHAnsi" w:cstheme="majorHAnsi"/>
                <w:noProof/>
                <w:webHidden/>
              </w:rPr>
              <w:fldChar w:fldCharType="separate"/>
            </w:r>
            <w:r w:rsidR="002E448B" w:rsidRPr="002E448B">
              <w:rPr>
                <w:rFonts w:asciiTheme="majorHAnsi" w:hAnsiTheme="majorHAnsi" w:cstheme="majorHAnsi"/>
                <w:noProof/>
                <w:webHidden/>
              </w:rPr>
              <w:t>5</w:t>
            </w:r>
            <w:r w:rsidR="002E448B" w:rsidRPr="002E448B">
              <w:rPr>
                <w:rFonts w:asciiTheme="majorHAnsi" w:hAnsiTheme="majorHAnsi" w:cstheme="majorHAnsi"/>
                <w:noProof/>
                <w:webHidden/>
              </w:rPr>
              <w:fldChar w:fldCharType="end"/>
            </w:r>
          </w:hyperlink>
        </w:p>
        <w:p w14:paraId="0771B900" w14:textId="64F9FB1F" w:rsidR="002E448B" w:rsidRPr="002E448B" w:rsidRDefault="00617D78">
          <w:pPr>
            <w:pStyle w:val="TOC2"/>
            <w:rPr>
              <w:rFonts w:asciiTheme="majorHAnsi" w:eastAsiaTheme="minorEastAsia" w:hAnsiTheme="majorHAnsi" w:cstheme="majorHAnsi"/>
              <w:noProof/>
              <w:sz w:val="22"/>
              <w:szCs w:val="22"/>
              <w:lang w:eastAsia="en-AU"/>
            </w:rPr>
          </w:pPr>
          <w:hyperlink w:anchor="_Toc64657533" w:history="1">
            <w:r w:rsidR="002E448B" w:rsidRPr="002E448B">
              <w:rPr>
                <w:rStyle w:val="Hyperlink"/>
                <w:rFonts w:asciiTheme="majorHAnsi" w:hAnsiTheme="majorHAnsi" w:cstheme="majorHAnsi"/>
                <w:noProof/>
              </w:rPr>
              <w:t>1.</w:t>
            </w:r>
            <w:r w:rsidR="002E448B" w:rsidRPr="002E448B">
              <w:rPr>
                <w:rFonts w:asciiTheme="majorHAnsi" w:eastAsiaTheme="minorEastAsia" w:hAnsiTheme="majorHAnsi" w:cstheme="majorHAnsi"/>
                <w:noProof/>
                <w:sz w:val="22"/>
                <w:szCs w:val="22"/>
                <w:lang w:eastAsia="en-AU"/>
              </w:rPr>
              <w:tab/>
            </w:r>
            <w:r w:rsidR="002E448B" w:rsidRPr="002E448B">
              <w:rPr>
                <w:rStyle w:val="Hyperlink"/>
                <w:rFonts w:asciiTheme="majorHAnsi" w:hAnsiTheme="majorHAnsi" w:cstheme="majorHAnsi"/>
                <w:noProof/>
              </w:rPr>
              <w:t>Introduction</w:t>
            </w:r>
            <w:r w:rsidR="002E448B" w:rsidRPr="002E448B">
              <w:rPr>
                <w:rFonts w:asciiTheme="majorHAnsi" w:hAnsiTheme="majorHAnsi" w:cstheme="majorHAnsi"/>
                <w:noProof/>
                <w:webHidden/>
              </w:rPr>
              <w:tab/>
            </w:r>
            <w:r w:rsidR="002E448B" w:rsidRPr="002E448B">
              <w:rPr>
                <w:rFonts w:asciiTheme="majorHAnsi" w:hAnsiTheme="majorHAnsi" w:cstheme="majorHAnsi"/>
                <w:noProof/>
                <w:webHidden/>
              </w:rPr>
              <w:fldChar w:fldCharType="begin" w:fldLock="1"/>
            </w:r>
            <w:r w:rsidR="002E448B" w:rsidRPr="002E448B">
              <w:rPr>
                <w:rFonts w:asciiTheme="majorHAnsi" w:hAnsiTheme="majorHAnsi" w:cstheme="majorHAnsi"/>
                <w:noProof/>
                <w:webHidden/>
              </w:rPr>
              <w:instrText xml:space="preserve"> PAGEREF _Toc64657533 \h </w:instrText>
            </w:r>
            <w:r w:rsidR="002E448B" w:rsidRPr="002E448B">
              <w:rPr>
                <w:rFonts w:asciiTheme="majorHAnsi" w:hAnsiTheme="majorHAnsi" w:cstheme="majorHAnsi"/>
                <w:noProof/>
                <w:webHidden/>
              </w:rPr>
            </w:r>
            <w:r w:rsidR="002E448B" w:rsidRPr="002E448B">
              <w:rPr>
                <w:rFonts w:asciiTheme="majorHAnsi" w:hAnsiTheme="majorHAnsi" w:cstheme="majorHAnsi"/>
                <w:noProof/>
                <w:webHidden/>
              </w:rPr>
              <w:fldChar w:fldCharType="separate"/>
            </w:r>
            <w:r w:rsidR="002E448B" w:rsidRPr="002E448B">
              <w:rPr>
                <w:rFonts w:asciiTheme="majorHAnsi" w:hAnsiTheme="majorHAnsi" w:cstheme="majorHAnsi"/>
                <w:noProof/>
                <w:webHidden/>
              </w:rPr>
              <w:t>5</w:t>
            </w:r>
            <w:r w:rsidR="002E448B" w:rsidRPr="002E448B">
              <w:rPr>
                <w:rFonts w:asciiTheme="majorHAnsi" w:hAnsiTheme="majorHAnsi" w:cstheme="majorHAnsi"/>
                <w:noProof/>
                <w:webHidden/>
              </w:rPr>
              <w:fldChar w:fldCharType="end"/>
            </w:r>
          </w:hyperlink>
        </w:p>
        <w:p w14:paraId="30D2E5A1" w14:textId="6F56E82B" w:rsidR="002E448B" w:rsidRPr="002E448B" w:rsidRDefault="00617D78">
          <w:pPr>
            <w:pStyle w:val="TOC2"/>
            <w:rPr>
              <w:rFonts w:asciiTheme="majorHAnsi" w:eastAsiaTheme="minorEastAsia" w:hAnsiTheme="majorHAnsi" w:cstheme="majorHAnsi"/>
              <w:noProof/>
              <w:sz w:val="22"/>
              <w:szCs w:val="22"/>
              <w:lang w:eastAsia="en-AU"/>
            </w:rPr>
          </w:pPr>
          <w:hyperlink w:anchor="_Toc64657534" w:history="1">
            <w:r w:rsidR="002E448B" w:rsidRPr="002E448B">
              <w:rPr>
                <w:rStyle w:val="Hyperlink"/>
                <w:rFonts w:asciiTheme="majorHAnsi" w:hAnsiTheme="majorHAnsi" w:cstheme="majorHAnsi"/>
                <w:noProof/>
              </w:rPr>
              <w:t>2.</w:t>
            </w:r>
            <w:r w:rsidR="002E448B" w:rsidRPr="002E448B">
              <w:rPr>
                <w:rFonts w:asciiTheme="majorHAnsi" w:eastAsiaTheme="minorEastAsia" w:hAnsiTheme="majorHAnsi" w:cstheme="majorHAnsi"/>
                <w:noProof/>
                <w:sz w:val="22"/>
                <w:szCs w:val="22"/>
                <w:lang w:eastAsia="en-AU"/>
              </w:rPr>
              <w:tab/>
            </w:r>
            <w:r w:rsidR="002E448B" w:rsidRPr="002E448B">
              <w:rPr>
                <w:rStyle w:val="Hyperlink"/>
                <w:rFonts w:asciiTheme="majorHAnsi" w:hAnsiTheme="majorHAnsi" w:cstheme="majorHAnsi"/>
                <w:noProof/>
              </w:rPr>
              <w:t>This PIA process</w:t>
            </w:r>
            <w:r w:rsidR="002E448B" w:rsidRPr="002E448B">
              <w:rPr>
                <w:rFonts w:asciiTheme="majorHAnsi" w:hAnsiTheme="majorHAnsi" w:cstheme="majorHAnsi"/>
                <w:noProof/>
                <w:webHidden/>
              </w:rPr>
              <w:tab/>
            </w:r>
            <w:r w:rsidR="002E448B" w:rsidRPr="002E448B">
              <w:rPr>
                <w:rFonts w:asciiTheme="majorHAnsi" w:hAnsiTheme="majorHAnsi" w:cstheme="majorHAnsi"/>
                <w:noProof/>
                <w:webHidden/>
              </w:rPr>
              <w:fldChar w:fldCharType="begin" w:fldLock="1"/>
            </w:r>
            <w:r w:rsidR="002E448B" w:rsidRPr="002E448B">
              <w:rPr>
                <w:rFonts w:asciiTheme="majorHAnsi" w:hAnsiTheme="majorHAnsi" w:cstheme="majorHAnsi"/>
                <w:noProof/>
                <w:webHidden/>
              </w:rPr>
              <w:instrText xml:space="preserve"> PAGEREF _Toc64657534 \h </w:instrText>
            </w:r>
            <w:r w:rsidR="002E448B" w:rsidRPr="002E448B">
              <w:rPr>
                <w:rFonts w:asciiTheme="majorHAnsi" w:hAnsiTheme="majorHAnsi" w:cstheme="majorHAnsi"/>
                <w:noProof/>
                <w:webHidden/>
              </w:rPr>
            </w:r>
            <w:r w:rsidR="002E448B" w:rsidRPr="002E448B">
              <w:rPr>
                <w:rFonts w:asciiTheme="majorHAnsi" w:hAnsiTheme="majorHAnsi" w:cstheme="majorHAnsi"/>
                <w:noProof/>
                <w:webHidden/>
              </w:rPr>
              <w:fldChar w:fldCharType="separate"/>
            </w:r>
            <w:r w:rsidR="002E448B" w:rsidRPr="002E448B">
              <w:rPr>
                <w:rFonts w:asciiTheme="majorHAnsi" w:hAnsiTheme="majorHAnsi" w:cstheme="majorHAnsi"/>
                <w:noProof/>
                <w:webHidden/>
              </w:rPr>
              <w:t>6</w:t>
            </w:r>
            <w:r w:rsidR="002E448B" w:rsidRPr="002E448B">
              <w:rPr>
                <w:rFonts w:asciiTheme="majorHAnsi" w:hAnsiTheme="majorHAnsi" w:cstheme="majorHAnsi"/>
                <w:noProof/>
                <w:webHidden/>
              </w:rPr>
              <w:fldChar w:fldCharType="end"/>
            </w:r>
          </w:hyperlink>
        </w:p>
        <w:p w14:paraId="25C026E9" w14:textId="5D34B349" w:rsidR="002E448B" w:rsidRPr="002E448B" w:rsidRDefault="00617D78">
          <w:pPr>
            <w:pStyle w:val="TOC2"/>
            <w:rPr>
              <w:rFonts w:asciiTheme="majorHAnsi" w:eastAsiaTheme="minorEastAsia" w:hAnsiTheme="majorHAnsi" w:cstheme="majorHAnsi"/>
              <w:noProof/>
              <w:sz w:val="22"/>
              <w:szCs w:val="22"/>
              <w:lang w:eastAsia="en-AU"/>
            </w:rPr>
          </w:pPr>
          <w:hyperlink w:anchor="_Toc64657535" w:history="1">
            <w:r w:rsidR="002E448B" w:rsidRPr="002E448B">
              <w:rPr>
                <w:rStyle w:val="Hyperlink"/>
                <w:rFonts w:asciiTheme="majorHAnsi" w:hAnsiTheme="majorHAnsi" w:cstheme="majorHAnsi"/>
                <w:noProof/>
              </w:rPr>
              <w:t>3.</w:t>
            </w:r>
            <w:r w:rsidR="002E448B" w:rsidRPr="002E448B">
              <w:rPr>
                <w:rFonts w:asciiTheme="majorHAnsi" w:eastAsiaTheme="minorEastAsia" w:hAnsiTheme="majorHAnsi" w:cstheme="majorHAnsi"/>
                <w:noProof/>
                <w:sz w:val="22"/>
                <w:szCs w:val="22"/>
                <w:lang w:eastAsia="en-AU"/>
              </w:rPr>
              <w:tab/>
            </w:r>
            <w:r w:rsidR="002E448B" w:rsidRPr="002E448B">
              <w:rPr>
                <w:rStyle w:val="Hyperlink"/>
                <w:rFonts w:asciiTheme="majorHAnsi" w:hAnsiTheme="majorHAnsi" w:cstheme="majorHAnsi"/>
                <w:noProof/>
              </w:rPr>
              <w:t>Summary of findings</w:t>
            </w:r>
            <w:r w:rsidR="002E448B" w:rsidRPr="002E448B">
              <w:rPr>
                <w:rFonts w:asciiTheme="majorHAnsi" w:hAnsiTheme="majorHAnsi" w:cstheme="majorHAnsi"/>
                <w:noProof/>
                <w:webHidden/>
              </w:rPr>
              <w:tab/>
            </w:r>
            <w:r w:rsidR="002E448B" w:rsidRPr="002E448B">
              <w:rPr>
                <w:rFonts w:asciiTheme="majorHAnsi" w:hAnsiTheme="majorHAnsi" w:cstheme="majorHAnsi"/>
                <w:noProof/>
                <w:webHidden/>
              </w:rPr>
              <w:fldChar w:fldCharType="begin" w:fldLock="1"/>
            </w:r>
            <w:r w:rsidR="002E448B" w:rsidRPr="002E448B">
              <w:rPr>
                <w:rFonts w:asciiTheme="majorHAnsi" w:hAnsiTheme="majorHAnsi" w:cstheme="majorHAnsi"/>
                <w:noProof/>
                <w:webHidden/>
              </w:rPr>
              <w:instrText xml:space="preserve"> PAGEREF _Toc64657535 \h </w:instrText>
            </w:r>
            <w:r w:rsidR="002E448B" w:rsidRPr="002E448B">
              <w:rPr>
                <w:rFonts w:asciiTheme="majorHAnsi" w:hAnsiTheme="majorHAnsi" w:cstheme="majorHAnsi"/>
                <w:noProof/>
                <w:webHidden/>
              </w:rPr>
            </w:r>
            <w:r w:rsidR="002E448B" w:rsidRPr="002E448B">
              <w:rPr>
                <w:rFonts w:asciiTheme="majorHAnsi" w:hAnsiTheme="majorHAnsi" w:cstheme="majorHAnsi"/>
                <w:noProof/>
                <w:webHidden/>
              </w:rPr>
              <w:fldChar w:fldCharType="separate"/>
            </w:r>
            <w:r w:rsidR="002E448B" w:rsidRPr="002E448B">
              <w:rPr>
                <w:rFonts w:asciiTheme="majorHAnsi" w:hAnsiTheme="majorHAnsi" w:cstheme="majorHAnsi"/>
                <w:noProof/>
                <w:webHidden/>
              </w:rPr>
              <w:t>6</w:t>
            </w:r>
            <w:r w:rsidR="002E448B" w:rsidRPr="002E448B">
              <w:rPr>
                <w:rFonts w:asciiTheme="majorHAnsi" w:hAnsiTheme="majorHAnsi" w:cstheme="majorHAnsi"/>
                <w:noProof/>
                <w:webHidden/>
              </w:rPr>
              <w:fldChar w:fldCharType="end"/>
            </w:r>
          </w:hyperlink>
        </w:p>
        <w:p w14:paraId="57A16ED1" w14:textId="2D4E3317" w:rsidR="002E448B" w:rsidRPr="002E448B" w:rsidRDefault="00617D78">
          <w:pPr>
            <w:pStyle w:val="TOC2"/>
            <w:rPr>
              <w:rFonts w:asciiTheme="majorHAnsi" w:eastAsiaTheme="minorEastAsia" w:hAnsiTheme="majorHAnsi" w:cstheme="majorHAnsi"/>
              <w:noProof/>
              <w:sz w:val="22"/>
              <w:szCs w:val="22"/>
              <w:lang w:eastAsia="en-AU"/>
            </w:rPr>
          </w:pPr>
          <w:hyperlink w:anchor="_Toc64657536" w:history="1">
            <w:r w:rsidR="002E448B" w:rsidRPr="002E448B">
              <w:rPr>
                <w:rStyle w:val="Hyperlink"/>
                <w:rFonts w:asciiTheme="majorHAnsi" w:hAnsiTheme="majorHAnsi" w:cstheme="majorHAnsi"/>
                <w:noProof/>
              </w:rPr>
              <w:t>4.</w:t>
            </w:r>
            <w:r w:rsidR="002E448B" w:rsidRPr="002E448B">
              <w:rPr>
                <w:rFonts w:asciiTheme="majorHAnsi" w:eastAsiaTheme="minorEastAsia" w:hAnsiTheme="majorHAnsi" w:cstheme="majorHAnsi"/>
                <w:noProof/>
                <w:sz w:val="22"/>
                <w:szCs w:val="22"/>
                <w:lang w:eastAsia="en-AU"/>
              </w:rPr>
              <w:tab/>
            </w:r>
            <w:r w:rsidR="002E448B" w:rsidRPr="002E448B">
              <w:rPr>
                <w:rStyle w:val="Hyperlink"/>
                <w:rFonts w:asciiTheme="majorHAnsi" w:hAnsiTheme="majorHAnsi" w:cstheme="majorHAnsi"/>
                <w:noProof/>
              </w:rPr>
              <w:t>Recommendations</w:t>
            </w:r>
            <w:r w:rsidR="002E448B" w:rsidRPr="002E448B">
              <w:rPr>
                <w:rFonts w:asciiTheme="majorHAnsi" w:hAnsiTheme="majorHAnsi" w:cstheme="majorHAnsi"/>
                <w:noProof/>
                <w:webHidden/>
              </w:rPr>
              <w:tab/>
            </w:r>
            <w:r w:rsidR="002E448B" w:rsidRPr="002E448B">
              <w:rPr>
                <w:rFonts w:asciiTheme="majorHAnsi" w:hAnsiTheme="majorHAnsi" w:cstheme="majorHAnsi"/>
                <w:noProof/>
                <w:webHidden/>
              </w:rPr>
              <w:fldChar w:fldCharType="begin" w:fldLock="1"/>
            </w:r>
            <w:r w:rsidR="002E448B" w:rsidRPr="002E448B">
              <w:rPr>
                <w:rFonts w:asciiTheme="majorHAnsi" w:hAnsiTheme="majorHAnsi" w:cstheme="majorHAnsi"/>
                <w:noProof/>
                <w:webHidden/>
              </w:rPr>
              <w:instrText xml:space="preserve"> PAGEREF _Toc64657536 \h </w:instrText>
            </w:r>
            <w:r w:rsidR="002E448B" w:rsidRPr="002E448B">
              <w:rPr>
                <w:rFonts w:asciiTheme="majorHAnsi" w:hAnsiTheme="majorHAnsi" w:cstheme="majorHAnsi"/>
                <w:noProof/>
                <w:webHidden/>
              </w:rPr>
            </w:r>
            <w:r w:rsidR="002E448B" w:rsidRPr="002E448B">
              <w:rPr>
                <w:rFonts w:asciiTheme="majorHAnsi" w:hAnsiTheme="majorHAnsi" w:cstheme="majorHAnsi"/>
                <w:noProof/>
                <w:webHidden/>
              </w:rPr>
              <w:fldChar w:fldCharType="separate"/>
            </w:r>
            <w:r w:rsidR="002E448B" w:rsidRPr="002E448B">
              <w:rPr>
                <w:rFonts w:asciiTheme="majorHAnsi" w:hAnsiTheme="majorHAnsi" w:cstheme="majorHAnsi"/>
                <w:noProof/>
                <w:webHidden/>
              </w:rPr>
              <w:t>8</w:t>
            </w:r>
            <w:r w:rsidR="002E448B" w:rsidRPr="002E448B">
              <w:rPr>
                <w:rFonts w:asciiTheme="majorHAnsi" w:hAnsiTheme="majorHAnsi" w:cstheme="majorHAnsi"/>
                <w:noProof/>
                <w:webHidden/>
              </w:rPr>
              <w:fldChar w:fldCharType="end"/>
            </w:r>
          </w:hyperlink>
        </w:p>
        <w:p w14:paraId="67252E47" w14:textId="536507A5" w:rsidR="002E448B" w:rsidRPr="002E448B" w:rsidRDefault="00617D78">
          <w:pPr>
            <w:pStyle w:val="TOC1"/>
            <w:rPr>
              <w:rFonts w:asciiTheme="majorHAnsi" w:eastAsiaTheme="minorEastAsia" w:hAnsiTheme="majorHAnsi" w:cstheme="majorHAnsi"/>
              <w:b w:val="0"/>
              <w:noProof/>
              <w:sz w:val="22"/>
              <w:szCs w:val="22"/>
              <w:lang w:eastAsia="en-AU"/>
            </w:rPr>
          </w:pPr>
          <w:hyperlink w:anchor="_Toc64657537" w:history="1">
            <w:r w:rsidR="002E448B" w:rsidRPr="002E448B">
              <w:rPr>
                <w:rStyle w:val="Hyperlink"/>
                <w:rFonts w:asciiTheme="majorHAnsi" w:hAnsiTheme="majorHAnsi" w:cstheme="majorHAnsi"/>
                <w:noProof/>
              </w:rPr>
              <w:t>Part B</w:t>
            </w:r>
            <w:r w:rsidR="002E448B" w:rsidRPr="002E448B">
              <w:rPr>
                <w:rFonts w:asciiTheme="majorHAnsi" w:eastAsiaTheme="minorEastAsia" w:hAnsiTheme="majorHAnsi" w:cstheme="majorHAnsi"/>
                <w:b w:val="0"/>
                <w:noProof/>
                <w:sz w:val="22"/>
                <w:szCs w:val="22"/>
                <w:lang w:eastAsia="en-AU"/>
              </w:rPr>
              <w:tab/>
            </w:r>
            <w:r w:rsidR="002E448B" w:rsidRPr="002E448B">
              <w:rPr>
                <w:rStyle w:val="Hyperlink"/>
                <w:rFonts w:asciiTheme="majorHAnsi" w:hAnsiTheme="majorHAnsi" w:cstheme="majorHAnsi"/>
                <w:noProof/>
              </w:rPr>
              <w:t>METHODOLOGY AND ASSUMPTIONS</w:t>
            </w:r>
            <w:r w:rsidR="002E448B" w:rsidRPr="002E448B">
              <w:rPr>
                <w:rFonts w:asciiTheme="majorHAnsi" w:hAnsiTheme="majorHAnsi" w:cstheme="majorHAnsi"/>
                <w:noProof/>
                <w:webHidden/>
              </w:rPr>
              <w:tab/>
            </w:r>
            <w:r w:rsidR="002E448B" w:rsidRPr="002E448B">
              <w:rPr>
                <w:rFonts w:asciiTheme="majorHAnsi" w:hAnsiTheme="majorHAnsi" w:cstheme="majorHAnsi"/>
                <w:noProof/>
                <w:webHidden/>
              </w:rPr>
              <w:fldChar w:fldCharType="begin" w:fldLock="1"/>
            </w:r>
            <w:r w:rsidR="002E448B" w:rsidRPr="002E448B">
              <w:rPr>
                <w:rFonts w:asciiTheme="majorHAnsi" w:hAnsiTheme="majorHAnsi" w:cstheme="majorHAnsi"/>
                <w:noProof/>
                <w:webHidden/>
              </w:rPr>
              <w:instrText xml:space="preserve"> PAGEREF _Toc64657537 \h </w:instrText>
            </w:r>
            <w:r w:rsidR="002E448B" w:rsidRPr="002E448B">
              <w:rPr>
                <w:rFonts w:asciiTheme="majorHAnsi" w:hAnsiTheme="majorHAnsi" w:cstheme="majorHAnsi"/>
                <w:noProof/>
                <w:webHidden/>
              </w:rPr>
            </w:r>
            <w:r w:rsidR="002E448B" w:rsidRPr="002E448B">
              <w:rPr>
                <w:rFonts w:asciiTheme="majorHAnsi" w:hAnsiTheme="majorHAnsi" w:cstheme="majorHAnsi"/>
                <w:noProof/>
                <w:webHidden/>
              </w:rPr>
              <w:fldChar w:fldCharType="separate"/>
            </w:r>
            <w:r w:rsidR="002E448B" w:rsidRPr="002E448B">
              <w:rPr>
                <w:rFonts w:asciiTheme="majorHAnsi" w:hAnsiTheme="majorHAnsi" w:cstheme="majorHAnsi"/>
                <w:noProof/>
                <w:webHidden/>
              </w:rPr>
              <w:t>15</w:t>
            </w:r>
            <w:r w:rsidR="002E448B" w:rsidRPr="002E448B">
              <w:rPr>
                <w:rFonts w:asciiTheme="majorHAnsi" w:hAnsiTheme="majorHAnsi" w:cstheme="majorHAnsi"/>
                <w:noProof/>
                <w:webHidden/>
              </w:rPr>
              <w:fldChar w:fldCharType="end"/>
            </w:r>
          </w:hyperlink>
        </w:p>
        <w:p w14:paraId="186D3848" w14:textId="4E6B11D8" w:rsidR="002E448B" w:rsidRPr="002E448B" w:rsidRDefault="00617D78">
          <w:pPr>
            <w:pStyle w:val="TOC2"/>
            <w:rPr>
              <w:rFonts w:asciiTheme="majorHAnsi" w:eastAsiaTheme="minorEastAsia" w:hAnsiTheme="majorHAnsi" w:cstheme="majorHAnsi"/>
              <w:noProof/>
              <w:sz w:val="22"/>
              <w:szCs w:val="22"/>
              <w:lang w:eastAsia="en-AU"/>
            </w:rPr>
          </w:pPr>
          <w:hyperlink w:anchor="_Toc64657538" w:history="1">
            <w:r w:rsidR="002E448B" w:rsidRPr="002E448B">
              <w:rPr>
                <w:rStyle w:val="Hyperlink"/>
                <w:rFonts w:asciiTheme="majorHAnsi" w:hAnsiTheme="majorHAnsi" w:cstheme="majorHAnsi"/>
                <w:noProof/>
              </w:rPr>
              <w:t>5.</w:t>
            </w:r>
            <w:r w:rsidR="002E448B" w:rsidRPr="002E448B">
              <w:rPr>
                <w:rFonts w:asciiTheme="majorHAnsi" w:eastAsiaTheme="minorEastAsia" w:hAnsiTheme="majorHAnsi" w:cstheme="majorHAnsi"/>
                <w:noProof/>
                <w:sz w:val="22"/>
                <w:szCs w:val="22"/>
                <w:lang w:eastAsia="en-AU"/>
              </w:rPr>
              <w:tab/>
            </w:r>
            <w:r w:rsidR="002E448B" w:rsidRPr="002E448B">
              <w:rPr>
                <w:rStyle w:val="Hyperlink"/>
                <w:rFonts w:asciiTheme="majorHAnsi" w:hAnsiTheme="majorHAnsi" w:cstheme="majorHAnsi"/>
                <w:noProof/>
              </w:rPr>
              <w:t>Our methodology</w:t>
            </w:r>
            <w:r w:rsidR="002E448B" w:rsidRPr="002E448B">
              <w:rPr>
                <w:rFonts w:asciiTheme="majorHAnsi" w:hAnsiTheme="majorHAnsi" w:cstheme="majorHAnsi"/>
                <w:noProof/>
                <w:webHidden/>
              </w:rPr>
              <w:tab/>
            </w:r>
            <w:r w:rsidR="002E448B" w:rsidRPr="002E448B">
              <w:rPr>
                <w:rFonts w:asciiTheme="majorHAnsi" w:hAnsiTheme="majorHAnsi" w:cstheme="majorHAnsi"/>
                <w:noProof/>
                <w:webHidden/>
              </w:rPr>
              <w:fldChar w:fldCharType="begin" w:fldLock="1"/>
            </w:r>
            <w:r w:rsidR="002E448B" w:rsidRPr="002E448B">
              <w:rPr>
                <w:rFonts w:asciiTheme="majorHAnsi" w:hAnsiTheme="majorHAnsi" w:cstheme="majorHAnsi"/>
                <w:noProof/>
                <w:webHidden/>
              </w:rPr>
              <w:instrText xml:space="preserve"> PAGEREF _Toc64657538 \h </w:instrText>
            </w:r>
            <w:r w:rsidR="002E448B" w:rsidRPr="002E448B">
              <w:rPr>
                <w:rFonts w:asciiTheme="majorHAnsi" w:hAnsiTheme="majorHAnsi" w:cstheme="majorHAnsi"/>
                <w:noProof/>
                <w:webHidden/>
              </w:rPr>
            </w:r>
            <w:r w:rsidR="002E448B" w:rsidRPr="002E448B">
              <w:rPr>
                <w:rFonts w:asciiTheme="majorHAnsi" w:hAnsiTheme="majorHAnsi" w:cstheme="majorHAnsi"/>
                <w:noProof/>
                <w:webHidden/>
              </w:rPr>
              <w:fldChar w:fldCharType="separate"/>
            </w:r>
            <w:r w:rsidR="002E448B" w:rsidRPr="002E448B">
              <w:rPr>
                <w:rFonts w:asciiTheme="majorHAnsi" w:hAnsiTheme="majorHAnsi" w:cstheme="majorHAnsi"/>
                <w:noProof/>
                <w:webHidden/>
              </w:rPr>
              <w:t>15</w:t>
            </w:r>
            <w:r w:rsidR="002E448B" w:rsidRPr="002E448B">
              <w:rPr>
                <w:rFonts w:asciiTheme="majorHAnsi" w:hAnsiTheme="majorHAnsi" w:cstheme="majorHAnsi"/>
                <w:noProof/>
                <w:webHidden/>
              </w:rPr>
              <w:fldChar w:fldCharType="end"/>
            </w:r>
          </w:hyperlink>
        </w:p>
        <w:p w14:paraId="3114D782" w14:textId="22C53360" w:rsidR="002E448B" w:rsidRPr="002E448B" w:rsidRDefault="00617D78">
          <w:pPr>
            <w:pStyle w:val="TOC2"/>
            <w:rPr>
              <w:rFonts w:asciiTheme="majorHAnsi" w:eastAsiaTheme="minorEastAsia" w:hAnsiTheme="majorHAnsi" w:cstheme="majorHAnsi"/>
              <w:noProof/>
              <w:sz w:val="22"/>
              <w:szCs w:val="22"/>
              <w:lang w:eastAsia="en-AU"/>
            </w:rPr>
          </w:pPr>
          <w:hyperlink w:anchor="_Toc64657539" w:history="1">
            <w:r w:rsidR="002E448B" w:rsidRPr="002E448B">
              <w:rPr>
                <w:rStyle w:val="Hyperlink"/>
                <w:rFonts w:asciiTheme="majorHAnsi" w:hAnsiTheme="majorHAnsi" w:cstheme="majorHAnsi"/>
                <w:noProof/>
              </w:rPr>
              <w:t>6.</w:t>
            </w:r>
            <w:r w:rsidR="002E448B" w:rsidRPr="002E448B">
              <w:rPr>
                <w:rFonts w:asciiTheme="majorHAnsi" w:eastAsiaTheme="minorEastAsia" w:hAnsiTheme="majorHAnsi" w:cstheme="majorHAnsi"/>
                <w:noProof/>
                <w:sz w:val="22"/>
                <w:szCs w:val="22"/>
                <w:lang w:eastAsia="en-AU"/>
              </w:rPr>
              <w:tab/>
            </w:r>
            <w:r w:rsidR="002E448B" w:rsidRPr="002E448B">
              <w:rPr>
                <w:rStyle w:val="Hyperlink"/>
                <w:rFonts w:asciiTheme="majorHAnsi" w:hAnsiTheme="majorHAnsi" w:cstheme="majorHAnsi"/>
                <w:noProof/>
              </w:rPr>
              <w:t>Community expectations</w:t>
            </w:r>
            <w:r w:rsidR="002E448B" w:rsidRPr="002E448B">
              <w:rPr>
                <w:rFonts w:asciiTheme="majorHAnsi" w:hAnsiTheme="majorHAnsi" w:cstheme="majorHAnsi"/>
                <w:noProof/>
                <w:webHidden/>
              </w:rPr>
              <w:tab/>
            </w:r>
            <w:r w:rsidR="002E448B" w:rsidRPr="002E448B">
              <w:rPr>
                <w:rFonts w:asciiTheme="majorHAnsi" w:hAnsiTheme="majorHAnsi" w:cstheme="majorHAnsi"/>
                <w:noProof/>
                <w:webHidden/>
              </w:rPr>
              <w:fldChar w:fldCharType="begin" w:fldLock="1"/>
            </w:r>
            <w:r w:rsidR="002E448B" w:rsidRPr="002E448B">
              <w:rPr>
                <w:rFonts w:asciiTheme="majorHAnsi" w:hAnsiTheme="majorHAnsi" w:cstheme="majorHAnsi"/>
                <w:noProof/>
                <w:webHidden/>
              </w:rPr>
              <w:instrText xml:space="preserve"> PAGEREF _Toc64657539 \h </w:instrText>
            </w:r>
            <w:r w:rsidR="002E448B" w:rsidRPr="002E448B">
              <w:rPr>
                <w:rFonts w:asciiTheme="majorHAnsi" w:hAnsiTheme="majorHAnsi" w:cstheme="majorHAnsi"/>
                <w:noProof/>
                <w:webHidden/>
              </w:rPr>
            </w:r>
            <w:r w:rsidR="002E448B" w:rsidRPr="002E448B">
              <w:rPr>
                <w:rFonts w:asciiTheme="majorHAnsi" w:hAnsiTheme="majorHAnsi" w:cstheme="majorHAnsi"/>
                <w:noProof/>
                <w:webHidden/>
              </w:rPr>
              <w:fldChar w:fldCharType="separate"/>
            </w:r>
            <w:r w:rsidR="002E448B" w:rsidRPr="002E448B">
              <w:rPr>
                <w:rFonts w:asciiTheme="majorHAnsi" w:hAnsiTheme="majorHAnsi" w:cstheme="majorHAnsi"/>
                <w:noProof/>
                <w:webHidden/>
              </w:rPr>
              <w:t>16</w:t>
            </w:r>
            <w:r w:rsidR="002E448B" w:rsidRPr="002E448B">
              <w:rPr>
                <w:rFonts w:asciiTheme="majorHAnsi" w:hAnsiTheme="majorHAnsi" w:cstheme="majorHAnsi"/>
                <w:noProof/>
                <w:webHidden/>
              </w:rPr>
              <w:fldChar w:fldCharType="end"/>
            </w:r>
          </w:hyperlink>
        </w:p>
        <w:p w14:paraId="079C564B" w14:textId="4929B109" w:rsidR="002E448B" w:rsidRPr="002E448B" w:rsidRDefault="00617D78">
          <w:pPr>
            <w:pStyle w:val="TOC2"/>
            <w:rPr>
              <w:rFonts w:asciiTheme="majorHAnsi" w:eastAsiaTheme="minorEastAsia" w:hAnsiTheme="majorHAnsi" w:cstheme="majorHAnsi"/>
              <w:noProof/>
              <w:sz w:val="22"/>
              <w:szCs w:val="22"/>
              <w:lang w:eastAsia="en-AU"/>
            </w:rPr>
          </w:pPr>
          <w:hyperlink w:anchor="_Toc64657540" w:history="1">
            <w:r w:rsidR="002E448B" w:rsidRPr="002E448B">
              <w:rPr>
                <w:rStyle w:val="Hyperlink"/>
                <w:rFonts w:asciiTheme="majorHAnsi" w:hAnsiTheme="majorHAnsi" w:cstheme="majorHAnsi"/>
                <w:noProof/>
              </w:rPr>
              <w:t>7.</w:t>
            </w:r>
            <w:r w:rsidR="002E448B" w:rsidRPr="002E448B">
              <w:rPr>
                <w:rFonts w:asciiTheme="majorHAnsi" w:eastAsiaTheme="minorEastAsia" w:hAnsiTheme="majorHAnsi" w:cstheme="majorHAnsi"/>
                <w:noProof/>
                <w:sz w:val="22"/>
                <w:szCs w:val="22"/>
                <w:lang w:eastAsia="en-AU"/>
              </w:rPr>
              <w:tab/>
            </w:r>
            <w:r w:rsidR="002E448B" w:rsidRPr="002E448B">
              <w:rPr>
                <w:rStyle w:val="Hyperlink"/>
                <w:rFonts w:asciiTheme="majorHAnsi" w:hAnsiTheme="majorHAnsi" w:cstheme="majorHAnsi"/>
                <w:noProof/>
              </w:rPr>
              <w:t>Assumptions and qualifications</w:t>
            </w:r>
            <w:r w:rsidR="002E448B" w:rsidRPr="002E448B">
              <w:rPr>
                <w:rFonts w:asciiTheme="majorHAnsi" w:hAnsiTheme="majorHAnsi" w:cstheme="majorHAnsi"/>
                <w:noProof/>
                <w:webHidden/>
              </w:rPr>
              <w:tab/>
            </w:r>
            <w:r w:rsidR="002E448B" w:rsidRPr="002E448B">
              <w:rPr>
                <w:rFonts w:asciiTheme="majorHAnsi" w:hAnsiTheme="majorHAnsi" w:cstheme="majorHAnsi"/>
                <w:noProof/>
                <w:webHidden/>
              </w:rPr>
              <w:fldChar w:fldCharType="begin" w:fldLock="1"/>
            </w:r>
            <w:r w:rsidR="002E448B" w:rsidRPr="002E448B">
              <w:rPr>
                <w:rFonts w:asciiTheme="majorHAnsi" w:hAnsiTheme="majorHAnsi" w:cstheme="majorHAnsi"/>
                <w:noProof/>
                <w:webHidden/>
              </w:rPr>
              <w:instrText xml:space="preserve"> PAGEREF _Toc64657540 \h </w:instrText>
            </w:r>
            <w:r w:rsidR="002E448B" w:rsidRPr="002E448B">
              <w:rPr>
                <w:rFonts w:asciiTheme="majorHAnsi" w:hAnsiTheme="majorHAnsi" w:cstheme="majorHAnsi"/>
                <w:noProof/>
                <w:webHidden/>
              </w:rPr>
            </w:r>
            <w:r w:rsidR="002E448B" w:rsidRPr="002E448B">
              <w:rPr>
                <w:rFonts w:asciiTheme="majorHAnsi" w:hAnsiTheme="majorHAnsi" w:cstheme="majorHAnsi"/>
                <w:noProof/>
                <w:webHidden/>
              </w:rPr>
              <w:fldChar w:fldCharType="separate"/>
            </w:r>
            <w:r w:rsidR="002E448B" w:rsidRPr="002E448B">
              <w:rPr>
                <w:rFonts w:asciiTheme="majorHAnsi" w:hAnsiTheme="majorHAnsi" w:cstheme="majorHAnsi"/>
                <w:noProof/>
                <w:webHidden/>
              </w:rPr>
              <w:t>17</w:t>
            </w:r>
            <w:r w:rsidR="002E448B" w:rsidRPr="002E448B">
              <w:rPr>
                <w:rFonts w:asciiTheme="majorHAnsi" w:hAnsiTheme="majorHAnsi" w:cstheme="majorHAnsi"/>
                <w:noProof/>
                <w:webHidden/>
              </w:rPr>
              <w:fldChar w:fldCharType="end"/>
            </w:r>
          </w:hyperlink>
        </w:p>
        <w:p w14:paraId="13A73A57" w14:textId="7119A333" w:rsidR="002E448B" w:rsidRPr="002E448B" w:rsidRDefault="00617D78">
          <w:pPr>
            <w:pStyle w:val="TOC1"/>
            <w:rPr>
              <w:rFonts w:asciiTheme="majorHAnsi" w:eastAsiaTheme="minorEastAsia" w:hAnsiTheme="majorHAnsi" w:cstheme="majorHAnsi"/>
              <w:b w:val="0"/>
              <w:noProof/>
              <w:sz w:val="22"/>
              <w:szCs w:val="22"/>
              <w:lang w:eastAsia="en-AU"/>
            </w:rPr>
          </w:pPr>
          <w:hyperlink w:anchor="_Toc64657541" w:history="1">
            <w:r w:rsidR="002E448B" w:rsidRPr="002E448B">
              <w:rPr>
                <w:rStyle w:val="Hyperlink"/>
                <w:rFonts w:asciiTheme="majorHAnsi" w:hAnsiTheme="majorHAnsi" w:cstheme="majorHAnsi"/>
                <w:noProof/>
              </w:rPr>
              <w:t>Part C</w:t>
            </w:r>
            <w:r w:rsidR="002E448B" w:rsidRPr="002E448B">
              <w:rPr>
                <w:rFonts w:asciiTheme="majorHAnsi" w:eastAsiaTheme="minorEastAsia" w:hAnsiTheme="majorHAnsi" w:cstheme="majorHAnsi"/>
                <w:b w:val="0"/>
                <w:noProof/>
                <w:sz w:val="22"/>
                <w:szCs w:val="22"/>
                <w:lang w:eastAsia="en-AU"/>
              </w:rPr>
              <w:tab/>
            </w:r>
            <w:r w:rsidR="002E448B" w:rsidRPr="002E448B">
              <w:rPr>
                <w:rStyle w:val="Hyperlink"/>
                <w:rFonts w:asciiTheme="majorHAnsi" w:hAnsiTheme="majorHAnsi" w:cstheme="majorHAnsi"/>
                <w:noProof/>
              </w:rPr>
              <w:t>PROJECT DESCRIPTION AND INFORMATION FLOWS</w:t>
            </w:r>
            <w:r w:rsidR="002E448B" w:rsidRPr="002E448B">
              <w:rPr>
                <w:rFonts w:asciiTheme="majorHAnsi" w:hAnsiTheme="majorHAnsi" w:cstheme="majorHAnsi"/>
                <w:noProof/>
                <w:webHidden/>
              </w:rPr>
              <w:tab/>
            </w:r>
            <w:r w:rsidR="002E448B" w:rsidRPr="002E448B">
              <w:rPr>
                <w:rFonts w:asciiTheme="majorHAnsi" w:hAnsiTheme="majorHAnsi" w:cstheme="majorHAnsi"/>
                <w:noProof/>
                <w:webHidden/>
              </w:rPr>
              <w:fldChar w:fldCharType="begin" w:fldLock="1"/>
            </w:r>
            <w:r w:rsidR="002E448B" w:rsidRPr="002E448B">
              <w:rPr>
                <w:rFonts w:asciiTheme="majorHAnsi" w:hAnsiTheme="majorHAnsi" w:cstheme="majorHAnsi"/>
                <w:noProof/>
                <w:webHidden/>
              </w:rPr>
              <w:instrText xml:space="preserve"> PAGEREF _Toc64657541 \h </w:instrText>
            </w:r>
            <w:r w:rsidR="002E448B" w:rsidRPr="002E448B">
              <w:rPr>
                <w:rFonts w:asciiTheme="majorHAnsi" w:hAnsiTheme="majorHAnsi" w:cstheme="majorHAnsi"/>
                <w:noProof/>
                <w:webHidden/>
              </w:rPr>
            </w:r>
            <w:r w:rsidR="002E448B" w:rsidRPr="002E448B">
              <w:rPr>
                <w:rFonts w:asciiTheme="majorHAnsi" w:hAnsiTheme="majorHAnsi" w:cstheme="majorHAnsi"/>
                <w:noProof/>
                <w:webHidden/>
              </w:rPr>
              <w:fldChar w:fldCharType="separate"/>
            </w:r>
            <w:r w:rsidR="002E448B" w:rsidRPr="002E448B">
              <w:rPr>
                <w:rFonts w:asciiTheme="majorHAnsi" w:hAnsiTheme="majorHAnsi" w:cstheme="majorHAnsi"/>
                <w:noProof/>
                <w:webHidden/>
              </w:rPr>
              <w:t>18</w:t>
            </w:r>
            <w:r w:rsidR="002E448B" w:rsidRPr="002E448B">
              <w:rPr>
                <w:rFonts w:asciiTheme="majorHAnsi" w:hAnsiTheme="majorHAnsi" w:cstheme="majorHAnsi"/>
                <w:noProof/>
                <w:webHidden/>
              </w:rPr>
              <w:fldChar w:fldCharType="end"/>
            </w:r>
          </w:hyperlink>
        </w:p>
        <w:p w14:paraId="1175CCD6" w14:textId="725234DC" w:rsidR="002E448B" w:rsidRPr="002E448B" w:rsidRDefault="00617D78">
          <w:pPr>
            <w:pStyle w:val="TOC2"/>
            <w:rPr>
              <w:rFonts w:asciiTheme="majorHAnsi" w:eastAsiaTheme="minorEastAsia" w:hAnsiTheme="majorHAnsi" w:cstheme="majorHAnsi"/>
              <w:noProof/>
              <w:sz w:val="22"/>
              <w:szCs w:val="22"/>
              <w:lang w:eastAsia="en-AU"/>
            </w:rPr>
          </w:pPr>
          <w:hyperlink w:anchor="_Toc64657542" w:history="1">
            <w:r w:rsidR="002E448B" w:rsidRPr="002E448B">
              <w:rPr>
                <w:rStyle w:val="Hyperlink"/>
                <w:rFonts w:asciiTheme="majorHAnsi" w:hAnsiTheme="majorHAnsi" w:cstheme="majorHAnsi"/>
                <w:noProof/>
              </w:rPr>
              <w:t>8.</w:t>
            </w:r>
            <w:r w:rsidR="002E448B" w:rsidRPr="002E448B">
              <w:rPr>
                <w:rFonts w:asciiTheme="majorHAnsi" w:eastAsiaTheme="minorEastAsia" w:hAnsiTheme="majorHAnsi" w:cstheme="majorHAnsi"/>
                <w:noProof/>
                <w:sz w:val="22"/>
                <w:szCs w:val="22"/>
                <w:lang w:eastAsia="en-AU"/>
              </w:rPr>
              <w:tab/>
            </w:r>
            <w:r w:rsidR="002E448B" w:rsidRPr="002E448B">
              <w:rPr>
                <w:rStyle w:val="Hyperlink"/>
                <w:rFonts w:asciiTheme="majorHAnsi" w:hAnsiTheme="majorHAnsi" w:cstheme="majorHAnsi"/>
                <w:noProof/>
              </w:rPr>
              <w:t>Overview of the Vaccine Strategy</w:t>
            </w:r>
            <w:r w:rsidR="002E448B" w:rsidRPr="002E448B">
              <w:rPr>
                <w:rFonts w:asciiTheme="majorHAnsi" w:hAnsiTheme="majorHAnsi" w:cstheme="majorHAnsi"/>
                <w:noProof/>
                <w:webHidden/>
              </w:rPr>
              <w:tab/>
            </w:r>
            <w:r w:rsidR="002E448B" w:rsidRPr="002E448B">
              <w:rPr>
                <w:rFonts w:asciiTheme="majorHAnsi" w:hAnsiTheme="majorHAnsi" w:cstheme="majorHAnsi"/>
                <w:noProof/>
                <w:webHidden/>
              </w:rPr>
              <w:fldChar w:fldCharType="begin" w:fldLock="1"/>
            </w:r>
            <w:r w:rsidR="002E448B" w:rsidRPr="002E448B">
              <w:rPr>
                <w:rFonts w:asciiTheme="majorHAnsi" w:hAnsiTheme="majorHAnsi" w:cstheme="majorHAnsi"/>
                <w:noProof/>
                <w:webHidden/>
              </w:rPr>
              <w:instrText xml:space="preserve"> PAGEREF _Toc64657542 \h </w:instrText>
            </w:r>
            <w:r w:rsidR="002E448B" w:rsidRPr="002E448B">
              <w:rPr>
                <w:rFonts w:asciiTheme="majorHAnsi" w:hAnsiTheme="majorHAnsi" w:cstheme="majorHAnsi"/>
                <w:noProof/>
                <w:webHidden/>
              </w:rPr>
            </w:r>
            <w:r w:rsidR="002E448B" w:rsidRPr="002E448B">
              <w:rPr>
                <w:rFonts w:asciiTheme="majorHAnsi" w:hAnsiTheme="majorHAnsi" w:cstheme="majorHAnsi"/>
                <w:noProof/>
                <w:webHidden/>
              </w:rPr>
              <w:fldChar w:fldCharType="separate"/>
            </w:r>
            <w:r w:rsidR="002E448B" w:rsidRPr="002E448B">
              <w:rPr>
                <w:rFonts w:asciiTheme="majorHAnsi" w:hAnsiTheme="majorHAnsi" w:cstheme="majorHAnsi"/>
                <w:noProof/>
                <w:webHidden/>
              </w:rPr>
              <w:t>18</w:t>
            </w:r>
            <w:r w:rsidR="002E448B" w:rsidRPr="002E448B">
              <w:rPr>
                <w:rFonts w:asciiTheme="majorHAnsi" w:hAnsiTheme="majorHAnsi" w:cstheme="majorHAnsi"/>
                <w:noProof/>
                <w:webHidden/>
              </w:rPr>
              <w:fldChar w:fldCharType="end"/>
            </w:r>
          </w:hyperlink>
        </w:p>
        <w:p w14:paraId="6F3FEE2E" w14:textId="063A454E" w:rsidR="002E448B" w:rsidRPr="002E448B" w:rsidRDefault="00617D78">
          <w:pPr>
            <w:pStyle w:val="TOC2"/>
            <w:rPr>
              <w:rFonts w:asciiTheme="majorHAnsi" w:eastAsiaTheme="minorEastAsia" w:hAnsiTheme="majorHAnsi" w:cstheme="majorHAnsi"/>
              <w:noProof/>
              <w:sz w:val="22"/>
              <w:szCs w:val="22"/>
              <w:lang w:eastAsia="en-AU"/>
            </w:rPr>
          </w:pPr>
          <w:hyperlink w:anchor="_Toc64657543" w:history="1">
            <w:r w:rsidR="002E448B" w:rsidRPr="002E448B">
              <w:rPr>
                <w:rStyle w:val="Hyperlink"/>
                <w:rFonts w:asciiTheme="majorHAnsi" w:hAnsiTheme="majorHAnsi" w:cstheme="majorHAnsi"/>
                <w:noProof/>
              </w:rPr>
              <w:t>9.</w:t>
            </w:r>
            <w:r w:rsidR="002E448B" w:rsidRPr="002E448B">
              <w:rPr>
                <w:rFonts w:asciiTheme="majorHAnsi" w:eastAsiaTheme="minorEastAsia" w:hAnsiTheme="majorHAnsi" w:cstheme="majorHAnsi"/>
                <w:noProof/>
                <w:sz w:val="22"/>
                <w:szCs w:val="22"/>
                <w:lang w:eastAsia="en-AU"/>
              </w:rPr>
              <w:tab/>
            </w:r>
            <w:r w:rsidR="002E448B" w:rsidRPr="002E448B">
              <w:rPr>
                <w:rStyle w:val="Hyperlink"/>
                <w:rFonts w:asciiTheme="majorHAnsi" w:hAnsiTheme="majorHAnsi" w:cstheme="majorHAnsi"/>
                <w:noProof/>
              </w:rPr>
              <w:t>How will Phase 1a of the Vaccine Strategy work?</w:t>
            </w:r>
            <w:r w:rsidR="002E448B" w:rsidRPr="002E448B">
              <w:rPr>
                <w:rFonts w:asciiTheme="majorHAnsi" w:hAnsiTheme="majorHAnsi" w:cstheme="majorHAnsi"/>
                <w:noProof/>
                <w:webHidden/>
              </w:rPr>
              <w:tab/>
            </w:r>
            <w:r w:rsidR="002E448B" w:rsidRPr="002E448B">
              <w:rPr>
                <w:rFonts w:asciiTheme="majorHAnsi" w:hAnsiTheme="majorHAnsi" w:cstheme="majorHAnsi"/>
                <w:noProof/>
                <w:webHidden/>
              </w:rPr>
              <w:fldChar w:fldCharType="begin" w:fldLock="1"/>
            </w:r>
            <w:r w:rsidR="002E448B" w:rsidRPr="002E448B">
              <w:rPr>
                <w:rFonts w:asciiTheme="majorHAnsi" w:hAnsiTheme="majorHAnsi" w:cstheme="majorHAnsi"/>
                <w:noProof/>
                <w:webHidden/>
              </w:rPr>
              <w:instrText xml:space="preserve"> PAGEREF _Toc64657543 \h </w:instrText>
            </w:r>
            <w:r w:rsidR="002E448B" w:rsidRPr="002E448B">
              <w:rPr>
                <w:rFonts w:asciiTheme="majorHAnsi" w:hAnsiTheme="majorHAnsi" w:cstheme="majorHAnsi"/>
                <w:noProof/>
                <w:webHidden/>
              </w:rPr>
            </w:r>
            <w:r w:rsidR="002E448B" w:rsidRPr="002E448B">
              <w:rPr>
                <w:rFonts w:asciiTheme="majorHAnsi" w:hAnsiTheme="majorHAnsi" w:cstheme="majorHAnsi"/>
                <w:noProof/>
                <w:webHidden/>
              </w:rPr>
              <w:fldChar w:fldCharType="separate"/>
            </w:r>
            <w:r w:rsidR="002E448B" w:rsidRPr="002E448B">
              <w:rPr>
                <w:rFonts w:asciiTheme="majorHAnsi" w:hAnsiTheme="majorHAnsi" w:cstheme="majorHAnsi"/>
                <w:noProof/>
                <w:webHidden/>
              </w:rPr>
              <w:t>19</w:t>
            </w:r>
            <w:r w:rsidR="002E448B" w:rsidRPr="002E448B">
              <w:rPr>
                <w:rFonts w:asciiTheme="majorHAnsi" w:hAnsiTheme="majorHAnsi" w:cstheme="majorHAnsi"/>
                <w:noProof/>
                <w:webHidden/>
              </w:rPr>
              <w:fldChar w:fldCharType="end"/>
            </w:r>
          </w:hyperlink>
        </w:p>
        <w:p w14:paraId="02A13CA5" w14:textId="65D65B81" w:rsidR="002E448B" w:rsidRPr="002E448B" w:rsidRDefault="00617D78">
          <w:pPr>
            <w:pStyle w:val="TOC1"/>
            <w:rPr>
              <w:rFonts w:asciiTheme="majorHAnsi" w:eastAsiaTheme="minorEastAsia" w:hAnsiTheme="majorHAnsi" w:cstheme="majorHAnsi"/>
              <w:b w:val="0"/>
              <w:noProof/>
              <w:sz w:val="22"/>
              <w:szCs w:val="22"/>
              <w:lang w:eastAsia="en-AU"/>
            </w:rPr>
          </w:pPr>
          <w:hyperlink w:anchor="_Toc64657544" w:history="1">
            <w:r w:rsidR="002E448B" w:rsidRPr="002E448B">
              <w:rPr>
                <w:rStyle w:val="Hyperlink"/>
                <w:rFonts w:asciiTheme="majorHAnsi" w:hAnsiTheme="majorHAnsi" w:cstheme="majorHAnsi"/>
                <w:noProof/>
              </w:rPr>
              <w:t xml:space="preserve">Part </w:t>
            </w:r>
            <w:r w:rsidR="00C5473D">
              <w:rPr>
                <w:rStyle w:val="Hyperlink"/>
                <w:rFonts w:asciiTheme="majorHAnsi" w:hAnsiTheme="majorHAnsi" w:cstheme="majorHAnsi"/>
                <w:noProof/>
              </w:rPr>
              <w:t>F</w:t>
            </w:r>
            <w:r w:rsidR="002E448B" w:rsidRPr="002E448B">
              <w:rPr>
                <w:rFonts w:asciiTheme="majorHAnsi" w:eastAsiaTheme="minorEastAsia" w:hAnsiTheme="majorHAnsi" w:cstheme="majorHAnsi"/>
                <w:b w:val="0"/>
                <w:noProof/>
                <w:sz w:val="22"/>
                <w:szCs w:val="22"/>
                <w:lang w:eastAsia="en-AU"/>
              </w:rPr>
              <w:tab/>
            </w:r>
            <w:r w:rsidR="002E448B" w:rsidRPr="002E448B">
              <w:rPr>
                <w:rStyle w:val="Hyperlink"/>
                <w:rFonts w:asciiTheme="majorHAnsi" w:hAnsiTheme="majorHAnsi" w:cstheme="majorHAnsi"/>
                <w:noProof/>
              </w:rPr>
              <w:t>GLOSSARY</w:t>
            </w:r>
            <w:r w:rsidR="002E448B" w:rsidRPr="002E448B">
              <w:rPr>
                <w:rFonts w:asciiTheme="majorHAnsi" w:hAnsiTheme="majorHAnsi" w:cstheme="majorHAnsi"/>
                <w:noProof/>
                <w:webHidden/>
              </w:rPr>
              <w:tab/>
            </w:r>
            <w:r w:rsidR="002E448B" w:rsidRPr="002E448B">
              <w:rPr>
                <w:rFonts w:asciiTheme="majorHAnsi" w:hAnsiTheme="majorHAnsi" w:cstheme="majorHAnsi"/>
                <w:noProof/>
                <w:webHidden/>
              </w:rPr>
              <w:fldChar w:fldCharType="begin" w:fldLock="1"/>
            </w:r>
            <w:r w:rsidR="002E448B" w:rsidRPr="002E448B">
              <w:rPr>
                <w:rFonts w:asciiTheme="majorHAnsi" w:hAnsiTheme="majorHAnsi" w:cstheme="majorHAnsi"/>
                <w:noProof/>
                <w:webHidden/>
              </w:rPr>
              <w:instrText xml:space="preserve"> PAGEREF _Toc64657544 \h </w:instrText>
            </w:r>
            <w:r w:rsidR="002E448B" w:rsidRPr="002E448B">
              <w:rPr>
                <w:rFonts w:asciiTheme="majorHAnsi" w:hAnsiTheme="majorHAnsi" w:cstheme="majorHAnsi"/>
                <w:noProof/>
                <w:webHidden/>
              </w:rPr>
            </w:r>
            <w:r w:rsidR="002E448B" w:rsidRPr="002E448B">
              <w:rPr>
                <w:rFonts w:asciiTheme="majorHAnsi" w:hAnsiTheme="majorHAnsi" w:cstheme="majorHAnsi"/>
                <w:noProof/>
                <w:webHidden/>
              </w:rPr>
              <w:fldChar w:fldCharType="separate"/>
            </w:r>
            <w:r w:rsidR="002E448B" w:rsidRPr="002E448B">
              <w:rPr>
                <w:rFonts w:asciiTheme="majorHAnsi" w:hAnsiTheme="majorHAnsi" w:cstheme="majorHAnsi"/>
                <w:noProof/>
                <w:webHidden/>
              </w:rPr>
              <w:t>25</w:t>
            </w:r>
            <w:r w:rsidR="002E448B" w:rsidRPr="002E448B">
              <w:rPr>
                <w:rFonts w:asciiTheme="majorHAnsi" w:hAnsiTheme="majorHAnsi" w:cstheme="majorHAnsi"/>
                <w:noProof/>
                <w:webHidden/>
              </w:rPr>
              <w:fldChar w:fldCharType="end"/>
            </w:r>
          </w:hyperlink>
        </w:p>
        <w:p w14:paraId="7EA04900" w14:textId="7D708141" w:rsidR="002E448B" w:rsidRPr="002E448B" w:rsidRDefault="00617D78">
          <w:pPr>
            <w:pStyle w:val="TOC1"/>
            <w:rPr>
              <w:rFonts w:asciiTheme="majorHAnsi" w:eastAsiaTheme="minorEastAsia" w:hAnsiTheme="majorHAnsi" w:cstheme="majorHAnsi"/>
              <w:b w:val="0"/>
              <w:noProof/>
              <w:sz w:val="22"/>
              <w:szCs w:val="22"/>
              <w:lang w:eastAsia="en-AU"/>
            </w:rPr>
          </w:pPr>
          <w:hyperlink w:anchor="_Toc64657545" w:history="1">
            <w:r w:rsidR="002E448B" w:rsidRPr="002E448B">
              <w:rPr>
                <w:rStyle w:val="Hyperlink"/>
                <w:rFonts w:asciiTheme="majorHAnsi" w:hAnsiTheme="majorHAnsi" w:cstheme="majorHAnsi"/>
                <w:noProof/>
              </w:rPr>
              <w:t>Attachment 1</w:t>
            </w:r>
            <w:r w:rsidR="002E448B" w:rsidRPr="002E448B">
              <w:rPr>
                <w:rFonts w:asciiTheme="majorHAnsi" w:eastAsiaTheme="minorEastAsia" w:hAnsiTheme="majorHAnsi" w:cstheme="majorHAnsi"/>
                <w:b w:val="0"/>
                <w:noProof/>
                <w:sz w:val="22"/>
                <w:szCs w:val="22"/>
                <w:lang w:eastAsia="en-AU"/>
              </w:rPr>
              <w:tab/>
            </w:r>
            <w:r w:rsidR="002E448B" w:rsidRPr="002E448B">
              <w:rPr>
                <w:rStyle w:val="Hyperlink"/>
                <w:rFonts w:asciiTheme="majorHAnsi" w:hAnsiTheme="majorHAnsi" w:cstheme="majorHAnsi"/>
                <w:noProof/>
              </w:rPr>
              <w:t>Diagram of Information Flows</w:t>
            </w:r>
            <w:r w:rsidR="002E448B" w:rsidRPr="002E448B">
              <w:rPr>
                <w:rFonts w:asciiTheme="majorHAnsi" w:hAnsiTheme="majorHAnsi" w:cstheme="majorHAnsi"/>
                <w:noProof/>
                <w:webHidden/>
              </w:rPr>
              <w:tab/>
            </w:r>
            <w:r w:rsidR="002E448B" w:rsidRPr="002E448B">
              <w:rPr>
                <w:rFonts w:asciiTheme="majorHAnsi" w:hAnsiTheme="majorHAnsi" w:cstheme="majorHAnsi"/>
                <w:noProof/>
                <w:webHidden/>
              </w:rPr>
              <w:fldChar w:fldCharType="begin" w:fldLock="1"/>
            </w:r>
            <w:r w:rsidR="002E448B" w:rsidRPr="002E448B">
              <w:rPr>
                <w:rFonts w:asciiTheme="majorHAnsi" w:hAnsiTheme="majorHAnsi" w:cstheme="majorHAnsi"/>
                <w:noProof/>
                <w:webHidden/>
              </w:rPr>
              <w:instrText xml:space="preserve"> PAGEREF _Toc64657545 \h </w:instrText>
            </w:r>
            <w:r w:rsidR="002E448B" w:rsidRPr="002E448B">
              <w:rPr>
                <w:rFonts w:asciiTheme="majorHAnsi" w:hAnsiTheme="majorHAnsi" w:cstheme="majorHAnsi"/>
                <w:noProof/>
                <w:webHidden/>
              </w:rPr>
            </w:r>
            <w:r w:rsidR="002E448B" w:rsidRPr="002E448B">
              <w:rPr>
                <w:rFonts w:asciiTheme="majorHAnsi" w:hAnsiTheme="majorHAnsi" w:cstheme="majorHAnsi"/>
                <w:noProof/>
                <w:webHidden/>
              </w:rPr>
              <w:fldChar w:fldCharType="separate"/>
            </w:r>
            <w:r w:rsidR="002E448B" w:rsidRPr="002E448B">
              <w:rPr>
                <w:rFonts w:asciiTheme="majorHAnsi" w:hAnsiTheme="majorHAnsi" w:cstheme="majorHAnsi"/>
                <w:noProof/>
                <w:webHidden/>
              </w:rPr>
              <w:t>28</w:t>
            </w:r>
            <w:r w:rsidR="002E448B" w:rsidRPr="002E448B">
              <w:rPr>
                <w:rFonts w:asciiTheme="majorHAnsi" w:hAnsiTheme="majorHAnsi" w:cstheme="majorHAnsi"/>
                <w:noProof/>
                <w:webHidden/>
              </w:rPr>
              <w:fldChar w:fldCharType="end"/>
            </w:r>
          </w:hyperlink>
        </w:p>
        <w:p w14:paraId="71CC79D3" w14:textId="661D74A5" w:rsidR="00DC3BC8" w:rsidRPr="002E448B" w:rsidRDefault="00DC3BC8" w:rsidP="00DC3BC8">
          <w:pPr>
            <w:rPr>
              <w:rFonts w:asciiTheme="majorHAnsi" w:hAnsiTheme="majorHAnsi" w:cstheme="majorHAnsi"/>
            </w:rPr>
          </w:pPr>
          <w:r w:rsidRPr="002E448B">
            <w:rPr>
              <w:rFonts w:asciiTheme="majorHAnsi" w:hAnsiTheme="majorHAnsi" w:cstheme="majorHAnsi"/>
              <w:color w:val="82002A"/>
              <w:sz w:val="22"/>
              <w:lang w:eastAsia="en-US"/>
            </w:rPr>
            <w:fldChar w:fldCharType="end"/>
          </w:r>
        </w:p>
      </w:sdtContent>
    </w:sdt>
    <w:p w14:paraId="4C6A9461" w14:textId="77777777" w:rsidR="00DC3BC8" w:rsidRPr="002E448B" w:rsidRDefault="00DC3BC8" w:rsidP="00DC3BC8">
      <w:pPr>
        <w:rPr>
          <w:rFonts w:asciiTheme="majorHAnsi" w:hAnsiTheme="majorHAnsi" w:cstheme="majorHAnsi"/>
        </w:rPr>
      </w:pPr>
    </w:p>
    <w:p w14:paraId="2D45BBE0" w14:textId="77777777" w:rsidR="00DC3BC8" w:rsidRPr="002E448B" w:rsidRDefault="00DC3BC8" w:rsidP="00DC3BC8">
      <w:pPr>
        <w:rPr>
          <w:rFonts w:asciiTheme="majorHAnsi" w:hAnsiTheme="majorHAnsi" w:cstheme="majorHAnsi"/>
        </w:rPr>
      </w:pPr>
      <w:r w:rsidRPr="002E448B">
        <w:rPr>
          <w:rFonts w:asciiTheme="majorHAnsi" w:hAnsiTheme="majorHAnsi" w:cstheme="majorHAnsi"/>
        </w:rPr>
        <w:br w:type="page"/>
      </w:r>
    </w:p>
    <w:p w14:paraId="5A415BB4" w14:textId="05A1DA70" w:rsidR="00140B67" w:rsidRPr="002E448B" w:rsidRDefault="00140B67" w:rsidP="00140B67">
      <w:pPr>
        <w:pStyle w:val="legalPart"/>
        <w:rPr>
          <w:rFonts w:asciiTheme="majorHAnsi" w:hAnsiTheme="majorHAnsi" w:cstheme="majorHAnsi"/>
        </w:rPr>
      </w:pPr>
      <w:bookmarkStart w:id="14" w:name="_Toc64657532"/>
      <w:r w:rsidRPr="002E448B">
        <w:rPr>
          <w:rFonts w:asciiTheme="majorHAnsi" w:hAnsiTheme="majorHAnsi" w:cstheme="majorHAnsi"/>
        </w:rPr>
        <w:t>EXECUTIVE SUMMARY</w:t>
      </w:r>
      <w:bookmarkEnd w:id="14"/>
      <w:bookmarkEnd w:id="13"/>
      <w:bookmarkEnd w:id="12"/>
    </w:p>
    <w:p w14:paraId="1867EF1F" w14:textId="77777777" w:rsidR="00140B67" w:rsidRPr="002E448B" w:rsidRDefault="00140B67" w:rsidP="00140B67">
      <w:pPr>
        <w:pStyle w:val="Heading1"/>
        <w:numPr>
          <w:ilvl w:val="0"/>
          <w:numId w:val="2"/>
        </w:numPr>
        <w:pBdr>
          <w:top w:val="none" w:sz="0" w:space="0" w:color="auto"/>
        </w:pBdr>
        <w:rPr>
          <w:rFonts w:asciiTheme="majorHAnsi" w:hAnsiTheme="majorHAnsi" w:cstheme="majorHAnsi"/>
        </w:rPr>
      </w:pPr>
      <w:bookmarkStart w:id="15" w:name="_Toc64655030"/>
      <w:bookmarkStart w:id="16" w:name="_Toc64657533"/>
      <w:r w:rsidRPr="002E448B">
        <w:rPr>
          <w:rFonts w:asciiTheme="majorHAnsi" w:hAnsiTheme="majorHAnsi" w:cstheme="majorHAnsi"/>
        </w:rPr>
        <w:t>Introduction</w:t>
      </w:r>
      <w:bookmarkEnd w:id="15"/>
      <w:bookmarkEnd w:id="16"/>
      <w:r w:rsidRPr="002E448B">
        <w:rPr>
          <w:rFonts w:asciiTheme="majorHAnsi" w:hAnsiTheme="majorHAnsi" w:cstheme="majorHAnsi"/>
        </w:rPr>
        <w:t xml:space="preserve"> </w:t>
      </w:r>
    </w:p>
    <w:p w14:paraId="664D2CDC" w14:textId="77777777" w:rsidR="00140B67" w:rsidRPr="002E448B" w:rsidRDefault="00140B67" w:rsidP="00140B67">
      <w:pPr>
        <w:pStyle w:val="Headingpara2"/>
        <w:numPr>
          <w:ilvl w:val="1"/>
          <w:numId w:val="2"/>
        </w:numPr>
        <w:rPr>
          <w:rFonts w:asciiTheme="majorHAnsi" w:hAnsiTheme="majorHAnsi" w:cstheme="majorHAnsi"/>
        </w:rPr>
      </w:pPr>
      <w:proofErr w:type="spellStart"/>
      <w:r w:rsidRPr="002E448B">
        <w:rPr>
          <w:rFonts w:asciiTheme="majorHAnsi" w:hAnsiTheme="majorHAnsi" w:cstheme="majorHAnsi"/>
        </w:rPr>
        <w:t>Maddocks</w:t>
      </w:r>
      <w:proofErr w:type="spellEnd"/>
      <w:r w:rsidRPr="002E448B">
        <w:rPr>
          <w:rFonts w:asciiTheme="majorHAnsi" w:hAnsiTheme="majorHAnsi" w:cstheme="majorHAnsi"/>
        </w:rPr>
        <w:t xml:space="preserve"> is very pleased to provide this privacy impact assessment (</w:t>
      </w:r>
      <w:r w:rsidRPr="002E448B">
        <w:rPr>
          <w:rFonts w:asciiTheme="majorHAnsi" w:hAnsiTheme="majorHAnsi" w:cstheme="majorHAnsi"/>
          <w:b/>
          <w:bCs/>
        </w:rPr>
        <w:t>PIA</w:t>
      </w:r>
      <w:r w:rsidRPr="002E448B">
        <w:rPr>
          <w:rFonts w:asciiTheme="majorHAnsi" w:hAnsiTheme="majorHAnsi" w:cstheme="majorHAnsi"/>
        </w:rPr>
        <w:t>) report to the Commonwealth Department of Health (</w:t>
      </w:r>
      <w:r w:rsidRPr="002E448B">
        <w:rPr>
          <w:rFonts w:asciiTheme="majorHAnsi" w:hAnsiTheme="majorHAnsi" w:cstheme="majorHAnsi"/>
          <w:b/>
          <w:bCs/>
        </w:rPr>
        <w:t>Health</w:t>
      </w:r>
      <w:r w:rsidRPr="002E448B">
        <w:rPr>
          <w:rFonts w:asciiTheme="majorHAnsi" w:hAnsiTheme="majorHAnsi" w:cstheme="majorHAnsi"/>
        </w:rPr>
        <w:t xml:space="preserve">) in respect of the COVID-19 Vaccine and Treatment Strategy and Phase 1a of the COVID-19 Vaccine National Roll-out Strategy (together, the </w:t>
      </w:r>
      <w:r w:rsidRPr="002E448B">
        <w:rPr>
          <w:rFonts w:asciiTheme="majorHAnsi" w:hAnsiTheme="majorHAnsi" w:cstheme="majorHAnsi"/>
          <w:b/>
          <w:bCs/>
        </w:rPr>
        <w:t>Vaccine Strategy</w:t>
      </w:r>
      <w:r w:rsidRPr="002E448B">
        <w:rPr>
          <w:rFonts w:asciiTheme="majorHAnsi" w:hAnsiTheme="majorHAnsi" w:cstheme="majorHAnsi"/>
        </w:rPr>
        <w:t>)</w:t>
      </w:r>
      <w:r w:rsidRPr="002E448B">
        <w:rPr>
          <w:rStyle w:val="FootnoteReference"/>
          <w:rFonts w:asciiTheme="majorHAnsi" w:hAnsiTheme="majorHAnsi" w:cstheme="majorHAnsi"/>
        </w:rPr>
        <w:footnoteReference w:id="2"/>
      </w:r>
      <w:r w:rsidRPr="002E448B">
        <w:rPr>
          <w:rFonts w:asciiTheme="majorHAnsi" w:hAnsiTheme="majorHAnsi" w:cstheme="majorHAnsi"/>
        </w:rPr>
        <w:t xml:space="preserve">. </w:t>
      </w:r>
    </w:p>
    <w:p w14:paraId="39BEE165" w14:textId="77777777" w:rsidR="00140B67" w:rsidRPr="002E448B" w:rsidRDefault="00140B67" w:rsidP="00140B67">
      <w:pPr>
        <w:pStyle w:val="Headingpara2"/>
        <w:numPr>
          <w:ilvl w:val="1"/>
          <w:numId w:val="2"/>
        </w:numPr>
        <w:rPr>
          <w:rFonts w:asciiTheme="majorHAnsi" w:hAnsiTheme="majorHAnsi" w:cstheme="majorHAnsi"/>
        </w:rPr>
      </w:pPr>
      <w:r w:rsidRPr="002E448B">
        <w:rPr>
          <w:rFonts w:asciiTheme="majorHAnsi" w:hAnsiTheme="majorHAnsi" w:cstheme="majorHAnsi"/>
        </w:rPr>
        <w:t>The COVID-19 pandemic has created both a public health emergency, and a profound global economic shock, greatly impacting all Australians. The Australian Government considers that the availability of safe and effective COVID-19 vaccines for all Australians is a priority to improve health outcomes and societal wellbeing, and to facilitate economic recovery.</w:t>
      </w:r>
    </w:p>
    <w:p w14:paraId="6AD9A1A0" w14:textId="77777777" w:rsidR="00140B67" w:rsidRPr="002E448B" w:rsidRDefault="00140B67" w:rsidP="00140B67">
      <w:pPr>
        <w:pStyle w:val="Headingpara2"/>
        <w:numPr>
          <w:ilvl w:val="1"/>
          <w:numId w:val="2"/>
        </w:numPr>
        <w:rPr>
          <w:rFonts w:asciiTheme="majorHAnsi" w:hAnsiTheme="majorHAnsi" w:cstheme="majorHAnsi"/>
        </w:rPr>
      </w:pPr>
      <w:r w:rsidRPr="002E448B">
        <w:rPr>
          <w:rFonts w:asciiTheme="majorHAnsi" w:hAnsiTheme="majorHAnsi" w:cstheme="majorHAnsi"/>
        </w:rPr>
        <w:t>As part of the Australian Government’s response to the COVID-19 pandemic, Health is implementing the Vaccine Strategy</w:t>
      </w:r>
      <w:r w:rsidRPr="002E448B">
        <w:rPr>
          <w:rStyle w:val="FootnoteReference"/>
          <w:rFonts w:asciiTheme="majorHAnsi" w:hAnsiTheme="majorHAnsi" w:cstheme="majorHAnsi"/>
        </w:rPr>
        <w:footnoteReference w:id="3"/>
      </w:r>
      <w:r w:rsidRPr="002E448B">
        <w:rPr>
          <w:rFonts w:asciiTheme="majorHAnsi" w:hAnsiTheme="majorHAnsi" w:cstheme="majorHAnsi"/>
        </w:rPr>
        <w:t>, which aims to support access to, and delivery of, safe and effective COVID-19 vaccines and treatments for all Australians, as soon as they are available. The Vaccine Strategy is supported by a policy released by Health, which describes the shared and separate responsibilities of the Australian, and State and Territory governments, as well as other key stakeholders, in developing and supporting the implementation of the Vaccine Strategy. Relevantly, Health intends to implement the Vaccine Strategy in phases:</w:t>
      </w:r>
    </w:p>
    <w:p w14:paraId="3A1A7155" w14:textId="77777777" w:rsidR="00140B67" w:rsidRPr="002E448B" w:rsidRDefault="00140B67" w:rsidP="00140B67">
      <w:pPr>
        <w:pStyle w:val="Heading3"/>
        <w:numPr>
          <w:ilvl w:val="2"/>
          <w:numId w:val="2"/>
        </w:numPr>
        <w:rPr>
          <w:rFonts w:asciiTheme="majorHAnsi" w:hAnsiTheme="majorHAnsi" w:cstheme="majorHAnsi"/>
        </w:rPr>
      </w:pPr>
      <w:r w:rsidRPr="002E448B">
        <w:rPr>
          <w:rFonts w:asciiTheme="majorHAnsi" w:hAnsiTheme="majorHAnsi" w:cstheme="majorHAnsi"/>
          <w:b/>
          <w:bCs/>
        </w:rPr>
        <w:t>Phase 1a</w:t>
      </w:r>
      <w:r w:rsidRPr="002E448B">
        <w:rPr>
          <w:rFonts w:asciiTheme="majorHAnsi" w:hAnsiTheme="majorHAnsi" w:cstheme="majorHAnsi"/>
        </w:rPr>
        <w:t xml:space="preserve"> – this phase will cover the initial rollout of a vaccine (at this stage contemplated to be a vaccine developed by Pfizer and potentially also a vaccine developed by AstraZeneca) to certain high-priority populations and the introduction of ICT systems and processes; </w:t>
      </w:r>
    </w:p>
    <w:p w14:paraId="237AAD9C" w14:textId="77777777" w:rsidR="00140B67" w:rsidRPr="002E448B" w:rsidRDefault="00140B67" w:rsidP="00140B67">
      <w:pPr>
        <w:pStyle w:val="Heading3"/>
        <w:numPr>
          <w:ilvl w:val="2"/>
          <w:numId w:val="2"/>
        </w:numPr>
        <w:rPr>
          <w:rFonts w:asciiTheme="majorHAnsi" w:hAnsiTheme="majorHAnsi" w:cstheme="majorHAnsi"/>
        </w:rPr>
      </w:pPr>
      <w:r w:rsidRPr="002E448B">
        <w:rPr>
          <w:rFonts w:asciiTheme="majorHAnsi" w:hAnsiTheme="majorHAnsi" w:cstheme="majorHAnsi"/>
          <w:b/>
          <w:bCs/>
        </w:rPr>
        <w:t>Phase 1b</w:t>
      </w:r>
      <w:r w:rsidRPr="002E448B">
        <w:rPr>
          <w:rFonts w:asciiTheme="majorHAnsi" w:hAnsiTheme="majorHAnsi" w:cstheme="majorHAnsi"/>
        </w:rPr>
        <w:t xml:space="preserve"> – this phase will cover the broader rollout of vaccines to additional populations, and the introduction of further ICT systems and processes;</w:t>
      </w:r>
    </w:p>
    <w:p w14:paraId="34630A72" w14:textId="77777777" w:rsidR="00140B67" w:rsidRPr="002E448B" w:rsidRDefault="00140B67" w:rsidP="00140B67">
      <w:pPr>
        <w:pStyle w:val="Heading3"/>
        <w:numPr>
          <w:ilvl w:val="2"/>
          <w:numId w:val="2"/>
        </w:numPr>
        <w:rPr>
          <w:rFonts w:asciiTheme="majorHAnsi" w:hAnsiTheme="majorHAnsi" w:cstheme="majorHAnsi"/>
        </w:rPr>
      </w:pPr>
      <w:r w:rsidRPr="002E448B">
        <w:rPr>
          <w:rFonts w:asciiTheme="majorHAnsi" w:hAnsiTheme="majorHAnsi" w:cstheme="majorHAnsi"/>
          <w:b/>
          <w:bCs/>
        </w:rPr>
        <w:t>Phase 2a</w:t>
      </w:r>
      <w:r w:rsidRPr="002E448B">
        <w:rPr>
          <w:rFonts w:asciiTheme="majorHAnsi" w:hAnsiTheme="majorHAnsi" w:cstheme="majorHAnsi"/>
        </w:rPr>
        <w:t xml:space="preserve"> – this phase will cover additional populations or cohorts across Australia;</w:t>
      </w:r>
    </w:p>
    <w:p w14:paraId="569489E9" w14:textId="77777777" w:rsidR="00140B67" w:rsidRPr="002E448B" w:rsidRDefault="00140B67" w:rsidP="00140B67">
      <w:pPr>
        <w:pStyle w:val="Heading3"/>
        <w:numPr>
          <w:ilvl w:val="2"/>
          <w:numId w:val="2"/>
        </w:numPr>
        <w:rPr>
          <w:rFonts w:asciiTheme="majorHAnsi" w:hAnsiTheme="majorHAnsi" w:cstheme="majorHAnsi"/>
        </w:rPr>
      </w:pPr>
      <w:r w:rsidRPr="002E448B">
        <w:rPr>
          <w:rFonts w:asciiTheme="majorHAnsi" w:hAnsiTheme="majorHAnsi" w:cstheme="majorHAnsi"/>
          <w:b/>
          <w:bCs/>
        </w:rPr>
        <w:t xml:space="preserve">Phase 2b – </w:t>
      </w:r>
      <w:r w:rsidRPr="002E448B">
        <w:rPr>
          <w:rFonts w:asciiTheme="majorHAnsi" w:hAnsiTheme="majorHAnsi" w:cstheme="majorHAnsi"/>
        </w:rPr>
        <w:t>this phase will cover the rest of the adult population across Australia (including individuals who were eligible in previous phases but were not vaccinated); and</w:t>
      </w:r>
    </w:p>
    <w:p w14:paraId="1B7B88F6" w14:textId="77777777" w:rsidR="00140B67" w:rsidRPr="002E448B" w:rsidRDefault="00140B67" w:rsidP="00140B67">
      <w:pPr>
        <w:pStyle w:val="Heading3"/>
        <w:numPr>
          <w:ilvl w:val="2"/>
          <w:numId w:val="2"/>
        </w:numPr>
        <w:rPr>
          <w:rFonts w:asciiTheme="majorHAnsi" w:hAnsiTheme="majorHAnsi" w:cstheme="majorHAnsi"/>
        </w:rPr>
      </w:pPr>
      <w:r w:rsidRPr="002E448B">
        <w:rPr>
          <w:rFonts w:asciiTheme="majorHAnsi" w:hAnsiTheme="majorHAnsi" w:cstheme="majorHAnsi"/>
          <w:b/>
          <w:bCs/>
        </w:rPr>
        <w:t>Phase 3</w:t>
      </w:r>
      <w:r w:rsidRPr="002E448B">
        <w:rPr>
          <w:rFonts w:asciiTheme="majorHAnsi" w:hAnsiTheme="majorHAnsi" w:cstheme="majorHAnsi"/>
        </w:rPr>
        <w:t xml:space="preserve"> – this phase will cover children, subject to further consideration. </w:t>
      </w:r>
    </w:p>
    <w:p w14:paraId="6D420C9F" w14:textId="77777777" w:rsidR="00140B67" w:rsidRPr="002E448B" w:rsidRDefault="00140B67" w:rsidP="00140B67">
      <w:pPr>
        <w:pStyle w:val="Headingpara2"/>
        <w:numPr>
          <w:ilvl w:val="1"/>
          <w:numId w:val="2"/>
        </w:numPr>
        <w:rPr>
          <w:rFonts w:asciiTheme="majorHAnsi" w:hAnsiTheme="majorHAnsi" w:cstheme="majorHAnsi"/>
        </w:rPr>
      </w:pPr>
      <w:r w:rsidRPr="002E448B">
        <w:rPr>
          <w:rFonts w:asciiTheme="majorHAnsi" w:hAnsiTheme="majorHAnsi" w:cstheme="majorHAnsi"/>
        </w:rPr>
        <w:t xml:space="preserve">Ensuring public trust in the Australian Government’s implementation of the Vaccine Strategy will be critical to its successful roll out. Ensuring the Vaccine Strategy meets legislative privacy requirements will help foster that confidence. </w:t>
      </w:r>
    </w:p>
    <w:p w14:paraId="19EB2600" w14:textId="77777777" w:rsidR="00140B67" w:rsidRPr="002E448B" w:rsidRDefault="00140B67" w:rsidP="00140B67">
      <w:pPr>
        <w:pStyle w:val="Headingpara2"/>
        <w:keepLines/>
        <w:numPr>
          <w:ilvl w:val="1"/>
          <w:numId w:val="2"/>
        </w:numPr>
        <w:rPr>
          <w:rFonts w:asciiTheme="majorHAnsi" w:hAnsiTheme="majorHAnsi" w:cstheme="majorHAnsi"/>
        </w:rPr>
      </w:pPr>
      <w:r w:rsidRPr="002E448B">
        <w:rPr>
          <w:rFonts w:asciiTheme="majorHAnsi" w:hAnsiTheme="majorHAnsi" w:cstheme="majorHAnsi"/>
        </w:rPr>
        <w:t xml:space="preserve">Health has commissioned this PIA to assist in ensuring privacy risks are being appropriately considered and addressed throughout the development and implementation of Phase 1a of the Vaccine Strategy. It is intended that, as further details of, or any changes to, the Vaccine Strategy are developed (such as in respect of Phase 1b), the privacy impact of those changes will be considered through an additional supplementary PIA process to update or supplement this PIA report as required by the APP Code. </w:t>
      </w:r>
    </w:p>
    <w:p w14:paraId="6D1D99C0" w14:textId="77777777" w:rsidR="00140B67" w:rsidRPr="002E448B" w:rsidRDefault="00140B67" w:rsidP="00140B67">
      <w:pPr>
        <w:pStyle w:val="Heading1"/>
        <w:numPr>
          <w:ilvl w:val="0"/>
          <w:numId w:val="2"/>
        </w:numPr>
        <w:rPr>
          <w:rFonts w:asciiTheme="majorHAnsi" w:hAnsiTheme="majorHAnsi" w:cstheme="majorHAnsi"/>
        </w:rPr>
      </w:pPr>
      <w:bookmarkStart w:id="17" w:name="_Toc64655031"/>
      <w:bookmarkStart w:id="18" w:name="_Toc64657534"/>
      <w:r w:rsidRPr="002E448B">
        <w:rPr>
          <w:rFonts w:asciiTheme="majorHAnsi" w:hAnsiTheme="majorHAnsi" w:cstheme="majorHAnsi"/>
        </w:rPr>
        <w:t>This PIA process</w:t>
      </w:r>
      <w:bookmarkEnd w:id="17"/>
      <w:bookmarkEnd w:id="18"/>
      <w:r w:rsidRPr="002E448B">
        <w:rPr>
          <w:rFonts w:asciiTheme="majorHAnsi" w:hAnsiTheme="majorHAnsi" w:cstheme="majorHAnsi"/>
        </w:rPr>
        <w:t xml:space="preserve"> </w:t>
      </w:r>
    </w:p>
    <w:p w14:paraId="23A04D18" w14:textId="77777777" w:rsidR="00140B67" w:rsidRPr="002E448B" w:rsidRDefault="00140B67" w:rsidP="00140B67">
      <w:pPr>
        <w:pStyle w:val="Heading2"/>
        <w:numPr>
          <w:ilvl w:val="1"/>
          <w:numId w:val="2"/>
        </w:numPr>
        <w:rPr>
          <w:rFonts w:asciiTheme="majorHAnsi" w:hAnsiTheme="majorHAnsi" w:cstheme="majorHAnsi"/>
          <w:b w:val="0"/>
        </w:rPr>
      </w:pPr>
      <w:bookmarkStart w:id="19" w:name="_Ref13670179"/>
      <w:bookmarkStart w:id="20" w:name="_Toc17707321"/>
      <w:r w:rsidRPr="002E448B">
        <w:rPr>
          <w:rFonts w:asciiTheme="majorHAnsi" w:hAnsiTheme="majorHAnsi" w:cstheme="majorHAnsi"/>
          <w:b w:val="0"/>
          <w:bCs/>
        </w:rPr>
        <w:t>Health</w:t>
      </w:r>
      <w:r w:rsidRPr="002E448B">
        <w:rPr>
          <w:rFonts w:asciiTheme="majorHAnsi" w:hAnsiTheme="majorHAnsi" w:cstheme="majorHAnsi"/>
          <w:b w:val="0"/>
        </w:rPr>
        <w:t xml:space="preserve"> is responsible for implementation of the Vaccine Strategy, in conjunction with other Commonwealth agencies and with State and Territory agencies.</w:t>
      </w:r>
    </w:p>
    <w:p w14:paraId="57BA4C63" w14:textId="77777777" w:rsidR="00140B67" w:rsidRPr="002E448B" w:rsidRDefault="00140B67" w:rsidP="00140B67">
      <w:pPr>
        <w:pStyle w:val="Headingpara2"/>
        <w:numPr>
          <w:ilvl w:val="1"/>
          <w:numId w:val="2"/>
        </w:numPr>
        <w:rPr>
          <w:rFonts w:asciiTheme="majorHAnsi" w:hAnsiTheme="majorHAnsi" w:cstheme="majorHAnsi"/>
        </w:rPr>
      </w:pPr>
      <w:r w:rsidRPr="002E448B">
        <w:rPr>
          <w:rFonts w:asciiTheme="majorHAnsi" w:hAnsiTheme="majorHAnsi" w:cstheme="majorHAnsi"/>
        </w:rPr>
        <w:t>The implementation of the Vaccine Strategy is now well underway, but it is undergoing continual review and refinement, including as further information becomes available, procurement processes are finalised, ICT solution designs are explored, and the relevant COVID</w:t>
      </w:r>
      <w:r w:rsidRPr="002E448B">
        <w:rPr>
          <w:rFonts w:asciiTheme="majorHAnsi" w:hAnsiTheme="majorHAnsi" w:cstheme="majorHAnsi"/>
        </w:rPr>
        <w:noBreakHyphen/>
        <w:t>19 vaccines are developed, tested, approved, manufactured and used in other countries. This means that is it not yet possible to determine all of the entities that will be involved in the implementation of the Vaccine Strategy, or all of the systems, processes and data that will be used by those entities. We understand that Health is currently working, and intends to continue to work, with relevant stakeholders in its implementation of the Vaccine Strategy, including to take into account the recommendations set out in this PIA report.</w:t>
      </w:r>
    </w:p>
    <w:p w14:paraId="2111546C" w14:textId="77777777" w:rsidR="00140B67" w:rsidRPr="002E448B" w:rsidRDefault="00140B67" w:rsidP="00140B67">
      <w:pPr>
        <w:pStyle w:val="Headingpara2"/>
        <w:numPr>
          <w:ilvl w:val="1"/>
          <w:numId w:val="2"/>
        </w:numPr>
        <w:rPr>
          <w:rFonts w:asciiTheme="majorHAnsi" w:hAnsiTheme="majorHAnsi" w:cstheme="majorHAnsi"/>
        </w:rPr>
      </w:pPr>
      <w:r w:rsidRPr="002E448B">
        <w:rPr>
          <w:rFonts w:asciiTheme="majorHAnsi" w:hAnsiTheme="majorHAnsi" w:cstheme="majorHAnsi"/>
        </w:rPr>
        <w:t>The analysis in this PIA report is therefore a ‘point in time’ analysis which:</w:t>
      </w:r>
      <w:bookmarkEnd w:id="19"/>
    </w:p>
    <w:p w14:paraId="30E080A3"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considers</w:t>
      </w:r>
      <w:proofErr w:type="gramEnd"/>
      <w:r w:rsidRPr="002E448B">
        <w:rPr>
          <w:rFonts w:asciiTheme="majorHAnsi" w:hAnsiTheme="majorHAnsi" w:cstheme="majorHAnsi"/>
        </w:rPr>
        <w:t xml:space="preserve"> compliance with the </w:t>
      </w:r>
      <w:r w:rsidRPr="002E448B">
        <w:rPr>
          <w:rFonts w:asciiTheme="majorHAnsi" w:hAnsiTheme="majorHAnsi" w:cstheme="majorHAnsi"/>
          <w:i/>
        </w:rPr>
        <w:t xml:space="preserve">Privacy Act 1988 </w:t>
      </w:r>
      <w:r w:rsidRPr="002E448B">
        <w:rPr>
          <w:rFonts w:asciiTheme="majorHAnsi" w:hAnsiTheme="majorHAnsi" w:cstheme="majorHAnsi"/>
        </w:rPr>
        <w:t>(</w:t>
      </w:r>
      <w:proofErr w:type="spellStart"/>
      <w:r w:rsidRPr="002E448B">
        <w:rPr>
          <w:rFonts w:asciiTheme="majorHAnsi" w:hAnsiTheme="majorHAnsi" w:cstheme="majorHAnsi"/>
        </w:rPr>
        <w:t>Cth</w:t>
      </w:r>
      <w:proofErr w:type="spellEnd"/>
      <w:r w:rsidRPr="002E448B">
        <w:rPr>
          <w:rFonts w:asciiTheme="majorHAnsi" w:hAnsiTheme="majorHAnsi" w:cstheme="majorHAnsi"/>
        </w:rPr>
        <w:t>) (</w:t>
      </w:r>
      <w:r w:rsidRPr="002E448B">
        <w:rPr>
          <w:rFonts w:asciiTheme="majorHAnsi" w:hAnsiTheme="majorHAnsi" w:cstheme="majorHAnsi"/>
          <w:b/>
        </w:rPr>
        <w:t>Privacy Act</w:t>
      </w:r>
      <w:r w:rsidRPr="002E448B">
        <w:rPr>
          <w:rFonts w:asciiTheme="majorHAnsi" w:hAnsiTheme="majorHAnsi" w:cstheme="majorHAnsi"/>
        </w:rPr>
        <w:t>), including the Australian Privacy Principles (</w:t>
      </w:r>
      <w:r w:rsidRPr="002E448B">
        <w:rPr>
          <w:rFonts w:asciiTheme="majorHAnsi" w:hAnsiTheme="majorHAnsi" w:cstheme="majorHAnsi"/>
          <w:b/>
        </w:rPr>
        <w:t>APPs</w:t>
      </w:r>
      <w:r w:rsidRPr="002E448B">
        <w:rPr>
          <w:rFonts w:asciiTheme="majorHAnsi" w:hAnsiTheme="majorHAnsi" w:cstheme="majorHAnsi"/>
        </w:rPr>
        <w:t>) based on the available information;</w:t>
      </w:r>
    </w:p>
    <w:p w14:paraId="2FB3B90B"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sets</w:t>
      </w:r>
      <w:proofErr w:type="gramEnd"/>
      <w:r w:rsidRPr="002E448B">
        <w:rPr>
          <w:rFonts w:asciiTheme="majorHAnsi" w:hAnsiTheme="majorHAnsi" w:cstheme="majorHAnsi"/>
        </w:rPr>
        <w:t xml:space="preserve"> out the Information Flows, which helps to highlight privacy risks and areas for improvement in terms of risk mitigation; </w:t>
      </w:r>
    </w:p>
    <w:p w14:paraId="1CCEADF2"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is</w:t>
      </w:r>
      <w:proofErr w:type="gramEnd"/>
      <w:r w:rsidRPr="002E448B">
        <w:rPr>
          <w:rFonts w:asciiTheme="majorHAnsi" w:hAnsiTheme="majorHAnsi" w:cstheme="majorHAnsi"/>
        </w:rPr>
        <w:t xml:space="preserve"> intended to help Health manage identified privacy risks and impacts, in respect of the Vaccine Strategy;</w:t>
      </w:r>
    </w:p>
    <w:p w14:paraId="3FF3D350"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may</w:t>
      </w:r>
      <w:proofErr w:type="gramEnd"/>
      <w:r w:rsidRPr="002E448B">
        <w:rPr>
          <w:rFonts w:asciiTheme="majorHAnsi" w:hAnsiTheme="majorHAnsi" w:cstheme="majorHAnsi"/>
        </w:rPr>
        <w:t xml:space="preserve"> serve to inform Health and other stakeholders about the privacy elements of the Vaccine Strategy; and</w:t>
      </w:r>
    </w:p>
    <w:p w14:paraId="07FE78F6"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considers</w:t>
      </w:r>
      <w:proofErr w:type="gramEnd"/>
      <w:r w:rsidRPr="002E448B">
        <w:rPr>
          <w:rFonts w:asciiTheme="majorHAnsi" w:hAnsiTheme="majorHAnsi" w:cstheme="majorHAnsi"/>
        </w:rPr>
        <w:t xml:space="preserve"> the safeguards that have been, or should be, put in place to secure personal information from misuse, interference or loss, or from unauthorised access, modification or disclosure.</w:t>
      </w:r>
    </w:p>
    <w:p w14:paraId="48732120" w14:textId="77777777" w:rsidR="00140B67" w:rsidRPr="002E448B" w:rsidRDefault="00140B67" w:rsidP="00140B67">
      <w:pPr>
        <w:pStyle w:val="Heading1"/>
        <w:numPr>
          <w:ilvl w:val="0"/>
          <w:numId w:val="2"/>
        </w:numPr>
        <w:rPr>
          <w:rFonts w:asciiTheme="majorHAnsi" w:hAnsiTheme="majorHAnsi" w:cstheme="majorHAnsi"/>
        </w:rPr>
      </w:pPr>
      <w:bookmarkStart w:id="21" w:name="_Toc38274223"/>
      <w:bookmarkStart w:id="22" w:name="_Toc38274224"/>
      <w:bookmarkStart w:id="23" w:name="_Ref38363096"/>
      <w:bookmarkStart w:id="24" w:name="_Ref38363104"/>
      <w:bookmarkStart w:id="25" w:name="_Toc64655032"/>
      <w:bookmarkStart w:id="26" w:name="_Toc64657535"/>
      <w:bookmarkEnd w:id="21"/>
      <w:r w:rsidRPr="002E448B">
        <w:rPr>
          <w:rFonts w:asciiTheme="majorHAnsi" w:hAnsiTheme="majorHAnsi" w:cstheme="majorHAnsi"/>
        </w:rPr>
        <w:t>Summary of findings</w:t>
      </w:r>
      <w:bookmarkEnd w:id="20"/>
      <w:bookmarkEnd w:id="22"/>
      <w:bookmarkEnd w:id="23"/>
      <w:bookmarkEnd w:id="24"/>
      <w:bookmarkEnd w:id="25"/>
      <w:bookmarkEnd w:id="26"/>
    </w:p>
    <w:p w14:paraId="03CAA577" w14:textId="77777777" w:rsidR="00140B67" w:rsidRPr="002E448B" w:rsidRDefault="00140B67" w:rsidP="00140B67">
      <w:pPr>
        <w:pStyle w:val="Headingpara2"/>
        <w:numPr>
          <w:ilvl w:val="1"/>
          <w:numId w:val="2"/>
        </w:numPr>
        <w:rPr>
          <w:rFonts w:asciiTheme="majorHAnsi" w:hAnsiTheme="majorHAnsi" w:cstheme="majorHAnsi"/>
        </w:rPr>
      </w:pPr>
      <w:bookmarkStart w:id="27" w:name="_Ref59450690"/>
      <w:r w:rsidRPr="002E448B">
        <w:rPr>
          <w:rFonts w:asciiTheme="majorHAnsi" w:hAnsiTheme="majorHAnsi" w:cstheme="majorHAnsi"/>
        </w:rPr>
        <w:t xml:space="preserve">As discussed above, details about the implementation of the Vaccine Strategy have been developed in parallel with this PIA process. Throughout the process, we have provided high-level guidance in relation to the identified privacy risks, which was designed to assist Health to ensure that the Vaccine Strategy, when implemented, will comply with the requirements of the APPs or the principles of the Privacy Act more broadly. </w:t>
      </w:r>
    </w:p>
    <w:p w14:paraId="103A7BBC" w14:textId="77777777" w:rsidR="00140B67" w:rsidRPr="002E448B" w:rsidRDefault="00140B67" w:rsidP="00140B67">
      <w:pPr>
        <w:pStyle w:val="Headingpara2"/>
        <w:numPr>
          <w:ilvl w:val="1"/>
          <w:numId w:val="2"/>
        </w:numPr>
        <w:rPr>
          <w:rFonts w:asciiTheme="majorHAnsi" w:hAnsiTheme="majorHAnsi" w:cstheme="majorHAnsi"/>
        </w:rPr>
      </w:pPr>
      <w:bookmarkStart w:id="28" w:name="_Ref63164329"/>
      <w:r w:rsidRPr="002E448B">
        <w:rPr>
          <w:rFonts w:asciiTheme="majorHAnsi" w:hAnsiTheme="majorHAnsi" w:cstheme="majorHAnsi"/>
        </w:rPr>
        <w:t>We have advised that it will be necessary for appropriate mitigation strategies to be put in place to ensure that:</w:t>
      </w:r>
      <w:bookmarkEnd w:id="27"/>
      <w:bookmarkEnd w:id="28"/>
    </w:p>
    <w:p w14:paraId="2EA982EF" w14:textId="77777777" w:rsidR="00140B67" w:rsidRPr="002E448B" w:rsidRDefault="00140B67" w:rsidP="00140B67">
      <w:pPr>
        <w:pStyle w:val="Heading3"/>
        <w:numPr>
          <w:ilvl w:val="2"/>
          <w:numId w:val="2"/>
        </w:numPr>
        <w:rPr>
          <w:rFonts w:asciiTheme="majorHAnsi" w:hAnsiTheme="majorHAnsi" w:cstheme="majorHAnsi"/>
        </w:rPr>
      </w:pPr>
      <w:r w:rsidRPr="002E448B">
        <w:rPr>
          <w:rFonts w:asciiTheme="majorHAnsi" w:hAnsiTheme="majorHAnsi" w:cstheme="majorHAnsi"/>
        </w:rPr>
        <w:t>there will be sufficient openness and transparency about how personal information will be collected, then used and disclosed, by the various entities that will be involved in the implementation of the Vaccine Strategy;</w:t>
      </w:r>
    </w:p>
    <w:p w14:paraId="3810E809" w14:textId="77777777" w:rsidR="00140B67" w:rsidRPr="002E448B" w:rsidRDefault="00140B67" w:rsidP="00140B67">
      <w:pPr>
        <w:pStyle w:val="Heading3"/>
        <w:keepLines/>
        <w:numPr>
          <w:ilvl w:val="2"/>
          <w:numId w:val="2"/>
        </w:numPr>
        <w:rPr>
          <w:rFonts w:asciiTheme="majorHAnsi" w:hAnsiTheme="majorHAnsi" w:cstheme="majorHAnsi"/>
        </w:rPr>
      </w:pPr>
      <w:r w:rsidRPr="002E448B">
        <w:rPr>
          <w:rFonts w:asciiTheme="majorHAnsi" w:hAnsiTheme="majorHAnsi" w:cstheme="majorHAnsi"/>
        </w:rPr>
        <w:t xml:space="preserve">contractual arrangements with entities who will handle Vaccine Strategy Information (including the Partners) contain, or continue to contain, appropriate privacy obligations on those entities, including in relation to providing sufficient information about the handling of personal information to individuals who may provide Vaccine Strategy Information; </w:t>
      </w:r>
    </w:p>
    <w:p w14:paraId="7BA2799B"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appropriate</w:t>
      </w:r>
      <w:proofErr w:type="gramEnd"/>
      <w:r w:rsidRPr="002E448B">
        <w:rPr>
          <w:rFonts w:asciiTheme="majorHAnsi" w:hAnsiTheme="majorHAnsi" w:cstheme="majorHAnsi"/>
        </w:rPr>
        <w:t xml:space="preserve"> privacy training or guidance will be provided to entities who will handle Vaccine Strategy Information;</w:t>
      </w:r>
    </w:p>
    <w:p w14:paraId="2320356F"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the</w:t>
      </w:r>
      <w:proofErr w:type="gramEnd"/>
      <w:r w:rsidRPr="002E448B">
        <w:rPr>
          <w:rFonts w:asciiTheme="majorHAnsi" w:hAnsiTheme="majorHAnsi" w:cstheme="majorHAnsi"/>
        </w:rPr>
        <w:t xml:space="preserve"> amounts and types of Vaccine Strategy Information that will be collected by entities involved with the Vaccine Strategy is appropriate; </w:t>
      </w:r>
    </w:p>
    <w:p w14:paraId="25AE9C32"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all</w:t>
      </w:r>
      <w:proofErr w:type="gramEnd"/>
      <w:r w:rsidRPr="002E448B">
        <w:rPr>
          <w:rFonts w:asciiTheme="majorHAnsi" w:hAnsiTheme="majorHAnsi" w:cstheme="majorHAnsi"/>
        </w:rPr>
        <w:t xml:space="preserve"> proposed uses and disclosures of Vaccine Strategy Information will be compliant with relevant legislation, including the requirements of the APPs; and</w:t>
      </w:r>
    </w:p>
    <w:p w14:paraId="36AAFED5" w14:textId="77777777" w:rsidR="00140B67" w:rsidRPr="002E448B" w:rsidRDefault="00140B67" w:rsidP="00140B67">
      <w:pPr>
        <w:pStyle w:val="Heading3"/>
        <w:numPr>
          <w:ilvl w:val="2"/>
          <w:numId w:val="2"/>
        </w:numPr>
        <w:rPr>
          <w:rFonts w:asciiTheme="majorHAnsi" w:hAnsiTheme="majorHAnsi" w:cstheme="majorHAnsi"/>
        </w:rPr>
      </w:pPr>
      <w:r w:rsidRPr="002E448B">
        <w:rPr>
          <w:rFonts w:asciiTheme="majorHAnsi" w:hAnsiTheme="majorHAnsi" w:cstheme="majorHAnsi"/>
        </w:rPr>
        <w:t>Vaccine Strategy Information, including during transmission between different solutions and systems, will be sufficiently secure.</w:t>
      </w:r>
    </w:p>
    <w:p w14:paraId="58FF14F5" w14:textId="77777777" w:rsidR="00140B67" w:rsidRPr="002E448B" w:rsidRDefault="00140B67" w:rsidP="00140B67">
      <w:pPr>
        <w:pStyle w:val="Headingpara2"/>
        <w:numPr>
          <w:ilvl w:val="1"/>
          <w:numId w:val="2"/>
        </w:numPr>
        <w:rPr>
          <w:rFonts w:asciiTheme="majorHAnsi" w:hAnsiTheme="majorHAnsi" w:cstheme="majorHAnsi"/>
        </w:rPr>
      </w:pPr>
      <w:r w:rsidRPr="002E448B">
        <w:rPr>
          <w:rFonts w:asciiTheme="majorHAnsi" w:hAnsiTheme="majorHAnsi" w:cstheme="majorHAnsi"/>
        </w:rPr>
        <w:t xml:space="preserve">It appears to us that Health and other stakeholders have actively taken privacy issues into account as part of its implementation of the Vaccine Strategy. We suggest that Health’s commissioning of a PIA at an early stage of the implementation of the Vaccine Strategy has assisted, and will continue to assist, Health in adopting a ‘privacy-by-design’ approach to the finalisation of the Vaccine Strategy. Identification of the privacy risks and issues identified in paragraph </w:t>
      </w:r>
      <w:r w:rsidRPr="002E448B">
        <w:rPr>
          <w:rFonts w:asciiTheme="majorHAnsi" w:hAnsiTheme="majorHAnsi" w:cstheme="majorHAnsi"/>
        </w:rPr>
        <w:fldChar w:fldCharType="begin" w:fldLock="1"/>
      </w:r>
      <w:r w:rsidRPr="002E448B">
        <w:rPr>
          <w:rFonts w:asciiTheme="majorHAnsi" w:hAnsiTheme="majorHAnsi" w:cstheme="majorHAnsi"/>
        </w:rPr>
        <w:instrText xml:space="preserve"> REF _Ref63164329 \r \h  \* MERGEFORMAT </w:instrText>
      </w:r>
      <w:r w:rsidRPr="002E448B">
        <w:rPr>
          <w:rFonts w:asciiTheme="majorHAnsi" w:hAnsiTheme="majorHAnsi" w:cstheme="majorHAnsi"/>
        </w:rPr>
      </w:r>
      <w:r w:rsidRPr="002E448B">
        <w:rPr>
          <w:rFonts w:asciiTheme="majorHAnsi" w:hAnsiTheme="majorHAnsi" w:cstheme="majorHAnsi"/>
        </w:rPr>
        <w:fldChar w:fldCharType="separate"/>
      </w:r>
      <w:r w:rsidRPr="002E448B">
        <w:rPr>
          <w:rFonts w:asciiTheme="majorHAnsi" w:hAnsiTheme="majorHAnsi" w:cstheme="majorHAnsi"/>
        </w:rPr>
        <w:t>3.2</w:t>
      </w:r>
      <w:r w:rsidRPr="002E448B">
        <w:rPr>
          <w:rFonts w:asciiTheme="majorHAnsi" w:hAnsiTheme="majorHAnsi" w:cstheme="majorHAnsi"/>
        </w:rPr>
        <w:fldChar w:fldCharType="end"/>
      </w:r>
      <w:r w:rsidRPr="002E448B">
        <w:rPr>
          <w:rFonts w:asciiTheme="majorHAnsi" w:hAnsiTheme="majorHAnsi" w:cstheme="majorHAnsi"/>
        </w:rPr>
        <w:t xml:space="preserve"> above (and as discussed more fully in this PIA report) will allow these matters to continue to be explored, and further mitigation strategies developed and implemented, as the implementation progresses (including during the initial period of implementation with the selected Partners (including during any co-design activities), which we understand has been occurring in parallel with this PIA process).</w:t>
      </w:r>
    </w:p>
    <w:p w14:paraId="4CD3E434" w14:textId="77777777" w:rsidR="00140B67" w:rsidRPr="002E448B" w:rsidRDefault="00140B67" w:rsidP="00140B67">
      <w:pPr>
        <w:pStyle w:val="Headingpara2"/>
        <w:numPr>
          <w:ilvl w:val="1"/>
          <w:numId w:val="2"/>
        </w:numPr>
        <w:rPr>
          <w:rFonts w:asciiTheme="majorHAnsi" w:hAnsiTheme="majorHAnsi" w:cstheme="majorHAnsi"/>
        </w:rPr>
      </w:pPr>
      <w:r w:rsidRPr="002E448B">
        <w:rPr>
          <w:rFonts w:asciiTheme="majorHAnsi" w:hAnsiTheme="majorHAnsi" w:cstheme="majorHAnsi"/>
        </w:rPr>
        <w:t xml:space="preserve">The recommendations set out in paragraph </w:t>
      </w:r>
      <w:r w:rsidRPr="002E448B">
        <w:rPr>
          <w:rFonts w:asciiTheme="majorHAnsi" w:hAnsiTheme="majorHAnsi" w:cstheme="majorHAnsi"/>
        </w:rPr>
        <w:fldChar w:fldCharType="begin" w:fldLock="1"/>
      </w:r>
      <w:r w:rsidRPr="002E448B">
        <w:rPr>
          <w:rFonts w:asciiTheme="majorHAnsi" w:hAnsiTheme="majorHAnsi" w:cstheme="majorHAnsi"/>
        </w:rPr>
        <w:instrText xml:space="preserve"> REF _Ref38363116 \r \h  \* MERGEFORMAT </w:instrText>
      </w:r>
      <w:r w:rsidRPr="002E448B">
        <w:rPr>
          <w:rFonts w:asciiTheme="majorHAnsi" w:hAnsiTheme="majorHAnsi" w:cstheme="majorHAnsi"/>
        </w:rPr>
      </w:r>
      <w:r w:rsidRPr="002E448B">
        <w:rPr>
          <w:rFonts w:asciiTheme="majorHAnsi" w:hAnsiTheme="majorHAnsi" w:cstheme="majorHAnsi"/>
        </w:rPr>
        <w:fldChar w:fldCharType="separate"/>
      </w:r>
      <w:r w:rsidRPr="002E448B">
        <w:rPr>
          <w:rFonts w:asciiTheme="majorHAnsi" w:hAnsiTheme="majorHAnsi" w:cstheme="majorHAnsi"/>
        </w:rPr>
        <w:t>4</w:t>
      </w:r>
      <w:r w:rsidRPr="002E448B">
        <w:rPr>
          <w:rFonts w:asciiTheme="majorHAnsi" w:hAnsiTheme="majorHAnsi" w:cstheme="majorHAnsi"/>
        </w:rPr>
        <w:fldChar w:fldCharType="end"/>
      </w:r>
      <w:r w:rsidRPr="002E448B">
        <w:rPr>
          <w:rFonts w:asciiTheme="majorHAnsi" w:hAnsiTheme="majorHAnsi" w:cstheme="majorHAnsi"/>
        </w:rPr>
        <w:t xml:space="preserve"> of this </w:t>
      </w:r>
      <w:r w:rsidRPr="002E448B">
        <w:rPr>
          <w:rFonts w:asciiTheme="majorHAnsi" w:hAnsiTheme="majorHAnsi" w:cstheme="majorHAnsi"/>
          <w:b/>
        </w:rPr>
        <w:t xml:space="preserve">Part A </w:t>
      </w:r>
      <w:r w:rsidRPr="002E448B">
        <w:rPr>
          <w:rFonts w:asciiTheme="majorHAnsi" w:hAnsiTheme="majorHAnsi" w:cstheme="majorHAnsi"/>
        </w:rPr>
        <w:t xml:space="preserve">are designed to address the identified potential privacy risks, strengthen compliance with the APPs (or, for those entities who are not APP entities and not otherwise required to comply with the APPs, to strengthen compliance with the general privacy principles that underpin the APPs) and to further enhance privacy protections for individuals who will be affected by implementation of the Vaccine Strategy. In our view, Health should consider and (if appropriate) implement the recommendations below before the commencement of Phase 1a of the Vaccine Strategy. </w:t>
      </w:r>
    </w:p>
    <w:p w14:paraId="77E679A0" w14:textId="77777777" w:rsidR="00140B67" w:rsidRPr="002E448B" w:rsidRDefault="00140B67" w:rsidP="00140B67">
      <w:pPr>
        <w:pStyle w:val="Heading1"/>
        <w:keepLines/>
        <w:numPr>
          <w:ilvl w:val="0"/>
          <w:numId w:val="2"/>
        </w:numPr>
        <w:rPr>
          <w:rFonts w:asciiTheme="majorHAnsi" w:hAnsiTheme="majorHAnsi" w:cstheme="majorHAnsi"/>
        </w:rPr>
      </w:pPr>
      <w:bookmarkStart w:id="29" w:name="_Ref38363116"/>
      <w:bookmarkStart w:id="30" w:name="_Ref38363122"/>
      <w:bookmarkStart w:id="31" w:name="_Toc64655033"/>
      <w:bookmarkStart w:id="32" w:name="_Toc64657536"/>
      <w:r w:rsidRPr="002E448B">
        <w:rPr>
          <w:rFonts w:asciiTheme="majorHAnsi" w:hAnsiTheme="majorHAnsi" w:cstheme="majorHAnsi"/>
        </w:rPr>
        <w:t>Recommendations</w:t>
      </w:r>
      <w:bookmarkEnd w:id="29"/>
      <w:bookmarkEnd w:id="30"/>
      <w:bookmarkEnd w:id="31"/>
      <w:bookmarkEnd w:id="32"/>
      <w:r w:rsidRPr="002E448B">
        <w:rPr>
          <w:rFonts w:asciiTheme="majorHAnsi" w:hAnsiTheme="majorHAnsi" w:cstheme="majorHAnsi"/>
        </w:rPr>
        <w:t xml:space="preserve"> </w:t>
      </w:r>
    </w:p>
    <w:p w14:paraId="5FD4EE0D" w14:textId="77777777" w:rsidR="00140B67" w:rsidRPr="002E448B" w:rsidRDefault="00140B67" w:rsidP="00140B67">
      <w:pPr>
        <w:pStyle w:val="Headingpara2"/>
        <w:keepNext/>
        <w:keepLines/>
        <w:numPr>
          <w:ilvl w:val="1"/>
          <w:numId w:val="2"/>
        </w:numPr>
        <w:rPr>
          <w:rFonts w:asciiTheme="majorHAnsi" w:hAnsiTheme="majorHAnsi" w:cstheme="majorHAnsi"/>
        </w:rPr>
      </w:pPr>
      <w:r w:rsidRPr="002E448B">
        <w:rPr>
          <w:rFonts w:asciiTheme="majorHAnsi" w:hAnsiTheme="majorHAnsi" w:cstheme="majorHAnsi"/>
        </w:rPr>
        <w:t xml:space="preserve">This PIA report makes the following recommendations in relation to the Vaccine Strategy: </w:t>
      </w:r>
    </w:p>
    <w:p w14:paraId="06BD5D8A" w14:textId="77777777" w:rsidR="00140B67" w:rsidRPr="002E448B" w:rsidRDefault="00140B67" w:rsidP="00140B67">
      <w:pPr>
        <w:keepNext/>
        <w:rPr>
          <w:rFonts w:asciiTheme="majorHAnsi" w:hAnsiTheme="majorHAnsi" w:cstheme="majorHAnsi"/>
        </w:rPr>
      </w:pPr>
    </w:p>
    <w:tbl>
      <w:tblPr>
        <w:tblStyle w:val="PlainTable1"/>
        <w:tblW w:w="9173" w:type="dxa"/>
        <w:tblInd w:w="-113" w:type="dxa"/>
        <w:tblLook w:val="04A0" w:firstRow="1" w:lastRow="0" w:firstColumn="1" w:lastColumn="0" w:noHBand="0" w:noVBand="1"/>
        <w:tblDescription w:val="&quot;&quot;"/>
      </w:tblPr>
      <w:tblGrid>
        <w:gridCol w:w="7196"/>
        <w:gridCol w:w="1977"/>
      </w:tblGrid>
      <w:tr w:rsidR="00140B67" w:rsidRPr="002E448B" w14:paraId="13E0D169" w14:textId="77777777" w:rsidTr="00E2131E">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7196" w:type="dxa"/>
            <w:shd w:val="clear" w:color="auto" w:fill="770027" w:themeFill="accent3" w:themeFillShade="BF"/>
          </w:tcPr>
          <w:p w14:paraId="29BA316E" w14:textId="77777777" w:rsidR="00140B67" w:rsidRPr="002E448B" w:rsidRDefault="00140B67" w:rsidP="008D352E">
            <w:pPr>
              <w:pStyle w:val="ClauseLevel1"/>
              <w:rPr>
                <w:b/>
                <w:bCs/>
              </w:rPr>
            </w:pPr>
            <w:r w:rsidRPr="002E448B">
              <w:br w:type="page"/>
            </w:r>
            <w:bookmarkStart w:id="33" w:name="_Ref58243123"/>
            <w:r w:rsidRPr="002E448B">
              <w:rPr>
                <w:b/>
                <w:bCs/>
              </w:rPr>
              <w:t>Privacy by Design</w:t>
            </w:r>
            <w:bookmarkEnd w:id="33"/>
            <w:r w:rsidRPr="002E448B">
              <w:rPr>
                <w:b/>
                <w:bCs/>
              </w:rPr>
              <w:t xml:space="preserve"> </w:t>
            </w:r>
          </w:p>
        </w:tc>
        <w:tc>
          <w:tcPr>
            <w:tcW w:w="1977" w:type="dxa"/>
            <w:shd w:val="clear" w:color="auto" w:fill="770027" w:themeFill="accent3" w:themeFillShade="BF"/>
          </w:tcPr>
          <w:p w14:paraId="67070893" w14:textId="77777777" w:rsidR="00140B67" w:rsidRPr="002E448B" w:rsidRDefault="00140B67" w:rsidP="008D352E">
            <w:pPr>
              <w:spacing w:before="200" w:after="20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sz w:val="22"/>
                <w:szCs w:val="22"/>
              </w:rPr>
            </w:pPr>
            <w:r w:rsidRPr="002E448B">
              <w:rPr>
                <w:rFonts w:asciiTheme="majorHAnsi" w:hAnsiTheme="majorHAnsi" w:cstheme="majorHAnsi"/>
                <w:sz w:val="22"/>
                <w:szCs w:val="22"/>
              </w:rPr>
              <w:t>Relevant APPs</w:t>
            </w:r>
          </w:p>
        </w:tc>
      </w:tr>
      <w:tr w:rsidR="00140B67" w:rsidRPr="002E448B" w14:paraId="5C27721C" w14:textId="77777777" w:rsidTr="008D35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196" w:type="dxa"/>
          </w:tcPr>
          <w:p w14:paraId="32CE731A" w14:textId="77777777" w:rsidR="00140B67" w:rsidRPr="002E448B" w:rsidRDefault="00140B67" w:rsidP="008D352E">
            <w:pPr>
              <w:keepNext/>
              <w:spacing w:before="240" w:after="240"/>
              <w:rPr>
                <w:rFonts w:asciiTheme="majorHAnsi" w:hAnsiTheme="majorHAnsi" w:cstheme="majorHAnsi"/>
                <w:b w:val="0"/>
              </w:rPr>
            </w:pPr>
            <w:r w:rsidRPr="002E448B">
              <w:rPr>
                <w:rFonts w:asciiTheme="majorHAnsi" w:hAnsiTheme="majorHAnsi" w:cstheme="majorHAnsi"/>
                <w:b w:val="0"/>
              </w:rPr>
              <w:t xml:space="preserve">We </w:t>
            </w:r>
            <w:r w:rsidRPr="002E448B">
              <w:rPr>
                <w:rFonts w:asciiTheme="majorHAnsi" w:hAnsiTheme="majorHAnsi" w:cstheme="majorHAnsi"/>
                <w:bCs w:val="0"/>
              </w:rPr>
              <w:t>recommend</w:t>
            </w:r>
            <w:r w:rsidRPr="002E448B">
              <w:rPr>
                <w:rFonts w:asciiTheme="majorHAnsi" w:hAnsiTheme="majorHAnsi" w:cstheme="majorHAnsi"/>
                <w:b w:val="0"/>
              </w:rPr>
              <w:t xml:space="preserve"> that Health continues to take a ‘privacy-by-design’ approach as the implementation of the Vaccine Strategy progresses, and ensure that:</w:t>
            </w:r>
          </w:p>
          <w:p w14:paraId="35226AA3" w14:textId="77777777" w:rsidR="00140B67" w:rsidRPr="002E448B" w:rsidRDefault="00140B67" w:rsidP="008D352E">
            <w:pPr>
              <w:pStyle w:val="ListParagraph"/>
              <w:numPr>
                <w:ilvl w:val="0"/>
                <w:numId w:val="18"/>
              </w:numPr>
              <w:spacing w:before="120" w:after="120"/>
              <w:contextualSpacing w:val="0"/>
              <w:rPr>
                <w:rFonts w:asciiTheme="majorHAnsi" w:hAnsiTheme="majorHAnsi" w:cstheme="majorHAnsi"/>
                <w:b w:val="0"/>
                <w:bCs w:val="0"/>
              </w:rPr>
            </w:pPr>
            <w:r w:rsidRPr="002E448B">
              <w:rPr>
                <w:rFonts w:asciiTheme="majorHAnsi" w:hAnsiTheme="majorHAnsi" w:cstheme="majorHAnsi"/>
                <w:b w:val="0"/>
                <w:bCs w:val="0"/>
              </w:rPr>
              <w:t>the privacy risks and issues discussed in this PIA report</w:t>
            </w:r>
            <w:r w:rsidRPr="002E448B" w:rsidDel="003D35A8">
              <w:rPr>
                <w:rFonts w:asciiTheme="majorHAnsi" w:hAnsiTheme="majorHAnsi" w:cstheme="majorHAnsi"/>
                <w:b w:val="0"/>
                <w:bCs w:val="0"/>
              </w:rPr>
              <w:t xml:space="preserve"> </w:t>
            </w:r>
            <w:r w:rsidRPr="002E448B">
              <w:rPr>
                <w:rFonts w:asciiTheme="majorHAnsi" w:hAnsiTheme="majorHAnsi" w:cstheme="majorHAnsi"/>
                <w:b w:val="0"/>
                <w:bCs w:val="0"/>
              </w:rPr>
              <w:t>are continually monitored and reviewed;</w:t>
            </w:r>
          </w:p>
          <w:p w14:paraId="0461BFEB" w14:textId="77777777" w:rsidR="00140B67" w:rsidRPr="002E448B" w:rsidRDefault="00140B67" w:rsidP="008D352E">
            <w:pPr>
              <w:pStyle w:val="ListParagraph"/>
              <w:numPr>
                <w:ilvl w:val="0"/>
                <w:numId w:val="18"/>
              </w:numPr>
              <w:spacing w:before="120" w:after="120"/>
              <w:contextualSpacing w:val="0"/>
              <w:rPr>
                <w:rFonts w:asciiTheme="majorHAnsi" w:hAnsiTheme="majorHAnsi" w:cstheme="majorHAnsi"/>
                <w:b w:val="0"/>
                <w:bCs w:val="0"/>
              </w:rPr>
            </w:pPr>
            <w:proofErr w:type="gramStart"/>
            <w:r w:rsidRPr="002E448B">
              <w:rPr>
                <w:rFonts w:asciiTheme="majorHAnsi" w:hAnsiTheme="majorHAnsi" w:cstheme="majorHAnsi"/>
                <w:b w:val="0"/>
                <w:bCs w:val="0"/>
              </w:rPr>
              <w:t>the</w:t>
            </w:r>
            <w:proofErr w:type="gramEnd"/>
            <w:r w:rsidRPr="002E448B">
              <w:rPr>
                <w:rFonts w:asciiTheme="majorHAnsi" w:hAnsiTheme="majorHAnsi" w:cstheme="majorHAnsi"/>
                <w:b w:val="0"/>
                <w:bCs w:val="0"/>
              </w:rPr>
              <w:t xml:space="preserve"> initial period of implementation with Partners (including any </w:t>
            </w:r>
            <w:r w:rsidRPr="002E448B">
              <w:rPr>
                <w:rFonts w:asciiTheme="majorHAnsi" w:hAnsiTheme="majorHAnsi" w:cstheme="majorHAnsi"/>
                <w:b w:val="0"/>
                <w:bCs w:val="0"/>
              </w:rPr>
              <w:br/>
              <w:t xml:space="preserve">co-design activities), which we understand has been occurring in parallel with this PIA process, is used to further explore the identified Information Flows, and the associated handling of personal information. This should include clarifying responsibility for the </w:t>
            </w:r>
            <w:r w:rsidRPr="002E448B">
              <w:rPr>
                <w:rFonts w:asciiTheme="majorHAnsi" w:hAnsiTheme="majorHAnsi" w:cstheme="majorHAnsi"/>
                <w:b w:val="0"/>
                <w:bCs w:val="0"/>
              </w:rPr>
              <w:br/>
              <w:t>de-identification of Vaccine Strategy Information in the EDW before it is made available to the VDS, and determine that appropriate de-identification processes will be used (including by seeking appropriate technical advice as required); and</w:t>
            </w:r>
          </w:p>
          <w:p w14:paraId="350C3F89" w14:textId="77777777" w:rsidR="00140B67" w:rsidRPr="002E448B" w:rsidRDefault="00140B67" w:rsidP="008D352E">
            <w:pPr>
              <w:pStyle w:val="ListParagraph"/>
              <w:numPr>
                <w:ilvl w:val="0"/>
                <w:numId w:val="18"/>
              </w:numPr>
              <w:spacing w:before="120" w:after="120"/>
              <w:contextualSpacing w:val="0"/>
              <w:rPr>
                <w:rFonts w:asciiTheme="majorHAnsi" w:hAnsiTheme="majorHAnsi" w:cstheme="majorHAnsi"/>
                <w:b w:val="0"/>
              </w:rPr>
            </w:pPr>
            <w:r w:rsidRPr="002E448B">
              <w:rPr>
                <w:rFonts w:asciiTheme="majorHAnsi" w:hAnsiTheme="majorHAnsi" w:cstheme="majorHAnsi"/>
                <w:b w:val="0"/>
                <w:bCs w:val="0"/>
              </w:rPr>
              <w:t>Health continues to seek and consider privacy advice as required. For example, if there are any changes to the types of Vaccine Strategy Information to be collected by an entity, Health should satisfy itself that each of the pieces of Vaccine Strategy Information that will be collected (particularly where that information will be subsequently collected by Health) will be reasonably necessary for, or directly related to, the functions and activities of the collecting entity in connection with the Vaccine Strategy. This will assist Health in complying with the data minimisation principle.</w:t>
            </w:r>
          </w:p>
          <w:p w14:paraId="31EE4835" w14:textId="77777777" w:rsidR="00140B67" w:rsidRPr="002E448B" w:rsidRDefault="00140B67" w:rsidP="008D352E">
            <w:pPr>
              <w:keepNext/>
              <w:spacing w:before="240" w:after="240"/>
              <w:rPr>
                <w:rFonts w:asciiTheme="majorHAnsi" w:hAnsiTheme="majorHAnsi" w:cstheme="majorHAnsi"/>
                <w:b w:val="0"/>
                <w:bCs w:val="0"/>
              </w:rPr>
            </w:pPr>
            <w:r w:rsidRPr="002E448B">
              <w:rPr>
                <w:rFonts w:asciiTheme="majorHAnsi" w:hAnsiTheme="majorHAnsi" w:cstheme="majorHAnsi"/>
                <w:b w:val="0"/>
              </w:rPr>
              <w:t xml:space="preserve">In addition, as implementation of the Vaccine Strategy further progresses, we </w:t>
            </w:r>
            <w:r w:rsidRPr="002E448B">
              <w:rPr>
                <w:rFonts w:asciiTheme="majorHAnsi" w:hAnsiTheme="majorHAnsi" w:cstheme="majorHAnsi"/>
                <w:bCs w:val="0"/>
              </w:rPr>
              <w:t>recommend</w:t>
            </w:r>
            <w:r w:rsidRPr="002E448B">
              <w:rPr>
                <w:rFonts w:asciiTheme="majorHAnsi" w:hAnsiTheme="majorHAnsi" w:cstheme="majorHAnsi"/>
                <w:b w:val="0"/>
              </w:rPr>
              <w:t xml:space="preserve"> that Health continue to review its Privacy Policy, to ensure that it reflects any new or changed handling of personal information by Health as a result of the Vaccine Strategy. If appropriate, Health could also consider developing and publishing a separate Privacy Policy specific to the handling of personal information in connection with the Vaccine Strategy.</w:t>
            </w:r>
          </w:p>
        </w:tc>
        <w:tc>
          <w:tcPr>
            <w:tcW w:w="1977" w:type="dxa"/>
            <w:shd w:val="clear" w:color="auto" w:fill="F2DEDE"/>
          </w:tcPr>
          <w:p w14:paraId="1D54E023" w14:textId="77777777" w:rsidR="00140B67" w:rsidRPr="002E448B" w:rsidRDefault="00140B67" w:rsidP="008D352E">
            <w:pPr>
              <w:spacing w:before="240" w:after="240"/>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b/>
              </w:rPr>
            </w:pPr>
            <w:r w:rsidRPr="002E448B">
              <w:rPr>
                <w:rFonts w:asciiTheme="majorHAnsi" w:hAnsiTheme="majorHAnsi" w:cstheme="majorHAnsi"/>
                <w:b/>
              </w:rPr>
              <w:t>All</w:t>
            </w:r>
          </w:p>
        </w:tc>
      </w:tr>
    </w:tbl>
    <w:p w14:paraId="70517C61" w14:textId="77777777" w:rsidR="00140B67" w:rsidRPr="002E448B" w:rsidRDefault="00140B67" w:rsidP="00140B67">
      <w:pPr>
        <w:rPr>
          <w:rFonts w:asciiTheme="majorHAnsi" w:hAnsiTheme="majorHAnsi" w:cstheme="majorHAnsi"/>
        </w:rPr>
      </w:pPr>
    </w:p>
    <w:tbl>
      <w:tblPr>
        <w:tblStyle w:val="PlainTable1"/>
        <w:tblW w:w="9173" w:type="dxa"/>
        <w:tblInd w:w="-113" w:type="dxa"/>
        <w:tblLook w:val="04A0" w:firstRow="1" w:lastRow="0" w:firstColumn="1" w:lastColumn="0" w:noHBand="0" w:noVBand="1"/>
        <w:tblDescription w:val="&quot;&quot;"/>
      </w:tblPr>
      <w:tblGrid>
        <w:gridCol w:w="7196"/>
        <w:gridCol w:w="1977"/>
      </w:tblGrid>
      <w:tr w:rsidR="00140B67" w:rsidRPr="002E448B" w14:paraId="2CC962C4" w14:textId="77777777" w:rsidTr="00E2131E">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7196" w:type="dxa"/>
            <w:shd w:val="clear" w:color="auto" w:fill="770027" w:themeFill="accent3" w:themeFillShade="BF"/>
          </w:tcPr>
          <w:p w14:paraId="011D77C6" w14:textId="77777777" w:rsidR="00140B67" w:rsidRPr="002E448B" w:rsidRDefault="00140B67" w:rsidP="008D352E">
            <w:pPr>
              <w:pStyle w:val="ClauseLevel1"/>
              <w:rPr>
                <w:b/>
                <w:bCs/>
              </w:rPr>
            </w:pPr>
            <w:r w:rsidRPr="002E448B">
              <w:br w:type="page"/>
            </w:r>
            <w:bookmarkStart w:id="34" w:name="_Ref58258828"/>
            <w:r w:rsidRPr="002E448B">
              <w:rPr>
                <w:b/>
                <w:bCs/>
              </w:rPr>
              <w:t>Develop a communication strategy</w:t>
            </w:r>
            <w:bookmarkEnd w:id="34"/>
            <w:r w:rsidRPr="002E448B">
              <w:rPr>
                <w:b/>
                <w:bCs/>
              </w:rPr>
              <w:t xml:space="preserve"> </w:t>
            </w:r>
          </w:p>
        </w:tc>
        <w:tc>
          <w:tcPr>
            <w:tcW w:w="1977" w:type="dxa"/>
            <w:shd w:val="clear" w:color="auto" w:fill="770027" w:themeFill="accent3" w:themeFillShade="BF"/>
          </w:tcPr>
          <w:p w14:paraId="62889502" w14:textId="77777777" w:rsidR="00140B67" w:rsidRPr="002E448B" w:rsidRDefault="00140B67" w:rsidP="008D352E">
            <w:pPr>
              <w:spacing w:before="200" w:after="20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sz w:val="22"/>
                <w:szCs w:val="22"/>
              </w:rPr>
            </w:pPr>
            <w:r w:rsidRPr="002E448B">
              <w:rPr>
                <w:rFonts w:asciiTheme="majorHAnsi" w:hAnsiTheme="majorHAnsi" w:cstheme="majorHAnsi"/>
                <w:sz w:val="22"/>
                <w:szCs w:val="22"/>
              </w:rPr>
              <w:t>Relevant APPs</w:t>
            </w:r>
          </w:p>
        </w:tc>
      </w:tr>
      <w:tr w:rsidR="00140B67" w:rsidRPr="002E448B" w14:paraId="000FA61F" w14:textId="77777777" w:rsidTr="00E2131E">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7196" w:type="dxa"/>
          </w:tcPr>
          <w:p w14:paraId="44DED3DE" w14:textId="77777777" w:rsidR="00140B67" w:rsidRPr="002E448B" w:rsidRDefault="00140B67" w:rsidP="008D352E">
            <w:pPr>
              <w:keepNext/>
              <w:spacing w:before="240" w:after="240"/>
              <w:rPr>
                <w:rFonts w:asciiTheme="majorHAnsi" w:hAnsiTheme="majorHAnsi" w:cstheme="majorHAnsi"/>
                <w:b w:val="0"/>
                <w:bCs w:val="0"/>
              </w:rPr>
            </w:pPr>
            <w:r w:rsidRPr="002E448B">
              <w:rPr>
                <w:rFonts w:asciiTheme="majorHAnsi" w:hAnsiTheme="majorHAnsi" w:cstheme="majorHAnsi"/>
                <w:b w:val="0"/>
                <w:bCs w:val="0"/>
              </w:rPr>
              <w:t xml:space="preserve">We </w:t>
            </w:r>
            <w:r w:rsidRPr="002E448B">
              <w:rPr>
                <w:rFonts w:asciiTheme="majorHAnsi" w:hAnsiTheme="majorHAnsi" w:cstheme="majorHAnsi"/>
              </w:rPr>
              <w:t>recommend</w:t>
            </w:r>
            <w:r w:rsidRPr="002E448B">
              <w:rPr>
                <w:rFonts w:asciiTheme="majorHAnsi" w:hAnsiTheme="majorHAnsi" w:cstheme="majorHAnsi"/>
                <w:b w:val="0"/>
                <w:bCs w:val="0"/>
              </w:rPr>
              <w:t xml:space="preserve"> that Health ensure that is has developed a broad public communication strategy which details how Vaccine Strategy Information will be handled, and how the privacy of Patients and other individuals will be protected. Such a strategy could include:</w:t>
            </w:r>
          </w:p>
          <w:p w14:paraId="3372BD3F" w14:textId="77777777" w:rsidR="00140B67" w:rsidRPr="002E448B" w:rsidRDefault="00140B67" w:rsidP="008D352E">
            <w:pPr>
              <w:pStyle w:val="ListParagraph"/>
              <w:keepNext/>
              <w:numPr>
                <w:ilvl w:val="0"/>
                <w:numId w:val="18"/>
              </w:numPr>
              <w:spacing w:before="120" w:after="120"/>
              <w:contextualSpacing w:val="0"/>
              <w:rPr>
                <w:rFonts w:asciiTheme="majorHAnsi" w:hAnsiTheme="majorHAnsi" w:cstheme="majorHAnsi"/>
                <w:b w:val="0"/>
                <w:bCs w:val="0"/>
              </w:rPr>
            </w:pPr>
            <w:r w:rsidRPr="002E448B">
              <w:rPr>
                <w:rFonts w:asciiTheme="majorHAnsi" w:hAnsiTheme="majorHAnsi" w:cstheme="majorHAnsi"/>
                <w:b w:val="0"/>
                <w:bCs w:val="0"/>
              </w:rPr>
              <w:t>relevant information being made publicly available on Health’s website, which clearly explains the different Information Flows, the entities that will be handling personal information as part of those Information Flows, and the privacy protections that are in place (which could include a copy of the finalised PIA report, or an appropriate summary);</w:t>
            </w:r>
          </w:p>
          <w:p w14:paraId="53D2EC4F" w14:textId="77777777" w:rsidR="00140B67" w:rsidRPr="002E448B" w:rsidRDefault="00140B67" w:rsidP="008D352E">
            <w:pPr>
              <w:pStyle w:val="ListParagraph"/>
              <w:keepNext/>
              <w:numPr>
                <w:ilvl w:val="0"/>
                <w:numId w:val="18"/>
              </w:numPr>
              <w:spacing w:before="120" w:after="120"/>
              <w:contextualSpacing w:val="0"/>
              <w:rPr>
                <w:rFonts w:asciiTheme="majorHAnsi" w:hAnsiTheme="majorHAnsi" w:cstheme="majorHAnsi"/>
                <w:b w:val="0"/>
                <w:bCs w:val="0"/>
              </w:rPr>
            </w:pPr>
            <w:proofErr w:type="gramStart"/>
            <w:r w:rsidRPr="002E448B">
              <w:rPr>
                <w:rFonts w:asciiTheme="majorHAnsi" w:hAnsiTheme="majorHAnsi" w:cstheme="majorHAnsi"/>
                <w:b w:val="0"/>
                <w:bCs w:val="0"/>
              </w:rPr>
              <w:t>distribution</w:t>
            </w:r>
            <w:proofErr w:type="gramEnd"/>
            <w:r w:rsidRPr="002E448B">
              <w:rPr>
                <w:rFonts w:asciiTheme="majorHAnsi" w:hAnsiTheme="majorHAnsi" w:cstheme="majorHAnsi"/>
                <w:b w:val="0"/>
                <w:bCs w:val="0"/>
              </w:rPr>
              <w:t xml:space="preserve"> of training or guidance material (for example, a ‘privacy hand out’) for entities participating in the Vaccine Strategy, which reminds them of their privacy obligations and privacy best practice. We recognise that the level of detail may vary depending on the nature and identity of the entity (for example, Health could reasonably expect general practices to have a good understanding of their privacy and professional medical obligations). Such material could outline: </w:t>
            </w:r>
          </w:p>
          <w:p w14:paraId="5DC0650B" w14:textId="77777777" w:rsidR="00140B67" w:rsidRPr="002E448B" w:rsidRDefault="00140B67" w:rsidP="008D352E">
            <w:pPr>
              <w:pStyle w:val="ClauseLevel3"/>
              <w:keepNext/>
              <w:numPr>
                <w:ilvl w:val="1"/>
                <w:numId w:val="16"/>
              </w:numPr>
              <w:spacing w:before="120" w:after="120" w:line="240" w:lineRule="auto"/>
              <w:rPr>
                <w:rFonts w:asciiTheme="majorHAnsi" w:hAnsiTheme="majorHAnsi" w:cstheme="majorHAnsi"/>
                <w:b w:val="0"/>
                <w:bCs w:val="0"/>
                <w:sz w:val="20"/>
                <w:szCs w:val="20"/>
              </w:rPr>
            </w:pPr>
            <w:r w:rsidRPr="002E448B">
              <w:rPr>
                <w:rFonts w:asciiTheme="majorHAnsi" w:hAnsiTheme="majorHAnsi" w:cstheme="majorHAnsi"/>
                <w:b w:val="0"/>
                <w:bCs w:val="0"/>
                <w:sz w:val="20"/>
                <w:szCs w:val="20"/>
              </w:rPr>
              <w:t xml:space="preserve">Health’s expectations about the handling of personal information, including when Collection Notices are to be provided to the relevant individuals; </w:t>
            </w:r>
          </w:p>
          <w:p w14:paraId="38F148BD" w14:textId="77777777" w:rsidR="00140B67" w:rsidRPr="002E448B" w:rsidRDefault="00140B67" w:rsidP="008D352E">
            <w:pPr>
              <w:pStyle w:val="ListParagraph"/>
              <w:numPr>
                <w:ilvl w:val="1"/>
                <w:numId w:val="16"/>
              </w:numPr>
              <w:rPr>
                <w:rFonts w:asciiTheme="majorHAnsi" w:hAnsiTheme="majorHAnsi" w:cstheme="majorHAnsi"/>
                <w:b w:val="0"/>
                <w:bCs w:val="0"/>
              </w:rPr>
            </w:pPr>
            <w:r w:rsidRPr="002E448B">
              <w:rPr>
                <w:rFonts w:asciiTheme="majorHAnsi" w:hAnsiTheme="majorHAnsi" w:cstheme="majorHAnsi"/>
                <w:b w:val="0"/>
                <w:bCs w:val="0"/>
              </w:rPr>
              <w:t>that Vaccine Providers should only collect the minimum amount of Patient Information necessary to administer the vaccine (i.e. in accordance with the data minimisation principle); and</w:t>
            </w:r>
          </w:p>
          <w:p w14:paraId="1B804A29" w14:textId="77777777" w:rsidR="00140B67" w:rsidRPr="002E448B" w:rsidRDefault="00140B67" w:rsidP="008D352E">
            <w:pPr>
              <w:pStyle w:val="ClauseLevel3"/>
              <w:keepNext/>
              <w:numPr>
                <w:ilvl w:val="1"/>
                <w:numId w:val="16"/>
              </w:numPr>
              <w:spacing w:before="120" w:after="120" w:line="240" w:lineRule="auto"/>
              <w:rPr>
                <w:rFonts w:asciiTheme="majorHAnsi" w:hAnsiTheme="majorHAnsi" w:cstheme="majorHAnsi"/>
                <w:b w:val="0"/>
                <w:bCs w:val="0"/>
                <w:sz w:val="20"/>
                <w:szCs w:val="20"/>
              </w:rPr>
            </w:pPr>
            <w:r w:rsidRPr="002E448B">
              <w:rPr>
                <w:rFonts w:asciiTheme="majorHAnsi" w:hAnsiTheme="majorHAnsi" w:cstheme="majorHAnsi"/>
                <w:b w:val="0"/>
                <w:bCs w:val="0"/>
                <w:sz w:val="20"/>
                <w:szCs w:val="20"/>
              </w:rPr>
              <w:t>that each entity should review its Privacy Policy and other publicly available information (e.g. on the entity’s website), to ensure that it accurately reflects any handling of personal information in connection with the Vaccine Strategy; and</w:t>
            </w:r>
          </w:p>
          <w:p w14:paraId="23A9D605" w14:textId="77777777" w:rsidR="00140B67" w:rsidRPr="002E448B" w:rsidRDefault="00140B67" w:rsidP="008D352E">
            <w:pPr>
              <w:pStyle w:val="ListParagraph"/>
              <w:keepNext/>
              <w:numPr>
                <w:ilvl w:val="0"/>
                <w:numId w:val="18"/>
              </w:numPr>
              <w:spacing w:before="120" w:after="120"/>
              <w:contextualSpacing w:val="0"/>
              <w:rPr>
                <w:rFonts w:asciiTheme="majorHAnsi" w:hAnsiTheme="majorHAnsi" w:cstheme="majorHAnsi"/>
                <w:b w:val="0"/>
                <w:bCs w:val="0"/>
              </w:rPr>
            </w:pPr>
            <w:proofErr w:type="gramStart"/>
            <w:r w:rsidRPr="002E448B">
              <w:rPr>
                <w:rFonts w:asciiTheme="majorHAnsi" w:hAnsiTheme="majorHAnsi" w:cstheme="majorHAnsi"/>
                <w:b w:val="0"/>
                <w:bCs w:val="0"/>
              </w:rPr>
              <w:t>taking</w:t>
            </w:r>
            <w:proofErr w:type="gramEnd"/>
            <w:r w:rsidRPr="002E448B">
              <w:rPr>
                <w:rFonts w:asciiTheme="majorHAnsi" w:hAnsiTheme="majorHAnsi" w:cstheme="majorHAnsi"/>
                <w:b w:val="0"/>
                <w:bCs w:val="0"/>
              </w:rPr>
              <w:t xml:space="preserve"> steps to ensure that Patients, and other individuals, are made aware of how their Vaccine Strategy Information will be handled (see </w:t>
            </w:r>
            <w:r w:rsidRPr="002E448B">
              <w:rPr>
                <w:rFonts w:asciiTheme="majorHAnsi" w:hAnsiTheme="majorHAnsi" w:cstheme="majorHAnsi"/>
                <w:color w:val="82002A" w:themeColor="accent1"/>
              </w:rPr>
              <w:fldChar w:fldCharType="begin" w:fldLock="1"/>
            </w:r>
            <w:r w:rsidRPr="002E448B">
              <w:rPr>
                <w:rFonts w:asciiTheme="majorHAnsi" w:hAnsiTheme="majorHAnsi" w:cstheme="majorHAnsi"/>
                <w:color w:val="82002A" w:themeColor="accent1"/>
              </w:rPr>
              <w:instrText xml:space="preserve"> REF _Ref64031321 \r \h  \* MERGEFORMAT </w:instrText>
            </w:r>
            <w:r w:rsidRPr="002E448B">
              <w:rPr>
                <w:rFonts w:asciiTheme="majorHAnsi" w:hAnsiTheme="majorHAnsi" w:cstheme="majorHAnsi"/>
                <w:color w:val="82002A" w:themeColor="accent1"/>
              </w:rPr>
            </w:r>
            <w:r w:rsidRPr="002E448B">
              <w:rPr>
                <w:rFonts w:asciiTheme="majorHAnsi" w:hAnsiTheme="majorHAnsi" w:cstheme="majorHAnsi"/>
                <w:color w:val="82002A" w:themeColor="accent1"/>
              </w:rPr>
              <w:fldChar w:fldCharType="separate"/>
            </w:r>
            <w:r w:rsidRPr="002E448B">
              <w:rPr>
                <w:rFonts w:asciiTheme="majorHAnsi" w:hAnsiTheme="majorHAnsi" w:cstheme="majorHAnsi"/>
                <w:color w:val="82002A" w:themeColor="accent1"/>
              </w:rPr>
              <w:t>Recommendation 3</w:t>
            </w:r>
            <w:r w:rsidRPr="002E448B">
              <w:rPr>
                <w:rFonts w:asciiTheme="majorHAnsi" w:hAnsiTheme="majorHAnsi" w:cstheme="majorHAnsi"/>
                <w:color w:val="82002A" w:themeColor="accent1"/>
              </w:rPr>
              <w:fldChar w:fldCharType="end"/>
            </w:r>
            <w:r w:rsidRPr="002E448B">
              <w:rPr>
                <w:rFonts w:asciiTheme="majorHAnsi" w:hAnsiTheme="majorHAnsi" w:cstheme="majorHAnsi"/>
                <w:color w:val="82002A" w:themeColor="accent1"/>
              </w:rPr>
              <w:t xml:space="preserve"> </w:t>
            </w:r>
            <w:r w:rsidRPr="002E448B">
              <w:rPr>
                <w:rFonts w:asciiTheme="majorHAnsi" w:hAnsiTheme="majorHAnsi" w:cstheme="majorHAnsi"/>
                <w:b w:val="0"/>
                <w:bCs w:val="0"/>
              </w:rPr>
              <w:t>below).</w:t>
            </w:r>
          </w:p>
        </w:tc>
        <w:tc>
          <w:tcPr>
            <w:tcW w:w="1977" w:type="dxa"/>
            <w:shd w:val="clear" w:color="auto" w:fill="F2DEDE"/>
          </w:tcPr>
          <w:p w14:paraId="45845076" w14:textId="77777777" w:rsidR="00140B67" w:rsidRPr="002E448B" w:rsidRDefault="00140B67" w:rsidP="008D352E">
            <w:pPr>
              <w:spacing w:before="240" w:after="24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rPr>
            </w:pPr>
            <w:r w:rsidRPr="002E448B">
              <w:rPr>
                <w:rFonts w:asciiTheme="majorHAnsi" w:hAnsiTheme="majorHAnsi" w:cstheme="majorHAnsi"/>
              </w:rPr>
              <w:t>All</w:t>
            </w:r>
          </w:p>
        </w:tc>
      </w:tr>
    </w:tbl>
    <w:p w14:paraId="7364B246" w14:textId="77777777" w:rsidR="00140B67" w:rsidRPr="002E448B" w:rsidRDefault="00140B67" w:rsidP="00140B67">
      <w:pPr>
        <w:rPr>
          <w:rFonts w:asciiTheme="majorHAnsi" w:hAnsiTheme="majorHAnsi" w:cstheme="majorHAnsi"/>
        </w:rPr>
      </w:pPr>
    </w:p>
    <w:tbl>
      <w:tblPr>
        <w:tblStyle w:val="PlainTable1"/>
        <w:tblW w:w="9173" w:type="dxa"/>
        <w:tblInd w:w="-113" w:type="dxa"/>
        <w:tblLook w:val="04A0" w:firstRow="1" w:lastRow="0" w:firstColumn="1" w:lastColumn="0" w:noHBand="0" w:noVBand="1"/>
        <w:tblDescription w:val="&quot;&quot;"/>
      </w:tblPr>
      <w:tblGrid>
        <w:gridCol w:w="7196"/>
        <w:gridCol w:w="1977"/>
      </w:tblGrid>
      <w:tr w:rsidR="00140B67" w:rsidRPr="002E448B" w14:paraId="01284CCD" w14:textId="77777777" w:rsidTr="00E2131E">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7196" w:type="dxa"/>
            <w:shd w:val="clear" w:color="auto" w:fill="770027" w:themeFill="accent3" w:themeFillShade="BF"/>
          </w:tcPr>
          <w:p w14:paraId="79181E6A" w14:textId="77777777" w:rsidR="00140B67" w:rsidRPr="002E448B" w:rsidRDefault="00140B67" w:rsidP="008D352E">
            <w:pPr>
              <w:pStyle w:val="ClauseLevel1"/>
              <w:keepNext w:val="0"/>
              <w:rPr>
                <w:b/>
                <w:bCs/>
              </w:rPr>
            </w:pPr>
            <w:r w:rsidRPr="002E448B">
              <w:br w:type="page"/>
            </w:r>
            <w:bookmarkStart w:id="35" w:name="_Ref64031321"/>
            <w:r w:rsidRPr="002E448B">
              <w:rPr>
                <w:b/>
                <w:bCs/>
              </w:rPr>
              <w:t>Awareness about handling of Vaccine Strategy Information</w:t>
            </w:r>
            <w:bookmarkEnd w:id="35"/>
            <w:r w:rsidRPr="002E448B">
              <w:rPr>
                <w:b/>
                <w:bCs/>
              </w:rPr>
              <w:t xml:space="preserve"> </w:t>
            </w:r>
          </w:p>
        </w:tc>
        <w:tc>
          <w:tcPr>
            <w:tcW w:w="1977" w:type="dxa"/>
            <w:shd w:val="clear" w:color="auto" w:fill="770027" w:themeFill="accent3" w:themeFillShade="BF"/>
          </w:tcPr>
          <w:p w14:paraId="2D53C138" w14:textId="77777777" w:rsidR="00140B67" w:rsidRPr="002E448B" w:rsidRDefault="00140B67" w:rsidP="008D352E">
            <w:pPr>
              <w:spacing w:before="200" w:after="20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sz w:val="22"/>
                <w:szCs w:val="22"/>
              </w:rPr>
            </w:pPr>
            <w:r w:rsidRPr="002E448B">
              <w:rPr>
                <w:rFonts w:asciiTheme="majorHAnsi" w:hAnsiTheme="majorHAnsi" w:cstheme="majorHAnsi"/>
                <w:sz w:val="22"/>
                <w:szCs w:val="22"/>
              </w:rPr>
              <w:t>Relevant APPs</w:t>
            </w:r>
          </w:p>
        </w:tc>
      </w:tr>
      <w:tr w:rsidR="00140B67" w:rsidRPr="002E448B" w14:paraId="2158FC5A" w14:textId="77777777" w:rsidTr="00E2131E">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7196" w:type="dxa"/>
          </w:tcPr>
          <w:p w14:paraId="02170495" w14:textId="77777777" w:rsidR="00140B67" w:rsidRPr="002E448B" w:rsidRDefault="00140B67" w:rsidP="008D352E">
            <w:pPr>
              <w:keepLines/>
              <w:spacing w:before="120" w:after="120"/>
              <w:rPr>
                <w:rFonts w:asciiTheme="majorHAnsi" w:hAnsiTheme="majorHAnsi" w:cstheme="majorHAnsi"/>
              </w:rPr>
            </w:pPr>
            <w:r w:rsidRPr="002E448B">
              <w:rPr>
                <w:rFonts w:asciiTheme="majorHAnsi" w:hAnsiTheme="majorHAnsi" w:cstheme="majorHAnsi"/>
                <w:b w:val="0"/>
                <w:bCs w:val="0"/>
              </w:rPr>
              <w:t xml:space="preserve">To ensure compliance with APP 5, we </w:t>
            </w:r>
            <w:r w:rsidRPr="002E448B">
              <w:rPr>
                <w:rFonts w:asciiTheme="majorHAnsi" w:hAnsiTheme="majorHAnsi" w:cstheme="majorHAnsi"/>
              </w:rPr>
              <w:t xml:space="preserve">recommend </w:t>
            </w:r>
            <w:r w:rsidRPr="002E448B">
              <w:rPr>
                <w:rFonts w:asciiTheme="majorHAnsi" w:hAnsiTheme="majorHAnsi" w:cstheme="majorHAnsi"/>
                <w:b w:val="0"/>
                <w:bCs w:val="0"/>
              </w:rPr>
              <w:t>that Health take steps to ensure that Patients, Vaccinators and Provider Personnel, and Distribution Chain Personnel, are aware of how their personal information will be handled.</w:t>
            </w:r>
          </w:p>
          <w:p w14:paraId="48176CC5" w14:textId="77777777" w:rsidR="00140B67" w:rsidRPr="002E448B" w:rsidRDefault="00140B67" w:rsidP="008D352E">
            <w:pPr>
              <w:keepLines/>
              <w:spacing w:before="120" w:after="120"/>
              <w:rPr>
                <w:rFonts w:asciiTheme="majorHAnsi" w:hAnsiTheme="majorHAnsi" w:cstheme="majorHAnsi"/>
                <w:i/>
                <w:iCs/>
              </w:rPr>
            </w:pPr>
            <w:r w:rsidRPr="002E448B">
              <w:rPr>
                <w:rFonts w:asciiTheme="majorHAnsi" w:hAnsiTheme="majorHAnsi" w:cstheme="majorHAnsi"/>
                <w:i/>
                <w:iCs/>
              </w:rPr>
              <w:t>Patients</w:t>
            </w:r>
          </w:p>
          <w:p w14:paraId="45B4A016" w14:textId="77777777" w:rsidR="00140B67" w:rsidRPr="002E448B" w:rsidRDefault="00140B67" w:rsidP="008D352E">
            <w:pPr>
              <w:keepLines/>
              <w:spacing w:before="120" w:after="120"/>
              <w:rPr>
                <w:rFonts w:asciiTheme="majorHAnsi" w:hAnsiTheme="majorHAnsi" w:cstheme="majorHAnsi"/>
                <w:b w:val="0"/>
                <w:bCs w:val="0"/>
              </w:rPr>
            </w:pPr>
            <w:r w:rsidRPr="002E448B">
              <w:rPr>
                <w:rFonts w:asciiTheme="majorHAnsi" w:hAnsiTheme="majorHAnsi" w:cstheme="majorHAnsi"/>
                <w:b w:val="0"/>
                <w:bCs w:val="0"/>
              </w:rPr>
              <w:t xml:space="preserve">This should include steps to ensure that Patients are aware: </w:t>
            </w:r>
          </w:p>
          <w:p w14:paraId="3D6E4768" w14:textId="77777777" w:rsidR="00140B67" w:rsidRPr="002E448B" w:rsidRDefault="00140B67" w:rsidP="008D352E">
            <w:pPr>
              <w:pStyle w:val="ListParagraph"/>
              <w:keepLines/>
              <w:numPr>
                <w:ilvl w:val="0"/>
                <w:numId w:val="18"/>
              </w:numPr>
              <w:spacing w:before="120" w:after="120"/>
              <w:contextualSpacing w:val="0"/>
              <w:rPr>
                <w:rFonts w:asciiTheme="majorHAnsi" w:hAnsiTheme="majorHAnsi" w:cstheme="majorHAnsi"/>
                <w:b w:val="0"/>
                <w:bCs w:val="0"/>
              </w:rPr>
            </w:pPr>
            <w:r w:rsidRPr="002E448B">
              <w:rPr>
                <w:rFonts w:asciiTheme="majorHAnsi" w:hAnsiTheme="majorHAnsi" w:cstheme="majorHAnsi"/>
                <w:b w:val="0"/>
                <w:bCs w:val="0"/>
              </w:rPr>
              <w:t xml:space="preserve">of the reasons why their personal information is being collected in connection with the Vaccine Strategy, what the information will be used for, and who it may be disclosed to; </w:t>
            </w:r>
          </w:p>
          <w:p w14:paraId="4AB62B56" w14:textId="77777777" w:rsidR="00140B67" w:rsidRPr="002E448B" w:rsidRDefault="00140B67" w:rsidP="008D352E">
            <w:pPr>
              <w:pStyle w:val="ListParagraph"/>
              <w:keepLines/>
              <w:numPr>
                <w:ilvl w:val="0"/>
                <w:numId w:val="18"/>
              </w:numPr>
              <w:spacing w:before="120" w:after="120"/>
              <w:contextualSpacing w:val="0"/>
              <w:rPr>
                <w:rFonts w:asciiTheme="majorHAnsi" w:hAnsiTheme="majorHAnsi" w:cstheme="majorHAnsi"/>
                <w:b w:val="0"/>
                <w:bCs w:val="0"/>
              </w:rPr>
            </w:pPr>
            <w:r w:rsidRPr="002E448B">
              <w:rPr>
                <w:rFonts w:asciiTheme="majorHAnsi" w:hAnsiTheme="majorHAnsi" w:cstheme="majorHAnsi"/>
                <w:b w:val="0"/>
                <w:bCs w:val="0"/>
              </w:rPr>
              <w:t xml:space="preserve">that the </w:t>
            </w:r>
            <w:r w:rsidRPr="002E448B">
              <w:rPr>
                <w:rFonts w:asciiTheme="majorHAnsi" w:hAnsiTheme="majorHAnsi" w:cstheme="majorHAnsi"/>
                <w:b w:val="0"/>
                <w:bCs w:val="0"/>
                <w:i/>
              </w:rPr>
              <w:t>Australian Immunisation Register Act 2015</w:t>
            </w:r>
            <w:r w:rsidRPr="002E448B">
              <w:rPr>
                <w:rFonts w:asciiTheme="majorHAnsi" w:hAnsiTheme="majorHAnsi" w:cstheme="majorHAnsi"/>
                <w:b w:val="0"/>
                <w:bCs w:val="0"/>
                <w:iCs/>
              </w:rPr>
              <w:t xml:space="preserve"> (</w:t>
            </w:r>
            <w:proofErr w:type="spellStart"/>
            <w:r w:rsidRPr="002E448B">
              <w:rPr>
                <w:rFonts w:asciiTheme="majorHAnsi" w:hAnsiTheme="majorHAnsi" w:cstheme="majorHAnsi"/>
                <w:b w:val="0"/>
                <w:bCs w:val="0"/>
                <w:iCs/>
              </w:rPr>
              <w:t>Cth</w:t>
            </w:r>
            <w:proofErr w:type="spellEnd"/>
            <w:r w:rsidRPr="002E448B">
              <w:rPr>
                <w:rFonts w:asciiTheme="majorHAnsi" w:hAnsiTheme="majorHAnsi" w:cstheme="majorHAnsi"/>
                <w:b w:val="0"/>
                <w:bCs w:val="0"/>
                <w:iCs/>
              </w:rPr>
              <w:t>)</w:t>
            </w:r>
            <w:r w:rsidRPr="002E448B">
              <w:rPr>
                <w:rFonts w:asciiTheme="majorHAnsi" w:hAnsiTheme="majorHAnsi" w:cstheme="majorHAnsi"/>
              </w:rPr>
              <w:t xml:space="preserve"> </w:t>
            </w:r>
            <w:r w:rsidRPr="002E448B">
              <w:rPr>
                <w:rFonts w:asciiTheme="majorHAnsi" w:hAnsiTheme="majorHAnsi" w:cstheme="majorHAnsi"/>
                <w:b w:val="0"/>
                <w:bCs w:val="0"/>
              </w:rPr>
              <w:t>(</w:t>
            </w:r>
            <w:r w:rsidRPr="002E448B">
              <w:rPr>
                <w:rFonts w:asciiTheme="majorHAnsi" w:hAnsiTheme="majorHAnsi" w:cstheme="majorHAnsi"/>
              </w:rPr>
              <w:t>AIR Act</w:t>
            </w:r>
            <w:r w:rsidRPr="002E448B">
              <w:rPr>
                <w:rFonts w:asciiTheme="majorHAnsi" w:hAnsiTheme="majorHAnsi" w:cstheme="majorHAnsi"/>
                <w:b w:val="0"/>
                <w:bCs w:val="0"/>
              </w:rPr>
              <w:t>) authorises (and requires) the collection of the personal information, explaining that if they consent to receiving the vaccine, it will be mandatory for their personal information to be reported to the Australian Immunisation Register (</w:t>
            </w:r>
            <w:r w:rsidRPr="002E448B">
              <w:rPr>
                <w:rFonts w:asciiTheme="majorHAnsi" w:hAnsiTheme="majorHAnsi" w:cstheme="majorHAnsi"/>
              </w:rPr>
              <w:t>AIR</w:t>
            </w:r>
            <w:r w:rsidRPr="002E448B">
              <w:rPr>
                <w:rFonts w:asciiTheme="majorHAnsi" w:hAnsiTheme="majorHAnsi" w:cstheme="majorHAnsi"/>
                <w:b w:val="0"/>
                <w:bCs w:val="0"/>
              </w:rPr>
              <w:t xml:space="preserve">), but that they can opt-out from having their information disclosed to other entities from the AIR (and they should also be made aware of how to do so, and of any consequences that flow on as a result); </w:t>
            </w:r>
          </w:p>
          <w:p w14:paraId="49A951D1" w14:textId="77777777" w:rsidR="00140B67" w:rsidRPr="002E448B" w:rsidRDefault="00140B67" w:rsidP="008D352E">
            <w:pPr>
              <w:pStyle w:val="ListParagraph"/>
              <w:keepLines/>
              <w:numPr>
                <w:ilvl w:val="0"/>
                <w:numId w:val="18"/>
              </w:numPr>
              <w:spacing w:before="120" w:after="120"/>
              <w:contextualSpacing w:val="0"/>
              <w:rPr>
                <w:rFonts w:asciiTheme="majorHAnsi" w:hAnsiTheme="majorHAnsi" w:cstheme="majorHAnsi"/>
                <w:b w:val="0"/>
                <w:bCs w:val="0"/>
              </w:rPr>
            </w:pPr>
            <w:r w:rsidRPr="002E448B">
              <w:rPr>
                <w:rFonts w:asciiTheme="majorHAnsi" w:hAnsiTheme="majorHAnsi" w:cstheme="majorHAnsi"/>
                <w:b w:val="0"/>
                <w:bCs w:val="0"/>
              </w:rPr>
              <w:t xml:space="preserve">of the relevant contact details of the collecting entities (including that Health may collect their personal information from other entities in connection with the Vaccine Strategy); </w:t>
            </w:r>
          </w:p>
          <w:p w14:paraId="7FB49504" w14:textId="77777777" w:rsidR="00140B67" w:rsidRPr="002E448B" w:rsidRDefault="00140B67" w:rsidP="008D352E">
            <w:pPr>
              <w:pStyle w:val="ListParagraph"/>
              <w:keepLines/>
              <w:numPr>
                <w:ilvl w:val="0"/>
                <w:numId w:val="18"/>
              </w:numPr>
              <w:spacing w:before="120" w:after="120"/>
              <w:contextualSpacing w:val="0"/>
              <w:rPr>
                <w:rFonts w:asciiTheme="majorHAnsi" w:hAnsiTheme="majorHAnsi" w:cstheme="majorHAnsi"/>
                <w:b w:val="0"/>
                <w:bCs w:val="0"/>
              </w:rPr>
            </w:pPr>
            <w:r w:rsidRPr="002E448B">
              <w:rPr>
                <w:rFonts w:asciiTheme="majorHAnsi" w:hAnsiTheme="majorHAnsi" w:cstheme="majorHAnsi"/>
                <w:b w:val="0"/>
                <w:bCs w:val="0"/>
              </w:rPr>
              <w:t>of how they can make a complaint and access or correct their personal information; and</w:t>
            </w:r>
          </w:p>
          <w:p w14:paraId="4DC5AF57" w14:textId="77777777" w:rsidR="00140B67" w:rsidRPr="002E448B" w:rsidRDefault="00140B67" w:rsidP="008D352E">
            <w:pPr>
              <w:pStyle w:val="ListParagraph"/>
              <w:keepLines/>
              <w:numPr>
                <w:ilvl w:val="0"/>
                <w:numId w:val="18"/>
              </w:numPr>
              <w:spacing w:before="120" w:after="120"/>
              <w:contextualSpacing w:val="0"/>
              <w:rPr>
                <w:rFonts w:asciiTheme="majorHAnsi" w:hAnsiTheme="majorHAnsi" w:cstheme="majorHAnsi"/>
                <w:b w:val="0"/>
                <w:bCs w:val="0"/>
              </w:rPr>
            </w:pPr>
            <w:proofErr w:type="gramStart"/>
            <w:r w:rsidRPr="002E448B">
              <w:rPr>
                <w:rFonts w:asciiTheme="majorHAnsi" w:hAnsiTheme="majorHAnsi" w:cstheme="majorHAnsi"/>
                <w:b w:val="0"/>
                <w:bCs w:val="0"/>
              </w:rPr>
              <w:t>of</w:t>
            </w:r>
            <w:proofErr w:type="gramEnd"/>
            <w:r w:rsidRPr="002E448B">
              <w:rPr>
                <w:rFonts w:asciiTheme="majorHAnsi" w:hAnsiTheme="majorHAnsi" w:cstheme="majorHAnsi"/>
                <w:b w:val="0"/>
                <w:bCs w:val="0"/>
              </w:rPr>
              <w:t xml:space="preserve"> whether or not the individual’s personal information is likely to be disclosed to any overseas entity.</w:t>
            </w:r>
          </w:p>
          <w:p w14:paraId="33E4843B" w14:textId="77777777" w:rsidR="00140B67" w:rsidRPr="002E448B" w:rsidRDefault="00140B67" w:rsidP="008D352E">
            <w:pPr>
              <w:keepLines/>
              <w:spacing w:before="120" w:after="120"/>
              <w:rPr>
                <w:rFonts w:asciiTheme="majorHAnsi" w:hAnsiTheme="majorHAnsi" w:cstheme="majorHAnsi"/>
                <w:b w:val="0"/>
                <w:bCs w:val="0"/>
              </w:rPr>
            </w:pPr>
            <w:r w:rsidRPr="002E448B">
              <w:rPr>
                <w:rFonts w:asciiTheme="majorHAnsi" w:hAnsiTheme="majorHAnsi" w:cstheme="majorHAnsi"/>
                <w:b w:val="0"/>
                <w:bCs w:val="0"/>
              </w:rPr>
              <w:t>The relevant information should:</w:t>
            </w:r>
          </w:p>
          <w:p w14:paraId="60B1AD4A" w14:textId="77777777" w:rsidR="00140B67" w:rsidRPr="002E448B" w:rsidRDefault="00140B67" w:rsidP="008D352E">
            <w:pPr>
              <w:pStyle w:val="ListParagraph"/>
              <w:keepLines/>
              <w:numPr>
                <w:ilvl w:val="0"/>
                <w:numId w:val="18"/>
              </w:numPr>
              <w:spacing w:before="120" w:after="120"/>
              <w:contextualSpacing w:val="0"/>
              <w:rPr>
                <w:rFonts w:asciiTheme="majorHAnsi" w:hAnsiTheme="majorHAnsi" w:cstheme="majorHAnsi"/>
                <w:b w:val="0"/>
                <w:bCs w:val="0"/>
              </w:rPr>
            </w:pPr>
            <w:r w:rsidRPr="002E448B">
              <w:rPr>
                <w:rFonts w:asciiTheme="majorHAnsi" w:hAnsiTheme="majorHAnsi" w:cstheme="majorHAnsi"/>
                <w:b w:val="0"/>
                <w:bCs w:val="0"/>
              </w:rPr>
              <w:t>be easy to understand and delivered in plain English; and</w:t>
            </w:r>
          </w:p>
          <w:p w14:paraId="1B51D244" w14:textId="77777777" w:rsidR="00140B67" w:rsidRPr="002E448B" w:rsidRDefault="00140B67" w:rsidP="008D352E">
            <w:pPr>
              <w:pStyle w:val="ListParagraph"/>
              <w:keepLines/>
              <w:numPr>
                <w:ilvl w:val="0"/>
                <w:numId w:val="18"/>
              </w:numPr>
              <w:spacing w:before="120" w:after="120"/>
              <w:contextualSpacing w:val="0"/>
              <w:rPr>
                <w:rFonts w:asciiTheme="majorHAnsi" w:hAnsiTheme="majorHAnsi" w:cstheme="majorHAnsi"/>
                <w:b w:val="0"/>
                <w:bCs w:val="0"/>
              </w:rPr>
            </w:pPr>
            <w:proofErr w:type="gramStart"/>
            <w:r w:rsidRPr="002E448B">
              <w:rPr>
                <w:rFonts w:asciiTheme="majorHAnsi" w:hAnsiTheme="majorHAnsi" w:cstheme="majorHAnsi"/>
                <w:b w:val="0"/>
                <w:bCs w:val="0"/>
              </w:rPr>
              <w:t>to</w:t>
            </w:r>
            <w:proofErr w:type="gramEnd"/>
            <w:r w:rsidRPr="002E448B">
              <w:rPr>
                <w:rFonts w:asciiTheme="majorHAnsi" w:hAnsiTheme="majorHAnsi" w:cstheme="majorHAnsi"/>
                <w:b w:val="0"/>
                <w:bCs w:val="0"/>
              </w:rPr>
              <w:t xml:space="preserve"> the extent possible and practicable, meet best practice accessibility requirements, to facilitate those with a disability, or those from culturally and linguistically diverse communities, being able to understand the information provided to them. Health could consider tailoring the relevant information, taking into account the needs of different groups in the community (such as Patients in aged care).</w:t>
            </w:r>
          </w:p>
          <w:p w14:paraId="2CFC4123" w14:textId="77777777" w:rsidR="00140B67" w:rsidRPr="002E448B" w:rsidRDefault="00140B67" w:rsidP="008D352E">
            <w:pPr>
              <w:keepLines/>
              <w:spacing w:before="120" w:after="120"/>
              <w:rPr>
                <w:rFonts w:asciiTheme="majorHAnsi" w:hAnsiTheme="majorHAnsi" w:cstheme="majorHAnsi"/>
                <w:b w:val="0"/>
                <w:bCs w:val="0"/>
              </w:rPr>
            </w:pPr>
            <w:r w:rsidRPr="002E448B">
              <w:rPr>
                <w:rFonts w:asciiTheme="majorHAnsi" w:hAnsiTheme="majorHAnsi" w:cstheme="majorHAnsi"/>
                <w:b w:val="0"/>
                <w:bCs w:val="0"/>
              </w:rPr>
              <w:t xml:space="preserve">We </w:t>
            </w:r>
            <w:r w:rsidRPr="002E448B">
              <w:rPr>
                <w:rFonts w:asciiTheme="majorHAnsi" w:hAnsiTheme="majorHAnsi" w:cstheme="majorHAnsi"/>
              </w:rPr>
              <w:t xml:space="preserve">recommend </w:t>
            </w:r>
            <w:r w:rsidRPr="002E448B">
              <w:rPr>
                <w:rFonts w:asciiTheme="majorHAnsi" w:hAnsiTheme="majorHAnsi" w:cstheme="majorHAnsi"/>
                <w:b w:val="0"/>
                <w:bCs w:val="0"/>
              </w:rPr>
              <w:t xml:space="preserve">that Health, taking into account what is possible and practicable from an operational perspective, either: </w:t>
            </w:r>
          </w:p>
          <w:p w14:paraId="645BABA9" w14:textId="77777777" w:rsidR="00140B67" w:rsidRPr="002E448B" w:rsidRDefault="00140B67" w:rsidP="008D352E">
            <w:pPr>
              <w:pStyle w:val="ListParagraph"/>
              <w:keepLines/>
              <w:numPr>
                <w:ilvl w:val="0"/>
                <w:numId w:val="18"/>
              </w:numPr>
              <w:spacing w:before="120" w:after="120"/>
              <w:rPr>
                <w:rFonts w:asciiTheme="majorHAnsi" w:hAnsiTheme="majorHAnsi" w:cstheme="majorHAnsi"/>
                <w:b w:val="0"/>
                <w:bCs w:val="0"/>
              </w:rPr>
            </w:pPr>
            <w:proofErr w:type="gramStart"/>
            <w:r w:rsidRPr="002E448B">
              <w:rPr>
                <w:rFonts w:asciiTheme="majorHAnsi" w:hAnsiTheme="majorHAnsi" w:cstheme="majorHAnsi"/>
                <w:b w:val="0"/>
                <w:bCs w:val="0"/>
              </w:rPr>
              <w:t>develop</w:t>
            </w:r>
            <w:proofErr w:type="gramEnd"/>
            <w:r w:rsidRPr="002E448B">
              <w:rPr>
                <w:rFonts w:asciiTheme="majorHAnsi" w:hAnsiTheme="majorHAnsi" w:cstheme="majorHAnsi"/>
                <w:b w:val="0"/>
                <w:bCs w:val="0"/>
              </w:rPr>
              <w:t xml:space="preserve"> and implement a consistent form of Collection Notice that will be provided to all Patients (for example, by requiring Vaccine Providers to provide this Collection Notice to all Patients). We consider that this option would represent privacy best practice, and could be implemented, for example, by:</w:t>
            </w:r>
          </w:p>
          <w:p w14:paraId="2BD56B55" w14:textId="77777777" w:rsidR="00140B67" w:rsidRPr="002E448B" w:rsidRDefault="00140B67" w:rsidP="008D352E">
            <w:pPr>
              <w:pStyle w:val="ClauseLevel3"/>
              <w:keepLines/>
              <w:numPr>
                <w:ilvl w:val="1"/>
                <w:numId w:val="16"/>
              </w:numPr>
              <w:spacing w:before="120" w:after="120" w:line="240" w:lineRule="auto"/>
              <w:rPr>
                <w:rFonts w:asciiTheme="majorHAnsi" w:hAnsiTheme="majorHAnsi" w:cstheme="majorHAnsi"/>
                <w:b w:val="0"/>
                <w:bCs w:val="0"/>
                <w:sz w:val="20"/>
                <w:szCs w:val="20"/>
              </w:rPr>
            </w:pPr>
            <w:r w:rsidRPr="002E448B">
              <w:rPr>
                <w:rFonts w:asciiTheme="majorHAnsi" w:hAnsiTheme="majorHAnsi" w:cstheme="majorHAnsi"/>
                <w:b w:val="0"/>
                <w:bCs w:val="0"/>
                <w:sz w:val="20"/>
                <w:szCs w:val="20"/>
              </w:rPr>
              <w:t xml:space="preserve">a separate form of Collection Notice being developed by Health, with Vaccine Providers instructed (during the </w:t>
            </w:r>
            <w:proofErr w:type="spellStart"/>
            <w:r w:rsidRPr="002E448B">
              <w:rPr>
                <w:rFonts w:asciiTheme="majorHAnsi" w:hAnsiTheme="majorHAnsi" w:cstheme="majorHAnsi"/>
                <w:b w:val="0"/>
                <w:bCs w:val="0"/>
                <w:sz w:val="20"/>
                <w:szCs w:val="20"/>
              </w:rPr>
              <w:t>onboarding</w:t>
            </w:r>
            <w:proofErr w:type="spellEnd"/>
            <w:r w:rsidRPr="002E448B">
              <w:rPr>
                <w:rFonts w:asciiTheme="majorHAnsi" w:hAnsiTheme="majorHAnsi" w:cstheme="majorHAnsi"/>
                <w:b w:val="0"/>
                <w:bCs w:val="0"/>
                <w:sz w:val="20"/>
                <w:szCs w:val="20"/>
              </w:rPr>
              <w:t xml:space="preserve"> process) to provide a copy to the Patient:</w:t>
            </w:r>
          </w:p>
          <w:p w14:paraId="358355CD" w14:textId="77777777" w:rsidR="00140B67" w:rsidRPr="002E448B" w:rsidRDefault="00140B67" w:rsidP="008D352E">
            <w:pPr>
              <w:pStyle w:val="ClauseLevel3"/>
              <w:keepLines/>
              <w:numPr>
                <w:ilvl w:val="2"/>
                <w:numId w:val="16"/>
              </w:numPr>
              <w:spacing w:before="120" w:after="120" w:line="240" w:lineRule="auto"/>
              <w:rPr>
                <w:rFonts w:asciiTheme="majorHAnsi" w:hAnsiTheme="majorHAnsi" w:cstheme="majorHAnsi"/>
                <w:b w:val="0"/>
                <w:bCs w:val="0"/>
                <w:sz w:val="20"/>
                <w:szCs w:val="20"/>
              </w:rPr>
            </w:pPr>
            <w:r w:rsidRPr="002E448B">
              <w:rPr>
                <w:rFonts w:asciiTheme="majorHAnsi" w:hAnsiTheme="majorHAnsi" w:cstheme="majorHAnsi"/>
                <w:b w:val="0"/>
                <w:bCs w:val="0"/>
                <w:sz w:val="20"/>
                <w:szCs w:val="20"/>
              </w:rPr>
              <w:t xml:space="preserve">ideally, at the first point of collection, being the time that the Patient makes a booking with the relevant Vaccine Provider (i.e. through the Vaccine Provider’s booking system); or </w:t>
            </w:r>
          </w:p>
          <w:p w14:paraId="0A7F5C9D" w14:textId="77777777" w:rsidR="00140B67" w:rsidRPr="002E448B" w:rsidRDefault="00140B67" w:rsidP="008D352E">
            <w:pPr>
              <w:pStyle w:val="ClauseLevel3"/>
              <w:keepLines/>
              <w:numPr>
                <w:ilvl w:val="2"/>
                <w:numId w:val="16"/>
              </w:numPr>
              <w:spacing w:before="120" w:after="120" w:line="240" w:lineRule="auto"/>
              <w:rPr>
                <w:rFonts w:asciiTheme="majorHAnsi" w:hAnsiTheme="majorHAnsi" w:cstheme="majorHAnsi"/>
                <w:sz w:val="20"/>
                <w:szCs w:val="20"/>
              </w:rPr>
            </w:pPr>
            <w:r w:rsidRPr="002E448B">
              <w:rPr>
                <w:rFonts w:asciiTheme="majorHAnsi" w:hAnsiTheme="majorHAnsi" w:cstheme="majorHAnsi"/>
                <w:b w:val="0"/>
                <w:bCs w:val="0"/>
                <w:sz w:val="20"/>
                <w:szCs w:val="20"/>
              </w:rPr>
              <w:t>if this is not practical in the circumstances, at the time of administering each dose of the vaccine; or</w:t>
            </w:r>
            <w:r w:rsidRPr="002E448B">
              <w:rPr>
                <w:rFonts w:asciiTheme="majorHAnsi" w:hAnsiTheme="majorHAnsi" w:cstheme="majorHAnsi"/>
                <w:sz w:val="20"/>
                <w:szCs w:val="20"/>
              </w:rPr>
              <w:t xml:space="preserve"> </w:t>
            </w:r>
          </w:p>
          <w:p w14:paraId="53109CEB" w14:textId="77777777" w:rsidR="00140B67" w:rsidRPr="002E448B" w:rsidRDefault="00140B67" w:rsidP="008D352E">
            <w:pPr>
              <w:pStyle w:val="ClauseLevel3"/>
              <w:keepLines/>
              <w:numPr>
                <w:ilvl w:val="1"/>
                <w:numId w:val="16"/>
              </w:numPr>
              <w:spacing w:before="120" w:after="120" w:line="240" w:lineRule="auto"/>
              <w:rPr>
                <w:rFonts w:asciiTheme="majorHAnsi" w:hAnsiTheme="majorHAnsi" w:cstheme="majorHAnsi"/>
                <w:b w:val="0"/>
                <w:bCs w:val="0"/>
              </w:rPr>
            </w:pPr>
            <w:r w:rsidRPr="002E448B">
              <w:rPr>
                <w:rFonts w:asciiTheme="majorHAnsi" w:hAnsiTheme="majorHAnsi" w:cstheme="majorHAnsi"/>
                <w:b w:val="0"/>
                <w:bCs w:val="0"/>
                <w:sz w:val="20"/>
                <w:szCs w:val="20"/>
              </w:rPr>
              <w:t>if other information must be provided to Patients by Vaccine Providers, a Collection Notice being included in that material (e.g. as part of information about the vaccine possible side-effects and what to do in the event of an adverse reaction, or in a form used to obtain a Patient’s consent to receive the vaccine, which Health makes available to Vaccine Providers).</w:t>
            </w:r>
            <w:r w:rsidRPr="002E448B">
              <w:rPr>
                <w:rFonts w:asciiTheme="majorHAnsi" w:hAnsiTheme="majorHAnsi" w:cstheme="majorHAnsi"/>
                <w:b w:val="0"/>
                <w:bCs w:val="0"/>
              </w:rPr>
              <w:t xml:space="preserve"> </w:t>
            </w:r>
            <w:r w:rsidRPr="002E448B">
              <w:rPr>
                <w:rFonts w:asciiTheme="majorHAnsi" w:hAnsiTheme="majorHAnsi" w:cstheme="majorHAnsi"/>
                <w:b w:val="0"/>
                <w:bCs w:val="0"/>
                <w:sz w:val="20"/>
                <w:szCs w:val="20"/>
              </w:rPr>
              <w:t>We note that it may not be practical for a lengthy notice to be included in that material, but Health could adopt a ‘layered’ approach, as contemplated by the APP Guidelines. Such an approach would involve the material including a brief notice, with a reference (such as a website address or QR code) to a more comprehensive notice containing additional information about the APP 5.2 matters; or</w:t>
            </w:r>
          </w:p>
          <w:p w14:paraId="3F60D1D1" w14:textId="77777777" w:rsidR="00140B67" w:rsidRPr="002E448B" w:rsidRDefault="00140B67" w:rsidP="008D352E">
            <w:pPr>
              <w:pStyle w:val="ListParagraph"/>
              <w:keepLines/>
              <w:numPr>
                <w:ilvl w:val="0"/>
                <w:numId w:val="18"/>
              </w:numPr>
              <w:spacing w:before="120" w:after="120"/>
              <w:contextualSpacing w:val="0"/>
              <w:rPr>
                <w:rFonts w:asciiTheme="majorHAnsi" w:hAnsiTheme="majorHAnsi" w:cstheme="majorHAnsi"/>
              </w:rPr>
            </w:pPr>
            <w:proofErr w:type="gramStart"/>
            <w:r w:rsidRPr="002E448B">
              <w:rPr>
                <w:rFonts w:asciiTheme="majorHAnsi" w:hAnsiTheme="majorHAnsi" w:cstheme="majorHAnsi"/>
                <w:b w:val="0"/>
                <w:bCs w:val="0"/>
              </w:rPr>
              <w:t>adopt</w:t>
            </w:r>
            <w:proofErr w:type="gramEnd"/>
            <w:r w:rsidRPr="002E448B">
              <w:rPr>
                <w:rFonts w:asciiTheme="majorHAnsi" w:hAnsiTheme="majorHAnsi" w:cstheme="majorHAnsi"/>
                <w:b w:val="0"/>
                <w:bCs w:val="0"/>
              </w:rPr>
              <w:t xml:space="preserve"> a range of other strategies that are reasonable in the circumstances to ensure that Patients are made aware of how their Patient Information will be handled in connection with the Vaccine Strategy. This could include Health, for example:</w:t>
            </w:r>
          </w:p>
          <w:p w14:paraId="005E0EBB" w14:textId="77777777" w:rsidR="00140B67" w:rsidRPr="002E448B" w:rsidRDefault="00140B67" w:rsidP="008D352E">
            <w:pPr>
              <w:pStyle w:val="ClauseLevel3"/>
              <w:keepLines/>
              <w:numPr>
                <w:ilvl w:val="1"/>
                <w:numId w:val="16"/>
              </w:numPr>
              <w:spacing w:before="120" w:after="120" w:line="240" w:lineRule="auto"/>
              <w:rPr>
                <w:rFonts w:asciiTheme="majorHAnsi" w:hAnsiTheme="majorHAnsi" w:cstheme="majorHAnsi"/>
                <w:b w:val="0"/>
                <w:bCs w:val="0"/>
                <w:sz w:val="20"/>
                <w:szCs w:val="20"/>
              </w:rPr>
            </w:pPr>
            <w:r w:rsidRPr="002E448B">
              <w:rPr>
                <w:rFonts w:asciiTheme="majorHAnsi" w:hAnsiTheme="majorHAnsi" w:cstheme="majorHAnsi"/>
                <w:b w:val="0"/>
                <w:bCs w:val="0"/>
                <w:sz w:val="20"/>
                <w:szCs w:val="20"/>
              </w:rPr>
              <w:t>advising Vaccine Providers that they should inform Patients about how their Patient Information will be handled in connection with the Vaccine Strategy, for example through the Vaccine Provider’s booking system, or by oral or written means when the Patient attends their appointment;</w:t>
            </w:r>
          </w:p>
          <w:p w14:paraId="3367BA35" w14:textId="77777777" w:rsidR="00140B67" w:rsidRPr="002E448B" w:rsidRDefault="00140B67" w:rsidP="008D352E">
            <w:pPr>
              <w:pStyle w:val="ClauseLevel3"/>
              <w:keepLines/>
              <w:numPr>
                <w:ilvl w:val="1"/>
                <w:numId w:val="16"/>
              </w:numPr>
              <w:spacing w:before="120" w:after="120" w:line="240" w:lineRule="auto"/>
              <w:rPr>
                <w:rFonts w:asciiTheme="majorHAnsi" w:hAnsiTheme="majorHAnsi" w:cstheme="majorHAnsi"/>
                <w:b w:val="0"/>
                <w:bCs w:val="0"/>
                <w:sz w:val="20"/>
                <w:szCs w:val="20"/>
              </w:rPr>
            </w:pPr>
            <w:r w:rsidRPr="002E448B">
              <w:rPr>
                <w:rFonts w:asciiTheme="majorHAnsi" w:hAnsiTheme="majorHAnsi" w:cstheme="majorHAnsi"/>
                <w:b w:val="0"/>
                <w:bCs w:val="0"/>
                <w:sz w:val="20"/>
                <w:szCs w:val="20"/>
              </w:rPr>
              <w:t xml:space="preserve">ensuring that Vaccine Providers are given appropriate training about what Patients should be told in relation to the handling of their Patient Information, and how the message should be communicated to Patients; </w:t>
            </w:r>
          </w:p>
          <w:p w14:paraId="2D5F456B" w14:textId="77777777" w:rsidR="00140B67" w:rsidRPr="002E448B" w:rsidRDefault="00140B67" w:rsidP="008D352E">
            <w:pPr>
              <w:pStyle w:val="ClauseLevel3"/>
              <w:keepLines/>
              <w:numPr>
                <w:ilvl w:val="1"/>
                <w:numId w:val="16"/>
              </w:numPr>
              <w:spacing w:before="120" w:after="120" w:line="240" w:lineRule="auto"/>
              <w:rPr>
                <w:rFonts w:asciiTheme="majorHAnsi" w:hAnsiTheme="majorHAnsi" w:cstheme="majorHAnsi"/>
                <w:b w:val="0"/>
                <w:bCs w:val="0"/>
                <w:sz w:val="20"/>
                <w:szCs w:val="20"/>
              </w:rPr>
            </w:pPr>
            <w:r w:rsidRPr="002E448B">
              <w:rPr>
                <w:rFonts w:asciiTheme="majorHAnsi" w:hAnsiTheme="majorHAnsi" w:cstheme="majorHAnsi"/>
                <w:b w:val="0"/>
                <w:bCs w:val="0"/>
                <w:sz w:val="20"/>
                <w:szCs w:val="20"/>
              </w:rPr>
              <w:t>developing and distributing material for Patients that contains the relevant information, for example, standardised content developed by Health for Vaccine Providers to provide to Patients;</w:t>
            </w:r>
          </w:p>
          <w:p w14:paraId="3AF6EAA5" w14:textId="77777777" w:rsidR="00140B67" w:rsidRPr="002E448B" w:rsidRDefault="00140B67" w:rsidP="008D352E">
            <w:pPr>
              <w:pStyle w:val="ClauseLevel3"/>
              <w:keepLines/>
              <w:numPr>
                <w:ilvl w:val="1"/>
                <w:numId w:val="16"/>
              </w:numPr>
              <w:spacing w:before="120" w:after="120" w:line="240" w:lineRule="auto"/>
              <w:rPr>
                <w:rFonts w:asciiTheme="majorHAnsi" w:hAnsiTheme="majorHAnsi" w:cstheme="majorHAnsi"/>
                <w:b w:val="0"/>
                <w:bCs w:val="0"/>
                <w:sz w:val="20"/>
                <w:szCs w:val="20"/>
              </w:rPr>
            </w:pPr>
            <w:r w:rsidRPr="002E448B">
              <w:rPr>
                <w:rFonts w:asciiTheme="majorHAnsi" w:hAnsiTheme="majorHAnsi" w:cstheme="majorHAnsi"/>
                <w:b w:val="0"/>
                <w:bCs w:val="0"/>
                <w:sz w:val="20"/>
                <w:szCs w:val="20"/>
              </w:rPr>
              <w:t xml:space="preserve">issuing Vaccine Providers with guidance that includes a reminder for them to provide the relevant information to Patients (this may include, for example, a clear explanation of their obligations under the Privacy Act, including to provide Patients with appropriate Collection Notices); </w:t>
            </w:r>
          </w:p>
          <w:p w14:paraId="2D948E70" w14:textId="77777777" w:rsidR="00140B67" w:rsidRPr="002E448B" w:rsidRDefault="00140B67" w:rsidP="008D352E">
            <w:pPr>
              <w:pStyle w:val="ClauseLevel3"/>
              <w:keepLines/>
              <w:numPr>
                <w:ilvl w:val="1"/>
                <w:numId w:val="16"/>
              </w:numPr>
              <w:spacing w:before="120" w:after="120" w:line="240" w:lineRule="auto"/>
              <w:rPr>
                <w:rFonts w:asciiTheme="majorHAnsi" w:hAnsiTheme="majorHAnsi" w:cstheme="majorHAnsi"/>
                <w:b w:val="0"/>
                <w:bCs w:val="0"/>
                <w:sz w:val="20"/>
                <w:szCs w:val="20"/>
              </w:rPr>
            </w:pPr>
            <w:r w:rsidRPr="002E448B">
              <w:rPr>
                <w:rFonts w:asciiTheme="majorHAnsi" w:hAnsiTheme="majorHAnsi" w:cstheme="majorHAnsi"/>
                <w:b w:val="0"/>
                <w:bCs w:val="0"/>
                <w:sz w:val="20"/>
                <w:szCs w:val="20"/>
              </w:rPr>
              <w:t xml:space="preserve">including the relevant information on its website (which could also potentially include a Vaccine Strategy specific Privacy Policy, as discussed in </w:t>
            </w:r>
            <w:r w:rsidRPr="002E448B">
              <w:rPr>
                <w:rFonts w:asciiTheme="majorHAnsi" w:hAnsiTheme="majorHAnsi" w:cstheme="majorHAnsi"/>
                <w:color w:val="82002A" w:themeColor="accent1"/>
                <w:sz w:val="20"/>
                <w:szCs w:val="20"/>
              </w:rPr>
              <w:fldChar w:fldCharType="begin" w:fldLock="1"/>
            </w:r>
            <w:r w:rsidRPr="002E448B">
              <w:rPr>
                <w:rFonts w:asciiTheme="majorHAnsi" w:hAnsiTheme="majorHAnsi" w:cstheme="majorHAnsi"/>
                <w:color w:val="82002A" w:themeColor="accent1"/>
                <w:sz w:val="20"/>
                <w:szCs w:val="20"/>
              </w:rPr>
              <w:instrText xml:space="preserve"> REF _Ref58243123 \r \h  \* MERGEFORMAT </w:instrText>
            </w:r>
            <w:r w:rsidRPr="002E448B">
              <w:rPr>
                <w:rFonts w:asciiTheme="majorHAnsi" w:hAnsiTheme="majorHAnsi" w:cstheme="majorHAnsi"/>
                <w:color w:val="82002A" w:themeColor="accent1"/>
                <w:sz w:val="20"/>
                <w:szCs w:val="20"/>
              </w:rPr>
            </w:r>
            <w:r w:rsidRPr="002E448B">
              <w:rPr>
                <w:rFonts w:asciiTheme="majorHAnsi" w:hAnsiTheme="majorHAnsi" w:cstheme="majorHAnsi"/>
                <w:color w:val="82002A" w:themeColor="accent1"/>
                <w:sz w:val="20"/>
                <w:szCs w:val="20"/>
              </w:rPr>
              <w:fldChar w:fldCharType="separate"/>
            </w:r>
            <w:r w:rsidRPr="002E448B">
              <w:rPr>
                <w:rFonts w:asciiTheme="majorHAnsi" w:hAnsiTheme="majorHAnsi" w:cstheme="majorHAnsi"/>
                <w:color w:val="82002A" w:themeColor="accent1"/>
                <w:sz w:val="20"/>
                <w:szCs w:val="20"/>
              </w:rPr>
              <w:t>Recommendation 1</w:t>
            </w:r>
            <w:r w:rsidRPr="002E448B">
              <w:rPr>
                <w:rFonts w:asciiTheme="majorHAnsi" w:hAnsiTheme="majorHAnsi" w:cstheme="majorHAnsi"/>
                <w:color w:val="82002A" w:themeColor="accent1"/>
                <w:sz w:val="20"/>
                <w:szCs w:val="20"/>
              </w:rPr>
              <w:fldChar w:fldCharType="end"/>
            </w:r>
            <w:r w:rsidRPr="002E448B">
              <w:rPr>
                <w:rFonts w:asciiTheme="majorHAnsi" w:hAnsiTheme="majorHAnsi" w:cstheme="majorHAnsi"/>
                <w:b w:val="0"/>
                <w:bCs w:val="0"/>
                <w:sz w:val="20"/>
                <w:szCs w:val="20"/>
              </w:rPr>
              <w:t>); and</w:t>
            </w:r>
          </w:p>
          <w:p w14:paraId="37293801" w14:textId="77777777" w:rsidR="00140B67" w:rsidRPr="002E448B" w:rsidRDefault="00140B67" w:rsidP="008D352E">
            <w:pPr>
              <w:pStyle w:val="ClauseLevel3"/>
              <w:numPr>
                <w:ilvl w:val="1"/>
                <w:numId w:val="16"/>
              </w:numPr>
              <w:spacing w:before="120" w:after="120" w:line="240" w:lineRule="auto"/>
              <w:rPr>
                <w:rFonts w:asciiTheme="majorHAnsi" w:hAnsiTheme="majorHAnsi" w:cstheme="majorHAnsi"/>
                <w:b w:val="0"/>
                <w:bCs w:val="0"/>
                <w:sz w:val="20"/>
                <w:szCs w:val="20"/>
              </w:rPr>
            </w:pPr>
            <w:proofErr w:type="gramStart"/>
            <w:r w:rsidRPr="002E448B">
              <w:rPr>
                <w:rFonts w:asciiTheme="majorHAnsi" w:hAnsiTheme="majorHAnsi" w:cstheme="majorHAnsi"/>
                <w:b w:val="0"/>
                <w:bCs w:val="0"/>
                <w:sz w:val="20"/>
                <w:szCs w:val="20"/>
              </w:rPr>
              <w:t>ensuring</w:t>
            </w:r>
            <w:proofErr w:type="gramEnd"/>
            <w:r w:rsidRPr="002E448B">
              <w:rPr>
                <w:rFonts w:asciiTheme="majorHAnsi" w:hAnsiTheme="majorHAnsi" w:cstheme="majorHAnsi"/>
                <w:b w:val="0"/>
                <w:bCs w:val="0"/>
                <w:sz w:val="20"/>
                <w:szCs w:val="20"/>
              </w:rPr>
              <w:t xml:space="preserve"> that appropriate public communication strategies are implemented (as discussed in relation to </w:t>
            </w:r>
            <w:r w:rsidRPr="002E448B">
              <w:rPr>
                <w:rFonts w:asciiTheme="majorHAnsi" w:hAnsiTheme="majorHAnsi" w:cstheme="majorHAnsi"/>
                <w:color w:val="82002A" w:themeColor="accent1"/>
                <w:sz w:val="20"/>
                <w:szCs w:val="20"/>
              </w:rPr>
              <w:fldChar w:fldCharType="begin" w:fldLock="1"/>
            </w:r>
            <w:r w:rsidRPr="002E448B">
              <w:rPr>
                <w:rFonts w:asciiTheme="majorHAnsi" w:hAnsiTheme="majorHAnsi" w:cstheme="majorHAnsi"/>
                <w:color w:val="82002A" w:themeColor="accent1"/>
                <w:sz w:val="20"/>
                <w:szCs w:val="20"/>
              </w:rPr>
              <w:instrText xml:space="preserve"> REF _Ref58258828 \r \h  \* MERGEFORMAT </w:instrText>
            </w:r>
            <w:r w:rsidRPr="002E448B">
              <w:rPr>
                <w:rFonts w:asciiTheme="majorHAnsi" w:hAnsiTheme="majorHAnsi" w:cstheme="majorHAnsi"/>
                <w:color w:val="82002A" w:themeColor="accent1"/>
                <w:sz w:val="20"/>
                <w:szCs w:val="20"/>
              </w:rPr>
            </w:r>
            <w:r w:rsidRPr="002E448B">
              <w:rPr>
                <w:rFonts w:asciiTheme="majorHAnsi" w:hAnsiTheme="majorHAnsi" w:cstheme="majorHAnsi"/>
                <w:color w:val="82002A" w:themeColor="accent1"/>
                <w:sz w:val="20"/>
                <w:szCs w:val="20"/>
              </w:rPr>
              <w:fldChar w:fldCharType="separate"/>
            </w:r>
            <w:r w:rsidRPr="002E448B">
              <w:rPr>
                <w:rFonts w:asciiTheme="majorHAnsi" w:hAnsiTheme="majorHAnsi" w:cstheme="majorHAnsi"/>
                <w:color w:val="82002A" w:themeColor="accent1"/>
                <w:sz w:val="20"/>
                <w:szCs w:val="20"/>
              </w:rPr>
              <w:t>Recommendation 2</w:t>
            </w:r>
            <w:r w:rsidRPr="002E448B">
              <w:rPr>
                <w:rFonts w:asciiTheme="majorHAnsi" w:hAnsiTheme="majorHAnsi" w:cstheme="majorHAnsi"/>
                <w:color w:val="82002A" w:themeColor="accent1"/>
                <w:sz w:val="20"/>
                <w:szCs w:val="20"/>
              </w:rPr>
              <w:fldChar w:fldCharType="end"/>
            </w:r>
            <w:r w:rsidRPr="002E448B">
              <w:rPr>
                <w:rFonts w:asciiTheme="majorHAnsi" w:hAnsiTheme="majorHAnsi" w:cstheme="majorHAnsi"/>
                <w:b w:val="0"/>
                <w:bCs w:val="0"/>
                <w:sz w:val="20"/>
                <w:szCs w:val="20"/>
              </w:rPr>
              <w:t>).</w:t>
            </w:r>
          </w:p>
          <w:p w14:paraId="4356459F" w14:textId="77777777" w:rsidR="00140B67" w:rsidRPr="002E448B" w:rsidRDefault="00140B67" w:rsidP="008D352E">
            <w:pPr>
              <w:keepNext/>
              <w:spacing w:before="120" w:after="120"/>
              <w:rPr>
                <w:rFonts w:asciiTheme="majorHAnsi" w:hAnsiTheme="majorHAnsi" w:cstheme="majorHAnsi"/>
                <w:i/>
                <w:iCs/>
              </w:rPr>
            </w:pPr>
            <w:r w:rsidRPr="002E448B">
              <w:rPr>
                <w:rFonts w:asciiTheme="majorHAnsi" w:hAnsiTheme="majorHAnsi" w:cstheme="majorHAnsi"/>
                <w:i/>
                <w:iCs/>
              </w:rPr>
              <w:t xml:space="preserve">Vaccinators and Provider Personnel, and </w:t>
            </w:r>
            <w:bookmarkStart w:id="36" w:name="_Hlk64652905"/>
            <w:r w:rsidRPr="002E448B">
              <w:rPr>
                <w:rFonts w:asciiTheme="majorHAnsi" w:hAnsiTheme="majorHAnsi" w:cstheme="majorHAnsi"/>
                <w:i/>
                <w:iCs/>
              </w:rPr>
              <w:t xml:space="preserve">Distribution Chain </w:t>
            </w:r>
            <w:bookmarkEnd w:id="36"/>
            <w:r w:rsidRPr="002E448B">
              <w:rPr>
                <w:rFonts w:asciiTheme="majorHAnsi" w:hAnsiTheme="majorHAnsi" w:cstheme="majorHAnsi"/>
                <w:i/>
                <w:iCs/>
              </w:rPr>
              <w:t>Personnel</w:t>
            </w:r>
          </w:p>
          <w:p w14:paraId="5FB9B4A2" w14:textId="77777777" w:rsidR="00140B67" w:rsidRPr="002E448B" w:rsidRDefault="00140B67" w:rsidP="008D352E">
            <w:pPr>
              <w:spacing w:before="120" w:after="120"/>
              <w:rPr>
                <w:rFonts w:asciiTheme="majorHAnsi" w:hAnsiTheme="majorHAnsi" w:cstheme="majorHAnsi"/>
                <w:b w:val="0"/>
                <w:bCs w:val="0"/>
              </w:rPr>
            </w:pPr>
            <w:r w:rsidRPr="002E448B">
              <w:rPr>
                <w:rFonts w:asciiTheme="majorHAnsi" w:hAnsiTheme="majorHAnsi" w:cstheme="majorHAnsi"/>
                <w:b w:val="0"/>
                <w:bCs w:val="0"/>
              </w:rPr>
              <w:t xml:space="preserve">We </w:t>
            </w:r>
            <w:r w:rsidRPr="002E448B">
              <w:rPr>
                <w:rFonts w:asciiTheme="majorHAnsi" w:hAnsiTheme="majorHAnsi" w:cstheme="majorHAnsi"/>
              </w:rPr>
              <w:t>recommend</w:t>
            </w:r>
            <w:r w:rsidRPr="002E448B">
              <w:rPr>
                <w:rFonts w:asciiTheme="majorHAnsi" w:hAnsiTheme="majorHAnsi" w:cstheme="majorHAnsi"/>
                <w:b w:val="0"/>
                <w:bCs w:val="0"/>
              </w:rPr>
              <w:t xml:space="preserve"> that Health take steps to ensure that Vaccinators, Provider Personnel, and Contact Personal also understand how their personal information will be handled. This could involve a</w:t>
            </w:r>
            <w:r w:rsidRPr="002E448B">
              <w:rPr>
                <w:rFonts w:asciiTheme="majorHAnsi" w:hAnsiTheme="majorHAnsi" w:cstheme="majorHAnsi"/>
              </w:rPr>
              <w:t xml:space="preserve"> </w:t>
            </w:r>
            <w:r w:rsidRPr="002E448B">
              <w:rPr>
                <w:rFonts w:asciiTheme="majorHAnsi" w:hAnsiTheme="majorHAnsi" w:cstheme="majorHAnsi"/>
                <w:b w:val="0"/>
                <w:bCs w:val="0"/>
              </w:rPr>
              <w:t>Collection Notice or other relevant information (as discussed in relation to Patients) being provided to:</w:t>
            </w:r>
          </w:p>
          <w:p w14:paraId="72539CD1" w14:textId="77777777" w:rsidR="00140B67" w:rsidRPr="002E448B" w:rsidRDefault="00140B67" w:rsidP="008D352E">
            <w:pPr>
              <w:pStyle w:val="ListParagraph"/>
              <w:numPr>
                <w:ilvl w:val="0"/>
                <w:numId w:val="18"/>
              </w:numPr>
              <w:spacing w:before="120" w:after="120"/>
              <w:contextualSpacing w:val="0"/>
              <w:rPr>
                <w:rFonts w:asciiTheme="majorHAnsi" w:hAnsiTheme="majorHAnsi" w:cstheme="majorHAnsi"/>
                <w:b w:val="0"/>
                <w:bCs w:val="0"/>
              </w:rPr>
            </w:pPr>
            <w:r w:rsidRPr="002E448B">
              <w:rPr>
                <w:rFonts w:asciiTheme="majorHAnsi" w:hAnsiTheme="majorHAnsi" w:cstheme="majorHAnsi"/>
                <w:b w:val="0"/>
                <w:bCs w:val="0"/>
              </w:rPr>
              <w:t xml:space="preserve">Vaccinators and Provider Personnel – we suggest that this could be done as part of the </w:t>
            </w:r>
            <w:proofErr w:type="spellStart"/>
            <w:r w:rsidRPr="002E448B">
              <w:rPr>
                <w:rFonts w:asciiTheme="majorHAnsi" w:hAnsiTheme="majorHAnsi" w:cstheme="majorHAnsi"/>
                <w:b w:val="0"/>
                <w:bCs w:val="0"/>
              </w:rPr>
              <w:t>onboarding</w:t>
            </w:r>
            <w:proofErr w:type="spellEnd"/>
            <w:r w:rsidRPr="002E448B">
              <w:rPr>
                <w:rFonts w:asciiTheme="majorHAnsi" w:hAnsiTheme="majorHAnsi" w:cstheme="majorHAnsi"/>
                <w:b w:val="0"/>
                <w:bCs w:val="0"/>
              </w:rPr>
              <w:t xml:space="preserve"> process for the Vaccine Strategy (such as when they receive any relevant training to administer the COVID-19 vaccine, or use associated systems connected with the Vaccine Strategy); and </w:t>
            </w:r>
          </w:p>
          <w:p w14:paraId="0CB3E255" w14:textId="77777777" w:rsidR="00140B67" w:rsidRPr="002E448B" w:rsidRDefault="00140B67" w:rsidP="008D352E">
            <w:pPr>
              <w:pStyle w:val="ListParagraph"/>
              <w:numPr>
                <w:ilvl w:val="0"/>
                <w:numId w:val="18"/>
              </w:numPr>
              <w:spacing w:before="120" w:after="120"/>
              <w:contextualSpacing w:val="0"/>
              <w:rPr>
                <w:rFonts w:asciiTheme="majorHAnsi" w:hAnsiTheme="majorHAnsi" w:cstheme="majorHAnsi"/>
              </w:rPr>
            </w:pPr>
            <w:r w:rsidRPr="002E448B">
              <w:rPr>
                <w:rFonts w:asciiTheme="majorHAnsi" w:hAnsiTheme="majorHAnsi" w:cstheme="majorHAnsi"/>
                <w:b w:val="0"/>
                <w:bCs w:val="0"/>
              </w:rPr>
              <w:t>Distribution Chain Personnel –</w:t>
            </w:r>
            <w:r w:rsidRPr="002E448B">
              <w:rPr>
                <w:rFonts w:asciiTheme="majorHAnsi" w:hAnsiTheme="majorHAnsi" w:cstheme="majorHAnsi"/>
              </w:rPr>
              <w:t xml:space="preserve"> </w:t>
            </w:r>
            <w:r w:rsidRPr="002E448B">
              <w:rPr>
                <w:rFonts w:asciiTheme="majorHAnsi" w:hAnsiTheme="majorHAnsi" w:cstheme="majorHAnsi"/>
                <w:b w:val="0"/>
                <w:bCs w:val="0"/>
              </w:rPr>
              <w:t>we suggest that</w:t>
            </w:r>
            <w:r w:rsidRPr="002E448B">
              <w:rPr>
                <w:rFonts w:asciiTheme="majorHAnsi" w:hAnsiTheme="majorHAnsi" w:cstheme="majorHAnsi"/>
              </w:rPr>
              <w:t xml:space="preserve"> </w:t>
            </w:r>
            <w:r w:rsidRPr="002E448B">
              <w:rPr>
                <w:rFonts w:asciiTheme="majorHAnsi" w:hAnsiTheme="majorHAnsi" w:cstheme="majorHAnsi"/>
                <w:b w:val="0"/>
                <w:bCs w:val="0"/>
              </w:rPr>
              <w:t>the details of who is to be responsible for providing the Collection Notice or relevant information should be determined as part of transition-in activities under the Logistics and Distribution Partner Contract or the relevant Supply Agreement.</w:t>
            </w:r>
          </w:p>
        </w:tc>
        <w:tc>
          <w:tcPr>
            <w:tcW w:w="1977" w:type="dxa"/>
            <w:shd w:val="clear" w:color="auto" w:fill="F2DEDE"/>
          </w:tcPr>
          <w:p w14:paraId="6BFE99A3" w14:textId="77777777" w:rsidR="00140B67" w:rsidRPr="002E448B" w:rsidRDefault="00140B67" w:rsidP="008D352E">
            <w:pPr>
              <w:spacing w:before="240" w:after="24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rPr>
            </w:pPr>
            <w:r w:rsidRPr="002E448B">
              <w:rPr>
                <w:rFonts w:asciiTheme="majorHAnsi" w:hAnsiTheme="majorHAnsi" w:cstheme="majorHAnsi"/>
              </w:rPr>
              <w:t>APP </w:t>
            </w:r>
            <w:r w:rsidRPr="002E448B">
              <w:rPr>
                <w:rFonts w:asciiTheme="majorHAnsi" w:hAnsiTheme="majorHAnsi" w:cstheme="majorHAnsi"/>
                <w:b w:val="0"/>
              </w:rPr>
              <w:fldChar w:fldCharType="begin" w:fldLock="1"/>
            </w:r>
            <w:r w:rsidRPr="002E448B">
              <w:rPr>
                <w:rFonts w:asciiTheme="majorHAnsi" w:hAnsiTheme="majorHAnsi" w:cstheme="majorHAnsi"/>
              </w:rPr>
              <w:instrText xml:space="preserve"> REF _Ref48226253 \r \h  \* MERGEFORMAT </w:instrText>
            </w:r>
            <w:r w:rsidRPr="002E448B">
              <w:rPr>
                <w:rFonts w:asciiTheme="majorHAnsi" w:hAnsiTheme="majorHAnsi" w:cstheme="majorHAnsi"/>
                <w:b w:val="0"/>
              </w:rPr>
            </w:r>
            <w:r w:rsidRPr="002E448B">
              <w:rPr>
                <w:rFonts w:asciiTheme="majorHAnsi" w:hAnsiTheme="majorHAnsi" w:cstheme="majorHAnsi"/>
                <w:b w:val="0"/>
              </w:rPr>
              <w:fldChar w:fldCharType="separate"/>
            </w:r>
            <w:r w:rsidRPr="002E448B">
              <w:rPr>
                <w:rFonts w:asciiTheme="majorHAnsi" w:hAnsiTheme="majorHAnsi" w:cstheme="majorHAnsi"/>
              </w:rPr>
              <w:t>1</w:t>
            </w:r>
            <w:r w:rsidRPr="002E448B">
              <w:rPr>
                <w:rFonts w:asciiTheme="majorHAnsi" w:hAnsiTheme="majorHAnsi" w:cstheme="majorHAnsi"/>
                <w:b w:val="0"/>
              </w:rPr>
              <w:fldChar w:fldCharType="end"/>
            </w:r>
            <w:r w:rsidRPr="002E448B">
              <w:rPr>
                <w:rFonts w:asciiTheme="majorHAnsi" w:hAnsiTheme="majorHAnsi" w:cstheme="majorHAnsi"/>
              </w:rPr>
              <w:t>, APP </w:t>
            </w:r>
            <w:r w:rsidRPr="002E448B">
              <w:rPr>
                <w:rFonts w:asciiTheme="majorHAnsi" w:hAnsiTheme="majorHAnsi" w:cstheme="majorHAnsi"/>
                <w:b w:val="0"/>
              </w:rPr>
              <w:fldChar w:fldCharType="begin" w:fldLock="1"/>
            </w:r>
            <w:r w:rsidRPr="002E448B">
              <w:rPr>
                <w:rFonts w:asciiTheme="majorHAnsi" w:hAnsiTheme="majorHAnsi" w:cstheme="majorHAnsi"/>
              </w:rPr>
              <w:instrText xml:space="preserve"> REF _Ref48226278 \r \h  \* MERGEFORMAT </w:instrText>
            </w:r>
            <w:r w:rsidRPr="002E448B">
              <w:rPr>
                <w:rFonts w:asciiTheme="majorHAnsi" w:hAnsiTheme="majorHAnsi" w:cstheme="majorHAnsi"/>
                <w:b w:val="0"/>
              </w:rPr>
            </w:r>
            <w:r w:rsidRPr="002E448B">
              <w:rPr>
                <w:rFonts w:asciiTheme="majorHAnsi" w:hAnsiTheme="majorHAnsi" w:cstheme="majorHAnsi"/>
                <w:b w:val="0"/>
              </w:rPr>
              <w:fldChar w:fldCharType="separate"/>
            </w:r>
            <w:r w:rsidRPr="002E448B">
              <w:rPr>
                <w:rFonts w:asciiTheme="majorHAnsi" w:hAnsiTheme="majorHAnsi" w:cstheme="majorHAnsi"/>
              </w:rPr>
              <w:t>3</w:t>
            </w:r>
            <w:r w:rsidRPr="002E448B">
              <w:rPr>
                <w:rFonts w:asciiTheme="majorHAnsi" w:hAnsiTheme="majorHAnsi" w:cstheme="majorHAnsi"/>
                <w:b w:val="0"/>
              </w:rPr>
              <w:fldChar w:fldCharType="end"/>
            </w:r>
            <w:r w:rsidRPr="002E448B">
              <w:rPr>
                <w:rFonts w:asciiTheme="majorHAnsi" w:hAnsiTheme="majorHAnsi" w:cstheme="majorHAnsi"/>
              </w:rPr>
              <w:t>, APP </w:t>
            </w:r>
            <w:r w:rsidRPr="002E448B">
              <w:rPr>
                <w:rFonts w:asciiTheme="majorHAnsi" w:hAnsiTheme="majorHAnsi" w:cstheme="majorHAnsi"/>
                <w:b w:val="0"/>
              </w:rPr>
              <w:fldChar w:fldCharType="begin" w:fldLock="1"/>
            </w:r>
            <w:r w:rsidRPr="002E448B">
              <w:rPr>
                <w:rFonts w:asciiTheme="majorHAnsi" w:hAnsiTheme="majorHAnsi" w:cstheme="majorHAnsi"/>
              </w:rPr>
              <w:instrText xml:space="preserve"> REF _Ref48226289 \r \h  \* MERGEFORMAT </w:instrText>
            </w:r>
            <w:r w:rsidRPr="002E448B">
              <w:rPr>
                <w:rFonts w:asciiTheme="majorHAnsi" w:hAnsiTheme="majorHAnsi" w:cstheme="majorHAnsi"/>
                <w:b w:val="0"/>
              </w:rPr>
            </w:r>
            <w:r w:rsidRPr="002E448B">
              <w:rPr>
                <w:rFonts w:asciiTheme="majorHAnsi" w:hAnsiTheme="majorHAnsi" w:cstheme="majorHAnsi"/>
                <w:b w:val="0"/>
              </w:rPr>
              <w:fldChar w:fldCharType="separate"/>
            </w:r>
            <w:r w:rsidRPr="002E448B">
              <w:rPr>
                <w:rFonts w:asciiTheme="majorHAnsi" w:hAnsiTheme="majorHAnsi" w:cstheme="majorHAnsi"/>
              </w:rPr>
              <w:t>5</w:t>
            </w:r>
            <w:r w:rsidRPr="002E448B">
              <w:rPr>
                <w:rFonts w:asciiTheme="majorHAnsi" w:hAnsiTheme="majorHAnsi" w:cstheme="majorHAnsi"/>
                <w:b w:val="0"/>
              </w:rPr>
              <w:fldChar w:fldCharType="end"/>
            </w:r>
            <w:r w:rsidRPr="002E448B">
              <w:rPr>
                <w:rFonts w:asciiTheme="majorHAnsi" w:hAnsiTheme="majorHAnsi" w:cstheme="majorHAnsi"/>
              </w:rPr>
              <w:t>, APP </w:t>
            </w:r>
            <w:r w:rsidRPr="002E448B">
              <w:rPr>
                <w:rFonts w:asciiTheme="majorHAnsi" w:hAnsiTheme="majorHAnsi" w:cstheme="majorHAnsi"/>
                <w:b w:val="0"/>
              </w:rPr>
              <w:fldChar w:fldCharType="begin" w:fldLock="1"/>
            </w:r>
            <w:r w:rsidRPr="002E448B">
              <w:rPr>
                <w:rFonts w:asciiTheme="majorHAnsi" w:hAnsiTheme="majorHAnsi" w:cstheme="majorHAnsi"/>
              </w:rPr>
              <w:instrText xml:space="preserve"> REF _Ref48226296 \r \h  \* MERGEFORMAT </w:instrText>
            </w:r>
            <w:r w:rsidRPr="002E448B">
              <w:rPr>
                <w:rFonts w:asciiTheme="majorHAnsi" w:hAnsiTheme="majorHAnsi" w:cstheme="majorHAnsi"/>
                <w:b w:val="0"/>
              </w:rPr>
            </w:r>
            <w:r w:rsidRPr="002E448B">
              <w:rPr>
                <w:rFonts w:asciiTheme="majorHAnsi" w:hAnsiTheme="majorHAnsi" w:cstheme="majorHAnsi"/>
                <w:b w:val="0"/>
              </w:rPr>
              <w:fldChar w:fldCharType="separate"/>
            </w:r>
            <w:r w:rsidRPr="002E448B">
              <w:rPr>
                <w:rFonts w:asciiTheme="majorHAnsi" w:hAnsiTheme="majorHAnsi" w:cstheme="majorHAnsi"/>
              </w:rPr>
              <w:t>6</w:t>
            </w:r>
            <w:r w:rsidRPr="002E448B">
              <w:rPr>
                <w:rFonts w:asciiTheme="majorHAnsi" w:hAnsiTheme="majorHAnsi" w:cstheme="majorHAnsi"/>
                <w:b w:val="0"/>
              </w:rPr>
              <w:fldChar w:fldCharType="end"/>
            </w:r>
            <w:r w:rsidRPr="002E448B">
              <w:rPr>
                <w:rFonts w:asciiTheme="majorHAnsi" w:hAnsiTheme="majorHAnsi" w:cstheme="majorHAnsi"/>
              </w:rPr>
              <w:t>, APP </w:t>
            </w:r>
            <w:r w:rsidRPr="002E448B">
              <w:rPr>
                <w:rFonts w:asciiTheme="majorHAnsi" w:hAnsiTheme="majorHAnsi" w:cstheme="majorHAnsi"/>
                <w:b w:val="0"/>
              </w:rPr>
              <w:fldChar w:fldCharType="begin" w:fldLock="1"/>
            </w:r>
            <w:r w:rsidRPr="002E448B">
              <w:rPr>
                <w:rFonts w:asciiTheme="majorHAnsi" w:hAnsiTheme="majorHAnsi" w:cstheme="majorHAnsi"/>
              </w:rPr>
              <w:instrText xml:space="preserve"> REF _Ref48226316 \r \h  \* MERGEFORMAT </w:instrText>
            </w:r>
            <w:r w:rsidRPr="002E448B">
              <w:rPr>
                <w:rFonts w:asciiTheme="majorHAnsi" w:hAnsiTheme="majorHAnsi" w:cstheme="majorHAnsi"/>
                <w:b w:val="0"/>
              </w:rPr>
            </w:r>
            <w:r w:rsidRPr="002E448B">
              <w:rPr>
                <w:rFonts w:asciiTheme="majorHAnsi" w:hAnsiTheme="majorHAnsi" w:cstheme="majorHAnsi"/>
                <w:b w:val="0"/>
              </w:rPr>
              <w:fldChar w:fldCharType="separate"/>
            </w:r>
            <w:r w:rsidRPr="002E448B">
              <w:rPr>
                <w:rFonts w:asciiTheme="majorHAnsi" w:hAnsiTheme="majorHAnsi" w:cstheme="majorHAnsi"/>
              </w:rPr>
              <w:t>10</w:t>
            </w:r>
            <w:r w:rsidRPr="002E448B">
              <w:rPr>
                <w:rFonts w:asciiTheme="majorHAnsi" w:hAnsiTheme="majorHAnsi" w:cstheme="majorHAnsi"/>
                <w:b w:val="0"/>
              </w:rPr>
              <w:fldChar w:fldCharType="end"/>
            </w:r>
          </w:p>
        </w:tc>
      </w:tr>
    </w:tbl>
    <w:p w14:paraId="6DD5BF2A" w14:textId="77777777" w:rsidR="00140B67" w:rsidRPr="002E448B" w:rsidRDefault="00140B67" w:rsidP="00140B67">
      <w:pPr>
        <w:rPr>
          <w:rFonts w:asciiTheme="majorHAnsi" w:hAnsiTheme="majorHAnsi" w:cstheme="majorHAnsi"/>
        </w:rPr>
      </w:pPr>
    </w:p>
    <w:tbl>
      <w:tblPr>
        <w:tblStyle w:val="PlainTable1"/>
        <w:tblW w:w="9173" w:type="dxa"/>
        <w:tblInd w:w="-113" w:type="dxa"/>
        <w:tblLook w:val="04A0" w:firstRow="1" w:lastRow="0" w:firstColumn="1" w:lastColumn="0" w:noHBand="0" w:noVBand="1"/>
        <w:tblDescription w:val="&quot;&quot;"/>
      </w:tblPr>
      <w:tblGrid>
        <w:gridCol w:w="7196"/>
        <w:gridCol w:w="1977"/>
      </w:tblGrid>
      <w:tr w:rsidR="00140B67" w:rsidRPr="002E448B" w14:paraId="22929050" w14:textId="77777777" w:rsidTr="00E2131E">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7196" w:type="dxa"/>
            <w:shd w:val="clear" w:color="auto" w:fill="770027" w:themeFill="accent3" w:themeFillShade="BF"/>
          </w:tcPr>
          <w:p w14:paraId="3C13B07C" w14:textId="77777777" w:rsidR="00140B67" w:rsidRPr="002E448B" w:rsidRDefault="00140B67" w:rsidP="008D352E">
            <w:pPr>
              <w:pStyle w:val="ClauseLevel1"/>
              <w:rPr>
                <w:b/>
                <w:bCs/>
              </w:rPr>
            </w:pPr>
            <w:r w:rsidRPr="002E448B">
              <w:br w:type="page"/>
            </w:r>
            <w:bookmarkStart w:id="37" w:name="_Ref58273648"/>
            <w:r w:rsidRPr="002E448B">
              <w:rPr>
                <w:b/>
                <w:bCs/>
              </w:rPr>
              <w:t>Partner Contracts</w:t>
            </w:r>
            <w:bookmarkEnd w:id="37"/>
          </w:p>
        </w:tc>
        <w:tc>
          <w:tcPr>
            <w:tcW w:w="1977" w:type="dxa"/>
            <w:shd w:val="clear" w:color="auto" w:fill="770027" w:themeFill="accent3" w:themeFillShade="BF"/>
          </w:tcPr>
          <w:p w14:paraId="5A665332" w14:textId="77777777" w:rsidR="00140B67" w:rsidRPr="002E448B" w:rsidRDefault="00140B67" w:rsidP="008D352E">
            <w:pPr>
              <w:keepNext/>
              <w:spacing w:before="200" w:after="20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sz w:val="22"/>
                <w:szCs w:val="22"/>
              </w:rPr>
            </w:pPr>
            <w:r w:rsidRPr="002E448B">
              <w:rPr>
                <w:rFonts w:asciiTheme="majorHAnsi" w:hAnsiTheme="majorHAnsi" w:cstheme="majorHAnsi"/>
                <w:sz w:val="22"/>
                <w:szCs w:val="22"/>
              </w:rPr>
              <w:t>Relevant APPs</w:t>
            </w:r>
          </w:p>
        </w:tc>
      </w:tr>
      <w:tr w:rsidR="00140B67" w:rsidRPr="002E448B" w14:paraId="5C378430" w14:textId="77777777" w:rsidTr="00E2131E">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7196" w:type="dxa"/>
          </w:tcPr>
          <w:p w14:paraId="6BB71D29" w14:textId="77777777" w:rsidR="00140B67" w:rsidRPr="002E448B" w:rsidRDefault="00140B67" w:rsidP="008D352E">
            <w:pPr>
              <w:keepNext/>
              <w:rPr>
                <w:rFonts w:asciiTheme="majorHAnsi" w:hAnsiTheme="majorHAnsi" w:cstheme="majorHAnsi"/>
              </w:rPr>
            </w:pPr>
          </w:p>
          <w:p w14:paraId="6AE68E66" w14:textId="77777777" w:rsidR="00140B67" w:rsidRPr="002E448B" w:rsidRDefault="00140B67" w:rsidP="008D352E">
            <w:pPr>
              <w:keepNext/>
              <w:rPr>
                <w:rFonts w:asciiTheme="majorHAnsi" w:hAnsiTheme="majorHAnsi" w:cstheme="majorHAnsi"/>
              </w:rPr>
            </w:pPr>
            <w:r w:rsidRPr="002E448B">
              <w:rPr>
                <w:rFonts w:asciiTheme="majorHAnsi" w:hAnsiTheme="majorHAnsi" w:cstheme="majorHAnsi"/>
                <w:b w:val="0"/>
                <w:bCs w:val="0"/>
              </w:rPr>
              <w:t xml:space="preserve">We </w:t>
            </w:r>
            <w:r w:rsidRPr="002E448B">
              <w:rPr>
                <w:rFonts w:asciiTheme="majorHAnsi" w:hAnsiTheme="majorHAnsi" w:cstheme="majorHAnsi"/>
              </w:rPr>
              <w:t>recommend</w:t>
            </w:r>
            <w:r w:rsidRPr="002E448B">
              <w:rPr>
                <w:rFonts w:asciiTheme="majorHAnsi" w:hAnsiTheme="majorHAnsi" w:cstheme="majorHAnsi"/>
                <w:b w:val="0"/>
                <w:bCs w:val="0"/>
              </w:rPr>
              <w:t xml:space="preserve"> that Health regularly reviews the privacy and security obligations in its Partner Contracts to ensure that they are appropriate, including whether any changes are needed to reflect any new or changed collections, uses or disclosures of personal information by the relevant Partner (including because of the introduction of new processes or system functionalities).</w:t>
            </w:r>
          </w:p>
          <w:p w14:paraId="29F1DD76" w14:textId="77777777" w:rsidR="00140B67" w:rsidRPr="002E448B" w:rsidRDefault="00140B67" w:rsidP="008D352E">
            <w:pPr>
              <w:keepNext/>
              <w:rPr>
                <w:rFonts w:asciiTheme="majorHAnsi" w:hAnsiTheme="majorHAnsi" w:cstheme="majorHAnsi"/>
                <w:b w:val="0"/>
                <w:bCs w:val="0"/>
              </w:rPr>
            </w:pPr>
          </w:p>
        </w:tc>
        <w:tc>
          <w:tcPr>
            <w:tcW w:w="1977" w:type="dxa"/>
            <w:shd w:val="clear" w:color="auto" w:fill="F2DEDE"/>
          </w:tcPr>
          <w:p w14:paraId="3EC9BBD4" w14:textId="77777777" w:rsidR="00140B67" w:rsidRPr="002E448B" w:rsidRDefault="00140B67" w:rsidP="008D352E">
            <w:pPr>
              <w:keepNext/>
              <w:spacing w:before="240" w:after="24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rPr>
            </w:pPr>
            <w:r w:rsidRPr="002E448B">
              <w:rPr>
                <w:rFonts w:asciiTheme="majorHAnsi" w:hAnsiTheme="majorHAnsi" w:cstheme="majorHAnsi"/>
              </w:rPr>
              <w:t>All</w:t>
            </w:r>
          </w:p>
        </w:tc>
      </w:tr>
    </w:tbl>
    <w:p w14:paraId="58D70CEA" w14:textId="77777777" w:rsidR="00140B67" w:rsidRPr="002E448B" w:rsidRDefault="00140B67" w:rsidP="00140B67">
      <w:pPr>
        <w:rPr>
          <w:rFonts w:asciiTheme="majorHAnsi" w:hAnsiTheme="majorHAnsi" w:cstheme="majorHAnsi"/>
        </w:rPr>
      </w:pPr>
    </w:p>
    <w:tbl>
      <w:tblPr>
        <w:tblStyle w:val="PlainTable1"/>
        <w:tblW w:w="9173" w:type="dxa"/>
        <w:tblInd w:w="-113" w:type="dxa"/>
        <w:tblLook w:val="04A0" w:firstRow="1" w:lastRow="0" w:firstColumn="1" w:lastColumn="0" w:noHBand="0" w:noVBand="1"/>
        <w:tblDescription w:val="&quot;&quot;&quot;"/>
      </w:tblPr>
      <w:tblGrid>
        <w:gridCol w:w="7196"/>
        <w:gridCol w:w="1977"/>
      </w:tblGrid>
      <w:tr w:rsidR="00140B67" w:rsidRPr="002E448B" w14:paraId="1D95B4E5" w14:textId="77777777" w:rsidTr="00E2131E">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7196" w:type="dxa"/>
            <w:shd w:val="clear" w:color="auto" w:fill="770027" w:themeFill="accent3" w:themeFillShade="BF"/>
          </w:tcPr>
          <w:p w14:paraId="4D1740ED" w14:textId="77777777" w:rsidR="00140B67" w:rsidRPr="002E448B" w:rsidRDefault="00140B67" w:rsidP="008D352E">
            <w:pPr>
              <w:pStyle w:val="ClauseLevel1"/>
              <w:rPr>
                <w:b/>
                <w:bCs/>
              </w:rPr>
            </w:pPr>
            <w:r w:rsidRPr="002E448B">
              <w:br w:type="page"/>
            </w:r>
            <w:bookmarkStart w:id="38" w:name="_Ref58346977"/>
            <w:r w:rsidRPr="002E448B">
              <w:rPr>
                <w:b/>
                <w:bCs/>
              </w:rPr>
              <w:t>Contractual and other arrangements with other entities handling Vaccine Strategy Information</w:t>
            </w:r>
            <w:bookmarkEnd w:id="38"/>
          </w:p>
        </w:tc>
        <w:tc>
          <w:tcPr>
            <w:tcW w:w="1977" w:type="dxa"/>
            <w:shd w:val="clear" w:color="auto" w:fill="770027" w:themeFill="accent3" w:themeFillShade="BF"/>
          </w:tcPr>
          <w:p w14:paraId="1022AEB9" w14:textId="77777777" w:rsidR="00140B67" w:rsidRPr="002E448B" w:rsidRDefault="00140B67" w:rsidP="008D352E">
            <w:pPr>
              <w:spacing w:before="200" w:after="20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sz w:val="22"/>
                <w:szCs w:val="22"/>
              </w:rPr>
            </w:pPr>
            <w:r w:rsidRPr="002E448B">
              <w:rPr>
                <w:rFonts w:asciiTheme="majorHAnsi" w:hAnsiTheme="majorHAnsi" w:cstheme="majorHAnsi"/>
                <w:sz w:val="22"/>
                <w:szCs w:val="22"/>
              </w:rPr>
              <w:t>Relevant APPs</w:t>
            </w:r>
          </w:p>
        </w:tc>
      </w:tr>
      <w:tr w:rsidR="00140B67" w:rsidRPr="002E448B" w14:paraId="6692A52C" w14:textId="77777777" w:rsidTr="00E2131E">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7196" w:type="dxa"/>
          </w:tcPr>
          <w:p w14:paraId="134965D3" w14:textId="77777777" w:rsidR="00140B67" w:rsidRPr="002E448B" w:rsidRDefault="00140B67" w:rsidP="008D352E">
            <w:pPr>
              <w:spacing w:before="240" w:after="240"/>
              <w:rPr>
                <w:rFonts w:asciiTheme="majorHAnsi" w:hAnsiTheme="majorHAnsi" w:cstheme="majorHAnsi"/>
              </w:rPr>
            </w:pPr>
            <w:r w:rsidRPr="002E448B">
              <w:rPr>
                <w:rFonts w:asciiTheme="majorHAnsi" w:hAnsiTheme="majorHAnsi" w:cstheme="majorHAnsi"/>
                <w:b w:val="0"/>
                <w:bCs w:val="0"/>
              </w:rPr>
              <w:t xml:space="preserve">We </w:t>
            </w:r>
            <w:r w:rsidRPr="002E448B">
              <w:rPr>
                <w:rFonts w:asciiTheme="majorHAnsi" w:hAnsiTheme="majorHAnsi" w:cstheme="majorHAnsi"/>
              </w:rPr>
              <w:t>recommend</w:t>
            </w:r>
            <w:r w:rsidRPr="002E448B">
              <w:rPr>
                <w:rFonts w:asciiTheme="majorHAnsi" w:hAnsiTheme="majorHAnsi" w:cstheme="majorHAnsi"/>
                <w:b w:val="0"/>
                <w:bCs w:val="0"/>
              </w:rPr>
              <w:t xml:space="preserve"> that, as Health further progresses implementation of the Vaccine Strategy, Health consider and ensure that all entities who are not Partners but will collect personal information:</w:t>
            </w:r>
          </w:p>
          <w:p w14:paraId="01D3FEB6" w14:textId="77777777" w:rsidR="00140B67" w:rsidRPr="002E448B" w:rsidRDefault="00140B67" w:rsidP="008D352E">
            <w:pPr>
              <w:pStyle w:val="ListParagraph"/>
              <w:numPr>
                <w:ilvl w:val="0"/>
                <w:numId w:val="18"/>
              </w:numPr>
              <w:spacing w:before="120" w:after="120"/>
              <w:contextualSpacing w:val="0"/>
              <w:rPr>
                <w:rFonts w:asciiTheme="majorHAnsi" w:hAnsiTheme="majorHAnsi" w:cstheme="majorHAnsi"/>
                <w:b w:val="0"/>
                <w:bCs w:val="0"/>
              </w:rPr>
            </w:pPr>
            <w:r w:rsidRPr="002E448B">
              <w:rPr>
                <w:rFonts w:asciiTheme="majorHAnsi" w:hAnsiTheme="majorHAnsi" w:cstheme="majorHAnsi"/>
                <w:b w:val="0"/>
                <w:bCs w:val="0"/>
              </w:rPr>
              <w:t>are clearly identified (so that it is clear whether or not they are an APP entity and subject to the Privacy Act);</w:t>
            </w:r>
          </w:p>
          <w:p w14:paraId="3CDF424A" w14:textId="77777777" w:rsidR="00140B67" w:rsidRPr="002E448B" w:rsidRDefault="00140B67" w:rsidP="008D352E">
            <w:pPr>
              <w:pStyle w:val="ListParagraph"/>
              <w:numPr>
                <w:ilvl w:val="0"/>
                <w:numId w:val="18"/>
              </w:numPr>
              <w:spacing w:before="120" w:after="120"/>
              <w:contextualSpacing w:val="0"/>
              <w:rPr>
                <w:rFonts w:asciiTheme="majorHAnsi" w:hAnsiTheme="majorHAnsi" w:cstheme="majorHAnsi"/>
                <w:b w:val="0"/>
                <w:bCs w:val="0"/>
              </w:rPr>
            </w:pPr>
            <w:r w:rsidRPr="002E448B">
              <w:rPr>
                <w:rFonts w:asciiTheme="majorHAnsi" w:hAnsiTheme="majorHAnsi" w:cstheme="majorHAnsi"/>
                <w:b w:val="0"/>
                <w:bCs w:val="0"/>
              </w:rPr>
              <w:t>have functions and activities which are consistent with the collection of the relevant personal information;</w:t>
            </w:r>
          </w:p>
          <w:p w14:paraId="5BFEF73C" w14:textId="77777777" w:rsidR="00140B67" w:rsidRPr="002E448B" w:rsidRDefault="00140B67" w:rsidP="008D352E">
            <w:pPr>
              <w:pStyle w:val="ListParagraph"/>
              <w:numPr>
                <w:ilvl w:val="0"/>
                <w:numId w:val="18"/>
              </w:numPr>
              <w:spacing w:before="120" w:after="120"/>
              <w:contextualSpacing w:val="0"/>
              <w:rPr>
                <w:rFonts w:asciiTheme="majorHAnsi" w:hAnsiTheme="majorHAnsi" w:cstheme="majorHAnsi"/>
              </w:rPr>
            </w:pPr>
            <w:r w:rsidRPr="002E448B">
              <w:rPr>
                <w:rFonts w:asciiTheme="majorHAnsi" w:hAnsiTheme="majorHAnsi" w:cstheme="majorHAnsi"/>
                <w:b w:val="0"/>
                <w:bCs w:val="0"/>
              </w:rPr>
              <w:t>have entered into appropriate contractual or other administrative arrangements as required (depending on the identity and nature of the entity and their role in the Vaccine Strategy);</w:t>
            </w:r>
          </w:p>
          <w:p w14:paraId="5F5FAE48" w14:textId="77777777" w:rsidR="00140B67" w:rsidRPr="002E448B" w:rsidRDefault="00140B67" w:rsidP="008D352E">
            <w:pPr>
              <w:pStyle w:val="ListParagraph"/>
              <w:numPr>
                <w:ilvl w:val="0"/>
                <w:numId w:val="18"/>
              </w:numPr>
              <w:spacing w:before="120" w:after="120"/>
              <w:contextualSpacing w:val="0"/>
              <w:rPr>
                <w:rFonts w:asciiTheme="majorHAnsi" w:hAnsiTheme="majorHAnsi" w:cstheme="majorHAnsi"/>
              </w:rPr>
            </w:pPr>
            <w:r w:rsidRPr="002E448B">
              <w:rPr>
                <w:rFonts w:asciiTheme="majorHAnsi" w:hAnsiTheme="majorHAnsi" w:cstheme="majorHAnsi"/>
                <w:b w:val="0"/>
                <w:bCs w:val="0"/>
              </w:rPr>
              <w:t>only collect or have access to identified information if this is necessary (or whether, for example, information in any reports received by that entity could be included in a properly de-identified form); and</w:t>
            </w:r>
          </w:p>
          <w:p w14:paraId="74ADF92A" w14:textId="77777777" w:rsidR="00140B67" w:rsidRPr="002E448B" w:rsidRDefault="00140B67" w:rsidP="008D352E">
            <w:pPr>
              <w:pStyle w:val="ListParagraph"/>
              <w:numPr>
                <w:ilvl w:val="0"/>
                <w:numId w:val="18"/>
              </w:numPr>
              <w:spacing w:before="120" w:after="120"/>
              <w:contextualSpacing w:val="0"/>
              <w:rPr>
                <w:rFonts w:asciiTheme="majorHAnsi" w:hAnsiTheme="majorHAnsi" w:cstheme="majorHAnsi"/>
                <w:b w:val="0"/>
                <w:bCs w:val="0"/>
              </w:rPr>
            </w:pPr>
            <w:proofErr w:type="gramStart"/>
            <w:r w:rsidRPr="002E448B">
              <w:rPr>
                <w:rFonts w:asciiTheme="majorHAnsi" w:hAnsiTheme="majorHAnsi" w:cstheme="majorHAnsi"/>
                <w:b w:val="0"/>
                <w:bCs w:val="0"/>
              </w:rPr>
              <w:t>if</w:t>
            </w:r>
            <w:proofErr w:type="gramEnd"/>
            <w:r w:rsidRPr="002E448B">
              <w:rPr>
                <w:rFonts w:asciiTheme="majorHAnsi" w:hAnsiTheme="majorHAnsi" w:cstheme="majorHAnsi"/>
                <w:b w:val="0"/>
                <w:bCs w:val="0"/>
              </w:rPr>
              <w:t xml:space="preserve"> it is necessary for identified information to be provided, that the entity is subject to appropriate privacy obligations (e.g. under State or Territory privacy legislation or contractual arrangements).</w:t>
            </w:r>
          </w:p>
          <w:p w14:paraId="513CA782" w14:textId="77777777" w:rsidR="00140B67" w:rsidRPr="002E448B" w:rsidRDefault="00140B67" w:rsidP="008D352E">
            <w:pPr>
              <w:spacing w:before="240" w:after="240"/>
              <w:rPr>
                <w:rFonts w:asciiTheme="majorHAnsi" w:hAnsiTheme="majorHAnsi" w:cstheme="majorHAnsi"/>
              </w:rPr>
            </w:pPr>
            <w:r w:rsidRPr="002E448B">
              <w:rPr>
                <w:rFonts w:asciiTheme="majorHAnsi" w:hAnsiTheme="majorHAnsi" w:cstheme="majorHAnsi"/>
                <w:b w:val="0"/>
                <w:bCs w:val="0"/>
              </w:rPr>
              <w:t>We</w:t>
            </w:r>
            <w:r w:rsidRPr="002E448B">
              <w:rPr>
                <w:rFonts w:asciiTheme="majorHAnsi" w:hAnsiTheme="majorHAnsi" w:cstheme="majorHAnsi"/>
              </w:rPr>
              <w:t xml:space="preserve"> recommend </w:t>
            </w:r>
            <w:r w:rsidRPr="002E448B">
              <w:rPr>
                <w:rFonts w:asciiTheme="majorHAnsi" w:hAnsiTheme="majorHAnsi" w:cstheme="majorHAnsi"/>
                <w:b w:val="0"/>
                <w:bCs w:val="0"/>
              </w:rPr>
              <w:t>that Health design contractual or other administrative arrangements with other entities to appropriately specify or limit the subsequent use or disclosure of personal information, which may include:</w:t>
            </w:r>
          </w:p>
          <w:p w14:paraId="1EF30BC2" w14:textId="77777777" w:rsidR="00140B67" w:rsidRPr="002E448B" w:rsidRDefault="00140B67" w:rsidP="008D352E">
            <w:pPr>
              <w:pStyle w:val="ListParagraph"/>
              <w:numPr>
                <w:ilvl w:val="0"/>
                <w:numId w:val="18"/>
              </w:numPr>
              <w:spacing w:before="120" w:after="120"/>
              <w:contextualSpacing w:val="0"/>
              <w:rPr>
                <w:rFonts w:asciiTheme="majorHAnsi" w:hAnsiTheme="majorHAnsi" w:cstheme="majorHAnsi"/>
                <w:b w:val="0"/>
                <w:bCs w:val="0"/>
              </w:rPr>
            </w:pPr>
            <w:r w:rsidRPr="002E448B">
              <w:rPr>
                <w:rFonts w:asciiTheme="majorHAnsi" w:hAnsiTheme="majorHAnsi" w:cstheme="majorHAnsi"/>
                <w:b w:val="0"/>
                <w:bCs w:val="0"/>
              </w:rPr>
              <w:t>appropriate restrictions on the use and disclosure of personal information for the purposes of direct marketing;</w:t>
            </w:r>
          </w:p>
          <w:p w14:paraId="6D16C9AC" w14:textId="77777777" w:rsidR="00140B67" w:rsidRPr="002E448B" w:rsidRDefault="00140B67" w:rsidP="008D352E">
            <w:pPr>
              <w:pStyle w:val="ListParagraph"/>
              <w:numPr>
                <w:ilvl w:val="0"/>
                <w:numId w:val="18"/>
              </w:numPr>
              <w:spacing w:before="120" w:after="120"/>
              <w:contextualSpacing w:val="0"/>
              <w:rPr>
                <w:rFonts w:asciiTheme="majorHAnsi" w:hAnsiTheme="majorHAnsi" w:cstheme="majorHAnsi"/>
                <w:b w:val="0"/>
                <w:bCs w:val="0"/>
              </w:rPr>
            </w:pPr>
            <w:r w:rsidRPr="002E448B">
              <w:rPr>
                <w:rFonts w:asciiTheme="majorHAnsi" w:hAnsiTheme="majorHAnsi" w:cstheme="majorHAnsi"/>
                <w:b w:val="0"/>
                <w:bCs w:val="0"/>
              </w:rPr>
              <w:t xml:space="preserve">appropriate permissions or restrictions in relation to the use and disclosure of government-related identifiers; </w:t>
            </w:r>
          </w:p>
          <w:p w14:paraId="1E43AE2B" w14:textId="77777777" w:rsidR="00140B67" w:rsidRPr="002E448B" w:rsidRDefault="00140B67" w:rsidP="008D352E">
            <w:pPr>
              <w:pStyle w:val="ListParagraph"/>
              <w:numPr>
                <w:ilvl w:val="0"/>
                <w:numId w:val="18"/>
              </w:numPr>
              <w:spacing w:before="120" w:after="120"/>
              <w:contextualSpacing w:val="0"/>
              <w:rPr>
                <w:rFonts w:asciiTheme="majorHAnsi" w:hAnsiTheme="majorHAnsi" w:cstheme="majorHAnsi"/>
                <w:b w:val="0"/>
                <w:bCs w:val="0"/>
              </w:rPr>
            </w:pPr>
            <w:r w:rsidRPr="002E448B">
              <w:rPr>
                <w:rFonts w:asciiTheme="majorHAnsi" w:hAnsiTheme="majorHAnsi" w:cstheme="majorHAnsi"/>
                <w:b w:val="0"/>
                <w:bCs w:val="0"/>
              </w:rPr>
              <w:t>minimum security requirements (including restriction on transferring personal information to, or permitting access from, overseas); and</w:t>
            </w:r>
          </w:p>
          <w:p w14:paraId="257D63A4" w14:textId="77777777" w:rsidR="00140B67" w:rsidRPr="002E448B" w:rsidRDefault="00140B67" w:rsidP="008D352E">
            <w:pPr>
              <w:pStyle w:val="ListParagraph"/>
              <w:numPr>
                <w:ilvl w:val="0"/>
                <w:numId w:val="18"/>
              </w:numPr>
              <w:spacing w:before="120" w:after="120"/>
              <w:contextualSpacing w:val="0"/>
              <w:rPr>
                <w:rFonts w:asciiTheme="majorHAnsi" w:hAnsiTheme="majorHAnsi" w:cstheme="majorHAnsi"/>
                <w:b w:val="0"/>
                <w:bCs w:val="0"/>
              </w:rPr>
            </w:pPr>
            <w:proofErr w:type="gramStart"/>
            <w:r w:rsidRPr="002E448B">
              <w:rPr>
                <w:rFonts w:asciiTheme="majorHAnsi" w:hAnsiTheme="majorHAnsi" w:cstheme="majorHAnsi"/>
                <w:b w:val="0"/>
                <w:bCs w:val="0"/>
              </w:rPr>
              <w:t>any</w:t>
            </w:r>
            <w:proofErr w:type="gramEnd"/>
            <w:r w:rsidRPr="002E448B">
              <w:rPr>
                <w:rFonts w:asciiTheme="majorHAnsi" w:hAnsiTheme="majorHAnsi" w:cstheme="majorHAnsi"/>
                <w:b w:val="0"/>
                <w:bCs w:val="0"/>
              </w:rPr>
              <w:t xml:space="preserve"> appropriate requirements for deletion or de-identification of the personal information.</w:t>
            </w:r>
          </w:p>
          <w:p w14:paraId="56645102" w14:textId="77777777" w:rsidR="00140B67" w:rsidRPr="002E448B" w:rsidRDefault="00140B67" w:rsidP="008D352E">
            <w:pPr>
              <w:spacing w:before="120" w:after="120"/>
              <w:rPr>
                <w:rFonts w:asciiTheme="majorHAnsi" w:hAnsiTheme="majorHAnsi" w:cstheme="majorHAnsi"/>
                <w:b w:val="0"/>
                <w:bCs w:val="0"/>
              </w:rPr>
            </w:pPr>
            <w:r w:rsidRPr="002E448B">
              <w:rPr>
                <w:rFonts w:asciiTheme="majorHAnsi" w:hAnsiTheme="majorHAnsi" w:cstheme="majorHAnsi"/>
                <w:b w:val="0"/>
                <w:bCs w:val="0"/>
              </w:rPr>
              <w:t>For example, we suggest that Health ensure that the relevant Supply Agreements contain appropriate clauses to restrict each Supplier’s use and disclosure of personal information to the provision of the services under the relevant agreement, and include appropriate confidentiality, security and privacy clauses.</w:t>
            </w:r>
          </w:p>
          <w:p w14:paraId="6184B009" w14:textId="77777777" w:rsidR="00140B67" w:rsidRPr="002E448B" w:rsidRDefault="00140B67" w:rsidP="008D352E">
            <w:pPr>
              <w:keepLines/>
              <w:spacing w:before="120" w:after="120"/>
              <w:rPr>
                <w:rFonts w:asciiTheme="majorHAnsi" w:hAnsiTheme="majorHAnsi" w:cstheme="majorHAnsi"/>
                <w:b w:val="0"/>
                <w:bCs w:val="0"/>
              </w:rPr>
            </w:pPr>
            <w:r w:rsidRPr="002E448B">
              <w:rPr>
                <w:rFonts w:asciiTheme="majorHAnsi" w:hAnsiTheme="majorHAnsi" w:cstheme="majorHAnsi"/>
                <w:b w:val="0"/>
                <w:bCs w:val="0"/>
              </w:rPr>
              <w:t xml:space="preserve">We also </w:t>
            </w:r>
            <w:r w:rsidRPr="002E448B">
              <w:rPr>
                <w:rFonts w:asciiTheme="majorHAnsi" w:hAnsiTheme="majorHAnsi" w:cstheme="majorHAnsi"/>
              </w:rPr>
              <w:t>recommend</w:t>
            </w:r>
            <w:r w:rsidRPr="002E448B">
              <w:rPr>
                <w:rFonts w:asciiTheme="majorHAnsi" w:hAnsiTheme="majorHAnsi" w:cstheme="majorHAnsi"/>
                <w:b w:val="0"/>
                <w:bCs w:val="0"/>
              </w:rPr>
              <w:t xml:space="preserve"> that Health ensure that contractual and other arrangements with entities other than Partners involved in the Vaccine Strategy contain obligations designed to facilitate Health’s ability to be open and transparent about the handling of personal information (such as, if applicable, a requirement to provide any information about the handling of Vaccine Strategy Information to individuals, as required or directed by Health). </w:t>
            </w:r>
          </w:p>
        </w:tc>
        <w:tc>
          <w:tcPr>
            <w:tcW w:w="1977" w:type="dxa"/>
            <w:shd w:val="clear" w:color="auto" w:fill="F2DEDE"/>
          </w:tcPr>
          <w:p w14:paraId="3A624234" w14:textId="77777777" w:rsidR="00140B67" w:rsidRPr="002E448B" w:rsidRDefault="00140B67" w:rsidP="008D352E">
            <w:pPr>
              <w:spacing w:before="240" w:after="24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rPr>
            </w:pPr>
            <w:r w:rsidRPr="002E448B">
              <w:rPr>
                <w:rFonts w:asciiTheme="majorHAnsi" w:hAnsiTheme="majorHAnsi" w:cstheme="majorHAnsi"/>
              </w:rPr>
              <w:t>All</w:t>
            </w:r>
          </w:p>
        </w:tc>
      </w:tr>
    </w:tbl>
    <w:p w14:paraId="22D7727C" w14:textId="77777777" w:rsidR="00140B67" w:rsidRPr="002E448B" w:rsidRDefault="00140B67" w:rsidP="00140B67">
      <w:pPr>
        <w:rPr>
          <w:rFonts w:asciiTheme="majorHAnsi" w:hAnsiTheme="majorHAnsi" w:cstheme="majorHAnsi"/>
        </w:rPr>
      </w:pPr>
    </w:p>
    <w:tbl>
      <w:tblPr>
        <w:tblStyle w:val="PlainTable1"/>
        <w:tblW w:w="9173" w:type="dxa"/>
        <w:tblInd w:w="-113" w:type="dxa"/>
        <w:tblLook w:val="04A0" w:firstRow="1" w:lastRow="0" w:firstColumn="1" w:lastColumn="0" w:noHBand="0" w:noVBand="1"/>
        <w:tblDescription w:val="&quot;&quot;"/>
      </w:tblPr>
      <w:tblGrid>
        <w:gridCol w:w="7196"/>
        <w:gridCol w:w="1977"/>
      </w:tblGrid>
      <w:tr w:rsidR="00140B67" w:rsidRPr="002E448B" w14:paraId="52CD7C19" w14:textId="77777777" w:rsidTr="00E2131E">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7196" w:type="dxa"/>
            <w:shd w:val="clear" w:color="auto" w:fill="770027" w:themeFill="accent3" w:themeFillShade="BF"/>
          </w:tcPr>
          <w:p w14:paraId="3E4FCF4C" w14:textId="77777777" w:rsidR="00140B67" w:rsidRPr="002E448B" w:rsidRDefault="00140B67" w:rsidP="008D352E">
            <w:pPr>
              <w:pStyle w:val="ClauseLevel1"/>
              <w:rPr>
                <w:b/>
                <w:bCs/>
              </w:rPr>
            </w:pPr>
            <w:r w:rsidRPr="002E448B">
              <w:br w:type="page"/>
            </w:r>
            <w:bookmarkStart w:id="39" w:name="_Ref59440224"/>
            <w:r w:rsidRPr="002E448B">
              <w:rPr>
                <w:b/>
                <w:bCs/>
              </w:rPr>
              <w:t>Testing and security of solution</w:t>
            </w:r>
            <w:bookmarkEnd w:id="39"/>
            <w:r w:rsidRPr="002E448B">
              <w:rPr>
                <w:b/>
                <w:bCs/>
              </w:rPr>
              <w:t>s handling Vaccine Strategy Information</w:t>
            </w:r>
          </w:p>
        </w:tc>
        <w:tc>
          <w:tcPr>
            <w:tcW w:w="1977" w:type="dxa"/>
            <w:shd w:val="clear" w:color="auto" w:fill="770027" w:themeFill="accent3" w:themeFillShade="BF"/>
          </w:tcPr>
          <w:p w14:paraId="16D05EB1" w14:textId="77777777" w:rsidR="00140B67" w:rsidRPr="002E448B" w:rsidRDefault="00140B67" w:rsidP="008D352E">
            <w:pPr>
              <w:spacing w:before="200" w:after="20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sz w:val="22"/>
                <w:szCs w:val="22"/>
              </w:rPr>
            </w:pPr>
            <w:r w:rsidRPr="002E448B">
              <w:rPr>
                <w:rFonts w:asciiTheme="majorHAnsi" w:hAnsiTheme="majorHAnsi" w:cstheme="majorHAnsi"/>
                <w:sz w:val="22"/>
                <w:szCs w:val="22"/>
              </w:rPr>
              <w:t>Relevant APPs</w:t>
            </w:r>
          </w:p>
        </w:tc>
      </w:tr>
      <w:tr w:rsidR="00140B67" w:rsidRPr="002E448B" w14:paraId="285E3828" w14:textId="77777777" w:rsidTr="00E2131E">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7196" w:type="dxa"/>
          </w:tcPr>
          <w:p w14:paraId="301EB615" w14:textId="77777777" w:rsidR="00140B67" w:rsidRPr="002E448B" w:rsidRDefault="00140B67" w:rsidP="008D352E">
            <w:pPr>
              <w:keepNext/>
              <w:spacing w:before="240" w:after="240"/>
              <w:rPr>
                <w:rFonts w:asciiTheme="majorHAnsi" w:hAnsiTheme="majorHAnsi" w:cstheme="majorHAnsi"/>
              </w:rPr>
            </w:pPr>
            <w:r w:rsidRPr="002E448B">
              <w:rPr>
                <w:rFonts w:asciiTheme="majorHAnsi" w:hAnsiTheme="majorHAnsi" w:cstheme="majorHAnsi"/>
                <w:b w:val="0"/>
                <w:bCs w:val="0"/>
              </w:rPr>
              <w:t xml:space="preserve">Given the sensitive nature of the Vaccine Strategy Information, we </w:t>
            </w:r>
            <w:r w:rsidRPr="002E448B">
              <w:rPr>
                <w:rFonts w:asciiTheme="majorHAnsi" w:hAnsiTheme="majorHAnsi" w:cstheme="majorHAnsi"/>
              </w:rPr>
              <w:t>recommend</w:t>
            </w:r>
            <w:r w:rsidRPr="002E448B">
              <w:rPr>
                <w:rFonts w:asciiTheme="majorHAnsi" w:hAnsiTheme="majorHAnsi" w:cstheme="majorHAnsi"/>
                <w:b w:val="0"/>
                <w:bCs w:val="0"/>
              </w:rPr>
              <w:t xml:space="preserve"> that Health:</w:t>
            </w:r>
          </w:p>
          <w:p w14:paraId="253C05CB" w14:textId="77777777" w:rsidR="00140B67" w:rsidRPr="002E448B" w:rsidRDefault="00140B67" w:rsidP="008D352E">
            <w:pPr>
              <w:pStyle w:val="ListParagraph"/>
              <w:numPr>
                <w:ilvl w:val="0"/>
                <w:numId w:val="18"/>
              </w:numPr>
              <w:spacing w:before="120" w:after="120"/>
              <w:contextualSpacing w:val="0"/>
              <w:rPr>
                <w:rFonts w:asciiTheme="majorHAnsi" w:hAnsiTheme="majorHAnsi" w:cstheme="majorHAnsi"/>
                <w:b w:val="0"/>
                <w:bCs w:val="0"/>
              </w:rPr>
            </w:pPr>
            <w:r w:rsidRPr="002E448B">
              <w:rPr>
                <w:rFonts w:asciiTheme="majorHAnsi" w:hAnsiTheme="majorHAnsi" w:cstheme="majorHAnsi"/>
                <w:b w:val="0"/>
                <w:bCs w:val="0"/>
              </w:rPr>
              <w:t>ensure that sufficient time and resources are allocated during the initial period of implementation with Partners (including during any co</w:t>
            </w:r>
            <w:r w:rsidRPr="002E448B">
              <w:rPr>
                <w:rFonts w:asciiTheme="majorHAnsi" w:hAnsiTheme="majorHAnsi" w:cstheme="majorHAnsi"/>
                <w:b w:val="0"/>
                <w:bCs w:val="0"/>
              </w:rPr>
              <w:noBreakHyphen/>
              <w:t>design activities) to satisfy itself that the de-identification, testing and quality assurance processes for transfer of Vaccine Strategy Information between entities and their systems are sufficient and appropriate to ensure that no inappropriate changes have occurred to the relevant Vaccine Strategy Information during the transmission process; and</w:t>
            </w:r>
          </w:p>
          <w:p w14:paraId="0AB6FF23" w14:textId="77777777" w:rsidR="00140B67" w:rsidRPr="002E448B" w:rsidRDefault="00140B67" w:rsidP="008D352E">
            <w:pPr>
              <w:pStyle w:val="ListParagraph"/>
              <w:numPr>
                <w:ilvl w:val="0"/>
                <w:numId w:val="18"/>
              </w:numPr>
              <w:spacing w:before="120" w:after="120"/>
              <w:contextualSpacing w:val="0"/>
              <w:rPr>
                <w:rFonts w:asciiTheme="majorHAnsi" w:hAnsiTheme="majorHAnsi" w:cstheme="majorHAnsi"/>
                <w:b w:val="0"/>
                <w:bCs w:val="0"/>
              </w:rPr>
            </w:pPr>
            <w:r w:rsidRPr="002E448B">
              <w:rPr>
                <w:rFonts w:asciiTheme="majorHAnsi" w:hAnsiTheme="majorHAnsi" w:cstheme="majorHAnsi"/>
                <w:b w:val="0"/>
                <w:bCs w:val="0"/>
              </w:rPr>
              <w:t xml:space="preserve">take reasonable steps (including obtaining relevant cybersecurity advice as required) to: </w:t>
            </w:r>
          </w:p>
          <w:p w14:paraId="296692A5" w14:textId="77777777" w:rsidR="00140B67" w:rsidRPr="002E448B" w:rsidRDefault="00140B67" w:rsidP="008D352E">
            <w:pPr>
              <w:pStyle w:val="ClauseLevel3"/>
              <w:numPr>
                <w:ilvl w:val="1"/>
                <w:numId w:val="16"/>
              </w:numPr>
              <w:spacing w:before="120" w:after="120" w:line="240" w:lineRule="auto"/>
              <w:rPr>
                <w:rFonts w:asciiTheme="majorHAnsi" w:hAnsiTheme="majorHAnsi" w:cstheme="majorHAnsi"/>
                <w:b w:val="0"/>
                <w:bCs w:val="0"/>
                <w:sz w:val="20"/>
                <w:szCs w:val="20"/>
              </w:rPr>
            </w:pPr>
            <w:r w:rsidRPr="002E448B">
              <w:rPr>
                <w:rFonts w:asciiTheme="majorHAnsi" w:hAnsiTheme="majorHAnsi" w:cstheme="majorHAnsi"/>
                <w:b w:val="0"/>
                <w:bCs w:val="0"/>
                <w:sz w:val="20"/>
                <w:szCs w:val="20"/>
              </w:rPr>
              <w:t xml:space="preserve">specify minimum functional and non-functional security requirements for each solution that may store or handle Vaccine Strategy Information; </w:t>
            </w:r>
          </w:p>
          <w:p w14:paraId="5F148EDE" w14:textId="77777777" w:rsidR="00140B67" w:rsidRPr="002E448B" w:rsidRDefault="00140B67" w:rsidP="008D352E">
            <w:pPr>
              <w:pStyle w:val="ClauseLevel3"/>
              <w:numPr>
                <w:ilvl w:val="1"/>
                <w:numId w:val="16"/>
              </w:numPr>
              <w:spacing w:before="120" w:after="120" w:line="240" w:lineRule="auto"/>
              <w:rPr>
                <w:rFonts w:asciiTheme="majorHAnsi" w:hAnsiTheme="majorHAnsi" w:cstheme="majorHAnsi"/>
                <w:b w:val="0"/>
                <w:bCs w:val="0"/>
                <w:sz w:val="20"/>
                <w:szCs w:val="20"/>
              </w:rPr>
            </w:pPr>
            <w:r w:rsidRPr="002E448B">
              <w:rPr>
                <w:rFonts w:asciiTheme="majorHAnsi" w:hAnsiTheme="majorHAnsi" w:cstheme="majorHAnsi"/>
                <w:b w:val="0"/>
                <w:bCs w:val="0"/>
                <w:sz w:val="20"/>
                <w:szCs w:val="20"/>
              </w:rPr>
              <w:t>minimise access to Vaccine Strategy Information to the minimum number of persons who have a legitimate ‘need to know’ that information, and who meet minimum security requirements specified by Health; and</w:t>
            </w:r>
          </w:p>
          <w:p w14:paraId="32B9CD11" w14:textId="77777777" w:rsidR="00140B67" w:rsidRPr="002E448B" w:rsidRDefault="00140B67" w:rsidP="008D352E">
            <w:pPr>
              <w:pStyle w:val="ClauseLevel3"/>
              <w:numPr>
                <w:ilvl w:val="1"/>
                <w:numId w:val="16"/>
              </w:numPr>
              <w:spacing w:before="120" w:after="120" w:line="240" w:lineRule="auto"/>
              <w:rPr>
                <w:rFonts w:asciiTheme="majorHAnsi" w:hAnsiTheme="majorHAnsi" w:cstheme="majorHAnsi"/>
                <w:b w:val="0"/>
                <w:bCs w:val="0"/>
                <w:sz w:val="20"/>
                <w:szCs w:val="20"/>
              </w:rPr>
            </w:pPr>
            <w:proofErr w:type="gramStart"/>
            <w:r w:rsidRPr="002E448B">
              <w:rPr>
                <w:rFonts w:asciiTheme="majorHAnsi" w:hAnsiTheme="majorHAnsi" w:cstheme="majorHAnsi"/>
                <w:b w:val="0"/>
                <w:bCs w:val="0"/>
                <w:sz w:val="20"/>
                <w:szCs w:val="20"/>
              </w:rPr>
              <w:t>implement</w:t>
            </w:r>
            <w:proofErr w:type="gramEnd"/>
            <w:r w:rsidRPr="002E448B">
              <w:rPr>
                <w:rFonts w:asciiTheme="majorHAnsi" w:hAnsiTheme="majorHAnsi" w:cstheme="majorHAnsi"/>
                <w:b w:val="0"/>
                <w:bCs w:val="0"/>
                <w:sz w:val="20"/>
                <w:szCs w:val="20"/>
              </w:rPr>
              <w:t xml:space="preserve"> ongoing testing for security vulnerabilities for any solutions which store Vaccine Strategy Information.</w:t>
            </w:r>
          </w:p>
        </w:tc>
        <w:tc>
          <w:tcPr>
            <w:tcW w:w="1977" w:type="dxa"/>
            <w:shd w:val="clear" w:color="auto" w:fill="F2DEDE"/>
          </w:tcPr>
          <w:p w14:paraId="1CFCC6AA" w14:textId="77777777" w:rsidR="00140B67" w:rsidRPr="002E448B" w:rsidRDefault="00140B67" w:rsidP="008D352E">
            <w:pPr>
              <w:spacing w:before="240" w:after="24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rPr>
            </w:pPr>
            <w:r w:rsidRPr="002E448B">
              <w:rPr>
                <w:rFonts w:asciiTheme="majorHAnsi" w:hAnsiTheme="majorHAnsi" w:cstheme="majorHAnsi"/>
              </w:rPr>
              <w:t>APP </w:t>
            </w:r>
            <w:r w:rsidRPr="002E448B">
              <w:rPr>
                <w:rFonts w:asciiTheme="majorHAnsi" w:hAnsiTheme="majorHAnsi" w:cstheme="majorHAnsi"/>
                <w:b w:val="0"/>
              </w:rPr>
              <w:fldChar w:fldCharType="begin" w:fldLock="1"/>
            </w:r>
            <w:r w:rsidRPr="002E448B">
              <w:rPr>
                <w:rFonts w:asciiTheme="majorHAnsi" w:hAnsiTheme="majorHAnsi" w:cstheme="majorHAnsi"/>
              </w:rPr>
              <w:instrText xml:space="preserve"> REF _Ref48226316 \r \h  \* MERGEFORMAT </w:instrText>
            </w:r>
            <w:r w:rsidRPr="002E448B">
              <w:rPr>
                <w:rFonts w:asciiTheme="majorHAnsi" w:hAnsiTheme="majorHAnsi" w:cstheme="majorHAnsi"/>
                <w:b w:val="0"/>
              </w:rPr>
            </w:r>
            <w:r w:rsidRPr="002E448B">
              <w:rPr>
                <w:rFonts w:asciiTheme="majorHAnsi" w:hAnsiTheme="majorHAnsi" w:cstheme="majorHAnsi"/>
                <w:b w:val="0"/>
              </w:rPr>
              <w:fldChar w:fldCharType="separate"/>
            </w:r>
            <w:r w:rsidRPr="002E448B">
              <w:rPr>
                <w:rFonts w:asciiTheme="majorHAnsi" w:hAnsiTheme="majorHAnsi" w:cstheme="majorHAnsi"/>
              </w:rPr>
              <w:t>10</w:t>
            </w:r>
            <w:r w:rsidRPr="002E448B">
              <w:rPr>
                <w:rFonts w:asciiTheme="majorHAnsi" w:hAnsiTheme="majorHAnsi" w:cstheme="majorHAnsi"/>
                <w:b w:val="0"/>
              </w:rPr>
              <w:fldChar w:fldCharType="end"/>
            </w:r>
            <w:r w:rsidRPr="002E448B">
              <w:rPr>
                <w:rFonts w:asciiTheme="majorHAnsi" w:hAnsiTheme="majorHAnsi" w:cstheme="majorHAnsi"/>
              </w:rPr>
              <w:t>, APP </w:t>
            </w:r>
            <w:r w:rsidRPr="002E448B">
              <w:rPr>
                <w:rFonts w:asciiTheme="majorHAnsi" w:hAnsiTheme="majorHAnsi" w:cstheme="majorHAnsi"/>
                <w:b w:val="0"/>
              </w:rPr>
              <w:fldChar w:fldCharType="begin" w:fldLock="1"/>
            </w:r>
            <w:r w:rsidRPr="002E448B">
              <w:rPr>
                <w:rFonts w:asciiTheme="majorHAnsi" w:hAnsiTheme="majorHAnsi" w:cstheme="majorHAnsi"/>
              </w:rPr>
              <w:instrText xml:space="preserve"> REF _Ref48226322 \r \h  \* MERGEFORMAT </w:instrText>
            </w:r>
            <w:r w:rsidRPr="002E448B">
              <w:rPr>
                <w:rFonts w:asciiTheme="majorHAnsi" w:hAnsiTheme="majorHAnsi" w:cstheme="majorHAnsi"/>
                <w:b w:val="0"/>
              </w:rPr>
            </w:r>
            <w:r w:rsidRPr="002E448B">
              <w:rPr>
                <w:rFonts w:asciiTheme="majorHAnsi" w:hAnsiTheme="majorHAnsi" w:cstheme="majorHAnsi"/>
                <w:b w:val="0"/>
              </w:rPr>
              <w:fldChar w:fldCharType="separate"/>
            </w:r>
            <w:r w:rsidRPr="002E448B">
              <w:rPr>
                <w:rFonts w:asciiTheme="majorHAnsi" w:hAnsiTheme="majorHAnsi" w:cstheme="majorHAnsi"/>
              </w:rPr>
              <w:t>11</w:t>
            </w:r>
            <w:r w:rsidRPr="002E448B">
              <w:rPr>
                <w:rFonts w:asciiTheme="majorHAnsi" w:hAnsiTheme="majorHAnsi" w:cstheme="majorHAnsi"/>
                <w:b w:val="0"/>
              </w:rPr>
              <w:fldChar w:fldCharType="end"/>
            </w:r>
          </w:p>
        </w:tc>
      </w:tr>
    </w:tbl>
    <w:p w14:paraId="419D2C8D" w14:textId="77777777" w:rsidR="00140B67" w:rsidRPr="002E448B" w:rsidRDefault="00140B67" w:rsidP="00140B67">
      <w:pPr>
        <w:rPr>
          <w:rFonts w:asciiTheme="majorHAnsi" w:hAnsiTheme="majorHAnsi" w:cstheme="majorHAnsi"/>
        </w:rPr>
      </w:pPr>
    </w:p>
    <w:p w14:paraId="45C2E4C7" w14:textId="77777777" w:rsidR="00140B67" w:rsidRPr="002E448B" w:rsidRDefault="00140B67" w:rsidP="00140B67">
      <w:pPr>
        <w:rPr>
          <w:rFonts w:asciiTheme="majorHAnsi" w:hAnsiTheme="majorHAnsi" w:cstheme="majorHAnsi"/>
        </w:rPr>
      </w:pPr>
    </w:p>
    <w:tbl>
      <w:tblPr>
        <w:tblStyle w:val="PlainTable1"/>
        <w:tblW w:w="9173" w:type="dxa"/>
        <w:tblInd w:w="-113" w:type="dxa"/>
        <w:tblLook w:val="04A0" w:firstRow="1" w:lastRow="0" w:firstColumn="1" w:lastColumn="0" w:noHBand="0" w:noVBand="1"/>
        <w:tblDescription w:val="&quot;&quot;"/>
      </w:tblPr>
      <w:tblGrid>
        <w:gridCol w:w="7196"/>
        <w:gridCol w:w="1977"/>
      </w:tblGrid>
      <w:tr w:rsidR="00140B67" w:rsidRPr="002E448B" w14:paraId="41741D70" w14:textId="77777777" w:rsidTr="00E2131E">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7196" w:type="dxa"/>
            <w:shd w:val="clear" w:color="auto" w:fill="770027" w:themeFill="accent3" w:themeFillShade="BF"/>
          </w:tcPr>
          <w:p w14:paraId="60CF920A" w14:textId="77777777" w:rsidR="00140B67" w:rsidRPr="002E448B" w:rsidRDefault="00140B67" w:rsidP="008D352E">
            <w:pPr>
              <w:pStyle w:val="ClauseLevel1"/>
              <w:keepLines/>
              <w:rPr>
                <w:b/>
                <w:bCs/>
              </w:rPr>
            </w:pPr>
            <w:r w:rsidRPr="002E448B">
              <w:br w:type="page"/>
            </w:r>
            <w:bookmarkStart w:id="40" w:name="_Ref59402297"/>
            <w:r w:rsidRPr="002E448B">
              <w:rPr>
                <w:b/>
                <w:bCs/>
              </w:rPr>
              <w:t>Measures in relation to Health’s use and disclosure of Vaccine Strategy Information</w:t>
            </w:r>
            <w:bookmarkEnd w:id="40"/>
          </w:p>
        </w:tc>
        <w:tc>
          <w:tcPr>
            <w:tcW w:w="1977" w:type="dxa"/>
            <w:shd w:val="clear" w:color="auto" w:fill="770027" w:themeFill="accent3" w:themeFillShade="BF"/>
          </w:tcPr>
          <w:p w14:paraId="16226B1E" w14:textId="77777777" w:rsidR="00140B67" w:rsidRPr="002E448B" w:rsidRDefault="00140B67" w:rsidP="008D352E">
            <w:pPr>
              <w:spacing w:before="200" w:after="20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sz w:val="22"/>
                <w:szCs w:val="22"/>
              </w:rPr>
            </w:pPr>
            <w:r w:rsidRPr="002E448B">
              <w:rPr>
                <w:rFonts w:asciiTheme="majorHAnsi" w:hAnsiTheme="majorHAnsi" w:cstheme="majorHAnsi"/>
                <w:sz w:val="22"/>
                <w:szCs w:val="22"/>
              </w:rPr>
              <w:t>Relevant APPs</w:t>
            </w:r>
          </w:p>
        </w:tc>
      </w:tr>
      <w:tr w:rsidR="00140B67" w:rsidRPr="002E448B" w14:paraId="037F3741" w14:textId="77777777" w:rsidTr="00E2131E">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7196" w:type="dxa"/>
          </w:tcPr>
          <w:p w14:paraId="1E9A2CBA" w14:textId="77777777" w:rsidR="00140B67" w:rsidRPr="002E448B" w:rsidRDefault="00140B67" w:rsidP="008D352E">
            <w:pPr>
              <w:keepNext/>
              <w:keepLines/>
              <w:spacing w:before="240" w:after="240"/>
              <w:rPr>
                <w:rFonts w:asciiTheme="majorHAnsi" w:hAnsiTheme="majorHAnsi" w:cstheme="majorHAnsi"/>
                <w:b w:val="0"/>
                <w:bCs w:val="0"/>
              </w:rPr>
            </w:pPr>
            <w:r w:rsidRPr="002E448B">
              <w:rPr>
                <w:rFonts w:asciiTheme="majorHAnsi" w:hAnsiTheme="majorHAnsi" w:cstheme="majorHAnsi"/>
                <w:b w:val="0"/>
                <w:bCs w:val="0"/>
              </w:rPr>
              <w:t xml:space="preserve">If Health considers it is likely that it will disclose any </w:t>
            </w:r>
            <w:r w:rsidRPr="002E448B">
              <w:rPr>
                <w:rFonts w:asciiTheme="majorHAnsi" w:hAnsiTheme="majorHAnsi" w:cstheme="majorHAnsi"/>
                <w:b w:val="0"/>
                <w:bCs w:val="0"/>
                <w:i/>
                <w:iCs/>
              </w:rPr>
              <w:t>identified</w:t>
            </w:r>
            <w:r w:rsidRPr="002E448B">
              <w:rPr>
                <w:rFonts w:asciiTheme="majorHAnsi" w:hAnsiTheme="majorHAnsi" w:cstheme="majorHAnsi"/>
                <w:b w:val="0"/>
                <w:bCs w:val="0"/>
              </w:rPr>
              <w:t xml:space="preserve"> Vaccine Strategy Information to other entities, we </w:t>
            </w:r>
            <w:r w:rsidRPr="002E448B">
              <w:rPr>
                <w:rFonts w:asciiTheme="majorHAnsi" w:hAnsiTheme="majorHAnsi" w:cstheme="majorHAnsi"/>
              </w:rPr>
              <w:t>recommend</w:t>
            </w:r>
            <w:r w:rsidRPr="002E448B">
              <w:rPr>
                <w:rFonts w:asciiTheme="majorHAnsi" w:hAnsiTheme="majorHAnsi" w:cstheme="majorHAnsi"/>
                <w:b w:val="0"/>
                <w:bCs w:val="0"/>
              </w:rPr>
              <w:t xml:space="preserve"> that Health consider whether there are steps it should take to further enhance public confidence in the handling of Vaccine Strategy Information, such as:</w:t>
            </w:r>
          </w:p>
          <w:p w14:paraId="1BB2A9A6" w14:textId="77777777" w:rsidR="00140B67" w:rsidRPr="002E448B" w:rsidRDefault="00140B67" w:rsidP="008D352E">
            <w:pPr>
              <w:pStyle w:val="ListParagraph"/>
              <w:keepNext/>
              <w:keepLines/>
              <w:numPr>
                <w:ilvl w:val="0"/>
                <w:numId w:val="18"/>
              </w:numPr>
              <w:spacing w:before="120" w:after="120"/>
              <w:contextualSpacing w:val="0"/>
              <w:rPr>
                <w:rFonts w:asciiTheme="majorHAnsi" w:hAnsiTheme="majorHAnsi" w:cstheme="majorHAnsi"/>
                <w:b w:val="0"/>
                <w:bCs w:val="0"/>
              </w:rPr>
            </w:pPr>
            <w:r w:rsidRPr="002E448B">
              <w:rPr>
                <w:rFonts w:asciiTheme="majorHAnsi" w:hAnsiTheme="majorHAnsi" w:cstheme="majorHAnsi"/>
                <w:b w:val="0"/>
                <w:bCs w:val="0"/>
              </w:rPr>
              <w:t>complying with Health’s usual data management and governance processes if it wishes to use and disclose Vaccine Strategy Information held by it (to consider and ensure that any uses and disclosures will comply with the requirements of APP 6, and the requirements of the AIR Act); and</w:t>
            </w:r>
          </w:p>
          <w:p w14:paraId="3023031F" w14:textId="77777777" w:rsidR="00140B67" w:rsidRPr="002E448B" w:rsidRDefault="00140B67" w:rsidP="008D352E">
            <w:pPr>
              <w:pStyle w:val="ListParagraph"/>
              <w:keepNext/>
              <w:keepLines/>
              <w:numPr>
                <w:ilvl w:val="0"/>
                <w:numId w:val="18"/>
              </w:numPr>
              <w:spacing w:before="120" w:after="120"/>
              <w:contextualSpacing w:val="0"/>
              <w:rPr>
                <w:rFonts w:asciiTheme="majorHAnsi" w:hAnsiTheme="majorHAnsi" w:cstheme="majorHAnsi"/>
                <w:b w:val="0"/>
                <w:bCs w:val="0"/>
              </w:rPr>
            </w:pPr>
            <w:proofErr w:type="gramStart"/>
            <w:r w:rsidRPr="002E448B">
              <w:rPr>
                <w:rFonts w:asciiTheme="majorHAnsi" w:hAnsiTheme="majorHAnsi" w:cstheme="majorHAnsi"/>
                <w:b w:val="0"/>
                <w:bCs w:val="0"/>
              </w:rPr>
              <w:t>ensuring</w:t>
            </w:r>
            <w:proofErr w:type="gramEnd"/>
            <w:r w:rsidRPr="002E448B">
              <w:rPr>
                <w:rFonts w:asciiTheme="majorHAnsi" w:hAnsiTheme="majorHAnsi" w:cstheme="majorHAnsi"/>
                <w:b w:val="0"/>
                <w:bCs w:val="0"/>
              </w:rPr>
              <w:t xml:space="preserve"> that any entities that do receive identified Vaccine Strategy Information will comply with their obligations under the Privacy Act or otherwise handle any Vaccine Strategy Information provided to them in an appropriate manner. For example, Health may wish to consider:</w:t>
            </w:r>
          </w:p>
          <w:p w14:paraId="4A3B907B" w14:textId="77777777" w:rsidR="00140B67" w:rsidRPr="002E448B" w:rsidRDefault="00140B67" w:rsidP="008D352E">
            <w:pPr>
              <w:pStyle w:val="ClauseLevel3"/>
              <w:keepNext/>
              <w:keepLines/>
              <w:numPr>
                <w:ilvl w:val="1"/>
                <w:numId w:val="16"/>
              </w:numPr>
              <w:spacing w:before="120" w:after="120" w:line="240" w:lineRule="auto"/>
              <w:rPr>
                <w:rFonts w:asciiTheme="majorHAnsi" w:hAnsiTheme="majorHAnsi" w:cstheme="majorHAnsi"/>
                <w:b w:val="0"/>
                <w:bCs w:val="0"/>
                <w:sz w:val="20"/>
                <w:szCs w:val="20"/>
              </w:rPr>
            </w:pPr>
            <w:r w:rsidRPr="002E448B">
              <w:rPr>
                <w:rFonts w:asciiTheme="majorHAnsi" w:hAnsiTheme="majorHAnsi" w:cstheme="majorHAnsi"/>
                <w:b w:val="0"/>
                <w:bCs w:val="0"/>
                <w:sz w:val="20"/>
                <w:szCs w:val="20"/>
              </w:rPr>
              <w:t>agreeing clearly documented agreements or other arrangements with the recipient entities, which set out how these entities may handle Vaccine Strategy Information provided to them in connection with the Vaccine Strategy;</w:t>
            </w:r>
          </w:p>
          <w:p w14:paraId="6A229ED0" w14:textId="77777777" w:rsidR="00140B67" w:rsidRPr="002E448B" w:rsidRDefault="00140B67" w:rsidP="008D352E">
            <w:pPr>
              <w:pStyle w:val="ClauseLevel3"/>
              <w:keepNext/>
              <w:keepLines/>
              <w:numPr>
                <w:ilvl w:val="1"/>
                <w:numId w:val="16"/>
              </w:numPr>
              <w:spacing w:before="120" w:after="120" w:line="240" w:lineRule="auto"/>
              <w:rPr>
                <w:rFonts w:asciiTheme="majorHAnsi" w:hAnsiTheme="majorHAnsi" w:cstheme="majorHAnsi"/>
                <w:b w:val="0"/>
                <w:bCs w:val="0"/>
                <w:sz w:val="20"/>
                <w:szCs w:val="20"/>
              </w:rPr>
            </w:pPr>
            <w:r w:rsidRPr="002E448B">
              <w:rPr>
                <w:rFonts w:asciiTheme="majorHAnsi" w:hAnsiTheme="majorHAnsi" w:cstheme="majorHAnsi"/>
                <w:b w:val="0"/>
                <w:bCs w:val="0"/>
                <w:sz w:val="20"/>
                <w:szCs w:val="20"/>
              </w:rPr>
              <w:t>including appropriate terms and conditions of use, to which authorised individuals of the recipient entities would need to agree before being provided with access to the Vaccine Strategy Information; and/or</w:t>
            </w:r>
          </w:p>
          <w:p w14:paraId="4D33937D" w14:textId="77777777" w:rsidR="00140B67" w:rsidRPr="002E448B" w:rsidRDefault="00140B67" w:rsidP="008D352E">
            <w:pPr>
              <w:pStyle w:val="ClauseLevel3"/>
              <w:keepNext/>
              <w:keepLines/>
              <w:numPr>
                <w:ilvl w:val="1"/>
                <w:numId w:val="16"/>
              </w:numPr>
              <w:spacing w:before="120" w:after="120" w:line="240" w:lineRule="auto"/>
              <w:rPr>
                <w:rFonts w:asciiTheme="majorHAnsi" w:hAnsiTheme="majorHAnsi" w:cstheme="majorHAnsi"/>
                <w:b w:val="0"/>
                <w:bCs w:val="0"/>
              </w:rPr>
            </w:pPr>
            <w:r w:rsidRPr="002E448B">
              <w:rPr>
                <w:rFonts w:asciiTheme="majorHAnsi" w:hAnsiTheme="majorHAnsi" w:cstheme="majorHAnsi"/>
                <w:b w:val="0"/>
                <w:bCs w:val="0"/>
                <w:sz w:val="20"/>
                <w:szCs w:val="20"/>
              </w:rPr>
              <w:t>issuing guidance material to the recipient entities (which could be in letter form), which provides guidance about how these entities should handle Patient Information provided to them in connection with the Vaccine Strategy.</w:t>
            </w:r>
          </w:p>
        </w:tc>
        <w:tc>
          <w:tcPr>
            <w:tcW w:w="1977" w:type="dxa"/>
            <w:shd w:val="clear" w:color="auto" w:fill="F2DEDE"/>
          </w:tcPr>
          <w:p w14:paraId="4EADFAE6" w14:textId="77777777" w:rsidR="00140B67" w:rsidRPr="002E448B" w:rsidRDefault="00140B67" w:rsidP="008D352E">
            <w:pPr>
              <w:spacing w:before="240" w:after="24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rPr>
            </w:pPr>
            <w:r w:rsidRPr="002E448B">
              <w:rPr>
                <w:rFonts w:asciiTheme="majorHAnsi" w:hAnsiTheme="majorHAnsi" w:cstheme="majorHAnsi"/>
              </w:rPr>
              <w:t>APP </w:t>
            </w:r>
            <w:r w:rsidRPr="002E448B">
              <w:rPr>
                <w:rFonts w:asciiTheme="majorHAnsi" w:hAnsiTheme="majorHAnsi" w:cstheme="majorHAnsi"/>
                <w:b w:val="0"/>
              </w:rPr>
              <w:fldChar w:fldCharType="begin" w:fldLock="1"/>
            </w:r>
            <w:r w:rsidRPr="002E448B">
              <w:rPr>
                <w:rFonts w:asciiTheme="majorHAnsi" w:hAnsiTheme="majorHAnsi" w:cstheme="majorHAnsi"/>
              </w:rPr>
              <w:instrText xml:space="preserve"> REF _Ref48226296 \r \h  \* MERGEFORMAT </w:instrText>
            </w:r>
            <w:r w:rsidRPr="002E448B">
              <w:rPr>
                <w:rFonts w:asciiTheme="majorHAnsi" w:hAnsiTheme="majorHAnsi" w:cstheme="majorHAnsi"/>
                <w:b w:val="0"/>
              </w:rPr>
            </w:r>
            <w:r w:rsidRPr="002E448B">
              <w:rPr>
                <w:rFonts w:asciiTheme="majorHAnsi" w:hAnsiTheme="majorHAnsi" w:cstheme="majorHAnsi"/>
                <w:b w:val="0"/>
              </w:rPr>
              <w:fldChar w:fldCharType="separate"/>
            </w:r>
            <w:r w:rsidRPr="002E448B">
              <w:rPr>
                <w:rFonts w:asciiTheme="majorHAnsi" w:hAnsiTheme="majorHAnsi" w:cstheme="majorHAnsi"/>
              </w:rPr>
              <w:t>6</w:t>
            </w:r>
            <w:r w:rsidRPr="002E448B">
              <w:rPr>
                <w:rFonts w:asciiTheme="majorHAnsi" w:hAnsiTheme="majorHAnsi" w:cstheme="majorHAnsi"/>
                <w:b w:val="0"/>
              </w:rPr>
              <w:fldChar w:fldCharType="end"/>
            </w:r>
            <w:r w:rsidRPr="002E448B">
              <w:rPr>
                <w:rFonts w:asciiTheme="majorHAnsi" w:hAnsiTheme="majorHAnsi" w:cstheme="majorHAnsi"/>
              </w:rPr>
              <w:t>, APP </w:t>
            </w:r>
            <w:r w:rsidRPr="002E448B">
              <w:rPr>
                <w:rFonts w:asciiTheme="majorHAnsi" w:hAnsiTheme="majorHAnsi" w:cstheme="majorHAnsi"/>
                <w:b w:val="0"/>
              </w:rPr>
              <w:fldChar w:fldCharType="begin" w:fldLock="1"/>
            </w:r>
            <w:r w:rsidRPr="002E448B">
              <w:rPr>
                <w:rFonts w:asciiTheme="majorHAnsi" w:hAnsiTheme="majorHAnsi" w:cstheme="majorHAnsi"/>
              </w:rPr>
              <w:instrText xml:space="preserve"> REF _Ref48226322 \r \h  \* MERGEFORMAT </w:instrText>
            </w:r>
            <w:r w:rsidRPr="002E448B">
              <w:rPr>
                <w:rFonts w:asciiTheme="majorHAnsi" w:hAnsiTheme="majorHAnsi" w:cstheme="majorHAnsi"/>
                <w:b w:val="0"/>
              </w:rPr>
            </w:r>
            <w:r w:rsidRPr="002E448B">
              <w:rPr>
                <w:rFonts w:asciiTheme="majorHAnsi" w:hAnsiTheme="majorHAnsi" w:cstheme="majorHAnsi"/>
                <w:b w:val="0"/>
              </w:rPr>
              <w:fldChar w:fldCharType="separate"/>
            </w:r>
            <w:r w:rsidRPr="002E448B">
              <w:rPr>
                <w:rFonts w:asciiTheme="majorHAnsi" w:hAnsiTheme="majorHAnsi" w:cstheme="majorHAnsi"/>
              </w:rPr>
              <w:t>11</w:t>
            </w:r>
            <w:r w:rsidRPr="002E448B">
              <w:rPr>
                <w:rFonts w:asciiTheme="majorHAnsi" w:hAnsiTheme="majorHAnsi" w:cstheme="majorHAnsi"/>
                <w:b w:val="0"/>
              </w:rPr>
              <w:fldChar w:fldCharType="end"/>
            </w:r>
          </w:p>
        </w:tc>
      </w:tr>
    </w:tbl>
    <w:p w14:paraId="42776918" w14:textId="77777777" w:rsidR="00140B67" w:rsidRPr="002E448B" w:rsidRDefault="00140B67" w:rsidP="00140B67">
      <w:pPr>
        <w:rPr>
          <w:rFonts w:asciiTheme="majorHAnsi" w:hAnsiTheme="majorHAnsi" w:cstheme="majorHAnsi"/>
        </w:rPr>
      </w:pPr>
    </w:p>
    <w:p w14:paraId="7A078532" w14:textId="77777777" w:rsidR="00140B67" w:rsidRPr="002E448B" w:rsidRDefault="00140B67" w:rsidP="00140B67">
      <w:pPr>
        <w:rPr>
          <w:rFonts w:asciiTheme="majorHAnsi" w:hAnsiTheme="majorHAnsi" w:cstheme="majorHAnsi"/>
        </w:rPr>
      </w:pPr>
      <w:r w:rsidRPr="002E448B">
        <w:rPr>
          <w:rFonts w:asciiTheme="majorHAnsi" w:hAnsiTheme="majorHAnsi" w:cstheme="majorHAnsi"/>
        </w:rPr>
        <w:br w:type="page"/>
      </w:r>
    </w:p>
    <w:p w14:paraId="3F5AA747" w14:textId="77777777" w:rsidR="00140B67" w:rsidRPr="002E448B" w:rsidRDefault="00140B67" w:rsidP="00140B67">
      <w:pPr>
        <w:pStyle w:val="legalPart"/>
        <w:rPr>
          <w:rFonts w:asciiTheme="majorHAnsi" w:hAnsiTheme="majorHAnsi" w:cstheme="majorHAnsi"/>
        </w:rPr>
      </w:pPr>
      <w:bookmarkStart w:id="41" w:name="_Toc64655034"/>
      <w:bookmarkStart w:id="42" w:name="_Toc64657537"/>
      <w:bookmarkStart w:id="43" w:name="_Ref38457069"/>
      <w:bookmarkStart w:id="44" w:name="_Toc64655038"/>
      <w:bookmarkStart w:id="45" w:name="_Hlk43472466"/>
      <w:r w:rsidRPr="002E448B">
        <w:rPr>
          <w:rFonts w:asciiTheme="majorHAnsi" w:hAnsiTheme="majorHAnsi" w:cstheme="majorHAnsi"/>
        </w:rPr>
        <w:t>METHODOLOGY AND ASSUMPTIONS</w:t>
      </w:r>
      <w:bookmarkEnd w:id="41"/>
      <w:bookmarkEnd w:id="42"/>
    </w:p>
    <w:p w14:paraId="13D02E68" w14:textId="77777777" w:rsidR="00140B67" w:rsidRPr="002E448B" w:rsidRDefault="00140B67" w:rsidP="00140B67">
      <w:pPr>
        <w:pStyle w:val="Heading1"/>
        <w:numPr>
          <w:ilvl w:val="0"/>
          <w:numId w:val="2"/>
        </w:numPr>
        <w:pBdr>
          <w:top w:val="none" w:sz="0" w:space="0" w:color="auto"/>
        </w:pBdr>
        <w:rPr>
          <w:rFonts w:asciiTheme="majorHAnsi" w:hAnsiTheme="majorHAnsi" w:cstheme="majorHAnsi"/>
        </w:rPr>
      </w:pPr>
      <w:bookmarkStart w:id="46" w:name="_Toc38274218"/>
      <w:bookmarkStart w:id="47" w:name="_Toc64655035"/>
      <w:bookmarkStart w:id="48" w:name="_Toc64657538"/>
      <w:r w:rsidRPr="002E448B">
        <w:rPr>
          <w:rFonts w:asciiTheme="majorHAnsi" w:hAnsiTheme="majorHAnsi" w:cstheme="majorHAnsi"/>
        </w:rPr>
        <w:t>Our methodology</w:t>
      </w:r>
      <w:bookmarkEnd w:id="46"/>
      <w:bookmarkEnd w:id="47"/>
      <w:bookmarkEnd w:id="48"/>
      <w:r w:rsidRPr="002E448B">
        <w:rPr>
          <w:rFonts w:asciiTheme="majorHAnsi" w:hAnsiTheme="majorHAnsi" w:cstheme="majorHAnsi"/>
        </w:rPr>
        <w:t xml:space="preserve"> </w:t>
      </w:r>
    </w:p>
    <w:p w14:paraId="3490F691" w14:textId="77777777" w:rsidR="00140B67" w:rsidRPr="002E448B" w:rsidRDefault="00140B67" w:rsidP="00140B67">
      <w:pPr>
        <w:pStyle w:val="Headingpara2"/>
        <w:numPr>
          <w:ilvl w:val="1"/>
          <w:numId w:val="2"/>
        </w:numPr>
        <w:rPr>
          <w:rFonts w:asciiTheme="majorHAnsi" w:hAnsiTheme="majorHAnsi" w:cstheme="majorHAnsi"/>
        </w:rPr>
      </w:pPr>
      <w:bookmarkStart w:id="49" w:name="_Ref36671956"/>
      <w:r w:rsidRPr="002E448B">
        <w:rPr>
          <w:rFonts w:asciiTheme="majorHAnsi" w:hAnsiTheme="majorHAnsi" w:cstheme="majorHAnsi"/>
        </w:rPr>
        <w:t xml:space="preserve">This PIA process is being conducted to ensure that any identified privacy risks can be considered and addressed so as to minimise the impact upon individuals whose personal information may be collected in connection with the Vaccine Strategy Information. </w:t>
      </w:r>
    </w:p>
    <w:p w14:paraId="384FE7A7" w14:textId="77777777" w:rsidR="00140B67" w:rsidRPr="002E448B" w:rsidRDefault="00140B67" w:rsidP="00140B67">
      <w:pPr>
        <w:pStyle w:val="Headingpara2"/>
        <w:keepLines/>
        <w:numPr>
          <w:ilvl w:val="1"/>
          <w:numId w:val="2"/>
        </w:numPr>
        <w:rPr>
          <w:rFonts w:asciiTheme="majorHAnsi" w:hAnsiTheme="majorHAnsi" w:cstheme="majorHAnsi"/>
        </w:rPr>
      </w:pPr>
      <w:r w:rsidRPr="002E448B">
        <w:rPr>
          <w:rFonts w:asciiTheme="majorHAnsi" w:hAnsiTheme="majorHAnsi" w:cstheme="majorHAnsi"/>
        </w:rPr>
        <w:t xml:space="preserve">We are conducting this PIA in accordance with the </w:t>
      </w:r>
      <w:r w:rsidRPr="002E448B">
        <w:rPr>
          <w:rFonts w:asciiTheme="majorHAnsi" w:hAnsiTheme="majorHAnsi" w:cstheme="majorHAnsi"/>
          <w:i/>
        </w:rPr>
        <w:t>Privacy Impact Assessment Guide</w:t>
      </w:r>
      <w:r w:rsidRPr="002E448B">
        <w:rPr>
          <w:rFonts w:asciiTheme="majorHAnsi" w:hAnsiTheme="majorHAnsi" w:cstheme="majorHAnsi"/>
        </w:rPr>
        <w:t xml:space="preserve"> (</w:t>
      </w:r>
      <w:r w:rsidRPr="002E448B">
        <w:rPr>
          <w:rFonts w:asciiTheme="majorHAnsi" w:hAnsiTheme="majorHAnsi" w:cstheme="majorHAnsi"/>
          <w:b/>
        </w:rPr>
        <w:t>PIA Guide</w:t>
      </w:r>
      <w:r w:rsidRPr="002E448B">
        <w:rPr>
          <w:rFonts w:asciiTheme="majorHAnsi" w:hAnsiTheme="majorHAnsi" w:cstheme="majorHAnsi"/>
        </w:rPr>
        <w:t>) issued by the Office of the Australian Information Commissioner (</w:t>
      </w:r>
      <w:r w:rsidRPr="002E448B">
        <w:rPr>
          <w:rFonts w:asciiTheme="majorHAnsi" w:hAnsiTheme="majorHAnsi" w:cstheme="majorHAnsi"/>
          <w:b/>
        </w:rPr>
        <w:t>OAIC</w:t>
      </w:r>
      <w:r w:rsidRPr="002E448B">
        <w:rPr>
          <w:rFonts w:asciiTheme="majorHAnsi" w:hAnsiTheme="majorHAnsi" w:cstheme="majorHAnsi"/>
        </w:rPr>
        <w:t>), as follows:</w:t>
      </w:r>
      <w:bookmarkEnd w:id="49"/>
    </w:p>
    <w:p w14:paraId="6C76B660" w14:textId="77777777" w:rsidR="00140B67" w:rsidRPr="002E448B" w:rsidRDefault="00140B67" w:rsidP="00140B67">
      <w:pPr>
        <w:rPr>
          <w:rFonts w:asciiTheme="majorHAnsi" w:hAnsiTheme="majorHAnsi" w:cstheme="majorHAnsi"/>
        </w:rPr>
      </w:pPr>
    </w:p>
    <w:tbl>
      <w:tblPr>
        <w:tblStyle w:val="MadTabPlumShade"/>
        <w:tblW w:w="5093" w:type="pct"/>
        <w:tblLook w:val="04A0" w:firstRow="1" w:lastRow="0" w:firstColumn="1" w:lastColumn="0" w:noHBand="0" w:noVBand="1"/>
        <w:tblDescription w:val="&quot;&quot;"/>
      </w:tblPr>
      <w:tblGrid>
        <w:gridCol w:w="761"/>
        <w:gridCol w:w="8431"/>
      </w:tblGrid>
      <w:tr w:rsidR="00140B67" w:rsidRPr="002E448B" w14:paraId="75926BF5" w14:textId="77777777" w:rsidTr="00E2131E">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414" w:type="pct"/>
          </w:tcPr>
          <w:p w14:paraId="213F705F" w14:textId="77777777" w:rsidR="00140B67" w:rsidRPr="002E448B" w:rsidRDefault="00140B67" w:rsidP="008D352E">
            <w:pPr>
              <w:spacing w:beforeLines="60" w:before="144" w:afterLines="60" w:after="144"/>
              <w:jc w:val="both"/>
              <w:rPr>
                <w:rFonts w:asciiTheme="majorHAnsi" w:hAnsiTheme="majorHAnsi" w:cstheme="majorHAnsi"/>
                <w:b w:val="0"/>
              </w:rPr>
            </w:pPr>
            <w:r w:rsidRPr="002E448B">
              <w:rPr>
                <w:rFonts w:asciiTheme="majorHAnsi" w:hAnsiTheme="majorHAnsi" w:cstheme="majorHAnsi"/>
              </w:rPr>
              <w:t>Stage</w:t>
            </w:r>
          </w:p>
        </w:tc>
        <w:tc>
          <w:tcPr>
            <w:tcW w:w="4586" w:type="pct"/>
          </w:tcPr>
          <w:p w14:paraId="19C6AAC8" w14:textId="77777777" w:rsidR="00140B67" w:rsidRPr="002E448B" w:rsidRDefault="00140B67" w:rsidP="008D352E">
            <w:pPr>
              <w:contextualSpacing/>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rPr>
            </w:pPr>
            <w:r w:rsidRPr="002E448B">
              <w:rPr>
                <w:rFonts w:asciiTheme="majorHAnsi" w:hAnsiTheme="majorHAnsi" w:cstheme="majorHAnsi"/>
              </w:rPr>
              <w:t>Description of steps</w:t>
            </w:r>
          </w:p>
        </w:tc>
      </w:tr>
      <w:tr w:rsidR="00140B67" w:rsidRPr="002E448B" w14:paraId="3A7DEAA5" w14:textId="77777777" w:rsidTr="008D352E">
        <w:tc>
          <w:tcPr>
            <w:cnfStyle w:val="001000000000" w:firstRow="0" w:lastRow="0" w:firstColumn="1" w:lastColumn="0" w:oddVBand="0" w:evenVBand="0" w:oddHBand="0" w:evenHBand="0" w:firstRowFirstColumn="0" w:firstRowLastColumn="0" w:lastRowFirstColumn="0" w:lastRowLastColumn="0"/>
            <w:tcW w:w="414" w:type="pct"/>
          </w:tcPr>
          <w:p w14:paraId="0D4483C7" w14:textId="77777777" w:rsidR="00140B67" w:rsidRPr="002E448B" w:rsidRDefault="00140B67" w:rsidP="00140B67">
            <w:pPr>
              <w:pStyle w:val="ListParagraph"/>
              <w:numPr>
                <w:ilvl w:val="0"/>
                <w:numId w:val="14"/>
              </w:numPr>
              <w:spacing w:after="144"/>
              <w:ind w:hanging="550"/>
              <w:rPr>
                <w:rFonts w:asciiTheme="majorHAnsi" w:hAnsiTheme="majorHAnsi" w:cstheme="majorHAnsi"/>
              </w:rPr>
            </w:pPr>
          </w:p>
        </w:tc>
        <w:tc>
          <w:tcPr>
            <w:tcW w:w="4586" w:type="pct"/>
          </w:tcPr>
          <w:p w14:paraId="188020D1" w14:textId="77777777" w:rsidR="00140B67" w:rsidRPr="002E448B" w:rsidRDefault="00140B67" w:rsidP="008D352E">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r w:rsidRPr="002E448B">
              <w:rPr>
                <w:rFonts w:asciiTheme="majorHAnsi" w:hAnsiTheme="majorHAnsi" w:cstheme="majorHAnsi"/>
                <w:b/>
              </w:rPr>
              <w:t xml:space="preserve">Plan for this PIA: </w:t>
            </w:r>
            <w:r w:rsidRPr="002E448B">
              <w:rPr>
                <w:rFonts w:asciiTheme="majorHAnsi" w:hAnsiTheme="majorHAnsi" w:cstheme="majorHAnsi"/>
              </w:rPr>
              <w:t xml:space="preserve">We reviewed some relevant background material provided by Health, and were provided with briefings by officers from Health. </w:t>
            </w:r>
          </w:p>
          <w:p w14:paraId="0677BC42" w14:textId="77777777" w:rsidR="00140B67" w:rsidRPr="002E448B" w:rsidRDefault="00140B67" w:rsidP="008D352E">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highlight w:val="yellow"/>
              </w:rPr>
            </w:pPr>
            <w:r w:rsidRPr="002E448B">
              <w:rPr>
                <w:rFonts w:asciiTheme="majorHAnsi" w:hAnsiTheme="majorHAnsi" w:cstheme="majorHAnsi"/>
              </w:rPr>
              <w:t xml:space="preserve">We also agreed on the scope of this PIA report (discussed further in </w:t>
            </w:r>
            <w:r w:rsidRPr="002E448B">
              <w:rPr>
                <w:rFonts w:asciiTheme="majorHAnsi" w:hAnsiTheme="majorHAnsi" w:cstheme="majorHAnsi"/>
                <w:b/>
                <w:bCs/>
              </w:rPr>
              <w:fldChar w:fldCharType="begin" w:fldLock="1"/>
            </w:r>
            <w:r w:rsidRPr="002E448B">
              <w:rPr>
                <w:rFonts w:asciiTheme="majorHAnsi" w:hAnsiTheme="majorHAnsi" w:cstheme="majorHAnsi"/>
                <w:b/>
                <w:bCs/>
              </w:rPr>
              <w:instrText xml:space="preserve"> REF _Ref38457069 \r \h  \* MERGEFORMAT </w:instrText>
            </w:r>
            <w:r w:rsidRPr="002E448B">
              <w:rPr>
                <w:rFonts w:asciiTheme="majorHAnsi" w:hAnsiTheme="majorHAnsi" w:cstheme="majorHAnsi"/>
                <w:b/>
                <w:bCs/>
              </w:rPr>
            </w:r>
            <w:r w:rsidRPr="002E448B">
              <w:rPr>
                <w:rFonts w:asciiTheme="majorHAnsi" w:hAnsiTheme="majorHAnsi" w:cstheme="majorHAnsi"/>
                <w:b/>
                <w:bCs/>
              </w:rPr>
              <w:fldChar w:fldCharType="separate"/>
            </w:r>
            <w:r w:rsidRPr="002E448B">
              <w:rPr>
                <w:rFonts w:asciiTheme="majorHAnsi" w:hAnsiTheme="majorHAnsi" w:cstheme="majorHAnsi"/>
                <w:b/>
                <w:bCs/>
              </w:rPr>
              <w:t>Part C</w:t>
            </w:r>
            <w:r w:rsidRPr="002E448B">
              <w:rPr>
                <w:rFonts w:asciiTheme="majorHAnsi" w:hAnsiTheme="majorHAnsi" w:cstheme="majorHAnsi"/>
                <w:b/>
                <w:bCs/>
              </w:rPr>
              <w:fldChar w:fldCharType="end"/>
            </w:r>
            <w:r w:rsidRPr="002E448B">
              <w:rPr>
                <w:rFonts w:asciiTheme="majorHAnsi" w:hAnsiTheme="majorHAnsi" w:cstheme="majorHAnsi"/>
              </w:rPr>
              <w:t xml:space="preserve"> below), the approach to undertaking a broader stakeholder consultation process, and the timeframes for the necessary activities involved in conducting the PIA.</w:t>
            </w:r>
          </w:p>
        </w:tc>
      </w:tr>
      <w:tr w:rsidR="00140B67" w:rsidRPr="002E448B" w14:paraId="798F6054" w14:textId="77777777" w:rsidTr="008D352E">
        <w:tc>
          <w:tcPr>
            <w:cnfStyle w:val="001000000000" w:firstRow="0" w:lastRow="0" w:firstColumn="1" w:lastColumn="0" w:oddVBand="0" w:evenVBand="0" w:oddHBand="0" w:evenHBand="0" w:firstRowFirstColumn="0" w:firstRowLastColumn="0" w:lastRowFirstColumn="0" w:lastRowLastColumn="0"/>
            <w:tcW w:w="414" w:type="pct"/>
          </w:tcPr>
          <w:p w14:paraId="0B9F9E67" w14:textId="77777777" w:rsidR="00140B67" w:rsidRPr="002E448B" w:rsidRDefault="00140B67" w:rsidP="00140B67">
            <w:pPr>
              <w:pStyle w:val="ListParagraph"/>
              <w:numPr>
                <w:ilvl w:val="0"/>
                <w:numId w:val="14"/>
              </w:numPr>
              <w:spacing w:after="144"/>
              <w:ind w:hanging="550"/>
              <w:rPr>
                <w:rFonts w:asciiTheme="majorHAnsi" w:hAnsiTheme="majorHAnsi" w:cstheme="majorHAnsi"/>
              </w:rPr>
            </w:pPr>
          </w:p>
        </w:tc>
        <w:tc>
          <w:tcPr>
            <w:tcW w:w="4586" w:type="pct"/>
          </w:tcPr>
          <w:p w14:paraId="058C7C76" w14:textId="77777777" w:rsidR="00140B67" w:rsidRPr="002E448B" w:rsidRDefault="00140B67" w:rsidP="008D352E">
            <w:pPr>
              <w:spacing w:after="144"/>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Cs/>
              </w:rPr>
            </w:pPr>
            <w:r w:rsidRPr="002E448B">
              <w:rPr>
                <w:rFonts w:asciiTheme="majorHAnsi" w:hAnsiTheme="majorHAnsi" w:cstheme="majorHAnsi"/>
                <w:b/>
                <w:bCs/>
              </w:rPr>
              <w:t>Project Description and Information Flows</w:t>
            </w:r>
            <w:r w:rsidRPr="002E448B">
              <w:rPr>
                <w:rFonts w:asciiTheme="majorHAnsi" w:hAnsiTheme="majorHAnsi" w:cstheme="majorHAnsi"/>
              </w:rPr>
              <w:t xml:space="preserve">: </w:t>
            </w:r>
            <w:r w:rsidRPr="002E448B">
              <w:rPr>
                <w:rFonts w:asciiTheme="majorHAnsi" w:hAnsiTheme="majorHAnsi" w:cstheme="majorHAnsi"/>
                <w:bCs/>
              </w:rPr>
              <w:t xml:space="preserve">We prepared an initial draft Project Description, which described our understanding of the Vaccine Strategy. This draft was refined and then finalised following ongoing feedback from Health about further developments in the Vaccine Strategy. </w:t>
            </w:r>
          </w:p>
        </w:tc>
      </w:tr>
      <w:tr w:rsidR="00140B67" w:rsidRPr="002E448B" w14:paraId="619BE46E" w14:textId="77777777" w:rsidTr="008D352E">
        <w:tc>
          <w:tcPr>
            <w:cnfStyle w:val="001000000000" w:firstRow="0" w:lastRow="0" w:firstColumn="1" w:lastColumn="0" w:oddVBand="0" w:evenVBand="0" w:oddHBand="0" w:evenHBand="0" w:firstRowFirstColumn="0" w:firstRowLastColumn="0" w:lastRowFirstColumn="0" w:lastRowLastColumn="0"/>
            <w:tcW w:w="414" w:type="pct"/>
          </w:tcPr>
          <w:p w14:paraId="0C6F6FD4" w14:textId="77777777" w:rsidR="00140B67" w:rsidRPr="002E448B" w:rsidRDefault="00140B67" w:rsidP="00140B67">
            <w:pPr>
              <w:pStyle w:val="ListParagraph"/>
              <w:numPr>
                <w:ilvl w:val="0"/>
                <w:numId w:val="14"/>
              </w:numPr>
              <w:spacing w:after="144"/>
              <w:ind w:hanging="550"/>
              <w:rPr>
                <w:rFonts w:asciiTheme="majorHAnsi" w:hAnsiTheme="majorHAnsi" w:cstheme="majorHAnsi"/>
              </w:rPr>
            </w:pPr>
          </w:p>
        </w:tc>
        <w:tc>
          <w:tcPr>
            <w:tcW w:w="4586" w:type="pct"/>
          </w:tcPr>
          <w:p w14:paraId="2A21CE7D" w14:textId="77777777" w:rsidR="00140B67" w:rsidRPr="002E448B" w:rsidRDefault="00140B67" w:rsidP="008D352E">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r w:rsidRPr="002E448B">
              <w:rPr>
                <w:rFonts w:asciiTheme="majorHAnsi" w:hAnsiTheme="majorHAnsi" w:cstheme="majorHAnsi"/>
                <w:b/>
              </w:rPr>
              <w:t>Privacy impact analysis and compliance check:</w:t>
            </w:r>
            <w:r w:rsidRPr="002E448B">
              <w:rPr>
                <w:rFonts w:asciiTheme="majorHAnsi" w:hAnsiTheme="majorHAnsi" w:cstheme="majorHAnsi"/>
              </w:rPr>
              <w:t xml:space="preserve"> In this step we focussed on compliance against each APP and privacy best practice. The analysis set out in this document is consistent with the </w:t>
            </w:r>
            <w:r w:rsidRPr="002E448B">
              <w:rPr>
                <w:rFonts w:asciiTheme="majorHAnsi" w:hAnsiTheme="majorHAnsi" w:cstheme="majorHAnsi"/>
                <w:i/>
              </w:rPr>
              <w:t>Australian Privacy Principles Guidelines</w:t>
            </w:r>
            <w:r w:rsidRPr="002E448B">
              <w:rPr>
                <w:rFonts w:asciiTheme="majorHAnsi" w:hAnsiTheme="majorHAnsi" w:cstheme="majorHAnsi"/>
              </w:rPr>
              <w:t xml:space="preserve"> (</w:t>
            </w:r>
            <w:r w:rsidRPr="002E448B">
              <w:rPr>
                <w:rFonts w:asciiTheme="majorHAnsi" w:hAnsiTheme="majorHAnsi" w:cstheme="majorHAnsi"/>
                <w:b/>
              </w:rPr>
              <w:t>APP Guidelines</w:t>
            </w:r>
            <w:r w:rsidRPr="002E448B">
              <w:rPr>
                <w:rFonts w:asciiTheme="majorHAnsi" w:hAnsiTheme="majorHAnsi" w:cstheme="majorHAnsi"/>
              </w:rPr>
              <w:t>) issued by the OAIC, which outline the mandatory requirements of the APPs, how the OAIC will interpret the APPs, and matters that may be taken into account when assessing Health’s compliance with the Privacy Act. We also considered some other relevant legislation, such as the AIR Act.</w:t>
            </w:r>
          </w:p>
          <w:p w14:paraId="6DFB6D45" w14:textId="77777777" w:rsidR="00140B67" w:rsidRPr="002E448B" w:rsidRDefault="00140B67" w:rsidP="008D352E">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r w:rsidRPr="002E448B">
              <w:rPr>
                <w:rFonts w:asciiTheme="majorHAnsi" w:hAnsiTheme="majorHAnsi" w:cstheme="majorHAnsi"/>
              </w:rPr>
              <w:t>We have not undertaken a rigorous risk assessment methodology to identify the magnitude of each of the identified risks. However, this could be done at a later stage, as required, including as part of Health’s consideration and implementation of our recommendations.</w:t>
            </w:r>
          </w:p>
        </w:tc>
      </w:tr>
      <w:tr w:rsidR="00140B67" w:rsidRPr="002E448B" w14:paraId="3BFABECD" w14:textId="77777777" w:rsidTr="008D352E">
        <w:tc>
          <w:tcPr>
            <w:cnfStyle w:val="001000000000" w:firstRow="0" w:lastRow="0" w:firstColumn="1" w:lastColumn="0" w:oddVBand="0" w:evenVBand="0" w:oddHBand="0" w:evenHBand="0" w:firstRowFirstColumn="0" w:firstRowLastColumn="0" w:lastRowFirstColumn="0" w:lastRowLastColumn="0"/>
            <w:tcW w:w="414" w:type="pct"/>
          </w:tcPr>
          <w:p w14:paraId="34972D3F" w14:textId="77777777" w:rsidR="00140B67" w:rsidRPr="002E448B" w:rsidRDefault="00140B67" w:rsidP="00140B67">
            <w:pPr>
              <w:pStyle w:val="ListParagraph"/>
              <w:numPr>
                <w:ilvl w:val="0"/>
                <w:numId w:val="14"/>
              </w:numPr>
              <w:spacing w:after="144"/>
              <w:ind w:hanging="550"/>
              <w:rPr>
                <w:rFonts w:asciiTheme="majorHAnsi" w:hAnsiTheme="majorHAnsi" w:cstheme="majorHAnsi"/>
              </w:rPr>
            </w:pPr>
            <w:bookmarkStart w:id="50" w:name="_Ref36655191"/>
          </w:p>
        </w:tc>
        <w:bookmarkEnd w:id="50"/>
        <w:tc>
          <w:tcPr>
            <w:tcW w:w="4586" w:type="pct"/>
          </w:tcPr>
          <w:p w14:paraId="26AFA933" w14:textId="77777777" w:rsidR="00140B67" w:rsidRPr="002E448B" w:rsidRDefault="00140B67" w:rsidP="008D352E">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rPr>
            </w:pPr>
            <w:r w:rsidRPr="002E448B">
              <w:rPr>
                <w:rFonts w:asciiTheme="majorHAnsi" w:hAnsiTheme="majorHAnsi" w:cstheme="majorHAnsi"/>
                <w:b/>
              </w:rPr>
              <w:t>Privacy management</w:t>
            </w:r>
            <w:r w:rsidRPr="002E448B">
              <w:rPr>
                <w:rFonts w:asciiTheme="majorHAnsi" w:hAnsiTheme="majorHAnsi" w:cstheme="majorHAnsi"/>
              </w:rPr>
              <w:t xml:space="preserve"> </w:t>
            </w:r>
            <w:r w:rsidRPr="002E448B">
              <w:rPr>
                <w:rFonts w:asciiTheme="majorHAnsi" w:hAnsiTheme="majorHAnsi" w:cstheme="majorHAnsi"/>
                <w:b/>
              </w:rPr>
              <w:t>and addressing risks:</w:t>
            </w:r>
            <w:r w:rsidRPr="002E448B">
              <w:rPr>
                <w:rFonts w:asciiTheme="majorHAnsi" w:hAnsiTheme="majorHAnsi" w:cstheme="majorHAnsi"/>
              </w:rPr>
              <w:t xml:space="preserve"> We considered potential mitigation strategies that could reduce or remove the privacy impacts and risks identified during the previous step. </w:t>
            </w:r>
          </w:p>
        </w:tc>
      </w:tr>
      <w:tr w:rsidR="00140B67" w:rsidRPr="002E448B" w14:paraId="08B6397D" w14:textId="77777777" w:rsidTr="008D352E">
        <w:tc>
          <w:tcPr>
            <w:cnfStyle w:val="001000000000" w:firstRow="0" w:lastRow="0" w:firstColumn="1" w:lastColumn="0" w:oddVBand="0" w:evenVBand="0" w:oddHBand="0" w:evenHBand="0" w:firstRowFirstColumn="0" w:firstRowLastColumn="0" w:lastRowFirstColumn="0" w:lastRowLastColumn="0"/>
            <w:tcW w:w="414" w:type="pct"/>
          </w:tcPr>
          <w:p w14:paraId="1D769DEF" w14:textId="77777777" w:rsidR="00140B67" w:rsidRPr="002E448B" w:rsidRDefault="00140B67" w:rsidP="00140B67">
            <w:pPr>
              <w:pStyle w:val="ListParagraph"/>
              <w:numPr>
                <w:ilvl w:val="0"/>
                <w:numId w:val="14"/>
              </w:numPr>
              <w:spacing w:after="144"/>
              <w:ind w:hanging="550"/>
              <w:rPr>
                <w:rFonts w:asciiTheme="majorHAnsi" w:hAnsiTheme="majorHAnsi" w:cstheme="majorHAnsi"/>
              </w:rPr>
            </w:pPr>
          </w:p>
        </w:tc>
        <w:tc>
          <w:tcPr>
            <w:tcW w:w="4586" w:type="pct"/>
          </w:tcPr>
          <w:p w14:paraId="6A959D08" w14:textId="77777777" w:rsidR="00140B67" w:rsidRPr="002E448B" w:rsidRDefault="00140B67" w:rsidP="008D352E">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r w:rsidRPr="002E448B">
              <w:rPr>
                <w:rFonts w:asciiTheme="majorHAnsi" w:hAnsiTheme="majorHAnsi" w:cstheme="majorHAnsi"/>
                <w:b/>
              </w:rPr>
              <w:t>Recommendations:</w:t>
            </w:r>
            <w:r w:rsidRPr="002E448B">
              <w:rPr>
                <w:rFonts w:asciiTheme="majorHAnsi" w:hAnsiTheme="majorHAnsi" w:cstheme="majorHAnsi"/>
              </w:rPr>
              <w:t xml:space="preserve"> From the steps referred to above, we developed our recommendations, designed to remove or reduce privacy risks.</w:t>
            </w:r>
          </w:p>
        </w:tc>
      </w:tr>
      <w:tr w:rsidR="00140B67" w:rsidRPr="002E448B" w14:paraId="4857510D" w14:textId="77777777" w:rsidTr="008D352E">
        <w:tc>
          <w:tcPr>
            <w:cnfStyle w:val="001000000000" w:firstRow="0" w:lastRow="0" w:firstColumn="1" w:lastColumn="0" w:oddVBand="0" w:evenVBand="0" w:oddHBand="0" w:evenHBand="0" w:firstRowFirstColumn="0" w:firstRowLastColumn="0" w:lastRowFirstColumn="0" w:lastRowLastColumn="0"/>
            <w:tcW w:w="414" w:type="pct"/>
          </w:tcPr>
          <w:p w14:paraId="51C8345F" w14:textId="77777777" w:rsidR="00140B67" w:rsidRPr="002E448B" w:rsidRDefault="00140B67" w:rsidP="00140B67">
            <w:pPr>
              <w:pStyle w:val="ListParagraph"/>
              <w:numPr>
                <w:ilvl w:val="0"/>
                <w:numId w:val="14"/>
              </w:numPr>
              <w:spacing w:after="144"/>
              <w:ind w:hanging="550"/>
              <w:rPr>
                <w:rFonts w:asciiTheme="majorHAnsi" w:hAnsiTheme="majorHAnsi" w:cstheme="majorHAnsi"/>
              </w:rPr>
            </w:pPr>
          </w:p>
        </w:tc>
        <w:tc>
          <w:tcPr>
            <w:tcW w:w="4586" w:type="pct"/>
          </w:tcPr>
          <w:p w14:paraId="088DF0B0" w14:textId="77777777" w:rsidR="00140B67" w:rsidRPr="002E448B" w:rsidRDefault="00140B67" w:rsidP="008D352E">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rPr>
            </w:pPr>
            <w:r w:rsidRPr="002E448B">
              <w:rPr>
                <w:rFonts w:asciiTheme="majorHAnsi" w:hAnsiTheme="majorHAnsi" w:cstheme="majorHAnsi"/>
                <w:b/>
              </w:rPr>
              <w:t xml:space="preserve">Draft report: </w:t>
            </w:r>
            <w:r w:rsidRPr="002E448B">
              <w:rPr>
                <w:rFonts w:asciiTheme="majorHAnsi" w:hAnsiTheme="majorHAnsi" w:cstheme="majorHAnsi"/>
              </w:rPr>
              <w:t>We</w:t>
            </w:r>
            <w:r w:rsidRPr="002E448B">
              <w:rPr>
                <w:rFonts w:asciiTheme="majorHAnsi" w:hAnsiTheme="majorHAnsi" w:cstheme="majorHAnsi"/>
                <w:b/>
              </w:rPr>
              <w:t xml:space="preserve"> </w:t>
            </w:r>
            <w:r w:rsidRPr="002E448B">
              <w:rPr>
                <w:rFonts w:asciiTheme="majorHAnsi" w:hAnsiTheme="majorHAnsi" w:cstheme="majorHAnsi"/>
              </w:rPr>
              <w:t>prepared a draft version of this PIA report, which was further updated based on additional information provided and changes made to the Vaccine Strategy.</w:t>
            </w:r>
          </w:p>
        </w:tc>
      </w:tr>
      <w:tr w:rsidR="00140B67" w:rsidRPr="002E448B" w14:paraId="4D2B6193" w14:textId="77777777" w:rsidTr="008D352E">
        <w:tc>
          <w:tcPr>
            <w:cnfStyle w:val="001000000000" w:firstRow="0" w:lastRow="0" w:firstColumn="1" w:lastColumn="0" w:oddVBand="0" w:evenVBand="0" w:oddHBand="0" w:evenHBand="0" w:firstRowFirstColumn="0" w:firstRowLastColumn="0" w:lastRowFirstColumn="0" w:lastRowLastColumn="0"/>
            <w:tcW w:w="414" w:type="pct"/>
          </w:tcPr>
          <w:p w14:paraId="58CD33A4" w14:textId="77777777" w:rsidR="00140B67" w:rsidRPr="002E448B" w:rsidRDefault="00140B67" w:rsidP="00140B67">
            <w:pPr>
              <w:pStyle w:val="ListParagraph"/>
              <w:numPr>
                <w:ilvl w:val="0"/>
                <w:numId w:val="14"/>
              </w:numPr>
              <w:spacing w:after="144"/>
              <w:ind w:hanging="550"/>
              <w:rPr>
                <w:rFonts w:asciiTheme="majorHAnsi" w:hAnsiTheme="majorHAnsi" w:cstheme="majorHAnsi"/>
              </w:rPr>
            </w:pPr>
          </w:p>
        </w:tc>
        <w:tc>
          <w:tcPr>
            <w:tcW w:w="4586" w:type="pct"/>
          </w:tcPr>
          <w:p w14:paraId="53430533" w14:textId="77777777" w:rsidR="00140B67" w:rsidRPr="002E448B" w:rsidRDefault="00140B67" w:rsidP="008D352E">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r w:rsidRPr="002E448B">
              <w:rPr>
                <w:rFonts w:asciiTheme="majorHAnsi" w:hAnsiTheme="majorHAnsi" w:cstheme="majorHAnsi"/>
                <w:b/>
              </w:rPr>
              <w:t xml:space="preserve">Stakeholder consultation: </w:t>
            </w:r>
            <w:r w:rsidRPr="002E448B">
              <w:rPr>
                <w:rFonts w:asciiTheme="majorHAnsi" w:hAnsiTheme="majorHAnsi" w:cstheme="majorHAnsi"/>
              </w:rPr>
              <w:t>Given the general interest surrounding the development and implementation of the Vaccine Strategy, a Stakeholder Consultation Document was provided to several stakeholders for consideration, including the OAIC, and other Australian Government agencies involved in the Vaccine Strategy. We received comments by these stakeholders on draft versions of the PIA report.</w:t>
            </w:r>
          </w:p>
        </w:tc>
      </w:tr>
      <w:tr w:rsidR="00140B67" w:rsidRPr="002E448B" w14:paraId="21F159B6" w14:textId="77777777" w:rsidTr="008D352E">
        <w:tc>
          <w:tcPr>
            <w:cnfStyle w:val="001000000000" w:firstRow="0" w:lastRow="0" w:firstColumn="1" w:lastColumn="0" w:oddVBand="0" w:evenVBand="0" w:oddHBand="0" w:evenHBand="0" w:firstRowFirstColumn="0" w:firstRowLastColumn="0" w:lastRowFirstColumn="0" w:lastRowLastColumn="0"/>
            <w:tcW w:w="414" w:type="pct"/>
          </w:tcPr>
          <w:p w14:paraId="144B1B66" w14:textId="77777777" w:rsidR="00140B67" w:rsidRPr="002E448B" w:rsidRDefault="00140B67" w:rsidP="00140B67">
            <w:pPr>
              <w:pStyle w:val="ListParagraph"/>
              <w:numPr>
                <w:ilvl w:val="0"/>
                <w:numId w:val="14"/>
              </w:numPr>
              <w:spacing w:after="144"/>
              <w:ind w:hanging="550"/>
              <w:rPr>
                <w:rFonts w:asciiTheme="majorHAnsi" w:hAnsiTheme="majorHAnsi" w:cstheme="majorHAnsi"/>
              </w:rPr>
            </w:pPr>
          </w:p>
        </w:tc>
        <w:tc>
          <w:tcPr>
            <w:tcW w:w="4586" w:type="pct"/>
          </w:tcPr>
          <w:p w14:paraId="2066C71D" w14:textId="77777777" w:rsidR="00140B67" w:rsidRPr="002E448B" w:rsidRDefault="00140B67" w:rsidP="008D352E">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rPr>
            </w:pPr>
            <w:r w:rsidRPr="002E448B">
              <w:rPr>
                <w:rFonts w:asciiTheme="majorHAnsi" w:hAnsiTheme="majorHAnsi" w:cstheme="majorHAnsi"/>
                <w:b/>
              </w:rPr>
              <w:t>Privacy management</w:t>
            </w:r>
            <w:r w:rsidRPr="002E448B">
              <w:rPr>
                <w:rFonts w:asciiTheme="majorHAnsi" w:hAnsiTheme="majorHAnsi" w:cstheme="majorHAnsi"/>
              </w:rPr>
              <w:t xml:space="preserve"> </w:t>
            </w:r>
            <w:r w:rsidRPr="002E448B">
              <w:rPr>
                <w:rFonts w:asciiTheme="majorHAnsi" w:hAnsiTheme="majorHAnsi" w:cstheme="majorHAnsi"/>
                <w:b/>
              </w:rPr>
              <w:t>and addressing risks:</w:t>
            </w:r>
            <w:r w:rsidRPr="002E448B">
              <w:rPr>
                <w:rFonts w:asciiTheme="majorHAnsi" w:hAnsiTheme="majorHAnsi" w:cstheme="majorHAnsi"/>
              </w:rPr>
              <w:t xml:space="preserve"> We further refined our analysis and the potential mitigation strategies that could reduce or remove the privacy impacts and risks identified during the privacy impact analysis step, taking into account stakeholder feedback. </w:t>
            </w:r>
          </w:p>
        </w:tc>
      </w:tr>
      <w:tr w:rsidR="00140B67" w:rsidRPr="002E448B" w14:paraId="5E128DF5" w14:textId="77777777" w:rsidTr="008D352E">
        <w:tc>
          <w:tcPr>
            <w:cnfStyle w:val="001000000000" w:firstRow="0" w:lastRow="0" w:firstColumn="1" w:lastColumn="0" w:oddVBand="0" w:evenVBand="0" w:oddHBand="0" w:evenHBand="0" w:firstRowFirstColumn="0" w:firstRowLastColumn="0" w:lastRowFirstColumn="0" w:lastRowLastColumn="0"/>
            <w:tcW w:w="414" w:type="pct"/>
          </w:tcPr>
          <w:p w14:paraId="430B5B1B" w14:textId="77777777" w:rsidR="00140B67" w:rsidRPr="002E448B" w:rsidRDefault="00140B67" w:rsidP="00140B67">
            <w:pPr>
              <w:pStyle w:val="ListParagraph"/>
              <w:numPr>
                <w:ilvl w:val="0"/>
                <w:numId w:val="14"/>
              </w:numPr>
              <w:spacing w:after="144"/>
              <w:ind w:hanging="550"/>
              <w:rPr>
                <w:rFonts w:asciiTheme="majorHAnsi" w:hAnsiTheme="majorHAnsi" w:cstheme="majorHAnsi"/>
              </w:rPr>
            </w:pPr>
          </w:p>
        </w:tc>
        <w:tc>
          <w:tcPr>
            <w:tcW w:w="4586" w:type="pct"/>
          </w:tcPr>
          <w:p w14:paraId="25B2F94C" w14:textId="77777777" w:rsidR="00140B67" w:rsidRPr="002E448B" w:rsidRDefault="00140B67" w:rsidP="008D352E">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rPr>
            </w:pPr>
            <w:r w:rsidRPr="002E448B">
              <w:rPr>
                <w:rFonts w:asciiTheme="majorHAnsi" w:hAnsiTheme="majorHAnsi" w:cstheme="majorHAnsi"/>
                <w:b/>
              </w:rPr>
              <w:t>Recommendations:</w:t>
            </w:r>
            <w:r w:rsidRPr="002E448B">
              <w:rPr>
                <w:rFonts w:asciiTheme="majorHAnsi" w:hAnsiTheme="majorHAnsi" w:cstheme="majorHAnsi"/>
              </w:rPr>
              <w:t xml:space="preserve"> From the steps referred to above, we refined our recommendations, designed to remove or reduce privacy risks.</w:t>
            </w:r>
          </w:p>
        </w:tc>
      </w:tr>
      <w:tr w:rsidR="00140B67" w:rsidRPr="002E448B" w14:paraId="7A90FD19" w14:textId="77777777" w:rsidTr="008D352E">
        <w:tc>
          <w:tcPr>
            <w:cnfStyle w:val="001000000000" w:firstRow="0" w:lastRow="0" w:firstColumn="1" w:lastColumn="0" w:oddVBand="0" w:evenVBand="0" w:oddHBand="0" w:evenHBand="0" w:firstRowFirstColumn="0" w:firstRowLastColumn="0" w:lastRowFirstColumn="0" w:lastRowLastColumn="0"/>
            <w:tcW w:w="414" w:type="pct"/>
          </w:tcPr>
          <w:p w14:paraId="08DCD66F" w14:textId="77777777" w:rsidR="00140B67" w:rsidRPr="002E448B" w:rsidRDefault="00140B67" w:rsidP="00140B67">
            <w:pPr>
              <w:pStyle w:val="ListParagraph"/>
              <w:numPr>
                <w:ilvl w:val="0"/>
                <w:numId w:val="14"/>
              </w:numPr>
              <w:spacing w:after="144"/>
              <w:ind w:hanging="550"/>
              <w:rPr>
                <w:rFonts w:asciiTheme="majorHAnsi" w:hAnsiTheme="majorHAnsi" w:cstheme="majorHAnsi"/>
              </w:rPr>
            </w:pPr>
          </w:p>
        </w:tc>
        <w:tc>
          <w:tcPr>
            <w:tcW w:w="4586" w:type="pct"/>
          </w:tcPr>
          <w:p w14:paraId="1B1B1F6B" w14:textId="77777777" w:rsidR="00140B67" w:rsidRPr="002E448B" w:rsidRDefault="00140B67" w:rsidP="008D352E">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rPr>
            </w:pPr>
            <w:r w:rsidRPr="002E448B">
              <w:rPr>
                <w:rFonts w:asciiTheme="majorHAnsi" w:hAnsiTheme="majorHAnsi" w:cstheme="majorHAnsi"/>
                <w:b/>
              </w:rPr>
              <w:t xml:space="preserve">Report: </w:t>
            </w:r>
            <w:r w:rsidRPr="002E448B">
              <w:rPr>
                <w:rFonts w:asciiTheme="majorHAnsi" w:hAnsiTheme="majorHAnsi" w:cstheme="majorHAnsi"/>
              </w:rPr>
              <w:t>We</w:t>
            </w:r>
            <w:r w:rsidRPr="002E448B">
              <w:rPr>
                <w:rFonts w:asciiTheme="majorHAnsi" w:hAnsiTheme="majorHAnsi" w:cstheme="majorHAnsi"/>
                <w:b/>
              </w:rPr>
              <w:t xml:space="preserve"> </w:t>
            </w:r>
            <w:r w:rsidRPr="002E448B">
              <w:rPr>
                <w:rFonts w:asciiTheme="majorHAnsi" w:hAnsiTheme="majorHAnsi" w:cstheme="majorHAnsi"/>
              </w:rPr>
              <w:t>finalised this PIA report.</w:t>
            </w:r>
          </w:p>
        </w:tc>
      </w:tr>
    </w:tbl>
    <w:p w14:paraId="274A8EE3" w14:textId="77777777" w:rsidR="00140B67" w:rsidRPr="002E448B" w:rsidRDefault="00140B67" w:rsidP="00140B67">
      <w:pPr>
        <w:pStyle w:val="Headingpara2"/>
        <w:numPr>
          <w:ilvl w:val="1"/>
          <w:numId w:val="2"/>
        </w:numPr>
        <w:rPr>
          <w:rFonts w:asciiTheme="majorHAnsi" w:hAnsiTheme="majorHAnsi" w:cstheme="majorHAnsi"/>
        </w:rPr>
      </w:pPr>
      <w:bookmarkStart w:id="51" w:name="_Toc38274219"/>
      <w:bookmarkStart w:id="52" w:name="_Toc38274220"/>
      <w:bookmarkStart w:id="53" w:name="_Toc38274222"/>
      <w:bookmarkEnd w:id="51"/>
      <w:bookmarkEnd w:id="52"/>
      <w:r w:rsidRPr="002E448B">
        <w:rPr>
          <w:rFonts w:asciiTheme="majorHAnsi" w:hAnsiTheme="majorHAnsi" w:cstheme="majorHAnsi"/>
        </w:rPr>
        <w:t>We understand that Health will review this PIA report, in consultation with other stakeholders as required, and separately respond to our recommendations.</w:t>
      </w:r>
    </w:p>
    <w:p w14:paraId="72585608" w14:textId="77777777" w:rsidR="00140B67" w:rsidRPr="002E448B" w:rsidRDefault="00140B67" w:rsidP="00140B67">
      <w:pPr>
        <w:pStyle w:val="Headingpara2"/>
        <w:numPr>
          <w:ilvl w:val="1"/>
          <w:numId w:val="2"/>
        </w:numPr>
        <w:rPr>
          <w:rFonts w:asciiTheme="majorHAnsi" w:hAnsiTheme="majorHAnsi" w:cstheme="majorHAnsi"/>
        </w:rPr>
      </w:pPr>
      <w:r w:rsidRPr="002E448B">
        <w:rPr>
          <w:rFonts w:asciiTheme="majorHAnsi" w:hAnsiTheme="majorHAnsi" w:cstheme="majorHAnsi"/>
        </w:rPr>
        <w:t xml:space="preserve">A glossary of defined terms and acronyms is at </w:t>
      </w:r>
      <w:r w:rsidRPr="002E448B">
        <w:rPr>
          <w:rFonts w:asciiTheme="majorHAnsi" w:hAnsiTheme="majorHAnsi" w:cstheme="majorHAnsi"/>
          <w:b/>
        </w:rPr>
        <w:fldChar w:fldCharType="begin" w:fldLock="1"/>
      </w:r>
      <w:r w:rsidRPr="002E448B">
        <w:rPr>
          <w:rFonts w:asciiTheme="majorHAnsi" w:hAnsiTheme="majorHAnsi" w:cstheme="majorHAnsi"/>
          <w:b/>
        </w:rPr>
        <w:instrText xml:space="preserve"> REF _Ref38350428 \r \h  \* MERGEFORMAT </w:instrText>
      </w:r>
      <w:r w:rsidRPr="002E448B">
        <w:rPr>
          <w:rFonts w:asciiTheme="majorHAnsi" w:hAnsiTheme="majorHAnsi" w:cstheme="majorHAnsi"/>
          <w:b/>
        </w:rPr>
      </w:r>
      <w:r w:rsidRPr="002E448B">
        <w:rPr>
          <w:rFonts w:asciiTheme="majorHAnsi" w:hAnsiTheme="majorHAnsi" w:cstheme="majorHAnsi"/>
          <w:b/>
        </w:rPr>
        <w:fldChar w:fldCharType="separate"/>
      </w:r>
      <w:r w:rsidRPr="002E448B">
        <w:rPr>
          <w:rFonts w:asciiTheme="majorHAnsi" w:hAnsiTheme="majorHAnsi" w:cstheme="majorHAnsi"/>
          <w:b/>
        </w:rPr>
        <w:t>Part F</w:t>
      </w:r>
      <w:r w:rsidRPr="002E448B">
        <w:rPr>
          <w:rFonts w:asciiTheme="majorHAnsi" w:hAnsiTheme="majorHAnsi" w:cstheme="majorHAnsi"/>
          <w:b/>
        </w:rPr>
        <w:fldChar w:fldCharType="end"/>
      </w:r>
      <w:r w:rsidRPr="002E448B">
        <w:rPr>
          <w:rFonts w:asciiTheme="majorHAnsi" w:hAnsiTheme="majorHAnsi" w:cstheme="majorHAnsi"/>
          <w:b/>
        </w:rPr>
        <w:t xml:space="preserve"> [Glossary] </w:t>
      </w:r>
      <w:r w:rsidRPr="002E448B">
        <w:rPr>
          <w:rFonts w:asciiTheme="majorHAnsi" w:hAnsiTheme="majorHAnsi" w:cstheme="majorHAnsi"/>
        </w:rPr>
        <w:t xml:space="preserve">of this PIA report.  </w:t>
      </w:r>
    </w:p>
    <w:p w14:paraId="41E95A41" w14:textId="77777777" w:rsidR="00140B67" w:rsidRPr="002E448B" w:rsidRDefault="00140B67" w:rsidP="00140B67">
      <w:pPr>
        <w:pStyle w:val="Heading1"/>
        <w:numPr>
          <w:ilvl w:val="0"/>
          <w:numId w:val="2"/>
        </w:numPr>
        <w:rPr>
          <w:rFonts w:asciiTheme="majorHAnsi" w:hAnsiTheme="majorHAnsi" w:cstheme="majorHAnsi"/>
        </w:rPr>
      </w:pPr>
      <w:bookmarkStart w:id="54" w:name="_Toc64655036"/>
      <w:bookmarkStart w:id="55" w:name="_Toc64657539"/>
      <w:r w:rsidRPr="002E448B">
        <w:rPr>
          <w:rFonts w:asciiTheme="majorHAnsi" w:hAnsiTheme="majorHAnsi" w:cstheme="majorHAnsi"/>
        </w:rPr>
        <w:t>Community expectations</w:t>
      </w:r>
      <w:bookmarkEnd w:id="54"/>
      <w:bookmarkEnd w:id="55"/>
    </w:p>
    <w:p w14:paraId="30385870" w14:textId="77777777" w:rsidR="00140B67" w:rsidRPr="002E448B" w:rsidRDefault="00140B67" w:rsidP="00140B67">
      <w:pPr>
        <w:pStyle w:val="Headingpara2"/>
        <w:numPr>
          <w:ilvl w:val="1"/>
          <w:numId w:val="2"/>
        </w:numPr>
        <w:rPr>
          <w:rFonts w:asciiTheme="majorHAnsi" w:hAnsiTheme="majorHAnsi" w:cstheme="majorHAnsi"/>
        </w:rPr>
      </w:pPr>
      <w:r w:rsidRPr="002E448B">
        <w:rPr>
          <w:rFonts w:asciiTheme="majorHAnsi" w:hAnsiTheme="majorHAnsi" w:cstheme="majorHAnsi"/>
        </w:rPr>
        <w:t xml:space="preserve">This PIA report assesses risks based on our understanding of reasonable community expectations of privacy. For example, The </w:t>
      </w:r>
      <w:r w:rsidRPr="002E448B">
        <w:rPr>
          <w:rFonts w:asciiTheme="majorHAnsi" w:hAnsiTheme="majorHAnsi" w:cstheme="majorHAnsi"/>
          <w:i/>
          <w:iCs/>
        </w:rPr>
        <w:t>Australian Community Attitudes to Privacy Survey 2020</w:t>
      </w:r>
      <w:r w:rsidRPr="002E448B">
        <w:rPr>
          <w:rFonts w:asciiTheme="majorHAnsi" w:hAnsiTheme="majorHAnsi" w:cstheme="majorHAnsi"/>
        </w:rPr>
        <w:t xml:space="preserve"> commissioned by the OAIC, which included a supplementary survey around COVID-19 concerns in April 2020, contains useful information regarding current community expectations.</w:t>
      </w:r>
      <w:r w:rsidRPr="002E448B">
        <w:rPr>
          <w:rStyle w:val="FootnoteReference"/>
          <w:rFonts w:asciiTheme="majorHAnsi" w:hAnsiTheme="majorHAnsi" w:cstheme="majorHAnsi"/>
        </w:rPr>
        <w:footnoteReference w:id="4"/>
      </w:r>
      <w:r w:rsidRPr="002E448B">
        <w:rPr>
          <w:rFonts w:asciiTheme="majorHAnsi" w:hAnsiTheme="majorHAnsi" w:cstheme="majorHAnsi"/>
        </w:rPr>
        <w:t xml:space="preserve"> Relevantly:</w:t>
      </w:r>
    </w:p>
    <w:p w14:paraId="7CA59EF2" w14:textId="77777777" w:rsidR="00140B67" w:rsidRPr="002E448B" w:rsidRDefault="00140B67" w:rsidP="00140B67">
      <w:pPr>
        <w:pStyle w:val="Heading3"/>
        <w:numPr>
          <w:ilvl w:val="2"/>
          <w:numId w:val="2"/>
        </w:numPr>
        <w:rPr>
          <w:rFonts w:asciiTheme="majorHAnsi" w:hAnsiTheme="majorHAnsi" w:cstheme="majorHAnsi"/>
        </w:rPr>
      </w:pPr>
      <w:r w:rsidRPr="002E448B">
        <w:rPr>
          <w:rFonts w:asciiTheme="majorHAnsi" w:hAnsiTheme="majorHAnsi" w:cstheme="majorHAnsi"/>
        </w:rPr>
        <w:t xml:space="preserve">70% of Australians see the protection of personal information as a major concern in their life; </w:t>
      </w:r>
    </w:p>
    <w:p w14:paraId="78CF9715" w14:textId="77777777" w:rsidR="00140B67" w:rsidRPr="002E448B" w:rsidRDefault="00140B67" w:rsidP="00140B67">
      <w:pPr>
        <w:pStyle w:val="Heading3"/>
        <w:numPr>
          <w:ilvl w:val="2"/>
          <w:numId w:val="2"/>
        </w:numPr>
        <w:rPr>
          <w:rFonts w:asciiTheme="majorHAnsi" w:hAnsiTheme="majorHAnsi" w:cstheme="majorHAnsi"/>
        </w:rPr>
      </w:pPr>
      <w:r w:rsidRPr="002E448B">
        <w:rPr>
          <w:rFonts w:asciiTheme="majorHAnsi" w:hAnsiTheme="majorHAnsi" w:cstheme="majorHAnsi"/>
        </w:rPr>
        <w:t>Australians believe that the biggest privacy risks facing the community are identity theft and fraud (76%), data security and data breaches (61%), digital services, including social media sites (58%) and smartphone apps (49%);</w:t>
      </w:r>
    </w:p>
    <w:p w14:paraId="4EE3F37E" w14:textId="77777777" w:rsidR="00140B67" w:rsidRPr="002E448B" w:rsidRDefault="00140B67" w:rsidP="00140B67">
      <w:pPr>
        <w:pStyle w:val="Heading3"/>
        <w:numPr>
          <w:ilvl w:val="2"/>
          <w:numId w:val="2"/>
        </w:numPr>
        <w:rPr>
          <w:rFonts w:asciiTheme="majorHAnsi" w:hAnsiTheme="majorHAnsi" w:cstheme="majorHAnsi"/>
        </w:rPr>
      </w:pPr>
      <w:r w:rsidRPr="002E448B">
        <w:rPr>
          <w:rFonts w:asciiTheme="majorHAnsi" w:hAnsiTheme="majorHAnsi" w:cstheme="majorHAnsi"/>
        </w:rPr>
        <w:t xml:space="preserve">60% of Australians are reluctant to provide medical or health information to a business, organisation or government agency, with 8% more reluctant to provide this than any other kind of information; </w:t>
      </w:r>
    </w:p>
    <w:p w14:paraId="1A011426"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when</w:t>
      </w:r>
      <w:proofErr w:type="gramEnd"/>
      <w:r w:rsidRPr="002E448B">
        <w:rPr>
          <w:rFonts w:asciiTheme="majorHAnsi" w:hAnsiTheme="majorHAnsi" w:cstheme="majorHAnsi"/>
        </w:rPr>
        <w:t xml:space="preserve"> the community was asked how trustworthy they considered different types of organisation, the highest levels of trust were recorded for health service providers (70%), Federal Government departments (61%) and financial institutions (50%);</w:t>
      </w:r>
    </w:p>
    <w:p w14:paraId="366EB472" w14:textId="77777777" w:rsidR="00140B67" w:rsidRPr="002E448B" w:rsidRDefault="00140B67" w:rsidP="00140B67">
      <w:pPr>
        <w:pStyle w:val="Heading3"/>
        <w:numPr>
          <w:ilvl w:val="2"/>
          <w:numId w:val="2"/>
        </w:numPr>
        <w:rPr>
          <w:rFonts w:asciiTheme="majorHAnsi" w:hAnsiTheme="majorHAnsi" w:cstheme="majorHAnsi"/>
        </w:rPr>
      </w:pPr>
      <w:r w:rsidRPr="002E448B">
        <w:rPr>
          <w:rFonts w:asciiTheme="majorHAnsi" w:hAnsiTheme="majorHAnsi" w:cstheme="majorHAnsi"/>
        </w:rPr>
        <w:t>40% of Australians are comfortable with government agencies using their personal details for research or policy-making purposes, while 27% are not comfortable;</w:t>
      </w:r>
    </w:p>
    <w:p w14:paraId="500D4D8F" w14:textId="77777777" w:rsidR="00140B67" w:rsidRPr="002E448B" w:rsidRDefault="00140B67" w:rsidP="00140B67">
      <w:pPr>
        <w:pStyle w:val="Heading3"/>
        <w:numPr>
          <w:ilvl w:val="2"/>
          <w:numId w:val="2"/>
        </w:numPr>
        <w:rPr>
          <w:rFonts w:asciiTheme="majorHAnsi" w:hAnsiTheme="majorHAnsi" w:cstheme="majorHAnsi"/>
        </w:rPr>
      </w:pPr>
      <w:r w:rsidRPr="002E448B">
        <w:rPr>
          <w:rFonts w:asciiTheme="majorHAnsi" w:hAnsiTheme="majorHAnsi" w:cstheme="majorHAnsi"/>
        </w:rPr>
        <w:t>55% of Australians are comfortable with a government body using surveillance for public safety, and 35% with a government body using biometrics and smart technologies for the delivery of services;</w:t>
      </w:r>
    </w:p>
    <w:p w14:paraId="2965401E" w14:textId="77777777" w:rsidR="00140B67" w:rsidRPr="002E448B" w:rsidRDefault="00140B67" w:rsidP="00140B67">
      <w:pPr>
        <w:pStyle w:val="Heading3"/>
        <w:numPr>
          <w:ilvl w:val="2"/>
          <w:numId w:val="2"/>
        </w:numPr>
        <w:rPr>
          <w:rFonts w:asciiTheme="majorHAnsi" w:hAnsiTheme="majorHAnsi" w:cstheme="majorHAnsi"/>
        </w:rPr>
      </w:pPr>
      <w:r w:rsidRPr="002E448B">
        <w:rPr>
          <w:rFonts w:asciiTheme="majorHAnsi" w:hAnsiTheme="majorHAnsi" w:cstheme="majorHAnsi"/>
        </w:rPr>
        <w:t>36% of the community are comfortable with the government sharing their personal information with other government agencies, but only 15% are comfortable with the government sharing this information with businesses in Australia;</w:t>
      </w:r>
    </w:p>
    <w:p w14:paraId="2C597838" w14:textId="77777777" w:rsidR="00140B67" w:rsidRPr="002E448B" w:rsidRDefault="00140B67" w:rsidP="00140B67">
      <w:pPr>
        <w:pStyle w:val="Heading3"/>
        <w:numPr>
          <w:ilvl w:val="2"/>
          <w:numId w:val="2"/>
        </w:numPr>
        <w:rPr>
          <w:rFonts w:asciiTheme="majorHAnsi" w:hAnsiTheme="majorHAnsi" w:cstheme="majorHAnsi"/>
        </w:rPr>
      </w:pPr>
      <w:r w:rsidRPr="002E448B">
        <w:rPr>
          <w:rFonts w:asciiTheme="majorHAnsi" w:hAnsiTheme="majorHAnsi" w:cstheme="majorHAnsi"/>
        </w:rPr>
        <w:t>83% of Australians would like the government to do more to protect the privacy of their data, 24% feel their data is well protected, while 40% feel it is poorly protected;</w:t>
      </w:r>
    </w:p>
    <w:p w14:paraId="7F65D475" w14:textId="77777777" w:rsidR="00140B67" w:rsidRPr="002E448B" w:rsidRDefault="00140B67" w:rsidP="00140B67">
      <w:pPr>
        <w:pStyle w:val="Heading3"/>
        <w:numPr>
          <w:ilvl w:val="2"/>
          <w:numId w:val="2"/>
        </w:numPr>
        <w:rPr>
          <w:rFonts w:asciiTheme="majorHAnsi" w:hAnsiTheme="majorHAnsi" w:cstheme="majorHAnsi"/>
        </w:rPr>
      </w:pPr>
      <w:r w:rsidRPr="002E448B">
        <w:rPr>
          <w:rFonts w:asciiTheme="majorHAnsi" w:hAnsiTheme="majorHAnsi" w:cstheme="majorHAnsi"/>
        </w:rPr>
        <w:t>50% of Australians consider their privacy more at risk in a COVID-19 environment, with 40% considering their health and medical information to be more at risk, but 60% agree that short-term privacy concessions must be made to combat COVID</w:t>
      </w:r>
      <w:r w:rsidRPr="002E448B">
        <w:rPr>
          <w:rFonts w:asciiTheme="majorHAnsi" w:hAnsiTheme="majorHAnsi" w:cstheme="majorHAnsi"/>
        </w:rPr>
        <w:noBreakHyphen/>
        <w:t>19 for the greater good; and</w:t>
      </w:r>
    </w:p>
    <w:p w14:paraId="00947DBA" w14:textId="77777777" w:rsidR="00140B67" w:rsidRPr="002E448B" w:rsidRDefault="00140B67" w:rsidP="00140B67">
      <w:pPr>
        <w:pStyle w:val="Heading3"/>
        <w:numPr>
          <w:ilvl w:val="2"/>
          <w:numId w:val="2"/>
        </w:numPr>
        <w:rPr>
          <w:rFonts w:asciiTheme="majorHAnsi" w:hAnsiTheme="majorHAnsi" w:cstheme="majorHAnsi"/>
        </w:rPr>
      </w:pPr>
      <w:r w:rsidRPr="002E448B">
        <w:rPr>
          <w:rFonts w:asciiTheme="majorHAnsi" w:hAnsiTheme="majorHAnsi" w:cstheme="majorHAnsi"/>
        </w:rPr>
        <w:t>52% of Australians are comfortable with government authorities, medical staff, hospitals and care facilities sharing their personal information to combat COVID</w:t>
      </w:r>
      <w:r w:rsidRPr="002E448B">
        <w:rPr>
          <w:rFonts w:asciiTheme="majorHAnsi" w:hAnsiTheme="majorHAnsi" w:cstheme="majorHAnsi"/>
        </w:rPr>
        <w:noBreakHyphen/>
        <w:t>19.</w:t>
      </w:r>
    </w:p>
    <w:p w14:paraId="5BA7E75D" w14:textId="77777777" w:rsidR="00140B67" w:rsidRPr="002E448B" w:rsidRDefault="00140B67" w:rsidP="00140B67">
      <w:pPr>
        <w:pStyle w:val="Heading1"/>
        <w:keepLines/>
        <w:numPr>
          <w:ilvl w:val="0"/>
          <w:numId w:val="2"/>
        </w:numPr>
        <w:rPr>
          <w:rFonts w:asciiTheme="majorHAnsi" w:hAnsiTheme="majorHAnsi" w:cstheme="majorHAnsi"/>
        </w:rPr>
      </w:pPr>
      <w:bookmarkStart w:id="56" w:name="_Toc64655037"/>
      <w:bookmarkStart w:id="57" w:name="_Toc64657540"/>
      <w:r w:rsidRPr="002E448B">
        <w:rPr>
          <w:rFonts w:asciiTheme="majorHAnsi" w:hAnsiTheme="majorHAnsi" w:cstheme="majorHAnsi"/>
        </w:rPr>
        <w:t>Assumptions and qualifications</w:t>
      </w:r>
      <w:bookmarkEnd w:id="53"/>
      <w:bookmarkEnd w:id="56"/>
      <w:bookmarkEnd w:id="57"/>
    </w:p>
    <w:p w14:paraId="5363CDBA" w14:textId="77777777" w:rsidR="00140B67" w:rsidRPr="002E448B" w:rsidRDefault="00140B67" w:rsidP="00140B67">
      <w:pPr>
        <w:pStyle w:val="Headingpara2"/>
        <w:keepNext/>
        <w:keepLines/>
        <w:numPr>
          <w:ilvl w:val="1"/>
          <w:numId w:val="2"/>
        </w:numPr>
        <w:rPr>
          <w:rFonts w:asciiTheme="majorHAnsi" w:hAnsiTheme="majorHAnsi" w:cstheme="majorHAnsi"/>
        </w:rPr>
      </w:pPr>
      <w:r w:rsidRPr="002E448B">
        <w:rPr>
          <w:rFonts w:asciiTheme="majorHAnsi" w:hAnsiTheme="majorHAnsi" w:cstheme="majorHAnsi"/>
        </w:rPr>
        <w:t>This PIA report has been conducted from the perspective of Health, as the Commonwealth agency responsible for the implementation of the Vaccine Strategy, and not from the perspective of any other entity involved with the Vaccine Strategy (including the Therapeutic Goods Administration (</w:t>
      </w:r>
      <w:r w:rsidRPr="002E448B">
        <w:rPr>
          <w:rFonts w:asciiTheme="majorHAnsi" w:hAnsiTheme="majorHAnsi" w:cstheme="majorHAnsi"/>
          <w:b/>
          <w:bCs/>
        </w:rPr>
        <w:t>TGA</w:t>
      </w:r>
      <w:r w:rsidRPr="002E448B">
        <w:rPr>
          <w:rFonts w:asciiTheme="majorHAnsi" w:hAnsiTheme="majorHAnsi" w:cstheme="majorHAnsi"/>
        </w:rPr>
        <w:t xml:space="preserve">) or any State and Territory authorities). </w:t>
      </w:r>
    </w:p>
    <w:p w14:paraId="36D82FF0" w14:textId="77777777" w:rsidR="00140B67" w:rsidRPr="002E448B" w:rsidRDefault="00140B67" w:rsidP="00140B67">
      <w:pPr>
        <w:pStyle w:val="Headingpara2"/>
        <w:numPr>
          <w:ilvl w:val="1"/>
          <w:numId w:val="2"/>
        </w:numPr>
        <w:rPr>
          <w:rFonts w:asciiTheme="majorHAnsi" w:hAnsiTheme="majorHAnsi" w:cstheme="majorHAnsi"/>
        </w:rPr>
      </w:pPr>
      <w:r w:rsidRPr="002E448B">
        <w:rPr>
          <w:rFonts w:asciiTheme="majorHAnsi" w:hAnsiTheme="majorHAnsi" w:cstheme="majorHAnsi"/>
        </w:rPr>
        <w:t xml:space="preserve">As discussed in </w:t>
      </w:r>
      <w:r w:rsidRPr="002E448B">
        <w:rPr>
          <w:rFonts w:asciiTheme="majorHAnsi" w:hAnsiTheme="majorHAnsi" w:cstheme="majorHAnsi"/>
          <w:b/>
          <w:bCs/>
        </w:rPr>
        <w:fldChar w:fldCharType="begin" w:fldLock="1"/>
      </w:r>
      <w:r w:rsidRPr="002E448B">
        <w:rPr>
          <w:rFonts w:asciiTheme="majorHAnsi" w:hAnsiTheme="majorHAnsi" w:cstheme="majorHAnsi"/>
          <w:b/>
          <w:bCs/>
        </w:rPr>
        <w:instrText xml:space="preserve"> REF _Ref59399100 \r \h  \* MERGEFORMAT </w:instrText>
      </w:r>
      <w:r w:rsidRPr="002E448B">
        <w:rPr>
          <w:rFonts w:asciiTheme="majorHAnsi" w:hAnsiTheme="majorHAnsi" w:cstheme="majorHAnsi"/>
          <w:b/>
          <w:bCs/>
        </w:rPr>
      </w:r>
      <w:r w:rsidRPr="002E448B">
        <w:rPr>
          <w:rFonts w:asciiTheme="majorHAnsi" w:hAnsiTheme="majorHAnsi" w:cstheme="majorHAnsi"/>
          <w:b/>
          <w:bCs/>
        </w:rPr>
        <w:fldChar w:fldCharType="separate"/>
      </w:r>
      <w:r w:rsidRPr="002E448B">
        <w:rPr>
          <w:rFonts w:asciiTheme="majorHAnsi" w:hAnsiTheme="majorHAnsi" w:cstheme="majorHAnsi"/>
          <w:b/>
          <w:bCs/>
        </w:rPr>
        <w:t xml:space="preserve">Part </w:t>
      </w:r>
      <w:proofErr w:type="gramStart"/>
      <w:r w:rsidRPr="002E448B">
        <w:rPr>
          <w:rFonts w:asciiTheme="majorHAnsi" w:hAnsiTheme="majorHAnsi" w:cstheme="majorHAnsi"/>
          <w:b/>
          <w:bCs/>
        </w:rPr>
        <w:t>A</w:t>
      </w:r>
      <w:proofErr w:type="gramEnd"/>
      <w:r w:rsidRPr="002E448B">
        <w:rPr>
          <w:rFonts w:asciiTheme="majorHAnsi" w:hAnsiTheme="majorHAnsi" w:cstheme="majorHAnsi"/>
          <w:b/>
          <w:bCs/>
        </w:rPr>
        <w:fldChar w:fldCharType="end"/>
      </w:r>
      <w:r w:rsidRPr="002E448B">
        <w:rPr>
          <w:rFonts w:asciiTheme="majorHAnsi" w:hAnsiTheme="majorHAnsi" w:cstheme="majorHAnsi"/>
          <w:b/>
          <w:bCs/>
        </w:rPr>
        <w:t xml:space="preserve"> [Executive Summary] </w:t>
      </w:r>
      <w:r w:rsidRPr="002E448B">
        <w:rPr>
          <w:rFonts w:asciiTheme="majorHAnsi" w:hAnsiTheme="majorHAnsi" w:cstheme="majorHAnsi"/>
        </w:rPr>
        <w:t>above, the implementation of the Vaccine Strategy has continued to develop during this PIA process (including through development of this PIA report). This has meant that it has been necessary to:</w:t>
      </w:r>
    </w:p>
    <w:p w14:paraId="1EB3DC16" w14:textId="77777777" w:rsidR="00140B67" w:rsidRPr="002E448B" w:rsidRDefault="00140B67" w:rsidP="00140B67">
      <w:pPr>
        <w:pStyle w:val="Heading3"/>
        <w:numPr>
          <w:ilvl w:val="2"/>
          <w:numId w:val="2"/>
        </w:numPr>
        <w:rPr>
          <w:rFonts w:asciiTheme="majorHAnsi" w:hAnsiTheme="majorHAnsi" w:cstheme="majorHAnsi"/>
        </w:rPr>
      </w:pPr>
      <w:r w:rsidRPr="002E448B">
        <w:rPr>
          <w:rFonts w:asciiTheme="majorHAnsi" w:hAnsiTheme="majorHAnsi" w:cstheme="majorHAnsi"/>
        </w:rPr>
        <w:t xml:space="preserve">conduct this PIA as a ‘point in time’ analysis for Phase 1a of the Vaccine Strategy, based on the factual information provided by Health as set out in </w:t>
      </w:r>
      <w:r w:rsidRPr="002E448B">
        <w:rPr>
          <w:rFonts w:asciiTheme="majorHAnsi" w:hAnsiTheme="majorHAnsi" w:cstheme="majorHAnsi"/>
          <w:b/>
        </w:rPr>
        <w:fldChar w:fldCharType="begin" w:fldLock="1"/>
      </w:r>
      <w:r w:rsidRPr="002E448B">
        <w:rPr>
          <w:rFonts w:asciiTheme="majorHAnsi" w:hAnsiTheme="majorHAnsi" w:cstheme="majorHAnsi"/>
          <w:b/>
        </w:rPr>
        <w:instrText xml:space="preserve"> REF _Ref38457069 \r \h  \* MERGEFORMAT </w:instrText>
      </w:r>
      <w:r w:rsidRPr="002E448B">
        <w:rPr>
          <w:rFonts w:asciiTheme="majorHAnsi" w:hAnsiTheme="majorHAnsi" w:cstheme="majorHAnsi"/>
          <w:b/>
        </w:rPr>
      </w:r>
      <w:r w:rsidRPr="002E448B">
        <w:rPr>
          <w:rFonts w:asciiTheme="majorHAnsi" w:hAnsiTheme="majorHAnsi" w:cstheme="majorHAnsi"/>
          <w:b/>
        </w:rPr>
        <w:fldChar w:fldCharType="separate"/>
      </w:r>
      <w:r w:rsidRPr="002E448B">
        <w:rPr>
          <w:rFonts w:asciiTheme="majorHAnsi" w:hAnsiTheme="majorHAnsi" w:cstheme="majorHAnsi"/>
          <w:b/>
        </w:rPr>
        <w:t>Part C</w:t>
      </w:r>
      <w:r w:rsidRPr="002E448B">
        <w:rPr>
          <w:rFonts w:asciiTheme="majorHAnsi" w:hAnsiTheme="majorHAnsi" w:cstheme="majorHAnsi"/>
          <w:b/>
        </w:rPr>
        <w:fldChar w:fldCharType="end"/>
      </w:r>
      <w:r w:rsidRPr="002E448B">
        <w:rPr>
          <w:rFonts w:asciiTheme="majorHAnsi" w:hAnsiTheme="majorHAnsi" w:cstheme="majorHAnsi"/>
          <w:b/>
        </w:rPr>
        <w:t xml:space="preserve"> [Project Description and Information Flows] </w:t>
      </w:r>
      <w:r w:rsidRPr="002E448B">
        <w:rPr>
          <w:rFonts w:asciiTheme="majorHAnsi" w:hAnsiTheme="majorHAnsi" w:cstheme="majorHAnsi"/>
        </w:rPr>
        <w:t>of this PIA report</w:t>
      </w:r>
      <w:r w:rsidRPr="002E448B" w:rsidDel="003D35A8">
        <w:rPr>
          <w:rFonts w:asciiTheme="majorHAnsi" w:hAnsiTheme="majorHAnsi" w:cstheme="majorHAnsi"/>
        </w:rPr>
        <w:t xml:space="preserve"> </w:t>
      </w:r>
      <w:r w:rsidRPr="002E448B">
        <w:rPr>
          <w:rFonts w:asciiTheme="majorHAnsi" w:hAnsiTheme="majorHAnsi" w:cstheme="majorHAnsi"/>
        </w:rPr>
        <w:t>(we have not independently verified that that factual information is correct or complete, and acknowledge that it may not remain up-to-date);</w:t>
      </w:r>
    </w:p>
    <w:p w14:paraId="750EFFEC" w14:textId="77777777" w:rsidR="00140B67" w:rsidRPr="002E448B" w:rsidRDefault="00140B67" w:rsidP="00140B67">
      <w:pPr>
        <w:pStyle w:val="Heading3"/>
        <w:numPr>
          <w:ilvl w:val="2"/>
          <w:numId w:val="2"/>
        </w:numPr>
        <w:rPr>
          <w:rFonts w:asciiTheme="majorHAnsi" w:hAnsiTheme="majorHAnsi" w:cstheme="majorHAnsi"/>
          <w:sz w:val="22"/>
          <w:szCs w:val="22"/>
        </w:rPr>
      </w:pPr>
      <w:r w:rsidRPr="002E448B">
        <w:rPr>
          <w:rFonts w:asciiTheme="majorHAnsi" w:hAnsiTheme="majorHAnsi" w:cstheme="majorHAnsi"/>
        </w:rPr>
        <w:t>consider the privacy risks and impacts of the Vaccine Strategy at a relatively high level (rather than simply analysing Health’s compliance with the APPs) given that some details in relation to the implementation of the strategy were developed in parallel with this PIA process; and</w:t>
      </w:r>
    </w:p>
    <w:p w14:paraId="5B7CE8F5" w14:textId="77777777" w:rsidR="00140B67" w:rsidRPr="002E448B" w:rsidRDefault="00140B67" w:rsidP="00140B67">
      <w:pPr>
        <w:pStyle w:val="Heading3"/>
        <w:numPr>
          <w:ilvl w:val="2"/>
          <w:numId w:val="2"/>
        </w:numPr>
        <w:rPr>
          <w:rFonts w:asciiTheme="majorHAnsi" w:hAnsiTheme="majorHAnsi" w:cstheme="majorHAnsi"/>
          <w:sz w:val="22"/>
          <w:szCs w:val="22"/>
        </w:rPr>
      </w:pPr>
      <w:r w:rsidRPr="002E448B">
        <w:rPr>
          <w:rFonts w:asciiTheme="majorHAnsi" w:hAnsiTheme="majorHAnsi" w:cstheme="majorHAnsi"/>
        </w:rPr>
        <w:t>make some assumptions about the likely nature of some entities who will handle personal information in connection with the Vaccine Strategies where the identity of these entities is not yet known (e.g. we have assumed that the Partners are likely to be ‘organisations’ for the purposes of the Privacy Act).</w:t>
      </w:r>
      <w:r w:rsidRPr="002E448B">
        <w:rPr>
          <w:rFonts w:asciiTheme="majorHAnsi" w:hAnsiTheme="majorHAnsi" w:cstheme="majorHAnsi"/>
          <w:sz w:val="22"/>
          <w:szCs w:val="22"/>
        </w:rPr>
        <w:t xml:space="preserve"> </w:t>
      </w:r>
    </w:p>
    <w:p w14:paraId="6201F251" w14:textId="77777777" w:rsidR="00140B67" w:rsidRPr="002E448B" w:rsidRDefault="00140B67" w:rsidP="00140B67">
      <w:pPr>
        <w:pStyle w:val="Headingpara2"/>
        <w:numPr>
          <w:ilvl w:val="1"/>
          <w:numId w:val="2"/>
        </w:numPr>
        <w:rPr>
          <w:rFonts w:asciiTheme="majorHAnsi" w:hAnsiTheme="majorHAnsi" w:cstheme="majorHAnsi"/>
        </w:rPr>
      </w:pPr>
      <w:r w:rsidRPr="002E448B">
        <w:rPr>
          <w:rFonts w:asciiTheme="majorHAnsi" w:hAnsiTheme="majorHAnsi" w:cstheme="majorHAnsi"/>
        </w:rPr>
        <w:t>This PIA report is limited to considering Phase 1a of the Vaccine Strategy. While this PIA report references our understanding of some of the matters that are likely to be covered in Phase 1b or later stages of the Vaccine Strategy, this PIA report does not analyse or make recommendations into those matters. We understand that Health intends to undertake further analysis in relation to later stages of the Vaccine Strategy, after the finalisation of this PIA.</w:t>
      </w:r>
    </w:p>
    <w:p w14:paraId="7FB9FC2B" w14:textId="77777777" w:rsidR="00140B67" w:rsidRPr="002E448B" w:rsidRDefault="00140B67" w:rsidP="00140B67">
      <w:pPr>
        <w:pStyle w:val="Headingpara2"/>
        <w:numPr>
          <w:ilvl w:val="1"/>
          <w:numId w:val="2"/>
        </w:numPr>
        <w:rPr>
          <w:rFonts w:asciiTheme="majorHAnsi" w:hAnsiTheme="majorHAnsi" w:cstheme="majorHAnsi"/>
        </w:rPr>
      </w:pPr>
      <w:r w:rsidRPr="002E448B">
        <w:rPr>
          <w:rFonts w:asciiTheme="majorHAnsi" w:hAnsiTheme="majorHAnsi" w:cstheme="majorHAnsi"/>
        </w:rPr>
        <w:t xml:space="preserve">This PIA report does not analyse or examine any Information Flows, or associated privacy risks or compliance issues, for Phase 1a that are not described in </w:t>
      </w:r>
      <w:r w:rsidRPr="002E448B">
        <w:rPr>
          <w:rFonts w:asciiTheme="majorHAnsi" w:hAnsiTheme="majorHAnsi" w:cstheme="majorHAnsi"/>
          <w:b/>
        </w:rPr>
        <w:fldChar w:fldCharType="begin" w:fldLock="1"/>
      </w:r>
      <w:r w:rsidRPr="002E448B">
        <w:rPr>
          <w:rFonts w:asciiTheme="majorHAnsi" w:hAnsiTheme="majorHAnsi" w:cstheme="majorHAnsi"/>
          <w:b/>
        </w:rPr>
        <w:instrText xml:space="preserve"> REF _Ref38457069 \r \h  \* MERGEFORMAT </w:instrText>
      </w:r>
      <w:r w:rsidRPr="002E448B">
        <w:rPr>
          <w:rFonts w:asciiTheme="majorHAnsi" w:hAnsiTheme="majorHAnsi" w:cstheme="majorHAnsi"/>
          <w:b/>
        </w:rPr>
      </w:r>
      <w:r w:rsidRPr="002E448B">
        <w:rPr>
          <w:rFonts w:asciiTheme="majorHAnsi" w:hAnsiTheme="majorHAnsi" w:cstheme="majorHAnsi"/>
          <w:b/>
        </w:rPr>
        <w:fldChar w:fldCharType="separate"/>
      </w:r>
      <w:r w:rsidRPr="002E448B">
        <w:rPr>
          <w:rFonts w:asciiTheme="majorHAnsi" w:hAnsiTheme="majorHAnsi" w:cstheme="majorHAnsi"/>
          <w:b/>
        </w:rPr>
        <w:t>Part C</w:t>
      </w:r>
      <w:r w:rsidRPr="002E448B">
        <w:rPr>
          <w:rFonts w:asciiTheme="majorHAnsi" w:hAnsiTheme="majorHAnsi" w:cstheme="majorHAnsi"/>
          <w:b/>
        </w:rPr>
        <w:fldChar w:fldCharType="end"/>
      </w:r>
      <w:r w:rsidRPr="002E448B">
        <w:rPr>
          <w:rFonts w:asciiTheme="majorHAnsi" w:hAnsiTheme="majorHAnsi" w:cstheme="majorHAnsi"/>
          <w:b/>
        </w:rPr>
        <w:t xml:space="preserve"> [Project Description and Information Flows]</w:t>
      </w:r>
      <w:r w:rsidRPr="002E448B">
        <w:rPr>
          <w:rFonts w:asciiTheme="majorHAnsi" w:hAnsiTheme="majorHAnsi" w:cstheme="majorHAnsi"/>
        </w:rPr>
        <w:t xml:space="preserve"> of this PIA report. </w:t>
      </w:r>
    </w:p>
    <w:p w14:paraId="1D0BE94C" w14:textId="77777777" w:rsidR="00140B67" w:rsidRPr="002E448B" w:rsidRDefault="00140B67" w:rsidP="00140B67">
      <w:pPr>
        <w:rPr>
          <w:rFonts w:asciiTheme="majorHAnsi" w:hAnsiTheme="majorHAnsi" w:cstheme="majorHAnsi"/>
        </w:rPr>
      </w:pPr>
      <w:r w:rsidRPr="002E448B">
        <w:rPr>
          <w:rFonts w:asciiTheme="majorHAnsi" w:hAnsiTheme="majorHAnsi" w:cstheme="majorHAnsi"/>
        </w:rPr>
        <w:br w:type="page"/>
      </w:r>
    </w:p>
    <w:p w14:paraId="7E969654" w14:textId="77777777" w:rsidR="00140B67" w:rsidRPr="002E448B" w:rsidRDefault="00140B67" w:rsidP="00140B67">
      <w:pPr>
        <w:pStyle w:val="legalPart"/>
        <w:rPr>
          <w:rFonts w:asciiTheme="majorHAnsi" w:hAnsiTheme="majorHAnsi" w:cstheme="majorHAnsi"/>
        </w:rPr>
      </w:pPr>
      <w:bookmarkStart w:id="58" w:name="_Toc64657541"/>
      <w:r w:rsidRPr="002E448B">
        <w:rPr>
          <w:rFonts w:asciiTheme="majorHAnsi" w:hAnsiTheme="majorHAnsi" w:cstheme="majorHAnsi"/>
        </w:rPr>
        <w:t>PROJECT DESCRIPTION AND INFORMATION FLOWS</w:t>
      </w:r>
      <w:bookmarkEnd w:id="43"/>
      <w:bookmarkEnd w:id="44"/>
      <w:bookmarkEnd w:id="58"/>
    </w:p>
    <w:p w14:paraId="72120727" w14:textId="77777777" w:rsidR="00140B67" w:rsidRPr="002E448B" w:rsidRDefault="00140B67" w:rsidP="00140B67">
      <w:pPr>
        <w:pStyle w:val="Heading1"/>
        <w:numPr>
          <w:ilvl w:val="0"/>
          <w:numId w:val="2"/>
        </w:numPr>
        <w:pBdr>
          <w:top w:val="none" w:sz="0" w:space="0" w:color="auto"/>
        </w:pBdr>
        <w:rPr>
          <w:rFonts w:asciiTheme="majorHAnsi" w:hAnsiTheme="majorHAnsi" w:cstheme="majorHAnsi"/>
        </w:rPr>
      </w:pPr>
      <w:bookmarkStart w:id="59" w:name="_Toc64655039"/>
      <w:bookmarkStart w:id="60" w:name="_Toc64657542"/>
      <w:bookmarkEnd w:id="45"/>
      <w:r w:rsidRPr="002E448B">
        <w:rPr>
          <w:rFonts w:asciiTheme="majorHAnsi" w:hAnsiTheme="majorHAnsi" w:cstheme="majorHAnsi"/>
        </w:rPr>
        <w:t>Overview of the Vaccine Strategy</w:t>
      </w:r>
      <w:bookmarkEnd w:id="59"/>
      <w:bookmarkEnd w:id="60"/>
      <w:r w:rsidRPr="002E448B">
        <w:rPr>
          <w:rFonts w:asciiTheme="majorHAnsi" w:hAnsiTheme="majorHAnsi" w:cstheme="majorHAnsi"/>
        </w:rPr>
        <w:t xml:space="preserve"> </w:t>
      </w:r>
    </w:p>
    <w:p w14:paraId="38A96013" w14:textId="77777777" w:rsidR="00140B67" w:rsidRPr="002E448B" w:rsidRDefault="00140B67" w:rsidP="00140B67">
      <w:pPr>
        <w:pStyle w:val="Headingpara2"/>
        <w:numPr>
          <w:ilvl w:val="1"/>
          <w:numId w:val="2"/>
        </w:numPr>
        <w:rPr>
          <w:rFonts w:asciiTheme="majorHAnsi" w:hAnsiTheme="majorHAnsi" w:cstheme="majorHAnsi"/>
        </w:rPr>
      </w:pPr>
      <w:bookmarkStart w:id="61" w:name="_Ref38132346"/>
      <w:bookmarkStart w:id="62" w:name="_Toc38136534"/>
      <w:r w:rsidRPr="002E448B">
        <w:rPr>
          <w:rFonts w:asciiTheme="majorHAnsi" w:hAnsiTheme="majorHAnsi" w:cstheme="majorHAnsi"/>
        </w:rPr>
        <w:t xml:space="preserve">As discussed in </w:t>
      </w:r>
      <w:r w:rsidRPr="002E448B">
        <w:rPr>
          <w:rFonts w:asciiTheme="majorHAnsi" w:hAnsiTheme="majorHAnsi" w:cstheme="majorHAnsi"/>
          <w:b/>
          <w:bCs/>
        </w:rPr>
        <w:fldChar w:fldCharType="begin" w:fldLock="1"/>
      </w:r>
      <w:r w:rsidRPr="002E448B">
        <w:rPr>
          <w:rFonts w:asciiTheme="majorHAnsi" w:hAnsiTheme="majorHAnsi" w:cstheme="majorHAnsi"/>
          <w:b/>
          <w:bCs/>
        </w:rPr>
        <w:instrText xml:space="preserve"> REF _Ref59399100 \r \h  \* MERGEFORMAT </w:instrText>
      </w:r>
      <w:r w:rsidRPr="002E448B">
        <w:rPr>
          <w:rFonts w:asciiTheme="majorHAnsi" w:hAnsiTheme="majorHAnsi" w:cstheme="majorHAnsi"/>
          <w:b/>
          <w:bCs/>
        </w:rPr>
      </w:r>
      <w:r w:rsidRPr="002E448B">
        <w:rPr>
          <w:rFonts w:asciiTheme="majorHAnsi" w:hAnsiTheme="majorHAnsi" w:cstheme="majorHAnsi"/>
          <w:b/>
          <w:bCs/>
        </w:rPr>
        <w:fldChar w:fldCharType="separate"/>
      </w:r>
      <w:r w:rsidRPr="002E448B">
        <w:rPr>
          <w:rFonts w:asciiTheme="majorHAnsi" w:hAnsiTheme="majorHAnsi" w:cstheme="majorHAnsi"/>
          <w:b/>
          <w:bCs/>
        </w:rPr>
        <w:t>Part A</w:t>
      </w:r>
      <w:r w:rsidRPr="002E448B">
        <w:rPr>
          <w:rFonts w:asciiTheme="majorHAnsi" w:hAnsiTheme="majorHAnsi" w:cstheme="majorHAnsi"/>
          <w:b/>
          <w:bCs/>
        </w:rPr>
        <w:fldChar w:fldCharType="end"/>
      </w:r>
      <w:r w:rsidRPr="002E448B">
        <w:rPr>
          <w:rFonts w:asciiTheme="majorHAnsi" w:hAnsiTheme="majorHAnsi" w:cstheme="majorHAnsi"/>
          <w:b/>
          <w:bCs/>
        </w:rPr>
        <w:t xml:space="preserve"> [Executive Summary]</w:t>
      </w:r>
      <w:r w:rsidRPr="002E448B">
        <w:rPr>
          <w:rFonts w:asciiTheme="majorHAnsi" w:hAnsiTheme="majorHAnsi" w:cstheme="majorHAnsi"/>
        </w:rPr>
        <w:t>, as part of the Australian Government’s response to the COVID-19 pandemic, Health is implementing the Vaccine Strategy. The Vaccine Strategy aims to support access to, and delivery of, safe and effective COVID-19 vaccines and treatments for all Australians, as soon as they are available. Health has engaged organisations to provide services in order to assist it with the implementation of the Vaccine Strategy, including:</w:t>
      </w:r>
    </w:p>
    <w:p w14:paraId="54D78AF3" w14:textId="77777777" w:rsidR="00140B67" w:rsidRPr="002E448B" w:rsidRDefault="00140B67" w:rsidP="00140B67">
      <w:pPr>
        <w:pStyle w:val="Heading3"/>
        <w:numPr>
          <w:ilvl w:val="2"/>
          <w:numId w:val="2"/>
        </w:numPr>
        <w:rPr>
          <w:rFonts w:asciiTheme="majorHAnsi" w:hAnsiTheme="majorHAnsi" w:cstheme="majorHAnsi"/>
        </w:rPr>
      </w:pPr>
      <w:r w:rsidRPr="002E448B">
        <w:rPr>
          <w:rFonts w:asciiTheme="majorHAnsi" w:hAnsiTheme="majorHAnsi" w:cstheme="majorHAnsi"/>
        </w:rPr>
        <w:t xml:space="preserve">a </w:t>
      </w:r>
      <w:r w:rsidRPr="002E448B">
        <w:rPr>
          <w:rFonts w:asciiTheme="majorHAnsi" w:hAnsiTheme="majorHAnsi" w:cstheme="majorHAnsi"/>
          <w:b/>
          <w:bCs/>
        </w:rPr>
        <w:t>Strategy Partner</w:t>
      </w:r>
      <w:r w:rsidRPr="002E448B">
        <w:rPr>
          <w:rFonts w:asciiTheme="majorHAnsi" w:hAnsiTheme="majorHAnsi" w:cstheme="majorHAnsi"/>
        </w:rPr>
        <w:t>, who will assist Health by undertaking program management and support services, including contract management, risk identification and mitigation, and stakeholder engagement, in relation to the planning, implementation and rollout of a national COVID-19 vaccination program;</w:t>
      </w:r>
    </w:p>
    <w:p w14:paraId="6BFA6225" w14:textId="77777777" w:rsidR="00140B67" w:rsidRPr="002E448B" w:rsidRDefault="00140B67" w:rsidP="00140B67">
      <w:pPr>
        <w:pStyle w:val="Heading3"/>
        <w:numPr>
          <w:ilvl w:val="2"/>
          <w:numId w:val="2"/>
        </w:numPr>
        <w:rPr>
          <w:rFonts w:asciiTheme="majorHAnsi" w:hAnsiTheme="majorHAnsi" w:cstheme="majorHAnsi"/>
        </w:rPr>
      </w:pPr>
      <w:r w:rsidRPr="002E448B">
        <w:rPr>
          <w:rFonts w:asciiTheme="majorHAnsi" w:hAnsiTheme="majorHAnsi" w:cstheme="majorHAnsi"/>
        </w:rPr>
        <w:t xml:space="preserve">one or more </w:t>
      </w:r>
      <w:r w:rsidRPr="002E448B">
        <w:rPr>
          <w:rFonts w:asciiTheme="majorHAnsi" w:hAnsiTheme="majorHAnsi" w:cstheme="majorHAnsi"/>
          <w:b/>
          <w:bCs/>
        </w:rPr>
        <w:t>Logistics and Distribution Partners</w:t>
      </w:r>
      <w:r w:rsidRPr="002E448B">
        <w:rPr>
          <w:rFonts w:asciiTheme="majorHAnsi" w:hAnsiTheme="majorHAnsi" w:cstheme="majorHAnsi"/>
        </w:rPr>
        <w:t xml:space="preserve">, who will assist Health by co-designing, establishing and operating a logistics and distribution network for COVID-19 vaccines, including provision of associated consumables (e.g. needles, syringes, personal protective equipment), over the life of the national COVID-19 vaccination program, and who will be responsible for the distribution of the </w:t>
      </w:r>
      <w:r w:rsidRPr="002E448B">
        <w:rPr>
          <w:rFonts w:asciiTheme="majorHAnsi" w:hAnsiTheme="majorHAnsi" w:cstheme="majorHAnsi"/>
        </w:rPr>
        <w:br/>
        <w:t xml:space="preserve">COVID-19 vaccines in connection with Phase 1a of the Vaccine Strategy;  </w:t>
      </w:r>
    </w:p>
    <w:p w14:paraId="7F94056C"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a</w:t>
      </w:r>
      <w:proofErr w:type="gramEnd"/>
      <w:r w:rsidRPr="002E448B">
        <w:rPr>
          <w:rFonts w:asciiTheme="majorHAnsi" w:hAnsiTheme="majorHAnsi" w:cstheme="majorHAnsi"/>
          <w:b/>
          <w:bCs/>
        </w:rPr>
        <w:t xml:space="preserve"> Data Partner</w:t>
      </w:r>
      <w:r w:rsidRPr="002E448B">
        <w:rPr>
          <w:rFonts w:asciiTheme="majorHAnsi" w:hAnsiTheme="majorHAnsi" w:cstheme="majorHAnsi"/>
        </w:rPr>
        <w:t xml:space="preserve">, who will assist Health by designing, developing and implementing a data solution (to be known as the </w:t>
      </w:r>
      <w:r w:rsidRPr="002E448B">
        <w:rPr>
          <w:rFonts w:asciiTheme="majorHAnsi" w:hAnsiTheme="majorHAnsi" w:cstheme="majorHAnsi"/>
          <w:b/>
          <w:bCs/>
        </w:rPr>
        <w:t xml:space="preserve">Vaccines Data Solution </w:t>
      </w:r>
      <w:r w:rsidRPr="002E448B">
        <w:rPr>
          <w:rFonts w:asciiTheme="majorHAnsi" w:hAnsiTheme="majorHAnsi" w:cstheme="majorHAnsi"/>
        </w:rPr>
        <w:t>or</w:t>
      </w:r>
      <w:r w:rsidRPr="002E448B">
        <w:rPr>
          <w:rFonts w:asciiTheme="majorHAnsi" w:hAnsiTheme="majorHAnsi" w:cstheme="majorHAnsi"/>
          <w:b/>
          <w:bCs/>
        </w:rPr>
        <w:t xml:space="preserve"> VDS</w:t>
      </w:r>
      <w:r w:rsidRPr="002E448B">
        <w:rPr>
          <w:rFonts w:asciiTheme="majorHAnsi" w:hAnsiTheme="majorHAnsi" w:cstheme="majorHAnsi"/>
        </w:rPr>
        <w:t>) to enable the tracking and reporting of COVID-19 vaccines across the vaccination delivery chain, over the life of the national COVID</w:t>
      </w:r>
      <w:r w:rsidRPr="002E448B">
        <w:rPr>
          <w:rFonts w:asciiTheme="majorHAnsi" w:hAnsiTheme="majorHAnsi" w:cstheme="majorHAnsi"/>
        </w:rPr>
        <w:noBreakHyphen/>
        <w:t>19 vaccination program;</w:t>
      </w:r>
    </w:p>
    <w:p w14:paraId="6CA0F44C" w14:textId="77777777" w:rsidR="00140B67" w:rsidRPr="002E448B" w:rsidRDefault="00140B67" w:rsidP="00140B67">
      <w:pPr>
        <w:pStyle w:val="Heading3"/>
        <w:numPr>
          <w:ilvl w:val="2"/>
          <w:numId w:val="2"/>
        </w:numPr>
        <w:rPr>
          <w:rFonts w:asciiTheme="majorHAnsi" w:hAnsiTheme="majorHAnsi" w:cstheme="majorHAnsi"/>
        </w:rPr>
      </w:pPr>
      <w:r w:rsidRPr="002E448B">
        <w:rPr>
          <w:rFonts w:asciiTheme="majorHAnsi" w:hAnsiTheme="majorHAnsi" w:cstheme="majorHAnsi"/>
        </w:rPr>
        <w:t xml:space="preserve">one or more </w:t>
      </w:r>
      <w:r w:rsidRPr="002E448B">
        <w:rPr>
          <w:rFonts w:asciiTheme="majorHAnsi" w:hAnsiTheme="majorHAnsi" w:cstheme="majorHAnsi"/>
          <w:b/>
          <w:bCs/>
        </w:rPr>
        <w:t>Vaccine Administrators</w:t>
      </w:r>
      <w:r w:rsidRPr="002E448B">
        <w:rPr>
          <w:rFonts w:asciiTheme="majorHAnsi" w:hAnsiTheme="majorHAnsi" w:cstheme="majorHAnsi"/>
        </w:rPr>
        <w:t>, who will provide services to administer the delivery of the COVID</w:t>
      </w:r>
      <w:r w:rsidRPr="002E448B">
        <w:rPr>
          <w:rFonts w:asciiTheme="majorHAnsi" w:hAnsiTheme="majorHAnsi" w:cstheme="majorHAnsi"/>
        </w:rPr>
        <w:noBreakHyphen/>
        <w:t>19 vaccines on an “as-needed” basis to supplement delivery of the vaccines by other entities, including to particular priority and other vulnerable or hard to reach populations or communities, or in other circumstances where an additional workforce is required; and</w:t>
      </w:r>
    </w:p>
    <w:p w14:paraId="75C8EF62"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a</w:t>
      </w:r>
      <w:proofErr w:type="gramEnd"/>
      <w:r w:rsidRPr="002E448B">
        <w:rPr>
          <w:rFonts w:asciiTheme="majorHAnsi" w:hAnsiTheme="majorHAnsi" w:cstheme="majorHAnsi"/>
        </w:rPr>
        <w:t xml:space="preserve"> </w:t>
      </w:r>
      <w:r w:rsidRPr="002E448B">
        <w:rPr>
          <w:rFonts w:asciiTheme="majorHAnsi" w:hAnsiTheme="majorHAnsi" w:cstheme="majorHAnsi"/>
          <w:b/>
          <w:bCs/>
        </w:rPr>
        <w:t>Training Partner</w:t>
      </w:r>
      <w:r w:rsidRPr="002E448B">
        <w:rPr>
          <w:rFonts w:asciiTheme="majorHAnsi" w:hAnsiTheme="majorHAnsi" w:cstheme="majorHAnsi"/>
        </w:rPr>
        <w:t>, who will deliver training to various entities and individuals involved implementing the Vaccine Strategy,</w:t>
      </w:r>
    </w:p>
    <w:p w14:paraId="38947278" w14:textId="77777777" w:rsidR="00140B67" w:rsidRPr="002E448B" w:rsidRDefault="00140B67" w:rsidP="00140B67">
      <w:pPr>
        <w:pStyle w:val="BodyIndent1"/>
        <w:rPr>
          <w:rFonts w:asciiTheme="majorHAnsi" w:hAnsiTheme="majorHAnsi" w:cstheme="majorHAnsi"/>
        </w:rPr>
      </w:pPr>
      <w:r w:rsidRPr="002E448B">
        <w:rPr>
          <w:rFonts w:asciiTheme="majorHAnsi" w:hAnsiTheme="majorHAnsi" w:cstheme="majorHAnsi"/>
        </w:rPr>
        <w:t>(</w:t>
      </w:r>
      <w:proofErr w:type="gramStart"/>
      <w:r w:rsidRPr="002E448B">
        <w:rPr>
          <w:rFonts w:asciiTheme="majorHAnsi" w:hAnsiTheme="majorHAnsi" w:cstheme="majorHAnsi"/>
        </w:rPr>
        <w:t>collectively</w:t>
      </w:r>
      <w:proofErr w:type="gramEnd"/>
      <w:r w:rsidRPr="002E448B">
        <w:rPr>
          <w:rFonts w:asciiTheme="majorHAnsi" w:hAnsiTheme="majorHAnsi" w:cstheme="majorHAnsi"/>
        </w:rPr>
        <w:t xml:space="preserve">, the </w:t>
      </w:r>
      <w:r w:rsidRPr="002E448B">
        <w:rPr>
          <w:rFonts w:asciiTheme="majorHAnsi" w:hAnsiTheme="majorHAnsi" w:cstheme="majorHAnsi"/>
          <w:b/>
          <w:bCs/>
        </w:rPr>
        <w:t>Partners</w:t>
      </w:r>
      <w:r w:rsidRPr="002E448B">
        <w:rPr>
          <w:rFonts w:asciiTheme="majorHAnsi" w:hAnsiTheme="majorHAnsi" w:cstheme="majorHAnsi"/>
        </w:rPr>
        <w:t>).</w:t>
      </w:r>
    </w:p>
    <w:p w14:paraId="31F846C7" w14:textId="77777777" w:rsidR="00140B67" w:rsidRPr="002E448B" w:rsidRDefault="00140B67" w:rsidP="00140B67">
      <w:pPr>
        <w:pStyle w:val="Headingpara2"/>
        <w:numPr>
          <w:ilvl w:val="1"/>
          <w:numId w:val="2"/>
        </w:numPr>
        <w:rPr>
          <w:rFonts w:asciiTheme="majorHAnsi" w:hAnsiTheme="majorHAnsi" w:cstheme="majorHAnsi"/>
        </w:rPr>
      </w:pPr>
      <w:r w:rsidRPr="002E448B">
        <w:rPr>
          <w:rFonts w:asciiTheme="majorHAnsi" w:hAnsiTheme="majorHAnsi" w:cstheme="majorHAnsi"/>
        </w:rPr>
        <w:t>The contractual arrangements with some Partners (</w:t>
      </w:r>
      <w:r w:rsidRPr="002E448B">
        <w:rPr>
          <w:rFonts w:asciiTheme="majorHAnsi" w:hAnsiTheme="majorHAnsi" w:cstheme="majorHAnsi"/>
          <w:b/>
          <w:bCs/>
        </w:rPr>
        <w:t>Partner Contracts</w:t>
      </w:r>
      <w:r w:rsidRPr="002E448B">
        <w:rPr>
          <w:rFonts w:asciiTheme="majorHAnsi" w:hAnsiTheme="majorHAnsi" w:cstheme="majorHAnsi"/>
        </w:rPr>
        <w:t>), involve a period of co</w:t>
      </w:r>
      <w:r w:rsidRPr="002E448B">
        <w:rPr>
          <w:rFonts w:asciiTheme="majorHAnsi" w:hAnsiTheme="majorHAnsi" w:cstheme="majorHAnsi"/>
        </w:rPr>
        <w:noBreakHyphen/>
        <w:t xml:space="preserve">design, during which Health will work with some or all of the Partners (and other stakeholders) to workshop and further develop and refine the details of the implementation of the Vaccine Strategy, the national COVID-19 vaccination program, and the services that each Partner will provide to Health.  </w:t>
      </w:r>
    </w:p>
    <w:p w14:paraId="1CC00A53" w14:textId="77777777" w:rsidR="00140B67" w:rsidRPr="002E448B" w:rsidRDefault="00140B67" w:rsidP="00140B67">
      <w:pPr>
        <w:pStyle w:val="Headingpara2"/>
        <w:numPr>
          <w:ilvl w:val="1"/>
          <w:numId w:val="2"/>
        </w:numPr>
        <w:rPr>
          <w:rFonts w:asciiTheme="majorHAnsi" w:hAnsiTheme="majorHAnsi" w:cstheme="majorHAnsi"/>
        </w:rPr>
      </w:pPr>
      <w:r w:rsidRPr="002E448B">
        <w:rPr>
          <w:rFonts w:asciiTheme="majorHAnsi" w:hAnsiTheme="majorHAnsi" w:cstheme="majorHAnsi"/>
        </w:rPr>
        <w:t>This means that this Project Description is necessarily at a high level, as some of the specific details are being developed in parallel with this PIA process. Nevertheless, we have set out below our understanding of how the Vaccine Strategy is currently intended to operate (noting that some details may change during the initial period of implementation with Partners (including during any co-design activities)).</w:t>
      </w:r>
    </w:p>
    <w:p w14:paraId="0E58D751" w14:textId="77777777" w:rsidR="00140B67" w:rsidRPr="002E448B" w:rsidRDefault="00140B67" w:rsidP="00140B67">
      <w:pPr>
        <w:pStyle w:val="Heading1"/>
        <w:numPr>
          <w:ilvl w:val="0"/>
          <w:numId w:val="2"/>
        </w:numPr>
        <w:rPr>
          <w:rFonts w:asciiTheme="majorHAnsi" w:hAnsiTheme="majorHAnsi" w:cstheme="majorHAnsi"/>
        </w:rPr>
      </w:pPr>
      <w:bookmarkStart w:id="63" w:name="_Ref58863352"/>
      <w:bookmarkStart w:id="64" w:name="_Toc64655040"/>
      <w:bookmarkStart w:id="65" w:name="_Toc64657543"/>
      <w:bookmarkEnd w:id="61"/>
      <w:bookmarkEnd w:id="62"/>
      <w:r w:rsidRPr="002E448B">
        <w:rPr>
          <w:rFonts w:asciiTheme="majorHAnsi" w:hAnsiTheme="majorHAnsi" w:cstheme="majorHAnsi"/>
        </w:rPr>
        <w:t>How will Phase 1a of the Vaccine Strategy work?</w:t>
      </w:r>
      <w:bookmarkEnd w:id="63"/>
      <w:bookmarkEnd w:id="64"/>
      <w:bookmarkEnd w:id="65"/>
    </w:p>
    <w:p w14:paraId="0148E4A5" w14:textId="77777777" w:rsidR="00140B67" w:rsidRPr="002E448B" w:rsidRDefault="00140B67" w:rsidP="00140B67">
      <w:pPr>
        <w:pStyle w:val="Headingpara2"/>
        <w:keepNext/>
        <w:numPr>
          <w:ilvl w:val="1"/>
          <w:numId w:val="2"/>
        </w:numPr>
        <w:rPr>
          <w:rFonts w:asciiTheme="majorHAnsi" w:hAnsiTheme="majorHAnsi" w:cstheme="majorHAnsi"/>
        </w:rPr>
      </w:pPr>
      <w:r w:rsidRPr="002E448B">
        <w:rPr>
          <w:rFonts w:asciiTheme="majorHAnsi" w:hAnsiTheme="majorHAnsi" w:cstheme="majorHAnsi"/>
        </w:rPr>
        <w:t xml:space="preserve">We have categorised the various interactions associated with the operation of Phase 1a of the Vaccine Strategy into the following high level Information Flows. </w:t>
      </w:r>
    </w:p>
    <w:p w14:paraId="6478337B" w14:textId="77777777" w:rsidR="00140B67" w:rsidRPr="002E448B" w:rsidRDefault="00140B67" w:rsidP="00140B67">
      <w:pPr>
        <w:pStyle w:val="BodyIndent1"/>
        <w:keepNext/>
        <w:keepLines/>
        <w:ind w:left="1701" w:hanging="850"/>
        <w:rPr>
          <w:rFonts w:asciiTheme="majorHAnsi" w:hAnsiTheme="majorHAnsi" w:cstheme="majorHAnsi"/>
          <w:b/>
          <w:i/>
        </w:rPr>
      </w:pPr>
      <w:bookmarkStart w:id="66" w:name="_Hlk64382254"/>
      <w:r w:rsidRPr="002E448B">
        <w:rPr>
          <w:rFonts w:asciiTheme="majorHAnsi" w:hAnsiTheme="majorHAnsi" w:cstheme="majorHAnsi"/>
          <w:b/>
          <w:i/>
        </w:rPr>
        <w:t xml:space="preserve">Flow 1: </w:t>
      </w:r>
      <w:r w:rsidRPr="002E448B">
        <w:rPr>
          <w:rFonts w:asciiTheme="majorHAnsi" w:hAnsiTheme="majorHAnsi" w:cstheme="majorHAnsi"/>
          <w:b/>
          <w:i/>
        </w:rPr>
        <w:tab/>
        <w:t>Doses and vials of vaccine are received by Logistics and Distribution Partner for distribution</w:t>
      </w:r>
    </w:p>
    <w:p w14:paraId="725BCF99" w14:textId="77777777" w:rsidR="00140B67" w:rsidRPr="002E448B" w:rsidRDefault="00140B67" w:rsidP="00140B67">
      <w:pPr>
        <w:pStyle w:val="Headingpara2"/>
        <w:keepNext/>
        <w:keepLines/>
        <w:numPr>
          <w:ilvl w:val="1"/>
          <w:numId w:val="2"/>
        </w:numPr>
        <w:rPr>
          <w:rFonts w:asciiTheme="majorHAnsi" w:hAnsiTheme="majorHAnsi" w:cstheme="majorHAnsi"/>
        </w:rPr>
      </w:pPr>
      <w:bookmarkStart w:id="67" w:name="_Hlk63938508"/>
      <w:bookmarkStart w:id="68" w:name="_Hlk48566668"/>
      <w:r w:rsidRPr="002E448B">
        <w:rPr>
          <w:rFonts w:asciiTheme="majorHAnsi" w:hAnsiTheme="majorHAnsi" w:cstheme="majorHAnsi"/>
          <w:color w:val="000000"/>
        </w:rPr>
        <w:t xml:space="preserve">The Commonwealth has entered into agreements with Pfizer Australia Pty Ltd and with AstraZeneca Pty Ltd (together, the </w:t>
      </w:r>
      <w:r w:rsidRPr="002E448B">
        <w:rPr>
          <w:rFonts w:asciiTheme="majorHAnsi" w:hAnsiTheme="majorHAnsi" w:cstheme="majorHAnsi"/>
          <w:b/>
          <w:bCs/>
          <w:color w:val="000000"/>
        </w:rPr>
        <w:t>Suppliers</w:t>
      </w:r>
      <w:r w:rsidRPr="002E448B">
        <w:rPr>
          <w:rFonts w:asciiTheme="majorHAnsi" w:hAnsiTheme="majorHAnsi" w:cstheme="majorHAnsi"/>
          <w:color w:val="000000"/>
        </w:rPr>
        <w:t>), for the supply of COVID-19 vaccines (</w:t>
      </w:r>
      <w:r w:rsidRPr="002E448B">
        <w:rPr>
          <w:rFonts w:asciiTheme="majorHAnsi" w:hAnsiTheme="majorHAnsi" w:cstheme="majorHAnsi"/>
          <w:b/>
          <w:bCs/>
          <w:color w:val="000000"/>
        </w:rPr>
        <w:t>Supply Agreements</w:t>
      </w:r>
      <w:r w:rsidRPr="002E448B">
        <w:rPr>
          <w:rFonts w:asciiTheme="majorHAnsi" w:hAnsiTheme="majorHAnsi" w:cstheme="majorHAnsi"/>
          <w:color w:val="000000"/>
        </w:rPr>
        <w:t>)</w:t>
      </w:r>
      <w:r w:rsidRPr="002E448B">
        <w:rPr>
          <w:rStyle w:val="FootnoteReference"/>
          <w:rFonts w:asciiTheme="majorHAnsi" w:hAnsiTheme="majorHAnsi" w:cstheme="majorHAnsi"/>
          <w:color w:val="000000"/>
        </w:rPr>
        <w:footnoteReference w:id="5"/>
      </w:r>
      <w:r w:rsidRPr="002E448B">
        <w:rPr>
          <w:rFonts w:asciiTheme="majorHAnsi" w:hAnsiTheme="majorHAnsi" w:cstheme="majorHAnsi"/>
          <w:color w:val="000000"/>
        </w:rPr>
        <w:t xml:space="preserve">. </w:t>
      </w:r>
    </w:p>
    <w:p w14:paraId="473804B0" w14:textId="77777777" w:rsidR="00140B67" w:rsidRPr="002E448B" w:rsidRDefault="00140B67" w:rsidP="00140B67">
      <w:pPr>
        <w:pStyle w:val="Headingpara2"/>
        <w:keepNext/>
        <w:keepLines/>
        <w:numPr>
          <w:ilvl w:val="1"/>
          <w:numId w:val="2"/>
        </w:numPr>
        <w:rPr>
          <w:rFonts w:asciiTheme="majorHAnsi" w:hAnsiTheme="majorHAnsi" w:cstheme="majorHAnsi"/>
        </w:rPr>
      </w:pPr>
      <w:bookmarkStart w:id="69" w:name="_Ref63955133"/>
      <w:r w:rsidRPr="002E448B">
        <w:rPr>
          <w:rFonts w:asciiTheme="majorHAnsi" w:hAnsiTheme="majorHAnsi" w:cstheme="majorHAnsi"/>
          <w:color w:val="000000"/>
        </w:rPr>
        <w:t>Oversight of dose stock levels, dose allocation, and coordination of movement and tracking of doses will be managed by the Australian Government (including through the Logistics and Distribution Partners), in consultation with States and Territories. Health may use its existing Vaccine Administration System (</w:t>
      </w:r>
      <w:r w:rsidRPr="002E448B">
        <w:rPr>
          <w:rFonts w:asciiTheme="majorHAnsi" w:hAnsiTheme="majorHAnsi" w:cstheme="majorHAnsi"/>
          <w:b/>
          <w:bCs/>
          <w:color w:val="000000"/>
        </w:rPr>
        <w:t>VAS</w:t>
      </w:r>
      <w:r w:rsidRPr="002E448B">
        <w:rPr>
          <w:rFonts w:asciiTheme="majorHAnsi" w:hAnsiTheme="majorHAnsi" w:cstheme="majorHAnsi"/>
          <w:color w:val="000000"/>
        </w:rPr>
        <w:t>) to assist with these processes.</w:t>
      </w:r>
      <w:r w:rsidRPr="002E448B">
        <w:rPr>
          <w:rStyle w:val="FootnoteReference"/>
          <w:rFonts w:asciiTheme="majorHAnsi" w:hAnsiTheme="majorHAnsi" w:cstheme="majorHAnsi"/>
          <w:color w:val="000000"/>
        </w:rPr>
        <w:footnoteReference w:id="6"/>
      </w:r>
      <w:bookmarkEnd w:id="69"/>
    </w:p>
    <w:p w14:paraId="4B18A130" w14:textId="77777777" w:rsidR="00140B67" w:rsidRPr="002E448B" w:rsidRDefault="00140B67" w:rsidP="00140B67">
      <w:pPr>
        <w:pStyle w:val="Headingpara2"/>
        <w:numPr>
          <w:ilvl w:val="1"/>
          <w:numId w:val="2"/>
        </w:numPr>
        <w:rPr>
          <w:rFonts w:asciiTheme="majorHAnsi" w:hAnsiTheme="majorHAnsi" w:cstheme="majorHAnsi"/>
        </w:rPr>
      </w:pPr>
      <w:bookmarkStart w:id="70" w:name="_Ref62652464"/>
      <w:r w:rsidRPr="002E448B">
        <w:rPr>
          <w:rFonts w:asciiTheme="majorHAnsi" w:hAnsiTheme="majorHAnsi" w:cstheme="majorHAnsi"/>
        </w:rPr>
        <w:t xml:space="preserve">We understand that the Supplier may deliver the vaccines to the Logistics and Distribution Partner, or the Logistics and Distribution Partner may be required to collect the vaccines from the Supplier. </w:t>
      </w:r>
    </w:p>
    <w:p w14:paraId="0AEC92B2" w14:textId="77777777" w:rsidR="00140B67" w:rsidRPr="002E448B" w:rsidRDefault="00140B67" w:rsidP="00140B67">
      <w:pPr>
        <w:pStyle w:val="Headingpara2"/>
        <w:numPr>
          <w:ilvl w:val="1"/>
          <w:numId w:val="2"/>
        </w:numPr>
        <w:rPr>
          <w:rFonts w:asciiTheme="majorHAnsi" w:hAnsiTheme="majorHAnsi" w:cstheme="majorHAnsi"/>
        </w:rPr>
      </w:pPr>
      <w:r w:rsidRPr="002E448B">
        <w:rPr>
          <w:rFonts w:asciiTheme="majorHAnsi" w:hAnsiTheme="majorHAnsi" w:cstheme="majorHAnsi"/>
        </w:rPr>
        <w:t>This involves the following potential collections of personal information, being contact details to facilitate the delivery of the vaccines:</w:t>
      </w:r>
    </w:p>
    <w:p w14:paraId="30C46B7D"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the</w:t>
      </w:r>
      <w:proofErr w:type="gramEnd"/>
      <w:r w:rsidRPr="002E448B">
        <w:rPr>
          <w:rFonts w:asciiTheme="majorHAnsi" w:hAnsiTheme="majorHAnsi" w:cstheme="majorHAnsi"/>
        </w:rPr>
        <w:t xml:space="preserve"> Supplier may collect personal information about Logistics and Distribution Partner’s personnel from Health; and</w:t>
      </w:r>
    </w:p>
    <w:p w14:paraId="7A5C766B"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the</w:t>
      </w:r>
      <w:proofErr w:type="gramEnd"/>
      <w:r w:rsidRPr="002E448B">
        <w:rPr>
          <w:rFonts w:asciiTheme="majorHAnsi" w:hAnsiTheme="majorHAnsi" w:cstheme="majorHAnsi"/>
        </w:rPr>
        <w:t xml:space="preserve"> Logistics and Distribution Partner may collect personal information about the Supplier’s personnel, potentially from Health. </w:t>
      </w:r>
    </w:p>
    <w:p w14:paraId="4837E92C" w14:textId="77777777" w:rsidR="00140B67" w:rsidRPr="002E448B" w:rsidRDefault="00140B67" w:rsidP="00140B67">
      <w:pPr>
        <w:pStyle w:val="Headingpara2"/>
        <w:keepLines/>
        <w:numPr>
          <w:ilvl w:val="1"/>
          <w:numId w:val="2"/>
        </w:numPr>
        <w:rPr>
          <w:rFonts w:asciiTheme="majorHAnsi" w:hAnsiTheme="majorHAnsi" w:cstheme="majorHAnsi"/>
        </w:rPr>
      </w:pPr>
      <w:r w:rsidRPr="002E448B">
        <w:rPr>
          <w:rFonts w:asciiTheme="majorHAnsi" w:hAnsiTheme="majorHAnsi" w:cstheme="majorHAnsi"/>
        </w:rPr>
        <w:t xml:space="preserve">The Logistics and Distribution Partner will be required to track and report on the location and ‘cold chain compliance’ of all doses in the distribution network at all times, including monitoring of stock levels of vaccines and consumables across the various sites. Information about these supply-chain matters will be provided to Health daily and on-demand, and may also be required to be provided to other Australian Government and/or State or Territory reporting systems. </w:t>
      </w:r>
    </w:p>
    <w:bookmarkEnd w:id="67"/>
    <w:bookmarkEnd w:id="70"/>
    <w:p w14:paraId="23F91208" w14:textId="77777777" w:rsidR="00140B67" w:rsidRPr="002E448B" w:rsidRDefault="00140B67" w:rsidP="00140B67">
      <w:pPr>
        <w:pStyle w:val="Headingpara2"/>
        <w:numPr>
          <w:ilvl w:val="1"/>
          <w:numId w:val="2"/>
        </w:numPr>
        <w:rPr>
          <w:rFonts w:asciiTheme="majorHAnsi" w:hAnsiTheme="majorHAnsi" w:cstheme="majorHAnsi"/>
        </w:rPr>
      </w:pPr>
      <w:r w:rsidRPr="002E448B">
        <w:rPr>
          <w:rFonts w:asciiTheme="majorHAnsi" w:hAnsiTheme="majorHAnsi" w:cstheme="majorHAnsi"/>
        </w:rPr>
        <w:t>We understand that the Supplier and the Logistics and Distribution Partner may also input information received about the doses and vials (including the intended or actual delivery of these doses and vials) into their own internal ICT systems.</w:t>
      </w:r>
      <w:r w:rsidRPr="002E448B">
        <w:rPr>
          <w:rStyle w:val="FootnoteReference"/>
          <w:rFonts w:asciiTheme="majorHAnsi" w:hAnsiTheme="majorHAnsi" w:cstheme="majorHAnsi"/>
        </w:rPr>
        <w:footnoteReference w:id="7"/>
      </w:r>
      <w:bookmarkEnd w:id="66"/>
    </w:p>
    <w:bookmarkEnd w:id="68"/>
    <w:p w14:paraId="2535769A" w14:textId="77777777" w:rsidR="00140B67" w:rsidRPr="002E448B" w:rsidRDefault="00140B67" w:rsidP="00140B67">
      <w:pPr>
        <w:pStyle w:val="BodyIndent1"/>
        <w:keepNext/>
        <w:keepLines/>
        <w:ind w:left="1701" w:hanging="850"/>
        <w:rPr>
          <w:rFonts w:asciiTheme="majorHAnsi" w:hAnsiTheme="majorHAnsi" w:cstheme="majorHAnsi"/>
          <w:b/>
          <w:i/>
        </w:rPr>
      </w:pPr>
      <w:r w:rsidRPr="002E448B">
        <w:rPr>
          <w:rFonts w:asciiTheme="majorHAnsi" w:hAnsiTheme="majorHAnsi" w:cstheme="majorHAnsi"/>
          <w:b/>
          <w:i/>
        </w:rPr>
        <w:t>Flow 2:</w:t>
      </w:r>
      <w:r w:rsidRPr="002E448B">
        <w:rPr>
          <w:rFonts w:asciiTheme="majorHAnsi" w:hAnsiTheme="majorHAnsi" w:cstheme="majorHAnsi"/>
          <w:b/>
          <w:i/>
        </w:rPr>
        <w:tab/>
        <w:t>Vials and doses delivered to Vaccine Provider</w:t>
      </w:r>
    </w:p>
    <w:p w14:paraId="0F13C68B" w14:textId="77777777" w:rsidR="00140B67" w:rsidRPr="002E448B" w:rsidRDefault="00140B67" w:rsidP="00140B67">
      <w:pPr>
        <w:pStyle w:val="Headingpara2"/>
        <w:numPr>
          <w:ilvl w:val="1"/>
          <w:numId w:val="2"/>
        </w:numPr>
        <w:rPr>
          <w:rFonts w:asciiTheme="majorHAnsi" w:hAnsiTheme="majorHAnsi" w:cstheme="majorHAnsi"/>
        </w:rPr>
      </w:pPr>
      <w:r w:rsidRPr="002E448B">
        <w:rPr>
          <w:rFonts w:asciiTheme="majorHAnsi" w:hAnsiTheme="majorHAnsi" w:cstheme="majorHAnsi"/>
        </w:rPr>
        <w:t xml:space="preserve">After receiving the doses and vials, the Logistics and Distribution Partner may deliver the vaccines directly to the destination to which the doses and vials are to be administered (operated by a </w:t>
      </w:r>
      <w:r w:rsidRPr="002E448B">
        <w:rPr>
          <w:rFonts w:asciiTheme="majorHAnsi" w:hAnsiTheme="majorHAnsi" w:cstheme="majorHAnsi"/>
          <w:b/>
          <w:bCs/>
        </w:rPr>
        <w:t>Vaccine Provider</w:t>
      </w:r>
      <w:r w:rsidRPr="002E448B">
        <w:rPr>
          <w:rStyle w:val="FootnoteReference"/>
          <w:rFonts w:asciiTheme="majorHAnsi" w:hAnsiTheme="majorHAnsi" w:cstheme="majorHAnsi"/>
          <w:b/>
          <w:bCs/>
        </w:rPr>
        <w:footnoteReference w:id="8"/>
      </w:r>
      <w:r w:rsidRPr="002E448B">
        <w:rPr>
          <w:rFonts w:asciiTheme="majorHAnsi" w:hAnsiTheme="majorHAnsi" w:cstheme="majorHAnsi"/>
        </w:rPr>
        <w:t xml:space="preserve">), or may instead deliver the vaccines to nominated delivery locations, which will then be delivered to Vaccine Providers. </w:t>
      </w:r>
    </w:p>
    <w:p w14:paraId="04B478C0" w14:textId="77777777" w:rsidR="00140B67" w:rsidRPr="002E448B" w:rsidRDefault="00140B67" w:rsidP="00140B67">
      <w:pPr>
        <w:pStyle w:val="Headingpara2"/>
        <w:keepNext/>
        <w:numPr>
          <w:ilvl w:val="1"/>
          <w:numId w:val="2"/>
        </w:numPr>
        <w:rPr>
          <w:rFonts w:asciiTheme="majorHAnsi" w:hAnsiTheme="majorHAnsi" w:cstheme="majorHAnsi"/>
        </w:rPr>
      </w:pPr>
      <w:r w:rsidRPr="002E448B">
        <w:rPr>
          <w:rFonts w:asciiTheme="majorHAnsi" w:hAnsiTheme="majorHAnsi" w:cstheme="majorHAnsi"/>
        </w:rPr>
        <w:t>This involves the following potential collections of personal information, being contact details to facilitate the delivery of the vaccines:</w:t>
      </w:r>
    </w:p>
    <w:p w14:paraId="1A88FE59" w14:textId="77777777" w:rsidR="00140B67" w:rsidRPr="002E448B" w:rsidRDefault="00140B67" w:rsidP="00140B67">
      <w:pPr>
        <w:pStyle w:val="Heading3"/>
        <w:numPr>
          <w:ilvl w:val="2"/>
          <w:numId w:val="2"/>
        </w:numPr>
        <w:rPr>
          <w:rFonts w:asciiTheme="majorHAnsi" w:hAnsiTheme="majorHAnsi" w:cstheme="majorHAnsi"/>
        </w:rPr>
      </w:pPr>
      <w:r w:rsidRPr="002E448B">
        <w:rPr>
          <w:rFonts w:asciiTheme="majorHAnsi" w:hAnsiTheme="majorHAnsi" w:cstheme="majorHAnsi"/>
        </w:rPr>
        <w:t>the Logistics and Distribution Partner may collect personal information about the Vaccine Provider’s personnel (</w:t>
      </w:r>
      <w:r w:rsidRPr="002E448B">
        <w:rPr>
          <w:rFonts w:asciiTheme="majorHAnsi" w:hAnsiTheme="majorHAnsi" w:cstheme="majorHAnsi"/>
          <w:b/>
          <w:bCs/>
        </w:rPr>
        <w:t>Provider Personnel</w:t>
      </w:r>
      <w:r w:rsidRPr="002E448B">
        <w:rPr>
          <w:rFonts w:asciiTheme="majorHAnsi" w:hAnsiTheme="majorHAnsi" w:cstheme="majorHAnsi"/>
        </w:rPr>
        <w:t>), or about personnel of nominated delivery locations, potentially from Health; and</w:t>
      </w:r>
    </w:p>
    <w:p w14:paraId="14925056"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it</w:t>
      </w:r>
      <w:proofErr w:type="gramEnd"/>
      <w:r w:rsidRPr="002E448B">
        <w:rPr>
          <w:rFonts w:asciiTheme="majorHAnsi" w:hAnsiTheme="majorHAnsi" w:cstheme="majorHAnsi"/>
        </w:rPr>
        <w:t xml:space="preserve"> is also possible that the Logistics and Distribution Partner may collect personal information about a specific Vaccine Provider (if a sole trader</w:t>
      </w:r>
      <w:r w:rsidRPr="002E448B">
        <w:rPr>
          <w:rStyle w:val="FootnoteReference"/>
          <w:rFonts w:asciiTheme="majorHAnsi" w:hAnsiTheme="majorHAnsi" w:cstheme="majorHAnsi"/>
        </w:rPr>
        <w:footnoteReference w:id="9"/>
      </w:r>
      <w:r w:rsidRPr="002E448B">
        <w:rPr>
          <w:rFonts w:asciiTheme="majorHAnsi" w:hAnsiTheme="majorHAnsi" w:cstheme="majorHAnsi"/>
        </w:rPr>
        <w:t>).</w:t>
      </w:r>
    </w:p>
    <w:p w14:paraId="4C20A8F7" w14:textId="77777777" w:rsidR="00140B67" w:rsidRPr="002E448B" w:rsidRDefault="00140B67" w:rsidP="00140B67">
      <w:pPr>
        <w:pStyle w:val="Headingpara2"/>
        <w:keepLines/>
        <w:numPr>
          <w:ilvl w:val="1"/>
          <w:numId w:val="2"/>
        </w:numPr>
        <w:rPr>
          <w:rFonts w:asciiTheme="majorHAnsi" w:hAnsiTheme="majorHAnsi" w:cstheme="majorHAnsi"/>
        </w:rPr>
      </w:pPr>
      <w:r w:rsidRPr="002E448B">
        <w:rPr>
          <w:rFonts w:asciiTheme="majorHAnsi" w:hAnsiTheme="majorHAnsi" w:cstheme="majorHAnsi"/>
        </w:rPr>
        <w:t xml:space="preserve">At this stage, we understand that the Logistics and Distribution Partner will input into its own systems, information about the doses and vials delivered. </w:t>
      </w:r>
    </w:p>
    <w:p w14:paraId="1BFEEEA3" w14:textId="77777777" w:rsidR="00140B67" w:rsidRPr="002E448B" w:rsidRDefault="00140B67" w:rsidP="00140B67">
      <w:pPr>
        <w:pStyle w:val="Headingpara2"/>
        <w:keepLines/>
        <w:numPr>
          <w:ilvl w:val="1"/>
          <w:numId w:val="2"/>
        </w:numPr>
        <w:rPr>
          <w:rFonts w:asciiTheme="majorHAnsi" w:hAnsiTheme="majorHAnsi" w:cstheme="majorHAnsi"/>
        </w:rPr>
      </w:pPr>
      <w:r w:rsidRPr="002E448B">
        <w:rPr>
          <w:rFonts w:asciiTheme="majorHAnsi" w:hAnsiTheme="majorHAnsi" w:cstheme="majorHAnsi"/>
        </w:rPr>
        <w:t xml:space="preserve">We understand that before administering any vaccines, Provider Personnel will need to undergo an </w:t>
      </w:r>
      <w:proofErr w:type="spellStart"/>
      <w:r w:rsidRPr="002E448B">
        <w:rPr>
          <w:rFonts w:asciiTheme="majorHAnsi" w:hAnsiTheme="majorHAnsi" w:cstheme="majorHAnsi"/>
        </w:rPr>
        <w:t>onboarding</w:t>
      </w:r>
      <w:proofErr w:type="spellEnd"/>
      <w:r w:rsidRPr="002E448B">
        <w:rPr>
          <w:rFonts w:asciiTheme="majorHAnsi" w:hAnsiTheme="majorHAnsi" w:cstheme="majorHAnsi"/>
        </w:rPr>
        <w:t xml:space="preserve"> process in connection with Phase 1a of the Vaccine Strategy. We understand that all Provider Personnel will be required</w:t>
      </w:r>
      <w:r w:rsidRPr="002E448B" w:rsidDel="008E1E28">
        <w:rPr>
          <w:rFonts w:asciiTheme="majorHAnsi" w:hAnsiTheme="majorHAnsi" w:cstheme="majorHAnsi"/>
        </w:rPr>
        <w:t xml:space="preserve"> </w:t>
      </w:r>
      <w:r w:rsidRPr="002E448B">
        <w:rPr>
          <w:rFonts w:asciiTheme="majorHAnsi" w:hAnsiTheme="majorHAnsi" w:cstheme="majorHAnsi"/>
        </w:rPr>
        <w:t>to complete training developed by the Training Partner. For Phase 1a of the Vaccine Strategy, we understand that Vaccine Providers:</w:t>
      </w:r>
    </w:p>
    <w:p w14:paraId="1E15B411"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will</w:t>
      </w:r>
      <w:proofErr w:type="gramEnd"/>
      <w:r w:rsidRPr="002E448B">
        <w:rPr>
          <w:rFonts w:asciiTheme="majorHAnsi" w:hAnsiTheme="majorHAnsi" w:cstheme="majorHAnsi"/>
        </w:rPr>
        <w:t xml:space="preserve"> be arranged by the relevant State and Territory; or </w:t>
      </w:r>
    </w:p>
    <w:p w14:paraId="41A9A347"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will</w:t>
      </w:r>
      <w:proofErr w:type="gramEnd"/>
      <w:r w:rsidRPr="002E448B">
        <w:rPr>
          <w:rFonts w:asciiTheme="majorHAnsi" w:hAnsiTheme="majorHAnsi" w:cstheme="majorHAnsi"/>
        </w:rPr>
        <w:t xml:space="preserve"> be a Vaccine Administrator (for example, for aged care homes). </w:t>
      </w:r>
    </w:p>
    <w:p w14:paraId="23E9AFFD" w14:textId="77777777" w:rsidR="00140B67" w:rsidRPr="002E448B" w:rsidRDefault="00140B67" w:rsidP="00140B67">
      <w:pPr>
        <w:pStyle w:val="Headingpara2"/>
        <w:keepLines/>
        <w:numPr>
          <w:ilvl w:val="1"/>
          <w:numId w:val="2"/>
        </w:numPr>
        <w:rPr>
          <w:rFonts w:asciiTheme="majorHAnsi" w:hAnsiTheme="majorHAnsi" w:cstheme="majorHAnsi"/>
        </w:rPr>
      </w:pPr>
      <w:r w:rsidRPr="002E448B">
        <w:rPr>
          <w:rFonts w:asciiTheme="majorHAnsi" w:hAnsiTheme="majorHAnsi" w:cstheme="majorHAnsi"/>
        </w:rPr>
        <w:t>For completeness, we understand that in future Phases, Vaccine Providers may also include:</w:t>
      </w:r>
    </w:p>
    <w:p w14:paraId="5711448A"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other</w:t>
      </w:r>
      <w:proofErr w:type="gramEnd"/>
      <w:r w:rsidRPr="002E448B">
        <w:rPr>
          <w:rFonts w:asciiTheme="majorHAnsi" w:hAnsiTheme="majorHAnsi" w:cstheme="majorHAnsi"/>
        </w:rPr>
        <w:t xml:space="preserve"> Vaccine Administrators;</w:t>
      </w:r>
    </w:p>
    <w:p w14:paraId="4C7F54D9"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general</w:t>
      </w:r>
      <w:proofErr w:type="gramEnd"/>
      <w:r w:rsidRPr="002E448B">
        <w:rPr>
          <w:rFonts w:asciiTheme="majorHAnsi" w:hAnsiTheme="majorHAnsi" w:cstheme="majorHAnsi"/>
        </w:rPr>
        <w:t xml:space="preserve"> practices; </w:t>
      </w:r>
    </w:p>
    <w:p w14:paraId="4BE6E631"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general</w:t>
      </w:r>
      <w:proofErr w:type="gramEnd"/>
      <w:r w:rsidRPr="002E448B">
        <w:rPr>
          <w:rFonts w:asciiTheme="majorHAnsi" w:hAnsiTheme="majorHAnsi" w:cstheme="majorHAnsi"/>
        </w:rPr>
        <w:t xml:space="preserve"> practitioner respiratory clinics; </w:t>
      </w:r>
    </w:p>
    <w:p w14:paraId="7419CC13"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primary</w:t>
      </w:r>
      <w:proofErr w:type="gramEnd"/>
      <w:r w:rsidRPr="002E448B">
        <w:rPr>
          <w:rFonts w:asciiTheme="majorHAnsi" w:hAnsiTheme="majorHAnsi" w:cstheme="majorHAnsi"/>
        </w:rPr>
        <w:t xml:space="preserve"> health networks (</w:t>
      </w:r>
      <w:r w:rsidRPr="002E448B">
        <w:rPr>
          <w:rFonts w:asciiTheme="majorHAnsi" w:hAnsiTheme="majorHAnsi" w:cstheme="majorHAnsi"/>
          <w:b/>
          <w:bCs/>
        </w:rPr>
        <w:t>PHNs</w:t>
      </w:r>
      <w:r w:rsidRPr="002E448B">
        <w:rPr>
          <w:rFonts w:asciiTheme="majorHAnsi" w:hAnsiTheme="majorHAnsi" w:cstheme="majorHAnsi"/>
        </w:rPr>
        <w:t xml:space="preserve">); </w:t>
      </w:r>
    </w:p>
    <w:p w14:paraId="1CB6F2C9"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established</w:t>
      </w:r>
      <w:proofErr w:type="gramEnd"/>
      <w:r w:rsidRPr="002E448B">
        <w:rPr>
          <w:rFonts w:asciiTheme="majorHAnsi" w:hAnsiTheme="majorHAnsi" w:cstheme="majorHAnsi"/>
        </w:rPr>
        <w:t xml:space="preserve"> clinics and hospitals;</w:t>
      </w:r>
    </w:p>
    <w:p w14:paraId="318CC27E"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in-reach</w:t>
      </w:r>
      <w:proofErr w:type="gramEnd"/>
      <w:r w:rsidRPr="002E448B">
        <w:rPr>
          <w:rFonts w:asciiTheme="majorHAnsi" w:hAnsiTheme="majorHAnsi" w:cstheme="majorHAnsi"/>
        </w:rPr>
        <w:t xml:space="preserve"> vaccination teams for prisons, workplaces </w:t>
      </w:r>
      <w:proofErr w:type="spellStart"/>
      <w:r w:rsidRPr="002E448B">
        <w:rPr>
          <w:rFonts w:asciiTheme="majorHAnsi" w:hAnsiTheme="majorHAnsi" w:cstheme="majorHAnsi"/>
        </w:rPr>
        <w:t>etc</w:t>
      </w:r>
      <w:proofErr w:type="spellEnd"/>
      <w:r w:rsidRPr="002E448B">
        <w:rPr>
          <w:rFonts w:asciiTheme="majorHAnsi" w:hAnsiTheme="majorHAnsi" w:cstheme="majorHAnsi"/>
        </w:rPr>
        <w:t>; and/or</w:t>
      </w:r>
    </w:p>
    <w:p w14:paraId="000E1B77"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pharmacies</w:t>
      </w:r>
      <w:proofErr w:type="gramEnd"/>
      <w:r w:rsidRPr="002E448B">
        <w:rPr>
          <w:rFonts w:asciiTheme="majorHAnsi" w:hAnsiTheme="majorHAnsi" w:cstheme="majorHAnsi"/>
        </w:rPr>
        <w:t xml:space="preserve">.  </w:t>
      </w:r>
    </w:p>
    <w:p w14:paraId="384066D8" w14:textId="77777777" w:rsidR="00140B67" w:rsidRPr="002E448B" w:rsidRDefault="00140B67" w:rsidP="00140B67">
      <w:pPr>
        <w:pStyle w:val="Headingpara2"/>
        <w:numPr>
          <w:ilvl w:val="1"/>
          <w:numId w:val="2"/>
        </w:numPr>
        <w:rPr>
          <w:rFonts w:asciiTheme="majorHAnsi" w:hAnsiTheme="majorHAnsi" w:cstheme="majorHAnsi"/>
        </w:rPr>
      </w:pPr>
      <w:r w:rsidRPr="002E448B">
        <w:rPr>
          <w:rFonts w:asciiTheme="majorHAnsi" w:hAnsiTheme="majorHAnsi" w:cstheme="majorHAnsi"/>
        </w:rPr>
        <w:t xml:space="preserve">We also understand that the Vaccine Provider will input into its own systems information about the doses and vials it has received (such as by scanning the vial barcodes and vaccine packaging). </w:t>
      </w:r>
    </w:p>
    <w:p w14:paraId="19B6324E" w14:textId="77777777" w:rsidR="00140B67" w:rsidRPr="002E448B" w:rsidRDefault="00140B67" w:rsidP="00140B67">
      <w:pPr>
        <w:pStyle w:val="Headingpara2"/>
        <w:numPr>
          <w:ilvl w:val="1"/>
          <w:numId w:val="2"/>
        </w:numPr>
        <w:rPr>
          <w:rFonts w:asciiTheme="majorHAnsi" w:hAnsiTheme="majorHAnsi" w:cstheme="majorHAnsi"/>
        </w:rPr>
      </w:pPr>
      <w:r w:rsidRPr="002E448B">
        <w:rPr>
          <w:rFonts w:asciiTheme="majorHAnsi" w:hAnsiTheme="majorHAnsi" w:cstheme="majorHAnsi"/>
        </w:rPr>
        <w:t>In addition, we understand that Vaccine Providers are likely to be required to maintain records, and to report, in relation to the doses and vials received and administered. This is likely to include:</w:t>
      </w:r>
    </w:p>
    <w:p w14:paraId="7DB4A689"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vaccine</w:t>
      </w:r>
      <w:proofErr w:type="gramEnd"/>
      <w:r w:rsidRPr="002E448B">
        <w:rPr>
          <w:rFonts w:asciiTheme="majorHAnsi" w:hAnsiTheme="majorHAnsi" w:cstheme="majorHAnsi"/>
        </w:rPr>
        <w:t xml:space="preserve"> details such as brand name and strength;</w:t>
      </w:r>
    </w:p>
    <w:p w14:paraId="1665CB8F"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number</w:t>
      </w:r>
      <w:proofErr w:type="gramEnd"/>
      <w:r w:rsidRPr="002E448B">
        <w:rPr>
          <w:rFonts w:asciiTheme="majorHAnsi" w:hAnsiTheme="majorHAnsi" w:cstheme="majorHAnsi"/>
        </w:rPr>
        <w:t xml:space="preserve"> of doses received; </w:t>
      </w:r>
    </w:p>
    <w:p w14:paraId="5A3EF51B"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batch</w:t>
      </w:r>
      <w:proofErr w:type="gramEnd"/>
      <w:r w:rsidRPr="002E448B">
        <w:rPr>
          <w:rFonts w:asciiTheme="majorHAnsi" w:hAnsiTheme="majorHAnsi" w:cstheme="majorHAnsi"/>
        </w:rPr>
        <w:t xml:space="preserve"> and serial numbers received;</w:t>
      </w:r>
    </w:p>
    <w:p w14:paraId="3C4DE393"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doses</w:t>
      </w:r>
      <w:proofErr w:type="gramEnd"/>
      <w:r w:rsidRPr="002E448B">
        <w:rPr>
          <w:rFonts w:asciiTheme="majorHAnsi" w:hAnsiTheme="majorHAnsi" w:cstheme="majorHAnsi"/>
        </w:rPr>
        <w:t xml:space="preserve"> administered; and</w:t>
      </w:r>
    </w:p>
    <w:p w14:paraId="13206548"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wastage</w:t>
      </w:r>
      <w:proofErr w:type="gramEnd"/>
      <w:r w:rsidRPr="002E448B">
        <w:rPr>
          <w:rFonts w:asciiTheme="majorHAnsi" w:hAnsiTheme="majorHAnsi" w:cstheme="majorHAnsi"/>
        </w:rPr>
        <w:t xml:space="preserve"> (i.e. box dropped, vial opened but only 8 of 10 doses used).</w:t>
      </w:r>
    </w:p>
    <w:p w14:paraId="5CDA3DB1" w14:textId="77777777" w:rsidR="00140B67" w:rsidRPr="002E448B" w:rsidRDefault="00140B67" w:rsidP="00140B67">
      <w:pPr>
        <w:keepNext/>
        <w:keepLines/>
        <w:spacing w:before="240"/>
        <w:ind w:left="1702" w:hanging="851"/>
        <w:rPr>
          <w:rFonts w:asciiTheme="majorHAnsi" w:hAnsiTheme="majorHAnsi" w:cstheme="majorHAnsi"/>
          <w:b/>
          <w:i/>
        </w:rPr>
      </w:pPr>
      <w:r w:rsidRPr="002E448B">
        <w:rPr>
          <w:rFonts w:asciiTheme="majorHAnsi" w:hAnsiTheme="majorHAnsi" w:cstheme="majorHAnsi"/>
          <w:b/>
          <w:i/>
        </w:rPr>
        <w:t>Flow 3:</w:t>
      </w:r>
      <w:r w:rsidRPr="002E448B">
        <w:rPr>
          <w:rFonts w:asciiTheme="majorHAnsi" w:hAnsiTheme="majorHAnsi" w:cstheme="majorHAnsi"/>
          <w:b/>
          <w:i/>
        </w:rPr>
        <w:tab/>
        <w:t xml:space="preserve">Patient attends appointment to be vaccinated </w:t>
      </w:r>
    </w:p>
    <w:p w14:paraId="3B7D9488" w14:textId="77777777" w:rsidR="00140B67" w:rsidRPr="002E448B" w:rsidRDefault="00140B67" w:rsidP="00140B67">
      <w:pPr>
        <w:pStyle w:val="Headingpara2"/>
        <w:keepLines/>
        <w:numPr>
          <w:ilvl w:val="1"/>
          <w:numId w:val="2"/>
        </w:numPr>
        <w:rPr>
          <w:rFonts w:asciiTheme="majorHAnsi" w:hAnsiTheme="majorHAnsi" w:cstheme="majorHAnsi"/>
        </w:rPr>
      </w:pPr>
      <w:bookmarkStart w:id="71" w:name="_Ref56438362"/>
      <w:r w:rsidRPr="002E448B">
        <w:rPr>
          <w:rFonts w:asciiTheme="majorHAnsi" w:hAnsiTheme="majorHAnsi" w:cstheme="majorHAnsi"/>
        </w:rPr>
        <w:t>An individual wishing to receive a vaccine for COVID-19 (</w:t>
      </w:r>
      <w:r w:rsidRPr="002E448B">
        <w:rPr>
          <w:rFonts w:asciiTheme="majorHAnsi" w:hAnsiTheme="majorHAnsi" w:cstheme="majorHAnsi"/>
          <w:b/>
          <w:bCs/>
        </w:rPr>
        <w:t>Patient</w:t>
      </w:r>
      <w:r w:rsidRPr="002E448B">
        <w:rPr>
          <w:rFonts w:asciiTheme="majorHAnsi" w:hAnsiTheme="majorHAnsi" w:cstheme="majorHAnsi"/>
        </w:rPr>
        <w:t>) will make an appointment for a Provider Personnel (</w:t>
      </w:r>
      <w:r w:rsidRPr="002E448B">
        <w:rPr>
          <w:rFonts w:asciiTheme="majorHAnsi" w:hAnsiTheme="majorHAnsi" w:cstheme="majorHAnsi"/>
          <w:b/>
          <w:bCs/>
        </w:rPr>
        <w:t>Vaccinator</w:t>
      </w:r>
      <w:r w:rsidRPr="002E448B">
        <w:rPr>
          <w:rFonts w:asciiTheme="majorHAnsi" w:hAnsiTheme="majorHAnsi" w:cstheme="majorHAnsi"/>
        </w:rPr>
        <w:t>) to deliver the vaccine. We understand that for Phase 1a, a Patient may make an appointment with a Vaccinator through normal business as usual (</w:t>
      </w:r>
      <w:r w:rsidRPr="002E448B">
        <w:rPr>
          <w:rFonts w:asciiTheme="majorHAnsi" w:hAnsiTheme="majorHAnsi" w:cstheme="majorHAnsi"/>
          <w:b/>
          <w:bCs/>
        </w:rPr>
        <w:t>BAU</w:t>
      </w:r>
      <w:r w:rsidRPr="002E448B">
        <w:rPr>
          <w:rFonts w:asciiTheme="majorHAnsi" w:hAnsiTheme="majorHAnsi" w:cstheme="majorHAnsi"/>
        </w:rPr>
        <w:t>) processes, such as via an online booking system, or by telephoning the relevant Vaccine Provider.</w:t>
      </w:r>
      <w:r w:rsidRPr="002E448B">
        <w:rPr>
          <w:rStyle w:val="FootnoteReference"/>
          <w:rFonts w:asciiTheme="majorHAnsi" w:hAnsiTheme="majorHAnsi" w:cstheme="majorHAnsi"/>
        </w:rPr>
        <w:footnoteReference w:id="10"/>
      </w:r>
      <w:r w:rsidRPr="002E448B">
        <w:rPr>
          <w:rFonts w:asciiTheme="majorHAnsi" w:hAnsiTheme="majorHAnsi" w:cstheme="majorHAnsi"/>
        </w:rPr>
        <w:t xml:space="preserve"> </w:t>
      </w:r>
    </w:p>
    <w:p w14:paraId="5BB7E817" w14:textId="77777777" w:rsidR="00140B67" w:rsidRPr="002E448B" w:rsidRDefault="00140B67" w:rsidP="00140B67">
      <w:pPr>
        <w:pStyle w:val="Headingpara2"/>
        <w:keepNext/>
        <w:keepLines/>
        <w:numPr>
          <w:ilvl w:val="1"/>
          <w:numId w:val="2"/>
        </w:numPr>
        <w:rPr>
          <w:rFonts w:asciiTheme="majorHAnsi" w:hAnsiTheme="majorHAnsi" w:cstheme="majorHAnsi"/>
        </w:rPr>
      </w:pPr>
      <w:r w:rsidRPr="002E448B">
        <w:rPr>
          <w:rFonts w:asciiTheme="majorHAnsi" w:hAnsiTheme="majorHAnsi" w:cstheme="majorHAnsi"/>
        </w:rPr>
        <w:t>As part of these BAU processes, the Vaccinator and/or Vaccine Provider will collect information relevant to booking an appointment. This will include personal information (such as the Patient’s name and contact details), including personal information which is sensitive information (such as whether the Patient has any allergies).</w:t>
      </w:r>
      <w:bookmarkEnd w:id="71"/>
      <w:r w:rsidRPr="002E448B">
        <w:rPr>
          <w:rFonts w:asciiTheme="majorHAnsi" w:hAnsiTheme="majorHAnsi" w:cstheme="majorHAnsi"/>
        </w:rPr>
        <w:t xml:space="preserve"> </w:t>
      </w:r>
    </w:p>
    <w:p w14:paraId="394FAD85" w14:textId="77777777" w:rsidR="00140B67" w:rsidRPr="002E448B" w:rsidRDefault="00140B67" w:rsidP="00140B67">
      <w:pPr>
        <w:pStyle w:val="Headingpara2"/>
        <w:numPr>
          <w:ilvl w:val="1"/>
          <w:numId w:val="2"/>
        </w:numPr>
        <w:rPr>
          <w:rFonts w:asciiTheme="majorHAnsi" w:hAnsiTheme="majorHAnsi" w:cstheme="majorHAnsi"/>
        </w:rPr>
      </w:pPr>
      <w:r w:rsidRPr="002E448B">
        <w:rPr>
          <w:rFonts w:asciiTheme="majorHAnsi" w:hAnsiTheme="majorHAnsi" w:cstheme="majorHAnsi"/>
        </w:rPr>
        <w:t>Once the Patient attends their appointment, the Vaccinator will view the Patient’s immunisation history.</w:t>
      </w:r>
      <w:r w:rsidRPr="002E448B">
        <w:rPr>
          <w:rStyle w:val="FootnoteReference"/>
          <w:rFonts w:asciiTheme="majorHAnsi" w:hAnsiTheme="majorHAnsi" w:cstheme="majorHAnsi"/>
        </w:rPr>
        <w:footnoteReference w:id="11"/>
      </w:r>
      <w:r w:rsidRPr="002E448B">
        <w:rPr>
          <w:rFonts w:asciiTheme="majorHAnsi" w:hAnsiTheme="majorHAnsi" w:cstheme="majorHAnsi"/>
        </w:rPr>
        <w:t xml:space="preserve"> This can be done through several ways, which are not within the scope of this PIA as they reflect existing mechanisms and processes, including by:</w:t>
      </w:r>
    </w:p>
    <w:p w14:paraId="40C0A820"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the</w:t>
      </w:r>
      <w:proofErr w:type="gramEnd"/>
      <w:r w:rsidRPr="002E448B">
        <w:rPr>
          <w:rFonts w:asciiTheme="majorHAnsi" w:hAnsiTheme="majorHAnsi" w:cstheme="majorHAnsi"/>
        </w:rPr>
        <w:t xml:space="preserve"> Patient showing their immunisation history statement which they have previously received from Medicare or accessed via Medicare Online Services;</w:t>
      </w:r>
    </w:p>
    <w:p w14:paraId="39FEA12D"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the</w:t>
      </w:r>
      <w:proofErr w:type="gramEnd"/>
      <w:r w:rsidRPr="002E448B">
        <w:rPr>
          <w:rFonts w:asciiTheme="majorHAnsi" w:hAnsiTheme="majorHAnsi" w:cstheme="majorHAnsi"/>
        </w:rPr>
        <w:t xml:space="preserve"> Patient showing their immunisation history statement which they have previously received through My Health Record;</w:t>
      </w:r>
    </w:p>
    <w:p w14:paraId="787A151C"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the</w:t>
      </w:r>
      <w:proofErr w:type="gramEnd"/>
      <w:r w:rsidRPr="002E448B">
        <w:rPr>
          <w:rFonts w:asciiTheme="majorHAnsi" w:hAnsiTheme="majorHAnsi" w:cstheme="majorHAnsi"/>
        </w:rPr>
        <w:t xml:space="preserve"> Vaccinator logging into the AIR to access the Patient’s immunisation history; or</w:t>
      </w:r>
    </w:p>
    <w:p w14:paraId="7E88C43C"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the</w:t>
      </w:r>
      <w:proofErr w:type="gramEnd"/>
      <w:r w:rsidRPr="002E448B">
        <w:rPr>
          <w:rFonts w:asciiTheme="majorHAnsi" w:hAnsiTheme="majorHAnsi" w:cstheme="majorHAnsi"/>
        </w:rPr>
        <w:t xml:space="preserve"> Vaccinator accessing and viewing the Patient’s immunisation history on My Health Record.</w:t>
      </w:r>
    </w:p>
    <w:p w14:paraId="5FDD35BE" w14:textId="77777777" w:rsidR="00140B67" w:rsidRPr="002E448B" w:rsidRDefault="00140B67" w:rsidP="00140B67">
      <w:pPr>
        <w:pStyle w:val="Headingpara2"/>
        <w:numPr>
          <w:ilvl w:val="1"/>
          <w:numId w:val="2"/>
        </w:numPr>
        <w:rPr>
          <w:rFonts w:asciiTheme="majorHAnsi" w:hAnsiTheme="majorHAnsi" w:cstheme="majorHAnsi"/>
        </w:rPr>
      </w:pPr>
      <w:r w:rsidRPr="002E448B">
        <w:rPr>
          <w:rFonts w:asciiTheme="majorHAnsi" w:hAnsiTheme="majorHAnsi" w:cstheme="majorHAnsi"/>
        </w:rPr>
        <w:t>The Vaccinator will then:</w:t>
      </w:r>
    </w:p>
    <w:p w14:paraId="4463B548"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discuss</w:t>
      </w:r>
      <w:proofErr w:type="gramEnd"/>
      <w:r w:rsidRPr="002E448B">
        <w:rPr>
          <w:rFonts w:asciiTheme="majorHAnsi" w:hAnsiTheme="majorHAnsi" w:cstheme="majorHAnsi"/>
        </w:rPr>
        <w:t xml:space="preserve"> with the Patient the process for vaccination (including any potential side effects); and</w:t>
      </w:r>
    </w:p>
    <w:p w14:paraId="402E5D47"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obtain</w:t>
      </w:r>
      <w:proofErr w:type="gramEnd"/>
      <w:r w:rsidRPr="002E448B">
        <w:rPr>
          <w:rFonts w:asciiTheme="majorHAnsi" w:hAnsiTheme="majorHAnsi" w:cstheme="majorHAnsi"/>
        </w:rPr>
        <w:t xml:space="preserve"> the Patient’s consent to receive the vaccine. </w:t>
      </w:r>
    </w:p>
    <w:p w14:paraId="4DBD49A1" w14:textId="77777777" w:rsidR="00140B67" w:rsidRPr="002E448B" w:rsidRDefault="00140B67" w:rsidP="00140B67">
      <w:pPr>
        <w:pStyle w:val="Headingpara2"/>
        <w:numPr>
          <w:ilvl w:val="1"/>
          <w:numId w:val="2"/>
        </w:numPr>
        <w:rPr>
          <w:rFonts w:asciiTheme="majorHAnsi" w:hAnsiTheme="majorHAnsi" w:cstheme="majorHAnsi"/>
        </w:rPr>
      </w:pPr>
      <w:r w:rsidRPr="002E448B">
        <w:rPr>
          <w:rFonts w:asciiTheme="majorHAnsi" w:hAnsiTheme="majorHAnsi" w:cstheme="majorHAnsi"/>
        </w:rPr>
        <w:t>Once the relevant consent is obtained from the Patient (or presumably another person able to give consent on behalf of the Patient), the Vaccinator will administer the vaccine to that Patient, and will record details of this vaccination into the Vaccine Provider’s internal systems (such as the CIS),</w:t>
      </w:r>
      <w:r w:rsidRPr="002E448B">
        <w:rPr>
          <w:rStyle w:val="FootnoteReference"/>
          <w:rFonts w:asciiTheme="majorHAnsi" w:hAnsiTheme="majorHAnsi" w:cstheme="majorHAnsi"/>
        </w:rPr>
        <w:footnoteReference w:id="12"/>
      </w:r>
      <w:r w:rsidRPr="002E448B">
        <w:rPr>
          <w:rFonts w:asciiTheme="majorHAnsi" w:hAnsiTheme="majorHAnsi" w:cstheme="majorHAnsi"/>
        </w:rPr>
        <w:t xml:space="preserve"> and/or directly into the AIR. </w:t>
      </w:r>
    </w:p>
    <w:p w14:paraId="71BE8159" w14:textId="77777777" w:rsidR="00140B67" w:rsidRPr="002E448B" w:rsidRDefault="00140B67" w:rsidP="00140B67">
      <w:pPr>
        <w:pStyle w:val="Headingpara2"/>
        <w:numPr>
          <w:ilvl w:val="1"/>
          <w:numId w:val="2"/>
        </w:numPr>
        <w:rPr>
          <w:rFonts w:asciiTheme="majorHAnsi" w:hAnsiTheme="majorHAnsi" w:cstheme="majorHAnsi"/>
        </w:rPr>
      </w:pPr>
      <w:bookmarkStart w:id="72" w:name="_Ref56438366"/>
      <w:r w:rsidRPr="002E448B">
        <w:rPr>
          <w:rFonts w:asciiTheme="majorHAnsi" w:hAnsiTheme="majorHAnsi" w:cstheme="majorHAnsi"/>
        </w:rPr>
        <w:t>Although it is still under consideration, the Vaccinator may then provide the Patient with a paper and/or digital vaccination record card, which may record:</w:t>
      </w:r>
      <w:bookmarkEnd w:id="72"/>
    </w:p>
    <w:p w14:paraId="347527B2"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the</w:t>
      </w:r>
      <w:proofErr w:type="gramEnd"/>
      <w:r w:rsidRPr="002E448B">
        <w:rPr>
          <w:rFonts w:asciiTheme="majorHAnsi" w:hAnsiTheme="majorHAnsi" w:cstheme="majorHAnsi"/>
        </w:rPr>
        <w:t xml:space="preserve"> brand of vaccination;</w:t>
      </w:r>
    </w:p>
    <w:p w14:paraId="0D80B4F4"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the</w:t>
      </w:r>
      <w:proofErr w:type="gramEnd"/>
      <w:r w:rsidRPr="002E448B">
        <w:rPr>
          <w:rFonts w:asciiTheme="majorHAnsi" w:hAnsiTheme="majorHAnsi" w:cstheme="majorHAnsi"/>
        </w:rPr>
        <w:t xml:space="preserve"> date the vaccination was administered; and</w:t>
      </w:r>
    </w:p>
    <w:p w14:paraId="1DAAAD97" w14:textId="77777777" w:rsidR="00140B67" w:rsidRPr="002E448B" w:rsidRDefault="00140B67" w:rsidP="00140B67">
      <w:pPr>
        <w:pStyle w:val="Heading3"/>
        <w:numPr>
          <w:ilvl w:val="2"/>
          <w:numId w:val="2"/>
        </w:numPr>
        <w:ind w:left="1702" w:hanging="851"/>
        <w:rPr>
          <w:rFonts w:asciiTheme="majorHAnsi" w:hAnsiTheme="majorHAnsi" w:cstheme="majorHAnsi"/>
        </w:rPr>
      </w:pPr>
      <w:proofErr w:type="gramStart"/>
      <w:r w:rsidRPr="002E448B">
        <w:rPr>
          <w:rFonts w:asciiTheme="majorHAnsi" w:hAnsiTheme="majorHAnsi" w:cstheme="majorHAnsi"/>
        </w:rPr>
        <w:t>details</w:t>
      </w:r>
      <w:proofErr w:type="gramEnd"/>
      <w:r w:rsidRPr="002E448B">
        <w:rPr>
          <w:rFonts w:asciiTheme="majorHAnsi" w:hAnsiTheme="majorHAnsi" w:cstheme="majorHAnsi"/>
        </w:rPr>
        <w:t xml:space="preserve"> of the dose and vial/batch number of the vaccine.</w:t>
      </w:r>
    </w:p>
    <w:p w14:paraId="37D22F21" w14:textId="77777777" w:rsidR="00140B67" w:rsidRPr="002E448B" w:rsidRDefault="00140B67" w:rsidP="00140B67">
      <w:pPr>
        <w:pStyle w:val="Headingpara2"/>
        <w:keepLines/>
        <w:numPr>
          <w:ilvl w:val="1"/>
          <w:numId w:val="2"/>
        </w:numPr>
        <w:rPr>
          <w:rFonts w:asciiTheme="majorHAnsi" w:hAnsiTheme="majorHAnsi" w:cstheme="majorHAnsi"/>
        </w:rPr>
      </w:pPr>
      <w:r w:rsidRPr="002E448B">
        <w:rPr>
          <w:rFonts w:asciiTheme="majorHAnsi" w:hAnsiTheme="majorHAnsi" w:cstheme="majorHAnsi"/>
        </w:rPr>
        <w:t>We understand that it is intended that the relevant vaccine will be required to be administered twice for each Patient. Accordingly, after receiving their first dose of the vaccine, the Patient will be required to book a second appointment to receive the second dose.</w:t>
      </w:r>
      <w:r w:rsidRPr="002E448B">
        <w:rPr>
          <w:rStyle w:val="FootnoteReference"/>
          <w:rFonts w:asciiTheme="majorHAnsi" w:hAnsiTheme="majorHAnsi" w:cstheme="majorHAnsi"/>
        </w:rPr>
        <w:footnoteReference w:id="13"/>
      </w:r>
      <w:r w:rsidRPr="002E448B">
        <w:rPr>
          <w:rFonts w:asciiTheme="majorHAnsi" w:hAnsiTheme="majorHAnsi" w:cstheme="majorHAnsi"/>
        </w:rPr>
        <w:t xml:space="preserve"> It is possible that some Vaccine Provider’s booking systems may have the functionality to send the Patient a reminder notification to book a second appointment.</w:t>
      </w:r>
    </w:p>
    <w:p w14:paraId="1566E473" w14:textId="77777777" w:rsidR="00140B67" w:rsidRPr="002E448B" w:rsidRDefault="00140B67" w:rsidP="00140B67">
      <w:pPr>
        <w:pStyle w:val="Headingpara2"/>
        <w:keepLines/>
        <w:numPr>
          <w:ilvl w:val="1"/>
          <w:numId w:val="2"/>
        </w:numPr>
        <w:rPr>
          <w:rFonts w:asciiTheme="majorHAnsi" w:hAnsiTheme="majorHAnsi" w:cstheme="majorHAnsi"/>
        </w:rPr>
      </w:pPr>
      <w:r w:rsidRPr="002E448B">
        <w:rPr>
          <w:rFonts w:asciiTheme="majorHAnsi" w:hAnsiTheme="majorHAnsi" w:cstheme="majorHAnsi"/>
        </w:rPr>
        <w:t xml:space="preserve">Once a Patient has received both doses of the vaccine, the Patient will be able to access and display proof or evidence of their vaccination, by logging into their accounts through </w:t>
      </w:r>
      <w:proofErr w:type="spellStart"/>
      <w:r w:rsidRPr="002E448B">
        <w:rPr>
          <w:rFonts w:asciiTheme="majorHAnsi" w:hAnsiTheme="majorHAnsi" w:cstheme="majorHAnsi"/>
        </w:rPr>
        <w:t>MyGov</w:t>
      </w:r>
      <w:proofErr w:type="spellEnd"/>
      <w:r w:rsidRPr="002E448B">
        <w:rPr>
          <w:rFonts w:asciiTheme="majorHAnsi" w:hAnsiTheme="majorHAnsi" w:cstheme="majorHAnsi"/>
        </w:rPr>
        <w:t xml:space="preserve"> and accessing the Medicare systems or My Health Record. </w:t>
      </w:r>
    </w:p>
    <w:p w14:paraId="2756D2FD" w14:textId="77777777" w:rsidR="00140B67" w:rsidRPr="002E448B" w:rsidRDefault="00140B67" w:rsidP="00140B67">
      <w:pPr>
        <w:pStyle w:val="BodyIndent1"/>
        <w:keepNext/>
        <w:rPr>
          <w:rFonts w:asciiTheme="majorHAnsi" w:hAnsiTheme="majorHAnsi" w:cstheme="majorHAnsi"/>
          <w:i/>
          <w:iCs/>
        </w:rPr>
      </w:pPr>
      <w:r w:rsidRPr="002E448B">
        <w:rPr>
          <w:rFonts w:asciiTheme="majorHAnsi" w:hAnsiTheme="majorHAnsi" w:cstheme="majorHAnsi"/>
          <w:i/>
          <w:iCs/>
        </w:rPr>
        <w:t>Adverse reaction</w:t>
      </w:r>
    </w:p>
    <w:p w14:paraId="48E90B20" w14:textId="77777777" w:rsidR="00140B67" w:rsidRPr="002E448B" w:rsidRDefault="00140B67" w:rsidP="00140B67">
      <w:pPr>
        <w:pStyle w:val="Headingpara2"/>
        <w:keepNext/>
        <w:numPr>
          <w:ilvl w:val="1"/>
          <w:numId w:val="2"/>
        </w:numPr>
        <w:rPr>
          <w:rFonts w:asciiTheme="majorHAnsi" w:hAnsiTheme="majorHAnsi" w:cstheme="majorHAnsi"/>
        </w:rPr>
      </w:pPr>
      <w:bookmarkStart w:id="73" w:name="_Ref58938679"/>
      <w:bookmarkStart w:id="74" w:name="_Ref58919761"/>
      <w:r w:rsidRPr="002E448B">
        <w:rPr>
          <w:rFonts w:asciiTheme="majorHAnsi" w:hAnsiTheme="majorHAnsi" w:cstheme="majorHAnsi"/>
        </w:rPr>
        <w:t>Although not within the scope of this PIA as it reflects existing mechanisms and processes, we understand that if a Patient experiences any adverse reactions, this will be reported via existing reporting mechanisms</w:t>
      </w:r>
      <w:bookmarkEnd w:id="73"/>
      <w:bookmarkEnd w:id="74"/>
      <w:r w:rsidRPr="002E448B">
        <w:rPr>
          <w:rFonts w:asciiTheme="majorHAnsi" w:hAnsiTheme="majorHAnsi" w:cstheme="majorHAnsi"/>
        </w:rPr>
        <w:t xml:space="preserve"> to the TGA. For example, this may be through the Patient:</w:t>
      </w:r>
    </w:p>
    <w:p w14:paraId="2F5CB4F3" w14:textId="77777777" w:rsidR="00140B67" w:rsidRPr="002E448B" w:rsidRDefault="00140B67" w:rsidP="00140B67">
      <w:pPr>
        <w:pStyle w:val="Headingpara2"/>
        <w:numPr>
          <w:ilvl w:val="2"/>
          <w:numId w:val="2"/>
        </w:numPr>
        <w:rPr>
          <w:rFonts w:asciiTheme="majorHAnsi" w:hAnsiTheme="majorHAnsi" w:cstheme="majorHAnsi"/>
        </w:rPr>
      </w:pPr>
      <w:bookmarkStart w:id="75" w:name="_Ref58424038"/>
      <w:proofErr w:type="gramStart"/>
      <w:r w:rsidRPr="002E448B">
        <w:rPr>
          <w:rFonts w:asciiTheme="majorHAnsi" w:hAnsiTheme="majorHAnsi" w:cstheme="majorHAnsi"/>
        </w:rPr>
        <w:t>contacting</w:t>
      </w:r>
      <w:proofErr w:type="gramEnd"/>
      <w:r w:rsidRPr="002E448B">
        <w:rPr>
          <w:rFonts w:asciiTheme="majorHAnsi" w:hAnsiTheme="majorHAnsi" w:cstheme="majorHAnsi"/>
        </w:rPr>
        <w:t xml:space="preserve"> a medical practitioner about an adverse reaction, either via phone or in person, noting that the Patient may still be at the Vaccine Provider’s site at the time of the adverse reaction, or contacting a hospital or medical practitioner at a later time. In this case, we understand that the relevant medical practitioner would provide any required treatment and report the adverse reaction to the Therapeutic Goods Association (</w:t>
      </w:r>
      <w:r w:rsidRPr="002E448B">
        <w:rPr>
          <w:rFonts w:asciiTheme="majorHAnsi" w:hAnsiTheme="majorHAnsi" w:cstheme="majorHAnsi"/>
          <w:b/>
          <w:bCs/>
        </w:rPr>
        <w:t>TGA</w:t>
      </w:r>
      <w:r w:rsidRPr="002E448B">
        <w:rPr>
          <w:rFonts w:asciiTheme="majorHAnsi" w:hAnsiTheme="majorHAnsi" w:cstheme="majorHAnsi"/>
        </w:rPr>
        <w:t>)</w:t>
      </w:r>
      <w:r w:rsidRPr="002E448B">
        <w:rPr>
          <w:rStyle w:val="FootnoteReference"/>
          <w:rFonts w:asciiTheme="majorHAnsi" w:hAnsiTheme="majorHAnsi" w:cstheme="majorHAnsi"/>
        </w:rPr>
        <w:footnoteReference w:id="14"/>
      </w:r>
      <w:r w:rsidRPr="002E448B">
        <w:rPr>
          <w:rFonts w:asciiTheme="majorHAnsi" w:hAnsiTheme="majorHAnsi" w:cstheme="majorHAnsi"/>
        </w:rPr>
        <w:t xml:space="preserve"> and/or record any adverse reaction in the Patient’s My Health Record</w:t>
      </w:r>
      <w:r w:rsidRPr="002E448B">
        <w:rPr>
          <w:rStyle w:val="FootnoteReference"/>
          <w:rFonts w:asciiTheme="majorHAnsi" w:hAnsiTheme="majorHAnsi" w:cstheme="majorHAnsi"/>
        </w:rPr>
        <w:footnoteReference w:id="15"/>
      </w:r>
      <w:r w:rsidRPr="002E448B">
        <w:rPr>
          <w:rFonts w:asciiTheme="majorHAnsi" w:hAnsiTheme="majorHAnsi" w:cstheme="majorHAnsi"/>
        </w:rPr>
        <w:t>;</w:t>
      </w:r>
      <w:bookmarkEnd w:id="75"/>
    </w:p>
    <w:p w14:paraId="12969E74"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calling</w:t>
      </w:r>
      <w:proofErr w:type="gramEnd"/>
      <w:r w:rsidRPr="002E448B">
        <w:rPr>
          <w:rFonts w:asciiTheme="majorHAnsi" w:hAnsiTheme="majorHAnsi" w:cstheme="majorHAnsi"/>
        </w:rPr>
        <w:t xml:space="preserve"> the Coronavirus national helpline, which would provide advice to the Patient in relation to the call, and may potentially report the adverse event to the TGA.</w:t>
      </w:r>
      <w:r w:rsidRPr="002E448B">
        <w:rPr>
          <w:rStyle w:val="FootnoteReference"/>
          <w:rFonts w:asciiTheme="majorHAnsi" w:hAnsiTheme="majorHAnsi" w:cstheme="majorHAnsi"/>
        </w:rPr>
        <w:footnoteReference w:id="16"/>
      </w:r>
      <w:r w:rsidRPr="002E448B">
        <w:rPr>
          <w:rFonts w:asciiTheme="majorHAnsi" w:hAnsiTheme="majorHAnsi" w:cstheme="majorHAnsi"/>
        </w:rPr>
        <w:t xml:space="preserve"> The Coronavirus national helpline also stores information received during calls in a system known as “</w:t>
      </w:r>
      <w:proofErr w:type="spellStart"/>
      <w:r w:rsidRPr="002E448B">
        <w:rPr>
          <w:rFonts w:asciiTheme="majorHAnsi" w:hAnsiTheme="majorHAnsi" w:cstheme="majorHAnsi"/>
        </w:rPr>
        <w:t>MediRecords</w:t>
      </w:r>
      <w:proofErr w:type="spellEnd"/>
      <w:r w:rsidRPr="002E448B">
        <w:rPr>
          <w:rFonts w:asciiTheme="majorHAnsi" w:hAnsiTheme="majorHAnsi" w:cstheme="majorHAnsi"/>
        </w:rPr>
        <w:t xml:space="preserve">”; or </w:t>
      </w:r>
    </w:p>
    <w:p w14:paraId="37498941"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logging</w:t>
      </w:r>
      <w:proofErr w:type="gramEnd"/>
      <w:r w:rsidRPr="002E448B">
        <w:rPr>
          <w:rFonts w:asciiTheme="majorHAnsi" w:hAnsiTheme="majorHAnsi" w:cstheme="majorHAnsi"/>
        </w:rPr>
        <w:t xml:space="preserve"> into their </w:t>
      </w:r>
      <w:proofErr w:type="spellStart"/>
      <w:r w:rsidRPr="002E448B">
        <w:rPr>
          <w:rFonts w:asciiTheme="majorHAnsi" w:hAnsiTheme="majorHAnsi" w:cstheme="majorHAnsi"/>
        </w:rPr>
        <w:t>myGov</w:t>
      </w:r>
      <w:proofErr w:type="spellEnd"/>
      <w:r w:rsidRPr="002E448B">
        <w:rPr>
          <w:rFonts w:asciiTheme="majorHAnsi" w:hAnsiTheme="majorHAnsi" w:cstheme="majorHAnsi"/>
        </w:rPr>
        <w:t xml:space="preserve"> account to access their My Health Record, and entering information relating to their adverse reaction directly into My Health Record,</w:t>
      </w:r>
      <w:r w:rsidRPr="002E448B">
        <w:rPr>
          <w:rStyle w:val="FootnoteReference"/>
          <w:rFonts w:asciiTheme="majorHAnsi" w:hAnsiTheme="majorHAnsi" w:cstheme="majorHAnsi"/>
        </w:rPr>
        <w:footnoteReference w:id="17"/>
      </w:r>
      <w:r w:rsidRPr="002E448B">
        <w:rPr>
          <w:rFonts w:asciiTheme="majorHAnsi" w:hAnsiTheme="majorHAnsi" w:cstheme="majorHAnsi"/>
        </w:rPr>
        <w:t xml:space="preserve"> or report the adverse reaction directly to the TGA (using the same process discussed in paragraph </w:t>
      </w:r>
      <w:r w:rsidRPr="002E448B">
        <w:rPr>
          <w:rFonts w:asciiTheme="majorHAnsi" w:hAnsiTheme="majorHAnsi" w:cstheme="majorHAnsi"/>
        </w:rPr>
        <w:fldChar w:fldCharType="begin" w:fldLock="1"/>
      </w:r>
      <w:r w:rsidRPr="002E448B">
        <w:rPr>
          <w:rFonts w:asciiTheme="majorHAnsi" w:hAnsiTheme="majorHAnsi" w:cstheme="majorHAnsi"/>
        </w:rPr>
        <w:instrText xml:space="preserve"> REF _Ref58424038 \r \h  \* MERGEFORMAT </w:instrText>
      </w:r>
      <w:r w:rsidRPr="002E448B">
        <w:rPr>
          <w:rFonts w:asciiTheme="majorHAnsi" w:hAnsiTheme="majorHAnsi" w:cstheme="majorHAnsi"/>
        </w:rPr>
      </w:r>
      <w:r w:rsidRPr="002E448B">
        <w:rPr>
          <w:rFonts w:asciiTheme="majorHAnsi" w:hAnsiTheme="majorHAnsi" w:cstheme="majorHAnsi"/>
        </w:rPr>
        <w:fldChar w:fldCharType="separate"/>
      </w:r>
      <w:r w:rsidRPr="002E448B">
        <w:rPr>
          <w:rFonts w:asciiTheme="majorHAnsi" w:hAnsiTheme="majorHAnsi" w:cstheme="majorHAnsi"/>
        </w:rPr>
        <w:t>9.23.1</w:t>
      </w:r>
      <w:r w:rsidRPr="002E448B">
        <w:rPr>
          <w:rFonts w:asciiTheme="majorHAnsi" w:hAnsiTheme="majorHAnsi" w:cstheme="majorHAnsi"/>
        </w:rPr>
        <w:fldChar w:fldCharType="end"/>
      </w:r>
      <w:r w:rsidRPr="002E448B">
        <w:rPr>
          <w:rFonts w:asciiTheme="majorHAnsi" w:hAnsiTheme="majorHAnsi" w:cstheme="majorHAnsi"/>
        </w:rPr>
        <w:t xml:space="preserve"> above).</w:t>
      </w:r>
    </w:p>
    <w:p w14:paraId="1B235689" w14:textId="77777777" w:rsidR="00140B67" w:rsidRPr="002E448B" w:rsidRDefault="00140B67" w:rsidP="00140B67">
      <w:pPr>
        <w:pStyle w:val="Headingpara2"/>
        <w:keepLines/>
        <w:numPr>
          <w:ilvl w:val="1"/>
          <w:numId w:val="2"/>
        </w:numPr>
        <w:rPr>
          <w:rFonts w:asciiTheme="majorHAnsi" w:hAnsiTheme="majorHAnsi" w:cstheme="majorHAnsi"/>
        </w:rPr>
      </w:pPr>
      <w:r w:rsidRPr="002E448B">
        <w:rPr>
          <w:rFonts w:asciiTheme="majorHAnsi" w:hAnsiTheme="majorHAnsi" w:cstheme="majorHAnsi"/>
        </w:rPr>
        <w:t>Similarly, though again it is not within the scope of this PIA, we also understand that Vaccine Providers may be required to:</w:t>
      </w:r>
    </w:p>
    <w:p w14:paraId="35BB8A08" w14:textId="77777777" w:rsidR="00140B67" w:rsidRPr="002E448B" w:rsidRDefault="00140B67" w:rsidP="00140B67">
      <w:pPr>
        <w:pStyle w:val="Heading3"/>
        <w:keepLines/>
        <w:numPr>
          <w:ilvl w:val="2"/>
          <w:numId w:val="2"/>
        </w:numPr>
        <w:rPr>
          <w:rFonts w:asciiTheme="majorHAnsi" w:hAnsiTheme="majorHAnsi" w:cstheme="majorHAnsi"/>
        </w:rPr>
      </w:pPr>
      <w:proofErr w:type="gramStart"/>
      <w:r w:rsidRPr="002E448B">
        <w:rPr>
          <w:rFonts w:asciiTheme="majorHAnsi" w:hAnsiTheme="majorHAnsi" w:cstheme="majorHAnsi"/>
        </w:rPr>
        <w:t>report</w:t>
      </w:r>
      <w:proofErr w:type="gramEnd"/>
      <w:r w:rsidRPr="002E448B">
        <w:rPr>
          <w:rFonts w:asciiTheme="majorHAnsi" w:hAnsiTheme="majorHAnsi" w:cstheme="majorHAnsi"/>
        </w:rPr>
        <w:t xml:space="preserve"> adverse reactions directly to State and Territory health departments and/or the TGA; and/or</w:t>
      </w:r>
    </w:p>
    <w:p w14:paraId="76AB1A96" w14:textId="77777777" w:rsidR="00140B67" w:rsidRPr="002E448B" w:rsidRDefault="00140B67" w:rsidP="00140B67">
      <w:pPr>
        <w:pStyle w:val="Heading3"/>
        <w:keepLines/>
        <w:numPr>
          <w:ilvl w:val="2"/>
          <w:numId w:val="2"/>
        </w:numPr>
        <w:rPr>
          <w:rFonts w:asciiTheme="majorHAnsi" w:hAnsiTheme="majorHAnsi" w:cstheme="majorHAnsi"/>
        </w:rPr>
      </w:pPr>
      <w:proofErr w:type="gramStart"/>
      <w:r w:rsidRPr="002E448B">
        <w:rPr>
          <w:rFonts w:asciiTheme="majorHAnsi" w:hAnsiTheme="majorHAnsi" w:cstheme="majorHAnsi"/>
        </w:rPr>
        <w:t>use</w:t>
      </w:r>
      <w:proofErr w:type="gramEnd"/>
      <w:r w:rsidRPr="002E448B">
        <w:rPr>
          <w:rFonts w:asciiTheme="majorHAnsi" w:hAnsiTheme="majorHAnsi" w:cstheme="majorHAnsi"/>
        </w:rPr>
        <w:t xml:space="preserve"> the Commonwealth funded platform for the active monitoring of adverse events following immunisation known as </w:t>
      </w:r>
      <w:proofErr w:type="spellStart"/>
      <w:r w:rsidRPr="002E448B">
        <w:rPr>
          <w:rFonts w:asciiTheme="majorHAnsi" w:hAnsiTheme="majorHAnsi" w:cstheme="majorHAnsi"/>
        </w:rPr>
        <w:t>AusVaxSafety</w:t>
      </w:r>
      <w:proofErr w:type="spellEnd"/>
      <w:r w:rsidRPr="002E448B">
        <w:rPr>
          <w:rStyle w:val="FootnoteReference"/>
          <w:rFonts w:asciiTheme="majorHAnsi" w:hAnsiTheme="majorHAnsi" w:cstheme="majorHAnsi"/>
        </w:rPr>
        <w:footnoteReference w:id="18"/>
      </w:r>
      <w:r w:rsidRPr="002E448B">
        <w:rPr>
          <w:rFonts w:asciiTheme="majorHAnsi" w:hAnsiTheme="majorHAnsi" w:cstheme="majorHAnsi"/>
        </w:rPr>
        <w:t>.</w:t>
      </w:r>
    </w:p>
    <w:p w14:paraId="1D27E9DA" w14:textId="77777777" w:rsidR="00140B67" w:rsidRPr="002E448B" w:rsidRDefault="00140B67" w:rsidP="00140B67">
      <w:pPr>
        <w:keepNext/>
        <w:keepLines/>
        <w:spacing w:before="240"/>
        <w:ind w:left="1701" w:hanging="850"/>
        <w:rPr>
          <w:rFonts w:asciiTheme="majorHAnsi" w:hAnsiTheme="majorHAnsi" w:cstheme="majorHAnsi"/>
          <w:b/>
          <w:i/>
        </w:rPr>
      </w:pPr>
      <w:r w:rsidRPr="002E448B">
        <w:rPr>
          <w:rFonts w:asciiTheme="majorHAnsi" w:hAnsiTheme="majorHAnsi" w:cstheme="majorHAnsi"/>
          <w:b/>
          <w:i/>
        </w:rPr>
        <w:t>Flow 4:</w:t>
      </w:r>
      <w:r w:rsidRPr="002E448B">
        <w:rPr>
          <w:rFonts w:asciiTheme="majorHAnsi" w:hAnsiTheme="majorHAnsi" w:cstheme="majorHAnsi"/>
          <w:b/>
          <w:i/>
        </w:rPr>
        <w:tab/>
      </w:r>
      <w:r w:rsidRPr="002E448B">
        <w:rPr>
          <w:rFonts w:asciiTheme="majorHAnsi" w:hAnsiTheme="majorHAnsi" w:cstheme="majorHAnsi"/>
          <w:b/>
          <w:i/>
        </w:rPr>
        <w:tab/>
        <w:t>Information is inputted into the AIR</w:t>
      </w:r>
    </w:p>
    <w:p w14:paraId="1F42FF54" w14:textId="77777777" w:rsidR="00140B67" w:rsidRPr="002E448B" w:rsidRDefault="00140B67" w:rsidP="00140B67">
      <w:pPr>
        <w:pStyle w:val="Headingpara2"/>
        <w:keepNext/>
        <w:keepLines/>
        <w:numPr>
          <w:ilvl w:val="1"/>
          <w:numId w:val="2"/>
        </w:numPr>
        <w:rPr>
          <w:rFonts w:asciiTheme="majorHAnsi" w:hAnsiTheme="majorHAnsi" w:cstheme="majorHAnsi"/>
        </w:rPr>
      </w:pPr>
      <w:bookmarkStart w:id="76" w:name="_Ref58938772"/>
      <w:r w:rsidRPr="002E448B">
        <w:rPr>
          <w:rFonts w:asciiTheme="majorHAnsi" w:hAnsiTheme="majorHAnsi" w:cstheme="majorHAnsi"/>
        </w:rPr>
        <w:t>After administering a vaccine to a Patient, we understand that the Vaccinator (or a person on their behalf at the Vaccine Provider, such as Provider Personnel) will input information about the vaccination into the AIR (which is the national register where vaccinations are recorded).</w:t>
      </w:r>
      <w:r w:rsidRPr="002E448B">
        <w:rPr>
          <w:rStyle w:val="FootnoteReference"/>
          <w:rFonts w:asciiTheme="majorHAnsi" w:hAnsiTheme="majorHAnsi" w:cstheme="majorHAnsi"/>
        </w:rPr>
        <w:footnoteReference w:id="19"/>
      </w:r>
    </w:p>
    <w:p w14:paraId="6849F6A8" w14:textId="77777777" w:rsidR="00140B67" w:rsidRPr="002E448B" w:rsidRDefault="00140B67" w:rsidP="00140B67">
      <w:pPr>
        <w:pStyle w:val="Headingpara2"/>
        <w:numPr>
          <w:ilvl w:val="1"/>
          <w:numId w:val="2"/>
        </w:numPr>
        <w:rPr>
          <w:rFonts w:asciiTheme="majorHAnsi" w:hAnsiTheme="majorHAnsi" w:cstheme="majorHAnsi"/>
        </w:rPr>
      </w:pPr>
      <w:r w:rsidRPr="002E448B">
        <w:rPr>
          <w:rFonts w:asciiTheme="majorHAnsi" w:hAnsiTheme="majorHAnsi" w:cstheme="majorHAnsi"/>
        </w:rPr>
        <w:t xml:space="preserve">In accordance with the legislative requirements under the </w:t>
      </w:r>
      <w:r w:rsidRPr="002E448B">
        <w:rPr>
          <w:rFonts w:asciiTheme="majorHAnsi" w:hAnsiTheme="majorHAnsi" w:cstheme="majorHAnsi"/>
          <w:i/>
        </w:rPr>
        <w:t>Australian Immunisation Register Act 2015</w:t>
      </w:r>
      <w:r w:rsidRPr="002E448B">
        <w:rPr>
          <w:rFonts w:asciiTheme="majorHAnsi" w:hAnsiTheme="majorHAnsi" w:cstheme="majorHAnsi"/>
        </w:rPr>
        <w:t xml:space="preserve"> (</w:t>
      </w:r>
      <w:proofErr w:type="spellStart"/>
      <w:r w:rsidRPr="002E448B">
        <w:rPr>
          <w:rFonts w:asciiTheme="majorHAnsi" w:hAnsiTheme="majorHAnsi" w:cstheme="majorHAnsi"/>
        </w:rPr>
        <w:t>Cth</w:t>
      </w:r>
      <w:proofErr w:type="spellEnd"/>
      <w:r w:rsidRPr="002E448B">
        <w:rPr>
          <w:rFonts w:asciiTheme="majorHAnsi" w:hAnsiTheme="majorHAnsi" w:cstheme="majorHAnsi"/>
        </w:rPr>
        <w:t>) (</w:t>
      </w:r>
      <w:r w:rsidRPr="002E448B">
        <w:rPr>
          <w:rFonts w:asciiTheme="majorHAnsi" w:hAnsiTheme="majorHAnsi" w:cstheme="majorHAnsi"/>
          <w:b/>
          <w:bCs/>
        </w:rPr>
        <w:t>AIR Act</w:t>
      </w:r>
      <w:r w:rsidRPr="002E448B">
        <w:rPr>
          <w:rFonts w:asciiTheme="majorHAnsi" w:hAnsiTheme="majorHAnsi" w:cstheme="majorHAnsi"/>
        </w:rPr>
        <w:t>), we understand that the information that may be inputted into the AIR at this point include:</w:t>
      </w:r>
      <w:bookmarkEnd w:id="76"/>
    </w:p>
    <w:p w14:paraId="78886D42" w14:textId="77777777" w:rsidR="00140B67" w:rsidRPr="002E448B" w:rsidRDefault="00140B67" w:rsidP="00140B67">
      <w:pPr>
        <w:pStyle w:val="Heading3"/>
        <w:numPr>
          <w:ilvl w:val="2"/>
          <w:numId w:val="2"/>
        </w:numPr>
        <w:rPr>
          <w:rFonts w:asciiTheme="majorHAnsi" w:hAnsiTheme="majorHAnsi" w:cstheme="majorHAnsi"/>
        </w:rPr>
      </w:pPr>
      <w:r w:rsidRPr="002E448B">
        <w:rPr>
          <w:rFonts w:asciiTheme="majorHAnsi" w:hAnsiTheme="majorHAnsi" w:cstheme="majorHAnsi"/>
        </w:rPr>
        <w:t>information about the Patient (including their full name, date of birth, gender, address, Indigenous status, their Medicare number and other identifiers relating to the Patient, such as the Individual Health Identifier (</w:t>
      </w:r>
      <w:r w:rsidRPr="002E448B">
        <w:rPr>
          <w:rFonts w:asciiTheme="majorHAnsi" w:hAnsiTheme="majorHAnsi" w:cstheme="majorHAnsi"/>
          <w:b/>
          <w:bCs/>
        </w:rPr>
        <w:t>IHI</w:t>
      </w:r>
      <w:r w:rsidRPr="002E448B">
        <w:rPr>
          <w:rFonts w:asciiTheme="majorHAnsi" w:hAnsiTheme="majorHAnsi" w:cstheme="majorHAnsi"/>
        </w:rPr>
        <w:t>));</w:t>
      </w:r>
    </w:p>
    <w:p w14:paraId="24D48233"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information</w:t>
      </w:r>
      <w:proofErr w:type="gramEnd"/>
      <w:r w:rsidRPr="002E448B">
        <w:rPr>
          <w:rFonts w:asciiTheme="majorHAnsi" w:hAnsiTheme="majorHAnsi" w:cstheme="majorHAnsi"/>
        </w:rPr>
        <w:t xml:space="preserve"> about the vaccine administered (including brand, dose number, batch number and possibly the serial number);</w:t>
      </w:r>
    </w:p>
    <w:p w14:paraId="0793B6DF"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the</w:t>
      </w:r>
      <w:proofErr w:type="gramEnd"/>
      <w:r w:rsidRPr="002E448B">
        <w:rPr>
          <w:rFonts w:asciiTheme="majorHAnsi" w:hAnsiTheme="majorHAnsi" w:cstheme="majorHAnsi"/>
        </w:rPr>
        <w:t xml:space="preserve"> date the vaccination was administered;</w:t>
      </w:r>
    </w:p>
    <w:p w14:paraId="48DB4268"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information</w:t>
      </w:r>
      <w:proofErr w:type="gramEnd"/>
      <w:r w:rsidRPr="002E448B">
        <w:rPr>
          <w:rFonts w:asciiTheme="majorHAnsi" w:hAnsiTheme="majorHAnsi" w:cstheme="majorHAnsi"/>
        </w:rPr>
        <w:t xml:space="preserve"> about the person who administered the vaccine (including details of the Vaccinator’s site and their relevant provider number);</w:t>
      </w:r>
    </w:p>
    <w:p w14:paraId="1E8F6EDE" w14:textId="77777777" w:rsidR="00140B67" w:rsidRPr="002E448B" w:rsidRDefault="00140B67" w:rsidP="00140B67">
      <w:pPr>
        <w:pStyle w:val="Heading3"/>
        <w:numPr>
          <w:ilvl w:val="2"/>
          <w:numId w:val="2"/>
        </w:numPr>
        <w:rPr>
          <w:rFonts w:asciiTheme="majorHAnsi" w:hAnsiTheme="majorHAnsi" w:cstheme="majorHAnsi"/>
          <w:b/>
          <w:bCs/>
          <w:i/>
          <w:iCs/>
        </w:rPr>
      </w:pPr>
      <w:proofErr w:type="gramStart"/>
      <w:r w:rsidRPr="002E448B">
        <w:rPr>
          <w:rFonts w:asciiTheme="majorHAnsi" w:hAnsiTheme="majorHAnsi" w:cstheme="majorHAnsi"/>
        </w:rPr>
        <w:t>information</w:t>
      </w:r>
      <w:proofErr w:type="gramEnd"/>
      <w:r w:rsidRPr="002E448B">
        <w:rPr>
          <w:rFonts w:asciiTheme="majorHAnsi" w:hAnsiTheme="majorHAnsi" w:cstheme="majorHAnsi"/>
        </w:rPr>
        <w:t xml:space="preserve"> relating to the Vaccine Provider;</w:t>
      </w:r>
    </w:p>
    <w:p w14:paraId="7F9D0161" w14:textId="77777777" w:rsidR="00140B67" w:rsidRPr="002E448B" w:rsidRDefault="00140B67" w:rsidP="00140B67">
      <w:pPr>
        <w:pStyle w:val="Heading3"/>
        <w:numPr>
          <w:ilvl w:val="2"/>
          <w:numId w:val="2"/>
        </w:numPr>
        <w:rPr>
          <w:rFonts w:asciiTheme="majorHAnsi" w:hAnsiTheme="majorHAnsi" w:cstheme="majorHAnsi"/>
        </w:rPr>
      </w:pPr>
      <w:bookmarkStart w:id="77" w:name="_Ref63270743"/>
      <w:proofErr w:type="gramStart"/>
      <w:r w:rsidRPr="002E448B">
        <w:rPr>
          <w:rFonts w:asciiTheme="majorHAnsi" w:hAnsiTheme="majorHAnsi" w:cstheme="majorHAnsi"/>
        </w:rPr>
        <w:t>information</w:t>
      </w:r>
      <w:proofErr w:type="gramEnd"/>
      <w:r w:rsidRPr="002E448B">
        <w:rPr>
          <w:rFonts w:asciiTheme="majorHAnsi" w:hAnsiTheme="majorHAnsi" w:cstheme="majorHAnsi"/>
        </w:rPr>
        <w:t xml:space="preserve"> about the doses and vials the Vaccinator has administered; and</w:t>
      </w:r>
      <w:bookmarkEnd w:id="77"/>
    </w:p>
    <w:p w14:paraId="454AD20F" w14:textId="77777777" w:rsidR="00140B67" w:rsidRPr="002E448B" w:rsidRDefault="00140B67" w:rsidP="00140B67">
      <w:pPr>
        <w:pStyle w:val="Heading3"/>
        <w:numPr>
          <w:ilvl w:val="2"/>
          <w:numId w:val="2"/>
        </w:numPr>
        <w:rPr>
          <w:rFonts w:asciiTheme="majorHAnsi" w:hAnsiTheme="majorHAnsi" w:cstheme="majorHAnsi"/>
          <w:b/>
          <w:bCs/>
          <w:i/>
          <w:iCs/>
        </w:rPr>
      </w:pPr>
      <w:proofErr w:type="gramStart"/>
      <w:r w:rsidRPr="002E448B">
        <w:rPr>
          <w:rFonts w:asciiTheme="majorHAnsi" w:hAnsiTheme="majorHAnsi" w:cstheme="majorHAnsi"/>
        </w:rPr>
        <w:t>other</w:t>
      </w:r>
      <w:proofErr w:type="gramEnd"/>
      <w:r w:rsidRPr="002E448B">
        <w:rPr>
          <w:rFonts w:asciiTheme="majorHAnsi" w:hAnsiTheme="majorHAnsi" w:cstheme="majorHAnsi"/>
        </w:rPr>
        <w:t xml:space="preserve"> information related to the Patient’s health (such as medical contraindications, natural immunity, and if the Patient is on a vaccine catch up schedule).</w:t>
      </w:r>
    </w:p>
    <w:p w14:paraId="626971F9" w14:textId="77777777" w:rsidR="00140B67" w:rsidRPr="002E448B" w:rsidRDefault="00140B67" w:rsidP="00140B67">
      <w:pPr>
        <w:pStyle w:val="Headingpara2"/>
        <w:numPr>
          <w:ilvl w:val="1"/>
          <w:numId w:val="2"/>
        </w:numPr>
        <w:rPr>
          <w:rFonts w:asciiTheme="majorHAnsi" w:hAnsiTheme="majorHAnsi" w:cstheme="majorHAnsi"/>
        </w:rPr>
      </w:pPr>
      <w:r w:rsidRPr="002E448B">
        <w:rPr>
          <w:rFonts w:asciiTheme="majorHAnsi" w:hAnsiTheme="majorHAnsi" w:cstheme="majorHAnsi"/>
        </w:rPr>
        <w:t xml:space="preserve">We also understand that Vaccinators will have access to the AIR, and will be able to access information in the AIR in accordance with current practices and relevant legislation, including the AIR Act. </w:t>
      </w:r>
    </w:p>
    <w:p w14:paraId="02464636" w14:textId="77777777" w:rsidR="00140B67" w:rsidRPr="002E448B" w:rsidRDefault="00140B67" w:rsidP="00140B67">
      <w:pPr>
        <w:pStyle w:val="Headingpara2"/>
        <w:numPr>
          <w:ilvl w:val="1"/>
          <w:numId w:val="2"/>
        </w:numPr>
        <w:rPr>
          <w:rFonts w:asciiTheme="majorHAnsi" w:hAnsiTheme="majorHAnsi" w:cstheme="majorHAnsi"/>
        </w:rPr>
      </w:pPr>
      <w:r w:rsidRPr="002E448B">
        <w:rPr>
          <w:rFonts w:asciiTheme="majorHAnsi" w:hAnsiTheme="majorHAnsi" w:cstheme="majorHAnsi"/>
        </w:rPr>
        <w:t>In accordance with current BAU processes, the information in the AIR is uploaded overnight from Services Australia’s ICT environment into Health’s Enterprise Data Warehouse (</w:t>
      </w:r>
      <w:r w:rsidRPr="002E448B">
        <w:rPr>
          <w:rFonts w:asciiTheme="majorHAnsi" w:hAnsiTheme="majorHAnsi" w:cstheme="majorHAnsi"/>
          <w:b/>
          <w:bCs/>
        </w:rPr>
        <w:t>EDW</w:t>
      </w:r>
      <w:r w:rsidRPr="002E448B">
        <w:rPr>
          <w:rFonts w:asciiTheme="majorHAnsi" w:hAnsiTheme="majorHAnsi" w:cstheme="majorHAnsi"/>
        </w:rPr>
        <w:t>), unless the Patient has provided the required request under section 11(2) of the AIR Act that their personal information not be disclosed from the AIR</w:t>
      </w:r>
      <w:r w:rsidRPr="002E448B">
        <w:rPr>
          <w:rStyle w:val="FootnoteReference"/>
          <w:rFonts w:asciiTheme="majorHAnsi" w:hAnsiTheme="majorHAnsi" w:cstheme="majorHAnsi"/>
        </w:rPr>
        <w:footnoteReference w:id="20"/>
      </w:r>
      <w:r w:rsidRPr="002E448B">
        <w:rPr>
          <w:rFonts w:asciiTheme="majorHAnsi" w:hAnsiTheme="majorHAnsi" w:cstheme="majorHAnsi"/>
        </w:rPr>
        <w:t xml:space="preserve">. </w:t>
      </w:r>
    </w:p>
    <w:p w14:paraId="5D00368B" w14:textId="77777777" w:rsidR="00140B67" w:rsidRPr="002E448B" w:rsidRDefault="00140B67" w:rsidP="00140B67">
      <w:pPr>
        <w:pStyle w:val="Headingpara2"/>
        <w:keepLines/>
        <w:numPr>
          <w:ilvl w:val="1"/>
          <w:numId w:val="2"/>
        </w:numPr>
        <w:rPr>
          <w:rFonts w:asciiTheme="majorHAnsi" w:hAnsiTheme="majorHAnsi" w:cstheme="majorHAnsi"/>
        </w:rPr>
      </w:pPr>
      <w:r w:rsidRPr="002E448B">
        <w:rPr>
          <w:rFonts w:asciiTheme="majorHAnsi" w:hAnsiTheme="majorHAnsi" w:cstheme="majorHAnsi"/>
        </w:rPr>
        <w:t>For completeness, we understand that in Phase 1b of the Vaccine Strategy, it is intended that the Vaccine Provider may input the information into the AIR using a new Australian Government clinician vaccine integrated platform (</w:t>
      </w:r>
      <w:r w:rsidRPr="002E448B">
        <w:rPr>
          <w:rFonts w:asciiTheme="majorHAnsi" w:hAnsiTheme="majorHAnsi" w:cstheme="majorHAnsi"/>
          <w:b/>
          <w:bCs/>
        </w:rPr>
        <w:t>Integrated Platform</w:t>
      </w:r>
      <w:r w:rsidRPr="002E448B">
        <w:rPr>
          <w:rFonts w:asciiTheme="majorHAnsi" w:hAnsiTheme="majorHAnsi" w:cstheme="majorHAnsi"/>
        </w:rPr>
        <w:t xml:space="preserve">), which will then automatically upload the information to the AIR (see further discussion of the AIR below, including in </w:t>
      </w:r>
      <w:r w:rsidRPr="002E448B">
        <w:rPr>
          <w:rFonts w:asciiTheme="majorHAnsi" w:hAnsiTheme="majorHAnsi" w:cstheme="majorHAnsi"/>
          <w:b/>
          <w:bCs/>
          <w:i/>
          <w:iCs/>
        </w:rPr>
        <w:t>Flow 4</w:t>
      </w:r>
      <w:r w:rsidRPr="002E448B">
        <w:rPr>
          <w:rFonts w:asciiTheme="majorHAnsi" w:hAnsiTheme="majorHAnsi" w:cstheme="majorHAnsi"/>
        </w:rPr>
        <w:t>)</w:t>
      </w:r>
      <w:r w:rsidRPr="002E448B">
        <w:rPr>
          <w:rStyle w:val="FootnoteReference"/>
          <w:rFonts w:asciiTheme="majorHAnsi" w:hAnsiTheme="majorHAnsi" w:cstheme="majorHAnsi"/>
        </w:rPr>
        <w:footnoteReference w:id="21"/>
      </w:r>
      <w:r w:rsidRPr="002E448B">
        <w:rPr>
          <w:rFonts w:asciiTheme="majorHAnsi" w:hAnsiTheme="majorHAnsi" w:cstheme="majorHAnsi"/>
        </w:rPr>
        <w:t>. The Integrated Platform may include, or be supplemented by, a software application (</w:t>
      </w:r>
      <w:r w:rsidRPr="002E448B">
        <w:rPr>
          <w:rFonts w:asciiTheme="majorHAnsi" w:hAnsiTheme="majorHAnsi" w:cstheme="majorHAnsi"/>
          <w:b/>
          <w:bCs/>
        </w:rPr>
        <w:t>App</w:t>
      </w:r>
      <w:r w:rsidRPr="002E448B">
        <w:rPr>
          <w:rFonts w:asciiTheme="majorHAnsi" w:hAnsiTheme="majorHAnsi" w:cstheme="majorHAnsi"/>
        </w:rPr>
        <w:t>) to be developed by the Australian Digital Health Agency (</w:t>
      </w:r>
      <w:r w:rsidRPr="002E448B">
        <w:rPr>
          <w:rFonts w:asciiTheme="majorHAnsi" w:hAnsiTheme="majorHAnsi" w:cstheme="majorHAnsi"/>
          <w:b/>
          <w:bCs/>
        </w:rPr>
        <w:t>ADHA</w:t>
      </w:r>
      <w:r w:rsidRPr="002E448B">
        <w:rPr>
          <w:rFonts w:asciiTheme="majorHAnsi" w:hAnsiTheme="majorHAnsi" w:cstheme="majorHAnsi"/>
        </w:rPr>
        <w:t>) (or a contractor of the ADHA). However, the implementation of the Integrated Platform and the App is outside the scope of this PIA.</w:t>
      </w:r>
    </w:p>
    <w:p w14:paraId="6C3963CA" w14:textId="77777777" w:rsidR="00140B67" w:rsidRPr="002E448B" w:rsidRDefault="00140B67" w:rsidP="00140B67">
      <w:pPr>
        <w:pStyle w:val="Headingpara2"/>
        <w:numPr>
          <w:ilvl w:val="0"/>
          <w:numId w:val="0"/>
        </w:numPr>
        <w:rPr>
          <w:rFonts w:asciiTheme="majorHAnsi" w:hAnsiTheme="majorHAnsi" w:cstheme="majorHAnsi"/>
        </w:rPr>
      </w:pPr>
    </w:p>
    <w:p w14:paraId="70B61F6F" w14:textId="77777777" w:rsidR="00140B67" w:rsidRPr="002E448B" w:rsidRDefault="00140B67" w:rsidP="00140B67">
      <w:pPr>
        <w:pStyle w:val="BodyIndent1"/>
        <w:keepNext/>
        <w:ind w:left="1701" w:hanging="850"/>
        <w:rPr>
          <w:rFonts w:asciiTheme="majorHAnsi" w:hAnsiTheme="majorHAnsi" w:cstheme="majorHAnsi"/>
          <w:b/>
          <w:i/>
        </w:rPr>
      </w:pPr>
      <w:r w:rsidRPr="002E448B">
        <w:rPr>
          <w:rFonts w:asciiTheme="majorHAnsi" w:hAnsiTheme="majorHAnsi" w:cstheme="majorHAnsi"/>
          <w:b/>
          <w:i/>
        </w:rPr>
        <w:t>Flow 5:</w:t>
      </w:r>
      <w:r w:rsidRPr="002E448B">
        <w:rPr>
          <w:rFonts w:asciiTheme="majorHAnsi" w:hAnsiTheme="majorHAnsi" w:cstheme="majorHAnsi"/>
          <w:b/>
          <w:i/>
        </w:rPr>
        <w:tab/>
        <w:t>VDS receives relevant de-identified information and makes this information available to Health for reporting</w:t>
      </w:r>
    </w:p>
    <w:p w14:paraId="15E0EAA0" w14:textId="77777777" w:rsidR="00140B67" w:rsidRPr="002E448B" w:rsidRDefault="00140B67" w:rsidP="00140B67">
      <w:pPr>
        <w:pStyle w:val="Headingpara2"/>
        <w:keepLines/>
        <w:numPr>
          <w:ilvl w:val="1"/>
          <w:numId w:val="2"/>
        </w:numPr>
        <w:rPr>
          <w:rFonts w:asciiTheme="majorHAnsi" w:hAnsiTheme="majorHAnsi" w:cstheme="majorHAnsi"/>
        </w:rPr>
      </w:pPr>
      <w:r w:rsidRPr="002E448B">
        <w:rPr>
          <w:rFonts w:asciiTheme="majorHAnsi" w:hAnsiTheme="majorHAnsi" w:cstheme="majorHAnsi"/>
        </w:rPr>
        <w:t>We understand that it is intended that the primary purpose of the VDS is to monitor and be able to create reports on the current location of all available COVID-19 vaccines, rather than to track information about the individuals who have received one or more doses of the vaccine. Accordingly, it is not intended that the VDS will contain any identified information about any individual. To the extent that the VDS extracts or uses any information about a Patient, Vaccinator or other individual from a data source, it is intended that that information will be de-identified, using robust de-identification methods, before being collected by or stored within the VDS.</w:t>
      </w:r>
    </w:p>
    <w:p w14:paraId="7095B4FE" w14:textId="77777777" w:rsidR="00140B67" w:rsidRPr="002E448B" w:rsidRDefault="00140B67" w:rsidP="00140B67">
      <w:pPr>
        <w:pStyle w:val="Headingpara2"/>
        <w:keepNext/>
        <w:keepLines/>
        <w:numPr>
          <w:ilvl w:val="1"/>
          <w:numId w:val="2"/>
        </w:numPr>
        <w:rPr>
          <w:rFonts w:asciiTheme="majorHAnsi" w:hAnsiTheme="majorHAnsi" w:cstheme="majorHAnsi"/>
        </w:rPr>
      </w:pPr>
      <w:r w:rsidRPr="002E448B">
        <w:rPr>
          <w:rFonts w:asciiTheme="majorHAnsi" w:hAnsiTheme="majorHAnsi" w:cstheme="majorHAnsi"/>
        </w:rPr>
        <w:t>We understand that the VDS will be developed by the Data Partner, and hosted on cloud services provided by Amazon Web Services and using software provided by Salesforce.</w:t>
      </w:r>
    </w:p>
    <w:p w14:paraId="3A4D6F4E" w14:textId="77777777" w:rsidR="00140B67" w:rsidRPr="002E448B" w:rsidRDefault="00140B67" w:rsidP="00140B67">
      <w:pPr>
        <w:pStyle w:val="Headingpara2"/>
        <w:keepNext/>
        <w:numPr>
          <w:ilvl w:val="1"/>
          <w:numId w:val="2"/>
        </w:numPr>
        <w:rPr>
          <w:rFonts w:asciiTheme="majorHAnsi" w:hAnsiTheme="majorHAnsi" w:cstheme="majorHAnsi"/>
        </w:rPr>
      </w:pPr>
      <w:bookmarkStart w:id="78" w:name="_Ref63270501"/>
      <w:r w:rsidRPr="002E448B">
        <w:rPr>
          <w:rFonts w:asciiTheme="majorHAnsi" w:hAnsiTheme="majorHAnsi" w:cstheme="majorHAnsi"/>
        </w:rPr>
        <w:t>The VDS will receive information about doses and vials from two sources:</w:t>
      </w:r>
      <w:bookmarkEnd w:id="78"/>
    </w:p>
    <w:p w14:paraId="47B3E711"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information</w:t>
      </w:r>
      <w:proofErr w:type="gramEnd"/>
      <w:r w:rsidRPr="002E448B">
        <w:rPr>
          <w:rFonts w:asciiTheme="majorHAnsi" w:hAnsiTheme="majorHAnsi" w:cstheme="majorHAnsi"/>
        </w:rPr>
        <w:t xml:space="preserve"> extracted from the Logistics and Distribution Partners’ systems; and</w:t>
      </w:r>
    </w:p>
    <w:p w14:paraId="5BB447F2" w14:textId="77777777" w:rsidR="00140B67" w:rsidRPr="002E448B" w:rsidRDefault="00140B67" w:rsidP="00140B67">
      <w:pPr>
        <w:pStyle w:val="Heading3"/>
        <w:numPr>
          <w:ilvl w:val="2"/>
          <w:numId w:val="2"/>
        </w:numPr>
        <w:rPr>
          <w:rFonts w:asciiTheme="majorHAnsi" w:hAnsiTheme="majorHAnsi" w:cstheme="majorHAnsi"/>
        </w:rPr>
      </w:pPr>
      <w:r w:rsidRPr="002E448B">
        <w:rPr>
          <w:rFonts w:asciiTheme="majorHAnsi" w:hAnsiTheme="majorHAnsi" w:cstheme="majorHAnsi"/>
        </w:rPr>
        <w:t>information received from Health’s EDW which has in turn been received from the AIR, but then de-identified (we note for completeness that under the AIR Act, individuals have the ability to ‘opt-out’ from having their information disclosed to other entities from the AIR, meaning that this information will not be sent to the EDW, and consequently will not be received by the VDS).</w:t>
      </w:r>
    </w:p>
    <w:p w14:paraId="2E3907C6" w14:textId="77777777" w:rsidR="00140B67" w:rsidRPr="002E448B" w:rsidRDefault="00140B67" w:rsidP="00140B67">
      <w:pPr>
        <w:pStyle w:val="Headingpara2"/>
        <w:keepNext/>
        <w:keepLines/>
        <w:numPr>
          <w:ilvl w:val="1"/>
          <w:numId w:val="2"/>
        </w:numPr>
        <w:rPr>
          <w:rFonts w:asciiTheme="majorHAnsi" w:hAnsiTheme="majorHAnsi" w:cstheme="majorHAnsi"/>
        </w:rPr>
      </w:pPr>
      <w:r w:rsidRPr="002E448B">
        <w:rPr>
          <w:rFonts w:asciiTheme="majorHAnsi" w:hAnsiTheme="majorHAnsi" w:cstheme="majorHAnsi"/>
        </w:rPr>
        <w:t>The VDS will be able to generate reports (which contain de-identified information), and to disclose the information to Health (and Health will correspondingly collect this information).</w:t>
      </w:r>
      <w:r w:rsidRPr="002E448B">
        <w:rPr>
          <w:rStyle w:val="FootnoteReference"/>
          <w:rFonts w:asciiTheme="majorHAnsi" w:hAnsiTheme="majorHAnsi" w:cstheme="majorHAnsi"/>
        </w:rPr>
        <w:footnoteReference w:id="22"/>
      </w:r>
      <w:r w:rsidRPr="002E448B">
        <w:rPr>
          <w:rFonts w:asciiTheme="majorHAnsi" w:hAnsiTheme="majorHAnsi" w:cstheme="majorHAnsi"/>
        </w:rPr>
        <w:t xml:space="preserve"> We understand that it is intended that these reports will be used to monitor:</w:t>
      </w:r>
    </w:p>
    <w:p w14:paraId="5CEC103E" w14:textId="77777777" w:rsidR="00140B67" w:rsidRPr="002E448B" w:rsidRDefault="00140B67" w:rsidP="00140B67">
      <w:pPr>
        <w:pStyle w:val="Heading3"/>
        <w:numPr>
          <w:ilvl w:val="2"/>
          <w:numId w:val="2"/>
        </w:numPr>
        <w:rPr>
          <w:rFonts w:asciiTheme="majorHAnsi" w:hAnsiTheme="majorHAnsi" w:cstheme="majorHAnsi"/>
        </w:rPr>
      </w:pPr>
      <w:proofErr w:type="gramStart"/>
      <w:r w:rsidRPr="002E448B">
        <w:rPr>
          <w:rFonts w:asciiTheme="majorHAnsi" w:hAnsiTheme="majorHAnsi" w:cstheme="majorHAnsi"/>
        </w:rPr>
        <w:t>dose</w:t>
      </w:r>
      <w:proofErr w:type="gramEnd"/>
      <w:r w:rsidRPr="002E448B">
        <w:rPr>
          <w:rFonts w:asciiTheme="majorHAnsi" w:hAnsiTheme="majorHAnsi" w:cstheme="majorHAnsi"/>
        </w:rPr>
        <w:t xml:space="preserve"> wastage, delivery performance, and service capacity; and</w:t>
      </w:r>
    </w:p>
    <w:p w14:paraId="67380824" w14:textId="77777777" w:rsidR="00140B67" w:rsidRPr="002E448B" w:rsidRDefault="00140B67" w:rsidP="00140B67">
      <w:pPr>
        <w:pStyle w:val="Heading3"/>
        <w:numPr>
          <w:ilvl w:val="2"/>
          <w:numId w:val="2"/>
        </w:numPr>
        <w:rPr>
          <w:rFonts w:asciiTheme="majorHAnsi" w:hAnsiTheme="majorHAnsi" w:cstheme="majorHAnsi"/>
        </w:rPr>
      </w:pPr>
      <w:r w:rsidRPr="002E448B">
        <w:rPr>
          <w:rFonts w:asciiTheme="majorHAnsi" w:hAnsiTheme="majorHAnsi" w:cstheme="majorHAnsi"/>
        </w:rPr>
        <w:t xml:space="preserve">vaccine coverage across Australia by started and completed dose regime, by vaccine and by administration location, linked to vaccine stock availability and population data; phase coverage; and partial vs complete coverage.  </w:t>
      </w:r>
    </w:p>
    <w:p w14:paraId="6B9D4350" w14:textId="77777777" w:rsidR="00140B67" w:rsidRPr="002E448B" w:rsidRDefault="00140B67" w:rsidP="00140B67">
      <w:pPr>
        <w:pStyle w:val="Headingpara2"/>
        <w:keepNext/>
        <w:keepLines/>
        <w:numPr>
          <w:ilvl w:val="1"/>
          <w:numId w:val="2"/>
        </w:numPr>
        <w:rPr>
          <w:rFonts w:asciiTheme="majorHAnsi" w:hAnsiTheme="majorHAnsi" w:cstheme="majorHAnsi"/>
        </w:rPr>
      </w:pPr>
      <w:r w:rsidRPr="002E448B">
        <w:rPr>
          <w:rFonts w:asciiTheme="majorHAnsi" w:hAnsiTheme="majorHAnsi" w:cstheme="majorHAnsi"/>
        </w:rPr>
        <w:t>Although not yet determined, reports may be provided to various other entities, including State and Territory entities if needed for the purposes of the Vaccine Strategy.</w:t>
      </w:r>
    </w:p>
    <w:p w14:paraId="0B2C4608" w14:textId="77777777" w:rsidR="00140B67" w:rsidRPr="002E448B" w:rsidRDefault="00140B67" w:rsidP="00140B67">
      <w:pPr>
        <w:pStyle w:val="Headingpara2"/>
        <w:keepNext/>
        <w:numPr>
          <w:ilvl w:val="1"/>
          <w:numId w:val="2"/>
        </w:numPr>
        <w:rPr>
          <w:rFonts w:asciiTheme="majorHAnsi" w:hAnsiTheme="majorHAnsi" w:cstheme="majorHAnsi"/>
        </w:rPr>
      </w:pPr>
      <w:r w:rsidRPr="002E448B">
        <w:rPr>
          <w:rFonts w:asciiTheme="majorHAnsi" w:hAnsiTheme="majorHAnsi" w:cstheme="majorHAnsi"/>
        </w:rPr>
        <w:t>For completeness, we note that in accordance with current BAU processes, information from the AIR received by the Health EDW (which may include identifiable information) may also be securely accessed by States and Territories, as necessary and permitted by the AIR Act.</w:t>
      </w:r>
      <w:r w:rsidRPr="002E448B">
        <w:rPr>
          <w:rStyle w:val="FootnoteReference"/>
          <w:rFonts w:asciiTheme="majorHAnsi" w:hAnsiTheme="majorHAnsi" w:cstheme="majorHAnsi"/>
        </w:rPr>
        <w:footnoteReference w:id="23"/>
      </w:r>
    </w:p>
    <w:p w14:paraId="3C875F06" w14:textId="77777777" w:rsidR="00140B67" w:rsidRPr="002E448B" w:rsidRDefault="00140B67" w:rsidP="00140B67">
      <w:pPr>
        <w:pStyle w:val="Headingpara2"/>
        <w:numPr>
          <w:ilvl w:val="1"/>
          <w:numId w:val="2"/>
        </w:numPr>
        <w:rPr>
          <w:rFonts w:asciiTheme="majorHAnsi" w:hAnsiTheme="majorHAnsi" w:cstheme="majorHAnsi"/>
        </w:rPr>
      </w:pPr>
      <w:r w:rsidRPr="002E448B">
        <w:rPr>
          <w:rFonts w:asciiTheme="majorHAnsi" w:hAnsiTheme="majorHAnsi" w:cstheme="majorHAnsi"/>
          <w:b/>
          <w:bCs/>
          <w:i/>
          <w:iCs/>
        </w:rPr>
        <w:t>Flow 5</w:t>
      </w:r>
      <w:r w:rsidRPr="002E448B">
        <w:rPr>
          <w:rFonts w:asciiTheme="majorHAnsi" w:hAnsiTheme="majorHAnsi" w:cstheme="majorHAnsi"/>
        </w:rPr>
        <w:t xml:space="preserve"> will occur at the same time as the other Information Flows (we have given it a number for reference purposes, but it is not a sequential Information Flow).</w:t>
      </w:r>
    </w:p>
    <w:p w14:paraId="4259DB71" w14:textId="25DD537A" w:rsidR="00140B67" w:rsidRPr="002E448B" w:rsidRDefault="00140B67" w:rsidP="005905D7">
      <w:pPr>
        <w:rPr>
          <w:rFonts w:asciiTheme="majorHAnsi" w:hAnsiTheme="majorHAnsi" w:cstheme="majorHAnsi"/>
        </w:rPr>
      </w:pPr>
      <w:r w:rsidRPr="002E448B">
        <w:rPr>
          <w:rFonts w:asciiTheme="majorHAnsi" w:hAnsiTheme="majorHAnsi" w:cstheme="majorHAnsi"/>
        </w:rPr>
        <w:br w:type="page"/>
      </w:r>
    </w:p>
    <w:p w14:paraId="77A70531" w14:textId="686F1E93" w:rsidR="00140B67" w:rsidRPr="002E448B" w:rsidRDefault="00C5473D" w:rsidP="00C5473D">
      <w:pPr>
        <w:pStyle w:val="legalPart"/>
        <w:numPr>
          <w:ilvl w:val="0"/>
          <w:numId w:val="0"/>
        </w:numPr>
        <w:rPr>
          <w:rFonts w:asciiTheme="majorHAnsi" w:hAnsiTheme="majorHAnsi" w:cstheme="majorHAnsi"/>
        </w:rPr>
      </w:pPr>
      <w:bookmarkStart w:id="79" w:name="_Ref38350428"/>
      <w:bookmarkStart w:id="80" w:name="_Toc64655059"/>
      <w:bookmarkStart w:id="81" w:name="_Toc64657544"/>
      <w:r>
        <w:rPr>
          <w:rFonts w:asciiTheme="majorHAnsi" w:hAnsiTheme="majorHAnsi" w:cstheme="majorHAnsi"/>
        </w:rPr>
        <w:t xml:space="preserve">Part </w:t>
      </w:r>
      <w:proofErr w:type="spellStart"/>
      <w:r>
        <w:rPr>
          <w:rFonts w:asciiTheme="majorHAnsi" w:hAnsiTheme="majorHAnsi" w:cstheme="majorHAnsi"/>
        </w:rPr>
        <w:t>F</w:t>
      </w:r>
      <w:proofErr w:type="spellEnd"/>
      <w:r>
        <w:rPr>
          <w:rFonts w:asciiTheme="majorHAnsi" w:hAnsiTheme="majorHAnsi" w:cstheme="majorHAnsi"/>
        </w:rPr>
        <w:tab/>
      </w:r>
      <w:r w:rsidR="00140B67" w:rsidRPr="002E448B">
        <w:rPr>
          <w:rFonts w:asciiTheme="majorHAnsi" w:hAnsiTheme="majorHAnsi" w:cstheme="majorHAnsi"/>
        </w:rPr>
        <w:t>GLOSSARY</w:t>
      </w:r>
      <w:bookmarkEnd w:id="79"/>
      <w:bookmarkEnd w:id="80"/>
      <w:bookmarkEnd w:id="81"/>
    </w:p>
    <w:tbl>
      <w:tblPr>
        <w:tblStyle w:val="PlainTable11"/>
        <w:tblW w:w="0" w:type="auto"/>
        <w:tblInd w:w="-5" w:type="dxa"/>
        <w:tblLook w:val="04A0" w:firstRow="1" w:lastRow="0" w:firstColumn="1" w:lastColumn="0" w:noHBand="0" w:noVBand="1"/>
        <w:tblDescription w:val="&quot;&quot;"/>
      </w:tblPr>
      <w:tblGrid>
        <w:gridCol w:w="2371"/>
        <w:gridCol w:w="6694"/>
      </w:tblGrid>
      <w:tr w:rsidR="00140B67" w:rsidRPr="002E448B" w14:paraId="6E97A83F" w14:textId="77777777" w:rsidTr="00E2131E">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9065" w:type="dxa"/>
            <w:gridSpan w:val="2"/>
            <w:shd w:val="clear" w:color="auto" w:fill="82002A" w:themeFill="accent1"/>
          </w:tcPr>
          <w:p w14:paraId="5D7F100D" w14:textId="77777777" w:rsidR="00140B67" w:rsidRPr="002E448B" w:rsidRDefault="00140B67" w:rsidP="008D352E">
            <w:pPr>
              <w:pStyle w:val="BodyIndent1"/>
              <w:spacing w:before="120" w:after="120"/>
              <w:ind w:left="0"/>
              <w:rPr>
                <w:rFonts w:asciiTheme="majorHAnsi" w:hAnsiTheme="majorHAnsi" w:cstheme="majorHAnsi"/>
              </w:rPr>
            </w:pPr>
            <w:r w:rsidRPr="002E448B">
              <w:rPr>
                <w:rFonts w:asciiTheme="majorHAnsi" w:hAnsiTheme="majorHAnsi" w:cstheme="majorHAnsi"/>
              </w:rPr>
              <w:t>Definitions</w:t>
            </w:r>
          </w:p>
        </w:tc>
      </w:tr>
      <w:tr w:rsidR="00140B67" w:rsidRPr="002E448B" w14:paraId="3EAA69C9" w14:textId="77777777" w:rsidTr="008D35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1" w:type="dxa"/>
          </w:tcPr>
          <w:p w14:paraId="4B1E7DCF" w14:textId="77777777" w:rsidR="00140B67" w:rsidRPr="002E448B" w:rsidRDefault="00140B67" w:rsidP="008D352E">
            <w:pPr>
              <w:pStyle w:val="BodyIndent1"/>
              <w:spacing w:before="120" w:after="120"/>
              <w:ind w:left="0"/>
              <w:rPr>
                <w:rFonts w:asciiTheme="majorHAnsi" w:hAnsiTheme="majorHAnsi" w:cstheme="majorHAnsi"/>
              </w:rPr>
            </w:pPr>
            <w:r w:rsidRPr="002E448B">
              <w:rPr>
                <w:rFonts w:asciiTheme="majorHAnsi" w:hAnsiTheme="majorHAnsi" w:cstheme="majorHAnsi"/>
              </w:rPr>
              <w:t>ADHA</w:t>
            </w:r>
          </w:p>
        </w:tc>
        <w:tc>
          <w:tcPr>
            <w:tcW w:w="6694" w:type="dxa"/>
          </w:tcPr>
          <w:p w14:paraId="6BCD5107" w14:textId="77777777" w:rsidR="00140B67" w:rsidRPr="002E448B" w:rsidRDefault="00140B67" w:rsidP="008D352E">
            <w:pPr>
              <w:pStyle w:val="BodyIndent1"/>
              <w:spacing w:before="120" w:after="120"/>
              <w:ind w:left="0"/>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means</w:t>
            </w:r>
            <w:proofErr w:type="gramEnd"/>
            <w:r w:rsidRPr="002E448B">
              <w:rPr>
                <w:rFonts w:asciiTheme="majorHAnsi" w:hAnsiTheme="majorHAnsi" w:cstheme="majorHAnsi"/>
              </w:rPr>
              <w:t xml:space="preserve"> the Australian Digital Health Agency.</w:t>
            </w:r>
          </w:p>
        </w:tc>
      </w:tr>
      <w:tr w:rsidR="00140B67" w:rsidRPr="002E448B" w14:paraId="2919ECED" w14:textId="77777777" w:rsidTr="008D352E">
        <w:tc>
          <w:tcPr>
            <w:cnfStyle w:val="001000000000" w:firstRow="0" w:lastRow="0" w:firstColumn="1" w:lastColumn="0" w:oddVBand="0" w:evenVBand="0" w:oddHBand="0" w:evenHBand="0" w:firstRowFirstColumn="0" w:firstRowLastColumn="0" w:lastRowFirstColumn="0" w:lastRowLastColumn="0"/>
            <w:tcW w:w="2371" w:type="dxa"/>
          </w:tcPr>
          <w:p w14:paraId="2AA921C2" w14:textId="77777777" w:rsidR="00140B67" w:rsidRPr="002E448B" w:rsidRDefault="00140B67" w:rsidP="008D352E">
            <w:pPr>
              <w:pStyle w:val="BodyIndent1"/>
              <w:spacing w:before="120" w:after="120"/>
              <w:ind w:left="0"/>
              <w:rPr>
                <w:rFonts w:asciiTheme="majorHAnsi" w:hAnsiTheme="majorHAnsi" w:cstheme="majorHAnsi"/>
                <w:bCs w:val="0"/>
              </w:rPr>
            </w:pPr>
            <w:r w:rsidRPr="002E448B">
              <w:rPr>
                <w:rFonts w:asciiTheme="majorHAnsi" w:hAnsiTheme="majorHAnsi" w:cstheme="majorHAnsi"/>
              </w:rPr>
              <w:t>AIR</w:t>
            </w:r>
          </w:p>
        </w:tc>
        <w:tc>
          <w:tcPr>
            <w:tcW w:w="6694" w:type="dxa"/>
          </w:tcPr>
          <w:p w14:paraId="3580CBDF" w14:textId="77777777" w:rsidR="00140B67" w:rsidRPr="002E448B" w:rsidRDefault="00140B67" w:rsidP="008D352E">
            <w:pPr>
              <w:pStyle w:val="BodyIndent1"/>
              <w:spacing w:before="120" w:after="120"/>
              <w:ind w:left="0"/>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means</w:t>
            </w:r>
            <w:proofErr w:type="gramEnd"/>
            <w:r w:rsidRPr="002E448B">
              <w:rPr>
                <w:rFonts w:asciiTheme="majorHAnsi" w:hAnsiTheme="majorHAnsi" w:cstheme="majorHAnsi"/>
              </w:rPr>
              <w:t xml:space="preserve"> the Australian Immunisation Register.</w:t>
            </w:r>
          </w:p>
        </w:tc>
      </w:tr>
      <w:tr w:rsidR="00140B67" w:rsidRPr="002E448B" w14:paraId="6A27C0CF" w14:textId="77777777" w:rsidTr="008D35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1" w:type="dxa"/>
          </w:tcPr>
          <w:p w14:paraId="62A2FB70" w14:textId="77777777" w:rsidR="00140B67" w:rsidRPr="002E448B" w:rsidRDefault="00140B67" w:rsidP="008D352E">
            <w:pPr>
              <w:pStyle w:val="BodyIndent1"/>
              <w:spacing w:before="120" w:after="120"/>
              <w:ind w:left="0"/>
              <w:rPr>
                <w:rFonts w:asciiTheme="majorHAnsi" w:hAnsiTheme="majorHAnsi" w:cstheme="majorHAnsi"/>
              </w:rPr>
            </w:pPr>
            <w:r w:rsidRPr="002E448B">
              <w:rPr>
                <w:rFonts w:asciiTheme="majorHAnsi" w:hAnsiTheme="majorHAnsi" w:cstheme="majorHAnsi"/>
              </w:rPr>
              <w:t>AIR Act</w:t>
            </w:r>
          </w:p>
        </w:tc>
        <w:tc>
          <w:tcPr>
            <w:tcW w:w="6694" w:type="dxa"/>
          </w:tcPr>
          <w:p w14:paraId="2194F27F" w14:textId="77777777" w:rsidR="00140B67" w:rsidRPr="002E448B" w:rsidRDefault="00140B67" w:rsidP="008D352E">
            <w:pPr>
              <w:pStyle w:val="BodyIndent1"/>
              <w:spacing w:before="120" w:after="120"/>
              <w:ind w:left="0"/>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means</w:t>
            </w:r>
            <w:proofErr w:type="gramEnd"/>
            <w:r w:rsidRPr="002E448B">
              <w:rPr>
                <w:rFonts w:asciiTheme="majorHAnsi" w:hAnsiTheme="majorHAnsi" w:cstheme="majorHAnsi"/>
              </w:rPr>
              <w:t xml:space="preserve"> </w:t>
            </w:r>
            <w:r w:rsidRPr="002E448B">
              <w:rPr>
                <w:rFonts w:asciiTheme="majorHAnsi" w:hAnsiTheme="majorHAnsi" w:cstheme="majorHAnsi"/>
                <w:i/>
                <w:iCs/>
              </w:rPr>
              <w:t xml:space="preserve">Australian Immunisation Register Act 2015 </w:t>
            </w:r>
            <w:r w:rsidRPr="002E448B">
              <w:rPr>
                <w:rFonts w:asciiTheme="majorHAnsi" w:hAnsiTheme="majorHAnsi" w:cstheme="majorHAnsi"/>
              </w:rPr>
              <w:t>(</w:t>
            </w:r>
            <w:proofErr w:type="spellStart"/>
            <w:r w:rsidRPr="002E448B">
              <w:rPr>
                <w:rFonts w:asciiTheme="majorHAnsi" w:hAnsiTheme="majorHAnsi" w:cstheme="majorHAnsi"/>
              </w:rPr>
              <w:t>Cth</w:t>
            </w:r>
            <w:proofErr w:type="spellEnd"/>
            <w:r w:rsidRPr="002E448B">
              <w:rPr>
                <w:rFonts w:asciiTheme="majorHAnsi" w:hAnsiTheme="majorHAnsi" w:cstheme="majorHAnsi"/>
              </w:rPr>
              <w:t>).</w:t>
            </w:r>
          </w:p>
        </w:tc>
      </w:tr>
      <w:tr w:rsidR="00140B67" w:rsidRPr="002E448B" w14:paraId="6BF2D945" w14:textId="77777777" w:rsidTr="008D352E">
        <w:tc>
          <w:tcPr>
            <w:cnfStyle w:val="001000000000" w:firstRow="0" w:lastRow="0" w:firstColumn="1" w:lastColumn="0" w:oddVBand="0" w:evenVBand="0" w:oddHBand="0" w:evenHBand="0" w:firstRowFirstColumn="0" w:firstRowLastColumn="0" w:lastRowFirstColumn="0" w:lastRowLastColumn="0"/>
            <w:tcW w:w="2371" w:type="dxa"/>
          </w:tcPr>
          <w:p w14:paraId="121CBAC4" w14:textId="77777777" w:rsidR="00140B67" w:rsidRPr="002E448B" w:rsidRDefault="00140B67" w:rsidP="008D352E">
            <w:pPr>
              <w:pStyle w:val="BodyIndent1"/>
              <w:spacing w:before="120" w:after="120"/>
              <w:ind w:left="0"/>
              <w:rPr>
                <w:rFonts w:asciiTheme="majorHAnsi" w:hAnsiTheme="majorHAnsi" w:cstheme="majorHAnsi"/>
                <w:bCs w:val="0"/>
              </w:rPr>
            </w:pPr>
            <w:r w:rsidRPr="002E448B">
              <w:rPr>
                <w:rFonts w:asciiTheme="majorHAnsi" w:hAnsiTheme="majorHAnsi" w:cstheme="majorHAnsi"/>
              </w:rPr>
              <w:t>APP, or Australian Privacy Principle</w:t>
            </w:r>
          </w:p>
        </w:tc>
        <w:tc>
          <w:tcPr>
            <w:tcW w:w="6694" w:type="dxa"/>
          </w:tcPr>
          <w:p w14:paraId="7335A474" w14:textId="77777777" w:rsidR="00140B67" w:rsidRPr="002E448B" w:rsidRDefault="00140B67" w:rsidP="008D352E">
            <w:pPr>
              <w:pStyle w:val="BodyIndent1"/>
              <w:spacing w:before="120" w:after="120"/>
              <w:ind w:left="0"/>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has</w:t>
            </w:r>
            <w:proofErr w:type="gramEnd"/>
            <w:r w:rsidRPr="002E448B">
              <w:rPr>
                <w:rFonts w:asciiTheme="majorHAnsi" w:hAnsiTheme="majorHAnsi" w:cstheme="majorHAnsi"/>
              </w:rPr>
              <w:t xml:space="preserve"> the meaning given to it in the Privacy Act.</w:t>
            </w:r>
          </w:p>
        </w:tc>
      </w:tr>
      <w:tr w:rsidR="00140B67" w:rsidRPr="002E448B" w14:paraId="5B888668" w14:textId="77777777" w:rsidTr="008D35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1" w:type="dxa"/>
          </w:tcPr>
          <w:p w14:paraId="5E8611E4" w14:textId="77777777" w:rsidR="00140B67" w:rsidRPr="002E448B" w:rsidRDefault="00140B67" w:rsidP="008D352E">
            <w:pPr>
              <w:pStyle w:val="BodyIndent1"/>
              <w:spacing w:before="120" w:after="120"/>
              <w:ind w:left="0"/>
              <w:rPr>
                <w:rFonts w:asciiTheme="majorHAnsi" w:hAnsiTheme="majorHAnsi" w:cstheme="majorHAnsi"/>
              </w:rPr>
            </w:pPr>
            <w:r w:rsidRPr="002E448B">
              <w:rPr>
                <w:rFonts w:asciiTheme="majorHAnsi" w:hAnsiTheme="majorHAnsi" w:cstheme="majorHAnsi"/>
              </w:rPr>
              <w:t>App</w:t>
            </w:r>
          </w:p>
        </w:tc>
        <w:tc>
          <w:tcPr>
            <w:tcW w:w="6694" w:type="dxa"/>
          </w:tcPr>
          <w:p w14:paraId="58695256" w14:textId="77777777" w:rsidR="00140B67" w:rsidRPr="002E448B" w:rsidRDefault="00140B67" w:rsidP="008D352E">
            <w:pPr>
              <w:pStyle w:val="BodyIndent1"/>
              <w:spacing w:before="120" w:after="120"/>
              <w:ind w:left="0"/>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means</w:t>
            </w:r>
            <w:proofErr w:type="gramEnd"/>
            <w:r w:rsidRPr="002E448B">
              <w:rPr>
                <w:rFonts w:asciiTheme="majorHAnsi" w:hAnsiTheme="majorHAnsi" w:cstheme="majorHAnsi"/>
              </w:rPr>
              <w:t xml:space="preserve"> a potential software application which may be developed by the ADHA in order to assist Vaccine Providers/Vaccinators transmit and input relevant Vaccine Strategy Information into the AIR.</w:t>
            </w:r>
          </w:p>
        </w:tc>
      </w:tr>
      <w:tr w:rsidR="00140B67" w:rsidRPr="002E448B" w14:paraId="7E00752F" w14:textId="77777777" w:rsidTr="008D352E">
        <w:tc>
          <w:tcPr>
            <w:cnfStyle w:val="001000000000" w:firstRow="0" w:lastRow="0" w:firstColumn="1" w:lastColumn="0" w:oddVBand="0" w:evenVBand="0" w:oddHBand="0" w:evenHBand="0" w:firstRowFirstColumn="0" w:firstRowLastColumn="0" w:lastRowFirstColumn="0" w:lastRowLastColumn="0"/>
            <w:tcW w:w="2371" w:type="dxa"/>
          </w:tcPr>
          <w:p w14:paraId="1F992378" w14:textId="77777777" w:rsidR="00140B67" w:rsidRPr="002E448B" w:rsidRDefault="00140B67" w:rsidP="008D352E">
            <w:pPr>
              <w:pStyle w:val="BodyIndent1"/>
              <w:spacing w:before="120" w:after="120"/>
              <w:ind w:left="0"/>
              <w:rPr>
                <w:rFonts w:asciiTheme="majorHAnsi" w:hAnsiTheme="majorHAnsi" w:cstheme="majorHAnsi"/>
                <w:bCs w:val="0"/>
              </w:rPr>
            </w:pPr>
            <w:r w:rsidRPr="002E448B">
              <w:rPr>
                <w:rFonts w:asciiTheme="majorHAnsi" w:hAnsiTheme="majorHAnsi" w:cstheme="majorHAnsi"/>
              </w:rPr>
              <w:t>APP Code</w:t>
            </w:r>
          </w:p>
        </w:tc>
        <w:tc>
          <w:tcPr>
            <w:tcW w:w="6694" w:type="dxa"/>
          </w:tcPr>
          <w:p w14:paraId="50F26458" w14:textId="77777777" w:rsidR="00140B67" w:rsidRPr="002E448B" w:rsidRDefault="00140B67" w:rsidP="008D352E">
            <w:pPr>
              <w:pStyle w:val="BodyIndent1"/>
              <w:spacing w:before="120" w:after="120"/>
              <w:ind w:left="0"/>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means</w:t>
            </w:r>
            <w:proofErr w:type="gramEnd"/>
            <w:r w:rsidRPr="002E448B">
              <w:rPr>
                <w:rFonts w:asciiTheme="majorHAnsi" w:hAnsiTheme="majorHAnsi" w:cstheme="majorHAnsi"/>
              </w:rPr>
              <w:t xml:space="preserve"> the </w:t>
            </w:r>
            <w:r w:rsidRPr="002E448B">
              <w:rPr>
                <w:rFonts w:asciiTheme="majorHAnsi" w:hAnsiTheme="majorHAnsi" w:cstheme="majorHAnsi"/>
                <w:i/>
              </w:rPr>
              <w:t>Privacy (Australian Government Agencies – Governance) APP Code 2017</w:t>
            </w:r>
            <w:r w:rsidRPr="002E448B">
              <w:rPr>
                <w:rFonts w:asciiTheme="majorHAnsi" w:hAnsiTheme="majorHAnsi" w:cstheme="majorHAnsi"/>
              </w:rPr>
              <w:t xml:space="preserve">. </w:t>
            </w:r>
          </w:p>
        </w:tc>
      </w:tr>
      <w:tr w:rsidR="00140B67" w:rsidRPr="002E448B" w14:paraId="201D47BA" w14:textId="77777777" w:rsidTr="008D35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1" w:type="dxa"/>
          </w:tcPr>
          <w:p w14:paraId="729C7785" w14:textId="77777777" w:rsidR="00140B67" w:rsidRPr="002E448B" w:rsidRDefault="00140B67" w:rsidP="008D352E">
            <w:pPr>
              <w:pStyle w:val="BodyIndent1"/>
              <w:spacing w:before="120" w:after="120"/>
              <w:ind w:left="0"/>
              <w:rPr>
                <w:rFonts w:asciiTheme="majorHAnsi" w:hAnsiTheme="majorHAnsi" w:cstheme="majorHAnsi"/>
              </w:rPr>
            </w:pPr>
            <w:r w:rsidRPr="002E448B">
              <w:rPr>
                <w:rFonts w:asciiTheme="majorHAnsi" w:hAnsiTheme="majorHAnsi" w:cstheme="majorHAnsi"/>
              </w:rPr>
              <w:t>Archives Act</w:t>
            </w:r>
          </w:p>
        </w:tc>
        <w:tc>
          <w:tcPr>
            <w:tcW w:w="6694" w:type="dxa"/>
          </w:tcPr>
          <w:p w14:paraId="77A2156F" w14:textId="77777777" w:rsidR="00140B67" w:rsidRPr="002E448B" w:rsidRDefault="00140B67" w:rsidP="008D352E">
            <w:pPr>
              <w:pStyle w:val="BodyIndent1"/>
              <w:spacing w:before="120" w:after="120"/>
              <w:ind w:left="0"/>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means</w:t>
            </w:r>
            <w:proofErr w:type="gramEnd"/>
            <w:r w:rsidRPr="002E448B">
              <w:rPr>
                <w:rFonts w:asciiTheme="majorHAnsi" w:hAnsiTheme="majorHAnsi" w:cstheme="majorHAnsi"/>
              </w:rPr>
              <w:t xml:space="preserve"> the </w:t>
            </w:r>
            <w:r w:rsidRPr="002E448B">
              <w:rPr>
                <w:rFonts w:asciiTheme="majorHAnsi" w:hAnsiTheme="majorHAnsi" w:cstheme="majorHAnsi"/>
                <w:i/>
                <w:iCs/>
              </w:rPr>
              <w:t xml:space="preserve">Archives Act 1983 </w:t>
            </w:r>
            <w:r w:rsidRPr="002E448B">
              <w:rPr>
                <w:rFonts w:asciiTheme="majorHAnsi" w:hAnsiTheme="majorHAnsi" w:cstheme="majorHAnsi"/>
              </w:rPr>
              <w:t>(</w:t>
            </w:r>
            <w:proofErr w:type="spellStart"/>
            <w:r w:rsidRPr="002E448B">
              <w:rPr>
                <w:rFonts w:asciiTheme="majorHAnsi" w:hAnsiTheme="majorHAnsi" w:cstheme="majorHAnsi"/>
              </w:rPr>
              <w:t>Cth</w:t>
            </w:r>
            <w:proofErr w:type="spellEnd"/>
            <w:r w:rsidRPr="002E448B">
              <w:rPr>
                <w:rFonts w:asciiTheme="majorHAnsi" w:hAnsiTheme="majorHAnsi" w:cstheme="majorHAnsi"/>
              </w:rPr>
              <w:t xml:space="preserve">). </w:t>
            </w:r>
          </w:p>
        </w:tc>
      </w:tr>
      <w:tr w:rsidR="00140B67" w:rsidRPr="002E448B" w14:paraId="76BDFA7B" w14:textId="77777777" w:rsidTr="008D352E">
        <w:tc>
          <w:tcPr>
            <w:cnfStyle w:val="001000000000" w:firstRow="0" w:lastRow="0" w:firstColumn="1" w:lastColumn="0" w:oddVBand="0" w:evenVBand="0" w:oddHBand="0" w:evenHBand="0" w:firstRowFirstColumn="0" w:firstRowLastColumn="0" w:lastRowFirstColumn="0" w:lastRowLastColumn="0"/>
            <w:tcW w:w="2371" w:type="dxa"/>
          </w:tcPr>
          <w:p w14:paraId="1E555C8D" w14:textId="77777777" w:rsidR="00140B67" w:rsidRPr="002E448B" w:rsidRDefault="00140B67" w:rsidP="008D352E">
            <w:pPr>
              <w:pStyle w:val="BodyIndent1"/>
              <w:spacing w:before="120" w:after="120"/>
              <w:ind w:left="0"/>
              <w:rPr>
                <w:rFonts w:asciiTheme="majorHAnsi" w:hAnsiTheme="majorHAnsi" w:cstheme="majorHAnsi"/>
              </w:rPr>
            </w:pPr>
            <w:r w:rsidRPr="002E448B">
              <w:rPr>
                <w:rFonts w:asciiTheme="majorHAnsi" w:hAnsiTheme="majorHAnsi" w:cstheme="majorHAnsi"/>
              </w:rPr>
              <w:t>CIS</w:t>
            </w:r>
          </w:p>
        </w:tc>
        <w:tc>
          <w:tcPr>
            <w:tcW w:w="6694" w:type="dxa"/>
          </w:tcPr>
          <w:p w14:paraId="4BCC469E" w14:textId="77777777" w:rsidR="00140B67" w:rsidRPr="002E448B" w:rsidRDefault="00140B67" w:rsidP="008D352E">
            <w:pPr>
              <w:pStyle w:val="BodyIndent1"/>
              <w:spacing w:before="120" w:after="120"/>
              <w:ind w:left="0"/>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means</w:t>
            </w:r>
            <w:proofErr w:type="gramEnd"/>
            <w:r w:rsidRPr="002E448B">
              <w:rPr>
                <w:rFonts w:asciiTheme="majorHAnsi" w:hAnsiTheme="majorHAnsi" w:cstheme="majorHAnsi"/>
              </w:rPr>
              <w:t xml:space="preserve"> the Clinical Information System, which is the internal system used by medical practitioners to maintain and manage Patient records.</w:t>
            </w:r>
          </w:p>
        </w:tc>
      </w:tr>
      <w:tr w:rsidR="00140B67" w:rsidRPr="002E448B" w14:paraId="739F9C0F" w14:textId="77777777" w:rsidTr="008D35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1" w:type="dxa"/>
          </w:tcPr>
          <w:p w14:paraId="713F2DC7" w14:textId="77777777" w:rsidR="00140B67" w:rsidRPr="002E448B" w:rsidRDefault="00140B67" w:rsidP="008D352E">
            <w:pPr>
              <w:pStyle w:val="BodyIndent1"/>
              <w:spacing w:before="120" w:after="120"/>
              <w:ind w:left="0"/>
              <w:rPr>
                <w:rFonts w:asciiTheme="majorHAnsi" w:hAnsiTheme="majorHAnsi" w:cstheme="majorHAnsi"/>
              </w:rPr>
            </w:pPr>
            <w:r w:rsidRPr="002E448B">
              <w:rPr>
                <w:rFonts w:asciiTheme="majorHAnsi" w:hAnsiTheme="majorHAnsi" w:cstheme="majorHAnsi"/>
              </w:rPr>
              <w:t>Collection Notice</w:t>
            </w:r>
          </w:p>
        </w:tc>
        <w:tc>
          <w:tcPr>
            <w:tcW w:w="6694" w:type="dxa"/>
          </w:tcPr>
          <w:p w14:paraId="1FCC171E" w14:textId="77777777" w:rsidR="00140B67" w:rsidRPr="002E448B" w:rsidRDefault="00140B67" w:rsidP="008D352E">
            <w:pPr>
              <w:pStyle w:val="BodyIndent1"/>
              <w:spacing w:before="120" w:after="120"/>
              <w:ind w:left="0"/>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r w:rsidRPr="002E448B">
              <w:rPr>
                <w:rFonts w:asciiTheme="majorHAnsi" w:hAnsiTheme="majorHAnsi" w:cstheme="majorHAnsi"/>
              </w:rPr>
              <w:t xml:space="preserve">means a notice provided to individuals before their personal information (including sensitive information) is collected, which provides them with information on how their Vaccine Strategy Information will be handled in connection with the Vaccine Strategy (including any subsequent uses and disclosures of that information). </w:t>
            </w:r>
          </w:p>
        </w:tc>
      </w:tr>
      <w:tr w:rsidR="00140B67" w:rsidRPr="002E448B" w14:paraId="4B5125F5" w14:textId="77777777" w:rsidTr="008D352E">
        <w:tc>
          <w:tcPr>
            <w:cnfStyle w:val="001000000000" w:firstRow="0" w:lastRow="0" w:firstColumn="1" w:lastColumn="0" w:oddVBand="0" w:evenVBand="0" w:oddHBand="0" w:evenHBand="0" w:firstRowFirstColumn="0" w:firstRowLastColumn="0" w:lastRowFirstColumn="0" w:lastRowLastColumn="0"/>
            <w:tcW w:w="2371" w:type="dxa"/>
          </w:tcPr>
          <w:p w14:paraId="4D32D433" w14:textId="77777777" w:rsidR="00140B67" w:rsidRPr="002E448B" w:rsidRDefault="00140B67" w:rsidP="008D352E">
            <w:pPr>
              <w:pStyle w:val="BodyIndent1"/>
              <w:spacing w:before="120" w:after="120"/>
              <w:ind w:left="0"/>
              <w:rPr>
                <w:rFonts w:asciiTheme="majorHAnsi" w:hAnsiTheme="majorHAnsi" w:cstheme="majorHAnsi"/>
                <w:bCs w:val="0"/>
              </w:rPr>
            </w:pPr>
            <w:r w:rsidRPr="002E448B">
              <w:rPr>
                <w:rFonts w:asciiTheme="majorHAnsi" w:hAnsiTheme="majorHAnsi" w:cstheme="majorHAnsi"/>
              </w:rPr>
              <w:t>COVID-19</w:t>
            </w:r>
          </w:p>
        </w:tc>
        <w:tc>
          <w:tcPr>
            <w:tcW w:w="6694" w:type="dxa"/>
          </w:tcPr>
          <w:p w14:paraId="32037FF8" w14:textId="77777777" w:rsidR="00140B67" w:rsidRPr="002E448B" w:rsidRDefault="00140B67" w:rsidP="008D352E">
            <w:pPr>
              <w:pStyle w:val="BodyIndent1"/>
              <w:spacing w:before="120" w:after="120"/>
              <w:ind w:left="0"/>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means</w:t>
            </w:r>
            <w:proofErr w:type="gramEnd"/>
            <w:r w:rsidRPr="002E448B">
              <w:rPr>
                <w:rFonts w:asciiTheme="majorHAnsi" w:hAnsiTheme="majorHAnsi" w:cstheme="majorHAnsi"/>
              </w:rPr>
              <w:t xml:space="preserve"> the coronavirus disease caused by the severe acute respiratory syndrome coronavirus 2 (SARS-CoV-2).</w:t>
            </w:r>
          </w:p>
        </w:tc>
      </w:tr>
      <w:tr w:rsidR="00140B67" w:rsidRPr="002E448B" w14:paraId="554AA3A2" w14:textId="77777777" w:rsidTr="008D35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1" w:type="dxa"/>
          </w:tcPr>
          <w:p w14:paraId="032A122E" w14:textId="77777777" w:rsidR="00140B67" w:rsidRPr="002E448B" w:rsidRDefault="00140B67" w:rsidP="008D352E">
            <w:pPr>
              <w:pStyle w:val="BodyIndent1"/>
              <w:spacing w:before="120" w:after="120"/>
              <w:ind w:left="0"/>
              <w:rPr>
                <w:rFonts w:asciiTheme="majorHAnsi" w:hAnsiTheme="majorHAnsi" w:cstheme="majorHAnsi"/>
                <w:bCs w:val="0"/>
              </w:rPr>
            </w:pPr>
            <w:r w:rsidRPr="002E448B">
              <w:rPr>
                <w:rFonts w:asciiTheme="majorHAnsi" w:hAnsiTheme="majorHAnsi" w:cstheme="majorHAnsi"/>
              </w:rPr>
              <w:t>Data Partner</w:t>
            </w:r>
          </w:p>
        </w:tc>
        <w:tc>
          <w:tcPr>
            <w:tcW w:w="6694" w:type="dxa"/>
          </w:tcPr>
          <w:p w14:paraId="000830F4" w14:textId="77777777" w:rsidR="00140B67" w:rsidRPr="002E448B" w:rsidRDefault="00140B67" w:rsidP="008D352E">
            <w:pPr>
              <w:pStyle w:val="BodyIndent1"/>
              <w:spacing w:before="120" w:after="120"/>
              <w:ind w:left="0"/>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means</w:t>
            </w:r>
            <w:proofErr w:type="gramEnd"/>
            <w:r w:rsidRPr="002E448B">
              <w:rPr>
                <w:rFonts w:asciiTheme="majorHAnsi" w:hAnsiTheme="majorHAnsi" w:cstheme="majorHAnsi"/>
              </w:rPr>
              <w:t xml:space="preserve"> the provider contracted by Health who will design, develop and implement the VDS.</w:t>
            </w:r>
          </w:p>
        </w:tc>
      </w:tr>
      <w:tr w:rsidR="00140B67" w:rsidRPr="002E448B" w14:paraId="1AA6DF75" w14:textId="77777777" w:rsidTr="008D352E">
        <w:tc>
          <w:tcPr>
            <w:cnfStyle w:val="001000000000" w:firstRow="0" w:lastRow="0" w:firstColumn="1" w:lastColumn="0" w:oddVBand="0" w:evenVBand="0" w:oddHBand="0" w:evenHBand="0" w:firstRowFirstColumn="0" w:firstRowLastColumn="0" w:lastRowFirstColumn="0" w:lastRowLastColumn="0"/>
            <w:tcW w:w="2371" w:type="dxa"/>
          </w:tcPr>
          <w:p w14:paraId="2B746805" w14:textId="77777777" w:rsidR="00140B67" w:rsidRPr="002E448B" w:rsidRDefault="00140B67" w:rsidP="008D352E">
            <w:pPr>
              <w:pStyle w:val="BodyIndent1"/>
              <w:spacing w:before="120" w:after="120"/>
              <w:ind w:left="0"/>
              <w:rPr>
                <w:rFonts w:asciiTheme="majorHAnsi" w:hAnsiTheme="majorHAnsi" w:cstheme="majorHAnsi"/>
              </w:rPr>
            </w:pPr>
            <w:r w:rsidRPr="002E448B">
              <w:rPr>
                <w:rFonts w:asciiTheme="majorHAnsi" w:hAnsiTheme="majorHAnsi" w:cstheme="majorHAnsi"/>
              </w:rPr>
              <w:t>Distribution Chain Personnel</w:t>
            </w:r>
          </w:p>
        </w:tc>
        <w:tc>
          <w:tcPr>
            <w:tcW w:w="6694" w:type="dxa"/>
          </w:tcPr>
          <w:p w14:paraId="2BC75F7C" w14:textId="2FF2369F" w:rsidR="00140B67" w:rsidRPr="002E448B" w:rsidRDefault="005075C0" w:rsidP="008D352E">
            <w:pPr>
              <w:pStyle w:val="BodyIndent1"/>
              <w:spacing w:before="120" w:after="120"/>
              <w:ind w:left="0"/>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roofErr w:type="gramStart"/>
            <w:r w:rsidRPr="00E15F6D">
              <w:rPr>
                <w:rFonts w:asciiTheme="majorHAnsi" w:hAnsiTheme="majorHAnsi" w:cstheme="majorHAnsi"/>
              </w:rPr>
              <w:t>means</w:t>
            </w:r>
            <w:proofErr w:type="gramEnd"/>
            <w:r w:rsidRPr="00E15F6D">
              <w:rPr>
                <w:rFonts w:asciiTheme="majorHAnsi" w:hAnsiTheme="majorHAnsi" w:cstheme="majorHAnsi"/>
              </w:rPr>
              <w:t xml:space="preserve"> the </w:t>
            </w:r>
            <w:r>
              <w:rPr>
                <w:rFonts w:asciiTheme="majorHAnsi" w:hAnsiTheme="majorHAnsi" w:cstheme="majorHAnsi"/>
              </w:rPr>
              <w:t xml:space="preserve">relevant </w:t>
            </w:r>
            <w:r w:rsidRPr="00E15F6D">
              <w:rPr>
                <w:rFonts w:asciiTheme="majorHAnsi" w:hAnsiTheme="majorHAnsi" w:cstheme="majorHAnsi"/>
              </w:rPr>
              <w:t>personnel of the Supplier, of the Logistics and Distribution Partner, or at the nominated delivery location</w:t>
            </w:r>
            <w:r>
              <w:rPr>
                <w:rFonts w:asciiTheme="majorHAnsi" w:hAnsiTheme="majorHAnsi" w:cstheme="majorHAnsi"/>
              </w:rPr>
              <w:t>, whose contact details are needed for the purpose of COVID-19 vaccine distribution logistics</w:t>
            </w:r>
            <w:r w:rsidRPr="00E15F6D">
              <w:rPr>
                <w:rFonts w:asciiTheme="majorHAnsi" w:hAnsiTheme="majorHAnsi" w:cstheme="majorHAnsi"/>
              </w:rPr>
              <w:t>.</w:t>
            </w:r>
          </w:p>
        </w:tc>
      </w:tr>
      <w:tr w:rsidR="00140B67" w:rsidRPr="002E448B" w14:paraId="1F2D3B28" w14:textId="77777777" w:rsidTr="008D35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1" w:type="dxa"/>
          </w:tcPr>
          <w:p w14:paraId="0ED742F4" w14:textId="77777777" w:rsidR="00140B67" w:rsidRPr="002E448B" w:rsidRDefault="00140B67" w:rsidP="008D352E">
            <w:pPr>
              <w:pStyle w:val="BodyIndent1"/>
              <w:spacing w:before="120" w:after="120"/>
              <w:ind w:left="0"/>
              <w:rPr>
                <w:rFonts w:asciiTheme="majorHAnsi" w:hAnsiTheme="majorHAnsi" w:cstheme="majorHAnsi"/>
              </w:rPr>
            </w:pPr>
            <w:r w:rsidRPr="002E448B">
              <w:rPr>
                <w:rFonts w:asciiTheme="majorHAnsi" w:hAnsiTheme="majorHAnsi" w:cstheme="majorHAnsi"/>
              </w:rPr>
              <w:t>Distribution Chain Personnel Information</w:t>
            </w:r>
          </w:p>
        </w:tc>
        <w:tc>
          <w:tcPr>
            <w:tcW w:w="6694" w:type="dxa"/>
          </w:tcPr>
          <w:p w14:paraId="73304E00" w14:textId="77777777" w:rsidR="00140B67" w:rsidRPr="002E448B" w:rsidRDefault="00140B67" w:rsidP="008D352E">
            <w:pPr>
              <w:pStyle w:val="BodyIndent1"/>
              <w:spacing w:before="120" w:after="120"/>
              <w:ind w:left="0"/>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means</w:t>
            </w:r>
            <w:proofErr w:type="gramEnd"/>
            <w:r w:rsidRPr="002E448B">
              <w:rPr>
                <w:rFonts w:asciiTheme="majorHAnsi" w:hAnsiTheme="majorHAnsi" w:cstheme="majorHAnsi"/>
              </w:rPr>
              <w:t xml:space="preserve"> information collected about Distribution Chain Personnel, which may include personal information.</w:t>
            </w:r>
          </w:p>
        </w:tc>
      </w:tr>
      <w:tr w:rsidR="00140B67" w:rsidRPr="002E448B" w14:paraId="10344534" w14:textId="77777777" w:rsidTr="008D352E">
        <w:tc>
          <w:tcPr>
            <w:cnfStyle w:val="001000000000" w:firstRow="0" w:lastRow="0" w:firstColumn="1" w:lastColumn="0" w:oddVBand="0" w:evenVBand="0" w:oddHBand="0" w:evenHBand="0" w:firstRowFirstColumn="0" w:firstRowLastColumn="0" w:lastRowFirstColumn="0" w:lastRowLastColumn="0"/>
            <w:tcW w:w="2371" w:type="dxa"/>
          </w:tcPr>
          <w:p w14:paraId="25432967" w14:textId="77777777" w:rsidR="00140B67" w:rsidRPr="002E448B" w:rsidRDefault="00140B67" w:rsidP="008D352E">
            <w:pPr>
              <w:pStyle w:val="BodyIndent1"/>
              <w:spacing w:before="120" w:after="120"/>
              <w:ind w:left="0"/>
              <w:rPr>
                <w:rFonts w:asciiTheme="majorHAnsi" w:hAnsiTheme="majorHAnsi" w:cstheme="majorHAnsi"/>
              </w:rPr>
            </w:pPr>
            <w:r w:rsidRPr="002E448B">
              <w:rPr>
                <w:rFonts w:asciiTheme="majorHAnsi" w:hAnsiTheme="majorHAnsi" w:cstheme="majorHAnsi"/>
              </w:rPr>
              <w:t>EDW</w:t>
            </w:r>
          </w:p>
        </w:tc>
        <w:tc>
          <w:tcPr>
            <w:tcW w:w="6694" w:type="dxa"/>
          </w:tcPr>
          <w:p w14:paraId="1C980CEB" w14:textId="77777777" w:rsidR="00140B67" w:rsidRPr="002E448B" w:rsidRDefault="00140B67" w:rsidP="008D352E">
            <w:pPr>
              <w:pStyle w:val="BodyIndent1"/>
              <w:spacing w:before="120" w:after="120"/>
              <w:ind w:left="0"/>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means</w:t>
            </w:r>
            <w:proofErr w:type="gramEnd"/>
            <w:r w:rsidRPr="002E448B">
              <w:rPr>
                <w:rFonts w:asciiTheme="majorHAnsi" w:hAnsiTheme="majorHAnsi" w:cstheme="majorHAnsi"/>
              </w:rPr>
              <w:t xml:space="preserve"> the Enterprise Data Warehouse, which is a platform that supports Health’s storage of health data in a secure environment. </w:t>
            </w:r>
          </w:p>
        </w:tc>
      </w:tr>
      <w:tr w:rsidR="00140B67" w:rsidRPr="002E448B" w14:paraId="46D84161" w14:textId="77777777" w:rsidTr="008D35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1" w:type="dxa"/>
          </w:tcPr>
          <w:p w14:paraId="404F8759" w14:textId="77777777" w:rsidR="00140B67" w:rsidRPr="002E448B" w:rsidRDefault="00140B67" w:rsidP="008D352E">
            <w:pPr>
              <w:pStyle w:val="BodyIndent1"/>
              <w:spacing w:before="120" w:after="120"/>
              <w:ind w:left="0"/>
              <w:rPr>
                <w:rFonts w:asciiTheme="majorHAnsi" w:hAnsiTheme="majorHAnsi" w:cstheme="majorHAnsi"/>
                <w:bCs w:val="0"/>
              </w:rPr>
            </w:pPr>
            <w:r w:rsidRPr="002E448B">
              <w:rPr>
                <w:rFonts w:asciiTheme="majorHAnsi" w:hAnsiTheme="majorHAnsi" w:cstheme="majorHAnsi"/>
              </w:rPr>
              <w:t>Eligible Data Breach</w:t>
            </w:r>
          </w:p>
        </w:tc>
        <w:tc>
          <w:tcPr>
            <w:tcW w:w="6694" w:type="dxa"/>
          </w:tcPr>
          <w:p w14:paraId="460848A8" w14:textId="77777777" w:rsidR="00140B67" w:rsidRPr="002E448B" w:rsidRDefault="00140B67" w:rsidP="008D352E">
            <w:pPr>
              <w:pStyle w:val="BodyIndent1"/>
              <w:spacing w:before="120" w:after="120"/>
              <w:ind w:left="0"/>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i/>
              </w:rPr>
            </w:pPr>
            <w:proofErr w:type="gramStart"/>
            <w:r w:rsidRPr="002E448B">
              <w:rPr>
                <w:rFonts w:asciiTheme="majorHAnsi" w:hAnsiTheme="majorHAnsi" w:cstheme="majorHAnsi"/>
              </w:rPr>
              <w:t>has</w:t>
            </w:r>
            <w:proofErr w:type="gramEnd"/>
            <w:r w:rsidRPr="002E448B">
              <w:rPr>
                <w:rFonts w:asciiTheme="majorHAnsi" w:hAnsiTheme="majorHAnsi" w:cstheme="majorHAnsi"/>
              </w:rPr>
              <w:t xml:space="preserve"> the meaning given to that term in the Privacy Act. </w:t>
            </w:r>
          </w:p>
        </w:tc>
      </w:tr>
      <w:tr w:rsidR="00140B67" w:rsidRPr="002E448B" w14:paraId="6172C00A" w14:textId="77777777" w:rsidTr="008D352E">
        <w:tc>
          <w:tcPr>
            <w:cnfStyle w:val="001000000000" w:firstRow="0" w:lastRow="0" w:firstColumn="1" w:lastColumn="0" w:oddVBand="0" w:evenVBand="0" w:oddHBand="0" w:evenHBand="0" w:firstRowFirstColumn="0" w:firstRowLastColumn="0" w:lastRowFirstColumn="0" w:lastRowLastColumn="0"/>
            <w:tcW w:w="2371" w:type="dxa"/>
          </w:tcPr>
          <w:p w14:paraId="7150F2BD" w14:textId="77777777" w:rsidR="00140B67" w:rsidRPr="002E448B" w:rsidRDefault="00140B67" w:rsidP="008D352E">
            <w:pPr>
              <w:pStyle w:val="BodyIndent1"/>
              <w:spacing w:before="120" w:after="120"/>
              <w:ind w:left="0"/>
              <w:rPr>
                <w:rFonts w:asciiTheme="majorHAnsi" w:hAnsiTheme="majorHAnsi" w:cstheme="majorHAnsi"/>
                <w:bCs w:val="0"/>
              </w:rPr>
            </w:pPr>
            <w:r w:rsidRPr="002E448B">
              <w:rPr>
                <w:rFonts w:asciiTheme="majorHAnsi" w:hAnsiTheme="majorHAnsi" w:cstheme="majorHAnsi"/>
              </w:rPr>
              <w:t>FOI Act</w:t>
            </w:r>
          </w:p>
        </w:tc>
        <w:tc>
          <w:tcPr>
            <w:tcW w:w="6694" w:type="dxa"/>
          </w:tcPr>
          <w:p w14:paraId="497D27F5" w14:textId="77777777" w:rsidR="00140B67" w:rsidRPr="002E448B" w:rsidRDefault="00140B67" w:rsidP="008D352E">
            <w:pPr>
              <w:pStyle w:val="BodyIndent1"/>
              <w:spacing w:before="120" w:after="120"/>
              <w:ind w:left="0"/>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means</w:t>
            </w:r>
            <w:proofErr w:type="gramEnd"/>
            <w:r w:rsidRPr="002E448B">
              <w:rPr>
                <w:rFonts w:asciiTheme="majorHAnsi" w:hAnsiTheme="majorHAnsi" w:cstheme="majorHAnsi"/>
              </w:rPr>
              <w:t xml:space="preserve"> the </w:t>
            </w:r>
            <w:r w:rsidRPr="002E448B">
              <w:rPr>
                <w:rFonts w:asciiTheme="majorHAnsi" w:hAnsiTheme="majorHAnsi" w:cstheme="majorHAnsi"/>
                <w:i/>
                <w:iCs/>
              </w:rPr>
              <w:t>Freedom of Information Act 1982</w:t>
            </w:r>
            <w:r w:rsidRPr="002E448B">
              <w:rPr>
                <w:rFonts w:asciiTheme="majorHAnsi" w:hAnsiTheme="majorHAnsi" w:cstheme="majorHAnsi"/>
              </w:rPr>
              <w:t xml:space="preserve"> (</w:t>
            </w:r>
            <w:proofErr w:type="spellStart"/>
            <w:r w:rsidRPr="002E448B">
              <w:rPr>
                <w:rFonts w:asciiTheme="majorHAnsi" w:hAnsiTheme="majorHAnsi" w:cstheme="majorHAnsi"/>
              </w:rPr>
              <w:t>Cth</w:t>
            </w:r>
            <w:proofErr w:type="spellEnd"/>
            <w:r w:rsidRPr="002E448B">
              <w:rPr>
                <w:rFonts w:asciiTheme="majorHAnsi" w:hAnsiTheme="majorHAnsi" w:cstheme="majorHAnsi"/>
              </w:rPr>
              <w:t>).</w:t>
            </w:r>
          </w:p>
        </w:tc>
      </w:tr>
      <w:tr w:rsidR="00140B67" w:rsidRPr="002E448B" w14:paraId="0BE5322D" w14:textId="77777777" w:rsidTr="008D35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1" w:type="dxa"/>
          </w:tcPr>
          <w:p w14:paraId="0A3E17E7" w14:textId="77777777" w:rsidR="00140B67" w:rsidRPr="002E448B" w:rsidRDefault="00140B67" w:rsidP="008D352E">
            <w:pPr>
              <w:pStyle w:val="BodyIndent1"/>
              <w:spacing w:before="120" w:after="120"/>
              <w:ind w:left="0"/>
              <w:rPr>
                <w:rFonts w:asciiTheme="majorHAnsi" w:hAnsiTheme="majorHAnsi" w:cstheme="majorHAnsi"/>
                <w:bCs w:val="0"/>
              </w:rPr>
            </w:pPr>
            <w:r w:rsidRPr="002E448B">
              <w:rPr>
                <w:rFonts w:asciiTheme="majorHAnsi" w:hAnsiTheme="majorHAnsi" w:cstheme="majorHAnsi"/>
              </w:rPr>
              <w:t>Health</w:t>
            </w:r>
          </w:p>
        </w:tc>
        <w:tc>
          <w:tcPr>
            <w:tcW w:w="6694" w:type="dxa"/>
          </w:tcPr>
          <w:p w14:paraId="0B27AB59" w14:textId="77777777" w:rsidR="00140B67" w:rsidRPr="002E448B" w:rsidRDefault="00140B67" w:rsidP="008D352E">
            <w:pPr>
              <w:pStyle w:val="BodyIndent1"/>
              <w:spacing w:before="120" w:after="120"/>
              <w:ind w:left="0"/>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means</w:t>
            </w:r>
            <w:proofErr w:type="gramEnd"/>
            <w:r w:rsidRPr="002E448B">
              <w:rPr>
                <w:rFonts w:asciiTheme="majorHAnsi" w:hAnsiTheme="majorHAnsi" w:cstheme="majorHAnsi"/>
              </w:rPr>
              <w:t xml:space="preserve"> the Commonwealth Department of Health.</w:t>
            </w:r>
          </w:p>
        </w:tc>
      </w:tr>
      <w:tr w:rsidR="00140B67" w:rsidRPr="002E448B" w14:paraId="0C68E924" w14:textId="77777777" w:rsidTr="008D352E">
        <w:tc>
          <w:tcPr>
            <w:cnfStyle w:val="001000000000" w:firstRow="0" w:lastRow="0" w:firstColumn="1" w:lastColumn="0" w:oddVBand="0" w:evenVBand="0" w:oddHBand="0" w:evenHBand="0" w:firstRowFirstColumn="0" w:firstRowLastColumn="0" w:lastRowFirstColumn="0" w:lastRowLastColumn="0"/>
            <w:tcW w:w="2371" w:type="dxa"/>
          </w:tcPr>
          <w:p w14:paraId="72C2AEB4" w14:textId="77777777" w:rsidR="00140B67" w:rsidRPr="002E448B" w:rsidRDefault="00140B67" w:rsidP="008D352E">
            <w:pPr>
              <w:pStyle w:val="BodyIndent1"/>
              <w:spacing w:before="120" w:after="120"/>
              <w:ind w:left="0"/>
              <w:rPr>
                <w:rFonts w:asciiTheme="majorHAnsi" w:hAnsiTheme="majorHAnsi" w:cstheme="majorHAnsi"/>
              </w:rPr>
            </w:pPr>
            <w:r w:rsidRPr="002E448B">
              <w:rPr>
                <w:rFonts w:asciiTheme="majorHAnsi" w:hAnsiTheme="majorHAnsi" w:cstheme="majorHAnsi"/>
              </w:rPr>
              <w:t>Information Flow</w:t>
            </w:r>
          </w:p>
        </w:tc>
        <w:tc>
          <w:tcPr>
            <w:tcW w:w="6694" w:type="dxa"/>
          </w:tcPr>
          <w:p w14:paraId="31B51EBC" w14:textId="77777777" w:rsidR="00140B67" w:rsidRPr="002E448B" w:rsidRDefault="00140B67" w:rsidP="008D352E">
            <w:pPr>
              <w:pStyle w:val="BodyIndent1"/>
              <w:spacing w:before="120" w:after="120"/>
              <w:ind w:left="0"/>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means</w:t>
            </w:r>
            <w:proofErr w:type="gramEnd"/>
            <w:r w:rsidRPr="002E448B">
              <w:rPr>
                <w:rFonts w:asciiTheme="majorHAnsi" w:hAnsiTheme="majorHAnsi" w:cstheme="majorHAnsi"/>
              </w:rPr>
              <w:t xml:space="preserve"> a flow of personal information as described in this PIA report.</w:t>
            </w:r>
          </w:p>
        </w:tc>
      </w:tr>
      <w:tr w:rsidR="00140B67" w:rsidRPr="002E448B" w14:paraId="4DA1A82C" w14:textId="77777777" w:rsidTr="008D35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1" w:type="dxa"/>
          </w:tcPr>
          <w:p w14:paraId="2FC4D190" w14:textId="77777777" w:rsidR="00140B67" w:rsidRPr="002E448B" w:rsidRDefault="00140B67" w:rsidP="008D352E">
            <w:pPr>
              <w:pStyle w:val="BodyIndent1"/>
              <w:spacing w:before="120" w:after="120"/>
              <w:ind w:left="0"/>
              <w:rPr>
                <w:rFonts w:asciiTheme="majorHAnsi" w:hAnsiTheme="majorHAnsi" w:cstheme="majorHAnsi"/>
              </w:rPr>
            </w:pPr>
            <w:r w:rsidRPr="002E448B">
              <w:rPr>
                <w:rFonts w:asciiTheme="majorHAnsi" w:hAnsiTheme="majorHAnsi" w:cstheme="majorHAnsi"/>
              </w:rPr>
              <w:t>Integrated Platform</w:t>
            </w:r>
          </w:p>
        </w:tc>
        <w:tc>
          <w:tcPr>
            <w:tcW w:w="6694" w:type="dxa"/>
          </w:tcPr>
          <w:p w14:paraId="2CA83FBB" w14:textId="77777777" w:rsidR="00140B67" w:rsidRPr="002E448B" w:rsidRDefault="00140B67" w:rsidP="008D352E">
            <w:pPr>
              <w:pStyle w:val="BodyIndent1"/>
              <w:spacing w:before="120" w:after="120"/>
              <w:ind w:left="0"/>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means</w:t>
            </w:r>
            <w:proofErr w:type="gramEnd"/>
            <w:r w:rsidRPr="002E448B">
              <w:rPr>
                <w:rFonts w:asciiTheme="majorHAnsi" w:hAnsiTheme="majorHAnsi" w:cstheme="majorHAnsi"/>
              </w:rPr>
              <w:t xml:space="preserve"> the Australian Government’s new clinical vaccine integrated platform that is being developed by the ADHA, designed to assist with streamlining Information Flows. </w:t>
            </w:r>
          </w:p>
        </w:tc>
      </w:tr>
      <w:tr w:rsidR="00140B67" w:rsidRPr="002E448B" w14:paraId="78DF817B" w14:textId="77777777" w:rsidTr="008D352E">
        <w:tc>
          <w:tcPr>
            <w:cnfStyle w:val="001000000000" w:firstRow="0" w:lastRow="0" w:firstColumn="1" w:lastColumn="0" w:oddVBand="0" w:evenVBand="0" w:oddHBand="0" w:evenHBand="0" w:firstRowFirstColumn="0" w:firstRowLastColumn="0" w:lastRowFirstColumn="0" w:lastRowLastColumn="0"/>
            <w:tcW w:w="2371" w:type="dxa"/>
          </w:tcPr>
          <w:p w14:paraId="4DBD8583" w14:textId="77777777" w:rsidR="00140B67" w:rsidRPr="002E448B" w:rsidRDefault="00140B67" w:rsidP="008D352E">
            <w:pPr>
              <w:pStyle w:val="BodyIndent1"/>
              <w:spacing w:before="120" w:after="120"/>
              <w:ind w:left="0"/>
              <w:rPr>
                <w:rFonts w:asciiTheme="majorHAnsi" w:hAnsiTheme="majorHAnsi" w:cstheme="majorHAnsi"/>
                <w:bCs w:val="0"/>
              </w:rPr>
            </w:pPr>
            <w:r w:rsidRPr="002E448B">
              <w:rPr>
                <w:rFonts w:asciiTheme="majorHAnsi" w:hAnsiTheme="majorHAnsi" w:cstheme="majorHAnsi"/>
              </w:rPr>
              <w:t>Logistics and Distribution Partner</w:t>
            </w:r>
          </w:p>
        </w:tc>
        <w:tc>
          <w:tcPr>
            <w:tcW w:w="6694" w:type="dxa"/>
          </w:tcPr>
          <w:p w14:paraId="7AB7D125" w14:textId="77777777" w:rsidR="00140B67" w:rsidRPr="002E448B" w:rsidRDefault="00140B67" w:rsidP="008D352E">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means</w:t>
            </w:r>
            <w:proofErr w:type="gramEnd"/>
            <w:r w:rsidRPr="002E448B">
              <w:rPr>
                <w:rFonts w:asciiTheme="majorHAnsi" w:hAnsiTheme="majorHAnsi" w:cstheme="majorHAnsi"/>
              </w:rPr>
              <w:t xml:space="preserve"> the provider contracted by Health who will co-design, establish and operate a logistics and distribution network for COVID-19 vaccines, and who is responsible for the distribution of the COVID-19 vaccines in connection with Phase 1a of the Vaccine Strategy.</w:t>
            </w:r>
          </w:p>
        </w:tc>
      </w:tr>
      <w:tr w:rsidR="00140B67" w:rsidRPr="002E448B" w14:paraId="6840C082" w14:textId="77777777" w:rsidTr="008D35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1" w:type="dxa"/>
          </w:tcPr>
          <w:p w14:paraId="3177546E" w14:textId="77777777" w:rsidR="00140B67" w:rsidRPr="002E448B" w:rsidRDefault="00140B67" w:rsidP="008D352E">
            <w:pPr>
              <w:pStyle w:val="BodyIndent1"/>
              <w:spacing w:before="120" w:after="120"/>
              <w:ind w:left="0"/>
              <w:rPr>
                <w:rFonts w:asciiTheme="majorHAnsi" w:hAnsiTheme="majorHAnsi" w:cstheme="majorHAnsi"/>
                <w:bCs w:val="0"/>
              </w:rPr>
            </w:pPr>
            <w:r w:rsidRPr="002E448B">
              <w:rPr>
                <w:rFonts w:asciiTheme="majorHAnsi" w:hAnsiTheme="majorHAnsi" w:cstheme="majorHAnsi"/>
              </w:rPr>
              <w:t>My Health Record</w:t>
            </w:r>
          </w:p>
        </w:tc>
        <w:tc>
          <w:tcPr>
            <w:tcW w:w="6694" w:type="dxa"/>
          </w:tcPr>
          <w:p w14:paraId="49EEC678" w14:textId="77777777" w:rsidR="00140B67" w:rsidRPr="002E448B" w:rsidRDefault="00140B67" w:rsidP="008D352E">
            <w:pPr>
              <w:pStyle w:val="BodyIndent1"/>
              <w:spacing w:before="120" w:after="120"/>
              <w:ind w:left="0"/>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means</w:t>
            </w:r>
            <w:proofErr w:type="gramEnd"/>
            <w:r w:rsidRPr="002E448B">
              <w:rPr>
                <w:rFonts w:asciiTheme="majorHAnsi" w:hAnsiTheme="majorHAnsi" w:cstheme="majorHAnsi"/>
              </w:rPr>
              <w:t xml:space="preserve"> the online summary of a Patient’s key health information.</w:t>
            </w:r>
          </w:p>
        </w:tc>
      </w:tr>
      <w:tr w:rsidR="00140B67" w:rsidRPr="002E448B" w14:paraId="3FFC8CDC" w14:textId="77777777" w:rsidTr="008D352E">
        <w:tc>
          <w:tcPr>
            <w:cnfStyle w:val="001000000000" w:firstRow="0" w:lastRow="0" w:firstColumn="1" w:lastColumn="0" w:oddVBand="0" w:evenVBand="0" w:oddHBand="0" w:evenHBand="0" w:firstRowFirstColumn="0" w:firstRowLastColumn="0" w:lastRowFirstColumn="0" w:lastRowLastColumn="0"/>
            <w:tcW w:w="2371" w:type="dxa"/>
          </w:tcPr>
          <w:p w14:paraId="1726300B" w14:textId="77777777" w:rsidR="00140B67" w:rsidRPr="002E448B" w:rsidRDefault="00140B67" w:rsidP="008D352E">
            <w:pPr>
              <w:pStyle w:val="BodyIndent1"/>
              <w:spacing w:before="120" w:after="120"/>
              <w:ind w:left="0"/>
              <w:rPr>
                <w:rFonts w:asciiTheme="majorHAnsi" w:hAnsiTheme="majorHAnsi" w:cstheme="majorHAnsi"/>
                <w:bCs w:val="0"/>
              </w:rPr>
            </w:pPr>
            <w:r w:rsidRPr="002E448B">
              <w:rPr>
                <w:rFonts w:asciiTheme="majorHAnsi" w:hAnsiTheme="majorHAnsi" w:cstheme="majorHAnsi"/>
              </w:rPr>
              <w:t>OAIC</w:t>
            </w:r>
          </w:p>
        </w:tc>
        <w:tc>
          <w:tcPr>
            <w:tcW w:w="6694" w:type="dxa"/>
          </w:tcPr>
          <w:p w14:paraId="2F0DD04B" w14:textId="77777777" w:rsidR="00140B67" w:rsidRPr="002E448B" w:rsidRDefault="00140B67" w:rsidP="008D352E">
            <w:pPr>
              <w:pStyle w:val="BodyIndent1"/>
              <w:spacing w:before="120" w:after="120"/>
              <w:ind w:left="0"/>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means</w:t>
            </w:r>
            <w:proofErr w:type="gramEnd"/>
            <w:r w:rsidRPr="002E448B">
              <w:rPr>
                <w:rFonts w:asciiTheme="majorHAnsi" w:hAnsiTheme="majorHAnsi" w:cstheme="majorHAnsi"/>
              </w:rPr>
              <w:t xml:space="preserve"> the Office of the Australian Information Commissioner. </w:t>
            </w:r>
          </w:p>
        </w:tc>
      </w:tr>
      <w:tr w:rsidR="00140B67" w:rsidRPr="002E448B" w14:paraId="35720810" w14:textId="77777777" w:rsidTr="008D35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1" w:type="dxa"/>
          </w:tcPr>
          <w:p w14:paraId="56B4B5ED" w14:textId="77777777" w:rsidR="00140B67" w:rsidRPr="002E448B" w:rsidRDefault="00140B67" w:rsidP="008D352E">
            <w:pPr>
              <w:pStyle w:val="BodyIndent1"/>
              <w:spacing w:before="120" w:after="120"/>
              <w:ind w:left="0"/>
              <w:rPr>
                <w:rFonts w:asciiTheme="majorHAnsi" w:hAnsiTheme="majorHAnsi" w:cstheme="majorHAnsi"/>
                <w:bCs w:val="0"/>
              </w:rPr>
            </w:pPr>
            <w:r w:rsidRPr="002E448B">
              <w:rPr>
                <w:rFonts w:asciiTheme="majorHAnsi" w:hAnsiTheme="majorHAnsi" w:cstheme="majorHAnsi"/>
              </w:rPr>
              <w:t xml:space="preserve">organisation </w:t>
            </w:r>
          </w:p>
        </w:tc>
        <w:tc>
          <w:tcPr>
            <w:tcW w:w="6694" w:type="dxa"/>
          </w:tcPr>
          <w:p w14:paraId="6DB4356A" w14:textId="77777777" w:rsidR="00140B67" w:rsidRPr="002E448B" w:rsidRDefault="00140B67" w:rsidP="008D352E">
            <w:pPr>
              <w:pStyle w:val="BodyIndent1"/>
              <w:spacing w:before="120" w:after="120"/>
              <w:ind w:left="0"/>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has</w:t>
            </w:r>
            <w:proofErr w:type="gramEnd"/>
            <w:r w:rsidRPr="002E448B">
              <w:rPr>
                <w:rFonts w:asciiTheme="majorHAnsi" w:hAnsiTheme="majorHAnsi" w:cstheme="majorHAnsi"/>
              </w:rPr>
              <w:t xml:space="preserve"> the same meaning given by section 6C of the Privacy Act.</w:t>
            </w:r>
          </w:p>
        </w:tc>
      </w:tr>
      <w:tr w:rsidR="00140B67" w:rsidRPr="002E448B" w14:paraId="1FDD5744" w14:textId="77777777" w:rsidTr="008D352E">
        <w:tc>
          <w:tcPr>
            <w:cnfStyle w:val="001000000000" w:firstRow="0" w:lastRow="0" w:firstColumn="1" w:lastColumn="0" w:oddVBand="0" w:evenVBand="0" w:oddHBand="0" w:evenHBand="0" w:firstRowFirstColumn="0" w:firstRowLastColumn="0" w:lastRowFirstColumn="0" w:lastRowLastColumn="0"/>
            <w:tcW w:w="2371" w:type="dxa"/>
          </w:tcPr>
          <w:p w14:paraId="72AC1EA8" w14:textId="77777777" w:rsidR="00140B67" w:rsidRPr="002E448B" w:rsidRDefault="00140B67" w:rsidP="008D352E">
            <w:pPr>
              <w:pStyle w:val="BodyIndent1"/>
              <w:spacing w:before="120" w:after="120"/>
              <w:ind w:left="0"/>
              <w:rPr>
                <w:rFonts w:asciiTheme="majorHAnsi" w:hAnsiTheme="majorHAnsi" w:cstheme="majorHAnsi"/>
                <w:bCs w:val="0"/>
              </w:rPr>
            </w:pPr>
            <w:r w:rsidRPr="002E448B">
              <w:rPr>
                <w:rFonts w:asciiTheme="majorHAnsi" w:hAnsiTheme="majorHAnsi" w:cstheme="majorHAnsi"/>
              </w:rPr>
              <w:t>Partners</w:t>
            </w:r>
          </w:p>
        </w:tc>
        <w:tc>
          <w:tcPr>
            <w:tcW w:w="6694" w:type="dxa"/>
          </w:tcPr>
          <w:p w14:paraId="502112DC" w14:textId="77777777" w:rsidR="00140B67" w:rsidRPr="002E448B" w:rsidRDefault="00140B67" w:rsidP="008D352E">
            <w:pPr>
              <w:pStyle w:val="BodyIndent1"/>
              <w:spacing w:before="120" w:after="120"/>
              <w:ind w:left="0"/>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collectively</w:t>
            </w:r>
            <w:proofErr w:type="gramEnd"/>
            <w:r w:rsidRPr="002E448B">
              <w:rPr>
                <w:rFonts w:asciiTheme="majorHAnsi" w:hAnsiTheme="majorHAnsi" w:cstheme="majorHAnsi"/>
              </w:rPr>
              <w:t xml:space="preserve"> means the Data Partner, Strategy Partner, Logistics and Distribution Partner, Vaccine Administrator, and Training Partner, as engaged by Health under a Partner Contract.</w:t>
            </w:r>
          </w:p>
        </w:tc>
      </w:tr>
      <w:tr w:rsidR="00140B67" w:rsidRPr="002E448B" w14:paraId="6506923E" w14:textId="77777777" w:rsidTr="008D35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1" w:type="dxa"/>
          </w:tcPr>
          <w:p w14:paraId="0969A146" w14:textId="77777777" w:rsidR="00140B67" w:rsidRPr="002E448B" w:rsidRDefault="00140B67" w:rsidP="008D352E">
            <w:pPr>
              <w:pStyle w:val="BodyIndent1"/>
              <w:spacing w:before="120" w:after="120"/>
              <w:ind w:left="0"/>
              <w:rPr>
                <w:rFonts w:asciiTheme="majorHAnsi" w:hAnsiTheme="majorHAnsi" w:cstheme="majorHAnsi"/>
              </w:rPr>
            </w:pPr>
            <w:r w:rsidRPr="002E448B">
              <w:rPr>
                <w:rFonts w:asciiTheme="majorHAnsi" w:hAnsiTheme="majorHAnsi" w:cstheme="majorHAnsi"/>
              </w:rPr>
              <w:t>Partner Contract</w:t>
            </w:r>
          </w:p>
        </w:tc>
        <w:tc>
          <w:tcPr>
            <w:tcW w:w="6694" w:type="dxa"/>
          </w:tcPr>
          <w:p w14:paraId="345CBE8A" w14:textId="77777777" w:rsidR="00140B67" w:rsidRPr="002E448B" w:rsidRDefault="00140B67" w:rsidP="008D352E">
            <w:pPr>
              <w:pStyle w:val="BodyIndent1"/>
              <w:spacing w:before="120" w:after="120"/>
              <w:ind w:left="0"/>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means</w:t>
            </w:r>
            <w:proofErr w:type="gramEnd"/>
            <w:r w:rsidRPr="002E448B">
              <w:rPr>
                <w:rFonts w:asciiTheme="majorHAnsi" w:hAnsiTheme="majorHAnsi" w:cstheme="majorHAnsi"/>
              </w:rPr>
              <w:t xml:space="preserve"> the contractual arrangements between Health and a Partner. </w:t>
            </w:r>
          </w:p>
        </w:tc>
      </w:tr>
      <w:tr w:rsidR="00140B67" w:rsidRPr="002E448B" w14:paraId="5A716505" w14:textId="77777777" w:rsidTr="008D352E">
        <w:tc>
          <w:tcPr>
            <w:cnfStyle w:val="001000000000" w:firstRow="0" w:lastRow="0" w:firstColumn="1" w:lastColumn="0" w:oddVBand="0" w:evenVBand="0" w:oddHBand="0" w:evenHBand="0" w:firstRowFirstColumn="0" w:firstRowLastColumn="0" w:lastRowFirstColumn="0" w:lastRowLastColumn="0"/>
            <w:tcW w:w="2371" w:type="dxa"/>
          </w:tcPr>
          <w:p w14:paraId="482533C2" w14:textId="77777777" w:rsidR="00140B67" w:rsidRPr="002E448B" w:rsidRDefault="00140B67" w:rsidP="008D352E">
            <w:pPr>
              <w:pStyle w:val="BodyIndent1"/>
              <w:spacing w:before="120" w:after="120"/>
              <w:ind w:left="0"/>
              <w:rPr>
                <w:rFonts w:asciiTheme="majorHAnsi" w:hAnsiTheme="majorHAnsi" w:cstheme="majorHAnsi"/>
                <w:bCs w:val="0"/>
              </w:rPr>
            </w:pPr>
            <w:r w:rsidRPr="002E448B">
              <w:rPr>
                <w:rFonts w:asciiTheme="majorHAnsi" w:hAnsiTheme="majorHAnsi" w:cstheme="majorHAnsi"/>
              </w:rPr>
              <w:t>Patient</w:t>
            </w:r>
          </w:p>
        </w:tc>
        <w:tc>
          <w:tcPr>
            <w:tcW w:w="6694" w:type="dxa"/>
          </w:tcPr>
          <w:p w14:paraId="563F6E25" w14:textId="77777777" w:rsidR="00140B67" w:rsidRPr="002E448B" w:rsidRDefault="00140B67" w:rsidP="008D352E">
            <w:pPr>
              <w:pStyle w:val="BodyIndent1"/>
              <w:spacing w:before="120" w:after="120"/>
              <w:ind w:left="0"/>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means</w:t>
            </w:r>
            <w:proofErr w:type="gramEnd"/>
            <w:r w:rsidRPr="002E448B">
              <w:rPr>
                <w:rFonts w:asciiTheme="majorHAnsi" w:hAnsiTheme="majorHAnsi" w:cstheme="majorHAnsi"/>
              </w:rPr>
              <w:t xml:space="preserve"> an individual wishing to receive a vaccine for COVID-19.</w:t>
            </w:r>
          </w:p>
        </w:tc>
      </w:tr>
      <w:tr w:rsidR="00140B67" w:rsidRPr="002E448B" w14:paraId="72CCFE5D" w14:textId="77777777" w:rsidTr="008D35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1" w:type="dxa"/>
          </w:tcPr>
          <w:p w14:paraId="4B3D5A04" w14:textId="77777777" w:rsidR="00140B67" w:rsidRPr="002E448B" w:rsidRDefault="00140B67" w:rsidP="008D352E">
            <w:pPr>
              <w:pStyle w:val="BodyIndent1"/>
              <w:spacing w:before="120" w:after="120"/>
              <w:ind w:left="0"/>
              <w:rPr>
                <w:rFonts w:asciiTheme="majorHAnsi" w:hAnsiTheme="majorHAnsi" w:cstheme="majorHAnsi"/>
              </w:rPr>
            </w:pPr>
            <w:r w:rsidRPr="002E448B">
              <w:rPr>
                <w:rFonts w:asciiTheme="majorHAnsi" w:hAnsiTheme="majorHAnsi" w:cstheme="majorHAnsi"/>
              </w:rPr>
              <w:t>Patient Information</w:t>
            </w:r>
          </w:p>
        </w:tc>
        <w:tc>
          <w:tcPr>
            <w:tcW w:w="6694" w:type="dxa"/>
          </w:tcPr>
          <w:p w14:paraId="0BB32632" w14:textId="77777777" w:rsidR="00140B67" w:rsidRPr="002E448B" w:rsidRDefault="00140B67" w:rsidP="008D352E">
            <w:pPr>
              <w:pStyle w:val="BodyIndent1"/>
              <w:spacing w:before="120" w:after="120"/>
              <w:ind w:left="0"/>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means</w:t>
            </w:r>
            <w:proofErr w:type="gramEnd"/>
            <w:r w:rsidRPr="002E448B">
              <w:rPr>
                <w:rFonts w:asciiTheme="majorHAnsi" w:hAnsiTheme="majorHAnsi" w:cstheme="majorHAnsi"/>
              </w:rPr>
              <w:t xml:space="preserve"> information collected about a Patient, which may include personal information (including sensitive information).</w:t>
            </w:r>
          </w:p>
        </w:tc>
      </w:tr>
      <w:tr w:rsidR="00140B67" w:rsidRPr="002E448B" w14:paraId="6803E63A" w14:textId="77777777" w:rsidTr="008D352E">
        <w:tc>
          <w:tcPr>
            <w:cnfStyle w:val="001000000000" w:firstRow="0" w:lastRow="0" w:firstColumn="1" w:lastColumn="0" w:oddVBand="0" w:evenVBand="0" w:oddHBand="0" w:evenHBand="0" w:firstRowFirstColumn="0" w:firstRowLastColumn="0" w:lastRowFirstColumn="0" w:lastRowLastColumn="0"/>
            <w:tcW w:w="2371" w:type="dxa"/>
          </w:tcPr>
          <w:p w14:paraId="3D472A73" w14:textId="77777777" w:rsidR="00140B67" w:rsidRPr="002E448B" w:rsidRDefault="00140B67" w:rsidP="008D352E">
            <w:pPr>
              <w:pStyle w:val="BodyIndent1"/>
              <w:spacing w:before="120" w:after="120"/>
              <w:ind w:left="0"/>
              <w:rPr>
                <w:rFonts w:asciiTheme="majorHAnsi" w:hAnsiTheme="majorHAnsi" w:cstheme="majorHAnsi"/>
                <w:bCs w:val="0"/>
              </w:rPr>
            </w:pPr>
            <w:r w:rsidRPr="002E448B">
              <w:rPr>
                <w:rFonts w:asciiTheme="majorHAnsi" w:hAnsiTheme="majorHAnsi" w:cstheme="majorHAnsi"/>
              </w:rPr>
              <w:t>personal information</w:t>
            </w:r>
          </w:p>
        </w:tc>
        <w:tc>
          <w:tcPr>
            <w:tcW w:w="6694" w:type="dxa"/>
          </w:tcPr>
          <w:p w14:paraId="6E345092" w14:textId="77777777" w:rsidR="00140B67" w:rsidRPr="002E448B" w:rsidRDefault="00140B67" w:rsidP="008D352E">
            <w:pPr>
              <w:pStyle w:val="BodyIndent1"/>
              <w:spacing w:before="120" w:after="120"/>
              <w:ind w:left="0"/>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has</w:t>
            </w:r>
            <w:proofErr w:type="gramEnd"/>
            <w:r w:rsidRPr="002E448B">
              <w:rPr>
                <w:rFonts w:asciiTheme="majorHAnsi" w:hAnsiTheme="majorHAnsi" w:cstheme="majorHAnsi"/>
              </w:rPr>
              <w:t xml:space="preserve"> the meaning given in section 6 of the Privacy Act. </w:t>
            </w:r>
          </w:p>
        </w:tc>
      </w:tr>
      <w:tr w:rsidR="00140B67" w:rsidRPr="002E448B" w14:paraId="4C015427" w14:textId="77777777" w:rsidTr="008D35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1" w:type="dxa"/>
          </w:tcPr>
          <w:p w14:paraId="78A41C34" w14:textId="77777777" w:rsidR="00140B67" w:rsidRPr="002E448B" w:rsidRDefault="00140B67" w:rsidP="008D352E">
            <w:pPr>
              <w:pStyle w:val="BodyIndent1"/>
              <w:spacing w:before="120" w:after="120"/>
              <w:ind w:left="0"/>
              <w:rPr>
                <w:rFonts w:asciiTheme="majorHAnsi" w:hAnsiTheme="majorHAnsi" w:cstheme="majorHAnsi"/>
                <w:bCs w:val="0"/>
              </w:rPr>
            </w:pPr>
            <w:r w:rsidRPr="002E448B">
              <w:rPr>
                <w:rFonts w:asciiTheme="majorHAnsi" w:hAnsiTheme="majorHAnsi" w:cstheme="majorHAnsi"/>
              </w:rPr>
              <w:t>PIA</w:t>
            </w:r>
          </w:p>
        </w:tc>
        <w:tc>
          <w:tcPr>
            <w:tcW w:w="6694" w:type="dxa"/>
          </w:tcPr>
          <w:p w14:paraId="4ADAEEA0" w14:textId="77777777" w:rsidR="00140B67" w:rsidRPr="002E448B" w:rsidRDefault="00140B67" w:rsidP="008D352E">
            <w:pPr>
              <w:pStyle w:val="BodyIndent1"/>
              <w:spacing w:before="120" w:after="120"/>
              <w:ind w:left="0"/>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means</w:t>
            </w:r>
            <w:proofErr w:type="gramEnd"/>
            <w:r w:rsidRPr="002E448B">
              <w:rPr>
                <w:rFonts w:asciiTheme="majorHAnsi" w:hAnsiTheme="majorHAnsi" w:cstheme="majorHAnsi"/>
              </w:rPr>
              <w:t xml:space="preserve"> this privacy impact assessment. </w:t>
            </w:r>
          </w:p>
        </w:tc>
      </w:tr>
      <w:tr w:rsidR="00140B67" w:rsidRPr="002E448B" w14:paraId="1F1C4101" w14:textId="77777777" w:rsidTr="008D352E">
        <w:tc>
          <w:tcPr>
            <w:cnfStyle w:val="001000000000" w:firstRow="0" w:lastRow="0" w:firstColumn="1" w:lastColumn="0" w:oddVBand="0" w:evenVBand="0" w:oddHBand="0" w:evenHBand="0" w:firstRowFirstColumn="0" w:firstRowLastColumn="0" w:lastRowFirstColumn="0" w:lastRowLastColumn="0"/>
            <w:tcW w:w="2371" w:type="dxa"/>
          </w:tcPr>
          <w:p w14:paraId="6A0648D0" w14:textId="77777777" w:rsidR="00140B67" w:rsidRPr="002E448B" w:rsidRDefault="00140B67" w:rsidP="008D352E">
            <w:pPr>
              <w:pStyle w:val="BodyIndent1"/>
              <w:spacing w:before="120" w:after="120"/>
              <w:ind w:left="0"/>
              <w:rPr>
                <w:rFonts w:asciiTheme="majorHAnsi" w:hAnsiTheme="majorHAnsi" w:cstheme="majorHAnsi"/>
                <w:bCs w:val="0"/>
              </w:rPr>
            </w:pPr>
            <w:r w:rsidRPr="002E448B">
              <w:rPr>
                <w:rFonts w:asciiTheme="majorHAnsi" w:hAnsiTheme="majorHAnsi" w:cstheme="majorHAnsi"/>
              </w:rPr>
              <w:t>Privacy Act</w:t>
            </w:r>
          </w:p>
        </w:tc>
        <w:tc>
          <w:tcPr>
            <w:tcW w:w="6694" w:type="dxa"/>
          </w:tcPr>
          <w:p w14:paraId="0E243BF1" w14:textId="77777777" w:rsidR="00140B67" w:rsidRPr="002E448B" w:rsidRDefault="00140B67" w:rsidP="008D352E">
            <w:pPr>
              <w:pStyle w:val="BodyIndent1"/>
              <w:spacing w:before="120" w:after="120"/>
              <w:ind w:left="0"/>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means</w:t>
            </w:r>
            <w:proofErr w:type="gramEnd"/>
            <w:r w:rsidRPr="002E448B">
              <w:rPr>
                <w:rFonts w:asciiTheme="majorHAnsi" w:hAnsiTheme="majorHAnsi" w:cstheme="majorHAnsi"/>
              </w:rPr>
              <w:t xml:space="preserve"> the </w:t>
            </w:r>
            <w:r w:rsidRPr="002E448B">
              <w:rPr>
                <w:rFonts w:asciiTheme="majorHAnsi" w:hAnsiTheme="majorHAnsi" w:cstheme="majorHAnsi"/>
                <w:i/>
              </w:rPr>
              <w:t>Privacy Act 1988</w:t>
            </w:r>
            <w:r w:rsidRPr="002E448B">
              <w:rPr>
                <w:rFonts w:asciiTheme="majorHAnsi" w:hAnsiTheme="majorHAnsi" w:cstheme="majorHAnsi"/>
              </w:rPr>
              <w:t xml:space="preserve"> (</w:t>
            </w:r>
            <w:proofErr w:type="spellStart"/>
            <w:r w:rsidRPr="002E448B">
              <w:rPr>
                <w:rFonts w:asciiTheme="majorHAnsi" w:hAnsiTheme="majorHAnsi" w:cstheme="majorHAnsi"/>
              </w:rPr>
              <w:t>Cth</w:t>
            </w:r>
            <w:proofErr w:type="spellEnd"/>
            <w:r w:rsidRPr="002E448B">
              <w:rPr>
                <w:rFonts w:asciiTheme="majorHAnsi" w:hAnsiTheme="majorHAnsi" w:cstheme="majorHAnsi"/>
              </w:rPr>
              <w:t>).</w:t>
            </w:r>
          </w:p>
        </w:tc>
      </w:tr>
      <w:tr w:rsidR="00140B67" w:rsidRPr="002E448B" w14:paraId="4865065F" w14:textId="77777777" w:rsidTr="008D35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1" w:type="dxa"/>
          </w:tcPr>
          <w:p w14:paraId="19F67C89" w14:textId="77777777" w:rsidR="00140B67" w:rsidRPr="002E448B" w:rsidRDefault="00140B67" w:rsidP="008D352E">
            <w:pPr>
              <w:pStyle w:val="BodyIndent1"/>
              <w:spacing w:before="120" w:after="120"/>
              <w:ind w:left="0"/>
              <w:rPr>
                <w:rFonts w:asciiTheme="majorHAnsi" w:hAnsiTheme="majorHAnsi" w:cstheme="majorHAnsi"/>
              </w:rPr>
            </w:pPr>
            <w:r w:rsidRPr="002E448B">
              <w:rPr>
                <w:rFonts w:asciiTheme="majorHAnsi" w:hAnsiTheme="majorHAnsi" w:cstheme="majorHAnsi"/>
              </w:rPr>
              <w:t>Privacy Policy</w:t>
            </w:r>
          </w:p>
        </w:tc>
        <w:tc>
          <w:tcPr>
            <w:tcW w:w="6694" w:type="dxa"/>
          </w:tcPr>
          <w:p w14:paraId="20145DF3" w14:textId="77777777" w:rsidR="00140B67" w:rsidRPr="002E448B" w:rsidRDefault="00140B67" w:rsidP="008D352E">
            <w:pPr>
              <w:pStyle w:val="BodyIndent1"/>
              <w:spacing w:before="120" w:after="120"/>
              <w:ind w:left="0"/>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means</w:t>
            </w:r>
            <w:proofErr w:type="gramEnd"/>
            <w:r w:rsidRPr="002E448B">
              <w:rPr>
                <w:rFonts w:asciiTheme="majorHAnsi" w:hAnsiTheme="majorHAnsi" w:cstheme="majorHAnsi"/>
              </w:rPr>
              <w:t xml:space="preserve"> a privacy policy, developed in accordance with the Privacy Act (including the requirements of APP 1).</w:t>
            </w:r>
          </w:p>
        </w:tc>
      </w:tr>
      <w:tr w:rsidR="00140B67" w:rsidRPr="002E448B" w14:paraId="414BBAF0" w14:textId="77777777" w:rsidTr="008D352E">
        <w:tc>
          <w:tcPr>
            <w:cnfStyle w:val="001000000000" w:firstRow="0" w:lastRow="0" w:firstColumn="1" w:lastColumn="0" w:oddVBand="0" w:evenVBand="0" w:oddHBand="0" w:evenHBand="0" w:firstRowFirstColumn="0" w:firstRowLastColumn="0" w:lastRowFirstColumn="0" w:lastRowLastColumn="0"/>
            <w:tcW w:w="2371" w:type="dxa"/>
          </w:tcPr>
          <w:p w14:paraId="66B25535" w14:textId="77777777" w:rsidR="00140B67" w:rsidRPr="002E448B" w:rsidRDefault="00140B67" w:rsidP="008D352E">
            <w:pPr>
              <w:pStyle w:val="BodyIndent1"/>
              <w:spacing w:before="120" w:after="120"/>
              <w:ind w:left="0"/>
              <w:rPr>
                <w:rFonts w:asciiTheme="majorHAnsi" w:hAnsiTheme="majorHAnsi" w:cstheme="majorHAnsi"/>
              </w:rPr>
            </w:pPr>
            <w:r w:rsidRPr="002E448B">
              <w:rPr>
                <w:rFonts w:asciiTheme="majorHAnsi" w:hAnsiTheme="majorHAnsi" w:cstheme="majorHAnsi"/>
              </w:rPr>
              <w:t>Provider Personnel</w:t>
            </w:r>
          </w:p>
        </w:tc>
        <w:tc>
          <w:tcPr>
            <w:tcW w:w="6694" w:type="dxa"/>
          </w:tcPr>
          <w:p w14:paraId="627BC544" w14:textId="77777777" w:rsidR="00140B67" w:rsidRPr="002E448B" w:rsidRDefault="00140B67" w:rsidP="008D352E">
            <w:pPr>
              <w:pStyle w:val="BodyIndent1"/>
              <w:spacing w:before="120" w:after="120"/>
              <w:ind w:left="0"/>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means</w:t>
            </w:r>
            <w:proofErr w:type="gramEnd"/>
            <w:r w:rsidRPr="002E448B">
              <w:rPr>
                <w:rFonts w:asciiTheme="majorHAnsi" w:hAnsiTheme="majorHAnsi" w:cstheme="majorHAnsi"/>
              </w:rPr>
              <w:t xml:space="preserve"> the Vaccine Provider’s personnel.</w:t>
            </w:r>
          </w:p>
        </w:tc>
      </w:tr>
      <w:tr w:rsidR="00140B67" w:rsidRPr="002E448B" w14:paraId="4BA42246" w14:textId="77777777" w:rsidTr="008D35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1" w:type="dxa"/>
          </w:tcPr>
          <w:p w14:paraId="114F5EFC" w14:textId="77777777" w:rsidR="00140B67" w:rsidRPr="002E448B" w:rsidRDefault="00140B67" w:rsidP="008D352E">
            <w:pPr>
              <w:pStyle w:val="BodyIndent1"/>
              <w:spacing w:before="120" w:after="120"/>
              <w:ind w:left="0"/>
              <w:rPr>
                <w:rFonts w:asciiTheme="majorHAnsi" w:hAnsiTheme="majorHAnsi" w:cstheme="majorHAnsi"/>
              </w:rPr>
            </w:pPr>
            <w:r w:rsidRPr="002E448B">
              <w:rPr>
                <w:rFonts w:asciiTheme="majorHAnsi" w:hAnsiTheme="majorHAnsi" w:cstheme="majorHAnsi"/>
              </w:rPr>
              <w:t>Provider Personnel Information</w:t>
            </w:r>
          </w:p>
        </w:tc>
        <w:tc>
          <w:tcPr>
            <w:tcW w:w="6694" w:type="dxa"/>
          </w:tcPr>
          <w:p w14:paraId="2CFB9C33" w14:textId="77777777" w:rsidR="00140B67" w:rsidRPr="002E448B" w:rsidRDefault="00140B67" w:rsidP="008D352E">
            <w:pPr>
              <w:pStyle w:val="BodyIndent1"/>
              <w:spacing w:before="120" w:after="120"/>
              <w:ind w:left="0"/>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means</w:t>
            </w:r>
            <w:proofErr w:type="gramEnd"/>
            <w:r w:rsidRPr="002E448B">
              <w:rPr>
                <w:rFonts w:asciiTheme="majorHAnsi" w:hAnsiTheme="majorHAnsi" w:cstheme="majorHAnsi"/>
              </w:rPr>
              <w:t xml:space="preserve"> information collected about Provider Personnel, which may include personal information.</w:t>
            </w:r>
          </w:p>
        </w:tc>
      </w:tr>
      <w:tr w:rsidR="00140B67" w:rsidRPr="002E448B" w14:paraId="00C3A99E" w14:textId="77777777" w:rsidTr="008D352E">
        <w:tc>
          <w:tcPr>
            <w:cnfStyle w:val="001000000000" w:firstRow="0" w:lastRow="0" w:firstColumn="1" w:lastColumn="0" w:oddVBand="0" w:evenVBand="0" w:oddHBand="0" w:evenHBand="0" w:firstRowFirstColumn="0" w:firstRowLastColumn="0" w:lastRowFirstColumn="0" w:lastRowLastColumn="0"/>
            <w:tcW w:w="2371" w:type="dxa"/>
          </w:tcPr>
          <w:p w14:paraId="72C3B7C9" w14:textId="77777777" w:rsidR="00140B67" w:rsidRPr="002E448B" w:rsidRDefault="00140B67" w:rsidP="008D352E">
            <w:pPr>
              <w:pStyle w:val="BodyIndent1"/>
              <w:spacing w:before="120" w:after="120"/>
              <w:ind w:left="0"/>
              <w:rPr>
                <w:rFonts w:asciiTheme="majorHAnsi" w:hAnsiTheme="majorHAnsi" w:cstheme="majorHAnsi"/>
                <w:bCs w:val="0"/>
              </w:rPr>
            </w:pPr>
            <w:r w:rsidRPr="002E448B">
              <w:rPr>
                <w:rFonts w:asciiTheme="majorHAnsi" w:hAnsiTheme="majorHAnsi" w:cstheme="majorHAnsi"/>
              </w:rPr>
              <w:t>sensitive information</w:t>
            </w:r>
          </w:p>
        </w:tc>
        <w:tc>
          <w:tcPr>
            <w:tcW w:w="6694" w:type="dxa"/>
          </w:tcPr>
          <w:p w14:paraId="596E8A7C" w14:textId="77777777" w:rsidR="00140B67" w:rsidRPr="002E448B" w:rsidRDefault="00140B67" w:rsidP="008D352E">
            <w:pPr>
              <w:pStyle w:val="BodyIndent1"/>
              <w:spacing w:before="120" w:after="120"/>
              <w:ind w:left="0"/>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has</w:t>
            </w:r>
            <w:proofErr w:type="gramEnd"/>
            <w:r w:rsidRPr="002E448B">
              <w:rPr>
                <w:rFonts w:asciiTheme="majorHAnsi" w:hAnsiTheme="majorHAnsi" w:cstheme="majorHAnsi"/>
              </w:rPr>
              <w:t xml:space="preserve"> the same meaning given by section 6 of the Privacy Act. </w:t>
            </w:r>
          </w:p>
        </w:tc>
      </w:tr>
      <w:tr w:rsidR="00140B67" w:rsidRPr="002E448B" w14:paraId="72A8D68F" w14:textId="77777777" w:rsidTr="008D35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1" w:type="dxa"/>
          </w:tcPr>
          <w:p w14:paraId="6D4EBB75" w14:textId="77777777" w:rsidR="00140B67" w:rsidRPr="002E448B" w:rsidRDefault="00140B67" w:rsidP="008D352E">
            <w:pPr>
              <w:pStyle w:val="BodyIndent1"/>
              <w:spacing w:before="120" w:after="120"/>
              <w:ind w:left="0"/>
              <w:rPr>
                <w:rFonts w:asciiTheme="majorHAnsi" w:hAnsiTheme="majorHAnsi" w:cstheme="majorHAnsi"/>
                <w:bCs w:val="0"/>
              </w:rPr>
            </w:pPr>
            <w:r w:rsidRPr="002E448B">
              <w:rPr>
                <w:rFonts w:asciiTheme="majorHAnsi" w:hAnsiTheme="majorHAnsi" w:cstheme="majorHAnsi"/>
              </w:rPr>
              <w:t>Strategy Partner</w:t>
            </w:r>
          </w:p>
        </w:tc>
        <w:tc>
          <w:tcPr>
            <w:tcW w:w="6694" w:type="dxa"/>
          </w:tcPr>
          <w:p w14:paraId="007A6607" w14:textId="77777777" w:rsidR="00140B67" w:rsidRPr="002E448B" w:rsidRDefault="00140B67" w:rsidP="008D352E">
            <w:pPr>
              <w:pStyle w:val="BodyIndent1"/>
              <w:spacing w:before="120" w:after="120"/>
              <w:ind w:left="0"/>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means</w:t>
            </w:r>
            <w:proofErr w:type="gramEnd"/>
            <w:r w:rsidRPr="002E448B">
              <w:rPr>
                <w:rFonts w:asciiTheme="majorHAnsi" w:hAnsiTheme="majorHAnsi" w:cstheme="majorHAnsi"/>
              </w:rPr>
              <w:t xml:space="preserve"> the provider contracted by Health to provide management and support services in relation to the implementation and rollout of the national COVID-19 vaccination program.</w:t>
            </w:r>
          </w:p>
        </w:tc>
      </w:tr>
      <w:tr w:rsidR="00140B67" w:rsidRPr="002E448B" w14:paraId="78428CE5" w14:textId="77777777" w:rsidTr="008D352E">
        <w:tc>
          <w:tcPr>
            <w:cnfStyle w:val="001000000000" w:firstRow="0" w:lastRow="0" w:firstColumn="1" w:lastColumn="0" w:oddVBand="0" w:evenVBand="0" w:oddHBand="0" w:evenHBand="0" w:firstRowFirstColumn="0" w:firstRowLastColumn="0" w:lastRowFirstColumn="0" w:lastRowLastColumn="0"/>
            <w:tcW w:w="2371" w:type="dxa"/>
          </w:tcPr>
          <w:p w14:paraId="523C18BF" w14:textId="77777777" w:rsidR="00140B67" w:rsidRPr="002E448B" w:rsidRDefault="00140B67" w:rsidP="008D352E">
            <w:pPr>
              <w:pStyle w:val="BodyIndent1"/>
              <w:spacing w:before="120" w:after="120"/>
              <w:ind w:left="0"/>
              <w:rPr>
                <w:rFonts w:asciiTheme="majorHAnsi" w:hAnsiTheme="majorHAnsi" w:cstheme="majorHAnsi"/>
              </w:rPr>
            </w:pPr>
            <w:r w:rsidRPr="002E448B">
              <w:rPr>
                <w:rFonts w:asciiTheme="majorHAnsi" w:hAnsiTheme="majorHAnsi" w:cstheme="majorHAnsi"/>
              </w:rPr>
              <w:t>Supplier</w:t>
            </w:r>
          </w:p>
        </w:tc>
        <w:tc>
          <w:tcPr>
            <w:tcW w:w="6694" w:type="dxa"/>
          </w:tcPr>
          <w:p w14:paraId="668E32DF" w14:textId="77777777" w:rsidR="00140B67" w:rsidRPr="002E448B" w:rsidRDefault="00140B67" w:rsidP="008D352E">
            <w:pPr>
              <w:pStyle w:val="BodyIndent1"/>
              <w:spacing w:before="120" w:after="120"/>
              <w:ind w:left="0"/>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means</w:t>
            </w:r>
            <w:proofErr w:type="gramEnd"/>
            <w:r w:rsidRPr="002E448B">
              <w:rPr>
                <w:rFonts w:asciiTheme="majorHAnsi" w:hAnsiTheme="majorHAnsi" w:cstheme="majorHAnsi"/>
              </w:rPr>
              <w:t xml:space="preserve"> </w:t>
            </w:r>
            <w:r w:rsidRPr="002E448B">
              <w:rPr>
                <w:rFonts w:asciiTheme="majorHAnsi" w:hAnsiTheme="majorHAnsi" w:cstheme="majorHAnsi"/>
                <w:color w:val="000000"/>
              </w:rPr>
              <w:t>an</w:t>
            </w:r>
            <w:r w:rsidRPr="002E448B">
              <w:rPr>
                <w:rFonts w:asciiTheme="majorHAnsi" w:hAnsiTheme="majorHAnsi" w:cstheme="majorHAnsi"/>
              </w:rPr>
              <w:t xml:space="preserve"> entity engaged by Health to supply a COVID-19 vaccine to the Australian Government.</w:t>
            </w:r>
          </w:p>
        </w:tc>
      </w:tr>
      <w:tr w:rsidR="00140B67" w:rsidRPr="002E448B" w14:paraId="564E3709" w14:textId="77777777" w:rsidTr="008D35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1" w:type="dxa"/>
          </w:tcPr>
          <w:p w14:paraId="2C241F02" w14:textId="77777777" w:rsidR="00140B67" w:rsidRPr="002E448B" w:rsidRDefault="00140B67" w:rsidP="008D352E">
            <w:pPr>
              <w:pStyle w:val="BodyIndent1"/>
              <w:spacing w:before="120" w:after="120"/>
              <w:ind w:left="0"/>
              <w:rPr>
                <w:rFonts w:asciiTheme="majorHAnsi" w:hAnsiTheme="majorHAnsi" w:cstheme="majorHAnsi"/>
              </w:rPr>
            </w:pPr>
            <w:r w:rsidRPr="002E448B">
              <w:rPr>
                <w:rFonts w:asciiTheme="majorHAnsi" w:hAnsiTheme="majorHAnsi" w:cstheme="majorHAnsi"/>
              </w:rPr>
              <w:t>Training Partner</w:t>
            </w:r>
          </w:p>
        </w:tc>
        <w:tc>
          <w:tcPr>
            <w:tcW w:w="6694" w:type="dxa"/>
          </w:tcPr>
          <w:p w14:paraId="00C66646" w14:textId="77777777" w:rsidR="00140B67" w:rsidRPr="002E448B" w:rsidRDefault="00140B67" w:rsidP="008D352E">
            <w:pPr>
              <w:pStyle w:val="BodyIndent1"/>
              <w:spacing w:before="120" w:after="120"/>
              <w:ind w:left="0"/>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means</w:t>
            </w:r>
            <w:proofErr w:type="gramEnd"/>
            <w:r w:rsidRPr="002E448B">
              <w:rPr>
                <w:rFonts w:asciiTheme="majorHAnsi" w:hAnsiTheme="majorHAnsi" w:cstheme="majorHAnsi"/>
              </w:rPr>
              <w:t xml:space="preserve"> the provider contracted by Health who will provide training to various entities and individuals involved in implementing the Vaccine Strategy.</w:t>
            </w:r>
          </w:p>
        </w:tc>
      </w:tr>
      <w:tr w:rsidR="00140B67" w:rsidRPr="002E448B" w14:paraId="077C9D0F" w14:textId="77777777" w:rsidTr="008D352E">
        <w:tc>
          <w:tcPr>
            <w:cnfStyle w:val="001000000000" w:firstRow="0" w:lastRow="0" w:firstColumn="1" w:lastColumn="0" w:oddVBand="0" w:evenVBand="0" w:oddHBand="0" w:evenHBand="0" w:firstRowFirstColumn="0" w:firstRowLastColumn="0" w:lastRowFirstColumn="0" w:lastRowLastColumn="0"/>
            <w:tcW w:w="2371" w:type="dxa"/>
          </w:tcPr>
          <w:p w14:paraId="11A24989" w14:textId="77777777" w:rsidR="00140B67" w:rsidRPr="002E448B" w:rsidRDefault="00140B67" w:rsidP="008D352E">
            <w:pPr>
              <w:pStyle w:val="BodyIndent1"/>
              <w:spacing w:before="120" w:after="120"/>
              <w:ind w:left="0"/>
              <w:rPr>
                <w:rFonts w:asciiTheme="majorHAnsi" w:hAnsiTheme="majorHAnsi" w:cstheme="majorHAnsi"/>
                <w:bCs w:val="0"/>
              </w:rPr>
            </w:pPr>
            <w:r w:rsidRPr="002E448B">
              <w:rPr>
                <w:rFonts w:asciiTheme="majorHAnsi" w:hAnsiTheme="majorHAnsi" w:cstheme="majorHAnsi"/>
              </w:rPr>
              <w:t>TGA</w:t>
            </w:r>
          </w:p>
        </w:tc>
        <w:tc>
          <w:tcPr>
            <w:tcW w:w="6694" w:type="dxa"/>
          </w:tcPr>
          <w:p w14:paraId="19EBD5FA" w14:textId="77777777" w:rsidR="00140B67" w:rsidRPr="002E448B" w:rsidRDefault="00140B67" w:rsidP="008D352E">
            <w:pPr>
              <w:pStyle w:val="BodyIndent1"/>
              <w:spacing w:before="120" w:after="120"/>
              <w:ind w:left="0"/>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means</w:t>
            </w:r>
            <w:proofErr w:type="gramEnd"/>
            <w:r w:rsidRPr="002E448B">
              <w:rPr>
                <w:rFonts w:asciiTheme="majorHAnsi" w:hAnsiTheme="majorHAnsi" w:cstheme="majorHAnsi"/>
              </w:rPr>
              <w:t xml:space="preserve"> the Therapeutic Goods Association.</w:t>
            </w:r>
          </w:p>
        </w:tc>
      </w:tr>
      <w:tr w:rsidR="00140B67" w:rsidRPr="002E448B" w14:paraId="35B99424" w14:textId="77777777" w:rsidTr="008D35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1" w:type="dxa"/>
          </w:tcPr>
          <w:p w14:paraId="52A1F5A1" w14:textId="77777777" w:rsidR="00140B67" w:rsidRPr="002E448B" w:rsidRDefault="00140B67" w:rsidP="008D352E">
            <w:pPr>
              <w:pStyle w:val="BodyIndent1"/>
              <w:spacing w:before="120" w:after="120"/>
              <w:ind w:left="0"/>
              <w:rPr>
                <w:rFonts w:asciiTheme="majorHAnsi" w:hAnsiTheme="majorHAnsi" w:cstheme="majorHAnsi"/>
                <w:bCs w:val="0"/>
              </w:rPr>
            </w:pPr>
            <w:r w:rsidRPr="002E448B">
              <w:rPr>
                <w:rFonts w:asciiTheme="majorHAnsi" w:hAnsiTheme="majorHAnsi" w:cstheme="majorHAnsi"/>
              </w:rPr>
              <w:t>Vaccinator</w:t>
            </w:r>
          </w:p>
        </w:tc>
        <w:tc>
          <w:tcPr>
            <w:tcW w:w="6694" w:type="dxa"/>
          </w:tcPr>
          <w:p w14:paraId="2A590FA2" w14:textId="77777777" w:rsidR="00140B67" w:rsidRPr="002E448B" w:rsidRDefault="00140B67" w:rsidP="008D352E">
            <w:pPr>
              <w:pStyle w:val="BodyIndent1"/>
              <w:spacing w:before="120" w:after="120"/>
              <w:ind w:left="0"/>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means</w:t>
            </w:r>
            <w:proofErr w:type="gramEnd"/>
            <w:r w:rsidRPr="002E448B">
              <w:rPr>
                <w:rFonts w:asciiTheme="majorHAnsi" w:hAnsiTheme="majorHAnsi" w:cstheme="majorHAnsi"/>
              </w:rPr>
              <w:t xml:space="preserve"> a Provider Personnel who will administer a COVID-19 vaccine to a Patient. </w:t>
            </w:r>
          </w:p>
        </w:tc>
      </w:tr>
      <w:tr w:rsidR="00140B67" w:rsidRPr="002E448B" w14:paraId="78DC4745" w14:textId="77777777" w:rsidTr="008D352E">
        <w:tc>
          <w:tcPr>
            <w:cnfStyle w:val="001000000000" w:firstRow="0" w:lastRow="0" w:firstColumn="1" w:lastColumn="0" w:oddVBand="0" w:evenVBand="0" w:oddHBand="0" w:evenHBand="0" w:firstRowFirstColumn="0" w:firstRowLastColumn="0" w:lastRowFirstColumn="0" w:lastRowLastColumn="0"/>
            <w:tcW w:w="2371" w:type="dxa"/>
          </w:tcPr>
          <w:p w14:paraId="2B74FE33" w14:textId="77777777" w:rsidR="00140B67" w:rsidRPr="002E448B" w:rsidRDefault="00140B67" w:rsidP="008D352E">
            <w:pPr>
              <w:pStyle w:val="BodyIndent1"/>
              <w:spacing w:before="120" w:after="120"/>
              <w:ind w:left="0"/>
              <w:rPr>
                <w:rFonts w:asciiTheme="majorHAnsi" w:hAnsiTheme="majorHAnsi" w:cstheme="majorHAnsi"/>
              </w:rPr>
            </w:pPr>
            <w:r w:rsidRPr="002E448B">
              <w:rPr>
                <w:rFonts w:asciiTheme="majorHAnsi" w:hAnsiTheme="majorHAnsi" w:cstheme="majorHAnsi"/>
              </w:rPr>
              <w:t>Vaccinator Information</w:t>
            </w:r>
          </w:p>
        </w:tc>
        <w:tc>
          <w:tcPr>
            <w:tcW w:w="6694" w:type="dxa"/>
          </w:tcPr>
          <w:p w14:paraId="4248AB31" w14:textId="77777777" w:rsidR="00140B67" w:rsidRPr="002E448B" w:rsidRDefault="00140B67" w:rsidP="008D352E">
            <w:pPr>
              <w:pStyle w:val="BodyIndent1"/>
              <w:spacing w:before="120" w:after="120"/>
              <w:ind w:left="0"/>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means</w:t>
            </w:r>
            <w:proofErr w:type="gramEnd"/>
            <w:r w:rsidRPr="002E448B">
              <w:rPr>
                <w:rFonts w:asciiTheme="majorHAnsi" w:hAnsiTheme="majorHAnsi" w:cstheme="majorHAnsi"/>
              </w:rPr>
              <w:t xml:space="preserve"> information collected about the Vaccinator who administers the relevant vaccine, which may include personal information.</w:t>
            </w:r>
          </w:p>
        </w:tc>
      </w:tr>
      <w:tr w:rsidR="00140B67" w:rsidRPr="002E448B" w14:paraId="5C66A554" w14:textId="77777777" w:rsidTr="008D35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1" w:type="dxa"/>
          </w:tcPr>
          <w:p w14:paraId="35A7256B" w14:textId="77777777" w:rsidR="00140B67" w:rsidRPr="002E448B" w:rsidRDefault="00140B67" w:rsidP="008D352E">
            <w:pPr>
              <w:pStyle w:val="BodyIndent1"/>
              <w:spacing w:before="120" w:after="120"/>
              <w:ind w:left="0"/>
              <w:rPr>
                <w:rFonts w:asciiTheme="majorHAnsi" w:hAnsiTheme="majorHAnsi" w:cstheme="majorHAnsi"/>
              </w:rPr>
            </w:pPr>
            <w:r w:rsidRPr="002E448B">
              <w:rPr>
                <w:rFonts w:asciiTheme="majorHAnsi" w:hAnsiTheme="majorHAnsi" w:cstheme="majorHAnsi"/>
              </w:rPr>
              <w:t>Vaccine Administrator</w:t>
            </w:r>
          </w:p>
        </w:tc>
        <w:tc>
          <w:tcPr>
            <w:tcW w:w="6694" w:type="dxa"/>
          </w:tcPr>
          <w:p w14:paraId="68533D61" w14:textId="77777777" w:rsidR="00140B67" w:rsidRPr="002E448B" w:rsidRDefault="00140B67" w:rsidP="008D352E">
            <w:pPr>
              <w:pStyle w:val="BodyIndent1"/>
              <w:spacing w:before="120" w:after="120"/>
              <w:ind w:left="0"/>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r w:rsidRPr="002E448B">
              <w:rPr>
                <w:rFonts w:asciiTheme="majorHAnsi" w:hAnsiTheme="majorHAnsi" w:cstheme="majorHAnsi"/>
              </w:rPr>
              <w:t>means the provider contracted by Health who will provide vaccine administration services, on an ‘as required’ basis, to supplement delivery of the vaccines by other entities, including to particular priority and other vulnerable or hard to reach populations or communities, or in other circumstances where an additional workforce is required. The Vaccine Administrator may be a Vaccine Provider for particular locations.</w:t>
            </w:r>
          </w:p>
        </w:tc>
      </w:tr>
      <w:tr w:rsidR="00140B67" w:rsidRPr="002E448B" w14:paraId="7D8F2C52" w14:textId="77777777" w:rsidTr="008D352E">
        <w:tc>
          <w:tcPr>
            <w:cnfStyle w:val="001000000000" w:firstRow="0" w:lastRow="0" w:firstColumn="1" w:lastColumn="0" w:oddVBand="0" w:evenVBand="0" w:oddHBand="0" w:evenHBand="0" w:firstRowFirstColumn="0" w:firstRowLastColumn="0" w:lastRowFirstColumn="0" w:lastRowLastColumn="0"/>
            <w:tcW w:w="2371" w:type="dxa"/>
          </w:tcPr>
          <w:p w14:paraId="68E1615A" w14:textId="77777777" w:rsidR="00140B67" w:rsidRPr="002E448B" w:rsidRDefault="00140B67" w:rsidP="008D352E">
            <w:pPr>
              <w:pStyle w:val="BodyIndent1"/>
              <w:spacing w:before="120" w:after="120"/>
              <w:ind w:left="0"/>
              <w:rPr>
                <w:rFonts w:asciiTheme="majorHAnsi" w:hAnsiTheme="majorHAnsi" w:cstheme="majorHAnsi"/>
                <w:bCs w:val="0"/>
              </w:rPr>
            </w:pPr>
            <w:r w:rsidRPr="002E448B">
              <w:rPr>
                <w:rFonts w:asciiTheme="majorHAnsi" w:hAnsiTheme="majorHAnsi" w:cstheme="majorHAnsi"/>
              </w:rPr>
              <w:t>Vaccine Provider</w:t>
            </w:r>
          </w:p>
        </w:tc>
        <w:tc>
          <w:tcPr>
            <w:tcW w:w="6694" w:type="dxa"/>
          </w:tcPr>
          <w:p w14:paraId="2960B1BB" w14:textId="77777777" w:rsidR="00140B67" w:rsidRPr="002E448B" w:rsidRDefault="00140B67" w:rsidP="008D352E">
            <w:pPr>
              <w:pStyle w:val="BodyIndent1"/>
              <w:spacing w:before="120" w:after="120"/>
              <w:ind w:left="0"/>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means</w:t>
            </w:r>
            <w:proofErr w:type="gramEnd"/>
            <w:r w:rsidRPr="002E448B">
              <w:rPr>
                <w:rFonts w:asciiTheme="majorHAnsi" w:hAnsiTheme="majorHAnsi" w:cstheme="majorHAnsi"/>
              </w:rPr>
              <w:t xml:space="preserve"> the entity responsible for operating the site at which the </w:t>
            </w:r>
            <w:r w:rsidRPr="002E448B">
              <w:rPr>
                <w:rFonts w:asciiTheme="majorHAnsi" w:hAnsiTheme="majorHAnsi" w:cstheme="majorHAnsi"/>
              </w:rPr>
              <w:br/>
              <w:t>COVID-19 vaccines will be administered to Patients. The Vaccine Administrator may be a Vaccine Provider.</w:t>
            </w:r>
          </w:p>
        </w:tc>
      </w:tr>
      <w:tr w:rsidR="00140B67" w:rsidRPr="002E448B" w14:paraId="405BEA53" w14:textId="77777777" w:rsidTr="008D35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1" w:type="dxa"/>
          </w:tcPr>
          <w:p w14:paraId="78A43A60" w14:textId="77777777" w:rsidR="00140B67" w:rsidRPr="002E448B" w:rsidRDefault="00140B67" w:rsidP="008D352E">
            <w:pPr>
              <w:pStyle w:val="BodyIndent1"/>
              <w:spacing w:before="120" w:after="120"/>
              <w:ind w:left="0"/>
              <w:rPr>
                <w:rFonts w:asciiTheme="majorHAnsi" w:hAnsiTheme="majorHAnsi" w:cstheme="majorHAnsi"/>
                <w:bCs w:val="0"/>
              </w:rPr>
            </w:pPr>
            <w:r w:rsidRPr="002E448B">
              <w:rPr>
                <w:rFonts w:asciiTheme="majorHAnsi" w:hAnsiTheme="majorHAnsi" w:cstheme="majorHAnsi"/>
              </w:rPr>
              <w:t>Vaccine Strategy</w:t>
            </w:r>
          </w:p>
        </w:tc>
        <w:tc>
          <w:tcPr>
            <w:tcW w:w="6694" w:type="dxa"/>
          </w:tcPr>
          <w:p w14:paraId="4F6066FD" w14:textId="77777777" w:rsidR="00140B67" w:rsidRPr="002E448B" w:rsidRDefault="00140B67" w:rsidP="008D352E">
            <w:pPr>
              <w:pStyle w:val="BodyIndent1"/>
              <w:spacing w:before="120" w:after="120"/>
              <w:ind w:left="0"/>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means</w:t>
            </w:r>
            <w:proofErr w:type="gramEnd"/>
            <w:r w:rsidRPr="002E448B">
              <w:rPr>
                <w:rFonts w:asciiTheme="majorHAnsi" w:hAnsiTheme="majorHAnsi" w:cstheme="majorHAnsi"/>
              </w:rPr>
              <w:t xml:space="preserve"> the COVID-19 Vaccine and Treatment Strategy and the </w:t>
            </w:r>
            <w:r w:rsidRPr="002E448B">
              <w:rPr>
                <w:rFonts w:asciiTheme="majorHAnsi" w:hAnsiTheme="majorHAnsi" w:cstheme="majorHAnsi"/>
              </w:rPr>
              <w:br/>
              <w:t xml:space="preserve">COVID-19 Vaccine National Roll-out Strategy, currently being implemented as part of the Australian Government’s response to the </w:t>
            </w:r>
            <w:r w:rsidRPr="002E448B">
              <w:rPr>
                <w:rFonts w:asciiTheme="majorHAnsi" w:hAnsiTheme="majorHAnsi" w:cstheme="majorHAnsi"/>
              </w:rPr>
              <w:br/>
              <w:t>COVID-19 pandemic.</w:t>
            </w:r>
          </w:p>
        </w:tc>
      </w:tr>
      <w:tr w:rsidR="00140B67" w:rsidRPr="002E448B" w14:paraId="6EDD16DB" w14:textId="77777777" w:rsidTr="008D352E">
        <w:tc>
          <w:tcPr>
            <w:cnfStyle w:val="001000000000" w:firstRow="0" w:lastRow="0" w:firstColumn="1" w:lastColumn="0" w:oddVBand="0" w:evenVBand="0" w:oddHBand="0" w:evenHBand="0" w:firstRowFirstColumn="0" w:firstRowLastColumn="0" w:lastRowFirstColumn="0" w:lastRowLastColumn="0"/>
            <w:tcW w:w="2371" w:type="dxa"/>
          </w:tcPr>
          <w:p w14:paraId="21395A01" w14:textId="77777777" w:rsidR="00140B67" w:rsidRPr="002E448B" w:rsidRDefault="00140B67" w:rsidP="008D352E">
            <w:pPr>
              <w:pStyle w:val="BodyIndent1"/>
              <w:spacing w:before="120" w:after="120"/>
              <w:ind w:left="0"/>
              <w:rPr>
                <w:rFonts w:asciiTheme="majorHAnsi" w:hAnsiTheme="majorHAnsi" w:cstheme="majorHAnsi"/>
              </w:rPr>
            </w:pPr>
            <w:r w:rsidRPr="002E448B">
              <w:rPr>
                <w:rFonts w:asciiTheme="majorHAnsi" w:hAnsiTheme="majorHAnsi" w:cstheme="majorHAnsi"/>
              </w:rPr>
              <w:t>Vaccine Strategy Information</w:t>
            </w:r>
          </w:p>
        </w:tc>
        <w:tc>
          <w:tcPr>
            <w:tcW w:w="6694" w:type="dxa"/>
          </w:tcPr>
          <w:p w14:paraId="303EA8C3" w14:textId="77777777" w:rsidR="00140B67" w:rsidRPr="002E448B" w:rsidRDefault="00140B67" w:rsidP="008D352E">
            <w:pPr>
              <w:pStyle w:val="BodyIndent1"/>
              <w:spacing w:before="120" w:after="120"/>
              <w:ind w:left="0"/>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means</w:t>
            </w:r>
            <w:proofErr w:type="gramEnd"/>
            <w:r w:rsidRPr="002E448B">
              <w:rPr>
                <w:rFonts w:asciiTheme="majorHAnsi" w:hAnsiTheme="majorHAnsi" w:cstheme="majorHAnsi"/>
              </w:rPr>
              <w:t xml:space="preserve"> any Patient Information, Vaccinator Information, other Provider Personnel Information, and Distribution Chain Personnel Information collected under the Vaccine Strategy.</w:t>
            </w:r>
          </w:p>
        </w:tc>
      </w:tr>
      <w:tr w:rsidR="00140B67" w:rsidRPr="002E448B" w14:paraId="3A8F9687" w14:textId="77777777" w:rsidTr="008D35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1" w:type="dxa"/>
          </w:tcPr>
          <w:p w14:paraId="32C2BD7B" w14:textId="77777777" w:rsidR="00140B67" w:rsidRPr="002E448B" w:rsidRDefault="00140B67" w:rsidP="008D352E">
            <w:pPr>
              <w:pStyle w:val="BodyIndent1"/>
              <w:spacing w:before="120" w:after="120"/>
              <w:ind w:left="0"/>
              <w:rPr>
                <w:rFonts w:asciiTheme="majorHAnsi" w:hAnsiTheme="majorHAnsi" w:cstheme="majorHAnsi"/>
              </w:rPr>
            </w:pPr>
            <w:r w:rsidRPr="002E448B">
              <w:rPr>
                <w:rFonts w:asciiTheme="majorHAnsi" w:hAnsiTheme="majorHAnsi" w:cstheme="majorHAnsi"/>
              </w:rPr>
              <w:t>VAS</w:t>
            </w:r>
          </w:p>
        </w:tc>
        <w:tc>
          <w:tcPr>
            <w:tcW w:w="6694" w:type="dxa"/>
          </w:tcPr>
          <w:p w14:paraId="73EBDD24" w14:textId="77777777" w:rsidR="00140B67" w:rsidRPr="002E448B" w:rsidRDefault="00140B67" w:rsidP="008D352E">
            <w:pPr>
              <w:pStyle w:val="BodyIndent1"/>
              <w:spacing w:before="120" w:after="120"/>
              <w:ind w:left="0"/>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r w:rsidRPr="002E448B">
              <w:rPr>
                <w:rFonts w:asciiTheme="majorHAnsi" w:hAnsiTheme="majorHAnsi" w:cstheme="majorHAnsi"/>
              </w:rPr>
              <w:t>means the Vaccine Administration System, which is Health’s system for procuring and distributing vaccines to States and Territories, facilitating management of supply chains for all vaccines procured by the Commonwealth</w:t>
            </w:r>
          </w:p>
        </w:tc>
      </w:tr>
      <w:tr w:rsidR="00140B67" w:rsidRPr="002E448B" w14:paraId="07896684" w14:textId="77777777" w:rsidTr="008D352E">
        <w:tc>
          <w:tcPr>
            <w:cnfStyle w:val="001000000000" w:firstRow="0" w:lastRow="0" w:firstColumn="1" w:lastColumn="0" w:oddVBand="0" w:evenVBand="0" w:oddHBand="0" w:evenHBand="0" w:firstRowFirstColumn="0" w:firstRowLastColumn="0" w:lastRowFirstColumn="0" w:lastRowLastColumn="0"/>
            <w:tcW w:w="2371" w:type="dxa"/>
          </w:tcPr>
          <w:p w14:paraId="318E9AFA" w14:textId="77777777" w:rsidR="00140B67" w:rsidRPr="002E448B" w:rsidRDefault="00140B67" w:rsidP="008D352E">
            <w:pPr>
              <w:pStyle w:val="BodyIndent1"/>
              <w:spacing w:before="120" w:after="120"/>
              <w:ind w:left="0"/>
              <w:rPr>
                <w:rFonts w:asciiTheme="majorHAnsi" w:hAnsiTheme="majorHAnsi" w:cstheme="majorHAnsi"/>
              </w:rPr>
            </w:pPr>
            <w:r w:rsidRPr="002E448B">
              <w:rPr>
                <w:rFonts w:asciiTheme="majorHAnsi" w:hAnsiTheme="majorHAnsi" w:cstheme="majorHAnsi"/>
              </w:rPr>
              <w:t>VDS</w:t>
            </w:r>
          </w:p>
        </w:tc>
        <w:tc>
          <w:tcPr>
            <w:tcW w:w="6694" w:type="dxa"/>
          </w:tcPr>
          <w:p w14:paraId="46DC2BCE" w14:textId="77777777" w:rsidR="00140B67" w:rsidRPr="002E448B" w:rsidRDefault="00140B67" w:rsidP="008D352E">
            <w:pPr>
              <w:pStyle w:val="BodyIndent1"/>
              <w:spacing w:before="120" w:after="120"/>
              <w:ind w:left="0"/>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roofErr w:type="gramStart"/>
            <w:r w:rsidRPr="002E448B">
              <w:rPr>
                <w:rFonts w:asciiTheme="majorHAnsi" w:hAnsiTheme="majorHAnsi" w:cstheme="majorHAnsi"/>
              </w:rPr>
              <w:t>means</w:t>
            </w:r>
            <w:proofErr w:type="gramEnd"/>
            <w:r w:rsidRPr="002E448B">
              <w:rPr>
                <w:rFonts w:asciiTheme="majorHAnsi" w:hAnsiTheme="majorHAnsi" w:cstheme="majorHAnsi"/>
              </w:rPr>
              <w:t xml:space="preserve"> the data solution developed by the Data Partner to enable the tracking and reporting of COVID-19 vaccines across the vaccination delivery chain, over the life of the national COVID-19 vaccination program.</w:t>
            </w:r>
          </w:p>
        </w:tc>
      </w:tr>
    </w:tbl>
    <w:p w14:paraId="3D2E7FEA" w14:textId="77777777" w:rsidR="00140B67" w:rsidRPr="002E448B" w:rsidRDefault="00140B67" w:rsidP="00140B67">
      <w:pPr>
        <w:rPr>
          <w:rFonts w:asciiTheme="majorHAnsi" w:hAnsiTheme="majorHAnsi" w:cstheme="majorHAnsi"/>
        </w:rPr>
      </w:pPr>
      <w:r w:rsidRPr="002E448B">
        <w:rPr>
          <w:rFonts w:asciiTheme="majorHAnsi" w:hAnsiTheme="majorHAnsi" w:cstheme="majorHAnsi"/>
          <w:lang w:eastAsia="en-US"/>
        </w:rPr>
        <w:br/>
      </w:r>
      <w:r w:rsidRPr="002E448B">
        <w:rPr>
          <w:rFonts w:asciiTheme="majorHAnsi" w:hAnsiTheme="majorHAnsi" w:cstheme="majorHAnsi"/>
        </w:rPr>
        <w:br w:type="page"/>
      </w:r>
    </w:p>
    <w:p w14:paraId="3BEE030F" w14:textId="77777777" w:rsidR="00140B67" w:rsidRPr="002E448B" w:rsidRDefault="00140B67" w:rsidP="00140B67">
      <w:pPr>
        <w:pStyle w:val="ListParagraph"/>
        <w:numPr>
          <w:ilvl w:val="0"/>
          <w:numId w:val="15"/>
        </w:numPr>
        <w:spacing w:before="240" w:after="240"/>
        <w:ind w:hanging="720"/>
        <w:contextualSpacing w:val="0"/>
        <w:rPr>
          <w:rFonts w:asciiTheme="majorHAnsi" w:hAnsiTheme="majorHAnsi" w:cstheme="majorHAnsi"/>
        </w:rPr>
        <w:sectPr w:rsidR="00140B67" w:rsidRPr="002E448B" w:rsidSect="008A7CA6">
          <w:footerReference w:type="default" r:id="rId14"/>
          <w:headerReference w:type="first" r:id="rId15"/>
          <w:pgSz w:w="11906" w:h="16838" w:code="9"/>
          <w:pgMar w:top="1134" w:right="1418" w:bottom="1247" w:left="1418" w:header="567" w:footer="567" w:gutter="0"/>
          <w:cols w:space="708"/>
          <w:titlePg/>
          <w:docGrid w:linePitch="360"/>
        </w:sectPr>
      </w:pPr>
    </w:p>
    <w:p w14:paraId="34F82221" w14:textId="77777777" w:rsidR="00140B67" w:rsidRPr="002E448B" w:rsidRDefault="00140B67" w:rsidP="00140B67">
      <w:pPr>
        <w:pStyle w:val="legalAttachment"/>
        <w:rPr>
          <w:rFonts w:asciiTheme="majorHAnsi" w:hAnsiTheme="majorHAnsi" w:cstheme="majorHAnsi"/>
        </w:rPr>
      </w:pPr>
      <w:bookmarkStart w:id="82" w:name="_Ref18333809"/>
      <w:bookmarkStart w:id="83" w:name="_Toc64655060"/>
      <w:bookmarkStart w:id="84" w:name="_Toc64657545"/>
      <w:r w:rsidRPr="002E448B">
        <w:rPr>
          <w:rFonts w:asciiTheme="majorHAnsi" w:hAnsiTheme="majorHAnsi" w:cstheme="majorHAnsi"/>
        </w:rPr>
        <w:t>Diagram of Information Flows</w:t>
      </w:r>
      <w:bookmarkEnd w:id="82"/>
      <w:bookmarkEnd w:id="83"/>
      <w:bookmarkEnd w:id="84"/>
      <w:r w:rsidRPr="002E448B">
        <w:rPr>
          <w:rFonts w:asciiTheme="majorHAnsi" w:hAnsiTheme="majorHAnsi" w:cstheme="majorHAnsi"/>
        </w:rPr>
        <w:t xml:space="preserve"> </w:t>
      </w:r>
    </w:p>
    <w:p w14:paraId="2E421100" w14:textId="77777777" w:rsidR="00140B67" w:rsidRPr="002E448B" w:rsidRDefault="00140B67" w:rsidP="00140B67">
      <w:pPr>
        <w:rPr>
          <w:rFonts w:asciiTheme="majorHAnsi" w:hAnsiTheme="majorHAnsi" w:cstheme="majorHAnsi"/>
          <w:noProof/>
          <w:lang w:eastAsia="en-US"/>
        </w:rPr>
      </w:pPr>
      <w:r w:rsidRPr="002E448B">
        <w:rPr>
          <w:rFonts w:asciiTheme="majorHAnsi" w:hAnsiTheme="majorHAnsi" w:cstheme="majorHAnsi"/>
          <w:noProof/>
        </w:rPr>
        <w:drawing>
          <wp:anchor distT="0" distB="0" distL="114300" distR="114300" simplePos="0" relativeHeight="251664384" behindDoc="0" locked="0" layoutInCell="1" allowOverlap="1" wp14:anchorId="3792EBA4" wp14:editId="359EF4BE">
            <wp:simplePos x="0" y="0"/>
            <wp:positionH relativeFrom="margin">
              <wp:align>left</wp:align>
            </wp:positionH>
            <wp:positionV relativeFrom="paragraph">
              <wp:posOffset>108483</wp:posOffset>
            </wp:positionV>
            <wp:extent cx="7174671" cy="5382932"/>
            <wp:effectExtent l="0" t="0" r="7620" b="8255"/>
            <wp:wrapNone/>
            <wp:docPr id="3" name="Picture 3" descr="Flow chart of Phase 1a Vaccine Strategy Information F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Flow chart of Phase 1a Vaccine Strategy Information Flow"/>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7174671" cy="5382932"/>
                    </a:xfrm>
                    <a:prstGeom prst="rect">
                      <a:avLst/>
                    </a:prstGeom>
                    <a:noFill/>
                    <a:ln>
                      <a:noFill/>
                    </a:ln>
                  </pic:spPr>
                </pic:pic>
              </a:graphicData>
            </a:graphic>
            <wp14:sizeRelH relativeFrom="page">
              <wp14:pctWidth>0</wp14:pctWidth>
            </wp14:sizeRelH>
            <wp14:sizeRelV relativeFrom="page">
              <wp14:pctHeight>0</wp14:pctHeight>
            </wp14:sizeRelV>
          </wp:anchor>
        </w:drawing>
      </w:r>
      <w:r w:rsidRPr="002E448B">
        <w:rPr>
          <w:rFonts w:asciiTheme="majorHAnsi" w:hAnsiTheme="majorHAnsi" w:cstheme="majorHAnsi"/>
          <w:noProof/>
        </w:rPr>
        <mc:AlternateContent>
          <mc:Choice Requires="wps">
            <w:drawing>
              <wp:anchor distT="45720" distB="45720" distL="114300" distR="114300" simplePos="0" relativeHeight="251663360" behindDoc="0" locked="0" layoutInCell="1" allowOverlap="1" wp14:anchorId="73E2805E" wp14:editId="53639C32">
                <wp:simplePos x="0" y="0"/>
                <wp:positionH relativeFrom="page">
                  <wp:posOffset>756285</wp:posOffset>
                </wp:positionH>
                <wp:positionV relativeFrom="paragraph">
                  <wp:posOffset>5484423</wp:posOffset>
                </wp:positionV>
                <wp:extent cx="5534025" cy="1404620"/>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34025" cy="1404620"/>
                        </a:xfrm>
                        <a:prstGeom prst="rect">
                          <a:avLst/>
                        </a:prstGeom>
                        <a:noFill/>
                        <a:ln w="9525">
                          <a:noFill/>
                          <a:miter lim="800000"/>
                          <a:headEnd/>
                          <a:tailEnd/>
                        </a:ln>
                      </wps:spPr>
                      <wps:txbx>
                        <w:txbxContent>
                          <w:p w14:paraId="04821A8D" w14:textId="77777777" w:rsidR="008D352E" w:rsidRPr="00EF7B63" w:rsidRDefault="008D352E" w:rsidP="00140B67">
                            <w:pPr>
                              <w:rPr>
                                <w:rFonts w:asciiTheme="majorHAnsi" w:hAnsiTheme="majorHAnsi" w:cstheme="majorHAnsi"/>
                                <w:sz w:val="16"/>
                                <w:szCs w:val="16"/>
                              </w:rPr>
                            </w:pPr>
                            <w:r w:rsidRPr="00EF7B63">
                              <w:rPr>
                                <w:rFonts w:asciiTheme="majorHAnsi" w:hAnsiTheme="majorHAnsi" w:cstheme="majorHAnsi"/>
                                <w:sz w:val="16"/>
                                <w:szCs w:val="16"/>
                              </w:rPr>
                              <w:t>*</w:t>
                            </w:r>
                            <w:r>
                              <w:rPr>
                                <w:rFonts w:asciiTheme="majorHAnsi" w:hAnsiTheme="majorHAnsi" w:cstheme="majorHAnsi"/>
                                <w:sz w:val="16"/>
                                <w:szCs w:val="16"/>
                              </w:rPr>
                              <w:t xml:space="preserve"> I</w:t>
                            </w:r>
                            <w:r w:rsidRPr="00EF7B63">
                              <w:rPr>
                                <w:rFonts w:asciiTheme="majorHAnsi" w:hAnsiTheme="majorHAnsi" w:cstheme="majorHAnsi"/>
                                <w:sz w:val="16"/>
                                <w:szCs w:val="16"/>
                              </w:rPr>
                              <w:t>nformation flows relating to adverse reactions are still being developed, and are subject to change.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73E2805E" id="Text Box 2" o:spid="_x0000_s1027" type="#_x0000_t202" style="position:absolute;margin-left:59.55pt;margin-top:431.85pt;width:435.75pt;height:110.6pt;z-index:251663360;visibility:visible;mso-wrap-style:square;mso-width-percent:0;mso-height-percent:200;mso-wrap-distance-left:9pt;mso-wrap-distance-top:3.6pt;mso-wrap-distance-right:9pt;mso-wrap-distance-bottom:3.6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" filled="f" stroked="f">
                <v:textbox style="mso-fit-shape-to-text:t">
                  <w:txbxContent>
                    <w:p w14:paraId="04821A8D" w14:textId="77777777" w:rsidR="008D352E" w:rsidRPr="00EF7B63" w:rsidRDefault="008D352E" w:rsidP="00140B67">
                      <w:pPr>
                        <w:rPr>
                          <w:rFonts w:asciiTheme="majorHAnsi" w:hAnsiTheme="majorHAnsi" w:cstheme="majorHAnsi"/>
                          <w:sz w:val="16"/>
                          <w:szCs w:val="16"/>
                        </w:rPr>
                      </w:pPr>
                      <w:r w:rsidRPr="00EF7B63">
                        <w:rPr>
                          <w:rFonts w:asciiTheme="majorHAnsi" w:hAnsiTheme="majorHAnsi" w:cstheme="majorHAnsi"/>
                          <w:sz w:val="16"/>
                          <w:szCs w:val="16"/>
                        </w:rPr>
                        <w:t>*</w:t>
                      </w:r>
                      <w:r>
                        <w:rPr>
                          <w:rFonts w:asciiTheme="majorHAnsi" w:hAnsiTheme="majorHAnsi" w:cstheme="majorHAnsi"/>
                          <w:sz w:val="16"/>
                          <w:szCs w:val="16"/>
                        </w:rPr>
                        <w:t xml:space="preserve"> I</w:t>
                      </w:r>
                      <w:r w:rsidRPr="00EF7B63">
                        <w:rPr>
                          <w:rFonts w:asciiTheme="majorHAnsi" w:hAnsiTheme="majorHAnsi" w:cstheme="majorHAnsi"/>
                          <w:sz w:val="16"/>
                          <w:szCs w:val="16"/>
                        </w:rPr>
                        <w:t>nformation flows relating to adverse reactions are still being developed, and are subject to change.</w:t>
                      </w:r>
                    </w:p>
                  </w:txbxContent>
                </v:textbox>
                <w10:wrap anchorx="page"/>
              </v:shape>
            </w:pict>
          </mc:Fallback>
        </mc:AlternateContent>
      </w:r>
    </w:p>
    <w:bookmarkEnd w:id="3"/>
    <w:bookmarkEnd w:id="4"/>
    <w:bookmarkEnd w:id="5"/>
    <w:bookmarkEnd w:id="6"/>
    <w:bookmarkEnd w:id="7"/>
    <w:bookmarkEnd w:id="8"/>
    <w:bookmarkEnd w:id="9"/>
    <w:bookmarkEnd w:id="10"/>
    <w:bookmarkEnd w:id="11"/>
    <w:p w14:paraId="36D8347B" w14:textId="77777777" w:rsidR="005905D7" w:rsidRPr="002E448B" w:rsidRDefault="005905D7" w:rsidP="005905D7">
      <w:pPr>
        <w:rPr>
          <w:rFonts w:asciiTheme="majorHAnsi" w:hAnsiTheme="majorHAnsi" w:cstheme="majorHAnsi"/>
        </w:rPr>
      </w:pPr>
    </w:p>
    <w:sectPr w:rsidR="005905D7" w:rsidRPr="002E448B" w:rsidSect="00140B67">
      <w:headerReference w:type="first" r:id="rId17"/>
      <w:pgSz w:w="16838" w:h="11906" w:orient="landscape" w:code="9"/>
      <w:pgMar w:top="1418" w:right="1247" w:bottom="1418" w:left="1134"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A00E581" w14:textId="77777777" w:rsidR="00E63F84" w:rsidRDefault="00E63F84" w:rsidP="009F2818">
      <w:r>
        <w:separator/>
      </w:r>
    </w:p>
  </w:endnote>
  <w:endnote w:type="continuationSeparator" w:id="0">
    <w:p w14:paraId="000EB8EA" w14:textId="77777777" w:rsidR="00E63F84" w:rsidRDefault="00E63F84" w:rsidP="009F2818">
      <w:r>
        <w:continuationSeparator/>
      </w:r>
    </w:p>
  </w:endnote>
  <w:endnote w:type="continuationNotice" w:id="1">
    <w:p w14:paraId="43097D74" w14:textId="77777777" w:rsidR="00E63F84" w:rsidRDefault="00E63F8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DengXian Light">
    <w:altName w:val="Microsoft YaHei"/>
    <w:charset w:val="86"/>
    <w:family w:val="auto"/>
    <w:pitch w:val="variable"/>
    <w:sig w:usb0="A00002BF" w:usb1="38CF7CFA" w:usb2="00000016" w:usb3="00000000" w:csb0="0004000F" w:csb1="00000000"/>
  </w:font>
  <w:font w:name="CG Times (WN)">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3483303"/>
      <w:docPartObj>
        <w:docPartGallery w:val="Page Numbers (Bottom of Page)"/>
        <w:docPartUnique/>
      </w:docPartObj>
    </w:sdtPr>
    <w:sdtEndPr>
      <w:rPr>
        <w:rFonts w:asciiTheme="majorHAnsi" w:hAnsiTheme="majorHAnsi" w:cstheme="majorHAnsi"/>
        <w:noProof/>
      </w:rPr>
    </w:sdtEndPr>
    <w:sdtContent>
      <w:p w14:paraId="06F62A56" w14:textId="5111808F" w:rsidR="008D352E" w:rsidRPr="002E448B" w:rsidRDefault="008D352E">
        <w:pPr>
          <w:pStyle w:val="Footer"/>
          <w:jc w:val="right"/>
          <w:rPr>
            <w:rFonts w:asciiTheme="majorHAnsi" w:hAnsiTheme="majorHAnsi" w:cstheme="majorHAnsi"/>
          </w:rPr>
        </w:pPr>
        <w:r w:rsidRPr="002E448B">
          <w:rPr>
            <w:rFonts w:asciiTheme="majorHAnsi" w:hAnsiTheme="majorHAnsi" w:cstheme="majorHAnsi"/>
          </w:rPr>
          <w:fldChar w:fldCharType="begin"/>
        </w:r>
        <w:r w:rsidRPr="002E448B">
          <w:rPr>
            <w:rFonts w:asciiTheme="majorHAnsi" w:hAnsiTheme="majorHAnsi" w:cstheme="majorHAnsi"/>
          </w:rPr>
          <w:instrText xml:space="preserve"> PAGE   \* MERGEFORMAT </w:instrText>
        </w:r>
        <w:r w:rsidRPr="002E448B">
          <w:rPr>
            <w:rFonts w:asciiTheme="majorHAnsi" w:hAnsiTheme="majorHAnsi" w:cstheme="majorHAnsi"/>
          </w:rPr>
          <w:fldChar w:fldCharType="separate"/>
        </w:r>
        <w:r w:rsidR="00617D78">
          <w:rPr>
            <w:rFonts w:asciiTheme="majorHAnsi" w:hAnsiTheme="majorHAnsi" w:cstheme="majorHAnsi"/>
            <w:noProof/>
          </w:rPr>
          <w:t>2</w:t>
        </w:r>
        <w:r w:rsidRPr="002E448B">
          <w:rPr>
            <w:rFonts w:asciiTheme="majorHAnsi" w:hAnsiTheme="majorHAnsi" w:cstheme="majorHAnsi"/>
            <w:noProof/>
          </w:rPr>
          <w:fldChar w:fldCharType="end"/>
        </w:r>
      </w:p>
    </w:sdtContent>
  </w:sdt>
  <w:p w14:paraId="12240880" w14:textId="77777777" w:rsidR="008D352E" w:rsidRDefault="008D352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51A4DA6" w14:textId="77777777" w:rsidR="00E63F84" w:rsidRDefault="00E63F84" w:rsidP="009F2818">
      <w:r>
        <w:separator/>
      </w:r>
    </w:p>
  </w:footnote>
  <w:footnote w:type="continuationSeparator" w:id="0">
    <w:p w14:paraId="6357E7F0" w14:textId="77777777" w:rsidR="00E63F84" w:rsidRDefault="00E63F84" w:rsidP="009F2818">
      <w:r>
        <w:continuationSeparator/>
      </w:r>
    </w:p>
  </w:footnote>
  <w:footnote w:type="continuationNotice" w:id="1">
    <w:p w14:paraId="7E1F1382" w14:textId="77777777" w:rsidR="00E63F84" w:rsidRDefault="00E63F84"/>
  </w:footnote>
  <w:footnote w:id="2">
    <w:p w14:paraId="409870EA" w14:textId="77777777" w:rsidR="008D352E" w:rsidRPr="00510DA0" w:rsidRDefault="008D352E" w:rsidP="00140B67">
      <w:pPr>
        <w:pStyle w:val="FootnoteText"/>
        <w:rPr>
          <w:rFonts w:asciiTheme="majorHAnsi" w:hAnsiTheme="majorHAnsi" w:cstheme="majorHAnsi"/>
        </w:rPr>
      </w:pPr>
      <w:r w:rsidRPr="00510DA0">
        <w:rPr>
          <w:rStyle w:val="FootnoteReference"/>
          <w:rFonts w:asciiTheme="majorHAnsi" w:hAnsiTheme="majorHAnsi" w:cstheme="majorHAnsi"/>
        </w:rPr>
        <w:footnoteRef/>
      </w:r>
      <w:r w:rsidRPr="00510DA0">
        <w:rPr>
          <w:rFonts w:asciiTheme="majorHAnsi" w:hAnsiTheme="majorHAnsi" w:cstheme="majorHAnsi"/>
        </w:rPr>
        <w:t xml:space="preserve"> The relevant documents can be found at: </w:t>
      </w:r>
      <w:hyperlink r:id="rId1" w:history="1">
        <w:r w:rsidRPr="00510DA0">
          <w:rPr>
            <w:rStyle w:val="Hyperlink"/>
            <w:rFonts w:asciiTheme="majorHAnsi" w:hAnsiTheme="majorHAnsi" w:cstheme="majorHAnsi"/>
          </w:rPr>
          <w:t>https://www.health.gov.au/sites/default/files/documents/2020/08/australia-s-covid-19-vaccine-and-treatment-strategy.pdf</w:t>
        </w:r>
      </w:hyperlink>
      <w:r w:rsidRPr="00510DA0">
        <w:rPr>
          <w:rFonts w:asciiTheme="majorHAnsi" w:hAnsiTheme="majorHAnsi" w:cstheme="majorHAnsi"/>
        </w:rPr>
        <w:t xml:space="preserve"> and </w:t>
      </w:r>
      <w:hyperlink r:id="rId2" w:history="1">
        <w:r w:rsidRPr="00510DA0">
          <w:rPr>
            <w:rStyle w:val="Hyperlink"/>
            <w:rFonts w:asciiTheme="majorHAnsi" w:hAnsiTheme="majorHAnsi" w:cstheme="majorHAnsi"/>
          </w:rPr>
          <w:t>https://www.health.gov.au/sites/default/files/documents/2021/01/australia-s-covid-19-vaccine-national-roll-out-strategy.pdf</w:t>
        </w:r>
      </w:hyperlink>
      <w:r w:rsidRPr="00510DA0">
        <w:rPr>
          <w:rFonts w:asciiTheme="majorHAnsi" w:hAnsiTheme="majorHAnsi" w:cstheme="majorHAnsi"/>
        </w:rPr>
        <w:t>.</w:t>
      </w:r>
    </w:p>
  </w:footnote>
  <w:footnote w:id="3">
    <w:p w14:paraId="3330A3D7" w14:textId="77777777" w:rsidR="008D352E" w:rsidRPr="00510DA0" w:rsidRDefault="008D352E" w:rsidP="00140B67">
      <w:pPr>
        <w:pStyle w:val="FootnoteText"/>
        <w:rPr>
          <w:rFonts w:asciiTheme="majorHAnsi" w:hAnsiTheme="majorHAnsi" w:cstheme="majorHAnsi"/>
        </w:rPr>
      </w:pPr>
      <w:r w:rsidRPr="00510DA0">
        <w:rPr>
          <w:rStyle w:val="FootnoteReference"/>
          <w:rFonts w:asciiTheme="majorHAnsi" w:hAnsiTheme="majorHAnsi" w:cstheme="majorHAnsi"/>
        </w:rPr>
        <w:footnoteRef/>
      </w:r>
      <w:r w:rsidRPr="00510DA0">
        <w:rPr>
          <w:rFonts w:asciiTheme="majorHAnsi" w:hAnsiTheme="majorHAnsi" w:cstheme="majorHAnsi"/>
        </w:rPr>
        <w:t xml:space="preserve"> The policy can be found at </w:t>
      </w:r>
      <w:hyperlink r:id="rId3" w:history="1">
        <w:r w:rsidRPr="00510DA0">
          <w:rPr>
            <w:rStyle w:val="Hyperlink"/>
            <w:rFonts w:asciiTheme="majorHAnsi" w:hAnsiTheme="majorHAnsi" w:cstheme="majorHAnsi"/>
          </w:rPr>
          <w:t>https://www.health.gov.au/sites/default/files/documents/2020/11/australian-covid-19-vaccination-policy_1.pdf</w:t>
        </w:r>
      </w:hyperlink>
      <w:r w:rsidRPr="00510DA0">
        <w:rPr>
          <w:rFonts w:asciiTheme="majorHAnsi" w:hAnsiTheme="majorHAnsi" w:cstheme="majorHAnsi"/>
        </w:rPr>
        <w:t xml:space="preserve">. </w:t>
      </w:r>
    </w:p>
  </w:footnote>
  <w:footnote w:id="4">
    <w:p w14:paraId="6D01BCD5" w14:textId="77777777" w:rsidR="008D352E" w:rsidRPr="00510DA0" w:rsidRDefault="008D352E" w:rsidP="00140B67">
      <w:pPr>
        <w:pStyle w:val="FootnoteText"/>
        <w:rPr>
          <w:rFonts w:asciiTheme="majorHAnsi" w:hAnsiTheme="majorHAnsi" w:cstheme="majorHAnsi"/>
        </w:rPr>
      </w:pPr>
      <w:r w:rsidRPr="00510DA0">
        <w:rPr>
          <w:rStyle w:val="FootnoteReference"/>
          <w:rFonts w:asciiTheme="majorHAnsi" w:hAnsiTheme="majorHAnsi" w:cstheme="majorHAnsi"/>
        </w:rPr>
        <w:footnoteRef/>
      </w:r>
      <w:r w:rsidRPr="00510DA0">
        <w:rPr>
          <w:rFonts w:asciiTheme="majorHAnsi" w:hAnsiTheme="majorHAnsi" w:cstheme="majorHAnsi"/>
        </w:rPr>
        <w:t xml:space="preserve"> This survey was published in September 2020.</w:t>
      </w:r>
    </w:p>
  </w:footnote>
  <w:footnote w:id="5">
    <w:p w14:paraId="305532E9" w14:textId="77777777" w:rsidR="008D352E" w:rsidRPr="00510DA0" w:rsidRDefault="008D352E" w:rsidP="00140B67">
      <w:pPr>
        <w:pStyle w:val="FootnoteText"/>
        <w:rPr>
          <w:rFonts w:asciiTheme="majorHAnsi" w:hAnsiTheme="majorHAnsi" w:cstheme="majorHAnsi"/>
        </w:rPr>
      </w:pPr>
      <w:r w:rsidRPr="00510DA0">
        <w:rPr>
          <w:rStyle w:val="FootnoteReference"/>
          <w:rFonts w:asciiTheme="majorHAnsi" w:hAnsiTheme="majorHAnsi" w:cstheme="majorHAnsi"/>
        </w:rPr>
        <w:footnoteRef/>
      </w:r>
      <w:r w:rsidRPr="00510DA0">
        <w:rPr>
          <w:rFonts w:asciiTheme="majorHAnsi" w:hAnsiTheme="majorHAnsi" w:cstheme="majorHAnsi"/>
        </w:rPr>
        <w:t xml:space="preserve"> </w:t>
      </w:r>
      <w:r w:rsidRPr="00510DA0">
        <w:rPr>
          <w:rFonts w:asciiTheme="majorHAnsi" w:hAnsiTheme="majorHAnsi" w:cstheme="majorHAnsi"/>
          <w:color w:val="000000"/>
        </w:rPr>
        <w:t>As the Supply Agreements are subject to a strict confidentiality regime, they have not been provided to us.</w:t>
      </w:r>
    </w:p>
  </w:footnote>
  <w:footnote w:id="6">
    <w:p w14:paraId="4F8EE44B" w14:textId="77777777" w:rsidR="008D352E" w:rsidRPr="00510DA0" w:rsidRDefault="008D352E" w:rsidP="00140B67">
      <w:pPr>
        <w:pStyle w:val="FootnoteText"/>
        <w:rPr>
          <w:rFonts w:asciiTheme="majorHAnsi" w:hAnsiTheme="majorHAnsi" w:cstheme="majorHAnsi"/>
        </w:rPr>
      </w:pPr>
      <w:r w:rsidRPr="00510DA0">
        <w:rPr>
          <w:rStyle w:val="FootnoteReference"/>
          <w:rFonts w:asciiTheme="majorHAnsi" w:hAnsiTheme="majorHAnsi" w:cstheme="majorHAnsi"/>
        </w:rPr>
        <w:footnoteRef/>
      </w:r>
      <w:r w:rsidRPr="00510DA0">
        <w:rPr>
          <w:rFonts w:asciiTheme="majorHAnsi" w:hAnsiTheme="majorHAnsi" w:cstheme="majorHAnsi"/>
        </w:rPr>
        <w:t xml:space="preserve"> We understand that the VAS is Health’s system for procuring and distributing vaccines to States and Territories, facilitating management of supply chains for all vaccines procured by the Commonwealth under the National Immunisation Program (</w:t>
      </w:r>
      <w:r w:rsidRPr="00510DA0">
        <w:rPr>
          <w:rFonts w:asciiTheme="majorHAnsi" w:hAnsiTheme="majorHAnsi" w:cstheme="majorHAnsi"/>
          <w:b/>
          <w:bCs/>
        </w:rPr>
        <w:t>NIP</w:t>
      </w:r>
      <w:r w:rsidRPr="00510DA0">
        <w:rPr>
          <w:rFonts w:asciiTheme="majorHAnsi" w:hAnsiTheme="majorHAnsi" w:cstheme="majorHAnsi"/>
        </w:rPr>
        <w:t>). This includes forecast, order, delivery and financial management as well as reporting national vaccine procurement and distribution to State and Territory health departments.</w:t>
      </w:r>
    </w:p>
  </w:footnote>
  <w:footnote w:id="7">
    <w:p w14:paraId="37D8EE4F" w14:textId="77777777" w:rsidR="008D352E" w:rsidRPr="00510DA0" w:rsidRDefault="008D352E" w:rsidP="00140B67">
      <w:pPr>
        <w:pStyle w:val="FootnoteText"/>
        <w:rPr>
          <w:rFonts w:asciiTheme="majorHAnsi" w:hAnsiTheme="majorHAnsi" w:cstheme="majorHAnsi"/>
        </w:rPr>
      </w:pPr>
      <w:r w:rsidRPr="00510DA0">
        <w:rPr>
          <w:rStyle w:val="FootnoteReference"/>
          <w:rFonts w:asciiTheme="majorHAnsi" w:hAnsiTheme="majorHAnsi" w:cstheme="majorHAnsi"/>
        </w:rPr>
        <w:footnoteRef/>
      </w:r>
      <w:r w:rsidRPr="00510DA0">
        <w:rPr>
          <w:rFonts w:asciiTheme="majorHAnsi" w:hAnsiTheme="majorHAnsi" w:cstheme="majorHAnsi"/>
        </w:rPr>
        <w:t xml:space="preserve"> This PIA does not examine or consider the use of any internal systems used to handle information by Suppliers, Logistics and Distribution Partners, or operators of nominated delivery locations.</w:t>
      </w:r>
    </w:p>
  </w:footnote>
  <w:footnote w:id="8">
    <w:p w14:paraId="183B171B" w14:textId="77777777" w:rsidR="008D352E" w:rsidRPr="00510DA0" w:rsidRDefault="008D352E" w:rsidP="00140B67">
      <w:pPr>
        <w:pStyle w:val="FootnoteText"/>
        <w:rPr>
          <w:rFonts w:asciiTheme="majorHAnsi" w:hAnsiTheme="majorHAnsi" w:cstheme="majorHAnsi"/>
        </w:rPr>
      </w:pPr>
      <w:r w:rsidRPr="00510DA0">
        <w:rPr>
          <w:rStyle w:val="FootnoteReference"/>
          <w:rFonts w:asciiTheme="majorHAnsi" w:hAnsiTheme="majorHAnsi" w:cstheme="majorHAnsi"/>
        </w:rPr>
        <w:footnoteRef/>
      </w:r>
      <w:r w:rsidRPr="00510DA0">
        <w:rPr>
          <w:rFonts w:asciiTheme="majorHAnsi" w:hAnsiTheme="majorHAnsi" w:cstheme="majorHAnsi"/>
        </w:rPr>
        <w:t xml:space="preserve"> A Vaccine Administrator may be a Vaccine Provider in its own right for a particular location, or it may simply provide staff to work collaboratively with, or under the supervision of, staff of another Vaccine Provider.</w:t>
      </w:r>
    </w:p>
  </w:footnote>
  <w:footnote w:id="9">
    <w:p w14:paraId="2DF22872" w14:textId="77777777" w:rsidR="008D352E" w:rsidRPr="00510DA0" w:rsidRDefault="008D352E" w:rsidP="00140B67">
      <w:pPr>
        <w:pStyle w:val="FootnoteText"/>
        <w:rPr>
          <w:rFonts w:asciiTheme="majorHAnsi" w:hAnsiTheme="majorHAnsi" w:cstheme="majorHAnsi"/>
        </w:rPr>
      </w:pPr>
      <w:r w:rsidRPr="00510DA0">
        <w:rPr>
          <w:rStyle w:val="FootnoteReference"/>
          <w:rFonts w:asciiTheme="majorHAnsi" w:hAnsiTheme="majorHAnsi" w:cstheme="majorHAnsi"/>
        </w:rPr>
        <w:footnoteRef/>
      </w:r>
      <w:r w:rsidRPr="00510DA0">
        <w:rPr>
          <w:rFonts w:asciiTheme="majorHAnsi" w:hAnsiTheme="majorHAnsi" w:cstheme="majorHAnsi"/>
        </w:rPr>
        <w:t xml:space="preserve"> As discussed further in </w:t>
      </w:r>
      <w:r w:rsidRPr="00510DA0">
        <w:rPr>
          <w:rFonts w:asciiTheme="majorHAnsi" w:hAnsiTheme="majorHAnsi" w:cstheme="majorHAnsi"/>
          <w:b/>
          <w:bCs/>
        </w:rPr>
        <w:fldChar w:fldCharType="begin"/>
      </w:r>
      <w:r w:rsidRPr="00510DA0">
        <w:rPr>
          <w:rFonts w:asciiTheme="majorHAnsi" w:hAnsiTheme="majorHAnsi" w:cstheme="majorHAnsi"/>
          <w:b/>
          <w:bCs/>
        </w:rPr>
        <w:instrText xml:space="preserve"> REF _Ref58258661 \r \h  \* MERGEFORMAT </w:instrText>
      </w:r>
      <w:r w:rsidRPr="00510DA0">
        <w:rPr>
          <w:rFonts w:asciiTheme="majorHAnsi" w:hAnsiTheme="majorHAnsi" w:cstheme="majorHAnsi"/>
          <w:b/>
          <w:bCs/>
        </w:rPr>
      </w:r>
      <w:r w:rsidRPr="00510DA0">
        <w:rPr>
          <w:rFonts w:asciiTheme="majorHAnsi" w:hAnsiTheme="majorHAnsi" w:cstheme="majorHAnsi"/>
          <w:b/>
          <w:bCs/>
        </w:rPr>
        <w:fldChar w:fldCharType="separate"/>
      </w:r>
      <w:r w:rsidRPr="00510DA0">
        <w:rPr>
          <w:rFonts w:asciiTheme="majorHAnsi" w:hAnsiTheme="majorHAnsi" w:cstheme="majorHAnsi"/>
          <w:b/>
          <w:bCs/>
        </w:rPr>
        <w:t>Part D</w:t>
      </w:r>
      <w:r w:rsidRPr="00510DA0">
        <w:rPr>
          <w:rFonts w:asciiTheme="majorHAnsi" w:hAnsiTheme="majorHAnsi" w:cstheme="majorHAnsi"/>
          <w:b/>
          <w:bCs/>
        </w:rPr>
        <w:fldChar w:fldCharType="end"/>
      </w:r>
      <w:r w:rsidRPr="00510DA0">
        <w:rPr>
          <w:rFonts w:asciiTheme="majorHAnsi" w:hAnsiTheme="majorHAnsi" w:cstheme="majorHAnsi"/>
          <w:b/>
          <w:bCs/>
        </w:rPr>
        <w:t xml:space="preserve"> [Key Concepts]</w:t>
      </w:r>
      <w:r w:rsidRPr="00510DA0">
        <w:rPr>
          <w:rFonts w:asciiTheme="majorHAnsi" w:hAnsiTheme="majorHAnsi" w:cstheme="majorHAnsi"/>
        </w:rPr>
        <w:t xml:space="preserve">, it is not intended that any Vaccine Providers in Phase 1a will be sole traders, but we have included consideration of this possibility for completeness. </w:t>
      </w:r>
    </w:p>
  </w:footnote>
  <w:footnote w:id="10">
    <w:p w14:paraId="3E067BC0" w14:textId="77777777" w:rsidR="008D352E" w:rsidRPr="00510DA0" w:rsidRDefault="008D352E" w:rsidP="00140B67">
      <w:pPr>
        <w:pStyle w:val="FootnoteText"/>
        <w:rPr>
          <w:rFonts w:asciiTheme="majorHAnsi" w:hAnsiTheme="majorHAnsi" w:cstheme="majorHAnsi"/>
        </w:rPr>
      </w:pPr>
      <w:r w:rsidRPr="00510DA0">
        <w:rPr>
          <w:rStyle w:val="FootnoteReference"/>
          <w:rFonts w:asciiTheme="majorHAnsi" w:hAnsiTheme="majorHAnsi" w:cstheme="majorHAnsi"/>
        </w:rPr>
        <w:footnoteRef/>
      </w:r>
      <w:r w:rsidRPr="00510DA0">
        <w:rPr>
          <w:rFonts w:asciiTheme="majorHAnsi" w:hAnsiTheme="majorHAnsi" w:cstheme="majorHAnsi"/>
        </w:rPr>
        <w:t xml:space="preserve"> Methods by which a Patient makes an appointment with a Vaccinator will be part of the Vaccine Provider’s BAU processes, and accordingly, not within the scope of the PIA. However, any information collected as a result of a Patient’s attendance at that appointment falls within the scope of </w:t>
      </w:r>
      <w:r>
        <w:rPr>
          <w:rFonts w:asciiTheme="majorHAnsi" w:hAnsiTheme="majorHAnsi" w:cstheme="majorHAnsi"/>
        </w:rPr>
        <w:t>this</w:t>
      </w:r>
      <w:r w:rsidRPr="00510DA0">
        <w:rPr>
          <w:rFonts w:asciiTheme="majorHAnsi" w:hAnsiTheme="majorHAnsi" w:cstheme="majorHAnsi"/>
        </w:rPr>
        <w:t xml:space="preserve"> PIA.</w:t>
      </w:r>
    </w:p>
  </w:footnote>
  <w:footnote w:id="11">
    <w:p w14:paraId="19C64287" w14:textId="77777777" w:rsidR="008D352E" w:rsidRPr="00510DA0" w:rsidRDefault="008D352E" w:rsidP="00140B67">
      <w:pPr>
        <w:pStyle w:val="FootnoteText"/>
        <w:rPr>
          <w:rFonts w:asciiTheme="majorHAnsi" w:hAnsiTheme="majorHAnsi" w:cstheme="majorHAnsi"/>
        </w:rPr>
      </w:pPr>
      <w:r w:rsidRPr="00510DA0">
        <w:rPr>
          <w:rStyle w:val="FootnoteReference"/>
          <w:rFonts w:asciiTheme="majorHAnsi" w:hAnsiTheme="majorHAnsi" w:cstheme="majorHAnsi"/>
        </w:rPr>
        <w:footnoteRef/>
      </w:r>
      <w:r w:rsidRPr="00510DA0">
        <w:rPr>
          <w:rFonts w:asciiTheme="majorHAnsi" w:hAnsiTheme="majorHAnsi" w:cstheme="majorHAnsi"/>
        </w:rPr>
        <w:t xml:space="preserve"> We understand that the processes by which the Vaccinator will check a Patient’s immunisation history are still subject to further consideration. This PIA does not examine in detail BAU processes that are already used by Vaccinators to check a Patient’s immunisation history. </w:t>
      </w:r>
    </w:p>
  </w:footnote>
  <w:footnote w:id="12">
    <w:p w14:paraId="65F2FD59" w14:textId="77777777" w:rsidR="008D352E" w:rsidRPr="00510DA0" w:rsidRDefault="008D352E" w:rsidP="00140B67">
      <w:pPr>
        <w:pStyle w:val="FootnoteText"/>
        <w:rPr>
          <w:rFonts w:asciiTheme="majorHAnsi" w:hAnsiTheme="majorHAnsi" w:cstheme="majorHAnsi"/>
        </w:rPr>
      </w:pPr>
      <w:r w:rsidRPr="00510DA0">
        <w:rPr>
          <w:rStyle w:val="FootnoteReference"/>
          <w:rFonts w:asciiTheme="majorHAnsi" w:hAnsiTheme="majorHAnsi" w:cstheme="majorHAnsi"/>
        </w:rPr>
        <w:footnoteRef/>
      </w:r>
      <w:r w:rsidRPr="00510DA0">
        <w:rPr>
          <w:rFonts w:asciiTheme="majorHAnsi" w:hAnsiTheme="majorHAnsi" w:cstheme="majorHAnsi"/>
        </w:rPr>
        <w:t xml:space="preserve"> Any handling of information in connection with Vaccine Providers’ and/or Vaccinators’ internal systems are BAU processes, and outside the scope of </w:t>
      </w:r>
      <w:r>
        <w:rPr>
          <w:rFonts w:asciiTheme="majorHAnsi" w:hAnsiTheme="majorHAnsi" w:cstheme="majorHAnsi"/>
        </w:rPr>
        <w:t>this</w:t>
      </w:r>
      <w:r w:rsidRPr="00510DA0">
        <w:rPr>
          <w:rFonts w:asciiTheme="majorHAnsi" w:hAnsiTheme="majorHAnsi" w:cstheme="majorHAnsi"/>
        </w:rPr>
        <w:t xml:space="preserve"> PIA.</w:t>
      </w:r>
    </w:p>
  </w:footnote>
  <w:footnote w:id="13">
    <w:p w14:paraId="35EE2409" w14:textId="77777777" w:rsidR="008D352E" w:rsidRPr="00510DA0" w:rsidRDefault="008D352E" w:rsidP="00140B67">
      <w:pPr>
        <w:pStyle w:val="FootnoteText"/>
        <w:rPr>
          <w:rFonts w:asciiTheme="majorHAnsi" w:hAnsiTheme="majorHAnsi" w:cstheme="majorHAnsi"/>
        </w:rPr>
      </w:pPr>
      <w:r w:rsidRPr="00510DA0">
        <w:rPr>
          <w:rStyle w:val="FootnoteReference"/>
          <w:rFonts w:asciiTheme="majorHAnsi" w:hAnsiTheme="majorHAnsi" w:cstheme="majorHAnsi"/>
        </w:rPr>
        <w:footnoteRef/>
      </w:r>
      <w:r w:rsidRPr="00510DA0">
        <w:rPr>
          <w:rFonts w:asciiTheme="majorHAnsi" w:hAnsiTheme="majorHAnsi" w:cstheme="majorHAnsi"/>
        </w:rPr>
        <w:t xml:space="preserve"> As this relates to the booking of appointments as a BAU activity, this Information Flow is outside the scope of </w:t>
      </w:r>
      <w:r>
        <w:rPr>
          <w:rFonts w:asciiTheme="majorHAnsi" w:hAnsiTheme="majorHAnsi" w:cstheme="majorHAnsi"/>
        </w:rPr>
        <w:t>this</w:t>
      </w:r>
      <w:r w:rsidRPr="00510DA0">
        <w:rPr>
          <w:rFonts w:asciiTheme="majorHAnsi" w:hAnsiTheme="majorHAnsi" w:cstheme="majorHAnsi"/>
        </w:rPr>
        <w:t xml:space="preserve"> PIA.</w:t>
      </w:r>
    </w:p>
  </w:footnote>
  <w:footnote w:id="14">
    <w:p w14:paraId="0BE94BE8" w14:textId="77777777" w:rsidR="008D352E" w:rsidRPr="00510DA0" w:rsidRDefault="008D352E" w:rsidP="00140B67">
      <w:pPr>
        <w:pStyle w:val="FootnoteText"/>
        <w:rPr>
          <w:rFonts w:asciiTheme="majorHAnsi" w:hAnsiTheme="majorHAnsi" w:cstheme="majorHAnsi"/>
        </w:rPr>
      </w:pPr>
      <w:r w:rsidRPr="00510DA0">
        <w:rPr>
          <w:rStyle w:val="FootnoteReference"/>
          <w:rFonts w:asciiTheme="majorHAnsi" w:hAnsiTheme="majorHAnsi" w:cstheme="majorHAnsi"/>
        </w:rPr>
        <w:footnoteRef/>
      </w:r>
      <w:r w:rsidRPr="00510DA0">
        <w:rPr>
          <w:rFonts w:asciiTheme="majorHAnsi" w:hAnsiTheme="majorHAnsi" w:cstheme="majorHAnsi"/>
        </w:rPr>
        <w:t xml:space="preserve"> We note that anyone can report an adverse event to the TGA, through the online adverse event reporting site </w:t>
      </w:r>
      <w:hyperlink r:id="rId4" w:history="1">
        <w:r w:rsidRPr="00510DA0">
          <w:rPr>
            <w:rStyle w:val="Hyperlink"/>
            <w:rFonts w:asciiTheme="majorHAnsi" w:hAnsiTheme="majorHAnsi" w:cstheme="majorHAnsi"/>
          </w:rPr>
          <w:t>https://aems.tga.gov.au/</w:t>
        </w:r>
      </w:hyperlink>
      <w:r w:rsidRPr="00510DA0">
        <w:rPr>
          <w:rFonts w:asciiTheme="majorHAnsi" w:hAnsiTheme="majorHAnsi" w:cstheme="majorHAnsi"/>
        </w:rPr>
        <w:t>. If an adverse event in relation to a Patient is reported to the TGA, this information will be recorded on its adverse event register. TGA then investigates the adverse event. Disclosure of information to, and use of information by, the TGA falls outside the scope of the PIA.</w:t>
      </w:r>
    </w:p>
  </w:footnote>
  <w:footnote w:id="15">
    <w:p w14:paraId="1011C692" w14:textId="77777777" w:rsidR="008D352E" w:rsidRPr="00510DA0" w:rsidRDefault="008D352E" w:rsidP="00140B67">
      <w:pPr>
        <w:pStyle w:val="FootnoteText"/>
        <w:rPr>
          <w:rFonts w:asciiTheme="majorHAnsi" w:hAnsiTheme="majorHAnsi" w:cstheme="majorHAnsi"/>
        </w:rPr>
      </w:pPr>
      <w:r w:rsidRPr="00510DA0">
        <w:rPr>
          <w:rStyle w:val="FootnoteReference"/>
          <w:rFonts w:asciiTheme="majorHAnsi" w:hAnsiTheme="majorHAnsi" w:cstheme="majorHAnsi"/>
        </w:rPr>
        <w:footnoteRef/>
      </w:r>
      <w:r w:rsidRPr="00510DA0">
        <w:rPr>
          <w:rFonts w:asciiTheme="majorHAnsi" w:hAnsiTheme="majorHAnsi" w:cstheme="majorHAnsi"/>
        </w:rPr>
        <w:t xml:space="preserve"> We understand that there is currently no mechanism for information about adverse reactions to be automatically transferred between My Health Record and the TGA. </w:t>
      </w:r>
    </w:p>
  </w:footnote>
  <w:footnote w:id="16">
    <w:p w14:paraId="14FB86DD" w14:textId="77777777" w:rsidR="008D352E" w:rsidRPr="00510DA0" w:rsidRDefault="008D352E" w:rsidP="00140B67">
      <w:pPr>
        <w:pStyle w:val="FootnoteText"/>
        <w:rPr>
          <w:rFonts w:asciiTheme="majorHAnsi" w:hAnsiTheme="majorHAnsi" w:cstheme="majorHAnsi"/>
        </w:rPr>
      </w:pPr>
      <w:r w:rsidRPr="00510DA0">
        <w:rPr>
          <w:rStyle w:val="FootnoteReference"/>
          <w:rFonts w:asciiTheme="majorHAnsi" w:hAnsiTheme="majorHAnsi" w:cstheme="majorHAnsi"/>
        </w:rPr>
        <w:footnoteRef/>
      </w:r>
      <w:r w:rsidRPr="00510DA0">
        <w:rPr>
          <w:rFonts w:asciiTheme="majorHAnsi" w:hAnsiTheme="majorHAnsi" w:cstheme="majorHAnsi"/>
        </w:rPr>
        <w:t xml:space="preserve"> This PIA does not consider the handling of personal information provided to, or used or disclosed by, the Coronavirus national helpline.</w:t>
      </w:r>
    </w:p>
  </w:footnote>
  <w:footnote w:id="17">
    <w:p w14:paraId="10718C21" w14:textId="77777777" w:rsidR="008D352E" w:rsidRPr="00510DA0" w:rsidRDefault="008D352E" w:rsidP="00140B67">
      <w:pPr>
        <w:pStyle w:val="FootnoteText"/>
        <w:rPr>
          <w:rFonts w:asciiTheme="majorHAnsi" w:hAnsiTheme="majorHAnsi" w:cstheme="majorHAnsi"/>
        </w:rPr>
      </w:pPr>
      <w:r w:rsidRPr="00510DA0">
        <w:rPr>
          <w:rStyle w:val="FootnoteReference"/>
          <w:rFonts w:asciiTheme="majorHAnsi" w:hAnsiTheme="majorHAnsi" w:cstheme="majorHAnsi"/>
        </w:rPr>
        <w:footnoteRef/>
      </w:r>
      <w:r w:rsidRPr="00510DA0">
        <w:rPr>
          <w:rFonts w:asciiTheme="majorHAnsi" w:hAnsiTheme="majorHAnsi" w:cstheme="majorHAnsi"/>
        </w:rPr>
        <w:t xml:space="preserve"> For completeness, we note that there are several additional Information Flows if a Patient contacts or uses resources provided by, State and Territory providers after experiencing an adverse reaction. These Information Flows relate to BAU handling of information by those State and Territory providers and accordingly fall outside of the scope of </w:t>
      </w:r>
      <w:r>
        <w:rPr>
          <w:rFonts w:asciiTheme="majorHAnsi" w:hAnsiTheme="majorHAnsi" w:cstheme="majorHAnsi"/>
        </w:rPr>
        <w:t>this</w:t>
      </w:r>
      <w:r w:rsidRPr="00510DA0">
        <w:rPr>
          <w:rFonts w:asciiTheme="majorHAnsi" w:hAnsiTheme="majorHAnsi" w:cstheme="majorHAnsi"/>
        </w:rPr>
        <w:t xml:space="preserve"> PIA. </w:t>
      </w:r>
    </w:p>
  </w:footnote>
  <w:footnote w:id="18">
    <w:p w14:paraId="6F19782C" w14:textId="77777777" w:rsidR="008D352E" w:rsidRPr="00510DA0" w:rsidRDefault="008D352E" w:rsidP="00140B67">
      <w:pPr>
        <w:pStyle w:val="FootnoteText"/>
        <w:rPr>
          <w:rFonts w:asciiTheme="majorHAnsi" w:hAnsiTheme="majorHAnsi" w:cstheme="majorHAnsi"/>
          <w:sz w:val="20"/>
        </w:rPr>
      </w:pPr>
      <w:r w:rsidRPr="00510DA0">
        <w:rPr>
          <w:rStyle w:val="FootnoteReference"/>
          <w:rFonts w:asciiTheme="majorHAnsi" w:hAnsiTheme="majorHAnsi" w:cstheme="majorHAnsi"/>
          <w:szCs w:val="18"/>
        </w:rPr>
        <w:footnoteRef/>
      </w:r>
      <w:r w:rsidRPr="00510DA0">
        <w:rPr>
          <w:rFonts w:asciiTheme="majorHAnsi" w:hAnsiTheme="majorHAnsi" w:cstheme="majorHAnsi"/>
          <w:szCs w:val="18"/>
        </w:rPr>
        <w:t xml:space="preserve"> For example, Health’s RFT documentation seeking a </w:t>
      </w:r>
      <w:r w:rsidRPr="00510DA0">
        <w:rPr>
          <w:rFonts w:asciiTheme="majorHAnsi" w:hAnsiTheme="majorHAnsi" w:cstheme="majorHAnsi"/>
        </w:rPr>
        <w:t xml:space="preserve">Vaccine Administrator </w:t>
      </w:r>
      <w:r w:rsidRPr="00510DA0">
        <w:rPr>
          <w:rFonts w:asciiTheme="majorHAnsi" w:hAnsiTheme="majorHAnsi" w:cstheme="majorHAnsi"/>
          <w:szCs w:val="18"/>
        </w:rPr>
        <w:t xml:space="preserve">contained a requirement for the successful tenderer to report all adverse events in line with guidance from Health, and noted that such guidance may include these requirements. We understand that </w:t>
      </w:r>
      <w:proofErr w:type="spellStart"/>
      <w:r w:rsidRPr="00510DA0">
        <w:rPr>
          <w:rFonts w:asciiTheme="majorHAnsi" w:hAnsiTheme="majorHAnsi" w:cstheme="majorHAnsi"/>
          <w:szCs w:val="18"/>
        </w:rPr>
        <w:t>AusVaxSafety</w:t>
      </w:r>
      <w:proofErr w:type="spellEnd"/>
      <w:r w:rsidRPr="00510DA0">
        <w:rPr>
          <w:rFonts w:asciiTheme="majorHAnsi" w:hAnsiTheme="majorHAnsi" w:cstheme="majorHAnsi"/>
          <w:szCs w:val="18"/>
        </w:rPr>
        <w:t xml:space="preserve"> is a system led by the National Centre of Immunisation Research and Surveillance to track vaccine safety using </w:t>
      </w:r>
      <w:proofErr w:type="spellStart"/>
      <w:r w:rsidRPr="00510DA0">
        <w:rPr>
          <w:rFonts w:asciiTheme="majorHAnsi" w:hAnsiTheme="majorHAnsi" w:cstheme="majorHAnsi"/>
          <w:szCs w:val="18"/>
        </w:rPr>
        <w:t>SmartVax</w:t>
      </w:r>
      <w:proofErr w:type="spellEnd"/>
      <w:r w:rsidRPr="00510DA0">
        <w:rPr>
          <w:rFonts w:asciiTheme="majorHAnsi" w:hAnsiTheme="majorHAnsi" w:cstheme="majorHAnsi"/>
          <w:szCs w:val="18"/>
        </w:rPr>
        <w:t xml:space="preserve"> or </w:t>
      </w:r>
      <w:proofErr w:type="spellStart"/>
      <w:r w:rsidRPr="00510DA0">
        <w:rPr>
          <w:rFonts w:asciiTheme="majorHAnsi" w:hAnsiTheme="majorHAnsi" w:cstheme="majorHAnsi"/>
          <w:szCs w:val="18"/>
        </w:rPr>
        <w:t>Vaxtracker</w:t>
      </w:r>
      <w:proofErr w:type="spellEnd"/>
      <w:r w:rsidRPr="00510DA0">
        <w:rPr>
          <w:rFonts w:asciiTheme="majorHAnsi" w:hAnsiTheme="majorHAnsi" w:cstheme="majorHAnsi"/>
          <w:szCs w:val="18"/>
        </w:rPr>
        <w:t xml:space="preserve"> software, but this PIA does not examine the collection, use or disclosure of information by the entities which operate or use this software or </w:t>
      </w:r>
      <w:proofErr w:type="spellStart"/>
      <w:r w:rsidRPr="00510DA0">
        <w:rPr>
          <w:rFonts w:asciiTheme="majorHAnsi" w:hAnsiTheme="majorHAnsi" w:cstheme="majorHAnsi"/>
          <w:szCs w:val="18"/>
        </w:rPr>
        <w:t>AusVaxSafety</w:t>
      </w:r>
      <w:proofErr w:type="spellEnd"/>
      <w:r w:rsidRPr="00510DA0">
        <w:rPr>
          <w:rFonts w:asciiTheme="majorHAnsi" w:hAnsiTheme="majorHAnsi" w:cstheme="majorHAnsi"/>
          <w:szCs w:val="18"/>
        </w:rPr>
        <w:t>. We understand that this functionality may be part of Phase 1b of the Vaccine Strategy.</w:t>
      </w:r>
    </w:p>
  </w:footnote>
  <w:footnote w:id="19">
    <w:p w14:paraId="3F2413F0" w14:textId="77777777" w:rsidR="008D352E" w:rsidRPr="00510DA0" w:rsidRDefault="008D352E" w:rsidP="00140B67">
      <w:pPr>
        <w:pStyle w:val="FootnoteText"/>
        <w:rPr>
          <w:rFonts w:asciiTheme="majorHAnsi" w:hAnsiTheme="majorHAnsi" w:cstheme="majorHAnsi"/>
        </w:rPr>
      </w:pPr>
      <w:r w:rsidRPr="00510DA0">
        <w:rPr>
          <w:rStyle w:val="FootnoteReference"/>
          <w:rFonts w:asciiTheme="majorHAnsi" w:hAnsiTheme="majorHAnsi" w:cstheme="majorHAnsi"/>
        </w:rPr>
        <w:footnoteRef/>
      </w:r>
      <w:r w:rsidRPr="00510DA0">
        <w:rPr>
          <w:rFonts w:asciiTheme="majorHAnsi" w:hAnsiTheme="majorHAnsi" w:cstheme="majorHAnsi"/>
        </w:rPr>
        <w:t xml:space="preserve"> We understand that in Phase 1b of the Vaccine Strategy, it is intended that the Vaccine Provider will also be able to input this information into the Integrated Platform (or into the associated App), which will then automatically upload the information to the AIR and to My Health Record. However, the implementation of the Integrated Platform and the App is outside the scope of this PIA.</w:t>
      </w:r>
    </w:p>
  </w:footnote>
  <w:footnote w:id="20">
    <w:p w14:paraId="661DC403" w14:textId="77777777" w:rsidR="008D352E" w:rsidRPr="00510DA0" w:rsidRDefault="008D352E" w:rsidP="00140B67">
      <w:pPr>
        <w:pStyle w:val="FootnoteText"/>
        <w:rPr>
          <w:rFonts w:asciiTheme="majorHAnsi" w:hAnsiTheme="majorHAnsi" w:cstheme="majorHAnsi"/>
        </w:rPr>
      </w:pPr>
      <w:r w:rsidRPr="00510DA0">
        <w:rPr>
          <w:rStyle w:val="FootnoteReference"/>
          <w:rFonts w:asciiTheme="majorHAnsi" w:hAnsiTheme="majorHAnsi" w:cstheme="majorHAnsi"/>
        </w:rPr>
        <w:footnoteRef/>
      </w:r>
      <w:r w:rsidRPr="00510DA0">
        <w:rPr>
          <w:rFonts w:asciiTheme="majorHAnsi" w:hAnsiTheme="majorHAnsi" w:cstheme="majorHAnsi"/>
        </w:rPr>
        <w:t xml:space="preserve"> We note that the BAU interaction between the AIR and Health was the subject of a separate PIA process (which is currently being updated), and accordingly these Information Flows fall outside the scope of this PIA process.</w:t>
      </w:r>
    </w:p>
  </w:footnote>
  <w:footnote w:id="21">
    <w:p w14:paraId="1EF5A186" w14:textId="77777777" w:rsidR="008D352E" w:rsidRPr="00510DA0" w:rsidRDefault="008D352E" w:rsidP="00140B67">
      <w:pPr>
        <w:pStyle w:val="FootnoteText"/>
        <w:rPr>
          <w:rFonts w:asciiTheme="majorHAnsi" w:hAnsiTheme="majorHAnsi" w:cstheme="majorHAnsi"/>
        </w:rPr>
      </w:pPr>
      <w:r w:rsidRPr="00510DA0">
        <w:rPr>
          <w:rStyle w:val="FootnoteReference"/>
          <w:rFonts w:asciiTheme="majorHAnsi" w:hAnsiTheme="majorHAnsi" w:cstheme="majorHAnsi"/>
        </w:rPr>
        <w:footnoteRef/>
      </w:r>
      <w:r w:rsidRPr="00510DA0">
        <w:rPr>
          <w:rFonts w:asciiTheme="majorHAnsi" w:hAnsiTheme="majorHAnsi" w:cstheme="majorHAnsi"/>
        </w:rPr>
        <w:t xml:space="preserve"> We understand that the Integrated Platform is currently being developed by the ADHA and it is intended that this integrated platform will assist with streamlining Information Flows. Currently Vaccine Providers use their Clinical Information System (</w:t>
      </w:r>
      <w:r w:rsidRPr="00510DA0">
        <w:rPr>
          <w:rFonts w:asciiTheme="majorHAnsi" w:hAnsiTheme="majorHAnsi" w:cstheme="majorHAnsi"/>
          <w:b/>
          <w:bCs/>
        </w:rPr>
        <w:t>CIS</w:t>
      </w:r>
      <w:r w:rsidRPr="00510DA0">
        <w:rPr>
          <w:rFonts w:asciiTheme="majorHAnsi" w:hAnsiTheme="majorHAnsi" w:cstheme="majorHAnsi"/>
        </w:rPr>
        <w:t xml:space="preserve">), which is an internal system used by medical practitioners to maintain and manage Patient records. However, such a CIS will not currently automatically upload information to the AIR. Accordingly, the Integrated Platform and/or associated App is being implemented by the ADHA to allow for the automatic upload of information from the Vaccine Provider’s systems to the AIR (we understand that details of how this will occur are still being developed, but may be through, for example, Provider Personnel or Vaccinators inputting the relevant information into the App). </w:t>
      </w:r>
    </w:p>
  </w:footnote>
  <w:footnote w:id="22">
    <w:p w14:paraId="504263E0" w14:textId="77777777" w:rsidR="008D352E" w:rsidRPr="00510DA0" w:rsidRDefault="008D352E" w:rsidP="00140B67">
      <w:pPr>
        <w:pStyle w:val="FootnoteText"/>
        <w:rPr>
          <w:rFonts w:asciiTheme="majorHAnsi" w:hAnsiTheme="majorHAnsi" w:cstheme="majorHAnsi"/>
        </w:rPr>
      </w:pPr>
      <w:r w:rsidRPr="00510DA0">
        <w:rPr>
          <w:rStyle w:val="FootnoteReference"/>
          <w:rFonts w:asciiTheme="majorHAnsi" w:hAnsiTheme="majorHAnsi" w:cstheme="majorHAnsi"/>
        </w:rPr>
        <w:footnoteRef/>
      </w:r>
      <w:r w:rsidRPr="00510DA0">
        <w:rPr>
          <w:rFonts w:asciiTheme="majorHAnsi" w:hAnsiTheme="majorHAnsi" w:cstheme="majorHAnsi"/>
        </w:rPr>
        <w:t xml:space="preserve"> We understand that it has not yet been determined how information will be transferred from the VDS to Health, with these processes will be determined through the initial period of implementation (including any co-design activities) with the Data Partner. </w:t>
      </w:r>
    </w:p>
  </w:footnote>
  <w:footnote w:id="23">
    <w:p w14:paraId="1DFE6C2F" w14:textId="77777777" w:rsidR="008D352E" w:rsidRPr="00510DA0" w:rsidRDefault="008D352E" w:rsidP="00140B67">
      <w:pPr>
        <w:pStyle w:val="FootnoteText"/>
        <w:rPr>
          <w:rFonts w:asciiTheme="majorHAnsi" w:hAnsiTheme="majorHAnsi" w:cstheme="majorHAnsi"/>
        </w:rPr>
      </w:pPr>
      <w:r w:rsidRPr="00510DA0">
        <w:rPr>
          <w:rStyle w:val="FootnoteReference"/>
          <w:rFonts w:asciiTheme="majorHAnsi" w:hAnsiTheme="majorHAnsi" w:cstheme="majorHAnsi"/>
        </w:rPr>
        <w:footnoteRef/>
      </w:r>
      <w:r w:rsidRPr="00510DA0">
        <w:rPr>
          <w:rFonts w:asciiTheme="majorHAnsi" w:hAnsiTheme="majorHAnsi" w:cstheme="majorHAnsi"/>
        </w:rPr>
        <w:t xml:space="preserve"> As above, the BAU interaction between the AIR and Health/States and Territories was the subject of a separate PIA process (which is currently being updated), and accordingly these Information Flows fall outside the scope of this PIA process.</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3048F6" w14:textId="32428CE4" w:rsidR="00941D46" w:rsidRDefault="00941D46">
    <w:pPr>
      <w:pStyle w:val="Header"/>
    </w:pPr>
    <w:r>
      <w:rPr>
        <w:rFonts w:asciiTheme="majorHAnsi" w:hAnsiTheme="majorHAnsi" w:cstheme="majorHAnsi"/>
        <w:noProof/>
      </w:rPr>
      <w:drawing>
        <wp:anchor distT="0" distB="0" distL="114300" distR="114300" simplePos="0" relativeHeight="251658240" behindDoc="1" locked="1" layoutInCell="1" allowOverlap="1" wp14:anchorId="3E23C29F" wp14:editId="69B0E728">
          <wp:simplePos x="0" y="0"/>
          <wp:positionH relativeFrom="column">
            <wp:align>center</wp:align>
          </wp:positionH>
          <wp:positionV relativeFrom="page">
            <wp:align>top</wp:align>
          </wp:positionV>
          <wp:extent cx="7560000" cy="10684800"/>
          <wp:effectExtent l="0" t="0" r="0" b="0"/>
          <wp:wrapNone/>
          <wp:docPr id="4" name="Picture 4" descr="Australian Government. COVID-19 Vaccination br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ustralian Government. COVID-19 Vaccination brand"/>
                  <pic:cNvPicPr/>
                </pic:nvPicPr>
                <pic:blipFill>
                  <a:blip r:embed="rId1">
                    <a:extLst>
                      <a:ext uri="{28A0092B-C50C-407E-A947-70E740481C1C}">
                        <a14:useLocalDpi xmlns:a14="http://schemas.microsoft.com/office/drawing/2010/main" val="0"/>
                      </a:ext>
                    </a:extLst>
                  </a:blip>
                  <a:stretch>
                    <a:fillRect/>
                  </a:stretch>
                </pic:blipFill>
                <pic:spPr>
                  <a:xfrm>
                    <a:off x="0" y="0"/>
                    <a:ext cx="7560000" cy="1068480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35D351" w14:textId="72633F07" w:rsidR="003646A0" w:rsidRDefault="003646A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B"/>
    <w:multiLevelType w:val="multilevel"/>
    <w:tmpl w:val="ED5C9C4C"/>
    <w:lvl w:ilvl="0">
      <w:start w:val="1"/>
      <w:numFmt w:val="decimal"/>
      <w:pStyle w:val="Heading1"/>
      <w:lvlText w:val="%1."/>
      <w:lvlJc w:val="left"/>
      <w:pPr>
        <w:ind w:left="851" w:hanging="851"/>
      </w:pPr>
      <w:rPr>
        <w:rFonts w:hint="default"/>
        <w:sz w:val="22"/>
        <w:szCs w:val="22"/>
      </w:rPr>
    </w:lvl>
    <w:lvl w:ilvl="1">
      <w:start w:val="1"/>
      <w:numFmt w:val="decimal"/>
      <w:pStyle w:val="Heading2"/>
      <w:lvlText w:val="%1.%2"/>
      <w:lvlJc w:val="left"/>
      <w:pPr>
        <w:ind w:left="851" w:hanging="851"/>
      </w:pPr>
      <w:rPr>
        <w:rFonts w:hint="default"/>
        <w:sz w:val="20"/>
        <w:szCs w:val="20"/>
      </w:rPr>
    </w:lvl>
    <w:lvl w:ilvl="2">
      <w:start w:val="1"/>
      <w:numFmt w:val="decimal"/>
      <w:pStyle w:val="Heading3"/>
      <w:lvlText w:val="%1.%2.%3"/>
      <w:lvlJc w:val="left"/>
      <w:pPr>
        <w:ind w:left="1701" w:hanging="850"/>
      </w:pPr>
      <w:rPr>
        <w:rFonts w:ascii="Arial" w:hAnsi="Arial" w:hint="default"/>
        <w:b w:val="0"/>
        <w:i w:val="0"/>
        <w:sz w:val="20"/>
        <w:szCs w:val="20"/>
      </w:rPr>
    </w:lvl>
    <w:lvl w:ilvl="3">
      <w:start w:val="1"/>
      <w:numFmt w:val="lowerLetter"/>
      <w:pStyle w:val="Heading4"/>
      <w:lvlText w:val="(%4)"/>
      <w:lvlJc w:val="left"/>
      <w:pPr>
        <w:ind w:left="2268" w:hanging="567"/>
      </w:pPr>
      <w:rPr>
        <w:rFonts w:ascii="Arial" w:hAnsi="Arial" w:hint="default"/>
        <w:b w:val="0"/>
        <w:i w:val="0"/>
        <w:sz w:val="20"/>
        <w:szCs w:val="20"/>
      </w:rPr>
    </w:lvl>
    <w:lvl w:ilvl="4">
      <w:start w:val="1"/>
      <w:numFmt w:val="lowerRoman"/>
      <w:pStyle w:val="Heading5"/>
      <w:lvlText w:val="(%5)"/>
      <w:lvlJc w:val="left"/>
      <w:pPr>
        <w:tabs>
          <w:tab w:val="num" w:pos="2835"/>
        </w:tabs>
        <w:ind w:left="2835" w:hanging="567"/>
      </w:pPr>
      <w:rPr>
        <w:rFonts w:hint="default"/>
        <w:sz w:val="20"/>
        <w:szCs w:val="20"/>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 w15:restartNumberingAfterBreak="0">
    <w:nsid w:val="02047FA0"/>
    <w:multiLevelType w:val="hybridMultilevel"/>
    <w:tmpl w:val="F608527C"/>
    <w:name w:val="MaddNumpara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2245648"/>
    <w:multiLevelType w:val="multilevel"/>
    <w:tmpl w:val="BAF6032A"/>
    <w:lvl w:ilvl="0">
      <w:start w:val="1"/>
      <w:numFmt w:val="decimal"/>
      <w:pStyle w:val="Numpara1"/>
      <w:lvlText w:val="%1."/>
      <w:lvlJc w:val="left"/>
      <w:pPr>
        <w:ind w:left="851" w:hanging="851"/>
      </w:pPr>
      <w:rPr>
        <w:rFonts w:hint="default"/>
        <w:sz w:val="20"/>
        <w:szCs w:val="20"/>
      </w:rPr>
    </w:lvl>
    <w:lvl w:ilvl="1">
      <w:start w:val="1"/>
      <w:numFmt w:val="decimal"/>
      <w:pStyle w:val="Numpara2"/>
      <w:lvlText w:val="%1.%2"/>
      <w:lvlJc w:val="left"/>
      <w:pPr>
        <w:ind w:left="851" w:hanging="851"/>
      </w:pPr>
      <w:rPr>
        <w:rFonts w:hint="default"/>
        <w:b w:val="0"/>
        <w:bCs/>
        <w:sz w:val="20"/>
        <w:szCs w:val="20"/>
      </w:rPr>
    </w:lvl>
    <w:lvl w:ilvl="2">
      <w:start w:val="1"/>
      <w:numFmt w:val="decimal"/>
      <w:pStyle w:val="Numpara3"/>
      <w:lvlText w:val="%1.%2.%3"/>
      <w:lvlJc w:val="left"/>
      <w:pPr>
        <w:ind w:left="1701" w:hanging="850"/>
      </w:pPr>
      <w:rPr>
        <w:rFonts w:hint="default"/>
        <w:sz w:val="20"/>
        <w:szCs w:val="20"/>
      </w:rPr>
    </w:lvl>
    <w:lvl w:ilvl="3">
      <w:start w:val="1"/>
      <w:numFmt w:val="lowerLetter"/>
      <w:pStyle w:val="Numpara4"/>
      <w:lvlText w:val="(%4)"/>
      <w:lvlJc w:val="left"/>
      <w:pPr>
        <w:ind w:left="2268" w:hanging="567"/>
      </w:pPr>
      <w:rPr>
        <w:rFonts w:hint="default"/>
        <w:sz w:val="20"/>
        <w:szCs w:val="20"/>
      </w:rPr>
    </w:lvl>
    <w:lvl w:ilvl="4">
      <w:start w:val="1"/>
      <w:numFmt w:val="lowerRoman"/>
      <w:lvlText w:val="(%5)"/>
      <w:lvlJc w:val="left"/>
      <w:pPr>
        <w:tabs>
          <w:tab w:val="num" w:pos="2835"/>
        </w:tabs>
        <w:ind w:left="2835" w:hanging="567"/>
      </w:pPr>
      <w:rPr>
        <w:rFonts w:hint="default"/>
        <w:sz w:val="20"/>
        <w:szCs w:val="20"/>
      </w:rPr>
    </w:lvl>
    <w:lvl w:ilvl="5">
      <w:start w:val="1"/>
      <w:numFmt w:val="none"/>
      <w:lvlText w:val=""/>
      <w:lvlJc w:val="left"/>
      <w:pPr>
        <w:tabs>
          <w:tab w:val="num" w:pos="3402"/>
        </w:tabs>
        <w:ind w:left="3402" w:hanging="567"/>
      </w:pPr>
      <w:rPr>
        <w:rFonts w:hint="default"/>
      </w:rPr>
    </w:lvl>
    <w:lvl w:ilvl="6">
      <w:start w:val="1"/>
      <w:numFmt w:val="none"/>
      <w:lvlText w:val=""/>
      <w:lvlJc w:val="left"/>
      <w:pPr>
        <w:tabs>
          <w:tab w:val="num" w:pos="-31680"/>
        </w:tabs>
        <w:ind w:left="-32767" w:firstLine="0"/>
      </w:pPr>
      <w:rPr>
        <w:rFonts w:hint="default"/>
      </w:rPr>
    </w:lvl>
    <w:lvl w:ilvl="7">
      <w:start w:val="1"/>
      <w:numFmt w:val="none"/>
      <w:lvlText w:val=""/>
      <w:lvlJc w:val="left"/>
      <w:pPr>
        <w:tabs>
          <w:tab w:val="num" w:pos="-31680"/>
        </w:tabs>
        <w:ind w:left="3744" w:firstLine="29025"/>
      </w:pPr>
      <w:rPr>
        <w:rFonts w:hint="default"/>
      </w:rPr>
    </w:lvl>
    <w:lvl w:ilvl="8">
      <w:start w:val="1"/>
      <w:numFmt w:val="none"/>
      <w:lvlText w:val=""/>
      <w:lvlJc w:val="left"/>
      <w:pPr>
        <w:tabs>
          <w:tab w:val="num" w:pos="-31680"/>
        </w:tabs>
        <w:ind w:left="-32767" w:firstLine="32767"/>
      </w:pPr>
      <w:rPr>
        <w:rFonts w:hint="default"/>
      </w:rPr>
    </w:lvl>
  </w:abstractNum>
  <w:abstractNum w:abstractNumId="3" w15:restartNumberingAfterBreak="0">
    <w:nsid w:val="04764198"/>
    <w:multiLevelType w:val="multilevel"/>
    <w:tmpl w:val="290AABD0"/>
    <w:lvl w:ilvl="0">
      <w:start w:val="1"/>
      <w:numFmt w:val="upperLetter"/>
      <w:pStyle w:val="legalPart"/>
      <w:lvlText w:val="Part %1"/>
      <w:lvlJc w:val="left"/>
      <w:pPr>
        <w:tabs>
          <w:tab w:val="num" w:pos="7088"/>
        </w:tabs>
        <w:ind w:left="7088" w:hanging="1701"/>
      </w:pPr>
      <w:rPr>
        <w:rFonts w:asciiTheme="majorHAnsi" w:hAnsiTheme="majorHAnsi" w:cstheme="majorHAnsi" w:hint="default"/>
        <w:b/>
        <w:i w:val="0"/>
        <w:color w:val="82002A" w:themeColor="accent1"/>
        <w:sz w:val="36"/>
      </w:rPr>
    </w:lvl>
    <w:lvl w:ilvl="1">
      <w:start w:val="1"/>
      <w:numFmt w:val="none"/>
      <w:lvlText w:val=""/>
      <w:lvlJc w:val="left"/>
      <w:pPr>
        <w:ind w:left="720" w:hanging="360"/>
      </w:pPr>
      <w:rPr>
        <w:rFonts w:cs="Calibri Light" w:hint="default"/>
      </w:rPr>
    </w:lvl>
    <w:lvl w:ilvl="2">
      <w:start w:val="1"/>
      <w:numFmt w:val="none"/>
      <w:lvlText w:val=""/>
      <w:lvlJc w:val="left"/>
      <w:pPr>
        <w:ind w:left="1080" w:hanging="360"/>
      </w:pPr>
      <w:rPr>
        <w:rFonts w:cs="Calibri Light" w:hint="default"/>
      </w:rPr>
    </w:lvl>
    <w:lvl w:ilvl="3">
      <w:start w:val="1"/>
      <w:numFmt w:val="none"/>
      <w:lvlText w:val=""/>
      <w:lvlJc w:val="left"/>
      <w:pPr>
        <w:ind w:left="1440" w:hanging="360"/>
      </w:pPr>
      <w:rPr>
        <w:rFonts w:cs="Calibri Light" w:hint="default"/>
      </w:rPr>
    </w:lvl>
    <w:lvl w:ilvl="4">
      <w:start w:val="1"/>
      <w:numFmt w:val="none"/>
      <w:lvlText w:val=""/>
      <w:lvlJc w:val="left"/>
      <w:pPr>
        <w:ind w:left="1800" w:hanging="360"/>
      </w:pPr>
      <w:rPr>
        <w:rFonts w:cs="Calibri Light" w:hint="default"/>
      </w:rPr>
    </w:lvl>
    <w:lvl w:ilvl="5">
      <w:start w:val="1"/>
      <w:numFmt w:val="none"/>
      <w:lvlText w:val=""/>
      <w:lvlJc w:val="left"/>
      <w:pPr>
        <w:ind w:left="2160" w:hanging="360"/>
      </w:pPr>
      <w:rPr>
        <w:rFonts w:cs="Calibri Light" w:hint="default"/>
      </w:rPr>
    </w:lvl>
    <w:lvl w:ilvl="6">
      <w:start w:val="1"/>
      <w:numFmt w:val="none"/>
      <w:lvlText w:val=""/>
      <w:lvlJc w:val="left"/>
      <w:pPr>
        <w:ind w:left="2520" w:hanging="360"/>
      </w:pPr>
      <w:rPr>
        <w:rFonts w:cs="Calibri Light" w:hint="default"/>
      </w:rPr>
    </w:lvl>
    <w:lvl w:ilvl="7">
      <w:start w:val="1"/>
      <w:numFmt w:val="none"/>
      <w:lvlText w:val=""/>
      <w:lvlJc w:val="left"/>
      <w:pPr>
        <w:ind w:left="2880" w:hanging="360"/>
      </w:pPr>
      <w:rPr>
        <w:rFonts w:cs="Calibri Light" w:hint="default"/>
      </w:rPr>
    </w:lvl>
    <w:lvl w:ilvl="8">
      <w:start w:val="1"/>
      <w:numFmt w:val="none"/>
      <w:lvlText w:val=""/>
      <w:lvlJc w:val="left"/>
      <w:pPr>
        <w:ind w:left="3240" w:hanging="360"/>
      </w:pPr>
      <w:rPr>
        <w:rFonts w:cs="Calibri Light" w:hint="default"/>
      </w:rPr>
    </w:lvl>
  </w:abstractNum>
  <w:abstractNum w:abstractNumId="4" w15:restartNumberingAfterBreak="0">
    <w:nsid w:val="04BF4A0F"/>
    <w:multiLevelType w:val="multilevel"/>
    <w:tmpl w:val="1DFCD470"/>
    <w:lvl w:ilvl="0">
      <w:start w:val="1"/>
      <w:numFmt w:val="bullet"/>
      <w:pStyle w:val="Bullet2"/>
      <w:lvlText w:val=""/>
      <w:lvlJc w:val="left"/>
      <w:pPr>
        <w:ind w:left="1701" w:hanging="850"/>
      </w:pPr>
      <w:rPr>
        <w:rFonts w:ascii="DengXian Light" w:hAnsi="DengXian Light" w:hint="default"/>
        <w:sz w:val="20"/>
        <w:szCs w:val="20"/>
      </w:rPr>
    </w:lvl>
    <w:lvl w:ilvl="1">
      <w:start w:val="1"/>
      <w:numFmt w:val="bullet"/>
      <w:lvlText w:val="o"/>
      <w:lvlJc w:val="left"/>
      <w:pPr>
        <w:ind w:left="1440" w:hanging="360"/>
      </w:pPr>
      <w:rPr>
        <w:rFonts w:ascii="Calibri Light" w:hAnsi="Calibri Light" w:cs="Calibri Light" w:hint="default"/>
      </w:rPr>
    </w:lvl>
    <w:lvl w:ilvl="2">
      <w:start w:val="1"/>
      <w:numFmt w:val="bullet"/>
      <w:lvlText w:val=""/>
      <w:lvlJc w:val="left"/>
      <w:pPr>
        <w:ind w:left="2160" w:hanging="360"/>
      </w:pPr>
      <w:rPr>
        <w:rFonts w:ascii="CG Times (WN)" w:hAnsi="CG Times (WN)" w:hint="default"/>
      </w:rPr>
    </w:lvl>
    <w:lvl w:ilvl="3">
      <w:start w:val="1"/>
      <w:numFmt w:val="bullet"/>
      <w:lvlText w:val=""/>
      <w:lvlJc w:val="left"/>
      <w:pPr>
        <w:ind w:left="2880" w:hanging="360"/>
      </w:pPr>
      <w:rPr>
        <w:rFonts w:ascii="DengXian Light" w:hAnsi="DengXian Light" w:hint="default"/>
      </w:rPr>
    </w:lvl>
    <w:lvl w:ilvl="4">
      <w:start w:val="1"/>
      <w:numFmt w:val="bullet"/>
      <w:lvlText w:val="o"/>
      <w:lvlJc w:val="left"/>
      <w:pPr>
        <w:ind w:left="3600" w:hanging="360"/>
      </w:pPr>
      <w:rPr>
        <w:rFonts w:ascii="Calibri Light" w:hAnsi="Calibri Light" w:cs="Calibri Light" w:hint="default"/>
      </w:rPr>
    </w:lvl>
    <w:lvl w:ilvl="5">
      <w:start w:val="1"/>
      <w:numFmt w:val="bullet"/>
      <w:lvlText w:val=""/>
      <w:lvlJc w:val="left"/>
      <w:pPr>
        <w:ind w:left="4320" w:hanging="360"/>
      </w:pPr>
      <w:rPr>
        <w:rFonts w:ascii="CG Times (WN)" w:hAnsi="CG Times (WN)" w:hint="default"/>
      </w:rPr>
    </w:lvl>
    <w:lvl w:ilvl="6">
      <w:start w:val="1"/>
      <w:numFmt w:val="bullet"/>
      <w:lvlText w:val=""/>
      <w:lvlJc w:val="left"/>
      <w:pPr>
        <w:ind w:left="5040" w:hanging="360"/>
      </w:pPr>
      <w:rPr>
        <w:rFonts w:ascii="DengXian Light" w:hAnsi="DengXian Light" w:hint="default"/>
      </w:rPr>
    </w:lvl>
    <w:lvl w:ilvl="7">
      <w:start w:val="1"/>
      <w:numFmt w:val="bullet"/>
      <w:lvlText w:val="o"/>
      <w:lvlJc w:val="left"/>
      <w:pPr>
        <w:ind w:left="5760" w:hanging="360"/>
      </w:pPr>
      <w:rPr>
        <w:rFonts w:ascii="Calibri Light" w:hAnsi="Calibri Light" w:cs="Calibri Light" w:hint="default"/>
      </w:rPr>
    </w:lvl>
    <w:lvl w:ilvl="8">
      <w:start w:val="1"/>
      <w:numFmt w:val="bullet"/>
      <w:lvlText w:val=""/>
      <w:lvlJc w:val="left"/>
      <w:pPr>
        <w:ind w:left="6480" w:hanging="360"/>
      </w:pPr>
      <w:rPr>
        <w:rFonts w:ascii="CG Times (WN)" w:hAnsi="CG Times (WN)" w:hint="default"/>
      </w:rPr>
    </w:lvl>
  </w:abstractNum>
  <w:abstractNum w:abstractNumId="5" w15:restartNumberingAfterBreak="0">
    <w:nsid w:val="0F183487"/>
    <w:multiLevelType w:val="multilevel"/>
    <w:tmpl w:val="11D8DD4E"/>
    <w:lvl w:ilvl="0">
      <w:start w:val="1"/>
      <w:numFmt w:val="decimal"/>
      <w:pStyle w:val="legalAttachment"/>
      <w:lvlText w:val="Attachment %1"/>
      <w:lvlJc w:val="left"/>
      <w:pPr>
        <w:ind w:left="2552" w:hanging="2552"/>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 w15:restartNumberingAfterBreak="0">
    <w:nsid w:val="120454B5"/>
    <w:multiLevelType w:val="multilevel"/>
    <w:tmpl w:val="D848CF7A"/>
    <w:lvl w:ilvl="0">
      <w:start w:val="1"/>
      <w:numFmt w:val="upperLetter"/>
      <w:pStyle w:val="legalRecital1"/>
      <w:lvlText w:val="%1."/>
      <w:lvlJc w:val="left"/>
      <w:pPr>
        <w:ind w:left="851" w:hanging="851"/>
      </w:pPr>
      <w:rPr>
        <w:rFonts w:ascii="CG Times (WN)" w:hAnsi="CG Times (WN)" w:hint="default"/>
        <w:b w:val="0"/>
        <w:i w:val="0"/>
        <w:sz w:val="20"/>
        <w:szCs w:val="20"/>
      </w:rPr>
    </w:lvl>
    <w:lvl w:ilvl="1">
      <w:start w:val="1"/>
      <w:numFmt w:val="decimal"/>
      <w:lvlText w:val="%1.%2"/>
      <w:lvlJc w:val="left"/>
      <w:pPr>
        <w:tabs>
          <w:tab w:val="num" w:pos="1701"/>
        </w:tabs>
        <w:ind w:left="1701" w:hanging="850"/>
      </w:pPr>
      <w:rPr>
        <w:rFonts w:hint="default"/>
      </w:rPr>
    </w:lvl>
    <w:lvl w:ilvl="2">
      <w:start w:val="1"/>
      <w:numFmt w:val="decimal"/>
      <w:lvlText w:val="%1.%2.%3"/>
      <w:lvlJc w:val="left"/>
      <w:pPr>
        <w:tabs>
          <w:tab w:val="num" w:pos="2552"/>
        </w:tabs>
        <w:ind w:left="2552" w:hanging="851"/>
      </w:pPr>
      <w:rPr>
        <w:rFonts w:hint="default"/>
      </w:rPr>
    </w:lvl>
    <w:lvl w:ilvl="3">
      <w:start w:val="1"/>
      <w:numFmt w:val="decimal"/>
      <w:lvlText w:val="%1.%2.%3.%4"/>
      <w:lvlJc w:val="left"/>
      <w:pPr>
        <w:tabs>
          <w:tab w:val="num" w:pos="3686"/>
        </w:tabs>
        <w:ind w:left="3686" w:hanging="1134"/>
      </w:pPr>
      <w:rPr>
        <w:rFonts w:hint="default"/>
      </w:rPr>
    </w:lvl>
    <w:lvl w:ilvl="4">
      <w:start w:val="1"/>
      <w:numFmt w:val="decimal"/>
      <w:lvlText w:val="%1.%2.%3.%4.%5"/>
      <w:lvlJc w:val="left"/>
      <w:pPr>
        <w:tabs>
          <w:tab w:val="num" w:pos="4820"/>
        </w:tabs>
        <w:ind w:left="4820" w:hanging="1134"/>
      </w:pPr>
      <w:rPr>
        <w:rFonts w:hint="default"/>
      </w:rPr>
    </w:lvl>
    <w:lvl w:ilvl="5">
      <w:start w:val="1"/>
      <w:numFmt w:val="decimal"/>
      <w:lvlText w:val="%1.%2.%3.%4.%5.%6."/>
      <w:lvlJc w:val="left"/>
      <w:pPr>
        <w:tabs>
          <w:tab w:val="num" w:pos="0"/>
        </w:tabs>
        <w:ind w:left="4532" w:hanging="708"/>
      </w:pPr>
      <w:rPr>
        <w:rFonts w:hint="default"/>
      </w:rPr>
    </w:lvl>
    <w:lvl w:ilvl="6">
      <w:start w:val="1"/>
      <w:numFmt w:val="decimal"/>
      <w:lvlText w:val="%1.%2.%3.%4.%5.%6.%7."/>
      <w:lvlJc w:val="left"/>
      <w:pPr>
        <w:tabs>
          <w:tab w:val="num" w:pos="0"/>
        </w:tabs>
        <w:ind w:left="5240" w:hanging="708"/>
      </w:pPr>
      <w:rPr>
        <w:rFonts w:hint="default"/>
      </w:rPr>
    </w:lvl>
    <w:lvl w:ilvl="7">
      <w:start w:val="1"/>
      <w:numFmt w:val="decimal"/>
      <w:lvlText w:val="%1.%2.%3.%4.%5.%6.%7.%8."/>
      <w:lvlJc w:val="left"/>
      <w:pPr>
        <w:tabs>
          <w:tab w:val="num" w:pos="0"/>
        </w:tabs>
        <w:ind w:left="5948" w:hanging="708"/>
      </w:pPr>
      <w:rPr>
        <w:rFonts w:hint="default"/>
      </w:rPr>
    </w:lvl>
    <w:lvl w:ilvl="8">
      <w:start w:val="1"/>
      <w:numFmt w:val="decimal"/>
      <w:lvlText w:val="%1.%2.%3.%4.%5.%6.%7.%8.%9."/>
      <w:lvlJc w:val="left"/>
      <w:pPr>
        <w:tabs>
          <w:tab w:val="num" w:pos="0"/>
        </w:tabs>
        <w:ind w:left="6656" w:hanging="708"/>
      </w:pPr>
      <w:rPr>
        <w:rFonts w:hint="default"/>
      </w:rPr>
    </w:lvl>
  </w:abstractNum>
  <w:abstractNum w:abstractNumId="7" w15:restartNumberingAfterBreak="0">
    <w:nsid w:val="147468D5"/>
    <w:multiLevelType w:val="hybridMultilevel"/>
    <w:tmpl w:val="FC96D0F2"/>
    <w:name w:val="MaddNumpar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8F65849"/>
    <w:multiLevelType w:val="hybridMultilevel"/>
    <w:tmpl w:val="AAC012C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A265184"/>
    <w:multiLevelType w:val="hybridMultilevel"/>
    <w:tmpl w:val="7562A7FC"/>
    <w:lvl w:ilvl="0" w:tplc="F1A285F0">
      <w:start w:val="1"/>
      <w:numFmt w:val="decimal"/>
      <w:pStyle w:val="legalSchedule"/>
      <w:lvlText w:val="Schedule %1"/>
      <w:lvlJc w:val="left"/>
      <w:pPr>
        <w:ind w:left="2552" w:hanging="2552"/>
      </w:pPr>
      <w:rPr>
        <w:rFonts w:hint="default"/>
      </w:rPr>
    </w:lvl>
    <w:lvl w:ilvl="1" w:tplc="DD188F7E">
      <w:start w:val="1"/>
      <w:numFmt w:val="lowerLetter"/>
      <w:lvlText w:val="%2."/>
      <w:lvlJc w:val="left"/>
      <w:pPr>
        <w:tabs>
          <w:tab w:val="num" w:pos="1440"/>
        </w:tabs>
        <w:ind w:left="1440" w:hanging="360"/>
      </w:pPr>
      <w:rPr>
        <w:rFonts w:hint="default"/>
      </w:rPr>
    </w:lvl>
    <w:lvl w:ilvl="2" w:tplc="7B74B360">
      <w:start w:val="1"/>
      <w:numFmt w:val="lowerRoman"/>
      <w:lvlText w:val="%3."/>
      <w:lvlJc w:val="right"/>
      <w:pPr>
        <w:tabs>
          <w:tab w:val="num" w:pos="2160"/>
        </w:tabs>
        <w:ind w:left="2160" w:hanging="180"/>
      </w:pPr>
      <w:rPr>
        <w:rFonts w:hint="default"/>
      </w:rPr>
    </w:lvl>
    <w:lvl w:ilvl="3" w:tplc="19C89036">
      <w:start w:val="1"/>
      <w:numFmt w:val="decimal"/>
      <w:lvlText w:val="%4."/>
      <w:lvlJc w:val="left"/>
      <w:pPr>
        <w:tabs>
          <w:tab w:val="num" w:pos="2880"/>
        </w:tabs>
        <w:ind w:left="2880" w:hanging="360"/>
      </w:pPr>
      <w:rPr>
        <w:rFonts w:hint="default"/>
      </w:rPr>
    </w:lvl>
    <w:lvl w:ilvl="4" w:tplc="CF94F8C0">
      <w:start w:val="1"/>
      <w:numFmt w:val="lowerLetter"/>
      <w:lvlText w:val="%5."/>
      <w:lvlJc w:val="left"/>
      <w:pPr>
        <w:tabs>
          <w:tab w:val="num" w:pos="3600"/>
        </w:tabs>
        <w:ind w:left="3600" w:hanging="360"/>
      </w:pPr>
      <w:rPr>
        <w:rFonts w:hint="default"/>
      </w:rPr>
    </w:lvl>
    <w:lvl w:ilvl="5" w:tplc="8F44A3EE">
      <w:start w:val="1"/>
      <w:numFmt w:val="lowerRoman"/>
      <w:lvlText w:val="%6."/>
      <w:lvlJc w:val="right"/>
      <w:pPr>
        <w:tabs>
          <w:tab w:val="num" w:pos="4320"/>
        </w:tabs>
        <w:ind w:left="4320" w:hanging="180"/>
      </w:pPr>
      <w:rPr>
        <w:rFonts w:hint="default"/>
      </w:rPr>
    </w:lvl>
    <w:lvl w:ilvl="6" w:tplc="493E5278">
      <w:start w:val="1"/>
      <w:numFmt w:val="decimal"/>
      <w:lvlText w:val="%7."/>
      <w:lvlJc w:val="left"/>
      <w:pPr>
        <w:tabs>
          <w:tab w:val="num" w:pos="5040"/>
        </w:tabs>
        <w:ind w:left="5040" w:hanging="360"/>
      </w:pPr>
      <w:rPr>
        <w:rFonts w:hint="default"/>
      </w:rPr>
    </w:lvl>
    <w:lvl w:ilvl="7" w:tplc="2DF0DA1C">
      <w:start w:val="1"/>
      <w:numFmt w:val="lowerLetter"/>
      <w:lvlText w:val="%8."/>
      <w:lvlJc w:val="left"/>
      <w:pPr>
        <w:tabs>
          <w:tab w:val="num" w:pos="5760"/>
        </w:tabs>
        <w:ind w:left="5760" w:hanging="360"/>
      </w:pPr>
      <w:rPr>
        <w:rFonts w:hint="default"/>
      </w:rPr>
    </w:lvl>
    <w:lvl w:ilvl="8" w:tplc="E52C49D2">
      <w:start w:val="1"/>
      <w:numFmt w:val="lowerRoman"/>
      <w:lvlText w:val="%9."/>
      <w:lvlJc w:val="right"/>
      <w:pPr>
        <w:tabs>
          <w:tab w:val="num" w:pos="6480"/>
        </w:tabs>
        <w:ind w:left="6480" w:hanging="180"/>
      </w:pPr>
      <w:rPr>
        <w:rFonts w:hint="default"/>
      </w:rPr>
    </w:lvl>
  </w:abstractNum>
  <w:abstractNum w:abstractNumId="10" w15:restartNumberingAfterBreak="0">
    <w:nsid w:val="1A5F75C2"/>
    <w:multiLevelType w:val="multilevel"/>
    <w:tmpl w:val="C4A696D8"/>
    <w:lvl w:ilvl="0">
      <w:start w:val="1"/>
      <w:numFmt w:val="decimal"/>
      <w:lvlText w:val="%1."/>
      <w:lvlJc w:val="left"/>
      <w:pPr>
        <w:ind w:left="851" w:hanging="851"/>
      </w:pPr>
      <w:rPr>
        <w:rFonts w:hint="default"/>
        <w:sz w:val="22"/>
        <w:szCs w:val="22"/>
      </w:rPr>
    </w:lvl>
    <w:lvl w:ilvl="1">
      <w:start w:val="1"/>
      <w:numFmt w:val="decimal"/>
      <w:lvlText w:val="%1.%2"/>
      <w:lvlJc w:val="left"/>
      <w:pPr>
        <w:ind w:left="851" w:hanging="851"/>
      </w:pPr>
      <w:rPr>
        <w:rFonts w:hint="default"/>
        <w:sz w:val="20"/>
        <w:szCs w:val="20"/>
      </w:rPr>
    </w:lvl>
    <w:lvl w:ilvl="2">
      <w:start w:val="1"/>
      <w:numFmt w:val="bullet"/>
      <w:lvlText w:val=""/>
      <w:lvlJc w:val="left"/>
      <w:pPr>
        <w:ind w:left="1701" w:hanging="850"/>
      </w:pPr>
      <w:rPr>
        <w:rFonts w:ascii="Symbol" w:hAnsi="Symbol" w:hint="default"/>
        <w:b w:val="0"/>
        <w:i w:val="0"/>
        <w:sz w:val="20"/>
        <w:szCs w:val="20"/>
      </w:rPr>
    </w:lvl>
    <w:lvl w:ilvl="3">
      <w:start w:val="1"/>
      <w:numFmt w:val="lowerLetter"/>
      <w:lvlText w:val="(%4)"/>
      <w:lvlJc w:val="left"/>
      <w:pPr>
        <w:ind w:left="2268" w:hanging="567"/>
      </w:pPr>
      <w:rPr>
        <w:rFonts w:ascii="Arial" w:hAnsi="Arial" w:hint="default"/>
        <w:b w:val="0"/>
        <w:i w:val="0"/>
        <w:sz w:val="20"/>
        <w:szCs w:val="20"/>
      </w:rPr>
    </w:lvl>
    <w:lvl w:ilvl="4">
      <w:start w:val="1"/>
      <w:numFmt w:val="lowerRoman"/>
      <w:lvlText w:val="(%5)"/>
      <w:lvlJc w:val="left"/>
      <w:pPr>
        <w:tabs>
          <w:tab w:val="num" w:pos="2835"/>
        </w:tabs>
        <w:ind w:left="2835" w:hanging="567"/>
      </w:pPr>
      <w:rPr>
        <w:rFonts w:hint="default"/>
        <w:sz w:val="20"/>
        <w:szCs w:val="20"/>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1" w15:restartNumberingAfterBreak="0">
    <w:nsid w:val="27995E12"/>
    <w:multiLevelType w:val="hybridMultilevel"/>
    <w:tmpl w:val="9BAED7F6"/>
    <w:lvl w:ilvl="0" w:tplc="D1B48234">
      <w:numFmt w:val="bullet"/>
      <w:lvlText w:val="-"/>
      <w:lvlJc w:val="left"/>
      <w:pPr>
        <w:ind w:left="720" w:hanging="360"/>
      </w:pPr>
      <w:rPr>
        <w:rFonts w:ascii="Arial" w:eastAsia="Calibri Light" w:hAnsi="Arial" w:cs="Arial" w:hint="default"/>
        <w:sz w:val="16"/>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8934A6B"/>
    <w:multiLevelType w:val="multilevel"/>
    <w:tmpl w:val="A03A5F92"/>
    <w:lvl w:ilvl="0">
      <w:start w:val="1"/>
      <w:numFmt w:val="bullet"/>
      <w:pStyle w:val="DashEm"/>
      <w:lvlText w:val="—"/>
      <w:lvlJc w:val="left"/>
      <w:pPr>
        <w:tabs>
          <w:tab w:val="num" w:pos="425"/>
        </w:tabs>
        <w:ind w:left="425" w:hanging="425"/>
      </w:pPr>
      <w:rPr>
        <w:b/>
        <w:i w:val="0"/>
      </w:rPr>
    </w:lvl>
    <w:lvl w:ilvl="1">
      <w:start w:val="1"/>
      <w:numFmt w:val="lowerLetter"/>
      <w:pStyle w:val="DashEm1"/>
      <w:lvlText w:val="%2."/>
      <w:lvlJc w:val="left"/>
      <w:pPr>
        <w:tabs>
          <w:tab w:val="num" w:pos="425"/>
        </w:tabs>
        <w:ind w:left="425" w:hanging="425"/>
      </w:pPr>
      <w:rPr>
        <w:rFonts w:ascii="CG Times (WN)" w:eastAsia="Calibri Light" w:hAnsi="CG Times (WN)" w:cs="CG Times (WN)"/>
        <w:b w:val="0"/>
        <w:i w:val="0"/>
      </w:rPr>
    </w:lvl>
    <w:lvl w:ilvl="2">
      <w:start w:val="1"/>
      <w:numFmt w:val="bullet"/>
      <w:pStyle w:val="DashEn1"/>
      <w:lvlText w:val="–"/>
      <w:lvlJc w:val="left"/>
      <w:pPr>
        <w:tabs>
          <w:tab w:val="num" w:pos="850"/>
        </w:tabs>
        <w:ind w:left="850" w:hanging="425"/>
      </w:pPr>
      <w:rPr>
        <w:b w:val="0"/>
        <w:i w:val="0"/>
      </w:rPr>
    </w:lvl>
    <w:lvl w:ilvl="3">
      <w:start w:val="1"/>
      <w:numFmt w:val="bullet"/>
      <w:pStyle w:val="DashEn2"/>
      <w:lvlText w:val="–"/>
      <w:lvlJc w:val="left"/>
      <w:pPr>
        <w:tabs>
          <w:tab w:val="num" w:pos="1276"/>
        </w:tabs>
        <w:ind w:left="1276" w:hanging="426"/>
      </w:pPr>
      <w:rPr>
        <w:b w:val="0"/>
        <w:i w:val="0"/>
      </w:rPr>
    </w:lvl>
    <w:lvl w:ilvl="4">
      <w:start w:val="1"/>
      <w:numFmt w:val="bullet"/>
      <w:pStyle w:val="DashEn3"/>
      <w:lvlText w:val="–"/>
      <w:lvlJc w:val="left"/>
      <w:pPr>
        <w:tabs>
          <w:tab w:val="num" w:pos="1701"/>
        </w:tabs>
        <w:ind w:left="1701" w:hanging="425"/>
      </w:pPr>
      <w:rPr>
        <w:b w:val="0"/>
        <w:i w:val="0"/>
      </w:rPr>
    </w:lvl>
    <w:lvl w:ilvl="5">
      <w:start w:val="1"/>
      <w:numFmt w:val="bullet"/>
      <w:pStyle w:val="DashEn4"/>
      <w:lvlText w:val="–"/>
      <w:lvlJc w:val="left"/>
      <w:pPr>
        <w:tabs>
          <w:tab w:val="num" w:pos="2126"/>
        </w:tabs>
        <w:ind w:left="2126" w:hanging="425"/>
      </w:pPr>
      <w:rPr>
        <w:b w:val="0"/>
        <w:i w:val="0"/>
      </w:rPr>
    </w:lvl>
    <w:lvl w:ilvl="6">
      <w:start w:val="1"/>
      <w:numFmt w:val="bullet"/>
      <w:pStyle w:val="DashEn5"/>
      <w:lvlText w:val="–"/>
      <w:lvlJc w:val="left"/>
      <w:pPr>
        <w:tabs>
          <w:tab w:val="num" w:pos="2551"/>
        </w:tabs>
        <w:ind w:left="2551" w:hanging="425"/>
      </w:pPr>
      <w:rPr>
        <w:b w:val="0"/>
        <w:i w:val="0"/>
      </w:rPr>
    </w:lvl>
    <w:lvl w:ilvl="7">
      <w:start w:val="1"/>
      <w:numFmt w:val="bullet"/>
      <w:pStyle w:val="DashEn6"/>
      <w:lvlText w:val="–"/>
      <w:lvlJc w:val="left"/>
      <w:pPr>
        <w:tabs>
          <w:tab w:val="num" w:pos="2976"/>
        </w:tabs>
        <w:ind w:left="2976" w:hanging="425"/>
      </w:pPr>
      <w:rPr>
        <w:b w:val="0"/>
        <w:i w:val="0"/>
      </w:rPr>
    </w:lvl>
    <w:lvl w:ilvl="8">
      <w:start w:val="1"/>
      <w:numFmt w:val="bullet"/>
      <w:pStyle w:val="DashEn7"/>
      <w:lvlText w:val="–"/>
      <w:lvlJc w:val="left"/>
      <w:pPr>
        <w:tabs>
          <w:tab w:val="num" w:pos="3402"/>
        </w:tabs>
        <w:ind w:left="3402" w:hanging="426"/>
      </w:pPr>
      <w:rPr>
        <w:b w:val="0"/>
        <w:i w:val="0"/>
      </w:rPr>
    </w:lvl>
  </w:abstractNum>
  <w:abstractNum w:abstractNumId="13" w15:restartNumberingAfterBreak="0">
    <w:nsid w:val="2FCC4FEE"/>
    <w:multiLevelType w:val="multilevel"/>
    <w:tmpl w:val="D152B506"/>
    <w:lvl w:ilvl="0">
      <w:start w:val="1"/>
      <w:numFmt w:val="decimal"/>
      <w:pStyle w:val="ClauseLevel1"/>
      <w:lvlText w:val="Recommendation %1"/>
      <w:lvlJc w:val="left"/>
      <w:pPr>
        <w:ind w:left="3970" w:hanging="2552"/>
      </w:pPr>
      <w:rPr>
        <w:rFonts w:hint="default"/>
        <w:b/>
        <w:i w:val="0"/>
        <w:color w:val="FFFFFF" w:themeColor="background1"/>
        <w:sz w:val="22"/>
        <w:szCs w:val="22"/>
        <w:u w:val="single"/>
      </w:rPr>
    </w:lvl>
    <w:lvl w:ilvl="1">
      <w:start w:val="1"/>
      <w:numFmt w:val="decimal"/>
      <w:pStyle w:val="ClauseLevel2"/>
      <w:lvlText w:val="%1.%2."/>
      <w:lvlJc w:val="left"/>
      <w:pPr>
        <w:tabs>
          <w:tab w:val="num" w:pos="6521"/>
        </w:tabs>
        <w:ind w:left="6521" w:hanging="1134"/>
      </w:pPr>
      <w:rPr>
        <w:rFonts w:asciiTheme="minorHAnsi" w:hAnsiTheme="minorHAnsi" w:cstheme="minorHAnsi" w:hint="default"/>
        <w:b w:val="0"/>
        <w:i w:val="0"/>
        <w:sz w:val="22"/>
        <w:szCs w:val="22"/>
      </w:rPr>
    </w:lvl>
    <w:lvl w:ilvl="2">
      <w:start w:val="1"/>
      <w:numFmt w:val="lowerLetter"/>
      <w:pStyle w:val="ClauseLevel3"/>
      <w:lvlText w:val="(%3)"/>
      <w:lvlJc w:val="left"/>
      <w:pPr>
        <w:tabs>
          <w:tab w:val="num" w:pos="1559"/>
        </w:tabs>
        <w:ind w:left="1559" w:hanging="1134"/>
      </w:pPr>
      <w:rPr>
        <w:rFonts w:asciiTheme="minorHAnsi" w:eastAsia="Calibri Light" w:hAnsiTheme="minorHAnsi" w:cstheme="minorHAnsi" w:hint="default"/>
        <w:b w:val="0"/>
        <w:sz w:val="22"/>
        <w:szCs w:val="22"/>
      </w:rPr>
    </w:lvl>
    <w:lvl w:ilvl="3">
      <w:start w:val="1"/>
      <w:numFmt w:val="lowerRoman"/>
      <w:lvlText w:val="(%4)"/>
      <w:lvlJc w:val="left"/>
      <w:pPr>
        <w:tabs>
          <w:tab w:val="num" w:pos="1276"/>
        </w:tabs>
        <w:ind w:left="1276" w:hanging="425"/>
      </w:pPr>
      <w:rPr>
        <w:rFonts w:asciiTheme="minorHAnsi" w:eastAsia="Calibri Light" w:hAnsiTheme="minorHAnsi" w:cstheme="minorHAnsi" w:hint="default"/>
      </w:rPr>
    </w:lvl>
    <w:lvl w:ilvl="4">
      <w:start w:val="1"/>
      <w:numFmt w:val="lowerRoman"/>
      <w:lvlText w:val="%5."/>
      <w:lvlJc w:val="left"/>
      <w:pPr>
        <w:tabs>
          <w:tab w:val="num" w:pos="1985"/>
        </w:tabs>
        <w:ind w:left="1985" w:hanging="426"/>
      </w:pPr>
      <w:rPr>
        <w:rFonts w:hint="default"/>
        <w:b w:val="0"/>
      </w:rPr>
    </w:lvl>
    <w:lvl w:ilvl="5">
      <w:start w:val="1"/>
      <w:numFmt w:val="lowerRoman"/>
      <w:lvlText w:val="%6."/>
      <w:lvlJc w:val="right"/>
      <w:pPr>
        <w:tabs>
          <w:tab w:val="num" w:pos="2410"/>
        </w:tabs>
        <w:ind w:left="2410" w:hanging="425"/>
      </w:pPr>
      <w:rPr>
        <w:rFonts w:hint="default"/>
      </w:rPr>
    </w:lvl>
    <w:lvl w:ilvl="6">
      <w:start w:val="1"/>
      <w:numFmt w:val="upperLetter"/>
      <w:lvlText w:val="%7."/>
      <w:lvlJc w:val="left"/>
      <w:pPr>
        <w:tabs>
          <w:tab w:val="num" w:pos="1985"/>
        </w:tabs>
        <w:ind w:left="1985" w:hanging="426"/>
      </w:pPr>
      <w:rPr>
        <w:rFonts w:hint="default"/>
      </w:rPr>
    </w:lvl>
    <w:lvl w:ilvl="7">
      <w:start w:val="1"/>
      <w:numFmt w:val="upperLetter"/>
      <w:lvlText w:val="%8."/>
      <w:lvlJc w:val="left"/>
      <w:pPr>
        <w:tabs>
          <w:tab w:val="num" w:pos="1985"/>
        </w:tabs>
        <w:ind w:left="1985" w:hanging="426"/>
      </w:pPr>
      <w:rPr>
        <w:rFonts w:hint="default"/>
      </w:rPr>
    </w:lvl>
    <w:lvl w:ilvl="8">
      <w:start w:val="1"/>
      <w:numFmt w:val="upperLetter"/>
      <w:lvlText w:val="%9."/>
      <w:lvlJc w:val="left"/>
      <w:pPr>
        <w:tabs>
          <w:tab w:val="num" w:pos="1985"/>
        </w:tabs>
        <w:ind w:left="1985" w:hanging="426"/>
      </w:pPr>
      <w:rPr>
        <w:rFonts w:hint="default"/>
      </w:rPr>
    </w:lvl>
  </w:abstractNum>
  <w:abstractNum w:abstractNumId="14" w15:restartNumberingAfterBreak="0">
    <w:nsid w:val="3F0869C5"/>
    <w:multiLevelType w:val="hybridMultilevel"/>
    <w:tmpl w:val="CE1C80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16E6DBD"/>
    <w:multiLevelType w:val="hybridMultilevel"/>
    <w:tmpl w:val="953485B0"/>
    <w:lvl w:ilvl="0" w:tplc="28FA7B58">
      <w:start w:val="1"/>
      <w:numFmt w:val="lowerLetter"/>
      <w:lvlText w:val="(%1)"/>
      <w:lvlJc w:val="left"/>
      <w:pPr>
        <w:ind w:left="720" w:hanging="360"/>
      </w:pPr>
      <w:rPr>
        <w:rFonts w:hint="default"/>
        <w:b w:val="0"/>
        <w:color w:val="auto"/>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4B86296E"/>
    <w:multiLevelType w:val="hybridMultilevel"/>
    <w:tmpl w:val="1ADAA3AC"/>
    <w:lvl w:ilvl="0" w:tplc="0C090001">
      <w:start w:val="1"/>
      <w:numFmt w:val="bullet"/>
      <w:lvlText w:val=""/>
      <w:lvlJc w:val="left"/>
      <w:pPr>
        <w:ind w:left="1571" w:hanging="360"/>
      </w:pPr>
      <w:rPr>
        <w:rFonts w:ascii="Symbol" w:hAnsi="Symbol" w:hint="default"/>
      </w:rPr>
    </w:lvl>
    <w:lvl w:ilvl="1" w:tplc="0C090003" w:tentative="1">
      <w:start w:val="1"/>
      <w:numFmt w:val="bullet"/>
      <w:lvlText w:val="o"/>
      <w:lvlJc w:val="left"/>
      <w:pPr>
        <w:ind w:left="2291" w:hanging="360"/>
      </w:pPr>
      <w:rPr>
        <w:rFonts w:ascii="Courier New" w:hAnsi="Courier New" w:cs="Courier New" w:hint="default"/>
      </w:rPr>
    </w:lvl>
    <w:lvl w:ilvl="2" w:tplc="0C090005" w:tentative="1">
      <w:start w:val="1"/>
      <w:numFmt w:val="bullet"/>
      <w:lvlText w:val=""/>
      <w:lvlJc w:val="left"/>
      <w:pPr>
        <w:ind w:left="3011" w:hanging="360"/>
      </w:pPr>
      <w:rPr>
        <w:rFonts w:ascii="Wingdings" w:hAnsi="Wingdings" w:hint="default"/>
      </w:rPr>
    </w:lvl>
    <w:lvl w:ilvl="3" w:tplc="0C090001" w:tentative="1">
      <w:start w:val="1"/>
      <w:numFmt w:val="bullet"/>
      <w:lvlText w:val=""/>
      <w:lvlJc w:val="left"/>
      <w:pPr>
        <w:ind w:left="3731" w:hanging="360"/>
      </w:pPr>
      <w:rPr>
        <w:rFonts w:ascii="Symbol" w:hAnsi="Symbol" w:hint="default"/>
      </w:rPr>
    </w:lvl>
    <w:lvl w:ilvl="4" w:tplc="0C090003" w:tentative="1">
      <w:start w:val="1"/>
      <w:numFmt w:val="bullet"/>
      <w:lvlText w:val="o"/>
      <w:lvlJc w:val="left"/>
      <w:pPr>
        <w:ind w:left="4451" w:hanging="360"/>
      </w:pPr>
      <w:rPr>
        <w:rFonts w:ascii="Courier New" w:hAnsi="Courier New" w:cs="Courier New" w:hint="default"/>
      </w:rPr>
    </w:lvl>
    <w:lvl w:ilvl="5" w:tplc="0C090005" w:tentative="1">
      <w:start w:val="1"/>
      <w:numFmt w:val="bullet"/>
      <w:lvlText w:val=""/>
      <w:lvlJc w:val="left"/>
      <w:pPr>
        <w:ind w:left="5171" w:hanging="360"/>
      </w:pPr>
      <w:rPr>
        <w:rFonts w:ascii="Wingdings" w:hAnsi="Wingdings" w:hint="default"/>
      </w:rPr>
    </w:lvl>
    <w:lvl w:ilvl="6" w:tplc="0C090001" w:tentative="1">
      <w:start w:val="1"/>
      <w:numFmt w:val="bullet"/>
      <w:lvlText w:val=""/>
      <w:lvlJc w:val="left"/>
      <w:pPr>
        <w:ind w:left="5891" w:hanging="360"/>
      </w:pPr>
      <w:rPr>
        <w:rFonts w:ascii="Symbol" w:hAnsi="Symbol" w:hint="default"/>
      </w:rPr>
    </w:lvl>
    <w:lvl w:ilvl="7" w:tplc="0C090003" w:tentative="1">
      <w:start w:val="1"/>
      <w:numFmt w:val="bullet"/>
      <w:lvlText w:val="o"/>
      <w:lvlJc w:val="left"/>
      <w:pPr>
        <w:ind w:left="6611" w:hanging="360"/>
      </w:pPr>
      <w:rPr>
        <w:rFonts w:ascii="Courier New" w:hAnsi="Courier New" w:cs="Courier New" w:hint="default"/>
      </w:rPr>
    </w:lvl>
    <w:lvl w:ilvl="8" w:tplc="0C090005" w:tentative="1">
      <w:start w:val="1"/>
      <w:numFmt w:val="bullet"/>
      <w:lvlText w:val=""/>
      <w:lvlJc w:val="left"/>
      <w:pPr>
        <w:ind w:left="7331" w:hanging="360"/>
      </w:pPr>
      <w:rPr>
        <w:rFonts w:ascii="Wingdings" w:hAnsi="Wingdings" w:hint="default"/>
      </w:rPr>
    </w:lvl>
  </w:abstractNum>
  <w:abstractNum w:abstractNumId="17" w15:restartNumberingAfterBreak="0">
    <w:nsid w:val="543664B2"/>
    <w:multiLevelType w:val="hybridMultilevel"/>
    <w:tmpl w:val="873A552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alibri Light" w:hAnsi="Calibri Light" w:cs="Calibri Light" w:hint="default"/>
      </w:rPr>
    </w:lvl>
    <w:lvl w:ilvl="2" w:tplc="0C090005">
      <w:start w:val="1"/>
      <w:numFmt w:val="bullet"/>
      <w:lvlText w:val=""/>
      <w:lvlJc w:val="left"/>
      <w:pPr>
        <w:ind w:left="2160" w:hanging="360"/>
      </w:pPr>
      <w:rPr>
        <w:rFonts w:ascii="CG Times (WN)" w:hAnsi="CG Times (WN)" w:hint="default"/>
      </w:rPr>
    </w:lvl>
    <w:lvl w:ilvl="3" w:tplc="0C090001" w:tentative="1">
      <w:start w:val="1"/>
      <w:numFmt w:val="bullet"/>
      <w:lvlText w:val=""/>
      <w:lvlJc w:val="left"/>
      <w:pPr>
        <w:ind w:left="2880" w:hanging="360"/>
      </w:pPr>
      <w:rPr>
        <w:rFonts w:ascii="DengXian Light" w:hAnsi="DengXian Light" w:hint="default"/>
      </w:rPr>
    </w:lvl>
    <w:lvl w:ilvl="4" w:tplc="0C090003" w:tentative="1">
      <w:start w:val="1"/>
      <w:numFmt w:val="bullet"/>
      <w:lvlText w:val="o"/>
      <w:lvlJc w:val="left"/>
      <w:pPr>
        <w:ind w:left="3600" w:hanging="360"/>
      </w:pPr>
      <w:rPr>
        <w:rFonts w:ascii="Calibri Light" w:hAnsi="Calibri Light" w:cs="Calibri Light" w:hint="default"/>
      </w:rPr>
    </w:lvl>
    <w:lvl w:ilvl="5" w:tplc="0C090005" w:tentative="1">
      <w:start w:val="1"/>
      <w:numFmt w:val="bullet"/>
      <w:lvlText w:val=""/>
      <w:lvlJc w:val="left"/>
      <w:pPr>
        <w:ind w:left="4320" w:hanging="360"/>
      </w:pPr>
      <w:rPr>
        <w:rFonts w:ascii="CG Times (WN)" w:hAnsi="CG Times (WN)" w:hint="default"/>
      </w:rPr>
    </w:lvl>
    <w:lvl w:ilvl="6" w:tplc="0C090001" w:tentative="1">
      <w:start w:val="1"/>
      <w:numFmt w:val="bullet"/>
      <w:lvlText w:val=""/>
      <w:lvlJc w:val="left"/>
      <w:pPr>
        <w:ind w:left="5040" w:hanging="360"/>
      </w:pPr>
      <w:rPr>
        <w:rFonts w:ascii="DengXian Light" w:hAnsi="DengXian Light" w:hint="default"/>
      </w:rPr>
    </w:lvl>
    <w:lvl w:ilvl="7" w:tplc="0C090003" w:tentative="1">
      <w:start w:val="1"/>
      <w:numFmt w:val="bullet"/>
      <w:lvlText w:val="o"/>
      <w:lvlJc w:val="left"/>
      <w:pPr>
        <w:ind w:left="5760" w:hanging="360"/>
      </w:pPr>
      <w:rPr>
        <w:rFonts w:ascii="Calibri Light" w:hAnsi="Calibri Light" w:cs="Calibri Light" w:hint="default"/>
      </w:rPr>
    </w:lvl>
    <w:lvl w:ilvl="8" w:tplc="0C090005" w:tentative="1">
      <w:start w:val="1"/>
      <w:numFmt w:val="bullet"/>
      <w:lvlText w:val=""/>
      <w:lvlJc w:val="left"/>
      <w:pPr>
        <w:ind w:left="6480" w:hanging="360"/>
      </w:pPr>
      <w:rPr>
        <w:rFonts w:ascii="CG Times (WN)" w:hAnsi="CG Times (WN)" w:hint="default"/>
      </w:rPr>
    </w:lvl>
  </w:abstractNum>
  <w:abstractNum w:abstractNumId="18" w15:restartNumberingAfterBreak="0">
    <w:nsid w:val="58CA0C14"/>
    <w:multiLevelType w:val="multilevel"/>
    <w:tmpl w:val="2114494E"/>
    <w:lvl w:ilvl="0">
      <w:start w:val="1"/>
      <w:numFmt w:val="decimal"/>
      <w:lvlText w:val="%1."/>
      <w:lvlJc w:val="left"/>
      <w:pPr>
        <w:ind w:left="851" w:hanging="851"/>
      </w:pPr>
      <w:rPr>
        <w:rFonts w:hint="default"/>
        <w:sz w:val="22"/>
        <w:szCs w:val="22"/>
      </w:rPr>
    </w:lvl>
    <w:lvl w:ilvl="1">
      <w:start w:val="1"/>
      <w:numFmt w:val="decimal"/>
      <w:lvlText w:val="%1.%2"/>
      <w:lvlJc w:val="left"/>
      <w:pPr>
        <w:ind w:left="851" w:hanging="851"/>
      </w:pPr>
      <w:rPr>
        <w:rFonts w:hint="default"/>
        <w:sz w:val="20"/>
        <w:szCs w:val="20"/>
      </w:rPr>
    </w:lvl>
    <w:lvl w:ilvl="2">
      <w:start w:val="1"/>
      <w:numFmt w:val="bullet"/>
      <w:lvlText w:val=""/>
      <w:lvlJc w:val="left"/>
      <w:pPr>
        <w:ind w:left="1701" w:hanging="850"/>
      </w:pPr>
      <w:rPr>
        <w:rFonts w:ascii="Symbol" w:hAnsi="Symbol" w:hint="default"/>
        <w:b w:val="0"/>
        <w:i w:val="0"/>
        <w:sz w:val="20"/>
        <w:szCs w:val="20"/>
      </w:rPr>
    </w:lvl>
    <w:lvl w:ilvl="3">
      <w:start w:val="1"/>
      <w:numFmt w:val="lowerLetter"/>
      <w:lvlText w:val="(%4)"/>
      <w:lvlJc w:val="left"/>
      <w:pPr>
        <w:ind w:left="2268" w:hanging="567"/>
      </w:pPr>
      <w:rPr>
        <w:rFonts w:ascii="Arial" w:hAnsi="Arial" w:hint="default"/>
        <w:b w:val="0"/>
        <w:i w:val="0"/>
        <w:sz w:val="20"/>
        <w:szCs w:val="20"/>
      </w:rPr>
    </w:lvl>
    <w:lvl w:ilvl="4">
      <w:start w:val="1"/>
      <w:numFmt w:val="lowerRoman"/>
      <w:lvlText w:val="(%5)"/>
      <w:lvlJc w:val="left"/>
      <w:pPr>
        <w:tabs>
          <w:tab w:val="num" w:pos="2835"/>
        </w:tabs>
        <w:ind w:left="2835" w:hanging="567"/>
      </w:pPr>
      <w:rPr>
        <w:rFonts w:hint="default"/>
        <w:sz w:val="20"/>
        <w:szCs w:val="20"/>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9" w15:restartNumberingAfterBreak="0">
    <w:nsid w:val="5CB8484A"/>
    <w:multiLevelType w:val="multilevel"/>
    <w:tmpl w:val="874608CA"/>
    <w:name w:val="MaddNumpara37"/>
    <w:lvl w:ilvl="0">
      <w:start w:val="7"/>
      <w:numFmt w:val="decimal"/>
      <w:lvlText w:val="%1."/>
      <w:lvlJc w:val="left"/>
      <w:pPr>
        <w:ind w:left="360" w:hanging="360"/>
      </w:pPr>
      <w:rPr>
        <w:rFonts w:hint="default"/>
        <w:b/>
      </w:rPr>
    </w:lvl>
    <w:lvl w:ilvl="1">
      <w:start w:val="1"/>
      <w:numFmt w:val="decimal"/>
      <w:lvlText w:val="%1.%2"/>
      <w:lvlJc w:val="left"/>
      <w:pPr>
        <w:ind w:left="786" w:hanging="360"/>
      </w:pPr>
      <w:rPr>
        <w:rFonts w:hint="default"/>
        <w:b w:val="0"/>
      </w:rPr>
    </w:lvl>
    <w:lvl w:ilvl="2">
      <w:start w:val="1"/>
      <w:numFmt w:val="lowerLetter"/>
      <w:lvlText w:val="(%3)"/>
      <w:lvlJc w:val="right"/>
      <w:pPr>
        <w:ind w:left="1315" w:hanging="180"/>
      </w:pPr>
      <w:rPr>
        <w:rFonts w:hint="default"/>
        <w:b w:val="0"/>
      </w:rPr>
    </w:lvl>
    <w:lvl w:ilvl="3">
      <w:start w:val="1"/>
      <w:numFmt w:val="lowerRoman"/>
      <w:lvlText w:val="(%4)"/>
      <w:lvlJc w:val="left"/>
      <w:pPr>
        <w:ind w:left="1800" w:hanging="360"/>
      </w:pPr>
      <w:rPr>
        <w:rFonts w:hint="default"/>
        <w:b w:val="0"/>
      </w:rPr>
    </w:lvl>
    <w:lvl w:ilvl="4">
      <w:start w:val="1"/>
      <w:numFmt w:val="lowerLetter"/>
      <w:lvlText w:val="%5."/>
      <w:lvlJc w:val="left"/>
      <w:pPr>
        <w:ind w:left="2520" w:hanging="360"/>
      </w:pPr>
      <w:rPr>
        <w:rFonts w:hint="default"/>
      </w:rPr>
    </w:lvl>
    <w:lvl w:ilvl="5">
      <w:start w:val="1"/>
      <w:numFmt w:val="lowerRoman"/>
      <w:lvlText w:val="%6."/>
      <w:lvlJc w:val="right"/>
      <w:pPr>
        <w:ind w:left="3240" w:hanging="180"/>
      </w:pPr>
      <w:rPr>
        <w:rFonts w:hint="default"/>
      </w:rPr>
    </w:lvl>
    <w:lvl w:ilvl="6">
      <w:start w:val="1"/>
      <w:numFmt w:val="decimal"/>
      <w:lvlText w:val="%7."/>
      <w:lvlJc w:val="left"/>
      <w:pPr>
        <w:ind w:left="3960" w:hanging="360"/>
      </w:pPr>
      <w:rPr>
        <w:rFonts w:hint="default"/>
      </w:rPr>
    </w:lvl>
    <w:lvl w:ilvl="7">
      <w:start w:val="1"/>
      <w:numFmt w:val="lowerLetter"/>
      <w:lvlText w:val="%8."/>
      <w:lvlJc w:val="left"/>
      <w:pPr>
        <w:ind w:left="4680" w:hanging="360"/>
      </w:pPr>
      <w:rPr>
        <w:rFonts w:hint="default"/>
      </w:rPr>
    </w:lvl>
    <w:lvl w:ilvl="8">
      <w:start w:val="1"/>
      <w:numFmt w:val="lowerRoman"/>
      <w:lvlText w:val="%9."/>
      <w:lvlJc w:val="right"/>
      <w:pPr>
        <w:ind w:left="5400" w:hanging="180"/>
      </w:pPr>
      <w:rPr>
        <w:rFonts w:hint="default"/>
      </w:rPr>
    </w:lvl>
  </w:abstractNum>
  <w:abstractNum w:abstractNumId="20" w15:restartNumberingAfterBreak="0">
    <w:nsid w:val="5CCF460C"/>
    <w:multiLevelType w:val="multilevel"/>
    <w:tmpl w:val="B75AA962"/>
    <w:lvl w:ilvl="0">
      <w:start w:val="1"/>
      <w:numFmt w:val="decimal"/>
      <w:lvlText w:val="%1."/>
      <w:lvlJc w:val="left"/>
      <w:pPr>
        <w:ind w:left="851" w:hanging="851"/>
      </w:pPr>
      <w:rPr>
        <w:rFonts w:hint="default"/>
        <w:sz w:val="20"/>
        <w:szCs w:val="20"/>
      </w:rPr>
    </w:lvl>
    <w:lvl w:ilvl="1">
      <w:start w:val="1"/>
      <w:numFmt w:val="bullet"/>
      <w:lvlText w:val=""/>
      <w:lvlJc w:val="left"/>
      <w:pPr>
        <w:ind w:left="851" w:hanging="851"/>
      </w:pPr>
      <w:rPr>
        <w:rFonts w:ascii="DengXian Light" w:hAnsi="DengXian Light" w:hint="default"/>
        <w:b w:val="0"/>
        <w:sz w:val="20"/>
        <w:szCs w:val="20"/>
      </w:rPr>
    </w:lvl>
    <w:lvl w:ilvl="2">
      <w:start w:val="1"/>
      <w:numFmt w:val="decimal"/>
      <w:lvlText w:val="%1.%2.%3"/>
      <w:lvlJc w:val="left"/>
      <w:pPr>
        <w:ind w:left="1701" w:hanging="850"/>
      </w:pPr>
      <w:rPr>
        <w:rFonts w:hint="default"/>
        <w:sz w:val="20"/>
        <w:szCs w:val="20"/>
      </w:rPr>
    </w:lvl>
    <w:lvl w:ilvl="3">
      <w:start w:val="1"/>
      <w:numFmt w:val="lowerLetter"/>
      <w:lvlText w:val="(%4)"/>
      <w:lvlJc w:val="left"/>
      <w:pPr>
        <w:ind w:left="2268" w:hanging="567"/>
      </w:pPr>
      <w:rPr>
        <w:rFonts w:hint="default"/>
        <w:sz w:val="20"/>
        <w:szCs w:val="20"/>
      </w:rPr>
    </w:lvl>
    <w:lvl w:ilvl="4">
      <w:start w:val="1"/>
      <w:numFmt w:val="lowerRoman"/>
      <w:lvlText w:val="(%5)"/>
      <w:lvlJc w:val="left"/>
      <w:pPr>
        <w:tabs>
          <w:tab w:val="num" w:pos="2835"/>
        </w:tabs>
        <w:ind w:left="2835" w:hanging="567"/>
      </w:pPr>
      <w:rPr>
        <w:rFonts w:hint="default"/>
        <w:sz w:val="20"/>
        <w:szCs w:val="20"/>
      </w:rPr>
    </w:lvl>
    <w:lvl w:ilvl="5">
      <w:start w:val="1"/>
      <w:numFmt w:val="none"/>
      <w:lvlText w:val=""/>
      <w:lvlJc w:val="left"/>
      <w:pPr>
        <w:tabs>
          <w:tab w:val="num" w:pos="3402"/>
        </w:tabs>
        <w:ind w:left="3402" w:hanging="567"/>
      </w:pPr>
      <w:rPr>
        <w:rFonts w:hint="default"/>
      </w:rPr>
    </w:lvl>
    <w:lvl w:ilvl="6">
      <w:start w:val="1"/>
      <w:numFmt w:val="none"/>
      <w:lvlText w:val=""/>
      <w:lvlJc w:val="left"/>
      <w:pPr>
        <w:tabs>
          <w:tab w:val="num" w:pos="-31680"/>
        </w:tabs>
        <w:ind w:left="-32767" w:firstLine="0"/>
      </w:pPr>
      <w:rPr>
        <w:rFonts w:hint="default"/>
      </w:rPr>
    </w:lvl>
    <w:lvl w:ilvl="7">
      <w:start w:val="1"/>
      <w:numFmt w:val="none"/>
      <w:lvlText w:val=""/>
      <w:lvlJc w:val="left"/>
      <w:pPr>
        <w:tabs>
          <w:tab w:val="num" w:pos="-31680"/>
        </w:tabs>
        <w:ind w:left="3744" w:firstLine="29025"/>
      </w:pPr>
      <w:rPr>
        <w:rFonts w:hint="default"/>
      </w:rPr>
    </w:lvl>
    <w:lvl w:ilvl="8">
      <w:start w:val="1"/>
      <w:numFmt w:val="none"/>
      <w:lvlText w:val=""/>
      <w:lvlJc w:val="left"/>
      <w:pPr>
        <w:tabs>
          <w:tab w:val="num" w:pos="-31680"/>
        </w:tabs>
        <w:ind w:left="-32767" w:firstLine="32767"/>
      </w:pPr>
      <w:rPr>
        <w:rFonts w:hint="default"/>
      </w:rPr>
    </w:lvl>
  </w:abstractNum>
  <w:abstractNum w:abstractNumId="21" w15:restartNumberingAfterBreak="0">
    <w:nsid w:val="61F950B8"/>
    <w:multiLevelType w:val="hybridMultilevel"/>
    <w:tmpl w:val="F0A82024"/>
    <w:name w:val="MaddNumpara22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3DA6A5D"/>
    <w:multiLevelType w:val="hybridMultilevel"/>
    <w:tmpl w:val="37342B86"/>
    <w:lvl w:ilvl="0" w:tplc="37F6202A">
      <w:start w:val="1"/>
      <w:numFmt w:val="bullet"/>
      <w:pStyle w:val="Bullet3"/>
      <w:lvlText w:val=""/>
      <w:lvlJc w:val="left"/>
      <w:pPr>
        <w:ind w:left="2268" w:hanging="567"/>
      </w:pPr>
      <w:rPr>
        <w:rFonts w:ascii="CG Times (WN)" w:hAnsi="CG Times (WN)" w:hint="default"/>
        <w:sz w:val="20"/>
        <w:szCs w:val="20"/>
      </w:rPr>
    </w:lvl>
    <w:lvl w:ilvl="1" w:tplc="75F23ABC">
      <w:start w:val="1"/>
      <w:numFmt w:val="bullet"/>
      <w:lvlText w:val="o"/>
      <w:lvlJc w:val="left"/>
      <w:pPr>
        <w:ind w:left="1440" w:hanging="360"/>
      </w:pPr>
      <w:rPr>
        <w:rFonts w:ascii="Calibri Light" w:hAnsi="Calibri Light" w:cs="Calibri Light" w:hint="default"/>
      </w:rPr>
    </w:lvl>
    <w:lvl w:ilvl="2" w:tplc="BD84F3C8">
      <w:start w:val="1"/>
      <w:numFmt w:val="bullet"/>
      <w:lvlText w:val=""/>
      <w:lvlJc w:val="left"/>
      <w:pPr>
        <w:ind w:left="2160" w:hanging="360"/>
      </w:pPr>
      <w:rPr>
        <w:rFonts w:ascii="CG Times (WN)" w:hAnsi="CG Times (WN)" w:hint="default"/>
      </w:rPr>
    </w:lvl>
    <w:lvl w:ilvl="3" w:tplc="CFA22A02">
      <w:start w:val="1"/>
      <w:numFmt w:val="bullet"/>
      <w:lvlText w:val=""/>
      <w:lvlJc w:val="left"/>
      <w:pPr>
        <w:ind w:left="2880" w:hanging="360"/>
      </w:pPr>
      <w:rPr>
        <w:rFonts w:ascii="DengXian Light" w:hAnsi="DengXian Light" w:hint="default"/>
      </w:rPr>
    </w:lvl>
    <w:lvl w:ilvl="4" w:tplc="F61E9B7C">
      <w:start w:val="1"/>
      <w:numFmt w:val="bullet"/>
      <w:lvlText w:val="o"/>
      <w:lvlJc w:val="left"/>
      <w:pPr>
        <w:ind w:left="3600" w:hanging="360"/>
      </w:pPr>
      <w:rPr>
        <w:rFonts w:ascii="Calibri Light" w:hAnsi="Calibri Light" w:cs="Calibri Light" w:hint="default"/>
      </w:rPr>
    </w:lvl>
    <w:lvl w:ilvl="5" w:tplc="82B61F88">
      <w:start w:val="1"/>
      <w:numFmt w:val="bullet"/>
      <w:lvlText w:val=""/>
      <w:lvlJc w:val="left"/>
      <w:pPr>
        <w:ind w:left="4320" w:hanging="360"/>
      </w:pPr>
      <w:rPr>
        <w:rFonts w:ascii="CG Times (WN)" w:hAnsi="CG Times (WN)" w:hint="default"/>
      </w:rPr>
    </w:lvl>
    <w:lvl w:ilvl="6" w:tplc="EF68F354">
      <w:start w:val="1"/>
      <w:numFmt w:val="bullet"/>
      <w:lvlText w:val=""/>
      <w:lvlJc w:val="left"/>
      <w:pPr>
        <w:ind w:left="5040" w:hanging="360"/>
      </w:pPr>
      <w:rPr>
        <w:rFonts w:ascii="DengXian Light" w:hAnsi="DengXian Light" w:hint="default"/>
      </w:rPr>
    </w:lvl>
    <w:lvl w:ilvl="7" w:tplc="6DCE1B5A">
      <w:start w:val="1"/>
      <w:numFmt w:val="bullet"/>
      <w:lvlText w:val="o"/>
      <w:lvlJc w:val="left"/>
      <w:pPr>
        <w:ind w:left="5760" w:hanging="360"/>
      </w:pPr>
      <w:rPr>
        <w:rFonts w:ascii="Calibri Light" w:hAnsi="Calibri Light" w:cs="Calibri Light" w:hint="default"/>
      </w:rPr>
    </w:lvl>
    <w:lvl w:ilvl="8" w:tplc="95E28952">
      <w:start w:val="1"/>
      <w:numFmt w:val="bullet"/>
      <w:lvlText w:val=""/>
      <w:lvlJc w:val="left"/>
      <w:pPr>
        <w:ind w:left="6480" w:hanging="360"/>
      </w:pPr>
      <w:rPr>
        <w:rFonts w:ascii="CG Times (WN)" w:hAnsi="CG Times (WN)" w:hint="default"/>
      </w:rPr>
    </w:lvl>
  </w:abstractNum>
  <w:abstractNum w:abstractNumId="23" w15:restartNumberingAfterBreak="0">
    <w:nsid w:val="6AB036AB"/>
    <w:multiLevelType w:val="hybridMultilevel"/>
    <w:tmpl w:val="3F923446"/>
    <w:lvl w:ilvl="0" w:tplc="0C090001">
      <w:start w:val="1"/>
      <w:numFmt w:val="bullet"/>
      <w:lvlText w:val=""/>
      <w:lvlJc w:val="left"/>
      <w:pPr>
        <w:ind w:left="720" w:hanging="360"/>
      </w:pPr>
      <w:rPr>
        <w:rFonts w:ascii="DengXian Light" w:hAnsi="DengXian Light" w:hint="default"/>
      </w:rPr>
    </w:lvl>
    <w:lvl w:ilvl="1" w:tplc="0C090003">
      <w:start w:val="1"/>
      <w:numFmt w:val="bullet"/>
      <w:lvlText w:val="o"/>
      <w:lvlJc w:val="left"/>
      <w:pPr>
        <w:ind w:left="1440" w:hanging="360"/>
      </w:pPr>
      <w:rPr>
        <w:rFonts w:ascii="Calibri Light" w:hAnsi="Calibri Light" w:cs="Calibri Light" w:hint="default"/>
      </w:rPr>
    </w:lvl>
    <w:lvl w:ilvl="2" w:tplc="8FC2AAF6">
      <w:start w:val="3"/>
      <w:numFmt w:val="bullet"/>
      <w:lvlText w:val="-"/>
      <w:lvlJc w:val="left"/>
      <w:pPr>
        <w:ind w:left="2160" w:hanging="360"/>
      </w:pPr>
      <w:rPr>
        <w:rFonts w:ascii="Calibri" w:eastAsiaTheme="minorHAnsi" w:hAnsi="Calibri" w:cs="Calibri" w:hint="default"/>
      </w:rPr>
    </w:lvl>
    <w:lvl w:ilvl="3" w:tplc="0C090001" w:tentative="1">
      <w:start w:val="1"/>
      <w:numFmt w:val="bullet"/>
      <w:lvlText w:val=""/>
      <w:lvlJc w:val="left"/>
      <w:pPr>
        <w:ind w:left="2880" w:hanging="360"/>
      </w:pPr>
      <w:rPr>
        <w:rFonts w:ascii="DengXian Light" w:hAnsi="DengXian Light" w:hint="default"/>
      </w:rPr>
    </w:lvl>
    <w:lvl w:ilvl="4" w:tplc="0C090003" w:tentative="1">
      <w:start w:val="1"/>
      <w:numFmt w:val="bullet"/>
      <w:lvlText w:val="o"/>
      <w:lvlJc w:val="left"/>
      <w:pPr>
        <w:ind w:left="3600" w:hanging="360"/>
      </w:pPr>
      <w:rPr>
        <w:rFonts w:ascii="Calibri Light" w:hAnsi="Calibri Light" w:cs="Calibri Light" w:hint="default"/>
      </w:rPr>
    </w:lvl>
    <w:lvl w:ilvl="5" w:tplc="0C090005" w:tentative="1">
      <w:start w:val="1"/>
      <w:numFmt w:val="bullet"/>
      <w:lvlText w:val=""/>
      <w:lvlJc w:val="left"/>
      <w:pPr>
        <w:ind w:left="4320" w:hanging="360"/>
      </w:pPr>
      <w:rPr>
        <w:rFonts w:ascii="CG Times (WN)" w:hAnsi="CG Times (WN)" w:hint="default"/>
      </w:rPr>
    </w:lvl>
    <w:lvl w:ilvl="6" w:tplc="0C090001" w:tentative="1">
      <w:start w:val="1"/>
      <w:numFmt w:val="bullet"/>
      <w:lvlText w:val=""/>
      <w:lvlJc w:val="left"/>
      <w:pPr>
        <w:ind w:left="5040" w:hanging="360"/>
      </w:pPr>
      <w:rPr>
        <w:rFonts w:ascii="DengXian Light" w:hAnsi="DengXian Light" w:hint="default"/>
      </w:rPr>
    </w:lvl>
    <w:lvl w:ilvl="7" w:tplc="0C090003" w:tentative="1">
      <w:start w:val="1"/>
      <w:numFmt w:val="bullet"/>
      <w:lvlText w:val="o"/>
      <w:lvlJc w:val="left"/>
      <w:pPr>
        <w:ind w:left="5760" w:hanging="360"/>
      </w:pPr>
      <w:rPr>
        <w:rFonts w:ascii="Calibri Light" w:hAnsi="Calibri Light" w:cs="Calibri Light" w:hint="default"/>
      </w:rPr>
    </w:lvl>
    <w:lvl w:ilvl="8" w:tplc="0C090005" w:tentative="1">
      <w:start w:val="1"/>
      <w:numFmt w:val="bullet"/>
      <w:lvlText w:val=""/>
      <w:lvlJc w:val="left"/>
      <w:pPr>
        <w:ind w:left="6480" w:hanging="360"/>
      </w:pPr>
      <w:rPr>
        <w:rFonts w:ascii="CG Times (WN)" w:hAnsi="CG Times (WN)" w:hint="default"/>
      </w:rPr>
    </w:lvl>
  </w:abstractNum>
  <w:abstractNum w:abstractNumId="24" w15:restartNumberingAfterBreak="0">
    <w:nsid w:val="6DEB1951"/>
    <w:multiLevelType w:val="hybridMultilevel"/>
    <w:tmpl w:val="B56A3B70"/>
    <w:lvl w:ilvl="0" w:tplc="87B26032">
      <w:start w:val="1"/>
      <w:numFmt w:val="decimal"/>
      <w:lvlText w:val="%1."/>
      <w:lvlJc w:val="left"/>
      <w:pPr>
        <w:ind w:left="720" w:hanging="360"/>
      </w:pPr>
      <w:rPr>
        <w:i w:val="0"/>
        <w:i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71162F8D"/>
    <w:multiLevelType w:val="hybridMultilevel"/>
    <w:tmpl w:val="FBE4EC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86E7240"/>
    <w:multiLevelType w:val="hybridMultilevel"/>
    <w:tmpl w:val="8A8C8786"/>
    <w:lvl w:ilvl="0" w:tplc="57F233C4">
      <w:start w:val="1"/>
      <w:numFmt w:val="lowerLetter"/>
      <w:pStyle w:val="legalDefinition"/>
      <w:lvlText w:val="(%1)"/>
      <w:lvlJc w:val="left"/>
      <w:pPr>
        <w:ind w:left="1701" w:hanging="850"/>
      </w:pPr>
      <w:rPr>
        <w:rFonts w:ascii="CG Times (WN)" w:hAnsi="CG Times (WN)" w:hint="default"/>
        <w:b w:val="0"/>
        <w:i w:val="0"/>
        <w:sz w:val="20"/>
        <w:szCs w:val="20"/>
      </w:rPr>
    </w:lvl>
    <w:lvl w:ilvl="1" w:tplc="502AEBC6">
      <w:start w:val="1"/>
      <w:numFmt w:val="lowerRoman"/>
      <w:lvlText w:val="(%2)"/>
      <w:lvlJc w:val="left"/>
      <w:pPr>
        <w:ind w:left="2552" w:hanging="851"/>
      </w:pPr>
      <w:rPr>
        <w:rFonts w:hint="default"/>
      </w:rPr>
    </w:lvl>
    <w:lvl w:ilvl="2" w:tplc="A4864C8C">
      <w:start w:val="1"/>
      <w:numFmt w:val="none"/>
      <w:lvlText w:val="%3."/>
      <w:lvlJc w:val="right"/>
      <w:pPr>
        <w:tabs>
          <w:tab w:val="num" w:pos="5280"/>
        </w:tabs>
        <w:ind w:left="-32767" w:firstLine="0"/>
      </w:pPr>
      <w:rPr>
        <w:rFonts w:hint="default"/>
      </w:rPr>
    </w:lvl>
    <w:lvl w:ilvl="3" w:tplc="2A766272">
      <w:start w:val="1"/>
      <w:numFmt w:val="none"/>
      <w:lvlText w:val="%4."/>
      <w:lvlJc w:val="left"/>
      <w:pPr>
        <w:tabs>
          <w:tab w:val="num" w:pos="6000"/>
        </w:tabs>
        <w:ind w:left="-32767" w:firstLine="0"/>
      </w:pPr>
      <w:rPr>
        <w:rFonts w:hint="default"/>
      </w:rPr>
    </w:lvl>
    <w:lvl w:ilvl="4" w:tplc="1A4AF2A2">
      <w:start w:val="1"/>
      <w:numFmt w:val="none"/>
      <w:lvlText w:val="%5."/>
      <w:lvlJc w:val="left"/>
      <w:pPr>
        <w:tabs>
          <w:tab w:val="num" w:pos="6720"/>
        </w:tabs>
        <w:ind w:left="-32767" w:firstLine="0"/>
      </w:pPr>
      <w:rPr>
        <w:rFonts w:hint="default"/>
      </w:rPr>
    </w:lvl>
    <w:lvl w:ilvl="5" w:tplc="C520DAC8">
      <w:start w:val="1"/>
      <w:numFmt w:val="none"/>
      <w:lvlText w:val=""/>
      <w:lvlJc w:val="right"/>
      <w:pPr>
        <w:tabs>
          <w:tab w:val="num" w:pos="7440"/>
        </w:tabs>
        <w:ind w:left="-32767" w:firstLine="0"/>
      </w:pPr>
      <w:rPr>
        <w:rFonts w:hint="default"/>
      </w:rPr>
    </w:lvl>
    <w:lvl w:ilvl="6" w:tplc="D1846F1E">
      <w:start w:val="1"/>
      <w:numFmt w:val="none"/>
      <w:lvlText w:val=""/>
      <w:lvlJc w:val="left"/>
      <w:pPr>
        <w:tabs>
          <w:tab w:val="num" w:pos="8160"/>
        </w:tabs>
        <w:ind w:left="-32767" w:hanging="24969"/>
      </w:pPr>
      <w:rPr>
        <w:rFonts w:hint="default"/>
      </w:rPr>
    </w:lvl>
    <w:lvl w:ilvl="7" w:tplc="2C9CBE12">
      <w:start w:val="1"/>
      <w:numFmt w:val="none"/>
      <w:lvlText w:val=""/>
      <w:lvlJc w:val="left"/>
      <w:pPr>
        <w:tabs>
          <w:tab w:val="num" w:pos="8880"/>
        </w:tabs>
        <w:ind w:left="-32767" w:firstLine="0"/>
      </w:pPr>
      <w:rPr>
        <w:rFonts w:hint="default"/>
      </w:rPr>
    </w:lvl>
    <w:lvl w:ilvl="8" w:tplc="4E848CD2">
      <w:start w:val="1"/>
      <w:numFmt w:val="none"/>
      <w:lvlText w:val=""/>
      <w:lvlJc w:val="right"/>
      <w:pPr>
        <w:tabs>
          <w:tab w:val="num" w:pos="9600"/>
        </w:tabs>
        <w:ind w:left="-32767" w:firstLine="0"/>
      </w:pPr>
      <w:rPr>
        <w:rFonts w:hint="default"/>
      </w:rPr>
    </w:lvl>
  </w:abstractNum>
  <w:abstractNum w:abstractNumId="27" w15:restartNumberingAfterBreak="0">
    <w:nsid w:val="7A130F9B"/>
    <w:multiLevelType w:val="hybridMultilevel"/>
    <w:tmpl w:val="B428FBB0"/>
    <w:lvl w:ilvl="0" w:tplc="A170C0B0">
      <w:start w:val="1"/>
      <w:numFmt w:val="bullet"/>
      <w:pStyle w:val="Bullet1"/>
      <w:lvlText w:val=""/>
      <w:lvlJc w:val="left"/>
      <w:pPr>
        <w:ind w:left="851" w:hanging="851"/>
      </w:pPr>
      <w:rPr>
        <w:rFonts w:ascii="CG Times (WN)" w:hAnsi="CG Times (WN)" w:hint="default"/>
        <w:sz w:val="20"/>
        <w:szCs w:val="20"/>
      </w:rPr>
    </w:lvl>
    <w:lvl w:ilvl="1" w:tplc="C2A27304">
      <w:start w:val="1"/>
      <w:numFmt w:val="bullet"/>
      <w:lvlText w:val="o"/>
      <w:lvlJc w:val="left"/>
      <w:pPr>
        <w:tabs>
          <w:tab w:val="num" w:pos="1440"/>
        </w:tabs>
        <w:ind w:left="1440" w:hanging="360"/>
      </w:pPr>
      <w:rPr>
        <w:rFonts w:ascii="Calibri Light" w:hAnsi="Calibri Light" w:cs="Calibri Light" w:hint="default"/>
      </w:rPr>
    </w:lvl>
    <w:lvl w:ilvl="2" w:tplc="EBDC0AB2">
      <w:start w:val="1"/>
      <w:numFmt w:val="bullet"/>
      <w:lvlText w:val=""/>
      <w:lvlJc w:val="left"/>
      <w:pPr>
        <w:tabs>
          <w:tab w:val="num" w:pos="2160"/>
        </w:tabs>
        <w:ind w:left="2160" w:hanging="360"/>
      </w:pPr>
      <w:rPr>
        <w:rFonts w:ascii="CG Times (WN)" w:hAnsi="CG Times (WN)" w:hint="default"/>
      </w:rPr>
    </w:lvl>
    <w:lvl w:ilvl="3" w:tplc="D2DA77B2">
      <w:start w:val="1"/>
      <w:numFmt w:val="bullet"/>
      <w:lvlText w:val=""/>
      <w:lvlJc w:val="left"/>
      <w:pPr>
        <w:tabs>
          <w:tab w:val="num" w:pos="2880"/>
        </w:tabs>
        <w:ind w:left="2880" w:hanging="360"/>
      </w:pPr>
      <w:rPr>
        <w:rFonts w:ascii="DengXian Light" w:hAnsi="DengXian Light" w:hint="default"/>
      </w:rPr>
    </w:lvl>
    <w:lvl w:ilvl="4" w:tplc="4992D53A">
      <w:start w:val="1"/>
      <w:numFmt w:val="bullet"/>
      <w:lvlText w:val="o"/>
      <w:lvlJc w:val="left"/>
      <w:pPr>
        <w:tabs>
          <w:tab w:val="num" w:pos="3600"/>
        </w:tabs>
        <w:ind w:left="3600" w:hanging="360"/>
      </w:pPr>
      <w:rPr>
        <w:rFonts w:ascii="Calibri Light" w:hAnsi="Calibri Light" w:cs="Calibri Light" w:hint="default"/>
      </w:rPr>
    </w:lvl>
    <w:lvl w:ilvl="5" w:tplc="B552C220">
      <w:start w:val="1"/>
      <w:numFmt w:val="bullet"/>
      <w:lvlText w:val=""/>
      <w:lvlJc w:val="left"/>
      <w:pPr>
        <w:tabs>
          <w:tab w:val="num" w:pos="4320"/>
        </w:tabs>
        <w:ind w:left="4320" w:hanging="360"/>
      </w:pPr>
      <w:rPr>
        <w:rFonts w:ascii="CG Times (WN)" w:hAnsi="CG Times (WN)" w:hint="default"/>
      </w:rPr>
    </w:lvl>
    <w:lvl w:ilvl="6" w:tplc="E160A580">
      <w:start w:val="1"/>
      <w:numFmt w:val="bullet"/>
      <w:lvlText w:val=""/>
      <w:lvlJc w:val="left"/>
      <w:pPr>
        <w:tabs>
          <w:tab w:val="num" w:pos="5040"/>
        </w:tabs>
        <w:ind w:left="5040" w:hanging="360"/>
      </w:pPr>
      <w:rPr>
        <w:rFonts w:ascii="DengXian Light" w:hAnsi="DengXian Light" w:hint="default"/>
      </w:rPr>
    </w:lvl>
    <w:lvl w:ilvl="7" w:tplc="ADBA6958">
      <w:start w:val="1"/>
      <w:numFmt w:val="bullet"/>
      <w:lvlText w:val="o"/>
      <w:lvlJc w:val="left"/>
      <w:pPr>
        <w:tabs>
          <w:tab w:val="num" w:pos="5760"/>
        </w:tabs>
        <w:ind w:left="5760" w:hanging="360"/>
      </w:pPr>
      <w:rPr>
        <w:rFonts w:ascii="Calibri Light" w:hAnsi="Calibri Light" w:cs="Calibri Light" w:hint="default"/>
      </w:rPr>
    </w:lvl>
    <w:lvl w:ilvl="8" w:tplc="BB1836F4">
      <w:start w:val="1"/>
      <w:numFmt w:val="bullet"/>
      <w:lvlText w:val=""/>
      <w:lvlJc w:val="left"/>
      <w:pPr>
        <w:tabs>
          <w:tab w:val="num" w:pos="6480"/>
        </w:tabs>
        <w:ind w:left="6480" w:hanging="360"/>
      </w:pPr>
      <w:rPr>
        <w:rFonts w:ascii="CG Times (WN)" w:hAnsi="CG Times (WN)" w:hint="default"/>
      </w:rPr>
    </w:lvl>
  </w:abstractNum>
  <w:num w:numId="1">
    <w:abstractNumId w:val="27"/>
  </w:num>
  <w:num w:numId="2">
    <w:abstractNumId w:val="0"/>
  </w:num>
  <w:num w:numId="3">
    <w:abstractNumId w:val="6"/>
  </w:num>
  <w:num w:numId="4">
    <w:abstractNumId w:val="2"/>
  </w:num>
  <w:num w:numId="5">
    <w:abstractNumId w:val="9"/>
  </w:num>
  <w:num w:numId="6">
    <w:abstractNumId w:val="5"/>
  </w:num>
  <w:num w:numId="7">
    <w:abstractNumId w:val="4"/>
  </w:num>
  <w:num w:numId="8">
    <w:abstractNumId w:val="22"/>
  </w:num>
  <w:num w:numId="9">
    <w:abstractNumId w:val="26"/>
  </w:num>
  <w:num w:numId="1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3"/>
  </w:num>
  <w:num w:numId="13">
    <w:abstractNumId w:val="12"/>
  </w:num>
  <w:num w:numId="14">
    <w:abstractNumId w:val="8"/>
  </w:num>
  <w:num w:numId="15">
    <w:abstractNumId w:val="24"/>
  </w:num>
  <w:num w:numId="16">
    <w:abstractNumId w:val="23"/>
  </w:num>
  <w:num w:numId="17">
    <w:abstractNumId w:val="20"/>
  </w:num>
  <w:num w:numId="18">
    <w:abstractNumId w:val="17"/>
  </w:num>
  <w:num w:numId="19">
    <w:abstractNumId w:val="16"/>
  </w:num>
  <w:num w:numId="20">
    <w:abstractNumId w:val="0"/>
  </w:num>
  <w:num w:numId="21">
    <w:abstractNumId w:val="2"/>
  </w:num>
  <w:num w:numId="22">
    <w:abstractNumId w:val="2"/>
  </w:num>
  <w:num w:numId="23">
    <w:abstractNumId w:val="13"/>
  </w:num>
  <w:num w:numId="24">
    <w:abstractNumId w:val="13"/>
  </w:num>
  <w:num w:numId="25">
    <w:abstractNumId w:val="2"/>
  </w:num>
  <w:num w:numId="2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3"/>
  </w:num>
  <w:num w:numId="28">
    <w:abstractNumId w:val="11"/>
  </w:num>
  <w:num w:numId="29">
    <w:abstractNumId w:val="1"/>
  </w:num>
  <w:num w:numId="30">
    <w:abstractNumId w:val="15"/>
  </w:num>
  <w:num w:numId="31">
    <w:abstractNumId w:val="14"/>
  </w:num>
  <w:num w:numId="32">
    <w:abstractNumId w:val="18"/>
  </w:num>
  <w:num w:numId="33">
    <w:abstractNumId w:val="10"/>
  </w:num>
  <w:num w:numId="34">
    <w:abstractNumId w:val="25"/>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50"/>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oNotTrackFormatting/>
  <w:defaultTabStop w:val="851"/>
  <w:characterSpacingControl w:val="doNotCompress"/>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2851"/>
    <w:rsid w:val="000006BD"/>
    <w:rsid w:val="000008CC"/>
    <w:rsid w:val="00000CFA"/>
    <w:rsid w:val="00001857"/>
    <w:rsid w:val="000027A7"/>
    <w:rsid w:val="00002829"/>
    <w:rsid w:val="00003A85"/>
    <w:rsid w:val="00004585"/>
    <w:rsid w:val="00004A4A"/>
    <w:rsid w:val="00004AF4"/>
    <w:rsid w:val="0000535D"/>
    <w:rsid w:val="00005814"/>
    <w:rsid w:val="000058E9"/>
    <w:rsid w:val="00005914"/>
    <w:rsid w:val="00005D1A"/>
    <w:rsid w:val="00005D52"/>
    <w:rsid w:val="0000602B"/>
    <w:rsid w:val="0000640C"/>
    <w:rsid w:val="00006B0A"/>
    <w:rsid w:val="00006C32"/>
    <w:rsid w:val="00006E47"/>
    <w:rsid w:val="00007E03"/>
    <w:rsid w:val="00010438"/>
    <w:rsid w:val="00010BCF"/>
    <w:rsid w:val="000114D1"/>
    <w:rsid w:val="00011754"/>
    <w:rsid w:val="00011A5E"/>
    <w:rsid w:val="00011E47"/>
    <w:rsid w:val="000123E2"/>
    <w:rsid w:val="00012500"/>
    <w:rsid w:val="000127A7"/>
    <w:rsid w:val="00012CF4"/>
    <w:rsid w:val="0001317D"/>
    <w:rsid w:val="00013318"/>
    <w:rsid w:val="000133C1"/>
    <w:rsid w:val="00013520"/>
    <w:rsid w:val="000137C0"/>
    <w:rsid w:val="00013C8D"/>
    <w:rsid w:val="000144C7"/>
    <w:rsid w:val="000145FC"/>
    <w:rsid w:val="0001468D"/>
    <w:rsid w:val="00014854"/>
    <w:rsid w:val="00014B64"/>
    <w:rsid w:val="00014D07"/>
    <w:rsid w:val="000152B0"/>
    <w:rsid w:val="00015441"/>
    <w:rsid w:val="00015624"/>
    <w:rsid w:val="00015C55"/>
    <w:rsid w:val="00015E5C"/>
    <w:rsid w:val="00016103"/>
    <w:rsid w:val="00016158"/>
    <w:rsid w:val="00016C41"/>
    <w:rsid w:val="00016C7C"/>
    <w:rsid w:val="00016E1A"/>
    <w:rsid w:val="00017203"/>
    <w:rsid w:val="00017CCA"/>
    <w:rsid w:val="00017E1B"/>
    <w:rsid w:val="00020259"/>
    <w:rsid w:val="00020580"/>
    <w:rsid w:val="000208AF"/>
    <w:rsid w:val="0002094B"/>
    <w:rsid w:val="00020B70"/>
    <w:rsid w:val="000210E4"/>
    <w:rsid w:val="00021207"/>
    <w:rsid w:val="000212B5"/>
    <w:rsid w:val="000213F9"/>
    <w:rsid w:val="00021C57"/>
    <w:rsid w:val="00021F07"/>
    <w:rsid w:val="000222D7"/>
    <w:rsid w:val="00022D37"/>
    <w:rsid w:val="00022DBC"/>
    <w:rsid w:val="000234BD"/>
    <w:rsid w:val="00023694"/>
    <w:rsid w:val="00023D13"/>
    <w:rsid w:val="00023E36"/>
    <w:rsid w:val="0002429F"/>
    <w:rsid w:val="00024734"/>
    <w:rsid w:val="0002564D"/>
    <w:rsid w:val="00025AE3"/>
    <w:rsid w:val="00025BB5"/>
    <w:rsid w:val="00025DD4"/>
    <w:rsid w:val="00025ECA"/>
    <w:rsid w:val="00026347"/>
    <w:rsid w:val="000263AC"/>
    <w:rsid w:val="0002658F"/>
    <w:rsid w:val="000267D6"/>
    <w:rsid w:val="00026AC5"/>
    <w:rsid w:val="00026D49"/>
    <w:rsid w:val="00026F7B"/>
    <w:rsid w:val="00027115"/>
    <w:rsid w:val="00027AE7"/>
    <w:rsid w:val="00030554"/>
    <w:rsid w:val="00030A62"/>
    <w:rsid w:val="00030BC0"/>
    <w:rsid w:val="00031741"/>
    <w:rsid w:val="00031A1B"/>
    <w:rsid w:val="00031B8C"/>
    <w:rsid w:val="00032A0F"/>
    <w:rsid w:val="00032C60"/>
    <w:rsid w:val="00032D3C"/>
    <w:rsid w:val="00033248"/>
    <w:rsid w:val="000334FD"/>
    <w:rsid w:val="00033B95"/>
    <w:rsid w:val="000342A9"/>
    <w:rsid w:val="000344EF"/>
    <w:rsid w:val="00034539"/>
    <w:rsid w:val="000348BA"/>
    <w:rsid w:val="00034BBA"/>
    <w:rsid w:val="00034D60"/>
    <w:rsid w:val="0003518A"/>
    <w:rsid w:val="00035433"/>
    <w:rsid w:val="000356BC"/>
    <w:rsid w:val="000357DC"/>
    <w:rsid w:val="00035B90"/>
    <w:rsid w:val="00036F74"/>
    <w:rsid w:val="0003774E"/>
    <w:rsid w:val="000401D5"/>
    <w:rsid w:val="00040414"/>
    <w:rsid w:val="00040769"/>
    <w:rsid w:val="000407D2"/>
    <w:rsid w:val="00040AE3"/>
    <w:rsid w:val="00041AB4"/>
    <w:rsid w:val="00041EC9"/>
    <w:rsid w:val="0004201B"/>
    <w:rsid w:val="000420DD"/>
    <w:rsid w:val="00042254"/>
    <w:rsid w:val="00042CF2"/>
    <w:rsid w:val="00043262"/>
    <w:rsid w:val="000433F4"/>
    <w:rsid w:val="00043632"/>
    <w:rsid w:val="00043DFF"/>
    <w:rsid w:val="00044050"/>
    <w:rsid w:val="0004448B"/>
    <w:rsid w:val="0004491E"/>
    <w:rsid w:val="00044A09"/>
    <w:rsid w:val="00044B20"/>
    <w:rsid w:val="0004557D"/>
    <w:rsid w:val="000458F4"/>
    <w:rsid w:val="00046F48"/>
    <w:rsid w:val="00046F56"/>
    <w:rsid w:val="0004718F"/>
    <w:rsid w:val="00047AC9"/>
    <w:rsid w:val="00047BB3"/>
    <w:rsid w:val="000508CB"/>
    <w:rsid w:val="00050E9E"/>
    <w:rsid w:val="00050F7B"/>
    <w:rsid w:val="00051158"/>
    <w:rsid w:val="00051757"/>
    <w:rsid w:val="000518AC"/>
    <w:rsid w:val="0005192A"/>
    <w:rsid w:val="00051D2D"/>
    <w:rsid w:val="00051DAC"/>
    <w:rsid w:val="0005215B"/>
    <w:rsid w:val="000522E8"/>
    <w:rsid w:val="00052398"/>
    <w:rsid w:val="000526E3"/>
    <w:rsid w:val="00052C52"/>
    <w:rsid w:val="00052F51"/>
    <w:rsid w:val="00053064"/>
    <w:rsid w:val="0005315A"/>
    <w:rsid w:val="0005398F"/>
    <w:rsid w:val="00053B40"/>
    <w:rsid w:val="00053EB2"/>
    <w:rsid w:val="00054009"/>
    <w:rsid w:val="000542D3"/>
    <w:rsid w:val="00054462"/>
    <w:rsid w:val="000544D3"/>
    <w:rsid w:val="00054DC1"/>
    <w:rsid w:val="00054F75"/>
    <w:rsid w:val="000556F3"/>
    <w:rsid w:val="00055E63"/>
    <w:rsid w:val="00056124"/>
    <w:rsid w:val="00056B3A"/>
    <w:rsid w:val="00056D07"/>
    <w:rsid w:val="00057364"/>
    <w:rsid w:val="0005755B"/>
    <w:rsid w:val="000575C6"/>
    <w:rsid w:val="00057983"/>
    <w:rsid w:val="00057CA8"/>
    <w:rsid w:val="00057E7E"/>
    <w:rsid w:val="00060C35"/>
    <w:rsid w:val="000611A0"/>
    <w:rsid w:val="000615A6"/>
    <w:rsid w:val="00061637"/>
    <w:rsid w:val="00061788"/>
    <w:rsid w:val="00061AAA"/>
    <w:rsid w:val="00061CB2"/>
    <w:rsid w:val="0006302E"/>
    <w:rsid w:val="00063511"/>
    <w:rsid w:val="000635E4"/>
    <w:rsid w:val="00063826"/>
    <w:rsid w:val="00064809"/>
    <w:rsid w:val="00064C8C"/>
    <w:rsid w:val="00064CF1"/>
    <w:rsid w:val="0006568F"/>
    <w:rsid w:val="0006606B"/>
    <w:rsid w:val="000666F0"/>
    <w:rsid w:val="00066B7F"/>
    <w:rsid w:val="00066BF4"/>
    <w:rsid w:val="0006749F"/>
    <w:rsid w:val="000677B0"/>
    <w:rsid w:val="000678B4"/>
    <w:rsid w:val="00067AD2"/>
    <w:rsid w:val="00067AEA"/>
    <w:rsid w:val="00067E65"/>
    <w:rsid w:val="0007030F"/>
    <w:rsid w:val="000703BC"/>
    <w:rsid w:val="00070625"/>
    <w:rsid w:val="000707BF"/>
    <w:rsid w:val="00070B3A"/>
    <w:rsid w:val="0007141C"/>
    <w:rsid w:val="000714B3"/>
    <w:rsid w:val="00071504"/>
    <w:rsid w:val="000719CB"/>
    <w:rsid w:val="00071CB1"/>
    <w:rsid w:val="0007223F"/>
    <w:rsid w:val="000722E9"/>
    <w:rsid w:val="00072C93"/>
    <w:rsid w:val="00072D7C"/>
    <w:rsid w:val="000732D3"/>
    <w:rsid w:val="00073462"/>
    <w:rsid w:val="00073917"/>
    <w:rsid w:val="00073A3D"/>
    <w:rsid w:val="00074D10"/>
    <w:rsid w:val="00074FD1"/>
    <w:rsid w:val="00075191"/>
    <w:rsid w:val="00075877"/>
    <w:rsid w:val="0007593C"/>
    <w:rsid w:val="00075947"/>
    <w:rsid w:val="00076383"/>
    <w:rsid w:val="000767E7"/>
    <w:rsid w:val="000769FA"/>
    <w:rsid w:val="00076B44"/>
    <w:rsid w:val="00076FD7"/>
    <w:rsid w:val="0007748F"/>
    <w:rsid w:val="00077AAE"/>
    <w:rsid w:val="00077CA5"/>
    <w:rsid w:val="00077FC9"/>
    <w:rsid w:val="00080552"/>
    <w:rsid w:val="000805E3"/>
    <w:rsid w:val="0008097A"/>
    <w:rsid w:val="00080AD1"/>
    <w:rsid w:val="00080CD3"/>
    <w:rsid w:val="0008170E"/>
    <w:rsid w:val="00081724"/>
    <w:rsid w:val="000818A7"/>
    <w:rsid w:val="000818FB"/>
    <w:rsid w:val="00081BC5"/>
    <w:rsid w:val="00081CA9"/>
    <w:rsid w:val="000821F6"/>
    <w:rsid w:val="0008247E"/>
    <w:rsid w:val="00082C86"/>
    <w:rsid w:val="00083513"/>
    <w:rsid w:val="0008364B"/>
    <w:rsid w:val="00083E30"/>
    <w:rsid w:val="00084006"/>
    <w:rsid w:val="0008400B"/>
    <w:rsid w:val="00084A3A"/>
    <w:rsid w:val="00084E4D"/>
    <w:rsid w:val="00084EDD"/>
    <w:rsid w:val="000853C5"/>
    <w:rsid w:val="000854FF"/>
    <w:rsid w:val="000858D9"/>
    <w:rsid w:val="000858EF"/>
    <w:rsid w:val="00085C17"/>
    <w:rsid w:val="000862EB"/>
    <w:rsid w:val="00086832"/>
    <w:rsid w:val="00086E60"/>
    <w:rsid w:val="00087123"/>
    <w:rsid w:val="000875BF"/>
    <w:rsid w:val="00087782"/>
    <w:rsid w:val="00087D17"/>
    <w:rsid w:val="00087F94"/>
    <w:rsid w:val="00090086"/>
    <w:rsid w:val="00090A43"/>
    <w:rsid w:val="00090DF8"/>
    <w:rsid w:val="000910C7"/>
    <w:rsid w:val="00091370"/>
    <w:rsid w:val="00092191"/>
    <w:rsid w:val="000926E6"/>
    <w:rsid w:val="000927DE"/>
    <w:rsid w:val="00092B75"/>
    <w:rsid w:val="000930B3"/>
    <w:rsid w:val="000942D4"/>
    <w:rsid w:val="00094384"/>
    <w:rsid w:val="000947C3"/>
    <w:rsid w:val="000963BD"/>
    <w:rsid w:val="000969BF"/>
    <w:rsid w:val="00097577"/>
    <w:rsid w:val="00097580"/>
    <w:rsid w:val="000A0596"/>
    <w:rsid w:val="000A0ABB"/>
    <w:rsid w:val="000A0CC3"/>
    <w:rsid w:val="000A1351"/>
    <w:rsid w:val="000A15BE"/>
    <w:rsid w:val="000A15E1"/>
    <w:rsid w:val="000A169F"/>
    <w:rsid w:val="000A1B37"/>
    <w:rsid w:val="000A1F26"/>
    <w:rsid w:val="000A2DDE"/>
    <w:rsid w:val="000A2F00"/>
    <w:rsid w:val="000A3244"/>
    <w:rsid w:val="000A37DE"/>
    <w:rsid w:val="000A3EF8"/>
    <w:rsid w:val="000A3F31"/>
    <w:rsid w:val="000A4126"/>
    <w:rsid w:val="000A440D"/>
    <w:rsid w:val="000A46DD"/>
    <w:rsid w:val="000A4AF8"/>
    <w:rsid w:val="000A4E4A"/>
    <w:rsid w:val="000A566A"/>
    <w:rsid w:val="000A590D"/>
    <w:rsid w:val="000A59B1"/>
    <w:rsid w:val="000A5E86"/>
    <w:rsid w:val="000A6077"/>
    <w:rsid w:val="000A6453"/>
    <w:rsid w:val="000A6C11"/>
    <w:rsid w:val="000A6CD7"/>
    <w:rsid w:val="000A6E12"/>
    <w:rsid w:val="000A7872"/>
    <w:rsid w:val="000A7BC1"/>
    <w:rsid w:val="000B090D"/>
    <w:rsid w:val="000B0F98"/>
    <w:rsid w:val="000B0FCF"/>
    <w:rsid w:val="000B1059"/>
    <w:rsid w:val="000B1400"/>
    <w:rsid w:val="000B266B"/>
    <w:rsid w:val="000B27DC"/>
    <w:rsid w:val="000B27F4"/>
    <w:rsid w:val="000B2DCF"/>
    <w:rsid w:val="000B3703"/>
    <w:rsid w:val="000B4001"/>
    <w:rsid w:val="000B4377"/>
    <w:rsid w:val="000B4BA9"/>
    <w:rsid w:val="000B4BBF"/>
    <w:rsid w:val="000B5422"/>
    <w:rsid w:val="000B5D20"/>
    <w:rsid w:val="000B6102"/>
    <w:rsid w:val="000B7240"/>
    <w:rsid w:val="000B73FF"/>
    <w:rsid w:val="000B7AD1"/>
    <w:rsid w:val="000C06E7"/>
    <w:rsid w:val="000C0B0A"/>
    <w:rsid w:val="000C0D96"/>
    <w:rsid w:val="000C123E"/>
    <w:rsid w:val="000C1243"/>
    <w:rsid w:val="000C124E"/>
    <w:rsid w:val="000C132D"/>
    <w:rsid w:val="000C14C1"/>
    <w:rsid w:val="000C2482"/>
    <w:rsid w:val="000C25FA"/>
    <w:rsid w:val="000C2DA6"/>
    <w:rsid w:val="000C2F86"/>
    <w:rsid w:val="000C32B6"/>
    <w:rsid w:val="000C32C7"/>
    <w:rsid w:val="000C3AE8"/>
    <w:rsid w:val="000C3B1F"/>
    <w:rsid w:val="000C3BBE"/>
    <w:rsid w:val="000C3E6C"/>
    <w:rsid w:val="000C491C"/>
    <w:rsid w:val="000C4967"/>
    <w:rsid w:val="000C4E18"/>
    <w:rsid w:val="000C4EC7"/>
    <w:rsid w:val="000C52BD"/>
    <w:rsid w:val="000C53DE"/>
    <w:rsid w:val="000C54B1"/>
    <w:rsid w:val="000C555F"/>
    <w:rsid w:val="000C6250"/>
    <w:rsid w:val="000C646E"/>
    <w:rsid w:val="000C6489"/>
    <w:rsid w:val="000C7443"/>
    <w:rsid w:val="000C7575"/>
    <w:rsid w:val="000C76BF"/>
    <w:rsid w:val="000C77D5"/>
    <w:rsid w:val="000C78F1"/>
    <w:rsid w:val="000C7CD4"/>
    <w:rsid w:val="000C7F7F"/>
    <w:rsid w:val="000D0010"/>
    <w:rsid w:val="000D007E"/>
    <w:rsid w:val="000D05CC"/>
    <w:rsid w:val="000D0608"/>
    <w:rsid w:val="000D15AC"/>
    <w:rsid w:val="000D1628"/>
    <w:rsid w:val="000D1971"/>
    <w:rsid w:val="000D1FC2"/>
    <w:rsid w:val="000D1FED"/>
    <w:rsid w:val="000D2036"/>
    <w:rsid w:val="000D283C"/>
    <w:rsid w:val="000D28AC"/>
    <w:rsid w:val="000D2A5D"/>
    <w:rsid w:val="000D2E41"/>
    <w:rsid w:val="000D2EBE"/>
    <w:rsid w:val="000D3989"/>
    <w:rsid w:val="000D3BED"/>
    <w:rsid w:val="000D3E73"/>
    <w:rsid w:val="000D431D"/>
    <w:rsid w:val="000D4F74"/>
    <w:rsid w:val="000D52E4"/>
    <w:rsid w:val="000D57B0"/>
    <w:rsid w:val="000D5E98"/>
    <w:rsid w:val="000D6D63"/>
    <w:rsid w:val="000D778A"/>
    <w:rsid w:val="000D7FFD"/>
    <w:rsid w:val="000E059F"/>
    <w:rsid w:val="000E0A4C"/>
    <w:rsid w:val="000E1351"/>
    <w:rsid w:val="000E1DFD"/>
    <w:rsid w:val="000E2225"/>
    <w:rsid w:val="000E2D09"/>
    <w:rsid w:val="000E321E"/>
    <w:rsid w:val="000E3580"/>
    <w:rsid w:val="000E3D9A"/>
    <w:rsid w:val="000E3E2E"/>
    <w:rsid w:val="000E3F9B"/>
    <w:rsid w:val="000E40FA"/>
    <w:rsid w:val="000E4322"/>
    <w:rsid w:val="000E47AF"/>
    <w:rsid w:val="000E49B3"/>
    <w:rsid w:val="000E4ADF"/>
    <w:rsid w:val="000E509C"/>
    <w:rsid w:val="000E523B"/>
    <w:rsid w:val="000E564B"/>
    <w:rsid w:val="000E5709"/>
    <w:rsid w:val="000E5D88"/>
    <w:rsid w:val="000E6138"/>
    <w:rsid w:val="000E62A5"/>
    <w:rsid w:val="000E64B4"/>
    <w:rsid w:val="000E788E"/>
    <w:rsid w:val="000E7A1E"/>
    <w:rsid w:val="000E7A31"/>
    <w:rsid w:val="000E7B31"/>
    <w:rsid w:val="000F036C"/>
    <w:rsid w:val="000F0676"/>
    <w:rsid w:val="000F0E21"/>
    <w:rsid w:val="000F0FA9"/>
    <w:rsid w:val="000F131E"/>
    <w:rsid w:val="000F168B"/>
    <w:rsid w:val="000F1F7A"/>
    <w:rsid w:val="000F21C0"/>
    <w:rsid w:val="000F228D"/>
    <w:rsid w:val="000F26B1"/>
    <w:rsid w:val="000F391F"/>
    <w:rsid w:val="000F3BE5"/>
    <w:rsid w:val="000F43FB"/>
    <w:rsid w:val="000F484F"/>
    <w:rsid w:val="000F48D6"/>
    <w:rsid w:val="000F4FBE"/>
    <w:rsid w:val="000F57AE"/>
    <w:rsid w:val="000F5B82"/>
    <w:rsid w:val="000F63B0"/>
    <w:rsid w:val="000F6FA1"/>
    <w:rsid w:val="000F7A7F"/>
    <w:rsid w:val="00100BB5"/>
    <w:rsid w:val="00100D63"/>
    <w:rsid w:val="00101542"/>
    <w:rsid w:val="00101A38"/>
    <w:rsid w:val="0010356F"/>
    <w:rsid w:val="00103865"/>
    <w:rsid w:val="00103893"/>
    <w:rsid w:val="00103D7D"/>
    <w:rsid w:val="00104045"/>
    <w:rsid w:val="0010431F"/>
    <w:rsid w:val="00104E16"/>
    <w:rsid w:val="00104F8B"/>
    <w:rsid w:val="00104FD3"/>
    <w:rsid w:val="00105437"/>
    <w:rsid w:val="0010639E"/>
    <w:rsid w:val="00106D83"/>
    <w:rsid w:val="00106E23"/>
    <w:rsid w:val="00106F41"/>
    <w:rsid w:val="00107A45"/>
    <w:rsid w:val="00107E08"/>
    <w:rsid w:val="00110224"/>
    <w:rsid w:val="001103AC"/>
    <w:rsid w:val="001103BE"/>
    <w:rsid w:val="00111043"/>
    <w:rsid w:val="00111308"/>
    <w:rsid w:val="00111415"/>
    <w:rsid w:val="001115F6"/>
    <w:rsid w:val="00111C84"/>
    <w:rsid w:val="00111EB2"/>
    <w:rsid w:val="001120D3"/>
    <w:rsid w:val="001120EF"/>
    <w:rsid w:val="00112634"/>
    <w:rsid w:val="0011294F"/>
    <w:rsid w:val="00112B50"/>
    <w:rsid w:val="00112CD6"/>
    <w:rsid w:val="0011306E"/>
    <w:rsid w:val="0011321C"/>
    <w:rsid w:val="00113349"/>
    <w:rsid w:val="001134C1"/>
    <w:rsid w:val="00114B1F"/>
    <w:rsid w:val="00114CFA"/>
    <w:rsid w:val="00114EC8"/>
    <w:rsid w:val="001150A6"/>
    <w:rsid w:val="00115525"/>
    <w:rsid w:val="001157BC"/>
    <w:rsid w:val="0011607E"/>
    <w:rsid w:val="001160F7"/>
    <w:rsid w:val="001161FD"/>
    <w:rsid w:val="00116AA3"/>
    <w:rsid w:val="00116B08"/>
    <w:rsid w:val="00117AD1"/>
    <w:rsid w:val="00120197"/>
    <w:rsid w:val="00120AAA"/>
    <w:rsid w:val="00120AF9"/>
    <w:rsid w:val="00120C62"/>
    <w:rsid w:val="0012138F"/>
    <w:rsid w:val="001217FB"/>
    <w:rsid w:val="00121ADD"/>
    <w:rsid w:val="00121AEF"/>
    <w:rsid w:val="00121BA1"/>
    <w:rsid w:val="00122037"/>
    <w:rsid w:val="0012212F"/>
    <w:rsid w:val="0012285B"/>
    <w:rsid w:val="001237B5"/>
    <w:rsid w:val="001239BC"/>
    <w:rsid w:val="00123B06"/>
    <w:rsid w:val="00123DAE"/>
    <w:rsid w:val="0012416C"/>
    <w:rsid w:val="001242F7"/>
    <w:rsid w:val="00124563"/>
    <w:rsid w:val="00124778"/>
    <w:rsid w:val="00124993"/>
    <w:rsid w:val="001252DE"/>
    <w:rsid w:val="001254D4"/>
    <w:rsid w:val="0012571E"/>
    <w:rsid w:val="00125C6B"/>
    <w:rsid w:val="00125F6F"/>
    <w:rsid w:val="0012628C"/>
    <w:rsid w:val="00126354"/>
    <w:rsid w:val="00126F42"/>
    <w:rsid w:val="00127670"/>
    <w:rsid w:val="00127A6A"/>
    <w:rsid w:val="00127CA9"/>
    <w:rsid w:val="00130206"/>
    <w:rsid w:val="00130783"/>
    <w:rsid w:val="00130C2F"/>
    <w:rsid w:val="00130D51"/>
    <w:rsid w:val="00131121"/>
    <w:rsid w:val="00131519"/>
    <w:rsid w:val="00131D33"/>
    <w:rsid w:val="00132453"/>
    <w:rsid w:val="001325D5"/>
    <w:rsid w:val="00132893"/>
    <w:rsid w:val="00132A29"/>
    <w:rsid w:val="00132DB1"/>
    <w:rsid w:val="0013327D"/>
    <w:rsid w:val="00133398"/>
    <w:rsid w:val="001337F1"/>
    <w:rsid w:val="00133F3B"/>
    <w:rsid w:val="00134D74"/>
    <w:rsid w:val="001354F5"/>
    <w:rsid w:val="00135827"/>
    <w:rsid w:val="00135840"/>
    <w:rsid w:val="00135C3F"/>
    <w:rsid w:val="00135E06"/>
    <w:rsid w:val="00135FCA"/>
    <w:rsid w:val="00136072"/>
    <w:rsid w:val="00136077"/>
    <w:rsid w:val="0013643D"/>
    <w:rsid w:val="0013647F"/>
    <w:rsid w:val="001367F1"/>
    <w:rsid w:val="00136D6D"/>
    <w:rsid w:val="00136F84"/>
    <w:rsid w:val="0013726C"/>
    <w:rsid w:val="001376BA"/>
    <w:rsid w:val="0013774A"/>
    <w:rsid w:val="0013779A"/>
    <w:rsid w:val="00140150"/>
    <w:rsid w:val="001406BF"/>
    <w:rsid w:val="00140984"/>
    <w:rsid w:val="00140B67"/>
    <w:rsid w:val="0014124D"/>
    <w:rsid w:val="00141500"/>
    <w:rsid w:val="00141923"/>
    <w:rsid w:val="0014198C"/>
    <w:rsid w:val="00141D09"/>
    <w:rsid w:val="00141EB0"/>
    <w:rsid w:val="00141FE1"/>
    <w:rsid w:val="00142585"/>
    <w:rsid w:val="001428CC"/>
    <w:rsid w:val="00142901"/>
    <w:rsid w:val="00143005"/>
    <w:rsid w:val="00143864"/>
    <w:rsid w:val="0014390F"/>
    <w:rsid w:val="001439A2"/>
    <w:rsid w:val="00144403"/>
    <w:rsid w:val="00144475"/>
    <w:rsid w:val="001444EF"/>
    <w:rsid w:val="00145F6B"/>
    <w:rsid w:val="0014679D"/>
    <w:rsid w:val="001472E9"/>
    <w:rsid w:val="00147556"/>
    <w:rsid w:val="001477B7"/>
    <w:rsid w:val="00147E7D"/>
    <w:rsid w:val="00150DE3"/>
    <w:rsid w:val="001515AF"/>
    <w:rsid w:val="00151D06"/>
    <w:rsid w:val="00152025"/>
    <w:rsid w:val="00152400"/>
    <w:rsid w:val="00152419"/>
    <w:rsid w:val="001529E0"/>
    <w:rsid w:val="00152ABF"/>
    <w:rsid w:val="00152C1A"/>
    <w:rsid w:val="0015388C"/>
    <w:rsid w:val="001538AF"/>
    <w:rsid w:val="001541AA"/>
    <w:rsid w:val="00154836"/>
    <w:rsid w:val="00154CCA"/>
    <w:rsid w:val="001553C5"/>
    <w:rsid w:val="0015549F"/>
    <w:rsid w:val="001556A9"/>
    <w:rsid w:val="00155853"/>
    <w:rsid w:val="0015615A"/>
    <w:rsid w:val="0015637D"/>
    <w:rsid w:val="001566E6"/>
    <w:rsid w:val="00156D33"/>
    <w:rsid w:val="00157F01"/>
    <w:rsid w:val="00160134"/>
    <w:rsid w:val="001602E0"/>
    <w:rsid w:val="00160774"/>
    <w:rsid w:val="00160D9D"/>
    <w:rsid w:val="0016108D"/>
    <w:rsid w:val="00161645"/>
    <w:rsid w:val="001619FF"/>
    <w:rsid w:val="00161D65"/>
    <w:rsid w:val="001621C4"/>
    <w:rsid w:val="001621D5"/>
    <w:rsid w:val="001623A9"/>
    <w:rsid w:val="001624BE"/>
    <w:rsid w:val="001629FA"/>
    <w:rsid w:val="00162F32"/>
    <w:rsid w:val="00163584"/>
    <w:rsid w:val="001636B1"/>
    <w:rsid w:val="00163818"/>
    <w:rsid w:val="00163C83"/>
    <w:rsid w:val="00164390"/>
    <w:rsid w:val="00164461"/>
    <w:rsid w:val="00164AAC"/>
    <w:rsid w:val="00164AAE"/>
    <w:rsid w:val="00165143"/>
    <w:rsid w:val="001653AD"/>
    <w:rsid w:val="00165599"/>
    <w:rsid w:val="00165844"/>
    <w:rsid w:val="00165D07"/>
    <w:rsid w:val="0016690F"/>
    <w:rsid w:val="00166A83"/>
    <w:rsid w:val="00166F3C"/>
    <w:rsid w:val="001701DA"/>
    <w:rsid w:val="0017045A"/>
    <w:rsid w:val="0017069D"/>
    <w:rsid w:val="00170D2D"/>
    <w:rsid w:val="00170F35"/>
    <w:rsid w:val="00171043"/>
    <w:rsid w:val="00171254"/>
    <w:rsid w:val="0017132F"/>
    <w:rsid w:val="00171C20"/>
    <w:rsid w:val="00171C89"/>
    <w:rsid w:val="00171FF3"/>
    <w:rsid w:val="00171FFE"/>
    <w:rsid w:val="001721D0"/>
    <w:rsid w:val="00172206"/>
    <w:rsid w:val="001723DD"/>
    <w:rsid w:val="00172EE6"/>
    <w:rsid w:val="00173088"/>
    <w:rsid w:val="00173944"/>
    <w:rsid w:val="00173E3E"/>
    <w:rsid w:val="00174488"/>
    <w:rsid w:val="00174DA8"/>
    <w:rsid w:val="00175143"/>
    <w:rsid w:val="00175538"/>
    <w:rsid w:val="00175605"/>
    <w:rsid w:val="001756A6"/>
    <w:rsid w:val="001758AF"/>
    <w:rsid w:val="00175C48"/>
    <w:rsid w:val="00176081"/>
    <w:rsid w:val="001765DF"/>
    <w:rsid w:val="00176820"/>
    <w:rsid w:val="00176A0E"/>
    <w:rsid w:val="00176B17"/>
    <w:rsid w:val="00177411"/>
    <w:rsid w:val="0017742B"/>
    <w:rsid w:val="0017772B"/>
    <w:rsid w:val="00177F51"/>
    <w:rsid w:val="00177F57"/>
    <w:rsid w:val="001811F7"/>
    <w:rsid w:val="0018180C"/>
    <w:rsid w:val="00181942"/>
    <w:rsid w:val="00181E01"/>
    <w:rsid w:val="00181E95"/>
    <w:rsid w:val="00182315"/>
    <w:rsid w:val="00182443"/>
    <w:rsid w:val="0018259A"/>
    <w:rsid w:val="00182AF1"/>
    <w:rsid w:val="0018331B"/>
    <w:rsid w:val="0018418F"/>
    <w:rsid w:val="00184251"/>
    <w:rsid w:val="00184A1B"/>
    <w:rsid w:val="00184C57"/>
    <w:rsid w:val="00184DEC"/>
    <w:rsid w:val="00184E85"/>
    <w:rsid w:val="001854A4"/>
    <w:rsid w:val="001855F4"/>
    <w:rsid w:val="00185F0D"/>
    <w:rsid w:val="00187139"/>
    <w:rsid w:val="00187FDF"/>
    <w:rsid w:val="00190C4F"/>
    <w:rsid w:val="00191B5A"/>
    <w:rsid w:val="00191CC5"/>
    <w:rsid w:val="00191E01"/>
    <w:rsid w:val="00192267"/>
    <w:rsid w:val="001922FE"/>
    <w:rsid w:val="001928CE"/>
    <w:rsid w:val="00193923"/>
    <w:rsid w:val="00193C90"/>
    <w:rsid w:val="00193D7D"/>
    <w:rsid w:val="001949BD"/>
    <w:rsid w:val="00194B29"/>
    <w:rsid w:val="00194E76"/>
    <w:rsid w:val="00194F67"/>
    <w:rsid w:val="00195284"/>
    <w:rsid w:val="00195343"/>
    <w:rsid w:val="00195556"/>
    <w:rsid w:val="0019568E"/>
    <w:rsid w:val="00195BD8"/>
    <w:rsid w:val="00196100"/>
    <w:rsid w:val="00196B80"/>
    <w:rsid w:val="0019735B"/>
    <w:rsid w:val="001A0250"/>
    <w:rsid w:val="001A0ACA"/>
    <w:rsid w:val="001A0CB3"/>
    <w:rsid w:val="001A138C"/>
    <w:rsid w:val="001A1ADC"/>
    <w:rsid w:val="001A1F97"/>
    <w:rsid w:val="001A2113"/>
    <w:rsid w:val="001A2529"/>
    <w:rsid w:val="001A2CD5"/>
    <w:rsid w:val="001A30C3"/>
    <w:rsid w:val="001A353C"/>
    <w:rsid w:val="001A3578"/>
    <w:rsid w:val="001A42FA"/>
    <w:rsid w:val="001A4352"/>
    <w:rsid w:val="001A47D5"/>
    <w:rsid w:val="001A487A"/>
    <w:rsid w:val="001A4DE9"/>
    <w:rsid w:val="001A61A2"/>
    <w:rsid w:val="001A6220"/>
    <w:rsid w:val="001A6336"/>
    <w:rsid w:val="001A7324"/>
    <w:rsid w:val="001A73D7"/>
    <w:rsid w:val="001A7659"/>
    <w:rsid w:val="001A776D"/>
    <w:rsid w:val="001A798E"/>
    <w:rsid w:val="001A7A6E"/>
    <w:rsid w:val="001A7D01"/>
    <w:rsid w:val="001B025F"/>
    <w:rsid w:val="001B06BB"/>
    <w:rsid w:val="001B09A7"/>
    <w:rsid w:val="001B0BF8"/>
    <w:rsid w:val="001B111E"/>
    <w:rsid w:val="001B1358"/>
    <w:rsid w:val="001B17B6"/>
    <w:rsid w:val="001B1EC7"/>
    <w:rsid w:val="001B2870"/>
    <w:rsid w:val="001B2E8D"/>
    <w:rsid w:val="001B31E1"/>
    <w:rsid w:val="001B36E9"/>
    <w:rsid w:val="001B3E05"/>
    <w:rsid w:val="001B405F"/>
    <w:rsid w:val="001B4234"/>
    <w:rsid w:val="001B444F"/>
    <w:rsid w:val="001B4787"/>
    <w:rsid w:val="001B5C4D"/>
    <w:rsid w:val="001B5D7D"/>
    <w:rsid w:val="001B6526"/>
    <w:rsid w:val="001B707C"/>
    <w:rsid w:val="001B7101"/>
    <w:rsid w:val="001C02E3"/>
    <w:rsid w:val="001C0852"/>
    <w:rsid w:val="001C092C"/>
    <w:rsid w:val="001C0933"/>
    <w:rsid w:val="001C1038"/>
    <w:rsid w:val="001C10A8"/>
    <w:rsid w:val="001C167A"/>
    <w:rsid w:val="001C1EDA"/>
    <w:rsid w:val="001C1FC5"/>
    <w:rsid w:val="001C427A"/>
    <w:rsid w:val="001C4B4C"/>
    <w:rsid w:val="001C4B91"/>
    <w:rsid w:val="001C526D"/>
    <w:rsid w:val="001C5C55"/>
    <w:rsid w:val="001C5EBA"/>
    <w:rsid w:val="001C5FAC"/>
    <w:rsid w:val="001C68BC"/>
    <w:rsid w:val="001C6956"/>
    <w:rsid w:val="001C7186"/>
    <w:rsid w:val="001C79A1"/>
    <w:rsid w:val="001C7D48"/>
    <w:rsid w:val="001D0D81"/>
    <w:rsid w:val="001D0E92"/>
    <w:rsid w:val="001D1617"/>
    <w:rsid w:val="001D2555"/>
    <w:rsid w:val="001D2CDC"/>
    <w:rsid w:val="001D2DC2"/>
    <w:rsid w:val="001D2FA2"/>
    <w:rsid w:val="001D3081"/>
    <w:rsid w:val="001D3224"/>
    <w:rsid w:val="001D322D"/>
    <w:rsid w:val="001D3327"/>
    <w:rsid w:val="001D362C"/>
    <w:rsid w:val="001D3968"/>
    <w:rsid w:val="001D49B7"/>
    <w:rsid w:val="001D52A5"/>
    <w:rsid w:val="001D547A"/>
    <w:rsid w:val="001D5903"/>
    <w:rsid w:val="001D5B8D"/>
    <w:rsid w:val="001D650C"/>
    <w:rsid w:val="001D68B4"/>
    <w:rsid w:val="001D6B83"/>
    <w:rsid w:val="001D749A"/>
    <w:rsid w:val="001D759F"/>
    <w:rsid w:val="001D75F9"/>
    <w:rsid w:val="001D76F3"/>
    <w:rsid w:val="001D7DF8"/>
    <w:rsid w:val="001D7E37"/>
    <w:rsid w:val="001E02D6"/>
    <w:rsid w:val="001E03C6"/>
    <w:rsid w:val="001E0682"/>
    <w:rsid w:val="001E1683"/>
    <w:rsid w:val="001E1D56"/>
    <w:rsid w:val="001E2CFD"/>
    <w:rsid w:val="001E2E11"/>
    <w:rsid w:val="001E31BB"/>
    <w:rsid w:val="001E3CC6"/>
    <w:rsid w:val="001E40A8"/>
    <w:rsid w:val="001E45F1"/>
    <w:rsid w:val="001E4AFC"/>
    <w:rsid w:val="001E51AF"/>
    <w:rsid w:val="001E5527"/>
    <w:rsid w:val="001E56A8"/>
    <w:rsid w:val="001E59AC"/>
    <w:rsid w:val="001E5D5A"/>
    <w:rsid w:val="001E63A4"/>
    <w:rsid w:val="001E649B"/>
    <w:rsid w:val="001E6EC8"/>
    <w:rsid w:val="001E7B60"/>
    <w:rsid w:val="001E7B7E"/>
    <w:rsid w:val="001E7C3E"/>
    <w:rsid w:val="001E7CA5"/>
    <w:rsid w:val="001E7D10"/>
    <w:rsid w:val="001F00F9"/>
    <w:rsid w:val="001F0163"/>
    <w:rsid w:val="001F016D"/>
    <w:rsid w:val="001F04A5"/>
    <w:rsid w:val="001F1933"/>
    <w:rsid w:val="001F1C64"/>
    <w:rsid w:val="001F1F0A"/>
    <w:rsid w:val="001F2318"/>
    <w:rsid w:val="001F2B7E"/>
    <w:rsid w:val="001F347E"/>
    <w:rsid w:val="001F3482"/>
    <w:rsid w:val="001F36B5"/>
    <w:rsid w:val="001F374A"/>
    <w:rsid w:val="001F45BD"/>
    <w:rsid w:val="001F470E"/>
    <w:rsid w:val="001F491C"/>
    <w:rsid w:val="001F497B"/>
    <w:rsid w:val="001F4FD1"/>
    <w:rsid w:val="001F5469"/>
    <w:rsid w:val="001F5495"/>
    <w:rsid w:val="001F56A5"/>
    <w:rsid w:val="001F58C4"/>
    <w:rsid w:val="001F5E28"/>
    <w:rsid w:val="001F62A1"/>
    <w:rsid w:val="001F6B3A"/>
    <w:rsid w:val="001F6B8D"/>
    <w:rsid w:val="001F6F1D"/>
    <w:rsid w:val="001F71FA"/>
    <w:rsid w:val="001F75B7"/>
    <w:rsid w:val="001F7652"/>
    <w:rsid w:val="001F7677"/>
    <w:rsid w:val="001F77C9"/>
    <w:rsid w:val="001F7970"/>
    <w:rsid w:val="002006CB"/>
    <w:rsid w:val="00200933"/>
    <w:rsid w:val="00200C43"/>
    <w:rsid w:val="00200CE5"/>
    <w:rsid w:val="00200D0E"/>
    <w:rsid w:val="00200DD4"/>
    <w:rsid w:val="00200E0D"/>
    <w:rsid w:val="00200E3C"/>
    <w:rsid w:val="00200F54"/>
    <w:rsid w:val="00201082"/>
    <w:rsid w:val="00201150"/>
    <w:rsid w:val="002014AC"/>
    <w:rsid w:val="0020179E"/>
    <w:rsid w:val="00201AC4"/>
    <w:rsid w:val="00201B18"/>
    <w:rsid w:val="00201C7F"/>
    <w:rsid w:val="00201D7A"/>
    <w:rsid w:val="0020231A"/>
    <w:rsid w:val="00202B0F"/>
    <w:rsid w:val="00202C55"/>
    <w:rsid w:val="00205165"/>
    <w:rsid w:val="002053E1"/>
    <w:rsid w:val="00205C50"/>
    <w:rsid w:val="0020615B"/>
    <w:rsid w:val="0020636D"/>
    <w:rsid w:val="002064BB"/>
    <w:rsid w:val="00206501"/>
    <w:rsid w:val="00206542"/>
    <w:rsid w:val="00206680"/>
    <w:rsid w:val="00206769"/>
    <w:rsid w:val="0020691D"/>
    <w:rsid w:val="00206CAA"/>
    <w:rsid w:val="0020770C"/>
    <w:rsid w:val="00207FF1"/>
    <w:rsid w:val="002103BC"/>
    <w:rsid w:val="0021090C"/>
    <w:rsid w:val="002109B4"/>
    <w:rsid w:val="00210EEC"/>
    <w:rsid w:val="00210F00"/>
    <w:rsid w:val="00211084"/>
    <w:rsid w:val="002115ED"/>
    <w:rsid w:val="00211629"/>
    <w:rsid w:val="0021332A"/>
    <w:rsid w:val="0021335F"/>
    <w:rsid w:val="002135BE"/>
    <w:rsid w:val="002136C9"/>
    <w:rsid w:val="002137AC"/>
    <w:rsid w:val="00213F95"/>
    <w:rsid w:val="00213FDF"/>
    <w:rsid w:val="0021405C"/>
    <w:rsid w:val="00214291"/>
    <w:rsid w:val="0021456E"/>
    <w:rsid w:val="002145B3"/>
    <w:rsid w:val="00214AC3"/>
    <w:rsid w:val="002152FB"/>
    <w:rsid w:val="00215A6C"/>
    <w:rsid w:val="00215B9E"/>
    <w:rsid w:val="00215CBD"/>
    <w:rsid w:val="00216295"/>
    <w:rsid w:val="00217088"/>
    <w:rsid w:val="002177FA"/>
    <w:rsid w:val="0021799E"/>
    <w:rsid w:val="00220283"/>
    <w:rsid w:val="002206FB"/>
    <w:rsid w:val="00220FBC"/>
    <w:rsid w:val="00221E1A"/>
    <w:rsid w:val="00222394"/>
    <w:rsid w:val="00222637"/>
    <w:rsid w:val="00222C16"/>
    <w:rsid w:val="00222DAB"/>
    <w:rsid w:val="0022304D"/>
    <w:rsid w:val="002231CD"/>
    <w:rsid w:val="00223286"/>
    <w:rsid w:val="0022346A"/>
    <w:rsid w:val="002239D0"/>
    <w:rsid w:val="00223EB9"/>
    <w:rsid w:val="00223ECF"/>
    <w:rsid w:val="00224796"/>
    <w:rsid w:val="0022497A"/>
    <w:rsid w:val="00224BB5"/>
    <w:rsid w:val="00224EBB"/>
    <w:rsid w:val="002262E7"/>
    <w:rsid w:val="00226413"/>
    <w:rsid w:val="0022660F"/>
    <w:rsid w:val="00226F50"/>
    <w:rsid w:val="00227714"/>
    <w:rsid w:val="00227E10"/>
    <w:rsid w:val="00230E68"/>
    <w:rsid w:val="002311C4"/>
    <w:rsid w:val="00231642"/>
    <w:rsid w:val="002316A2"/>
    <w:rsid w:val="00231B14"/>
    <w:rsid w:val="00232509"/>
    <w:rsid w:val="00232EC4"/>
    <w:rsid w:val="00233687"/>
    <w:rsid w:val="00233736"/>
    <w:rsid w:val="002339AF"/>
    <w:rsid w:val="00233F01"/>
    <w:rsid w:val="0023449D"/>
    <w:rsid w:val="002344EC"/>
    <w:rsid w:val="002349E7"/>
    <w:rsid w:val="00234AA8"/>
    <w:rsid w:val="00235284"/>
    <w:rsid w:val="0023574A"/>
    <w:rsid w:val="00235AAE"/>
    <w:rsid w:val="00235F67"/>
    <w:rsid w:val="00236188"/>
    <w:rsid w:val="00236569"/>
    <w:rsid w:val="002365CB"/>
    <w:rsid w:val="00236BC3"/>
    <w:rsid w:val="00236CA6"/>
    <w:rsid w:val="002373D2"/>
    <w:rsid w:val="00237B80"/>
    <w:rsid w:val="00237E8C"/>
    <w:rsid w:val="00237FF5"/>
    <w:rsid w:val="0024021F"/>
    <w:rsid w:val="00240E1D"/>
    <w:rsid w:val="002410CD"/>
    <w:rsid w:val="002421D0"/>
    <w:rsid w:val="00242374"/>
    <w:rsid w:val="00242415"/>
    <w:rsid w:val="002425EF"/>
    <w:rsid w:val="00242AD7"/>
    <w:rsid w:val="002430AE"/>
    <w:rsid w:val="002434D7"/>
    <w:rsid w:val="002437B3"/>
    <w:rsid w:val="00243912"/>
    <w:rsid w:val="00243DDB"/>
    <w:rsid w:val="00244125"/>
    <w:rsid w:val="0024491E"/>
    <w:rsid w:val="0024520E"/>
    <w:rsid w:val="0024565B"/>
    <w:rsid w:val="00245BA1"/>
    <w:rsid w:val="00245F6C"/>
    <w:rsid w:val="00246A06"/>
    <w:rsid w:val="002476B1"/>
    <w:rsid w:val="00247952"/>
    <w:rsid w:val="002479B9"/>
    <w:rsid w:val="00247D9B"/>
    <w:rsid w:val="00247E4C"/>
    <w:rsid w:val="00250165"/>
    <w:rsid w:val="0025045D"/>
    <w:rsid w:val="002506F9"/>
    <w:rsid w:val="0025094D"/>
    <w:rsid w:val="00250F73"/>
    <w:rsid w:val="00251360"/>
    <w:rsid w:val="0025136C"/>
    <w:rsid w:val="00252369"/>
    <w:rsid w:val="00252DEF"/>
    <w:rsid w:val="0025353A"/>
    <w:rsid w:val="0025362F"/>
    <w:rsid w:val="00253E3E"/>
    <w:rsid w:val="00253F46"/>
    <w:rsid w:val="0025404C"/>
    <w:rsid w:val="002548B4"/>
    <w:rsid w:val="00254945"/>
    <w:rsid w:val="0025496E"/>
    <w:rsid w:val="00254B56"/>
    <w:rsid w:val="00254E16"/>
    <w:rsid w:val="00255663"/>
    <w:rsid w:val="00255934"/>
    <w:rsid w:val="00255B9D"/>
    <w:rsid w:val="002566E2"/>
    <w:rsid w:val="0025675B"/>
    <w:rsid w:val="00256F4E"/>
    <w:rsid w:val="00256FA2"/>
    <w:rsid w:val="00257005"/>
    <w:rsid w:val="002575FB"/>
    <w:rsid w:val="002576B0"/>
    <w:rsid w:val="002578A9"/>
    <w:rsid w:val="0025798F"/>
    <w:rsid w:val="00257C1F"/>
    <w:rsid w:val="002605A3"/>
    <w:rsid w:val="00260737"/>
    <w:rsid w:val="002607F2"/>
    <w:rsid w:val="002609F6"/>
    <w:rsid w:val="00261D07"/>
    <w:rsid w:val="00261D95"/>
    <w:rsid w:val="00262389"/>
    <w:rsid w:val="00262BD9"/>
    <w:rsid w:val="00262CEA"/>
    <w:rsid w:val="00262E91"/>
    <w:rsid w:val="00262F9E"/>
    <w:rsid w:val="002631F2"/>
    <w:rsid w:val="00263615"/>
    <w:rsid w:val="002639A2"/>
    <w:rsid w:val="00263C11"/>
    <w:rsid w:val="002640B7"/>
    <w:rsid w:val="0026418A"/>
    <w:rsid w:val="0026483B"/>
    <w:rsid w:val="00264E77"/>
    <w:rsid w:val="0026503A"/>
    <w:rsid w:val="00265153"/>
    <w:rsid w:val="0026581D"/>
    <w:rsid w:val="002662A3"/>
    <w:rsid w:val="00266C6E"/>
    <w:rsid w:val="00266DCA"/>
    <w:rsid w:val="00267A9D"/>
    <w:rsid w:val="00267CDE"/>
    <w:rsid w:val="00267F70"/>
    <w:rsid w:val="002702FB"/>
    <w:rsid w:val="00270716"/>
    <w:rsid w:val="002707B4"/>
    <w:rsid w:val="002710E7"/>
    <w:rsid w:val="002714AE"/>
    <w:rsid w:val="00271B1E"/>
    <w:rsid w:val="002724A0"/>
    <w:rsid w:val="00273BFE"/>
    <w:rsid w:val="0027483A"/>
    <w:rsid w:val="002756CB"/>
    <w:rsid w:val="00275C42"/>
    <w:rsid w:val="00275DD6"/>
    <w:rsid w:val="00275F2E"/>
    <w:rsid w:val="00276121"/>
    <w:rsid w:val="00276405"/>
    <w:rsid w:val="00276827"/>
    <w:rsid w:val="00276AB0"/>
    <w:rsid w:val="00276DC2"/>
    <w:rsid w:val="0027751C"/>
    <w:rsid w:val="00280328"/>
    <w:rsid w:val="00280D6E"/>
    <w:rsid w:val="00280E82"/>
    <w:rsid w:val="00281260"/>
    <w:rsid w:val="00281B8F"/>
    <w:rsid w:val="002823E9"/>
    <w:rsid w:val="00282649"/>
    <w:rsid w:val="00282761"/>
    <w:rsid w:val="00282887"/>
    <w:rsid w:val="00282A91"/>
    <w:rsid w:val="00282DA3"/>
    <w:rsid w:val="00283746"/>
    <w:rsid w:val="002838C0"/>
    <w:rsid w:val="00284A2C"/>
    <w:rsid w:val="00284A9A"/>
    <w:rsid w:val="00284B55"/>
    <w:rsid w:val="00284D88"/>
    <w:rsid w:val="00284ED7"/>
    <w:rsid w:val="0028594B"/>
    <w:rsid w:val="00285A25"/>
    <w:rsid w:val="00285B07"/>
    <w:rsid w:val="00285B42"/>
    <w:rsid w:val="002867FF"/>
    <w:rsid w:val="00286A59"/>
    <w:rsid w:val="00286B68"/>
    <w:rsid w:val="00286D25"/>
    <w:rsid w:val="00286EB2"/>
    <w:rsid w:val="00287334"/>
    <w:rsid w:val="00287A3F"/>
    <w:rsid w:val="00287B6E"/>
    <w:rsid w:val="002903BA"/>
    <w:rsid w:val="0029100E"/>
    <w:rsid w:val="00291726"/>
    <w:rsid w:val="00291E6B"/>
    <w:rsid w:val="00292147"/>
    <w:rsid w:val="00292712"/>
    <w:rsid w:val="00292C45"/>
    <w:rsid w:val="00293985"/>
    <w:rsid w:val="002946FF"/>
    <w:rsid w:val="00294F96"/>
    <w:rsid w:val="00295180"/>
    <w:rsid w:val="00295916"/>
    <w:rsid w:val="00295C5C"/>
    <w:rsid w:val="00296892"/>
    <w:rsid w:val="0029697B"/>
    <w:rsid w:val="00296AF1"/>
    <w:rsid w:val="002971CA"/>
    <w:rsid w:val="002974F2"/>
    <w:rsid w:val="0029768D"/>
    <w:rsid w:val="00297B18"/>
    <w:rsid w:val="00297BB6"/>
    <w:rsid w:val="00297CB6"/>
    <w:rsid w:val="002A0B8B"/>
    <w:rsid w:val="002A0E4F"/>
    <w:rsid w:val="002A120F"/>
    <w:rsid w:val="002A1757"/>
    <w:rsid w:val="002A1B98"/>
    <w:rsid w:val="002A1BFF"/>
    <w:rsid w:val="002A1EBC"/>
    <w:rsid w:val="002A2351"/>
    <w:rsid w:val="002A2F9A"/>
    <w:rsid w:val="002A321A"/>
    <w:rsid w:val="002A3796"/>
    <w:rsid w:val="002A41C3"/>
    <w:rsid w:val="002A4889"/>
    <w:rsid w:val="002A4F01"/>
    <w:rsid w:val="002A5130"/>
    <w:rsid w:val="002A534F"/>
    <w:rsid w:val="002A584F"/>
    <w:rsid w:val="002A5A21"/>
    <w:rsid w:val="002A691F"/>
    <w:rsid w:val="002A6AEB"/>
    <w:rsid w:val="002A7881"/>
    <w:rsid w:val="002A7AB2"/>
    <w:rsid w:val="002A7D8D"/>
    <w:rsid w:val="002A7E41"/>
    <w:rsid w:val="002A7FDF"/>
    <w:rsid w:val="002B0578"/>
    <w:rsid w:val="002B16BE"/>
    <w:rsid w:val="002B1715"/>
    <w:rsid w:val="002B197E"/>
    <w:rsid w:val="002B1E58"/>
    <w:rsid w:val="002B1F16"/>
    <w:rsid w:val="002B252A"/>
    <w:rsid w:val="002B2C6A"/>
    <w:rsid w:val="002B2D8F"/>
    <w:rsid w:val="002B3ACC"/>
    <w:rsid w:val="002B3B38"/>
    <w:rsid w:val="002B3FCE"/>
    <w:rsid w:val="002B43E5"/>
    <w:rsid w:val="002B4434"/>
    <w:rsid w:val="002B465F"/>
    <w:rsid w:val="002B4D55"/>
    <w:rsid w:val="002B4EF6"/>
    <w:rsid w:val="002B5380"/>
    <w:rsid w:val="002B582C"/>
    <w:rsid w:val="002B5CCF"/>
    <w:rsid w:val="002B6181"/>
    <w:rsid w:val="002B62A7"/>
    <w:rsid w:val="002B6430"/>
    <w:rsid w:val="002B677C"/>
    <w:rsid w:val="002B6915"/>
    <w:rsid w:val="002B6952"/>
    <w:rsid w:val="002B69D0"/>
    <w:rsid w:val="002B6F8D"/>
    <w:rsid w:val="002B7F8C"/>
    <w:rsid w:val="002C0840"/>
    <w:rsid w:val="002C1300"/>
    <w:rsid w:val="002C1963"/>
    <w:rsid w:val="002C1998"/>
    <w:rsid w:val="002C1D09"/>
    <w:rsid w:val="002C1E06"/>
    <w:rsid w:val="002C208D"/>
    <w:rsid w:val="002C270B"/>
    <w:rsid w:val="002C2BB1"/>
    <w:rsid w:val="002C2F68"/>
    <w:rsid w:val="002C3818"/>
    <w:rsid w:val="002C3A7D"/>
    <w:rsid w:val="002C3A93"/>
    <w:rsid w:val="002C3A99"/>
    <w:rsid w:val="002C4C0D"/>
    <w:rsid w:val="002C6915"/>
    <w:rsid w:val="002C7054"/>
    <w:rsid w:val="002C7980"/>
    <w:rsid w:val="002C7C8D"/>
    <w:rsid w:val="002D0C52"/>
    <w:rsid w:val="002D1290"/>
    <w:rsid w:val="002D1E0B"/>
    <w:rsid w:val="002D1EEE"/>
    <w:rsid w:val="002D225B"/>
    <w:rsid w:val="002D2581"/>
    <w:rsid w:val="002D25C0"/>
    <w:rsid w:val="002D28AB"/>
    <w:rsid w:val="002D327E"/>
    <w:rsid w:val="002D385F"/>
    <w:rsid w:val="002D389A"/>
    <w:rsid w:val="002D3EC4"/>
    <w:rsid w:val="002D3F0B"/>
    <w:rsid w:val="002D4171"/>
    <w:rsid w:val="002D440D"/>
    <w:rsid w:val="002D4964"/>
    <w:rsid w:val="002D5800"/>
    <w:rsid w:val="002D584C"/>
    <w:rsid w:val="002D5D74"/>
    <w:rsid w:val="002D6387"/>
    <w:rsid w:val="002E015C"/>
    <w:rsid w:val="002E01CD"/>
    <w:rsid w:val="002E0394"/>
    <w:rsid w:val="002E0495"/>
    <w:rsid w:val="002E0917"/>
    <w:rsid w:val="002E0C55"/>
    <w:rsid w:val="002E1080"/>
    <w:rsid w:val="002E155C"/>
    <w:rsid w:val="002E1D4D"/>
    <w:rsid w:val="002E3032"/>
    <w:rsid w:val="002E3710"/>
    <w:rsid w:val="002E448B"/>
    <w:rsid w:val="002E4A69"/>
    <w:rsid w:val="002E4B1B"/>
    <w:rsid w:val="002E4B29"/>
    <w:rsid w:val="002E4CFF"/>
    <w:rsid w:val="002E57F1"/>
    <w:rsid w:val="002E5B40"/>
    <w:rsid w:val="002E5F5A"/>
    <w:rsid w:val="002E5F96"/>
    <w:rsid w:val="002E6156"/>
    <w:rsid w:val="002E6641"/>
    <w:rsid w:val="002E6B79"/>
    <w:rsid w:val="002E6E31"/>
    <w:rsid w:val="002E6FCA"/>
    <w:rsid w:val="002E7388"/>
    <w:rsid w:val="002E79AF"/>
    <w:rsid w:val="002E7F61"/>
    <w:rsid w:val="002F01E3"/>
    <w:rsid w:val="002F0896"/>
    <w:rsid w:val="002F0AF4"/>
    <w:rsid w:val="002F0BB3"/>
    <w:rsid w:val="002F10E4"/>
    <w:rsid w:val="002F11C9"/>
    <w:rsid w:val="002F14AB"/>
    <w:rsid w:val="002F1916"/>
    <w:rsid w:val="002F1E01"/>
    <w:rsid w:val="002F1E07"/>
    <w:rsid w:val="002F1F16"/>
    <w:rsid w:val="002F3296"/>
    <w:rsid w:val="002F36FD"/>
    <w:rsid w:val="002F3BB4"/>
    <w:rsid w:val="002F4197"/>
    <w:rsid w:val="002F430F"/>
    <w:rsid w:val="002F4586"/>
    <w:rsid w:val="002F45A6"/>
    <w:rsid w:val="002F55B6"/>
    <w:rsid w:val="002F58A4"/>
    <w:rsid w:val="002F5C75"/>
    <w:rsid w:val="002F5F86"/>
    <w:rsid w:val="002F61E7"/>
    <w:rsid w:val="002F6958"/>
    <w:rsid w:val="002F70EF"/>
    <w:rsid w:val="002F7155"/>
    <w:rsid w:val="002F71E2"/>
    <w:rsid w:val="002F78F5"/>
    <w:rsid w:val="002F7B15"/>
    <w:rsid w:val="002F7BF1"/>
    <w:rsid w:val="0030027F"/>
    <w:rsid w:val="0030037B"/>
    <w:rsid w:val="003011B7"/>
    <w:rsid w:val="00301D4C"/>
    <w:rsid w:val="0030215A"/>
    <w:rsid w:val="00302DFA"/>
    <w:rsid w:val="003035CF"/>
    <w:rsid w:val="00304781"/>
    <w:rsid w:val="00304AA3"/>
    <w:rsid w:val="00304AF8"/>
    <w:rsid w:val="00304AFD"/>
    <w:rsid w:val="00304F67"/>
    <w:rsid w:val="00305382"/>
    <w:rsid w:val="0030594A"/>
    <w:rsid w:val="00305A31"/>
    <w:rsid w:val="003068BC"/>
    <w:rsid w:val="00306B28"/>
    <w:rsid w:val="0030700D"/>
    <w:rsid w:val="00307807"/>
    <w:rsid w:val="00307FFB"/>
    <w:rsid w:val="003104B1"/>
    <w:rsid w:val="00310886"/>
    <w:rsid w:val="00310BCE"/>
    <w:rsid w:val="00310CBC"/>
    <w:rsid w:val="00310D7C"/>
    <w:rsid w:val="0031147E"/>
    <w:rsid w:val="0031171F"/>
    <w:rsid w:val="00311E94"/>
    <w:rsid w:val="00312358"/>
    <w:rsid w:val="00312747"/>
    <w:rsid w:val="00312954"/>
    <w:rsid w:val="00312B8C"/>
    <w:rsid w:val="00313360"/>
    <w:rsid w:val="003133AE"/>
    <w:rsid w:val="003134A5"/>
    <w:rsid w:val="00314113"/>
    <w:rsid w:val="0031421E"/>
    <w:rsid w:val="003147CD"/>
    <w:rsid w:val="003148A8"/>
    <w:rsid w:val="003150FD"/>
    <w:rsid w:val="00315180"/>
    <w:rsid w:val="003155D3"/>
    <w:rsid w:val="0031571E"/>
    <w:rsid w:val="00315741"/>
    <w:rsid w:val="00315B0A"/>
    <w:rsid w:val="00315B63"/>
    <w:rsid w:val="0031608C"/>
    <w:rsid w:val="003178E4"/>
    <w:rsid w:val="00317B04"/>
    <w:rsid w:val="00317BC6"/>
    <w:rsid w:val="0032010F"/>
    <w:rsid w:val="0032012F"/>
    <w:rsid w:val="00320291"/>
    <w:rsid w:val="00320B6C"/>
    <w:rsid w:val="00320B8D"/>
    <w:rsid w:val="00320C9A"/>
    <w:rsid w:val="00320EE0"/>
    <w:rsid w:val="0032137D"/>
    <w:rsid w:val="003218ED"/>
    <w:rsid w:val="00322A98"/>
    <w:rsid w:val="003230C8"/>
    <w:rsid w:val="00323246"/>
    <w:rsid w:val="00323373"/>
    <w:rsid w:val="0032347B"/>
    <w:rsid w:val="0032352C"/>
    <w:rsid w:val="003235DA"/>
    <w:rsid w:val="00323B48"/>
    <w:rsid w:val="003242E0"/>
    <w:rsid w:val="003248A9"/>
    <w:rsid w:val="00324F51"/>
    <w:rsid w:val="003256D5"/>
    <w:rsid w:val="00325923"/>
    <w:rsid w:val="0032699B"/>
    <w:rsid w:val="00326CDF"/>
    <w:rsid w:val="00327105"/>
    <w:rsid w:val="00327556"/>
    <w:rsid w:val="003275D6"/>
    <w:rsid w:val="0032799F"/>
    <w:rsid w:val="00327E2F"/>
    <w:rsid w:val="00330422"/>
    <w:rsid w:val="0033079E"/>
    <w:rsid w:val="0033199D"/>
    <w:rsid w:val="00331B18"/>
    <w:rsid w:val="00331C17"/>
    <w:rsid w:val="0033211C"/>
    <w:rsid w:val="003321AA"/>
    <w:rsid w:val="00332FB3"/>
    <w:rsid w:val="003332E4"/>
    <w:rsid w:val="00333467"/>
    <w:rsid w:val="00333D07"/>
    <w:rsid w:val="00334179"/>
    <w:rsid w:val="00334A1F"/>
    <w:rsid w:val="00335326"/>
    <w:rsid w:val="00335C3E"/>
    <w:rsid w:val="0033626F"/>
    <w:rsid w:val="00337410"/>
    <w:rsid w:val="00337EAF"/>
    <w:rsid w:val="00340530"/>
    <w:rsid w:val="003409FF"/>
    <w:rsid w:val="00340BDC"/>
    <w:rsid w:val="003412C9"/>
    <w:rsid w:val="00341F16"/>
    <w:rsid w:val="00342265"/>
    <w:rsid w:val="0034229D"/>
    <w:rsid w:val="00342409"/>
    <w:rsid w:val="0034240B"/>
    <w:rsid w:val="00342ACC"/>
    <w:rsid w:val="00342BC3"/>
    <w:rsid w:val="00342E3B"/>
    <w:rsid w:val="0034327C"/>
    <w:rsid w:val="003433B0"/>
    <w:rsid w:val="00343B34"/>
    <w:rsid w:val="00343B7A"/>
    <w:rsid w:val="00343C71"/>
    <w:rsid w:val="00343D06"/>
    <w:rsid w:val="00343D18"/>
    <w:rsid w:val="003446D3"/>
    <w:rsid w:val="00344C6F"/>
    <w:rsid w:val="003450EF"/>
    <w:rsid w:val="00345153"/>
    <w:rsid w:val="00345570"/>
    <w:rsid w:val="00345D9A"/>
    <w:rsid w:val="003465D5"/>
    <w:rsid w:val="003466B0"/>
    <w:rsid w:val="00346831"/>
    <w:rsid w:val="0034685A"/>
    <w:rsid w:val="00346FB3"/>
    <w:rsid w:val="0034788D"/>
    <w:rsid w:val="00347CD8"/>
    <w:rsid w:val="00347DDC"/>
    <w:rsid w:val="003500D0"/>
    <w:rsid w:val="00350651"/>
    <w:rsid w:val="003508DF"/>
    <w:rsid w:val="00350938"/>
    <w:rsid w:val="00350D76"/>
    <w:rsid w:val="00350EBF"/>
    <w:rsid w:val="003514EA"/>
    <w:rsid w:val="003516BB"/>
    <w:rsid w:val="00351A15"/>
    <w:rsid w:val="00351A2F"/>
    <w:rsid w:val="00351B16"/>
    <w:rsid w:val="00351E68"/>
    <w:rsid w:val="00352081"/>
    <w:rsid w:val="00352ABB"/>
    <w:rsid w:val="00352B4B"/>
    <w:rsid w:val="00352BB7"/>
    <w:rsid w:val="00353281"/>
    <w:rsid w:val="00353B31"/>
    <w:rsid w:val="00353B3A"/>
    <w:rsid w:val="00353E53"/>
    <w:rsid w:val="00353F08"/>
    <w:rsid w:val="003543D3"/>
    <w:rsid w:val="003552B9"/>
    <w:rsid w:val="003555BD"/>
    <w:rsid w:val="0035572C"/>
    <w:rsid w:val="00355995"/>
    <w:rsid w:val="00355CD8"/>
    <w:rsid w:val="00355F90"/>
    <w:rsid w:val="003562AC"/>
    <w:rsid w:val="00356AAC"/>
    <w:rsid w:val="00356AC7"/>
    <w:rsid w:val="00356F03"/>
    <w:rsid w:val="0035785B"/>
    <w:rsid w:val="00357B65"/>
    <w:rsid w:val="00357BFA"/>
    <w:rsid w:val="00357F63"/>
    <w:rsid w:val="0036024E"/>
    <w:rsid w:val="003605D5"/>
    <w:rsid w:val="00360DE1"/>
    <w:rsid w:val="00360DEB"/>
    <w:rsid w:val="00360ED1"/>
    <w:rsid w:val="003610F8"/>
    <w:rsid w:val="003612AE"/>
    <w:rsid w:val="0036162A"/>
    <w:rsid w:val="00361C96"/>
    <w:rsid w:val="003630C6"/>
    <w:rsid w:val="003633CE"/>
    <w:rsid w:val="003634EA"/>
    <w:rsid w:val="003635FB"/>
    <w:rsid w:val="00363639"/>
    <w:rsid w:val="00363671"/>
    <w:rsid w:val="003638F3"/>
    <w:rsid w:val="003639EB"/>
    <w:rsid w:val="00363F1A"/>
    <w:rsid w:val="003646A0"/>
    <w:rsid w:val="00364B90"/>
    <w:rsid w:val="00365223"/>
    <w:rsid w:val="0036541B"/>
    <w:rsid w:val="00365A6F"/>
    <w:rsid w:val="00365D6E"/>
    <w:rsid w:val="00365F79"/>
    <w:rsid w:val="00366192"/>
    <w:rsid w:val="003661ED"/>
    <w:rsid w:val="003666C5"/>
    <w:rsid w:val="00366B0C"/>
    <w:rsid w:val="00366FC1"/>
    <w:rsid w:val="003670A6"/>
    <w:rsid w:val="00367580"/>
    <w:rsid w:val="00367A28"/>
    <w:rsid w:val="00370297"/>
    <w:rsid w:val="0037032B"/>
    <w:rsid w:val="003707D4"/>
    <w:rsid w:val="00370A1C"/>
    <w:rsid w:val="00370AF1"/>
    <w:rsid w:val="0037199F"/>
    <w:rsid w:val="00371E6D"/>
    <w:rsid w:val="00371FC6"/>
    <w:rsid w:val="003720D4"/>
    <w:rsid w:val="003723F3"/>
    <w:rsid w:val="003730E5"/>
    <w:rsid w:val="00374053"/>
    <w:rsid w:val="0037474B"/>
    <w:rsid w:val="00374929"/>
    <w:rsid w:val="00374DE9"/>
    <w:rsid w:val="003752F5"/>
    <w:rsid w:val="003758BF"/>
    <w:rsid w:val="00375B17"/>
    <w:rsid w:val="00376FB1"/>
    <w:rsid w:val="0037736A"/>
    <w:rsid w:val="0037783C"/>
    <w:rsid w:val="00377A7B"/>
    <w:rsid w:val="00377B95"/>
    <w:rsid w:val="003809CF"/>
    <w:rsid w:val="00380B75"/>
    <w:rsid w:val="00381300"/>
    <w:rsid w:val="00381964"/>
    <w:rsid w:val="00381E1E"/>
    <w:rsid w:val="0038259F"/>
    <w:rsid w:val="00382AFF"/>
    <w:rsid w:val="003831E2"/>
    <w:rsid w:val="00383C94"/>
    <w:rsid w:val="003855E9"/>
    <w:rsid w:val="00385667"/>
    <w:rsid w:val="003860A7"/>
    <w:rsid w:val="003870D7"/>
    <w:rsid w:val="003877A9"/>
    <w:rsid w:val="00387D14"/>
    <w:rsid w:val="0039038E"/>
    <w:rsid w:val="003904AE"/>
    <w:rsid w:val="00390F64"/>
    <w:rsid w:val="00391337"/>
    <w:rsid w:val="00391746"/>
    <w:rsid w:val="003917BE"/>
    <w:rsid w:val="00391A9C"/>
    <w:rsid w:val="0039217F"/>
    <w:rsid w:val="003922DE"/>
    <w:rsid w:val="0039267F"/>
    <w:rsid w:val="00392933"/>
    <w:rsid w:val="00392C93"/>
    <w:rsid w:val="00392E9C"/>
    <w:rsid w:val="00392F11"/>
    <w:rsid w:val="00393307"/>
    <w:rsid w:val="00393D7A"/>
    <w:rsid w:val="00393F3B"/>
    <w:rsid w:val="00393FB9"/>
    <w:rsid w:val="00394990"/>
    <w:rsid w:val="00394CC3"/>
    <w:rsid w:val="00394CFC"/>
    <w:rsid w:val="00395815"/>
    <w:rsid w:val="0039678A"/>
    <w:rsid w:val="00396A8C"/>
    <w:rsid w:val="00396B47"/>
    <w:rsid w:val="00396C36"/>
    <w:rsid w:val="003977BE"/>
    <w:rsid w:val="003978C1"/>
    <w:rsid w:val="00397C9A"/>
    <w:rsid w:val="00397E2A"/>
    <w:rsid w:val="003A029E"/>
    <w:rsid w:val="003A13A9"/>
    <w:rsid w:val="003A17A7"/>
    <w:rsid w:val="003A1821"/>
    <w:rsid w:val="003A1A2D"/>
    <w:rsid w:val="003A1B81"/>
    <w:rsid w:val="003A2632"/>
    <w:rsid w:val="003A264B"/>
    <w:rsid w:val="003A2B2C"/>
    <w:rsid w:val="003A2CD9"/>
    <w:rsid w:val="003A3205"/>
    <w:rsid w:val="003A3574"/>
    <w:rsid w:val="003A373E"/>
    <w:rsid w:val="003A413C"/>
    <w:rsid w:val="003A46A4"/>
    <w:rsid w:val="003A4CD7"/>
    <w:rsid w:val="003A5A95"/>
    <w:rsid w:val="003A5D97"/>
    <w:rsid w:val="003A5EF4"/>
    <w:rsid w:val="003A6C16"/>
    <w:rsid w:val="003A6C7E"/>
    <w:rsid w:val="003A720C"/>
    <w:rsid w:val="003A732B"/>
    <w:rsid w:val="003A7826"/>
    <w:rsid w:val="003A7AF0"/>
    <w:rsid w:val="003A7CD7"/>
    <w:rsid w:val="003B00FD"/>
    <w:rsid w:val="003B0607"/>
    <w:rsid w:val="003B076A"/>
    <w:rsid w:val="003B09C2"/>
    <w:rsid w:val="003B135B"/>
    <w:rsid w:val="003B1808"/>
    <w:rsid w:val="003B190F"/>
    <w:rsid w:val="003B25C7"/>
    <w:rsid w:val="003B27BA"/>
    <w:rsid w:val="003B2AC0"/>
    <w:rsid w:val="003B2CA2"/>
    <w:rsid w:val="003B3722"/>
    <w:rsid w:val="003B3F8C"/>
    <w:rsid w:val="003B41F0"/>
    <w:rsid w:val="003B461C"/>
    <w:rsid w:val="003B47B4"/>
    <w:rsid w:val="003B4C95"/>
    <w:rsid w:val="003B5430"/>
    <w:rsid w:val="003B6990"/>
    <w:rsid w:val="003B73F1"/>
    <w:rsid w:val="003B74B0"/>
    <w:rsid w:val="003B7B82"/>
    <w:rsid w:val="003B7C19"/>
    <w:rsid w:val="003C0C89"/>
    <w:rsid w:val="003C11F5"/>
    <w:rsid w:val="003C1DAF"/>
    <w:rsid w:val="003C2084"/>
    <w:rsid w:val="003C2196"/>
    <w:rsid w:val="003C25A0"/>
    <w:rsid w:val="003C28FF"/>
    <w:rsid w:val="003C39A4"/>
    <w:rsid w:val="003C40AB"/>
    <w:rsid w:val="003C4667"/>
    <w:rsid w:val="003C4700"/>
    <w:rsid w:val="003C4767"/>
    <w:rsid w:val="003C4B38"/>
    <w:rsid w:val="003C61E9"/>
    <w:rsid w:val="003C6456"/>
    <w:rsid w:val="003C68E7"/>
    <w:rsid w:val="003C6A76"/>
    <w:rsid w:val="003C7234"/>
    <w:rsid w:val="003D13B3"/>
    <w:rsid w:val="003D148C"/>
    <w:rsid w:val="003D19F0"/>
    <w:rsid w:val="003D1B06"/>
    <w:rsid w:val="003D2771"/>
    <w:rsid w:val="003D295B"/>
    <w:rsid w:val="003D296E"/>
    <w:rsid w:val="003D2A16"/>
    <w:rsid w:val="003D2A3D"/>
    <w:rsid w:val="003D2B52"/>
    <w:rsid w:val="003D3388"/>
    <w:rsid w:val="003D35A8"/>
    <w:rsid w:val="003D3648"/>
    <w:rsid w:val="003D36D8"/>
    <w:rsid w:val="003D37FE"/>
    <w:rsid w:val="003D3BD6"/>
    <w:rsid w:val="003D41C6"/>
    <w:rsid w:val="003D4813"/>
    <w:rsid w:val="003D5065"/>
    <w:rsid w:val="003D512D"/>
    <w:rsid w:val="003D51A6"/>
    <w:rsid w:val="003D5840"/>
    <w:rsid w:val="003D5A53"/>
    <w:rsid w:val="003D62AC"/>
    <w:rsid w:val="003D65AE"/>
    <w:rsid w:val="003D6622"/>
    <w:rsid w:val="003D713D"/>
    <w:rsid w:val="003D731A"/>
    <w:rsid w:val="003D749A"/>
    <w:rsid w:val="003D75A7"/>
    <w:rsid w:val="003D762A"/>
    <w:rsid w:val="003D7C69"/>
    <w:rsid w:val="003E06CD"/>
    <w:rsid w:val="003E08F2"/>
    <w:rsid w:val="003E10F3"/>
    <w:rsid w:val="003E1270"/>
    <w:rsid w:val="003E12BC"/>
    <w:rsid w:val="003E13EE"/>
    <w:rsid w:val="003E13F6"/>
    <w:rsid w:val="003E1642"/>
    <w:rsid w:val="003E1657"/>
    <w:rsid w:val="003E1D40"/>
    <w:rsid w:val="003E216A"/>
    <w:rsid w:val="003E2D9A"/>
    <w:rsid w:val="003E2EE7"/>
    <w:rsid w:val="003E379F"/>
    <w:rsid w:val="003E3BA7"/>
    <w:rsid w:val="003E3BD5"/>
    <w:rsid w:val="003E3C10"/>
    <w:rsid w:val="003E3C2E"/>
    <w:rsid w:val="003E3D4E"/>
    <w:rsid w:val="003E4B32"/>
    <w:rsid w:val="003E4F9D"/>
    <w:rsid w:val="003E5928"/>
    <w:rsid w:val="003E5948"/>
    <w:rsid w:val="003E66E1"/>
    <w:rsid w:val="003E6706"/>
    <w:rsid w:val="003E7273"/>
    <w:rsid w:val="003F1480"/>
    <w:rsid w:val="003F1D97"/>
    <w:rsid w:val="003F1FC8"/>
    <w:rsid w:val="003F1FDD"/>
    <w:rsid w:val="003F26C9"/>
    <w:rsid w:val="003F285B"/>
    <w:rsid w:val="003F2E06"/>
    <w:rsid w:val="003F2F8F"/>
    <w:rsid w:val="003F3539"/>
    <w:rsid w:val="003F3907"/>
    <w:rsid w:val="003F3A7D"/>
    <w:rsid w:val="003F3D86"/>
    <w:rsid w:val="003F3D8D"/>
    <w:rsid w:val="003F4C0A"/>
    <w:rsid w:val="003F4CFF"/>
    <w:rsid w:val="003F4E49"/>
    <w:rsid w:val="003F5168"/>
    <w:rsid w:val="003F533D"/>
    <w:rsid w:val="003F5947"/>
    <w:rsid w:val="003F5B41"/>
    <w:rsid w:val="003F65FA"/>
    <w:rsid w:val="003F6E4C"/>
    <w:rsid w:val="003F746C"/>
    <w:rsid w:val="003F75B6"/>
    <w:rsid w:val="003F77E4"/>
    <w:rsid w:val="003F77F6"/>
    <w:rsid w:val="0040061E"/>
    <w:rsid w:val="004008D0"/>
    <w:rsid w:val="004008E9"/>
    <w:rsid w:val="00400969"/>
    <w:rsid w:val="00401880"/>
    <w:rsid w:val="0040192B"/>
    <w:rsid w:val="00401BCB"/>
    <w:rsid w:val="00401E07"/>
    <w:rsid w:val="00402227"/>
    <w:rsid w:val="004023ED"/>
    <w:rsid w:val="00402EC6"/>
    <w:rsid w:val="00402EFF"/>
    <w:rsid w:val="004034D1"/>
    <w:rsid w:val="00403682"/>
    <w:rsid w:val="004038A6"/>
    <w:rsid w:val="00403D51"/>
    <w:rsid w:val="004054F0"/>
    <w:rsid w:val="00405747"/>
    <w:rsid w:val="0040630C"/>
    <w:rsid w:val="004065DB"/>
    <w:rsid w:val="00406E79"/>
    <w:rsid w:val="00406F50"/>
    <w:rsid w:val="0040714A"/>
    <w:rsid w:val="00407E43"/>
    <w:rsid w:val="004100B1"/>
    <w:rsid w:val="004102B3"/>
    <w:rsid w:val="00410387"/>
    <w:rsid w:val="004109E2"/>
    <w:rsid w:val="00410C7D"/>
    <w:rsid w:val="00410DBC"/>
    <w:rsid w:val="00411B7A"/>
    <w:rsid w:val="00411F26"/>
    <w:rsid w:val="00412367"/>
    <w:rsid w:val="004127A3"/>
    <w:rsid w:val="00412954"/>
    <w:rsid w:val="00412A69"/>
    <w:rsid w:val="00412F38"/>
    <w:rsid w:val="00413116"/>
    <w:rsid w:val="0041320E"/>
    <w:rsid w:val="004136F9"/>
    <w:rsid w:val="0041381C"/>
    <w:rsid w:val="00413C85"/>
    <w:rsid w:val="0041489E"/>
    <w:rsid w:val="004148E5"/>
    <w:rsid w:val="00414A84"/>
    <w:rsid w:val="00414B15"/>
    <w:rsid w:val="00415680"/>
    <w:rsid w:val="004156A8"/>
    <w:rsid w:val="00415716"/>
    <w:rsid w:val="00415EB8"/>
    <w:rsid w:val="00416111"/>
    <w:rsid w:val="00416582"/>
    <w:rsid w:val="00416A20"/>
    <w:rsid w:val="00416D83"/>
    <w:rsid w:val="004175EC"/>
    <w:rsid w:val="0042014A"/>
    <w:rsid w:val="0042053C"/>
    <w:rsid w:val="00420553"/>
    <w:rsid w:val="0042088D"/>
    <w:rsid w:val="0042099C"/>
    <w:rsid w:val="00420B6E"/>
    <w:rsid w:val="0042164B"/>
    <w:rsid w:val="00421771"/>
    <w:rsid w:val="00421772"/>
    <w:rsid w:val="004219F9"/>
    <w:rsid w:val="00421C20"/>
    <w:rsid w:val="00421C87"/>
    <w:rsid w:val="00421F9A"/>
    <w:rsid w:val="00421FEA"/>
    <w:rsid w:val="00423557"/>
    <w:rsid w:val="004238A7"/>
    <w:rsid w:val="004238EC"/>
    <w:rsid w:val="0042457D"/>
    <w:rsid w:val="00424742"/>
    <w:rsid w:val="004249E0"/>
    <w:rsid w:val="00424DAF"/>
    <w:rsid w:val="004256F4"/>
    <w:rsid w:val="00425773"/>
    <w:rsid w:val="00425F43"/>
    <w:rsid w:val="00426FA3"/>
    <w:rsid w:val="004270B5"/>
    <w:rsid w:val="00427545"/>
    <w:rsid w:val="00427AF4"/>
    <w:rsid w:val="00427C2F"/>
    <w:rsid w:val="00427E27"/>
    <w:rsid w:val="004308D2"/>
    <w:rsid w:val="00430CEA"/>
    <w:rsid w:val="00431716"/>
    <w:rsid w:val="00431869"/>
    <w:rsid w:val="00431BF0"/>
    <w:rsid w:val="004323D4"/>
    <w:rsid w:val="00432639"/>
    <w:rsid w:val="0043277D"/>
    <w:rsid w:val="00432853"/>
    <w:rsid w:val="00433064"/>
    <w:rsid w:val="004331A4"/>
    <w:rsid w:val="004332E7"/>
    <w:rsid w:val="00433318"/>
    <w:rsid w:val="00433723"/>
    <w:rsid w:val="0043385E"/>
    <w:rsid w:val="004339BA"/>
    <w:rsid w:val="00433E1D"/>
    <w:rsid w:val="004340B4"/>
    <w:rsid w:val="0043415A"/>
    <w:rsid w:val="0043433B"/>
    <w:rsid w:val="00434A47"/>
    <w:rsid w:val="00434AA3"/>
    <w:rsid w:val="00434BD9"/>
    <w:rsid w:val="00434D22"/>
    <w:rsid w:val="00435527"/>
    <w:rsid w:val="00435853"/>
    <w:rsid w:val="004359C1"/>
    <w:rsid w:val="00436943"/>
    <w:rsid w:val="00436E2E"/>
    <w:rsid w:val="004376FD"/>
    <w:rsid w:val="00437A49"/>
    <w:rsid w:val="00440182"/>
    <w:rsid w:val="00440501"/>
    <w:rsid w:val="00440C5A"/>
    <w:rsid w:val="00441478"/>
    <w:rsid w:val="004417CE"/>
    <w:rsid w:val="00441837"/>
    <w:rsid w:val="0044186B"/>
    <w:rsid w:val="004418E5"/>
    <w:rsid w:val="00441F47"/>
    <w:rsid w:val="00442561"/>
    <w:rsid w:val="004427F7"/>
    <w:rsid w:val="0044293D"/>
    <w:rsid w:val="00442B94"/>
    <w:rsid w:val="00442CA2"/>
    <w:rsid w:val="00442CC0"/>
    <w:rsid w:val="004433BC"/>
    <w:rsid w:val="004436EF"/>
    <w:rsid w:val="004438C0"/>
    <w:rsid w:val="00443918"/>
    <w:rsid w:val="004439EC"/>
    <w:rsid w:val="00443A20"/>
    <w:rsid w:val="00443F30"/>
    <w:rsid w:val="00444428"/>
    <w:rsid w:val="0044489A"/>
    <w:rsid w:val="004449CA"/>
    <w:rsid w:val="00445362"/>
    <w:rsid w:val="0044536F"/>
    <w:rsid w:val="004454AA"/>
    <w:rsid w:val="00445544"/>
    <w:rsid w:val="00445617"/>
    <w:rsid w:val="00445944"/>
    <w:rsid w:val="0044627D"/>
    <w:rsid w:val="00446BB9"/>
    <w:rsid w:val="0044756B"/>
    <w:rsid w:val="0045042E"/>
    <w:rsid w:val="00450C50"/>
    <w:rsid w:val="00451450"/>
    <w:rsid w:val="0045183D"/>
    <w:rsid w:val="00452D37"/>
    <w:rsid w:val="00452E91"/>
    <w:rsid w:val="004534A9"/>
    <w:rsid w:val="004543BF"/>
    <w:rsid w:val="00454693"/>
    <w:rsid w:val="004547BD"/>
    <w:rsid w:val="00454A76"/>
    <w:rsid w:val="0045524D"/>
    <w:rsid w:val="00455957"/>
    <w:rsid w:val="00455FA1"/>
    <w:rsid w:val="00455FFC"/>
    <w:rsid w:val="004560E1"/>
    <w:rsid w:val="00456503"/>
    <w:rsid w:val="00456508"/>
    <w:rsid w:val="00457E94"/>
    <w:rsid w:val="00460342"/>
    <w:rsid w:val="00460B63"/>
    <w:rsid w:val="00461122"/>
    <w:rsid w:val="0046115B"/>
    <w:rsid w:val="00461446"/>
    <w:rsid w:val="0046168B"/>
    <w:rsid w:val="0046170D"/>
    <w:rsid w:val="00461FFE"/>
    <w:rsid w:val="00462311"/>
    <w:rsid w:val="00462A54"/>
    <w:rsid w:val="00462C36"/>
    <w:rsid w:val="00462FBD"/>
    <w:rsid w:val="00463016"/>
    <w:rsid w:val="00464083"/>
    <w:rsid w:val="004643E1"/>
    <w:rsid w:val="0046456E"/>
    <w:rsid w:val="00464890"/>
    <w:rsid w:val="00465552"/>
    <w:rsid w:val="0046574C"/>
    <w:rsid w:val="00465D40"/>
    <w:rsid w:val="004661F2"/>
    <w:rsid w:val="00466B7B"/>
    <w:rsid w:val="00466BB0"/>
    <w:rsid w:val="00466EB0"/>
    <w:rsid w:val="004672D6"/>
    <w:rsid w:val="004679B1"/>
    <w:rsid w:val="00467AE3"/>
    <w:rsid w:val="004709B0"/>
    <w:rsid w:val="00471049"/>
    <w:rsid w:val="0047105E"/>
    <w:rsid w:val="004710BB"/>
    <w:rsid w:val="004710E2"/>
    <w:rsid w:val="0047192C"/>
    <w:rsid w:val="004721B0"/>
    <w:rsid w:val="004723A5"/>
    <w:rsid w:val="0047304F"/>
    <w:rsid w:val="00473D45"/>
    <w:rsid w:val="00474232"/>
    <w:rsid w:val="004742E8"/>
    <w:rsid w:val="0047440F"/>
    <w:rsid w:val="004745AE"/>
    <w:rsid w:val="00474C84"/>
    <w:rsid w:val="00474DC9"/>
    <w:rsid w:val="00475063"/>
    <w:rsid w:val="0047570B"/>
    <w:rsid w:val="004758BB"/>
    <w:rsid w:val="00475964"/>
    <w:rsid w:val="00475983"/>
    <w:rsid w:val="00476289"/>
    <w:rsid w:val="004765EC"/>
    <w:rsid w:val="0047668B"/>
    <w:rsid w:val="00476B27"/>
    <w:rsid w:val="00476C92"/>
    <w:rsid w:val="00476E73"/>
    <w:rsid w:val="00476FF4"/>
    <w:rsid w:val="00477025"/>
    <w:rsid w:val="004770BE"/>
    <w:rsid w:val="004777E2"/>
    <w:rsid w:val="0047785D"/>
    <w:rsid w:val="004779EC"/>
    <w:rsid w:val="004802DF"/>
    <w:rsid w:val="00480313"/>
    <w:rsid w:val="00480341"/>
    <w:rsid w:val="00480935"/>
    <w:rsid w:val="00480E3E"/>
    <w:rsid w:val="00480F77"/>
    <w:rsid w:val="00481301"/>
    <w:rsid w:val="00481A05"/>
    <w:rsid w:val="004821C3"/>
    <w:rsid w:val="0048232D"/>
    <w:rsid w:val="00482448"/>
    <w:rsid w:val="004829DC"/>
    <w:rsid w:val="00482A18"/>
    <w:rsid w:val="004839FF"/>
    <w:rsid w:val="00484059"/>
    <w:rsid w:val="004841C6"/>
    <w:rsid w:val="004842CC"/>
    <w:rsid w:val="00484668"/>
    <w:rsid w:val="00484E90"/>
    <w:rsid w:val="004859B3"/>
    <w:rsid w:val="0048684B"/>
    <w:rsid w:val="00486880"/>
    <w:rsid w:val="00486A23"/>
    <w:rsid w:val="00486B82"/>
    <w:rsid w:val="00486B96"/>
    <w:rsid w:val="00487020"/>
    <w:rsid w:val="00487768"/>
    <w:rsid w:val="00487ABC"/>
    <w:rsid w:val="00487DD0"/>
    <w:rsid w:val="00487FF1"/>
    <w:rsid w:val="004901DD"/>
    <w:rsid w:val="0049092D"/>
    <w:rsid w:val="00490A99"/>
    <w:rsid w:val="00491E35"/>
    <w:rsid w:val="00491E4B"/>
    <w:rsid w:val="004922D2"/>
    <w:rsid w:val="00492C40"/>
    <w:rsid w:val="00492C79"/>
    <w:rsid w:val="00492E92"/>
    <w:rsid w:val="00492ED6"/>
    <w:rsid w:val="0049301D"/>
    <w:rsid w:val="004931BA"/>
    <w:rsid w:val="0049344F"/>
    <w:rsid w:val="00493553"/>
    <w:rsid w:val="004935B5"/>
    <w:rsid w:val="00493B61"/>
    <w:rsid w:val="00493CDE"/>
    <w:rsid w:val="00493E36"/>
    <w:rsid w:val="00494622"/>
    <w:rsid w:val="004947C1"/>
    <w:rsid w:val="0049527A"/>
    <w:rsid w:val="004953EA"/>
    <w:rsid w:val="00495B49"/>
    <w:rsid w:val="00495D1E"/>
    <w:rsid w:val="004965C4"/>
    <w:rsid w:val="0049673C"/>
    <w:rsid w:val="00496F17"/>
    <w:rsid w:val="004972BB"/>
    <w:rsid w:val="00497698"/>
    <w:rsid w:val="00497989"/>
    <w:rsid w:val="004A0EC2"/>
    <w:rsid w:val="004A0F66"/>
    <w:rsid w:val="004A11AD"/>
    <w:rsid w:val="004A1440"/>
    <w:rsid w:val="004A14D6"/>
    <w:rsid w:val="004A1761"/>
    <w:rsid w:val="004A1A27"/>
    <w:rsid w:val="004A1B59"/>
    <w:rsid w:val="004A1CA8"/>
    <w:rsid w:val="004A1F39"/>
    <w:rsid w:val="004A23CE"/>
    <w:rsid w:val="004A249A"/>
    <w:rsid w:val="004A2876"/>
    <w:rsid w:val="004A3211"/>
    <w:rsid w:val="004A35F3"/>
    <w:rsid w:val="004A3E44"/>
    <w:rsid w:val="004A43B4"/>
    <w:rsid w:val="004A4B03"/>
    <w:rsid w:val="004A4D23"/>
    <w:rsid w:val="004A4D5A"/>
    <w:rsid w:val="004A5559"/>
    <w:rsid w:val="004A57BE"/>
    <w:rsid w:val="004A5C55"/>
    <w:rsid w:val="004A5F05"/>
    <w:rsid w:val="004A6104"/>
    <w:rsid w:val="004A621E"/>
    <w:rsid w:val="004A6305"/>
    <w:rsid w:val="004A665E"/>
    <w:rsid w:val="004A6CBD"/>
    <w:rsid w:val="004A6CC0"/>
    <w:rsid w:val="004A6EF1"/>
    <w:rsid w:val="004A74BB"/>
    <w:rsid w:val="004A792A"/>
    <w:rsid w:val="004B00DA"/>
    <w:rsid w:val="004B0175"/>
    <w:rsid w:val="004B07F3"/>
    <w:rsid w:val="004B0B6E"/>
    <w:rsid w:val="004B1497"/>
    <w:rsid w:val="004B15BF"/>
    <w:rsid w:val="004B1778"/>
    <w:rsid w:val="004B1BC0"/>
    <w:rsid w:val="004B20D3"/>
    <w:rsid w:val="004B2117"/>
    <w:rsid w:val="004B238C"/>
    <w:rsid w:val="004B248E"/>
    <w:rsid w:val="004B25AC"/>
    <w:rsid w:val="004B2676"/>
    <w:rsid w:val="004B2B66"/>
    <w:rsid w:val="004B2FD2"/>
    <w:rsid w:val="004B2FE8"/>
    <w:rsid w:val="004B36BE"/>
    <w:rsid w:val="004B3798"/>
    <w:rsid w:val="004B3BDA"/>
    <w:rsid w:val="004B4E15"/>
    <w:rsid w:val="004B53F2"/>
    <w:rsid w:val="004B594B"/>
    <w:rsid w:val="004B5C66"/>
    <w:rsid w:val="004B63DF"/>
    <w:rsid w:val="004B68D7"/>
    <w:rsid w:val="004B76D9"/>
    <w:rsid w:val="004C01DD"/>
    <w:rsid w:val="004C02FC"/>
    <w:rsid w:val="004C03DA"/>
    <w:rsid w:val="004C073B"/>
    <w:rsid w:val="004C0B45"/>
    <w:rsid w:val="004C0C57"/>
    <w:rsid w:val="004C148C"/>
    <w:rsid w:val="004C18E3"/>
    <w:rsid w:val="004C18F6"/>
    <w:rsid w:val="004C1A7D"/>
    <w:rsid w:val="004C1A9C"/>
    <w:rsid w:val="004C20EB"/>
    <w:rsid w:val="004C262C"/>
    <w:rsid w:val="004C2AAB"/>
    <w:rsid w:val="004C34B0"/>
    <w:rsid w:val="004C3E6D"/>
    <w:rsid w:val="004C41AB"/>
    <w:rsid w:val="004C424E"/>
    <w:rsid w:val="004C4686"/>
    <w:rsid w:val="004C52D0"/>
    <w:rsid w:val="004C5DBC"/>
    <w:rsid w:val="004C5DFB"/>
    <w:rsid w:val="004C6377"/>
    <w:rsid w:val="004C66FB"/>
    <w:rsid w:val="004C6E8C"/>
    <w:rsid w:val="004C71BD"/>
    <w:rsid w:val="004C7A19"/>
    <w:rsid w:val="004C7BF4"/>
    <w:rsid w:val="004C7CEC"/>
    <w:rsid w:val="004D04B1"/>
    <w:rsid w:val="004D1081"/>
    <w:rsid w:val="004D14FC"/>
    <w:rsid w:val="004D178F"/>
    <w:rsid w:val="004D28C9"/>
    <w:rsid w:val="004D29FB"/>
    <w:rsid w:val="004D35A3"/>
    <w:rsid w:val="004D3CDE"/>
    <w:rsid w:val="004D3D8A"/>
    <w:rsid w:val="004D47BF"/>
    <w:rsid w:val="004D54A6"/>
    <w:rsid w:val="004D5AEE"/>
    <w:rsid w:val="004D5EC0"/>
    <w:rsid w:val="004D5F58"/>
    <w:rsid w:val="004D62B8"/>
    <w:rsid w:val="004D67CF"/>
    <w:rsid w:val="004D68DA"/>
    <w:rsid w:val="004D6CF5"/>
    <w:rsid w:val="004D7066"/>
    <w:rsid w:val="004D70C8"/>
    <w:rsid w:val="004D7120"/>
    <w:rsid w:val="004D7DAF"/>
    <w:rsid w:val="004D7DB7"/>
    <w:rsid w:val="004E0EB2"/>
    <w:rsid w:val="004E1438"/>
    <w:rsid w:val="004E15F8"/>
    <w:rsid w:val="004E1719"/>
    <w:rsid w:val="004E2201"/>
    <w:rsid w:val="004E2262"/>
    <w:rsid w:val="004E2AA8"/>
    <w:rsid w:val="004E2E5D"/>
    <w:rsid w:val="004E316D"/>
    <w:rsid w:val="004E37FE"/>
    <w:rsid w:val="004E42E6"/>
    <w:rsid w:val="004E4496"/>
    <w:rsid w:val="004E4947"/>
    <w:rsid w:val="004E5322"/>
    <w:rsid w:val="004E53FC"/>
    <w:rsid w:val="004E57CD"/>
    <w:rsid w:val="004E58A3"/>
    <w:rsid w:val="004E6063"/>
    <w:rsid w:val="004E62BD"/>
    <w:rsid w:val="004E69FE"/>
    <w:rsid w:val="004E6EBF"/>
    <w:rsid w:val="004E70FD"/>
    <w:rsid w:val="004E7218"/>
    <w:rsid w:val="004E78E6"/>
    <w:rsid w:val="004E7A59"/>
    <w:rsid w:val="004E7E57"/>
    <w:rsid w:val="004F0DB6"/>
    <w:rsid w:val="004F1226"/>
    <w:rsid w:val="004F1858"/>
    <w:rsid w:val="004F1A19"/>
    <w:rsid w:val="004F21FD"/>
    <w:rsid w:val="004F22D5"/>
    <w:rsid w:val="004F22E6"/>
    <w:rsid w:val="004F256D"/>
    <w:rsid w:val="004F2D92"/>
    <w:rsid w:val="004F2EA7"/>
    <w:rsid w:val="004F3344"/>
    <w:rsid w:val="004F34F3"/>
    <w:rsid w:val="004F43BB"/>
    <w:rsid w:val="004F594E"/>
    <w:rsid w:val="004F5964"/>
    <w:rsid w:val="004F60BA"/>
    <w:rsid w:val="004F6218"/>
    <w:rsid w:val="004F6F0D"/>
    <w:rsid w:val="004F755A"/>
    <w:rsid w:val="004F768D"/>
    <w:rsid w:val="004F7C08"/>
    <w:rsid w:val="004F7C46"/>
    <w:rsid w:val="005000C3"/>
    <w:rsid w:val="0050070E"/>
    <w:rsid w:val="00500D04"/>
    <w:rsid w:val="00500E28"/>
    <w:rsid w:val="0050136C"/>
    <w:rsid w:val="00501896"/>
    <w:rsid w:val="005023B5"/>
    <w:rsid w:val="0050256D"/>
    <w:rsid w:val="0050265F"/>
    <w:rsid w:val="00502723"/>
    <w:rsid w:val="005027D2"/>
    <w:rsid w:val="00502D12"/>
    <w:rsid w:val="00502D56"/>
    <w:rsid w:val="00503305"/>
    <w:rsid w:val="005034D4"/>
    <w:rsid w:val="005036F6"/>
    <w:rsid w:val="00503CD7"/>
    <w:rsid w:val="00504BB7"/>
    <w:rsid w:val="00504BB8"/>
    <w:rsid w:val="00504D0A"/>
    <w:rsid w:val="005052EE"/>
    <w:rsid w:val="00505560"/>
    <w:rsid w:val="005058F7"/>
    <w:rsid w:val="00505BE0"/>
    <w:rsid w:val="00505FEE"/>
    <w:rsid w:val="0050633A"/>
    <w:rsid w:val="00506683"/>
    <w:rsid w:val="0050674E"/>
    <w:rsid w:val="005069AF"/>
    <w:rsid w:val="005069F4"/>
    <w:rsid w:val="00506BCE"/>
    <w:rsid w:val="00506CD9"/>
    <w:rsid w:val="00506D8B"/>
    <w:rsid w:val="0050712F"/>
    <w:rsid w:val="00507598"/>
    <w:rsid w:val="005075C0"/>
    <w:rsid w:val="00507A4B"/>
    <w:rsid w:val="00507ADE"/>
    <w:rsid w:val="00507F68"/>
    <w:rsid w:val="0051085E"/>
    <w:rsid w:val="00510889"/>
    <w:rsid w:val="00510F20"/>
    <w:rsid w:val="005111C1"/>
    <w:rsid w:val="005115FB"/>
    <w:rsid w:val="00511BD4"/>
    <w:rsid w:val="00512044"/>
    <w:rsid w:val="00512377"/>
    <w:rsid w:val="005127C7"/>
    <w:rsid w:val="0051282C"/>
    <w:rsid w:val="00513703"/>
    <w:rsid w:val="00513879"/>
    <w:rsid w:val="005138A0"/>
    <w:rsid w:val="005140DD"/>
    <w:rsid w:val="00514579"/>
    <w:rsid w:val="00514FC0"/>
    <w:rsid w:val="00515C68"/>
    <w:rsid w:val="00515E25"/>
    <w:rsid w:val="005160B2"/>
    <w:rsid w:val="005165BB"/>
    <w:rsid w:val="0051688E"/>
    <w:rsid w:val="00516952"/>
    <w:rsid w:val="00516DE8"/>
    <w:rsid w:val="00516E5F"/>
    <w:rsid w:val="00517177"/>
    <w:rsid w:val="0051722A"/>
    <w:rsid w:val="00517BCA"/>
    <w:rsid w:val="00520322"/>
    <w:rsid w:val="00520787"/>
    <w:rsid w:val="005207F6"/>
    <w:rsid w:val="005208B3"/>
    <w:rsid w:val="005209B5"/>
    <w:rsid w:val="00521215"/>
    <w:rsid w:val="005216C5"/>
    <w:rsid w:val="00521780"/>
    <w:rsid w:val="00522212"/>
    <w:rsid w:val="005224EA"/>
    <w:rsid w:val="00522A7A"/>
    <w:rsid w:val="00522CEF"/>
    <w:rsid w:val="005230BA"/>
    <w:rsid w:val="005232DC"/>
    <w:rsid w:val="00523427"/>
    <w:rsid w:val="005234B7"/>
    <w:rsid w:val="005238CF"/>
    <w:rsid w:val="00523AF0"/>
    <w:rsid w:val="00523C62"/>
    <w:rsid w:val="00523F58"/>
    <w:rsid w:val="005244D5"/>
    <w:rsid w:val="00524543"/>
    <w:rsid w:val="005249DF"/>
    <w:rsid w:val="00525377"/>
    <w:rsid w:val="00525448"/>
    <w:rsid w:val="005260AB"/>
    <w:rsid w:val="0052736E"/>
    <w:rsid w:val="005275B3"/>
    <w:rsid w:val="005277B6"/>
    <w:rsid w:val="005279DE"/>
    <w:rsid w:val="00527D44"/>
    <w:rsid w:val="00527F5F"/>
    <w:rsid w:val="00530754"/>
    <w:rsid w:val="005308BD"/>
    <w:rsid w:val="00530DDF"/>
    <w:rsid w:val="005317F3"/>
    <w:rsid w:val="005320C3"/>
    <w:rsid w:val="00532749"/>
    <w:rsid w:val="00533367"/>
    <w:rsid w:val="005336D6"/>
    <w:rsid w:val="00533C9B"/>
    <w:rsid w:val="00533EC4"/>
    <w:rsid w:val="00533F2C"/>
    <w:rsid w:val="005341DD"/>
    <w:rsid w:val="005347CE"/>
    <w:rsid w:val="00534F38"/>
    <w:rsid w:val="0053511D"/>
    <w:rsid w:val="00535564"/>
    <w:rsid w:val="0053570C"/>
    <w:rsid w:val="0053577E"/>
    <w:rsid w:val="0053672E"/>
    <w:rsid w:val="00536DCB"/>
    <w:rsid w:val="005378ED"/>
    <w:rsid w:val="00540357"/>
    <w:rsid w:val="00540407"/>
    <w:rsid w:val="0054043A"/>
    <w:rsid w:val="00540620"/>
    <w:rsid w:val="005409D8"/>
    <w:rsid w:val="00540A85"/>
    <w:rsid w:val="00541206"/>
    <w:rsid w:val="00541447"/>
    <w:rsid w:val="005415A5"/>
    <w:rsid w:val="005415B2"/>
    <w:rsid w:val="0054202D"/>
    <w:rsid w:val="00542CAD"/>
    <w:rsid w:val="00543935"/>
    <w:rsid w:val="00543CE7"/>
    <w:rsid w:val="00544439"/>
    <w:rsid w:val="0054462E"/>
    <w:rsid w:val="005447E9"/>
    <w:rsid w:val="00544B62"/>
    <w:rsid w:val="00544BE2"/>
    <w:rsid w:val="00545D29"/>
    <w:rsid w:val="005460F5"/>
    <w:rsid w:val="0054687B"/>
    <w:rsid w:val="00546AA8"/>
    <w:rsid w:val="005474C8"/>
    <w:rsid w:val="00550824"/>
    <w:rsid w:val="00550A22"/>
    <w:rsid w:val="00550C2C"/>
    <w:rsid w:val="005512E5"/>
    <w:rsid w:val="00551501"/>
    <w:rsid w:val="0055168F"/>
    <w:rsid w:val="00551763"/>
    <w:rsid w:val="005522B9"/>
    <w:rsid w:val="00552541"/>
    <w:rsid w:val="005534D7"/>
    <w:rsid w:val="00553557"/>
    <w:rsid w:val="0055357D"/>
    <w:rsid w:val="00553792"/>
    <w:rsid w:val="0055388E"/>
    <w:rsid w:val="00554417"/>
    <w:rsid w:val="00554488"/>
    <w:rsid w:val="0055461D"/>
    <w:rsid w:val="00554B3A"/>
    <w:rsid w:val="005553D5"/>
    <w:rsid w:val="0055551C"/>
    <w:rsid w:val="00555FFC"/>
    <w:rsid w:val="00556879"/>
    <w:rsid w:val="005569F0"/>
    <w:rsid w:val="00556A46"/>
    <w:rsid w:val="00556AA0"/>
    <w:rsid w:val="00557296"/>
    <w:rsid w:val="00557471"/>
    <w:rsid w:val="00557BA8"/>
    <w:rsid w:val="005607F1"/>
    <w:rsid w:val="00560BE6"/>
    <w:rsid w:val="00560F27"/>
    <w:rsid w:val="00561072"/>
    <w:rsid w:val="00561753"/>
    <w:rsid w:val="00561AFE"/>
    <w:rsid w:val="00561F73"/>
    <w:rsid w:val="005621B7"/>
    <w:rsid w:val="005623AC"/>
    <w:rsid w:val="00562402"/>
    <w:rsid w:val="005625CD"/>
    <w:rsid w:val="005627BA"/>
    <w:rsid w:val="005629FE"/>
    <w:rsid w:val="00562FB5"/>
    <w:rsid w:val="0056304D"/>
    <w:rsid w:val="00563493"/>
    <w:rsid w:val="00563EFE"/>
    <w:rsid w:val="0056468F"/>
    <w:rsid w:val="005649AE"/>
    <w:rsid w:val="00564B79"/>
    <w:rsid w:val="00564D85"/>
    <w:rsid w:val="00564E03"/>
    <w:rsid w:val="00564E52"/>
    <w:rsid w:val="00565441"/>
    <w:rsid w:val="005654BE"/>
    <w:rsid w:val="005654DF"/>
    <w:rsid w:val="00565F01"/>
    <w:rsid w:val="005663BB"/>
    <w:rsid w:val="005664A2"/>
    <w:rsid w:val="00567492"/>
    <w:rsid w:val="00567A10"/>
    <w:rsid w:val="00570BD4"/>
    <w:rsid w:val="00570EA7"/>
    <w:rsid w:val="005710BE"/>
    <w:rsid w:val="00571ADE"/>
    <w:rsid w:val="00571EE9"/>
    <w:rsid w:val="00571FE6"/>
    <w:rsid w:val="00572379"/>
    <w:rsid w:val="005723D0"/>
    <w:rsid w:val="00572462"/>
    <w:rsid w:val="00572561"/>
    <w:rsid w:val="005729D5"/>
    <w:rsid w:val="005739F7"/>
    <w:rsid w:val="00573A54"/>
    <w:rsid w:val="00574020"/>
    <w:rsid w:val="005742B0"/>
    <w:rsid w:val="0057462F"/>
    <w:rsid w:val="00575000"/>
    <w:rsid w:val="0057534E"/>
    <w:rsid w:val="00576D4B"/>
    <w:rsid w:val="00577326"/>
    <w:rsid w:val="005775BD"/>
    <w:rsid w:val="00577617"/>
    <w:rsid w:val="00577976"/>
    <w:rsid w:val="00577B47"/>
    <w:rsid w:val="00577BA5"/>
    <w:rsid w:val="00577DA7"/>
    <w:rsid w:val="005809DC"/>
    <w:rsid w:val="00581426"/>
    <w:rsid w:val="0058174B"/>
    <w:rsid w:val="0058188F"/>
    <w:rsid w:val="00581F91"/>
    <w:rsid w:val="00581FD7"/>
    <w:rsid w:val="005822A5"/>
    <w:rsid w:val="0058295E"/>
    <w:rsid w:val="005829B1"/>
    <w:rsid w:val="00582B81"/>
    <w:rsid w:val="00582F73"/>
    <w:rsid w:val="00583073"/>
    <w:rsid w:val="00583292"/>
    <w:rsid w:val="00583A08"/>
    <w:rsid w:val="00583B86"/>
    <w:rsid w:val="00583D1F"/>
    <w:rsid w:val="005842EE"/>
    <w:rsid w:val="0058507F"/>
    <w:rsid w:val="005850A4"/>
    <w:rsid w:val="0058583A"/>
    <w:rsid w:val="00586367"/>
    <w:rsid w:val="00586456"/>
    <w:rsid w:val="00586F67"/>
    <w:rsid w:val="005874D1"/>
    <w:rsid w:val="00587737"/>
    <w:rsid w:val="00587B1B"/>
    <w:rsid w:val="00590189"/>
    <w:rsid w:val="00590377"/>
    <w:rsid w:val="005905D7"/>
    <w:rsid w:val="005908E3"/>
    <w:rsid w:val="00590A06"/>
    <w:rsid w:val="00590A3D"/>
    <w:rsid w:val="00591219"/>
    <w:rsid w:val="00591345"/>
    <w:rsid w:val="005917F9"/>
    <w:rsid w:val="005919BD"/>
    <w:rsid w:val="005919D4"/>
    <w:rsid w:val="00591F8C"/>
    <w:rsid w:val="005922C2"/>
    <w:rsid w:val="00592DB2"/>
    <w:rsid w:val="00592F3F"/>
    <w:rsid w:val="00592FE0"/>
    <w:rsid w:val="0059330F"/>
    <w:rsid w:val="005944C4"/>
    <w:rsid w:val="005947C2"/>
    <w:rsid w:val="00594C38"/>
    <w:rsid w:val="005952A8"/>
    <w:rsid w:val="00595423"/>
    <w:rsid w:val="00595DAE"/>
    <w:rsid w:val="00595EC5"/>
    <w:rsid w:val="005966F9"/>
    <w:rsid w:val="0059674F"/>
    <w:rsid w:val="0059716B"/>
    <w:rsid w:val="00597C9C"/>
    <w:rsid w:val="00597CBD"/>
    <w:rsid w:val="00597D7C"/>
    <w:rsid w:val="005A0365"/>
    <w:rsid w:val="005A0BED"/>
    <w:rsid w:val="005A0D6F"/>
    <w:rsid w:val="005A11EE"/>
    <w:rsid w:val="005A161C"/>
    <w:rsid w:val="005A1712"/>
    <w:rsid w:val="005A198F"/>
    <w:rsid w:val="005A1DB9"/>
    <w:rsid w:val="005A1FF8"/>
    <w:rsid w:val="005A2626"/>
    <w:rsid w:val="005A2AB1"/>
    <w:rsid w:val="005A2BE0"/>
    <w:rsid w:val="005A2CEB"/>
    <w:rsid w:val="005A3292"/>
    <w:rsid w:val="005A3599"/>
    <w:rsid w:val="005A35E3"/>
    <w:rsid w:val="005A3AFB"/>
    <w:rsid w:val="005A3CFA"/>
    <w:rsid w:val="005A4221"/>
    <w:rsid w:val="005A42B3"/>
    <w:rsid w:val="005A4620"/>
    <w:rsid w:val="005A47A7"/>
    <w:rsid w:val="005A4D04"/>
    <w:rsid w:val="005A4EBC"/>
    <w:rsid w:val="005A50AF"/>
    <w:rsid w:val="005A50D7"/>
    <w:rsid w:val="005A56B1"/>
    <w:rsid w:val="005A57D9"/>
    <w:rsid w:val="005A5A7A"/>
    <w:rsid w:val="005A6674"/>
    <w:rsid w:val="005A6890"/>
    <w:rsid w:val="005A6923"/>
    <w:rsid w:val="005A69D7"/>
    <w:rsid w:val="005A69EC"/>
    <w:rsid w:val="005A6D01"/>
    <w:rsid w:val="005A6DC6"/>
    <w:rsid w:val="005A7F9B"/>
    <w:rsid w:val="005B029F"/>
    <w:rsid w:val="005B05CB"/>
    <w:rsid w:val="005B09A8"/>
    <w:rsid w:val="005B0B9F"/>
    <w:rsid w:val="005B1353"/>
    <w:rsid w:val="005B17DF"/>
    <w:rsid w:val="005B1F0D"/>
    <w:rsid w:val="005B1F15"/>
    <w:rsid w:val="005B1F37"/>
    <w:rsid w:val="005B2C92"/>
    <w:rsid w:val="005B30C8"/>
    <w:rsid w:val="005B3D03"/>
    <w:rsid w:val="005B411A"/>
    <w:rsid w:val="005B45A3"/>
    <w:rsid w:val="005B485D"/>
    <w:rsid w:val="005B5085"/>
    <w:rsid w:val="005B5272"/>
    <w:rsid w:val="005B5459"/>
    <w:rsid w:val="005B62C9"/>
    <w:rsid w:val="005B65D7"/>
    <w:rsid w:val="005B7C27"/>
    <w:rsid w:val="005C00CE"/>
    <w:rsid w:val="005C0255"/>
    <w:rsid w:val="005C087E"/>
    <w:rsid w:val="005C0FF2"/>
    <w:rsid w:val="005C13B2"/>
    <w:rsid w:val="005C1821"/>
    <w:rsid w:val="005C1AEB"/>
    <w:rsid w:val="005C1B1D"/>
    <w:rsid w:val="005C22AA"/>
    <w:rsid w:val="005C22B8"/>
    <w:rsid w:val="005C26CD"/>
    <w:rsid w:val="005C26D0"/>
    <w:rsid w:val="005C295F"/>
    <w:rsid w:val="005C338F"/>
    <w:rsid w:val="005C33B5"/>
    <w:rsid w:val="005C3BFD"/>
    <w:rsid w:val="005C3C91"/>
    <w:rsid w:val="005C3CC8"/>
    <w:rsid w:val="005C3E88"/>
    <w:rsid w:val="005C4020"/>
    <w:rsid w:val="005C4090"/>
    <w:rsid w:val="005C53F3"/>
    <w:rsid w:val="005C58BC"/>
    <w:rsid w:val="005C5A2D"/>
    <w:rsid w:val="005C6681"/>
    <w:rsid w:val="005C6FDE"/>
    <w:rsid w:val="005C7119"/>
    <w:rsid w:val="005C71B9"/>
    <w:rsid w:val="005C783C"/>
    <w:rsid w:val="005C7B4A"/>
    <w:rsid w:val="005C7E55"/>
    <w:rsid w:val="005D0463"/>
    <w:rsid w:val="005D136F"/>
    <w:rsid w:val="005D193D"/>
    <w:rsid w:val="005D1A3E"/>
    <w:rsid w:val="005D262A"/>
    <w:rsid w:val="005D2892"/>
    <w:rsid w:val="005D28C8"/>
    <w:rsid w:val="005D29C4"/>
    <w:rsid w:val="005D2B9F"/>
    <w:rsid w:val="005D2F5A"/>
    <w:rsid w:val="005D30FE"/>
    <w:rsid w:val="005D34C8"/>
    <w:rsid w:val="005D35C5"/>
    <w:rsid w:val="005D3967"/>
    <w:rsid w:val="005D3F25"/>
    <w:rsid w:val="005D4309"/>
    <w:rsid w:val="005D4450"/>
    <w:rsid w:val="005D45F0"/>
    <w:rsid w:val="005D47EA"/>
    <w:rsid w:val="005D485A"/>
    <w:rsid w:val="005D4C18"/>
    <w:rsid w:val="005D4C75"/>
    <w:rsid w:val="005D505F"/>
    <w:rsid w:val="005D50E1"/>
    <w:rsid w:val="005D53AD"/>
    <w:rsid w:val="005D53D3"/>
    <w:rsid w:val="005D54C4"/>
    <w:rsid w:val="005D56F2"/>
    <w:rsid w:val="005D5A28"/>
    <w:rsid w:val="005D5AC0"/>
    <w:rsid w:val="005D5B31"/>
    <w:rsid w:val="005D6BD1"/>
    <w:rsid w:val="005D6ED0"/>
    <w:rsid w:val="005D7805"/>
    <w:rsid w:val="005D7D86"/>
    <w:rsid w:val="005E0115"/>
    <w:rsid w:val="005E0362"/>
    <w:rsid w:val="005E09F6"/>
    <w:rsid w:val="005E0BF7"/>
    <w:rsid w:val="005E0D17"/>
    <w:rsid w:val="005E0E85"/>
    <w:rsid w:val="005E0E9E"/>
    <w:rsid w:val="005E148F"/>
    <w:rsid w:val="005E1497"/>
    <w:rsid w:val="005E1B3C"/>
    <w:rsid w:val="005E1D57"/>
    <w:rsid w:val="005E20E3"/>
    <w:rsid w:val="005E2597"/>
    <w:rsid w:val="005E2690"/>
    <w:rsid w:val="005E290A"/>
    <w:rsid w:val="005E2DE6"/>
    <w:rsid w:val="005E2E94"/>
    <w:rsid w:val="005E2F3B"/>
    <w:rsid w:val="005E356C"/>
    <w:rsid w:val="005E3887"/>
    <w:rsid w:val="005E38F9"/>
    <w:rsid w:val="005E3F25"/>
    <w:rsid w:val="005E4668"/>
    <w:rsid w:val="005E46A2"/>
    <w:rsid w:val="005E46CC"/>
    <w:rsid w:val="005E4752"/>
    <w:rsid w:val="005E4826"/>
    <w:rsid w:val="005E4D07"/>
    <w:rsid w:val="005E50B3"/>
    <w:rsid w:val="005E517E"/>
    <w:rsid w:val="005E5187"/>
    <w:rsid w:val="005E5319"/>
    <w:rsid w:val="005E58D3"/>
    <w:rsid w:val="005E5A18"/>
    <w:rsid w:val="005E5E69"/>
    <w:rsid w:val="005E632F"/>
    <w:rsid w:val="005E6CFA"/>
    <w:rsid w:val="005E6FAE"/>
    <w:rsid w:val="005E7050"/>
    <w:rsid w:val="005E7597"/>
    <w:rsid w:val="005E77BF"/>
    <w:rsid w:val="005E789A"/>
    <w:rsid w:val="005E7BF0"/>
    <w:rsid w:val="005E7EC3"/>
    <w:rsid w:val="005F04DE"/>
    <w:rsid w:val="005F0BE6"/>
    <w:rsid w:val="005F0BFB"/>
    <w:rsid w:val="005F0C7A"/>
    <w:rsid w:val="005F10C9"/>
    <w:rsid w:val="005F12D1"/>
    <w:rsid w:val="005F14B8"/>
    <w:rsid w:val="005F151B"/>
    <w:rsid w:val="005F19AE"/>
    <w:rsid w:val="005F1E94"/>
    <w:rsid w:val="005F1F21"/>
    <w:rsid w:val="005F22E0"/>
    <w:rsid w:val="005F2A7C"/>
    <w:rsid w:val="005F2E9B"/>
    <w:rsid w:val="005F34AC"/>
    <w:rsid w:val="005F37B5"/>
    <w:rsid w:val="005F3AE4"/>
    <w:rsid w:val="005F3CCF"/>
    <w:rsid w:val="005F3CF0"/>
    <w:rsid w:val="005F3FA2"/>
    <w:rsid w:val="005F4155"/>
    <w:rsid w:val="005F4A76"/>
    <w:rsid w:val="005F4B56"/>
    <w:rsid w:val="005F4D07"/>
    <w:rsid w:val="005F5492"/>
    <w:rsid w:val="005F549B"/>
    <w:rsid w:val="005F55E2"/>
    <w:rsid w:val="005F5750"/>
    <w:rsid w:val="005F5B84"/>
    <w:rsid w:val="005F5F8D"/>
    <w:rsid w:val="005F6251"/>
    <w:rsid w:val="005F65A9"/>
    <w:rsid w:val="005F70FB"/>
    <w:rsid w:val="005F77E5"/>
    <w:rsid w:val="005F790B"/>
    <w:rsid w:val="005F7D00"/>
    <w:rsid w:val="005F7E2D"/>
    <w:rsid w:val="006004E0"/>
    <w:rsid w:val="006008B6"/>
    <w:rsid w:val="00600BA1"/>
    <w:rsid w:val="00600C48"/>
    <w:rsid w:val="00600DDD"/>
    <w:rsid w:val="006010C8"/>
    <w:rsid w:val="00602616"/>
    <w:rsid w:val="00602683"/>
    <w:rsid w:val="006027EC"/>
    <w:rsid w:val="00602A00"/>
    <w:rsid w:val="00602F37"/>
    <w:rsid w:val="00603B5E"/>
    <w:rsid w:val="00604370"/>
    <w:rsid w:val="00605381"/>
    <w:rsid w:val="00605442"/>
    <w:rsid w:val="00605629"/>
    <w:rsid w:val="00605781"/>
    <w:rsid w:val="006069A7"/>
    <w:rsid w:val="00606DEE"/>
    <w:rsid w:val="00606F61"/>
    <w:rsid w:val="00606F73"/>
    <w:rsid w:val="0060762A"/>
    <w:rsid w:val="00607D74"/>
    <w:rsid w:val="00610541"/>
    <w:rsid w:val="006106DE"/>
    <w:rsid w:val="00610FC5"/>
    <w:rsid w:val="00610FF8"/>
    <w:rsid w:val="006112CD"/>
    <w:rsid w:val="006115E5"/>
    <w:rsid w:val="00611715"/>
    <w:rsid w:val="00611B5A"/>
    <w:rsid w:val="00611BED"/>
    <w:rsid w:val="006122D8"/>
    <w:rsid w:val="00612A8D"/>
    <w:rsid w:val="00613DCC"/>
    <w:rsid w:val="0061438C"/>
    <w:rsid w:val="006147C7"/>
    <w:rsid w:val="00614B28"/>
    <w:rsid w:val="00615751"/>
    <w:rsid w:val="00616549"/>
    <w:rsid w:val="00616709"/>
    <w:rsid w:val="00616939"/>
    <w:rsid w:val="00616B09"/>
    <w:rsid w:val="0061715A"/>
    <w:rsid w:val="006174DD"/>
    <w:rsid w:val="00617797"/>
    <w:rsid w:val="006177FD"/>
    <w:rsid w:val="00617D78"/>
    <w:rsid w:val="00620009"/>
    <w:rsid w:val="006203CC"/>
    <w:rsid w:val="00620D4F"/>
    <w:rsid w:val="0062109B"/>
    <w:rsid w:val="006213E6"/>
    <w:rsid w:val="006218D1"/>
    <w:rsid w:val="00621A8E"/>
    <w:rsid w:val="0062219A"/>
    <w:rsid w:val="006221CD"/>
    <w:rsid w:val="006223F6"/>
    <w:rsid w:val="006229B8"/>
    <w:rsid w:val="00623347"/>
    <w:rsid w:val="00623357"/>
    <w:rsid w:val="006233EF"/>
    <w:rsid w:val="00623666"/>
    <w:rsid w:val="006236B5"/>
    <w:rsid w:val="006236CE"/>
    <w:rsid w:val="0062442A"/>
    <w:rsid w:val="006249AB"/>
    <w:rsid w:val="00624F7B"/>
    <w:rsid w:val="00624FD4"/>
    <w:rsid w:val="00625107"/>
    <w:rsid w:val="00625154"/>
    <w:rsid w:val="006254BE"/>
    <w:rsid w:val="006255C1"/>
    <w:rsid w:val="006255F0"/>
    <w:rsid w:val="0062604C"/>
    <w:rsid w:val="006261C9"/>
    <w:rsid w:val="006265DB"/>
    <w:rsid w:val="00627778"/>
    <w:rsid w:val="00627A11"/>
    <w:rsid w:val="00627C9A"/>
    <w:rsid w:val="00627E47"/>
    <w:rsid w:val="00627E4A"/>
    <w:rsid w:val="0063013E"/>
    <w:rsid w:val="00630ACA"/>
    <w:rsid w:val="00630CBE"/>
    <w:rsid w:val="00631132"/>
    <w:rsid w:val="00631264"/>
    <w:rsid w:val="00631A47"/>
    <w:rsid w:val="00631BD1"/>
    <w:rsid w:val="0063227D"/>
    <w:rsid w:val="006326E1"/>
    <w:rsid w:val="006327CB"/>
    <w:rsid w:val="0063297D"/>
    <w:rsid w:val="00632A2C"/>
    <w:rsid w:val="00632D2E"/>
    <w:rsid w:val="00633E5B"/>
    <w:rsid w:val="00633E74"/>
    <w:rsid w:val="00633FCC"/>
    <w:rsid w:val="006344AF"/>
    <w:rsid w:val="006344D3"/>
    <w:rsid w:val="00634715"/>
    <w:rsid w:val="00634936"/>
    <w:rsid w:val="0063493C"/>
    <w:rsid w:val="006349CA"/>
    <w:rsid w:val="00634EA4"/>
    <w:rsid w:val="00635062"/>
    <w:rsid w:val="0063511A"/>
    <w:rsid w:val="00635A0A"/>
    <w:rsid w:val="00635C31"/>
    <w:rsid w:val="00636183"/>
    <w:rsid w:val="006366BA"/>
    <w:rsid w:val="00637288"/>
    <w:rsid w:val="0064038A"/>
    <w:rsid w:val="00640D53"/>
    <w:rsid w:val="0064111D"/>
    <w:rsid w:val="00641126"/>
    <w:rsid w:val="00641532"/>
    <w:rsid w:val="00641975"/>
    <w:rsid w:val="00641A00"/>
    <w:rsid w:val="00642781"/>
    <w:rsid w:val="006427AF"/>
    <w:rsid w:val="00642E59"/>
    <w:rsid w:val="006432C9"/>
    <w:rsid w:val="00643740"/>
    <w:rsid w:val="00643856"/>
    <w:rsid w:val="00644840"/>
    <w:rsid w:val="00644EC8"/>
    <w:rsid w:val="00644F29"/>
    <w:rsid w:val="0064506B"/>
    <w:rsid w:val="00645175"/>
    <w:rsid w:val="0064566C"/>
    <w:rsid w:val="006457A7"/>
    <w:rsid w:val="006459C7"/>
    <w:rsid w:val="0064701E"/>
    <w:rsid w:val="0064713A"/>
    <w:rsid w:val="00647C80"/>
    <w:rsid w:val="0065057B"/>
    <w:rsid w:val="006515FF"/>
    <w:rsid w:val="00651889"/>
    <w:rsid w:val="00651909"/>
    <w:rsid w:val="00651B6F"/>
    <w:rsid w:val="00651CC5"/>
    <w:rsid w:val="0065210C"/>
    <w:rsid w:val="006523DA"/>
    <w:rsid w:val="006525FB"/>
    <w:rsid w:val="00652973"/>
    <w:rsid w:val="00652C5A"/>
    <w:rsid w:val="00652FC3"/>
    <w:rsid w:val="006531D0"/>
    <w:rsid w:val="006531DF"/>
    <w:rsid w:val="00653698"/>
    <w:rsid w:val="00653885"/>
    <w:rsid w:val="00653BC4"/>
    <w:rsid w:val="0065464E"/>
    <w:rsid w:val="00654964"/>
    <w:rsid w:val="006549A5"/>
    <w:rsid w:val="00654A23"/>
    <w:rsid w:val="00655068"/>
    <w:rsid w:val="006551B6"/>
    <w:rsid w:val="006565D0"/>
    <w:rsid w:val="006566FD"/>
    <w:rsid w:val="006569CA"/>
    <w:rsid w:val="00656F49"/>
    <w:rsid w:val="0065736E"/>
    <w:rsid w:val="00657796"/>
    <w:rsid w:val="00657855"/>
    <w:rsid w:val="006579D5"/>
    <w:rsid w:val="00657B12"/>
    <w:rsid w:val="00657CD0"/>
    <w:rsid w:val="00657E4F"/>
    <w:rsid w:val="00657F1A"/>
    <w:rsid w:val="0066058D"/>
    <w:rsid w:val="006607F7"/>
    <w:rsid w:val="006608FE"/>
    <w:rsid w:val="00660939"/>
    <w:rsid w:val="00660F80"/>
    <w:rsid w:val="006618FE"/>
    <w:rsid w:val="00661FC8"/>
    <w:rsid w:val="0066209B"/>
    <w:rsid w:val="006623D6"/>
    <w:rsid w:val="0066273E"/>
    <w:rsid w:val="00662E8A"/>
    <w:rsid w:val="00662F93"/>
    <w:rsid w:val="00663217"/>
    <w:rsid w:val="0066346C"/>
    <w:rsid w:val="00663847"/>
    <w:rsid w:val="00663858"/>
    <w:rsid w:val="00663C02"/>
    <w:rsid w:val="00663EA0"/>
    <w:rsid w:val="00664AC3"/>
    <w:rsid w:val="00664B29"/>
    <w:rsid w:val="00664E59"/>
    <w:rsid w:val="00665FCE"/>
    <w:rsid w:val="00666FE1"/>
    <w:rsid w:val="00667585"/>
    <w:rsid w:val="00667FEA"/>
    <w:rsid w:val="00670730"/>
    <w:rsid w:val="00670763"/>
    <w:rsid w:val="006707EF"/>
    <w:rsid w:val="00670D57"/>
    <w:rsid w:val="00670E24"/>
    <w:rsid w:val="00670F5B"/>
    <w:rsid w:val="00671C48"/>
    <w:rsid w:val="00671C67"/>
    <w:rsid w:val="00671E2F"/>
    <w:rsid w:val="00672535"/>
    <w:rsid w:val="00673B0B"/>
    <w:rsid w:val="0067403C"/>
    <w:rsid w:val="006742F8"/>
    <w:rsid w:val="006749D8"/>
    <w:rsid w:val="00674A4C"/>
    <w:rsid w:val="00674E11"/>
    <w:rsid w:val="006752AA"/>
    <w:rsid w:val="00675579"/>
    <w:rsid w:val="006757C1"/>
    <w:rsid w:val="00675F9F"/>
    <w:rsid w:val="00676425"/>
    <w:rsid w:val="0067678D"/>
    <w:rsid w:val="00676AB9"/>
    <w:rsid w:val="00676E5D"/>
    <w:rsid w:val="00677870"/>
    <w:rsid w:val="00677F29"/>
    <w:rsid w:val="00680972"/>
    <w:rsid w:val="00680CC2"/>
    <w:rsid w:val="0068133D"/>
    <w:rsid w:val="00681E8D"/>
    <w:rsid w:val="00682228"/>
    <w:rsid w:val="00682692"/>
    <w:rsid w:val="00682B30"/>
    <w:rsid w:val="00682BF6"/>
    <w:rsid w:val="00684136"/>
    <w:rsid w:val="00684688"/>
    <w:rsid w:val="0068488B"/>
    <w:rsid w:val="00684EA1"/>
    <w:rsid w:val="00684F49"/>
    <w:rsid w:val="00685158"/>
    <w:rsid w:val="00685160"/>
    <w:rsid w:val="0068624C"/>
    <w:rsid w:val="006863DA"/>
    <w:rsid w:val="00686CA2"/>
    <w:rsid w:val="00686FA8"/>
    <w:rsid w:val="006878FE"/>
    <w:rsid w:val="00687E3B"/>
    <w:rsid w:val="0069022E"/>
    <w:rsid w:val="006903DF"/>
    <w:rsid w:val="00690551"/>
    <w:rsid w:val="0069099B"/>
    <w:rsid w:val="0069154F"/>
    <w:rsid w:val="00691841"/>
    <w:rsid w:val="006919BF"/>
    <w:rsid w:val="00691A27"/>
    <w:rsid w:val="00692486"/>
    <w:rsid w:val="0069260C"/>
    <w:rsid w:val="00692A61"/>
    <w:rsid w:val="00692CD9"/>
    <w:rsid w:val="006932FF"/>
    <w:rsid w:val="00693B81"/>
    <w:rsid w:val="0069416F"/>
    <w:rsid w:val="00694BA6"/>
    <w:rsid w:val="00695861"/>
    <w:rsid w:val="00695C2F"/>
    <w:rsid w:val="00695FB5"/>
    <w:rsid w:val="0069605C"/>
    <w:rsid w:val="006974C6"/>
    <w:rsid w:val="006A016E"/>
    <w:rsid w:val="006A0CCC"/>
    <w:rsid w:val="006A0F57"/>
    <w:rsid w:val="006A1533"/>
    <w:rsid w:val="006A162B"/>
    <w:rsid w:val="006A1DD4"/>
    <w:rsid w:val="006A25FA"/>
    <w:rsid w:val="006A3823"/>
    <w:rsid w:val="006A3FBB"/>
    <w:rsid w:val="006A4661"/>
    <w:rsid w:val="006A4B9F"/>
    <w:rsid w:val="006A4CE5"/>
    <w:rsid w:val="006A5D57"/>
    <w:rsid w:val="006A5F04"/>
    <w:rsid w:val="006A65E9"/>
    <w:rsid w:val="006A667F"/>
    <w:rsid w:val="006A672A"/>
    <w:rsid w:val="006A70B5"/>
    <w:rsid w:val="006B04D1"/>
    <w:rsid w:val="006B0EC8"/>
    <w:rsid w:val="006B0F9A"/>
    <w:rsid w:val="006B1065"/>
    <w:rsid w:val="006B136D"/>
    <w:rsid w:val="006B20C7"/>
    <w:rsid w:val="006B22EA"/>
    <w:rsid w:val="006B2361"/>
    <w:rsid w:val="006B24A7"/>
    <w:rsid w:val="006B2509"/>
    <w:rsid w:val="006B2C13"/>
    <w:rsid w:val="006B2CFF"/>
    <w:rsid w:val="006B38A7"/>
    <w:rsid w:val="006B3B7E"/>
    <w:rsid w:val="006B3D06"/>
    <w:rsid w:val="006B3DAE"/>
    <w:rsid w:val="006B3EA0"/>
    <w:rsid w:val="006B4371"/>
    <w:rsid w:val="006B4404"/>
    <w:rsid w:val="006B4ACD"/>
    <w:rsid w:val="006B4C4B"/>
    <w:rsid w:val="006B56C8"/>
    <w:rsid w:val="006B5B17"/>
    <w:rsid w:val="006B6355"/>
    <w:rsid w:val="006B6726"/>
    <w:rsid w:val="006B67E5"/>
    <w:rsid w:val="006B6969"/>
    <w:rsid w:val="006B6DE3"/>
    <w:rsid w:val="006B7B42"/>
    <w:rsid w:val="006B7F56"/>
    <w:rsid w:val="006C049A"/>
    <w:rsid w:val="006C06AD"/>
    <w:rsid w:val="006C1140"/>
    <w:rsid w:val="006C1595"/>
    <w:rsid w:val="006C16D5"/>
    <w:rsid w:val="006C2A66"/>
    <w:rsid w:val="006C2B34"/>
    <w:rsid w:val="006C2E43"/>
    <w:rsid w:val="006C361B"/>
    <w:rsid w:val="006C36CD"/>
    <w:rsid w:val="006C383C"/>
    <w:rsid w:val="006C402B"/>
    <w:rsid w:val="006C43EA"/>
    <w:rsid w:val="006C4F5A"/>
    <w:rsid w:val="006C5064"/>
    <w:rsid w:val="006C5257"/>
    <w:rsid w:val="006C55B8"/>
    <w:rsid w:val="006C5648"/>
    <w:rsid w:val="006C569B"/>
    <w:rsid w:val="006C5F8E"/>
    <w:rsid w:val="006C7340"/>
    <w:rsid w:val="006C78F9"/>
    <w:rsid w:val="006D07B4"/>
    <w:rsid w:val="006D09A1"/>
    <w:rsid w:val="006D15C0"/>
    <w:rsid w:val="006D1687"/>
    <w:rsid w:val="006D217D"/>
    <w:rsid w:val="006D2193"/>
    <w:rsid w:val="006D2464"/>
    <w:rsid w:val="006D2B80"/>
    <w:rsid w:val="006D3247"/>
    <w:rsid w:val="006D3249"/>
    <w:rsid w:val="006D3413"/>
    <w:rsid w:val="006D3589"/>
    <w:rsid w:val="006D3686"/>
    <w:rsid w:val="006D43EB"/>
    <w:rsid w:val="006D44C6"/>
    <w:rsid w:val="006D45C9"/>
    <w:rsid w:val="006D46CC"/>
    <w:rsid w:val="006D50E6"/>
    <w:rsid w:val="006D59D5"/>
    <w:rsid w:val="006D5DA9"/>
    <w:rsid w:val="006D5E45"/>
    <w:rsid w:val="006D65A5"/>
    <w:rsid w:val="006D6940"/>
    <w:rsid w:val="006D78E8"/>
    <w:rsid w:val="006D7A3D"/>
    <w:rsid w:val="006E01B9"/>
    <w:rsid w:val="006E0362"/>
    <w:rsid w:val="006E0663"/>
    <w:rsid w:val="006E07E2"/>
    <w:rsid w:val="006E0FFE"/>
    <w:rsid w:val="006E1C3B"/>
    <w:rsid w:val="006E2126"/>
    <w:rsid w:val="006E2B5D"/>
    <w:rsid w:val="006E4846"/>
    <w:rsid w:val="006E4BA0"/>
    <w:rsid w:val="006E4F78"/>
    <w:rsid w:val="006E517F"/>
    <w:rsid w:val="006E5299"/>
    <w:rsid w:val="006E563C"/>
    <w:rsid w:val="006E5843"/>
    <w:rsid w:val="006E5986"/>
    <w:rsid w:val="006E5B3A"/>
    <w:rsid w:val="006E5DBB"/>
    <w:rsid w:val="006E64FC"/>
    <w:rsid w:val="006E6A9D"/>
    <w:rsid w:val="006E6FF5"/>
    <w:rsid w:val="006E70C1"/>
    <w:rsid w:val="006E7613"/>
    <w:rsid w:val="006F0726"/>
    <w:rsid w:val="006F0BD8"/>
    <w:rsid w:val="006F0EB0"/>
    <w:rsid w:val="006F1940"/>
    <w:rsid w:val="006F1C48"/>
    <w:rsid w:val="006F24E3"/>
    <w:rsid w:val="006F30FA"/>
    <w:rsid w:val="006F352D"/>
    <w:rsid w:val="006F35C1"/>
    <w:rsid w:val="006F3621"/>
    <w:rsid w:val="006F38AB"/>
    <w:rsid w:val="006F3CBA"/>
    <w:rsid w:val="006F3DAE"/>
    <w:rsid w:val="006F4142"/>
    <w:rsid w:val="006F454A"/>
    <w:rsid w:val="006F517C"/>
    <w:rsid w:val="006F5256"/>
    <w:rsid w:val="006F54B4"/>
    <w:rsid w:val="006F5EA8"/>
    <w:rsid w:val="006F5F55"/>
    <w:rsid w:val="006F613E"/>
    <w:rsid w:val="006F6A3A"/>
    <w:rsid w:val="006F6AD4"/>
    <w:rsid w:val="006F6BFF"/>
    <w:rsid w:val="006F7178"/>
    <w:rsid w:val="006F760D"/>
    <w:rsid w:val="006F7C59"/>
    <w:rsid w:val="006F7CC6"/>
    <w:rsid w:val="006F7D2C"/>
    <w:rsid w:val="006F7FCA"/>
    <w:rsid w:val="0070022A"/>
    <w:rsid w:val="007005B3"/>
    <w:rsid w:val="00700AE9"/>
    <w:rsid w:val="00700E6B"/>
    <w:rsid w:val="00700E78"/>
    <w:rsid w:val="007014D5"/>
    <w:rsid w:val="0070161E"/>
    <w:rsid w:val="0070175F"/>
    <w:rsid w:val="00702058"/>
    <w:rsid w:val="00702374"/>
    <w:rsid w:val="0070285F"/>
    <w:rsid w:val="0070346D"/>
    <w:rsid w:val="007035CD"/>
    <w:rsid w:val="007038E8"/>
    <w:rsid w:val="00703CC4"/>
    <w:rsid w:val="00703ECE"/>
    <w:rsid w:val="00704308"/>
    <w:rsid w:val="00704954"/>
    <w:rsid w:val="00704A71"/>
    <w:rsid w:val="00704F44"/>
    <w:rsid w:val="007050C7"/>
    <w:rsid w:val="007051A7"/>
    <w:rsid w:val="0070536D"/>
    <w:rsid w:val="007054BE"/>
    <w:rsid w:val="007055AD"/>
    <w:rsid w:val="007060F5"/>
    <w:rsid w:val="00706311"/>
    <w:rsid w:val="00706447"/>
    <w:rsid w:val="00706F62"/>
    <w:rsid w:val="0070705B"/>
    <w:rsid w:val="0070757E"/>
    <w:rsid w:val="007078BD"/>
    <w:rsid w:val="00707B06"/>
    <w:rsid w:val="00707FCD"/>
    <w:rsid w:val="00710116"/>
    <w:rsid w:val="0071022A"/>
    <w:rsid w:val="00710360"/>
    <w:rsid w:val="0071055A"/>
    <w:rsid w:val="00710991"/>
    <w:rsid w:val="00711079"/>
    <w:rsid w:val="007115A5"/>
    <w:rsid w:val="00711708"/>
    <w:rsid w:val="00712204"/>
    <w:rsid w:val="007124B7"/>
    <w:rsid w:val="007127E3"/>
    <w:rsid w:val="007129AF"/>
    <w:rsid w:val="00712A26"/>
    <w:rsid w:val="00712F69"/>
    <w:rsid w:val="0071354C"/>
    <w:rsid w:val="00713626"/>
    <w:rsid w:val="0071388E"/>
    <w:rsid w:val="00713F62"/>
    <w:rsid w:val="00714491"/>
    <w:rsid w:val="0071449F"/>
    <w:rsid w:val="007144A9"/>
    <w:rsid w:val="00714602"/>
    <w:rsid w:val="00714958"/>
    <w:rsid w:val="00714CDE"/>
    <w:rsid w:val="00714F2D"/>
    <w:rsid w:val="00715E08"/>
    <w:rsid w:val="00716393"/>
    <w:rsid w:val="00716A8F"/>
    <w:rsid w:val="007171D1"/>
    <w:rsid w:val="00717831"/>
    <w:rsid w:val="00720539"/>
    <w:rsid w:val="00720CC3"/>
    <w:rsid w:val="007212C1"/>
    <w:rsid w:val="007214FD"/>
    <w:rsid w:val="007215EB"/>
    <w:rsid w:val="00721751"/>
    <w:rsid w:val="007218AD"/>
    <w:rsid w:val="00722AA7"/>
    <w:rsid w:val="00722F78"/>
    <w:rsid w:val="00723B45"/>
    <w:rsid w:val="00724419"/>
    <w:rsid w:val="00724422"/>
    <w:rsid w:val="007253C2"/>
    <w:rsid w:val="00725908"/>
    <w:rsid w:val="00725F96"/>
    <w:rsid w:val="00726007"/>
    <w:rsid w:val="007261F7"/>
    <w:rsid w:val="00726865"/>
    <w:rsid w:val="007274D6"/>
    <w:rsid w:val="007277A6"/>
    <w:rsid w:val="00727C0F"/>
    <w:rsid w:val="00727D47"/>
    <w:rsid w:val="0073138E"/>
    <w:rsid w:val="00731663"/>
    <w:rsid w:val="00731B8E"/>
    <w:rsid w:val="00731F2B"/>
    <w:rsid w:val="0073227E"/>
    <w:rsid w:val="007324C0"/>
    <w:rsid w:val="00732851"/>
    <w:rsid w:val="00732B11"/>
    <w:rsid w:val="00732B8D"/>
    <w:rsid w:val="00733088"/>
    <w:rsid w:val="00733207"/>
    <w:rsid w:val="0073347A"/>
    <w:rsid w:val="0073351C"/>
    <w:rsid w:val="00733CF4"/>
    <w:rsid w:val="00733EE2"/>
    <w:rsid w:val="00734B54"/>
    <w:rsid w:val="007355DB"/>
    <w:rsid w:val="00735C81"/>
    <w:rsid w:val="00735E63"/>
    <w:rsid w:val="007365C2"/>
    <w:rsid w:val="00736698"/>
    <w:rsid w:val="00736AF4"/>
    <w:rsid w:val="00736F4E"/>
    <w:rsid w:val="007373DA"/>
    <w:rsid w:val="00737BF3"/>
    <w:rsid w:val="00737E1B"/>
    <w:rsid w:val="00740463"/>
    <w:rsid w:val="00740546"/>
    <w:rsid w:val="00740A10"/>
    <w:rsid w:val="00740C87"/>
    <w:rsid w:val="00740DCB"/>
    <w:rsid w:val="00741303"/>
    <w:rsid w:val="00741338"/>
    <w:rsid w:val="0074136B"/>
    <w:rsid w:val="007415A2"/>
    <w:rsid w:val="007419BB"/>
    <w:rsid w:val="00741C3A"/>
    <w:rsid w:val="00741F4F"/>
    <w:rsid w:val="007422FF"/>
    <w:rsid w:val="0074249B"/>
    <w:rsid w:val="00742F11"/>
    <w:rsid w:val="007433AE"/>
    <w:rsid w:val="0074345D"/>
    <w:rsid w:val="00743B60"/>
    <w:rsid w:val="007441BA"/>
    <w:rsid w:val="007445F0"/>
    <w:rsid w:val="00745160"/>
    <w:rsid w:val="0074541E"/>
    <w:rsid w:val="007455BE"/>
    <w:rsid w:val="00745AB8"/>
    <w:rsid w:val="00745C6A"/>
    <w:rsid w:val="00745CA5"/>
    <w:rsid w:val="00745E7D"/>
    <w:rsid w:val="007462CB"/>
    <w:rsid w:val="0074654F"/>
    <w:rsid w:val="00746566"/>
    <w:rsid w:val="007468E2"/>
    <w:rsid w:val="00746A7B"/>
    <w:rsid w:val="00746CB3"/>
    <w:rsid w:val="007470DE"/>
    <w:rsid w:val="00747110"/>
    <w:rsid w:val="0074713D"/>
    <w:rsid w:val="00750853"/>
    <w:rsid w:val="00750AF6"/>
    <w:rsid w:val="00750EFD"/>
    <w:rsid w:val="00751333"/>
    <w:rsid w:val="007513F9"/>
    <w:rsid w:val="00751417"/>
    <w:rsid w:val="00751704"/>
    <w:rsid w:val="007518EA"/>
    <w:rsid w:val="0075240F"/>
    <w:rsid w:val="007526D5"/>
    <w:rsid w:val="00753483"/>
    <w:rsid w:val="0075357E"/>
    <w:rsid w:val="0075403B"/>
    <w:rsid w:val="00754504"/>
    <w:rsid w:val="0075477D"/>
    <w:rsid w:val="00754947"/>
    <w:rsid w:val="00754D34"/>
    <w:rsid w:val="00755069"/>
    <w:rsid w:val="00755DB5"/>
    <w:rsid w:val="007563CB"/>
    <w:rsid w:val="007567D9"/>
    <w:rsid w:val="00756A7D"/>
    <w:rsid w:val="00757441"/>
    <w:rsid w:val="00757877"/>
    <w:rsid w:val="00757D5F"/>
    <w:rsid w:val="00757D85"/>
    <w:rsid w:val="0076041D"/>
    <w:rsid w:val="0076058E"/>
    <w:rsid w:val="007607FA"/>
    <w:rsid w:val="0076080E"/>
    <w:rsid w:val="0076095B"/>
    <w:rsid w:val="00760B9F"/>
    <w:rsid w:val="00760D75"/>
    <w:rsid w:val="00761CB0"/>
    <w:rsid w:val="00761D68"/>
    <w:rsid w:val="00761F0F"/>
    <w:rsid w:val="007625AC"/>
    <w:rsid w:val="0076265A"/>
    <w:rsid w:val="0076298C"/>
    <w:rsid w:val="007629C0"/>
    <w:rsid w:val="00762F4E"/>
    <w:rsid w:val="007633C9"/>
    <w:rsid w:val="007636D3"/>
    <w:rsid w:val="007637A1"/>
    <w:rsid w:val="007643DA"/>
    <w:rsid w:val="0076441B"/>
    <w:rsid w:val="00764865"/>
    <w:rsid w:val="007649C8"/>
    <w:rsid w:val="007659F6"/>
    <w:rsid w:val="00765A90"/>
    <w:rsid w:val="00766360"/>
    <w:rsid w:val="007668E5"/>
    <w:rsid w:val="00766CA2"/>
    <w:rsid w:val="00766E64"/>
    <w:rsid w:val="007670D5"/>
    <w:rsid w:val="007671BD"/>
    <w:rsid w:val="00767347"/>
    <w:rsid w:val="007673BB"/>
    <w:rsid w:val="00767B21"/>
    <w:rsid w:val="00770390"/>
    <w:rsid w:val="007704F8"/>
    <w:rsid w:val="007707B1"/>
    <w:rsid w:val="00770863"/>
    <w:rsid w:val="0077104F"/>
    <w:rsid w:val="007712F2"/>
    <w:rsid w:val="007714C7"/>
    <w:rsid w:val="007717D2"/>
    <w:rsid w:val="0077202A"/>
    <w:rsid w:val="00772342"/>
    <w:rsid w:val="00772659"/>
    <w:rsid w:val="00772B99"/>
    <w:rsid w:val="00772DCF"/>
    <w:rsid w:val="00772E61"/>
    <w:rsid w:val="0077303A"/>
    <w:rsid w:val="00773078"/>
    <w:rsid w:val="007730A1"/>
    <w:rsid w:val="00773790"/>
    <w:rsid w:val="00773B25"/>
    <w:rsid w:val="00773B2E"/>
    <w:rsid w:val="0077422D"/>
    <w:rsid w:val="0077470B"/>
    <w:rsid w:val="00775CA4"/>
    <w:rsid w:val="00775D04"/>
    <w:rsid w:val="007765DE"/>
    <w:rsid w:val="00776B9C"/>
    <w:rsid w:val="00776E62"/>
    <w:rsid w:val="007776C5"/>
    <w:rsid w:val="00777DC9"/>
    <w:rsid w:val="0078071B"/>
    <w:rsid w:val="007808B8"/>
    <w:rsid w:val="00780D5E"/>
    <w:rsid w:val="00780E91"/>
    <w:rsid w:val="00781085"/>
    <w:rsid w:val="00781162"/>
    <w:rsid w:val="0078119E"/>
    <w:rsid w:val="00782173"/>
    <w:rsid w:val="00782876"/>
    <w:rsid w:val="00782BE4"/>
    <w:rsid w:val="00783091"/>
    <w:rsid w:val="007830D5"/>
    <w:rsid w:val="007831ED"/>
    <w:rsid w:val="0078350D"/>
    <w:rsid w:val="00784811"/>
    <w:rsid w:val="007848E7"/>
    <w:rsid w:val="007853E0"/>
    <w:rsid w:val="007861E4"/>
    <w:rsid w:val="00786499"/>
    <w:rsid w:val="0078698A"/>
    <w:rsid w:val="007869A7"/>
    <w:rsid w:val="00786FC9"/>
    <w:rsid w:val="00787064"/>
    <w:rsid w:val="0078731B"/>
    <w:rsid w:val="00787463"/>
    <w:rsid w:val="00787B14"/>
    <w:rsid w:val="007902E9"/>
    <w:rsid w:val="0079050E"/>
    <w:rsid w:val="00790D57"/>
    <w:rsid w:val="00791028"/>
    <w:rsid w:val="007914EA"/>
    <w:rsid w:val="00791C1E"/>
    <w:rsid w:val="007924E1"/>
    <w:rsid w:val="00792597"/>
    <w:rsid w:val="0079302B"/>
    <w:rsid w:val="007930F3"/>
    <w:rsid w:val="00793190"/>
    <w:rsid w:val="0079324B"/>
    <w:rsid w:val="00793642"/>
    <w:rsid w:val="00793760"/>
    <w:rsid w:val="00793A9A"/>
    <w:rsid w:val="00793E84"/>
    <w:rsid w:val="007947C1"/>
    <w:rsid w:val="00794804"/>
    <w:rsid w:val="00794A0F"/>
    <w:rsid w:val="007950D5"/>
    <w:rsid w:val="0079579D"/>
    <w:rsid w:val="007957CD"/>
    <w:rsid w:val="00795E98"/>
    <w:rsid w:val="0079605F"/>
    <w:rsid w:val="00796652"/>
    <w:rsid w:val="0079705A"/>
    <w:rsid w:val="00797159"/>
    <w:rsid w:val="007971A2"/>
    <w:rsid w:val="00797332"/>
    <w:rsid w:val="0079762E"/>
    <w:rsid w:val="00797BA3"/>
    <w:rsid w:val="007A02AD"/>
    <w:rsid w:val="007A02F0"/>
    <w:rsid w:val="007A066E"/>
    <w:rsid w:val="007A0FC1"/>
    <w:rsid w:val="007A1049"/>
    <w:rsid w:val="007A1271"/>
    <w:rsid w:val="007A1372"/>
    <w:rsid w:val="007A149F"/>
    <w:rsid w:val="007A1E7A"/>
    <w:rsid w:val="007A1F90"/>
    <w:rsid w:val="007A2682"/>
    <w:rsid w:val="007A2BA8"/>
    <w:rsid w:val="007A2CB6"/>
    <w:rsid w:val="007A2E76"/>
    <w:rsid w:val="007A30B9"/>
    <w:rsid w:val="007A33E6"/>
    <w:rsid w:val="007A42C2"/>
    <w:rsid w:val="007A47AB"/>
    <w:rsid w:val="007A4E0C"/>
    <w:rsid w:val="007A624E"/>
    <w:rsid w:val="007A6918"/>
    <w:rsid w:val="007A6A1C"/>
    <w:rsid w:val="007A6D38"/>
    <w:rsid w:val="007A6F22"/>
    <w:rsid w:val="007A6F41"/>
    <w:rsid w:val="007A6FB4"/>
    <w:rsid w:val="007A7155"/>
    <w:rsid w:val="007A72B8"/>
    <w:rsid w:val="007A73A2"/>
    <w:rsid w:val="007A7C29"/>
    <w:rsid w:val="007B0226"/>
    <w:rsid w:val="007B03A3"/>
    <w:rsid w:val="007B0579"/>
    <w:rsid w:val="007B05A8"/>
    <w:rsid w:val="007B07EF"/>
    <w:rsid w:val="007B080E"/>
    <w:rsid w:val="007B1900"/>
    <w:rsid w:val="007B2103"/>
    <w:rsid w:val="007B229E"/>
    <w:rsid w:val="007B24F8"/>
    <w:rsid w:val="007B2533"/>
    <w:rsid w:val="007B2568"/>
    <w:rsid w:val="007B26A8"/>
    <w:rsid w:val="007B3354"/>
    <w:rsid w:val="007B358F"/>
    <w:rsid w:val="007B35DE"/>
    <w:rsid w:val="007B3745"/>
    <w:rsid w:val="007B3B16"/>
    <w:rsid w:val="007B3B98"/>
    <w:rsid w:val="007B3BA6"/>
    <w:rsid w:val="007B43E1"/>
    <w:rsid w:val="007B450A"/>
    <w:rsid w:val="007B4A27"/>
    <w:rsid w:val="007B4AC7"/>
    <w:rsid w:val="007B59C4"/>
    <w:rsid w:val="007B5F4B"/>
    <w:rsid w:val="007B6298"/>
    <w:rsid w:val="007B68FA"/>
    <w:rsid w:val="007B6D0C"/>
    <w:rsid w:val="007B6DF6"/>
    <w:rsid w:val="007B70A1"/>
    <w:rsid w:val="007B7663"/>
    <w:rsid w:val="007B7A3A"/>
    <w:rsid w:val="007B7EFF"/>
    <w:rsid w:val="007C0318"/>
    <w:rsid w:val="007C142F"/>
    <w:rsid w:val="007C1446"/>
    <w:rsid w:val="007C16C6"/>
    <w:rsid w:val="007C171D"/>
    <w:rsid w:val="007C1AF4"/>
    <w:rsid w:val="007C1B70"/>
    <w:rsid w:val="007C2064"/>
    <w:rsid w:val="007C20E5"/>
    <w:rsid w:val="007C2195"/>
    <w:rsid w:val="007C21AC"/>
    <w:rsid w:val="007C2653"/>
    <w:rsid w:val="007C30AD"/>
    <w:rsid w:val="007C34A6"/>
    <w:rsid w:val="007C36E7"/>
    <w:rsid w:val="007C3D73"/>
    <w:rsid w:val="007C52E8"/>
    <w:rsid w:val="007C5411"/>
    <w:rsid w:val="007C56B7"/>
    <w:rsid w:val="007C57DF"/>
    <w:rsid w:val="007C58F8"/>
    <w:rsid w:val="007C5B01"/>
    <w:rsid w:val="007C5F3D"/>
    <w:rsid w:val="007C5F9F"/>
    <w:rsid w:val="007C6F6D"/>
    <w:rsid w:val="007C7448"/>
    <w:rsid w:val="007C7B4D"/>
    <w:rsid w:val="007D01BB"/>
    <w:rsid w:val="007D0656"/>
    <w:rsid w:val="007D075A"/>
    <w:rsid w:val="007D105B"/>
    <w:rsid w:val="007D127B"/>
    <w:rsid w:val="007D1792"/>
    <w:rsid w:val="007D1896"/>
    <w:rsid w:val="007D1AD2"/>
    <w:rsid w:val="007D1D24"/>
    <w:rsid w:val="007D2BFB"/>
    <w:rsid w:val="007D2C44"/>
    <w:rsid w:val="007D2CD7"/>
    <w:rsid w:val="007D356C"/>
    <w:rsid w:val="007D3579"/>
    <w:rsid w:val="007D3B60"/>
    <w:rsid w:val="007D3D0B"/>
    <w:rsid w:val="007D439E"/>
    <w:rsid w:val="007D47BC"/>
    <w:rsid w:val="007D4E49"/>
    <w:rsid w:val="007D572F"/>
    <w:rsid w:val="007D5BF9"/>
    <w:rsid w:val="007D5D01"/>
    <w:rsid w:val="007D69C7"/>
    <w:rsid w:val="007D6AC9"/>
    <w:rsid w:val="007D6BE7"/>
    <w:rsid w:val="007D7142"/>
    <w:rsid w:val="007D7210"/>
    <w:rsid w:val="007D764B"/>
    <w:rsid w:val="007D7DD0"/>
    <w:rsid w:val="007E03FE"/>
    <w:rsid w:val="007E0A35"/>
    <w:rsid w:val="007E0EA0"/>
    <w:rsid w:val="007E18DC"/>
    <w:rsid w:val="007E28D3"/>
    <w:rsid w:val="007E2F92"/>
    <w:rsid w:val="007E3157"/>
    <w:rsid w:val="007E3B31"/>
    <w:rsid w:val="007E3C69"/>
    <w:rsid w:val="007E4016"/>
    <w:rsid w:val="007E4241"/>
    <w:rsid w:val="007E42BD"/>
    <w:rsid w:val="007E44C1"/>
    <w:rsid w:val="007E4DA1"/>
    <w:rsid w:val="007E4E79"/>
    <w:rsid w:val="007E4EC5"/>
    <w:rsid w:val="007E51A8"/>
    <w:rsid w:val="007E5BB1"/>
    <w:rsid w:val="007E5BC2"/>
    <w:rsid w:val="007E5EB3"/>
    <w:rsid w:val="007E69B6"/>
    <w:rsid w:val="007E6A02"/>
    <w:rsid w:val="007E6D95"/>
    <w:rsid w:val="007E7111"/>
    <w:rsid w:val="007E7524"/>
    <w:rsid w:val="007E7A3E"/>
    <w:rsid w:val="007E7A7C"/>
    <w:rsid w:val="007F02E3"/>
    <w:rsid w:val="007F09D4"/>
    <w:rsid w:val="007F0EF2"/>
    <w:rsid w:val="007F189B"/>
    <w:rsid w:val="007F1C70"/>
    <w:rsid w:val="007F1F60"/>
    <w:rsid w:val="007F2245"/>
    <w:rsid w:val="007F2C9C"/>
    <w:rsid w:val="007F3373"/>
    <w:rsid w:val="007F3B9F"/>
    <w:rsid w:val="007F4269"/>
    <w:rsid w:val="007F42F4"/>
    <w:rsid w:val="007F434C"/>
    <w:rsid w:val="007F450B"/>
    <w:rsid w:val="007F487A"/>
    <w:rsid w:val="007F4B08"/>
    <w:rsid w:val="007F4B6A"/>
    <w:rsid w:val="007F517D"/>
    <w:rsid w:val="007F5E4B"/>
    <w:rsid w:val="007F5F30"/>
    <w:rsid w:val="007F61C5"/>
    <w:rsid w:val="007F6663"/>
    <w:rsid w:val="007F6711"/>
    <w:rsid w:val="007F6B3E"/>
    <w:rsid w:val="007F7010"/>
    <w:rsid w:val="007F7977"/>
    <w:rsid w:val="007F7B1C"/>
    <w:rsid w:val="008001D3"/>
    <w:rsid w:val="00800222"/>
    <w:rsid w:val="00800587"/>
    <w:rsid w:val="00800DBA"/>
    <w:rsid w:val="00800DE2"/>
    <w:rsid w:val="0080139C"/>
    <w:rsid w:val="008016AE"/>
    <w:rsid w:val="00801835"/>
    <w:rsid w:val="00801A0D"/>
    <w:rsid w:val="00801DC2"/>
    <w:rsid w:val="008022E9"/>
    <w:rsid w:val="008023EF"/>
    <w:rsid w:val="0080267C"/>
    <w:rsid w:val="00802D99"/>
    <w:rsid w:val="00803496"/>
    <w:rsid w:val="0080418C"/>
    <w:rsid w:val="00804356"/>
    <w:rsid w:val="00804CCE"/>
    <w:rsid w:val="0080532C"/>
    <w:rsid w:val="008058AC"/>
    <w:rsid w:val="008058F5"/>
    <w:rsid w:val="00805DD9"/>
    <w:rsid w:val="008061FB"/>
    <w:rsid w:val="008062BC"/>
    <w:rsid w:val="008062EA"/>
    <w:rsid w:val="0080630F"/>
    <w:rsid w:val="00806428"/>
    <w:rsid w:val="008064C4"/>
    <w:rsid w:val="00806860"/>
    <w:rsid w:val="00806D72"/>
    <w:rsid w:val="00806E78"/>
    <w:rsid w:val="008074F6"/>
    <w:rsid w:val="0080775F"/>
    <w:rsid w:val="00807C32"/>
    <w:rsid w:val="00807DDB"/>
    <w:rsid w:val="00807FE0"/>
    <w:rsid w:val="0081000C"/>
    <w:rsid w:val="00810D9A"/>
    <w:rsid w:val="00810DEA"/>
    <w:rsid w:val="00810E6E"/>
    <w:rsid w:val="008111A2"/>
    <w:rsid w:val="00812662"/>
    <w:rsid w:val="0081296D"/>
    <w:rsid w:val="00812E1C"/>
    <w:rsid w:val="00812EB1"/>
    <w:rsid w:val="008133F9"/>
    <w:rsid w:val="00813C0C"/>
    <w:rsid w:val="00813E0A"/>
    <w:rsid w:val="00813E5B"/>
    <w:rsid w:val="00814D85"/>
    <w:rsid w:val="00814DFE"/>
    <w:rsid w:val="00815352"/>
    <w:rsid w:val="008153DC"/>
    <w:rsid w:val="00815769"/>
    <w:rsid w:val="0081595E"/>
    <w:rsid w:val="00815AD0"/>
    <w:rsid w:val="00815D84"/>
    <w:rsid w:val="008163AF"/>
    <w:rsid w:val="008163BE"/>
    <w:rsid w:val="00816C8E"/>
    <w:rsid w:val="008175F2"/>
    <w:rsid w:val="008176A7"/>
    <w:rsid w:val="0081794E"/>
    <w:rsid w:val="00817963"/>
    <w:rsid w:val="0081799C"/>
    <w:rsid w:val="00817CB9"/>
    <w:rsid w:val="00817D09"/>
    <w:rsid w:val="00817DD5"/>
    <w:rsid w:val="00820CAE"/>
    <w:rsid w:val="0082168B"/>
    <w:rsid w:val="00822321"/>
    <w:rsid w:val="00822B13"/>
    <w:rsid w:val="00822F86"/>
    <w:rsid w:val="008230F9"/>
    <w:rsid w:val="008231A5"/>
    <w:rsid w:val="00823261"/>
    <w:rsid w:val="00823AE1"/>
    <w:rsid w:val="00824434"/>
    <w:rsid w:val="00824493"/>
    <w:rsid w:val="008244ED"/>
    <w:rsid w:val="00824BEC"/>
    <w:rsid w:val="00824E2F"/>
    <w:rsid w:val="008250C0"/>
    <w:rsid w:val="008251A4"/>
    <w:rsid w:val="0082558F"/>
    <w:rsid w:val="008262C9"/>
    <w:rsid w:val="00826BAE"/>
    <w:rsid w:val="008271B6"/>
    <w:rsid w:val="00827322"/>
    <w:rsid w:val="0082743A"/>
    <w:rsid w:val="00827749"/>
    <w:rsid w:val="0082786E"/>
    <w:rsid w:val="008279E2"/>
    <w:rsid w:val="00827C72"/>
    <w:rsid w:val="00827CD2"/>
    <w:rsid w:val="008302DF"/>
    <w:rsid w:val="008304D6"/>
    <w:rsid w:val="00830D30"/>
    <w:rsid w:val="00831623"/>
    <w:rsid w:val="00831B54"/>
    <w:rsid w:val="00831BB7"/>
    <w:rsid w:val="00831C29"/>
    <w:rsid w:val="00831CD5"/>
    <w:rsid w:val="00831D79"/>
    <w:rsid w:val="00831DCC"/>
    <w:rsid w:val="00831DE0"/>
    <w:rsid w:val="00832087"/>
    <w:rsid w:val="008322A0"/>
    <w:rsid w:val="00832334"/>
    <w:rsid w:val="00832987"/>
    <w:rsid w:val="00832A79"/>
    <w:rsid w:val="00832AC8"/>
    <w:rsid w:val="00833C02"/>
    <w:rsid w:val="00833C53"/>
    <w:rsid w:val="00833EC5"/>
    <w:rsid w:val="00834005"/>
    <w:rsid w:val="0083496F"/>
    <w:rsid w:val="00835033"/>
    <w:rsid w:val="008353F4"/>
    <w:rsid w:val="008355DF"/>
    <w:rsid w:val="00835AE7"/>
    <w:rsid w:val="00835B7C"/>
    <w:rsid w:val="00835D9F"/>
    <w:rsid w:val="0083615B"/>
    <w:rsid w:val="00836300"/>
    <w:rsid w:val="00836E0F"/>
    <w:rsid w:val="00836E72"/>
    <w:rsid w:val="00837467"/>
    <w:rsid w:val="00837604"/>
    <w:rsid w:val="00837682"/>
    <w:rsid w:val="00837846"/>
    <w:rsid w:val="00837929"/>
    <w:rsid w:val="00840095"/>
    <w:rsid w:val="008402F6"/>
    <w:rsid w:val="00840D40"/>
    <w:rsid w:val="00841AA1"/>
    <w:rsid w:val="00841B36"/>
    <w:rsid w:val="00841C72"/>
    <w:rsid w:val="00841F2F"/>
    <w:rsid w:val="008420FA"/>
    <w:rsid w:val="00842455"/>
    <w:rsid w:val="0084251D"/>
    <w:rsid w:val="0084261A"/>
    <w:rsid w:val="008427AE"/>
    <w:rsid w:val="00842C42"/>
    <w:rsid w:val="00843B9D"/>
    <w:rsid w:val="00843BF7"/>
    <w:rsid w:val="00844220"/>
    <w:rsid w:val="0084467B"/>
    <w:rsid w:val="008447BF"/>
    <w:rsid w:val="00844BA1"/>
    <w:rsid w:val="00844EF4"/>
    <w:rsid w:val="00845577"/>
    <w:rsid w:val="008455D8"/>
    <w:rsid w:val="00845EB6"/>
    <w:rsid w:val="00846228"/>
    <w:rsid w:val="008466FD"/>
    <w:rsid w:val="008470F4"/>
    <w:rsid w:val="0084781A"/>
    <w:rsid w:val="00847B23"/>
    <w:rsid w:val="00847D11"/>
    <w:rsid w:val="00850039"/>
    <w:rsid w:val="00850170"/>
    <w:rsid w:val="0085094E"/>
    <w:rsid w:val="00850AE5"/>
    <w:rsid w:val="0085124E"/>
    <w:rsid w:val="00851914"/>
    <w:rsid w:val="00852229"/>
    <w:rsid w:val="0085245A"/>
    <w:rsid w:val="00852C31"/>
    <w:rsid w:val="00852D08"/>
    <w:rsid w:val="00852E43"/>
    <w:rsid w:val="00852E93"/>
    <w:rsid w:val="00852EA4"/>
    <w:rsid w:val="00852F54"/>
    <w:rsid w:val="00853058"/>
    <w:rsid w:val="00853536"/>
    <w:rsid w:val="0085385A"/>
    <w:rsid w:val="008545AD"/>
    <w:rsid w:val="008545E4"/>
    <w:rsid w:val="008546C1"/>
    <w:rsid w:val="00854CDA"/>
    <w:rsid w:val="00855305"/>
    <w:rsid w:val="008557B6"/>
    <w:rsid w:val="008557E5"/>
    <w:rsid w:val="008557EE"/>
    <w:rsid w:val="00855AC6"/>
    <w:rsid w:val="0085607D"/>
    <w:rsid w:val="008560CA"/>
    <w:rsid w:val="00856EAA"/>
    <w:rsid w:val="00857019"/>
    <w:rsid w:val="0085719C"/>
    <w:rsid w:val="00857E86"/>
    <w:rsid w:val="00860141"/>
    <w:rsid w:val="0086030D"/>
    <w:rsid w:val="008603DE"/>
    <w:rsid w:val="008606AF"/>
    <w:rsid w:val="0086085C"/>
    <w:rsid w:val="00860BB4"/>
    <w:rsid w:val="00861285"/>
    <w:rsid w:val="00861403"/>
    <w:rsid w:val="008616A5"/>
    <w:rsid w:val="008622CF"/>
    <w:rsid w:val="008623DE"/>
    <w:rsid w:val="008623EF"/>
    <w:rsid w:val="0086253A"/>
    <w:rsid w:val="0086291D"/>
    <w:rsid w:val="00862953"/>
    <w:rsid w:val="008632AD"/>
    <w:rsid w:val="00863675"/>
    <w:rsid w:val="00863A75"/>
    <w:rsid w:val="00863BD7"/>
    <w:rsid w:val="00863E7D"/>
    <w:rsid w:val="00864225"/>
    <w:rsid w:val="00864459"/>
    <w:rsid w:val="008647B5"/>
    <w:rsid w:val="0086485D"/>
    <w:rsid w:val="00864B7E"/>
    <w:rsid w:val="00865184"/>
    <w:rsid w:val="0086518A"/>
    <w:rsid w:val="00865828"/>
    <w:rsid w:val="0086612E"/>
    <w:rsid w:val="008664B4"/>
    <w:rsid w:val="008669F7"/>
    <w:rsid w:val="00866B6D"/>
    <w:rsid w:val="00866DFE"/>
    <w:rsid w:val="00866E39"/>
    <w:rsid w:val="00866FDD"/>
    <w:rsid w:val="0086732A"/>
    <w:rsid w:val="00867363"/>
    <w:rsid w:val="00867760"/>
    <w:rsid w:val="00867A81"/>
    <w:rsid w:val="008701CB"/>
    <w:rsid w:val="008703E3"/>
    <w:rsid w:val="00870A8A"/>
    <w:rsid w:val="00870C77"/>
    <w:rsid w:val="00872232"/>
    <w:rsid w:val="00872B74"/>
    <w:rsid w:val="00872DF3"/>
    <w:rsid w:val="0087383D"/>
    <w:rsid w:val="00873BBE"/>
    <w:rsid w:val="008748FC"/>
    <w:rsid w:val="008756ED"/>
    <w:rsid w:val="00875A85"/>
    <w:rsid w:val="00875F34"/>
    <w:rsid w:val="008764DC"/>
    <w:rsid w:val="00876F21"/>
    <w:rsid w:val="00876F97"/>
    <w:rsid w:val="008770C3"/>
    <w:rsid w:val="0087715C"/>
    <w:rsid w:val="008773CE"/>
    <w:rsid w:val="0087760B"/>
    <w:rsid w:val="008779BD"/>
    <w:rsid w:val="00877D88"/>
    <w:rsid w:val="00880BC7"/>
    <w:rsid w:val="00880E2A"/>
    <w:rsid w:val="00881E96"/>
    <w:rsid w:val="00882005"/>
    <w:rsid w:val="008821D4"/>
    <w:rsid w:val="0088234C"/>
    <w:rsid w:val="00882474"/>
    <w:rsid w:val="00882800"/>
    <w:rsid w:val="008829CC"/>
    <w:rsid w:val="008831D5"/>
    <w:rsid w:val="0088368A"/>
    <w:rsid w:val="00883690"/>
    <w:rsid w:val="00883A3A"/>
    <w:rsid w:val="00883AEA"/>
    <w:rsid w:val="00883C3E"/>
    <w:rsid w:val="00884905"/>
    <w:rsid w:val="00884D49"/>
    <w:rsid w:val="00884DB6"/>
    <w:rsid w:val="00884E2D"/>
    <w:rsid w:val="00884F2D"/>
    <w:rsid w:val="008851BA"/>
    <w:rsid w:val="008855BA"/>
    <w:rsid w:val="008857B6"/>
    <w:rsid w:val="00885A59"/>
    <w:rsid w:val="00885B01"/>
    <w:rsid w:val="008861C6"/>
    <w:rsid w:val="008864B0"/>
    <w:rsid w:val="00886709"/>
    <w:rsid w:val="00886B70"/>
    <w:rsid w:val="00886EB2"/>
    <w:rsid w:val="0088707F"/>
    <w:rsid w:val="00887570"/>
    <w:rsid w:val="0089063B"/>
    <w:rsid w:val="00890841"/>
    <w:rsid w:val="00891186"/>
    <w:rsid w:val="008913BC"/>
    <w:rsid w:val="0089148A"/>
    <w:rsid w:val="008925C2"/>
    <w:rsid w:val="0089263B"/>
    <w:rsid w:val="008928DB"/>
    <w:rsid w:val="00893330"/>
    <w:rsid w:val="0089336B"/>
    <w:rsid w:val="00893886"/>
    <w:rsid w:val="0089390A"/>
    <w:rsid w:val="00893CBE"/>
    <w:rsid w:val="00894175"/>
    <w:rsid w:val="00894209"/>
    <w:rsid w:val="00894B79"/>
    <w:rsid w:val="0089504E"/>
    <w:rsid w:val="0089511F"/>
    <w:rsid w:val="00895D58"/>
    <w:rsid w:val="00895DE5"/>
    <w:rsid w:val="00895F91"/>
    <w:rsid w:val="008960BC"/>
    <w:rsid w:val="008963E8"/>
    <w:rsid w:val="00896CF4"/>
    <w:rsid w:val="008971DB"/>
    <w:rsid w:val="0089792B"/>
    <w:rsid w:val="00897CE4"/>
    <w:rsid w:val="00897D1B"/>
    <w:rsid w:val="00897D36"/>
    <w:rsid w:val="00897EF3"/>
    <w:rsid w:val="00897F5A"/>
    <w:rsid w:val="00897FDF"/>
    <w:rsid w:val="008A005F"/>
    <w:rsid w:val="008A016C"/>
    <w:rsid w:val="008A038E"/>
    <w:rsid w:val="008A0B24"/>
    <w:rsid w:val="008A0C80"/>
    <w:rsid w:val="008A11DF"/>
    <w:rsid w:val="008A1307"/>
    <w:rsid w:val="008A14A1"/>
    <w:rsid w:val="008A1B8D"/>
    <w:rsid w:val="008A1C9C"/>
    <w:rsid w:val="008A2345"/>
    <w:rsid w:val="008A34D1"/>
    <w:rsid w:val="008A3BE6"/>
    <w:rsid w:val="008A3C79"/>
    <w:rsid w:val="008A43A0"/>
    <w:rsid w:val="008A447D"/>
    <w:rsid w:val="008A4635"/>
    <w:rsid w:val="008A4C3A"/>
    <w:rsid w:val="008A4F92"/>
    <w:rsid w:val="008A5DFD"/>
    <w:rsid w:val="008A6135"/>
    <w:rsid w:val="008A76BE"/>
    <w:rsid w:val="008A77F1"/>
    <w:rsid w:val="008A7CA6"/>
    <w:rsid w:val="008A7D09"/>
    <w:rsid w:val="008B03DD"/>
    <w:rsid w:val="008B098A"/>
    <w:rsid w:val="008B1093"/>
    <w:rsid w:val="008B1099"/>
    <w:rsid w:val="008B10A2"/>
    <w:rsid w:val="008B1746"/>
    <w:rsid w:val="008B184C"/>
    <w:rsid w:val="008B1AFC"/>
    <w:rsid w:val="008B1B95"/>
    <w:rsid w:val="008B231F"/>
    <w:rsid w:val="008B2730"/>
    <w:rsid w:val="008B27E4"/>
    <w:rsid w:val="008B2AB7"/>
    <w:rsid w:val="008B3F9F"/>
    <w:rsid w:val="008B3FBB"/>
    <w:rsid w:val="008B417A"/>
    <w:rsid w:val="008B4394"/>
    <w:rsid w:val="008B469D"/>
    <w:rsid w:val="008B46AF"/>
    <w:rsid w:val="008B4DA4"/>
    <w:rsid w:val="008B4E16"/>
    <w:rsid w:val="008B4EAE"/>
    <w:rsid w:val="008B5084"/>
    <w:rsid w:val="008B5484"/>
    <w:rsid w:val="008B6673"/>
    <w:rsid w:val="008B6888"/>
    <w:rsid w:val="008B6DD6"/>
    <w:rsid w:val="008B74C9"/>
    <w:rsid w:val="008B7508"/>
    <w:rsid w:val="008B765C"/>
    <w:rsid w:val="008B7A54"/>
    <w:rsid w:val="008B7BEE"/>
    <w:rsid w:val="008B7CF4"/>
    <w:rsid w:val="008B7E7C"/>
    <w:rsid w:val="008C06E6"/>
    <w:rsid w:val="008C09A9"/>
    <w:rsid w:val="008C0DEB"/>
    <w:rsid w:val="008C1DE3"/>
    <w:rsid w:val="008C1E67"/>
    <w:rsid w:val="008C31EF"/>
    <w:rsid w:val="008C39CD"/>
    <w:rsid w:val="008C4038"/>
    <w:rsid w:val="008C46EB"/>
    <w:rsid w:val="008C515D"/>
    <w:rsid w:val="008C5378"/>
    <w:rsid w:val="008C57E6"/>
    <w:rsid w:val="008C5A04"/>
    <w:rsid w:val="008C5F5F"/>
    <w:rsid w:val="008C64D9"/>
    <w:rsid w:val="008C6E59"/>
    <w:rsid w:val="008C7E7B"/>
    <w:rsid w:val="008D0CE7"/>
    <w:rsid w:val="008D2041"/>
    <w:rsid w:val="008D2B00"/>
    <w:rsid w:val="008D352E"/>
    <w:rsid w:val="008D361A"/>
    <w:rsid w:val="008D3A34"/>
    <w:rsid w:val="008D3B85"/>
    <w:rsid w:val="008D3C8A"/>
    <w:rsid w:val="008D41F2"/>
    <w:rsid w:val="008D4E35"/>
    <w:rsid w:val="008D562F"/>
    <w:rsid w:val="008D5747"/>
    <w:rsid w:val="008D5AC5"/>
    <w:rsid w:val="008D5B01"/>
    <w:rsid w:val="008D5F45"/>
    <w:rsid w:val="008D6061"/>
    <w:rsid w:val="008D6287"/>
    <w:rsid w:val="008D6A02"/>
    <w:rsid w:val="008D6BE9"/>
    <w:rsid w:val="008D6C02"/>
    <w:rsid w:val="008D7076"/>
    <w:rsid w:val="008D7150"/>
    <w:rsid w:val="008D715D"/>
    <w:rsid w:val="008D719A"/>
    <w:rsid w:val="008D74F1"/>
    <w:rsid w:val="008E09B2"/>
    <w:rsid w:val="008E0C6C"/>
    <w:rsid w:val="008E15CF"/>
    <w:rsid w:val="008E1E28"/>
    <w:rsid w:val="008E25D1"/>
    <w:rsid w:val="008E37DB"/>
    <w:rsid w:val="008E3FD9"/>
    <w:rsid w:val="008E443E"/>
    <w:rsid w:val="008E488C"/>
    <w:rsid w:val="008E4DB4"/>
    <w:rsid w:val="008E5435"/>
    <w:rsid w:val="008E562B"/>
    <w:rsid w:val="008E56F2"/>
    <w:rsid w:val="008E70AF"/>
    <w:rsid w:val="008E729B"/>
    <w:rsid w:val="008E73B0"/>
    <w:rsid w:val="008E745C"/>
    <w:rsid w:val="008E7B87"/>
    <w:rsid w:val="008E7E06"/>
    <w:rsid w:val="008F05B2"/>
    <w:rsid w:val="008F0679"/>
    <w:rsid w:val="008F104B"/>
    <w:rsid w:val="008F1661"/>
    <w:rsid w:val="008F247B"/>
    <w:rsid w:val="008F2638"/>
    <w:rsid w:val="008F2AC0"/>
    <w:rsid w:val="008F2B95"/>
    <w:rsid w:val="008F3419"/>
    <w:rsid w:val="008F3784"/>
    <w:rsid w:val="008F3E0B"/>
    <w:rsid w:val="008F40A2"/>
    <w:rsid w:val="008F45B4"/>
    <w:rsid w:val="008F4A62"/>
    <w:rsid w:val="008F4FB9"/>
    <w:rsid w:val="008F5191"/>
    <w:rsid w:val="008F55A1"/>
    <w:rsid w:val="008F55C6"/>
    <w:rsid w:val="008F5D7A"/>
    <w:rsid w:val="008F5DB9"/>
    <w:rsid w:val="008F5F9F"/>
    <w:rsid w:val="008F6143"/>
    <w:rsid w:val="008F647C"/>
    <w:rsid w:val="008F66D3"/>
    <w:rsid w:val="008F671E"/>
    <w:rsid w:val="008F6BDB"/>
    <w:rsid w:val="008F76A9"/>
    <w:rsid w:val="0090022B"/>
    <w:rsid w:val="00900AB5"/>
    <w:rsid w:val="00900D53"/>
    <w:rsid w:val="00900E41"/>
    <w:rsid w:val="0090103A"/>
    <w:rsid w:val="00901B15"/>
    <w:rsid w:val="00901EE4"/>
    <w:rsid w:val="0090287F"/>
    <w:rsid w:val="00902A21"/>
    <w:rsid w:val="00902B95"/>
    <w:rsid w:val="00902C6E"/>
    <w:rsid w:val="00902CE0"/>
    <w:rsid w:val="00903D51"/>
    <w:rsid w:val="009040C8"/>
    <w:rsid w:val="00904D9B"/>
    <w:rsid w:val="00904EB8"/>
    <w:rsid w:val="00905035"/>
    <w:rsid w:val="0090540E"/>
    <w:rsid w:val="00906715"/>
    <w:rsid w:val="009069A3"/>
    <w:rsid w:val="00906B71"/>
    <w:rsid w:val="00906CD3"/>
    <w:rsid w:val="0090733B"/>
    <w:rsid w:val="0090766E"/>
    <w:rsid w:val="00907D65"/>
    <w:rsid w:val="00907ECF"/>
    <w:rsid w:val="0091018F"/>
    <w:rsid w:val="00910250"/>
    <w:rsid w:val="009103CC"/>
    <w:rsid w:val="00910997"/>
    <w:rsid w:val="00910DEC"/>
    <w:rsid w:val="009110D9"/>
    <w:rsid w:val="00911345"/>
    <w:rsid w:val="00911842"/>
    <w:rsid w:val="009119AB"/>
    <w:rsid w:val="009120F0"/>
    <w:rsid w:val="00912C34"/>
    <w:rsid w:val="00912F90"/>
    <w:rsid w:val="009134B7"/>
    <w:rsid w:val="0091354C"/>
    <w:rsid w:val="00913A4D"/>
    <w:rsid w:val="00913A77"/>
    <w:rsid w:val="00913E2D"/>
    <w:rsid w:val="00914FF7"/>
    <w:rsid w:val="009150CC"/>
    <w:rsid w:val="00915226"/>
    <w:rsid w:val="00915B14"/>
    <w:rsid w:val="0091631C"/>
    <w:rsid w:val="009163DF"/>
    <w:rsid w:val="0091688F"/>
    <w:rsid w:val="00916AF9"/>
    <w:rsid w:val="00917686"/>
    <w:rsid w:val="009179A8"/>
    <w:rsid w:val="00917A94"/>
    <w:rsid w:val="009201AD"/>
    <w:rsid w:val="00920B00"/>
    <w:rsid w:val="00921233"/>
    <w:rsid w:val="00921255"/>
    <w:rsid w:val="00921B48"/>
    <w:rsid w:val="00921F51"/>
    <w:rsid w:val="00922A4D"/>
    <w:rsid w:val="00922A52"/>
    <w:rsid w:val="00922E11"/>
    <w:rsid w:val="009230C8"/>
    <w:rsid w:val="009236AA"/>
    <w:rsid w:val="0092390E"/>
    <w:rsid w:val="0092392E"/>
    <w:rsid w:val="00923BE0"/>
    <w:rsid w:val="00923FC3"/>
    <w:rsid w:val="009241B4"/>
    <w:rsid w:val="00924227"/>
    <w:rsid w:val="009242F5"/>
    <w:rsid w:val="009243D7"/>
    <w:rsid w:val="0092448A"/>
    <w:rsid w:val="0092453C"/>
    <w:rsid w:val="00924705"/>
    <w:rsid w:val="00924F56"/>
    <w:rsid w:val="00925245"/>
    <w:rsid w:val="00926254"/>
    <w:rsid w:val="00926701"/>
    <w:rsid w:val="00926DA7"/>
    <w:rsid w:val="00927459"/>
    <w:rsid w:val="009274A5"/>
    <w:rsid w:val="00927FBA"/>
    <w:rsid w:val="009300AC"/>
    <w:rsid w:val="009301C4"/>
    <w:rsid w:val="009303E0"/>
    <w:rsid w:val="00930429"/>
    <w:rsid w:val="00930DD3"/>
    <w:rsid w:val="009314F3"/>
    <w:rsid w:val="009318A5"/>
    <w:rsid w:val="00931A99"/>
    <w:rsid w:val="00932C39"/>
    <w:rsid w:val="00932DD6"/>
    <w:rsid w:val="009354F2"/>
    <w:rsid w:val="00935E7A"/>
    <w:rsid w:val="0093673E"/>
    <w:rsid w:val="009368EC"/>
    <w:rsid w:val="00936BB7"/>
    <w:rsid w:val="00937492"/>
    <w:rsid w:val="009375F0"/>
    <w:rsid w:val="00937C9B"/>
    <w:rsid w:val="00937CC6"/>
    <w:rsid w:val="00937DD7"/>
    <w:rsid w:val="0094012D"/>
    <w:rsid w:val="009406F2"/>
    <w:rsid w:val="00940CE6"/>
    <w:rsid w:val="009415EC"/>
    <w:rsid w:val="00941BC1"/>
    <w:rsid w:val="00941C23"/>
    <w:rsid w:val="00941D39"/>
    <w:rsid w:val="00941D46"/>
    <w:rsid w:val="0094228F"/>
    <w:rsid w:val="009426F2"/>
    <w:rsid w:val="009427C6"/>
    <w:rsid w:val="009428B1"/>
    <w:rsid w:val="00943130"/>
    <w:rsid w:val="00943B7C"/>
    <w:rsid w:val="00944025"/>
    <w:rsid w:val="00944313"/>
    <w:rsid w:val="0094456A"/>
    <w:rsid w:val="00944A40"/>
    <w:rsid w:val="0094535C"/>
    <w:rsid w:val="009458CF"/>
    <w:rsid w:val="009459B4"/>
    <w:rsid w:val="00945AC8"/>
    <w:rsid w:val="00945F02"/>
    <w:rsid w:val="00945F63"/>
    <w:rsid w:val="00946036"/>
    <w:rsid w:val="00946949"/>
    <w:rsid w:val="009470B1"/>
    <w:rsid w:val="009472DD"/>
    <w:rsid w:val="00947432"/>
    <w:rsid w:val="0094797F"/>
    <w:rsid w:val="0095016E"/>
    <w:rsid w:val="00950282"/>
    <w:rsid w:val="0095086D"/>
    <w:rsid w:val="00950CCA"/>
    <w:rsid w:val="00951489"/>
    <w:rsid w:val="00951C58"/>
    <w:rsid w:val="00951EA6"/>
    <w:rsid w:val="0095221C"/>
    <w:rsid w:val="00952C98"/>
    <w:rsid w:val="00952CEE"/>
    <w:rsid w:val="00952EA8"/>
    <w:rsid w:val="009535EE"/>
    <w:rsid w:val="00953D21"/>
    <w:rsid w:val="0095403D"/>
    <w:rsid w:val="009543AD"/>
    <w:rsid w:val="00954443"/>
    <w:rsid w:val="009548AE"/>
    <w:rsid w:val="00954A3D"/>
    <w:rsid w:val="00954E5A"/>
    <w:rsid w:val="00954F02"/>
    <w:rsid w:val="00955596"/>
    <w:rsid w:val="009556CC"/>
    <w:rsid w:val="00955991"/>
    <w:rsid w:val="00956DB0"/>
    <w:rsid w:val="00956F8B"/>
    <w:rsid w:val="00957253"/>
    <w:rsid w:val="009576FC"/>
    <w:rsid w:val="00957AEA"/>
    <w:rsid w:val="00960008"/>
    <w:rsid w:val="00960178"/>
    <w:rsid w:val="00960320"/>
    <w:rsid w:val="00960399"/>
    <w:rsid w:val="0096039B"/>
    <w:rsid w:val="00960BFD"/>
    <w:rsid w:val="00961200"/>
    <w:rsid w:val="0096127D"/>
    <w:rsid w:val="009621BD"/>
    <w:rsid w:val="009622CF"/>
    <w:rsid w:val="009626E9"/>
    <w:rsid w:val="00962F5C"/>
    <w:rsid w:val="00962FBD"/>
    <w:rsid w:val="009635FD"/>
    <w:rsid w:val="00963831"/>
    <w:rsid w:val="00963BAB"/>
    <w:rsid w:val="0096410F"/>
    <w:rsid w:val="0096438D"/>
    <w:rsid w:val="0096458A"/>
    <w:rsid w:val="009645AA"/>
    <w:rsid w:val="00964EE4"/>
    <w:rsid w:val="00965028"/>
    <w:rsid w:val="00965099"/>
    <w:rsid w:val="00965431"/>
    <w:rsid w:val="0096647F"/>
    <w:rsid w:val="00966943"/>
    <w:rsid w:val="00966B33"/>
    <w:rsid w:val="009679D2"/>
    <w:rsid w:val="0097008E"/>
    <w:rsid w:val="009702A2"/>
    <w:rsid w:val="00970889"/>
    <w:rsid w:val="009708C5"/>
    <w:rsid w:val="00970FD9"/>
    <w:rsid w:val="00971514"/>
    <w:rsid w:val="00971668"/>
    <w:rsid w:val="009718FB"/>
    <w:rsid w:val="00971D86"/>
    <w:rsid w:val="00971DE9"/>
    <w:rsid w:val="00972548"/>
    <w:rsid w:val="009725E9"/>
    <w:rsid w:val="00972631"/>
    <w:rsid w:val="0097294A"/>
    <w:rsid w:val="00972BFD"/>
    <w:rsid w:val="00973236"/>
    <w:rsid w:val="009733D2"/>
    <w:rsid w:val="0097376B"/>
    <w:rsid w:val="009738AC"/>
    <w:rsid w:val="00973A98"/>
    <w:rsid w:val="009742B6"/>
    <w:rsid w:val="00974944"/>
    <w:rsid w:val="00974ACD"/>
    <w:rsid w:val="00975450"/>
    <w:rsid w:val="00975FE1"/>
    <w:rsid w:val="00976B49"/>
    <w:rsid w:val="00976B65"/>
    <w:rsid w:val="00976CD9"/>
    <w:rsid w:val="00976E65"/>
    <w:rsid w:val="00976E81"/>
    <w:rsid w:val="00977798"/>
    <w:rsid w:val="00977F82"/>
    <w:rsid w:val="00977FCC"/>
    <w:rsid w:val="009801F7"/>
    <w:rsid w:val="009804A4"/>
    <w:rsid w:val="009809B8"/>
    <w:rsid w:val="0098135A"/>
    <w:rsid w:val="0098162E"/>
    <w:rsid w:val="00981ABD"/>
    <w:rsid w:val="00981B6D"/>
    <w:rsid w:val="00981F40"/>
    <w:rsid w:val="00982220"/>
    <w:rsid w:val="00982313"/>
    <w:rsid w:val="00982C16"/>
    <w:rsid w:val="00982F08"/>
    <w:rsid w:val="00982F1B"/>
    <w:rsid w:val="00983397"/>
    <w:rsid w:val="009833F1"/>
    <w:rsid w:val="00983F00"/>
    <w:rsid w:val="00984249"/>
    <w:rsid w:val="009842F8"/>
    <w:rsid w:val="009842FC"/>
    <w:rsid w:val="00984DB9"/>
    <w:rsid w:val="009855B9"/>
    <w:rsid w:val="00985704"/>
    <w:rsid w:val="00985D92"/>
    <w:rsid w:val="00985ED6"/>
    <w:rsid w:val="00986D9D"/>
    <w:rsid w:val="00986FD6"/>
    <w:rsid w:val="0098712E"/>
    <w:rsid w:val="009875B7"/>
    <w:rsid w:val="00987A60"/>
    <w:rsid w:val="009901B8"/>
    <w:rsid w:val="00990406"/>
    <w:rsid w:val="009908F5"/>
    <w:rsid w:val="00990BCF"/>
    <w:rsid w:val="00990C5C"/>
    <w:rsid w:val="00990F7A"/>
    <w:rsid w:val="00991239"/>
    <w:rsid w:val="0099177C"/>
    <w:rsid w:val="00991869"/>
    <w:rsid w:val="009919D4"/>
    <w:rsid w:val="00991F36"/>
    <w:rsid w:val="0099200F"/>
    <w:rsid w:val="00992014"/>
    <w:rsid w:val="00992237"/>
    <w:rsid w:val="00992B91"/>
    <w:rsid w:val="00993301"/>
    <w:rsid w:val="0099335C"/>
    <w:rsid w:val="00993655"/>
    <w:rsid w:val="0099369C"/>
    <w:rsid w:val="00993AC9"/>
    <w:rsid w:val="00993E99"/>
    <w:rsid w:val="009946C5"/>
    <w:rsid w:val="00994C8D"/>
    <w:rsid w:val="00995ADB"/>
    <w:rsid w:val="00995BA4"/>
    <w:rsid w:val="00996B97"/>
    <w:rsid w:val="00996D20"/>
    <w:rsid w:val="009971E3"/>
    <w:rsid w:val="00997625"/>
    <w:rsid w:val="0099763B"/>
    <w:rsid w:val="009979D4"/>
    <w:rsid w:val="009A034A"/>
    <w:rsid w:val="009A03CA"/>
    <w:rsid w:val="009A0631"/>
    <w:rsid w:val="009A1425"/>
    <w:rsid w:val="009A18FF"/>
    <w:rsid w:val="009A19E2"/>
    <w:rsid w:val="009A1B95"/>
    <w:rsid w:val="009A2114"/>
    <w:rsid w:val="009A22B0"/>
    <w:rsid w:val="009A24D3"/>
    <w:rsid w:val="009A2BD7"/>
    <w:rsid w:val="009A31FC"/>
    <w:rsid w:val="009A34E1"/>
    <w:rsid w:val="009A39AE"/>
    <w:rsid w:val="009A4062"/>
    <w:rsid w:val="009A41DA"/>
    <w:rsid w:val="009A47CC"/>
    <w:rsid w:val="009A4A1D"/>
    <w:rsid w:val="009A4A69"/>
    <w:rsid w:val="009A51F9"/>
    <w:rsid w:val="009A5268"/>
    <w:rsid w:val="009A5376"/>
    <w:rsid w:val="009A5BB8"/>
    <w:rsid w:val="009A612B"/>
    <w:rsid w:val="009A6AF9"/>
    <w:rsid w:val="009A768B"/>
    <w:rsid w:val="009A78F5"/>
    <w:rsid w:val="009A79A7"/>
    <w:rsid w:val="009A7E1A"/>
    <w:rsid w:val="009A7EDA"/>
    <w:rsid w:val="009A7FD1"/>
    <w:rsid w:val="009B0016"/>
    <w:rsid w:val="009B05D3"/>
    <w:rsid w:val="009B07B0"/>
    <w:rsid w:val="009B0899"/>
    <w:rsid w:val="009B0D61"/>
    <w:rsid w:val="009B109B"/>
    <w:rsid w:val="009B1654"/>
    <w:rsid w:val="009B1D35"/>
    <w:rsid w:val="009B1ED6"/>
    <w:rsid w:val="009B20F9"/>
    <w:rsid w:val="009B2BB7"/>
    <w:rsid w:val="009B2E02"/>
    <w:rsid w:val="009B37F6"/>
    <w:rsid w:val="009B3B6F"/>
    <w:rsid w:val="009B3C3A"/>
    <w:rsid w:val="009B3D33"/>
    <w:rsid w:val="009B3D8C"/>
    <w:rsid w:val="009B3FB6"/>
    <w:rsid w:val="009B4CF3"/>
    <w:rsid w:val="009B4DCC"/>
    <w:rsid w:val="009B4F8B"/>
    <w:rsid w:val="009B508B"/>
    <w:rsid w:val="009B5BF6"/>
    <w:rsid w:val="009B5FDE"/>
    <w:rsid w:val="009B6F34"/>
    <w:rsid w:val="009B7692"/>
    <w:rsid w:val="009B781B"/>
    <w:rsid w:val="009C0012"/>
    <w:rsid w:val="009C0160"/>
    <w:rsid w:val="009C036B"/>
    <w:rsid w:val="009C0842"/>
    <w:rsid w:val="009C09F1"/>
    <w:rsid w:val="009C0A7E"/>
    <w:rsid w:val="009C0AE1"/>
    <w:rsid w:val="009C0E72"/>
    <w:rsid w:val="009C0F37"/>
    <w:rsid w:val="009C1005"/>
    <w:rsid w:val="009C1077"/>
    <w:rsid w:val="009C1382"/>
    <w:rsid w:val="009C14B7"/>
    <w:rsid w:val="009C1F4D"/>
    <w:rsid w:val="009C21C0"/>
    <w:rsid w:val="009C2468"/>
    <w:rsid w:val="009C247C"/>
    <w:rsid w:val="009C29B4"/>
    <w:rsid w:val="009C2E20"/>
    <w:rsid w:val="009C2FCD"/>
    <w:rsid w:val="009C3D88"/>
    <w:rsid w:val="009C3FD7"/>
    <w:rsid w:val="009C43F6"/>
    <w:rsid w:val="009C4569"/>
    <w:rsid w:val="009C4968"/>
    <w:rsid w:val="009C496A"/>
    <w:rsid w:val="009C4CEC"/>
    <w:rsid w:val="009C4EFC"/>
    <w:rsid w:val="009C5A7D"/>
    <w:rsid w:val="009C5E28"/>
    <w:rsid w:val="009C660A"/>
    <w:rsid w:val="009C6812"/>
    <w:rsid w:val="009C6883"/>
    <w:rsid w:val="009C6E2B"/>
    <w:rsid w:val="009C7521"/>
    <w:rsid w:val="009C79C7"/>
    <w:rsid w:val="009C7F50"/>
    <w:rsid w:val="009D0346"/>
    <w:rsid w:val="009D036C"/>
    <w:rsid w:val="009D04B5"/>
    <w:rsid w:val="009D09D0"/>
    <w:rsid w:val="009D0C7F"/>
    <w:rsid w:val="009D14BE"/>
    <w:rsid w:val="009D1644"/>
    <w:rsid w:val="009D1BB8"/>
    <w:rsid w:val="009D1BCA"/>
    <w:rsid w:val="009D1CA8"/>
    <w:rsid w:val="009D1D8D"/>
    <w:rsid w:val="009D23DD"/>
    <w:rsid w:val="009D2666"/>
    <w:rsid w:val="009D2783"/>
    <w:rsid w:val="009D2C8B"/>
    <w:rsid w:val="009D33CE"/>
    <w:rsid w:val="009D37FF"/>
    <w:rsid w:val="009D4A78"/>
    <w:rsid w:val="009D4F78"/>
    <w:rsid w:val="009D543C"/>
    <w:rsid w:val="009D58B1"/>
    <w:rsid w:val="009D5A07"/>
    <w:rsid w:val="009D5F06"/>
    <w:rsid w:val="009D6111"/>
    <w:rsid w:val="009D6229"/>
    <w:rsid w:val="009D7A7E"/>
    <w:rsid w:val="009D7B5B"/>
    <w:rsid w:val="009D7C52"/>
    <w:rsid w:val="009D7F44"/>
    <w:rsid w:val="009E159E"/>
    <w:rsid w:val="009E1660"/>
    <w:rsid w:val="009E2124"/>
    <w:rsid w:val="009E21B9"/>
    <w:rsid w:val="009E23E8"/>
    <w:rsid w:val="009E2647"/>
    <w:rsid w:val="009E2CBA"/>
    <w:rsid w:val="009E2E48"/>
    <w:rsid w:val="009E2E9F"/>
    <w:rsid w:val="009E3352"/>
    <w:rsid w:val="009E338B"/>
    <w:rsid w:val="009E34B1"/>
    <w:rsid w:val="009E35A3"/>
    <w:rsid w:val="009E3B39"/>
    <w:rsid w:val="009E3E08"/>
    <w:rsid w:val="009E3E25"/>
    <w:rsid w:val="009E3E60"/>
    <w:rsid w:val="009E3EE0"/>
    <w:rsid w:val="009E42A6"/>
    <w:rsid w:val="009E44BB"/>
    <w:rsid w:val="009E466C"/>
    <w:rsid w:val="009E4F32"/>
    <w:rsid w:val="009E511B"/>
    <w:rsid w:val="009E5DC6"/>
    <w:rsid w:val="009E627C"/>
    <w:rsid w:val="009E63BD"/>
    <w:rsid w:val="009E64F7"/>
    <w:rsid w:val="009E6C76"/>
    <w:rsid w:val="009E710E"/>
    <w:rsid w:val="009E7C46"/>
    <w:rsid w:val="009F034E"/>
    <w:rsid w:val="009F056F"/>
    <w:rsid w:val="009F0700"/>
    <w:rsid w:val="009F0B2C"/>
    <w:rsid w:val="009F0B76"/>
    <w:rsid w:val="009F11AA"/>
    <w:rsid w:val="009F13A5"/>
    <w:rsid w:val="009F1AF0"/>
    <w:rsid w:val="009F1DEF"/>
    <w:rsid w:val="009F25AE"/>
    <w:rsid w:val="009F2818"/>
    <w:rsid w:val="009F2CBD"/>
    <w:rsid w:val="009F3024"/>
    <w:rsid w:val="009F307B"/>
    <w:rsid w:val="009F324D"/>
    <w:rsid w:val="009F3524"/>
    <w:rsid w:val="009F356F"/>
    <w:rsid w:val="009F3986"/>
    <w:rsid w:val="009F4169"/>
    <w:rsid w:val="009F4356"/>
    <w:rsid w:val="009F46AB"/>
    <w:rsid w:val="009F4EAD"/>
    <w:rsid w:val="009F5638"/>
    <w:rsid w:val="009F6146"/>
    <w:rsid w:val="009F6237"/>
    <w:rsid w:val="009F637F"/>
    <w:rsid w:val="009F6919"/>
    <w:rsid w:val="009F7346"/>
    <w:rsid w:val="009F783C"/>
    <w:rsid w:val="009F787F"/>
    <w:rsid w:val="009F798D"/>
    <w:rsid w:val="009F7F6E"/>
    <w:rsid w:val="00A004E9"/>
    <w:rsid w:val="00A0116A"/>
    <w:rsid w:val="00A013BD"/>
    <w:rsid w:val="00A01863"/>
    <w:rsid w:val="00A01F28"/>
    <w:rsid w:val="00A023D3"/>
    <w:rsid w:val="00A024EF"/>
    <w:rsid w:val="00A029F6"/>
    <w:rsid w:val="00A02A46"/>
    <w:rsid w:val="00A02F27"/>
    <w:rsid w:val="00A02F8B"/>
    <w:rsid w:val="00A036D2"/>
    <w:rsid w:val="00A03B8A"/>
    <w:rsid w:val="00A03D39"/>
    <w:rsid w:val="00A04A55"/>
    <w:rsid w:val="00A059DD"/>
    <w:rsid w:val="00A05A20"/>
    <w:rsid w:val="00A05A92"/>
    <w:rsid w:val="00A05F45"/>
    <w:rsid w:val="00A06296"/>
    <w:rsid w:val="00A072A7"/>
    <w:rsid w:val="00A07FB4"/>
    <w:rsid w:val="00A10659"/>
    <w:rsid w:val="00A112DC"/>
    <w:rsid w:val="00A11630"/>
    <w:rsid w:val="00A12D8F"/>
    <w:rsid w:val="00A135BC"/>
    <w:rsid w:val="00A13D2A"/>
    <w:rsid w:val="00A144D9"/>
    <w:rsid w:val="00A14A91"/>
    <w:rsid w:val="00A14C7B"/>
    <w:rsid w:val="00A14FEF"/>
    <w:rsid w:val="00A155F1"/>
    <w:rsid w:val="00A15635"/>
    <w:rsid w:val="00A158BC"/>
    <w:rsid w:val="00A15D78"/>
    <w:rsid w:val="00A15E83"/>
    <w:rsid w:val="00A15FFD"/>
    <w:rsid w:val="00A161B7"/>
    <w:rsid w:val="00A16349"/>
    <w:rsid w:val="00A170AE"/>
    <w:rsid w:val="00A1754C"/>
    <w:rsid w:val="00A17675"/>
    <w:rsid w:val="00A178B2"/>
    <w:rsid w:val="00A17E22"/>
    <w:rsid w:val="00A17F46"/>
    <w:rsid w:val="00A17FEF"/>
    <w:rsid w:val="00A20A0D"/>
    <w:rsid w:val="00A20BAA"/>
    <w:rsid w:val="00A20C90"/>
    <w:rsid w:val="00A20E15"/>
    <w:rsid w:val="00A20E72"/>
    <w:rsid w:val="00A20FDC"/>
    <w:rsid w:val="00A21CFC"/>
    <w:rsid w:val="00A21DDF"/>
    <w:rsid w:val="00A2202E"/>
    <w:rsid w:val="00A220F3"/>
    <w:rsid w:val="00A224FE"/>
    <w:rsid w:val="00A22D6F"/>
    <w:rsid w:val="00A232B7"/>
    <w:rsid w:val="00A233D0"/>
    <w:rsid w:val="00A24053"/>
    <w:rsid w:val="00A24085"/>
    <w:rsid w:val="00A24108"/>
    <w:rsid w:val="00A246C3"/>
    <w:rsid w:val="00A24CEE"/>
    <w:rsid w:val="00A24F88"/>
    <w:rsid w:val="00A25752"/>
    <w:rsid w:val="00A25788"/>
    <w:rsid w:val="00A26370"/>
    <w:rsid w:val="00A26ADB"/>
    <w:rsid w:val="00A27132"/>
    <w:rsid w:val="00A27220"/>
    <w:rsid w:val="00A27E42"/>
    <w:rsid w:val="00A30F40"/>
    <w:rsid w:val="00A31390"/>
    <w:rsid w:val="00A31785"/>
    <w:rsid w:val="00A31AF7"/>
    <w:rsid w:val="00A31BBF"/>
    <w:rsid w:val="00A3286E"/>
    <w:rsid w:val="00A32B2F"/>
    <w:rsid w:val="00A32E8B"/>
    <w:rsid w:val="00A332AA"/>
    <w:rsid w:val="00A33571"/>
    <w:rsid w:val="00A33C10"/>
    <w:rsid w:val="00A33E7B"/>
    <w:rsid w:val="00A33EF1"/>
    <w:rsid w:val="00A345CC"/>
    <w:rsid w:val="00A34742"/>
    <w:rsid w:val="00A348D5"/>
    <w:rsid w:val="00A34A00"/>
    <w:rsid w:val="00A34B8A"/>
    <w:rsid w:val="00A34C85"/>
    <w:rsid w:val="00A353B5"/>
    <w:rsid w:val="00A3556E"/>
    <w:rsid w:val="00A356AB"/>
    <w:rsid w:val="00A35AD3"/>
    <w:rsid w:val="00A36736"/>
    <w:rsid w:val="00A36D55"/>
    <w:rsid w:val="00A36D98"/>
    <w:rsid w:val="00A36DB8"/>
    <w:rsid w:val="00A36DE5"/>
    <w:rsid w:val="00A36E9B"/>
    <w:rsid w:val="00A373AA"/>
    <w:rsid w:val="00A37832"/>
    <w:rsid w:val="00A37853"/>
    <w:rsid w:val="00A3792E"/>
    <w:rsid w:val="00A379E5"/>
    <w:rsid w:val="00A37F15"/>
    <w:rsid w:val="00A403A5"/>
    <w:rsid w:val="00A405DC"/>
    <w:rsid w:val="00A41694"/>
    <w:rsid w:val="00A41782"/>
    <w:rsid w:val="00A4193A"/>
    <w:rsid w:val="00A425E3"/>
    <w:rsid w:val="00A42640"/>
    <w:rsid w:val="00A427D3"/>
    <w:rsid w:val="00A427E9"/>
    <w:rsid w:val="00A42898"/>
    <w:rsid w:val="00A428CA"/>
    <w:rsid w:val="00A435F0"/>
    <w:rsid w:val="00A437B9"/>
    <w:rsid w:val="00A43D21"/>
    <w:rsid w:val="00A43F1D"/>
    <w:rsid w:val="00A44642"/>
    <w:rsid w:val="00A44FF0"/>
    <w:rsid w:val="00A45037"/>
    <w:rsid w:val="00A45A85"/>
    <w:rsid w:val="00A4684C"/>
    <w:rsid w:val="00A46B5E"/>
    <w:rsid w:val="00A46D49"/>
    <w:rsid w:val="00A50344"/>
    <w:rsid w:val="00A509D8"/>
    <w:rsid w:val="00A50A4B"/>
    <w:rsid w:val="00A50EAD"/>
    <w:rsid w:val="00A52502"/>
    <w:rsid w:val="00A528DB"/>
    <w:rsid w:val="00A5298B"/>
    <w:rsid w:val="00A53A2A"/>
    <w:rsid w:val="00A53A84"/>
    <w:rsid w:val="00A544B7"/>
    <w:rsid w:val="00A55830"/>
    <w:rsid w:val="00A559B7"/>
    <w:rsid w:val="00A55A79"/>
    <w:rsid w:val="00A55F3E"/>
    <w:rsid w:val="00A563F3"/>
    <w:rsid w:val="00A56D91"/>
    <w:rsid w:val="00A56F78"/>
    <w:rsid w:val="00A5724A"/>
    <w:rsid w:val="00A5743F"/>
    <w:rsid w:val="00A57896"/>
    <w:rsid w:val="00A57BB7"/>
    <w:rsid w:val="00A60259"/>
    <w:rsid w:val="00A60278"/>
    <w:rsid w:val="00A61679"/>
    <w:rsid w:val="00A6198C"/>
    <w:rsid w:val="00A61C23"/>
    <w:rsid w:val="00A620F1"/>
    <w:rsid w:val="00A62681"/>
    <w:rsid w:val="00A626E8"/>
    <w:rsid w:val="00A62969"/>
    <w:rsid w:val="00A62BD0"/>
    <w:rsid w:val="00A6358A"/>
    <w:rsid w:val="00A6391B"/>
    <w:rsid w:val="00A63AE7"/>
    <w:rsid w:val="00A63E2F"/>
    <w:rsid w:val="00A64194"/>
    <w:rsid w:val="00A64223"/>
    <w:rsid w:val="00A64DE9"/>
    <w:rsid w:val="00A65838"/>
    <w:rsid w:val="00A65EB7"/>
    <w:rsid w:val="00A661B8"/>
    <w:rsid w:val="00A6699E"/>
    <w:rsid w:val="00A66A30"/>
    <w:rsid w:val="00A67444"/>
    <w:rsid w:val="00A67554"/>
    <w:rsid w:val="00A67687"/>
    <w:rsid w:val="00A67E7C"/>
    <w:rsid w:val="00A7060F"/>
    <w:rsid w:val="00A706F1"/>
    <w:rsid w:val="00A709BD"/>
    <w:rsid w:val="00A70C2B"/>
    <w:rsid w:val="00A70E63"/>
    <w:rsid w:val="00A70F8C"/>
    <w:rsid w:val="00A70F90"/>
    <w:rsid w:val="00A7149C"/>
    <w:rsid w:val="00A71CDD"/>
    <w:rsid w:val="00A71F26"/>
    <w:rsid w:val="00A727A5"/>
    <w:rsid w:val="00A7280E"/>
    <w:rsid w:val="00A72CB3"/>
    <w:rsid w:val="00A73203"/>
    <w:rsid w:val="00A733A2"/>
    <w:rsid w:val="00A733E3"/>
    <w:rsid w:val="00A73FD7"/>
    <w:rsid w:val="00A741EE"/>
    <w:rsid w:val="00A74498"/>
    <w:rsid w:val="00A745F9"/>
    <w:rsid w:val="00A746EA"/>
    <w:rsid w:val="00A74D41"/>
    <w:rsid w:val="00A74E10"/>
    <w:rsid w:val="00A75249"/>
    <w:rsid w:val="00A758CD"/>
    <w:rsid w:val="00A75BD1"/>
    <w:rsid w:val="00A75D9C"/>
    <w:rsid w:val="00A75F12"/>
    <w:rsid w:val="00A763C1"/>
    <w:rsid w:val="00A76BC6"/>
    <w:rsid w:val="00A76D07"/>
    <w:rsid w:val="00A770B7"/>
    <w:rsid w:val="00A77D50"/>
    <w:rsid w:val="00A80438"/>
    <w:rsid w:val="00A81055"/>
    <w:rsid w:val="00A81658"/>
    <w:rsid w:val="00A816F9"/>
    <w:rsid w:val="00A81F20"/>
    <w:rsid w:val="00A82B5F"/>
    <w:rsid w:val="00A83C2E"/>
    <w:rsid w:val="00A83CE6"/>
    <w:rsid w:val="00A83EAA"/>
    <w:rsid w:val="00A84493"/>
    <w:rsid w:val="00A8532B"/>
    <w:rsid w:val="00A85347"/>
    <w:rsid w:val="00A85D68"/>
    <w:rsid w:val="00A86144"/>
    <w:rsid w:val="00A86E08"/>
    <w:rsid w:val="00A8721A"/>
    <w:rsid w:val="00A87C26"/>
    <w:rsid w:val="00A87ECE"/>
    <w:rsid w:val="00A90AD7"/>
    <w:rsid w:val="00A90CC8"/>
    <w:rsid w:val="00A9131C"/>
    <w:rsid w:val="00A916AA"/>
    <w:rsid w:val="00A91AAB"/>
    <w:rsid w:val="00A91B88"/>
    <w:rsid w:val="00A91C1E"/>
    <w:rsid w:val="00A91C31"/>
    <w:rsid w:val="00A924AF"/>
    <w:rsid w:val="00A9280B"/>
    <w:rsid w:val="00A929EB"/>
    <w:rsid w:val="00A930F4"/>
    <w:rsid w:val="00A93151"/>
    <w:rsid w:val="00A933B2"/>
    <w:rsid w:val="00A933DD"/>
    <w:rsid w:val="00A937F1"/>
    <w:rsid w:val="00A93DE1"/>
    <w:rsid w:val="00A94048"/>
    <w:rsid w:val="00A940FD"/>
    <w:rsid w:val="00A947F0"/>
    <w:rsid w:val="00A9496A"/>
    <w:rsid w:val="00A94B8E"/>
    <w:rsid w:val="00A953E5"/>
    <w:rsid w:val="00A95AB4"/>
    <w:rsid w:val="00A95D2D"/>
    <w:rsid w:val="00A9602A"/>
    <w:rsid w:val="00A96528"/>
    <w:rsid w:val="00A965D5"/>
    <w:rsid w:val="00A965F7"/>
    <w:rsid w:val="00A96D8F"/>
    <w:rsid w:val="00A970E0"/>
    <w:rsid w:val="00AA0173"/>
    <w:rsid w:val="00AA02A0"/>
    <w:rsid w:val="00AA07FB"/>
    <w:rsid w:val="00AA0853"/>
    <w:rsid w:val="00AA1571"/>
    <w:rsid w:val="00AA1E23"/>
    <w:rsid w:val="00AA22F5"/>
    <w:rsid w:val="00AA28FA"/>
    <w:rsid w:val="00AA2D96"/>
    <w:rsid w:val="00AA2F1C"/>
    <w:rsid w:val="00AA3357"/>
    <w:rsid w:val="00AA3FA3"/>
    <w:rsid w:val="00AA42F0"/>
    <w:rsid w:val="00AA47FA"/>
    <w:rsid w:val="00AA4E51"/>
    <w:rsid w:val="00AA5065"/>
    <w:rsid w:val="00AA57DF"/>
    <w:rsid w:val="00AA6226"/>
    <w:rsid w:val="00AA65CF"/>
    <w:rsid w:val="00AA66D2"/>
    <w:rsid w:val="00AA67BA"/>
    <w:rsid w:val="00AA7153"/>
    <w:rsid w:val="00AA72DA"/>
    <w:rsid w:val="00AA77E5"/>
    <w:rsid w:val="00AB0577"/>
    <w:rsid w:val="00AB1285"/>
    <w:rsid w:val="00AB172F"/>
    <w:rsid w:val="00AB1802"/>
    <w:rsid w:val="00AB1CD2"/>
    <w:rsid w:val="00AB1D07"/>
    <w:rsid w:val="00AB1F3C"/>
    <w:rsid w:val="00AB1FBD"/>
    <w:rsid w:val="00AB2497"/>
    <w:rsid w:val="00AB2728"/>
    <w:rsid w:val="00AB2792"/>
    <w:rsid w:val="00AB2D38"/>
    <w:rsid w:val="00AB2FA9"/>
    <w:rsid w:val="00AB31AA"/>
    <w:rsid w:val="00AB3501"/>
    <w:rsid w:val="00AB3AF9"/>
    <w:rsid w:val="00AB3C28"/>
    <w:rsid w:val="00AB4034"/>
    <w:rsid w:val="00AB41EA"/>
    <w:rsid w:val="00AB459D"/>
    <w:rsid w:val="00AB4887"/>
    <w:rsid w:val="00AB556E"/>
    <w:rsid w:val="00AB573B"/>
    <w:rsid w:val="00AB5757"/>
    <w:rsid w:val="00AB5D0F"/>
    <w:rsid w:val="00AB610E"/>
    <w:rsid w:val="00AB69AC"/>
    <w:rsid w:val="00AB6D25"/>
    <w:rsid w:val="00AB6E75"/>
    <w:rsid w:val="00AB70A1"/>
    <w:rsid w:val="00AB7EEE"/>
    <w:rsid w:val="00AB7FA8"/>
    <w:rsid w:val="00AC0544"/>
    <w:rsid w:val="00AC0C64"/>
    <w:rsid w:val="00AC0D3E"/>
    <w:rsid w:val="00AC1AA5"/>
    <w:rsid w:val="00AC1B9D"/>
    <w:rsid w:val="00AC20E2"/>
    <w:rsid w:val="00AC2101"/>
    <w:rsid w:val="00AC2C0E"/>
    <w:rsid w:val="00AC2D82"/>
    <w:rsid w:val="00AC33D6"/>
    <w:rsid w:val="00AC341E"/>
    <w:rsid w:val="00AC368E"/>
    <w:rsid w:val="00AC381B"/>
    <w:rsid w:val="00AC3FA5"/>
    <w:rsid w:val="00AC49A5"/>
    <w:rsid w:val="00AC4A1A"/>
    <w:rsid w:val="00AC4A63"/>
    <w:rsid w:val="00AC4C75"/>
    <w:rsid w:val="00AC4E1B"/>
    <w:rsid w:val="00AC4F2E"/>
    <w:rsid w:val="00AC508B"/>
    <w:rsid w:val="00AC5164"/>
    <w:rsid w:val="00AC56B0"/>
    <w:rsid w:val="00AC56BB"/>
    <w:rsid w:val="00AC5F8B"/>
    <w:rsid w:val="00AC6017"/>
    <w:rsid w:val="00AC616A"/>
    <w:rsid w:val="00AC69D6"/>
    <w:rsid w:val="00AC6EA3"/>
    <w:rsid w:val="00AC6ECF"/>
    <w:rsid w:val="00AC6EE6"/>
    <w:rsid w:val="00AC7602"/>
    <w:rsid w:val="00AC7CD7"/>
    <w:rsid w:val="00AD0012"/>
    <w:rsid w:val="00AD0740"/>
    <w:rsid w:val="00AD0EEA"/>
    <w:rsid w:val="00AD1523"/>
    <w:rsid w:val="00AD17E0"/>
    <w:rsid w:val="00AD18AD"/>
    <w:rsid w:val="00AD1C97"/>
    <w:rsid w:val="00AD1F49"/>
    <w:rsid w:val="00AD2095"/>
    <w:rsid w:val="00AD26BE"/>
    <w:rsid w:val="00AD2A95"/>
    <w:rsid w:val="00AD3174"/>
    <w:rsid w:val="00AD48E2"/>
    <w:rsid w:val="00AD4A65"/>
    <w:rsid w:val="00AD4C62"/>
    <w:rsid w:val="00AD50D0"/>
    <w:rsid w:val="00AD5700"/>
    <w:rsid w:val="00AD5744"/>
    <w:rsid w:val="00AD5F66"/>
    <w:rsid w:val="00AD6672"/>
    <w:rsid w:val="00AD6BA8"/>
    <w:rsid w:val="00AD7639"/>
    <w:rsid w:val="00AD76CF"/>
    <w:rsid w:val="00AD78C3"/>
    <w:rsid w:val="00AD79E3"/>
    <w:rsid w:val="00AD7A42"/>
    <w:rsid w:val="00AD7ABC"/>
    <w:rsid w:val="00AD7ECC"/>
    <w:rsid w:val="00AE0213"/>
    <w:rsid w:val="00AE08BB"/>
    <w:rsid w:val="00AE0EE8"/>
    <w:rsid w:val="00AE0F60"/>
    <w:rsid w:val="00AE12C4"/>
    <w:rsid w:val="00AE188A"/>
    <w:rsid w:val="00AE199A"/>
    <w:rsid w:val="00AE1AA8"/>
    <w:rsid w:val="00AE1BA2"/>
    <w:rsid w:val="00AE2115"/>
    <w:rsid w:val="00AE3685"/>
    <w:rsid w:val="00AE3A4C"/>
    <w:rsid w:val="00AE3B18"/>
    <w:rsid w:val="00AE4217"/>
    <w:rsid w:val="00AE457D"/>
    <w:rsid w:val="00AE4591"/>
    <w:rsid w:val="00AE45E7"/>
    <w:rsid w:val="00AE4765"/>
    <w:rsid w:val="00AE4A1A"/>
    <w:rsid w:val="00AE4B5F"/>
    <w:rsid w:val="00AE54F0"/>
    <w:rsid w:val="00AE5BA2"/>
    <w:rsid w:val="00AE5D94"/>
    <w:rsid w:val="00AE699E"/>
    <w:rsid w:val="00AE6CD2"/>
    <w:rsid w:val="00AE6D94"/>
    <w:rsid w:val="00AE72CA"/>
    <w:rsid w:val="00AE740D"/>
    <w:rsid w:val="00AE7BC0"/>
    <w:rsid w:val="00AE7CE8"/>
    <w:rsid w:val="00AE7E27"/>
    <w:rsid w:val="00AF034A"/>
    <w:rsid w:val="00AF06C8"/>
    <w:rsid w:val="00AF0A8B"/>
    <w:rsid w:val="00AF0BEC"/>
    <w:rsid w:val="00AF0DEA"/>
    <w:rsid w:val="00AF1310"/>
    <w:rsid w:val="00AF1C28"/>
    <w:rsid w:val="00AF2194"/>
    <w:rsid w:val="00AF25B2"/>
    <w:rsid w:val="00AF2FC5"/>
    <w:rsid w:val="00AF3221"/>
    <w:rsid w:val="00AF35B9"/>
    <w:rsid w:val="00AF3FEE"/>
    <w:rsid w:val="00AF5218"/>
    <w:rsid w:val="00AF5387"/>
    <w:rsid w:val="00AF5A24"/>
    <w:rsid w:val="00AF65D9"/>
    <w:rsid w:val="00AF68BF"/>
    <w:rsid w:val="00AF6E0E"/>
    <w:rsid w:val="00AF6F7C"/>
    <w:rsid w:val="00AF70AE"/>
    <w:rsid w:val="00AF79F9"/>
    <w:rsid w:val="00B000AD"/>
    <w:rsid w:val="00B003EE"/>
    <w:rsid w:val="00B00670"/>
    <w:rsid w:val="00B00C5D"/>
    <w:rsid w:val="00B01A14"/>
    <w:rsid w:val="00B01BCD"/>
    <w:rsid w:val="00B01C1D"/>
    <w:rsid w:val="00B01FD3"/>
    <w:rsid w:val="00B020BC"/>
    <w:rsid w:val="00B02217"/>
    <w:rsid w:val="00B026BC"/>
    <w:rsid w:val="00B02866"/>
    <w:rsid w:val="00B02D9A"/>
    <w:rsid w:val="00B0347C"/>
    <w:rsid w:val="00B036EF"/>
    <w:rsid w:val="00B03A23"/>
    <w:rsid w:val="00B03B2F"/>
    <w:rsid w:val="00B03BDD"/>
    <w:rsid w:val="00B04425"/>
    <w:rsid w:val="00B0449D"/>
    <w:rsid w:val="00B04C7C"/>
    <w:rsid w:val="00B0522A"/>
    <w:rsid w:val="00B052CE"/>
    <w:rsid w:val="00B054AB"/>
    <w:rsid w:val="00B054D1"/>
    <w:rsid w:val="00B05CEC"/>
    <w:rsid w:val="00B065CD"/>
    <w:rsid w:val="00B06CA6"/>
    <w:rsid w:val="00B0737C"/>
    <w:rsid w:val="00B07DB6"/>
    <w:rsid w:val="00B10EA1"/>
    <w:rsid w:val="00B11557"/>
    <w:rsid w:val="00B11FB4"/>
    <w:rsid w:val="00B12378"/>
    <w:rsid w:val="00B12D14"/>
    <w:rsid w:val="00B13111"/>
    <w:rsid w:val="00B13191"/>
    <w:rsid w:val="00B13319"/>
    <w:rsid w:val="00B13D0D"/>
    <w:rsid w:val="00B13F1B"/>
    <w:rsid w:val="00B140E4"/>
    <w:rsid w:val="00B14451"/>
    <w:rsid w:val="00B14B7B"/>
    <w:rsid w:val="00B15E33"/>
    <w:rsid w:val="00B1600B"/>
    <w:rsid w:val="00B165ED"/>
    <w:rsid w:val="00B1662A"/>
    <w:rsid w:val="00B16CC9"/>
    <w:rsid w:val="00B17B7C"/>
    <w:rsid w:val="00B204E4"/>
    <w:rsid w:val="00B20662"/>
    <w:rsid w:val="00B20C38"/>
    <w:rsid w:val="00B20C71"/>
    <w:rsid w:val="00B21748"/>
    <w:rsid w:val="00B21FA7"/>
    <w:rsid w:val="00B22C85"/>
    <w:rsid w:val="00B233BE"/>
    <w:rsid w:val="00B23654"/>
    <w:rsid w:val="00B23790"/>
    <w:rsid w:val="00B23C2B"/>
    <w:rsid w:val="00B23CF4"/>
    <w:rsid w:val="00B23E79"/>
    <w:rsid w:val="00B23EE8"/>
    <w:rsid w:val="00B24167"/>
    <w:rsid w:val="00B24BCA"/>
    <w:rsid w:val="00B25651"/>
    <w:rsid w:val="00B262DF"/>
    <w:rsid w:val="00B2697D"/>
    <w:rsid w:val="00B27450"/>
    <w:rsid w:val="00B2759C"/>
    <w:rsid w:val="00B27E04"/>
    <w:rsid w:val="00B3016F"/>
    <w:rsid w:val="00B30360"/>
    <w:rsid w:val="00B3039B"/>
    <w:rsid w:val="00B303D3"/>
    <w:rsid w:val="00B30874"/>
    <w:rsid w:val="00B30CB5"/>
    <w:rsid w:val="00B30D8E"/>
    <w:rsid w:val="00B3183C"/>
    <w:rsid w:val="00B31DE4"/>
    <w:rsid w:val="00B327D3"/>
    <w:rsid w:val="00B32C3F"/>
    <w:rsid w:val="00B32DD0"/>
    <w:rsid w:val="00B34319"/>
    <w:rsid w:val="00B345AF"/>
    <w:rsid w:val="00B349AC"/>
    <w:rsid w:val="00B34BAB"/>
    <w:rsid w:val="00B34D30"/>
    <w:rsid w:val="00B34F02"/>
    <w:rsid w:val="00B359E0"/>
    <w:rsid w:val="00B35A3F"/>
    <w:rsid w:val="00B36101"/>
    <w:rsid w:val="00B36220"/>
    <w:rsid w:val="00B36B1A"/>
    <w:rsid w:val="00B36B52"/>
    <w:rsid w:val="00B371BB"/>
    <w:rsid w:val="00B37C7C"/>
    <w:rsid w:val="00B4013C"/>
    <w:rsid w:val="00B4096E"/>
    <w:rsid w:val="00B410E2"/>
    <w:rsid w:val="00B4130F"/>
    <w:rsid w:val="00B4132E"/>
    <w:rsid w:val="00B41423"/>
    <w:rsid w:val="00B41AAD"/>
    <w:rsid w:val="00B41B2E"/>
    <w:rsid w:val="00B4299C"/>
    <w:rsid w:val="00B429F7"/>
    <w:rsid w:val="00B42D6A"/>
    <w:rsid w:val="00B43588"/>
    <w:rsid w:val="00B435AE"/>
    <w:rsid w:val="00B43861"/>
    <w:rsid w:val="00B4473F"/>
    <w:rsid w:val="00B447DF"/>
    <w:rsid w:val="00B4486C"/>
    <w:rsid w:val="00B44A7C"/>
    <w:rsid w:val="00B44EC9"/>
    <w:rsid w:val="00B45065"/>
    <w:rsid w:val="00B450BB"/>
    <w:rsid w:val="00B453C9"/>
    <w:rsid w:val="00B45907"/>
    <w:rsid w:val="00B45CC0"/>
    <w:rsid w:val="00B46316"/>
    <w:rsid w:val="00B4694F"/>
    <w:rsid w:val="00B4699B"/>
    <w:rsid w:val="00B46B20"/>
    <w:rsid w:val="00B46E6F"/>
    <w:rsid w:val="00B47D88"/>
    <w:rsid w:val="00B50650"/>
    <w:rsid w:val="00B50B43"/>
    <w:rsid w:val="00B50D76"/>
    <w:rsid w:val="00B50DB6"/>
    <w:rsid w:val="00B51407"/>
    <w:rsid w:val="00B5195E"/>
    <w:rsid w:val="00B51C12"/>
    <w:rsid w:val="00B5220C"/>
    <w:rsid w:val="00B52F02"/>
    <w:rsid w:val="00B53507"/>
    <w:rsid w:val="00B53839"/>
    <w:rsid w:val="00B53B55"/>
    <w:rsid w:val="00B53F55"/>
    <w:rsid w:val="00B53FE4"/>
    <w:rsid w:val="00B54656"/>
    <w:rsid w:val="00B54B4E"/>
    <w:rsid w:val="00B54C15"/>
    <w:rsid w:val="00B551BE"/>
    <w:rsid w:val="00B56F33"/>
    <w:rsid w:val="00B571B7"/>
    <w:rsid w:val="00B5759F"/>
    <w:rsid w:val="00B576C4"/>
    <w:rsid w:val="00B576FD"/>
    <w:rsid w:val="00B57B43"/>
    <w:rsid w:val="00B60078"/>
    <w:rsid w:val="00B60440"/>
    <w:rsid w:val="00B6076B"/>
    <w:rsid w:val="00B60B7A"/>
    <w:rsid w:val="00B6125A"/>
    <w:rsid w:val="00B61275"/>
    <w:rsid w:val="00B6132A"/>
    <w:rsid w:val="00B61772"/>
    <w:rsid w:val="00B61E59"/>
    <w:rsid w:val="00B61ED6"/>
    <w:rsid w:val="00B626EB"/>
    <w:rsid w:val="00B629C3"/>
    <w:rsid w:val="00B62C11"/>
    <w:rsid w:val="00B634DB"/>
    <w:rsid w:val="00B63AF5"/>
    <w:rsid w:val="00B63C4A"/>
    <w:rsid w:val="00B63E38"/>
    <w:rsid w:val="00B641B1"/>
    <w:rsid w:val="00B64220"/>
    <w:rsid w:val="00B643F8"/>
    <w:rsid w:val="00B64A66"/>
    <w:rsid w:val="00B65032"/>
    <w:rsid w:val="00B65491"/>
    <w:rsid w:val="00B656D2"/>
    <w:rsid w:val="00B65802"/>
    <w:rsid w:val="00B658CE"/>
    <w:rsid w:val="00B65B17"/>
    <w:rsid w:val="00B6649D"/>
    <w:rsid w:val="00B668CC"/>
    <w:rsid w:val="00B66CD0"/>
    <w:rsid w:val="00B6708D"/>
    <w:rsid w:val="00B674AD"/>
    <w:rsid w:val="00B674B3"/>
    <w:rsid w:val="00B67E15"/>
    <w:rsid w:val="00B70643"/>
    <w:rsid w:val="00B70950"/>
    <w:rsid w:val="00B70A93"/>
    <w:rsid w:val="00B70F01"/>
    <w:rsid w:val="00B7154A"/>
    <w:rsid w:val="00B715D7"/>
    <w:rsid w:val="00B71EDC"/>
    <w:rsid w:val="00B72060"/>
    <w:rsid w:val="00B72065"/>
    <w:rsid w:val="00B7238D"/>
    <w:rsid w:val="00B728BD"/>
    <w:rsid w:val="00B729DD"/>
    <w:rsid w:val="00B72C3D"/>
    <w:rsid w:val="00B73D28"/>
    <w:rsid w:val="00B7425A"/>
    <w:rsid w:val="00B74A2C"/>
    <w:rsid w:val="00B75007"/>
    <w:rsid w:val="00B75303"/>
    <w:rsid w:val="00B757A4"/>
    <w:rsid w:val="00B760AD"/>
    <w:rsid w:val="00B76182"/>
    <w:rsid w:val="00B76284"/>
    <w:rsid w:val="00B76831"/>
    <w:rsid w:val="00B7686E"/>
    <w:rsid w:val="00B76F42"/>
    <w:rsid w:val="00B77405"/>
    <w:rsid w:val="00B77E56"/>
    <w:rsid w:val="00B77EF9"/>
    <w:rsid w:val="00B8018B"/>
    <w:rsid w:val="00B80951"/>
    <w:rsid w:val="00B810BA"/>
    <w:rsid w:val="00B811E0"/>
    <w:rsid w:val="00B81284"/>
    <w:rsid w:val="00B813E7"/>
    <w:rsid w:val="00B814B7"/>
    <w:rsid w:val="00B81C01"/>
    <w:rsid w:val="00B81E34"/>
    <w:rsid w:val="00B81FE1"/>
    <w:rsid w:val="00B82804"/>
    <w:rsid w:val="00B8283D"/>
    <w:rsid w:val="00B828AD"/>
    <w:rsid w:val="00B8298A"/>
    <w:rsid w:val="00B82FA6"/>
    <w:rsid w:val="00B83393"/>
    <w:rsid w:val="00B8387A"/>
    <w:rsid w:val="00B83DDB"/>
    <w:rsid w:val="00B8413E"/>
    <w:rsid w:val="00B848D4"/>
    <w:rsid w:val="00B8575E"/>
    <w:rsid w:val="00B85E2C"/>
    <w:rsid w:val="00B8631C"/>
    <w:rsid w:val="00B863A2"/>
    <w:rsid w:val="00B86468"/>
    <w:rsid w:val="00B8648E"/>
    <w:rsid w:val="00B865EB"/>
    <w:rsid w:val="00B86AEF"/>
    <w:rsid w:val="00B86EA1"/>
    <w:rsid w:val="00B877FF"/>
    <w:rsid w:val="00B87AE4"/>
    <w:rsid w:val="00B87BBB"/>
    <w:rsid w:val="00B87F4B"/>
    <w:rsid w:val="00B9030C"/>
    <w:rsid w:val="00B90EB3"/>
    <w:rsid w:val="00B919C6"/>
    <w:rsid w:val="00B92350"/>
    <w:rsid w:val="00B92C19"/>
    <w:rsid w:val="00B93167"/>
    <w:rsid w:val="00B931C3"/>
    <w:rsid w:val="00B93B1D"/>
    <w:rsid w:val="00B93B73"/>
    <w:rsid w:val="00B93B84"/>
    <w:rsid w:val="00B94369"/>
    <w:rsid w:val="00B94630"/>
    <w:rsid w:val="00B9485C"/>
    <w:rsid w:val="00B94BA1"/>
    <w:rsid w:val="00B94EB1"/>
    <w:rsid w:val="00B9532B"/>
    <w:rsid w:val="00B95A02"/>
    <w:rsid w:val="00B95AF7"/>
    <w:rsid w:val="00B95D1D"/>
    <w:rsid w:val="00B95DCD"/>
    <w:rsid w:val="00B961C2"/>
    <w:rsid w:val="00B961F7"/>
    <w:rsid w:val="00B96B33"/>
    <w:rsid w:val="00B96C18"/>
    <w:rsid w:val="00B9725F"/>
    <w:rsid w:val="00B97328"/>
    <w:rsid w:val="00B9749D"/>
    <w:rsid w:val="00B97ABE"/>
    <w:rsid w:val="00B97B46"/>
    <w:rsid w:val="00BA0C58"/>
    <w:rsid w:val="00BA0F7C"/>
    <w:rsid w:val="00BA1179"/>
    <w:rsid w:val="00BA11C7"/>
    <w:rsid w:val="00BA137B"/>
    <w:rsid w:val="00BA1605"/>
    <w:rsid w:val="00BA1EE8"/>
    <w:rsid w:val="00BA2886"/>
    <w:rsid w:val="00BA29F9"/>
    <w:rsid w:val="00BA2A41"/>
    <w:rsid w:val="00BA2B18"/>
    <w:rsid w:val="00BA2DF9"/>
    <w:rsid w:val="00BA3573"/>
    <w:rsid w:val="00BA3A7D"/>
    <w:rsid w:val="00BA3C1D"/>
    <w:rsid w:val="00BA486B"/>
    <w:rsid w:val="00BA4CCA"/>
    <w:rsid w:val="00BA4DB8"/>
    <w:rsid w:val="00BA56BD"/>
    <w:rsid w:val="00BA5C3E"/>
    <w:rsid w:val="00BA5EC8"/>
    <w:rsid w:val="00BA67B0"/>
    <w:rsid w:val="00BA6A72"/>
    <w:rsid w:val="00BA6B4F"/>
    <w:rsid w:val="00BA6B5C"/>
    <w:rsid w:val="00BA6EF6"/>
    <w:rsid w:val="00BA779D"/>
    <w:rsid w:val="00BA7AF7"/>
    <w:rsid w:val="00BB0099"/>
    <w:rsid w:val="00BB0D1D"/>
    <w:rsid w:val="00BB0D39"/>
    <w:rsid w:val="00BB127E"/>
    <w:rsid w:val="00BB1F21"/>
    <w:rsid w:val="00BB1F84"/>
    <w:rsid w:val="00BB252B"/>
    <w:rsid w:val="00BB2556"/>
    <w:rsid w:val="00BB2C90"/>
    <w:rsid w:val="00BB2F7F"/>
    <w:rsid w:val="00BB331D"/>
    <w:rsid w:val="00BB3570"/>
    <w:rsid w:val="00BB3718"/>
    <w:rsid w:val="00BB37EF"/>
    <w:rsid w:val="00BB3E30"/>
    <w:rsid w:val="00BB3F4A"/>
    <w:rsid w:val="00BB4107"/>
    <w:rsid w:val="00BB469E"/>
    <w:rsid w:val="00BB4737"/>
    <w:rsid w:val="00BB4ACF"/>
    <w:rsid w:val="00BB4BE9"/>
    <w:rsid w:val="00BB5891"/>
    <w:rsid w:val="00BB5D56"/>
    <w:rsid w:val="00BB5DE1"/>
    <w:rsid w:val="00BB6667"/>
    <w:rsid w:val="00BB67C4"/>
    <w:rsid w:val="00BB6A12"/>
    <w:rsid w:val="00BB748D"/>
    <w:rsid w:val="00BB7DAD"/>
    <w:rsid w:val="00BC0032"/>
    <w:rsid w:val="00BC0047"/>
    <w:rsid w:val="00BC011F"/>
    <w:rsid w:val="00BC02A0"/>
    <w:rsid w:val="00BC063E"/>
    <w:rsid w:val="00BC08CC"/>
    <w:rsid w:val="00BC0DF7"/>
    <w:rsid w:val="00BC17E3"/>
    <w:rsid w:val="00BC1938"/>
    <w:rsid w:val="00BC1B7F"/>
    <w:rsid w:val="00BC1C29"/>
    <w:rsid w:val="00BC1F6D"/>
    <w:rsid w:val="00BC22D3"/>
    <w:rsid w:val="00BC2552"/>
    <w:rsid w:val="00BC2775"/>
    <w:rsid w:val="00BC2948"/>
    <w:rsid w:val="00BC32CE"/>
    <w:rsid w:val="00BC3307"/>
    <w:rsid w:val="00BC38BF"/>
    <w:rsid w:val="00BC4222"/>
    <w:rsid w:val="00BC4460"/>
    <w:rsid w:val="00BC4D36"/>
    <w:rsid w:val="00BC50C6"/>
    <w:rsid w:val="00BC55DD"/>
    <w:rsid w:val="00BC5EBF"/>
    <w:rsid w:val="00BC6458"/>
    <w:rsid w:val="00BC6A77"/>
    <w:rsid w:val="00BC6D1A"/>
    <w:rsid w:val="00BC6DBC"/>
    <w:rsid w:val="00BC728E"/>
    <w:rsid w:val="00BC73D3"/>
    <w:rsid w:val="00BC7AF5"/>
    <w:rsid w:val="00BC7FB8"/>
    <w:rsid w:val="00BD029F"/>
    <w:rsid w:val="00BD0F29"/>
    <w:rsid w:val="00BD1214"/>
    <w:rsid w:val="00BD12BE"/>
    <w:rsid w:val="00BD1621"/>
    <w:rsid w:val="00BD1802"/>
    <w:rsid w:val="00BD182F"/>
    <w:rsid w:val="00BD1B8D"/>
    <w:rsid w:val="00BD1DE2"/>
    <w:rsid w:val="00BD2F02"/>
    <w:rsid w:val="00BD3225"/>
    <w:rsid w:val="00BD32F7"/>
    <w:rsid w:val="00BD3522"/>
    <w:rsid w:val="00BD3B55"/>
    <w:rsid w:val="00BD3C80"/>
    <w:rsid w:val="00BD3CA4"/>
    <w:rsid w:val="00BD3CD8"/>
    <w:rsid w:val="00BD45CE"/>
    <w:rsid w:val="00BD4D08"/>
    <w:rsid w:val="00BD521B"/>
    <w:rsid w:val="00BD58B4"/>
    <w:rsid w:val="00BD5D20"/>
    <w:rsid w:val="00BD5EE1"/>
    <w:rsid w:val="00BD5FF5"/>
    <w:rsid w:val="00BD636B"/>
    <w:rsid w:val="00BD650D"/>
    <w:rsid w:val="00BD663F"/>
    <w:rsid w:val="00BD6CB2"/>
    <w:rsid w:val="00BD70C0"/>
    <w:rsid w:val="00BD7EE3"/>
    <w:rsid w:val="00BE046B"/>
    <w:rsid w:val="00BE0BE1"/>
    <w:rsid w:val="00BE0C33"/>
    <w:rsid w:val="00BE0C99"/>
    <w:rsid w:val="00BE1077"/>
    <w:rsid w:val="00BE1D01"/>
    <w:rsid w:val="00BE1D5C"/>
    <w:rsid w:val="00BE2671"/>
    <w:rsid w:val="00BE3434"/>
    <w:rsid w:val="00BE34BE"/>
    <w:rsid w:val="00BE352E"/>
    <w:rsid w:val="00BE3B58"/>
    <w:rsid w:val="00BE3CF1"/>
    <w:rsid w:val="00BE3F09"/>
    <w:rsid w:val="00BE4E0A"/>
    <w:rsid w:val="00BE4EE6"/>
    <w:rsid w:val="00BE52DC"/>
    <w:rsid w:val="00BE5363"/>
    <w:rsid w:val="00BE66E1"/>
    <w:rsid w:val="00BE7085"/>
    <w:rsid w:val="00BE7825"/>
    <w:rsid w:val="00BE7A69"/>
    <w:rsid w:val="00BF02E0"/>
    <w:rsid w:val="00BF0F2F"/>
    <w:rsid w:val="00BF1370"/>
    <w:rsid w:val="00BF151F"/>
    <w:rsid w:val="00BF19E2"/>
    <w:rsid w:val="00BF242A"/>
    <w:rsid w:val="00BF245F"/>
    <w:rsid w:val="00BF26EE"/>
    <w:rsid w:val="00BF27F4"/>
    <w:rsid w:val="00BF296D"/>
    <w:rsid w:val="00BF2DB9"/>
    <w:rsid w:val="00BF30A3"/>
    <w:rsid w:val="00BF37BD"/>
    <w:rsid w:val="00BF3C61"/>
    <w:rsid w:val="00BF4525"/>
    <w:rsid w:val="00BF4D23"/>
    <w:rsid w:val="00BF4F38"/>
    <w:rsid w:val="00BF5BBC"/>
    <w:rsid w:val="00BF60EC"/>
    <w:rsid w:val="00BF6109"/>
    <w:rsid w:val="00BF671E"/>
    <w:rsid w:val="00BF682E"/>
    <w:rsid w:val="00BF6AAC"/>
    <w:rsid w:val="00BF6C4C"/>
    <w:rsid w:val="00BF7601"/>
    <w:rsid w:val="00BF7A14"/>
    <w:rsid w:val="00BF7B6A"/>
    <w:rsid w:val="00C003C6"/>
    <w:rsid w:val="00C008A7"/>
    <w:rsid w:val="00C00933"/>
    <w:rsid w:val="00C00A7F"/>
    <w:rsid w:val="00C00CD9"/>
    <w:rsid w:val="00C02193"/>
    <w:rsid w:val="00C023C7"/>
    <w:rsid w:val="00C024FC"/>
    <w:rsid w:val="00C02F6A"/>
    <w:rsid w:val="00C0310B"/>
    <w:rsid w:val="00C03314"/>
    <w:rsid w:val="00C03B4C"/>
    <w:rsid w:val="00C03B6C"/>
    <w:rsid w:val="00C03BEC"/>
    <w:rsid w:val="00C03C41"/>
    <w:rsid w:val="00C03C54"/>
    <w:rsid w:val="00C03F07"/>
    <w:rsid w:val="00C053D8"/>
    <w:rsid w:val="00C05695"/>
    <w:rsid w:val="00C0596C"/>
    <w:rsid w:val="00C05DA5"/>
    <w:rsid w:val="00C05F9F"/>
    <w:rsid w:val="00C06483"/>
    <w:rsid w:val="00C07080"/>
    <w:rsid w:val="00C071D2"/>
    <w:rsid w:val="00C07231"/>
    <w:rsid w:val="00C0740C"/>
    <w:rsid w:val="00C074A0"/>
    <w:rsid w:val="00C079FE"/>
    <w:rsid w:val="00C07D64"/>
    <w:rsid w:val="00C07EB9"/>
    <w:rsid w:val="00C1041F"/>
    <w:rsid w:val="00C1068F"/>
    <w:rsid w:val="00C10F64"/>
    <w:rsid w:val="00C11193"/>
    <w:rsid w:val="00C12483"/>
    <w:rsid w:val="00C125EE"/>
    <w:rsid w:val="00C12748"/>
    <w:rsid w:val="00C127FA"/>
    <w:rsid w:val="00C12D05"/>
    <w:rsid w:val="00C12DDB"/>
    <w:rsid w:val="00C12F73"/>
    <w:rsid w:val="00C13422"/>
    <w:rsid w:val="00C136B0"/>
    <w:rsid w:val="00C138EE"/>
    <w:rsid w:val="00C13C40"/>
    <w:rsid w:val="00C13C4C"/>
    <w:rsid w:val="00C1436A"/>
    <w:rsid w:val="00C1442F"/>
    <w:rsid w:val="00C149EB"/>
    <w:rsid w:val="00C14E8D"/>
    <w:rsid w:val="00C15240"/>
    <w:rsid w:val="00C1527B"/>
    <w:rsid w:val="00C15800"/>
    <w:rsid w:val="00C15905"/>
    <w:rsid w:val="00C15E4B"/>
    <w:rsid w:val="00C16548"/>
    <w:rsid w:val="00C1669F"/>
    <w:rsid w:val="00C169A8"/>
    <w:rsid w:val="00C16BFB"/>
    <w:rsid w:val="00C16E42"/>
    <w:rsid w:val="00C17F04"/>
    <w:rsid w:val="00C20241"/>
    <w:rsid w:val="00C207C6"/>
    <w:rsid w:val="00C2188D"/>
    <w:rsid w:val="00C220CA"/>
    <w:rsid w:val="00C22557"/>
    <w:rsid w:val="00C226E2"/>
    <w:rsid w:val="00C22E4A"/>
    <w:rsid w:val="00C236F6"/>
    <w:rsid w:val="00C24391"/>
    <w:rsid w:val="00C244C8"/>
    <w:rsid w:val="00C24D61"/>
    <w:rsid w:val="00C25BB2"/>
    <w:rsid w:val="00C25C00"/>
    <w:rsid w:val="00C263FD"/>
    <w:rsid w:val="00C26572"/>
    <w:rsid w:val="00C27BEF"/>
    <w:rsid w:val="00C27EB5"/>
    <w:rsid w:val="00C300F2"/>
    <w:rsid w:val="00C30102"/>
    <w:rsid w:val="00C30119"/>
    <w:rsid w:val="00C30850"/>
    <w:rsid w:val="00C3094E"/>
    <w:rsid w:val="00C309A6"/>
    <w:rsid w:val="00C30E38"/>
    <w:rsid w:val="00C30F69"/>
    <w:rsid w:val="00C31058"/>
    <w:rsid w:val="00C325CA"/>
    <w:rsid w:val="00C32967"/>
    <w:rsid w:val="00C32F6F"/>
    <w:rsid w:val="00C343A2"/>
    <w:rsid w:val="00C3471C"/>
    <w:rsid w:val="00C3505D"/>
    <w:rsid w:val="00C35109"/>
    <w:rsid w:val="00C35D16"/>
    <w:rsid w:val="00C35E96"/>
    <w:rsid w:val="00C35EE8"/>
    <w:rsid w:val="00C364CF"/>
    <w:rsid w:val="00C36BC0"/>
    <w:rsid w:val="00C36D0A"/>
    <w:rsid w:val="00C37103"/>
    <w:rsid w:val="00C37784"/>
    <w:rsid w:val="00C40571"/>
    <w:rsid w:val="00C408B5"/>
    <w:rsid w:val="00C409FE"/>
    <w:rsid w:val="00C40DD5"/>
    <w:rsid w:val="00C429A6"/>
    <w:rsid w:val="00C43142"/>
    <w:rsid w:val="00C4331F"/>
    <w:rsid w:val="00C43AF8"/>
    <w:rsid w:val="00C44B98"/>
    <w:rsid w:val="00C44D0F"/>
    <w:rsid w:val="00C45528"/>
    <w:rsid w:val="00C457B6"/>
    <w:rsid w:val="00C457BA"/>
    <w:rsid w:val="00C45A9C"/>
    <w:rsid w:val="00C45CA2"/>
    <w:rsid w:val="00C46531"/>
    <w:rsid w:val="00C46593"/>
    <w:rsid w:val="00C465C2"/>
    <w:rsid w:val="00C465FE"/>
    <w:rsid w:val="00C46A86"/>
    <w:rsid w:val="00C46BC5"/>
    <w:rsid w:val="00C50E07"/>
    <w:rsid w:val="00C51801"/>
    <w:rsid w:val="00C51A68"/>
    <w:rsid w:val="00C51AD9"/>
    <w:rsid w:val="00C53358"/>
    <w:rsid w:val="00C5397A"/>
    <w:rsid w:val="00C53A7C"/>
    <w:rsid w:val="00C53AF6"/>
    <w:rsid w:val="00C543D2"/>
    <w:rsid w:val="00C544C4"/>
    <w:rsid w:val="00C5473D"/>
    <w:rsid w:val="00C547E5"/>
    <w:rsid w:val="00C54BB5"/>
    <w:rsid w:val="00C54F7B"/>
    <w:rsid w:val="00C55004"/>
    <w:rsid w:val="00C55163"/>
    <w:rsid w:val="00C55207"/>
    <w:rsid w:val="00C552F8"/>
    <w:rsid w:val="00C55554"/>
    <w:rsid w:val="00C55CC5"/>
    <w:rsid w:val="00C55DF7"/>
    <w:rsid w:val="00C56624"/>
    <w:rsid w:val="00C56A4D"/>
    <w:rsid w:val="00C56F6D"/>
    <w:rsid w:val="00C572B9"/>
    <w:rsid w:val="00C57BB7"/>
    <w:rsid w:val="00C57F1B"/>
    <w:rsid w:val="00C6074B"/>
    <w:rsid w:val="00C60BDF"/>
    <w:rsid w:val="00C60EA3"/>
    <w:rsid w:val="00C610F4"/>
    <w:rsid w:val="00C6111A"/>
    <w:rsid w:val="00C61411"/>
    <w:rsid w:val="00C62081"/>
    <w:rsid w:val="00C6245D"/>
    <w:rsid w:val="00C6384C"/>
    <w:rsid w:val="00C63C89"/>
    <w:rsid w:val="00C63D07"/>
    <w:rsid w:val="00C64393"/>
    <w:rsid w:val="00C646A5"/>
    <w:rsid w:val="00C6482C"/>
    <w:rsid w:val="00C64E0D"/>
    <w:rsid w:val="00C651BA"/>
    <w:rsid w:val="00C6566E"/>
    <w:rsid w:val="00C6590A"/>
    <w:rsid w:val="00C65B79"/>
    <w:rsid w:val="00C65DCB"/>
    <w:rsid w:val="00C6670E"/>
    <w:rsid w:val="00C66A8E"/>
    <w:rsid w:val="00C66BC2"/>
    <w:rsid w:val="00C679A7"/>
    <w:rsid w:val="00C67E34"/>
    <w:rsid w:val="00C702D5"/>
    <w:rsid w:val="00C70562"/>
    <w:rsid w:val="00C71205"/>
    <w:rsid w:val="00C71A1B"/>
    <w:rsid w:val="00C71A4E"/>
    <w:rsid w:val="00C71C45"/>
    <w:rsid w:val="00C724D0"/>
    <w:rsid w:val="00C72871"/>
    <w:rsid w:val="00C72D0C"/>
    <w:rsid w:val="00C73C2B"/>
    <w:rsid w:val="00C73D79"/>
    <w:rsid w:val="00C740D1"/>
    <w:rsid w:val="00C746E9"/>
    <w:rsid w:val="00C747B2"/>
    <w:rsid w:val="00C74E95"/>
    <w:rsid w:val="00C750A8"/>
    <w:rsid w:val="00C753F3"/>
    <w:rsid w:val="00C7608B"/>
    <w:rsid w:val="00C76121"/>
    <w:rsid w:val="00C7659E"/>
    <w:rsid w:val="00C768F8"/>
    <w:rsid w:val="00C76A91"/>
    <w:rsid w:val="00C7723B"/>
    <w:rsid w:val="00C7754B"/>
    <w:rsid w:val="00C77638"/>
    <w:rsid w:val="00C77CBA"/>
    <w:rsid w:val="00C8049E"/>
    <w:rsid w:val="00C80601"/>
    <w:rsid w:val="00C80B4E"/>
    <w:rsid w:val="00C80CE8"/>
    <w:rsid w:val="00C80D0C"/>
    <w:rsid w:val="00C80D7B"/>
    <w:rsid w:val="00C80DF3"/>
    <w:rsid w:val="00C80F0E"/>
    <w:rsid w:val="00C80FDF"/>
    <w:rsid w:val="00C8153D"/>
    <w:rsid w:val="00C81772"/>
    <w:rsid w:val="00C81B9C"/>
    <w:rsid w:val="00C82019"/>
    <w:rsid w:val="00C822B7"/>
    <w:rsid w:val="00C8398A"/>
    <w:rsid w:val="00C83B13"/>
    <w:rsid w:val="00C83BB1"/>
    <w:rsid w:val="00C84298"/>
    <w:rsid w:val="00C848C6"/>
    <w:rsid w:val="00C848F5"/>
    <w:rsid w:val="00C8498A"/>
    <w:rsid w:val="00C84DE7"/>
    <w:rsid w:val="00C85325"/>
    <w:rsid w:val="00C856EB"/>
    <w:rsid w:val="00C8583E"/>
    <w:rsid w:val="00C85B34"/>
    <w:rsid w:val="00C86ACF"/>
    <w:rsid w:val="00C86E94"/>
    <w:rsid w:val="00C86F14"/>
    <w:rsid w:val="00C86F84"/>
    <w:rsid w:val="00C873B0"/>
    <w:rsid w:val="00C8786D"/>
    <w:rsid w:val="00C87A47"/>
    <w:rsid w:val="00C87CF3"/>
    <w:rsid w:val="00C903FE"/>
    <w:rsid w:val="00C90563"/>
    <w:rsid w:val="00C91022"/>
    <w:rsid w:val="00C910DD"/>
    <w:rsid w:val="00C914C7"/>
    <w:rsid w:val="00C91559"/>
    <w:rsid w:val="00C91790"/>
    <w:rsid w:val="00C9191C"/>
    <w:rsid w:val="00C91ACA"/>
    <w:rsid w:val="00C91D81"/>
    <w:rsid w:val="00C9240C"/>
    <w:rsid w:val="00C92A2C"/>
    <w:rsid w:val="00C92E4F"/>
    <w:rsid w:val="00C92FAE"/>
    <w:rsid w:val="00C93648"/>
    <w:rsid w:val="00C9377D"/>
    <w:rsid w:val="00C94388"/>
    <w:rsid w:val="00C946FD"/>
    <w:rsid w:val="00C94BBB"/>
    <w:rsid w:val="00C954C4"/>
    <w:rsid w:val="00C95C23"/>
    <w:rsid w:val="00C960D3"/>
    <w:rsid w:val="00C96B39"/>
    <w:rsid w:val="00C96BFB"/>
    <w:rsid w:val="00C96EEC"/>
    <w:rsid w:val="00C970B3"/>
    <w:rsid w:val="00C9729A"/>
    <w:rsid w:val="00C97391"/>
    <w:rsid w:val="00C9751E"/>
    <w:rsid w:val="00C97737"/>
    <w:rsid w:val="00C979AB"/>
    <w:rsid w:val="00C97EAB"/>
    <w:rsid w:val="00CA009C"/>
    <w:rsid w:val="00CA104D"/>
    <w:rsid w:val="00CA1084"/>
    <w:rsid w:val="00CA15EC"/>
    <w:rsid w:val="00CA1850"/>
    <w:rsid w:val="00CA1C09"/>
    <w:rsid w:val="00CA239E"/>
    <w:rsid w:val="00CA26BD"/>
    <w:rsid w:val="00CA2AEF"/>
    <w:rsid w:val="00CA2BFE"/>
    <w:rsid w:val="00CA2C29"/>
    <w:rsid w:val="00CA32DA"/>
    <w:rsid w:val="00CA3552"/>
    <w:rsid w:val="00CA3AED"/>
    <w:rsid w:val="00CA3EEE"/>
    <w:rsid w:val="00CA422B"/>
    <w:rsid w:val="00CA4299"/>
    <w:rsid w:val="00CA4FAA"/>
    <w:rsid w:val="00CA55DF"/>
    <w:rsid w:val="00CA577E"/>
    <w:rsid w:val="00CA5C54"/>
    <w:rsid w:val="00CA5C6D"/>
    <w:rsid w:val="00CA5C75"/>
    <w:rsid w:val="00CA6DEC"/>
    <w:rsid w:val="00CA6EE2"/>
    <w:rsid w:val="00CA77E2"/>
    <w:rsid w:val="00CA7C8F"/>
    <w:rsid w:val="00CB024F"/>
    <w:rsid w:val="00CB0D30"/>
    <w:rsid w:val="00CB17DC"/>
    <w:rsid w:val="00CB2B0F"/>
    <w:rsid w:val="00CB39B9"/>
    <w:rsid w:val="00CB3EC6"/>
    <w:rsid w:val="00CB410A"/>
    <w:rsid w:val="00CB4450"/>
    <w:rsid w:val="00CB485F"/>
    <w:rsid w:val="00CB4BBD"/>
    <w:rsid w:val="00CB4F83"/>
    <w:rsid w:val="00CB4F99"/>
    <w:rsid w:val="00CB500E"/>
    <w:rsid w:val="00CB50FA"/>
    <w:rsid w:val="00CB53D1"/>
    <w:rsid w:val="00CB556A"/>
    <w:rsid w:val="00CB55F0"/>
    <w:rsid w:val="00CB5AED"/>
    <w:rsid w:val="00CB5BF9"/>
    <w:rsid w:val="00CB5EAD"/>
    <w:rsid w:val="00CB693F"/>
    <w:rsid w:val="00CB6E02"/>
    <w:rsid w:val="00CB70DB"/>
    <w:rsid w:val="00CB77AF"/>
    <w:rsid w:val="00CC0035"/>
    <w:rsid w:val="00CC0469"/>
    <w:rsid w:val="00CC04CD"/>
    <w:rsid w:val="00CC0A99"/>
    <w:rsid w:val="00CC0E10"/>
    <w:rsid w:val="00CC0F3E"/>
    <w:rsid w:val="00CC1015"/>
    <w:rsid w:val="00CC17EF"/>
    <w:rsid w:val="00CC1E6A"/>
    <w:rsid w:val="00CC26B9"/>
    <w:rsid w:val="00CC2892"/>
    <w:rsid w:val="00CC2EEE"/>
    <w:rsid w:val="00CC3343"/>
    <w:rsid w:val="00CC376D"/>
    <w:rsid w:val="00CC43D9"/>
    <w:rsid w:val="00CC44A0"/>
    <w:rsid w:val="00CC53BB"/>
    <w:rsid w:val="00CC5443"/>
    <w:rsid w:val="00CC62BD"/>
    <w:rsid w:val="00CC661C"/>
    <w:rsid w:val="00CC6D97"/>
    <w:rsid w:val="00CC6F15"/>
    <w:rsid w:val="00CC7328"/>
    <w:rsid w:val="00CC7356"/>
    <w:rsid w:val="00CC77CF"/>
    <w:rsid w:val="00CC77D9"/>
    <w:rsid w:val="00CD036A"/>
    <w:rsid w:val="00CD038C"/>
    <w:rsid w:val="00CD095F"/>
    <w:rsid w:val="00CD1160"/>
    <w:rsid w:val="00CD1B09"/>
    <w:rsid w:val="00CD1B84"/>
    <w:rsid w:val="00CD1F20"/>
    <w:rsid w:val="00CD1FAA"/>
    <w:rsid w:val="00CD23BA"/>
    <w:rsid w:val="00CD289B"/>
    <w:rsid w:val="00CD2F26"/>
    <w:rsid w:val="00CD39B3"/>
    <w:rsid w:val="00CD4024"/>
    <w:rsid w:val="00CD496F"/>
    <w:rsid w:val="00CD4C22"/>
    <w:rsid w:val="00CD4ECE"/>
    <w:rsid w:val="00CD5A55"/>
    <w:rsid w:val="00CD5A8E"/>
    <w:rsid w:val="00CD658B"/>
    <w:rsid w:val="00CD6B0F"/>
    <w:rsid w:val="00CE0081"/>
    <w:rsid w:val="00CE04AA"/>
    <w:rsid w:val="00CE067F"/>
    <w:rsid w:val="00CE09C0"/>
    <w:rsid w:val="00CE12B0"/>
    <w:rsid w:val="00CE1320"/>
    <w:rsid w:val="00CE2881"/>
    <w:rsid w:val="00CE294B"/>
    <w:rsid w:val="00CE376F"/>
    <w:rsid w:val="00CE3921"/>
    <w:rsid w:val="00CE41BE"/>
    <w:rsid w:val="00CE4299"/>
    <w:rsid w:val="00CE5292"/>
    <w:rsid w:val="00CE53CA"/>
    <w:rsid w:val="00CE567E"/>
    <w:rsid w:val="00CE5888"/>
    <w:rsid w:val="00CE5936"/>
    <w:rsid w:val="00CE5FBB"/>
    <w:rsid w:val="00CE6296"/>
    <w:rsid w:val="00CE64ED"/>
    <w:rsid w:val="00CE6748"/>
    <w:rsid w:val="00CE69C2"/>
    <w:rsid w:val="00CE6D33"/>
    <w:rsid w:val="00CE70E2"/>
    <w:rsid w:val="00CE7832"/>
    <w:rsid w:val="00CF0274"/>
    <w:rsid w:val="00CF053A"/>
    <w:rsid w:val="00CF0D65"/>
    <w:rsid w:val="00CF10F9"/>
    <w:rsid w:val="00CF1E46"/>
    <w:rsid w:val="00CF2300"/>
    <w:rsid w:val="00CF2671"/>
    <w:rsid w:val="00CF27E2"/>
    <w:rsid w:val="00CF2AF2"/>
    <w:rsid w:val="00CF2D96"/>
    <w:rsid w:val="00CF31E0"/>
    <w:rsid w:val="00CF3653"/>
    <w:rsid w:val="00CF3B57"/>
    <w:rsid w:val="00CF3BFC"/>
    <w:rsid w:val="00CF401A"/>
    <w:rsid w:val="00CF469D"/>
    <w:rsid w:val="00CF4765"/>
    <w:rsid w:val="00CF4952"/>
    <w:rsid w:val="00CF4C38"/>
    <w:rsid w:val="00CF4C3A"/>
    <w:rsid w:val="00CF519D"/>
    <w:rsid w:val="00CF51C2"/>
    <w:rsid w:val="00CF54DE"/>
    <w:rsid w:val="00CF56F4"/>
    <w:rsid w:val="00CF5B32"/>
    <w:rsid w:val="00CF5DC9"/>
    <w:rsid w:val="00CF6228"/>
    <w:rsid w:val="00CF68F1"/>
    <w:rsid w:val="00CF6AB8"/>
    <w:rsid w:val="00CF6FF1"/>
    <w:rsid w:val="00CF756B"/>
    <w:rsid w:val="00D009CF"/>
    <w:rsid w:val="00D00D08"/>
    <w:rsid w:val="00D014E1"/>
    <w:rsid w:val="00D016D9"/>
    <w:rsid w:val="00D01954"/>
    <w:rsid w:val="00D01C48"/>
    <w:rsid w:val="00D01C72"/>
    <w:rsid w:val="00D01FC8"/>
    <w:rsid w:val="00D02253"/>
    <w:rsid w:val="00D027CF"/>
    <w:rsid w:val="00D02B56"/>
    <w:rsid w:val="00D03267"/>
    <w:rsid w:val="00D03339"/>
    <w:rsid w:val="00D037D5"/>
    <w:rsid w:val="00D044C1"/>
    <w:rsid w:val="00D045F3"/>
    <w:rsid w:val="00D04657"/>
    <w:rsid w:val="00D04789"/>
    <w:rsid w:val="00D04856"/>
    <w:rsid w:val="00D0490E"/>
    <w:rsid w:val="00D04ED7"/>
    <w:rsid w:val="00D05073"/>
    <w:rsid w:val="00D051E0"/>
    <w:rsid w:val="00D0580C"/>
    <w:rsid w:val="00D05DC9"/>
    <w:rsid w:val="00D060C1"/>
    <w:rsid w:val="00D063B4"/>
    <w:rsid w:val="00D064F3"/>
    <w:rsid w:val="00D0667F"/>
    <w:rsid w:val="00D06745"/>
    <w:rsid w:val="00D0762E"/>
    <w:rsid w:val="00D100B6"/>
    <w:rsid w:val="00D10118"/>
    <w:rsid w:val="00D1029A"/>
    <w:rsid w:val="00D102F5"/>
    <w:rsid w:val="00D113A9"/>
    <w:rsid w:val="00D1140A"/>
    <w:rsid w:val="00D12E2B"/>
    <w:rsid w:val="00D12F61"/>
    <w:rsid w:val="00D13031"/>
    <w:rsid w:val="00D135B2"/>
    <w:rsid w:val="00D140E6"/>
    <w:rsid w:val="00D1428B"/>
    <w:rsid w:val="00D14ABF"/>
    <w:rsid w:val="00D14B2F"/>
    <w:rsid w:val="00D16545"/>
    <w:rsid w:val="00D1707C"/>
    <w:rsid w:val="00D17152"/>
    <w:rsid w:val="00D17607"/>
    <w:rsid w:val="00D17D2A"/>
    <w:rsid w:val="00D202AA"/>
    <w:rsid w:val="00D21594"/>
    <w:rsid w:val="00D21DBE"/>
    <w:rsid w:val="00D22A68"/>
    <w:rsid w:val="00D22FC1"/>
    <w:rsid w:val="00D2310D"/>
    <w:rsid w:val="00D23335"/>
    <w:rsid w:val="00D23427"/>
    <w:rsid w:val="00D235A9"/>
    <w:rsid w:val="00D240BE"/>
    <w:rsid w:val="00D243C1"/>
    <w:rsid w:val="00D2462C"/>
    <w:rsid w:val="00D25E8E"/>
    <w:rsid w:val="00D262C1"/>
    <w:rsid w:val="00D2661D"/>
    <w:rsid w:val="00D27492"/>
    <w:rsid w:val="00D27737"/>
    <w:rsid w:val="00D27DF0"/>
    <w:rsid w:val="00D300D2"/>
    <w:rsid w:val="00D30907"/>
    <w:rsid w:val="00D3091A"/>
    <w:rsid w:val="00D30994"/>
    <w:rsid w:val="00D30B7A"/>
    <w:rsid w:val="00D30F92"/>
    <w:rsid w:val="00D31285"/>
    <w:rsid w:val="00D3140B"/>
    <w:rsid w:val="00D314C1"/>
    <w:rsid w:val="00D315E6"/>
    <w:rsid w:val="00D322F7"/>
    <w:rsid w:val="00D323E6"/>
    <w:rsid w:val="00D32541"/>
    <w:rsid w:val="00D3256D"/>
    <w:rsid w:val="00D3294E"/>
    <w:rsid w:val="00D329A0"/>
    <w:rsid w:val="00D32E4B"/>
    <w:rsid w:val="00D32E8B"/>
    <w:rsid w:val="00D330BA"/>
    <w:rsid w:val="00D3321D"/>
    <w:rsid w:val="00D33265"/>
    <w:rsid w:val="00D33968"/>
    <w:rsid w:val="00D341A7"/>
    <w:rsid w:val="00D34366"/>
    <w:rsid w:val="00D345B4"/>
    <w:rsid w:val="00D348B9"/>
    <w:rsid w:val="00D351D2"/>
    <w:rsid w:val="00D3538A"/>
    <w:rsid w:val="00D3591C"/>
    <w:rsid w:val="00D36611"/>
    <w:rsid w:val="00D36750"/>
    <w:rsid w:val="00D36C2E"/>
    <w:rsid w:val="00D37196"/>
    <w:rsid w:val="00D4081B"/>
    <w:rsid w:val="00D40C33"/>
    <w:rsid w:val="00D40FB8"/>
    <w:rsid w:val="00D41CA4"/>
    <w:rsid w:val="00D41E7B"/>
    <w:rsid w:val="00D42A3B"/>
    <w:rsid w:val="00D42B07"/>
    <w:rsid w:val="00D42C81"/>
    <w:rsid w:val="00D431DC"/>
    <w:rsid w:val="00D43669"/>
    <w:rsid w:val="00D4378F"/>
    <w:rsid w:val="00D439CB"/>
    <w:rsid w:val="00D43CFE"/>
    <w:rsid w:val="00D44504"/>
    <w:rsid w:val="00D44544"/>
    <w:rsid w:val="00D44692"/>
    <w:rsid w:val="00D44D77"/>
    <w:rsid w:val="00D45418"/>
    <w:rsid w:val="00D454BE"/>
    <w:rsid w:val="00D45ED6"/>
    <w:rsid w:val="00D46FFC"/>
    <w:rsid w:val="00D4730C"/>
    <w:rsid w:val="00D477EF"/>
    <w:rsid w:val="00D4796D"/>
    <w:rsid w:val="00D47C94"/>
    <w:rsid w:val="00D500E5"/>
    <w:rsid w:val="00D501E7"/>
    <w:rsid w:val="00D503DC"/>
    <w:rsid w:val="00D5058D"/>
    <w:rsid w:val="00D5094F"/>
    <w:rsid w:val="00D50E23"/>
    <w:rsid w:val="00D51B58"/>
    <w:rsid w:val="00D51DF6"/>
    <w:rsid w:val="00D523D8"/>
    <w:rsid w:val="00D52734"/>
    <w:rsid w:val="00D52A17"/>
    <w:rsid w:val="00D52C1B"/>
    <w:rsid w:val="00D5321A"/>
    <w:rsid w:val="00D532BF"/>
    <w:rsid w:val="00D5377D"/>
    <w:rsid w:val="00D54558"/>
    <w:rsid w:val="00D547F0"/>
    <w:rsid w:val="00D54DFB"/>
    <w:rsid w:val="00D55D56"/>
    <w:rsid w:val="00D56ED5"/>
    <w:rsid w:val="00D577F5"/>
    <w:rsid w:val="00D57F9F"/>
    <w:rsid w:val="00D60045"/>
    <w:rsid w:val="00D60182"/>
    <w:rsid w:val="00D612B4"/>
    <w:rsid w:val="00D61642"/>
    <w:rsid w:val="00D61C58"/>
    <w:rsid w:val="00D6224F"/>
    <w:rsid w:val="00D62664"/>
    <w:rsid w:val="00D62BD8"/>
    <w:rsid w:val="00D62DC3"/>
    <w:rsid w:val="00D62E49"/>
    <w:rsid w:val="00D6358C"/>
    <w:rsid w:val="00D636FC"/>
    <w:rsid w:val="00D6390F"/>
    <w:rsid w:val="00D63A14"/>
    <w:rsid w:val="00D6404B"/>
    <w:rsid w:val="00D641A2"/>
    <w:rsid w:val="00D64BAC"/>
    <w:rsid w:val="00D657FE"/>
    <w:rsid w:val="00D66BD5"/>
    <w:rsid w:val="00D66DE8"/>
    <w:rsid w:val="00D66E58"/>
    <w:rsid w:val="00D67043"/>
    <w:rsid w:val="00D67874"/>
    <w:rsid w:val="00D67BDA"/>
    <w:rsid w:val="00D704CA"/>
    <w:rsid w:val="00D70C8C"/>
    <w:rsid w:val="00D70F3A"/>
    <w:rsid w:val="00D70FD0"/>
    <w:rsid w:val="00D71702"/>
    <w:rsid w:val="00D71B96"/>
    <w:rsid w:val="00D71D6F"/>
    <w:rsid w:val="00D71E20"/>
    <w:rsid w:val="00D7242A"/>
    <w:rsid w:val="00D7259D"/>
    <w:rsid w:val="00D72796"/>
    <w:rsid w:val="00D7289B"/>
    <w:rsid w:val="00D72DFC"/>
    <w:rsid w:val="00D72F93"/>
    <w:rsid w:val="00D730E8"/>
    <w:rsid w:val="00D738B9"/>
    <w:rsid w:val="00D743E5"/>
    <w:rsid w:val="00D74847"/>
    <w:rsid w:val="00D760CC"/>
    <w:rsid w:val="00D766E8"/>
    <w:rsid w:val="00D76BA3"/>
    <w:rsid w:val="00D770EF"/>
    <w:rsid w:val="00D772EF"/>
    <w:rsid w:val="00D77770"/>
    <w:rsid w:val="00D77A8E"/>
    <w:rsid w:val="00D77DD7"/>
    <w:rsid w:val="00D8061D"/>
    <w:rsid w:val="00D816E2"/>
    <w:rsid w:val="00D817FE"/>
    <w:rsid w:val="00D81CC2"/>
    <w:rsid w:val="00D82821"/>
    <w:rsid w:val="00D82A6F"/>
    <w:rsid w:val="00D8352C"/>
    <w:rsid w:val="00D83988"/>
    <w:rsid w:val="00D83E68"/>
    <w:rsid w:val="00D84537"/>
    <w:rsid w:val="00D84633"/>
    <w:rsid w:val="00D84999"/>
    <w:rsid w:val="00D852E1"/>
    <w:rsid w:val="00D8566E"/>
    <w:rsid w:val="00D85D8C"/>
    <w:rsid w:val="00D86436"/>
    <w:rsid w:val="00D87519"/>
    <w:rsid w:val="00D87748"/>
    <w:rsid w:val="00D87834"/>
    <w:rsid w:val="00D87B2A"/>
    <w:rsid w:val="00D87D40"/>
    <w:rsid w:val="00D90199"/>
    <w:rsid w:val="00D9025D"/>
    <w:rsid w:val="00D90439"/>
    <w:rsid w:val="00D907B8"/>
    <w:rsid w:val="00D90B4D"/>
    <w:rsid w:val="00D91133"/>
    <w:rsid w:val="00D9126D"/>
    <w:rsid w:val="00D91793"/>
    <w:rsid w:val="00D91A3B"/>
    <w:rsid w:val="00D91FDB"/>
    <w:rsid w:val="00D923ED"/>
    <w:rsid w:val="00D92659"/>
    <w:rsid w:val="00D92C26"/>
    <w:rsid w:val="00D932F0"/>
    <w:rsid w:val="00D9334D"/>
    <w:rsid w:val="00D93A7E"/>
    <w:rsid w:val="00D94430"/>
    <w:rsid w:val="00D94EFD"/>
    <w:rsid w:val="00D954DD"/>
    <w:rsid w:val="00D957FB"/>
    <w:rsid w:val="00D95E47"/>
    <w:rsid w:val="00D960BA"/>
    <w:rsid w:val="00D96145"/>
    <w:rsid w:val="00D9683E"/>
    <w:rsid w:val="00D96ACE"/>
    <w:rsid w:val="00D96B68"/>
    <w:rsid w:val="00D97523"/>
    <w:rsid w:val="00DA0504"/>
    <w:rsid w:val="00DA0DBB"/>
    <w:rsid w:val="00DA0EE2"/>
    <w:rsid w:val="00DA1480"/>
    <w:rsid w:val="00DA1DBB"/>
    <w:rsid w:val="00DA2406"/>
    <w:rsid w:val="00DA2417"/>
    <w:rsid w:val="00DA35D1"/>
    <w:rsid w:val="00DA4360"/>
    <w:rsid w:val="00DA4402"/>
    <w:rsid w:val="00DA5CF7"/>
    <w:rsid w:val="00DA65FF"/>
    <w:rsid w:val="00DA6658"/>
    <w:rsid w:val="00DA685E"/>
    <w:rsid w:val="00DA68BB"/>
    <w:rsid w:val="00DA6C7F"/>
    <w:rsid w:val="00DA7368"/>
    <w:rsid w:val="00DA75DE"/>
    <w:rsid w:val="00DA7D1A"/>
    <w:rsid w:val="00DB016B"/>
    <w:rsid w:val="00DB01E0"/>
    <w:rsid w:val="00DB056E"/>
    <w:rsid w:val="00DB07FD"/>
    <w:rsid w:val="00DB0F03"/>
    <w:rsid w:val="00DB14A1"/>
    <w:rsid w:val="00DB182E"/>
    <w:rsid w:val="00DB1C7D"/>
    <w:rsid w:val="00DB20B3"/>
    <w:rsid w:val="00DB22EE"/>
    <w:rsid w:val="00DB23C6"/>
    <w:rsid w:val="00DB2F6B"/>
    <w:rsid w:val="00DB3442"/>
    <w:rsid w:val="00DB3EA6"/>
    <w:rsid w:val="00DB44D4"/>
    <w:rsid w:val="00DB452B"/>
    <w:rsid w:val="00DB47AF"/>
    <w:rsid w:val="00DB47EF"/>
    <w:rsid w:val="00DB526C"/>
    <w:rsid w:val="00DB52E0"/>
    <w:rsid w:val="00DB55C9"/>
    <w:rsid w:val="00DB6276"/>
    <w:rsid w:val="00DB6851"/>
    <w:rsid w:val="00DB6E24"/>
    <w:rsid w:val="00DB6FC9"/>
    <w:rsid w:val="00DB709C"/>
    <w:rsid w:val="00DB752B"/>
    <w:rsid w:val="00DB7FF8"/>
    <w:rsid w:val="00DC001D"/>
    <w:rsid w:val="00DC0FB9"/>
    <w:rsid w:val="00DC11A7"/>
    <w:rsid w:val="00DC1C15"/>
    <w:rsid w:val="00DC239A"/>
    <w:rsid w:val="00DC27F9"/>
    <w:rsid w:val="00DC2882"/>
    <w:rsid w:val="00DC29A9"/>
    <w:rsid w:val="00DC3709"/>
    <w:rsid w:val="00DC3BC8"/>
    <w:rsid w:val="00DC414E"/>
    <w:rsid w:val="00DC41B5"/>
    <w:rsid w:val="00DC5180"/>
    <w:rsid w:val="00DC5632"/>
    <w:rsid w:val="00DC5770"/>
    <w:rsid w:val="00DC60C3"/>
    <w:rsid w:val="00DC6231"/>
    <w:rsid w:val="00DC677B"/>
    <w:rsid w:val="00DC6812"/>
    <w:rsid w:val="00DC68D7"/>
    <w:rsid w:val="00DC6ABA"/>
    <w:rsid w:val="00DC6E2B"/>
    <w:rsid w:val="00DC7102"/>
    <w:rsid w:val="00DC72ED"/>
    <w:rsid w:val="00DC72F5"/>
    <w:rsid w:val="00DC7422"/>
    <w:rsid w:val="00DC74D3"/>
    <w:rsid w:val="00DC761F"/>
    <w:rsid w:val="00DC790F"/>
    <w:rsid w:val="00DC7AE1"/>
    <w:rsid w:val="00DC7E5C"/>
    <w:rsid w:val="00DD08CC"/>
    <w:rsid w:val="00DD0D48"/>
    <w:rsid w:val="00DD124F"/>
    <w:rsid w:val="00DD161B"/>
    <w:rsid w:val="00DD1921"/>
    <w:rsid w:val="00DD22B3"/>
    <w:rsid w:val="00DD2317"/>
    <w:rsid w:val="00DD2563"/>
    <w:rsid w:val="00DD2C93"/>
    <w:rsid w:val="00DD51AA"/>
    <w:rsid w:val="00DD522F"/>
    <w:rsid w:val="00DD53B2"/>
    <w:rsid w:val="00DD5565"/>
    <w:rsid w:val="00DD559B"/>
    <w:rsid w:val="00DD5801"/>
    <w:rsid w:val="00DD5EB9"/>
    <w:rsid w:val="00DD7500"/>
    <w:rsid w:val="00DD79C2"/>
    <w:rsid w:val="00DD7A44"/>
    <w:rsid w:val="00DD7C33"/>
    <w:rsid w:val="00DD7C69"/>
    <w:rsid w:val="00DE002B"/>
    <w:rsid w:val="00DE03F0"/>
    <w:rsid w:val="00DE0AC8"/>
    <w:rsid w:val="00DE0B50"/>
    <w:rsid w:val="00DE10B4"/>
    <w:rsid w:val="00DE140D"/>
    <w:rsid w:val="00DE168C"/>
    <w:rsid w:val="00DE18C4"/>
    <w:rsid w:val="00DE1AC5"/>
    <w:rsid w:val="00DE1C17"/>
    <w:rsid w:val="00DE231C"/>
    <w:rsid w:val="00DE246E"/>
    <w:rsid w:val="00DE293E"/>
    <w:rsid w:val="00DE2B44"/>
    <w:rsid w:val="00DE2F1C"/>
    <w:rsid w:val="00DE2FFC"/>
    <w:rsid w:val="00DE30BE"/>
    <w:rsid w:val="00DE3103"/>
    <w:rsid w:val="00DE31A4"/>
    <w:rsid w:val="00DE3604"/>
    <w:rsid w:val="00DE3897"/>
    <w:rsid w:val="00DE3950"/>
    <w:rsid w:val="00DE4C6E"/>
    <w:rsid w:val="00DE4D85"/>
    <w:rsid w:val="00DE5038"/>
    <w:rsid w:val="00DE5C5E"/>
    <w:rsid w:val="00DE61E8"/>
    <w:rsid w:val="00DE63CF"/>
    <w:rsid w:val="00DE64B3"/>
    <w:rsid w:val="00DE6CB2"/>
    <w:rsid w:val="00DE6EA8"/>
    <w:rsid w:val="00DE7582"/>
    <w:rsid w:val="00DE79FC"/>
    <w:rsid w:val="00DE7BAD"/>
    <w:rsid w:val="00DE7FAE"/>
    <w:rsid w:val="00DF0119"/>
    <w:rsid w:val="00DF0379"/>
    <w:rsid w:val="00DF0BA8"/>
    <w:rsid w:val="00DF1716"/>
    <w:rsid w:val="00DF17FA"/>
    <w:rsid w:val="00DF191C"/>
    <w:rsid w:val="00DF1B01"/>
    <w:rsid w:val="00DF239D"/>
    <w:rsid w:val="00DF2924"/>
    <w:rsid w:val="00DF2F3C"/>
    <w:rsid w:val="00DF33EF"/>
    <w:rsid w:val="00DF3410"/>
    <w:rsid w:val="00DF3A8B"/>
    <w:rsid w:val="00DF3BCA"/>
    <w:rsid w:val="00DF3C80"/>
    <w:rsid w:val="00DF3FA7"/>
    <w:rsid w:val="00DF4020"/>
    <w:rsid w:val="00DF4AAA"/>
    <w:rsid w:val="00DF4DB0"/>
    <w:rsid w:val="00DF5432"/>
    <w:rsid w:val="00DF573A"/>
    <w:rsid w:val="00DF584A"/>
    <w:rsid w:val="00DF585B"/>
    <w:rsid w:val="00DF5B21"/>
    <w:rsid w:val="00DF6B79"/>
    <w:rsid w:val="00DF6C3B"/>
    <w:rsid w:val="00DF6E5D"/>
    <w:rsid w:val="00DF714B"/>
    <w:rsid w:val="00DF7C6D"/>
    <w:rsid w:val="00DF7F1D"/>
    <w:rsid w:val="00E0000D"/>
    <w:rsid w:val="00E00924"/>
    <w:rsid w:val="00E01073"/>
    <w:rsid w:val="00E013B4"/>
    <w:rsid w:val="00E016D9"/>
    <w:rsid w:val="00E019DB"/>
    <w:rsid w:val="00E01D15"/>
    <w:rsid w:val="00E021D1"/>
    <w:rsid w:val="00E0225B"/>
    <w:rsid w:val="00E02826"/>
    <w:rsid w:val="00E03798"/>
    <w:rsid w:val="00E0386E"/>
    <w:rsid w:val="00E04188"/>
    <w:rsid w:val="00E044FA"/>
    <w:rsid w:val="00E049AB"/>
    <w:rsid w:val="00E04D99"/>
    <w:rsid w:val="00E0567C"/>
    <w:rsid w:val="00E05BF1"/>
    <w:rsid w:val="00E0634F"/>
    <w:rsid w:val="00E065EB"/>
    <w:rsid w:val="00E06976"/>
    <w:rsid w:val="00E06D35"/>
    <w:rsid w:val="00E0721C"/>
    <w:rsid w:val="00E074A9"/>
    <w:rsid w:val="00E07E36"/>
    <w:rsid w:val="00E10066"/>
    <w:rsid w:val="00E10714"/>
    <w:rsid w:val="00E10945"/>
    <w:rsid w:val="00E11279"/>
    <w:rsid w:val="00E11C3D"/>
    <w:rsid w:val="00E123DA"/>
    <w:rsid w:val="00E129DB"/>
    <w:rsid w:val="00E13221"/>
    <w:rsid w:val="00E13270"/>
    <w:rsid w:val="00E1335A"/>
    <w:rsid w:val="00E13830"/>
    <w:rsid w:val="00E13891"/>
    <w:rsid w:val="00E138CA"/>
    <w:rsid w:val="00E13DDB"/>
    <w:rsid w:val="00E14419"/>
    <w:rsid w:val="00E144C5"/>
    <w:rsid w:val="00E148CA"/>
    <w:rsid w:val="00E1493D"/>
    <w:rsid w:val="00E14AE6"/>
    <w:rsid w:val="00E14B20"/>
    <w:rsid w:val="00E14F34"/>
    <w:rsid w:val="00E152AB"/>
    <w:rsid w:val="00E15372"/>
    <w:rsid w:val="00E158A9"/>
    <w:rsid w:val="00E1636A"/>
    <w:rsid w:val="00E16652"/>
    <w:rsid w:val="00E16D27"/>
    <w:rsid w:val="00E16E9E"/>
    <w:rsid w:val="00E16EB4"/>
    <w:rsid w:val="00E1771A"/>
    <w:rsid w:val="00E17756"/>
    <w:rsid w:val="00E1790A"/>
    <w:rsid w:val="00E179C7"/>
    <w:rsid w:val="00E17B7E"/>
    <w:rsid w:val="00E17BFB"/>
    <w:rsid w:val="00E2049B"/>
    <w:rsid w:val="00E206E0"/>
    <w:rsid w:val="00E2131E"/>
    <w:rsid w:val="00E2161C"/>
    <w:rsid w:val="00E21B6B"/>
    <w:rsid w:val="00E222CC"/>
    <w:rsid w:val="00E22730"/>
    <w:rsid w:val="00E22DA6"/>
    <w:rsid w:val="00E235B4"/>
    <w:rsid w:val="00E23603"/>
    <w:rsid w:val="00E23DFD"/>
    <w:rsid w:val="00E24088"/>
    <w:rsid w:val="00E24253"/>
    <w:rsid w:val="00E2493B"/>
    <w:rsid w:val="00E250E6"/>
    <w:rsid w:val="00E2511F"/>
    <w:rsid w:val="00E256DF"/>
    <w:rsid w:val="00E25790"/>
    <w:rsid w:val="00E25913"/>
    <w:rsid w:val="00E25E10"/>
    <w:rsid w:val="00E268F3"/>
    <w:rsid w:val="00E2723E"/>
    <w:rsid w:val="00E2728E"/>
    <w:rsid w:val="00E2737F"/>
    <w:rsid w:val="00E27F19"/>
    <w:rsid w:val="00E30408"/>
    <w:rsid w:val="00E3043C"/>
    <w:rsid w:val="00E3056C"/>
    <w:rsid w:val="00E30B55"/>
    <w:rsid w:val="00E30FF6"/>
    <w:rsid w:val="00E31212"/>
    <w:rsid w:val="00E314D2"/>
    <w:rsid w:val="00E31637"/>
    <w:rsid w:val="00E31651"/>
    <w:rsid w:val="00E31939"/>
    <w:rsid w:val="00E31E97"/>
    <w:rsid w:val="00E32606"/>
    <w:rsid w:val="00E331E4"/>
    <w:rsid w:val="00E33382"/>
    <w:rsid w:val="00E3388F"/>
    <w:rsid w:val="00E33A41"/>
    <w:rsid w:val="00E34945"/>
    <w:rsid w:val="00E34986"/>
    <w:rsid w:val="00E34B18"/>
    <w:rsid w:val="00E34ECF"/>
    <w:rsid w:val="00E350E8"/>
    <w:rsid w:val="00E350FD"/>
    <w:rsid w:val="00E354EE"/>
    <w:rsid w:val="00E3566D"/>
    <w:rsid w:val="00E3588A"/>
    <w:rsid w:val="00E35DC2"/>
    <w:rsid w:val="00E3634D"/>
    <w:rsid w:val="00E363DA"/>
    <w:rsid w:val="00E3650B"/>
    <w:rsid w:val="00E368B6"/>
    <w:rsid w:val="00E36B44"/>
    <w:rsid w:val="00E37122"/>
    <w:rsid w:val="00E37529"/>
    <w:rsid w:val="00E4084F"/>
    <w:rsid w:val="00E40910"/>
    <w:rsid w:val="00E40B56"/>
    <w:rsid w:val="00E40DB1"/>
    <w:rsid w:val="00E40EF2"/>
    <w:rsid w:val="00E410E8"/>
    <w:rsid w:val="00E41569"/>
    <w:rsid w:val="00E416F5"/>
    <w:rsid w:val="00E41DF8"/>
    <w:rsid w:val="00E42077"/>
    <w:rsid w:val="00E42244"/>
    <w:rsid w:val="00E42723"/>
    <w:rsid w:val="00E42CF9"/>
    <w:rsid w:val="00E43174"/>
    <w:rsid w:val="00E43188"/>
    <w:rsid w:val="00E43332"/>
    <w:rsid w:val="00E435FF"/>
    <w:rsid w:val="00E439B6"/>
    <w:rsid w:val="00E44131"/>
    <w:rsid w:val="00E44470"/>
    <w:rsid w:val="00E44577"/>
    <w:rsid w:val="00E447AA"/>
    <w:rsid w:val="00E44806"/>
    <w:rsid w:val="00E45236"/>
    <w:rsid w:val="00E452FE"/>
    <w:rsid w:val="00E45303"/>
    <w:rsid w:val="00E454FF"/>
    <w:rsid w:val="00E45761"/>
    <w:rsid w:val="00E457BF"/>
    <w:rsid w:val="00E458D0"/>
    <w:rsid w:val="00E4593B"/>
    <w:rsid w:val="00E46DD3"/>
    <w:rsid w:val="00E46DDE"/>
    <w:rsid w:val="00E4732E"/>
    <w:rsid w:val="00E4773D"/>
    <w:rsid w:val="00E503CA"/>
    <w:rsid w:val="00E5051F"/>
    <w:rsid w:val="00E507B6"/>
    <w:rsid w:val="00E508E0"/>
    <w:rsid w:val="00E50D3D"/>
    <w:rsid w:val="00E50D69"/>
    <w:rsid w:val="00E51348"/>
    <w:rsid w:val="00E51AE7"/>
    <w:rsid w:val="00E51B3C"/>
    <w:rsid w:val="00E522F5"/>
    <w:rsid w:val="00E5262B"/>
    <w:rsid w:val="00E53071"/>
    <w:rsid w:val="00E5327F"/>
    <w:rsid w:val="00E53A34"/>
    <w:rsid w:val="00E53C93"/>
    <w:rsid w:val="00E541B1"/>
    <w:rsid w:val="00E544E6"/>
    <w:rsid w:val="00E54A6E"/>
    <w:rsid w:val="00E55021"/>
    <w:rsid w:val="00E5524E"/>
    <w:rsid w:val="00E55D84"/>
    <w:rsid w:val="00E55F6D"/>
    <w:rsid w:val="00E5647B"/>
    <w:rsid w:val="00E56629"/>
    <w:rsid w:val="00E56669"/>
    <w:rsid w:val="00E56BEC"/>
    <w:rsid w:val="00E57916"/>
    <w:rsid w:val="00E57A49"/>
    <w:rsid w:val="00E600E9"/>
    <w:rsid w:val="00E6039E"/>
    <w:rsid w:val="00E60516"/>
    <w:rsid w:val="00E607E9"/>
    <w:rsid w:val="00E60F86"/>
    <w:rsid w:val="00E616DB"/>
    <w:rsid w:val="00E617D5"/>
    <w:rsid w:val="00E62099"/>
    <w:rsid w:val="00E620D3"/>
    <w:rsid w:val="00E62748"/>
    <w:rsid w:val="00E6295A"/>
    <w:rsid w:val="00E63465"/>
    <w:rsid w:val="00E63581"/>
    <w:rsid w:val="00E63D51"/>
    <w:rsid w:val="00E63F84"/>
    <w:rsid w:val="00E64738"/>
    <w:rsid w:val="00E648B0"/>
    <w:rsid w:val="00E64A9A"/>
    <w:rsid w:val="00E6522B"/>
    <w:rsid w:val="00E65484"/>
    <w:rsid w:val="00E65899"/>
    <w:rsid w:val="00E65CE6"/>
    <w:rsid w:val="00E65F77"/>
    <w:rsid w:val="00E666F0"/>
    <w:rsid w:val="00E668BA"/>
    <w:rsid w:val="00E66F8A"/>
    <w:rsid w:val="00E67171"/>
    <w:rsid w:val="00E67258"/>
    <w:rsid w:val="00E672AF"/>
    <w:rsid w:val="00E672D6"/>
    <w:rsid w:val="00E67CF6"/>
    <w:rsid w:val="00E67EEA"/>
    <w:rsid w:val="00E70556"/>
    <w:rsid w:val="00E71150"/>
    <w:rsid w:val="00E715C0"/>
    <w:rsid w:val="00E7176D"/>
    <w:rsid w:val="00E71CC8"/>
    <w:rsid w:val="00E71EAC"/>
    <w:rsid w:val="00E72D78"/>
    <w:rsid w:val="00E72E51"/>
    <w:rsid w:val="00E72F58"/>
    <w:rsid w:val="00E73068"/>
    <w:rsid w:val="00E73130"/>
    <w:rsid w:val="00E73242"/>
    <w:rsid w:val="00E735E2"/>
    <w:rsid w:val="00E73A06"/>
    <w:rsid w:val="00E73A63"/>
    <w:rsid w:val="00E73B95"/>
    <w:rsid w:val="00E73D87"/>
    <w:rsid w:val="00E74563"/>
    <w:rsid w:val="00E748C0"/>
    <w:rsid w:val="00E75137"/>
    <w:rsid w:val="00E75465"/>
    <w:rsid w:val="00E7559D"/>
    <w:rsid w:val="00E759BE"/>
    <w:rsid w:val="00E75A42"/>
    <w:rsid w:val="00E75B3B"/>
    <w:rsid w:val="00E75B90"/>
    <w:rsid w:val="00E75C5D"/>
    <w:rsid w:val="00E75D7C"/>
    <w:rsid w:val="00E7611F"/>
    <w:rsid w:val="00E76184"/>
    <w:rsid w:val="00E768A2"/>
    <w:rsid w:val="00E76ACE"/>
    <w:rsid w:val="00E76AFA"/>
    <w:rsid w:val="00E76DCB"/>
    <w:rsid w:val="00E7746E"/>
    <w:rsid w:val="00E77F8C"/>
    <w:rsid w:val="00E800D4"/>
    <w:rsid w:val="00E80817"/>
    <w:rsid w:val="00E80BA9"/>
    <w:rsid w:val="00E80CF0"/>
    <w:rsid w:val="00E81F35"/>
    <w:rsid w:val="00E82717"/>
    <w:rsid w:val="00E82981"/>
    <w:rsid w:val="00E82E39"/>
    <w:rsid w:val="00E83021"/>
    <w:rsid w:val="00E83841"/>
    <w:rsid w:val="00E838D9"/>
    <w:rsid w:val="00E84569"/>
    <w:rsid w:val="00E84F17"/>
    <w:rsid w:val="00E84F33"/>
    <w:rsid w:val="00E851CC"/>
    <w:rsid w:val="00E853AE"/>
    <w:rsid w:val="00E858DA"/>
    <w:rsid w:val="00E862D8"/>
    <w:rsid w:val="00E867CF"/>
    <w:rsid w:val="00E86B43"/>
    <w:rsid w:val="00E8719F"/>
    <w:rsid w:val="00E8741D"/>
    <w:rsid w:val="00E874D4"/>
    <w:rsid w:val="00E875D4"/>
    <w:rsid w:val="00E8796C"/>
    <w:rsid w:val="00E9082E"/>
    <w:rsid w:val="00E9132B"/>
    <w:rsid w:val="00E91AD0"/>
    <w:rsid w:val="00E91BD3"/>
    <w:rsid w:val="00E91C5B"/>
    <w:rsid w:val="00E92020"/>
    <w:rsid w:val="00E92057"/>
    <w:rsid w:val="00E926C5"/>
    <w:rsid w:val="00E92A30"/>
    <w:rsid w:val="00E92FF5"/>
    <w:rsid w:val="00E936C3"/>
    <w:rsid w:val="00E939C4"/>
    <w:rsid w:val="00E93A1E"/>
    <w:rsid w:val="00E93C74"/>
    <w:rsid w:val="00E944BF"/>
    <w:rsid w:val="00E945FC"/>
    <w:rsid w:val="00E952F6"/>
    <w:rsid w:val="00E95304"/>
    <w:rsid w:val="00E9544A"/>
    <w:rsid w:val="00E954AA"/>
    <w:rsid w:val="00E961FE"/>
    <w:rsid w:val="00E966A6"/>
    <w:rsid w:val="00E96E88"/>
    <w:rsid w:val="00E96ECD"/>
    <w:rsid w:val="00E97032"/>
    <w:rsid w:val="00E970A8"/>
    <w:rsid w:val="00E971AD"/>
    <w:rsid w:val="00E97253"/>
    <w:rsid w:val="00E972D6"/>
    <w:rsid w:val="00E976EC"/>
    <w:rsid w:val="00E97BFC"/>
    <w:rsid w:val="00EA01B8"/>
    <w:rsid w:val="00EA1053"/>
    <w:rsid w:val="00EA1433"/>
    <w:rsid w:val="00EA1524"/>
    <w:rsid w:val="00EA18B1"/>
    <w:rsid w:val="00EA2755"/>
    <w:rsid w:val="00EA2776"/>
    <w:rsid w:val="00EA29A1"/>
    <w:rsid w:val="00EA328C"/>
    <w:rsid w:val="00EA3553"/>
    <w:rsid w:val="00EA3789"/>
    <w:rsid w:val="00EA3856"/>
    <w:rsid w:val="00EA388C"/>
    <w:rsid w:val="00EA39AF"/>
    <w:rsid w:val="00EA469E"/>
    <w:rsid w:val="00EA4970"/>
    <w:rsid w:val="00EA4D05"/>
    <w:rsid w:val="00EA4EBD"/>
    <w:rsid w:val="00EA54BC"/>
    <w:rsid w:val="00EA7134"/>
    <w:rsid w:val="00EA7678"/>
    <w:rsid w:val="00EA7940"/>
    <w:rsid w:val="00EA7B8C"/>
    <w:rsid w:val="00EA7C8C"/>
    <w:rsid w:val="00EB0036"/>
    <w:rsid w:val="00EB0505"/>
    <w:rsid w:val="00EB089A"/>
    <w:rsid w:val="00EB0AB8"/>
    <w:rsid w:val="00EB0EF2"/>
    <w:rsid w:val="00EB0F9E"/>
    <w:rsid w:val="00EB10EC"/>
    <w:rsid w:val="00EB181A"/>
    <w:rsid w:val="00EB33AA"/>
    <w:rsid w:val="00EB3489"/>
    <w:rsid w:val="00EB34FB"/>
    <w:rsid w:val="00EB3885"/>
    <w:rsid w:val="00EB4658"/>
    <w:rsid w:val="00EB4B5D"/>
    <w:rsid w:val="00EB50D5"/>
    <w:rsid w:val="00EB544B"/>
    <w:rsid w:val="00EB56CD"/>
    <w:rsid w:val="00EB5ADD"/>
    <w:rsid w:val="00EB5B30"/>
    <w:rsid w:val="00EB7989"/>
    <w:rsid w:val="00EC0A3E"/>
    <w:rsid w:val="00EC0CE4"/>
    <w:rsid w:val="00EC0DC0"/>
    <w:rsid w:val="00EC0EC9"/>
    <w:rsid w:val="00EC1067"/>
    <w:rsid w:val="00EC1179"/>
    <w:rsid w:val="00EC12CC"/>
    <w:rsid w:val="00EC15C7"/>
    <w:rsid w:val="00EC15F1"/>
    <w:rsid w:val="00EC233D"/>
    <w:rsid w:val="00EC2414"/>
    <w:rsid w:val="00EC2A8C"/>
    <w:rsid w:val="00EC33CB"/>
    <w:rsid w:val="00EC3716"/>
    <w:rsid w:val="00EC3779"/>
    <w:rsid w:val="00EC3A23"/>
    <w:rsid w:val="00EC3BE7"/>
    <w:rsid w:val="00EC3FE1"/>
    <w:rsid w:val="00EC4186"/>
    <w:rsid w:val="00EC43D9"/>
    <w:rsid w:val="00EC4661"/>
    <w:rsid w:val="00EC4823"/>
    <w:rsid w:val="00EC5A42"/>
    <w:rsid w:val="00EC5BC0"/>
    <w:rsid w:val="00EC5D9A"/>
    <w:rsid w:val="00EC5E7C"/>
    <w:rsid w:val="00EC6215"/>
    <w:rsid w:val="00EC6C0F"/>
    <w:rsid w:val="00EC722B"/>
    <w:rsid w:val="00EC730C"/>
    <w:rsid w:val="00EC732D"/>
    <w:rsid w:val="00EC7CA5"/>
    <w:rsid w:val="00ED0534"/>
    <w:rsid w:val="00ED055E"/>
    <w:rsid w:val="00ED05AE"/>
    <w:rsid w:val="00ED09DC"/>
    <w:rsid w:val="00ED0A97"/>
    <w:rsid w:val="00ED0D78"/>
    <w:rsid w:val="00ED1654"/>
    <w:rsid w:val="00ED1B6E"/>
    <w:rsid w:val="00ED1E5F"/>
    <w:rsid w:val="00ED29CC"/>
    <w:rsid w:val="00ED2BDB"/>
    <w:rsid w:val="00ED2EA6"/>
    <w:rsid w:val="00ED2F1F"/>
    <w:rsid w:val="00ED37FB"/>
    <w:rsid w:val="00ED37FD"/>
    <w:rsid w:val="00ED3AA2"/>
    <w:rsid w:val="00ED3BCF"/>
    <w:rsid w:val="00ED3C82"/>
    <w:rsid w:val="00ED3FDF"/>
    <w:rsid w:val="00ED4074"/>
    <w:rsid w:val="00ED5696"/>
    <w:rsid w:val="00ED5F2D"/>
    <w:rsid w:val="00ED6006"/>
    <w:rsid w:val="00ED6237"/>
    <w:rsid w:val="00ED647F"/>
    <w:rsid w:val="00ED651C"/>
    <w:rsid w:val="00ED6941"/>
    <w:rsid w:val="00ED6D2E"/>
    <w:rsid w:val="00ED6D73"/>
    <w:rsid w:val="00ED6F31"/>
    <w:rsid w:val="00ED6F68"/>
    <w:rsid w:val="00ED6F87"/>
    <w:rsid w:val="00ED745E"/>
    <w:rsid w:val="00ED7CBF"/>
    <w:rsid w:val="00ED7DD5"/>
    <w:rsid w:val="00EE00D9"/>
    <w:rsid w:val="00EE089C"/>
    <w:rsid w:val="00EE0B83"/>
    <w:rsid w:val="00EE0DE1"/>
    <w:rsid w:val="00EE0F11"/>
    <w:rsid w:val="00EE176E"/>
    <w:rsid w:val="00EE1D37"/>
    <w:rsid w:val="00EE1FB7"/>
    <w:rsid w:val="00EE20BE"/>
    <w:rsid w:val="00EE2349"/>
    <w:rsid w:val="00EE2427"/>
    <w:rsid w:val="00EE25DA"/>
    <w:rsid w:val="00EE2AC3"/>
    <w:rsid w:val="00EE3D9E"/>
    <w:rsid w:val="00EE3DDB"/>
    <w:rsid w:val="00EE511A"/>
    <w:rsid w:val="00EE542E"/>
    <w:rsid w:val="00EE5B2F"/>
    <w:rsid w:val="00EE627D"/>
    <w:rsid w:val="00EE7471"/>
    <w:rsid w:val="00EE7E00"/>
    <w:rsid w:val="00EE7FC2"/>
    <w:rsid w:val="00EF0064"/>
    <w:rsid w:val="00EF029F"/>
    <w:rsid w:val="00EF0A27"/>
    <w:rsid w:val="00EF24B5"/>
    <w:rsid w:val="00EF438C"/>
    <w:rsid w:val="00EF5371"/>
    <w:rsid w:val="00EF5669"/>
    <w:rsid w:val="00EF5F6E"/>
    <w:rsid w:val="00EF61CA"/>
    <w:rsid w:val="00EF62A0"/>
    <w:rsid w:val="00EF638F"/>
    <w:rsid w:val="00EF6D10"/>
    <w:rsid w:val="00EF73B7"/>
    <w:rsid w:val="00EF758D"/>
    <w:rsid w:val="00EF7B63"/>
    <w:rsid w:val="00F0019C"/>
    <w:rsid w:val="00F00A13"/>
    <w:rsid w:val="00F00D23"/>
    <w:rsid w:val="00F01C3F"/>
    <w:rsid w:val="00F01C8E"/>
    <w:rsid w:val="00F01DF3"/>
    <w:rsid w:val="00F021A9"/>
    <w:rsid w:val="00F028F0"/>
    <w:rsid w:val="00F02938"/>
    <w:rsid w:val="00F03145"/>
    <w:rsid w:val="00F031C0"/>
    <w:rsid w:val="00F03C30"/>
    <w:rsid w:val="00F040F2"/>
    <w:rsid w:val="00F048F2"/>
    <w:rsid w:val="00F050F4"/>
    <w:rsid w:val="00F052C5"/>
    <w:rsid w:val="00F05393"/>
    <w:rsid w:val="00F058AB"/>
    <w:rsid w:val="00F05C6C"/>
    <w:rsid w:val="00F0640F"/>
    <w:rsid w:val="00F06761"/>
    <w:rsid w:val="00F06942"/>
    <w:rsid w:val="00F06A28"/>
    <w:rsid w:val="00F06A7B"/>
    <w:rsid w:val="00F06E23"/>
    <w:rsid w:val="00F071AA"/>
    <w:rsid w:val="00F07413"/>
    <w:rsid w:val="00F07B99"/>
    <w:rsid w:val="00F07EA3"/>
    <w:rsid w:val="00F07F87"/>
    <w:rsid w:val="00F10360"/>
    <w:rsid w:val="00F107A7"/>
    <w:rsid w:val="00F107B5"/>
    <w:rsid w:val="00F1096D"/>
    <w:rsid w:val="00F10D71"/>
    <w:rsid w:val="00F10DB5"/>
    <w:rsid w:val="00F11879"/>
    <w:rsid w:val="00F12068"/>
    <w:rsid w:val="00F122DF"/>
    <w:rsid w:val="00F124D7"/>
    <w:rsid w:val="00F12629"/>
    <w:rsid w:val="00F1363F"/>
    <w:rsid w:val="00F13EF8"/>
    <w:rsid w:val="00F1412F"/>
    <w:rsid w:val="00F1425E"/>
    <w:rsid w:val="00F14996"/>
    <w:rsid w:val="00F149CD"/>
    <w:rsid w:val="00F14D5E"/>
    <w:rsid w:val="00F14EC4"/>
    <w:rsid w:val="00F1506D"/>
    <w:rsid w:val="00F1517B"/>
    <w:rsid w:val="00F15568"/>
    <w:rsid w:val="00F155B4"/>
    <w:rsid w:val="00F15781"/>
    <w:rsid w:val="00F15E1A"/>
    <w:rsid w:val="00F164C3"/>
    <w:rsid w:val="00F16BD8"/>
    <w:rsid w:val="00F16D2C"/>
    <w:rsid w:val="00F1742B"/>
    <w:rsid w:val="00F17CC6"/>
    <w:rsid w:val="00F17CE3"/>
    <w:rsid w:val="00F17E51"/>
    <w:rsid w:val="00F17F33"/>
    <w:rsid w:val="00F200B5"/>
    <w:rsid w:val="00F203C1"/>
    <w:rsid w:val="00F203F7"/>
    <w:rsid w:val="00F20419"/>
    <w:rsid w:val="00F21040"/>
    <w:rsid w:val="00F212BB"/>
    <w:rsid w:val="00F214C1"/>
    <w:rsid w:val="00F217F4"/>
    <w:rsid w:val="00F220EC"/>
    <w:rsid w:val="00F224D1"/>
    <w:rsid w:val="00F22F2C"/>
    <w:rsid w:val="00F231C0"/>
    <w:rsid w:val="00F2331B"/>
    <w:rsid w:val="00F2347D"/>
    <w:rsid w:val="00F23514"/>
    <w:rsid w:val="00F235BE"/>
    <w:rsid w:val="00F24006"/>
    <w:rsid w:val="00F24F6E"/>
    <w:rsid w:val="00F25312"/>
    <w:rsid w:val="00F2541B"/>
    <w:rsid w:val="00F2657B"/>
    <w:rsid w:val="00F2672D"/>
    <w:rsid w:val="00F26C04"/>
    <w:rsid w:val="00F26C14"/>
    <w:rsid w:val="00F26DC7"/>
    <w:rsid w:val="00F26E8E"/>
    <w:rsid w:val="00F26F51"/>
    <w:rsid w:val="00F274C5"/>
    <w:rsid w:val="00F276D5"/>
    <w:rsid w:val="00F27F41"/>
    <w:rsid w:val="00F3013D"/>
    <w:rsid w:val="00F3046E"/>
    <w:rsid w:val="00F30A65"/>
    <w:rsid w:val="00F30FAD"/>
    <w:rsid w:val="00F31561"/>
    <w:rsid w:val="00F3179A"/>
    <w:rsid w:val="00F327B6"/>
    <w:rsid w:val="00F33B00"/>
    <w:rsid w:val="00F33D27"/>
    <w:rsid w:val="00F3464F"/>
    <w:rsid w:val="00F34A95"/>
    <w:rsid w:val="00F355EB"/>
    <w:rsid w:val="00F35769"/>
    <w:rsid w:val="00F35B20"/>
    <w:rsid w:val="00F36031"/>
    <w:rsid w:val="00F3617D"/>
    <w:rsid w:val="00F3663A"/>
    <w:rsid w:val="00F36B6E"/>
    <w:rsid w:val="00F373FC"/>
    <w:rsid w:val="00F37811"/>
    <w:rsid w:val="00F402A1"/>
    <w:rsid w:val="00F40E90"/>
    <w:rsid w:val="00F4143F"/>
    <w:rsid w:val="00F41920"/>
    <w:rsid w:val="00F421AD"/>
    <w:rsid w:val="00F43375"/>
    <w:rsid w:val="00F43888"/>
    <w:rsid w:val="00F4416A"/>
    <w:rsid w:val="00F44D7F"/>
    <w:rsid w:val="00F4505C"/>
    <w:rsid w:val="00F4543D"/>
    <w:rsid w:val="00F4570E"/>
    <w:rsid w:val="00F457B4"/>
    <w:rsid w:val="00F45C09"/>
    <w:rsid w:val="00F45C37"/>
    <w:rsid w:val="00F45D0D"/>
    <w:rsid w:val="00F45FE7"/>
    <w:rsid w:val="00F463B7"/>
    <w:rsid w:val="00F46567"/>
    <w:rsid w:val="00F46A0D"/>
    <w:rsid w:val="00F46C36"/>
    <w:rsid w:val="00F46F0A"/>
    <w:rsid w:val="00F47256"/>
    <w:rsid w:val="00F47CCA"/>
    <w:rsid w:val="00F47F92"/>
    <w:rsid w:val="00F50039"/>
    <w:rsid w:val="00F5035A"/>
    <w:rsid w:val="00F50703"/>
    <w:rsid w:val="00F5095F"/>
    <w:rsid w:val="00F511B2"/>
    <w:rsid w:val="00F522AD"/>
    <w:rsid w:val="00F52A5A"/>
    <w:rsid w:val="00F53072"/>
    <w:rsid w:val="00F53412"/>
    <w:rsid w:val="00F5343D"/>
    <w:rsid w:val="00F534B2"/>
    <w:rsid w:val="00F53941"/>
    <w:rsid w:val="00F53DF7"/>
    <w:rsid w:val="00F5457E"/>
    <w:rsid w:val="00F547C3"/>
    <w:rsid w:val="00F548B8"/>
    <w:rsid w:val="00F54998"/>
    <w:rsid w:val="00F54C11"/>
    <w:rsid w:val="00F55542"/>
    <w:rsid w:val="00F55C0A"/>
    <w:rsid w:val="00F55FC9"/>
    <w:rsid w:val="00F56A36"/>
    <w:rsid w:val="00F57638"/>
    <w:rsid w:val="00F5773B"/>
    <w:rsid w:val="00F577BE"/>
    <w:rsid w:val="00F57844"/>
    <w:rsid w:val="00F60322"/>
    <w:rsid w:val="00F604A0"/>
    <w:rsid w:val="00F60B61"/>
    <w:rsid w:val="00F61746"/>
    <w:rsid w:val="00F61AC3"/>
    <w:rsid w:val="00F61C52"/>
    <w:rsid w:val="00F621C9"/>
    <w:rsid w:val="00F6228E"/>
    <w:rsid w:val="00F624AB"/>
    <w:rsid w:val="00F62D0A"/>
    <w:rsid w:val="00F6460D"/>
    <w:rsid w:val="00F646C6"/>
    <w:rsid w:val="00F6494C"/>
    <w:rsid w:val="00F65001"/>
    <w:rsid w:val="00F651D5"/>
    <w:rsid w:val="00F6603A"/>
    <w:rsid w:val="00F6628E"/>
    <w:rsid w:val="00F66469"/>
    <w:rsid w:val="00F66815"/>
    <w:rsid w:val="00F66817"/>
    <w:rsid w:val="00F675D4"/>
    <w:rsid w:val="00F67911"/>
    <w:rsid w:val="00F67AB1"/>
    <w:rsid w:val="00F7001B"/>
    <w:rsid w:val="00F703B6"/>
    <w:rsid w:val="00F705AD"/>
    <w:rsid w:val="00F70D66"/>
    <w:rsid w:val="00F70FE3"/>
    <w:rsid w:val="00F716AA"/>
    <w:rsid w:val="00F71776"/>
    <w:rsid w:val="00F7191D"/>
    <w:rsid w:val="00F7194F"/>
    <w:rsid w:val="00F71D68"/>
    <w:rsid w:val="00F7288F"/>
    <w:rsid w:val="00F732BD"/>
    <w:rsid w:val="00F73897"/>
    <w:rsid w:val="00F73FF7"/>
    <w:rsid w:val="00F7448D"/>
    <w:rsid w:val="00F753DA"/>
    <w:rsid w:val="00F75A47"/>
    <w:rsid w:val="00F75FBB"/>
    <w:rsid w:val="00F765A6"/>
    <w:rsid w:val="00F76698"/>
    <w:rsid w:val="00F767D1"/>
    <w:rsid w:val="00F76EA6"/>
    <w:rsid w:val="00F77024"/>
    <w:rsid w:val="00F7734D"/>
    <w:rsid w:val="00F77715"/>
    <w:rsid w:val="00F80D4D"/>
    <w:rsid w:val="00F813DF"/>
    <w:rsid w:val="00F81CA1"/>
    <w:rsid w:val="00F821FD"/>
    <w:rsid w:val="00F827CF"/>
    <w:rsid w:val="00F8295C"/>
    <w:rsid w:val="00F82F0C"/>
    <w:rsid w:val="00F82F9D"/>
    <w:rsid w:val="00F83E48"/>
    <w:rsid w:val="00F8458C"/>
    <w:rsid w:val="00F84C8C"/>
    <w:rsid w:val="00F85624"/>
    <w:rsid w:val="00F85736"/>
    <w:rsid w:val="00F86EBF"/>
    <w:rsid w:val="00F872B7"/>
    <w:rsid w:val="00F8740C"/>
    <w:rsid w:val="00F87635"/>
    <w:rsid w:val="00F87719"/>
    <w:rsid w:val="00F902C6"/>
    <w:rsid w:val="00F90DAF"/>
    <w:rsid w:val="00F91025"/>
    <w:rsid w:val="00F911CC"/>
    <w:rsid w:val="00F912A6"/>
    <w:rsid w:val="00F91385"/>
    <w:rsid w:val="00F918BC"/>
    <w:rsid w:val="00F91DC2"/>
    <w:rsid w:val="00F925DE"/>
    <w:rsid w:val="00F927F5"/>
    <w:rsid w:val="00F92A76"/>
    <w:rsid w:val="00F92BD8"/>
    <w:rsid w:val="00F92CA5"/>
    <w:rsid w:val="00F930E3"/>
    <w:rsid w:val="00F93394"/>
    <w:rsid w:val="00F93608"/>
    <w:rsid w:val="00F93725"/>
    <w:rsid w:val="00F93753"/>
    <w:rsid w:val="00F93F38"/>
    <w:rsid w:val="00F94133"/>
    <w:rsid w:val="00F9446B"/>
    <w:rsid w:val="00F94D9E"/>
    <w:rsid w:val="00F9573C"/>
    <w:rsid w:val="00F95AD4"/>
    <w:rsid w:val="00F95BF9"/>
    <w:rsid w:val="00F95E7B"/>
    <w:rsid w:val="00F963C5"/>
    <w:rsid w:val="00F96BDF"/>
    <w:rsid w:val="00F96F2B"/>
    <w:rsid w:val="00F97B2C"/>
    <w:rsid w:val="00F97B60"/>
    <w:rsid w:val="00F97D08"/>
    <w:rsid w:val="00F97DDC"/>
    <w:rsid w:val="00FA001B"/>
    <w:rsid w:val="00FA009D"/>
    <w:rsid w:val="00FA03B5"/>
    <w:rsid w:val="00FA0B17"/>
    <w:rsid w:val="00FA1590"/>
    <w:rsid w:val="00FA189E"/>
    <w:rsid w:val="00FA1953"/>
    <w:rsid w:val="00FA201A"/>
    <w:rsid w:val="00FA20D7"/>
    <w:rsid w:val="00FA30EB"/>
    <w:rsid w:val="00FA48F4"/>
    <w:rsid w:val="00FA4AD7"/>
    <w:rsid w:val="00FA545E"/>
    <w:rsid w:val="00FA5831"/>
    <w:rsid w:val="00FA649B"/>
    <w:rsid w:val="00FA66F7"/>
    <w:rsid w:val="00FA67EF"/>
    <w:rsid w:val="00FA7500"/>
    <w:rsid w:val="00FA7868"/>
    <w:rsid w:val="00FA7F5D"/>
    <w:rsid w:val="00FA7FB6"/>
    <w:rsid w:val="00FB01C4"/>
    <w:rsid w:val="00FB045E"/>
    <w:rsid w:val="00FB0748"/>
    <w:rsid w:val="00FB19C6"/>
    <w:rsid w:val="00FB1F4B"/>
    <w:rsid w:val="00FB2249"/>
    <w:rsid w:val="00FB243C"/>
    <w:rsid w:val="00FB2730"/>
    <w:rsid w:val="00FB27FC"/>
    <w:rsid w:val="00FB292E"/>
    <w:rsid w:val="00FB323E"/>
    <w:rsid w:val="00FB42F2"/>
    <w:rsid w:val="00FB42FF"/>
    <w:rsid w:val="00FB45B0"/>
    <w:rsid w:val="00FB469E"/>
    <w:rsid w:val="00FB4C73"/>
    <w:rsid w:val="00FB4FB9"/>
    <w:rsid w:val="00FB5320"/>
    <w:rsid w:val="00FB53B1"/>
    <w:rsid w:val="00FB55CB"/>
    <w:rsid w:val="00FB5A89"/>
    <w:rsid w:val="00FB5BD9"/>
    <w:rsid w:val="00FB5DE8"/>
    <w:rsid w:val="00FB61FF"/>
    <w:rsid w:val="00FB68C0"/>
    <w:rsid w:val="00FB69E9"/>
    <w:rsid w:val="00FB6A69"/>
    <w:rsid w:val="00FB6A98"/>
    <w:rsid w:val="00FB6AB6"/>
    <w:rsid w:val="00FB6B65"/>
    <w:rsid w:val="00FB6E50"/>
    <w:rsid w:val="00FB7417"/>
    <w:rsid w:val="00FB7481"/>
    <w:rsid w:val="00FB7645"/>
    <w:rsid w:val="00FB7651"/>
    <w:rsid w:val="00FB789F"/>
    <w:rsid w:val="00FB7CA8"/>
    <w:rsid w:val="00FB7E3B"/>
    <w:rsid w:val="00FB7EB9"/>
    <w:rsid w:val="00FC0295"/>
    <w:rsid w:val="00FC09DB"/>
    <w:rsid w:val="00FC09FD"/>
    <w:rsid w:val="00FC0AC2"/>
    <w:rsid w:val="00FC0DE8"/>
    <w:rsid w:val="00FC18E4"/>
    <w:rsid w:val="00FC195A"/>
    <w:rsid w:val="00FC1AAF"/>
    <w:rsid w:val="00FC1B77"/>
    <w:rsid w:val="00FC1C49"/>
    <w:rsid w:val="00FC1E81"/>
    <w:rsid w:val="00FC2094"/>
    <w:rsid w:val="00FC2851"/>
    <w:rsid w:val="00FC32F0"/>
    <w:rsid w:val="00FC3689"/>
    <w:rsid w:val="00FC3CE3"/>
    <w:rsid w:val="00FC4454"/>
    <w:rsid w:val="00FC44E4"/>
    <w:rsid w:val="00FC4AE2"/>
    <w:rsid w:val="00FC4FC9"/>
    <w:rsid w:val="00FC4FFF"/>
    <w:rsid w:val="00FC50A1"/>
    <w:rsid w:val="00FC5588"/>
    <w:rsid w:val="00FC58CD"/>
    <w:rsid w:val="00FC5A03"/>
    <w:rsid w:val="00FC5BEB"/>
    <w:rsid w:val="00FC5F66"/>
    <w:rsid w:val="00FC6453"/>
    <w:rsid w:val="00FC6464"/>
    <w:rsid w:val="00FC6C9E"/>
    <w:rsid w:val="00FC7558"/>
    <w:rsid w:val="00FC77E7"/>
    <w:rsid w:val="00FC7A4E"/>
    <w:rsid w:val="00FC7CAE"/>
    <w:rsid w:val="00FC7D8B"/>
    <w:rsid w:val="00FD07FE"/>
    <w:rsid w:val="00FD1223"/>
    <w:rsid w:val="00FD1600"/>
    <w:rsid w:val="00FD16E9"/>
    <w:rsid w:val="00FD1C0F"/>
    <w:rsid w:val="00FD1D31"/>
    <w:rsid w:val="00FD21DF"/>
    <w:rsid w:val="00FD256C"/>
    <w:rsid w:val="00FD2899"/>
    <w:rsid w:val="00FD28BC"/>
    <w:rsid w:val="00FD2A2D"/>
    <w:rsid w:val="00FD2F7C"/>
    <w:rsid w:val="00FD3390"/>
    <w:rsid w:val="00FD366D"/>
    <w:rsid w:val="00FD3CE0"/>
    <w:rsid w:val="00FD3E57"/>
    <w:rsid w:val="00FD43A3"/>
    <w:rsid w:val="00FD4D48"/>
    <w:rsid w:val="00FD5600"/>
    <w:rsid w:val="00FD5DB7"/>
    <w:rsid w:val="00FD5E22"/>
    <w:rsid w:val="00FD621C"/>
    <w:rsid w:val="00FD64A1"/>
    <w:rsid w:val="00FD64BF"/>
    <w:rsid w:val="00FD6AE6"/>
    <w:rsid w:val="00FD7383"/>
    <w:rsid w:val="00FD7650"/>
    <w:rsid w:val="00FE00F8"/>
    <w:rsid w:val="00FE11F5"/>
    <w:rsid w:val="00FE1DED"/>
    <w:rsid w:val="00FE29E5"/>
    <w:rsid w:val="00FE3584"/>
    <w:rsid w:val="00FE3CA8"/>
    <w:rsid w:val="00FE42E1"/>
    <w:rsid w:val="00FE451F"/>
    <w:rsid w:val="00FE5208"/>
    <w:rsid w:val="00FE56D8"/>
    <w:rsid w:val="00FE5EEE"/>
    <w:rsid w:val="00FE6616"/>
    <w:rsid w:val="00FE6EE5"/>
    <w:rsid w:val="00FE7334"/>
    <w:rsid w:val="00FF0434"/>
    <w:rsid w:val="00FF0885"/>
    <w:rsid w:val="00FF0B03"/>
    <w:rsid w:val="00FF12BD"/>
    <w:rsid w:val="00FF146C"/>
    <w:rsid w:val="00FF147A"/>
    <w:rsid w:val="00FF19B9"/>
    <w:rsid w:val="00FF1E98"/>
    <w:rsid w:val="00FF1F10"/>
    <w:rsid w:val="00FF23E4"/>
    <w:rsid w:val="00FF32D9"/>
    <w:rsid w:val="00FF386E"/>
    <w:rsid w:val="00FF3D0B"/>
    <w:rsid w:val="00FF42FE"/>
    <w:rsid w:val="00FF43B3"/>
    <w:rsid w:val="00FF4715"/>
    <w:rsid w:val="00FF4A18"/>
    <w:rsid w:val="00FF4D78"/>
    <w:rsid w:val="00FF55AE"/>
    <w:rsid w:val="00FF6157"/>
    <w:rsid w:val="00FF62D8"/>
    <w:rsid w:val="00FF6A68"/>
    <w:rsid w:val="00FF6AC7"/>
    <w:rsid w:val="00FF6B4B"/>
    <w:rsid w:val="00FF6B53"/>
    <w:rsid w:val="00FF6D35"/>
    <w:rsid w:val="00FF727C"/>
    <w:rsid w:val="00FF7828"/>
    <w:rsid w:val="075167EC"/>
    <w:rsid w:val="492FC229"/>
    <w:rsid w:val="6ECE3AF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D7D40A0"/>
  <w15:chartTrackingRefBased/>
  <w15:docId w15:val="{1D3CB0DD-DD26-4041-A871-CC5B8B29E9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G Times (WN)" w:eastAsia="Calibri Light" w:hAnsi="CG Times (WN)" w:cstheme="minorBidi"/>
        <w:lang w:val="en-AU"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lsdException w:name="heading 7" w:semiHidden="1" w:uiPriority="0" w:unhideWhenUsed="1"/>
    <w:lsdException w:name="heading 8" w:semiHidden="1" w:uiPriority="0" w:unhideWhenUsed="1"/>
    <w:lsdException w:name="heading 9" w:semiHidden="1" w:uiPriority="0"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lsdException w:name="List Number" w:semiHidden="1" w:unhideWhenUsed="1"/>
    <w:lsdException w:name="List 2" w:semiHidden="1" w:unhideWhenUsed="1"/>
    <w:lsdException w:name="List 3" w:semiHidden="1"/>
    <w:lsdException w:name="List 4" w:semiHidden="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lsdException w:name="Subtitle" w:semiHidden="1" w:uiPriority="11"/>
    <w:lsdException w:name="Salutation" w:semiHidden="1"/>
    <w:lsdException w:name="Date" w:semiHidden="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B0099"/>
    <w:rPr>
      <w:rFonts w:cs="Times New Roman"/>
      <w:lang w:eastAsia="en-AU"/>
    </w:rPr>
  </w:style>
  <w:style w:type="paragraph" w:styleId="Heading1">
    <w:name w:val="heading 1"/>
    <w:basedOn w:val="Normal"/>
    <w:next w:val="BodyIndent1"/>
    <w:link w:val="Heading1Char"/>
    <w:rsid w:val="00BA6A72"/>
    <w:pPr>
      <w:keepNext/>
      <w:numPr>
        <w:numId w:val="20"/>
      </w:numPr>
      <w:pBdr>
        <w:top w:val="single" w:sz="4" w:space="6" w:color="auto"/>
      </w:pBdr>
      <w:spacing w:before="480"/>
      <w:outlineLvl w:val="0"/>
    </w:pPr>
    <w:rPr>
      <w:rFonts w:ascii="Arial" w:eastAsia="Times New Roman" w:hAnsi="Arial" w:cstheme="minorBidi"/>
      <w:b/>
      <w:kern w:val="28"/>
      <w:sz w:val="22"/>
      <w:lang w:eastAsia="en-US"/>
    </w:rPr>
  </w:style>
  <w:style w:type="paragraph" w:styleId="Heading2">
    <w:name w:val="heading 2"/>
    <w:basedOn w:val="Normal"/>
    <w:next w:val="BodyIndent1"/>
    <w:link w:val="Heading2Char"/>
    <w:rsid w:val="00BA6A72"/>
    <w:pPr>
      <w:keepNext/>
      <w:numPr>
        <w:ilvl w:val="1"/>
        <w:numId w:val="20"/>
      </w:numPr>
      <w:spacing w:before="240"/>
      <w:outlineLvl w:val="1"/>
    </w:pPr>
    <w:rPr>
      <w:rFonts w:ascii="Arial" w:eastAsia="Times New Roman" w:hAnsi="Arial" w:cstheme="minorBidi"/>
      <w:b/>
      <w:lang w:eastAsia="en-US"/>
    </w:rPr>
  </w:style>
  <w:style w:type="paragraph" w:styleId="Heading3">
    <w:name w:val="heading 3"/>
    <w:basedOn w:val="Normal"/>
    <w:link w:val="Heading3Char"/>
    <w:qFormat/>
    <w:rsid w:val="00BA6A72"/>
    <w:pPr>
      <w:numPr>
        <w:ilvl w:val="2"/>
        <w:numId w:val="20"/>
      </w:numPr>
      <w:spacing w:before="240"/>
      <w:outlineLvl w:val="2"/>
    </w:pPr>
    <w:rPr>
      <w:rFonts w:ascii="Arial" w:eastAsia="Times New Roman" w:hAnsi="Arial" w:cstheme="minorBidi"/>
      <w:lang w:eastAsia="en-US"/>
    </w:rPr>
  </w:style>
  <w:style w:type="paragraph" w:styleId="Heading4">
    <w:name w:val="heading 4"/>
    <w:basedOn w:val="Normal"/>
    <w:link w:val="Heading4Char"/>
    <w:qFormat/>
    <w:rsid w:val="00BA6A72"/>
    <w:pPr>
      <w:numPr>
        <w:ilvl w:val="3"/>
        <w:numId w:val="20"/>
      </w:numPr>
      <w:spacing w:before="240"/>
      <w:outlineLvl w:val="3"/>
    </w:pPr>
    <w:rPr>
      <w:rFonts w:ascii="Arial" w:eastAsia="Times New Roman" w:hAnsi="Arial" w:cstheme="minorBidi"/>
      <w:lang w:eastAsia="en-US"/>
    </w:rPr>
  </w:style>
  <w:style w:type="paragraph" w:styleId="Heading5">
    <w:name w:val="heading 5"/>
    <w:basedOn w:val="Normal"/>
    <w:link w:val="Heading5Char"/>
    <w:qFormat/>
    <w:rsid w:val="00BA6A72"/>
    <w:pPr>
      <w:numPr>
        <w:ilvl w:val="4"/>
        <w:numId w:val="20"/>
      </w:numPr>
      <w:spacing w:before="240"/>
      <w:outlineLvl w:val="4"/>
    </w:pPr>
    <w:rPr>
      <w:rFonts w:ascii="Arial" w:eastAsia="Times New Roman" w:hAnsi="Arial" w:cstheme="minorBidi"/>
      <w:lang w:eastAsia="en-US"/>
    </w:rPr>
  </w:style>
  <w:style w:type="paragraph" w:styleId="Heading6">
    <w:name w:val="heading 6"/>
    <w:basedOn w:val="Normal"/>
    <w:next w:val="Normal"/>
    <w:link w:val="Heading6Char"/>
    <w:semiHidden/>
    <w:rsid w:val="00BA6A72"/>
    <w:pPr>
      <w:outlineLvl w:val="5"/>
    </w:pPr>
    <w:rPr>
      <w:rFonts w:ascii="Arial" w:eastAsia="Times New Roman" w:hAnsi="Arial" w:cstheme="minorBidi"/>
      <w:lang w:eastAsia="en-US"/>
    </w:rPr>
  </w:style>
  <w:style w:type="paragraph" w:styleId="Heading7">
    <w:name w:val="heading 7"/>
    <w:basedOn w:val="Normal"/>
    <w:next w:val="Normal"/>
    <w:link w:val="Heading7Char"/>
    <w:semiHidden/>
    <w:rsid w:val="00BA6A72"/>
    <w:pPr>
      <w:outlineLvl w:val="6"/>
    </w:pPr>
    <w:rPr>
      <w:rFonts w:ascii="Arial" w:eastAsia="Times New Roman" w:hAnsi="Arial" w:cstheme="minorBidi"/>
      <w:lang w:eastAsia="en-US"/>
    </w:rPr>
  </w:style>
  <w:style w:type="paragraph" w:styleId="Heading8">
    <w:name w:val="heading 8"/>
    <w:basedOn w:val="Normal"/>
    <w:next w:val="Normal"/>
    <w:link w:val="Heading8Char"/>
    <w:semiHidden/>
    <w:rsid w:val="00BA6A72"/>
    <w:pPr>
      <w:outlineLvl w:val="7"/>
    </w:pPr>
    <w:rPr>
      <w:rFonts w:ascii="Arial" w:eastAsia="Times New Roman" w:hAnsi="Arial" w:cstheme="minorBidi"/>
      <w:lang w:eastAsia="en-US"/>
    </w:rPr>
  </w:style>
  <w:style w:type="paragraph" w:styleId="Heading9">
    <w:name w:val="heading 9"/>
    <w:basedOn w:val="Normal"/>
    <w:next w:val="Normal"/>
    <w:link w:val="Heading9Char"/>
    <w:semiHidden/>
    <w:rsid w:val="00BA6A72"/>
    <w:pPr>
      <w:outlineLvl w:val="8"/>
    </w:pPr>
    <w:rPr>
      <w:rFonts w:ascii="Arial" w:eastAsia="Times New Roman" w:hAnsi="Arial" w:cstheme="minorBidi"/>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Indent1">
    <w:name w:val="Body Indent 1"/>
    <w:basedOn w:val="Normal"/>
    <w:link w:val="BodyIndent1Char"/>
    <w:qFormat/>
    <w:rsid w:val="008C6E59"/>
    <w:pPr>
      <w:spacing w:before="240"/>
      <w:ind w:left="851"/>
    </w:pPr>
    <w:rPr>
      <w:rFonts w:cs="Arial"/>
      <w:lang w:eastAsia="en-US"/>
    </w:rPr>
  </w:style>
  <w:style w:type="paragraph" w:customStyle="1" w:styleId="BodyIndent2">
    <w:name w:val="Body Indent 2"/>
    <w:basedOn w:val="Normal"/>
    <w:qFormat/>
    <w:rsid w:val="008C6E59"/>
    <w:pPr>
      <w:spacing w:before="240"/>
      <w:ind w:left="1701"/>
    </w:pPr>
    <w:rPr>
      <w:rFonts w:cs="Arial"/>
      <w:lang w:eastAsia="en-US"/>
    </w:rPr>
  </w:style>
  <w:style w:type="paragraph" w:customStyle="1" w:styleId="BodyIndent3">
    <w:name w:val="Body Indent 3"/>
    <w:basedOn w:val="Normal"/>
    <w:qFormat/>
    <w:rsid w:val="008C6E59"/>
    <w:pPr>
      <w:spacing w:before="240"/>
      <w:ind w:left="2268"/>
    </w:pPr>
    <w:rPr>
      <w:rFonts w:cs="Arial"/>
      <w:lang w:eastAsia="en-US"/>
    </w:rPr>
  </w:style>
  <w:style w:type="paragraph" w:customStyle="1" w:styleId="Bullet1">
    <w:name w:val="Bullet1"/>
    <w:basedOn w:val="Normal"/>
    <w:qFormat/>
    <w:rsid w:val="00EB4B5D"/>
    <w:pPr>
      <w:numPr>
        <w:numId w:val="1"/>
      </w:numPr>
      <w:spacing w:before="240"/>
    </w:pPr>
    <w:rPr>
      <w:rFonts w:cs="Arial"/>
      <w:lang w:eastAsia="en-US"/>
    </w:rPr>
  </w:style>
  <w:style w:type="paragraph" w:customStyle="1" w:styleId="Bullet2">
    <w:name w:val="Bullet2"/>
    <w:basedOn w:val="Normal"/>
    <w:qFormat/>
    <w:rsid w:val="00A46D49"/>
    <w:pPr>
      <w:numPr>
        <w:numId w:val="7"/>
      </w:numPr>
      <w:spacing w:before="240"/>
    </w:pPr>
    <w:rPr>
      <w:rFonts w:cstheme="minorBidi"/>
      <w:lang w:eastAsia="en-US"/>
    </w:rPr>
  </w:style>
  <w:style w:type="paragraph" w:customStyle="1" w:styleId="Bullet3">
    <w:name w:val="Bullet3"/>
    <w:basedOn w:val="Normal"/>
    <w:qFormat/>
    <w:rsid w:val="00A46D49"/>
    <w:pPr>
      <w:numPr>
        <w:numId w:val="8"/>
      </w:numPr>
      <w:spacing w:before="240"/>
    </w:pPr>
    <w:rPr>
      <w:rFonts w:cstheme="minorBidi"/>
      <w:lang w:eastAsia="en-US"/>
    </w:rPr>
  </w:style>
  <w:style w:type="paragraph" w:customStyle="1" w:styleId="correspQuote">
    <w:name w:val="correspQuote"/>
    <w:basedOn w:val="Normal"/>
    <w:qFormat/>
    <w:rsid w:val="008C6E59"/>
    <w:pPr>
      <w:spacing w:before="240"/>
      <w:ind w:left="851" w:right="851"/>
    </w:pPr>
    <w:rPr>
      <w:rFonts w:cs="Arial"/>
      <w:sz w:val="18"/>
      <w:lang w:eastAsia="en-US"/>
    </w:rPr>
  </w:style>
  <w:style w:type="paragraph" w:customStyle="1" w:styleId="covBodyText">
    <w:name w:val="covBodyText"/>
    <w:basedOn w:val="Normal"/>
    <w:qFormat/>
    <w:rsid w:val="00A46D49"/>
    <w:pPr>
      <w:ind w:left="397"/>
    </w:pPr>
    <w:rPr>
      <w:sz w:val="22"/>
    </w:rPr>
  </w:style>
  <w:style w:type="paragraph" w:customStyle="1" w:styleId="covSubTitle">
    <w:name w:val="covSubTitle"/>
    <w:basedOn w:val="Normal"/>
    <w:next w:val="covBodyText"/>
    <w:rsid w:val="00A46D49"/>
    <w:pPr>
      <w:ind w:left="397"/>
    </w:pPr>
    <w:rPr>
      <w:b/>
      <w:sz w:val="22"/>
    </w:rPr>
  </w:style>
  <w:style w:type="paragraph" w:customStyle="1" w:styleId="covTitle">
    <w:name w:val="covTitle"/>
    <w:basedOn w:val="Normal"/>
    <w:next w:val="covBodyText"/>
    <w:qFormat/>
    <w:rsid w:val="0077422D"/>
    <w:pPr>
      <w:spacing w:before="3600"/>
      <w:ind w:left="397"/>
    </w:pPr>
    <w:rPr>
      <w:b/>
      <w:sz w:val="34"/>
    </w:rPr>
  </w:style>
  <w:style w:type="character" w:customStyle="1" w:styleId="Heading1Char">
    <w:name w:val="Heading 1 Char"/>
    <w:basedOn w:val="DefaultParagraphFont"/>
    <w:link w:val="Heading1"/>
    <w:rsid w:val="00BA6A72"/>
    <w:rPr>
      <w:rFonts w:ascii="Arial" w:eastAsia="Times New Roman" w:hAnsi="Arial"/>
      <w:b/>
      <w:kern w:val="28"/>
      <w:sz w:val="22"/>
    </w:rPr>
  </w:style>
  <w:style w:type="character" w:customStyle="1" w:styleId="Heading2Char">
    <w:name w:val="Heading 2 Char"/>
    <w:basedOn w:val="DefaultParagraphFont"/>
    <w:link w:val="Heading2"/>
    <w:rsid w:val="00BA6A72"/>
    <w:rPr>
      <w:rFonts w:ascii="Arial" w:eastAsia="Times New Roman" w:hAnsi="Arial"/>
      <w:b/>
    </w:rPr>
  </w:style>
  <w:style w:type="character" w:customStyle="1" w:styleId="Heading3Char">
    <w:name w:val="Heading 3 Char"/>
    <w:basedOn w:val="DefaultParagraphFont"/>
    <w:link w:val="Heading3"/>
    <w:rsid w:val="00BA6A72"/>
    <w:rPr>
      <w:rFonts w:ascii="Arial" w:eastAsia="Times New Roman" w:hAnsi="Arial"/>
    </w:rPr>
  </w:style>
  <w:style w:type="character" w:customStyle="1" w:styleId="Heading4Char">
    <w:name w:val="Heading 4 Char"/>
    <w:basedOn w:val="DefaultParagraphFont"/>
    <w:link w:val="Heading4"/>
    <w:rsid w:val="00BA6A72"/>
    <w:rPr>
      <w:rFonts w:ascii="Arial" w:eastAsia="Times New Roman" w:hAnsi="Arial"/>
    </w:rPr>
  </w:style>
  <w:style w:type="character" w:customStyle="1" w:styleId="Heading5Char">
    <w:name w:val="Heading 5 Char"/>
    <w:basedOn w:val="DefaultParagraphFont"/>
    <w:link w:val="Heading5"/>
    <w:rsid w:val="00BA6A72"/>
    <w:rPr>
      <w:rFonts w:ascii="Arial" w:eastAsia="Times New Roman" w:hAnsi="Arial"/>
    </w:rPr>
  </w:style>
  <w:style w:type="character" w:customStyle="1" w:styleId="Heading6Char">
    <w:name w:val="Heading 6 Char"/>
    <w:basedOn w:val="DefaultParagraphFont"/>
    <w:link w:val="Heading6"/>
    <w:semiHidden/>
    <w:rsid w:val="00BA6A72"/>
    <w:rPr>
      <w:rFonts w:ascii="Arial" w:eastAsia="Times New Roman" w:hAnsi="Arial"/>
    </w:rPr>
  </w:style>
  <w:style w:type="character" w:customStyle="1" w:styleId="Heading7Char">
    <w:name w:val="Heading 7 Char"/>
    <w:basedOn w:val="DefaultParagraphFont"/>
    <w:link w:val="Heading7"/>
    <w:semiHidden/>
    <w:rsid w:val="00BA6A72"/>
    <w:rPr>
      <w:rFonts w:ascii="Arial" w:eastAsia="Times New Roman" w:hAnsi="Arial"/>
    </w:rPr>
  </w:style>
  <w:style w:type="character" w:customStyle="1" w:styleId="Heading8Char">
    <w:name w:val="Heading 8 Char"/>
    <w:basedOn w:val="DefaultParagraphFont"/>
    <w:link w:val="Heading8"/>
    <w:semiHidden/>
    <w:rsid w:val="00BA6A72"/>
    <w:rPr>
      <w:rFonts w:ascii="Arial" w:eastAsia="Times New Roman" w:hAnsi="Arial"/>
    </w:rPr>
  </w:style>
  <w:style w:type="character" w:customStyle="1" w:styleId="Heading9Char">
    <w:name w:val="Heading 9 Char"/>
    <w:basedOn w:val="DefaultParagraphFont"/>
    <w:link w:val="Heading9"/>
    <w:semiHidden/>
    <w:rsid w:val="00BA6A72"/>
    <w:rPr>
      <w:rFonts w:ascii="Arial" w:eastAsia="Times New Roman" w:hAnsi="Arial"/>
    </w:rPr>
  </w:style>
  <w:style w:type="paragraph" w:customStyle="1" w:styleId="Headingpara2">
    <w:name w:val="Headingpara2"/>
    <w:basedOn w:val="Heading2"/>
    <w:qFormat/>
    <w:rsid w:val="00BA6A72"/>
    <w:pPr>
      <w:keepNext w:val="0"/>
    </w:pPr>
    <w:rPr>
      <w:b w:val="0"/>
    </w:rPr>
  </w:style>
  <w:style w:type="paragraph" w:customStyle="1" w:styleId="legalDefinition">
    <w:name w:val="legalDefinition"/>
    <w:basedOn w:val="Normal"/>
    <w:qFormat/>
    <w:rsid w:val="00A71CDD"/>
    <w:pPr>
      <w:numPr>
        <w:numId w:val="9"/>
      </w:numPr>
      <w:spacing w:before="240"/>
    </w:pPr>
    <w:rPr>
      <w:lang w:eastAsia="en-US"/>
    </w:rPr>
  </w:style>
  <w:style w:type="paragraph" w:customStyle="1" w:styleId="legalRecital1">
    <w:name w:val="legalRecital1"/>
    <w:basedOn w:val="Normal"/>
    <w:qFormat/>
    <w:rsid w:val="003610F8"/>
    <w:pPr>
      <w:numPr>
        <w:numId w:val="3"/>
      </w:numPr>
      <w:spacing w:before="240"/>
    </w:pPr>
    <w:rPr>
      <w:rFonts w:cstheme="minorBidi"/>
      <w:lang w:eastAsia="en-US"/>
    </w:rPr>
  </w:style>
  <w:style w:type="paragraph" w:customStyle="1" w:styleId="legalSchedule">
    <w:name w:val="legalSchedule"/>
    <w:basedOn w:val="Normal"/>
    <w:next w:val="Normal"/>
    <w:qFormat/>
    <w:rsid w:val="001A138C"/>
    <w:pPr>
      <w:pageBreakBefore/>
      <w:numPr>
        <w:numId w:val="5"/>
      </w:numPr>
      <w:pBdr>
        <w:top w:val="single" w:sz="4" w:space="1" w:color="auto"/>
      </w:pBdr>
    </w:pPr>
    <w:rPr>
      <w:b/>
      <w:sz w:val="34"/>
      <w:lang w:eastAsia="en-US"/>
    </w:rPr>
  </w:style>
  <w:style w:type="paragraph" w:customStyle="1" w:styleId="legalScheduleDesc">
    <w:name w:val="legalScheduleDesc"/>
    <w:basedOn w:val="Normal"/>
    <w:next w:val="Normal"/>
    <w:qFormat/>
    <w:rsid w:val="00517177"/>
    <w:pPr>
      <w:keepNext/>
      <w:spacing w:before="240"/>
    </w:pPr>
    <w:rPr>
      <w:b/>
      <w:sz w:val="22"/>
      <w:lang w:eastAsia="en-US"/>
    </w:rPr>
  </w:style>
  <w:style w:type="paragraph" w:customStyle="1" w:styleId="legalTitleDescription">
    <w:name w:val="legalTitleDescription"/>
    <w:basedOn w:val="Normal"/>
    <w:next w:val="Normal"/>
    <w:qFormat/>
    <w:rsid w:val="00517177"/>
    <w:pPr>
      <w:spacing w:before="240"/>
    </w:pPr>
    <w:rPr>
      <w:b/>
      <w:sz w:val="22"/>
      <w:lang w:eastAsia="en-US"/>
    </w:rPr>
  </w:style>
  <w:style w:type="paragraph" w:customStyle="1" w:styleId="mainTitle">
    <w:name w:val="mainTitle"/>
    <w:basedOn w:val="Normal"/>
    <w:next w:val="Normal"/>
    <w:qFormat/>
    <w:rsid w:val="008C6E59"/>
    <w:pPr>
      <w:pBdr>
        <w:top w:val="single" w:sz="4" w:space="1" w:color="auto"/>
      </w:pBdr>
    </w:pPr>
    <w:rPr>
      <w:rFonts w:cstheme="minorBidi"/>
      <w:b/>
      <w:sz w:val="34"/>
      <w:lang w:eastAsia="en-US"/>
    </w:rPr>
  </w:style>
  <w:style w:type="paragraph" w:customStyle="1" w:styleId="Numpara1">
    <w:name w:val="Numpara1"/>
    <w:basedOn w:val="Normal"/>
    <w:link w:val="Numpara1Char"/>
    <w:qFormat/>
    <w:rsid w:val="00E3588A"/>
    <w:pPr>
      <w:numPr>
        <w:numId w:val="21"/>
      </w:numPr>
      <w:shd w:val="clear" w:color="auto" w:fill="770027" w:themeFill="accent3" w:themeFillShade="BF"/>
      <w:spacing w:before="240" w:after="240"/>
    </w:pPr>
    <w:rPr>
      <w:rFonts w:cs="Arial"/>
      <w:b/>
      <w:sz w:val="22"/>
      <w:szCs w:val="22"/>
      <w:lang w:eastAsia="en-US"/>
    </w:rPr>
  </w:style>
  <w:style w:type="paragraph" w:customStyle="1" w:styleId="Numpara2">
    <w:name w:val="Numpara2"/>
    <w:basedOn w:val="Normal"/>
    <w:qFormat/>
    <w:rsid w:val="00904EB8"/>
    <w:pPr>
      <w:numPr>
        <w:ilvl w:val="1"/>
        <w:numId w:val="21"/>
      </w:numPr>
      <w:spacing w:before="240"/>
    </w:pPr>
    <w:rPr>
      <w:rFonts w:ascii="Arial" w:eastAsia="Times New Roman" w:hAnsi="Arial" w:cs="Arial"/>
      <w:szCs w:val="22"/>
      <w:lang w:eastAsia="en-US"/>
    </w:rPr>
  </w:style>
  <w:style w:type="paragraph" w:customStyle="1" w:styleId="Numpara3">
    <w:name w:val="Numpara3"/>
    <w:basedOn w:val="Normal"/>
    <w:qFormat/>
    <w:rsid w:val="00904EB8"/>
    <w:pPr>
      <w:numPr>
        <w:ilvl w:val="2"/>
        <w:numId w:val="21"/>
      </w:numPr>
      <w:spacing w:before="240"/>
    </w:pPr>
    <w:rPr>
      <w:rFonts w:ascii="Arial" w:eastAsia="Times New Roman" w:hAnsi="Arial" w:cs="Arial"/>
      <w:szCs w:val="22"/>
      <w:lang w:eastAsia="en-US"/>
    </w:rPr>
  </w:style>
  <w:style w:type="paragraph" w:customStyle="1" w:styleId="Numpara4">
    <w:name w:val="Numpara4"/>
    <w:basedOn w:val="Normal"/>
    <w:qFormat/>
    <w:rsid w:val="00904EB8"/>
    <w:pPr>
      <w:numPr>
        <w:ilvl w:val="3"/>
        <w:numId w:val="21"/>
      </w:numPr>
      <w:spacing w:before="240"/>
    </w:pPr>
    <w:rPr>
      <w:rFonts w:ascii="Arial" w:eastAsia="Times New Roman" w:hAnsi="Arial" w:cs="Arial"/>
      <w:szCs w:val="22"/>
      <w:lang w:eastAsia="en-US"/>
    </w:rPr>
  </w:style>
  <w:style w:type="paragraph" w:customStyle="1" w:styleId="pageNumber">
    <w:name w:val="pageNumber"/>
    <w:basedOn w:val="Normal"/>
    <w:qFormat/>
    <w:rsid w:val="003610F8"/>
    <w:pPr>
      <w:tabs>
        <w:tab w:val="right" w:pos="9072"/>
      </w:tabs>
    </w:pPr>
    <w:rPr>
      <w:rFonts w:cstheme="minorBidi"/>
      <w:sz w:val="14"/>
      <w:szCs w:val="14"/>
      <w:lang w:eastAsia="en-US"/>
    </w:rPr>
  </w:style>
  <w:style w:type="paragraph" w:styleId="TOC1">
    <w:name w:val="toc 1"/>
    <w:next w:val="Normal"/>
    <w:autoRedefine/>
    <w:uiPriority w:val="39"/>
    <w:rsid w:val="000C14C1"/>
    <w:pPr>
      <w:tabs>
        <w:tab w:val="left" w:pos="851"/>
        <w:tab w:val="left" w:pos="1702"/>
        <w:tab w:val="right" w:leader="dot" w:pos="9072"/>
      </w:tabs>
      <w:spacing w:before="240" w:after="240"/>
      <w:ind w:left="851" w:hanging="851"/>
    </w:pPr>
    <w:rPr>
      <w:rFonts w:cs="Times New Roman"/>
      <w:b/>
    </w:rPr>
  </w:style>
  <w:style w:type="paragraph" w:styleId="TOC2">
    <w:name w:val="toc 2"/>
    <w:next w:val="Normal"/>
    <w:autoRedefine/>
    <w:uiPriority w:val="39"/>
    <w:rsid w:val="000C14C1"/>
    <w:pPr>
      <w:tabs>
        <w:tab w:val="left" w:pos="1702"/>
        <w:tab w:val="right" w:leader="dot" w:pos="9072"/>
      </w:tabs>
      <w:ind w:left="1702" w:hanging="851"/>
    </w:pPr>
    <w:rPr>
      <w:rFonts w:cs="Times New Roman"/>
    </w:rPr>
  </w:style>
  <w:style w:type="table" w:customStyle="1" w:styleId="MadTabPlumGrid">
    <w:name w:val="MadTabPlumGrid"/>
    <w:basedOn w:val="TableNormal"/>
    <w:uiPriority w:val="99"/>
    <w:rsid w:val="00D5058D"/>
    <w:pPr>
      <w:spacing w:before="60" w:after="60"/>
    </w:pPr>
    <w:rPr>
      <w:rFonts w:cs="Times New Roman"/>
      <w:lang w:eastAsia="en-AU"/>
    </w:rPr>
    <w:tblPr>
      <w:tblBorders>
        <w:top w:val="single" w:sz="4" w:space="0" w:color="82002A"/>
        <w:bottom w:val="single" w:sz="4" w:space="0" w:color="82002A"/>
        <w:insideH w:val="single" w:sz="4" w:space="0" w:color="82002A"/>
        <w:insideV w:val="single" w:sz="4" w:space="0" w:color="82002A"/>
      </w:tblBorders>
    </w:tblPr>
    <w:tcPr>
      <w:vAlign w:val="center"/>
    </w:tcPr>
    <w:tblStylePr w:type="firstRow">
      <w:pPr>
        <w:wordWrap/>
        <w:spacing w:beforeLines="0" w:before="60" w:beforeAutospacing="0" w:afterLines="0" w:after="60" w:afterAutospacing="0"/>
        <w:jc w:val="left"/>
      </w:pPr>
      <w:rPr>
        <w:rFonts w:ascii="Arial" w:hAnsi="Arial"/>
        <w:b/>
        <w:i w:val="0"/>
        <w:color w:val="82002A"/>
        <w:sz w:val="20"/>
      </w:rPr>
      <w:tblPr/>
      <w:tcPr>
        <w:tcBorders>
          <w:top w:val="nil"/>
          <w:left w:val="nil"/>
          <w:bottom w:val="nil"/>
          <w:right w:val="nil"/>
          <w:insideH w:val="nil"/>
          <w:insideV w:val="nil"/>
          <w:tl2br w:val="nil"/>
          <w:tr2bl w:val="nil"/>
        </w:tcBorders>
      </w:tcPr>
    </w:tblStylePr>
  </w:style>
  <w:style w:type="table" w:customStyle="1" w:styleId="MadTabPlumShade">
    <w:name w:val="MadTabPlumShade"/>
    <w:basedOn w:val="TableNormal"/>
    <w:uiPriority w:val="99"/>
    <w:rsid w:val="00D5058D"/>
    <w:pPr>
      <w:spacing w:before="60" w:after="60"/>
    </w:pPr>
    <w:rPr>
      <w:rFonts w:cs="Times New Roman"/>
      <w:lang w:eastAsia="en-AU"/>
    </w:rPr>
    <w:tblPr>
      <w:tbl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blBorders>
    </w:tblPr>
    <w:tcPr>
      <w:shd w:val="clear" w:color="auto" w:fill="F2F2F2"/>
      <w:vAlign w:val="center"/>
    </w:tcPr>
    <w:tblStylePr w:type="firstRow">
      <w:pPr>
        <w:wordWrap/>
        <w:spacing w:beforeLines="0" w:before="60" w:beforeAutospacing="0" w:afterLines="0" w:after="60" w:afterAutospacing="0"/>
        <w:jc w:val="left"/>
      </w:pPr>
      <w:rPr>
        <w:rFonts w:ascii="Arial" w:hAnsi="Arial"/>
        <w:b/>
        <w:color w:val="FFFFFF"/>
        <w:sz w:val="20"/>
      </w:rPr>
      <w:tblPr/>
      <w:tcPr>
        <w:shd w:val="clear" w:color="auto" w:fill="82002A"/>
      </w:tcPr>
    </w:tblStylePr>
    <w:tblStylePr w:type="firstCol">
      <w:pPr>
        <w:wordWrap/>
        <w:spacing w:beforeLines="0" w:before="60" w:beforeAutospacing="0" w:afterLines="60" w:after="60" w:afterAutospacing="0"/>
      </w:pPr>
      <w:rPr>
        <w:rFonts w:ascii="Arial" w:hAnsi="Arial"/>
        <w:b/>
        <w:color w:val="auto"/>
        <w:sz w:val="20"/>
      </w:rPr>
      <w:tblPr/>
      <w:tcPr>
        <w:shd w:val="clear" w:color="auto" w:fill="D9D9D9"/>
      </w:tcPr>
    </w:tblStylePr>
  </w:style>
  <w:style w:type="paragraph" w:styleId="Footer">
    <w:name w:val="footer"/>
    <w:basedOn w:val="Normal"/>
    <w:link w:val="FooterChar"/>
    <w:uiPriority w:val="99"/>
    <w:rsid w:val="009F2818"/>
    <w:pPr>
      <w:tabs>
        <w:tab w:val="center" w:pos="4513"/>
        <w:tab w:val="right" w:pos="9026"/>
      </w:tabs>
    </w:pPr>
    <w:rPr>
      <w:rFonts w:cstheme="minorBidi"/>
      <w:lang w:eastAsia="en-US"/>
    </w:rPr>
  </w:style>
  <w:style w:type="character" w:customStyle="1" w:styleId="FooterChar">
    <w:name w:val="Footer Char"/>
    <w:basedOn w:val="DefaultParagraphFont"/>
    <w:link w:val="Footer"/>
    <w:uiPriority w:val="99"/>
    <w:rsid w:val="009F2818"/>
    <w:rPr>
      <w:rFonts w:ascii="Arial" w:hAnsi="Arial" w:cs="Times New Roman"/>
      <w:sz w:val="20"/>
      <w:szCs w:val="20"/>
      <w:lang w:eastAsia="en-AU"/>
    </w:rPr>
  </w:style>
  <w:style w:type="character" w:styleId="FootnoteReference">
    <w:name w:val="footnote reference"/>
    <w:aliases w:val="fr,4_G,Appel note de bas de page,Footnotes refss,Fago Fu?notenzeichen,Fago Fußnotenzeichen,Footnote number,Fago Fuﬂnotenzeichen,Ref,de nota al pie,ftref,ftref1,ftref2,ftref11,Texto de nota al pie,referencia nota al pie,BVI fnr,f"/>
    <w:basedOn w:val="DefaultParagraphFont"/>
    <w:link w:val="BVIfnr"/>
    <w:uiPriority w:val="99"/>
    <w:qFormat/>
    <w:rsid w:val="00651889"/>
    <w:rPr>
      <w:vertAlign w:val="superscript"/>
    </w:rPr>
  </w:style>
  <w:style w:type="paragraph" w:styleId="FootnoteText">
    <w:name w:val="footnote text"/>
    <w:aliases w:val="(NECG) Footnote Text,ff,ft"/>
    <w:basedOn w:val="Normal"/>
    <w:link w:val="FootnoteTextChar"/>
    <w:uiPriority w:val="99"/>
    <w:qFormat/>
    <w:rsid w:val="00651889"/>
    <w:rPr>
      <w:rFonts w:cstheme="minorBidi"/>
      <w:sz w:val="18"/>
      <w:lang w:eastAsia="en-US"/>
    </w:rPr>
  </w:style>
  <w:style w:type="character" w:customStyle="1" w:styleId="FootnoteTextChar">
    <w:name w:val="Footnote Text Char"/>
    <w:aliases w:val="(NECG) Footnote Text Char,ff Char,ft Char"/>
    <w:basedOn w:val="DefaultParagraphFont"/>
    <w:link w:val="FootnoteText"/>
    <w:uiPriority w:val="99"/>
    <w:rsid w:val="00651889"/>
    <w:rPr>
      <w:rFonts w:ascii="Arial" w:hAnsi="Arial" w:cs="Times New Roman"/>
      <w:sz w:val="18"/>
      <w:szCs w:val="20"/>
      <w:lang w:eastAsia="en-AU"/>
    </w:rPr>
  </w:style>
  <w:style w:type="paragraph" w:customStyle="1" w:styleId="legalAttachment">
    <w:name w:val="legalAttachment"/>
    <w:basedOn w:val="Normal"/>
    <w:next w:val="Normal"/>
    <w:qFormat/>
    <w:rsid w:val="00C768F8"/>
    <w:pPr>
      <w:pageBreakBefore/>
      <w:numPr>
        <w:numId w:val="6"/>
      </w:numPr>
      <w:pBdr>
        <w:bottom w:val="single" w:sz="4" w:space="1" w:color="auto"/>
      </w:pBdr>
    </w:pPr>
    <w:rPr>
      <w:b/>
      <w:sz w:val="34"/>
      <w:lang w:eastAsia="en-US"/>
    </w:rPr>
  </w:style>
  <w:style w:type="paragraph" w:customStyle="1" w:styleId="legalPart">
    <w:name w:val="legalPart"/>
    <w:basedOn w:val="Normal"/>
    <w:next w:val="Normal"/>
    <w:qFormat/>
    <w:rsid w:val="00590A06"/>
    <w:pPr>
      <w:keepNext/>
      <w:numPr>
        <w:numId w:val="11"/>
      </w:numPr>
      <w:pBdr>
        <w:bottom w:val="single" w:sz="4" w:space="1" w:color="82002A"/>
      </w:pBdr>
      <w:tabs>
        <w:tab w:val="clear" w:pos="7088"/>
        <w:tab w:val="num" w:pos="1701"/>
      </w:tabs>
      <w:spacing w:before="480" w:after="480"/>
      <w:ind w:left="1701"/>
    </w:pPr>
    <w:rPr>
      <w:b/>
      <w:color w:val="82002A"/>
      <w:sz w:val="36"/>
      <w:lang w:eastAsia="en-US"/>
    </w:rPr>
  </w:style>
  <w:style w:type="paragraph" w:styleId="TOC3">
    <w:name w:val="toc 3"/>
    <w:next w:val="Normal"/>
    <w:autoRedefine/>
    <w:uiPriority w:val="39"/>
    <w:unhideWhenUsed/>
    <w:rsid w:val="00D5058D"/>
    <w:pPr>
      <w:tabs>
        <w:tab w:val="left" w:pos="851"/>
        <w:tab w:val="right" w:leader="dot" w:pos="9060"/>
      </w:tabs>
      <w:spacing w:before="240"/>
    </w:pPr>
    <w:rPr>
      <w:rFonts w:cs="Times New Roman"/>
      <w:b/>
      <w:color w:val="82002A"/>
      <w:sz w:val="22"/>
    </w:rPr>
  </w:style>
  <w:style w:type="paragraph" w:styleId="Header">
    <w:name w:val="header"/>
    <w:basedOn w:val="Normal"/>
    <w:link w:val="HeaderChar"/>
    <w:uiPriority w:val="99"/>
    <w:unhideWhenUsed/>
    <w:rsid w:val="00BB0099"/>
    <w:pPr>
      <w:tabs>
        <w:tab w:val="center" w:pos="4513"/>
        <w:tab w:val="right" w:pos="9026"/>
      </w:tabs>
    </w:pPr>
  </w:style>
  <w:style w:type="character" w:customStyle="1" w:styleId="HeaderChar">
    <w:name w:val="Header Char"/>
    <w:basedOn w:val="DefaultParagraphFont"/>
    <w:link w:val="Header"/>
    <w:uiPriority w:val="99"/>
    <w:rsid w:val="00BB0099"/>
    <w:rPr>
      <w:rFonts w:cs="Times New Roman"/>
      <w:lang w:eastAsia="en-AU"/>
    </w:rPr>
  </w:style>
  <w:style w:type="paragraph" w:customStyle="1" w:styleId="paragraph">
    <w:name w:val="paragraph"/>
    <w:basedOn w:val="Normal"/>
    <w:rsid w:val="00F43375"/>
    <w:pPr>
      <w:spacing w:before="100" w:beforeAutospacing="1" w:after="100" w:afterAutospacing="1"/>
    </w:pPr>
    <w:rPr>
      <w:rFonts w:ascii="Calibri Light" w:hAnsi="Calibri Light" w:cs="Calibri Light"/>
      <w:sz w:val="24"/>
      <w:szCs w:val="24"/>
    </w:rPr>
  </w:style>
  <w:style w:type="paragraph" w:customStyle="1" w:styleId="paragraphsub">
    <w:name w:val="paragraphsub"/>
    <w:basedOn w:val="Normal"/>
    <w:rsid w:val="00F43375"/>
    <w:pPr>
      <w:spacing w:before="100" w:beforeAutospacing="1" w:after="100" w:afterAutospacing="1"/>
    </w:pPr>
    <w:rPr>
      <w:rFonts w:ascii="Calibri Light" w:hAnsi="Calibri Light" w:cs="Calibri Light"/>
      <w:sz w:val="24"/>
      <w:szCs w:val="24"/>
    </w:rPr>
  </w:style>
  <w:style w:type="paragraph" w:customStyle="1" w:styleId="definition">
    <w:name w:val="definition"/>
    <w:basedOn w:val="Normal"/>
    <w:rsid w:val="00106E23"/>
    <w:pPr>
      <w:spacing w:before="100" w:beforeAutospacing="1" w:after="100" w:afterAutospacing="1"/>
    </w:pPr>
    <w:rPr>
      <w:rFonts w:ascii="Calibri Light" w:hAnsi="Calibri Light" w:cs="Calibri Light"/>
      <w:sz w:val="24"/>
      <w:szCs w:val="24"/>
    </w:rPr>
  </w:style>
  <w:style w:type="paragraph" w:customStyle="1" w:styleId="notetext">
    <w:name w:val="notetext"/>
    <w:basedOn w:val="Normal"/>
    <w:rsid w:val="00106E23"/>
    <w:pPr>
      <w:spacing w:before="100" w:beforeAutospacing="1" w:after="100" w:afterAutospacing="1"/>
    </w:pPr>
    <w:rPr>
      <w:rFonts w:ascii="Calibri Light" w:hAnsi="Calibri Light" w:cs="Calibri Light"/>
      <w:sz w:val="24"/>
      <w:szCs w:val="24"/>
    </w:rPr>
  </w:style>
  <w:style w:type="table" w:styleId="TableGridLight">
    <w:name w:val="Grid Table Light"/>
    <w:basedOn w:val="TableNormal"/>
    <w:uiPriority w:val="40"/>
    <w:rsid w:val="00171C89"/>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Hyperlink">
    <w:name w:val="Hyperlink"/>
    <w:basedOn w:val="DefaultParagraphFont"/>
    <w:uiPriority w:val="99"/>
    <w:unhideWhenUsed/>
    <w:rsid w:val="00171C89"/>
    <w:rPr>
      <w:color w:val="CD5C3D" w:themeColor="hyperlink"/>
      <w:u w:val="single"/>
    </w:rPr>
  </w:style>
  <w:style w:type="paragraph" w:styleId="BalloonText">
    <w:name w:val="Balloon Text"/>
    <w:basedOn w:val="Normal"/>
    <w:link w:val="BalloonTextChar"/>
    <w:uiPriority w:val="99"/>
    <w:semiHidden/>
    <w:unhideWhenUsed/>
    <w:rsid w:val="00200DD4"/>
    <w:rPr>
      <w:rFonts w:ascii="Calibri Light" w:hAnsi="Calibri Light" w:cs="Calibri Light"/>
      <w:sz w:val="18"/>
      <w:szCs w:val="18"/>
    </w:rPr>
  </w:style>
  <w:style w:type="character" w:customStyle="1" w:styleId="BalloonTextChar">
    <w:name w:val="Balloon Text Char"/>
    <w:basedOn w:val="DefaultParagraphFont"/>
    <w:link w:val="BalloonText"/>
    <w:uiPriority w:val="99"/>
    <w:semiHidden/>
    <w:rsid w:val="00200DD4"/>
    <w:rPr>
      <w:rFonts w:ascii="Calibri Light" w:hAnsi="Calibri Light" w:cs="Calibri Light"/>
      <w:sz w:val="18"/>
      <w:szCs w:val="18"/>
      <w:lang w:eastAsia="en-AU"/>
    </w:rPr>
  </w:style>
  <w:style w:type="table" w:styleId="GridTable3-Accent5">
    <w:name w:val="Grid Table 3 Accent 5"/>
    <w:basedOn w:val="TableNormal"/>
    <w:uiPriority w:val="48"/>
    <w:rsid w:val="00A67554"/>
    <w:tblPr>
      <w:tblStyleRowBandSize w:val="1"/>
      <w:tblStyleColBandSize w:val="1"/>
      <w:tblBorders>
        <w:top w:val="single" w:sz="4" w:space="0" w:color="9C8787" w:themeColor="accent5" w:themeTint="99"/>
        <w:left w:val="single" w:sz="4" w:space="0" w:color="9C8787" w:themeColor="accent5" w:themeTint="99"/>
        <w:bottom w:val="single" w:sz="4" w:space="0" w:color="9C8787" w:themeColor="accent5" w:themeTint="99"/>
        <w:right w:val="single" w:sz="4" w:space="0" w:color="9C8787" w:themeColor="accent5" w:themeTint="99"/>
        <w:insideH w:val="single" w:sz="4" w:space="0" w:color="9C8787" w:themeColor="accent5" w:themeTint="99"/>
        <w:insideV w:val="single" w:sz="4" w:space="0" w:color="9C8787"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D7D7" w:themeFill="accent5" w:themeFillTint="33"/>
      </w:tcPr>
    </w:tblStylePr>
    <w:tblStylePr w:type="band1Horz">
      <w:tblPr/>
      <w:tcPr>
        <w:shd w:val="clear" w:color="auto" w:fill="DED7D7" w:themeFill="accent5" w:themeFillTint="33"/>
      </w:tcPr>
    </w:tblStylePr>
    <w:tblStylePr w:type="neCell">
      <w:tblPr/>
      <w:tcPr>
        <w:tcBorders>
          <w:bottom w:val="single" w:sz="4" w:space="0" w:color="9C8787" w:themeColor="accent5" w:themeTint="99"/>
        </w:tcBorders>
      </w:tcPr>
    </w:tblStylePr>
    <w:tblStylePr w:type="nwCell">
      <w:tblPr/>
      <w:tcPr>
        <w:tcBorders>
          <w:bottom w:val="single" w:sz="4" w:space="0" w:color="9C8787" w:themeColor="accent5" w:themeTint="99"/>
        </w:tcBorders>
      </w:tcPr>
    </w:tblStylePr>
    <w:tblStylePr w:type="seCell">
      <w:tblPr/>
      <w:tcPr>
        <w:tcBorders>
          <w:top w:val="single" w:sz="4" w:space="0" w:color="9C8787" w:themeColor="accent5" w:themeTint="99"/>
        </w:tcBorders>
      </w:tcPr>
    </w:tblStylePr>
    <w:tblStylePr w:type="swCell">
      <w:tblPr/>
      <w:tcPr>
        <w:tcBorders>
          <w:top w:val="single" w:sz="4" w:space="0" w:color="9C8787" w:themeColor="accent5" w:themeTint="99"/>
        </w:tcBorders>
      </w:tcPr>
    </w:tblStylePr>
  </w:style>
  <w:style w:type="table" w:styleId="GridTable2">
    <w:name w:val="Grid Table 2"/>
    <w:basedOn w:val="TableNormal"/>
    <w:uiPriority w:val="47"/>
    <w:rsid w:val="003605D5"/>
    <w:tblPr>
      <w:tblStyleRowBandSize w:val="1"/>
      <w:tblStyleColBandSize w:val="1"/>
      <w:tblBorders>
        <w:top w:val="single" w:sz="2" w:space="0" w:color="848484" w:themeColor="text1" w:themeTint="99"/>
        <w:bottom w:val="single" w:sz="2" w:space="0" w:color="848484" w:themeColor="text1" w:themeTint="99"/>
        <w:insideH w:val="single" w:sz="2" w:space="0" w:color="848484" w:themeColor="text1" w:themeTint="99"/>
        <w:insideV w:val="single" w:sz="2" w:space="0" w:color="848484" w:themeColor="text1" w:themeTint="99"/>
      </w:tblBorders>
    </w:tblPr>
    <w:tblStylePr w:type="firstRow">
      <w:rPr>
        <w:b/>
        <w:bCs/>
      </w:rPr>
      <w:tblPr/>
      <w:tcPr>
        <w:tcBorders>
          <w:top w:val="nil"/>
          <w:bottom w:val="single" w:sz="12" w:space="0" w:color="848484" w:themeColor="text1" w:themeTint="99"/>
          <w:insideH w:val="nil"/>
          <w:insideV w:val="nil"/>
        </w:tcBorders>
        <w:shd w:val="clear" w:color="auto" w:fill="FFFFFF" w:themeFill="background1"/>
      </w:tcPr>
    </w:tblStylePr>
    <w:tblStylePr w:type="lastRow">
      <w:rPr>
        <w:b/>
        <w:bCs/>
      </w:rPr>
      <w:tblPr/>
      <w:tcPr>
        <w:tcBorders>
          <w:top w:val="double" w:sz="2" w:space="0" w:color="848484"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6D6D6" w:themeFill="text1" w:themeFillTint="33"/>
      </w:tcPr>
    </w:tblStylePr>
    <w:tblStylePr w:type="band1Horz">
      <w:tblPr/>
      <w:tcPr>
        <w:shd w:val="clear" w:color="auto" w:fill="D6D6D6" w:themeFill="text1" w:themeFillTint="33"/>
      </w:tcPr>
    </w:tblStylePr>
  </w:style>
  <w:style w:type="table" w:styleId="GridTable3-Accent6">
    <w:name w:val="Grid Table 3 Accent 6"/>
    <w:basedOn w:val="TableNormal"/>
    <w:uiPriority w:val="48"/>
    <w:rsid w:val="003605D5"/>
    <w:tblPr>
      <w:tblStyleRowBandSize w:val="1"/>
      <w:tblStyleColBandSize w:val="1"/>
      <w:tblBorders>
        <w:top w:val="single" w:sz="4" w:space="0" w:color="A09797" w:themeColor="accent6" w:themeTint="99"/>
        <w:left w:val="single" w:sz="4" w:space="0" w:color="A09797" w:themeColor="accent6" w:themeTint="99"/>
        <w:bottom w:val="single" w:sz="4" w:space="0" w:color="A09797" w:themeColor="accent6" w:themeTint="99"/>
        <w:right w:val="single" w:sz="4" w:space="0" w:color="A09797" w:themeColor="accent6" w:themeTint="99"/>
        <w:insideH w:val="single" w:sz="4" w:space="0" w:color="A09797" w:themeColor="accent6" w:themeTint="99"/>
        <w:insideV w:val="single" w:sz="4" w:space="0" w:color="A09797"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FDCDC" w:themeFill="accent6" w:themeFillTint="33"/>
      </w:tcPr>
    </w:tblStylePr>
    <w:tblStylePr w:type="band1Horz">
      <w:tblPr/>
      <w:tcPr>
        <w:shd w:val="clear" w:color="auto" w:fill="DFDCDC" w:themeFill="accent6" w:themeFillTint="33"/>
      </w:tcPr>
    </w:tblStylePr>
    <w:tblStylePr w:type="neCell">
      <w:tblPr/>
      <w:tcPr>
        <w:tcBorders>
          <w:bottom w:val="single" w:sz="4" w:space="0" w:color="A09797" w:themeColor="accent6" w:themeTint="99"/>
        </w:tcBorders>
      </w:tcPr>
    </w:tblStylePr>
    <w:tblStylePr w:type="nwCell">
      <w:tblPr/>
      <w:tcPr>
        <w:tcBorders>
          <w:bottom w:val="single" w:sz="4" w:space="0" w:color="A09797" w:themeColor="accent6" w:themeTint="99"/>
        </w:tcBorders>
      </w:tcPr>
    </w:tblStylePr>
    <w:tblStylePr w:type="seCell">
      <w:tblPr/>
      <w:tcPr>
        <w:tcBorders>
          <w:top w:val="single" w:sz="4" w:space="0" w:color="A09797" w:themeColor="accent6" w:themeTint="99"/>
        </w:tcBorders>
      </w:tcPr>
    </w:tblStylePr>
    <w:tblStylePr w:type="swCell">
      <w:tblPr/>
      <w:tcPr>
        <w:tcBorders>
          <w:top w:val="single" w:sz="4" w:space="0" w:color="A09797" w:themeColor="accent6" w:themeTint="99"/>
        </w:tcBorders>
      </w:tcPr>
    </w:tblStylePr>
  </w:style>
  <w:style w:type="table" w:styleId="PlainTable1">
    <w:name w:val="Plain Table 1"/>
    <w:basedOn w:val="TableNormal"/>
    <w:uiPriority w:val="41"/>
    <w:rsid w:val="003605D5"/>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eGrid">
    <w:name w:val="Table Grid"/>
    <w:basedOn w:val="TableNormal"/>
    <w:uiPriority w:val="59"/>
    <w:rsid w:val="00E838D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AD79E3"/>
    <w:rPr>
      <w:color w:val="808080"/>
      <w:shd w:val="clear" w:color="auto" w:fill="E6E6E6"/>
    </w:rPr>
  </w:style>
  <w:style w:type="character" w:styleId="CommentReference">
    <w:name w:val="annotation reference"/>
    <w:basedOn w:val="DefaultParagraphFont"/>
    <w:unhideWhenUsed/>
    <w:rsid w:val="00E314D2"/>
    <w:rPr>
      <w:sz w:val="16"/>
      <w:szCs w:val="16"/>
    </w:rPr>
  </w:style>
  <w:style w:type="paragraph" w:styleId="CommentText">
    <w:name w:val="annotation text"/>
    <w:basedOn w:val="Normal"/>
    <w:link w:val="CommentTextChar"/>
    <w:uiPriority w:val="99"/>
    <w:unhideWhenUsed/>
    <w:rsid w:val="00120AAA"/>
    <w:rPr>
      <w:rFonts w:asciiTheme="minorHAnsi" w:hAnsiTheme="minorHAnsi"/>
    </w:rPr>
  </w:style>
  <w:style w:type="character" w:customStyle="1" w:styleId="CommentTextChar">
    <w:name w:val="Comment Text Char"/>
    <w:basedOn w:val="DefaultParagraphFont"/>
    <w:link w:val="CommentText"/>
    <w:uiPriority w:val="99"/>
    <w:rsid w:val="00120AAA"/>
    <w:rPr>
      <w:rFonts w:asciiTheme="minorHAnsi" w:hAnsiTheme="minorHAnsi" w:cs="Times New Roman"/>
      <w:lang w:eastAsia="en-AU"/>
    </w:rPr>
  </w:style>
  <w:style w:type="paragraph" w:styleId="CommentSubject">
    <w:name w:val="annotation subject"/>
    <w:basedOn w:val="CommentText"/>
    <w:next w:val="CommentText"/>
    <w:link w:val="CommentSubjectChar"/>
    <w:uiPriority w:val="99"/>
    <w:semiHidden/>
    <w:unhideWhenUsed/>
    <w:rsid w:val="00E314D2"/>
    <w:rPr>
      <w:b/>
      <w:bCs/>
    </w:rPr>
  </w:style>
  <w:style w:type="character" w:customStyle="1" w:styleId="CommentSubjectChar">
    <w:name w:val="Comment Subject Char"/>
    <w:basedOn w:val="CommentTextChar"/>
    <w:link w:val="CommentSubject"/>
    <w:uiPriority w:val="99"/>
    <w:semiHidden/>
    <w:rsid w:val="00E314D2"/>
    <w:rPr>
      <w:rFonts w:asciiTheme="minorHAnsi" w:hAnsiTheme="minorHAnsi" w:cs="Times New Roman"/>
      <w:b/>
      <w:bCs/>
      <w:lang w:eastAsia="en-AU"/>
    </w:rPr>
  </w:style>
  <w:style w:type="paragraph" w:styleId="ListParagraph">
    <w:name w:val="List Paragraph"/>
    <w:aliases w:val="Figure_name,List Paragraph1,Numbered Indented Text,Bullet- First level,List NUmber,Listenabsatz1,lp1,List Paragraph11,Style 2,TOC style,List Paragraph2,Number_1,SGLText List Paragraph,new,Colorful List - Accent 11,Recommendation,L,CV text"/>
    <w:basedOn w:val="Normal"/>
    <w:link w:val="ListParagraphChar"/>
    <w:uiPriority w:val="34"/>
    <w:qFormat/>
    <w:rsid w:val="00DB0F03"/>
    <w:pPr>
      <w:ind w:left="720"/>
      <w:contextualSpacing/>
    </w:pPr>
  </w:style>
  <w:style w:type="paragraph" w:customStyle="1" w:styleId="acthead5">
    <w:name w:val="acthead5"/>
    <w:basedOn w:val="Normal"/>
    <w:rsid w:val="00077FC9"/>
    <w:pPr>
      <w:spacing w:before="100" w:beforeAutospacing="1" w:after="100" w:afterAutospacing="1"/>
    </w:pPr>
    <w:rPr>
      <w:rFonts w:ascii="Calibri Light" w:hAnsi="Calibri Light" w:cs="Calibri Light"/>
      <w:sz w:val="24"/>
      <w:szCs w:val="24"/>
    </w:rPr>
  </w:style>
  <w:style w:type="character" w:customStyle="1" w:styleId="charsectno">
    <w:name w:val="charsectno"/>
    <w:basedOn w:val="DefaultParagraphFont"/>
    <w:rsid w:val="00077FC9"/>
  </w:style>
  <w:style w:type="paragraph" w:customStyle="1" w:styleId="subsection">
    <w:name w:val="subsection"/>
    <w:basedOn w:val="Normal"/>
    <w:rsid w:val="00077FC9"/>
    <w:pPr>
      <w:spacing w:before="100" w:beforeAutospacing="1" w:after="100" w:afterAutospacing="1"/>
    </w:pPr>
    <w:rPr>
      <w:rFonts w:ascii="Calibri Light" w:hAnsi="Calibri Light" w:cs="Calibri Light"/>
      <w:sz w:val="24"/>
      <w:szCs w:val="24"/>
    </w:rPr>
  </w:style>
  <w:style w:type="paragraph" w:customStyle="1" w:styleId="subsectionhead">
    <w:name w:val="subsectionhead"/>
    <w:basedOn w:val="Normal"/>
    <w:rsid w:val="00077FC9"/>
    <w:pPr>
      <w:spacing w:before="100" w:beforeAutospacing="1" w:after="100" w:afterAutospacing="1"/>
    </w:pPr>
    <w:rPr>
      <w:rFonts w:ascii="Calibri Light" w:hAnsi="Calibri Light" w:cs="Calibri Light"/>
      <w:sz w:val="24"/>
      <w:szCs w:val="24"/>
    </w:rPr>
  </w:style>
  <w:style w:type="paragraph" w:customStyle="1" w:styleId="subsection2">
    <w:name w:val="subsection2"/>
    <w:basedOn w:val="Normal"/>
    <w:rsid w:val="00E60516"/>
    <w:pPr>
      <w:spacing w:before="100" w:beforeAutospacing="1" w:after="100" w:afterAutospacing="1"/>
    </w:pPr>
    <w:rPr>
      <w:rFonts w:ascii="Calibri Light" w:hAnsi="Calibri Light" w:cs="Calibri Light"/>
      <w:sz w:val="24"/>
      <w:szCs w:val="24"/>
    </w:rPr>
  </w:style>
  <w:style w:type="paragraph" w:customStyle="1" w:styleId="BodyIndent0">
    <w:name w:val="Body Indent 0"/>
    <w:basedOn w:val="BodyIndent1"/>
    <w:qFormat/>
    <w:rsid w:val="00F23514"/>
    <w:pPr>
      <w:spacing w:after="240"/>
      <w:ind w:left="0"/>
    </w:pPr>
    <w:rPr>
      <w:i/>
      <w:u w:val="single"/>
    </w:rPr>
  </w:style>
  <w:style w:type="character" w:customStyle="1" w:styleId="BodyIndent1Char">
    <w:name w:val="Body Indent 1 Char"/>
    <w:link w:val="BodyIndent1"/>
    <w:locked/>
    <w:rsid w:val="009236AA"/>
    <w:rPr>
      <w:rFonts w:cs="Arial"/>
    </w:rPr>
  </w:style>
  <w:style w:type="paragraph" w:styleId="EndnoteText">
    <w:name w:val="endnote text"/>
    <w:basedOn w:val="Normal"/>
    <w:link w:val="EndnoteTextChar"/>
    <w:uiPriority w:val="99"/>
    <w:semiHidden/>
    <w:unhideWhenUsed/>
    <w:rsid w:val="008F6BDB"/>
  </w:style>
  <w:style w:type="character" w:customStyle="1" w:styleId="EndnoteTextChar">
    <w:name w:val="Endnote Text Char"/>
    <w:basedOn w:val="DefaultParagraphFont"/>
    <w:link w:val="EndnoteText"/>
    <w:uiPriority w:val="99"/>
    <w:semiHidden/>
    <w:rsid w:val="008F6BDB"/>
    <w:rPr>
      <w:rFonts w:cs="Times New Roman"/>
      <w:lang w:eastAsia="en-AU"/>
    </w:rPr>
  </w:style>
  <w:style w:type="character" w:styleId="EndnoteReference">
    <w:name w:val="endnote reference"/>
    <w:basedOn w:val="DefaultParagraphFont"/>
    <w:uiPriority w:val="99"/>
    <w:semiHidden/>
    <w:unhideWhenUsed/>
    <w:rsid w:val="008F6BDB"/>
    <w:rPr>
      <w:vertAlign w:val="superscript"/>
    </w:rPr>
  </w:style>
  <w:style w:type="character" w:customStyle="1" w:styleId="UnresolvedMention2">
    <w:name w:val="Unresolved Mention2"/>
    <w:basedOn w:val="DefaultParagraphFont"/>
    <w:uiPriority w:val="99"/>
    <w:semiHidden/>
    <w:unhideWhenUsed/>
    <w:rsid w:val="00D612B4"/>
    <w:rPr>
      <w:color w:val="605E5C"/>
      <w:shd w:val="clear" w:color="auto" w:fill="E1DFDD"/>
    </w:rPr>
  </w:style>
  <w:style w:type="character" w:customStyle="1" w:styleId="ListParagraphChar">
    <w:name w:val="List Paragraph Char"/>
    <w:aliases w:val="Figure_name Char,List Paragraph1 Char,Numbered Indented Text Char,Bullet- First level Char,List NUmber Char,Listenabsatz1 Char,lp1 Char,List Paragraph11 Char,Style 2 Char,TOC style Char,List Paragraph2 Char,Number_1 Char,new Char"/>
    <w:basedOn w:val="DefaultParagraphFont"/>
    <w:link w:val="ListParagraph"/>
    <w:uiPriority w:val="34"/>
    <w:qFormat/>
    <w:locked/>
    <w:rsid w:val="00C768F8"/>
    <w:rPr>
      <w:rFonts w:cs="Times New Roman"/>
      <w:lang w:eastAsia="en-AU"/>
    </w:rPr>
  </w:style>
  <w:style w:type="paragraph" w:customStyle="1" w:styleId="LetterBody">
    <w:name w:val="Letter Body"/>
    <w:basedOn w:val="Normal"/>
    <w:qFormat/>
    <w:rsid w:val="00C768F8"/>
    <w:pPr>
      <w:spacing w:after="120"/>
    </w:pPr>
    <w:rPr>
      <w:rFonts w:asciiTheme="minorHAnsi" w:eastAsiaTheme="minorHAnsi" w:hAnsiTheme="minorHAnsi" w:cstheme="minorBidi"/>
      <w:sz w:val="22"/>
      <w:szCs w:val="22"/>
      <w:lang w:eastAsia="en-US"/>
    </w:rPr>
  </w:style>
  <w:style w:type="table" w:customStyle="1" w:styleId="PlainTable11">
    <w:name w:val="Plain Table 11"/>
    <w:basedOn w:val="TableNormal"/>
    <w:uiPriority w:val="41"/>
    <w:rsid w:val="00C768F8"/>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Revision">
    <w:name w:val="Revision"/>
    <w:hidden/>
    <w:uiPriority w:val="99"/>
    <w:semiHidden/>
    <w:rsid w:val="00545D29"/>
    <w:rPr>
      <w:rFonts w:cs="Times New Roman"/>
      <w:lang w:eastAsia="en-AU"/>
    </w:rPr>
  </w:style>
  <w:style w:type="character" w:customStyle="1" w:styleId="UnresolvedMention3">
    <w:name w:val="Unresolved Mention3"/>
    <w:basedOn w:val="DefaultParagraphFont"/>
    <w:uiPriority w:val="99"/>
    <w:semiHidden/>
    <w:unhideWhenUsed/>
    <w:rsid w:val="00E54A6E"/>
    <w:rPr>
      <w:color w:val="605E5C"/>
      <w:shd w:val="clear" w:color="auto" w:fill="E1DFDD"/>
    </w:rPr>
  </w:style>
  <w:style w:type="character" w:styleId="FollowedHyperlink">
    <w:name w:val="FollowedHyperlink"/>
    <w:basedOn w:val="DefaultParagraphFont"/>
    <w:uiPriority w:val="99"/>
    <w:semiHidden/>
    <w:unhideWhenUsed/>
    <w:rsid w:val="00E54A6E"/>
    <w:rPr>
      <w:color w:val="C40040" w:themeColor="followedHyperlink"/>
      <w:u w:val="single"/>
    </w:rPr>
  </w:style>
  <w:style w:type="paragraph" w:customStyle="1" w:styleId="BodyIndent">
    <w:name w:val="Body Indent"/>
    <w:basedOn w:val="BodyIndent1"/>
    <w:rsid w:val="00E92A30"/>
  </w:style>
  <w:style w:type="paragraph" w:customStyle="1" w:styleId="Boldheading">
    <w:name w:val="Bold heading"/>
    <w:basedOn w:val="Normal"/>
    <w:qFormat/>
    <w:rsid w:val="00475983"/>
    <w:pPr>
      <w:spacing w:before="240"/>
      <w:ind w:left="851"/>
    </w:pPr>
    <w:rPr>
      <w:rFonts w:cs="Arial"/>
      <w:b/>
      <w:lang w:eastAsia="en-US"/>
    </w:rPr>
  </w:style>
  <w:style w:type="paragraph" w:customStyle="1" w:styleId="Italicsheading">
    <w:name w:val="Italics heading"/>
    <w:basedOn w:val="Boldheading"/>
    <w:qFormat/>
    <w:rsid w:val="00475983"/>
    <w:rPr>
      <w:b w:val="0"/>
      <w:i/>
    </w:rPr>
  </w:style>
  <w:style w:type="paragraph" w:customStyle="1" w:styleId="ClauseLevel1">
    <w:name w:val="Clause Level 1"/>
    <w:next w:val="ClauseLevel2"/>
    <w:uiPriority w:val="99"/>
    <w:rsid w:val="00484059"/>
    <w:pPr>
      <w:keepNext/>
      <w:numPr>
        <w:numId w:val="12"/>
      </w:numPr>
      <w:spacing w:before="200" w:after="200" w:line="280" w:lineRule="atLeast"/>
      <w:ind w:left="2410" w:hanging="2410"/>
      <w:outlineLvl w:val="0"/>
    </w:pPr>
    <w:rPr>
      <w:rFonts w:asciiTheme="majorHAnsi" w:hAnsiTheme="majorHAnsi" w:cstheme="majorHAnsi"/>
      <w:b/>
      <w:bCs/>
      <w:sz w:val="22"/>
      <w:szCs w:val="22"/>
      <w:lang w:eastAsia="en-AU"/>
    </w:rPr>
  </w:style>
  <w:style w:type="paragraph" w:customStyle="1" w:styleId="ClauseLevel2">
    <w:name w:val="Clause Level 2"/>
    <w:aliases w:val="C2"/>
    <w:next w:val="ClauseLevel3"/>
    <w:link w:val="ClauseLevel2Char"/>
    <w:uiPriority w:val="19"/>
    <w:qFormat/>
    <w:rsid w:val="00B75007"/>
    <w:pPr>
      <w:keepNext/>
      <w:numPr>
        <w:ilvl w:val="1"/>
        <w:numId w:val="12"/>
      </w:numPr>
      <w:spacing w:before="200" w:line="280" w:lineRule="atLeast"/>
      <w:outlineLvl w:val="1"/>
    </w:pPr>
    <w:rPr>
      <w:rFonts w:cs="Arial"/>
      <w:b/>
      <w:sz w:val="22"/>
      <w:szCs w:val="22"/>
      <w:lang w:eastAsia="en-AU"/>
    </w:rPr>
  </w:style>
  <w:style w:type="paragraph" w:customStyle="1" w:styleId="ClauseLevel3">
    <w:name w:val="Clause Level 3"/>
    <w:aliases w:val="C3"/>
    <w:link w:val="ClauseLevel3Char"/>
    <w:uiPriority w:val="19"/>
    <w:qFormat/>
    <w:rsid w:val="00B75007"/>
    <w:pPr>
      <w:numPr>
        <w:ilvl w:val="2"/>
        <w:numId w:val="12"/>
      </w:numPr>
      <w:spacing w:before="140" w:after="140" w:line="280" w:lineRule="atLeast"/>
    </w:pPr>
    <w:rPr>
      <w:rFonts w:cs="Arial"/>
      <w:sz w:val="22"/>
      <w:szCs w:val="22"/>
      <w:lang w:eastAsia="en-AU"/>
    </w:rPr>
  </w:style>
  <w:style w:type="paragraph" w:customStyle="1" w:styleId="ClauseLevel5">
    <w:name w:val="Clause Level 5"/>
    <w:basedOn w:val="Normal"/>
    <w:uiPriority w:val="99"/>
    <w:rsid w:val="00B75007"/>
    <w:pPr>
      <w:spacing w:after="140" w:line="280" w:lineRule="atLeast"/>
    </w:pPr>
    <w:rPr>
      <w:rFonts w:cs="Arial"/>
      <w:sz w:val="22"/>
      <w:szCs w:val="22"/>
    </w:rPr>
  </w:style>
  <w:style w:type="character" w:customStyle="1" w:styleId="ClauseLevel2Char">
    <w:name w:val="Clause Level 2 Char"/>
    <w:basedOn w:val="DefaultParagraphFont"/>
    <w:link w:val="ClauseLevel2"/>
    <w:uiPriority w:val="19"/>
    <w:rsid w:val="00B75007"/>
    <w:rPr>
      <w:rFonts w:cs="Arial"/>
      <w:b/>
      <w:sz w:val="22"/>
      <w:szCs w:val="22"/>
      <w:lang w:eastAsia="en-AU"/>
    </w:rPr>
  </w:style>
  <w:style w:type="character" w:customStyle="1" w:styleId="UnresolvedMention4">
    <w:name w:val="Unresolved Mention4"/>
    <w:basedOn w:val="DefaultParagraphFont"/>
    <w:uiPriority w:val="99"/>
    <w:semiHidden/>
    <w:unhideWhenUsed/>
    <w:rsid w:val="008D4E35"/>
    <w:rPr>
      <w:color w:val="605E5C"/>
      <w:shd w:val="clear" w:color="auto" w:fill="E1DFDD"/>
    </w:rPr>
  </w:style>
  <w:style w:type="character" w:styleId="Emphasis">
    <w:name w:val="Emphasis"/>
    <w:basedOn w:val="DefaultParagraphFont"/>
    <w:uiPriority w:val="20"/>
    <w:qFormat/>
    <w:rsid w:val="002838C0"/>
    <w:rPr>
      <w:i/>
      <w:iCs/>
    </w:rPr>
  </w:style>
  <w:style w:type="paragraph" w:customStyle="1" w:styleId="DashEm">
    <w:name w:val="Dash: Em"/>
    <w:basedOn w:val="Normal"/>
    <w:semiHidden/>
    <w:rsid w:val="00337EAF"/>
    <w:pPr>
      <w:numPr>
        <w:numId w:val="13"/>
      </w:numPr>
      <w:spacing w:after="140" w:line="280" w:lineRule="atLeast"/>
    </w:pPr>
    <w:rPr>
      <w:rFonts w:cs="Arial"/>
      <w:sz w:val="22"/>
      <w:szCs w:val="22"/>
    </w:rPr>
  </w:style>
  <w:style w:type="paragraph" w:customStyle="1" w:styleId="DashEm1">
    <w:name w:val="Dash: Em 1"/>
    <w:basedOn w:val="Normal"/>
    <w:semiHidden/>
    <w:rsid w:val="00337EAF"/>
    <w:pPr>
      <w:numPr>
        <w:ilvl w:val="1"/>
        <w:numId w:val="13"/>
      </w:numPr>
      <w:spacing w:after="140" w:line="280" w:lineRule="atLeast"/>
    </w:pPr>
    <w:rPr>
      <w:rFonts w:cs="Arial"/>
      <w:sz w:val="22"/>
      <w:szCs w:val="22"/>
    </w:rPr>
  </w:style>
  <w:style w:type="paragraph" w:customStyle="1" w:styleId="DashEn1">
    <w:name w:val="Dash: En 1"/>
    <w:basedOn w:val="DashEm"/>
    <w:semiHidden/>
    <w:rsid w:val="00337EAF"/>
    <w:pPr>
      <w:numPr>
        <w:ilvl w:val="2"/>
      </w:numPr>
    </w:pPr>
  </w:style>
  <w:style w:type="paragraph" w:customStyle="1" w:styleId="DashEn2">
    <w:name w:val="Dash: En 2"/>
    <w:basedOn w:val="DashEn1"/>
    <w:semiHidden/>
    <w:rsid w:val="00337EAF"/>
    <w:pPr>
      <w:numPr>
        <w:ilvl w:val="3"/>
      </w:numPr>
    </w:pPr>
  </w:style>
  <w:style w:type="paragraph" w:customStyle="1" w:styleId="DashEn3">
    <w:name w:val="Dash: En 3"/>
    <w:basedOn w:val="DashEn2"/>
    <w:semiHidden/>
    <w:rsid w:val="00337EAF"/>
    <w:pPr>
      <w:numPr>
        <w:ilvl w:val="4"/>
      </w:numPr>
    </w:pPr>
  </w:style>
  <w:style w:type="paragraph" w:customStyle="1" w:styleId="DashEn4">
    <w:name w:val="Dash: En 4"/>
    <w:basedOn w:val="DashEn3"/>
    <w:semiHidden/>
    <w:rsid w:val="00337EAF"/>
    <w:pPr>
      <w:numPr>
        <w:ilvl w:val="5"/>
      </w:numPr>
    </w:pPr>
  </w:style>
  <w:style w:type="paragraph" w:customStyle="1" w:styleId="DashEn5">
    <w:name w:val="Dash: En 5"/>
    <w:basedOn w:val="DashEn4"/>
    <w:semiHidden/>
    <w:rsid w:val="00337EAF"/>
    <w:pPr>
      <w:numPr>
        <w:ilvl w:val="6"/>
      </w:numPr>
    </w:pPr>
  </w:style>
  <w:style w:type="paragraph" w:customStyle="1" w:styleId="DashEn6">
    <w:name w:val="Dash: En 6"/>
    <w:basedOn w:val="DashEn5"/>
    <w:semiHidden/>
    <w:rsid w:val="00337EAF"/>
    <w:pPr>
      <w:numPr>
        <w:ilvl w:val="7"/>
      </w:numPr>
    </w:pPr>
  </w:style>
  <w:style w:type="paragraph" w:customStyle="1" w:styleId="DashEn7">
    <w:name w:val="Dash: En 7"/>
    <w:basedOn w:val="DashEn6"/>
    <w:semiHidden/>
    <w:rsid w:val="00337EAF"/>
    <w:pPr>
      <w:numPr>
        <w:ilvl w:val="8"/>
      </w:numPr>
    </w:pPr>
  </w:style>
  <w:style w:type="paragraph" w:customStyle="1" w:styleId="ClauseLevel4">
    <w:name w:val="Clause Level 4"/>
    <w:aliases w:val="C4"/>
    <w:basedOn w:val="ClauseLevel3"/>
    <w:link w:val="ClauseLevel4Char"/>
    <w:uiPriority w:val="19"/>
    <w:qFormat/>
    <w:rsid w:val="00337EAF"/>
    <w:pPr>
      <w:numPr>
        <w:ilvl w:val="0"/>
        <w:numId w:val="0"/>
      </w:numPr>
      <w:tabs>
        <w:tab w:val="num" w:pos="1559"/>
      </w:tabs>
      <w:spacing w:before="0"/>
      <w:ind w:left="1559" w:hanging="425"/>
    </w:pPr>
  </w:style>
  <w:style w:type="paragraph" w:customStyle="1" w:styleId="ClauseLevel6">
    <w:name w:val="Clause Level 6"/>
    <w:basedOn w:val="ClauseLevel4"/>
    <w:next w:val="ClauseLevel5"/>
    <w:uiPriority w:val="99"/>
    <w:rsid w:val="00337EAF"/>
    <w:pPr>
      <w:tabs>
        <w:tab w:val="clear" w:pos="1559"/>
      </w:tabs>
      <w:ind w:left="1080" w:hanging="1080"/>
    </w:pPr>
  </w:style>
  <w:style w:type="paragraph" w:customStyle="1" w:styleId="ClauseLevel7">
    <w:name w:val="Clause Level 7"/>
    <w:basedOn w:val="ClauseLevel4"/>
    <w:next w:val="ClauseLevel5"/>
    <w:uiPriority w:val="99"/>
    <w:semiHidden/>
    <w:rsid w:val="00337EAF"/>
    <w:pPr>
      <w:tabs>
        <w:tab w:val="clear" w:pos="1559"/>
      </w:tabs>
      <w:ind w:left="1440" w:hanging="1440"/>
    </w:pPr>
  </w:style>
  <w:style w:type="paragraph" w:customStyle="1" w:styleId="ClauseLevel8">
    <w:name w:val="Clause Level 8"/>
    <w:basedOn w:val="ClauseLevel4"/>
    <w:next w:val="ClauseLevel5"/>
    <w:uiPriority w:val="99"/>
    <w:semiHidden/>
    <w:rsid w:val="00337EAF"/>
    <w:pPr>
      <w:tabs>
        <w:tab w:val="clear" w:pos="1559"/>
      </w:tabs>
      <w:ind w:left="1440" w:hanging="1440"/>
    </w:pPr>
  </w:style>
  <w:style w:type="paragraph" w:customStyle="1" w:styleId="ClauseLevel9">
    <w:name w:val="Clause Level 9"/>
    <w:basedOn w:val="ClauseLevel4"/>
    <w:next w:val="ClauseLevel5"/>
    <w:uiPriority w:val="99"/>
    <w:semiHidden/>
    <w:rsid w:val="00337EAF"/>
    <w:pPr>
      <w:tabs>
        <w:tab w:val="clear" w:pos="1559"/>
      </w:tabs>
      <w:ind w:left="1800" w:hanging="1800"/>
    </w:pPr>
  </w:style>
  <w:style w:type="character" w:customStyle="1" w:styleId="ClauseLevel4Char">
    <w:name w:val="Clause Level 4 Char"/>
    <w:basedOn w:val="DefaultParagraphFont"/>
    <w:link w:val="ClauseLevel4"/>
    <w:uiPriority w:val="19"/>
    <w:locked/>
    <w:rsid w:val="00337EAF"/>
    <w:rPr>
      <w:rFonts w:cs="Arial"/>
      <w:sz w:val="22"/>
      <w:szCs w:val="22"/>
      <w:lang w:eastAsia="en-AU"/>
    </w:rPr>
  </w:style>
  <w:style w:type="character" w:customStyle="1" w:styleId="ClauseLevel3Char">
    <w:name w:val="Clause Level 3 Char"/>
    <w:link w:val="ClauseLevel3"/>
    <w:uiPriority w:val="19"/>
    <w:locked/>
    <w:rsid w:val="00337EAF"/>
    <w:rPr>
      <w:rFonts w:cs="Arial"/>
      <w:sz w:val="22"/>
      <w:szCs w:val="22"/>
      <w:lang w:eastAsia="en-AU"/>
    </w:rPr>
  </w:style>
  <w:style w:type="character" w:customStyle="1" w:styleId="Numpara1Char">
    <w:name w:val="Numpara1 Char"/>
    <w:basedOn w:val="DefaultParagraphFont"/>
    <w:link w:val="Numpara1"/>
    <w:rsid w:val="006B5B17"/>
    <w:rPr>
      <w:rFonts w:cs="Arial"/>
      <w:b/>
      <w:sz w:val="22"/>
      <w:szCs w:val="22"/>
      <w:shd w:val="clear" w:color="auto" w:fill="770027" w:themeFill="accent3" w:themeFillShade="BF"/>
    </w:rPr>
  </w:style>
  <w:style w:type="character" w:customStyle="1" w:styleId="UnresolvedMention5">
    <w:name w:val="Unresolved Mention5"/>
    <w:basedOn w:val="DefaultParagraphFont"/>
    <w:uiPriority w:val="99"/>
    <w:semiHidden/>
    <w:unhideWhenUsed/>
    <w:rsid w:val="007051A7"/>
    <w:rPr>
      <w:color w:val="605E5C"/>
      <w:shd w:val="clear" w:color="auto" w:fill="E1DFDD"/>
    </w:rPr>
  </w:style>
  <w:style w:type="paragraph" w:customStyle="1" w:styleId="norrt">
    <w:name w:val="norrt"/>
    <w:basedOn w:val="legalPart"/>
    <w:rsid w:val="003A720C"/>
  </w:style>
  <w:style w:type="paragraph" w:customStyle="1" w:styleId="CoverDateWhite">
    <w:name w:val="Cover Date White"/>
    <w:basedOn w:val="Normal"/>
    <w:uiPriority w:val="37"/>
    <w:unhideWhenUsed/>
    <w:qFormat/>
    <w:rsid w:val="00A3792E"/>
    <w:pPr>
      <w:spacing w:before="120" w:after="120" w:line="259" w:lineRule="auto"/>
    </w:pPr>
    <w:rPr>
      <w:rFonts w:asciiTheme="minorHAnsi" w:eastAsiaTheme="minorHAnsi" w:hAnsiTheme="minorHAnsi" w:cstheme="minorBidi"/>
      <w:b/>
      <w:color w:val="FFFFFF" w:themeColor="background1"/>
      <w:sz w:val="24"/>
      <w:szCs w:val="24"/>
      <w:lang w:val="en-GB" w:eastAsia="en-US"/>
    </w:rPr>
  </w:style>
  <w:style w:type="paragraph" w:customStyle="1" w:styleId="Bolditalicsheading">
    <w:name w:val="Bold italics heading"/>
    <w:basedOn w:val="Normal"/>
    <w:qFormat/>
    <w:rsid w:val="00904EB8"/>
    <w:pPr>
      <w:spacing w:before="240"/>
      <w:ind w:left="851"/>
    </w:pPr>
    <w:rPr>
      <w:rFonts w:ascii="Arial" w:hAnsi="Arial" w:cs="Arial"/>
      <w:b/>
      <w:i/>
      <w:lang w:eastAsia="en-US"/>
    </w:rPr>
  </w:style>
  <w:style w:type="paragraph" w:customStyle="1" w:styleId="Numpara5">
    <w:name w:val="Numpara5"/>
    <w:basedOn w:val="Numpara4"/>
    <w:rsid w:val="008B03DD"/>
    <w:pPr>
      <w:numPr>
        <w:ilvl w:val="0"/>
        <w:numId w:val="0"/>
      </w:numPr>
      <w:tabs>
        <w:tab w:val="num" w:pos="3402"/>
      </w:tabs>
      <w:ind w:left="3402" w:hanging="567"/>
    </w:pPr>
  </w:style>
  <w:style w:type="paragraph" w:customStyle="1" w:styleId="BVIfnr">
    <w:name w:val="BVI fnr Знак"/>
    <w:aliases w:val="BVI fnr Car Car Знак,BVI fnr Car Знак,BVI fnr Car Car Car Car Знак,BVI fnr Car Car Car Car Char Знак,BVI fnr Char Знак,BVI fnr Car Car Char Знак,BVI fnr Car Char Знак"/>
    <w:basedOn w:val="Normal"/>
    <w:link w:val="FootnoteReference"/>
    <w:uiPriority w:val="99"/>
    <w:rsid w:val="00490A99"/>
    <w:pPr>
      <w:spacing w:after="160" w:line="240" w:lineRule="exact"/>
      <w:jc w:val="both"/>
    </w:pPr>
    <w:rPr>
      <w:rFonts w:cstheme="minorBidi"/>
      <w:vertAlign w:val="superscript"/>
      <w:lang w:eastAsia="en-US"/>
    </w:rPr>
  </w:style>
  <w:style w:type="paragraph" w:customStyle="1" w:styleId="Bodld">
    <w:name w:val="Bodld"/>
    <w:basedOn w:val="Heading4"/>
    <w:rsid w:val="0012571E"/>
    <w:pPr>
      <w:numPr>
        <w:ilvl w:val="0"/>
        <w:numId w:val="0"/>
      </w:numPr>
      <w:shd w:val="clear" w:color="auto" w:fill="F2DEDE"/>
      <w:ind w:left="2268" w:hanging="567"/>
    </w:pPr>
  </w:style>
  <w:style w:type="paragraph" w:customStyle="1" w:styleId="are">
    <w:name w:val="are"/>
    <w:basedOn w:val="CommentText"/>
    <w:rsid w:val="00B863A2"/>
  </w:style>
  <w:style w:type="paragraph" w:styleId="NormalWeb">
    <w:name w:val="Normal (Web)"/>
    <w:basedOn w:val="Normal"/>
    <w:uiPriority w:val="99"/>
    <w:semiHidden/>
    <w:unhideWhenUsed/>
    <w:rsid w:val="007B35DE"/>
    <w:pPr>
      <w:spacing w:before="100" w:beforeAutospacing="1" w:after="100" w:afterAutospacing="1"/>
    </w:pPr>
    <w:rPr>
      <w:rFonts w:ascii="Times New Roman" w:eastAsia="Times New Roman" w:hAnsi="Times New Roman"/>
      <w:sz w:val="24"/>
      <w:szCs w:val="24"/>
    </w:rPr>
  </w:style>
  <w:style w:type="paragraph" w:customStyle="1" w:styleId="PlainParagraph">
    <w:name w:val="Plain Paragraph"/>
    <w:aliases w:val="PP"/>
    <w:basedOn w:val="Normal"/>
    <w:link w:val="PlainParagraphChar"/>
    <w:qFormat/>
    <w:rsid w:val="00FB5DE8"/>
    <w:pPr>
      <w:spacing w:before="140" w:after="140" w:line="280" w:lineRule="atLeast"/>
    </w:pPr>
    <w:rPr>
      <w:rFonts w:ascii="Arial" w:eastAsia="Times New Roman" w:hAnsi="Arial" w:cs="Arial"/>
      <w:sz w:val="22"/>
      <w:szCs w:val="22"/>
    </w:rPr>
  </w:style>
  <w:style w:type="character" w:customStyle="1" w:styleId="PlainParagraphChar">
    <w:name w:val="Plain Paragraph Char"/>
    <w:aliases w:val="PP Char"/>
    <w:basedOn w:val="DefaultParagraphFont"/>
    <w:link w:val="PlainParagraph"/>
    <w:rsid w:val="00FB5DE8"/>
    <w:rPr>
      <w:rFonts w:ascii="Arial" w:eastAsia="Times New Roman" w:hAnsi="Arial" w:cs="Arial"/>
      <w:sz w:val="22"/>
      <w:szCs w:val="22"/>
      <w:lang w:eastAsia="en-AU"/>
    </w:rPr>
  </w:style>
  <w:style w:type="paragraph" w:customStyle="1" w:styleId="DraftinHeader">
    <w:name w:val="Draft in Header"/>
    <w:basedOn w:val="Normal"/>
    <w:uiPriority w:val="37"/>
    <w:semiHidden/>
    <w:rsid w:val="00047AC9"/>
    <w:pPr>
      <w:tabs>
        <w:tab w:val="right" w:pos="8220"/>
      </w:tabs>
      <w:spacing w:line="200" w:lineRule="atLeast"/>
    </w:pPr>
    <w:rPr>
      <w:rFonts w:ascii="Arial" w:eastAsia="Times New Roman" w:hAnsi="Arial" w:cs="Arial"/>
      <w:szCs w:val="22"/>
    </w:rPr>
  </w:style>
  <w:style w:type="paragraph" w:customStyle="1" w:styleId="TableQAQuestion">
    <w:name w:val="Table: Q&amp;A: Question"/>
    <w:aliases w:val="?QQ"/>
    <w:basedOn w:val="Normal"/>
    <w:next w:val="Normal"/>
    <w:uiPriority w:val="12"/>
    <w:rsid w:val="00B674B3"/>
    <w:pPr>
      <w:keepNext/>
      <w:widowControl w:val="0"/>
      <w:tabs>
        <w:tab w:val="left" w:pos="283"/>
        <w:tab w:val="left" w:pos="567"/>
      </w:tabs>
      <w:spacing w:before="60" w:after="60" w:line="240" w:lineRule="atLeast"/>
      <w:ind w:left="283" w:hanging="283"/>
    </w:pPr>
    <w:rPr>
      <w:rFonts w:ascii="Arial" w:eastAsia="Times New Roman" w:hAnsi="Arial" w:cs="Arial"/>
      <w:i/>
      <w:szCs w:val="22"/>
    </w:rPr>
  </w:style>
  <w:style w:type="paragraph" w:customStyle="1" w:styleId="Default">
    <w:name w:val="Default"/>
    <w:rsid w:val="003D35A8"/>
    <w:pPr>
      <w:autoSpaceDE w:val="0"/>
      <w:autoSpaceDN w:val="0"/>
      <w:adjustRightInd w:val="0"/>
    </w:pPr>
    <w:rPr>
      <w:rFonts w:ascii="Arial" w:hAnsi="Arial" w:cs="Arial"/>
      <w:color w:val="000000"/>
      <w:sz w:val="24"/>
      <w:szCs w:val="24"/>
    </w:rPr>
  </w:style>
  <w:style w:type="paragraph" w:customStyle="1" w:styleId="Indent2">
    <w:name w:val="Indent 2"/>
    <w:basedOn w:val="Normal"/>
    <w:link w:val="Indent2Char"/>
    <w:rsid w:val="006A0CCC"/>
    <w:pPr>
      <w:spacing w:after="240"/>
      <w:ind w:left="737"/>
    </w:pPr>
    <w:rPr>
      <w:rFonts w:ascii="Arial" w:eastAsia="Times New Roman" w:hAnsi="Arial" w:cs="Arial"/>
      <w:lang w:eastAsia="en-US"/>
    </w:rPr>
  </w:style>
  <w:style w:type="character" w:customStyle="1" w:styleId="Indent2Char">
    <w:name w:val="Indent 2 Char"/>
    <w:link w:val="Indent2"/>
    <w:rsid w:val="006A0CCC"/>
    <w:rPr>
      <w:rFonts w:ascii="Arial" w:eastAsia="Times New Roman" w:hAnsi="Arial" w:cs="Arial"/>
    </w:rPr>
  </w:style>
  <w:style w:type="character" w:customStyle="1" w:styleId="UnresolvedMention6">
    <w:name w:val="Unresolved Mention6"/>
    <w:basedOn w:val="DefaultParagraphFont"/>
    <w:uiPriority w:val="99"/>
    <w:semiHidden/>
    <w:unhideWhenUsed/>
    <w:rsid w:val="006E7613"/>
    <w:rPr>
      <w:color w:val="605E5C"/>
      <w:shd w:val="clear" w:color="auto" w:fill="E1DFDD"/>
    </w:rPr>
  </w:style>
  <w:style w:type="character" w:customStyle="1" w:styleId="UnresolvedMention">
    <w:name w:val="Unresolved Mention"/>
    <w:basedOn w:val="DefaultParagraphFont"/>
    <w:uiPriority w:val="99"/>
    <w:semiHidden/>
    <w:unhideWhenUsed/>
    <w:rsid w:val="00140B6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1643679">
      <w:bodyDiv w:val="1"/>
      <w:marLeft w:val="0"/>
      <w:marRight w:val="0"/>
      <w:marTop w:val="0"/>
      <w:marBottom w:val="0"/>
      <w:divBdr>
        <w:top w:val="none" w:sz="0" w:space="0" w:color="auto"/>
        <w:left w:val="none" w:sz="0" w:space="0" w:color="auto"/>
        <w:bottom w:val="none" w:sz="0" w:space="0" w:color="auto"/>
        <w:right w:val="none" w:sz="0" w:space="0" w:color="auto"/>
      </w:divBdr>
    </w:div>
    <w:div w:id="320428845">
      <w:bodyDiv w:val="1"/>
      <w:marLeft w:val="0"/>
      <w:marRight w:val="0"/>
      <w:marTop w:val="0"/>
      <w:marBottom w:val="0"/>
      <w:divBdr>
        <w:top w:val="none" w:sz="0" w:space="0" w:color="auto"/>
        <w:left w:val="none" w:sz="0" w:space="0" w:color="auto"/>
        <w:bottom w:val="none" w:sz="0" w:space="0" w:color="auto"/>
        <w:right w:val="none" w:sz="0" w:space="0" w:color="auto"/>
      </w:divBdr>
    </w:div>
    <w:div w:id="330959438">
      <w:bodyDiv w:val="1"/>
      <w:marLeft w:val="0"/>
      <w:marRight w:val="0"/>
      <w:marTop w:val="0"/>
      <w:marBottom w:val="0"/>
      <w:divBdr>
        <w:top w:val="none" w:sz="0" w:space="0" w:color="auto"/>
        <w:left w:val="none" w:sz="0" w:space="0" w:color="auto"/>
        <w:bottom w:val="none" w:sz="0" w:space="0" w:color="auto"/>
        <w:right w:val="none" w:sz="0" w:space="0" w:color="auto"/>
      </w:divBdr>
    </w:div>
    <w:div w:id="345668669">
      <w:bodyDiv w:val="1"/>
      <w:marLeft w:val="0"/>
      <w:marRight w:val="0"/>
      <w:marTop w:val="0"/>
      <w:marBottom w:val="0"/>
      <w:divBdr>
        <w:top w:val="none" w:sz="0" w:space="0" w:color="auto"/>
        <w:left w:val="none" w:sz="0" w:space="0" w:color="auto"/>
        <w:bottom w:val="none" w:sz="0" w:space="0" w:color="auto"/>
        <w:right w:val="none" w:sz="0" w:space="0" w:color="auto"/>
      </w:divBdr>
    </w:div>
    <w:div w:id="360937731">
      <w:bodyDiv w:val="1"/>
      <w:marLeft w:val="0"/>
      <w:marRight w:val="0"/>
      <w:marTop w:val="0"/>
      <w:marBottom w:val="0"/>
      <w:divBdr>
        <w:top w:val="none" w:sz="0" w:space="0" w:color="auto"/>
        <w:left w:val="none" w:sz="0" w:space="0" w:color="auto"/>
        <w:bottom w:val="none" w:sz="0" w:space="0" w:color="auto"/>
        <w:right w:val="none" w:sz="0" w:space="0" w:color="auto"/>
      </w:divBdr>
    </w:div>
    <w:div w:id="411201265">
      <w:bodyDiv w:val="1"/>
      <w:marLeft w:val="0"/>
      <w:marRight w:val="0"/>
      <w:marTop w:val="0"/>
      <w:marBottom w:val="0"/>
      <w:divBdr>
        <w:top w:val="none" w:sz="0" w:space="0" w:color="auto"/>
        <w:left w:val="none" w:sz="0" w:space="0" w:color="auto"/>
        <w:bottom w:val="none" w:sz="0" w:space="0" w:color="auto"/>
        <w:right w:val="none" w:sz="0" w:space="0" w:color="auto"/>
      </w:divBdr>
    </w:div>
    <w:div w:id="446463487">
      <w:bodyDiv w:val="1"/>
      <w:marLeft w:val="0"/>
      <w:marRight w:val="0"/>
      <w:marTop w:val="0"/>
      <w:marBottom w:val="0"/>
      <w:divBdr>
        <w:top w:val="none" w:sz="0" w:space="0" w:color="auto"/>
        <w:left w:val="none" w:sz="0" w:space="0" w:color="auto"/>
        <w:bottom w:val="none" w:sz="0" w:space="0" w:color="auto"/>
        <w:right w:val="none" w:sz="0" w:space="0" w:color="auto"/>
      </w:divBdr>
    </w:div>
    <w:div w:id="492532045">
      <w:bodyDiv w:val="1"/>
      <w:marLeft w:val="0"/>
      <w:marRight w:val="0"/>
      <w:marTop w:val="0"/>
      <w:marBottom w:val="0"/>
      <w:divBdr>
        <w:top w:val="none" w:sz="0" w:space="0" w:color="auto"/>
        <w:left w:val="none" w:sz="0" w:space="0" w:color="auto"/>
        <w:bottom w:val="none" w:sz="0" w:space="0" w:color="auto"/>
        <w:right w:val="none" w:sz="0" w:space="0" w:color="auto"/>
      </w:divBdr>
    </w:div>
    <w:div w:id="539443559">
      <w:bodyDiv w:val="1"/>
      <w:marLeft w:val="0"/>
      <w:marRight w:val="0"/>
      <w:marTop w:val="0"/>
      <w:marBottom w:val="0"/>
      <w:divBdr>
        <w:top w:val="none" w:sz="0" w:space="0" w:color="auto"/>
        <w:left w:val="none" w:sz="0" w:space="0" w:color="auto"/>
        <w:bottom w:val="none" w:sz="0" w:space="0" w:color="auto"/>
        <w:right w:val="none" w:sz="0" w:space="0" w:color="auto"/>
      </w:divBdr>
    </w:div>
    <w:div w:id="618149319">
      <w:bodyDiv w:val="1"/>
      <w:marLeft w:val="0"/>
      <w:marRight w:val="0"/>
      <w:marTop w:val="0"/>
      <w:marBottom w:val="0"/>
      <w:divBdr>
        <w:top w:val="none" w:sz="0" w:space="0" w:color="auto"/>
        <w:left w:val="none" w:sz="0" w:space="0" w:color="auto"/>
        <w:bottom w:val="none" w:sz="0" w:space="0" w:color="auto"/>
        <w:right w:val="none" w:sz="0" w:space="0" w:color="auto"/>
      </w:divBdr>
    </w:div>
    <w:div w:id="697194868">
      <w:bodyDiv w:val="1"/>
      <w:marLeft w:val="0"/>
      <w:marRight w:val="0"/>
      <w:marTop w:val="0"/>
      <w:marBottom w:val="0"/>
      <w:divBdr>
        <w:top w:val="none" w:sz="0" w:space="0" w:color="auto"/>
        <w:left w:val="none" w:sz="0" w:space="0" w:color="auto"/>
        <w:bottom w:val="none" w:sz="0" w:space="0" w:color="auto"/>
        <w:right w:val="none" w:sz="0" w:space="0" w:color="auto"/>
      </w:divBdr>
    </w:div>
    <w:div w:id="741030705">
      <w:bodyDiv w:val="1"/>
      <w:marLeft w:val="0"/>
      <w:marRight w:val="0"/>
      <w:marTop w:val="0"/>
      <w:marBottom w:val="0"/>
      <w:divBdr>
        <w:top w:val="none" w:sz="0" w:space="0" w:color="auto"/>
        <w:left w:val="none" w:sz="0" w:space="0" w:color="auto"/>
        <w:bottom w:val="none" w:sz="0" w:space="0" w:color="auto"/>
        <w:right w:val="none" w:sz="0" w:space="0" w:color="auto"/>
      </w:divBdr>
    </w:div>
    <w:div w:id="760177632">
      <w:bodyDiv w:val="1"/>
      <w:marLeft w:val="0"/>
      <w:marRight w:val="0"/>
      <w:marTop w:val="0"/>
      <w:marBottom w:val="0"/>
      <w:divBdr>
        <w:top w:val="none" w:sz="0" w:space="0" w:color="auto"/>
        <w:left w:val="none" w:sz="0" w:space="0" w:color="auto"/>
        <w:bottom w:val="none" w:sz="0" w:space="0" w:color="auto"/>
        <w:right w:val="none" w:sz="0" w:space="0" w:color="auto"/>
      </w:divBdr>
    </w:div>
    <w:div w:id="953830645">
      <w:bodyDiv w:val="1"/>
      <w:marLeft w:val="0"/>
      <w:marRight w:val="0"/>
      <w:marTop w:val="0"/>
      <w:marBottom w:val="0"/>
      <w:divBdr>
        <w:top w:val="none" w:sz="0" w:space="0" w:color="auto"/>
        <w:left w:val="none" w:sz="0" w:space="0" w:color="auto"/>
        <w:bottom w:val="none" w:sz="0" w:space="0" w:color="auto"/>
        <w:right w:val="none" w:sz="0" w:space="0" w:color="auto"/>
      </w:divBdr>
    </w:div>
    <w:div w:id="1008753566">
      <w:bodyDiv w:val="1"/>
      <w:marLeft w:val="0"/>
      <w:marRight w:val="0"/>
      <w:marTop w:val="0"/>
      <w:marBottom w:val="0"/>
      <w:divBdr>
        <w:top w:val="none" w:sz="0" w:space="0" w:color="auto"/>
        <w:left w:val="none" w:sz="0" w:space="0" w:color="auto"/>
        <w:bottom w:val="none" w:sz="0" w:space="0" w:color="auto"/>
        <w:right w:val="none" w:sz="0" w:space="0" w:color="auto"/>
      </w:divBdr>
    </w:div>
    <w:div w:id="1025329077">
      <w:bodyDiv w:val="1"/>
      <w:marLeft w:val="0"/>
      <w:marRight w:val="0"/>
      <w:marTop w:val="0"/>
      <w:marBottom w:val="0"/>
      <w:divBdr>
        <w:top w:val="none" w:sz="0" w:space="0" w:color="auto"/>
        <w:left w:val="none" w:sz="0" w:space="0" w:color="auto"/>
        <w:bottom w:val="none" w:sz="0" w:space="0" w:color="auto"/>
        <w:right w:val="none" w:sz="0" w:space="0" w:color="auto"/>
      </w:divBdr>
    </w:div>
    <w:div w:id="1044602317">
      <w:bodyDiv w:val="1"/>
      <w:marLeft w:val="0"/>
      <w:marRight w:val="0"/>
      <w:marTop w:val="0"/>
      <w:marBottom w:val="0"/>
      <w:divBdr>
        <w:top w:val="none" w:sz="0" w:space="0" w:color="auto"/>
        <w:left w:val="none" w:sz="0" w:space="0" w:color="auto"/>
        <w:bottom w:val="none" w:sz="0" w:space="0" w:color="auto"/>
        <w:right w:val="none" w:sz="0" w:space="0" w:color="auto"/>
      </w:divBdr>
    </w:div>
    <w:div w:id="1100106507">
      <w:bodyDiv w:val="1"/>
      <w:marLeft w:val="0"/>
      <w:marRight w:val="0"/>
      <w:marTop w:val="0"/>
      <w:marBottom w:val="0"/>
      <w:divBdr>
        <w:top w:val="none" w:sz="0" w:space="0" w:color="auto"/>
        <w:left w:val="none" w:sz="0" w:space="0" w:color="auto"/>
        <w:bottom w:val="none" w:sz="0" w:space="0" w:color="auto"/>
        <w:right w:val="none" w:sz="0" w:space="0" w:color="auto"/>
      </w:divBdr>
    </w:div>
    <w:div w:id="1100218390">
      <w:bodyDiv w:val="1"/>
      <w:marLeft w:val="0"/>
      <w:marRight w:val="0"/>
      <w:marTop w:val="0"/>
      <w:marBottom w:val="0"/>
      <w:divBdr>
        <w:top w:val="none" w:sz="0" w:space="0" w:color="auto"/>
        <w:left w:val="none" w:sz="0" w:space="0" w:color="auto"/>
        <w:bottom w:val="none" w:sz="0" w:space="0" w:color="auto"/>
        <w:right w:val="none" w:sz="0" w:space="0" w:color="auto"/>
      </w:divBdr>
    </w:div>
    <w:div w:id="1151675910">
      <w:bodyDiv w:val="1"/>
      <w:marLeft w:val="0"/>
      <w:marRight w:val="0"/>
      <w:marTop w:val="0"/>
      <w:marBottom w:val="0"/>
      <w:divBdr>
        <w:top w:val="none" w:sz="0" w:space="0" w:color="auto"/>
        <w:left w:val="none" w:sz="0" w:space="0" w:color="auto"/>
        <w:bottom w:val="none" w:sz="0" w:space="0" w:color="auto"/>
        <w:right w:val="none" w:sz="0" w:space="0" w:color="auto"/>
      </w:divBdr>
    </w:div>
    <w:div w:id="1158614147">
      <w:bodyDiv w:val="1"/>
      <w:marLeft w:val="0"/>
      <w:marRight w:val="0"/>
      <w:marTop w:val="0"/>
      <w:marBottom w:val="0"/>
      <w:divBdr>
        <w:top w:val="none" w:sz="0" w:space="0" w:color="auto"/>
        <w:left w:val="none" w:sz="0" w:space="0" w:color="auto"/>
        <w:bottom w:val="none" w:sz="0" w:space="0" w:color="auto"/>
        <w:right w:val="none" w:sz="0" w:space="0" w:color="auto"/>
      </w:divBdr>
    </w:div>
    <w:div w:id="1174880056">
      <w:bodyDiv w:val="1"/>
      <w:marLeft w:val="0"/>
      <w:marRight w:val="0"/>
      <w:marTop w:val="0"/>
      <w:marBottom w:val="0"/>
      <w:divBdr>
        <w:top w:val="none" w:sz="0" w:space="0" w:color="auto"/>
        <w:left w:val="none" w:sz="0" w:space="0" w:color="auto"/>
        <w:bottom w:val="none" w:sz="0" w:space="0" w:color="auto"/>
        <w:right w:val="none" w:sz="0" w:space="0" w:color="auto"/>
      </w:divBdr>
    </w:div>
    <w:div w:id="1202135420">
      <w:bodyDiv w:val="1"/>
      <w:marLeft w:val="0"/>
      <w:marRight w:val="0"/>
      <w:marTop w:val="0"/>
      <w:marBottom w:val="0"/>
      <w:divBdr>
        <w:top w:val="none" w:sz="0" w:space="0" w:color="auto"/>
        <w:left w:val="none" w:sz="0" w:space="0" w:color="auto"/>
        <w:bottom w:val="none" w:sz="0" w:space="0" w:color="auto"/>
        <w:right w:val="none" w:sz="0" w:space="0" w:color="auto"/>
      </w:divBdr>
    </w:div>
    <w:div w:id="1219324654">
      <w:bodyDiv w:val="1"/>
      <w:marLeft w:val="0"/>
      <w:marRight w:val="0"/>
      <w:marTop w:val="0"/>
      <w:marBottom w:val="0"/>
      <w:divBdr>
        <w:top w:val="none" w:sz="0" w:space="0" w:color="auto"/>
        <w:left w:val="none" w:sz="0" w:space="0" w:color="auto"/>
        <w:bottom w:val="none" w:sz="0" w:space="0" w:color="auto"/>
        <w:right w:val="none" w:sz="0" w:space="0" w:color="auto"/>
      </w:divBdr>
    </w:div>
    <w:div w:id="1232696532">
      <w:bodyDiv w:val="1"/>
      <w:marLeft w:val="0"/>
      <w:marRight w:val="0"/>
      <w:marTop w:val="0"/>
      <w:marBottom w:val="0"/>
      <w:divBdr>
        <w:top w:val="none" w:sz="0" w:space="0" w:color="auto"/>
        <w:left w:val="none" w:sz="0" w:space="0" w:color="auto"/>
        <w:bottom w:val="none" w:sz="0" w:space="0" w:color="auto"/>
        <w:right w:val="none" w:sz="0" w:space="0" w:color="auto"/>
      </w:divBdr>
    </w:div>
    <w:div w:id="1257209808">
      <w:bodyDiv w:val="1"/>
      <w:marLeft w:val="0"/>
      <w:marRight w:val="0"/>
      <w:marTop w:val="0"/>
      <w:marBottom w:val="0"/>
      <w:divBdr>
        <w:top w:val="none" w:sz="0" w:space="0" w:color="auto"/>
        <w:left w:val="none" w:sz="0" w:space="0" w:color="auto"/>
        <w:bottom w:val="none" w:sz="0" w:space="0" w:color="auto"/>
        <w:right w:val="none" w:sz="0" w:space="0" w:color="auto"/>
      </w:divBdr>
    </w:div>
    <w:div w:id="1309936221">
      <w:bodyDiv w:val="1"/>
      <w:marLeft w:val="0"/>
      <w:marRight w:val="0"/>
      <w:marTop w:val="0"/>
      <w:marBottom w:val="0"/>
      <w:divBdr>
        <w:top w:val="none" w:sz="0" w:space="0" w:color="auto"/>
        <w:left w:val="none" w:sz="0" w:space="0" w:color="auto"/>
        <w:bottom w:val="none" w:sz="0" w:space="0" w:color="auto"/>
        <w:right w:val="none" w:sz="0" w:space="0" w:color="auto"/>
      </w:divBdr>
    </w:div>
    <w:div w:id="1324626860">
      <w:bodyDiv w:val="1"/>
      <w:marLeft w:val="0"/>
      <w:marRight w:val="0"/>
      <w:marTop w:val="0"/>
      <w:marBottom w:val="0"/>
      <w:divBdr>
        <w:top w:val="none" w:sz="0" w:space="0" w:color="auto"/>
        <w:left w:val="none" w:sz="0" w:space="0" w:color="auto"/>
        <w:bottom w:val="none" w:sz="0" w:space="0" w:color="auto"/>
        <w:right w:val="none" w:sz="0" w:space="0" w:color="auto"/>
      </w:divBdr>
    </w:div>
    <w:div w:id="1393623718">
      <w:bodyDiv w:val="1"/>
      <w:marLeft w:val="0"/>
      <w:marRight w:val="0"/>
      <w:marTop w:val="0"/>
      <w:marBottom w:val="0"/>
      <w:divBdr>
        <w:top w:val="none" w:sz="0" w:space="0" w:color="auto"/>
        <w:left w:val="none" w:sz="0" w:space="0" w:color="auto"/>
        <w:bottom w:val="none" w:sz="0" w:space="0" w:color="auto"/>
        <w:right w:val="none" w:sz="0" w:space="0" w:color="auto"/>
      </w:divBdr>
    </w:div>
    <w:div w:id="1436973441">
      <w:bodyDiv w:val="1"/>
      <w:marLeft w:val="0"/>
      <w:marRight w:val="0"/>
      <w:marTop w:val="0"/>
      <w:marBottom w:val="0"/>
      <w:divBdr>
        <w:top w:val="none" w:sz="0" w:space="0" w:color="auto"/>
        <w:left w:val="none" w:sz="0" w:space="0" w:color="auto"/>
        <w:bottom w:val="none" w:sz="0" w:space="0" w:color="auto"/>
        <w:right w:val="none" w:sz="0" w:space="0" w:color="auto"/>
      </w:divBdr>
    </w:div>
    <w:div w:id="1444693526">
      <w:bodyDiv w:val="1"/>
      <w:marLeft w:val="0"/>
      <w:marRight w:val="0"/>
      <w:marTop w:val="0"/>
      <w:marBottom w:val="0"/>
      <w:divBdr>
        <w:top w:val="none" w:sz="0" w:space="0" w:color="auto"/>
        <w:left w:val="none" w:sz="0" w:space="0" w:color="auto"/>
        <w:bottom w:val="none" w:sz="0" w:space="0" w:color="auto"/>
        <w:right w:val="none" w:sz="0" w:space="0" w:color="auto"/>
      </w:divBdr>
    </w:div>
    <w:div w:id="1473016778">
      <w:bodyDiv w:val="1"/>
      <w:marLeft w:val="0"/>
      <w:marRight w:val="0"/>
      <w:marTop w:val="0"/>
      <w:marBottom w:val="0"/>
      <w:divBdr>
        <w:top w:val="none" w:sz="0" w:space="0" w:color="auto"/>
        <w:left w:val="none" w:sz="0" w:space="0" w:color="auto"/>
        <w:bottom w:val="none" w:sz="0" w:space="0" w:color="auto"/>
        <w:right w:val="none" w:sz="0" w:space="0" w:color="auto"/>
      </w:divBdr>
    </w:div>
    <w:div w:id="1660309555">
      <w:bodyDiv w:val="1"/>
      <w:marLeft w:val="0"/>
      <w:marRight w:val="0"/>
      <w:marTop w:val="0"/>
      <w:marBottom w:val="0"/>
      <w:divBdr>
        <w:top w:val="none" w:sz="0" w:space="0" w:color="auto"/>
        <w:left w:val="none" w:sz="0" w:space="0" w:color="auto"/>
        <w:bottom w:val="none" w:sz="0" w:space="0" w:color="auto"/>
        <w:right w:val="none" w:sz="0" w:space="0" w:color="auto"/>
      </w:divBdr>
    </w:div>
    <w:div w:id="1679768384">
      <w:bodyDiv w:val="1"/>
      <w:marLeft w:val="0"/>
      <w:marRight w:val="0"/>
      <w:marTop w:val="0"/>
      <w:marBottom w:val="0"/>
      <w:divBdr>
        <w:top w:val="none" w:sz="0" w:space="0" w:color="auto"/>
        <w:left w:val="none" w:sz="0" w:space="0" w:color="auto"/>
        <w:bottom w:val="none" w:sz="0" w:space="0" w:color="auto"/>
        <w:right w:val="none" w:sz="0" w:space="0" w:color="auto"/>
      </w:divBdr>
    </w:div>
    <w:div w:id="1719741470">
      <w:bodyDiv w:val="1"/>
      <w:marLeft w:val="0"/>
      <w:marRight w:val="0"/>
      <w:marTop w:val="0"/>
      <w:marBottom w:val="0"/>
      <w:divBdr>
        <w:top w:val="none" w:sz="0" w:space="0" w:color="auto"/>
        <w:left w:val="none" w:sz="0" w:space="0" w:color="auto"/>
        <w:bottom w:val="none" w:sz="0" w:space="0" w:color="auto"/>
        <w:right w:val="none" w:sz="0" w:space="0" w:color="auto"/>
      </w:divBdr>
    </w:div>
    <w:div w:id="1743675581">
      <w:bodyDiv w:val="1"/>
      <w:marLeft w:val="0"/>
      <w:marRight w:val="0"/>
      <w:marTop w:val="0"/>
      <w:marBottom w:val="0"/>
      <w:divBdr>
        <w:top w:val="none" w:sz="0" w:space="0" w:color="auto"/>
        <w:left w:val="none" w:sz="0" w:space="0" w:color="auto"/>
        <w:bottom w:val="none" w:sz="0" w:space="0" w:color="auto"/>
        <w:right w:val="none" w:sz="0" w:space="0" w:color="auto"/>
      </w:divBdr>
    </w:div>
    <w:div w:id="1790122521">
      <w:bodyDiv w:val="1"/>
      <w:marLeft w:val="0"/>
      <w:marRight w:val="0"/>
      <w:marTop w:val="0"/>
      <w:marBottom w:val="0"/>
      <w:divBdr>
        <w:top w:val="none" w:sz="0" w:space="0" w:color="auto"/>
        <w:left w:val="none" w:sz="0" w:space="0" w:color="auto"/>
        <w:bottom w:val="none" w:sz="0" w:space="0" w:color="auto"/>
        <w:right w:val="none" w:sz="0" w:space="0" w:color="auto"/>
      </w:divBdr>
    </w:div>
    <w:div w:id="1845706536">
      <w:bodyDiv w:val="1"/>
      <w:marLeft w:val="0"/>
      <w:marRight w:val="0"/>
      <w:marTop w:val="0"/>
      <w:marBottom w:val="0"/>
      <w:divBdr>
        <w:top w:val="none" w:sz="0" w:space="0" w:color="auto"/>
        <w:left w:val="none" w:sz="0" w:space="0" w:color="auto"/>
        <w:bottom w:val="none" w:sz="0" w:space="0" w:color="auto"/>
        <w:right w:val="none" w:sz="0" w:space="0" w:color="auto"/>
      </w:divBdr>
    </w:div>
    <w:div w:id="1852836752">
      <w:bodyDiv w:val="1"/>
      <w:marLeft w:val="0"/>
      <w:marRight w:val="0"/>
      <w:marTop w:val="0"/>
      <w:marBottom w:val="0"/>
      <w:divBdr>
        <w:top w:val="none" w:sz="0" w:space="0" w:color="auto"/>
        <w:left w:val="none" w:sz="0" w:space="0" w:color="auto"/>
        <w:bottom w:val="none" w:sz="0" w:space="0" w:color="auto"/>
        <w:right w:val="none" w:sz="0" w:space="0" w:color="auto"/>
      </w:divBdr>
    </w:div>
    <w:div w:id="1854606302">
      <w:bodyDiv w:val="1"/>
      <w:marLeft w:val="0"/>
      <w:marRight w:val="0"/>
      <w:marTop w:val="0"/>
      <w:marBottom w:val="0"/>
      <w:divBdr>
        <w:top w:val="none" w:sz="0" w:space="0" w:color="auto"/>
        <w:left w:val="none" w:sz="0" w:space="0" w:color="auto"/>
        <w:bottom w:val="none" w:sz="0" w:space="0" w:color="auto"/>
        <w:right w:val="none" w:sz="0" w:space="0" w:color="auto"/>
      </w:divBdr>
    </w:div>
    <w:div w:id="1910842545">
      <w:bodyDiv w:val="1"/>
      <w:marLeft w:val="0"/>
      <w:marRight w:val="0"/>
      <w:marTop w:val="0"/>
      <w:marBottom w:val="0"/>
      <w:divBdr>
        <w:top w:val="none" w:sz="0" w:space="0" w:color="auto"/>
        <w:left w:val="none" w:sz="0" w:space="0" w:color="auto"/>
        <w:bottom w:val="none" w:sz="0" w:space="0" w:color="auto"/>
        <w:right w:val="none" w:sz="0" w:space="0" w:color="auto"/>
      </w:divBdr>
    </w:div>
    <w:div w:id="1916429231">
      <w:bodyDiv w:val="1"/>
      <w:marLeft w:val="0"/>
      <w:marRight w:val="0"/>
      <w:marTop w:val="0"/>
      <w:marBottom w:val="0"/>
      <w:divBdr>
        <w:top w:val="none" w:sz="0" w:space="0" w:color="auto"/>
        <w:left w:val="none" w:sz="0" w:space="0" w:color="auto"/>
        <w:bottom w:val="none" w:sz="0" w:space="0" w:color="auto"/>
        <w:right w:val="none" w:sz="0" w:space="0" w:color="auto"/>
      </w:divBdr>
    </w:div>
    <w:div w:id="1948614319">
      <w:bodyDiv w:val="1"/>
      <w:marLeft w:val="0"/>
      <w:marRight w:val="0"/>
      <w:marTop w:val="0"/>
      <w:marBottom w:val="0"/>
      <w:divBdr>
        <w:top w:val="none" w:sz="0" w:space="0" w:color="auto"/>
        <w:left w:val="none" w:sz="0" w:space="0" w:color="auto"/>
        <w:bottom w:val="none" w:sz="0" w:space="0" w:color="auto"/>
        <w:right w:val="none" w:sz="0" w:space="0" w:color="auto"/>
      </w:divBdr>
    </w:div>
    <w:div w:id="2106686597">
      <w:bodyDiv w:val="1"/>
      <w:marLeft w:val="0"/>
      <w:marRight w:val="0"/>
      <w:marTop w:val="0"/>
      <w:marBottom w:val="0"/>
      <w:divBdr>
        <w:top w:val="none" w:sz="0" w:space="0" w:color="auto"/>
        <w:left w:val="none" w:sz="0" w:space="0" w:color="auto"/>
        <w:bottom w:val="none" w:sz="0" w:space="0" w:color="auto"/>
        <w:right w:val="none" w:sz="0" w:space="0" w:color="auto"/>
      </w:divBdr>
    </w:div>
    <w:div w:id="2145000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pn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1.PNG"/><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ealth.gov.au/about-us/corporate-reporting/freedom-of-information-foi"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s://www.health.gov.au/sites/default/files/documents/2020/11/australian-covid-19-vaccination-policy_1.pdf" TargetMode="External"/><Relationship Id="rId2" Type="http://schemas.openxmlformats.org/officeDocument/2006/relationships/hyperlink" Target="https://www.health.gov.au/sites/default/files/documents/2021/01/australia-s-covid-19-vaccine-national-roll-out-strategy.pdf" TargetMode="External"/><Relationship Id="rId1" Type="http://schemas.openxmlformats.org/officeDocument/2006/relationships/hyperlink" Target="https://www.health.gov.au/sites/default/files/documents/2020/08/australia-s-covid-19-vaccine-and-treatment-strategy.pdf" TargetMode="External"/><Relationship Id="rId4" Type="http://schemas.openxmlformats.org/officeDocument/2006/relationships/hyperlink" Target="https://aems.tg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Maddocks plum">
      <a:dk1>
        <a:srgbClr val="333333"/>
      </a:dk1>
      <a:lt1>
        <a:srgbClr val="FFFFFF"/>
      </a:lt1>
      <a:dk2>
        <a:srgbClr val="333333"/>
      </a:dk2>
      <a:lt2>
        <a:srgbClr val="F2F2F2"/>
      </a:lt2>
      <a:accent1>
        <a:srgbClr val="82002A"/>
      </a:accent1>
      <a:accent2>
        <a:srgbClr val="960030"/>
      </a:accent2>
      <a:accent3>
        <a:srgbClr val="A00035"/>
      </a:accent3>
      <a:accent4>
        <a:srgbClr val="333333"/>
      </a:accent4>
      <a:accent5>
        <a:srgbClr val="504242"/>
      </a:accent5>
      <a:accent6>
        <a:srgbClr val="5E5656"/>
      </a:accent6>
      <a:hlink>
        <a:srgbClr val="CD5C3D"/>
      </a:hlink>
      <a:folHlink>
        <a:srgbClr val="C40040"/>
      </a:folHlink>
    </a:clrScheme>
    <a:fontScheme name="Maddfont">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ln>
          <a:no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lnDef>
      <a:spPr>
        <a:ln w="28575">
          <a:solidFill>
            <a:srgbClr val="333333"/>
          </a:solidFill>
          <a:tailEnd type="triangle" w="lg" len="med"/>
        </a:ln>
      </a:spPr>
      <a:bodyPr/>
      <a:lstStyle/>
      <a:style>
        <a:lnRef idx="1">
          <a:schemeClr val="accent1"/>
        </a:lnRef>
        <a:fillRef idx="0">
          <a:schemeClr val="accent1"/>
        </a:fillRef>
        <a:effectRef idx="0">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53E7727DB6EFE4C9EE0E28D309B0192" ma:contentTypeVersion="13" ma:contentTypeDescription="Create a new document." ma:contentTypeScope="" ma:versionID="eeadb00b4dcd73a9af23cbe3ab5df01d">
  <xsd:schema xmlns:xsd="http://www.w3.org/2001/XMLSchema" xmlns:xs="http://www.w3.org/2001/XMLSchema" xmlns:p="http://schemas.microsoft.com/office/2006/metadata/properties" xmlns:ns3="607369c4-9110-45a1-bb4d-19ee4a41c8a3" xmlns:ns4="19fdd950-fe51-4780-af60-51d30b6a0d8c" targetNamespace="http://schemas.microsoft.com/office/2006/metadata/properties" ma:root="true" ma:fieldsID="867a9ce179d9b575072b993acc72324a" ns3:_="" ns4:_="">
    <xsd:import namespace="607369c4-9110-45a1-bb4d-19ee4a41c8a3"/>
    <xsd:import namespace="19fdd950-fe51-4780-af60-51d30b6a0d8c"/>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4:SharedWithUsers" minOccurs="0"/>
                <xsd:element ref="ns4:SharedWithDetails" minOccurs="0"/>
                <xsd:element ref="ns4:SharingHintHash"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07369c4-9110-45a1-bb4d-19ee4a41c8a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9fdd950-fe51-4780-af60-51d30b6a0d8c"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1D9399-8611-4B29-8DB4-0C9A23475990}">
  <ds:schemaRefs>
    <ds:schemaRef ds:uri="http://schemas.microsoft.com/sharepoint/v3/contenttype/forms"/>
  </ds:schemaRefs>
</ds:datastoreItem>
</file>

<file path=customXml/itemProps2.xml><?xml version="1.0" encoding="utf-8"?>
<ds:datastoreItem xmlns:ds="http://schemas.openxmlformats.org/officeDocument/2006/customXml" ds:itemID="{DCE8A53B-8EBC-4344-8F70-8CAD332BA5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07369c4-9110-45a1-bb4d-19ee4a41c8a3"/>
    <ds:schemaRef ds:uri="19fdd950-fe51-4780-af60-51d30b6a0d8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EFD1D32-0D54-40B2-9392-BF28F344EC2E}">
  <ds:schemaRefs>
    <ds:schemaRef ds:uri="http://purl.org/dc/terms/"/>
    <ds:schemaRef ds:uri="http://schemas.openxmlformats.org/package/2006/metadata/core-properties"/>
    <ds:schemaRef ds:uri="http://schemas.microsoft.com/office/2006/documentManagement/types"/>
    <ds:schemaRef ds:uri="http://purl.org/dc/dcmitype/"/>
    <ds:schemaRef ds:uri="http://schemas.microsoft.com/office/infopath/2007/PartnerControls"/>
    <ds:schemaRef ds:uri="http://purl.org/dc/elements/1.1/"/>
    <ds:schemaRef ds:uri="http://schemas.microsoft.com/office/2006/metadata/properties"/>
    <ds:schemaRef ds:uri="19fdd950-fe51-4780-af60-51d30b6a0d8c"/>
    <ds:schemaRef ds:uri="607369c4-9110-45a1-bb4d-19ee4a41c8a3"/>
    <ds:schemaRef ds:uri="http://www.w3.org/XML/1998/namespace"/>
  </ds:schemaRefs>
</ds:datastoreItem>
</file>

<file path=customXml/itemProps4.xml><?xml version="1.0" encoding="utf-8"?>
<ds:datastoreItem xmlns:ds="http://schemas.openxmlformats.org/officeDocument/2006/customXml" ds:itemID="{3B950635-F936-4AE6-8E16-D57034F88F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30</Pages>
  <Words>9184</Words>
  <Characters>52349</Characters>
  <Application>Microsoft Office Word</Application>
  <DocSecurity>0</DocSecurity>
  <Lines>436</Lines>
  <Paragraphs>122</Paragraphs>
  <ScaleCrop>false</ScaleCrop>
  <HeadingPairs>
    <vt:vector size="2" baseType="variant">
      <vt:variant>
        <vt:lpstr>Title</vt:lpstr>
      </vt:variant>
      <vt:variant>
        <vt:i4>1</vt:i4>
      </vt:variant>
    </vt:vector>
  </HeadingPairs>
  <TitlesOfParts>
    <vt:vector size="1" baseType="lpstr">
      <vt:lpstr>Phase 1A of COVID-19 Vaccine Strategy – Summary Document: Privacy Impact Assessment Report</vt:lpstr>
    </vt:vector>
  </TitlesOfParts>
  <Company/>
  <LinksUpToDate>false</LinksUpToDate>
  <CharactersWithSpaces>61411</CharactersWithSpaces>
  <SharedDoc>false</SharedDoc>
  <HLinks>
    <vt:vector size="216" baseType="variant">
      <vt:variant>
        <vt:i4>196706</vt:i4>
      </vt:variant>
      <vt:variant>
        <vt:i4>528</vt:i4>
      </vt:variant>
      <vt:variant>
        <vt:i4>0</vt:i4>
      </vt:variant>
      <vt:variant>
        <vt:i4>5</vt:i4>
      </vt:variant>
      <vt:variant>
        <vt:lpwstr>https://www.health.gov.au/sites/default/files/documents/2020/11/australian-covid-19-vaccination-policy_1.pdf</vt:lpwstr>
      </vt:variant>
      <vt:variant>
        <vt:lpwstr/>
      </vt:variant>
      <vt:variant>
        <vt:i4>1769523</vt:i4>
      </vt:variant>
      <vt:variant>
        <vt:i4>194</vt:i4>
      </vt:variant>
      <vt:variant>
        <vt:i4>0</vt:i4>
      </vt:variant>
      <vt:variant>
        <vt:i4>5</vt:i4>
      </vt:variant>
      <vt:variant>
        <vt:lpwstr/>
      </vt:variant>
      <vt:variant>
        <vt:lpwstr>_Toc59446342</vt:lpwstr>
      </vt:variant>
      <vt:variant>
        <vt:i4>1572915</vt:i4>
      </vt:variant>
      <vt:variant>
        <vt:i4>188</vt:i4>
      </vt:variant>
      <vt:variant>
        <vt:i4>0</vt:i4>
      </vt:variant>
      <vt:variant>
        <vt:i4>5</vt:i4>
      </vt:variant>
      <vt:variant>
        <vt:lpwstr/>
      </vt:variant>
      <vt:variant>
        <vt:lpwstr>_Toc59446341</vt:lpwstr>
      </vt:variant>
      <vt:variant>
        <vt:i4>1638451</vt:i4>
      </vt:variant>
      <vt:variant>
        <vt:i4>182</vt:i4>
      </vt:variant>
      <vt:variant>
        <vt:i4>0</vt:i4>
      </vt:variant>
      <vt:variant>
        <vt:i4>5</vt:i4>
      </vt:variant>
      <vt:variant>
        <vt:lpwstr/>
      </vt:variant>
      <vt:variant>
        <vt:lpwstr>_Toc59446340</vt:lpwstr>
      </vt:variant>
      <vt:variant>
        <vt:i4>1048628</vt:i4>
      </vt:variant>
      <vt:variant>
        <vt:i4>176</vt:i4>
      </vt:variant>
      <vt:variant>
        <vt:i4>0</vt:i4>
      </vt:variant>
      <vt:variant>
        <vt:i4>5</vt:i4>
      </vt:variant>
      <vt:variant>
        <vt:lpwstr/>
      </vt:variant>
      <vt:variant>
        <vt:lpwstr>_Toc59446339</vt:lpwstr>
      </vt:variant>
      <vt:variant>
        <vt:i4>1114164</vt:i4>
      </vt:variant>
      <vt:variant>
        <vt:i4>170</vt:i4>
      </vt:variant>
      <vt:variant>
        <vt:i4>0</vt:i4>
      </vt:variant>
      <vt:variant>
        <vt:i4>5</vt:i4>
      </vt:variant>
      <vt:variant>
        <vt:lpwstr/>
      </vt:variant>
      <vt:variant>
        <vt:lpwstr>_Toc59446338</vt:lpwstr>
      </vt:variant>
      <vt:variant>
        <vt:i4>1966132</vt:i4>
      </vt:variant>
      <vt:variant>
        <vt:i4>164</vt:i4>
      </vt:variant>
      <vt:variant>
        <vt:i4>0</vt:i4>
      </vt:variant>
      <vt:variant>
        <vt:i4>5</vt:i4>
      </vt:variant>
      <vt:variant>
        <vt:lpwstr/>
      </vt:variant>
      <vt:variant>
        <vt:lpwstr>_Toc59446337</vt:lpwstr>
      </vt:variant>
      <vt:variant>
        <vt:i4>2031668</vt:i4>
      </vt:variant>
      <vt:variant>
        <vt:i4>158</vt:i4>
      </vt:variant>
      <vt:variant>
        <vt:i4>0</vt:i4>
      </vt:variant>
      <vt:variant>
        <vt:i4>5</vt:i4>
      </vt:variant>
      <vt:variant>
        <vt:lpwstr/>
      </vt:variant>
      <vt:variant>
        <vt:lpwstr>_Toc59446336</vt:lpwstr>
      </vt:variant>
      <vt:variant>
        <vt:i4>1835060</vt:i4>
      </vt:variant>
      <vt:variant>
        <vt:i4>152</vt:i4>
      </vt:variant>
      <vt:variant>
        <vt:i4>0</vt:i4>
      </vt:variant>
      <vt:variant>
        <vt:i4>5</vt:i4>
      </vt:variant>
      <vt:variant>
        <vt:lpwstr/>
      </vt:variant>
      <vt:variant>
        <vt:lpwstr>_Toc59446335</vt:lpwstr>
      </vt:variant>
      <vt:variant>
        <vt:i4>1900596</vt:i4>
      </vt:variant>
      <vt:variant>
        <vt:i4>146</vt:i4>
      </vt:variant>
      <vt:variant>
        <vt:i4>0</vt:i4>
      </vt:variant>
      <vt:variant>
        <vt:i4>5</vt:i4>
      </vt:variant>
      <vt:variant>
        <vt:lpwstr/>
      </vt:variant>
      <vt:variant>
        <vt:lpwstr>_Toc59446334</vt:lpwstr>
      </vt:variant>
      <vt:variant>
        <vt:i4>1703988</vt:i4>
      </vt:variant>
      <vt:variant>
        <vt:i4>140</vt:i4>
      </vt:variant>
      <vt:variant>
        <vt:i4>0</vt:i4>
      </vt:variant>
      <vt:variant>
        <vt:i4>5</vt:i4>
      </vt:variant>
      <vt:variant>
        <vt:lpwstr/>
      </vt:variant>
      <vt:variant>
        <vt:lpwstr>_Toc59446333</vt:lpwstr>
      </vt:variant>
      <vt:variant>
        <vt:i4>1769524</vt:i4>
      </vt:variant>
      <vt:variant>
        <vt:i4>134</vt:i4>
      </vt:variant>
      <vt:variant>
        <vt:i4>0</vt:i4>
      </vt:variant>
      <vt:variant>
        <vt:i4>5</vt:i4>
      </vt:variant>
      <vt:variant>
        <vt:lpwstr/>
      </vt:variant>
      <vt:variant>
        <vt:lpwstr>_Toc59446332</vt:lpwstr>
      </vt:variant>
      <vt:variant>
        <vt:i4>1572916</vt:i4>
      </vt:variant>
      <vt:variant>
        <vt:i4>128</vt:i4>
      </vt:variant>
      <vt:variant>
        <vt:i4>0</vt:i4>
      </vt:variant>
      <vt:variant>
        <vt:i4>5</vt:i4>
      </vt:variant>
      <vt:variant>
        <vt:lpwstr/>
      </vt:variant>
      <vt:variant>
        <vt:lpwstr>_Toc59446331</vt:lpwstr>
      </vt:variant>
      <vt:variant>
        <vt:i4>1638452</vt:i4>
      </vt:variant>
      <vt:variant>
        <vt:i4>122</vt:i4>
      </vt:variant>
      <vt:variant>
        <vt:i4>0</vt:i4>
      </vt:variant>
      <vt:variant>
        <vt:i4>5</vt:i4>
      </vt:variant>
      <vt:variant>
        <vt:lpwstr/>
      </vt:variant>
      <vt:variant>
        <vt:lpwstr>_Toc59446330</vt:lpwstr>
      </vt:variant>
      <vt:variant>
        <vt:i4>1048629</vt:i4>
      </vt:variant>
      <vt:variant>
        <vt:i4>116</vt:i4>
      </vt:variant>
      <vt:variant>
        <vt:i4>0</vt:i4>
      </vt:variant>
      <vt:variant>
        <vt:i4>5</vt:i4>
      </vt:variant>
      <vt:variant>
        <vt:lpwstr/>
      </vt:variant>
      <vt:variant>
        <vt:lpwstr>_Toc59446329</vt:lpwstr>
      </vt:variant>
      <vt:variant>
        <vt:i4>1114165</vt:i4>
      </vt:variant>
      <vt:variant>
        <vt:i4>110</vt:i4>
      </vt:variant>
      <vt:variant>
        <vt:i4>0</vt:i4>
      </vt:variant>
      <vt:variant>
        <vt:i4>5</vt:i4>
      </vt:variant>
      <vt:variant>
        <vt:lpwstr/>
      </vt:variant>
      <vt:variant>
        <vt:lpwstr>_Toc59446328</vt:lpwstr>
      </vt:variant>
      <vt:variant>
        <vt:i4>1966133</vt:i4>
      </vt:variant>
      <vt:variant>
        <vt:i4>104</vt:i4>
      </vt:variant>
      <vt:variant>
        <vt:i4>0</vt:i4>
      </vt:variant>
      <vt:variant>
        <vt:i4>5</vt:i4>
      </vt:variant>
      <vt:variant>
        <vt:lpwstr/>
      </vt:variant>
      <vt:variant>
        <vt:lpwstr>_Toc59446327</vt:lpwstr>
      </vt:variant>
      <vt:variant>
        <vt:i4>2031669</vt:i4>
      </vt:variant>
      <vt:variant>
        <vt:i4>98</vt:i4>
      </vt:variant>
      <vt:variant>
        <vt:i4>0</vt:i4>
      </vt:variant>
      <vt:variant>
        <vt:i4>5</vt:i4>
      </vt:variant>
      <vt:variant>
        <vt:lpwstr/>
      </vt:variant>
      <vt:variant>
        <vt:lpwstr>_Toc59446326</vt:lpwstr>
      </vt:variant>
      <vt:variant>
        <vt:i4>1835061</vt:i4>
      </vt:variant>
      <vt:variant>
        <vt:i4>92</vt:i4>
      </vt:variant>
      <vt:variant>
        <vt:i4>0</vt:i4>
      </vt:variant>
      <vt:variant>
        <vt:i4>5</vt:i4>
      </vt:variant>
      <vt:variant>
        <vt:lpwstr/>
      </vt:variant>
      <vt:variant>
        <vt:lpwstr>_Toc59446325</vt:lpwstr>
      </vt:variant>
      <vt:variant>
        <vt:i4>1900597</vt:i4>
      </vt:variant>
      <vt:variant>
        <vt:i4>86</vt:i4>
      </vt:variant>
      <vt:variant>
        <vt:i4>0</vt:i4>
      </vt:variant>
      <vt:variant>
        <vt:i4>5</vt:i4>
      </vt:variant>
      <vt:variant>
        <vt:lpwstr/>
      </vt:variant>
      <vt:variant>
        <vt:lpwstr>_Toc59446324</vt:lpwstr>
      </vt:variant>
      <vt:variant>
        <vt:i4>1703989</vt:i4>
      </vt:variant>
      <vt:variant>
        <vt:i4>80</vt:i4>
      </vt:variant>
      <vt:variant>
        <vt:i4>0</vt:i4>
      </vt:variant>
      <vt:variant>
        <vt:i4>5</vt:i4>
      </vt:variant>
      <vt:variant>
        <vt:lpwstr/>
      </vt:variant>
      <vt:variant>
        <vt:lpwstr>_Toc59446323</vt:lpwstr>
      </vt:variant>
      <vt:variant>
        <vt:i4>1769525</vt:i4>
      </vt:variant>
      <vt:variant>
        <vt:i4>74</vt:i4>
      </vt:variant>
      <vt:variant>
        <vt:i4>0</vt:i4>
      </vt:variant>
      <vt:variant>
        <vt:i4>5</vt:i4>
      </vt:variant>
      <vt:variant>
        <vt:lpwstr/>
      </vt:variant>
      <vt:variant>
        <vt:lpwstr>_Toc59446322</vt:lpwstr>
      </vt:variant>
      <vt:variant>
        <vt:i4>1572917</vt:i4>
      </vt:variant>
      <vt:variant>
        <vt:i4>68</vt:i4>
      </vt:variant>
      <vt:variant>
        <vt:i4>0</vt:i4>
      </vt:variant>
      <vt:variant>
        <vt:i4>5</vt:i4>
      </vt:variant>
      <vt:variant>
        <vt:lpwstr/>
      </vt:variant>
      <vt:variant>
        <vt:lpwstr>_Toc59446321</vt:lpwstr>
      </vt:variant>
      <vt:variant>
        <vt:i4>1638453</vt:i4>
      </vt:variant>
      <vt:variant>
        <vt:i4>62</vt:i4>
      </vt:variant>
      <vt:variant>
        <vt:i4>0</vt:i4>
      </vt:variant>
      <vt:variant>
        <vt:i4>5</vt:i4>
      </vt:variant>
      <vt:variant>
        <vt:lpwstr/>
      </vt:variant>
      <vt:variant>
        <vt:lpwstr>_Toc59446320</vt:lpwstr>
      </vt:variant>
      <vt:variant>
        <vt:i4>1048630</vt:i4>
      </vt:variant>
      <vt:variant>
        <vt:i4>56</vt:i4>
      </vt:variant>
      <vt:variant>
        <vt:i4>0</vt:i4>
      </vt:variant>
      <vt:variant>
        <vt:i4>5</vt:i4>
      </vt:variant>
      <vt:variant>
        <vt:lpwstr/>
      </vt:variant>
      <vt:variant>
        <vt:lpwstr>_Toc59446319</vt:lpwstr>
      </vt:variant>
      <vt:variant>
        <vt:i4>1114166</vt:i4>
      </vt:variant>
      <vt:variant>
        <vt:i4>50</vt:i4>
      </vt:variant>
      <vt:variant>
        <vt:i4>0</vt:i4>
      </vt:variant>
      <vt:variant>
        <vt:i4>5</vt:i4>
      </vt:variant>
      <vt:variant>
        <vt:lpwstr/>
      </vt:variant>
      <vt:variant>
        <vt:lpwstr>_Toc59446318</vt:lpwstr>
      </vt:variant>
      <vt:variant>
        <vt:i4>1966134</vt:i4>
      </vt:variant>
      <vt:variant>
        <vt:i4>44</vt:i4>
      </vt:variant>
      <vt:variant>
        <vt:i4>0</vt:i4>
      </vt:variant>
      <vt:variant>
        <vt:i4>5</vt:i4>
      </vt:variant>
      <vt:variant>
        <vt:lpwstr/>
      </vt:variant>
      <vt:variant>
        <vt:lpwstr>_Toc59446317</vt:lpwstr>
      </vt:variant>
      <vt:variant>
        <vt:i4>2031670</vt:i4>
      </vt:variant>
      <vt:variant>
        <vt:i4>38</vt:i4>
      </vt:variant>
      <vt:variant>
        <vt:i4>0</vt:i4>
      </vt:variant>
      <vt:variant>
        <vt:i4>5</vt:i4>
      </vt:variant>
      <vt:variant>
        <vt:lpwstr/>
      </vt:variant>
      <vt:variant>
        <vt:lpwstr>_Toc59446316</vt:lpwstr>
      </vt:variant>
      <vt:variant>
        <vt:i4>1835062</vt:i4>
      </vt:variant>
      <vt:variant>
        <vt:i4>32</vt:i4>
      </vt:variant>
      <vt:variant>
        <vt:i4>0</vt:i4>
      </vt:variant>
      <vt:variant>
        <vt:i4>5</vt:i4>
      </vt:variant>
      <vt:variant>
        <vt:lpwstr/>
      </vt:variant>
      <vt:variant>
        <vt:lpwstr>_Toc59446315</vt:lpwstr>
      </vt:variant>
      <vt:variant>
        <vt:i4>1900598</vt:i4>
      </vt:variant>
      <vt:variant>
        <vt:i4>26</vt:i4>
      </vt:variant>
      <vt:variant>
        <vt:i4>0</vt:i4>
      </vt:variant>
      <vt:variant>
        <vt:i4>5</vt:i4>
      </vt:variant>
      <vt:variant>
        <vt:lpwstr/>
      </vt:variant>
      <vt:variant>
        <vt:lpwstr>_Toc59446314</vt:lpwstr>
      </vt:variant>
      <vt:variant>
        <vt:i4>1703990</vt:i4>
      </vt:variant>
      <vt:variant>
        <vt:i4>20</vt:i4>
      </vt:variant>
      <vt:variant>
        <vt:i4>0</vt:i4>
      </vt:variant>
      <vt:variant>
        <vt:i4>5</vt:i4>
      </vt:variant>
      <vt:variant>
        <vt:lpwstr/>
      </vt:variant>
      <vt:variant>
        <vt:lpwstr>_Toc59446313</vt:lpwstr>
      </vt:variant>
      <vt:variant>
        <vt:i4>1769526</vt:i4>
      </vt:variant>
      <vt:variant>
        <vt:i4>14</vt:i4>
      </vt:variant>
      <vt:variant>
        <vt:i4>0</vt:i4>
      </vt:variant>
      <vt:variant>
        <vt:i4>5</vt:i4>
      </vt:variant>
      <vt:variant>
        <vt:lpwstr/>
      </vt:variant>
      <vt:variant>
        <vt:lpwstr>_Toc59446312</vt:lpwstr>
      </vt:variant>
      <vt:variant>
        <vt:i4>1572918</vt:i4>
      </vt:variant>
      <vt:variant>
        <vt:i4>8</vt:i4>
      </vt:variant>
      <vt:variant>
        <vt:i4>0</vt:i4>
      </vt:variant>
      <vt:variant>
        <vt:i4>5</vt:i4>
      </vt:variant>
      <vt:variant>
        <vt:lpwstr/>
      </vt:variant>
      <vt:variant>
        <vt:lpwstr>_Toc59446311</vt:lpwstr>
      </vt:variant>
      <vt:variant>
        <vt:i4>1638454</vt:i4>
      </vt:variant>
      <vt:variant>
        <vt:i4>2</vt:i4>
      </vt:variant>
      <vt:variant>
        <vt:i4>0</vt:i4>
      </vt:variant>
      <vt:variant>
        <vt:i4>5</vt:i4>
      </vt:variant>
      <vt:variant>
        <vt:lpwstr/>
      </vt:variant>
      <vt:variant>
        <vt:lpwstr>_Toc59446310</vt:lpwstr>
      </vt:variant>
      <vt:variant>
        <vt:i4>5046303</vt:i4>
      </vt:variant>
      <vt:variant>
        <vt:i4>3</vt:i4>
      </vt:variant>
      <vt:variant>
        <vt:i4>0</vt:i4>
      </vt:variant>
      <vt:variant>
        <vt:i4>5</vt:i4>
      </vt:variant>
      <vt:variant>
        <vt:lpwstr>https://aems.tga.gov.au/</vt:lpwstr>
      </vt:variant>
      <vt:variant>
        <vt:lpwstr/>
      </vt:variant>
      <vt:variant>
        <vt:i4>196706</vt:i4>
      </vt:variant>
      <vt:variant>
        <vt:i4>0</vt:i4>
      </vt:variant>
      <vt:variant>
        <vt:i4>0</vt:i4>
      </vt:variant>
      <vt:variant>
        <vt:i4>5</vt:i4>
      </vt:variant>
      <vt:variant>
        <vt:lpwstr>https://www.health.gov.au/sites/default/files/documents/2020/11/australian-covid-19-vaccination-policy_1.pdf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Phase 1A of COVID-19 Vaccine Strategy – Summary Document: Privacy Impact Assessment Report</dc:title>
  <dc:subject>COVID-19 vaccine</dc:subject>
  <dc:creator>Australian Government</dc:creator>
  <cp:keywords/>
  <dc:description/>
  <cp:lastModifiedBy>KENNEDY, Emma</cp:lastModifiedBy>
  <cp:revision>6</cp:revision>
  <cp:lastPrinted>2021-02-11T02:12:00Z</cp:lastPrinted>
  <dcterms:created xsi:type="dcterms:W3CDTF">2021-02-22T03:30:00Z</dcterms:created>
  <dcterms:modified xsi:type="dcterms:W3CDTF">2021-02-22T05:24:00Z</dcterms:modified>
</cp:coreProperties>
</file>