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F1FD2" w14:textId="77777777" w:rsidR="00596268" w:rsidRDefault="00596268" w:rsidP="00596268">
      <w:pPr>
        <w:tabs>
          <w:tab w:val="left" w:pos="2550"/>
        </w:tabs>
        <w:spacing w:before="480"/>
        <w:jc w:val="center"/>
        <w:rPr>
          <w:rFonts w:cs="Arial"/>
          <w:b/>
          <w:color w:val="3F4A75" w:themeColor="accent1"/>
          <w:sz w:val="48"/>
          <w:szCs w:val="48"/>
        </w:rPr>
      </w:pPr>
    </w:p>
    <w:p w14:paraId="56746A58" w14:textId="77777777" w:rsidR="00596268" w:rsidRDefault="00596268" w:rsidP="00596268">
      <w:pPr>
        <w:tabs>
          <w:tab w:val="left" w:pos="2550"/>
        </w:tabs>
        <w:spacing w:before="480"/>
        <w:jc w:val="center"/>
        <w:rPr>
          <w:rFonts w:cs="Arial"/>
          <w:b/>
          <w:color w:val="3F4A75" w:themeColor="accent1"/>
          <w:sz w:val="48"/>
          <w:szCs w:val="48"/>
        </w:rPr>
      </w:pPr>
    </w:p>
    <w:p w14:paraId="4B208E82" w14:textId="62502914" w:rsidR="00596268" w:rsidRPr="000261B0" w:rsidRDefault="00076BA3" w:rsidP="00596268">
      <w:pPr>
        <w:tabs>
          <w:tab w:val="left" w:pos="2550"/>
        </w:tabs>
        <w:spacing w:before="480"/>
        <w:jc w:val="center"/>
        <w:rPr>
          <w:rFonts w:cs="Arial"/>
          <w:b/>
          <w:color w:val="3F4A75" w:themeColor="accent1"/>
          <w:sz w:val="48"/>
          <w:szCs w:val="48"/>
        </w:rPr>
      </w:pPr>
      <w:r>
        <w:rPr>
          <w:rFonts w:cs="Arial"/>
          <w:b/>
          <w:color w:val="3F4A75" w:themeColor="accent1"/>
          <w:sz w:val="48"/>
          <w:szCs w:val="48"/>
        </w:rPr>
        <w:t>Phase 1A of the COVID-19 Vaccine Strategy</w:t>
      </w:r>
    </w:p>
    <w:p w14:paraId="3B07DCAE" w14:textId="77777777" w:rsidR="00596268" w:rsidRPr="000261B0" w:rsidRDefault="00596268" w:rsidP="00596268">
      <w:pPr>
        <w:tabs>
          <w:tab w:val="left" w:pos="2550"/>
        </w:tabs>
        <w:spacing w:before="480"/>
        <w:jc w:val="center"/>
        <w:rPr>
          <w:rFonts w:cs="Arial"/>
          <w:color w:val="3F4A75" w:themeColor="accent1"/>
          <w:sz w:val="40"/>
          <w:szCs w:val="40"/>
        </w:rPr>
      </w:pPr>
      <w:r w:rsidRPr="000261B0">
        <w:rPr>
          <w:rFonts w:cs="Arial"/>
          <w:color w:val="3F4A75" w:themeColor="accent1"/>
          <w:sz w:val="40"/>
          <w:szCs w:val="40"/>
        </w:rPr>
        <w:t>Privacy Impact Assessment</w:t>
      </w:r>
    </w:p>
    <w:p w14:paraId="37A9D5AE" w14:textId="77777777" w:rsidR="00751A23" w:rsidRPr="000261B0" w:rsidRDefault="00751A23" w:rsidP="00751A23">
      <w:pPr>
        <w:pStyle w:val="Subtitle"/>
        <w:rPr>
          <w:rFonts w:cs="Arial"/>
        </w:rPr>
      </w:pPr>
    </w:p>
    <w:p w14:paraId="09773F38" w14:textId="77777777" w:rsidR="00596268" w:rsidRPr="000261B0" w:rsidRDefault="00596268" w:rsidP="00596268">
      <w:pPr>
        <w:tabs>
          <w:tab w:val="left" w:pos="2550"/>
        </w:tabs>
        <w:spacing w:before="480"/>
        <w:jc w:val="center"/>
        <w:rPr>
          <w:rFonts w:cs="Arial"/>
          <w:color w:val="3F4A75" w:themeColor="accent1"/>
          <w:sz w:val="40"/>
          <w:szCs w:val="40"/>
        </w:rPr>
      </w:pPr>
      <w:r w:rsidRPr="000261B0">
        <w:rPr>
          <w:rFonts w:cs="Arial"/>
          <w:color w:val="3F4A75" w:themeColor="accent1"/>
          <w:sz w:val="40"/>
          <w:szCs w:val="40"/>
        </w:rPr>
        <w:t xml:space="preserve"> </w:t>
      </w:r>
      <w:r w:rsidR="00AA038B">
        <w:rPr>
          <w:rFonts w:cs="Arial"/>
          <w:color w:val="3F4A75" w:themeColor="accent1"/>
          <w:sz w:val="40"/>
          <w:szCs w:val="40"/>
        </w:rPr>
        <w:t xml:space="preserve">Agency </w:t>
      </w:r>
      <w:r w:rsidRPr="000261B0">
        <w:rPr>
          <w:rFonts w:cs="Arial"/>
          <w:color w:val="3F4A75" w:themeColor="accent1"/>
          <w:sz w:val="40"/>
          <w:szCs w:val="40"/>
        </w:rPr>
        <w:t>Response</w:t>
      </w:r>
    </w:p>
    <w:p w14:paraId="3EC0F400" w14:textId="77777777" w:rsidR="00DF66E4" w:rsidRPr="000261B0" w:rsidRDefault="00DF66E4" w:rsidP="00596268">
      <w:pPr>
        <w:tabs>
          <w:tab w:val="left" w:pos="2550"/>
        </w:tabs>
        <w:spacing w:before="480"/>
        <w:jc w:val="center"/>
        <w:rPr>
          <w:rFonts w:cs="Arial"/>
          <w:color w:val="3F4A75" w:themeColor="accent1"/>
          <w:sz w:val="40"/>
          <w:szCs w:val="40"/>
        </w:rPr>
      </w:pPr>
    </w:p>
    <w:p w14:paraId="0B5D87BC" w14:textId="77777777" w:rsidR="00F82E4E" w:rsidRPr="000261B0" w:rsidRDefault="00F82E4E" w:rsidP="00DF66E4">
      <w:pPr>
        <w:tabs>
          <w:tab w:val="left" w:pos="2550"/>
        </w:tabs>
        <w:jc w:val="center"/>
        <w:rPr>
          <w:rFonts w:cs="Arial"/>
          <w:color w:val="3F4A75" w:themeColor="accent1"/>
          <w:sz w:val="28"/>
          <w:szCs w:val="28"/>
        </w:rPr>
      </w:pPr>
      <w:r w:rsidRPr="000261B0">
        <w:rPr>
          <w:rFonts w:cs="Arial"/>
          <w:color w:val="3F4A75" w:themeColor="accent1"/>
          <w:sz w:val="28"/>
          <w:szCs w:val="28"/>
        </w:rPr>
        <w:t xml:space="preserve">Department of </w:t>
      </w:r>
      <w:r w:rsidR="00596268" w:rsidRPr="000261B0">
        <w:rPr>
          <w:rFonts w:cs="Arial"/>
          <w:color w:val="3F4A75" w:themeColor="accent1"/>
          <w:sz w:val="28"/>
          <w:szCs w:val="28"/>
        </w:rPr>
        <w:t>Health</w:t>
      </w:r>
    </w:p>
    <w:p w14:paraId="1E2CE1B5" w14:textId="77777777" w:rsidR="00DF66E4" w:rsidRPr="000261B0" w:rsidRDefault="00DF66E4" w:rsidP="00DF66E4">
      <w:pPr>
        <w:tabs>
          <w:tab w:val="left" w:pos="2550"/>
        </w:tabs>
        <w:jc w:val="center"/>
        <w:rPr>
          <w:rFonts w:cs="Arial"/>
          <w:color w:val="3F4A75" w:themeColor="accent1"/>
          <w:sz w:val="28"/>
          <w:szCs w:val="28"/>
        </w:rPr>
      </w:pPr>
    </w:p>
    <w:p w14:paraId="3ADBAF40" w14:textId="77777777" w:rsidR="00DF66E4" w:rsidRPr="000261B0" w:rsidRDefault="00DF66E4">
      <w:pPr>
        <w:rPr>
          <w:rFonts w:cs="Arial"/>
          <w:color w:val="3F4A75" w:themeColor="accent1"/>
          <w:sz w:val="28"/>
          <w:szCs w:val="28"/>
        </w:rPr>
      </w:pPr>
      <w:r w:rsidRPr="000261B0">
        <w:rPr>
          <w:rFonts w:cs="Arial"/>
          <w:color w:val="3F4A75" w:themeColor="accent1"/>
          <w:sz w:val="28"/>
          <w:szCs w:val="28"/>
        </w:rPr>
        <w:br w:type="page"/>
      </w:r>
    </w:p>
    <w:p w14:paraId="18DF0391" w14:textId="77777777" w:rsidR="00DF66E4" w:rsidRPr="000261B0" w:rsidRDefault="00DF66E4" w:rsidP="00DF66E4">
      <w:pPr>
        <w:tabs>
          <w:tab w:val="left" w:pos="2550"/>
        </w:tabs>
        <w:jc w:val="center"/>
        <w:rPr>
          <w:rFonts w:cs="Arial"/>
          <w:color w:val="3F4A75" w:themeColor="accent1"/>
          <w:sz w:val="28"/>
          <w:szCs w:val="28"/>
        </w:rPr>
        <w:sectPr w:rsidR="00DF66E4" w:rsidRPr="000261B0" w:rsidSect="00D45D94">
          <w:headerReference w:type="first" r:id="rId11"/>
          <w:type w:val="continuous"/>
          <w:pgSz w:w="11906" w:h="16838"/>
          <w:pgMar w:top="1701" w:right="1418" w:bottom="1418" w:left="1418" w:header="850" w:footer="709" w:gutter="0"/>
          <w:cols w:space="708"/>
          <w:titlePg/>
          <w:docGrid w:linePitch="360"/>
        </w:sectPr>
      </w:pPr>
    </w:p>
    <w:p w14:paraId="3E9898EF" w14:textId="77777777" w:rsidR="00596268" w:rsidRPr="000261B0" w:rsidRDefault="00596268" w:rsidP="00596268">
      <w:pPr>
        <w:autoSpaceDE w:val="0"/>
        <w:autoSpaceDN w:val="0"/>
        <w:adjustRightInd w:val="0"/>
        <w:spacing w:before="240" w:after="240"/>
        <w:rPr>
          <w:rFonts w:cs="Arial"/>
          <w:b/>
          <w:color w:val="000000"/>
          <w:sz w:val="21"/>
          <w:szCs w:val="21"/>
        </w:rPr>
      </w:pPr>
      <w:r w:rsidRPr="000261B0">
        <w:rPr>
          <w:rFonts w:cs="Arial"/>
          <w:b/>
          <w:color w:val="000000"/>
          <w:sz w:val="21"/>
          <w:szCs w:val="21"/>
        </w:rPr>
        <w:lastRenderedPageBreak/>
        <w:t xml:space="preserve">Copyright </w:t>
      </w:r>
    </w:p>
    <w:p w14:paraId="7F2FD8B2" w14:textId="212C6972" w:rsidR="00596268" w:rsidRPr="000261B0" w:rsidRDefault="007A5C4A" w:rsidP="00596268">
      <w:pPr>
        <w:autoSpaceDE w:val="0"/>
        <w:autoSpaceDN w:val="0"/>
        <w:adjustRightInd w:val="0"/>
        <w:spacing w:after="240"/>
        <w:rPr>
          <w:rFonts w:cs="Arial"/>
          <w:sz w:val="21"/>
          <w:szCs w:val="21"/>
        </w:rPr>
      </w:pPr>
      <w:r>
        <w:rPr>
          <w:rFonts w:cs="Arial"/>
          <w:sz w:val="21"/>
          <w:szCs w:val="21"/>
        </w:rPr>
        <w:t>© 2021</w:t>
      </w:r>
      <w:r w:rsidR="00596268" w:rsidRPr="000261B0">
        <w:rPr>
          <w:rFonts w:cs="Arial"/>
          <w:sz w:val="21"/>
          <w:szCs w:val="21"/>
        </w:rPr>
        <w:t xml:space="preserve"> Commonwealth of Australia as represented by the Department of Health </w:t>
      </w:r>
    </w:p>
    <w:p w14:paraId="699916A1" w14:textId="77777777" w:rsidR="00596268" w:rsidRPr="000261B0" w:rsidRDefault="00596268" w:rsidP="00596268">
      <w:pPr>
        <w:autoSpaceDE w:val="0"/>
        <w:autoSpaceDN w:val="0"/>
        <w:adjustRightInd w:val="0"/>
        <w:spacing w:after="240"/>
        <w:jc w:val="both"/>
        <w:rPr>
          <w:rFonts w:cs="Arial"/>
          <w:sz w:val="21"/>
          <w:szCs w:val="21"/>
          <w:lang w:eastAsia="en-AU"/>
        </w:rPr>
      </w:pPr>
      <w:r w:rsidRPr="000261B0">
        <w:rPr>
          <w:rFonts w:cs="Arial"/>
          <w:sz w:val="21"/>
          <w:szCs w:val="21"/>
          <w:lang w:eastAsia="en-AU"/>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310602F8" w14:textId="77777777" w:rsidR="00596268" w:rsidRPr="000261B0" w:rsidRDefault="00596268" w:rsidP="00596268">
      <w:pPr>
        <w:numPr>
          <w:ilvl w:val="0"/>
          <w:numId w:val="20"/>
        </w:numPr>
        <w:autoSpaceDE w:val="0"/>
        <w:autoSpaceDN w:val="0"/>
        <w:adjustRightInd w:val="0"/>
        <w:spacing w:after="240"/>
        <w:ind w:hanging="720"/>
        <w:jc w:val="both"/>
        <w:rPr>
          <w:rFonts w:cs="Arial"/>
          <w:sz w:val="21"/>
          <w:szCs w:val="21"/>
          <w:lang w:eastAsia="en-AU"/>
        </w:rPr>
      </w:pPr>
      <w:r w:rsidRPr="000261B0">
        <w:rPr>
          <w:rFonts w:cs="Arial"/>
          <w:sz w:val="21"/>
          <w:szCs w:val="21"/>
          <w:lang w:eastAsia="en-AU"/>
        </w:rPr>
        <w:t>do not use the copy or reproduction for any commercial purpose; and</w:t>
      </w:r>
    </w:p>
    <w:p w14:paraId="4EACADD3" w14:textId="77777777" w:rsidR="00596268" w:rsidRPr="000261B0" w:rsidRDefault="00E1501F" w:rsidP="00596268">
      <w:pPr>
        <w:numPr>
          <w:ilvl w:val="0"/>
          <w:numId w:val="20"/>
        </w:numPr>
        <w:autoSpaceDE w:val="0"/>
        <w:autoSpaceDN w:val="0"/>
        <w:adjustRightInd w:val="0"/>
        <w:spacing w:after="240"/>
        <w:ind w:hanging="720"/>
        <w:jc w:val="both"/>
        <w:rPr>
          <w:rFonts w:cs="Arial"/>
          <w:sz w:val="21"/>
          <w:szCs w:val="21"/>
          <w:lang w:eastAsia="en-AU"/>
        </w:rPr>
      </w:pPr>
      <w:r w:rsidRPr="000261B0">
        <w:rPr>
          <w:rFonts w:cs="Arial"/>
          <w:sz w:val="21"/>
          <w:szCs w:val="21"/>
          <w:lang w:eastAsia="en-AU"/>
        </w:rPr>
        <w:t>Retain</w:t>
      </w:r>
      <w:r w:rsidR="00596268" w:rsidRPr="000261B0">
        <w:rPr>
          <w:rFonts w:cs="Arial"/>
          <w:sz w:val="21"/>
          <w:szCs w:val="21"/>
          <w:lang w:eastAsia="en-AU"/>
        </w:rPr>
        <w:t xml:space="preserve"> this copyright notice and all disclaimer notices as part of that copy or reproduction.</w:t>
      </w:r>
    </w:p>
    <w:p w14:paraId="5195474D" w14:textId="77777777" w:rsidR="00596268" w:rsidRPr="000261B0" w:rsidRDefault="00596268" w:rsidP="00596268">
      <w:pPr>
        <w:autoSpaceDE w:val="0"/>
        <w:autoSpaceDN w:val="0"/>
        <w:adjustRightInd w:val="0"/>
        <w:spacing w:after="240"/>
        <w:jc w:val="both"/>
        <w:rPr>
          <w:rFonts w:cs="Arial"/>
          <w:sz w:val="21"/>
          <w:szCs w:val="21"/>
          <w:lang w:eastAsia="en-AU"/>
        </w:rPr>
      </w:pPr>
      <w:r w:rsidRPr="000261B0">
        <w:rPr>
          <w:rFonts w:cs="Arial"/>
          <w:sz w:val="21"/>
          <w:szCs w:val="21"/>
          <w:lang w:eastAsia="en-AU"/>
        </w:rPr>
        <w:t xml:space="preserve">Apart from rights as permitted by the </w:t>
      </w:r>
      <w:r w:rsidRPr="000261B0">
        <w:rPr>
          <w:rFonts w:cs="Arial"/>
          <w:i/>
          <w:iCs/>
          <w:sz w:val="21"/>
          <w:szCs w:val="21"/>
          <w:lang w:eastAsia="en-AU"/>
        </w:rPr>
        <w:t xml:space="preserve">Copyright Act 1968 </w:t>
      </w:r>
      <w:r w:rsidRPr="000261B0">
        <w:rPr>
          <w:rFonts w:cs="Arial"/>
          <w:iCs/>
          <w:sz w:val="21"/>
          <w:szCs w:val="21"/>
          <w:lang w:eastAsia="en-AU"/>
        </w:rPr>
        <w:t>(</w:t>
      </w:r>
      <w:proofErr w:type="spellStart"/>
      <w:r w:rsidRPr="000261B0">
        <w:rPr>
          <w:rFonts w:cs="Arial"/>
          <w:iCs/>
          <w:sz w:val="21"/>
          <w:szCs w:val="21"/>
          <w:lang w:eastAsia="en-AU"/>
        </w:rPr>
        <w:t>Cth</w:t>
      </w:r>
      <w:proofErr w:type="spellEnd"/>
      <w:r w:rsidRPr="000261B0">
        <w:rPr>
          <w:rFonts w:cs="Arial"/>
          <w:iCs/>
          <w:sz w:val="21"/>
          <w:szCs w:val="21"/>
          <w:lang w:eastAsia="en-AU"/>
        </w:rPr>
        <w:t>)</w:t>
      </w:r>
      <w:r w:rsidRPr="000261B0">
        <w:rPr>
          <w:rFonts w:cs="Arial"/>
          <w:i/>
          <w:iCs/>
          <w:sz w:val="21"/>
          <w:szCs w:val="21"/>
          <w:lang w:eastAsia="en-AU"/>
        </w:rPr>
        <w:t xml:space="preserve"> </w:t>
      </w:r>
      <w:r w:rsidRPr="000261B0">
        <w:rPr>
          <w:rFonts w:cs="Arial"/>
          <w:sz w:val="21"/>
          <w:szCs w:val="21"/>
          <w:lang w:eastAsia="en-AU"/>
        </w:rPr>
        <w:t>or allowed by this copyright notice</w:t>
      </w:r>
      <w:r w:rsidRPr="000261B0">
        <w:rPr>
          <w:rFonts w:cs="Arial"/>
          <w:i/>
          <w:iCs/>
          <w:sz w:val="21"/>
          <w:szCs w:val="21"/>
          <w:lang w:eastAsia="en-AU"/>
        </w:rPr>
        <w:t xml:space="preserve">, </w:t>
      </w:r>
      <w:r w:rsidRPr="000261B0">
        <w:rPr>
          <w:rFonts w:cs="Arial"/>
          <w:sz w:val="21"/>
          <w:szCs w:val="21"/>
          <w:lang w:eastAsia="en-AU"/>
        </w:rPr>
        <w:t>all other rights are reserved, including (but not limited to) all commercial rights.</w:t>
      </w:r>
    </w:p>
    <w:p w14:paraId="66DD3208" w14:textId="77777777" w:rsidR="00596268" w:rsidRPr="000261B0" w:rsidRDefault="00596268" w:rsidP="00596268">
      <w:pPr>
        <w:autoSpaceDE w:val="0"/>
        <w:autoSpaceDN w:val="0"/>
        <w:adjustRightInd w:val="0"/>
        <w:spacing w:after="240"/>
        <w:jc w:val="both"/>
        <w:rPr>
          <w:rFonts w:cs="Arial"/>
          <w:sz w:val="21"/>
          <w:szCs w:val="21"/>
          <w:lang w:eastAsia="en-AU"/>
        </w:rPr>
      </w:pPr>
      <w:r w:rsidRPr="000261B0">
        <w:rPr>
          <w:rFonts w:cs="Arial"/>
          <w:sz w:val="21"/>
          <w:szCs w:val="21"/>
          <w:lang w:eastAsia="en-AU"/>
        </w:rPr>
        <w:t>Requests and inquiries concerning reproduction and other rights to use are to be sent to:</w:t>
      </w:r>
    </w:p>
    <w:p w14:paraId="4ED54DAC" w14:textId="77777777" w:rsidR="00596268" w:rsidRPr="000261B0" w:rsidRDefault="00596268" w:rsidP="00596268">
      <w:pPr>
        <w:pStyle w:val="Paragraphtext"/>
        <w:spacing w:before="0" w:after="0"/>
        <w:rPr>
          <w:rFonts w:cs="Arial"/>
          <w:color w:val="auto"/>
          <w:szCs w:val="21"/>
          <w:lang w:eastAsia="en-AU"/>
        </w:rPr>
      </w:pPr>
      <w:r w:rsidRPr="000261B0">
        <w:rPr>
          <w:rFonts w:cs="Arial"/>
          <w:color w:val="auto"/>
          <w:szCs w:val="21"/>
          <w:lang w:eastAsia="en-AU"/>
        </w:rPr>
        <w:t xml:space="preserve">Communication Branch, </w:t>
      </w:r>
    </w:p>
    <w:p w14:paraId="6811A77C" w14:textId="77777777" w:rsidR="00596268" w:rsidRPr="000261B0" w:rsidRDefault="00596268" w:rsidP="00596268">
      <w:pPr>
        <w:pStyle w:val="Paragraphtext"/>
        <w:spacing w:before="0" w:after="0"/>
        <w:rPr>
          <w:rFonts w:cs="Arial"/>
          <w:color w:val="auto"/>
          <w:szCs w:val="21"/>
          <w:lang w:eastAsia="en-AU"/>
        </w:rPr>
      </w:pPr>
      <w:r w:rsidRPr="000261B0">
        <w:rPr>
          <w:rFonts w:cs="Arial"/>
          <w:color w:val="auto"/>
          <w:szCs w:val="21"/>
          <w:lang w:eastAsia="en-AU"/>
        </w:rPr>
        <w:t xml:space="preserve">Department of Health, </w:t>
      </w:r>
    </w:p>
    <w:p w14:paraId="08531E63" w14:textId="77777777" w:rsidR="00596268" w:rsidRPr="000261B0" w:rsidRDefault="00596268" w:rsidP="00596268">
      <w:pPr>
        <w:pStyle w:val="Paragraphtext"/>
        <w:spacing w:before="0" w:after="0"/>
        <w:rPr>
          <w:rFonts w:cs="Arial"/>
          <w:color w:val="auto"/>
          <w:szCs w:val="21"/>
          <w:lang w:eastAsia="en-AU"/>
        </w:rPr>
      </w:pPr>
      <w:r w:rsidRPr="000261B0">
        <w:rPr>
          <w:rFonts w:cs="Arial"/>
          <w:color w:val="auto"/>
          <w:szCs w:val="21"/>
          <w:lang w:eastAsia="en-AU"/>
        </w:rPr>
        <w:t xml:space="preserve">GPO Box 9848, </w:t>
      </w:r>
    </w:p>
    <w:p w14:paraId="77C16360" w14:textId="77777777" w:rsidR="00596268" w:rsidRPr="000261B0" w:rsidRDefault="00596268" w:rsidP="00596268">
      <w:pPr>
        <w:pStyle w:val="Paragraphtext"/>
        <w:spacing w:before="0" w:after="0"/>
        <w:rPr>
          <w:rFonts w:cs="Arial"/>
          <w:color w:val="auto"/>
          <w:szCs w:val="21"/>
          <w:lang w:eastAsia="en-AU"/>
        </w:rPr>
      </w:pPr>
      <w:r w:rsidRPr="000261B0">
        <w:rPr>
          <w:rFonts w:cs="Arial"/>
          <w:color w:val="auto"/>
          <w:szCs w:val="21"/>
          <w:lang w:eastAsia="en-AU"/>
        </w:rPr>
        <w:t xml:space="preserve">Canberra ACT 2601, </w:t>
      </w:r>
    </w:p>
    <w:p w14:paraId="510E488B" w14:textId="77777777" w:rsidR="00596268" w:rsidRPr="000261B0" w:rsidRDefault="00596268" w:rsidP="00DF66E4">
      <w:pPr>
        <w:pStyle w:val="Paragraphtext"/>
        <w:rPr>
          <w:rFonts w:cs="Arial"/>
          <w:bCs/>
          <w:color w:val="3F4A75"/>
          <w:kern w:val="28"/>
          <w:sz w:val="36"/>
          <w:szCs w:val="36"/>
        </w:rPr>
      </w:pPr>
      <w:proofErr w:type="gramStart"/>
      <w:r w:rsidRPr="000261B0">
        <w:rPr>
          <w:rFonts w:cs="Arial"/>
          <w:color w:val="auto"/>
          <w:szCs w:val="21"/>
          <w:lang w:eastAsia="en-AU"/>
        </w:rPr>
        <w:t>or</w:t>
      </w:r>
      <w:proofErr w:type="gramEnd"/>
      <w:r w:rsidRPr="000261B0">
        <w:rPr>
          <w:rFonts w:cs="Arial"/>
          <w:color w:val="auto"/>
          <w:szCs w:val="21"/>
          <w:lang w:eastAsia="en-AU"/>
        </w:rPr>
        <w:t xml:space="preserve"> via </w:t>
      </w:r>
      <w:r w:rsidRPr="000261B0">
        <w:rPr>
          <w:rFonts w:cs="Arial"/>
          <w:color w:val="auto"/>
          <w:szCs w:val="21"/>
          <w:lang w:eastAsia="en-AU"/>
        </w:rPr>
        <w:br/>
        <w:t xml:space="preserve">e-mail to copyright@health.gov.au. </w:t>
      </w:r>
    </w:p>
    <w:p w14:paraId="2C01E147" w14:textId="77777777" w:rsidR="000261B0" w:rsidRPr="000261B0" w:rsidRDefault="000261B0">
      <w:pPr>
        <w:rPr>
          <w:rFonts w:cs="Arial"/>
          <w:bCs/>
          <w:color w:val="3F4A75"/>
          <w:kern w:val="28"/>
          <w:sz w:val="36"/>
          <w:szCs w:val="36"/>
        </w:rPr>
      </w:pPr>
      <w:r w:rsidRPr="000261B0">
        <w:rPr>
          <w:rFonts w:cs="Arial"/>
        </w:rPr>
        <w:br w:type="page"/>
      </w:r>
    </w:p>
    <w:p w14:paraId="5F2C2008" w14:textId="77777777" w:rsidR="00062223" w:rsidRPr="000261B0" w:rsidRDefault="00062223" w:rsidP="00062223">
      <w:pPr>
        <w:pStyle w:val="Heading1"/>
      </w:pPr>
      <w:r w:rsidRPr="000261B0">
        <w:lastRenderedPageBreak/>
        <w:t>Context</w:t>
      </w:r>
    </w:p>
    <w:p w14:paraId="3AD5B86F" w14:textId="59A264AA" w:rsidR="00062223" w:rsidRPr="000261B0" w:rsidRDefault="00062223" w:rsidP="00062223">
      <w:pPr>
        <w:pStyle w:val="ListBullet"/>
        <w:numPr>
          <w:ilvl w:val="0"/>
          <w:numId w:val="0"/>
        </w:numPr>
        <w:rPr>
          <w:rFonts w:cs="Arial"/>
          <w:sz w:val="22"/>
          <w:szCs w:val="22"/>
        </w:rPr>
      </w:pPr>
      <w:r w:rsidRPr="000261B0">
        <w:rPr>
          <w:rFonts w:cs="Arial"/>
          <w:sz w:val="22"/>
          <w:szCs w:val="22"/>
        </w:rPr>
        <w:t>This document has been prepared by</w:t>
      </w:r>
      <w:r w:rsidR="009928B6">
        <w:rPr>
          <w:rFonts w:cs="Arial"/>
          <w:sz w:val="22"/>
          <w:szCs w:val="22"/>
        </w:rPr>
        <w:t xml:space="preserve"> the Department of Health (</w:t>
      </w:r>
      <w:r w:rsidR="009928B6" w:rsidRPr="009928B6">
        <w:rPr>
          <w:rFonts w:cs="Arial"/>
          <w:b/>
          <w:sz w:val="22"/>
          <w:szCs w:val="22"/>
        </w:rPr>
        <w:t>Health)</w:t>
      </w:r>
      <w:r w:rsidR="009928B6">
        <w:rPr>
          <w:rFonts w:cs="Arial"/>
          <w:sz w:val="22"/>
          <w:szCs w:val="22"/>
        </w:rPr>
        <w:t xml:space="preserve">.  </w:t>
      </w:r>
      <w:r w:rsidRPr="000261B0">
        <w:rPr>
          <w:rFonts w:cs="Arial"/>
          <w:sz w:val="22"/>
          <w:szCs w:val="22"/>
        </w:rPr>
        <w:t xml:space="preserve">It is intended to respond to the recommendations provided by </w:t>
      </w:r>
      <w:proofErr w:type="spellStart"/>
      <w:r w:rsidRPr="000261B0">
        <w:rPr>
          <w:rFonts w:cs="Arial"/>
          <w:sz w:val="22"/>
          <w:szCs w:val="22"/>
        </w:rPr>
        <w:t>Maddocks</w:t>
      </w:r>
      <w:proofErr w:type="spellEnd"/>
      <w:r w:rsidRPr="000261B0">
        <w:rPr>
          <w:rFonts w:cs="Arial"/>
          <w:sz w:val="22"/>
          <w:szCs w:val="22"/>
        </w:rPr>
        <w:t xml:space="preserve"> in their </w:t>
      </w:r>
      <w:r w:rsidR="00F135DF">
        <w:rPr>
          <w:rFonts w:cs="Arial"/>
          <w:sz w:val="22"/>
          <w:szCs w:val="22"/>
        </w:rPr>
        <w:t xml:space="preserve">COVID-19 Vaccine </w:t>
      </w:r>
      <w:r w:rsidR="00875E05">
        <w:rPr>
          <w:rFonts w:cs="Arial"/>
          <w:sz w:val="22"/>
          <w:szCs w:val="22"/>
        </w:rPr>
        <w:t xml:space="preserve">and Treatment </w:t>
      </w:r>
      <w:r w:rsidR="00F135DF">
        <w:rPr>
          <w:rFonts w:cs="Arial"/>
          <w:sz w:val="22"/>
          <w:szCs w:val="22"/>
        </w:rPr>
        <w:t xml:space="preserve">Strategy </w:t>
      </w:r>
      <w:r w:rsidRPr="000261B0">
        <w:rPr>
          <w:rFonts w:cs="Arial"/>
          <w:sz w:val="22"/>
          <w:szCs w:val="22"/>
        </w:rPr>
        <w:t>Privacy Impact Assessment (PIA)</w:t>
      </w:r>
      <w:r w:rsidR="00DF66E4" w:rsidRPr="000261B0">
        <w:rPr>
          <w:rFonts w:cs="Arial"/>
          <w:sz w:val="22"/>
          <w:szCs w:val="22"/>
        </w:rPr>
        <w:t xml:space="preserve"> Report dated </w:t>
      </w:r>
      <w:r w:rsidR="009E2B81">
        <w:rPr>
          <w:rFonts w:cs="Arial"/>
          <w:sz w:val="22"/>
          <w:szCs w:val="22"/>
        </w:rPr>
        <w:t>20</w:t>
      </w:r>
      <w:r w:rsidR="00AA3A4B">
        <w:rPr>
          <w:rFonts w:cs="Arial"/>
          <w:sz w:val="22"/>
          <w:szCs w:val="22"/>
        </w:rPr>
        <w:t xml:space="preserve"> February 2021</w:t>
      </w:r>
      <w:r w:rsidRPr="000261B0">
        <w:rPr>
          <w:rFonts w:cs="Arial"/>
          <w:sz w:val="22"/>
          <w:szCs w:val="22"/>
        </w:rPr>
        <w:t xml:space="preserve">. </w:t>
      </w:r>
    </w:p>
    <w:p w14:paraId="188BB8C9" w14:textId="540A3431" w:rsidR="00D21770" w:rsidRPr="000261B0" w:rsidRDefault="00D21770">
      <w:pPr>
        <w:rPr>
          <w:rFonts w:cs="Arial"/>
          <w:b/>
          <w:color w:val="000000" w:themeColor="text1"/>
          <w:lang w:val="en-US"/>
        </w:rPr>
      </w:pPr>
      <w:r w:rsidRPr="000261B0">
        <w:rPr>
          <w:rFonts w:cs="Arial"/>
        </w:rPr>
        <w:br w:type="page"/>
      </w:r>
    </w:p>
    <w:tbl>
      <w:tblPr>
        <w:tblStyle w:val="DepartmentofHealthtable"/>
        <w:tblW w:w="0" w:type="auto"/>
        <w:tblLook w:val="04A0" w:firstRow="1" w:lastRow="0" w:firstColumn="1" w:lastColumn="0" w:noHBand="0" w:noVBand="1"/>
        <w:tblDescription w:val="&quot;&quot;"/>
      </w:tblPr>
      <w:tblGrid>
        <w:gridCol w:w="2407"/>
        <w:gridCol w:w="6098"/>
      </w:tblGrid>
      <w:tr w:rsidR="00F135DF" w:rsidRPr="000261B0" w14:paraId="1FA6B53F" w14:textId="77777777" w:rsidTr="00D81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tcPr>
          <w:p w14:paraId="3C6C76A6" w14:textId="77777777" w:rsidR="00F135DF" w:rsidRPr="000261B0" w:rsidRDefault="00F135DF" w:rsidP="00717C34">
            <w:pPr>
              <w:pStyle w:val="TableHeaderWhite"/>
              <w:rPr>
                <w:rFonts w:cs="Arial"/>
              </w:rPr>
            </w:pPr>
            <w:proofErr w:type="spellStart"/>
            <w:r w:rsidRPr="000261B0">
              <w:rPr>
                <w:rFonts w:cs="Arial"/>
              </w:rPr>
              <w:t>Maddocks</w:t>
            </w:r>
            <w:proofErr w:type="spellEnd"/>
            <w:r w:rsidRPr="000261B0">
              <w:rPr>
                <w:rFonts w:cs="Arial"/>
              </w:rPr>
              <w:t xml:space="preserve"> Recommendation 1: </w:t>
            </w:r>
          </w:p>
        </w:tc>
        <w:tc>
          <w:tcPr>
            <w:tcW w:w="6098" w:type="dxa"/>
          </w:tcPr>
          <w:p w14:paraId="28109812" w14:textId="77777777" w:rsidR="00F135DF" w:rsidRPr="000261B0" w:rsidRDefault="00F135DF" w:rsidP="00717C34">
            <w:pPr>
              <w:pStyle w:val="TableHeader"/>
              <w:cnfStyle w:val="100000000000" w:firstRow="1" w:lastRow="0" w:firstColumn="0" w:lastColumn="0" w:oddVBand="0" w:evenVBand="0" w:oddHBand="0" w:evenHBand="0" w:firstRowFirstColumn="0" w:firstRowLastColumn="0" w:lastRowFirstColumn="0" w:lastRowLastColumn="0"/>
              <w:rPr>
                <w:rFonts w:cs="Arial"/>
              </w:rPr>
            </w:pPr>
            <w:r>
              <w:rPr>
                <w:rFonts w:cs="Arial"/>
              </w:rPr>
              <w:t>Privacy by Design</w:t>
            </w:r>
          </w:p>
        </w:tc>
      </w:tr>
      <w:tr w:rsidR="00F135DF" w:rsidRPr="000261B0" w14:paraId="76B06684" w14:textId="77777777" w:rsidTr="00717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5983E908" w14:textId="77777777" w:rsidR="00F135DF" w:rsidRPr="003837AD" w:rsidRDefault="00F135DF" w:rsidP="00EE2273">
            <w:pPr>
              <w:keepNext/>
              <w:spacing w:before="120" w:after="120"/>
              <w:rPr>
                <w:sz w:val="20"/>
                <w:szCs w:val="20"/>
                <w:lang w:eastAsia="en-AU"/>
              </w:rPr>
            </w:pPr>
            <w:r w:rsidRPr="003837AD">
              <w:rPr>
                <w:sz w:val="20"/>
                <w:szCs w:val="20"/>
                <w:lang w:eastAsia="en-AU"/>
              </w:rPr>
              <w:t xml:space="preserve">We </w:t>
            </w:r>
            <w:r w:rsidRPr="003837AD">
              <w:rPr>
                <w:b/>
                <w:sz w:val="20"/>
                <w:szCs w:val="20"/>
                <w:lang w:eastAsia="en-AU"/>
              </w:rPr>
              <w:t>recommend</w:t>
            </w:r>
            <w:r w:rsidRPr="003837AD">
              <w:rPr>
                <w:sz w:val="20"/>
                <w:szCs w:val="20"/>
                <w:lang w:eastAsia="en-AU"/>
              </w:rPr>
              <w:t xml:space="preserve"> that Health continues to take a ‘privacy-by-design’ approach as the implementation of the Vaccine Strategy progresses, and ensure that:</w:t>
            </w:r>
          </w:p>
          <w:p w14:paraId="348FCC1F" w14:textId="77777777" w:rsidR="00F135DF" w:rsidRPr="003837AD" w:rsidRDefault="00F135DF" w:rsidP="00EE2273">
            <w:pPr>
              <w:keepNext/>
              <w:numPr>
                <w:ilvl w:val="0"/>
                <w:numId w:val="30"/>
              </w:numPr>
              <w:spacing w:before="120" w:after="120"/>
              <w:ind w:left="714" w:hanging="357"/>
              <w:rPr>
                <w:b/>
                <w:bCs/>
                <w:sz w:val="20"/>
                <w:szCs w:val="20"/>
              </w:rPr>
            </w:pPr>
            <w:r w:rsidRPr="003837AD">
              <w:rPr>
                <w:sz w:val="20"/>
                <w:szCs w:val="20"/>
              </w:rPr>
              <w:t>the privacy risks and issues discussed in this Stakeholder Consultation Document</w:t>
            </w:r>
            <w:r w:rsidRPr="003837AD" w:rsidDel="003D35A8">
              <w:rPr>
                <w:sz w:val="20"/>
                <w:szCs w:val="20"/>
              </w:rPr>
              <w:t xml:space="preserve"> </w:t>
            </w:r>
            <w:r w:rsidRPr="003837AD">
              <w:rPr>
                <w:sz w:val="20"/>
                <w:szCs w:val="20"/>
              </w:rPr>
              <w:t>are continually monitored and reviewed;</w:t>
            </w:r>
          </w:p>
          <w:p w14:paraId="0B96908A" w14:textId="77777777" w:rsidR="00F135DF" w:rsidRPr="003837AD" w:rsidRDefault="00F135DF" w:rsidP="00EE2273">
            <w:pPr>
              <w:keepNext/>
              <w:numPr>
                <w:ilvl w:val="0"/>
                <w:numId w:val="30"/>
              </w:numPr>
              <w:spacing w:before="120" w:after="120"/>
              <w:rPr>
                <w:b/>
                <w:bCs/>
                <w:sz w:val="20"/>
                <w:szCs w:val="20"/>
              </w:rPr>
            </w:pPr>
            <w:proofErr w:type="gramStart"/>
            <w:r w:rsidRPr="003837AD">
              <w:rPr>
                <w:sz w:val="20"/>
                <w:szCs w:val="20"/>
              </w:rPr>
              <w:t>the</w:t>
            </w:r>
            <w:proofErr w:type="gramEnd"/>
            <w:r w:rsidRPr="003837AD">
              <w:rPr>
                <w:sz w:val="20"/>
                <w:szCs w:val="20"/>
              </w:rPr>
              <w:t xml:space="preserve"> initial period of implementation with Partners (including any </w:t>
            </w:r>
            <w:r w:rsidRPr="003837AD">
              <w:rPr>
                <w:sz w:val="20"/>
                <w:szCs w:val="20"/>
              </w:rPr>
              <w:br/>
              <w:t>co-design activities), which we understand has been occurring in parallel with the PIA process, is used to further explore the identified Information Flows, and the associated handling of personal information. This should include clarifying responsibility for the de-identification of Vaccine Strategy Information in the EDW before it is extracted into the VDS, and determine that appropriate de-identification processes will be used (including by seeking appropriate technical advice as required); and</w:t>
            </w:r>
          </w:p>
          <w:p w14:paraId="2A33B85B" w14:textId="77777777" w:rsidR="00F135DF" w:rsidRPr="003837AD" w:rsidRDefault="00F135DF" w:rsidP="00EE2273">
            <w:pPr>
              <w:keepNext/>
              <w:numPr>
                <w:ilvl w:val="0"/>
                <w:numId w:val="30"/>
              </w:numPr>
              <w:spacing w:before="120" w:after="120"/>
              <w:rPr>
                <w:b/>
                <w:sz w:val="20"/>
                <w:szCs w:val="20"/>
              </w:rPr>
            </w:pPr>
            <w:r w:rsidRPr="003837AD">
              <w:rPr>
                <w:sz w:val="20"/>
                <w:szCs w:val="20"/>
              </w:rPr>
              <w:t>Health continues to seek and consider privacy advice as required. For example, if there are any changes to the types of Vaccine Strategy Information to be collected by an entity, Health should satisfy itself that each of the pieces of Vaccine Strategy Information that will be collected (particularly where that information will be subsequently collected by Health) will be reasonably necessary for, or directly related to, the functions and activities of the collecting entity in connection with the Vaccine Strategy. This will assist Health in complying with the data minimisation principle.</w:t>
            </w:r>
          </w:p>
          <w:p w14:paraId="1D3433B5" w14:textId="77777777" w:rsidR="00F135DF" w:rsidRPr="003837AD" w:rsidRDefault="00F135DF" w:rsidP="00EE2273">
            <w:pPr>
              <w:keepNext/>
              <w:spacing w:before="120" w:after="120"/>
              <w:rPr>
                <w:sz w:val="20"/>
                <w:szCs w:val="20"/>
              </w:rPr>
            </w:pPr>
            <w:r w:rsidRPr="003837AD">
              <w:rPr>
                <w:sz w:val="20"/>
                <w:szCs w:val="20"/>
              </w:rPr>
              <w:t xml:space="preserve">In addition, as implementation of the Vaccine Strategy further progresses, we </w:t>
            </w:r>
            <w:r w:rsidRPr="003837AD">
              <w:rPr>
                <w:b/>
                <w:sz w:val="20"/>
                <w:szCs w:val="20"/>
              </w:rPr>
              <w:t>recommend</w:t>
            </w:r>
            <w:r w:rsidRPr="003837AD">
              <w:rPr>
                <w:sz w:val="20"/>
                <w:szCs w:val="20"/>
              </w:rPr>
              <w:t xml:space="preserve"> that Health continue to review its Privacy Policy, to ensure that it reflects any new or changed handling of personal information by Health as a result of the Vaccine Strategy. If appropriate, Health could also consider developing and publishing a separate Privacy Policy specific to the handling of personal information in connection with the Vaccine Strategy.</w:t>
            </w:r>
          </w:p>
        </w:tc>
      </w:tr>
      <w:tr w:rsidR="00F135DF" w:rsidRPr="000261B0" w14:paraId="2F22B47B" w14:textId="77777777" w:rsidTr="00717C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6859C5E5" w14:textId="77777777" w:rsidR="00F135DF" w:rsidRPr="003837AD" w:rsidRDefault="00F135DF" w:rsidP="00B67D98">
            <w:pPr>
              <w:pStyle w:val="Tabletextleft"/>
              <w:rPr>
                <w:sz w:val="20"/>
                <w:szCs w:val="20"/>
              </w:rPr>
            </w:pPr>
            <w:r w:rsidRPr="003837AD">
              <w:rPr>
                <w:sz w:val="20"/>
                <w:szCs w:val="20"/>
              </w:rPr>
              <w:t>Response</w:t>
            </w:r>
          </w:p>
        </w:tc>
        <w:tc>
          <w:tcPr>
            <w:tcW w:w="6098" w:type="dxa"/>
          </w:tcPr>
          <w:p w14:paraId="3D4E8965" w14:textId="6ADD2167" w:rsidR="00B6722E" w:rsidRDefault="00F135DF" w:rsidP="00B6722E">
            <w:pPr>
              <w:pStyle w:val="CommentText"/>
              <w:cnfStyle w:val="000000010000" w:firstRow="0" w:lastRow="0" w:firstColumn="0" w:lastColumn="0" w:oddVBand="0" w:evenVBand="0" w:oddHBand="0" w:evenHBand="1" w:firstRowFirstColumn="0" w:firstRowLastColumn="0" w:lastRowFirstColumn="0" w:lastRowLastColumn="0"/>
            </w:pPr>
            <w:r w:rsidRPr="003837AD">
              <w:t>Agree</w:t>
            </w:r>
            <w:r w:rsidR="001A6B4F" w:rsidRPr="003837AD">
              <w:t>d</w:t>
            </w:r>
            <w:r w:rsidRPr="003837AD">
              <w:t xml:space="preserve">. </w:t>
            </w:r>
            <w:r w:rsidR="00E35CF2" w:rsidRPr="003837AD">
              <w:t xml:space="preserve">The rollout of the </w:t>
            </w:r>
            <w:r w:rsidR="00F83D0E" w:rsidRPr="003837AD">
              <w:t xml:space="preserve">COVID-19 </w:t>
            </w:r>
            <w:r w:rsidR="00E35CF2" w:rsidRPr="003837AD">
              <w:t xml:space="preserve">vaccine is a national priority and </w:t>
            </w:r>
            <w:r w:rsidR="001A6B4F" w:rsidRPr="003837AD">
              <w:t xml:space="preserve">Health </w:t>
            </w:r>
            <w:r w:rsidR="00D245E2" w:rsidRPr="003837AD">
              <w:t>is taking</w:t>
            </w:r>
            <w:r w:rsidR="001A6B4F" w:rsidRPr="003837AD">
              <w:t xml:space="preserve"> a ‘privacy by design’ approach in implementing the </w:t>
            </w:r>
            <w:r w:rsidR="002E7F57">
              <w:t xml:space="preserve">Vaccine </w:t>
            </w:r>
            <w:r w:rsidR="001A6B4F" w:rsidRPr="003837AD">
              <w:t>Strategy</w:t>
            </w:r>
            <w:r w:rsidR="00214E86" w:rsidRPr="003837AD">
              <w:t xml:space="preserve">. </w:t>
            </w:r>
            <w:r w:rsidR="00957782" w:rsidRPr="003837AD">
              <w:t>Health understands that there may be privacy concerns in relation to the rollout and will continually monitor privacy risks to ensure they are mitigated appropriately.</w:t>
            </w:r>
          </w:p>
          <w:p w14:paraId="40575FE2" w14:textId="77777777" w:rsidR="00913081" w:rsidRPr="003837AD" w:rsidRDefault="00913081" w:rsidP="00B6722E">
            <w:pPr>
              <w:pStyle w:val="CommentText"/>
              <w:cnfStyle w:val="000000010000" w:firstRow="0" w:lastRow="0" w:firstColumn="0" w:lastColumn="0" w:oddVBand="0" w:evenVBand="0" w:oddHBand="0" w:evenHBand="1" w:firstRowFirstColumn="0" w:firstRowLastColumn="0" w:lastRowFirstColumn="0" w:lastRowLastColumn="0"/>
            </w:pPr>
          </w:p>
          <w:p w14:paraId="153873CF" w14:textId="0F26FFA0" w:rsidR="00526951" w:rsidRDefault="00526951" w:rsidP="00526951">
            <w:pPr>
              <w:pStyle w:val="Tabletextleft"/>
              <w:cnfStyle w:val="000000010000" w:firstRow="0" w:lastRow="0" w:firstColumn="0" w:lastColumn="0" w:oddVBand="0" w:evenVBand="0" w:oddHBand="0" w:evenHBand="1" w:firstRowFirstColumn="0" w:firstRowLastColumn="0" w:lastRowFirstColumn="0" w:lastRowLastColumn="0"/>
              <w:rPr>
                <w:sz w:val="20"/>
                <w:szCs w:val="20"/>
              </w:rPr>
            </w:pPr>
            <w:r w:rsidRPr="003837AD">
              <w:rPr>
                <w:sz w:val="20"/>
                <w:szCs w:val="20"/>
              </w:rPr>
              <w:t xml:space="preserve">Collection of data is important to facilitate the rollout, manage supplies and reduce wastage. The provider and patient information </w:t>
            </w:r>
            <w:r>
              <w:rPr>
                <w:sz w:val="20"/>
                <w:szCs w:val="20"/>
              </w:rPr>
              <w:t xml:space="preserve">required to be </w:t>
            </w:r>
            <w:r w:rsidRPr="003837AD">
              <w:rPr>
                <w:sz w:val="20"/>
                <w:szCs w:val="20"/>
              </w:rPr>
              <w:t>collected for the vaccine is consistent with information currently collected within the Australian Immunisation Register</w:t>
            </w:r>
            <w:r>
              <w:rPr>
                <w:sz w:val="20"/>
                <w:szCs w:val="20"/>
              </w:rPr>
              <w:t xml:space="preserve"> (AIR)</w:t>
            </w:r>
            <w:r w:rsidRPr="003837AD">
              <w:rPr>
                <w:sz w:val="20"/>
                <w:szCs w:val="20"/>
              </w:rPr>
              <w:t>. Other information on logistics collected is essential for informing the reporting on the ordering and tracking of the vaccines.</w:t>
            </w:r>
          </w:p>
          <w:p w14:paraId="662963EE" w14:textId="77777777" w:rsidR="00526951" w:rsidRPr="003837AD" w:rsidRDefault="00526951" w:rsidP="00526951">
            <w:pPr>
              <w:pStyle w:val="Tabletextleft"/>
              <w:cnfStyle w:val="000000010000" w:firstRow="0" w:lastRow="0" w:firstColumn="0" w:lastColumn="0" w:oddVBand="0" w:evenVBand="0" w:oddHBand="0" w:evenHBand="1" w:firstRowFirstColumn="0" w:firstRowLastColumn="0" w:lastRowFirstColumn="0" w:lastRowLastColumn="0"/>
              <w:rPr>
                <w:sz w:val="20"/>
                <w:szCs w:val="20"/>
              </w:rPr>
            </w:pPr>
          </w:p>
          <w:p w14:paraId="5A3950C2" w14:textId="42BC5CD3" w:rsidR="00B6722E" w:rsidRDefault="00EB3595" w:rsidP="00B6722E">
            <w:pPr>
              <w:pStyle w:val="CommentText"/>
              <w:cnfStyle w:val="000000010000" w:firstRow="0" w:lastRow="0" w:firstColumn="0" w:lastColumn="0" w:oddVBand="0" w:evenVBand="0" w:oddHBand="0" w:evenHBand="1" w:firstRowFirstColumn="0" w:firstRowLastColumn="0" w:lastRowFirstColumn="0" w:lastRowLastColumn="0"/>
            </w:pPr>
            <w:r w:rsidRPr="003837AD">
              <w:t xml:space="preserve">Health will </w:t>
            </w:r>
            <w:r>
              <w:t>lever</w:t>
            </w:r>
            <w:r w:rsidR="0044109C">
              <w:t>a</w:t>
            </w:r>
            <w:r>
              <w:t>ge</w:t>
            </w:r>
            <w:r w:rsidRPr="003837AD">
              <w:t xml:space="preserve"> existing robust controls in place for de-identifying information in its Enterprise Data Warehouse (EDW), that is, the data repository that will be holding vaccine </w:t>
            </w:r>
            <w:r>
              <w:t>administration</w:t>
            </w:r>
            <w:r w:rsidRPr="003837AD">
              <w:t xml:space="preserve">, before </w:t>
            </w:r>
            <w:r w:rsidR="00BA7429">
              <w:t>de-identified data is transferred</w:t>
            </w:r>
            <w:r w:rsidRPr="003837AD">
              <w:t xml:space="preserve"> to other platforms (such as the Vaccines Data Solution (VDS)).  </w:t>
            </w:r>
          </w:p>
          <w:p w14:paraId="78F6F376" w14:textId="77777777" w:rsidR="00EB3595" w:rsidRPr="003837AD" w:rsidRDefault="00EB3595" w:rsidP="00B6722E">
            <w:pPr>
              <w:pStyle w:val="CommentText"/>
              <w:cnfStyle w:val="000000010000" w:firstRow="0" w:lastRow="0" w:firstColumn="0" w:lastColumn="0" w:oddVBand="0" w:evenVBand="0" w:oddHBand="0" w:evenHBand="1" w:firstRowFirstColumn="0" w:firstRowLastColumn="0" w:lastRowFirstColumn="0" w:lastRowLastColumn="0"/>
            </w:pPr>
          </w:p>
          <w:p w14:paraId="0D7C15F2" w14:textId="2480C739" w:rsidR="00E35CF2" w:rsidRPr="003837AD" w:rsidRDefault="00957782" w:rsidP="00B6722E">
            <w:pPr>
              <w:pStyle w:val="CommentText"/>
              <w:cnfStyle w:val="000000010000" w:firstRow="0" w:lastRow="0" w:firstColumn="0" w:lastColumn="0" w:oddVBand="0" w:evenVBand="0" w:oddHBand="0" w:evenHBand="1" w:firstRowFirstColumn="0" w:firstRowLastColumn="0" w:lastRowFirstColumn="0" w:lastRowLastColumn="0"/>
            </w:pPr>
            <w:r w:rsidRPr="003837AD">
              <w:t xml:space="preserve">Additionally, </w:t>
            </w:r>
            <w:r w:rsidRPr="003837AD">
              <w:rPr>
                <w:rFonts w:cs="Arial"/>
                <w:color w:val="000000"/>
              </w:rPr>
              <w:t xml:space="preserve">Health’s </w:t>
            </w:r>
            <w:r w:rsidR="00214E86" w:rsidRPr="003837AD">
              <w:rPr>
                <w:rFonts w:cs="Arial"/>
                <w:color w:val="000000"/>
              </w:rPr>
              <w:t xml:space="preserve">information </w:t>
            </w:r>
            <w:r w:rsidRPr="003837AD">
              <w:rPr>
                <w:rFonts w:cs="Arial"/>
                <w:color w:val="000000"/>
              </w:rPr>
              <w:t xml:space="preserve">security policies and frameworks are designed to provide a secure operating environment that enables the department to achieve its business objectives </w:t>
            </w:r>
            <w:r w:rsidR="009C2498">
              <w:rPr>
                <w:rFonts w:cs="Arial"/>
                <w:color w:val="000000"/>
              </w:rPr>
              <w:t xml:space="preserve">while maintaining its obligations under the </w:t>
            </w:r>
            <w:r w:rsidR="009C2498" w:rsidRPr="009C2498">
              <w:rPr>
                <w:rFonts w:cs="Arial"/>
                <w:i/>
                <w:color w:val="000000"/>
              </w:rPr>
              <w:t>Privacy Act 1988</w:t>
            </w:r>
            <w:r w:rsidR="009C2498">
              <w:rPr>
                <w:rFonts w:cs="Arial"/>
                <w:color w:val="000000"/>
              </w:rPr>
              <w:t xml:space="preserve"> (</w:t>
            </w:r>
            <w:proofErr w:type="spellStart"/>
            <w:r w:rsidR="009C2498">
              <w:rPr>
                <w:rFonts w:cs="Arial"/>
                <w:color w:val="000000"/>
              </w:rPr>
              <w:t>Cth</w:t>
            </w:r>
            <w:proofErr w:type="spellEnd"/>
            <w:r w:rsidR="009C2498">
              <w:rPr>
                <w:rFonts w:cs="Arial"/>
                <w:color w:val="000000"/>
              </w:rPr>
              <w:t>) (Privacy Act).</w:t>
            </w:r>
          </w:p>
          <w:p w14:paraId="1B396B74" w14:textId="77777777" w:rsidR="00B6722E" w:rsidRPr="003837AD" w:rsidRDefault="00B6722E" w:rsidP="00B67D98">
            <w:pPr>
              <w:pStyle w:val="Tabletextleft"/>
              <w:cnfStyle w:val="000000010000" w:firstRow="0" w:lastRow="0" w:firstColumn="0" w:lastColumn="0" w:oddVBand="0" w:evenVBand="0" w:oddHBand="0" w:evenHBand="1" w:firstRowFirstColumn="0" w:firstRowLastColumn="0" w:lastRowFirstColumn="0" w:lastRowLastColumn="0"/>
              <w:rPr>
                <w:sz w:val="20"/>
                <w:szCs w:val="20"/>
              </w:rPr>
            </w:pPr>
          </w:p>
          <w:p w14:paraId="6B808762" w14:textId="77777777" w:rsidR="00A44F21" w:rsidRDefault="00A44F21" w:rsidP="00EE2273">
            <w:pPr>
              <w:pStyle w:val="CommentText"/>
              <w:cnfStyle w:val="000000010000" w:firstRow="0" w:lastRow="0" w:firstColumn="0" w:lastColumn="0" w:oddVBand="0" w:evenVBand="0" w:oddHBand="0" w:evenHBand="1" w:firstRowFirstColumn="0" w:firstRowLastColumn="0" w:lastRowFirstColumn="0" w:lastRowLastColumn="0"/>
            </w:pPr>
          </w:p>
          <w:p w14:paraId="37CA1511" w14:textId="7F251F4D" w:rsidR="00A44F21" w:rsidRDefault="00A44F21" w:rsidP="00875E05">
            <w:pPr>
              <w:pStyle w:val="CommentText"/>
              <w:cnfStyle w:val="000000010000" w:firstRow="0" w:lastRow="0" w:firstColumn="0" w:lastColumn="0" w:oddVBand="0" w:evenVBand="0" w:oddHBand="0" w:evenHBand="1" w:firstRowFirstColumn="0" w:firstRowLastColumn="0" w:lastRowFirstColumn="0" w:lastRowLastColumn="0"/>
            </w:pPr>
            <w:r>
              <w:t>As recommended, Health</w:t>
            </w:r>
            <w:r w:rsidR="00506A2B">
              <w:t xml:space="preserve"> will implement a range of privacy protections prior to phase 1a commencing. These include publi</w:t>
            </w:r>
            <w:r w:rsidR="00875E05">
              <w:t>shing</w:t>
            </w:r>
            <w:r w:rsidR="00506A2B">
              <w:t xml:space="preserve"> </w:t>
            </w:r>
            <w:r w:rsidR="00875E05">
              <w:t>key section</w:t>
            </w:r>
            <w:r w:rsidR="00EE6389">
              <w:t>s</w:t>
            </w:r>
            <w:r w:rsidR="00875E05">
              <w:t xml:space="preserve"> of </w:t>
            </w:r>
            <w:r w:rsidR="00952045">
              <w:t>the PIA, this response,</w:t>
            </w:r>
            <w:r w:rsidR="00506A2B">
              <w:t xml:space="preserve"> and a targeted </w:t>
            </w:r>
            <w:hyperlink r:id="rId12" w:history="1">
              <w:r w:rsidR="00506A2B" w:rsidRPr="00952045">
                <w:rPr>
                  <w:rStyle w:val="Hyperlink"/>
                </w:rPr>
                <w:t>Privacy Notice</w:t>
              </w:r>
            </w:hyperlink>
            <w:r w:rsidR="00506A2B">
              <w:t xml:space="preserve"> outlining handling of personal information for </w:t>
            </w:r>
            <w:r w:rsidR="00913081">
              <w:t>anyone receiving a COVID-19 vaccine</w:t>
            </w:r>
            <w:r>
              <w:t xml:space="preserve">. </w:t>
            </w:r>
            <w:r w:rsidR="00506A2B">
              <w:t>Health has committed to reviewing and updating its public privacy information in conjunction with future phases.</w:t>
            </w:r>
            <w:r w:rsidR="00D865E8">
              <w:t xml:space="preserve"> Our approach to prioritizing privacy is also demonstrated by </w:t>
            </w:r>
            <w:r w:rsidR="00AF2926">
              <w:t xml:space="preserve">the </w:t>
            </w:r>
            <w:r w:rsidR="007D2673">
              <w:t xml:space="preserve">imminent </w:t>
            </w:r>
            <w:r w:rsidR="00AF2926">
              <w:t>publi</w:t>
            </w:r>
            <w:r w:rsidR="007D2673">
              <w:t>cation</w:t>
            </w:r>
            <w:r w:rsidR="00AF2926">
              <w:t xml:space="preserve"> of </w:t>
            </w:r>
            <w:r w:rsidR="007D2673">
              <w:t xml:space="preserve">key elements of </w:t>
            </w:r>
            <w:r w:rsidR="00AF2926">
              <w:t xml:space="preserve">a PIA that reviewed privacy impacts of the </w:t>
            </w:r>
            <w:r w:rsidR="00AF2926" w:rsidRPr="00EE6389">
              <w:rPr>
                <w:i/>
              </w:rPr>
              <w:t>Australian Immunisation Register Amendment (Reporting) Act 2021</w:t>
            </w:r>
            <w:r w:rsidR="007D2673">
              <w:t>.</w:t>
            </w:r>
            <w:r w:rsidR="00AF2926">
              <w:t xml:space="preserve"> </w:t>
            </w:r>
            <w:r w:rsidR="007D2673">
              <w:t xml:space="preserve">Health also </w:t>
            </w:r>
            <w:r w:rsidR="00AF2926">
              <w:t>inten</w:t>
            </w:r>
            <w:r w:rsidR="007D2673">
              <w:t>ds</w:t>
            </w:r>
            <w:r w:rsidR="00AF2926">
              <w:t xml:space="preserve"> to publish a privacy policy aimed for individuals whose information is uploaded onto the Australian Immunisation Regist</w:t>
            </w:r>
            <w:r w:rsidR="00EA26BB">
              <w:t>er</w:t>
            </w:r>
            <w:r w:rsidR="00AF2926">
              <w:t>.</w:t>
            </w:r>
          </w:p>
          <w:p w14:paraId="494A05EC" w14:textId="203330E2" w:rsidR="00A44F21" w:rsidRDefault="00A44F21" w:rsidP="00EE2273">
            <w:pPr>
              <w:pStyle w:val="CommentText"/>
              <w:cnfStyle w:val="000000010000" w:firstRow="0" w:lastRow="0" w:firstColumn="0" w:lastColumn="0" w:oddVBand="0" w:evenVBand="0" w:oddHBand="0" w:evenHBand="1" w:firstRowFirstColumn="0" w:firstRowLastColumn="0" w:lastRowFirstColumn="0" w:lastRowLastColumn="0"/>
            </w:pPr>
          </w:p>
          <w:p w14:paraId="65EF79DB" w14:textId="03E8B0C9" w:rsidR="00F135DF" w:rsidRPr="003837AD" w:rsidRDefault="001A6B4F" w:rsidP="00EE2273">
            <w:pPr>
              <w:pStyle w:val="CommentText"/>
              <w:cnfStyle w:val="000000010000" w:firstRow="0" w:lastRow="0" w:firstColumn="0" w:lastColumn="0" w:oddVBand="0" w:evenVBand="0" w:oddHBand="0" w:evenHBand="1" w:firstRowFirstColumn="0" w:firstRowLastColumn="0" w:lastRowFirstColumn="0" w:lastRowLastColumn="0"/>
            </w:pPr>
            <w:r w:rsidRPr="003837AD">
              <w:t>Further updates to th</w:t>
            </w:r>
            <w:r w:rsidR="007D2673">
              <w:t>e Vaccine Strategy</w:t>
            </w:r>
            <w:r w:rsidRPr="003837AD">
              <w:t xml:space="preserve"> PIA </w:t>
            </w:r>
            <w:r w:rsidR="00A25BE7">
              <w:t xml:space="preserve">Summary </w:t>
            </w:r>
            <w:r w:rsidR="00A44F21">
              <w:t xml:space="preserve">and additional Privacy Notices </w:t>
            </w:r>
            <w:r w:rsidR="00EE2273">
              <w:t>will be published</w:t>
            </w:r>
            <w:r w:rsidRPr="003837AD">
              <w:t xml:space="preserve"> in conjunction with </w:t>
            </w:r>
            <w:r w:rsidR="00214E86" w:rsidRPr="003837AD">
              <w:t>future</w:t>
            </w:r>
            <w:r w:rsidRPr="003837AD">
              <w:t xml:space="preserve"> phases of the rollout.</w:t>
            </w:r>
          </w:p>
        </w:tc>
      </w:tr>
    </w:tbl>
    <w:p w14:paraId="4FB95F55" w14:textId="71037D45" w:rsidR="00F135DF" w:rsidRPr="000261B0" w:rsidRDefault="00F135DF" w:rsidP="00062223">
      <w:pPr>
        <w:pStyle w:val="Paragraphtext"/>
        <w:rPr>
          <w:rFonts w:cs="Arial"/>
        </w:rPr>
      </w:pPr>
    </w:p>
    <w:tbl>
      <w:tblPr>
        <w:tblStyle w:val="DepartmentofHealthtable"/>
        <w:tblW w:w="0" w:type="auto"/>
        <w:tblLayout w:type="fixed"/>
        <w:tblLook w:val="04A0" w:firstRow="1" w:lastRow="0" w:firstColumn="1" w:lastColumn="0" w:noHBand="0" w:noVBand="1"/>
        <w:tblDescription w:val="&quot;&quot;"/>
      </w:tblPr>
      <w:tblGrid>
        <w:gridCol w:w="2407"/>
        <w:gridCol w:w="6098"/>
      </w:tblGrid>
      <w:tr w:rsidR="00062223" w:rsidRPr="000261B0" w14:paraId="56B4F611" w14:textId="77777777" w:rsidTr="00D81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tcPr>
          <w:p w14:paraId="115A1990" w14:textId="77777777" w:rsidR="00062223" w:rsidRPr="000261B0" w:rsidRDefault="00D21770" w:rsidP="00214E86">
            <w:pPr>
              <w:pStyle w:val="TableHeaderWhite"/>
              <w:rPr>
                <w:rFonts w:cs="Arial"/>
              </w:rPr>
            </w:pPr>
            <w:proofErr w:type="spellStart"/>
            <w:r w:rsidRPr="000261B0">
              <w:rPr>
                <w:rFonts w:cs="Arial"/>
              </w:rPr>
              <w:t>Maddocks</w:t>
            </w:r>
            <w:proofErr w:type="spellEnd"/>
            <w:r w:rsidRPr="000261B0">
              <w:rPr>
                <w:rFonts w:cs="Arial"/>
              </w:rPr>
              <w:t xml:space="preserve"> </w:t>
            </w:r>
            <w:r w:rsidR="00062223" w:rsidRPr="000261B0">
              <w:rPr>
                <w:rFonts w:cs="Arial"/>
              </w:rPr>
              <w:t xml:space="preserve">Recommendation 2: </w:t>
            </w:r>
          </w:p>
        </w:tc>
        <w:tc>
          <w:tcPr>
            <w:tcW w:w="6098" w:type="dxa"/>
          </w:tcPr>
          <w:p w14:paraId="489351C6" w14:textId="69AB43ED" w:rsidR="00062223" w:rsidRPr="000261B0" w:rsidRDefault="003928B8" w:rsidP="00214E86">
            <w:pPr>
              <w:pStyle w:val="TableHeader"/>
              <w:cnfStyle w:val="100000000000" w:firstRow="1" w:lastRow="0" w:firstColumn="0" w:lastColumn="0" w:oddVBand="0" w:evenVBand="0" w:oddHBand="0" w:evenHBand="0" w:firstRowFirstColumn="0" w:firstRowLastColumn="0" w:lastRowFirstColumn="0" w:lastRowLastColumn="0"/>
              <w:rPr>
                <w:rFonts w:cs="Arial"/>
              </w:rPr>
            </w:pPr>
            <w:bookmarkStart w:id="0" w:name="_Ref58258828"/>
            <w:r w:rsidRPr="00877D88">
              <w:rPr>
                <w:bCs/>
              </w:rPr>
              <w:t>Develop a communication strategy</w:t>
            </w:r>
            <w:bookmarkEnd w:id="0"/>
          </w:p>
        </w:tc>
      </w:tr>
      <w:tr w:rsidR="00062223" w:rsidRPr="000261B0" w14:paraId="4ADCAA72" w14:textId="77777777" w:rsidTr="009670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tcPr>
          <w:p w14:paraId="063ECDAB" w14:textId="77777777" w:rsidR="004535E5" w:rsidRPr="004535E5" w:rsidRDefault="004535E5" w:rsidP="004535E5">
            <w:pPr>
              <w:spacing w:before="120" w:after="120"/>
              <w:rPr>
                <w:rFonts w:eastAsia="Calibri Light" w:cs="Arial"/>
                <w:bCs/>
                <w:color w:val="auto"/>
                <w:sz w:val="20"/>
                <w:szCs w:val="20"/>
                <w:lang w:eastAsia="en-AU"/>
              </w:rPr>
            </w:pPr>
            <w:r w:rsidRPr="004535E5">
              <w:rPr>
                <w:rFonts w:eastAsia="Calibri Light" w:cs="Arial"/>
                <w:bCs/>
                <w:color w:val="auto"/>
                <w:sz w:val="20"/>
                <w:szCs w:val="20"/>
                <w:lang w:eastAsia="en-AU"/>
              </w:rPr>
              <w:t xml:space="preserve">We </w:t>
            </w:r>
            <w:r w:rsidRPr="004535E5">
              <w:rPr>
                <w:rFonts w:eastAsia="Calibri Light" w:cs="Arial"/>
                <w:b/>
                <w:color w:val="auto"/>
                <w:sz w:val="20"/>
                <w:szCs w:val="20"/>
                <w:lang w:eastAsia="en-AU"/>
              </w:rPr>
              <w:t>recommend</w:t>
            </w:r>
            <w:r w:rsidRPr="004535E5">
              <w:rPr>
                <w:rFonts w:eastAsia="Calibri Light" w:cs="Arial"/>
                <w:bCs/>
                <w:color w:val="auto"/>
                <w:sz w:val="20"/>
                <w:szCs w:val="20"/>
                <w:lang w:eastAsia="en-AU"/>
              </w:rPr>
              <w:t xml:space="preserve"> that Health ensure that is has developed a broad public communication strategy which details how Vaccine Strategy Information will be handled, and how the privacy of Patients and other individuals will be protected. Such a strategy could include:</w:t>
            </w:r>
          </w:p>
          <w:p w14:paraId="3264D990" w14:textId="77777777" w:rsidR="004535E5" w:rsidRPr="004535E5" w:rsidRDefault="004535E5" w:rsidP="004535E5">
            <w:pPr>
              <w:numPr>
                <w:ilvl w:val="0"/>
                <w:numId w:val="30"/>
              </w:numPr>
              <w:spacing w:before="120" w:after="120"/>
              <w:rPr>
                <w:rFonts w:eastAsia="Calibri Light" w:cs="Arial"/>
                <w:bCs/>
                <w:color w:val="auto"/>
                <w:sz w:val="20"/>
                <w:szCs w:val="20"/>
                <w:lang w:eastAsia="en-AU"/>
              </w:rPr>
            </w:pPr>
            <w:r w:rsidRPr="004535E5">
              <w:rPr>
                <w:rFonts w:eastAsia="Calibri Light" w:cs="Arial"/>
                <w:bCs/>
                <w:color w:val="auto"/>
                <w:sz w:val="20"/>
                <w:szCs w:val="20"/>
                <w:lang w:eastAsia="en-AU"/>
              </w:rPr>
              <w:t>relevant information being made publicly available on Health’s website, which clearly explains the different Information Flows, the entities that will be handling personal information as part of those Information Flows, and the privacy protections that are in place (which could include a copy of the finalised PIA report, or an appropriate summary);</w:t>
            </w:r>
          </w:p>
          <w:p w14:paraId="61FB24E1" w14:textId="7FCA8083" w:rsidR="004535E5" w:rsidRPr="004535E5" w:rsidRDefault="004535E5" w:rsidP="004535E5">
            <w:pPr>
              <w:numPr>
                <w:ilvl w:val="0"/>
                <w:numId w:val="30"/>
              </w:numPr>
              <w:spacing w:before="120" w:after="120"/>
              <w:rPr>
                <w:rFonts w:eastAsia="Calibri Light" w:cs="Arial"/>
                <w:bCs/>
                <w:color w:val="auto"/>
                <w:sz w:val="20"/>
                <w:szCs w:val="20"/>
                <w:lang w:eastAsia="en-AU"/>
              </w:rPr>
            </w:pPr>
            <w:proofErr w:type="gramStart"/>
            <w:r w:rsidRPr="004535E5">
              <w:rPr>
                <w:rFonts w:eastAsia="Calibri Light" w:cs="Arial"/>
                <w:bCs/>
                <w:color w:val="auto"/>
                <w:sz w:val="20"/>
                <w:szCs w:val="20"/>
                <w:lang w:eastAsia="en-AU"/>
              </w:rPr>
              <w:t>distribution</w:t>
            </w:r>
            <w:proofErr w:type="gramEnd"/>
            <w:r w:rsidRPr="004535E5">
              <w:rPr>
                <w:rFonts w:eastAsia="Calibri Light" w:cs="Arial"/>
                <w:bCs/>
                <w:color w:val="auto"/>
                <w:sz w:val="20"/>
                <w:szCs w:val="20"/>
                <w:lang w:eastAsia="en-AU"/>
              </w:rPr>
              <w:t xml:space="preserve"> of training or guidance material (for example, a ‘privacy hand out’) for entities participating in the Vaccine Strategy, which reminds them of their privacy obligations</w:t>
            </w:r>
            <w:r w:rsidR="006F16AE">
              <w:rPr>
                <w:rFonts w:eastAsia="Calibri Light" w:cs="Arial"/>
                <w:bCs/>
                <w:color w:val="auto"/>
                <w:sz w:val="20"/>
                <w:szCs w:val="20"/>
                <w:lang w:eastAsia="en-AU"/>
              </w:rPr>
              <w:t xml:space="preserve"> and </w:t>
            </w:r>
            <w:r w:rsidR="00EE6389">
              <w:rPr>
                <w:rFonts w:eastAsia="Calibri Light" w:cs="Arial"/>
                <w:bCs/>
                <w:color w:val="auto"/>
                <w:sz w:val="20"/>
                <w:szCs w:val="20"/>
                <w:lang w:eastAsia="en-AU"/>
              </w:rPr>
              <w:t xml:space="preserve">privacy </w:t>
            </w:r>
            <w:r w:rsidR="006F16AE">
              <w:rPr>
                <w:rFonts w:eastAsia="Calibri Light" w:cs="Arial"/>
                <w:bCs/>
                <w:color w:val="auto"/>
                <w:sz w:val="20"/>
                <w:szCs w:val="20"/>
                <w:lang w:eastAsia="en-AU"/>
              </w:rPr>
              <w:t>best practice</w:t>
            </w:r>
            <w:r w:rsidRPr="004535E5">
              <w:rPr>
                <w:rFonts w:eastAsia="Calibri Light" w:cs="Arial"/>
                <w:bCs/>
                <w:color w:val="auto"/>
                <w:sz w:val="20"/>
                <w:szCs w:val="20"/>
                <w:lang w:eastAsia="en-AU"/>
              </w:rPr>
              <w:t xml:space="preserve">. We recognise that the level of detail may vary depending on the nature and identity of the entity (for example, Health could reasonably expect general practices to have a good understanding of their privacy and professional medical obligations). Such material could outline: </w:t>
            </w:r>
          </w:p>
          <w:p w14:paraId="7AC2B516" w14:textId="77777777" w:rsidR="004535E5" w:rsidRPr="00967062" w:rsidRDefault="004535E5" w:rsidP="004535E5">
            <w:pPr>
              <w:numPr>
                <w:ilvl w:val="1"/>
                <w:numId w:val="32"/>
              </w:numPr>
              <w:spacing w:before="120" w:after="120"/>
              <w:rPr>
                <w:rFonts w:eastAsia="Calibri Light" w:cs="Arial"/>
                <w:bCs/>
                <w:color w:val="auto"/>
                <w:sz w:val="20"/>
                <w:szCs w:val="20"/>
                <w:lang w:eastAsia="en-AU"/>
              </w:rPr>
            </w:pPr>
            <w:r w:rsidRPr="004535E5">
              <w:rPr>
                <w:rFonts w:eastAsia="Calibri Light" w:cs="Arial"/>
                <w:bCs/>
                <w:color w:val="auto"/>
                <w:sz w:val="20"/>
                <w:szCs w:val="20"/>
                <w:lang w:eastAsia="en-AU"/>
              </w:rPr>
              <w:t xml:space="preserve">Health’s expectations about the handling of personal information, including </w:t>
            </w:r>
            <w:r w:rsidRPr="00967062">
              <w:rPr>
                <w:rFonts w:eastAsia="Calibri Light" w:cs="Arial"/>
                <w:bCs/>
                <w:color w:val="auto"/>
                <w:sz w:val="20"/>
                <w:szCs w:val="20"/>
                <w:lang w:eastAsia="en-AU"/>
              </w:rPr>
              <w:t xml:space="preserve">when Collection Notices are to be provided to the relevant individuals; </w:t>
            </w:r>
          </w:p>
          <w:p w14:paraId="1AA9F5AB" w14:textId="77777777" w:rsidR="004535E5" w:rsidRPr="00967062" w:rsidRDefault="004535E5" w:rsidP="004535E5">
            <w:pPr>
              <w:numPr>
                <w:ilvl w:val="1"/>
                <w:numId w:val="32"/>
              </w:numPr>
              <w:spacing w:before="120" w:after="120"/>
              <w:rPr>
                <w:rFonts w:eastAsia="Calibri Light" w:cs="Arial"/>
                <w:bCs/>
                <w:color w:val="auto"/>
                <w:sz w:val="20"/>
                <w:szCs w:val="20"/>
                <w:lang w:eastAsia="en-AU"/>
              </w:rPr>
            </w:pPr>
            <w:r w:rsidRPr="00967062">
              <w:rPr>
                <w:rFonts w:eastAsia="Calibri Light" w:cs="Arial"/>
                <w:bCs/>
                <w:color w:val="auto"/>
                <w:sz w:val="20"/>
                <w:szCs w:val="20"/>
                <w:lang w:eastAsia="en-AU"/>
              </w:rPr>
              <w:t>that Vaccine Providers should only collect the minimum amount of Patient Information necessary to administer the vaccine (i.e. in accordance with the data minimisation principle); and</w:t>
            </w:r>
          </w:p>
          <w:p w14:paraId="05427186" w14:textId="77777777" w:rsidR="004535E5" w:rsidRPr="00967062" w:rsidRDefault="004535E5" w:rsidP="004535E5">
            <w:pPr>
              <w:numPr>
                <w:ilvl w:val="1"/>
                <w:numId w:val="32"/>
              </w:numPr>
              <w:spacing w:before="120" w:after="120"/>
              <w:rPr>
                <w:rFonts w:eastAsia="Calibri Light" w:cs="Arial"/>
                <w:bCs/>
                <w:color w:val="auto"/>
                <w:sz w:val="20"/>
                <w:szCs w:val="20"/>
                <w:lang w:eastAsia="en-AU"/>
              </w:rPr>
            </w:pPr>
            <w:r w:rsidRPr="00967062">
              <w:rPr>
                <w:rFonts w:eastAsia="Calibri Light" w:cs="Arial"/>
                <w:bCs/>
                <w:color w:val="auto"/>
                <w:sz w:val="20"/>
                <w:szCs w:val="20"/>
                <w:lang w:eastAsia="en-AU"/>
              </w:rPr>
              <w:t>that each entity should review its Privacy Policy and other publicly available information (e.g. on the entity’s website), to ensure that it accurately reflects any handling of personal information in connection with the Vaccine Strategy; and</w:t>
            </w:r>
          </w:p>
          <w:p w14:paraId="6F37CDBC" w14:textId="6109D155" w:rsidR="009E1A42" w:rsidRPr="00967062" w:rsidRDefault="004535E5" w:rsidP="00967062">
            <w:pPr>
              <w:numPr>
                <w:ilvl w:val="0"/>
                <w:numId w:val="30"/>
              </w:numPr>
              <w:spacing w:before="120" w:after="120"/>
              <w:rPr>
                <w:bCs/>
                <w:sz w:val="20"/>
                <w:szCs w:val="20"/>
              </w:rPr>
            </w:pPr>
            <w:proofErr w:type="gramStart"/>
            <w:r w:rsidRPr="00967062">
              <w:rPr>
                <w:rFonts w:eastAsia="Calibri Light" w:cs="Arial"/>
                <w:bCs/>
                <w:color w:val="auto"/>
                <w:sz w:val="20"/>
                <w:szCs w:val="20"/>
                <w:lang w:eastAsia="en-AU"/>
              </w:rPr>
              <w:t>taking</w:t>
            </w:r>
            <w:proofErr w:type="gramEnd"/>
            <w:r w:rsidRPr="00967062">
              <w:rPr>
                <w:rFonts w:eastAsia="Calibri Light" w:cs="Arial"/>
                <w:bCs/>
                <w:color w:val="auto"/>
                <w:sz w:val="20"/>
                <w:szCs w:val="20"/>
                <w:lang w:eastAsia="en-AU"/>
              </w:rPr>
              <w:t xml:space="preserve"> steps to ensure that Patients, and other individuals, are made aware of how their Vaccine Strategy Information will be handled (see </w:t>
            </w:r>
            <w:r w:rsidRPr="00967062">
              <w:rPr>
                <w:rFonts w:eastAsia="Calibri Light" w:cs="Arial"/>
                <w:bCs/>
                <w:color w:val="auto"/>
                <w:sz w:val="20"/>
                <w:szCs w:val="20"/>
                <w:lang w:eastAsia="en-AU"/>
              </w:rPr>
              <w:fldChar w:fldCharType="begin"/>
            </w:r>
            <w:r w:rsidRPr="00967062">
              <w:rPr>
                <w:rFonts w:eastAsia="Calibri Light" w:cs="Arial"/>
                <w:bCs/>
                <w:color w:val="auto"/>
                <w:sz w:val="20"/>
                <w:szCs w:val="20"/>
                <w:lang w:eastAsia="en-AU"/>
              </w:rPr>
              <w:instrText xml:space="preserve"> REF _Ref64031321 \r \h  \* MERGEFORMAT </w:instrText>
            </w:r>
            <w:r w:rsidRPr="00967062">
              <w:rPr>
                <w:rFonts w:eastAsia="Calibri Light" w:cs="Arial"/>
                <w:bCs/>
                <w:color w:val="auto"/>
                <w:sz w:val="20"/>
                <w:szCs w:val="20"/>
                <w:lang w:eastAsia="en-AU"/>
              </w:rPr>
            </w:r>
            <w:r w:rsidRPr="00967062">
              <w:rPr>
                <w:rFonts w:eastAsia="Calibri Light" w:cs="Arial"/>
                <w:bCs/>
                <w:color w:val="auto"/>
                <w:sz w:val="20"/>
                <w:szCs w:val="20"/>
                <w:lang w:eastAsia="en-AU"/>
              </w:rPr>
              <w:fldChar w:fldCharType="separate"/>
            </w:r>
            <w:r w:rsidRPr="00967062">
              <w:rPr>
                <w:rFonts w:eastAsia="Calibri Light" w:cs="Arial"/>
                <w:bCs/>
                <w:color w:val="auto"/>
                <w:sz w:val="20"/>
                <w:szCs w:val="20"/>
                <w:lang w:eastAsia="en-AU"/>
              </w:rPr>
              <w:t>Recommendation 3</w:t>
            </w:r>
            <w:r w:rsidRPr="00967062">
              <w:rPr>
                <w:rFonts w:eastAsia="Calibri Light" w:cs="Arial"/>
                <w:bCs/>
                <w:color w:val="auto"/>
                <w:sz w:val="20"/>
                <w:szCs w:val="20"/>
                <w:lang w:eastAsia="en-AU"/>
              </w:rPr>
              <w:fldChar w:fldCharType="end"/>
            </w:r>
            <w:r w:rsidRPr="00967062">
              <w:rPr>
                <w:rFonts w:eastAsia="Calibri Light" w:cs="Arial"/>
                <w:bCs/>
                <w:color w:val="auto"/>
                <w:sz w:val="20"/>
                <w:szCs w:val="20"/>
                <w:lang w:eastAsia="en-AU"/>
              </w:rPr>
              <w:t xml:space="preserve"> below).</w:t>
            </w:r>
          </w:p>
        </w:tc>
      </w:tr>
      <w:tr w:rsidR="00062223" w:rsidRPr="000261B0" w14:paraId="2F5D68BD" w14:textId="77777777" w:rsidTr="009670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6BEC2B07" w14:textId="77777777" w:rsidR="00062223" w:rsidRPr="00967062" w:rsidRDefault="00DF66E4" w:rsidP="00B67D98">
            <w:pPr>
              <w:pStyle w:val="Tabletextleft"/>
              <w:rPr>
                <w:color w:val="auto"/>
                <w:sz w:val="20"/>
                <w:szCs w:val="20"/>
              </w:rPr>
            </w:pPr>
            <w:r w:rsidRPr="00967062">
              <w:rPr>
                <w:color w:val="auto"/>
                <w:sz w:val="20"/>
                <w:szCs w:val="20"/>
              </w:rPr>
              <w:t>R</w:t>
            </w:r>
            <w:r w:rsidR="00062223" w:rsidRPr="00967062">
              <w:rPr>
                <w:color w:val="auto"/>
                <w:sz w:val="20"/>
                <w:szCs w:val="20"/>
              </w:rPr>
              <w:t>esponse</w:t>
            </w:r>
          </w:p>
        </w:tc>
        <w:tc>
          <w:tcPr>
            <w:tcW w:w="6098" w:type="dxa"/>
            <w:shd w:val="clear" w:color="auto" w:fill="auto"/>
          </w:tcPr>
          <w:p w14:paraId="0E1860FB" w14:textId="1D8A143B" w:rsidR="00B6722E" w:rsidRPr="00967062" w:rsidRDefault="00822FBF" w:rsidP="00214E86">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7062">
              <w:rPr>
                <w:color w:val="auto"/>
                <w:sz w:val="20"/>
                <w:szCs w:val="20"/>
              </w:rPr>
              <w:t xml:space="preserve">Agreed.  </w:t>
            </w:r>
            <w:r w:rsidR="00B6722E" w:rsidRPr="00967062">
              <w:rPr>
                <w:color w:val="auto"/>
                <w:sz w:val="20"/>
                <w:szCs w:val="20"/>
              </w:rPr>
              <w:t>Health continues to work closely with other entities, including Commonwealth, State and Territory agencies,</w:t>
            </w:r>
            <w:r w:rsidR="00424E25" w:rsidRPr="00967062">
              <w:rPr>
                <w:color w:val="auto"/>
                <w:sz w:val="20"/>
                <w:szCs w:val="20"/>
              </w:rPr>
              <w:t xml:space="preserve"> and industry representatives</w:t>
            </w:r>
            <w:r w:rsidR="00B6722E" w:rsidRPr="00967062">
              <w:rPr>
                <w:color w:val="auto"/>
                <w:sz w:val="20"/>
                <w:szCs w:val="20"/>
              </w:rPr>
              <w:t xml:space="preserve"> to ensure information is readily available regarding the vaccine program. </w:t>
            </w:r>
          </w:p>
          <w:p w14:paraId="2E02BE64" w14:textId="77777777" w:rsidR="00B6722E" w:rsidRPr="00967062" w:rsidRDefault="00B6722E" w:rsidP="00214E86">
            <w:pPr>
              <w:cnfStyle w:val="100000000000" w:firstRow="1" w:lastRow="0" w:firstColumn="0" w:lastColumn="0" w:oddVBand="0" w:evenVBand="0" w:oddHBand="0" w:evenHBand="0" w:firstRowFirstColumn="0" w:firstRowLastColumn="0" w:lastRowFirstColumn="0" w:lastRowLastColumn="0"/>
              <w:rPr>
                <w:color w:val="auto"/>
                <w:sz w:val="20"/>
                <w:szCs w:val="20"/>
              </w:rPr>
            </w:pPr>
          </w:p>
          <w:p w14:paraId="749138E1" w14:textId="76621552" w:rsidR="0046610D" w:rsidRPr="00967062" w:rsidRDefault="00B6722E" w:rsidP="00214E86">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7062">
              <w:rPr>
                <w:color w:val="auto"/>
                <w:sz w:val="20"/>
                <w:szCs w:val="20"/>
              </w:rPr>
              <w:t>T</w:t>
            </w:r>
            <w:r w:rsidR="0046610D" w:rsidRPr="00967062">
              <w:rPr>
                <w:color w:val="auto"/>
                <w:sz w:val="20"/>
                <w:szCs w:val="20"/>
              </w:rPr>
              <w:t xml:space="preserve">he communications strategy </w:t>
            </w:r>
            <w:r w:rsidR="00B67D98" w:rsidRPr="00967062">
              <w:rPr>
                <w:color w:val="auto"/>
                <w:sz w:val="20"/>
                <w:szCs w:val="20"/>
              </w:rPr>
              <w:t>encompass</w:t>
            </w:r>
            <w:r w:rsidR="00F368D4" w:rsidRPr="00967062">
              <w:rPr>
                <w:color w:val="auto"/>
                <w:sz w:val="20"/>
                <w:szCs w:val="20"/>
              </w:rPr>
              <w:t>es</w:t>
            </w:r>
            <w:r w:rsidR="00B67D98" w:rsidRPr="00967062">
              <w:rPr>
                <w:color w:val="auto"/>
                <w:sz w:val="20"/>
                <w:szCs w:val="20"/>
              </w:rPr>
              <w:t xml:space="preserve"> several types </w:t>
            </w:r>
            <w:r w:rsidRPr="00967062">
              <w:rPr>
                <w:color w:val="auto"/>
                <w:sz w:val="20"/>
                <w:szCs w:val="20"/>
              </w:rPr>
              <w:t xml:space="preserve">of media to ensure </w:t>
            </w:r>
            <w:r w:rsidR="00B67D98" w:rsidRPr="00967062">
              <w:rPr>
                <w:color w:val="auto"/>
                <w:sz w:val="20"/>
                <w:szCs w:val="20"/>
              </w:rPr>
              <w:t xml:space="preserve">broad </w:t>
            </w:r>
            <w:r w:rsidRPr="00967062">
              <w:rPr>
                <w:color w:val="auto"/>
                <w:sz w:val="20"/>
                <w:szCs w:val="20"/>
              </w:rPr>
              <w:t>reach across Australia. It provide</w:t>
            </w:r>
            <w:r w:rsidR="00D222B0" w:rsidRPr="00967062">
              <w:rPr>
                <w:color w:val="auto"/>
                <w:sz w:val="20"/>
                <w:szCs w:val="20"/>
              </w:rPr>
              <w:t>s</w:t>
            </w:r>
            <w:r w:rsidRPr="00967062">
              <w:rPr>
                <w:color w:val="auto"/>
                <w:sz w:val="20"/>
                <w:szCs w:val="20"/>
              </w:rPr>
              <w:t xml:space="preserve"> clear information on the progressive rollout of the Vaccine Strategy, how personal information is being handled, and </w:t>
            </w:r>
            <w:r w:rsidR="00D72323" w:rsidRPr="00967062">
              <w:rPr>
                <w:color w:val="auto"/>
                <w:sz w:val="20"/>
                <w:szCs w:val="20"/>
              </w:rPr>
              <w:t xml:space="preserve">how </w:t>
            </w:r>
            <w:r w:rsidR="000E72B3" w:rsidRPr="00967062">
              <w:rPr>
                <w:color w:val="auto"/>
                <w:sz w:val="20"/>
                <w:szCs w:val="20"/>
              </w:rPr>
              <w:t xml:space="preserve">the privacy of individuals will be </w:t>
            </w:r>
            <w:r w:rsidR="00214E86" w:rsidRPr="00967062">
              <w:rPr>
                <w:color w:val="auto"/>
                <w:sz w:val="20"/>
                <w:szCs w:val="20"/>
              </w:rPr>
              <w:t>managed</w:t>
            </w:r>
            <w:r w:rsidR="0046610D" w:rsidRPr="00967062">
              <w:rPr>
                <w:color w:val="auto"/>
                <w:sz w:val="20"/>
                <w:szCs w:val="20"/>
              </w:rPr>
              <w:t>.</w:t>
            </w:r>
            <w:r w:rsidR="005C5DAA" w:rsidRPr="00967062">
              <w:rPr>
                <w:color w:val="auto"/>
                <w:sz w:val="20"/>
                <w:szCs w:val="20"/>
              </w:rPr>
              <w:t xml:space="preserve"> </w:t>
            </w:r>
            <w:r w:rsidR="009C2498" w:rsidRPr="00967062">
              <w:rPr>
                <w:color w:val="auto"/>
                <w:sz w:val="20"/>
                <w:szCs w:val="20"/>
              </w:rPr>
              <w:t>C</w:t>
            </w:r>
            <w:r w:rsidRPr="00967062">
              <w:rPr>
                <w:color w:val="auto"/>
                <w:sz w:val="20"/>
                <w:szCs w:val="20"/>
              </w:rPr>
              <w:t xml:space="preserve">ommunications materials (such as posters or information sheets) </w:t>
            </w:r>
            <w:r w:rsidR="00D72323" w:rsidRPr="00967062">
              <w:rPr>
                <w:color w:val="auto"/>
                <w:sz w:val="20"/>
                <w:szCs w:val="20"/>
              </w:rPr>
              <w:t xml:space="preserve">developed for people receiving the vaccine </w:t>
            </w:r>
            <w:r w:rsidRPr="00967062">
              <w:rPr>
                <w:color w:val="auto"/>
                <w:sz w:val="20"/>
                <w:szCs w:val="20"/>
              </w:rPr>
              <w:t>will</w:t>
            </w:r>
            <w:r w:rsidR="006437F1" w:rsidRPr="00967062">
              <w:rPr>
                <w:color w:val="auto"/>
                <w:sz w:val="20"/>
                <w:szCs w:val="20"/>
              </w:rPr>
              <w:t xml:space="preserve"> include a</w:t>
            </w:r>
            <w:r w:rsidRPr="00967062">
              <w:rPr>
                <w:color w:val="auto"/>
                <w:sz w:val="20"/>
                <w:szCs w:val="20"/>
              </w:rPr>
              <w:t xml:space="preserve"> link to </w:t>
            </w:r>
            <w:r w:rsidR="007D2673" w:rsidRPr="00967062">
              <w:rPr>
                <w:color w:val="auto"/>
                <w:sz w:val="20"/>
                <w:szCs w:val="20"/>
              </w:rPr>
              <w:t xml:space="preserve">COVID-19 pages, including </w:t>
            </w:r>
            <w:r w:rsidRPr="00967062">
              <w:rPr>
                <w:color w:val="auto"/>
                <w:sz w:val="20"/>
                <w:szCs w:val="20"/>
              </w:rPr>
              <w:t xml:space="preserve">the </w:t>
            </w:r>
            <w:r w:rsidR="00D72323" w:rsidRPr="00967062">
              <w:rPr>
                <w:color w:val="auto"/>
                <w:sz w:val="20"/>
                <w:szCs w:val="20"/>
              </w:rPr>
              <w:t xml:space="preserve">Vaccine Strategy Privacy </w:t>
            </w:r>
            <w:r w:rsidR="007D2673" w:rsidRPr="00967062">
              <w:rPr>
                <w:color w:val="auto"/>
                <w:sz w:val="20"/>
                <w:szCs w:val="20"/>
              </w:rPr>
              <w:t xml:space="preserve">Notice </w:t>
            </w:r>
            <w:r w:rsidR="00D72323" w:rsidRPr="00967062">
              <w:rPr>
                <w:color w:val="auto"/>
                <w:sz w:val="20"/>
                <w:szCs w:val="20"/>
              </w:rPr>
              <w:t xml:space="preserve">and important privacy information on the </w:t>
            </w:r>
            <w:r w:rsidRPr="00967062">
              <w:rPr>
                <w:color w:val="auto"/>
                <w:sz w:val="20"/>
                <w:szCs w:val="20"/>
              </w:rPr>
              <w:t>Health website</w:t>
            </w:r>
            <w:r w:rsidR="00D72323" w:rsidRPr="00967062">
              <w:rPr>
                <w:color w:val="auto"/>
                <w:sz w:val="20"/>
                <w:szCs w:val="20"/>
              </w:rPr>
              <w:t>.</w:t>
            </w:r>
            <w:r w:rsidR="009C2498" w:rsidRPr="00967062">
              <w:rPr>
                <w:color w:val="auto"/>
                <w:sz w:val="20"/>
                <w:szCs w:val="20"/>
              </w:rPr>
              <w:t xml:space="preserve"> </w:t>
            </w:r>
          </w:p>
          <w:p w14:paraId="148F25C1" w14:textId="77777777" w:rsidR="006437F1" w:rsidRPr="00967062" w:rsidRDefault="006437F1" w:rsidP="00214E86">
            <w:pPr>
              <w:cnfStyle w:val="100000000000" w:firstRow="1" w:lastRow="0" w:firstColumn="0" w:lastColumn="0" w:oddVBand="0" w:evenVBand="0" w:oddHBand="0" w:evenHBand="0" w:firstRowFirstColumn="0" w:firstRowLastColumn="0" w:lastRowFirstColumn="0" w:lastRowLastColumn="0"/>
              <w:rPr>
                <w:color w:val="auto"/>
                <w:sz w:val="20"/>
                <w:szCs w:val="20"/>
              </w:rPr>
            </w:pPr>
          </w:p>
          <w:p w14:paraId="3904C77A" w14:textId="33A5F220" w:rsidR="005A11D1" w:rsidRPr="00967062" w:rsidRDefault="006437F1" w:rsidP="00D723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7062">
              <w:rPr>
                <w:color w:val="auto"/>
                <w:sz w:val="20"/>
                <w:szCs w:val="20"/>
              </w:rPr>
              <w:t xml:space="preserve">Guidance materials and training modules </w:t>
            </w:r>
            <w:r w:rsidR="005A11D1" w:rsidRPr="00967062">
              <w:rPr>
                <w:color w:val="auto"/>
                <w:sz w:val="20"/>
                <w:szCs w:val="20"/>
              </w:rPr>
              <w:t>have been</w:t>
            </w:r>
            <w:r w:rsidRPr="00967062">
              <w:rPr>
                <w:color w:val="auto"/>
                <w:sz w:val="20"/>
                <w:szCs w:val="20"/>
              </w:rPr>
              <w:t xml:space="preserve"> </w:t>
            </w:r>
            <w:r w:rsidR="005C5DAA" w:rsidRPr="00967062">
              <w:rPr>
                <w:color w:val="auto"/>
                <w:sz w:val="20"/>
                <w:szCs w:val="20"/>
              </w:rPr>
              <w:t>developed for vaccine providers</w:t>
            </w:r>
            <w:r w:rsidR="00947080" w:rsidRPr="00967062">
              <w:rPr>
                <w:color w:val="auto"/>
                <w:sz w:val="20"/>
                <w:szCs w:val="20"/>
              </w:rPr>
              <w:t xml:space="preserve">, and include links to </w:t>
            </w:r>
            <w:r w:rsidR="005A11D1" w:rsidRPr="00967062">
              <w:rPr>
                <w:color w:val="auto"/>
                <w:sz w:val="20"/>
                <w:szCs w:val="20"/>
              </w:rPr>
              <w:t>fi</w:t>
            </w:r>
            <w:bookmarkStart w:id="1" w:name="_GoBack"/>
            <w:bookmarkEnd w:id="1"/>
            <w:r w:rsidR="005A11D1" w:rsidRPr="00967062">
              <w:rPr>
                <w:color w:val="auto"/>
                <w:sz w:val="20"/>
                <w:szCs w:val="20"/>
              </w:rPr>
              <w:t xml:space="preserve">nd </w:t>
            </w:r>
            <w:r w:rsidR="00947080" w:rsidRPr="00967062">
              <w:rPr>
                <w:color w:val="auto"/>
                <w:sz w:val="20"/>
                <w:szCs w:val="20"/>
              </w:rPr>
              <w:t>further privacy information on the Health website that can be provided to patients</w:t>
            </w:r>
            <w:r w:rsidR="005C5DAA" w:rsidRPr="00967062">
              <w:rPr>
                <w:color w:val="auto"/>
                <w:sz w:val="20"/>
                <w:szCs w:val="20"/>
              </w:rPr>
              <w:t>.</w:t>
            </w:r>
            <w:r w:rsidR="00D72323" w:rsidRPr="00967062">
              <w:rPr>
                <w:color w:val="auto"/>
                <w:sz w:val="20"/>
                <w:szCs w:val="20"/>
              </w:rPr>
              <w:t xml:space="preserve"> </w:t>
            </w:r>
            <w:r w:rsidRPr="00967062">
              <w:rPr>
                <w:color w:val="auto"/>
                <w:sz w:val="20"/>
                <w:szCs w:val="20"/>
              </w:rPr>
              <w:t xml:space="preserve">It </w:t>
            </w:r>
            <w:r w:rsidR="000618BE" w:rsidRPr="00967062">
              <w:rPr>
                <w:color w:val="auto"/>
                <w:sz w:val="20"/>
                <w:szCs w:val="20"/>
              </w:rPr>
              <w:t>should</w:t>
            </w:r>
            <w:r w:rsidRPr="00967062">
              <w:rPr>
                <w:color w:val="auto"/>
                <w:sz w:val="20"/>
                <w:szCs w:val="20"/>
              </w:rPr>
              <w:t xml:space="preserve"> be noted that </w:t>
            </w:r>
            <w:r w:rsidR="009C2498" w:rsidRPr="00967062">
              <w:rPr>
                <w:color w:val="auto"/>
                <w:sz w:val="20"/>
                <w:szCs w:val="20"/>
              </w:rPr>
              <w:t xml:space="preserve">Health’s Partners in implementing the Vaccine Strategy, the training provider, and </w:t>
            </w:r>
            <w:r w:rsidR="0046610D" w:rsidRPr="00967062">
              <w:rPr>
                <w:color w:val="auto"/>
                <w:sz w:val="20"/>
                <w:szCs w:val="20"/>
              </w:rPr>
              <w:t>the workfor</w:t>
            </w:r>
            <w:r w:rsidRPr="00967062">
              <w:rPr>
                <w:color w:val="auto"/>
                <w:sz w:val="20"/>
                <w:szCs w:val="20"/>
              </w:rPr>
              <w:t>ce providers contracted by the C</w:t>
            </w:r>
            <w:r w:rsidR="0046610D" w:rsidRPr="00967062">
              <w:rPr>
                <w:color w:val="auto"/>
                <w:sz w:val="20"/>
                <w:szCs w:val="20"/>
              </w:rPr>
              <w:t xml:space="preserve">ommonwealth must comply with the </w:t>
            </w:r>
            <w:r w:rsidR="009C2498" w:rsidRPr="00967062">
              <w:rPr>
                <w:color w:val="auto"/>
                <w:sz w:val="20"/>
                <w:szCs w:val="20"/>
              </w:rPr>
              <w:t xml:space="preserve">Privacy Act </w:t>
            </w:r>
            <w:r w:rsidR="0046610D" w:rsidRPr="00967062">
              <w:rPr>
                <w:color w:val="auto"/>
                <w:sz w:val="20"/>
                <w:szCs w:val="20"/>
              </w:rPr>
              <w:t>as per their contract</w:t>
            </w:r>
            <w:r w:rsidR="009C2498" w:rsidRPr="00967062">
              <w:rPr>
                <w:color w:val="auto"/>
                <w:sz w:val="20"/>
                <w:szCs w:val="20"/>
              </w:rPr>
              <w:t>s</w:t>
            </w:r>
            <w:r w:rsidR="0046610D" w:rsidRPr="00967062">
              <w:rPr>
                <w:color w:val="auto"/>
                <w:sz w:val="20"/>
                <w:szCs w:val="20"/>
              </w:rPr>
              <w:t xml:space="preserve">. </w:t>
            </w:r>
          </w:p>
          <w:p w14:paraId="1D936CCB" w14:textId="77777777" w:rsidR="005A11D1" w:rsidRPr="00967062" w:rsidRDefault="005A11D1" w:rsidP="00D72323">
            <w:pPr>
              <w:cnfStyle w:val="100000000000" w:firstRow="1" w:lastRow="0" w:firstColumn="0" w:lastColumn="0" w:oddVBand="0" w:evenVBand="0" w:oddHBand="0" w:evenHBand="0" w:firstRowFirstColumn="0" w:firstRowLastColumn="0" w:lastRowFirstColumn="0" w:lastRowLastColumn="0"/>
              <w:rPr>
                <w:color w:val="auto"/>
                <w:sz w:val="20"/>
                <w:szCs w:val="20"/>
              </w:rPr>
            </w:pPr>
          </w:p>
          <w:p w14:paraId="7949A118" w14:textId="08E295C0" w:rsidR="00D72323" w:rsidRPr="00967062" w:rsidRDefault="005A11D1" w:rsidP="00D723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7062">
              <w:rPr>
                <w:color w:val="auto"/>
                <w:sz w:val="20"/>
                <w:szCs w:val="20"/>
              </w:rPr>
              <w:t xml:space="preserve">For phase 1a, Health expects that the large-scale jurisdictional vaccine providers will follow current immunisation practice in collecting necessary information. </w:t>
            </w:r>
            <w:r w:rsidR="006437F1" w:rsidRPr="00967062">
              <w:rPr>
                <w:color w:val="auto"/>
                <w:sz w:val="20"/>
                <w:szCs w:val="20"/>
              </w:rPr>
              <w:t>All</w:t>
            </w:r>
            <w:r w:rsidR="0046610D" w:rsidRPr="00967062">
              <w:rPr>
                <w:color w:val="auto"/>
                <w:sz w:val="20"/>
                <w:szCs w:val="20"/>
              </w:rPr>
              <w:t xml:space="preserve"> healthcare providers who will adm</w:t>
            </w:r>
            <w:r w:rsidR="005D23E0" w:rsidRPr="00967062">
              <w:rPr>
                <w:color w:val="auto"/>
                <w:sz w:val="20"/>
                <w:szCs w:val="20"/>
              </w:rPr>
              <w:t>inister the vaccine are expected to maintain</w:t>
            </w:r>
            <w:r w:rsidR="0046610D" w:rsidRPr="00967062">
              <w:rPr>
                <w:color w:val="auto"/>
                <w:sz w:val="20"/>
                <w:szCs w:val="20"/>
              </w:rPr>
              <w:t xml:space="preserve"> patient confidentially as part of being a registered </w:t>
            </w:r>
            <w:r w:rsidR="006F16AE" w:rsidRPr="00967062">
              <w:rPr>
                <w:color w:val="auto"/>
                <w:sz w:val="20"/>
                <w:szCs w:val="20"/>
              </w:rPr>
              <w:t>h</w:t>
            </w:r>
            <w:r w:rsidR="0046610D" w:rsidRPr="00967062">
              <w:rPr>
                <w:color w:val="auto"/>
                <w:sz w:val="20"/>
                <w:szCs w:val="20"/>
              </w:rPr>
              <w:t>ealthcare professional.</w:t>
            </w:r>
          </w:p>
          <w:p w14:paraId="2A946445" w14:textId="77777777" w:rsidR="00D72323" w:rsidRPr="00967062" w:rsidRDefault="00D72323" w:rsidP="00D72323">
            <w:pPr>
              <w:cnfStyle w:val="100000000000" w:firstRow="1" w:lastRow="0" w:firstColumn="0" w:lastColumn="0" w:oddVBand="0" w:evenVBand="0" w:oddHBand="0" w:evenHBand="0" w:firstRowFirstColumn="0" w:firstRowLastColumn="0" w:lastRowFirstColumn="0" w:lastRowLastColumn="0"/>
              <w:rPr>
                <w:color w:val="auto"/>
                <w:sz w:val="20"/>
                <w:szCs w:val="20"/>
              </w:rPr>
            </w:pPr>
          </w:p>
          <w:p w14:paraId="632C2391" w14:textId="22E2D364" w:rsidR="00D72323" w:rsidRPr="00967062" w:rsidRDefault="00D72323" w:rsidP="00153E86">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67062">
              <w:rPr>
                <w:color w:val="auto"/>
                <w:sz w:val="20"/>
                <w:szCs w:val="20"/>
              </w:rPr>
              <w:t>A summary of this PIA will be published along with further updates in conjunction with the upcoming phases of the implementation of the Strategy.</w:t>
            </w:r>
          </w:p>
        </w:tc>
      </w:tr>
    </w:tbl>
    <w:p w14:paraId="2D87E630" w14:textId="77777777" w:rsidR="005579D1" w:rsidRPr="000261B0" w:rsidRDefault="005579D1" w:rsidP="005579D1">
      <w:pPr>
        <w:pStyle w:val="Paragraphtext"/>
        <w:rPr>
          <w:rFonts w:cs="Arial"/>
        </w:rPr>
      </w:pPr>
    </w:p>
    <w:tbl>
      <w:tblPr>
        <w:tblStyle w:val="DepartmentofHealthtable"/>
        <w:tblW w:w="0" w:type="auto"/>
        <w:tblLook w:val="04A0" w:firstRow="1" w:lastRow="0" w:firstColumn="1" w:lastColumn="0" w:noHBand="0" w:noVBand="1"/>
        <w:tblDescription w:val="&quot;&quot;"/>
      </w:tblPr>
      <w:tblGrid>
        <w:gridCol w:w="2552"/>
        <w:gridCol w:w="5953"/>
      </w:tblGrid>
      <w:tr w:rsidR="005579D1" w:rsidRPr="000261B0" w14:paraId="00692B60" w14:textId="77777777" w:rsidTr="00D81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51969CDF" w14:textId="77777777" w:rsidR="005579D1" w:rsidRPr="000261B0" w:rsidRDefault="005579D1" w:rsidP="00A24D39">
            <w:pPr>
              <w:pStyle w:val="TableHeaderWhite"/>
              <w:rPr>
                <w:rFonts w:cs="Arial"/>
              </w:rPr>
            </w:pPr>
            <w:proofErr w:type="spellStart"/>
            <w:r w:rsidRPr="000261B0">
              <w:rPr>
                <w:rFonts w:cs="Arial"/>
              </w:rPr>
              <w:t>Maddocks</w:t>
            </w:r>
            <w:proofErr w:type="spellEnd"/>
            <w:r w:rsidRPr="000261B0">
              <w:rPr>
                <w:rFonts w:cs="Arial"/>
              </w:rPr>
              <w:t xml:space="preserve"> Recommendation 3: </w:t>
            </w:r>
          </w:p>
        </w:tc>
        <w:tc>
          <w:tcPr>
            <w:tcW w:w="5953" w:type="dxa"/>
          </w:tcPr>
          <w:p w14:paraId="1A0D0443" w14:textId="1B469EA0" w:rsidR="005579D1" w:rsidRPr="000261B0" w:rsidRDefault="007906E7" w:rsidP="00A24D39">
            <w:pPr>
              <w:pStyle w:val="TableHeader"/>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Awareness about handling </w:t>
            </w:r>
            <w:r w:rsidR="00807E97">
              <w:rPr>
                <w:rFonts w:cs="Arial"/>
              </w:rPr>
              <w:t>of Vaccine Strategy Information</w:t>
            </w:r>
          </w:p>
        </w:tc>
      </w:tr>
      <w:tr w:rsidR="005579D1" w:rsidRPr="000261B0" w14:paraId="7BCE3202" w14:textId="77777777" w:rsidTr="00A2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4DA2ECF4" w14:textId="2EE5D10C" w:rsidR="004535E5" w:rsidRPr="004535E5" w:rsidRDefault="004535E5" w:rsidP="004535E5">
            <w:pPr>
              <w:spacing w:before="120" w:after="120"/>
              <w:rPr>
                <w:rFonts w:cs="Arial"/>
                <w:sz w:val="20"/>
                <w:szCs w:val="22"/>
              </w:rPr>
            </w:pPr>
            <w:r w:rsidRPr="004535E5">
              <w:rPr>
                <w:rFonts w:cs="Arial"/>
                <w:bCs/>
                <w:sz w:val="20"/>
                <w:szCs w:val="22"/>
              </w:rPr>
              <w:t xml:space="preserve">To ensure compliance with APP 5, we </w:t>
            </w:r>
            <w:r w:rsidRPr="004535E5">
              <w:rPr>
                <w:rFonts w:cs="Arial"/>
                <w:b/>
                <w:sz w:val="20"/>
                <w:szCs w:val="22"/>
              </w:rPr>
              <w:t>recommend</w:t>
            </w:r>
            <w:r w:rsidRPr="004535E5">
              <w:rPr>
                <w:rFonts w:cs="Arial"/>
                <w:sz w:val="20"/>
                <w:szCs w:val="22"/>
              </w:rPr>
              <w:t xml:space="preserve"> </w:t>
            </w:r>
            <w:r w:rsidRPr="004535E5">
              <w:rPr>
                <w:rFonts w:cs="Arial"/>
                <w:bCs/>
                <w:sz w:val="20"/>
                <w:szCs w:val="22"/>
              </w:rPr>
              <w:t xml:space="preserve">that Health take steps to ensure that Patients, Vaccinators and Provider Personnel, and </w:t>
            </w:r>
            <w:r w:rsidR="005D23E0">
              <w:rPr>
                <w:rFonts w:cs="Arial"/>
                <w:bCs/>
                <w:sz w:val="20"/>
                <w:szCs w:val="22"/>
              </w:rPr>
              <w:t>Distribution Chain</w:t>
            </w:r>
            <w:r w:rsidRPr="004535E5">
              <w:rPr>
                <w:rFonts w:cs="Arial"/>
                <w:bCs/>
                <w:sz w:val="20"/>
                <w:szCs w:val="22"/>
              </w:rPr>
              <w:t xml:space="preserve"> Personnel, are aware of how their personal information will be handled.</w:t>
            </w:r>
          </w:p>
          <w:p w14:paraId="7E69377C" w14:textId="77777777" w:rsidR="004535E5" w:rsidRPr="004535E5" w:rsidRDefault="004535E5" w:rsidP="004535E5">
            <w:pPr>
              <w:spacing w:before="120" w:after="120"/>
              <w:rPr>
                <w:rFonts w:cs="Arial"/>
                <w:b/>
                <w:i/>
                <w:iCs/>
                <w:sz w:val="20"/>
                <w:szCs w:val="22"/>
              </w:rPr>
            </w:pPr>
            <w:r w:rsidRPr="004535E5">
              <w:rPr>
                <w:rFonts w:cs="Arial"/>
                <w:b/>
                <w:i/>
                <w:iCs/>
                <w:sz w:val="20"/>
                <w:szCs w:val="22"/>
              </w:rPr>
              <w:t>Patients</w:t>
            </w:r>
          </w:p>
          <w:p w14:paraId="25829100" w14:textId="77777777" w:rsidR="004535E5" w:rsidRPr="004535E5" w:rsidRDefault="004535E5" w:rsidP="004535E5">
            <w:pPr>
              <w:spacing w:before="120" w:after="120"/>
              <w:rPr>
                <w:rFonts w:cs="Arial"/>
                <w:bCs/>
                <w:sz w:val="20"/>
                <w:szCs w:val="22"/>
              </w:rPr>
            </w:pPr>
            <w:r w:rsidRPr="004535E5">
              <w:rPr>
                <w:rFonts w:cs="Arial"/>
                <w:bCs/>
                <w:sz w:val="20"/>
                <w:szCs w:val="22"/>
              </w:rPr>
              <w:t xml:space="preserve">This should include steps to ensure that Patients are aware: </w:t>
            </w:r>
          </w:p>
          <w:p w14:paraId="1D0177B5" w14:textId="77777777" w:rsidR="004535E5" w:rsidRPr="004535E5" w:rsidRDefault="004535E5" w:rsidP="004535E5">
            <w:pPr>
              <w:numPr>
                <w:ilvl w:val="0"/>
                <w:numId w:val="30"/>
              </w:numPr>
              <w:spacing w:before="120" w:after="120"/>
              <w:rPr>
                <w:rFonts w:cs="Arial"/>
                <w:bCs/>
                <w:sz w:val="20"/>
                <w:szCs w:val="22"/>
              </w:rPr>
            </w:pPr>
            <w:r w:rsidRPr="004535E5">
              <w:rPr>
                <w:rFonts w:cs="Arial"/>
                <w:bCs/>
                <w:sz w:val="20"/>
                <w:szCs w:val="22"/>
              </w:rPr>
              <w:t xml:space="preserve">of the reasons why their personal information is being collected in connection with the Vaccine Strategy, what the information will be used for, and who it may be disclosed to; </w:t>
            </w:r>
          </w:p>
          <w:p w14:paraId="5C5A11E6" w14:textId="77777777" w:rsidR="004535E5" w:rsidRPr="004535E5" w:rsidRDefault="004535E5" w:rsidP="004535E5">
            <w:pPr>
              <w:numPr>
                <w:ilvl w:val="0"/>
                <w:numId w:val="30"/>
              </w:numPr>
              <w:spacing w:before="120" w:after="120"/>
              <w:rPr>
                <w:rFonts w:cs="Arial"/>
                <w:bCs/>
                <w:sz w:val="20"/>
                <w:szCs w:val="22"/>
              </w:rPr>
            </w:pPr>
            <w:r w:rsidRPr="004535E5">
              <w:rPr>
                <w:rFonts w:cs="Arial"/>
                <w:bCs/>
                <w:sz w:val="20"/>
                <w:szCs w:val="22"/>
              </w:rPr>
              <w:t xml:space="preserve">that the </w:t>
            </w:r>
            <w:r w:rsidRPr="004535E5">
              <w:rPr>
                <w:rFonts w:cs="Arial"/>
                <w:bCs/>
                <w:i/>
                <w:sz w:val="20"/>
                <w:szCs w:val="22"/>
              </w:rPr>
              <w:t>Australian Immunisation Register Act 2015</w:t>
            </w:r>
            <w:r w:rsidRPr="004535E5">
              <w:rPr>
                <w:rFonts w:cs="Arial"/>
                <w:bCs/>
                <w:iCs/>
                <w:sz w:val="20"/>
                <w:szCs w:val="22"/>
              </w:rPr>
              <w:t xml:space="preserve"> (</w:t>
            </w:r>
            <w:proofErr w:type="spellStart"/>
            <w:r w:rsidRPr="004535E5">
              <w:rPr>
                <w:rFonts w:cs="Arial"/>
                <w:bCs/>
                <w:iCs/>
                <w:sz w:val="20"/>
                <w:szCs w:val="22"/>
              </w:rPr>
              <w:t>Cth</w:t>
            </w:r>
            <w:proofErr w:type="spellEnd"/>
            <w:r w:rsidRPr="004535E5">
              <w:rPr>
                <w:rFonts w:cs="Arial"/>
                <w:bCs/>
                <w:iCs/>
                <w:sz w:val="20"/>
                <w:szCs w:val="22"/>
              </w:rPr>
              <w:t>)</w:t>
            </w:r>
            <w:r w:rsidRPr="004535E5">
              <w:rPr>
                <w:rFonts w:cs="Arial"/>
                <w:sz w:val="20"/>
                <w:szCs w:val="22"/>
              </w:rPr>
              <w:t xml:space="preserve"> </w:t>
            </w:r>
            <w:r w:rsidRPr="004535E5">
              <w:rPr>
                <w:rFonts w:cs="Arial"/>
                <w:bCs/>
                <w:sz w:val="20"/>
                <w:szCs w:val="22"/>
              </w:rPr>
              <w:t>(</w:t>
            </w:r>
            <w:r w:rsidRPr="004535E5">
              <w:rPr>
                <w:rFonts w:cs="Arial"/>
                <w:sz w:val="20"/>
                <w:szCs w:val="22"/>
              </w:rPr>
              <w:t>AIR Act</w:t>
            </w:r>
            <w:r w:rsidRPr="004535E5">
              <w:rPr>
                <w:rFonts w:cs="Arial"/>
                <w:bCs/>
                <w:sz w:val="20"/>
                <w:szCs w:val="22"/>
              </w:rPr>
              <w:t>) authorises (and requires) the collection of the personal information, explaining that if they consent to receiving the vaccine, it will be mandatory for their personal information to be reported to the Australian Immunisation Register (</w:t>
            </w:r>
            <w:r w:rsidRPr="004535E5">
              <w:rPr>
                <w:rFonts w:cs="Arial"/>
                <w:sz w:val="20"/>
                <w:szCs w:val="22"/>
              </w:rPr>
              <w:t>AIR</w:t>
            </w:r>
            <w:r w:rsidRPr="004535E5">
              <w:rPr>
                <w:rFonts w:cs="Arial"/>
                <w:bCs/>
                <w:sz w:val="20"/>
                <w:szCs w:val="22"/>
              </w:rPr>
              <w:t xml:space="preserve">), but that they can opt-out from having their information disclosed to other entities from the AIR (and they should also be made aware of how to do </w:t>
            </w:r>
            <w:r w:rsidRPr="005D23E0">
              <w:rPr>
                <w:rFonts w:cs="Arial"/>
                <w:bCs/>
                <w:color w:val="auto"/>
                <w:sz w:val="20"/>
                <w:szCs w:val="22"/>
              </w:rPr>
              <w:t xml:space="preserve">so, and of any consequences that flow on as a result); </w:t>
            </w:r>
          </w:p>
          <w:p w14:paraId="066D98C6" w14:textId="77777777" w:rsidR="004535E5" w:rsidRPr="004535E5" w:rsidRDefault="004535E5" w:rsidP="004535E5">
            <w:pPr>
              <w:numPr>
                <w:ilvl w:val="0"/>
                <w:numId w:val="30"/>
              </w:numPr>
              <w:spacing w:before="120" w:after="120"/>
              <w:rPr>
                <w:rFonts w:cs="Arial"/>
                <w:bCs/>
                <w:sz w:val="20"/>
                <w:szCs w:val="22"/>
              </w:rPr>
            </w:pPr>
            <w:r w:rsidRPr="004535E5">
              <w:rPr>
                <w:rFonts w:cs="Arial"/>
                <w:bCs/>
                <w:sz w:val="20"/>
                <w:szCs w:val="22"/>
              </w:rPr>
              <w:t xml:space="preserve">of the relevant contact details of the collecting entities (including that Health may collect their personal information from other entities in connection with the Vaccine Strategy); </w:t>
            </w:r>
          </w:p>
          <w:p w14:paraId="358A8CD7" w14:textId="77777777" w:rsidR="004535E5" w:rsidRPr="004535E5" w:rsidRDefault="004535E5" w:rsidP="004535E5">
            <w:pPr>
              <w:numPr>
                <w:ilvl w:val="0"/>
                <w:numId w:val="30"/>
              </w:numPr>
              <w:spacing w:before="120" w:after="120"/>
              <w:rPr>
                <w:rFonts w:cs="Arial"/>
                <w:bCs/>
                <w:sz w:val="20"/>
                <w:szCs w:val="22"/>
              </w:rPr>
            </w:pPr>
            <w:r w:rsidRPr="004535E5">
              <w:rPr>
                <w:rFonts w:cs="Arial"/>
                <w:bCs/>
                <w:sz w:val="20"/>
                <w:szCs w:val="22"/>
              </w:rPr>
              <w:t>of how they can make a complaint and access or correct their personal information; and</w:t>
            </w:r>
          </w:p>
          <w:p w14:paraId="1F49F4B1" w14:textId="77777777" w:rsidR="004535E5" w:rsidRPr="004535E5" w:rsidRDefault="004535E5" w:rsidP="004535E5">
            <w:pPr>
              <w:numPr>
                <w:ilvl w:val="0"/>
                <w:numId w:val="30"/>
              </w:numPr>
              <w:spacing w:before="120" w:after="120"/>
              <w:rPr>
                <w:rFonts w:cs="Arial"/>
                <w:bCs/>
                <w:sz w:val="20"/>
                <w:szCs w:val="22"/>
              </w:rPr>
            </w:pPr>
            <w:proofErr w:type="gramStart"/>
            <w:r w:rsidRPr="004535E5">
              <w:rPr>
                <w:rFonts w:cs="Arial"/>
                <w:bCs/>
                <w:sz w:val="20"/>
                <w:szCs w:val="22"/>
              </w:rPr>
              <w:t>of</w:t>
            </w:r>
            <w:proofErr w:type="gramEnd"/>
            <w:r w:rsidRPr="004535E5">
              <w:rPr>
                <w:rFonts w:cs="Arial"/>
                <w:bCs/>
                <w:sz w:val="20"/>
                <w:szCs w:val="22"/>
              </w:rPr>
              <w:t xml:space="preserve"> whether or not the individual’s personal information is likely to be disclosed to any overseas entity.</w:t>
            </w:r>
          </w:p>
          <w:p w14:paraId="733CE2F2" w14:textId="77777777" w:rsidR="004535E5" w:rsidRPr="004535E5" w:rsidRDefault="004535E5" w:rsidP="004535E5">
            <w:pPr>
              <w:numPr>
                <w:ilvl w:val="0"/>
                <w:numId w:val="30"/>
              </w:numPr>
              <w:spacing w:before="120" w:after="120"/>
              <w:rPr>
                <w:rFonts w:cs="Arial"/>
                <w:bCs/>
                <w:sz w:val="20"/>
                <w:szCs w:val="22"/>
              </w:rPr>
            </w:pPr>
            <w:r w:rsidRPr="004535E5">
              <w:rPr>
                <w:rFonts w:cs="Arial"/>
                <w:bCs/>
                <w:sz w:val="20"/>
                <w:szCs w:val="22"/>
              </w:rPr>
              <w:t>The relevant information should:</w:t>
            </w:r>
          </w:p>
          <w:p w14:paraId="01DB440C" w14:textId="77777777" w:rsidR="004535E5" w:rsidRPr="004535E5" w:rsidRDefault="004535E5" w:rsidP="004535E5">
            <w:pPr>
              <w:numPr>
                <w:ilvl w:val="0"/>
                <w:numId w:val="30"/>
              </w:numPr>
              <w:spacing w:before="120" w:after="120"/>
              <w:rPr>
                <w:rFonts w:cs="Arial"/>
                <w:bCs/>
                <w:sz w:val="20"/>
                <w:szCs w:val="22"/>
              </w:rPr>
            </w:pPr>
            <w:r w:rsidRPr="004535E5">
              <w:rPr>
                <w:rFonts w:cs="Arial"/>
                <w:bCs/>
                <w:sz w:val="20"/>
                <w:szCs w:val="22"/>
              </w:rPr>
              <w:t>be easy to understand and delivered in plain English; and</w:t>
            </w:r>
          </w:p>
          <w:p w14:paraId="53CE23A6" w14:textId="77777777" w:rsidR="004535E5" w:rsidRPr="005D23E0" w:rsidRDefault="004535E5" w:rsidP="004535E5">
            <w:pPr>
              <w:numPr>
                <w:ilvl w:val="0"/>
                <w:numId w:val="30"/>
              </w:numPr>
              <w:spacing w:before="120" w:after="120"/>
              <w:rPr>
                <w:rFonts w:cs="Arial"/>
                <w:bCs/>
                <w:color w:val="auto"/>
                <w:sz w:val="20"/>
                <w:szCs w:val="22"/>
              </w:rPr>
            </w:pPr>
            <w:proofErr w:type="gramStart"/>
            <w:r w:rsidRPr="004535E5">
              <w:rPr>
                <w:rFonts w:cs="Arial"/>
                <w:bCs/>
                <w:sz w:val="20"/>
                <w:szCs w:val="22"/>
              </w:rPr>
              <w:t>to</w:t>
            </w:r>
            <w:proofErr w:type="gramEnd"/>
            <w:r w:rsidRPr="004535E5">
              <w:rPr>
                <w:rFonts w:cs="Arial"/>
                <w:bCs/>
                <w:sz w:val="20"/>
                <w:szCs w:val="22"/>
              </w:rPr>
              <w:t xml:space="preserve"> the extent possible and practicable, meet best practice accessibility requirements, to facilitate those with a disability, or those from culturally and linguistically diverse communities, being able to understand the information provided to </w:t>
            </w:r>
            <w:r w:rsidRPr="005D23E0">
              <w:rPr>
                <w:rFonts w:cs="Arial"/>
                <w:bCs/>
                <w:color w:val="auto"/>
                <w:sz w:val="20"/>
                <w:szCs w:val="22"/>
              </w:rPr>
              <w:t>them. Health could consider tailoring the relevant information, taking into account the needs of different groups in the community (such as Patients in aged care).</w:t>
            </w:r>
          </w:p>
          <w:p w14:paraId="263A865A" w14:textId="5A1896A9" w:rsidR="004535E5" w:rsidRPr="004535E5" w:rsidRDefault="004535E5" w:rsidP="004535E5">
            <w:pPr>
              <w:spacing w:before="120" w:after="120"/>
              <w:rPr>
                <w:rFonts w:cs="Arial"/>
                <w:bCs/>
                <w:sz w:val="20"/>
                <w:szCs w:val="22"/>
              </w:rPr>
            </w:pPr>
            <w:r w:rsidRPr="004535E5">
              <w:rPr>
                <w:rFonts w:cs="Arial"/>
                <w:bCs/>
                <w:sz w:val="20"/>
                <w:szCs w:val="22"/>
              </w:rPr>
              <w:t xml:space="preserve">We </w:t>
            </w:r>
            <w:r w:rsidRPr="004535E5">
              <w:rPr>
                <w:rFonts w:cs="Arial"/>
                <w:b/>
                <w:sz w:val="20"/>
                <w:szCs w:val="22"/>
              </w:rPr>
              <w:t>recommend</w:t>
            </w:r>
            <w:r w:rsidRPr="004535E5">
              <w:rPr>
                <w:rFonts w:cs="Arial"/>
                <w:sz w:val="20"/>
                <w:szCs w:val="22"/>
              </w:rPr>
              <w:t xml:space="preserve"> </w:t>
            </w:r>
            <w:r w:rsidRPr="004535E5">
              <w:rPr>
                <w:rFonts w:cs="Arial"/>
                <w:bCs/>
                <w:sz w:val="20"/>
                <w:szCs w:val="22"/>
              </w:rPr>
              <w:t xml:space="preserve">that Health, taking into account what is possible and practicable from an operational perspective, either: </w:t>
            </w:r>
          </w:p>
          <w:p w14:paraId="2E40FC85" w14:textId="77777777" w:rsidR="004535E5" w:rsidRPr="004535E5" w:rsidRDefault="004535E5" w:rsidP="004535E5">
            <w:pPr>
              <w:numPr>
                <w:ilvl w:val="0"/>
                <w:numId w:val="30"/>
              </w:numPr>
              <w:spacing w:before="120" w:after="120"/>
              <w:rPr>
                <w:rFonts w:cs="Arial"/>
                <w:bCs/>
                <w:sz w:val="20"/>
                <w:szCs w:val="22"/>
              </w:rPr>
            </w:pPr>
            <w:proofErr w:type="gramStart"/>
            <w:r w:rsidRPr="004535E5">
              <w:rPr>
                <w:rFonts w:cs="Arial"/>
                <w:bCs/>
                <w:sz w:val="20"/>
                <w:szCs w:val="22"/>
              </w:rPr>
              <w:t>develop</w:t>
            </w:r>
            <w:proofErr w:type="gramEnd"/>
            <w:r w:rsidRPr="004535E5">
              <w:rPr>
                <w:rFonts w:cs="Arial"/>
                <w:bCs/>
                <w:sz w:val="20"/>
                <w:szCs w:val="22"/>
              </w:rPr>
              <w:t xml:space="preserve"> and implement a consistent form of Collection Notice that will be provided to all Patients (for example, by requiring Vaccine Providers to provide this Collection Notice to all Patients). We consider that this option would represent privacy best practice, and could be implemented, for example, by:</w:t>
            </w:r>
          </w:p>
          <w:p w14:paraId="0E243B48" w14:textId="77777777" w:rsidR="004535E5" w:rsidRPr="004535E5" w:rsidRDefault="004535E5" w:rsidP="004535E5">
            <w:pPr>
              <w:numPr>
                <w:ilvl w:val="1"/>
                <w:numId w:val="30"/>
              </w:numPr>
              <w:spacing w:before="120" w:after="120"/>
              <w:rPr>
                <w:rFonts w:cs="Arial"/>
                <w:bCs/>
                <w:sz w:val="20"/>
                <w:szCs w:val="22"/>
              </w:rPr>
            </w:pPr>
            <w:r w:rsidRPr="004535E5">
              <w:rPr>
                <w:rFonts w:cs="Arial"/>
                <w:bCs/>
                <w:sz w:val="20"/>
                <w:szCs w:val="22"/>
              </w:rPr>
              <w:t xml:space="preserve">a separate form of Collection Notice being developed by Health, with Vaccine Providers instructed (during the </w:t>
            </w:r>
            <w:proofErr w:type="spellStart"/>
            <w:r w:rsidRPr="004535E5">
              <w:rPr>
                <w:rFonts w:cs="Arial"/>
                <w:bCs/>
                <w:sz w:val="20"/>
                <w:szCs w:val="22"/>
              </w:rPr>
              <w:t>onboarding</w:t>
            </w:r>
            <w:proofErr w:type="spellEnd"/>
            <w:r w:rsidRPr="004535E5">
              <w:rPr>
                <w:rFonts w:cs="Arial"/>
                <w:bCs/>
                <w:sz w:val="20"/>
                <w:szCs w:val="22"/>
              </w:rPr>
              <w:t xml:space="preserve"> process) to provide a copy to the Patient:</w:t>
            </w:r>
          </w:p>
          <w:p w14:paraId="7F764B25" w14:textId="77777777" w:rsidR="004535E5" w:rsidRDefault="004535E5" w:rsidP="004535E5">
            <w:pPr>
              <w:numPr>
                <w:ilvl w:val="2"/>
                <w:numId w:val="30"/>
              </w:numPr>
              <w:spacing w:before="120" w:after="120"/>
              <w:rPr>
                <w:rFonts w:cs="Arial"/>
                <w:bCs/>
                <w:sz w:val="20"/>
                <w:szCs w:val="22"/>
              </w:rPr>
            </w:pPr>
            <w:r w:rsidRPr="004535E5">
              <w:rPr>
                <w:rFonts w:cs="Arial"/>
                <w:bCs/>
                <w:sz w:val="20"/>
                <w:szCs w:val="22"/>
              </w:rPr>
              <w:t xml:space="preserve">ideally, at the first point of collection, being the time that the Patient makes a booking with the relevant Vaccine Provider (i.e. through the Vaccine Provider’s booking system); or </w:t>
            </w:r>
          </w:p>
          <w:p w14:paraId="5102D494" w14:textId="59F0A1A6" w:rsidR="004535E5" w:rsidRPr="004535E5" w:rsidRDefault="004535E5" w:rsidP="004535E5">
            <w:pPr>
              <w:numPr>
                <w:ilvl w:val="2"/>
                <w:numId w:val="30"/>
              </w:numPr>
              <w:spacing w:before="120" w:after="120"/>
              <w:rPr>
                <w:rFonts w:cs="Arial"/>
                <w:bCs/>
                <w:sz w:val="20"/>
                <w:szCs w:val="22"/>
              </w:rPr>
            </w:pPr>
            <w:r w:rsidRPr="004535E5">
              <w:rPr>
                <w:rFonts w:cs="Arial"/>
                <w:bCs/>
                <w:sz w:val="20"/>
                <w:szCs w:val="22"/>
              </w:rPr>
              <w:t>if this is not practical in the circumstances, at the time of administering each dose of the vaccine; or</w:t>
            </w:r>
            <w:r w:rsidRPr="004535E5">
              <w:rPr>
                <w:rFonts w:cs="Arial"/>
                <w:sz w:val="20"/>
                <w:szCs w:val="22"/>
              </w:rPr>
              <w:t xml:space="preserve"> </w:t>
            </w:r>
          </w:p>
          <w:p w14:paraId="74A21D0F" w14:textId="77777777" w:rsidR="004535E5" w:rsidRPr="004535E5" w:rsidRDefault="004535E5" w:rsidP="004535E5">
            <w:pPr>
              <w:numPr>
                <w:ilvl w:val="1"/>
                <w:numId w:val="30"/>
              </w:numPr>
              <w:spacing w:before="120" w:after="120"/>
              <w:rPr>
                <w:rFonts w:cs="Arial"/>
                <w:bCs/>
                <w:sz w:val="20"/>
                <w:szCs w:val="22"/>
              </w:rPr>
            </w:pPr>
            <w:r w:rsidRPr="004535E5">
              <w:rPr>
                <w:rFonts w:cs="Arial"/>
                <w:bCs/>
                <w:sz w:val="20"/>
                <w:szCs w:val="22"/>
              </w:rPr>
              <w:t>if other information must be provided to Patients by Vaccine Providers, a Collection Notice being included in that material (e.g. as part of information about the vaccine possible side-effects and what to do in the event of an adverse reaction, or in a form used to obtain a Patient’s consent to receive the vaccine, which Health makes available to Vaccine Providers). We note that it may not be practical for a lengthy notice to be included in that material, but Health could adopt a ‘layered’ approach, as contemplated by the APP Guidelines. Such an approach would involve the material including a brief notice, with a reference (such as a website address or QR code) to a more comprehensive notice containing additional information about the APP 5.2 matters; or</w:t>
            </w:r>
          </w:p>
          <w:p w14:paraId="0A41CCDA" w14:textId="5A53F942" w:rsidR="004535E5" w:rsidRPr="004535E5" w:rsidRDefault="004535E5" w:rsidP="004535E5">
            <w:pPr>
              <w:numPr>
                <w:ilvl w:val="0"/>
                <w:numId w:val="30"/>
              </w:numPr>
              <w:spacing w:before="120" w:after="120"/>
              <w:rPr>
                <w:rFonts w:cs="Arial"/>
                <w:sz w:val="20"/>
                <w:szCs w:val="22"/>
              </w:rPr>
            </w:pPr>
            <w:proofErr w:type="gramStart"/>
            <w:r w:rsidRPr="004535E5">
              <w:rPr>
                <w:rFonts w:cs="Arial"/>
                <w:bCs/>
                <w:sz w:val="20"/>
                <w:szCs w:val="22"/>
              </w:rPr>
              <w:t>adopt</w:t>
            </w:r>
            <w:proofErr w:type="gramEnd"/>
            <w:r w:rsidRPr="004535E5">
              <w:rPr>
                <w:rFonts w:cs="Arial"/>
                <w:bCs/>
                <w:sz w:val="20"/>
                <w:szCs w:val="22"/>
              </w:rPr>
              <w:t xml:space="preserve"> a range of other strategies that are reasonable in the circumstances to ensure that Patients are made aware of how their Patient Information will be handled in connection with the Vaccine Strategy. This could include</w:t>
            </w:r>
            <w:r w:rsidR="008579EB">
              <w:rPr>
                <w:rFonts w:cs="Arial"/>
                <w:bCs/>
                <w:sz w:val="20"/>
                <w:szCs w:val="22"/>
              </w:rPr>
              <w:t xml:space="preserve"> Health</w:t>
            </w:r>
            <w:r w:rsidRPr="004535E5">
              <w:rPr>
                <w:rFonts w:cs="Arial"/>
                <w:bCs/>
                <w:sz w:val="20"/>
                <w:szCs w:val="22"/>
              </w:rPr>
              <w:t>, for example:</w:t>
            </w:r>
          </w:p>
          <w:p w14:paraId="195C792D" w14:textId="77777777" w:rsidR="004535E5" w:rsidRPr="004535E5" w:rsidRDefault="004535E5" w:rsidP="004535E5">
            <w:pPr>
              <w:numPr>
                <w:ilvl w:val="1"/>
                <w:numId w:val="30"/>
              </w:numPr>
              <w:spacing w:before="120" w:after="120"/>
              <w:rPr>
                <w:rFonts w:cs="Arial"/>
                <w:bCs/>
                <w:sz w:val="20"/>
                <w:szCs w:val="22"/>
              </w:rPr>
            </w:pPr>
            <w:r w:rsidRPr="004535E5">
              <w:rPr>
                <w:rFonts w:cs="Arial"/>
                <w:bCs/>
                <w:sz w:val="20"/>
                <w:szCs w:val="22"/>
              </w:rPr>
              <w:t>advising Vaccine Providers that they should inform Patients about how their Patient Information will be handled in connection with the Vaccine Strategy, for example through the Vaccine Provider’s booking system, or by oral or written means when the Patient attends their appointment;</w:t>
            </w:r>
          </w:p>
          <w:p w14:paraId="0BA16CBF" w14:textId="77777777" w:rsidR="004535E5" w:rsidRPr="004535E5" w:rsidRDefault="004535E5" w:rsidP="004535E5">
            <w:pPr>
              <w:numPr>
                <w:ilvl w:val="1"/>
                <w:numId w:val="30"/>
              </w:numPr>
              <w:spacing w:before="120" w:after="120"/>
              <w:rPr>
                <w:rFonts w:cs="Arial"/>
                <w:bCs/>
                <w:sz w:val="20"/>
                <w:szCs w:val="22"/>
              </w:rPr>
            </w:pPr>
            <w:r w:rsidRPr="004535E5">
              <w:rPr>
                <w:rFonts w:cs="Arial"/>
                <w:bCs/>
                <w:sz w:val="20"/>
                <w:szCs w:val="22"/>
              </w:rPr>
              <w:t xml:space="preserve">ensuring that Vaccine Providers are given appropriate training about what Patients should be told in relation to the handling of their Patient Information, and how the message should be communicated to Patients; </w:t>
            </w:r>
          </w:p>
          <w:p w14:paraId="4AD5941B" w14:textId="3DA5918F" w:rsidR="004535E5" w:rsidRPr="004535E5" w:rsidRDefault="004535E5" w:rsidP="004535E5">
            <w:pPr>
              <w:numPr>
                <w:ilvl w:val="1"/>
                <w:numId w:val="30"/>
              </w:numPr>
              <w:spacing w:before="120" w:after="120"/>
              <w:rPr>
                <w:rFonts w:cs="Arial"/>
                <w:bCs/>
                <w:sz w:val="20"/>
                <w:szCs w:val="22"/>
              </w:rPr>
            </w:pPr>
            <w:r w:rsidRPr="004535E5">
              <w:rPr>
                <w:rFonts w:cs="Arial"/>
                <w:bCs/>
                <w:sz w:val="20"/>
                <w:szCs w:val="22"/>
              </w:rPr>
              <w:t xml:space="preserve"> developing and distributing material for Patients that contains the relevant information, for example, standardised content developed by Health for Vaccine Providers to provide to Patients;</w:t>
            </w:r>
          </w:p>
          <w:p w14:paraId="7E9FBCE7" w14:textId="0FA27F15" w:rsidR="004535E5" w:rsidRPr="004535E5" w:rsidRDefault="004535E5" w:rsidP="004535E5">
            <w:pPr>
              <w:numPr>
                <w:ilvl w:val="1"/>
                <w:numId w:val="30"/>
              </w:numPr>
              <w:spacing w:before="120" w:after="120"/>
              <w:rPr>
                <w:rFonts w:cs="Arial"/>
                <w:bCs/>
                <w:sz w:val="20"/>
                <w:szCs w:val="22"/>
              </w:rPr>
            </w:pPr>
            <w:r w:rsidRPr="004535E5">
              <w:rPr>
                <w:rFonts w:cs="Arial"/>
                <w:bCs/>
                <w:sz w:val="20"/>
                <w:szCs w:val="22"/>
              </w:rPr>
              <w:t xml:space="preserve"> issuing Vaccine Providers with </w:t>
            </w:r>
            <w:r w:rsidR="008579EB">
              <w:rPr>
                <w:rFonts w:cs="Arial"/>
                <w:bCs/>
                <w:sz w:val="20"/>
                <w:szCs w:val="22"/>
              </w:rPr>
              <w:t>guidance</w:t>
            </w:r>
            <w:r w:rsidRPr="004535E5">
              <w:rPr>
                <w:rFonts w:cs="Arial"/>
                <w:bCs/>
                <w:sz w:val="20"/>
                <w:szCs w:val="22"/>
              </w:rPr>
              <w:t xml:space="preserve"> that includes a </w:t>
            </w:r>
            <w:r w:rsidR="008579EB">
              <w:rPr>
                <w:rFonts w:cs="Arial"/>
                <w:bCs/>
                <w:sz w:val="20"/>
                <w:szCs w:val="22"/>
              </w:rPr>
              <w:t>reminder</w:t>
            </w:r>
            <w:r w:rsidRPr="004535E5">
              <w:rPr>
                <w:rFonts w:cs="Arial"/>
                <w:bCs/>
                <w:sz w:val="20"/>
                <w:szCs w:val="22"/>
              </w:rPr>
              <w:t xml:space="preserve"> for them to provide the relevant information to Patients (this may include, for example, a clear explanation of their obligations under the Privacy Act, including to provide Patients with appropriate Collection Notices); </w:t>
            </w:r>
          </w:p>
          <w:p w14:paraId="511ED5BD" w14:textId="01EEBD9E" w:rsidR="004535E5" w:rsidRPr="004535E5" w:rsidRDefault="004535E5" w:rsidP="004535E5">
            <w:pPr>
              <w:numPr>
                <w:ilvl w:val="1"/>
                <w:numId w:val="30"/>
              </w:numPr>
              <w:spacing w:before="120" w:after="120"/>
              <w:rPr>
                <w:rFonts w:cs="Arial"/>
                <w:bCs/>
                <w:sz w:val="20"/>
                <w:szCs w:val="22"/>
              </w:rPr>
            </w:pPr>
            <w:r w:rsidRPr="004535E5">
              <w:rPr>
                <w:rFonts w:cs="Arial"/>
                <w:bCs/>
                <w:sz w:val="20"/>
                <w:szCs w:val="22"/>
              </w:rPr>
              <w:t xml:space="preserve">including the relevant information on its website (which could also potentially include a Vaccine Strategy specific Privacy Policy, as discussed in </w:t>
            </w:r>
            <w:r w:rsidRPr="004535E5">
              <w:rPr>
                <w:rFonts w:cs="Arial"/>
                <w:b/>
                <w:sz w:val="20"/>
                <w:szCs w:val="22"/>
              </w:rPr>
              <w:fldChar w:fldCharType="begin"/>
            </w:r>
            <w:r w:rsidRPr="005D23E0">
              <w:rPr>
                <w:rFonts w:cs="Arial"/>
                <w:b/>
                <w:sz w:val="20"/>
                <w:szCs w:val="22"/>
              </w:rPr>
              <w:instrText xml:space="preserve"> REF _Ref58243123 \r \h  \* MERGEFORMAT </w:instrText>
            </w:r>
            <w:r w:rsidRPr="004535E5">
              <w:rPr>
                <w:rFonts w:cs="Arial"/>
                <w:b/>
                <w:sz w:val="20"/>
                <w:szCs w:val="22"/>
              </w:rPr>
            </w:r>
            <w:r w:rsidRPr="004535E5">
              <w:rPr>
                <w:rFonts w:cs="Arial"/>
                <w:b/>
                <w:sz w:val="20"/>
                <w:szCs w:val="22"/>
              </w:rPr>
              <w:fldChar w:fldCharType="separate"/>
            </w:r>
            <w:r w:rsidRPr="005D23E0">
              <w:rPr>
                <w:rFonts w:cs="Arial"/>
                <w:b/>
                <w:sz w:val="20"/>
                <w:szCs w:val="22"/>
              </w:rPr>
              <w:t>Recommendation</w:t>
            </w:r>
            <w:r w:rsidRPr="004535E5">
              <w:rPr>
                <w:rFonts w:cs="Arial"/>
                <w:sz w:val="20"/>
                <w:szCs w:val="22"/>
              </w:rPr>
              <w:t xml:space="preserve"> </w:t>
            </w:r>
            <w:r w:rsidRPr="005D23E0">
              <w:rPr>
                <w:rFonts w:cs="Arial"/>
                <w:b/>
                <w:sz w:val="20"/>
                <w:szCs w:val="22"/>
              </w:rPr>
              <w:t>1</w:t>
            </w:r>
            <w:r w:rsidRPr="004535E5">
              <w:rPr>
                <w:rFonts w:cs="Arial"/>
                <w:sz w:val="20"/>
                <w:szCs w:val="22"/>
              </w:rPr>
              <w:fldChar w:fldCharType="end"/>
            </w:r>
            <w:r w:rsidRPr="004535E5">
              <w:rPr>
                <w:rFonts w:cs="Arial"/>
                <w:bCs/>
                <w:sz w:val="20"/>
                <w:szCs w:val="22"/>
              </w:rPr>
              <w:t>); and</w:t>
            </w:r>
          </w:p>
          <w:p w14:paraId="26FA9C30" w14:textId="77777777" w:rsidR="004535E5" w:rsidRPr="004535E5" w:rsidRDefault="004535E5" w:rsidP="004535E5">
            <w:pPr>
              <w:numPr>
                <w:ilvl w:val="1"/>
                <w:numId w:val="30"/>
              </w:numPr>
              <w:spacing w:before="120" w:after="120"/>
              <w:rPr>
                <w:rFonts w:cs="Arial"/>
                <w:bCs/>
                <w:sz w:val="20"/>
                <w:szCs w:val="22"/>
              </w:rPr>
            </w:pPr>
            <w:proofErr w:type="gramStart"/>
            <w:r w:rsidRPr="004535E5">
              <w:rPr>
                <w:rFonts w:cs="Arial"/>
                <w:bCs/>
                <w:sz w:val="20"/>
                <w:szCs w:val="22"/>
              </w:rPr>
              <w:t>ensuring</w:t>
            </w:r>
            <w:proofErr w:type="gramEnd"/>
            <w:r w:rsidRPr="004535E5">
              <w:rPr>
                <w:rFonts w:cs="Arial"/>
                <w:bCs/>
                <w:sz w:val="20"/>
                <w:szCs w:val="22"/>
              </w:rPr>
              <w:t xml:space="preserve"> that appropriate public communication strategies are implemented (as discussed in relation to </w:t>
            </w:r>
            <w:r w:rsidRPr="004535E5">
              <w:rPr>
                <w:rFonts w:cs="Arial"/>
                <w:sz w:val="20"/>
                <w:szCs w:val="22"/>
              </w:rPr>
              <w:fldChar w:fldCharType="begin"/>
            </w:r>
            <w:r w:rsidRPr="004535E5">
              <w:rPr>
                <w:rFonts w:cs="Arial"/>
                <w:sz w:val="20"/>
                <w:szCs w:val="22"/>
              </w:rPr>
              <w:instrText xml:space="preserve"> REF _Ref58258828 \r \h  \* MERGEFORMAT </w:instrText>
            </w:r>
            <w:r w:rsidRPr="004535E5">
              <w:rPr>
                <w:rFonts w:cs="Arial"/>
                <w:sz w:val="20"/>
                <w:szCs w:val="22"/>
              </w:rPr>
            </w:r>
            <w:r w:rsidRPr="004535E5">
              <w:rPr>
                <w:rFonts w:cs="Arial"/>
                <w:sz w:val="20"/>
                <w:szCs w:val="22"/>
              </w:rPr>
              <w:fldChar w:fldCharType="separate"/>
            </w:r>
            <w:r w:rsidRPr="005D23E0">
              <w:rPr>
                <w:rFonts w:cs="Arial"/>
                <w:b/>
                <w:sz w:val="20"/>
                <w:szCs w:val="22"/>
              </w:rPr>
              <w:t>Recommendation</w:t>
            </w:r>
            <w:r w:rsidRPr="004535E5">
              <w:rPr>
                <w:rFonts w:cs="Arial"/>
                <w:sz w:val="20"/>
                <w:szCs w:val="22"/>
              </w:rPr>
              <w:t> </w:t>
            </w:r>
            <w:r w:rsidRPr="005D23E0">
              <w:rPr>
                <w:rFonts w:cs="Arial"/>
                <w:b/>
                <w:sz w:val="20"/>
                <w:szCs w:val="22"/>
              </w:rPr>
              <w:t>2</w:t>
            </w:r>
            <w:r w:rsidRPr="004535E5">
              <w:rPr>
                <w:rFonts w:cs="Arial"/>
                <w:sz w:val="20"/>
                <w:szCs w:val="22"/>
              </w:rPr>
              <w:fldChar w:fldCharType="end"/>
            </w:r>
            <w:r w:rsidRPr="004535E5">
              <w:rPr>
                <w:rFonts w:cs="Arial"/>
                <w:bCs/>
                <w:sz w:val="20"/>
                <w:szCs w:val="22"/>
              </w:rPr>
              <w:t>).</w:t>
            </w:r>
          </w:p>
          <w:p w14:paraId="77469FD2" w14:textId="60273A17" w:rsidR="004535E5" w:rsidRPr="004535E5" w:rsidRDefault="004535E5" w:rsidP="004535E5">
            <w:pPr>
              <w:spacing w:before="120" w:after="120"/>
              <w:rPr>
                <w:rFonts w:cs="Arial"/>
                <w:b/>
                <w:i/>
                <w:iCs/>
                <w:sz w:val="20"/>
                <w:szCs w:val="22"/>
              </w:rPr>
            </w:pPr>
            <w:r w:rsidRPr="004535E5">
              <w:rPr>
                <w:rFonts w:cs="Arial"/>
                <w:b/>
                <w:i/>
                <w:iCs/>
                <w:sz w:val="20"/>
                <w:szCs w:val="22"/>
              </w:rPr>
              <w:t xml:space="preserve">Vaccinators and Provider Personnel, and </w:t>
            </w:r>
            <w:r w:rsidR="008579EB">
              <w:rPr>
                <w:rFonts w:cs="Arial"/>
                <w:b/>
                <w:i/>
                <w:iCs/>
                <w:sz w:val="20"/>
                <w:szCs w:val="22"/>
              </w:rPr>
              <w:t>Distribution Chain</w:t>
            </w:r>
            <w:r w:rsidRPr="004535E5">
              <w:rPr>
                <w:rFonts w:cs="Arial"/>
                <w:b/>
                <w:i/>
                <w:iCs/>
                <w:sz w:val="20"/>
                <w:szCs w:val="22"/>
              </w:rPr>
              <w:t xml:space="preserve"> Personnel</w:t>
            </w:r>
          </w:p>
          <w:p w14:paraId="6B6E38F1" w14:textId="77777777" w:rsidR="004535E5" w:rsidRPr="004535E5" w:rsidRDefault="004535E5" w:rsidP="004535E5">
            <w:pPr>
              <w:spacing w:before="120" w:after="120"/>
              <w:rPr>
                <w:rFonts w:cs="Arial"/>
                <w:bCs/>
                <w:sz w:val="20"/>
                <w:szCs w:val="22"/>
              </w:rPr>
            </w:pPr>
            <w:r w:rsidRPr="004535E5">
              <w:rPr>
                <w:rFonts w:cs="Arial"/>
                <w:bCs/>
                <w:sz w:val="20"/>
                <w:szCs w:val="22"/>
              </w:rPr>
              <w:t xml:space="preserve">We </w:t>
            </w:r>
            <w:r w:rsidRPr="004535E5">
              <w:rPr>
                <w:rFonts w:cs="Arial"/>
                <w:b/>
                <w:sz w:val="20"/>
                <w:szCs w:val="22"/>
              </w:rPr>
              <w:t>recommend</w:t>
            </w:r>
            <w:r w:rsidRPr="004535E5">
              <w:rPr>
                <w:rFonts w:cs="Arial"/>
                <w:bCs/>
                <w:sz w:val="20"/>
                <w:szCs w:val="22"/>
              </w:rPr>
              <w:t xml:space="preserve"> that Health take steps to ensure that Vaccinators, Provider Personnel, and Contact Personnel also understand how their personal information will be handled. This could involve a</w:t>
            </w:r>
            <w:r w:rsidRPr="004535E5">
              <w:rPr>
                <w:rFonts w:cs="Arial"/>
                <w:sz w:val="20"/>
                <w:szCs w:val="22"/>
              </w:rPr>
              <w:t xml:space="preserve"> </w:t>
            </w:r>
            <w:r w:rsidRPr="004535E5">
              <w:rPr>
                <w:rFonts w:cs="Arial"/>
                <w:bCs/>
                <w:sz w:val="20"/>
                <w:szCs w:val="22"/>
              </w:rPr>
              <w:t>Collection Notice or other relevant information (as discussed in relation to Patients) being provided to:</w:t>
            </w:r>
          </w:p>
          <w:p w14:paraId="7E8B66EA" w14:textId="77777777" w:rsidR="004535E5" w:rsidRPr="004535E5" w:rsidRDefault="004535E5" w:rsidP="004535E5">
            <w:pPr>
              <w:numPr>
                <w:ilvl w:val="0"/>
                <w:numId w:val="30"/>
              </w:numPr>
              <w:spacing w:before="120" w:after="120"/>
              <w:rPr>
                <w:rFonts w:cs="Arial"/>
                <w:bCs/>
                <w:sz w:val="20"/>
                <w:szCs w:val="22"/>
              </w:rPr>
            </w:pPr>
            <w:r w:rsidRPr="004535E5">
              <w:rPr>
                <w:rFonts w:cs="Arial"/>
                <w:bCs/>
                <w:sz w:val="20"/>
                <w:szCs w:val="22"/>
              </w:rPr>
              <w:t xml:space="preserve">Vaccinators and Provider Personnel – we suggest that this could be done as part of the </w:t>
            </w:r>
            <w:proofErr w:type="spellStart"/>
            <w:r w:rsidRPr="004535E5">
              <w:rPr>
                <w:rFonts w:cs="Arial"/>
                <w:bCs/>
                <w:sz w:val="20"/>
                <w:szCs w:val="22"/>
              </w:rPr>
              <w:t>onboarding</w:t>
            </w:r>
            <w:proofErr w:type="spellEnd"/>
            <w:r w:rsidRPr="004535E5">
              <w:rPr>
                <w:rFonts w:cs="Arial"/>
                <w:bCs/>
                <w:sz w:val="20"/>
                <w:szCs w:val="22"/>
              </w:rPr>
              <w:t xml:space="preserve"> process for the Vaccine Strategy (such as when they receive any relevant training to administer the COVID-19 vaccine, or use associated systems connected with the Vaccine Strategy); and </w:t>
            </w:r>
          </w:p>
          <w:p w14:paraId="3C6B4F4E" w14:textId="7C1003D0" w:rsidR="009E1A42" w:rsidRPr="004535E5" w:rsidRDefault="00E51C21" w:rsidP="004535E5">
            <w:pPr>
              <w:numPr>
                <w:ilvl w:val="0"/>
                <w:numId w:val="30"/>
              </w:numPr>
              <w:spacing w:before="120" w:after="120"/>
              <w:rPr>
                <w:rFonts w:cs="Arial"/>
                <w:sz w:val="20"/>
                <w:szCs w:val="22"/>
              </w:rPr>
            </w:pPr>
            <w:r>
              <w:rPr>
                <w:rFonts w:cs="Arial"/>
                <w:bCs/>
                <w:sz w:val="20"/>
                <w:szCs w:val="22"/>
              </w:rPr>
              <w:t>Distribution Chain</w:t>
            </w:r>
            <w:r w:rsidR="004535E5" w:rsidRPr="004535E5">
              <w:rPr>
                <w:rFonts w:cs="Arial"/>
                <w:bCs/>
                <w:sz w:val="20"/>
                <w:szCs w:val="22"/>
              </w:rPr>
              <w:t xml:space="preserve"> Personnel –</w:t>
            </w:r>
            <w:r w:rsidR="004535E5" w:rsidRPr="004535E5">
              <w:rPr>
                <w:rFonts w:cs="Arial"/>
                <w:sz w:val="20"/>
                <w:szCs w:val="22"/>
              </w:rPr>
              <w:t xml:space="preserve"> </w:t>
            </w:r>
            <w:r w:rsidR="004535E5" w:rsidRPr="004535E5">
              <w:rPr>
                <w:rFonts w:cs="Arial"/>
                <w:bCs/>
                <w:sz w:val="20"/>
                <w:szCs w:val="22"/>
              </w:rPr>
              <w:t>we suggest that</w:t>
            </w:r>
            <w:r w:rsidR="004535E5" w:rsidRPr="004535E5">
              <w:rPr>
                <w:rFonts w:cs="Arial"/>
                <w:sz w:val="20"/>
                <w:szCs w:val="22"/>
              </w:rPr>
              <w:t xml:space="preserve"> </w:t>
            </w:r>
            <w:r w:rsidR="004535E5" w:rsidRPr="004535E5">
              <w:rPr>
                <w:rFonts w:cs="Arial"/>
                <w:bCs/>
                <w:sz w:val="20"/>
                <w:szCs w:val="22"/>
              </w:rPr>
              <w:t xml:space="preserve">the details of who is to be responsible for providing the Collection Notice or relevant information should be determined as part of transition-in activities under the Logistics and Distribution Partner </w:t>
            </w:r>
            <w:r>
              <w:rPr>
                <w:rFonts w:cs="Arial"/>
                <w:bCs/>
                <w:sz w:val="20"/>
                <w:szCs w:val="22"/>
              </w:rPr>
              <w:t xml:space="preserve">Contract </w:t>
            </w:r>
            <w:r w:rsidR="004535E5" w:rsidRPr="004535E5">
              <w:rPr>
                <w:rFonts w:cs="Arial"/>
                <w:bCs/>
                <w:sz w:val="20"/>
                <w:szCs w:val="22"/>
              </w:rPr>
              <w:t xml:space="preserve">or the relevant </w:t>
            </w:r>
            <w:r>
              <w:rPr>
                <w:rFonts w:cs="Arial"/>
                <w:bCs/>
                <w:sz w:val="20"/>
                <w:szCs w:val="22"/>
              </w:rPr>
              <w:t>Supply Agreement</w:t>
            </w:r>
            <w:r w:rsidR="004535E5" w:rsidRPr="004535E5">
              <w:rPr>
                <w:rFonts w:cs="Arial"/>
                <w:bCs/>
                <w:sz w:val="20"/>
                <w:szCs w:val="22"/>
              </w:rPr>
              <w:t>.</w:t>
            </w:r>
          </w:p>
        </w:tc>
      </w:tr>
      <w:tr w:rsidR="005579D1" w:rsidRPr="000261B0" w14:paraId="519502E2" w14:textId="77777777" w:rsidTr="00A2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0616C4A" w14:textId="77777777" w:rsidR="005579D1" w:rsidRPr="003837AD" w:rsidRDefault="00DF66E4" w:rsidP="00B67D98">
            <w:pPr>
              <w:pStyle w:val="Tabletextleft"/>
              <w:rPr>
                <w:sz w:val="20"/>
              </w:rPr>
            </w:pPr>
            <w:r w:rsidRPr="003837AD">
              <w:rPr>
                <w:sz w:val="20"/>
              </w:rPr>
              <w:t>R</w:t>
            </w:r>
            <w:r w:rsidR="005579D1" w:rsidRPr="003837AD">
              <w:rPr>
                <w:sz w:val="20"/>
              </w:rPr>
              <w:t>esponse</w:t>
            </w:r>
          </w:p>
        </w:tc>
        <w:tc>
          <w:tcPr>
            <w:tcW w:w="5953" w:type="dxa"/>
          </w:tcPr>
          <w:p w14:paraId="27376BD2" w14:textId="77777777" w:rsidR="001344B6" w:rsidRDefault="001344B6" w:rsidP="00DB42F8">
            <w:pPr>
              <w:spacing w:after="160"/>
              <w:cnfStyle w:val="000000010000" w:firstRow="0" w:lastRow="0" w:firstColumn="0" w:lastColumn="0" w:oddVBand="0" w:evenVBand="0" w:oddHBand="0" w:evenHBand="1" w:firstRowFirstColumn="0" w:firstRowLastColumn="0" w:lastRowFirstColumn="0" w:lastRowLastColumn="0"/>
              <w:rPr>
                <w:sz w:val="20"/>
              </w:rPr>
            </w:pPr>
            <w:r>
              <w:rPr>
                <w:sz w:val="20"/>
              </w:rPr>
              <w:t xml:space="preserve">Agreed. </w:t>
            </w:r>
          </w:p>
          <w:p w14:paraId="5EC6C0B4" w14:textId="7697D993" w:rsidR="00975E3D" w:rsidRDefault="001344B6" w:rsidP="001344B6">
            <w:pPr>
              <w:cnfStyle w:val="000000010000" w:firstRow="0" w:lastRow="0" w:firstColumn="0" w:lastColumn="0" w:oddVBand="0" w:evenVBand="0" w:oddHBand="0" w:evenHBand="1" w:firstRowFirstColumn="0" w:firstRowLastColumn="0" w:lastRowFirstColumn="0" w:lastRowLastColumn="0"/>
              <w:rPr>
                <w:sz w:val="20"/>
              </w:rPr>
            </w:pPr>
            <w:r>
              <w:rPr>
                <w:sz w:val="20"/>
              </w:rPr>
              <w:t>A</w:t>
            </w:r>
            <w:r w:rsidR="0086777E" w:rsidRPr="001344B6">
              <w:rPr>
                <w:sz w:val="20"/>
              </w:rPr>
              <w:t xml:space="preserve">s mentioned </w:t>
            </w:r>
            <w:r>
              <w:rPr>
                <w:sz w:val="20"/>
              </w:rPr>
              <w:t>in the response to Recommendation 2</w:t>
            </w:r>
            <w:r w:rsidR="0086777E" w:rsidRPr="001344B6">
              <w:rPr>
                <w:sz w:val="20"/>
              </w:rPr>
              <w:t xml:space="preserve">, </w:t>
            </w:r>
            <w:r w:rsidR="00204B2B" w:rsidRPr="001344B6">
              <w:rPr>
                <w:sz w:val="20"/>
              </w:rPr>
              <w:t xml:space="preserve">Health </w:t>
            </w:r>
            <w:r>
              <w:rPr>
                <w:sz w:val="20"/>
              </w:rPr>
              <w:t>will ensure</w:t>
            </w:r>
            <w:r w:rsidR="009C2498" w:rsidRPr="001344B6">
              <w:rPr>
                <w:sz w:val="20"/>
              </w:rPr>
              <w:t xml:space="preserve"> awareness</w:t>
            </w:r>
            <w:r w:rsidR="00301F8D" w:rsidRPr="001344B6">
              <w:rPr>
                <w:sz w:val="20"/>
              </w:rPr>
              <w:t xml:space="preserve"> </w:t>
            </w:r>
            <w:r w:rsidR="00DC71B4" w:rsidRPr="001344B6">
              <w:rPr>
                <w:sz w:val="20"/>
              </w:rPr>
              <w:t xml:space="preserve">among patients </w:t>
            </w:r>
            <w:r w:rsidR="00D72323" w:rsidRPr="001344B6">
              <w:rPr>
                <w:sz w:val="20"/>
              </w:rPr>
              <w:t>through a broad ranging communications strategy</w:t>
            </w:r>
            <w:r w:rsidR="00B67D98" w:rsidRPr="001344B6">
              <w:rPr>
                <w:sz w:val="20"/>
              </w:rPr>
              <w:t xml:space="preserve"> and layered approach </w:t>
            </w:r>
            <w:r w:rsidR="005D23E0">
              <w:rPr>
                <w:sz w:val="20"/>
              </w:rPr>
              <w:t xml:space="preserve">to </w:t>
            </w:r>
            <w:r w:rsidR="00C45673" w:rsidRPr="001344B6">
              <w:rPr>
                <w:sz w:val="20"/>
              </w:rPr>
              <w:t>privacy matters</w:t>
            </w:r>
            <w:r w:rsidR="005D23E0">
              <w:rPr>
                <w:sz w:val="20"/>
              </w:rPr>
              <w:t>. This includes publishing</w:t>
            </w:r>
            <w:r w:rsidR="00BE4C4B" w:rsidRPr="001344B6">
              <w:rPr>
                <w:sz w:val="20"/>
              </w:rPr>
              <w:t xml:space="preserve"> </w:t>
            </w:r>
            <w:r w:rsidR="007A5C4A">
              <w:rPr>
                <w:sz w:val="20"/>
              </w:rPr>
              <w:t xml:space="preserve">training and </w:t>
            </w:r>
            <w:r w:rsidR="00BE4C4B" w:rsidRPr="001344B6">
              <w:rPr>
                <w:sz w:val="20"/>
              </w:rPr>
              <w:t>guidance materials to immunisation providers</w:t>
            </w:r>
            <w:r w:rsidR="005D23E0">
              <w:rPr>
                <w:sz w:val="20"/>
              </w:rPr>
              <w:t xml:space="preserve"> and</w:t>
            </w:r>
            <w:r w:rsidR="0086777E" w:rsidRPr="001344B6">
              <w:rPr>
                <w:sz w:val="20"/>
              </w:rPr>
              <w:t xml:space="preserve"> </w:t>
            </w:r>
            <w:r w:rsidR="005D23E0">
              <w:rPr>
                <w:sz w:val="20"/>
              </w:rPr>
              <w:t>aged care facilities as well as</w:t>
            </w:r>
            <w:r w:rsidR="0086777E" w:rsidRPr="001344B6">
              <w:rPr>
                <w:sz w:val="20"/>
              </w:rPr>
              <w:t xml:space="preserve"> i</w:t>
            </w:r>
            <w:r w:rsidR="00BE4C4B" w:rsidRPr="001344B6">
              <w:rPr>
                <w:sz w:val="20"/>
              </w:rPr>
              <w:t>nformation sheet</w:t>
            </w:r>
            <w:r w:rsidR="007A5C4A">
              <w:rPr>
                <w:sz w:val="20"/>
              </w:rPr>
              <w:t>s</w:t>
            </w:r>
            <w:r w:rsidR="00BE4C4B" w:rsidRPr="001344B6">
              <w:rPr>
                <w:sz w:val="20"/>
              </w:rPr>
              <w:t xml:space="preserve"> for people receiving</w:t>
            </w:r>
            <w:r w:rsidR="0086777E" w:rsidRPr="001344B6">
              <w:rPr>
                <w:sz w:val="20"/>
              </w:rPr>
              <w:t xml:space="preserve"> the </w:t>
            </w:r>
            <w:r w:rsidR="00EA26BB" w:rsidRPr="001344B6">
              <w:rPr>
                <w:sz w:val="20"/>
              </w:rPr>
              <w:t>vaccin</w:t>
            </w:r>
            <w:r w:rsidR="00EA26BB">
              <w:rPr>
                <w:sz w:val="20"/>
              </w:rPr>
              <w:t>e</w:t>
            </w:r>
            <w:r w:rsidR="0086777E" w:rsidRPr="001344B6">
              <w:rPr>
                <w:sz w:val="20"/>
              </w:rPr>
              <w:t>.</w:t>
            </w:r>
            <w:r w:rsidR="005D23E0">
              <w:rPr>
                <w:sz w:val="20"/>
              </w:rPr>
              <w:t xml:space="preserve"> </w:t>
            </w:r>
          </w:p>
          <w:p w14:paraId="0FD12BA6" w14:textId="77777777" w:rsidR="00975E3D" w:rsidRDefault="00975E3D" w:rsidP="001344B6">
            <w:pPr>
              <w:cnfStyle w:val="000000010000" w:firstRow="0" w:lastRow="0" w:firstColumn="0" w:lastColumn="0" w:oddVBand="0" w:evenVBand="0" w:oddHBand="0" w:evenHBand="1" w:firstRowFirstColumn="0" w:firstRowLastColumn="0" w:lastRowFirstColumn="0" w:lastRowLastColumn="0"/>
              <w:rPr>
                <w:sz w:val="20"/>
              </w:rPr>
            </w:pPr>
          </w:p>
          <w:p w14:paraId="3DA8EB4B" w14:textId="24A533D1" w:rsidR="001344B6" w:rsidRDefault="00967062" w:rsidP="001344B6">
            <w:pPr>
              <w:cnfStyle w:val="000000010000" w:firstRow="0" w:lastRow="0" w:firstColumn="0" w:lastColumn="0" w:oddVBand="0" w:evenVBand="0" w:oddHBand="0" w:evenHBand="1" w:firstRowFirstColumn="0" w:firstRowLastColumn="0" w:lastRowFirstColumn="0" w:lastRowLastColumn="0"/>
              <w:rPr>
                <w:sz w:val="20"/>
              </w:rPr>
            </w:pPr>
            <w:hyperlink r:id="rId13" w:history="1">
              <w:r w:rsidR="005D23E0" w:rsidRPr="00975E3D">
                <w:rPr>
                  <w:rStyle w:val="Hyperlink"/>
                  <w:sz w:val="20"/>
                </w:rPr>
                <w:t>Information for providers</w:t>
              </w:r>
            </w:hyperlink>
            <w:r w:rsidR="005D23E0">
              <w:rPr>
                <w:sz w:val="20"/>
              </w:rPr>
              <w:t xml:space="preserve"> </w:t>
            </w:r>
            <w:r w:rsidR="00975E3D">
              <w:rPr>
                <w:sz w:val="20"/>
              </w:rPr>
              <w:t xml:space="preserve">has been made publicly available on the Health website. Health has included </w:t>
            </w:r>
            <w:r w:rsidR="00975E3D">
              <w:rPr>
                <w:sz w:val="20"/>
                <w:szCs w:val="20"/>
              </w:rPr>
              <w:t>g</w:t>
            </w:r>
            <w:r w:rsidR="008C2138">
              <w:rPr>
                <w:sz w:val="20"/>
                <w:szCs w:val="20"/>
              </w:rPr>
              <w:t xml:space="preserve">uidance </w:t>
            </w:r>
            <w:r w:rsidR="005D23E0">
              <w:rPr>
                <w:sz w:val="20"/>
                <w:szCs w:val="20"/>
              </w:rPr>
              <w:t>on seeking informed consent</w:t>
            </w:r>
            <w:r w:rsidR="00EA26BB">
              <w:rPr>
                <w:sz w:val="20"/>
                <w:szCs w:val="20"/>
              </w:rPr>
              <w:t>. This</w:t>
            </w:r>
            <w:r w:rsidR="00975E3D">
              <w:rPr>
                <w:sz w:val="20"/>
                <w:szCs w:val="20"/>
              </w:rPr>
              <w:t xml:space="preserve"> has been prepared by the A</w:t>
            </w:r>
            <w:r w:rsidR="00975E3D" w:rsidRPr="00975E3D">
              <w:rPr>
                <w:sz w:val="20"/>
                <w:szCs w:val="20"/>
              </w:rPr>
              <w:t>ustralian Technical Advisory Group on Immunisation (ATAGI)</w:t>
            </w:r>
            <w:r w:rsidR="00975E3D">
              <w:rPr>
                <w:sz w:val="20"/>
                <w:szCs w:val="20"/>
              </w:rPr>
              <w:t xml:space="preserve"> </w:t>
            </w:r>
            <w:r w:rsidR="00EA26BB">
              <w:rPr>
                <w:sz w:val="20"/>
                <w:szCs w:val="20"/>
              </w:rPr>
              <w:t xml:space="preserve">including </w:t>
            </w:r>
            <w:r w:rsidR="00975E3D">
              <w:rPr>
                <w:sz w:val="20"/>
                <w:szCs w:val="20"/>
              </w:rPr>
              <w:t xml:space="preserve">a template consent form. Training modules developed by Health </w:t>
            </w:r>
            <w:r w:rsidR="008C2138">
              <w:rPr>
                <w:sz w:val="20"/>
                <w:szCs w:val="20"/>
              </w:rPr>
              <w:t xml:space="preserve">remind providers to discuss privacy with patients. Health </w:t>
            </w:r>
            <w:r w:rsidR="008C2138">
              <w:rPr>
                <w:sz w:val="20"/>
              </w:rPr>
              <w:t>c</w:t>
            </w:r>
            <w:r w:rsidR="009C2498" w:rsidRPr="001344B6">
              <w:rPr>
                <w:sz w:val="20"/>
              </w:rPr>
              <w:t>ommunications</w:t>
            </w:r>
            <w:r w:rsidR="0086777E" w:rsidRPr="001344B6">
              <w:rPr>
                <w:sz w:val="20"/>
              </w:rPr>
              <w:t xml:space="preserve"> materials </w:t>
            </w:r>
            <w:r w:rsidR="009C2498" w:rsidRPr="001344B6">
              <w:rPr>
                <w:sz w:val="20"/>
              </w:rPr>
              <w:t xml:space="preserve">for patients </w:t>
            </w:r>
            <w:r w:rsidR="0086777E" w:rsidRPr="001344B6">
              <w:rPr>
                <w:sz w:val="20"/>
              </w:rPr>
              <w:t xml:space="preserve">include a </w:t>
            </w:r>
            <w:r w:rsidR="00BE4C4B" w:rsidRPr="001344B6">
              <w:rPr>
                <w:sz w:val="20"/>
              </w:rPr>
              <w:t>link to the Health website for further information</w:t>
            </w:r>
            <w:r w:rsidR="0086777E" w:rsidRPr="001344B6">
              <w:rPr>
                <w:sz w:val="20"/>
              </w:rPr>
              <w:t xml:space="preserve"> regarding privacy</w:t>
            </w:r>
            <w:r w:rsidR="00BE4C4B" w:rsidRPr="001344B6">
              <w:rPr>
                <w:sz w:val="20"/>
              </w:rPr>
              <w:t>.</w:t>
            </w:r>
            <w:r w:rsidR="001344B6">
              <w:rPr>
                <w:sz w:val="20"/>
              </w:rPr>
              <w:t xml:space="preserve"> </w:t>
            </w:r>
            <w:r w:rsidR="001344B6" w:rsidRPr="001344B6">
              <w:rPr>
                <w:sz w:val="20"/>
              </w:rPr>
              <w:t>The process of recording informed consent by immunisation providers does not need to differ from usual practice</w:t>
            </w:r>
            <w:r w:rsidR="001344B6">
              <w:rPr>
                <w:sz w:val="20"/>
              </w:rPr>
              <w:t>.</w:t>
            </w:r>
          </w:p>
          <w:p w14:paraId="6C9F12F2" w14:textId="74AFC047" w:rsidR="008C2138" w:rsidRDefault="008C2138" w:rsidP="001344B6">
            <w:pPr>
              <w:cnfStyle w:val="000000010000" w:firstRow="0" w:lastRow="0" w:firstColumn="0" w:lastColumn="0" w:oddVBand="0" w:evenVBand="0" w:oddHBand="0" w:evenHBand="1" w:firstRowFirstColumn="0" w:firstRowLastColumn="0" w:lastRowFirstColumn="0" w:lastRowLastColumn="0"/>
              <w:rPr>
                <w:sz w:val="20"/>
              </w:rPr>
            </w:pPr>
          </w:p>
          <w:p w14:paraId="5B05F1C2" w14:textId="1BED80C1" w:rsidR="001344B6" w:rsidRDefault="00DD0BB9" w:rsidP="001344B6">
            <w:pPr>
              <w:cnfStyle w:val="000000010000" w:firstRow="0" w:lastRow="0" w:firstColumn="0" w:lastColumn="0" w:oddVBand="0" w:evenVBand="0" w:oddHBand="0" w:evenHBand="1" w:firstRowFirstColumn="0" w:firstRowLastColumn="0" w:lastRowFirstColumn="0" w:lastRowLastColumn="0"/>
              <w:rPr>
                <w:sz w:val="20"/>
              </w:rPr>
            </w:pPr>
            <w:r>
              <w:rPr>
                <w:sz w:val="20"/>
              </w:rPr>
              <w:t xml:space="preserve">Health acknowledges the </w:t>
            </w:r>
            <w:r w:rsidRPr="00DD0BB9">
              <w:rPr>
                <w:sz w:val="20"/>
              </w:rPr>
              <w:t xml:space="preserve">view that collection begins at the time of an individual utilising the booking systems. In Phase 1.a, the Commonwealth will not be providing booking systems. As part of </w:t>
            </w:r>
            <w:r>
              <w:rPr>
                <w:sz w:val="20"/>
              </w:rPr>
              <w:t>future phases</w:t>
            </w:r>
            <w:r w:rsidRPr="00DD0BB9">
              <w:rPr>
                <w:sz w:val="20"/>
              </w:rPr>
              <w:t xml:space="preserve">, </w:t>
            </w:r>
            <w:r w:rsidR="00A20035">
              <w:rPr>
                <w:sz w:val="20"/>
              </w:rPr>
              <w:t>Health</w:t>
            </w:r>
            <w:r w:rsidRPr="00DD0BB9">
              <w:rPr>
                <w:sz w:val="20"/>
              </w:rPr>
              <w:t xml:space="preserve"> will consider </w:t>
            </w:r>
            <w:r w:rsidR="00A20035">
              <w:rPr>
                <w:sz w:val="20"/>
              </w:rPr>
              <w:t xml:space="preserve">the privacy requirements of </w:t>
            </w:r>
            <w:r w:rsidRPr="00DD0BB9">
              <w:rPr>
                <w:sz w:val="20"/>
              </w:rPr>
              <w:t xml:space="preserve">such booking systems (including </w:t>
            </w:r>
            <w:r w:rsidR="00A20035">
              <w:rPr>
                <w:sz w:val="20"/>
              </w:rPr>
              <w:t>through an updated PIA process)</w:t>
            </w:r>
            <w:r w:rsidRPr="00DD0BB9">
              <w:rPr>
                <w:sz w:val="20"/>
              </w:rPr>
              <w:t xml:space="preserve">. In addition, the department </w:t>
            </w:r>
            <w:r w:rsidR="00A20035">
              <w:rPr>
                <w:sz w:val="20"/>
              </w:rPr>
              <w:t>is</w:t>
            </w:r>
            <w:r w:rsidRPr="00DD0BB9">
              <w:rPr>
                <w:sz w:val="20"/>
              </w:rPr>
              <w:t xml:space="preserve"> implement</w:t>
            </w:r>
            <w:r w:rsidR="00A20035">
              <w:rPr>
                <w:sz w:val="20"/>
              </w:rPr>
              <w:t>ing</w:t>
            </w:r>
            <w:r w:rsidRPr="00DD0BB9">
              <w:rPr>
                <w:sz w:val="20"/>
              </w:rPr>
              <w:t xml:space="preserve"> strategies to </w:t>
            </w:r>
            <w:r w:rsidR="00A20035">
              <w:rPr>
                <w:sz w:val="20"/>
              </w:rPr>
              <w:t xml:space="preserve">ensure patient awareness of privacy protections. </w:t>
            </w:r>
          </w:p>
          <w:p w14:paraId="01711FE5" w14:textId="4E38BAFF" w:rsidR="002F27D0" w:rsidRDefault="002F27D0" w:rsidP="001344B6">
            <w:pPr>
              <w:cnfStyle w:val="000000010000" w:firstRow="0" w:lastRow="0" w:firstColumn="0" w:lastColumn="0" w:oddVBand="0" w:evenVBand="0" w:oddHBand="0" w:evenHBand="1" w:firstRowFirstColumn="0" w:firstRowLastColumn="0" w:lastRowFirstColumn="0" w:lastRowLastColumn="0"/>
              <w:rPr>
                <w:sz w:val="20"/>
              </w:rPr>
            </w:pPr>
          </w:p>
          <w:p w14:paraId="716AB954" w14:textId="12A11667" w:rsidR="002F27D0" w:rsidRPr="009D3CA5" w:rsidRDefault="002F27D0" w:rsidP="001344B6">
            <w:pPr>
              <w:cnfStyle w:val="000000010000" w:firstRow="0" w:lastRow="0" w:firstColumn="0" w:lastColumn="0" w:oddVBand="0" w:evenVBand="0" w:oddHBand="0" w:evenHBand="1" w:firstRowFirstColumn="0" w:firstRowLastColumn="0" w:lastRowFirstColumn="0" w:lastRowLastColumn="0"/>
              <w:rPr>
                <w:color w:val="auto"/>
                <w:sz w:val="20"/>
              </w:rPr>
            </w:pPr>
            <w:r w:rsidRPr="009D3CA5">
              <w:rPr>
                <w:color w:val="auto"/>
                <w:sz w:val="20"/>
                <w:szCs w:val="20"/>
              </w:rPr>
              <w:t xml:space="preserve">Guidance materials and training modules for vaccine providers will continue to be updated with relevant privacy-related information as the implementation of the Strategy progresses. For phase 1a, </w:t>
            </w:r>
            <w:r w:rsidRPr="009D3CA5">
              <w:rPr>
                <w:color w:val="auto"/>
                <w:sz w:val="20"/>
              </w:rPr>
              <w:t xml:space="preserve">Health notes that Vaccine providers are large-scale jurisdictional sites, rather than individuals. </w:t>
            </w:r>
            <w:r w:rsidRPr="009D3CA5">
              <w:rPr>
                <w:color w:val="auto"/>
                <w:sz w:val="20"/>
                <w:szCs w:val="20"/>
              </w:rPr>
              <w:t>Use and handling of Vaccinator information is consistent with current practices in the Australian Immunisation Register. Health will consider this carefully in future phases of the rollout.</w:t>
            </w:r>
          </w:p>
          <w:p w14:paraId="0B095491" w14:textId="77777777" w:rsidR="005D23E0" w:rsidRDefault="005D23E0" w:rsidP="00947080">
            <w:pPr>
              <w:cnfStyle w:val="000000010000" w:firstRow="0" w:lastRow="0" w:firstColumn="0" w:lastColumn="0" w:oddVBand="0" w:evenVBand="0" w:oddHBand="0" w:evenHBand="1" w:firstRowFirstColumn="0" w:firstRowLastColumn="0" w:lastRowFirstColumn="0" w:lastRowLastColumn="0"/>
              <w:rPr>
                <w:sz w:val="20"/>
                <w:szCs w:val="20"/>
              </w:rPr>
            </w:pPr>
          </w:p>
          <w:p w14:paraId="351A6B59" w14:textId="7E647A66" w:rsidR="00A9439D" w:rsidRPr="001344B6" w:rsidRDefault="001344B6" w:rsidP="002F27D0">
            <w:pPr>
              <w:cnfStyle w:val="000000010000" w:firstRow="0" w:lastRow="0" w:firstColumn="0" w:lastColumn="0" w:oddVBand="0" w:evenVBand="0" w:oddHBand="0" w:evenHBand="1" w:firstRowFirstColumn="0" w:firstRowLastColumn="0" w:lastRowFirstColumn="0" w:lastRowLastColumn="0"/>
              <w:rPr>
                <w:sz w:val="20"/>
              </w:rPr>
            </w:pPr>
            <w:r>
              <w:rPr>
                <w:sz w:val="20"/>
                <w:szCs w:val="20"/>
              </w:rPr>
              <w:t xml:space="preserve">Health </w:t>
            </w:r>
            <w:r w:rsidR="005D23E0">
              <w:rPr>
                <w:sz w:val="20"/>
              </w:rPr>
              <w:t>has ensured</w:t>
            </w:r>
            <w:r w:rsidR="007A5C4A">
              <w:rPr>
                <w:sz w:val="20"/>
              </w:rPr>
              <w:t xml:space="preserve"> clarity in roles and responsibilities in contracts with entities supporting the implementation of the Strategy, and will regularly review for compliance against contractual requirements</w:t>
            </w:r>
            <w:r w:rsidRPr="001344B6">
              <w:rPr>
                <w:sz w:val="20"/>
              </w:rPr>
              <w:t xml:space="preserve">. </w:t>
            </w:r>
          </w:p>
        </w:tc>
      </w:tr>
    </w:tbl>
    <w:p w14:paraId="5C9C71DD" w14:textId="77777777" w:rsidR="00D21770" w:rsidRPr="000261B0" w:rsidRDefault="00D21770" w:rsidP="00D21770">
      <w:pPr>
        <w:pStyle w:val="Paragraphtext"/>
        <w:rPr>
          <w:rFonts w:cs="Arial"/>
        </w:rPr>
      </w:pPr>
    </w:p>
    <w:tbl>
      <w:tblPr>
        <w:tblStyle w:val="DepartmentofHealthtable"/>
        <w:tblW w:w="0" w:type="auto"/>
        <w:tblLook w:val="04A0" w:firstRow="1" w:lastRow="0" w:firstColumn="1" w:lastColumn="0" w:noHBand="0" w:noVBand="1"/>
        <w:tblDescription w:val="&quot;&quot;"/>
      </w:tblPr>
      <w:tblGrid>
        <w:gridCol w:w="2407"/>
        <w:gridCol w:w="6098"/>
      </w:tblGrid>
      <w:tr w:rsidR="00D21770" w:rsidRPr="000261B0" w14:paraId="10966D1C" w14:textId="77777777" w:rsidTr="00D81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tcPr>
          <w:p w14:paraId="78C91C59" w14:textId="77777777" w:rsidR="00D21770" w:rsidRPr="000261B0" w:rsidRDefault="00D21770" w:rsidP="003837AD">
            <w:pPr>
              <w:pStyle w:val="TableHeaderWhite"/>
              <w:keepNext/>
              <w:rPr>
                <w:rFonts w:cs="Arial"/>
              </w:rPr>
            </w:pPr>
            <w:proofErr w:type="spellStart"/>
            <w:r w:rsidRPr="000261B0">
              <w:rPr>
                <w:rFonts w:cs="Arial"/>
              </w:rPr>
              <w:t>Maddocks</w:t>
            </w:r>
            <w:proofErr w:type="spellEnd"/>
            <w:r w:rsidRPr="000261B0">
              <w:rPr>
                <w:rFonts w:cs="Arial"/>
              </w:rPr>
              <w:t xml:space="preserve"> Recommendation 4: </w:t>
            </w:r>
          </w:p>
        </w:tc>
        <w:tc>
          <w:tcPr>
            <w:tcW w:w="6098" w:type="dxa"/>
          </w:tcPr>
          <w:p w14:paraId="56518634" w14:textId="437E3D94" w:rsidR="00D21770" w:rsidRPr="000261B0" w:rsidRDefault="003928B8" w:rsidP="003837AD">
            <w:pPr>
              <w:pStyle w:val="TableHeader"/>
              <w:keepNext/>
              <w:cnfStyle w:val="100000000000" w:firstRow="1" w:lastRow="0" w:firstColumn="0" w:lastColumn="0" w:oddVBand="0" w:evenVBand="0" w:oddHBand="0" w:evenHBand="0" w:firstRowFirstColumn="0" w:firstRowLastColumn="0" w:lastRowFirstColumn="0" w:lastRowLastColumn="0"/>
              <w:rPr>
                <w:rFonts w:cs="Arial"/>
              </w:rPr>
            </w:pPr>
            <w:bookmarkStart w:id="2" w:name="_Ref58273648"/>
            <w:r w:rsidRPr="00484059">
              <w:rPr>
                <w:bCs/>
              </w:rPr>
              <w:t>Partner Contracts</w:t>
            </w:r>
            <w:bookmarkEnd w:id="2"/>
          </w:p>
        </w:tc>
      </w:tr>
      <w:tr w:rsidR="00D21770" w:rsidRPr="000261B0" w14:paraId="16CE38B4" w14:textId="77777777" w:rsidTr="00A2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0F9D8B26" w14:textId="77777777" w:rsidR="00807E97" w:rsidRPr="003837AD" w:rsidRDefault="00807E97" w:rsidP="00EE2273">
            <w:pPr>
              <w:keepNext/>
              <w:spacing w:before="120" w:after="120"/>
              <w:rPr>
                <w:rFonts w:cs="Arial"/>
                <w:sz w:val="20"/>
              </w:rPr>
            </w:pPr>
            <w:r w:rsidRPr="003837AD">
              <w:rPr>
                <w:rFonts w:cs="Arial"/>
                <w:bCs/>
                <w:sz w:val="20"/>
              </w:rPr>
              <w:t xml:space="preserve">We </w:t>
            </w:r>
            <w:r w:rsidRPr="003837AD">
              <w:rPr>
                <w:rFonts w:cs="Arial"/>
                <w:b/>
                <w:sz w:val="20"/>
              </w:rPr>
              <w:t>recommend</w:t>
            </w:r>
            <w:r w:rsidRPr="003837AD">
              <w:rPr>
                <w:rFonts w:cs="Arial"/>
                <w:bCs/>
                <w:sz w:val="20"/>
              </w:rPr>
              <w:t xml:space="preserve"> that Health regularly reviews the privacy and security obligations in its Partner Contracts to ensure that they are appropriate, including whether any changes are needed to reflect any new or changed collections, uses or disclosures of personal information by the relevant Partner (including because of the introduction of new processes or system functionalities).</w:t>
            </w:r>
          </w:p>
          <w:p w14:paraId="58462A36" w14:textId="0E3B2F98" w:rsidR="00D21770" w:rsidRPr="003837AD" w:rsidRDefault="00D21770" w:rsidP="003837AD">
            <w:pPr>
              <w:keepNext/>
              <w:rPr>
                <w:rFonts w:cs="Arial"/>
                <w:sz w:val="20"/>
                <w:szCs w:val="21"/>
              </w:rPr>
            </w:pPr>
          </w:p>
        </w:tc>
      </w:tr>
      <w:tr w:rsidR="00D21770" w:rsidRPr="000261B0" w14:paraId="2A20E8EA" w14:textId="77777777" w:rsidTr="00A2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267B566F" w14:textId="77777777" w:rsidR="00D21770" w:rsidRPr="003837AD" w:rsidRDefault="00DF66E4" w:rsidP="00B67D98">
            <w:pPr>
              <w:pStyle w:val="Tabletextleft"/>
              <w:rPr>
                <w:sz w:val="20"/>
              </w:rPr>
            </w:pPr>
            <w:r w:rsidRPr="003837AD">
              <w:rPr>
                <w:sz w:val="20"/>
              </w:rPr>
              <w:t>R</w:t>
            </w:r>
            <w:r w:rsidR="00D21770" w:rsidRPr="003837AD">
              <w:rPr>
                <w:sz w:val="20"/>
              </w:rPr>
              <w:t>esponse</w:t>
            </w:r>
          </w:p>
        </w:tc>
        <w:tc>
          <w:tcPr>
            <w:tcW w:w="6098" w:type="dxa"/>
          </w:tcPr>
          <w:p w14:paraId="34EE041F" w14:textId="0A5F16B1" w:rsidR="00C45673" w:rsidRPr="003837AD" w:rsidRDefault="00C45673" w:rsidP="003837AD">
            <w:pPr>
              <w:pStyle w:val="Tabletextleft"/>
              <w:cnfStyle w:val="000000010000" w:firstRow="0" w:lastRow="0" w:firstColumn="0" w:lastColumn="0" w:oddVBand="0" w:evenVBand="0" w:oddHBand="0" w:evenHBand="1" w:firstRowFirstColumn="0" w:firstRowLastColumn="0" w:lastRowFirstColumn="0" w:lastRowLastColumn="0"/>
              <w:rPr>
                <w:sz w:val="20"/>
              </w:rPr>
            </w:pPr>
            <w:r w:rsidRPr="003837AD">
              <w:rPr>
                <w:sz w:val="20"/>
              </w:rPr>
              <w:t xml:space="preserve">Agreed. </w:t>
            </w:r>
            <w:r w:rsidR="00CF1A99" w:rsidRPr="003837AD">
              <w:rPr>
                <w:sz w:val="20"/>
              </w:rPr>
              <w:t xml:space="preserve">Health will regularly review contracts to ensure </w:t>
            </w:r>
            <w:r w:rsidRPr="003837AD">
              <w:rPr>
                <w:sz w:val="20"/>
              </w:rPr>
              <w:t>protection of personal information is considered, and that contracts</w:t>
            </w:r>
            <w:r w:rsidR="00CF1A99" w:rsidRPr="003837AD">
              <w:rPr>
                <w:sz w:val="20"/>
              </w:rPr>
              <w:t xml:space="preserve"> contain the appropriate information with clarifying roles and responsibilities regarding appropriate security and </w:t>
            </w:r>
            <w:r w:rsidR="003837AD" w:rsidRPr="003837AD">
              <w:rPr>
                <w:sz w:val="20"/>
              </w:rPr>
              <w:t>data handling</w:t>
            </w:r>
            <w:r w:rsidR="00CF1A99" w:rsidRPr="003837AD">
              <w:rPr>
                <w:sz w:val="20"/>
              </w:rPr>
              <w:t>.</w:t>
            </w:r>
          </w:p>
        </w:tc>
      </w:tr>
    </w:tbl>
    <w:p w14:paraId="4B940FB5" w14:textId="77777777" w:rsidR="000261B0" w:rsidRDefault="000261B0" w:rsidP="001F2F78">
      <w:pPr>
        <w:rPr>
          <w:rFonts w:cs="Arial"/>
        </w:rPr>
      </w:pPr>
    </w:p>
    <w:p w14:paraId="0A2B5D29" w14:textId="77777777" w:rsidR="00466622" w:rsidRDefault="00466622">
      <w:pPr>
        <w:rPr>
          <w:rFonts w:cs="Arial"/>
        </w:rPr>
      </w:pPr>
    </w:p>
    <w:tbl>
      <w:tblPr>
        <w:tblStyle w:val="DepartmentofHealthtable"/>
        <w:tblW w:w="0" w:type="auto"/>
        <w:tblLook w:val="04A0" w:firstRow="1" w:lastRow="0" w:firstColumn="1" w:lastColumn="0" w:noHBand="0" w:noVBand="1"/>
        <w:tblDescription w:val="&quot;&quot;"/>
      </w:tblPr>
      <w:tblGrid>
        <w:gridCol w:w="2407"/>
        <w:gridCol w:w="145"/>
        <w:gridCol w:w="5953"/>
      </w:tblGrid>
      <w:tr w:rsidR="00D21770" w:rsidRPr="000261B0" w14:paraId="6FBC90CC" w14:textId="77777777" w:rsidTr="00D81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tcPr>
          <w:p w14:paraId="3CA1AF88" w14:textId="77777777" w:rsidR="00D21770" w:rsidRPr="000261B0" w:rsidRDefault="000261B0" w:rsidP="00A24D39">
            <w:pPr>
              <w:pStyle w:val="TableHeaderWhite"/>
              <w:rPr>
                <w:rFonts w:cs="Arial"/>
              </w:rPr>
            </w:pPr>
            <w:r>
              <w:rPr>
                <w:rFonts w:cs="Arial"/>
              </w:rPr>
              <w:br w:type="page"/>
            </w:r>
            <w:proofErr w:type="spellStart"/>
            <w:r w:rsidR="00D21770" w:rsidRPr="000261B0">
              <w:rPr>
                <w:rFonts w:cs="Arial"/>
              </w:rPr>
              <w:t>Maddocks</w:t>
            </w:r>
            <w:proofErr w:type="spellEnd"/>
            <w:r w:rsidR="00D21770" w:rsidRPr="000261B0">
              <w:rPr>
                <w:rFonts w:cs="Arial"/>
              </w:rPr>
              <w:t xml:space="preserve"> Recommendation 5: </w:t>
            </w:r>
          </w:p>
        </w:tc>
        <w:tc>
          <w:tcPr>
            <w:tcW w:w="6098" w:type="dxa"/>
            <w:gridSpan w:val="2"/>
          </w:tcPr>
          <w:p w14:paraId="21D7D2BE" w14:textId="739D1759" w:rsidR="00D21770" w:rsidRPr="000261B0" w:rsidRDefault="003928B8" w:rsidP="00A24D39">
            <w:pPr>
              <w:pStyle w:val="TableHeader"/>
              <w:cnfStyle w:val="100000000000" w:firstRow="1" w:lastRow="0" w:firstColumn="0" w:lastColumn="0" w:oddVBand="0" w:evenVBand="0" w:oddHBand="0" w:evenHBand="0" w:firstRowFirstColumn="0" w:firstRowLastColumn="0" w:lastRowFirstColumn="0" w:lastRowLastColumn="0"/>
              <w:rPr>
                <w:rFonts w:cs="Arial"/>
              </w:rPr>
            </w:pPr>
            <w:bookmarkStart w:id="3" w:name="_Ref58346977"/>
            <w:r w:rsidRPr="00484059">
              <w:rPr>
                <w:bCs/>
              </w:rPr>
              <w:t xml:space="preserve">Contractual and other arrangements with </w:t>
            </w:r>
            <w:r>
              <w:rPr>
                <w:bCs/>
              </w:rPr>
              <w:t xml:space="preserve">other </w:t>
            </w:r>
            <w:r w:rsidRPr="00484059">
              <w:rPr>
                <w:bCs/>
              </w:rPr>
              <w:t>entities handling Vaccine Strategy Information</w:t>
            </w:r>
            <w:bookmarkEnd w:id="3"/>
          </w:p>
        </w:tc>
      </w:tr>
      <w:tr w:rsidR="00D21770" w:rsidRPr="000261B0" w14:paraId="50554712" w14:textId="77777777" w:rsidTr="00A2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3"/>
          </w:tcPr>
          <w:p w14:paraId="4FB4F349" w14:textId="77777777" w:rsidR="004535E5" w:rsidRPr="004535E5" w:rsidRDefault="004535E5" w:rsidP="004535E5">
            <w:pPr>
              <w:spacing w:before="120" w:after="120"/>
              <w:rPr>
                <w:rFonts w:cs="Arial"/>
                <w:sz w:val="20"/>
                <w:szCs w:val="21"/>
              </w:rPr>
            </w:pPr>
            <w:r w:rsidRPr="004535E5">
              <w:rPr>
                <w:rFonts w:cs="Arial"/>
                <w:bCs/>
                <w:sz w:val="20"/>
                <w:szCs w:val="21"/>
              </w:rPr>
              <w:t xml:space="preserve">We </w:t>
            </w:r>
            <w:r w:rsidRPr="004535E5">
              <w:rPr>
                <w:rFonts w:cs="Arial"/>
                <w:b/>
                <w:sz w:val="20"/>
                <w:szCs w:val="21"/>
              </w:rPr>
              <w:t>recommend</w:t>
            </w:r>
            <w:r w:rsidRPr="004535E5">
              <w:rPr>
                <w:rFonts w:cs="Arial"/>
                <w:bCs/>
                <w:sz w:val="20"/>
                <w:szCs w:val="21"/>
              </w:rPr>
              <w:t xml:space="preserve"> that, as Health further progresses implementation of the Vaccine Strategy, Health consider and ensure that all entities who are not Partners but will collect personal information:</w:t>
            </w:r>
          </w:p>
          <w:p w14:paraId="6BE609F0" w14:textId="77777777" w:rsidR="004535E5" w:rsidRPr="004535E5" w:rsidRDefault="004535E5" w:rsidP="004535E5">
            <w:pPr>
              <w:numPr>
                <w:ilvl w:val="0"/>
                <w:numId w:val="30"/>
              </w:numPr>
              <w:spacing w:before="120" w:after="120"/>
              <w:rPr>
                <w:rFonts w:cs="Arial"/>
                <w:bCs/>
                <w:sz w:val="20"/>
                <w:szCs w:val="21"/>
              </w:rPr>
            </w:pPr>
            <w:r w:rsidRPr="004535E5">
              <w:rPr>
                <w:rFonts w:cs="Arial"/>
                <w:bCs/>
                <w:sz w:val="20"/>
                <w:szCs w:val="21"/>
              </w:rPr>
              <w:t>are clearly identified (so that it is clear whether or not they are an APP entity and subject to the Privacy Act);</w:t>
            </w:r>
          </w:p>
          <w:p w14:paraId="731834E5" w14:textId="77777777" w:rsidR="004535E5" w:rsidRPr="004535E5" w:rsidRDefault="004535E5" w:rsidP="004535E5">
            <w:pPr>
              <w:numPr>
                <w:ilvl w:val="0"/>
                <w:numId w:val="30"/>
              </w:numPr>
              <w:spacing w:before="120" w:after="120"/>
              <w:rPr>
                <w:rFonts w:cs="Arial"/>
                <w:bCs/>
                <w:sz w:val="20"/>
                <w:szCs w:val="21"/>
              </w:rPr>
            </w:pPr>
            <w:r w:rsidRPr="004535E5">
              <w:rPr>
                <w:rFonts w:cs="Arial"/>
                <w:bCs/>
                <w:sz w:val="20"/>
                <w:szCs w:val="21"/>
              </w:rPr>
              <w:t>have functions and activities which are consistent with the collection of the relevant personal information;</w:t>
            </w:r>
          </w:p>
          <w:p w14:paraId="02B22703" w14:textId="77777777" w:rsidR="004535E5" w:rsidRPr="004535E5" w:rsidRDefault="004535E5" w:rsidP="004535E5">
            <w:pPr>
              <w:numPr>
                <w:ilvl w:val="0"/>
                <w:numId w:val="30"/>
              </w:numPr>
              <w:spacing w:before="120" w:after="120"/>
              <w:rPr>
                <w:rFonts w:cs="Arial"/>
                <w:sz w:val="20"/>
                <w:szCs w:val="21"/>
              </w:rPr>
            </w:pPr>
            <w:r w:rsidRPr="004535E5">
              <w:rPr>
                <w:rFonts w:cs="Arial"/>
                <w:bCs/>
                <w:sz w:val="20"/>
                <w:szCs w:val="21"/>
              </w:rPr>
              <w:t>have entered into appropriate contractual or other administrative arrangements as required (depending on the identity and nature of the entity and their role in the Vaccine Strategy);</w:t>
            </w:r>
          </w:p>
          <w:p w14:paraId="078F4E46" w14:textId="77777777" w:rsidR="004535E5" w:rsidRPr="004535E5" w:rsidRDefault="004535E5" w:rsidP="004535E5">
            <w:pPr>
              <w:numPr>
                <w:ilvl w:val="0"/>
                <w:numId w:val="30"/>
              </w:numPr>
              <w:spacing w:before="120" w:after="120"/>
              <w:rPr>
                <w:rFonts w:cs="Arial"/>
                <w:sz w:val="20"/>
                <w:szCs w:val="21"/>
              </w:rPr>
            </w:pPr>
            <w:r w:rsidRPr="004535E5">
              <w:rPr>
                <w:rFonts w:cs="Arial"/>
                <w:bCs/>
                <w:sz w:val="20"/>
                <w:szCs w:val="21"/>
              </w:rPr>
              <w:t>only collect or have access to identified information if this is necessary (or whether, for example, information in any reports received by that entity could be included in a properly de-identified form); and</w:t>
            </w:r>
          </w:p>
          <w:p w14:paraId="1FBA7F0B" w14:textId="77777777" w:rsidR="004535E5" w:rsidRPr="004535E5" w:rsidRDefault="004535E5" w:rsidP="004535E5">
            <w:pPr>
              <w:numPr>
                <w:ilvl w:val="0"/>
                <w:numId w:val="30"/>
              </w:numPr>
              <w:spacing w:before="120" w:after="120"/>
              <w:rPr>
                <w:rFonts w:cs="Arial"/>
                <w:bCs/>
                <w:sz w:val="20"/>
                <w:szCs w:val="21"/>
              </w:rPr>
            </w:pPr>
            <w:proofErr w:type="gramStart"/>
            <w:r w:rsidRPr="004535E5">
              <w:rPr>
                <w:rFonts w:cs="Arial"/>
                <w:bCs/>
                <w:sz w:val="20"/>
                <w:szCs w:val="21"/>
              </w:rPr>
              <w:t>if</w:t>
            </w:r>
            <w:proofErr w:type="gramEnd"/>
            <w:r w:rsidRPr="004535E5">
              <w:rPr>
                <w:rFonts w:cs="Arial"/>
                <w:bCs/>
                <w:sz w:val="20"/>
                <w:szCs w:val="21"/>
              </w:rPr>
              <w:t xml:space="preserve"> it is necessary for identified information to be provided, that the entity is subject to appropriate privacy obligations (e.g. under State or Territory privacy legislation or contractual arrangements).</w:t>
            </w:r>
          </w:p>
          <w:p w14:paraId="50A88886" w14:textId="77777777" w:rsidR="004535E5" w:rsidRPr="004535E5" w:rsidRDefault="004535E5" w:rsidP="004535E5">
            <w:pPr>
              <w:spacing w:before="120" w:after="120"/>
              <w:rPr>
                <w:rFonts w:cs="Arial"/>
                <w:sz w:val="20"/>
                <w:szCs w:val="21"/>
              </w:rPr>
            </w:pPr>
            <w:r w:rsidRPr="004535E5">
              <w:rPr>
                <w:rFonts w:cs="Arial"/>
                <w:bCs/>
                <w:sz w:val="20"/>
                <w:szCs w:val="21"/>
              </w:rPr>
              <w:t>We</w:t>
            </w:r>
            <w:r w:rsidRPr="004535E5">
              <w:rPr>
                <w:rFonts w:cs="Arial"/>
                <w:sz w:val="20"/>
                <w:szCs w:val="21"/>
              </w:rPr>
              <w:t xml:space="preserve"> </w:t>
            </w:r>
            <w:r w:rsidRPr="004535E5">
              <w:rPr>
                <w:rFonts w:cs="Arial"/>
                <w:b/>
                <w:sz w:val="20"/>
                <w:szCs w:val="21"/>
              </w:rPr>
              <w:t>recommend</w:t>
            </w:r>
            <w:r w:rsidRPr="004535E5">
              <w:rPr>
                <w:rFonts w:cs="Arial"/>
                <w:sz w:val="20"/>
                <w:szCs w:val="21"/>
              </w:rPr>
              <w:t xml:space="preserve"> </w:t>
            </w:r>
            <w:r w:rsidRPr="004535E5">
              <w:rPr>
                <w:rFonts w:cs="Arial"/>
                <w:bCs/>
                <w:sz w:val="20"/>
                <w:szCs w:val="21"/>
              </w:rPr>
              <w:t>that Health design contractual or other administrative arrangements with other entities to appropriately specify or limit the subsequent use or disclosure of personal information, which may include:</w:t>
            </w:r>
          </w:p>
          <w:p w14:paraId="6C8A6ED5" w14:textId="77777777" w:rsidR="004535E5" w:rsidRPr="004535E5" w:rsidRDefault="004535E5" w:rsidP="004535E5">
            <w:pPr>
              <w:numPr>
                <w:ilvl w:val="0"/>
                <w:numId w:val="30"/>
              </w:numPr>
              <w:spacing w:before="120" w:after="120"/>
              <w:rPr>
                <w:rFonts w:cs="Arial"/>
                <w:bCs/>
                <w:sz w:val="20"/>
                <w:szCs w:val="21"/>
              </w:rPr>
            </w:pPr>
            <w:r w:rsidRPr="004535E5">
              <w:rPr>
                <w:rFonts w:cs="Arial"/>
                <w:bCs/>
                <w:sz w:val="20"/>
                <w:szCs w:val="21"/>
              </w:rPr>
              <w:t>appropriate restrictions on the use and disclosure of personal information for the purposes of direct marketing;</w:t>
            </w:r>
          </w:p>
          <w:p w14:paraId="15CAC3FD" w14:textId="77777777" w:rsidR="004535E5" w:rsidRPr="004535E5" w:rsidRDefault="004535E5" w:rsidP="004535E5">
            <w:pPr>
              <w:numPr>
                <w:ilvl w:val="0"/>
                <w:numId w:val="30"/>
              </w:numPr>
              <w:spacing w:before="120" w:after="120"/>
              <w:rPr>
                <w:rFonts w:cs="Arial"/>
                <w:bCs/>
                <w:sz w:val="20"/>
                <w:szCs w:val="21"/>
              </w:rPr>
            </w:pPr>
            <w:r w:rsidRPr="004535E5">
              <w:rPr>
                <w:rFonts w:cs="Arial"/>
                <w:bCs/>
                <w:sz w:val="20"/>
                <w:szCs w:val="21"/>
              </w:rPr>
              <w:t xml:space="preserve">appropriate permissions or restrictions in relation to the use and disclosure of government-related identifiers; </w:t>
            </w:r>
          </w:p>
          <w:p w14:paraId="1ECD75E3" w14:textId="77777777" w:rsidR="004535E5" w:rsidRPr="004535E5" w:rsidRDefault="004535E5" w:rsidP="004535E5">
            <w:pPr>
              <w:numPr>
                <w:ilvl w:val="0"/>
                <w:numId w:val="30"/>
              </w:numPr>
              <w:spacing w:before="120" w:after="120"/>
              <w:rPr>
                <w:rFonts w:cs="Arial"/>
                <w:bCs/>
                <w:sz w:val="20"/>
                <w:szCs w:val="21"/>
              </w:rPr>
            </w:pPr>
            <w:r w:rsidRPr="004535E5">
              <w:rPr>
                <w:rFonts w:cs="Arial"/>
                <w:bCs/>
                <w:sz w:val="20"/>
                <w:szCs w:val="21"/>
              </w:rPr>
              <w:t>minimum security requirements (including restriction on transferring personal information to, or permitting access from, overseas); and</w:t>
            </w:r>
          </w:p>
          <w:p w14:paraId="4B30490D" w14:textId="77777777" w:rsidR="004535E5" w:rsidRPr="004535E5" w:rsidRDefault="004535E5" w:rsidP="004535E5">
            <w:pPr>
              <w:numPr>
                <w:ilvl w:val="0"/>
                <w:numId w:val="30"/>
              </w:numPr>
              <w:spacing w:before="120" w:after="120"/>
              <w:rPr>
                <w:rFonts w:cs="Arial"/>
                <w:bCs/>
                <w:sz w:val="20"/>
                <w:szCs w:val="21"/>
              </w:rPr>
            </w:pPr>
            <w:proofErr w:type="gramStart"/>
            <w:r w:rsidRPr="004535E5">
              <w:rPr>
                <w:rFonts w:cs="Arial"/>
                <w:bCs/>
                <w:sz w:val="20"/>
                <w:szCs w:val="21"/>
              </w:rPr>
              <w:t>any</w:t>
            </w:r>
            <w:proofErr w:type="gramEnd"/>
            <w:r w:rsidRPr="004535E5">
              <w:rPr>
                <w:rFonts w:cs="Arial"/>
                <w:bCs/>
                <w:sz w:val="20"/>
                <w:szCs w:val="21"/>
              </w:rPr>
              <w:t xml:space="preserve"> appropriate requirements for deletion or de-identification of the personal information.</w:t>
            </w:r>
          </w:p>
          <w:p w14:paraId="3416A65B" w14:textId="77777777" w:rsidR="00D21770" w:rsidRDefault="004535E5" w:rsidP="004535E5">
            <w:pPr>
              <w:spacing w:before="120" w:after="120"/>
              <w:rPr>
                <w:rFonts w:cs="Arial"/>
                <w:bCs/>
                <w:sz w:val="20"/>
                <w:szCs w:val="21"/>
              </w:rPr>
            </w:pPr>
            <w:r w:rsidRPr="004535E5">
              <w:rPr>
                <w:rFonts w:cs="Arial"/>
                <w:bCs/>
                <w:sz w:val="20"/>
                <w:szCs w:val="21"/>
              </w:rPr>
              <w:t>For example, we suggest that Health ensure that the relevant Supply Agreements contain appropriate clauses to restrict each Supplier’s use and disclosure of personal information to the provision of the services under the relevant agreement, and include appropriate confidentiality, security and privacy clauses.</w:t>
            </w:r>
          </w:p>
          <w:p w14:paraId="300BD0C8" w14:textId="0FBF09C9" w:rsidR="004535E5" w:rsidRPr="004535E5" w:rsidRDefault="004535E5" w:rsidP="004535E5">
            <w:pPr>
              <w:spacing w:before="120" w:after="120"/>
              <w:rPr>
                <w:rFonts w:cs="Arial"/>
                <w:sz w:val="20"/>
                <w:szCs w:val="21"/>
              </w:rPr>
            </w:pPr>
            <w:r w:rsidRPr="004535E5">
              <w:rPr>
                <w:rFonts w:cs="Arial"/>
                <w:bCs/>
                <w:sz w:val="20"/>
                <w:szCs w:val="21"/>
              </w:rPr>
              <w:t xml:space="preserve">We also </w:t>
            </w:r>
            <w:r w:rsidRPr="004535E5">
              <w:rPr>
                <w:rFonts w:cs="Arial"/>
                <w:b/>
                <w:sz w:val="20"/>
                <w:szCs w:val="21"/>
              </w:rPr>
              <w:t>recommend</w:t>
            </w:r>
            <w:r w:rsidRPr="004535E5">
              <w:rPr>
                <w:rFonts w:cs="Arial"/>
                <w:bCs/>
                <w:sz w:val="20"/>
                <w:szCs w:val="21"/>
              </w:rPr>
              <w:t xml:space="preserve"> that Health ensure that contractual and other arrangements with entities other than Partners involved in the Vaccine Strategy contain obligations designed to facilitate Health’s ability to be open and transparent about the handling of personal information (such as, if applicable, a requirement to provide any information about the handling of Vaccine Strategy Information to individuals, as required or directed by Health).</w:t>
            </w:r>
          </w:p>
        </w:tc>
      </w:tr>
      <w:tr w:rsidR="00FA0556" w:rsidRPr="000261B0" w14:paraId="085DB5F2" w14:textId="77777777" w:rsidTr="00A2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2"/>
          </w:tcPr>
          <w:p w14:paraId="72946324" w14:textId="77777777" w:rsidR="00FA0556" w:rsidRPr="003837AD" w:rsidRDefault="00CD15DA" w:rsidP="00B67D98">
            <w:pPr>
              <w:pStyle w:val="Tabletextleft"/>
              <w:rPr>
                <w:sz w:val="20"/>
              </w:rPr>
            </w:pPr>
            <w:r w:rsidRPr="003837AD">
              <w:rPr>
                <w:sz w:val="20"/>
              </w:rPr>
              <w:t>R</w:t>
            </w:r>
            <w:r w:rsidR="00FA0556" w:rsidRPr="003837AD">
              <w:rPr>
                <w:sz w:val="20"/>
              </w:rPr>
              <w:t>esponse</w:t>
            </w:r>
          </w:p>
        </w:tc>
        <w:tc>
          <w:tcPr>
            <w:tcW w:w="5953" w:type="dxa"/>
          </w:tcPr>
          <w:p w14:paraId="7B04B357" w14:textId="77777777" w:rsidR="003837AD" w:rsidRPr="003837AD" w:rsidRDefault="00A52F46" w:rsidP="003837AD">
            <w:pPr>
              <w:pStyle w:val="Tabletextleft"/>
              <w:spacing w:before="0" w:after="0"/>
              <w:cnfStyle w:val="000000010000" w:firstRow="0" w:lastRow="0" w:firstColumn="0" w:lastColumn="0" w:oddVBand="0" w:evenVBand="0" w:oddHBand="0" w:evenHBand="1" w:firstRowFirstColumn="0" w:firstRowLastColumn="0" w:lastRowFirstColumn="0" w:lastRowLastColumn="0"/>
              <w:rPr>
                <w:sz w:val="20"/>
              </w:rPr>
            </w:pPr>
            <w:r w:rsidRPr="003837AD">
              <w:rPr>
                <w:sz w:val="20"/>
              </w:rPr>
              <w:t>Agreed. Health has been ensuring this occurs in its contracts</w:t>
            </w:r>
            <w:r w:rsidR="00B315CC" w:rsidRPr="003837AD">
              <w:rPr>
                <w:sz w:val="20"/>
              </w:rPr>
              <w:t xml:space="preserve"> with entities</w:t>
            </w:r>
            <w:r w:rsidR="003837AD" w:rsidRPr="003837AD">
              <w:rPr>
                <w:sz w:val="20"/>
              </w:rPr>
              <w:t>,</w:t>
            </w:r>
            <w:r w:rsidR="00B315CC" w:rsidRPr="003837AD">
              <w:rPr>
                <w:sz w:val="20"/>
              </w:rPr>
              <w:t xml:space="preserve"> which are consistent with existing practices within the Department. Health </w:t>
            </w:r>
            <w:r w:rsidRPr="003837AD">
              <w:rPr>
                <w:sz w:val="20"/>
              </w:rPr>
              <w:t>will</w:t>
            </w:r>
            <w:r w:rsidR="00A33E68" w:rsidRPr="003837AD">
              <w:rPr>
                <w:sz w:val="20"/>
              </w:rPr>
              <w:t xml:space="preserve"> continue to</w:t>
            </w:r>
            <w:r w:rsidRPr="003837AD">
              <w:rPr>
                <w:sz w:val="20"/>
              </w:rPr>
              <w:t xml:space="preserve"> implement appropriate arrangements with entities to clarify roles and responsibilities regarding</w:t>
            </w:r>
            <w:r w:rsidR="00B315CC" w:rsidRPr="003837AD">
              <w:rPr>
                <w:sz w:val="20"/>
              </w:rPr>
              <w:t xml:space="preserve"> the handling of information.</w:t>
            </w:r>
            <w:r w:rsidRPr="003837AD">
              <w:rPr>
                <w:sz w:val="20"/>
              </w:rPr>
              <w:t xml:space="preserve"> </w:t>
            </w:r>
          </w:p>
          <w:p w14:paraId="75BD6770" w14:textId="77777777" w:rsidR="003837AD" w:rsidRPr="003837AD" w:rsidRDefault="003837AD" w:rsidP="003837AD">
            <w:pPr>
              <w:pStyle w:val="Tabletextleft"/>
              <w:spacing w:before="0" w:after="0"/>
              <w:cnfStyle w:val="000000010000" w:firstRow="0" w:lastRow="0" w:firstColumn="0" w:lastColumn="0" w:oddVBand="0" w:evenVBand="0" w:oddHBand="0" w:evenHBand="1" w:firstRowFirstColumn="0" w:firstRowLastColumn="0" w:lastRowFirstColumn="0" w:lastRowLastColumn="0"/>
              <w:rPr>
                <w:sz w:val="20"/>
              </w:rPr>
            </w:pPr>
          </w:p>
          <w:p w14:paraId="41AC419B" w14:textId="741AF9DF" w:rsidR="003837AD" w:rsidRPr="003837AD" w:rsidRDefault="0040270E" w:rsidP="003837AD">
            <w:pPr>
              <w:pStyle w:val="Tabletextleft"/>
              <w:spacing w:before="0" w:after="0"/>
              <w:cnfStyle w:val="000000010000" w:firstRow="0" w:lastRow="0" w:firstColumn="0" w:lastColumn="0" w:oddVBand="0" w:evenVBand="0" w:oddHBand="0" w:evenHBand="1" w:firstRowFirstColumn="0" w:firstRowLastColumn="0" w:lastRowFirstColumn="0" w:lastRowLastColumn="0"/>
              <w:rPr>
                <w:sz w:val="20"/>
              </w:rPr>
            </w:pPr>
            <w:r>
              <w:rPr>
                <w:sz w:val="20"/>
              </w:rPr>
              <w:t>The personal information of</w:t>
            </w:r>
            <w:r w:rsidR="003837AD" w:rsidRPr="003837AD">
              <w:rPr>
                <w:sz w:val="20"/>
              </w:rPr>
              <w:t xml:space="preserve"> individuals receiving a vaccine is protected under existing legislation and processes. Only de-identified information will be used in Health’s Vaccine Data Solution (VDS) platform. </w:t>
            </w:r>
          </w:p>
        </w:tc>
      </w:tr>
    </w:tbl>
    <w:p w14:paraId="074F5CFB" w14:textId="77777777" w:rsidR="00A41F71" w:rsidRPr="000261B0" w:rsidRDefault="00A41F71" w:rsidP="00D21770">
      <w:pPr>
        <w:pStyle w:val="Paragraphtext"/>
        <w:rPr>
          <w:rFonts w:cs="Arial"/>
        </w:rPr>
      </w:pPr>
    </w:p>
    <w:tbl>
      <w:tblPr>
        <w:tblStyle w:val="DepartmentofHealthtable"/>
        <w:tblW w:w="0" w:type="auto"/>
        <w:tblLook w:val="04A0" w:firstRow="1" w:lastRow="0" w:firstColumn="1" w:lastColumn="0" w:noHBand="0" w:noVBand="1"/>
        <w:tblDescription w:val="&quot;&quot;"/>
      </w:tblPr>
      <w:tblGrid>
        <w:gridCol w:w="2407"/>
        <w:gridCol w:w="6098"/>
      </w:tblGrid>
      <w:tr w:rsidR="00D21770" w:rsidRPr="000261B0" w14:paraId="170E1057" w14:textId="77777777" w:rsidTr="00D81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tcPr>
          <w:p w14:paraId="0E222AB7" w14:textId="77777777" w:rsidR="00D21770" w:rsidRPr="000261B0" w:rsidRDefault="001E437B" w:rsidP="00A24D39">
            <w:pPr>
              <w:pStyle w:val="TableHeaderWhite"/>
              <w:rPr>
                <w:rFonts w:cs="Arial"/>
              </w:rPr>
            </w:pPr>
            <w:proofErr w:type="spellStart"/>
            <w:r w:rsidRPr="000261B0">
              <w:rPr>
                <w:rFonts w:cs="Arial"/>
              </w:rPr>
              <w:t>Maddocks</w:t>
            </w:r>
            <w:proofErr w:type="spellEnd"/>
            <w:r w:rsidRPr="000261B0">
              <w:rPr>
                <w:rFonts w:cs="Arial"/>
              </w:rPr>
              <w:t xml:space="preserve"> Recommendation 6</w:t>
            </w:r>
            <w:r w:rsidR="00D21770" w:rsidRPr="000261B0">
              <w:rPr>
                <w:rFonts w:cs="Arial"/>
              </w:rPr>
              <w:t xml:space="preserve">: </w:t>
            </w:r>
          </w:p>
        </w:tc>
        <w:tc>
          <w:tcPr>
            <w:tcW w:w="6098" w:type="dxa"/>
          </w:tcPr>
          <w:p w14:paraId="4FCD6E52" w14:textId="7335A68F" w:rsidR="00D21770" w:rsidRPr="000261B0" w:rsidRDefault="003928B8" w:rsidP="00A24D39">
            <w:pPr>
              <w:pStyle w:val="TableHeader"/>
              <w:cnfStyle w:val="100000000000" w:firstRow="1" w:lastRow="0" w:firstColumn="0" w:lastColumn="0" w:oddVBand="0" w:evenVBand="0" w:oddHBand="0" w:evenHBand="0" w:firstRowFirstColumn="0" w:firstRowLastColumn="0" w:lastRowFirstColumn="0" w:lastRowLastColumn="0"/>
              <w:rPr>
                <w:rFonts w:cs="Arial"/>
              </w:rPr>
            </w:pPr>
            <w:bookmarkStart w:id="4" w:name="_Ref59440224"/>
            <w:r w:rsidRPr="00484059">
              <w:rPr>
                <w:bCs/>
              </w:rPr>
              <w:t xml:space="preserve">Testing and security of </w:t>
            </w:r>
            <w:r>
              <w:rPr>
                <w:bCs/>
              </w:rPr>
              <w:t>s</w:t>
            </w:r>
            <w:r w:rsidRPr="00484059">
              <w:rPr>
                <w:bCs/>
              </w:rPr>
              <w:t>olution</w:t>
            </w:r>
            <w:bookmarkEnd w:id="4"/>
            <w:r>
              <w:rPr>
                <w:bCs/>
              </w:rPr>
              <w:t>s handling Vaccine Strategy Information</w:t>
            </w:r>
          </w:p>
        </w:tc>
      </w:tr>
      <w:tr w:rsidR="00D21770" w:rsidRPr="000261B0" w14:paraId="05DEB063" w14:textId="77777777" w:rsidTr="00A2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42689966" w14:textId="77777777" w:rsidR="003837AD" w:rsidRPr="003837AD" w:rsidRDefault="003837AD" w:rsidP="00EE2273">
            <w:pPr>
              <w:keepNext/>
              <w:spacing w:before="120" w:after="120"/>
              <w:rPr>
                <w:rFonts w:eastAsia="Calibri Light" w:cs="Arial"/>
                <w:color w:val="auto"/>
                <w:sz w:val="20"/>
                <w:szCs w:val="20"/>
                <w:lang w:eastAsia="en-AU"/>
              </w:rPr>
            </w:pPr>
            <w:r w:rsidRPr="003837AD">
              <w:rPr>
                <w:rFonts w:eastAsia="Calibri Light" w:cs="Arial"/>
                <w:color w:val="auto"/>
                <w:sz w:val="20"/>
                <w:szCs w:val="20"/>
                <w:lang w:eastAsia="en-AU"/>
              </w:rPr>
              <w:t xml:space="preserve">Given the sensitive nature of the Vaccine Strategy Information, we </w:t>
            </w:r>
            <w:r w:rsidRPr="003837AD">
              <w:rPr>
                <w:rFonts w:eastAsia="Calibri Light" w:cs="Arial"/>
                <w:b/>
                <w:color w:val="auto"/>
                <w:sz w:val="20"/>
                <w:szCs w:val="20"/>
                <w:lang w:eastAsia="en-AU"/>
              </w:rPr>
              <w:t>recommend</w:t>
            </w:r>
            <w:r w:rsidRPr="003837AD">
              <w:rPr>
                <w:rFonts w:eastAsia="Calibri Light" w:cs="Arial"/>
                <w:color w:val="auto"/>
                <w:sz w:val="20"/>
                <w:szCs w:val="20"/>
                <w:lang w:eastAsia="en-AU"/>
              </w:rPr>
              <w:t xml:space="preserve"> that Health:</w:t>
            </w:r>
          </w:p>
          <w:p w14:paraId="41D1C169" w14:textId="77777777" w:rsidR="003837AD" w:rsidRPr="003837AD" w:rsidRDefault="003837AD" w:rsidP="00EE2273">
            <w:pPr>
              <w:numPr>
                <w:ilvl w:val="0"/>
                <w:numId w:val="30"/>
              </w:numPr>
              <w:spacing w:before="120" w:after="120"/>
              <w:rPr>
                <w:rFonts w:eastAsia="Calibri Light" w:cs="Arial"/>
                <w:b/>
                <w:bCs/>
                <w:color w:val="auto"/>
                <w:sz w:val="20"/>
                <w:szCs w:val="20"/>
                <w:lang w:eastAsia="en-AU"/>
              </w:rPr>
            </w:pPr>
            <w:r w:rsidRPr="003837AD">
              <w:rPr>
                <w:rFonts w:eastAsia="Calibri Light" w:cs="Arial"/>
                <w:color w:val="auto"/>
                <w:sz w:val="20"/>
                <w:szCs w:val="20"/>
                <w:lang w:eastAsia="en-AU"/>
              </w:rPr>
              <w:t>ensure that sufficient time and resources are allocated during the initial period of implementation with Partners (including during any co</w:t>
            </w:r>
            <w:r w:rsidRPr="003837AD">
              <w:rPr>
                <w:rFonts w:eastAsia="Calibri Light" w:cs="Arial"/>
                <w:color w:val="auto"/>
                <w:sz w:val="20"/>
                <w:szCs w:val="20"/>
                <w:lang w:eastAsia="en-AU"/>
              </w:rPr>
              <w:noBreakHyphen/>
              <w:t>design activities) to satisfy itself that the de-identification, testing and quality assurance processes for transfer of Vaccine Strategy Information between entities and their systems are sufficient and appropriate to ensure that no inappropriate changes have occurred to the relevant Vaccine Strategy Information during the transmission process; and</w:t>
            </w:r>
          </w:p>
          <w:p w14:paraId="26F5AD71" w14:textId="77777777" w:rsidR="003837AD" w:rsidRPr="003837AD" w:rsidRDefault="003837AD" w:rsidP="00EE2273">
            <w:pPr>
              <w:numPr>
                <w:ilvl w:val="0"/>
                <w:numId w:val="30"/>
              </w:numPr>
              <w:spacing w:before="120" w:after="120"/>
              <w:rPr>
                <w:rFonts w:eastAsia="Calibri Light" w:cs="Arial"/>
                <w:b/>
                <w:bCs/>
                <w:color w:val="auto"/>
                <w:sz w:val="20"/>
                <w:szCs w:val="20"/>
                <w:lang w:eastAsia="en-AU"/>
              </w:rPr>
            </w:pPr>
            <w:r w:rsidRPr="003837AD">
              <w:rPr>
                <w:rFonts w:eastAsia="Calibri Light" w:cs="Arial"/>
                <w:color w:val="auto"/>
                <w:sz w:val="20"/>
                <w:szCs w:val="20"/>
                <w:lang w:eastAsia="en-AU"/>
              </w:rPr>
              <w:t xml:space="preserve">take reasonable steps (including obtaining relevant cybersecurity advice as required) to: </w:t>
            </w:r>
          </w:p>
          <w:p w14:paraId="3A0B88CA" w14:textId="77777777" w:rsidR="003837AD" w:rsidRPr="003837AD" w:rsidRDefault="003837AD" w:rsidP="00EE2273">
            <w:pPr>
              <w:numPr>
                <w:ilvl w:val="1"/>
                <w:numId w:val="32"/>
              </w:numPr>
              <w:spacing w:before="120" w:after="120"/>
              <w:rPr>
                <w:rFonts w:eastAsia="Calibri Light" w:cs="Arial"/>
                <w:b/>
                <w:bCs/>
                <w:color w:val="auto"/>
                <w:sz w:val="20"/>
                <w:szCs w:val="20"/>
                <w:lang w:eastAsia="en-AU"/>
              </w:rPr>
            </w:pPr>
            <w:r w:rsidRPr="003837AD">
              <w:rPr>
                <w:rFonts w:eastAsia="Calibri Light" w:cs="Arial"/>
                <w:color w:val="auto"/>
                <w:sz w:val="20"/>
                <w:szCs w:val="20"/>
                <w:lang w:eastAsia="en-AU"/>
              </w:rPr>
              <w:t xml:space="preserve">specify minimum functional and non-functional security requirements for each solution that may store or handle Vaccine Strategy Information; </w:t>
            </w:r>
          </w:p>
          <w:p w14:paraId="3CD0A065" w14:textId="77777777" w:rsidR="003837AD" w:rsidRPr="003837AD" w:rsidRDefault="003837AD" w:rsidP="00EE2273">
            <w:pPr>
              <w:numPr>
                <w:ilvl w:val="1"/>
                <w:numId w:val="32"/>
              </w:numPr>
              <w:spacing w:before="120" w:after="120"/>
              <w:rPr>
                <w:rFonts w:eastAsia="Calibri Light" w:cs="Arial"/>
                <w:b/>
                <w:bCs/>
                <w:color w:val="auto"/>
                <w:sz w:val="20"/>
                <w:szCs w:val="20"/>
                <w:lang w:eastAsia="en-AU"/>
              </w:rPr>
            </w:pPr>
            <w:r w:rsidRPr="003837AD">
              <w:rPr>
                <w:rFonts w:eastAsia="Calibri Light" w:cs="Arial"/>
                <w:color w:val="auto"/>
                <w:sz w:val="20"/>
                <w:szCs w:val="20"/>
                <w:lang w:eastAsia="en-AU"/>
              </w:rPr>
              <w:t>minimise access to Vaccine Strategy Information to the minimum number of persons who have a legitimate ‘need to know’ that information, and who meet minimum security requirements specified by Health; and</w:t>
            </w:r>
          </w:p>
          <w:p w14:paraId="6035AA9A" w14:textId="5CDD9CAE" w:rsidR="00D21770" w:rsidRPr="003837AD" w:rsidRDefault="003837AD" w:rsidP="00EE2273">
            <w:pPr>
              <w:numPr>
                <w:ilvl w:val="1"/>
                <w:numId w:val="32"/>
              </w:numPr>
              <w:spacing w:before="120" w:after="120"/>
              <w:rPr>
                <w:rFonts w:eastAsia="Calibri Light" w:cs="Arial"/>
                <w:b/>
                <w:bCs/>
                <w:color w:val="auto"/>
                <w:szCs w:val="20"/>
                <w:lang w:eastAsia="en-AU"/>
              </w:rPr>
            </w:pPr>
            <w:proofErr w:type="gramStart"/>
            <w:r w:rsidRPr="003837AD">
              <w:rPr>
                <w:sz w:val="20"/>
                <w:szCs w:val="20"/>
              </w:rPr>
              <w:t>implement</w:t>
            </w:r>
            <w:proofErr w:type="gramEnd"/>
            <w:r w:rsidRPr="003837AD">
              <w:rPr>
                <w:sz w:val="20"/>
                <w:szCs w:val="20"/>
              </w:rPr>
              <w:t xml:space="preserve"> ongoing testing for security vulnerabilities for any solutions which store Vaccine Strategy Information.</w:t>
            </w:r>
          </w:p>
        </w:tc>
      </w:tr>
      <w:tr w:rsidR="00D21770" w:rsidRPr="000261B0" w14:paraId="2A7B10A5" w14:textId="77777777" w:rsidTr="00A2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C6C6557" w14:textId="4817D48A" w:rsidR="00D21770" w:rsidRPr="000261B0" w:rsidRDefault="00CD15DA" w:rsidP="00B67D98">
            <w:pPr>
              <w:pStyle w:val="Tabletextleft"/>
            </w:pPr>
            <w:r w:rsidRPr="000261B0">
              <w:t>R</w:t>
            </w:r>
            <w:r w:rsidR="00D21770" w:rsidRPr="000261B0">
              <w:t>esponse</w:t>
            </w:r>
          </w:p>
        </w:tc>
        <w:tc>
          <w:tcPr>
            <w:tcW w:w="6098" w:type="dxa"/>
          </w:tcPr>
          <w:p w14:paraId="3F146283" w14:textId="1C519FE5" w:rsidR="00EE2273" w:rsidRDefault="00B315CC" w:rsidP="00EE2273">
            <w:pPr>
              <w:cnfStyle w:val="000000010000" w:firstRow="0" w:lastRow="0" w:firstColumn="0" w:lastColumn="0" w:oddVBand="0" w:evenVBand="0" w:oddHBand="0" w:evenHBand="1" w:firstRowFirstColumn="0" w:firstRowLastColumn="0" w:lastRowFirstColumn="0" w:lastRowLastColumn="0"/>
              <w:rPr>
                <w:sz w:val="20"/>
                <w:szCs w:val="22"/>
              </w:rPr>
            </w:pPr>
            <w:r w:rsidRPr="00EE2273">
              <w:rPr>
                <w:sz w:val="20"/>
                <w:szCs w:val="22"/>
              </w:rPr>
              <w:t>A</w:t>
            </w:r>
            <w:r w:rsidR="003837AD" w:rsidRPr="00EE2273">
              <w:rPr>
                <w:sz w:val="20"/>
                <w:szCs w:val="22"/>
              </w:rPr>
              <w:t xml:space="preserve">greed. </w:t>
            </w:r>
            <w:r w:rsidR="00EE2273">
              <w:rPr>
                <w:sz w:val="20"/>
                <w:szCs w:val="22"/>
              </w:rPr>
              <w:t>Health has worked and continues to work closely with Partners and key stakeholders to safely and effectively roll out COVID-19 vaccines, including co-design, developing and testing cycles. R</w:t>
            </w:r>
            <w:r w:rsidR="00EE2273" w:rsidRPr="00EE2273">
              <w:rPr>
                <w:sz w:val="20"/>
                <w:szCs w:val="22"/>
              </w:rPr>
              <w:t xml:space="preserve">obust processes </w:t>
            </w:r>
            <w:r w:rsidR="00EE2273">
              <w:rPr>
                <w:sz w:val="20"/>
                <w:szCs w:val="22"/>
              </w:rPr>
              <w:t xml:space="preserve">are </w:t>
            </w:r>
            <w:r w:rsidR="00EE2273" w:rsidRPr="00EE2273">
              <w:rPr>
                <w:sz w:val="20"/>
                <w:szCs w:val="22"/>
              </w:rPr>
              <w:t xml:space="preserve">in place for carrying out testing and quality assurance of systems developed to identify security vulnerabilities and ensure appropriate security arrangements are in place. </w:t>
            </w:r>
          </w:p>
          <w:p w14:paraId="22AC6CC3" w14:textId="77777777" w:rsidR="00EE2273" w:rsidRDefault="00EE2273" w:rsidP="00EE2273">
            <w:pPr>
              <w:cnfStyle w:val="000000010000" w:firstRow="0" w:lastRow="0" w:firstColumn="0" w:lastColumn="0" w:oddVBand="0" w:evenVBand="0" w:oddHBand="0" w:evenHBand="1" w:firstRowFirstColumn="0" w:firstRowLastColumn="0" w:lastRowFirstColumn="0" w:lastRowLastColumn="0"/>
              <w:rPr>
                <w:sz w:val="20"/>
                <w:szCs w:val="22"/>
              </w:rPr>
            </w:pPr>
          </w:p>
          <w:p w14:paraId="69131933" w14:textId="53CDA4CD" w:rsidR="001629E9" w:rsidRDefault="00DA3091" w:rsidP="00EE2273">
            <w:pPr>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EE2273">
              <w:rPr>
                <w:rFonts w:cs="Arial"/>
                <w:color w:val="000000"/>
                <w:sz w:val="20"/>
                <w:szCs w:val="22"/>
              </w:rPr>
              <w:t>In implementation of the Vaccines Data Soluti</w:t>
            </w:r>
            <w:r w:rsidR="0040270E">
              <w:rPr>
                <w:rFonts w:cs="Arial"/>
                <w:color w:val="000000"/>
                <w:sz w:val="20"/>
                <w:szCs w:val="22"/>
              </w:rPr>
              <w:t xml:space="preserve">on and its related systems, Health </w:t>
            </w:r>
            <w:r w:rsidRPr="00EE2273">
              <w:rPr>
                <w:rFonts w:cs="Arial"/>
                <w:color w:val="000000"/>
                <w:sz w:val="20"/>
                <w:szCs w:val="22"/>
              </w:rPr>
              <w:t xml:space="preserve">has completed various processes and engaged relevant expertise through the Chief Information Security Officer, including resources from the Australian Cyber Security Centre (ACSC), a security assessor certified through the ACSC Information Security Registered Assessors Program (IRAP) and independent assurance services to ensure that the Solution meets the requirements of the Protective Security Policy Framework.  </w:t>
            </w:r>
            <w:r w:rsidR="00EB46F5" w:rsidRPr="00EE2273">
              <w:rPr>
                <w:rFonts w:cs="Arial"/>
                <w:color w:val="000000"/>
                <w:sz w:val="20"/>
                <w:szCs w:val="22"/>
              </w:rPr>
              <w:t>There are various artefacts being developed including Security Plans, Threat Assessments, Data Protection Plans, Incident Response Plan, Penetration Test Report and a Final Security Report.</w:t>
            </w:r>
            <w:r w:rsidR="00EB46F5">
              <w:rPr>
                <w:rFonts w:cs="Arial"/>
                <w:color w:val="000000"/>
                <w:szCs w:val="22"/>
              </w:rPr>
              <w:t xml:space="preserve">  </w:t>
            </w:r>
          </w:p>
          <w:p w14:paraId="2700AB40" w14:textId="356DF3A9" w:rsidR="00EE2273" w:rsidRPr="00EE2273" w:rsidRDefault="00EE2273" w:rsidP="00EE2273">
            <w:pPr>
              <w:cnfStyle w:val="000000010000" w:firstRow="0" w:lastRow="0" w:firstColumn="0" w:lastColumn="0" w:oddVBand="0" w:evenVBand="0" w:oddHBand="0" w:evenHBand="1" w:firstRowFirstColumn="0" w:firstRowLastColumn="0" w:lastRowFirstColumn="0" w:lastRowLastColumn="0"/>
              <w:rPr>
                <w:sz w:val="20"/>
                <w:szCs w:val="22"/>
              </w:rPr>
            </w:pPr>
          </w:p>
          <w:p w14:paraId="7B0C85EF" w14:textId="5FEE32A1" w:rsidR="00EE2273" w:rsidRPr="00EE2273" w:rsidRDefault="00EE2273" w:rsidP="00EE2273">
            <w:pPr>
              <w:cnfStyle w:val="000000010000" w:firstRow="0" w:lastRow="0" w:firstColumn="0" w:lastColumn="0" w:oddVBand="0" w:evenVBand="0" w:oddHBand="0" w:evenHBand="1" w:firstRowFirstColumn="0" w:firstRowLastColumn="0" w:lastRowFirstColumn="0" w:lastRowLastColumn="0"/>
              <w:rPr>
                <w:sz w:val="20"/>
                <w:szCs w:val="22"/>
              </w:rPr>
            </w:pPr>
            <w:r w:rsidRPr="00EE2273">
              <w:rPr>
                <w:sz w:val="20"/>
                <w:szCs w:val="22"/>
              </w:rPr>
              <w:t>Existing Data Governance Frameworks are being utilised to ensure strict arrangements are in place for who can access the information.</w:t>
            </w:r>
          </w:p>
        </w:tc>
      </w:tr>
    </w:tbl>
    <w:p w14:paraId="4E3A564B" w14:textId="77777777" w:rsidR="005E7EA6" w:rsidRDefault="005E7EA6" w:rsidP="00D21770">
      <w:pPr>
        <w:rPr>
          <w:rFonts w:cs="Arial"/>
        </w:rPr>
      </w:pPr>
    </w:p>
    <w:p w14:paraId="75188EC4" w14:textId="47F28983" w:rsidR="00CD15DA" w:rsidRPr="000261B0" w:rsidRDefault="00CD15DA" w:rsidP="00D21770">
      <w:pPr>
        <w:pStyle w:val="Paragraphtext"/>
        <w:rPr>
          <w:rFonts w:cs="Arial"/>
        </w:rPr>
      </w:pPr>
    </w:p>
    <w:tbl>
      <w:tblPr>
        <w:tblStyle w:val="DepartmentofHealthtable"/>
        <w:tblW w:w="0" w:type="auto"/>
        <w:tblLook w:val="04A0" w:firstRow="1" w:lastRow="0" w:firstColumn="1" w:lastColumn="0" w:noHBand="0" w:noVBand="1"/>
        <w:tblDescription w:val="&quot;&quot;"/>
      </w:tblPr>
      <w:tblGrid>
        <w:gridCol w:w="2407"/>
        <w:gridCol w:w="6098"/>
      </w:tblGrid>
      <w:tr w:rsidR="00D21770" w:rsidRPr="000261B0" w14:paraId="7719EFD7" w14:textId="77777777" w:rsidTr="00D81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tcPr>
          <w:p w14:paraId="4A29D868" w14:textId="2BF506D6" w:rsidR="00D21770" w:rsidRPr="000261B0" w:rsidRDefault="001E437B" w:rsidP="00807E97">
            <w:pPr>
              <w:pStyle w:val="TableHeaderWhite"/>
              <w:rPr>
                <w:rFonts w:cs="Arial"/>
              </w:rPr>
            </w:pPr>
            <w:proofErr w:type="spellStart"/>
            <w:r w:rsidRPr="000261B0">
              <w:rPr>
                <w:rFonts w:cs="Arial"/>
              </w:rPr>
              <w:t>Maddocks</w:t>
            </w:r>
            <w:proofErr w:type="spellEnd"/>
            <w:r w:rsidRPr="000261B0">
              <w:rPr>
                <w:rFonts w:cs="Arial"/>
              </w:rPr>
              <w:t xml:space="preserve"> Recommendation </w:t>
            </w:r>
            <w:r w:rsidR="00807E97">
              <w:rPr>
                <w:rFonts w:cs="Arial"/>
              </w:rPr>
              <w:t>7</w:t>
            </w:r>
            <w:r w:rsidR="00D21770" w:rsidRPr="000261B0">
              <w:rPr>
                <w:rFonts w:cs="Arial"/>
              </w:rPr>
              <w:t xml:space="preserve">: </w:t>
            </w:r>
          </w:p>
        </w:tc>
        <w:tc>
          <w:tcPr>
            <w:tcW w:w="6098" w:type="dxa"/>
          </w:tcPr>
          <w:p w14:paraId="425FFA81" w14:textId="568B8DE5" w:rsidR="00D21770" w:rsidRPr="000261B0" w:rsidRDefault="00204B2B" w:rsidP="00A24D39">
            <w:pPr>
              <w:pStyle w:val="TableHeader"/>
              <w:cnfStyle w:val="100000000000" w:firstRow="1" w:lastRow="0" w:firstColumn="0" w:lastColumn="0" w:oddVBand="0" w:evenVBand="0" w:oddHBand="0" w:evenHBand="0" w:firstRowFirstColumn="0" w:firstRowLastColumn="0" w:lastRowFirstColumn="0" w:lastRowLastColumn="0"/>
              <w:rPr>
                <w:rFonts w:cs="Arial"/>
              </w:rPr>
            </w:pPr>
            <w:bookmarkStart w:id="5" w:name="_Ref59402297"/>
            <w:r w:rsidRPr="00484059">
              <w:rPr>
                <w:bCs/>
              </w:rPr>
              <w:t>Measures in relation to Health’s use and disclosure of Vaccine Strategy Information</w:t>
            </w:r>
            <w:bookmarkEnd w:id="5"/>
          </w:p>
        </w:tc>
      </w:tr>
      <w:tr w:rsidR="00D21770" w:rsidRPr="000261B0" w14:paraId="1888415E" w14:textId="77777777" w:rsidTr="00A2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64957A59" w14:textId="77777777" w:rsidR="00EE2273" w:rsidRPr="00EE2273" w:rsidRDefault="00EE2273" w:rsidP="00EE2273">
            <w:pPr>
              <w:pStyle w:val="Tabletextleft"/>
              <w:spacing w:before="120" w:after="120"/>
              <w:rPr>
                <w:b/>
                <w:bCs/>
                <w:sz w:val="20"/>
              </w:rPr>
            </w:pPr>
            <w:r w:rsidRPr="00EE2273">
              <w:rPr>
                <w:sz w:val="20"/>
              </w:rPr>
              <w:t xml:space="preserve">If Health considers it is likely that it will disclose any </w:t>
            </w:r>
            <w:r w:rsidRPr="00EE2273">
              <w:rPr>
                <w:i/>
                <w:iCs/>
                <w:sz w:val="20"/>
              </w:rPr>
              <w:t>identified</w:t>
            </w:r>
            <w:r w:rsidRPr="00EE2273">
              <w:rPr>
                <w:sz w:val="20"/>
              </w:rPr>
              <w:t xml:space="preserve"> Vaccine Strategy Information to other entities, we </w:t>
            </w:r>
            <w:r w:rsidRPr="0040270E">
              <w:rPr>
                <w:b/>
                <w:sz w:val="20"/>
              </w:rPr>
              <w:t>recommend</w:t>
            </w:r>
            <w:r w:rsidRPr="00EE2273">
              <w:rPr>
                <w:sz w:val="20"/>
              </w:rPr>
              <w:t xml:space="preserve"> that Health consider whether there are steps it should take to further enhance public confidence in the handling of Vaccine Strategy Information, such as:</w:t>
            </w:r>
          </w:p>
          <w:p w14:paraId="55838A90" w14:textId="77777777" w:rsidR="00EE2273" w:rsidRPr="00EE2273" w:rsidRDefault="00EE2273" w:rsidP="00EE2273">
            <w:pPr>
              <w:pStyle w:val="Tabletextleft"/>
              <w:numPr>
                <w:ilvl w:val="0"/>
                <w:numId w:val="30"/>
              </w:numPr>
              <w:spacing w:before="120" w:after="120"/>
              <w:rPr>
                <w:b/>
                <w:bCs/>
                <w:sz w:val="20"/>
              </w:rPr>
            </w:pPr>
            <w:r w:rsidRPr="00EE2273">
              <w:rPr>
                <w:sz w:val="20"/>
              </w:rPr>
              <w:t>complying with Health’s usual data management and governance processes if it wishes to use and disclose Vaccine Strategy Information held by it (to consider and ensure that any uses and disclosures will comply with the requirements of APP 6, and the requirements of the AIR Act); and</w:t>
            </w:r>
          </w:p>
          <w:p w14:paraId="3267952C" w14:textId="77777777" w:rsidR="00EE2273" w:rsidRPr="00EE2273" w:rsidRDefault="00EE2273" w:rsidP="00EE2273">
            <w:pPr>
              <w:pStyle w:val="Tabletextleft"/>
              <w:numPr>
                <w:ilvl w:val="0"/>
                <w:numId w:val="30"/>
              </w:numPr>
              <w:spacing w:before="120" w:after="120"/>
              <w:rPr>
                <w:b/>
                <w:bCs/>
                <w:sz w:val="20"/>
              </w:rPr>
            </w:pPr>
            <w:proofErr w:type="gramStart"/>
            <w:r w:rsidRPr="00EE2273">
              <w:rPr>
                <w:sz w:val="20"/>
              </w:rPr>
              <w:t>ensuring</w:t>
            </w:r>
            <w:proofErr w:type="gramEnd"/>
            <w:r w:rsidRPr="00EE2273">
              <w:rPr>
                <w:sz w:val="20"/>
              </w:rPr>
              <w:t xml:space="preserve"> that any entities that do receive identified Vaccine Strategy Information will comply with their obligations under the Privacy Act or otherwise handle any Vaccine Strategy Information provided to them in an appropriate manner. For example, Health may wish to consider:</w:t>
            </w:r>
          </w:p>
          <w:p w14:paraId="4AD2912D" w14:textId="77777777" w:rsidR="00EE2273" w:rsidRPr="00EE2273" w:rsidRDefault="00EE2273" w:rsidP="00EE2273">
            <w:pPr>
              <w:pStyle w:val="Tabletextleft"/>
              <w:numPr>
                <w:ilvl w:val="1"/>
                <w:numId w:val="32"/>
              </w:numPr>
              <w:spacing w:before="120" w:after="120"/>
              <w:rPr>
                <w:b/>
                <w:bCs/>
                <w:sz w:val="20"/>
              </w:rPr>
            </w:pPr>
            <w:r w:rsidRPr="00EE2273">
              <w:rPr>
                <w:sz w:val="20"/>
              </w:rPr>
              <w:t>agreeing clearly documented agreements or other arrangements with the recipient entities, which set out how these entities may handle Vaccine Strategy Information provided to them in connection with the Vaccine Strategy;</w:t>
            </w:r>
          </w:p>
          <w:p w14:paraId="32F9B2C7" w14:textId="77777777" w:rsidR="0040270E" w:rsidRDefault="00EE2273" w:rsidP="00EE2273">
            <w:pPr>
              <w:pStyle w:val="Tabletextleft"/>
              <w:numPr>
                <w:ilvl w:val="1"/>
                <w:numId w:val="32"/>
              </w:numPr>
              <w:spacing w:before="120" w:after="120"/>
              <w:rPr>
                <w:b/>
                <w:bCs/>
                <w:sz w:val="20"/>
              </w:rPr>
            </w:pPr>
            <w:r w:rsidRPr="00EE2273">
              <w:rPr>
                <w:sz w:val="20"/>
              </w:rPr>
              <w:t>including appropriate terms and conditions of use, to which authorised individuals of the recipient entities would need to agree before being provided with access to the Vaccine Strategy Information; and/or</w:t>
            </w:r>
          </w:p>
          <w:p w14:paraId="2A2CECE1" w14:textId="596C8366" w:rsidR="00D21770" w:rsidRPr="0040270E" w:rsidRDefault="00EE2273" w:rsidP="00EE2273">
            <w:pPr>
              <w:pStyle w:val="Tabletextleft"/>
              <w:numPr>
                <w:ilvl w:val="1"/>
                <w:numId w:val="32"/>
              </w:numPr>
              <w:spacing w:before="120" w:after="120"/>
              <w:rPr>
                <w:b/>
                <w:bCs/>
                <w:sz w:val="20"/>
              </w:rPr>
            </w:pPr>
            <w:r w:rsidRPr="0040270E">
              <w:rPr>
                <w:sz w:val="20"/>
              </w:rPr>
              <w:t>issuing guidance material to the recipient entities (which could be in letter form), which provides guidance about how these entities should handle Patient Information provided to them in connection with the Vaccine Strategy.</w:t>
            </w:r>
          </w:p>
        </w:tc>
      </w:tr>
      <w:tr w:rsidR="00D21770" w:rsidRPr="000261B0" w14:paraId="2FD88286" w14:textId="77777777" w:rsidTr="00A2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48B64DE6" w14:textId="77777777" w:rsidR="00D21770" w:rsidRPr="000261B0" w:rsidRDefault="00CD15DA" w:rsidP="00B67D98">
            <w:pPr>
              <w:pStyle w:val="Tabletextleft"/>
            </w:pPr>
            <w:r w:rsidRPr="000261B0">
              <w:t>R</w:t>
            </w:r>
            <w:r w:rsidR="00D21770" w:rsidRPr="000261B0">
              <w:t>esponse</w:t>
            </w:r>
          </w:p>
        </w:tc>
        <w:tc>
          <w:tcPr>
            <w:tcW w:w="6098" w:type="dxa"/>
          </w:tcPr>
          <w:p w14:paraId="48C57838" w14:textId="77777777" w:rsidR="00A9439D" w:rsidRDefault="006B2D22" w:rsidP="00A9439D">
            <w:pPr>
              <w:pStyle w:val="CommentText"/>
              <w:cnfStyle w:val="000000010000" w:firstRow="0" w:lastRow="0" w:firstColumn="0" w:lastColumn="0" w:oddVBand="0" w:evenVBand="0" w:oddHBand="0" w:evenHBand="1" w:firstRowFirstColumn="0" w:firstRowLastColumn="0" w:lastRowFirstColumn="0" w:lastRowLastColumn="0"/>
              <w:rPr>
                <w:rStyle w:val="CommentReference"/>
                <w:sz w:val="20"/>
                <w:szCs w:val="22"/>
              </w:rPr>
            </w:pPr>
            <w:r w:rsidRPr="00EE2273">
              <w:rPr>
                <w:szCs w:val="22"/>
              </w:rPr>
              <w:t>Agreed.</w:t>
            </w:r>
            <w:r w:rsidRPr="00EE2273">
              <w:rPr>
                <w:sz w:val="18"/>
                <w:szCs w:val="21"/>
              </w:rPr>
              <w:t xml:space="preserve">  </w:t>
            </w:r>
            <w:r w:rsidR="00D53F4B" w:rsidRPr="00EE2273">
              <w:rPr>
                <w:rStyle w:val="CommentReference"/>
                <w:sz w:val="20"/>
                <w:szCs w:val="22"/>
              </w:rPr>
              <w:t xml:space="preserve">Identified Vaccine Strategy information will only be disclosed consistent with the provisions of the </w:t>
            </w:r>
            <w:r w:rsidR="00D53F4B" w:rsidRPr="00EE2273">
              <w:rPr>
                <w:rStyle w:val="CommentReference"/>
                <w:i/>
                <w:sz w:val="20"/>
                <w:szCs w:val="22"/>
              </w:rPr>
              <w:t>Australian Information Register Act 2015</w:t>
            </w:r>
            <w:r w:rsidR="00D53F4B" w:rsidRPr="00EE2273">
              <w:rPr>
                <w:rStyle w:val="CommentReference"/>
                <w:sz w:val="20"/>
                <w:szCs w:val="22"/>
              </w:rPr>
              <w:t xml:space="preserve">, and the </w:t>
            </w:r>
            <w:r w:rsidR="00D53F4B" w:rsidRPr="00EE2273">
              <w:rPr>
                <w:rStyle w:val="CommentReference"/>
                <w:i/>
                <w:sz w:val="20"/>
                <w:szCs w:val="22"/>
              </w:rPr>
              <w:t>Privacy Act 1988</w:t>
            </w:r>
            <w:r w:rsidR="00D53F4B" w:rsidRPr="00EE2273">
              <w:rPr>
                <w:rStyle w:val="CommentReference"/>
                <w:sz w:val="20"/>
                <w:szCs w:val="22"/>
              </w:rPr>
              <w:t xml:space="preserve">, as appropriate, and in line with departmental data governance processes. </w:t>
            </w:r>
          </w:p>
          <w:p w14:paraId="4A53C6FB" w14:textId="77777777" w:rsidR="00A9439D" w:rsidRDefault="00A9439D" w:rsidP="00A9439D">
            <w:pPr>
              <w:pStyle w:val="CommentText"/>
              <w:cnfStyle w:val="000000010000" w:firstRow="0" w:lastRow="0" w:firstColumn="0" w:lastColumn="0" w:oddVBand="0" w:evenVBand="0" w:oddHBand="0" w:evenHBand="1" w:firstRowFirstColumn="0" w:firstRowLastColumn="0" w:lastRowFirstColumn="0" w:lastRowLastColumn="0"/>
              <w:rPr>
                <w:rStyle w:val="CommentReference"/>
                <w:sz w:val="20"/>
                <w:szCs w:val="22"/>
              </w:rPr>
            </w:pPr>
          </w:p>
          <w:p w14:paraId="61FFDD45" w14:textId="5637C51C" w:rsidR="00DB7CD3" w:rsidRPr="00EE2273" w:rsidRDefault="00EE2273" w:rsidP="009C2498">
            <w:pPr>
              <w:pStyle w:val="CommentText"/>
              <w:cnfStyle w:val="000000010000" w:firstRow="0" w:lastRow="0" w:firstColumn="0" w:lastColumn="0" w:oddVBand="0" w:evenVBand="0" w:oddHBand="0" w:evenHBand="1" w:firstRowFirstColumn="0" w:firstRowLastColumn="0" w:lastRowFirstColumn="0" w:lastRowLastColumn="0"/>
              <w:rPr>
                <w:sz w:val="18"/>
                <w:szCs w:val="21"/>
              </w:rPr>
            </w:pPr>
            <w:r>
              <w:rPr>
                <w:rStyle w:val="CommentReference"/>
                <w:sz w:val="20"/>
                <w:szCs w:val="22"/>
              </w:rPr>
              <w:t>Health</w:t>
            </w:r>
            <w:r w:rsidR="00D53F4B" w:rsidRPr="00EE2273">
              <w:rPr>
                <w:rStyle w:val="CommentReference"/>
                <w:sz w:val="20"/>
                <w:szCs w:val="22"/>
              </w:rPr>
              <w:t xml:space="preserve"> will </w:t>
            </w:r>
            <w:r w:rsidR="00A9439D">
              <w:rPr>
                <w:rStyle w:val="CommentReference"/>
                <w:sz w:val="20"/>
                <w:szCs w:val="22"/>
              </w:rPr>
              <w:t xml:space="preserve">provide </w:t>
            </w:r>
            <w:r w:rsidR="00D53F4B" w:rsidRPr="00EE2273">
              <w:rPr>
                <w:rStyle w:val="CommentReference"/>
                <w:sz w:val="20"/>
                <w:szCs w:val="22"/>
              </w:rPr>
              <w:t xml:space="preserve">entities receiving </w:t>
            </w:r>
            <w:r w:rsidR="00A9439D">
              <w:rPr>
                <w:rStyle w:val="CommentReference"/>
                <w:sz w:val="20"/>
                <w:szCs w:val="22"/>
              </w:rPr>
              <w:t xml:space="preserve">identified </w:t>
            </w:r>
            <w:r>
              <w:rPr>
                <w:rStyle w:val="CommentReference"/>
                <w:sz w:val="20"/>
                <w:szCs w:val="22"/>
              </w:rPr>
              <w:t xml:space="preserve">Vaccine Strategy information </w:t>
            </w:r>
            <w:r w:rsidR="00A9439D">
              <w:rPr>
                <w:rStyle w:val="CommentReference"/>
                <w:sz w:val="20"/>
                <w:szCs w:val="22"/>
              </w:rPr>
              <w:t>with the necessary guidance on handling and using personal information provided. Health will regularly monitor compliance against contractual requirements, including</w:t>
            </w:r>
            <w:r w:rsidR="009C2498">
              <w:rPr>
                <w:rStyle w:val="CommentReference"/>
                <w:sz w:val="20"/>
                <w:szCs w:val="22"/>
              </w:rPr>
              <w:t xml:space="preserve"> protection of personal information</w:t>
            </w:r>
            <w:r w:rsidR="00A9439D">
              <w:rPr>
                <w:rStyle w:val="CommentReference"/>
                <w:sz w:val="20"/>
                <w:szCs w:val="22"/>
              </w:rPr>
              <w:t>.</w:t>
            </w:r>
          </w:p>
        </w:tc>
      </w:tr>
    </w:tbl>
    <w:p w14:paraId="20141C15" w14:textId="77777777" w:rsidR="00D07AB2" w:rsidRDefault="00D07AB2" w:rsidP="00D21770">
      <w:pPr>
        <w:rPr>
          <w:rFonts w:cs="Arial"/>
        </w:rPr>
      </w:pPr>
    </w:p>
    <w:sectPr w:rsidR="00D07AB2" w:rsidSect="00D45D94">
      <w:headerReference w:type="even" r:id="rId14"/>
      <w:headerReference w:type="default" r:id="rId15"/>
      <w:footerReference w:type="default" r:id="rId16"/>
      <w:headerReference w:type="first" r:id="rId17"/>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E81BD" w14:textId="77777777" w:rsidR="00A52F46" w:rsidRDefault="00A52F46" w:rsidP="006B56BB">
      <w:r>
        <w:separator/>
      </w:r>
    </w:p>
    <w:p w14:paraId="16E434F6" w14:textId="77777777" w:rsidR="00A52F46" w:rsidRDefault="00A52F46"/>
  </w:endnote>
  <w:endnote w:type="continuationSeparator" w:id="0">
    <w:p w14:paraId="17EE4AD5" w14:textId="77777777" w:rsidR="00A52F46" w:rsidRDefault="00A52F46" w:rsidP="006B56BB">
      <w:r>
        <w:continuationSeparator/>
      </w:r>
    </w:p>
    <w:p w14:paraId="2BB98A99" w14:textId="77777777" w:rsidR="00A52F46" w:rsidRDefault="00A52F46"/>
  </w:endnote>
  <w:endnote w:type="continuationNotice" w:id="1">
    <w:p w14:paraId="08C32D9D" w14:textId="77777777" w:rsidR="00A52F46" w:rsidRDefault="00A52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1E2C" w14:textId="76A84F56" w:rsidR="00A52F46" w:rsidRPr="00751A23" w:rsidRDefault="00A52F46" w:rsidP="00751A23">
    <w:pPr>
      <w:pStyle w:val="Footer"/>
      <w:tabs>
        <w:tab w:val="clear" w:pos="4513"/>
        <w:tab w:val="center" w:pos="0"/>
      </w:tabs>
      <w:jc w:val="right"/>
      <w:rPr>
        <w:szCs w:val="20"/>
      </w:rPr>
    </w:pPr>
    <w:r>
      <w:t>C</w:t>
    </w:r>
    <w:r w:rsidR="00875E05">
      <w:t>OVID-19 Vaccine Strategy</w:t>
    </w:r>
    <w:r>
      <w:t xml:space="preserve"> Privacy Impact Assessment – Agency Response</w:t>
    </w:r>
    <w:r w:rsidRPr="00751A23">
      <w:rPr>
        <w:szCs w:val="20"/>
      </w:rPr>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967062">
          <w:rPr>
            <w:noProof/>
            <w:szCs w:val="20"/>
          </w:rPr>
          <w:t>13</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7AA0F" w14:textId="77777777" w:rsidR="00A52F46" w:rsidRDefault="00A52F46" w:rsidP="006B56BB">
      <w:r>
        <w:separator/>
      </w:r>
    </w:p>
    <w:p w14:paraId="2323C290" w14:textId="77777777" w:rsidR="00A52F46" w:rsidRDefault="00A52F46"/>
  </w:footnote>
  <w:footnote w:type="continuationSeparator" w:id="0">
    <w:p w14:paraId="4D52DC0E" w14:textId="77777777" w:rsidR="00A52F46" w:rsidRDefault="00A52F46" w:rsidP="006B56BB">
      <w:r>
        <w:continuationSeparator/>
      </w:r>
    </w:p>
    <w:p w14:paraId="7ED0F121" w14:textId="77777777" w:rsidR="00A52F46" w:rsidRDefault="00A52F46"/>
  </w:footnote>
  <w:footnote w:type="continuationNotice" w:id="1">
    <w:p w14:paraId="3D121176" w14:textId="77777777" w:rsidR="00A52F46" w:rsidRDefault="00A52F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BD66" w14:textId="265B8689" w:rsidR="00A52F46" w:rsidRDefault="00A52F46">
    <w:pPr>
      <w:pStyle w:val="Header"/>
    </w:pPr>
    <w:r>
      <w:rPr>
        <w:noProof/>
        <w:lang w:eastAsia="en-AU"/>
      </w:rPr>
      <w:drawing>
        <wp:anchor distT="0" distB="0" distL="114300" distR="114300" simplePos="0" relativeHeight="251658240" behindDoc="1" locked="0" layoutInCell="1" allowOverlap="1" wp14:anchorId="1D9183FC" wp14:editId="72810DDF">
          <wp:simplePos x="0" y="0"/>
          <wp:positionH relativeFrom="page">
            <wp:align>center</wp:align>
          </wp:positionH>
          <wp:positionV relativeFrom="page">
            <wp:align>top</wp:align>
          </wp:positionV>
          <wp:extent cx="7560000" cy="1033200"/>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b="90353"/>
                  <a:stretch/>
                </pic:blipFill>
                <pic:spPr bwMode="auto">
                  <a:xfrm>
                    <a:off x="0" y="0"/>
                    <a:ext cx="7560000" cy="103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35B0" w14:textId="0DB209FB" w:rsidR="007A5C4A" w:rsidRDefault="007A5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F577" w14:textId="0235A732" w:rsidR="00A52F46" w:rsidRDefault="00A52F46" w:rsidP="008E0C77">
    <w:pPr>
      <w:pStyle w:val="Headertext"/>
      <w:spacing w:after="18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5EF5" w14:textId="179A18B1" w:rsidR="007A5C4A" w:rsidRDefault="007A5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B"/>
    <w:multiLevelType w:val="multilevel"/>
    <w:tmpl w:val="4C48CE4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2245648"/>
    <w:multiLevelType w:val="multilevel"/>
    <w:tmpl w:val="F7260A78"/>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21945"/>
    <w:multiLevelType w:val="hybridMultilevel"/>
    <w:tmpl w:val="42A05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4C5076"/>
    <w:multiLevelType w:val="hybridMultilevel"/>
    <w:tmpl w:val="067C4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E2FE8"/>
    <w:multiLevelType w:val="hybridMultilevel"/>
    <w:tmpl w:val="1604D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17F7B"/>
    <w:multiLevelType w:val="hybridMultilevel"/>
    <w:tmpl w:val="D56C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9" w15:restartNumberingAfterBreak="0">
    <w:nsid w:val="2FCC4FEE"/>
    <w:multiLevelType w:val="multilevel"/>
    <w:tmpl w:val="D152B506"/>
    <w:lvl w:ilvl="0">
      <w:start w:val="1"/>
      <w:numFmt w:val="decimal"/>
      <w:pStyle w:val="ClauseLevel1"/>
      <w:lvlText w:val="Recommendation %1"/>
      <w:lvlJc w:val="left"/>
      <w:pPr>
        <w:ind w:left="3970" w:hanging="2552"/>
      </w:pPr>
      <w:rPr>
        <w:rFonts w:hint="default"/>
        <w:b/>
        <w:i w:val="0"/>
        <w:color w:val="FFFFFF" w:themeColor="background1"/>
        <w:sz w:val="22"/>
        <w:szCs w:val="22"/>
        <w:u w:val="single"/>
      </w:rPr>
    </w:lvl>
    <w:lvl w:ilvl="1">
      <w:start w:val="1"/>
      <w:numFmt w:val="decimal"/>
      <w:pStyle w:val="ClauseLevel2"/>
      <w:lvlText w:val="%1.%2."/>
      <w:lvlJc w:val="left"/>
      <w:pPr>
        <w:tabs>
          <w:tab w:val="num" w:pos="6521"/>
        </w:tabs>
        <w:ind w:left="6521" w:hanging="1134"/>
      </w:pPr>
      <w:rPr>
        <w:rFonts w:asciiTheme="minorHAnsi" w:hAnsiTheme="minorHAnsi" w:cstheme="minorHAnsi" w:hint="default"/>
        <w:b w:val="0"/>
        <w:i w:val="0"/>
        <w:sz w:val="22"/>
        <w:szCs w:val="22"/>
      </w:rPr>
    </w:lvl>
    <w:lvl w:ilvl="2">
      <w:start w:val="1"/>
      <w:numFmt w:val="lowerLetter"/>
      <w:pStyle w:val="ClauseLevel3"/>
      <w:lvlText w:val="(%3)"/>
      <w:lvlJc w:val="left"/>
      <w:pPr>
        <w:tabs>
          <w:tab w:val="num" w:pos="1559"/>
        </w:tabs>
        <w:ind w:left="1559" w:hanging="1134"/>
      </w:pPr>
      <w:rPr>
        <w:rFonts w:asciiTheme="minorHAnsi" w:eastAsia="Calibri Light" w:hAnsiTheme="minorHAnsi" w:cstheme="minorHAnsi" w:hint="default"/>
        <w:b w:val="0"/>
        <w:sz w:val="22"/>
        <w:szCs w:val="22"/>
      </w:rPr>
    </w:lvl>
    <w:lvl w:ilvl="3">
      <w:start w:val="1"/>
      <w:numFmt w:val="lowerRoman"/>
      <w:lvlText w:val="(%4)"/>
      <w:lvlJc w:val="left"/>
      <w:pPr>
        <w:tabs>
          <w:tab w:val="num" w:pos="1276"/>
        </w:tabs>
        <w:ind w:left="1276" w:hanging="425"/>
      </w:pPr>
      <w:rPr>
        <w:rFonts w:asciiTheme="minorHAnsi" w:eastAsia="Calibri Light" w:hAnsiTheme="minorHAnsi" w:cstheme="minorHAnsi" w:hint="default"/>
      </w:rPr>
    </w:lvl>
    <w:lvl w:ilvl="4">
      <w:start w:val="1"/>
      <w:numFmt w:val="lowerRoman"/>
      <w:lvlText w:val="%5."/>
      <w:lvlJc w:val="left"/>
      <w:pPr>
        <w:tabs>
          <w:tab w:val="num" w:pos="1985"/>
        </w:tabs>
        <w:ind w:left="1985" w:hanging="426"/>
      </w:pPr>
      <w:rPr>
        <w:rFonts w:hint="default"/>
        <w:b w:val="0"/>
      </w:rPr>
    </w:lvl>
    <w:lvl w:ilvl="5">
      <w:start w:val="1"/>
      <w:numFmt w:val="lowerRoman"/>
      <w:lvlText w:val="%6."/>
      <w:lvlJc w:val="righ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7DF18F1"/>
    <w:multiLevelType w:val="hybridMultilevel"/>
    <w:tmpl w:val="0EFC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F026B"/>
    <w:multiLevelType w:val="hybridMultilevel"/>
    <w:tmpl w:val="DEA60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1F05D2"/>
    <w:multiLevelType w:val="hybridMultilevel"/>
    <w:tmpl w:val="0DAA98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CB03321"/>
    <w:multiLevelType w:val="hybridMultilevel"/>
    <w:tmpl w:val="55A29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D265CE"/>
    <w:multiLevelType w:val="hybridMultilevel"/>
    <w:tmpl w:val="CE06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F250CA"/>
    <w:multiLevelType w:val="hybridMultilevel"/>
    <w:tmpl w:val="379601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A83621"/>
    <w:multiLevelType w:val="hybridMultilevel"/>
    <w:tmpl w:val="9894F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3664B2"/>
    <w:multiLevelType w:val="hybridMultilevel"/>
    <w:tmpl w:val="367A3B70"/>
    <w:lvl w:ilvl="0" w:tplc="9D2C218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alibri Light" w:hAnsi="Calibri Light" w:cs="Calibri Light" w:hint="default"/>
      </w:rPr>
    </w:lvl>
    <w:lvl w:ilvl="2" w:tplc="8FC2AAF6">
      <w:start w:val="3"/>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DengXian Light" w:hAnsi="DengXian Light" w:hint="default"/>
      </w:rPr>
    </w:lvl>
    <w:lvl w:ilvl="4" w:tplc="0C090003" w:tentative="1">
      <w:start w:val="1"/>
      <w:numFmt w:val="bullet"/>
      <w:lvlText w:val="o"/>
      <w:lvlJc w:val="left"/>
      <w:pPr>
        <w:ind w:left="3600" w:hanging="360"/>
      </w:pPr>
      <w:rPr>
        <w:rFonts w:ascii="Calibri Light" w:hAnsi="Calibri Light" w:cs="Calibri Light" w:hint="default"/>
      </w:rPr>
    </w:lvl>
    <w:lvl w:ilvl="5" w:tplc="0C090005" w:tentative="1">
      <w:start w:val="1"/>
      <w:numFmt w:val="bullet"/>
      <w:lvlText w:val=""/>
      <w:lvlJc w:val="left"/>
      <w:pPr>
        <w:ind w:left="4320" w:hanging="360"/>
      </w:pPr>
      <w:rPr>
        <w:rFonts w:ascii="CG Times (WN)" w:hAnsi="CG Times (WN)" w:hint="default"/>
      </w:rPr>
    </w:lvl>
    <w:lvl w:ilvl="6" w:tplc="0C090001" w:tentative="1">
      <w:start w:val="1"/>
      <w:numFmt w:val="bullet"/>
      <w:lvlText w:val=""/>
      <w:lvlJc w:val="left"/>
      <w:pPr>
        <w:ind w:left="5040" w:hanging="360"/>
      </w:pPr>
      <w:rPr>
        <w:rFonts w:ascii="DengXian Light" w:hAnsi="DengXian Light" w:hint="default"/>
      </w:rPr>
    </w:lvl>
    <w:lvl w:ilvl="7" w:tplc="0C090003" w:tentative="1">
      <w:start w:val="1"/>
      <w:numFmt w:val="bullet"/>
      <w:lvlText w:val="o"/>
      <w:lvlJc w:val="left"/>
      <w:pPr>
        <w:ind w:left="5760" w:hanging="360"/>
      </w:pPr>
      <w:rPr>
        <w:rFonts w:ascii="Calibri Light" w:hAnsi="Calibri Light" w:cs="Calibri Light" w:hint="default"/>
      </w:rPr>
    </w:lvl>
    <w:lvl w:ilvl="8" w:tplc="0C090005" w:tentative="1">
      <w:start w:val="1"/>
      <w:numFmt w:val="bullet"/>
      <w:lvlText w:val=""/>
      <w:lvlJc w:val="left"/>
      <w:pPr>
        <w:ind w:left="6480" w:hanging="360"/>
      </w:pPr>
      <w:rPr>
        <w:rFonts w:ascii="CG Times (WN)" w:hAnsi="CG Times (WN)" w:hint="default"/>
      </w:rPr>
    </w:lvl>
  </w:abstractNum>
  <w:abstractNum w:abstractNumId="31" w15:restartNumberingAfterBreak="0">
    <w:nsid w:val="5465606A"/>
    <w:multiLevelType w:val="hybridMultilevel"/>
    <w:tmpl w:val="F1E2FBE8"/>
    <w:lvl w:ilvl="0" w:tplc="AF0843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CB31B7"/>
    <w:multiLevelType w:val="hybridMultilevel"/>
    <w:tmpl w:val="FD0C3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BE94C5E"/>
    <w:multiLevelType w:val="hybridMultilevel"/>
    <w:tmpl w:val="14149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B036AB"/>
    <w:multiLevelType w:val="hybridMultilevel"/>
    <w:tmpl w:val="F76C9E8E"/>
    <w:lvl w:ilvl="0" w:tplc="0C090001">
      <w:start w:val="1"/>
      <w:numFmt w:val="bullet"/>
      <w:lvlText w:val=""/>
      <w:lvlJc w:val="left"/>
      <w:pPr>
        <w:ind w:left="720" w:hanging="360"/>
      </w:pPr>
      <w:rPr>
        <w:rFonts w:ascii="DengXian Light" w:hAnsi="DengXian Light"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CG Times (WN)" w:hAnsi="CG Times (WN)" w:hint="default"/>
      </w:rPr>
    </w:lvl>
    <w:lvl w:ilvl="3" w:tplc="25C45170">
      <w:numFmt w:val="bullet"/>
      <w:lvlText w:val="-"/>
      <w:lvlJc w:val="left"/>
      <w:pPr>
        <w:ind w:left="2880" w:hanging="360"/>
      </w:pPr>
      <w:rPr>
        <w:rFonts w:ascii="Arial" w:eastAsia="Times New Roman" w:hAnsi="Arial" w:cs="Arial" w:hint="default"/>
      </w:rPr>
    </w:lvl>
    <w:lvl w:ilvl="4" w:tplc="0C090003" w:tentative="1">
      <w:start w:val="1"/>
      <w:numFmt w:val="bullet"/>
      <w:lvlText w:val="o"/>
      <w:lvlJc w:val="left"/>
      <w:pPr>
        <w:ind w:left="3600" w:hanging="360"/>
      </w:pPr>
      <w:rPr>
        <w:rFonts w:ascii="Calibri Light" w:hAnsi="Calibri Light" w:cs="Calibri Light" w:hint="default"/>
      </w:rPr>
    </w:lvl>
    <w:lvl w:ilvl="5" w:tplc="0C090005" w:tentative="1">
      <w:start w:val="1"/>
      <w:numFmt w:val="bullet"/>
      <w:lvlText w:val=""/>
      <w:lvlJc w:val="left"/>
      <w:pPr>
        <w:ind w:left="4320" w:hanging="360"/>
      </w:pPr>
      <w:rPr>
        <w:rFonts w:ascii="CG Times (WN)" w:hAnsi="CG Times (WN)" w:hint="default"/>
      </w:rPr>
    </w:lvl>
    <w:lvl w:ilvl="6" w:tplc="0C090001" w:tentative="1">
      <w:start w:val="1"/>
      <w:numFmt w:val="bullet"/>
      <w:lvlText w:val=""/>
      <w:lvlJc w:val="left"/>
      <w:pPr>
        <w:ind w:left="5040" w:hanging="360"/>
      </w:pPr>
      <w:rPr>
        <w:rFonts w:ascii="DengXian Light" w:hAnsi="DengXian Light" w:hint="default"/>
      </w:rPr>
    </w:lvl>
    <w:lvl w:ilvl="7" w:tplc="0C090003" w:tentative="1">
      <w:start w:val="1"/>
      <w:numFmt w:val="bullet"/>
      <w:lvlText w:val="o"/>
      <w:lvlJc w:val="left"/>
      <w:pPr>
        <w:ind w:left="5760" w:hanging="360"/>
      </w:pPr>
      <w:rPr>
        <w:rFonts w:ascii="Calibri Light" w:hAnsi="Calibri Light" w:cs="Calibri Light" w:hint="default"/>
      </w:rPr>
    </w:lvl>
    <w:lvl w:ilvl="8" w:tplc="0C090005" w:tentative="1">
      <w:start w:val="1"/>
      <w:numFmt w:val="bullet"/>
      <w:lvlText w:val=""/>
      <w:lvlJc w:val="left"/>
      <w:pPr>
        <w:ind w:left="6480" w:hanging="360"/>
      </w:pPr>
      <w:rPr>
        <w:rFonts w:ascii="CG Times (WN)" w:hAnsi="CG Times (WN)" w:hint="default"/>
      </w:rPr>
    </w:lvl>
  </w:abstractNum>
  <w:abstractNum w:abstractNumId="36" w15:restartNumberingAfterBreak="0">
    <w:nsid w:val="6CC16D46"/>
    <w:multiLevelType w:val="hybridMultilevel"/>
    <w:tmpl w:val="B7B4F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8"/>
  </w:num>
  <w:num w:numId="3">
    <w:abstractNumId w:val="37"/>
  </w:num>
  <w:num w:numId="4">
    <w:abstractNumId w:val="10"/>
  </w:num>
  <w:num w:numId="5">
    <w:abstractNumId w:val="10"/>
    <w:lvlOverride w:ilvl="0">
      <w:startOverride w:val="1"/>
    </w:lvlOverride>
  </w:num>
  <w:num w:numId="6">
    <w:abstractNumId w:val="11"/>
  </w:num>
  <w:num w:numId="7">
    <w:abstractNumId w:val="24"/>
  </w:num>
  <w:num w:numId="8">
    <w:abstractNumId w:val="3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9"/>
  </w:num>
  <w:num w:numId="17">
    <w:abstractNumId w:val="13"/>
  </w:num>
  <w:num w:numId="18">
    <w:abstractNumId w:val="16"/>
  </w:num>
  <w:num w:numId="19">
    <w:abstractNumId w:val="20"/>
  </w:num>
  <w:num w:numId="20">
    <w:abstractNumId w:val="38"/>
  </w:num>
  <w:num w:numId="21">
    <w:abstractNumId w:val="9"/>
  </w:num>
  <w:num w:numId="22">
    <w:abstractNumId w:val="25"/>
  </w:num>
  <w:num w:numId="23">
    <w:abstractNumId w:val="8"/>
  </w:num>
  <w:num w:numId="24">
    <w:abstractNumId w:val="36"/>
  </w:num>
  <w:num w:numId="25">
    <w:abstractNumId w:val="33"/>
  </w:num>
  <w:num w:numId="26">
    <w:abstractNumId w:val="14"/>
  </w:num>
  <w:num w:numId="27">
    <w:abstractNumId w:val="12"/>
  </w:num>
  <w:num w:numId="28">
    <w:abstractNumId w:val="22"/>
  </w:num>
  <w:num w:numId="29">
    <w:abstractNumId w:val="18"/>
  </w:num>
  <w:num w:numId="30">
    <w:abstractNumId w:val="30"/>
  </w:num>
  <w:num w:numId="31">
    <w:abstractNumId w:val="19"/>
  </w:num>
  <w:num w:numId="32">
    <w:abstractNumId w:val="35"/>
  </w:num>
  <w:num w:numId="33">
    <w:abstractNumId w:val="30"/>
  </w:num>
  <w:num w:numId="34">
    <w:abstractNumId w:val="31"/>
  </w:num>
  <w:num w:numId="35">
    <w:abstractNumId w:val="21"/>
  </w:num>
  <w:num w:numId="36">
    <w:abstractNumId w:val="32"/>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5"/>
  </w:num>
  <w:num w:numId="40">
    <w:abstractNumId w:val="29"/>
  </w:num>
  <w:num w:numId="41">
    <w:abstractNumId w:val="1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26139"/>
    <w:rsid w:val="000261B0"/>
    <w:rsid w:val="00027071"/>
    <w:rsid w:val="00027601"/>
    <w:rsid w:val="00033321"/>
    <w:rsid w:val="000338E5"/>
    <w:rsid w:val="00033ECC"/>
    <w:rsid w:val="0003422F"/>
    <w:rsid w:val="00034D02"/>
    <w:rsid w:val="00046FF0"/>
    <w:rsid w:val="000500B8"/>
    <w:rsid w:val="00050176"/>
    <w:rsid w:val="00050180"/>
    <w:rsid w:val="000618BE"/>
    <w:rsid w:val="00062223"/>
    <w:rsid w:val="00062B65"/>
    <w:rsid w:val="00067456"/>
    <w:rsid w:val="00071506"/>
    <w:rsid w:val="0007154F"/>
    <w:rsid w:val="00076BA3"/>
    <w:rsid w:val="00081AB1"/>
    <w:rsid w:val="00090316"/>
    <w:rsid w:val="00093981"/>
    <w:rsid w:val="00093CD9"/>
    <w:rsid w:val="00096FBE"/>
    <w:rsid w:val="000A6E31"/>
    <w:rsid w:val="000B067A"/>
    <w:rsid w:val="000B1540"/>
    <w:rsid w:val="000B33FD"/>
    <w:rsid w:val="000B4ABA"/>
    <w:rsid w:val="000B59DA"/>
    <w:rsid w:val="000C13D4"/>
    <w:rsid w:val="000C4B16"/>
    <w:rsid w:val="000C50C3"/>
    <w:rsid w:val="000D21F6"/>
    <w:rsid w:val="000D42C3"/>
    <w:rsid w:val="000D4500"/>
    <w:rsid w:val="000D4FE5"/>
    <w:rsid w:val="000D7AEA"/>
    <w:rsid w:val="000E01A9"/>
    <w:rsid w:val="000E0347"/>
    <w:rsid w:val="000E2C66"/>
    <w:rsid w:val="000E6E7D"/>
    <w:rsid w:val="000E72B3"/>
    <w:rsid w:val="000F123C"/>
    <w:rsid w:val="000F2FED"/>
    <w:rsid w:val="0010616D"/>
    <w:rsid w:val="00110478"/>
    <w:rsid w:val="0011711B"/>
    <w:rsid w:val="00117F8A"/>
    <w:rsid w:val="00121B9B"/>
    <w:rsid w:val="00122ADC"/>
    <w:rsid w:val="00130F59"/>
    <w:rsid w:val="00133EC0"/>
    <w:rsid w:val="001344B6"/>
    <w:rsid w:val="00141CE5"/>
    <w:rsid w:val="00144908"/>
    <w:rsid w:val="00153E86"/>
    <w:rsid w:val="001571C7"/>
    <w:rsid w:val="00161094"/>
    <w:rsid w:val="0016284F"/>
    <w:rsid w:val="001629E9"/>
    <w:rsid w:val="00172A55"/>
    <w:rsid w:val="001758CD"/>
    <w:rsid w:val="0017665C"/>
    <w:rsid w:val="00177AD2"/>
    <w:rsid w:val="001815A8"/>
    <w:rsid w:val="001840FA"/>
    <w:rsid w:val="00187CE3"/>
    <w:rsid w:val="00190079"/>
    <w:rsid w:val="0019622E"/>
    <w:rsid w:val="001966A7"/>
    <w:rsid w:val="001A4627"/>
    <w:rsid w:val="001A4979"/>
    <w:rsid w:val="001A6B4F"/>
    <w:rsid w:val="001B15D3"/>
    <w:rsid w:val="001B3443"/>
    <w:rsid w:val="001C0326"/>
    <w:rsid w:val="001C192F"/>
    <w:rsid w:val="001C3C42"/>
    <w:rsid w:val="001C6A73"/>
    <w:rsid w:val="001D7869"/>
    <w:rsid w:val="001E1365"/>
    <w:rsid w:val="001E437B"/>
    <w:rsid w:val="001E750C"/>
    <w:rsid w:val="001F2F78"/>
    <w:rsid w:val="002026CD"/>
    <w:rsid w:val="002033FC"/>
    <w:rsid w:val="00203793"/>
    <w:rsid w:val="002044BB"/>
    <w:rsid w:val="00204B2B"/>
    <w:rsid w:val="00210B09"/>
    <w:rsid w:val="00210C9E"/>
    <w:rsid w:val="00211840"/>
    <w:rsid w:val="00213666"/>
    <w:rsid w:val="00214E86"/>
    <w:rsid w:val="00220E5F"/>
    <w:rsid w:val="002212B5"/>
    <w:rsid w:val="00226668"/>
    <w:rsid w:val="00233809"/>
    <w:rsid w:val="00240046"/>
    <w:rsid w:val="00240CFD"/>
    <w:rsid w:val="00245280"/>
    <w:rsid w:val="002453CF"/>
    <w:rsid w:val="0024797F"/>
    <w:rsid w:val="00247B50"/>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3ED5"/>
    <w:rsid w:val="002A5457"/>
    <w:rsid w:val="002B075A"/>
    <w:rsid w:val="002B20E6"/>
    <w:rsid w:val="002B42A3"/>
    <w:rsid w:val="002B4729"/>
    <w:rsid w:val="002C04FA"/>
    <w:rsid w:val="002C0CDD"/>
    <w:rsid w:val="002D3649"/>
    <w:rsid w:val="002E1A1D"/>
    <w:rsid w:val="002E4081"/>
    <w:rsid w:val="002E446F"/>
    <w:rsid w:val="002E5B78"/>
    <w:rsid w:val="002E7F57"/>
    <w:rsid w:val="002F11D6"/>
    <w:rsid w:val="002F27D0"/>
    <w:rsid w:val="002F3AE3"/>
    <w:rsid w:val="00301F8D"/>
    <w:rsid w:val="00302D37"/>
    <w:rsid w:val="0030464B"/>
    <w:rsid w:val="0030786C"/>
    <w:rsid w:val="00315817"/>
    <w:rsid w:val="003233DE"/>
    <w:rsid w:val="0032466B"/>
    <w:rsid w:val="003251E5"/>
    <w:rsid w:val="00327B44"/>
    <w:rsid w:val="003330EB"/>
    <w:rsid w:val="00334180"/>
    <w:rsid w:val="00336605"/>
    <w:rsid w:val="003415FD"/>
    <w:rsid w:val="003429F0"/>
    <w:rsid w:val="003460E2"/>
    <w:rsid w:val="0035097A"/>
    <w:rsid w:val="003512C2"/>
    <w:rsid w:val="003540A4"/>
    <w:rsid w:val="00360E4E"/>
    <w:rsid w:val="00370AAA"/>
    <w:rsid w:val="00375F77"/>
    <w:rsid w:val="00377A78"/>
    <w:rsid w:val="0038021D"/>
    <w:rsid w:val="00381BBE"/>
    <w:rsid w:val="00382903"/>
    <w:rsid w:val="003837AD"/>
    <w:rsid w:val="003846FF"/>
    <w:rsid w:val="00385AD4"/>
    <w:rsid w:val="00387924"/>
    <w:rsid w:val="00392430"/>
    <w:rsid w:val="003928B8"/>
    <w:rsid w:val="0039384D"/>
    <w:rsid w:val="00395C23"/>
    <w:rsid w:val="003A2E4F"/>
    <w:rsid w:val="003A4438"/>
    <w:rsid w:val="003A5013"/>
    <w:rsid w:val="003A5078"/>
    <w:rsid w:val="003A62DD"/>
    <w:rsid w:val="003A775A"/>
    <w:rsid w:val="003B0DAB"/>
    <w:rsid w:val="003B213A"/>
    <w:rsid w:val="003B3A24"/>
    <w:rsid w:val="003B43AD"/>
    <w:rsid w:val="003C0FEC"/>
    <w:rsid w:val="003C15B8"/>
    <w:rsid w:val="003C2AC8"/>
    <w:rsid w:val="003C6D36"/>
    <w:rsid w:val="003D17F9"/>
    <w:rsid w:val="003D2D88"/>
    <w:rsid w:val="003D41EA"/>
    <w:rsid w:val="003D4850"/>
    <w:rsid w:val="003D535A"/>
    <w:rsid w:val="003E32D1"/>
    <w:rsid w:val="003E5265"/>
    <w:rsid w:val="003F0955"/>
    <w:rsid w:val="003F631B"/>
    <w:rsid w:val="003F6FE1"/>
    <w:rsid w:val="00400F00"/>
    <w:rsid w:val="00401D48"/>
    <w:rsid w:val="0040270E"/>
    <w:rsid w:val="00404F8B"/>
    <w:rsid w:val="00405256"/>
    <w:rsid w:val="00410031"/>
    <w:rsid w:val="004115A2"/>
    <w:rsid w:val="00415C81"/>
    <w:rsid w:val="00416731"/>
    <w:rsid w:val="00424E25"/>
    <w:rsid w:val="004272C5"/>
    <w:rsid w:val="0043169E"/>
    <w:rsid w:val="00432378"/>
    <w:rsid w:val="00436248"/>
    <w:rsid w:val="00440D65"/>
    <w:rsid w:val="0044109C"/>
    <w:rsid w:val="004435E6"/>
    <w:rsid w:val="00447E31"/>
    <w:rsid w:val="004535E5"/>
    <w:rsid w:val="00453923"/>
    <w:rsid w:val="00454B9B"/>
    <w:rsid w:val="004555FF"/>
    <w:rsid w:val="00457858"/>
    <w:rsid w:val="00460B0B"/>
    <w:rsid w:val="00461023"/>
    <w:rsid w:val="00462FAC"/>
    <w:rsid w:val="00464631"/>
    <w:rsid w:val="00464B79"/>
    <w:rsid w:val="0046610D"/>
    <w:rsid w:val="00466622"/>
    <w:rsid w:val="00467BBF"/>
    <w:rsid w:val="0047098D"/>
    <w:rsid w:val="00472F85"/>
    <w:rsid w:val="00483687"/>
    <w:rsid w:val="00483A67"/>
    <w:rsid w:val="004867E2"/>
    <w:rsid w:val="004929A9"/>
    <w:rsid w:val="00492F8B"/>
    <w:rsid w:val="004A3547"/>
    <w:rsid w:val="004A5A31"/>
    <w:rsid w:val="004A7F08"/>
    <w:rsid w:val="004C2FEC"/>
    <w:rsid w:val="004C6BCF"/>
    <w:rsid w:val="004D58BF"/>
    <w:rsid w:val="004E4335"/>
    <w:rsid w:val="004E5ACF"/>
    <w:rsid w:val="004F13EE"/>
    <w:rsid w:val="004F2022"/>
    <w:rsid w:val="004F7C05"/>
    <w:rsid w:val="00501C94"/>
    <w:rsid w:val="00504BC3"/>
    <w:rsid w:val="00506432"/>
    <w:rsid w:val="00506A2B"/>
    <w:rsid w:val="0051242B"/>
    <w:rsid w:val="00513792"/>
    <w:rsid w:val="00515D20"/>
    <w:rsid w:val="00516681"/>
    <w:rsid w:val="0052051D"/>
    <w:rsid w:val="00526951"/>
    <w:rsid w:val="00545A01"/>
    <w:rsid w:val="00545EE6"/>
    <w:rsid w:val="005550E7"/>
    <w:rsid w:val="005564FB"/>
    <w:rsid w:val="005572C7"/>
    <w:rsid w:val="005579D1"/>
    <w:rsid w:val="00564E3F"/>
    <w:rsid w:val="005650ED"/>
    <w:rsid w:val="005727E5"/>
    <w:rsid w:val="00574178"/>
    <w:rsid w:val="00575754"/>
    <w:rsid w:val="00591E20"/>
    <w:rsid w:val="00595408"/>
    <w:rsid w:val="00595E84"/>
    <w:rsid w:val="00596268"/>
    <w:rsid w:val="005A0C59"/>
    <w:rsid w:val="005A11D1"/>
    <w:rsid w:val="005A48EB"/>
    <w:rsid w:val="005A6CFB"/>
    <w:rsid w:val="005B5BB0"/>
    <w:rsid w:val="005C37AA"/>
    <w:rsid w:val="005C5560"/>
    <w:rsid w:val="005C5AEB"/>
    <w:rsid w:val="005C5DAA"/>
    <w:rsid w:val="005D23E0"/>
    <w:rsid w:val="005D6975"/>
    <w:rsid w:val="005E0A3F"/>
    <w:rsid w:val="005E22C7"/>
    <w:rsid w:val="005E4907"/>
    <w:rsid w:val="005E6883"/>
    <w:rsid w:val="005E772F"/>
    <w:rsid w:val="005E7EA6"/>
    <w:rsid w:val="005F4ECA"/>
    <w:rsid w:val="005F7043"/>
    <w:rsid w:val="006041BE"/>
    <w:rsid w:val="006043C7"/>
    <w:rsid w:val="00624B52"/>
    <w:rsid w:val="0062637C"/>
    <w:rsid w:val="00631DF4"/>
    <w:rsid w:val="00634175"/>
    <w:rsid w:val="006408AC"/>
    <w:rsid w:val="006437F1"/>
    <w:rsid w:val="006511B6"/>
    <w:rsid w:val="00652742"/>
    <w:rsid w:val="00655898"/>
    <w:rsid w:val="00657FF8"/>
    <w:rsid w:val="00664708"/>
    <w:rsid w:val="00670D99"/>
    <w:rsid w:val="00670E2B"/>
    <w:rsid w:val="006734BB"/>
    <w:rsid w:val="006771A9"/>
    <w:rsid w:val="00681A34"/>
    <w:rsid w:val="00681CD1"/>
    <w:rsid w:val="006821EB"/>
    <w:rsid w:val="00683DF9"/>
    <w:rsid w:val="006A0488"/>
    <w:rsid w:val="006B2286"/>
    <w:rsid w:val="006B2D22"/>
    <w:rsid w:val="006B56BB"/>
    <w:rsid w:val="006C77A8"/>
    <w:rsid w:val="006D4098"/>
    <w:rsid w:val="006D7681"/>
    <w:rsid w:val="006D7B2E"/>
    <w:rsid w:val="006E02EA"/>
    <w:rsid w:val="006E0968"/>
    <w:rsid w:val="006E2AF6"/>
    <w:rsid w:val="006E782E"/>
    <w:rsid w:val="006F16AE"/>
    <w:rsid w:val="00701275"/>
    <w:rsid w:val="00707F56"/>
    <w:rsid w:val="00713558"/>
    <w:rsid w:val="00720D08"/>
    <w:rsid w:val="007243D8"/>
    <w:rsid w:val="007263B9"/>
    <w:rsid w:val="007334F8"/>
    <w:rsid w:val="007339CD"/>
    <w:rsid w:val="0073466C"/>
    <w:rsid w:val="007359D8"/>
    <w:rsid w:val="00735A1F"/>
    <w:rsid w:val="007362D4"/>
    <w:rsid w:val="00740A34"/>
    <w:rsid w:val="00745BB9"/>
    <w:rsid w:val="00751A23"/>
    <w:rsid w:val="0076672A"/>
    <w:rsid w:val="007728E3"/>
    <w:rsid w:val="00775E45"/>
    <w:rsid w:val="00776E74"/>
    <w:rsid w:val="00783C54"/>
    <w:rsid w:val="00785169"/>
    <w:rsid w:val="007906E7"/>
    <w:rsid w:val="007954AB"/>
    <w:rsid w:val="007A14C5"/>
    <w:rsid w:val="007A1A40"/>
    <w:rsid w:val="007A3E38"/>
    <w:rsid w:val="007A4A10"/>
    <w:rsid w:val="007A5C4A"/>
    <w:rsid w:val="007B1760"/>
    <w:rsid w:val="007C6D9C"/>
    <w:rsid w:val="007C7DDB"/>
    <w:rsid w:val="007D2673"/>
    <w:rsid w:val="007D2CC7"/>
    <w:rsid w:val="007D673D"/>
    <w:rsid w:val="007E563E"/>
    <w:rsid w:val="007F1571"/>
    <w:rsid w:val="007F2220"/>
    <w:rsid w:val="007F4B3E"/>
    <w:rsid w:val="007F588A"/>
    <w:rsid w:val="00807E97"/>
    <w:rsid w:val="00812077"/>
    <w:rsid w:val="008127AF"/>
    <w:rsid w:val="00812B46"/>
    <w:rsid w:val="00815700"/>
    <w:rsid w:val="00817B70"/>
    <w:rsid w:val="00821730"/>
    <w:rsid w:val="00822FBF"/>
    <w:rsid w:val="008264EB"/>
    <w:rsid w:val="00826B8F"/>
    <w:rsid w:val="00831E8A"/>
    <w:rsid w:val="00835C76"/>
    <w:rsid w:val="00843049"/>
    <w:rsid w:val="0085209B"/>
    <w:rsid w:val="0085585A"/>
    <w:rsid w:val="00856B66"/>
    <w:rsid w:val="008579EB"/>
    <w:rsid w:val="00861A5F"/>
    <w:rsid w:val="008644AD"/>
    <w:rsid w:val="00864AE7"/>
    <w:rsid w:val="0086552C"/>
    <w:rsid w:val="00865735"/>
    <w:rsid w:val="00865DDB"/>
    <w:rsid w:val="00867538"/>
    <w:rsid w:val="0086777E"/>
    <w:rsid w:val="008679DC"/>
    <w:rsid w:val="00871945"/>
    <w:rsid w:val="00873D90"/>
    <w:rsid w:val="00873FC8"/>
    <w:rsid w:val="00875E05"/>
    <w:rsid w:val="00884C63"/>
    <w:rsid w:val="00885908"/>
    <w:rsid w:val="008864B7"/>
    <w:rsid w:val="0089677E"/>
    <w:rsid w:val="00896E8C"/>
    <w:rsid w:val="008A25F8"/>
    <w:rsid w:val="008A6934"/>
    <w:rsid w:val="008A7438"/>
    <w:rsid w:val="008B1334"/>
    <w:rsid w:val="008C0278"/>
    <w:rsid w:val="008C2138"/>
    <w:rsid w:val="008C24E9"/>
    <w:rsid w:val="008D0533"/>
    <w:rsid w:val="008D42CB"/>
    <w:rsid w:val="008D48C9"/>
    <w:rsid w:val="008D5B79"/>
    <w:rsid w:val="008D6381"/>
    <w:rsid w:val="008E0C77"/>
    <w:rsid w:val="008E1E37"/>
    <w:rsid w:val="008E625F"/>
    <w:rsid w:val="008F264D"/>
    <w:rsid w:val="009074E1"/>
    <w:rsid w:val="009112F7"/>
    <w:rsid w:val="009122AF"/>
    <w:rsid w:val="009127BC"/>
    <w:rsid w:val="00912D54"/>
    <w:rsid w:val="00913081"/>
    <w:rsid w:val="0091389F"/>
    <w:rsid w:val="009208F7"/>
    <w:rsid w:val="00922517"/>
    <w:rsid w:val="00922722"/>
    <w:rsid w:val="00923BB8"/>
    <w:rsid w:val="009261E6"/>
    <w:rsid w:val="009268E1"/>
    <w:rsid w:val="00930A2B"/>
    <w:rsid w:val="00945E7F"/>
    <w:rsid w:val="00947080"/>
    <w:rsid w:val="00952045"/>
    <w:rsid w:val="009557C1"/>
    <w:rsid w:val="00956882"/>
    <w:rsid w:val="00957782"/>
    <w:rsid w:val="00960D6E"/>
    <w:rsid w:val="009621E6"/>
    <w:rsid w:val="00962BE9"/>
    <w:rsid w:val="009648DD"/>
    <w:rsid w:val="00967062"/>
    <w:rsid w:val="00972BC1"/>
    <w:rsid w:val="00974B59"/>
    <w:rsid w:val="00975E3D"/>
    <w:rsid w:val="0098340B"/>
    <w:rsid w:val="00986830"/>
    <w:rsid w:val="009924C3"/>
    <w:rsid w:val="009928B6"/>
    <w:rsid w:val="00993102"/>
    <w:rsid w:val="009C1550"/>
    <w:rsid w:val="009C2498"/>
    <w:rsid w:val="009C4A39"/>
    <w:rsid w:val="009C6964"/>
    <w:rsid w:val="009C6F10"/>
    <w:rsid w:val="009D148F"/>
    <w:rsid w:val="009D3CA5"/>
    <w:rsid w:val="009D3D70"/>
    <w:rsid w:val="009D4370"/>
    <w:rsid w:val="009E1A42"/>
    <w:rsid w:val="009E2B81"/>
    <w:rsid w:val="009E695F"/>
    <w:rsid w:val="009E6F7E"/>
    <w:rsid w:val="009E7A57"/>
    <w:rsid w:val="009F4F6A"/>
    <w:rsid w:val="009F6425"/>
    <w:rsid w:val="00A04084"/>
    <w:rsid w:val="00A04EB8"/>
    <w:rsid w:val="00A06212"/>
    <w:rsid w:val="00A16E36"/>
    <w:rsid w:val="00A20035"/>
    <w:rsid w:val="00A24961"/>
    <w:rsid w:val="00A24B10"/>
    <w:rsid w:val="00A24D39"/>
    <w:rsid w:val="00A25BE7"/>
    <w:rsid w:val="00A25DEC"/>
    <w:rsid w:val="00A2796C"/>
    <w:rsid w:val="00A30DA5"/>
    <w:rsid w:val="00A30E9B"/>
    <w:rsid w:val="00A33E68"/>
    <w:rsid w:val="00A41F71"/>
    <w:rsid w:val="00A44F21"/>
    <w:rsid w:val="00A4512D"/>
    <w:rsid w:val="00A50244"/>
    <w:rsid w:val="00A52F46"/>
    <w:rsid w:val="00A54E9E"/>
    <w:rsid w:val="00A556BC"/>
    <w:rsid w:val="00A56F17"/>
    <w:rsid w:val="00A627D7"/>
    <w:rsid w:val="00A656C7"/>
    <w:rsid w:val="00A6659B"/>
    <w:rsid w:val="00A705AF"/>
    <w:rsid w:val="00A72454"/>
    <w:rsid w:val="00A75163"/>
    <w:rsid w:val="00A77696"/>
    <w:rsid w:val="00A77E8F"/>
    <w:rsid w:val="00A77E99"/>
    <w:rsid w:val="00A80557"/>
    <w:rsid w:val="00A8135C"/>
    <w:rsid w:val="00A81D33"/>
    <w:rsid w:val="00A849C5"/>
    <w:rsid w:val="00A930AE"/>
    <w:rsid w:val="00A937D1"/>
    <w:rsid w:val="00A9439D"/>
    <w:rsid w:val="00AA038B"/>
    <w:rsid w:val="00AA049F"/>
    <w:rsid w:val="00AA1A95"/>
    <w:rsid w:val="00AA260F"/>
    <w:rsid w:val="00AA3A4B"/>
    <w:rsid w:val="00AB1EE7"/>
    <w:rsid w:val="00AB4B37"/>
    <w:rsid w:val="00AB5762"/>
    <w:rsid w:val="00AC2679"/>
    <w:rsid w:val="00AC4BE4"/>
    <w:rsid w:val="00AC6BF9"/>
    <w:rsid w:val="00AD05E6"/>
    <w:rsid w:val="00AD0D3F"/>
    <w:rsid w:val="00AD6F7D"/>
    <w:rsid w:val="00AE1D7D"/>
    <w:rsid w:val="00AE2A8B"/>
    <w:rsid w:val="00AE2B2C"/>
    <w:rsid w:val="00AE3F64"/>
    <w:rsid w:val="00AE65D0"/>
    <w:rsid w:val="00AF2926"/>
    <w:rsid w:val="00AF7386"/>
    <w:rsid w:val="00AF7934"/>
    <w:rsid w:val="00B00B81"/>
    <w:rsid w:val="00B04580"/>
    <w:rsid w:val="00B04B09"/>
    <w:rsid w:val="00B10C70"/>
    <w:rsid w:val="00B16A51"/>
    <w:rsid w:val="00B17ECC"/>
    <w:rsid w:val="00B25440"/>
    <w:rsid w:val="00B26517"/>
    <w:rsid w:val="00B315CC"/>
    <w:rsid w:val="00B32222"/>
    <w:rsid w:val="00B3618D"/>
    <w:rsid w:val="00B36233"/>
    <w:rsid w:val="00B42851"/>
    <w:rsid w:val="00B43F31"/>
    <w:rsid w:val="00B45AC7"/>
    <w:rsid w:val="00B522E8"/>
    <w:rsid w:val="00B5372F"/>
    <w:rsid w:val="00B554B8"/>
    <w:rsid w:val="00B6077C"/>
    <w:rsid w:val="00B61129"/>
    <w:rsid w:val="00B6722E"/>
    <w:rsid w:val="00B67D98"/>
    <w:rsid w:val="00B67E7F"/>
    <w:rsid w:val="00B7080B"/>
    <w:rsid w:val="00B75A04"/>
    <w:rsid w:val="00B7643A"/>
    <w:rsid w:val="00B839B2"/>
    <w:rsid w:val="00B86081"/>
    <w:rsid w:val="00B94252"/>
    <w:rsid w:val="00B9715A"/>
    <w:rsid w:val="00BA14BE"/>
    <w:rsid w:val="00BA2732"/>
    <w:rsid w:val="00BA293D"/>
    <w:rsid w:val="00BA49BC"/>
    <w:rsid w:val="00BA56B7"/>
    <w:rsid w:val="00BA7429"/>
    <w:rsid w:val="00BA7A1E"/>
    <w:rsid w:val="00BA7CA9"/>
    <w:rsid w:val="00BB2F6C"/>
    <w:rsid w:val="00BB3875"/>
    <w:rsid w:val="00BB43EA"/>
    <w:rsid w:val="00BB5860"/>
    <w:rsid w:val="00BB6AAD"/>
    <w:rsid w:val="00BC30FD"/>
    <w:rsid w:val="00BC4A19"/>
    <w:rsid w:val="00BC4E6D"/>
    <w:rsid w:val="00BD0617"/>
    <w:rsid w:val="00BD2796"/>
    <w:rsid w:val="00BD2E9B"/>
    <w:rsid w:val="00BE1804"/>
    <w:rsid w:val="00BE304B"/>
    <w:rsid w:val="00BE4C4B"/>
    <w:rsid w:val="00C00930"/>
    <w:rsid w:val="00C060AD"/>
    <w:rsid w:val="00C0670D"/>
    <w:rsid w:val="00C113BF"/>
    <w:rsid w:val="00C14E49"/>
    <w:rsid w:val="00C15A33"/>
    <w:rsid w:val="00C2176E"/>
    <w:rsid w:val="00C23430"/>
    <w:rsid w:val="00C27D67"/>
    <w:rsid w:val="00C45673"/>
    <w:rsid w:val="00C4631F"/>
    <w:rsid w:val="00C50491"/>
    <w:rsid w:val="00C50E16"/>
    <w:rsid w:val="00C55258"/>
    <w:rsid w:val="00C82EEB"/>
    <w:rsid w:val="00C971DC"/>
    <w:rsid w:val="00CA0C48"/>
    <w:rsid w:val="00CA16B7"/>
    <w:rsid w:val="00CA48BB"/>
    <w:rsid w:val="00CA4BE3"/>
    <w:rsid w:val="00CA62AE"/>
    <w:rsid w:val="00CB1F21"/>
    <w:rsid w:val="00CB2A1A"/>
    <w:rsid w:val="00CB4E5D"/>
    <w:rsid w:val="00CB5B1A"/>
    <w:rsid w:val="00CB6252"/>
    <w:rsid w:val="00CC1F32"/>
    <w:rsid w:val="00CC220B"/>
    <w:rsid w:val="00CC5C43"/>
    <w:rsid w:val="00CC7675"/>
    <w:rsid w:val="00CD02AE"/>
    <w:rsid w:val="00CD15DA"/>
    <w:rsid w:val="00CD2A4F"/>
    <w:rsid w:val="00CE03CA"/>
    <w:rsid w:val="00CE22F1"/>
    <w:rsid w:val="00CE278F"/>
    <w:rsid w:val="00CE50F2"/>
    <w:rsid w:val="00CE6502"/>
    <w:rsid w:val="00CF02FC"/>
    <w:rsid w:val="00CF1A99"/>
    <w:rsid w:val="00CF7D3C"/>
    <w:rsid w:val="00D07AB2"/>
    <w:rsid w:val="00D10771"/>
    <w:rsid w:val="00D13A39"/>
    <w:rsid w:val="00D147EB"/>
    <w:rsid w:val="00D15B5A"/>
    <w:rsid w:val="00D21770"/>
    <w:rsid w:val="00D222B0"/>
    <w:rsid w:val="00D245E2"/>
    <w:rsid w:val="00D271AC"/>
    <w:rsid w:val="00D34667"/>
    <w:rsid w:val="00D37FC7"/>
    <w:rsid w:val="00D401E1"/>
    <w:rsid w:val="00D4069A"/>
    <w:rsid w:val="00D408B4"/>
    <w:rsid w:val="00D40A32"/>
    <w:rsid w:val="00D45D94"/>
    <w:rsid w:val="00D524C8"/>
    <w:rsid w:val="00D53F4B"/>
    <w:rsid w:val="00D574CF"/>
    <w:rsid w:val="00D60E25"/>
    <w:rsid w:val="00D614D3"/>
    <w:rsid w:val="00D63B4F"/>
    <w:rsid w:val="00D70E24"/>
    <w:rsid w:val="00D72323"/>
    <w:rsid w:val="00D72B61"/>
    <w:rsid w:val="00D75CFA"/>
    <w:rsid w:val="00D76C28"/>
    <w:rsid w:val="00D814BD"/>
    <w:rsid w:val="00D85AC4"/>
    <w:rsid w:val="00D865E8"/>
    <w:rsid w:val="00D90FB2"/>
    <w:rsid w:val="00D97922"/>
    <w:rsid w:val="00DA3091"/>
    <w:rsid w:val="00DA3D1D"/>
    <w:rsid w:val="00DB0138"/>
    <w:rsid w:val="00DB1261"/>
    <w:rsid w:val="00DB42F8"/>
    <w:rsid w:val="00DB6286"/>
    <w:rsid w:val="00DB645F"/>
    <w:rsid w:val="00DB76E9"/>
    <w:rsid w:val="00DB7CD3"/>
    <w:rsid w:val="00DC0A67"/>
    <w:rsid w:val="00DC1D5E"/>
    <w:rsid w:val="00DC2313"/>
    <w:rsid w:val="00DC5220"/>
    <w:rsid w:val="00DC71B4"/>
    <w:rsid w:val="00DC7910"/>
    <w:rsid w:val="00DD0BB9"/>
    <w:rsid w:val="00DD2061"/>
    <w:rsid w:val="00DD3A57"/>
    <w:rsid w:val="00DD7DAB"/>
    <w:rsid w:val="00DE3355"/>
    <w:rsid w:val="00DF03C5"/>
    <w:rsid w:val="00DF486F"/>
    <w:rsid w:val="00DF5B5B"/>
    <w:rsid w:val="00DF66E4"/>
    <w:rsid w:val="00DF69A4"/>
    <w:rsid w:val="00DF7619"/>
    <w:rsid w:val="00DF7852"/>
    <w:rsid w:val="00E042D8"/>
    <w:rsid w:val="00E07EE7"/>
    <w:rsid w:val="00E1103B"/>
    <w:rsid w:val="00E1501F"/>
    <w:rsid w:val="00E17B44"/>
    <w:rsid w:val="00E17B49"/>
    <w:rsid w:val="00E27FEA"/>
    <w:rsid w:val="00E30A42"/>
    <w:rsid w:val="00E35CF2"/>
    <w:rsid w:val="00E4086F"/>
    <w:rsid w:val="00E43B3C"/>
    <w:rsid w:val="00E44A64"/>
    <w:rsid w:val="00E50188"/>
    <w:rsid w:val="00E515CB"/>
    <w:rsid w:val="00E51C21"/>
    <w:rsid w:val="00E51CBE"/>
    <w:rsid w:val="00E52260"/>
    <w:rsid w:val="00E5619F"/>
    <w:rsid w:val="00E6368B"/>
    <w:rsid w:val="00E639B6"/>
    <w:rsid w:val="00E6434B"/>
    <w:rsid w:val="00E6463D"/>
    <w:rsid w:val="00E72E9B"/>
    <w:rsid w:val="00E775B9"/>
    <w:rsid w:val="00E8164C"/>
    <w:rsid w:val="00E849DA"/>
    <w:rsid w:val="00E90BA9"/>
    <w:rsid w:val="00E94245"/>
    <w:rsid w:val="00E9462E"/>
    <w:rsid w:val="00EA26BB"/>
    <w:rsid w:val="00EA470E"/>
    <w:rsid w:val="00EA47A7"/>
    <w:rsid w:val="00EA546E"/>
    <w:rsid w:val="00EA57EB"/>
    <w:rsid w:val="00EB3226"/>
    <w:rsid w:val="00EB3595"/>
    <w:rsid w:val="00EB46C8"/>
    <w:rsid w:val="00EB46F5"/>
    <w:rsid w:val="00EC1015"/>
    <w:rsid w:val="00EC213A"/>
    <w:rsid w:val="00EC6603"/>
    <w:rsid w:val="00EC7744"/>
    <w:rsid w:val="00ED0DAD"/>
    <w:rsid w:val="00ED0F46"/>
    <w:rsid w:val="00ED2373"/>
    <w:rsid w:val="00ED3B3F"/>
    <w:rsid w:val="00EE2273"/>
    <w:rsid w:val="00EE3E8A"/>
    <w:rsid w:val="00EE6389"/>
    <w:rsid w:val="00EE7233"/>
    <w:rsid w:val="00EE7259"/>
    <w:rsid w:val="00EF64F6"/>
    <w:rsid w:val="00EF6ECA"/>
    <w:rsid w:val="00F024E1"/>
    <w:rsid w:val="00F06C10"/>
    <w:rsid w:val="00F1096F"/>
    <w:rsid w:val="00F12589"/>
    <w:rsid w:val="00F12595"/>
    <w:rsid w:val="00F134D9"/>
    <w:rsid w:val="00F135DF"/>
    <w:rsid w:val="00F1403D"/>
    <w:rsid w:val="00F1463F"/>
    <w:rsid w:val="00F17A5A"/>
    <w:rsid w:val="00F204AA"/>
    <w:rsid w:val="00F21302"/>
    <w:rsid w:val="00F321DE"/>
    <w:rsid w:val="00F33777"/>
    <w:rsid w:val="00F368D4"/>
    <w:rsid w:val="00F40648"/>
    <w:rsid w:val="00F47DA2"/>
    <w:rsid w:val="00F519FC"/>
    <w:rsid w:val="00F6239D"/>
    <w:rsid w:val="00F715D2"/>
    <w:rsid w:val="00F7274F"/>
    <w:rsid w:val="00F76FA8"/>
    <w:rsid w:val="00F82E4E"/>
    <w:rsid w:val="00F83D0E"/>
    <w:rsid w:val="00F9023A"/>
    <w:rsid w:val="00F9039C"/>
    <w:rsid w:val="00F93F08"/>
    <w:rsid w:val="00F94CED"/>
    <w:rsid w:val="00FA0556"/>
    <w:rsid w:val="00FA2CEE"/>
    <w:rsid w:val="00FA318C"/>
    <w:rsid w:val="00FB1DC6"/>
    <w:rsid w:val="00FB6C29"/>
    <w:rsid w:val="00FB6F92"/>
    <w:rsid w:val="00FC026E"/>
    <w:rsid w:val="00FC5124"/>
    <w:rsid w:val="00FD2F85"/>
    <w:rsid w:val="00FD4731"/>
    <w:rsid w:val="00FE6226"/>
    <w:rsid w:val="00FE75A5"/>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D37CDC"/>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Figure_name,List Paragraph1,Numbered Indented Text,Bullet- First level,List NUmber,Listenabsatz1,lp1,List Paragraph11,Style 2,TOC style,List Paragraph2,Number_1,SGLText List Paragraph,new,Colorful List - Accent 11,Recommendation,L,CV text"/>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67D98"/>
    <w:pPr>
      <w:spacing w:before="60" w:after="60"/>
    </w:pPr>
    <w:rPr>
      <w:rFonts w:ascii="Arial" w:hAnsi="Arial" w:cs="Arial"/>
      <w:color w:val="000000" w:themeColor="text1"/>
      <w:sz w:val="22"/>
      <w:szCs w:val="2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CommentReference">
    <w:name w:val="annotation reference"/>
    <w:basedOn w:val="DefaultParagraphFont"/>
    <w:unhideWhenUsed/>
    <w:rsid w:val="00062223"/>
    <w:rPr>
      <w:sz w:val="16"/>
      <w:szCs w:val="16"/>
    </w:rPr>
  </w:style>
  <w:style w:type="paragraph" w:styleId="CommentText">
    <w:name w:val="annotation text"/>
    <w:basedOn w:val="Normal"/>
    <w:link w:val="CommentTextChar"/>
    <w:uiPriority w:val="99"/>
    <w:unhideWhenUsed/>
    <w:rsid w:val="00062223"/>
    <w:rPr>
      <w:sz w:val="20"/>
      <w:szCs w:val="20"/>
      <w:lang w:eastAsia="en-AU"/>
    </w:rPr>
  </w:style>
  <w:style w:type="character" w:customStyle="1" w:styleId="CommentTextChar">
    <w:name w:val="Comment Text Char"/>
    <w:basedOn w:val="DefaultParagraphFont"/>
    <w:link w:val="CommentText"/>
    <w:uiPriority w:val="99"/>
    <w:rsid w:val="00062223"/>
    <w:rPr>
      <w:rFonts w:ascii="Arial" w:hAnsi="Arial"/>
    </w:rPr>
  </w:style>
  <w:style w:type="paragraph" w:customStyle="1" w:styleId="Numpara1">
    <w:name w:val="Numpara1"/>
    <w:basedOn w:val="Normal"/>
    <w:link w:val="Numpara1Char"/>
    <w:qFormat/>
    <w:rsid w:val="00D21770"/>
    <w:pPr>
      <w:numPr>
        <w:numId w:val="21"/>
      </w:numPr>
      <w:shd w:val="clear" w:color="auto" w:fill="00598F" w:themeFill="accent3" w:themeFillShade="BF"/>
      <w:spacing w:before="240" w:after="240"/>
    </w:pPr>
    <w:rPr>
      <w:rFonts w:cs="Arial"/>
      <w:b/>
      <w:szCs w:val="22"/>
    </w:rPr>
  </w:style>
  <w:style w:type="paragraph" w:customStyle="1" w:styleId="Numpara2">
    <w:name w:val="Numpara2"/>
    <w:basedOn w:val="Normal"/>
    <w:qFormat/>
    <w:rsid w:val="00D21770"/>
    <w:pPr>
      <w:numPr>
        <w:ilvl w:val="1"/>
        <w:numId w:val="21"/>
      </w:numPr>
      <w:spacing w:before="240"/>
    </w:pPr>
    <w:rPr>
      <w:rFonts w:cs="Arial"/>
      <w:sz w:val="20"/>
      <w:szCs w:val="22"/>
    </w:rPr>
  </w:style>
  <w:style w:type="paragraph" w:customStyle="1" w:styleId="Numpara3">
    <w:name w:val="Numpara3"/>
    <w:basedOn w:val="Normal"/>
    <w:qFormat/>
    <w:rsid w:val="00D21770"/>
    <w:pPr>
      <w:numPr>
        <w:ilvl w:val="2"/>
        <w:numId w:val="21"/>
      </w:numPr>
      <w:spacing w:before="240"/>
    </w:pPr>
    <w:rPr>
      <w:rFonts w:cs="Arial"/>
      <w:sz w:val="20"/>
      <w:szCs w:val="22"/>
    </w:rPr>
  </w:style>
  <w:style w:type="paragraph" w:customStyle="1" w:styleId="Numpara4">
    <w:name w:val="Numpara4"/>
    <w:basedOn w:val="Normal"/>
    <w:qFormat/>
    <w:rsid w:val="00D21770"/>
    <w:pPr>
      <w:numPr>
        <w:ilvl w:val="3"/>
        <w:numId w:val="21"/>
      </w:numPr>
      <w:spacing w:before="240"/>
    </w:pPr>
    <w:rPr>
      <w:rFonts w:cs="Arial"/>
      <w:sz w:val="20"/>
      <w:szCs w:val="22"/>
    </w:rPr>
  </w:style>
  <w:style w:type="character" w:customStyle="1" w:styleId="Numpara1Char">
    <w:name w:val="Numpara1 Char"/>
    <w:basedOn w:val="DefaultParagraphFont"/>
    <w:link w:val="Numpara1"/>
    <w:rsid w:val="00D21770"/>
    <w:rPr>
      <w:rFonts w:ascii="Arial" w:hAnsi="Arial" w:cs="Arial"/>
      <w:b/>
      <w:sz w:val="22"/>
      <w:szCs w:val="22"/>
      <w:shd w:val="clear" w:color="auto" w:fill="00598F" w:themeFill="accent3" w:themeFillShade="BF"/>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1E437B"/>
    <w:rPr>
      <w:rFonts w:ascii="Arial" w:hAnsi="Arial"/>
      <w:sz w:val="22"/>
      <w:szCs w:val="24"/>
      <w:lang w:eastAsia="en-US"/>
    </w:rPr>
  </w:style>
  <w:style w:type="paragraph" w:styleId="CommentSubject">
    <w:name w:val="annotation subject"/>
    <w:basedOn w:val="CommentText"/>
    <w:next w:val="CommentText"/>
    <w:link w:val="CommentSubjectChar"/>
    <w:semiHidden/>
    <w:unhideWhenUsed/>
    <w:rsid w:val="001E437B"/>
    <w:rPr>
      <w:b/>
      <w:bCs/>
      <w:lang w:eastAsia="en-US"/>
    </w:rPr>
  </w:style>
  <w:style w:type="character" w:customStyle="1" w:styleId="CommentSubjectChar">
    <w:name w:val="Comment Subject Char"/>
    <w:basedOn w:val="CommentTextChar"/>
    <w:link w:val="CommentSubject"/>
    <w:semiHidden/>
    <w:rsid w:val="001E437B"/>
    <w:rPr>
      <w:rFonts w:ascii="Arial" w:hAnsi="Arial"/>
      <w:b/>
      <w:bCs/>
      <w:lang w:eastAsia="en-US"/>
    </w:rPr>
  </w:style>
  <w:style w:type="paragraph" w:customStyle="1" w:styleId="Headingpara2">
    <w:name w:val="Headingpara2"/>
    <w:basedOn w:val="Heading2"/>
    <w:qFormat/>
    <w:rsid w:val="001E437B"/>
    <w:pPr>
      <w:keepNext w:val="0"/>
      <w:numPr>
        <w:ilvl w:val="1"/>
      </w:numPr>
      <w:spacing w:after="0"/>
      <w:ind w:left="851" w:hanging="851"/>
    </w:pPr>
    <w:rPr>
      <w:rFonts w:cstheme="minorBidi"/>
      <w:bCs w:val="0"/>
      <w:iCs w:val="0"/>
      <w:color w:val="auto"/>
      <w:sz w:val="20"/>
      <w:szCs w:val="20"/>
    </w:rPr>
  </w:style>
  <w:style w:type="character" w:styleId="FootnoteReference">
    <w:name w:val="footnote reference"/>
    <w:basedOn w:val="DefaultParagraphFont"/>
    <w:uiPriority w:val="99"/>
    <w:rsid w:val="00BD2796"/>
    <w:rPr>
      <w:vertAlign w:val="superscript"/>
    </w:rPr>
  </w:style>
  <w:style w:type="table" w:styleId="PlainTable1">
    <w:name w:val="Plain Table 1"/>
    <w:basedOn w:val="TableNormal"/>
    <w:uiPriority w:val="41"/>
    <w:rsid w:val="00564E3F"/>
    <w:rPr>
      <w:rFonts w:ascii="Arial"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lainParagraph">
    <w:name w:val="Plain Paragraph"/>
    <w:aliases w:val="PP"/>
    <w:basedOn w:val="Normal"/>
    <w:link w:val="PlainParagraphChar"/>
    <w:qFormat/>
    <w:rsid w:val="00D07AB2"/>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D07AB2"/>
    <w:rPr>
      <w:rFonts w:ascii="Arial" w:hAnsi="Arial" w:cs="Arial"/>
      <w:sz w:val="22"/>
      <w:szCs w:val="22"/>
    </w:rPr>
  </w:style>
  <w:style w:type="paragraph" w:customStyle="1" w:styleId="Dot1">
    <w:name w:val="Dot1"/>
    <w:aliases w:val="DOT"/>
    <w:basedOn w:val="Normal"/>
    <w:link w:val="Dot1Char"/>
    <w:uiPriority w:val="2"/>
    <w:qFormat/>
    <w:rsid w:val="00D07AB2"/>
    <w:pPr>
      <w:numPr>
        <w:ilvl w:val="1"/>
        <w:numId w:val="29"/>
      </w:numPr>
      <w:spacing w:after="140" w:line="280" w:lineRule="atLeast"/>
    </w:pPr>
    <w:rPr>
      <w:rFonts w:cs="Arial"/>
      <w:szCs w:val="22"/>
      <w:lang w:eastAsia="en-AU"/>
    </w:rPr>
  </w:style>
  <w:style w:type="character" w:customStyle="1" w:styleId="Dot1Char">
    <w:name w:val="Dot1 Char"/>
    <w:aliases w:val="DOT Char"/>
    <w:basedOn w:val="DefaultParagraphFont"/>
    <w:link w:val="Dot1"/>
    <w:uiPriority w:val="2"/>
    <w:rsid w:val="00D07AB2"/>
    <w:rPr>
      <w:rFonts w:ascii="Arial" w:hAnsi="Arial" w:cs="Arial"/>
      <w:sz w:val="22"/>
      <w:szCs w:val="22"/>
    </w:rPr>
  </w:style>
  <w:style w:type="paragraph" w:styleId="Revision">
    <w:name w:val="Revision"/>
    <w:hidden/>
    <w:uiPriority w:val="99"/>
    <w:semiHidden/>
    <w:rsid w:val="00E1501F"/>
    <w:rPr>
      <w:rFonts w:ascii="Arial" w:hAnsi="Arial"/>
      <w:sz w:val="22"/>
      <w:szCs w:val="24"/>
      <w:lang w:eastAsia="en-US"/>
    </w:rPr>
  </w:style>
  <w:style w:type="paragraph" w:customStyle="1" w:styleId="ClauseLevel1">
    <w:name w:val="Clause Level 1"/>
    <w:next w:val="ClauseLevel2"/>
    <w:uiPriority w:val="99"/>
    <w:rsid w:val="003928B8"/>
    <w:pPr>
      <w:keepNext/>
      <w:numPr>
        <w:numId w:val="31"/>
      </w:numPr>
      <w:spacing w:before="200" w:after="200" w:line="280" w:lineRule="atLeast"/>
      <w:ind w:left="2410" w:hanging="2410"/>
      <w:outlineLvl w:val="0"/>
    </w:pPr>
    <w:rPr>
      <w:rFonts w:asciiTheme="majorHAnsi" w:eastAsia="Calibri Light" w:hAnsiTheme="majorHAnsi" w:cstheme="majorHAnsi"/>
      <w:b/>
      <w:bCs/>
      <w:sz w:val="22"/>
      <w:szCs w:val="22"/>
    </w:rPr>
  </w:style>
  <w:style w:type="paragraph" w:customStyle="1" w:styleId="ClauseLevel2">
    <w:name w:val="Clause Level 2"/>
    <w:aliases w:val="C2"/>
    <w:next w:val="ClauseLevel3"/>
    <w:uiPriority w:val="19"/>
    <w:qFormat/>
    <w:rsid w:val="003928B8"/>
    <w:pPr>
      <w:keepNext/>
      <w:numPr>
        <w:ilvl w:val="1"/>
        <w:numId w:val="31"/>
      </w:numPr>
      <w:spacing w:before="200" w:line="280" w:lineRule="atLeast"/>
      <w:outlineLvl w:val="1"/>
    </w:pPr>
    <w:rPr>
      <w:rFonts w:ascii="CG Times (WN)" w:eastAsia="Calibri Light" w:hAnsi="CG Times (WN)" w:cs="Arial"/>
      <w:b/>
      <w:sz w:val="22"/>
      <w:szCs w:val="22"/>
    </w:rPr>
  </w:style>
  <w:style w:type="paragraph" w:customStyle="1" w:styleId="ClauseLevel3">
    <w:name w:val="Clause Level 3"/>
    <w:aliases w:val="C3"/>
    <w:link w:val="ClauseLevel3Char"/>
    <w:uiPriority w:val="19"/>
    <w:qFormat/>
    <w:rsid w:val="003928B8"/>
    <w:pPr>
      <w:numPr>
        <w:ilvl w:val="2"/>
        <w:numId w:val="31"/>
      </w:numPr>
      <w:spacing w:before="140" w:after="140" w:line="280" w:lineRule="atLeast"/>
    </w:pPr>
    <w:rPr>
      <w:rFonts w:ascii="CG Times (WN)" w:eastAsia="Calibri Light" w:hAnsi="CG Times (WN)" w:cs="Arial"/>
      <w:sz w:val="22"/>
      <w:szCs w:val="22"/>
    </w:rPr>
  </w:style>
  <w:style w:type="character" w:customStyle="1" w:styleId="ClauseLevel3Char">
    <w:name w:val="Clause Level 3 Char"/>
    <w:link w:val="ClauseLevel3"/>
    <w:uiPriority w:val="19"/>
    <w:locked/>
    <w:rsid w:val="003928B8"/>
    <w:rPr>
      <w:rFonts w:ascii="CG Times (WN)" w:eastAsia="Calibri Light" w:hAnsi="CG Times (W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9420647">
      <w:bodyDiv w:val="1"/>
      <w:marLeft w:val="0"/>
      <w:marRight w:val="0"/>
      <w:marTop w:val="0"/>
      <w:marBottom w:val="0"/>
      <w:divBdr>
        <w:top w:val="none" w:sz="0" w:space="0" w:color="auto"/>
        <w:left w:val="none" w:sz="0" w:space="0" w:color="auto"/>
        <w:bottom w:val="none" w:sz="0" w:space="0" w:color="auto"/>
        <w:right w:val="none" w:sz="0" w:space="0" w:color="auto"/>
      </w:divBdr>
    </w:div>
    <w:div w:id="117067685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9671650">
      <w:bodyDiv w:val="1"/>
      <w:marLeft w:val="0"/>
      <w:marRight w:val="0"/>
      <w:marTop w:val="0"/>
      <w:marBottom w:val="0"/>
      <w:divBdr>
        <w:top w:val="none" w:sz="0" w:space="0" w:color="auto"/>
        <w:left w:val="none" w:sz="0" w:space="0" w:color="auto"/>
        <w:bottom w:val="none" w:sz="0" w:space="0" w:color="auto"/>
        <w:right w:val="none" w:sz="0" w:space="0" w:color="auto"/>
      </w:divBdr>
    </w:div>
    <w:div w:id="1332097431">
      <w:bodyDiv w:val="1"/>
      <w:marLeft w:val="0"/>
      <w:marRight w:val="0"/>
      <w:marTop w:val="0"/>
      <w:marBottom w:val="0"/>
      <w:divBdr>
        <w:top w:val="none" w:sz="0" w:space="0" w:color="auto"/>
        <w:left w:val="none" w:sz="0" w:space="0" w:color="auto"/>
        <w:bottom w:val="none" w:sz="0" w:space="0" w:color="auto"/>
        <w:right w:val="none" w:sz="0" w:space="0" w:color="auto"/>
      </w:divBdr>
    </w:div>
    <w:div w:id="1477335704">
      <w:bodyDiv w:val="1"/>
      <w:marLeft w:val="0"/>
      <w:marRight w:val="0"/>
      <w:marTop w:val="0"/>
      <w:marBottom w:val="0"/>
      <w:divBdr>
        <w:top w:val="none" w:sz="0" w:space="0" w:color="auto"/>
        <w:left w:val="none" w:sz="0" w:space="0" w:color="auto"/>
        <w:bottom w:val="none" w:sz="0" w:space="0" w:color="auto"/>
        <w:right w:val="none" w:sz="0" w:space="0" w:color="auto"/>
      </w:divBdr>
    </w:div>
    <w:div w:id="1580359951">
      <w:bodyDiv w:val="1"/>
      <w:marLeft w:val="0"/>
      <w:marRight w:val="0"/>
      <w:marTop w:val="0"/>
      <w:marBottom w:val="0"/>
      <w:divBdr>
        <w:top w:val="none" w:sz="0" w:space="0" w:color="auto"/>
        <w:left w:val="none" w:sz="0" w:space="0" w:color="auto"/>
        <w:bottom w:val="none" w:sz="0" w:space="0" w:color="auto"/>
        <w:right w:val="none" w:sz="0" w:space="0" w:color="auto"/>
      </w:divBdr>
    </w:div>
    <w:div w:id="19384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itiatives-and-programs/covid-19-vaccines/information-for-covid-19-vaccination-provid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gov.au/about-us/privacy-notice-for-covid-19-vaccination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dcmitype/"/>
    <ds:schemaRef ds:uri="b26f12c0-2397-4242-8c80-fd768a193b91"/>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02388-DC10-43C7-B795-00A17844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3700</Words>
  <Characters>22193</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Phase 1A of the COVID-19 Vaccine Strategy Privacy Impact Assessment Response</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1A of the COVID-19 Vaccine Strategy Privacy Impact Assessment Response</dc:title>
  <dc:subject>COVID-19 vaccine</dc:subject>
  <dc:creator>Australian Government</dc:creator>
  <cp:lastModifiedBy>KENNEDY, Emma</cp:lastModifiedBy>
  <cp:revision>2</cp:revision>
  <cp:lastPrinted>2020-04-24T09:14:00Z</cp:lastPrinted>
  <dcterms:created xsi:type="dcterms:W3CDTF">2021-02-22T07:06:00Z</dcterms:created>
  <dcterms:modified xsi:type="dcterms:W3CDTF">2021-02-22T07:06:00Z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