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E013A" w14:textId="4184A248" w:rsidR="00B211B6" w:rsidRPr="002F5E02" w:rsidRDefault="00B211B6" w:rsidP="00B211B6">
      <w:pPr>
        <w:pStyle w:val="Subtitle"/>
        <w:rPr>
          <w:color w:val="auto"/>
        </w:rPr>
      </w:pPr>
      <w:r w:rsidRPr="002F5E02">
        <w:rPr>
          <w:color w:val="auto"/>
        </w:rPr>
        <w:t xml:space="preserve">New Zealand – Situation </w:t>
      </w:r>
      <w:r w:rsidR="009051AB" w:rsidRPr="002F5E02">
        <w:rPr>
          <w:color w:val="auto"/>
        </w:rPr>
        <w:t>u</w:t>
      </w:r>
      <w:r w:rsidRPr="002F5E02">
        <w:rPr>
          <w:color w:val="auto"/>
        </w:rPr>
        <w:t xml:space="preserve">pdate </w:t>
      </w:r>
      <w:r w:rsidR="004009C1">
        <w:rPr>
          <w:color w:val="auto"/>
        </w:rPr>
        <w:br/>
      </w:r>
      <w:r w:rsidR="00FA20EC">
        <w:rPr>
          <w:color w:val="FF0000"/>
        </w:rPr>
        <w:t>1</w:t>
      </w:r>
      <w:r w:rsidR="00E75D5E">
        <w:rPr>
          <w:color w:val="FF0000"/>
        </w:rPr>
        <w:t>7</w:t>
      </w:r>
      <w:r w:rsidR="00521CFC">
        <w:rPr>
          <w:color w:val="FF0000"/>
        </w:rPr>
        <w:t xml:space="preserve"> Febr</w:t>
      </w:r>
      <w:r w:rsidR="00A1790B">
        <w:rPr>
          <w:color w:val="FF0000"/>
        </w:rPr>
        <w:t>uary</w:t>
      </w:r>
      <w:r w:rsidRPr="00B968C7">
        <w:rPr>
          <w:color w:val="FF0000"/>
        </w:rPr>
        <w:t xml:space="preserve"> 202</w:t>
      </w:r>
      <w:r w:rsidR="00A1790B">
        <w:rPr>
          <w:color w:val="FF0000"/>
        </w:rPr>
        <w:t>1</w:t>
      </w:r>
      <w:r w:rsidR="006B229F">
        <w:rPr>
          <w:color w:val="FF0000"/>
        </w:rPr>
        <w:t xml:space="preserve"> </w:t>
      </w:r>
    </w:p>
    <w:p w14:paraId="7351EC37" w14:textId="58C240E4" w:rsidR="003F5DCC" w:rsidRPr="00B968C7" w:rsidRDefault="00FA20EC" w:rsidP="00A24237">
      <w:pPr>
        <w:spacing w:before="1200" w:after="480"/>
        <w:jc w:val="right"/>
        <w:rPr>
          <w:rFonts w:cs="Arial"/>
          <w:color w:val="FF0000"/>
        </w:rPr>
      </w:pPr>
      <w:r>
        <w:rPr>
          <w:rFonts w:cs="Arial"/>
          <w:color w:val="FF0000"/>
        </w:rPr>
        <w:t>1</w:t>
      </w:r>
      <w:r w:rsidR="00E75D5E">
        <w:rPr>
          <w:rFonts w:cs="Arial"/>
          <w:color w:val="FF0000"/>
        </w:rPr>
        <w:t>7</w:t>
      </w:r>
      <w:r w:rsidR="00A1790B">
        <w:rPr>
          <w:rFonts w:cs="Arial"/>
          <w:color w:val="FF0000"/>
        </w:rPr>
        <w:t xml:space="preserve"> </w:t>
      </w:r>
      <w:r w:rsidR="00521CFC">
        <w:rPr>
          <w:rFonts w:cs="Arial"/>
          <w:color w:val="FF0000"/>
        </w:rPr>
        <w:t>Febr</w:t>
      </w:r>
      <w:r w:rsidR="00A1790B">
        <w:rPr>
          <w:rFonts w:cs="Arial"/>
          <w:color w:val="FF0000"/>
        </w:rPr>
        <w:t>uary 2021</w:t>
      </w:r>
    </w:p>
    <w:p w14:paraId="5D7E227B" w14:textId="022BE423" w:rsidR="003077BF" w:rsidRPr="003077BF" w:rsidRDefault="00B211B6" w:rsidP="003077BF">
      <w:pPr>
        <w:tabs>
          <w:tab w:val="left" w:pos="2169"/>
        </w:tabs>
        <w:rPr>
          <w:rFonts w:cs="Arial"/>
          <w:b/>
          <w:color w:val="FF0000"/>
        </w:rPr>
      </w:pPr>
      <w:r w:rsidRPr="002F5E02">
        <w:rPr>
          <w:rStyle w:val="Strong"/>
          <w:color w:val="auto"/>
        </w:rPr>
        <w:t xml:space="preserve">Information presented in this assessment is based on </w:t>
      </w:r>
      <w:r w:rsidR="003077BF" w:rsidRPr="009C7680">
        <w:rPr>
          <w:rFonts w:cs="Arial"/>
          <w:b/>
          <w:color w:val="auto"/>
        </w:rPr>
        <w:t>New Zealand’s publicly available information</w:t>
      </w:r>
      <w:r w:rsidR="007A46D6" w:rsidRPr="009C7680">
        <w:rPr>
          <w:rFonts w:cs="Arial"/>
          <w:b/>
          <w:color w:val="auto"/>
        </w:rPr>
        <w:t xml:space="preserve"> provided</w:t>
      </w:r>
      <w:r w:rsidR="003077BF" w:rsidRPr="009C7680">
        <w:rPr>
          <w:rFonts w:cs="Arial"/>
          <w:b/>
          <w:color w:val="auto"/>
        </w:rPr>
        <w:t xml:space="preserve"> on </w:t>
      </w:r>
      <w:r w:rsidR="007A46D6" w:rsidRPr="009C7680">
        <w:rPr>
          <w:rFonts w:cs="Arial"/>
          <w:b/>
          <w:color w:val="auto"/>
        </w:rPr>
        <w:t xml:space="preserve">the </w:t>
      </w:r>
      <w:r w:rsidR="00F13CB4">
        <w:rPr>
          <w:rFonts w:cs="Arial"/>
          <w:b/>
          <w:color w:val="auto"/>
        </w:rPr>
        <w:t>New</w:t>
      </w:r>
      <w:r w:rsidR="003077BF" w:rsidRPr="009C7680">
        <w:rPr>
          <w:rFonts w:cs="Arial"/>
          <w:b/>
          <w:color w:val="auto"/>
        </w:rPr>
        <w:t xml:space="preserve"> Zealand </w:t>
      </w:r>
      <w:r w:rsidR="007A46D6" w:rsidRPr="009C7680">
        <w:rPr>
          <w:rFonts w:cs="Arial"/>
          <w:b/>
          <w:color w:val="auto"/>
        </w:rPr>
        <w:t xml:space="preserve">Ministry of Health website. </w:t>
      </w:r>
      <w:r w:rsidR="007A46D6" w:rsidRPr="009C7680">
        <w:rPr>
          <w:rStyle w:val="FootnoteReference"/>
          <w:rFonts w:cs="Arial"/>
          <w:b/>
          <w:color w:val="auto"/>
        </w:rPr>
        <w:footnoteReference w:id="2"/>
      </w:r>
    </w:p>
    <w:p w14:paraId="53E1808F" w14:textId="77777777" w:rsidR="003077BF" w:rsidRPr="003077BF" w:rsidRDefault="003077BF" w:rsidP="009E7164">
      <w:pPr>
        <w:pStyle w:val="BodyText"/>
        <w:jc w:val="cente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Summary of COVID-19 cases in New Zealand as at 5 November 2020."/>
      </w:tblPr>
      <w:tblGrid>
        <w:gridCol w:w="3964"/>
        <w:gridCol w:w="2127"/>
        <w:gridCol w:w="3118"/>
      </w:tblGrid>
      <w:tr w:rsidR="002F5E02" w:rsidRPr="002F5E02" w14:paraId="59CCC37F" w14:textId="77777777" w:rsidTr="00B211B6">
        <w:trPr>
          <w:tblHeader/>
        </w:trPr>
        <w:tc>
          <w:tcPr>
            <w:tcW w:w="9209" w:type="dxa"/>
            <w:gridSpan w:val="3"/>
            <w:shd w:val="clear" w:color="auto" w:fill="DBE5F1" w:themeFill="accent1" w:themeFillTint="33"/>
            <w:tcMar>
              <w:top w:w="57" w:type="dxa"/>
              <w:left w:w="75" w:type="dxa"/>
              <w:bottom w:w="45" w:type="dxa"/>
              <w:right w:w="75" w:type="dxa"/>
            </w:tcMar>
            <w:vAlign w:val="center"/>
            <w:hideMark/>
          </w:tcPr>
          <w:p w14:paraId="3203E09D" w14:textId="6F20E3B6" w:rsidR="00B211B6" w:rsidRPr="002F5E02" w:rsidRDefault="0062366B" w:rsidP="008A2FD8">
            <w:pPr>
              <w:jc w:val="center"/>
              <w:rPr>
                <w:b/>
                <w:bCs/>
                <w:color w:val="auto"/>
                <w:lang w:eastAsia="en-AU"/>
              </w:rPr>
            </w:pPr>
            <w:r w:rsidRPr="0062366B">
              <w:rPr>
                <w:b/>
                <w:bCs/>
                <w:color w:val="auto"/>
                <w:lang w:eastAsia="en-AU"/>
              </w:rPr>
              <w:lastRenderedPageBreak/>
              <w:t xml:space="preserve">Summary of Cases as at 1100h, </w:t>
            </w:r>
            <w:r w:rsidR="008A2FD8">
              <w:rPr>
                <w:b/>
                <w:bCs/>
                <w:color w:val="FF0000"/>
                <w:lang w:eastAsia="en-AU"/>
              </w:rPr>
              <w:t>17</w:t>
            </w:r>
            <w:r w:rsidRPr="00FA20EC">
              <w:rPr>
                <w:b/>
                <w:bCs/>
                <w:color w:val="FF0000"/>
                <w:lang w:eastAsia="en-AU"/>
              </w:rPr>
              <w:t xml:space="preserve"> </w:t>
            </w:r>
            <w:r w:rsidR="00521CFC">
              <w:rPr>
                <w:b/>
                <w:bCs/>
                <w:color w:val="FF0000"/>
                <w:lang w:eastAsia="en-AU"/>
              </w:rPr>
              <w:t>Febr</w:t>
            </w:r>
            <w:r w:rsidRPr="0062366B">
              <w:rPr>
                <w:b/>
                <w:bCs/>
                <w:color w:val="FF0000"/>
                <w:lang w:eastAsia="en-AU"/>
              </w:rPr>
              <w:t>uary 2021</w:t>
            </w:r>
          </w:p>
        </w:tc>
      </w:tr>
      <w:tr w:rsidR="002F5E02" w:rsidRPr="002F5E02" w14:paraId="4615577D" w14:textId="77777777" w:rsidTr="009D6DEB">
        <w:trPr>
          <w:trHeight w:val="363"/>
          <w:tblHeader/>
        </w:trPr>
        <w:tc>
          <w:tcPr>
            <w:tcW w:w="3964" w:type="dxa"/>
            <w:shd w:val="clear" w:color="auto" w:fill="auto"/>
            <w:tcMar>
              <w:top w:w="57" w:type="dxa"/>
              <w:left w:w="75" w:type="dxa"/>
              <w:bottom w:w="45" w:type="dxa"/>
              <w:right w:w="75" w:type="dxa"/>
            </w:tcMar>
            <w:vAlign w:val="center"/>
            <w:hideMark/>
          </w:tcPr>
          <w:p w14:paraId="1F74BE86" w14:textId="77777777" w:rsidR="00B211B6" w:rsidRPr="002F5E02" w:rsidRDefault="00B211B6" w:rsidP="00B211B6">
            <w:pPr>
              <w:rPr>
                <w:color w:val="auto"/>
                <w:sz w:val="20"/>
                <w:szCs w:val="20"/>
                <w:lang w:eastAsia="en-AU"/>
              </w:rPr>
            </w:pPr>
          </w:p>
        </w:tc>
        <w:tc>
          <w:tcPr>
            <w:tcW w:w="2127" w:type="dxa"/>
            <w:shd w:val="clear" w:color="auto" w:fill="auto"/>
            <w:tcMar>
              <w:top w:w="57" w:type="dxa"/>
              <w:left w:w="75" w:type="dxa"/>
              <w:bottom w:w="45" w:type="dxa"/>
              <w:right w:w="170" w:type="dxa"/>
            </w:tcMar>
            <w:vAlign w:val="center"/>
            <w:hideMark/>
          </w:tcPr>
          <w:p w14:paraId="5CBDD6EC" w14:textId="4426430C" w:rsidR="00B211B6" w:rsidRPr="002F5E02" w:rsidRDefault="00B211B6" w:rsidP="009E7164">
            <w:pPr>
              <w:jc w:val="center"/>
              <w:rPr>
                <w:b/>
                <w:bCs/>
                <w:color w:val="auto"/>
                <w:szCs w:val="20"/>
                <w:lang w:eastAsia="en-AU"/>
              </w:rPr>
            </w:pPr>
            <w:r w:rsidRPr="002F5E02">
              <w:rPr>
                <w:b/>
                <w:bCs/>
                <w:color w:val="auto"/>
                <w:szCs w:val="20"/>
                <w:lang w:eastAsia="en-AU"/>
              </w:rPr>
              <w:t>Total</w:t>
            </w:r>
          </w:p>
        </w:tc>
        <w:tc>
          <w:tcPr>
            <w:tcW w:w="3118" w:type="dxa"/>
            <w:shd w:val="clear" w:color="auto" w:fill="auto"/>
            <w:tcMar>
              <w:top w:w="57" w:type="dxa"/>
              <w:left w:w="75" w:type="dxa"/>
              <w:bottom w:w="45" w:type="dxa"/>
              <w:right w:w="170" w:type="dxa"/>
            </w:tcMar>
            <w:vAlign w:val="center"/>
            <w:hideMark/>
          </w:tcPr>
          <w:p w14:paraId="79EAF712" w14:textId="1AFB932B" w:rsidR="00B211B6" w:rsidRPr="002F5E02" w:rsidRDefault="00343B8C" w:rsidP="009E7164">
            <w:pPr>
              <w:jc w:val="center"/>
              <w:rPr>
                <w:b/>
                <w:bCs/>
                <w:color w:val="auto"/>
                <w:szCs w:val="20"/>
                <w:lang w:eastAsia="en-AU"/>
              </w:rPr>
            </w:pPr>
            <w:r w:rsidRPr="002F5E02">
              <w:rPr>
                <w:b/>
                <w:bCs/>
                <w:color w:val="auto"/>
                <w:szCs w:val="20"/>
                <w:lang w:eastAsia="en-AU"/>
              </w:rPr>
              <w:t xml:space="preserve">Change in last </w:t>
            </w:r>
            <w:r w:rsidR="001846B8">
              <w:rPr>
                <w:b/>
                <w:bCs/>
                <w:color w:val="auto"/>
                <w:szCs w:val="20"/>
                <w:lang w:eastAsia="en-AU"/>
              </w:rPr>
              <w:t>7</w:t>
            </w:r>
            <w:r w:rsidRPr="000C1DBC">
              <w:rPr>
                <w:b/>
                <w:bCs/>
                <w:szCs w:val="20"/>
                <w:lang w:eastAsia="en-AU"/>
              </w:rPr>
              <w:t xml:space="preserve"> days</w:t>
            </w:r>
          </w:p>
        </w:tc>
      </w:tr>
      <w:tr w:rsidR="00685E34" w:rsidRPr="002F5E02" w14:paraId="33B91CA1" w14:textId="77777777" w:rsidTr="00A1790B">
        <w:tc>
          <w:tcPr>
            <w:tcW w:w="3964" w:type="dxa"/>
            <w:shd w:val="clear" w:color="auto" w:fill="auto"/>
            <w:tcMar>
              <w:top w:w="57" w:type="dxa"/>
              <w:left w:w="75" w:type="dxa"/>
              <w:bottom w:w="45" w:type="dxa"/>
              <w:right w:w="75" w:type="dxa"/>
            </w:tcMar>
            <w:vAlign w:val="center"/>
            <w:hideMark/>
          </w:tcPr>
          <w:p w14:paraId="3BCA2A41" w14:textId="77777777" w:rsidR="00685E34" w:rsidRPr="002F5E02" w:rsidRDefault="00685E34" w:rsidP="00685E34">
            <w:pPr>
              <w:rPr>
                <w:b/>
                <w:bCs/>
                <w:color w:val="auto"/>
                <w:lang w:eastAsia="en-AU"/>
              </w:rPr>
            </w:pPr>
            <w:r w:rsidRPr="002F5E02">
              <w:rPr>
                <w:b/>
                <w:bCs/>
                <w:color w:val="auto"/>
                <w:lang w:eastAsia="en-AU"/>
              </w:rPr>
              <w:t xml:space="preserve">Confirmed cases </w:t>
            </w:r>
          </w:p>
        </w:tc>
        <w:tc>
          <w:tcPr>
            <w:tcW w:w="2127" w:type="dxa"/>
            <w:shd w:val="clear" w:color="auto" w:fill="auto"/>
            <w:tcMar>
              <w:top w:w="57" w:type="dxa"/>
              <w:left w:w="75" w:type="dxa"/>
              <w:bottom w:w="45" w:type="dxa"/>
              <w:right w:w="170" w:type="dxa"/>
            </w:tcMar>
          </w:tcPr>
          <w:p w14:paraId="55C3E344" w14:textId="43C1F323" w:rsidR="00685E34" w:rsidRPr="008A7DD1" w:rsidRDefault="000F5BB7" w:rsidP="009E7164">
            <w:pPr>
              <w:jc w:val="center"/>
              <w:rPr>
                <w:color w:val="FF0000"/>
                <w:lang w:eastAsia="en-AU"/>
              </w:rPr>
            </w:pPr>
            <w:r>
              <w:rPr>
                <w:color w:val="FF0000"/>
                <w:lang w:eastAsia="en-AU"/>
              </w:rPr>
              <w:t>1984</w:t>
            </w:r>
          </w:p>
        </w:tc>
        <w:tc>
          <w:tcPr>
            <w:tcW w:w="3118" w:type="dxa"/>
            <w:shd w:val="clear" w:color="auto" w:fill="auto"/>
            <w:tcMar>
              <w:top w:w="57" w:type="dxa"/>
              <w:left w:w="75" w:type="dxa"/>
              <w:bottom w:w="45" w:type="dxa"/>
              <w:right w:w="170" w:type="dxa"/>
            </w:tcMar>
          </w:tcPr>
          <w:p w14:paraId="56F297DF" w14:textId="233E0BF4" w:rsidR="00685E34" w:rsidRPr="00D35673" w:rsidRDefault="00270AD7" w:rsidP="009E7164">
            <w:pPr>
              <w:jc w:val="center"/>
              <w:rPr>
                <w:color w:val="FF0000"/>
                <w:lang w:eastAsia="en-AU"/>
              </w:rPr>
            </w:pPr>
            <w:r w:rsidRPr="00D35673">
              <w:rPr>
                <w:color w:val="FF0000"/>
                <w:lang w:eastAsia="en-AU"/>
              </w:rPr>
              <w:t>16</w:t>
            </w:r>
            <w:r w:rsidR="00D35673" w:rsidRPr="00D35673">
              <w:rPr>
                <w:color w:val="FF0000"/>
                <w:lang w:eastAsia="en-AU"/>
              </w:rPr>
              <w:t>*</w:t>
            </w:r>
          </w:p>
        </w:tc>
      </w:tr>
      <w:tr w:rsidR="00685E34" w:rsidRPr="002F5E02" w14:paraId="1183D8D0" w14:textId="77777777" w:rsidTr="00014341">
        <w:tc>
          <w:tcPr>
            <w:tcW w:w="3964" w:type="dxa"/>
            <w:shd w:val="clear" w:color="auto" w:fill="auto"/>
            <w:tcMar>
              <w:top w:w="57" w:type="dxa"/>
              <w:left w:w="75" w:type="dxa"/>
              <w:bottom w:w="45" w:type="dxa"/>
              <w:right w:w="75" w:type="dxa"/>
            </w:tcMar>
            <w:vAlign w:val="center"/>
            <w:hideMark/>
          </w:tcPr>
          <w:p w14:paraId="5F8C256D" w14:textId="77777777" w:rsidR="00685E34" w:rsidRPr="002F5E02" w:rsidRDefault="00685E34" w:rsidP="00685E34">
            <w:pPr>
              <w:rPr>
                <w:b/>
                <w:bCs/>
                <w:color w:val="auto"/>
                <w:lang w:eastAsia="en-AU"/>
              </w:rPr>
            </w:pPr>
            <w:r w:rsidRPr="002F5E02">
              <w:rPr>
                <w:b/>
                <w:bCs/>
                <w:color w:val="auto"/>
                <w:lang w:eastAsia="en-AU"/>
              </w:rPr>
              <w:t>Probable cases</w:t>
            </w:r>
          </w:p>
        </w:tc>
        <w:tc>
          <w:tcPr>
            <w:tcW w:w="2127" w:type="dxa"/>
            <w:shd w:val="clear" w:color="auto" w:fill="auto"/>
            <w:tcMar>
              <w:top w:w="57" w:type="dxa"/>
              <w:left w:w="75" w:type="dxa"/>
              <w:bottom w:w="45" w:type="dxa"/>
              <w:right w:w="170" w:type="dxa"/>
            </w:tcMar>
          </w:tcPr>
          <w:p w14:paraId="1E84B7BE" w14:textId="2D53CA0A" w:rsidR="00685E34" w:rsidRPr="008A7DD1" w:rsidRDefault="000F5BB7" w:rsidP="009E7164">
            <w:pPr>
              <w:jc w:val="center"/>
              <w:rPr>
                <w:color w:val="auto"/>
                <w:lang w:eastAsia="en-AU"/>
              </w:rPr>
            </w:pPr>
            <w:r>
              <w:rPr>
                <w:color w:val="auto"/>
                <w:lang w:eastAsia="en-AU"/>
              </w:rPr>
              <w:t xml:space="preserve">  </w:t>
            </w:r>
            <w:r w:rsidR="00542E6B">
              <w:rPr>
                <w:color w:val="auto"/>
                <w:lang w:eastAsia="en-AU"/>
              </w:rPr>
              <w:t>356</w:t>
            </w:r>
          </w:p>
        </w:tc>
        <w:tc>
          <w:tcPr>
            <w:tcW w:w="3118" w:type="dxa"/>
            <w:shd w:val="clear" w:color="auto" w:fill="auto"/>
            <w:tcMar>
              <w:top w:w="57" w:type="dxa"/>
              <w:left w:w="75" w:type="dxa"/>
              <w:bottom w:w="45" w:type="dxa"/>
              <w:right w:w="170" w:type="dxa"/>
            </w:tcMar>
          </w:tcPr>
          <w:p w14:paraId="6489B223" w14:textId="77777777" w:rsidR="00685E34" w:rsidRPr="00D35673" w:rsidRDefault="00542E6B" w:rsidP="009E7164">
            <w:pPr>
              <w:jc w:val="center"/>
              <w:rPr>
                <w:color w:val="auto"/>
                <w:lang w:eastAsia="en-AU"/>
              </w:rPr>
            </w:pPr>
            <w:r w:rsidRPr="00D35673">
              <w:rPr>
                <w:color w:val="auto"/>
                <w:lang w:eastAsia="en-AU"/>
              </w:rPr>
              <w:t>0</w:t>
            </w:r>
          </w:p>
        </w:tc>
      </w:tr>
      <w:tr w:rsidR="00685E34" w:rsidRPr="002F5E02" w14:paraId="09872339" w14:textId="77777777" w:rsidTr="00A1790B">
        <w:tc>
          <w:tcPr>
            <w:tcW w:w="3964" w:type="dxa"/>
            <w:shd w:val="clear" w:color="auto" w:fill="auto"/>
            <w:tcMar>
              <w:top w:w="57" w:type="dxa"/>
              <w:left w:w="75" w:type="dxa"/>
              <w:bottom w:w="45" w:type="dxa"/>
              <w:right w:w="75" w:type="dxa"/>
            </w:tcMar>
            <w:vAlign w:val="center"/>
            <w:hideMark/>
          </w:tcPr>
          <w:p w14:paraId="0A214CDA" w14:textId="77777777" w:rsidR="00685E34" w:rsidRPr="002F5E02" w:rsidRDefault="00685E34" w:rsidP="00685E34">
            <w:pPr>
              <w:rPr>
                <w:b/>
                <w:bCs/>
                <w:color w:val="auto"/>
                <w:lang w:eastAsia="en-AU"/>
              </w:rPr>
            </w:pPr>
            <w:r w:rsidRPr="002F5E02">
              <w:rPr>
                <w:b/>
                <w:bCs/>
                <w:color w:val="auto"/>
                <w:lang w:eastAsia="en-AU"/>
              </w:rPr>
              <w:t>Total (confirmed and probable)</w:t>
            </w:r>
          </w:p>
        </w:tc>
        <w:tc>
          <w:tcPr>
            <w:tcW w:w="2127" w:type="dxa"/>
            <w:shd w:val="clear" w:color="auto" w:fill="auto"/>
            <w:tcMar>
              <w:top w:w="57" w:type="dxa"/>
              <w:left w:w="75" w:type="dxa"/>
              <w:bottom w:w="45" w:type="dxa"/>
              <w:right w:w="170" w:type="dxa"/>
            </w:tcMar>
          </w:tcPr>
          <w:p w14:paraId="3A8DFDE5" w14:textId="78CDCBBC" w:rsidR="00685E34" w:rsidRPr="008A7DD1" w:rsidRDefault="000F5BB7" w:rsidP="009E7164">
            <w:pPr>
              <w:jc w:val="center"/>
              <w:rPr>
                <w:color w:val="FF0000"/>
                <w:lang w:eastAsia="en-AU"/>
              </w:rPr>
            </w:pPr>
            <w:r>
              <w:rPr>
                <w:color w:val="FF0000"/>
                <w:lang w:eastAsia="en-AU"/>
              </w:rPr>
              <w:t>2340</w:t>
            </w:r>
          </w:p>
        </w:tc>
        <w:tc>
          <w:tcPr>
            <w:tcW w:w="3118" w:type="dxa"/>
            <w:shd w:val="clear" w:color="auto" w:fill="auto"/>
            <w:tcMar>
              <w:top w:w="57" w:type="dxa"/>
              <w:left w:w="75" w:type="dxa"/>
              <w:bottom w:w="45" w:type="dxa"/>
              <w:right w:w="170" w:type="dxa"/>
            </w:tcMar>
          </w:tcPr>
          <w:p w14:paraId="74520498" w14:textId="40A65479" w:rsidR="00685E34" w:rsidRPr="00D35673" w:rsidRDefault="00270AD7" w:rsidP="009E7164">
            <w:pPr>
              <w:jc w:val="center"/>
              <w:rPr>
                <w:color w:val="FF0000"/>
                <w:lang w:eastAsia="en-AU"/>
              </w:rPr>
            </w:pPr>
            <w:r w:rsidRPr="00D35673">
              <w:rPr>
                <w:color w:val="FF0000"/>
                <w:lang w:eastAsia="en-AU"/>
              </w:rPr>
              <w:t>16</w:t>
            </w:r>
          </w:p>
        </w:tc>
      </w:tr>
      <w:tr w:rsidR="00685E34" w:rsidRPr="002F5E02" w14:paraId="0C3409E4" w14:textId="77777777" w:rsidTr="002376FB">
        <w:tc>
          <w:tcPr>
            <w:tcW w:w="3964" w:type="dxa"/>
            <w:shd w:val="clear" w:color="auto" w:fill="auto"/>
            <w:tcMar>
              <w:top w:w="57" w:type="dxa"/>
              <w:left w:w="75" w:type="dxa"/>
              <w:bottom w:w="45" w:type="dxa"/>
              <w:right w:w="75" w:type="dxa"/>
            </w:tcMar>
            <w:vAlign w:val="center"/>
            <w:hideMark/>
          </w:tcPr>
          <w:p w14:paraId="7595BD14" w14:textId="77777777" w:rsidR="00685E34" w:rsidRPr="002F5E02" w:rsidRDefault="00685E34" w:rsidP="00685E34">
            <w:pPr>
              <w:rPr>
                <w:b/>
                <w:bCs/>
                <w:color w:val="auto"/>
                <w:lang w:eastAsia="en-AU"/>
              </w:rPr>
            </w:pPr>
            <w:r w:rsidRPr="002F5E02">
              <w:rPr>
                <w:b/>
                <w:bCs/>
                <w:color w:val="auto"/>
                <w:lang w:eastAsia="en-AU"/>
              </w:rPr>
              <w:t>Deaths</w:t>
            </w:r>
          </w:p>
        </w:tc>
        <w:tc>
          <w:tcPr>
            <w:tcW w:w="2127" w:type="dxa"/>
            <w:shd w:val="clear" w:color="auto" w:fill="auto"/>
            <w:tcMar>
              <w:top w:w="57" w:type="dxa"/>
              <w:left w:w="75" w:type="dxa"/>
              <w:bottom w:w="45" w:type="dxa"/>
              <w:right w:w="170" w:type="dxa"/>
            </w:tcMar>
            <w:hideMark/>
          </w:tcPr>
          <w:p w14:paraId="0C838DCC" w14:textId="7786E708" w:rsidR="00685E34" w:rsidRPr="002210D5" w:rsidRDefault="000F5BB7" w:rsidP="002210D5">
            <w:pPr>
              <w:jc w:val="center"/>
              <w:rPr>
                <w:color w:val="FF0000"/>
                <w:lang w:eastAsia="en-AU"/>
              </w:rPr>
            </w:pPr>
            <w:r>
              <w:rPr>
                <w:rFonts w:eastAsia="Times New Roman" w:cs="Arial"/>
                <w:color w:val="FF0000"/>
                <w:lang w:eastAsia="en-AU"/>
              </w:rPr>
              <w:t xml:space="preserve">    </w:t>
            </w:r>
            <w:r w:rsidR="00685E34" w:rsidRPr="002210D5">
              <w:rPr>
                <w:rFonts w:eastAsia="Times New Roman" w:cs="Arial"/>
                <w:color w:val="FF0000"/>
                <w:lang w:eastAsia="en-AU"/>
              </w:rPr>
              <w:t>2</w:t>
            </w:r>
            <w:r w:rsidR="002210D5" w:rsidRPr="002210D5">
              <w:rPr>
                <w:rFonts w:eastAsia="Times New Roman" w:cs="Arial"/>
                <w:color w:val="FF0000"/>
                <w:lang w:eastAsia="en-AU"/>
              </w:rPr>
              <w:t>6</w:t>
            </w:r>
          </w:p>
        </w:tc>
        <w:tc>
          <w:tcPr>
            <w:tcW w:w="3118" w:type="dxa"/>
            <w:shd w:val="clear" w:color="auto" w:fill="auto"/>
            <w:tcMar>
              <w:top w:w="57" w:type="dxa"/>
              <w:left w:w="75" w:type="dxa"/>
              <w:bottom w:w="45" w:type="dxa"/>
              <w:right w:w="170" w:type="dxa"/>
            </w:tcMar>
            <w:hideMark/>
          </w:tcPr>
          <w:p w14:paraId="2DE38362" w14:textId="36A1A98E" w:rsidR="00685E34" w:rsidRPr="002210D5" w:rsidRDefault="002210D5" w:rsidP="009E7164">
            <w:pPr>
              <w:jc w:val="center"/>
              <w:rPr>
                <w:color w:val="FF0000"/>
                <w:lang w:eastAsia="en-AU"/>
              </w:rPr>
            </w:pPr>
            <w:r w:rsidRPr="002210D5">
              <w:rPr>
                <w:rFonts w:eastAsia="Times New Roman" w:cs="Arial"/>
                <w:color w:val="FF0000"/>
                <w:lang w:eastAsia="en-AU"/>
              </w:rPr>
              <w:t>1</w:t>
            </w:r>
          </w:p>
        </w:tc>
      </w:tr>
      <w:tr w:rsidR="00685E34" w:rsidRPr="002F5E02" w14:paraId="6DD9F2BF" w14:textId="77777777" w:rsidTr="002376FB">
        <w:tc>
          <w:tcPr>
            <w:tcW w:w="3964" w:type="dxa"/>
            <w:shd w:val="clear" w:color="auto" w:fill="auto"/>
            <w:tcMar>
              <w:top w:w="57" w:type="dxa"/>
              <w:left w:w="75" w:type="dxa"/>
              <w:bottom w:w="45" w:type="dxa"/>
              <w:right w:w="75" w:type="dxa"/>
            </w:tcMar>
            <w:vAlign w:val="center"/>
            <w:hideMark/>
          </w:tcPr>
          <w:p w14:paraId="0F024EEF" w14:textId="77777777" w:rsidR="00685E34" w:rsidRPr="002F5E02" w:rsidRDefault="00685E34" w:rsidP="00685E34">
            <w:pPr>
              <w:rPr>
                <w:b/>
                <w:bCs/>
                <w:color w:val="auto"/>
                <w:lang w:eastAsia="en-AU"/>
              </w:rPr>
            </w:pPr>
            <w:r w:rsidRPr="002F5E02">
              <w:rPr>
                <w:b/>
                <w:bCs/>
                <w:color w:val="auto"/>
                <w:lang w:eastAsia="en-AU"/>
              </w:rPr>
              <w:t>Current hospitalised</w:t>
            </w:r>
          </w:p>
        </w:tc>
        <w:tc>
          <w:tcPr>
            <w:tcW w:w="2127" w:type="dxa"/>
            <w:shd w:val="clear" w:color="auto" w:fill="auto"/>
            <w:tcMar>
              <w:top w:w="57" w:type="dxa"/>
              <w:left w:w="75" w:type="dxa"/>
              <w:bottom w:w="45" w:type="dxa"/>
              <w:right w:w="170" w:type="dxa"/>
            </w:tcMar>
            <w:hideMark/>
          </w:tcPr>
          <w:p w14:paraId="669AD487" w14:textId="54911E65" w:rsidR="00685E34" w:rsidRPr="00881BE8" w:rsidRDefault="000F5BB7" w:rsidP="00AC2072">
            <w:pPr>
              <w:jc w:val="center"/>
              <w:rPr>
                <w:color w:val="auto"/>
                <w:lang w:eastAsia="en-AU"/>
              </w:rPr>
            </w:pPr>
            <w:r w:rsidRPr="00881BE8">
              <w:rPr>
                <w:color w:val="auto"/>
                <w:lang w:eastAsia="en-AU"/>
              </w:rPr>
              <w:t xml:space="preserve">     </w:t>
            </w:r>
            <w:r w:rsidRPr="00881BE8">
              <w:rPr>
                <w:color w:val="FF0000"/>
                <w:lang w:eastAsia="en-AU"/>
              </w:rPr>
              <w:t xml:space="preserve"> </w:t>
            </w:r>
            <w:r w:rsidR="00AC2072" w:rsidRPr="00881BE8">
              <w:rPr>
                <w:color w:val="FF0000"/>
                <w:lang w:eastAsia="en-AU"/>
              </w:rPr>
              <w:t>0</w:t>
            </w:r>
          </w:p>
        </w:tc>
        <w:tc>
          <w:tcPr>
            <w:tcW w:w="3118" w:type="dxa"/>
            <w:shd w:val="clear" w:color="auto" w:fill="auto"/>
            <w:tcMar>
              <w:top w:w="57" w:type="dxa"/>
              <w:left w:w="75" w:type="dxa"/>
              <w:bottom w:w="45" w:type="dxa"/>
              <w:right w:w="170" w:type="dxa"/>
            </w:tcMar>
            <w:hideMark/>
          </w:tcPr>
          <w:p w14:paraId="5CD8379A" w14:textId="1E07D400" w:rsidR="00685E34" w:rsidRPr="00881BE8" w:rsidRDefault="00AC2072" w:rsidP="009E7164">
            <w:pPr>
              <w:jc w:val="center"/>
              <w:rPr>
                <w:color w:val="auto"/>
                <w:lang w:eastAsia="en-AU"/>
              </w:rPr>
            </w:pPr>
            <w:bookmarkStart w:id="0" w:name="_GoBack"/>
            <w:r w:rsidRPr="00881BE8">
              <w:rPr>
                <w:color w:val="FF0000"/>
                <w:lang w:eastAsia="en-AU"/>
              </w:rPr>
              <w:t>-</w:t>
            </w:r>
            <w:r w:rsidR="00B77066" w:rsidRPr="00881BE8">
              <w:rPr>
                <w:color w:val="FF0000"/>
                <w:lang w:eastAsia="en-AU"/>
              </w:rPr>
              <w:t>1</w:t>
            </w:r>
            <w:bookmarkEnd w:id="0"/>
          </w:p>
        </w:tc>
      </w:tr>
    </w:tbl>
    <w:p w14:paraId="5C54BB39" w14:textId="77777777" w:rsidR="00542E6B" w:rsidRPr="002F5E02" w:rsidRDefault="00542E6B" w:rsidP="003A4DBC">
      <w:pPr>
        <w:pStyle w:val="List"/>
        <w:spacing w:after="120" w:line="240" w:lineRule="auto"/>
        <w:ind w:left="0" w:firstLine="0"/>
        <w:rPr>
          <w:rFonts w:cs="Arial"/>
          <w:color w:val="auto"/>
          <w:sz w:val="4"/>
          <w:lang w:val="en"/>
        </w:rPr>
      </w:pPr>
    </w:p>
    <w:p w14:paraId="68E49BE5" w14:textId="55BE67B1" w:rsidR="00D35673" w:rsidRPr="00132E6C" w:rsidRDefault="00D35673" w:rsidP="00AC2072">
      <w:pPr>
        <w:spacing w:after="0" w:line="240" w:lineRule="auto"/>
        <w:rPr>
          <w:color w:val="FF0000"/>
          <w:sz w:val="16"/>
          <w:szCs w:val="18"/>
        </w:rPr>
      </w:pPr>
      <w:r>
        <w:rPr>
          <w:color w:val="FF0000"/>
          <w:sz w:val="16"/>
          <w:szCs w:val="18"/>
        </w:rPr>
        <w:t>*Although 17 new cases were reported in the past seven days, the number of confirmed cases only increased by 16 because one previously confirmed case has now been reclassified as under investigation.</w:t>
      </w:r>
    </w:p>
    <w:p w14:paraId="315A87C4" w14:textId="072BF6E2" w:rsidR="008112D6" w:rsidRPr="00542E6B" w:rsidRDefault="008112D6" w:rsidP="00662616">
      <w:pPr>
        <w:rPr>
          <w:rFonts w:cs="Arial"/>
          <w:color w:val="auto"/>
          <w:sz w:val="16"/>
          <w:szCs w:val="16"/>
          <w:lang w:val="en"/>
        </w:rPr>
      </w:pPr>
    </w:p>
    <w:tbl>
      <w:tblPr>
        <w:tblStyle w:val="TableGrid"/>
        <w:tblW w:w="0" w:type="auto"/>
        <w:tblCellMar>
          <w:top w:w="57" w:type="dxa"/>
        </w:tblCellMar>
        <w:tblLook w:val="04A0" w:firstRow="1" w:lastRow="0" w:firstColumn="1" w:lastColumn="0" w:noHBand="0" w:noVBand="1"/>
        <w:tblDescription w:val="Source of acquisition of cases in New Zealance for the week up to 4 November 2020."/>
      </w:tblPr>
      <w:tblGrid>
        <w:gridCol w:w="3964"/>
        <w:gridCol w:w="5245"/>
      </w:tblGrid>
      <w:tr w:rsidR="002F5E02" w:rsidRPr="002F5E02" w14:paraId="0813BFCA" w14:textId="77777777" w:rsidTr="009051AB">
        <w:trPr>
          <w:tblHeader/>
        </w:trPr>
        <w:tc>
          <w:tcPr>
            <w:tcW w:w="9209" w:type="dxa"/>
            <w:gridSpan w:val="2"/>
            <w:shd w:val="clear" w:color="auto" w:fill="DBE5F1" w:themeFill="accent1" w:themeFillTint="33"/>
          </w:tcPr>
          <w:p w14:paraId="791725D8" w14:textId="6C8F6878" w:rsidR="00B211B6" w:rsidRPr="00390B4D" w:rsidRDefault="00B211B6" w:rsidP="008A2FD8">
            <w:pPr>
              <w:jc w:val="center"/>
              <w:rPr>
                <w:rStyle w:val="Strong"/>
                <w:color w:val="FF0000"/>
              </w:rPr>
            </w:pPr>
            <w:r w:rsidRPr="002063C3">
              <w:rPr>
                <w:rStyle w:val="Strong"/>
                <w:color w:val="auto"/>
              </w:rPr>
              <w:t>Source of acquisition of cases</w:t>
            </w:r>
            <w:r w:rsidR="009E7164">
              <w:rPr>
                <w:rStyle w:val="Strong"/>
                <w:color w:val="auto"/>
              </w:rPr>
              <w:t>*</w:t>
            </w:r>
            <w:r w:rsidRPr="002063C3">
              <w:rPr>
                <w:rStyle w:val="Strong"/>
                <w:color w:val="auto"/>
              </w:rPr>
              <w:t xml:space="preserve"> for the </w:t>
            </w:r>
            <w:r w:rsidR="001846B8" w:rsidRPr="002063C3">
              <w:rPr>
                <w:rStyle w:val="Strong"/>
                <w:color w:val="auto"/>
              </w:rPr>
              <w:t>7</w:t>
            </w:r>
            <w:r w:rsidRPr="002063C3">
              <w:rPr>
                <w:rStyle w:val="Strong"/>
                <w:color w:val="auto"/>
              </w:rPr>
              <w:t xml:space="preserve"> days </w:t>
            </w:r>
            <w:r w:rsidRPr="003F25FE">
              <w:rPr>
                <w:rStyle w:val="Strong"/>
                <w:color w:val="auto"/>
              </w:rPr>
              <w:t>to</w:t>
            </w:r>
            <w:r w:rsidRPr="00390B4D">
              <w:rPr>
                <w:rStyle w:val="Strong"/>
                <w:color w:val="FF0000"/>
              </w:rPr>
              <w:t xml:space="preserve"> </w:t>
            </w:r>
            <w:r w:rsidR="00FA20EC">
              <w:rPr>
                <w:rStyle w:val="Strong"/>
                <w:color w:val="FF0000"/>
              </w:rPr>
              <w:t>1</w:t>
            </w:r>
            <w:r w:rsidR="008A2FD8">
              <w:rPr>
                <w:rStyle w:val="Strong"/>
                <w:color w:val="FF0000"/>
              </w:rPr>
              <w:t>7</w:t>
            </w:r>
            <w:r w:rsidR="0043061F">
              <w:rPr>
                <w:rStyle w:val="Strong"/>
                <w:color w:val="FF0000"/>
              </w:rPr>
              <w:t xml:space="preserve"> Febru</w:t>
            </w:r>
            <w:r w:rsidR="00A1790B" w:rsidRPr="00390B4D">
              <w:rPr>
                <w:rStyle w:val="Strong"/>
                <w:color w:val="FF0000"/>
              </w:rPr>
              <w:t>ary 2021</w:t>
            </w:r>
          </w:p>
        </w:tc>
      </w:tr>
      <w:tr w:rsidR="002F5E02" w:rsidRPr="002F5E02" w14:paraId="66A6A903" w14:textId="77777777" w:rsidTr="00D811E6">
        <w:tc>
          <w:tcPr>
            <w:tcW w:w="3964" w:type="dxa"/>
          </w:tcPr>
          <w:p w14:paraId="78B166A5" w14:textId="2AB48A83" w:rsidR="008112D6" w:rsidRPr="002F5E02" w:rsidRDefault="008112D6" w:rsidP="009E7164">
            <w:pPr>
              <w:rPr>
                <w:rStyle w:val="Strong"/>
                <w:color w:val="auto"/>
              </w:rPr>
            </w:pPr>
            <w:r w:rsidRPr="002F5E02">
              <w:rPr>
                <w:rStyle w:val="Strong"/>
                <w:color w:val="auto"/>
              </w:rPr>
              <w:t>Overseas acquired/associated</w:t>
            </w:r>
          </w:p>
        </w:tc>
        <w:tc>
          <w:tcPr>
            <w:tcW w:w="5245" w:type="dxa"/>
            <w:vAlign w:val="center"/>
          </w:tcPr>
          <w:p w14:paraId="48BBC5F8" w14:textId="0D340CA5" w:rsidR="008112D6" w:rsidRPr="00D35673" w:rsidRDefault="00270AD7" w:rsidP="00D35673">
            <w:pPr>
              <w:jc w:val="center"/>
              <w:rPr>
                <w:color w:val="FF0000"/>
              </w:rPr>
            </w:pPr>
            <w:r w:rsidRPr="00D35673">
              <w:rPr>
                <w:color w:val="FF0000"/>
              </w:rPr>
              <w:t>1</w:t>
            </w:r>
            <w:r w:rsidR="00D35673" w:rsidRPr="00D35673">
              <w:rPr>
                <w:color w:val="FF0000"/>
              </w:rPr>
              <w:t>2</w:t>
            </w:r>
            <w:r w:rsidR="00AC2072">
              <w:rPr>
                <w:color w:val="FF0000"/>
              </w:rPr>
              <w:t>**</w:t>
            </w:r>
          </w:p>
        </w:tc>
      </w:tr>
      <w:tr w:rsidR="002F5E02" w:rsidRPr="002F5E02" w14:paraId="64A9D29C" w14:textId="77777777" w:rsidTr="00D811E6">
        <w:tc>
          <w:tcPr>
            <w:tcW w:w="3964" w:type="dxa"/>
          </w:tcPr>
          <w:p w14:paraId="22AEC3D7" w14:textId="77777777" w:rsidR="008112D6" w:rsidRPr="002F5E02" w:rsidRDefault="008112D6" w:rsidP="008112D6">
            <w:pPr>
              <w:rPr>
                <w:rStyle w:val="Strong"/>
                <w:color w:val="auto"/>
              </w:rPr>
            </w:pPr>
            <w:r w:rsidRPr="002F5E02">
              <w:rPr>
                <w:rStyle w:val="Strong"/>
                <w:color w:val="auto"/>
              </w:rPr>
              <w:t>Locally acquired</w:t>
            </w:r>
          </w:p>
        </w:tc>
        <w:tc>
          <w:tcPr>
            <w:tcW w:w="5245" w:type="dxa"/>
            <w:vAlign w:val="center"/>
          </w:tcPr>
          <w:p w14:paraId="259BCA3A" w14:textId="0C034CA2" w:rsidR="008112D6" w:rsidRPr="00D35673" w:rsidRDefault="00270AD7" w:rsidP="00BA2E0E">
            <w:pPr>
              <w:jc w:val="center"/>
              <w:rPr>
                <w:color w:val="FF0000"/>
              </w:rPr>
            </w:pPr>
            <w:r w:rsidRPr="00D35673">
              <w:rPr>
                <w:color w:val="FF0000"/>
              </w:rPr>
              <w:t xml:space="preserve">  </w:t>
            </w:r>
            <w:r w:rsidR="00AA2159" w:rsidRPr="00D35673">
              <w:rPr>
                <w:color w:val="FF0000"/>
              </w:rPr>
              <w:t>5</w:t>
            </w:r>
          </w:p>
        </w:tc>
      </w:tr>
    </w:tbl>
    <w:p w14:paraId="1247FE4D" w14:textId="15DA1103" w:rsidR="00AC2072" w:rsidRPr="00AC2072" w:rsidRDefault="00B211B6" w:rsidP="00AC2072">
      <w:pPr>
        <w:spacing w:after="0"/>
        <w:rPr>
          <w:i/>
          <w:color w:val="auto"/>
          <w:sz w:val="16"/>
          <w:szCs w:val="18"/>
        </w:rPr>
      </w:pPr>
      <w:r w:rsidRPr="002F5E02">
        <w:rPr>
          <w:i/>
          <w:color w:val="auto"/>
          <w:sz w:val="16"/>
          <w:szCs w:val="18"/>
        </w:rPr>
        <w:t>*</w:t>
      </w:r>
      <w:r w:rsidR="009E7164" w:rsidRPr="009E7164">
        <w:rPr>
          <w:i/>
          <w:color w:val="auto"/>
          <w:sz w:val="16"/>
          <w:szCs w:val="18"/>
        </w:rPr>
        <w:t xml:space="preserve"> </w:t>
      </w:r>
      <w:r w:rsidR="009E7164">
        <w:rPr>
          <w:i/>
          <w:color w:val="auto"/>
          <w:sz w:val="16"/>
          <w:szCs w:val="18"/>
        </w:rPr>
        <w:t>New Zealand categorises overseas acquired/associated c</w:t>
      </w:r>
      <w:r w:rsidR="009E7164" w:rsidRPr="002F5E02">
        <w:rPr>
          <w:i/>
          <w:color w:val="auto"/>
          <w:sz w:val="16"/>
          <w:szCs w:val="18"/>
        </w:rPr>
        <w:t xml:space="preserve">ases </w:t>
      </w:r>
      <w:r w:rsidR="009E7164">
        <w:rPr>
          <w:i/>
          <w:color w:val="auto"/>
          <w:sz w:val="16"/>
          <w:szCs w:val="18"/>
        </w:rPr>
        <w:t xml:space="preserve">(including those </w:t>
      </w:r>
      <w:r w:rsidR="009E7164" w:rsidRPr="002F5E02">
        <w:rPr>
          <w:i/>
          <w:color w:val="auto"/>
          <w:sz w:val="16"/>
          <w:szCs w:val="18"/>
        </w:rPr>
        <w:t>in managed isolation in New Zealand</w:t>
      </w:r>
      <w:r w:rsidR="009E7164">
        <w:rPr>
          <w:i/>
          <w:color w:val="auto"/>
          <w:sz w:val="16"/>
          <w:szCs w:val="18"/>
        </w:rPr>
        <w:t>)</w:t>
      </w:r>
      <w:r w:rsidR="009E7164" w:rsidRPr="002F5E02">
        <w:rPr>
          <w:i/>
          <w:color w:val="auto"/>
          <w:sz w:val="16"/>
          <w:szCs w:val="18"/>
        </w:rPr>
        <w:t xml:space="preserve"> </w:t>
      </w:r>
      <w:r w:rsidR="009E7164">
        <w:rPr>
          <w:i/>
          <w:color w:val="auto"/>
          <w:sz w:val="16"/>
          <w:szCs w:val="18"/>
        </w:rPr>
        <w:t>as ‘at the border’; New Zealand categorises locally acquired cases as ‘in the community’.</w:t>
      </w:r>
    </w:p>
    <w:p w14:paraId="6EF37CB4" w14:textId="57285487" w:rsidR="00AC2072" w:rsidRPr="00132E6C" w:rsidRDefault="00AC2072" w:rsidP="00AC2072">
      <w:pPr>
        <w:spacing w:after="0" w:line="240" w:lineRule="auto"/>
        <w:rPr>
          <w:color w:val="FF0000"/>
          <w:sz w:val="16"/>
          <w:szCs w:val="18"/>
        </w:rPr>
      </w:pPr>
      <w:r>
        <w:rPr>
          <w:color w:val="FF0000"/>
          <w:sz w:val="16"/>
          <w:szCs w:val="18"/>
        </w:rPr>
        <w:t>**Although 17 new cases were reported in the past seven days, the number of confirmed cases only increased by 16 because one previously confirmed case has now been reclassified as under investigation.</w:t>
      </w:r>
    </w:p>
    <w:p w14:paraId="78DB68EC" w14:textId="77777777" w:rsidR="00AC2072" w:rsidRPr="00AC2072" w:rsidRDefault="00AC2072" w:rsidP="00AC2072">
      <w:pPr>
        <w:pStyle w:val="BodyText"/>
      </w:pPr>
    </w:p>
    <w:p w14:paraId="087FE380" w14:textId="7861751E" w:rsidR="007A46D6" w:rsidRDefault="007A46D6" w:rsidP="009E7164">
      <w:pPr>
        <w:rPr>
          <w:color w:val="auto"/>
        </w:rPr>
      </w:pPr>
    </w:p>
    <w:p w14:paraId="00792D7B" w14:textId="2C3FDF8A" w:rsidR="00B211B6" w:rsidRPr="002F5E02" w:rsidRDefault="00B211B6" w:rsidP="00B211B6">
      <w:pPr>
        <w:pStyle w:val="Heading1"/>
        <w:rPr>
          <w:color w:val="auto"/>
        </w:rPr>
      </w:pPr>
      <w:r w:rsidRPr="002F5E02">
        <w:rPr>
          <w:color w:val="auto"/>
        </w:rPr>
        <w:t xml:space="preserve">New Zealand </w:t>
      </w:r>
      <w:r w:rsidR="00A24237" w:rsidRPr="002F5E02">
        <w:rPr>
          <w:color w:val="auto"/>
        </w:rPr>
        <w:t>q</w:t>
      </w:r>
      <w:r w:rsidRPr="002F5E02">
        <w:rPr>
          <w:color w:val="auto"/>
        </w:rPr>
        <w:t xml:space="preserve">uarantine-free travel </w:t>
      </w:r>
      <w:r w:rsidR="00A24237" w:rsidRPr="002F5E02">
        <w:rPr>
          <w:color w:val="auto"/>
        </w:rPr>
        <w:t>c</w:t>
      </w:r>
      <w:r w:rsidRPr="002F5E02">
        <w:rPr>
          <w:color w:val="auto"/>
        </w:rPr>
        <w:t>riteria</w:t>
      </w:r>
    </w:p>
    <w:p w14:paraId="20CFE03F" w14:textId="77777777" w:rsidR="006850C5" w:rsidRDefault="00AC2072" w:rsidP="006850C5">
      <w:pPr>
        <w:pStyle w:val="List"/>
        <w:numPr>
          <w:ilvl w:val="0"/>
          <w:numId w:val="23"/>
        </w:numPr>
        <w:spacing w:line="276" w:lineRule="auto"/>
        <w:rPr>
          <w:color w:val="FF0000"/>
        </w:rPr>
      </w:pPr>
      <w:r w:rsidRPr="00E11B80">
        <w:rPr>
          <w:color w:val="FF0000"/>
        </w:rPr>
        <w:lastRenderedPageBreak/>
        <w:t xml:space="preserve">The New Zealand Ministry of Health reported two new cases </w:t>
      </w:r>
      <w:r>
        <w:rPr>
          <w:color w:val="FF0000"/>
        </w:rPr>
        <w:t xml:space="preserve">of COVID-19 on 17 February 2021. </w:t>
      </w:r>
    </w:p>
    <w:p w14:paraId="35E57D48" w14:textId="043FDB62" w:rsidR="00AC2072" w:rsidRPr="00E11B80" w:rsidRDefault="00AC2072" w:rsidP="006850C5">
      <w:pPr>
        <w:pStyle w:val="List"/>
        <w:numPr>
          <w:ilvl w:val="0"/>
          <w:numId w:val="23"/>
        </w:numPr>
        <w:spacing w:line="276" w:lineRule="auto"/>
        <w:rPr>
          <w:color w:val="FF0000"/>
        </w:rPr>
      </w:pPr>
      <w:r>
        <w:rPr>
          <w:color w:val="FF0000"/>
        </w:rPr>
        <w:t xml:space="preserve">These two cases add to the initial 3 cases detected in the community and reported on 14 February 2021. </w:t>
      </w:r>
      <w:r w:rsidRPr="00E11B80">
        <w:rPr>
          <w:color w:val="FF0000"/>
        </w:rPr>
        <w:t xml:space="preserve"> </w:t>
      </w:r>
    </w:p>
    <w:p w14:paraId="4003F372" w14:textId="7B43E65A" w:rsidR="00AC2072" w:rsidRPr="00E11B80" w:rsidRDefault="00AC2072" w:rsidP="006850C5">
      <w:pPr>
        <w:pStyle w:val="List"/>
        <w:numPr>
          <w:ilvl w:val="0"/>
          <w:numId w:val="23"/>
        </w:numPr>
        <w:spacing w:line="276" w:lineRule="auto"/>
        <w:rPr>
          <w:color w:val="FF0000"/>
        </w:rPr>
      </w:pPr>
      <w:r w:rsidRPr="00E11B80">
        <w:rPr>
          <w:color w:val="FF0000"/>
        </w:rPr>
        <w:t>Whole genome sequ</w:t>
      </w:r>
      <w:r>
        <w:rPr>
          <w:color w:val="FF0000"/>
        </w:rPr>
        <w:t xml:space="preserve">encing has confirmed </w:t>
      </w:r>
      <w:r w:rsidRPr="00E11B80">
        <w:rPr>
          <w:color w:val="FF0000"/>
        </w:rPr>
        <w:t>the UK variant B.1.1.7</w:t>
      </w:r>
      <w:r>
        <w:rPr>
          <w:color w:val="FF0000"/>
        </w:rPr>
        <w:t xml:space="preserve"> for two of 3 cases reported on 14 February 2021. </w:t>
      </w:r>
      <w:r w:rsidRPr="00E11B80">
        <w:rPr>
          <w:color w:val="FF0000"/>
        </w:rPr>
        <w:t xml:space="preserve">Genome sequencing has not yet been confirmed for other cases. </w:t>
      </w:r>
    </w:p>
    <w:p w14:paraId="724265E4" w14:textId="5E8FC57D" w:rsidR="00AC2072" w:rsidRDefault="00AC2072" w:rsidP="006850C5">
      <w:pPr>
        <w:pStyle w:val="List"/>
        <w:numPr>
          <w:ilvl w:val="0"/>
          <w:numId w:val="23"/>
        </w:numPr>
        <w:spacing w:line="276" w:lineRule="auto"/>
        <w:rPr>
          <w:color w:val="FF0000"/>
        </w:rPr>
      </w:pPr>
      <w:r w:rsidRPr="00AC2072">
        <w:rPr>
          <w:color w:val="FF0000"/>
        </w:rPr>
        <w:t xml:space="preserve">Auckland’s </w:t>
      </w:r>
      <w:r w:rsidR="00025ED0">
        <w:rPr>
          <w:color w:val="FF0000"/>
        </w:rPr>
        <w:t>Alert L</w:t>
      </w:r>
      <w:r w:rsidRPr="00AC2072">
        <w:rPr>
          <w:color w:val="FF0000"/>
        </w:rPr>
        <w:t xml:space="preserve">evel </w:t>
      </w:r>
      <w:r w:rsidR="00025ED0">
        <w:rPr>
          <w:color w:val="FF0000"/>
        </w:rPr>
        <w:t>3</w:t>
      </w:r>
      <w:r w:rsidRPr="00AC2072">
        <w:rPr>
          <w:color w:val="FF0000"/>
        </w:rPr>
        <w:t xml:space="preserve"> lockdown, which commenced at 23:59 on 14 February 2021</w:t>
      </w:r>
      <w:r w:rsidR="00BA525E">
        <w:rPr>
          <w:color w:val="FF0000"/>
        </w:rPr>
        <w:t xml:space="preserve"> will move to Alert Level 2 </w:t>
      </w:r>
      <w:r w:rsidRPr="00AC2072">
        <w:rPr>
          <w:color w:val="FF0000"/>
        </w:rPr>
        <w:t xml:space="preserve">from midnight </w:t>
      </w:r>
      <w:r>
        <w:rPr>
          <w:color w:val="FF0000"/>
        </w:rPr>
        <w:t>NZD</w:t>
      </w:r>
      <w:r w:rsidR="00BA525E">
        <w:rPr>
          <w:color w:val="FF0000"/>
        </w:rPr>
        <w:t xml:space="preserve">T, 17 February 2021. The rest </w:t>
      </w:r>
      <w:r w:rsidRPr="00AC2072">
        <w:rPr>
          <w:color w:val="FF0000"/>
        </w:rPr>
        <w:t xml:space="preserve"> of New Zealand will move to Level 1. </w:t>
      </w:r>
    </w:p>
    <w:p w14:paraId="6010F75F" w14:textId="4CF1C5E9" w:rsidR="00AC2072" w:rsidRPr="00AC2072" w:rsidRDefault="00AC2072" w:rsidP="006850C5">
      <w:pPr>
        <w:pStyle w:val="List"/>
        <w:numPr>
          <w:ilvl w:val="0"/>
          <w:numId w:val="23"/>
        </w:numPr>
        <w:spacing w:line="276" w:lineRule="auto"/>
        <w:rPr>
          <w:color w:val="FF0000"/>
        </w:rPr>
      </w:pPr>
      <w:r>
        <w:rPr>
          <w:color w:val="FF0000"/>
        </w:rPr>
        <w:t xml:space="preserve">New Zealand will review this on </w:t>
      </w:r>
      <w:r w:rsidRPr="00AC2072">
        <w:rPr>
          <w:color w:val="FF0000"/>
        </w:rPr>
        <w:t>Monday 22 February 2021.</w:t>
      </w:r>
    </w:p>
    <w:p w14:paraId="056F5594" w14:textId="77777777" w:rsidR="006850C5" w:rsidRDefault="006850C5" w:rsidP="006850C5">
      <w:pPr>
        <w:pStyle w:val="List"/>
        <w:ind w:left="360" w:firstLine="0"/>
        <w:rPr>
          <w:color w:val="FF0000"/>
        </w:rPr>
      </w:pPr>
    </w:p>
    <w:p w14:paraId="03FD0784" w14:textId="1B902F32" w:rsidR="006850C5" w:rsidRPr="006850C5" w:rsidRDefault="006850C5" w:rsidP="006850C5">
      <w:pPr>
        <w:pStyle w:val="List"/>
        <w:spacing w:line="276" w:lineRule="auto"/>
        <w:ind w:left="360" w:firstLine="0"/>
        <w:rPr>
          <w:b/>
          <w:color w:val="FF0000"/>
        </w:rPr>
      </w:pPr>
      <w:r w:rsidRPr="006850C5">
        <w:rPr>
          <w:b/>
          <w:color w:val="FF0000"/>
        </w:rPr>
        <w:t>Pause of green zone flights from New Zealand</w:t>
      </w:r>
    </w:p>
    <w:p w14:paraId="670FA381" w14:textId="30428BE1" w:rsidR="00AC2072" w:rsidRPr="006850C5" w:rsidRDefault="00AC2072" w:rsidP="006850C5">
      <w:pPr>
        <w:pStyle w:val="List"/>
        <w:numPr>
          <w:ilvl w:val="0"/>
          <w:numId w:val="23"/>
        </w:numPr>
        <w:spacing w:line="276" w:lineRule="auto"/>
        <w:rPr>
          <w:color w:val="FF0000"/>
        </w:rPr>
      </w:pPr>
      <w:r>
        <w:rPr>
          <w:color w:val="FF0000"/>
        </w:rPr>
        <w:t xml:space="preserve">Australia will temporarily pause ‘green zone’ </w:t>
      </w:r>
      <w:r w:rsidR="006850C5">
        <w:rPr>
          <w:color w:val="FF0000"/>
        </w:rPr>
        <w:t>flights</w:t>
      </w:r>
      <w:r>
        <w:rPr>
          <w:color w:val="FF0000"/>
        </w:rPr>
        <w:t xml:space="preserve"> from New Zealand for a further 72 hours </w:t>
      </w:r>
      <w:r w:rsidR="006850C5">
        <w:rPr>
          <w:color w:val="FF0000"/>
        </w:rPr>
        <w:t xml:space="preserve">entailing that </w:t>
      </w:r>
      <w:r w:rsidR="006850C5" w:rsidRPr="006850C5">
        <w:rPr>
          <w:color w:val="FF0000"/>
        </w:rPr>
        <w:t>all passengers on flights originating in New Zealand up until 12.01am (AEDT) on Sunday, 21 February, will need to go into 14 days of supervised hotel quarantine on arrival in Australia.</w:t>
      </w:r>
    </w:p>
    <w:p w14:paraId="30D1EFB5" w14:textId="0EBE265B" w:rsidR="00E11B80" w:rsidRPr="00E11B80" w:rsidRDefault="00E11B80" w:rsidP="006850C5">
      <w:pPr>
        <w:pStyle w:val="List"/>
        <w:numPr>
          <w:ilvl w:val="0"/>
          <w:numId w:val="22"/>
        </w:numPr>
        <w:spacing w:line="276" w:lineRule="auto"/>
        <w:rPr>
          <w:color w:val="FF0000"/>
        </w:rPr>
      </w:pPr>
      <w:r w:rsidRPr="00E11B80">
        <w:rPr>
          <w:color w:val="FF0000"/>
        </w:rPr>
        <w:lastRenderedPageBreak/>
        <w:t xml:space="preserve">The Department of Health is monitoring the situation. </w:t>
      </w:r>
    </w:p>
    <w:p w14:paraId="7EC86EAC" w14:textId="609AA67F" w:rsidR="009D6DEB" w:rsidRPr="002F5E02" w:rsidRDefault="009D6DEB" w:rsidP="006850C5">
      <w:pPr>
        <w:pStyle w:val="List"/>
        <w:ind w:left="0" w:firstLine="0"/>
        <w:rPr>
          <w:color w:val="auto"/>
        </w:rPr>
      </w:pPr>
    </w:p>
    <w:p w14:paraId="7BFAC82E" w14:textId="77777777" w:rsidR="006850C5" w:rsidRDefault="006850C5" w:rsidP="00B211B6">
      <w:pPr>
        <w:pStyle w:val="Heading1"/>
        <w:rPr>
          <w:color w:val="auto"/>
        </w:rPr>
      </w:pPr>
    </w:p>
    <w:p w14:paraId="508D8F0E" w14:textId="77777777" w:rsidR="006850C5" w:rsidRDefault="006850C5" w:rsidP="00B211B6">
      <w:pPr>
        <w:pStyle w:val="Heading1"/>
        <w:rPr>
          <w:color w:val="auto"/>
        </w:rPr>
      </w:pPr>
    </w:p>
    <w:p w14:paraId="6A4AC72D" w14:textId="058814AB" w:rsidR="00B211B6" w:rsidRPr="002F5E02" w:rsidRDefault="00B211B6" w:rsidP="00B211B6">
      <w:pPr>
        <w:pStyle w:val="Heading1"/>
        <w:rPr>
          <w:color w:val="auto"/>
        </w:rPr>
      </w:pPr>
      <w:r w:rsidRPr="002F5E02">
        <w:rPr>
          <w:color w:val="auto"/>
        </w:rPr>
        <w:t>Summary of locally acquired cases</w:t>
      </w:r>
    </w:p>
    <w:tbl>
      <w:tblPr>
        <w:tblStyle w:val="TableGrid"/>
        <w:tblpPr w:leftFromText="180" w:rightFromText="180" w:vertAnchor="text" w:tblpY="1"/>
        <w:tblOverlap w:val="never"/>
        <w:tblW w:w="0" w:type="auto"/>
        <w:tblCellMar>
          <w:top w:w="85" w:type="dxa"/>
        </w:tblCellMar>
        <w:tblLook w:val="04A0" w:firstRow="1" w:lastRow="0" w:firstColumn="1" w:lastColumn="0" w:noHBand="0" w:noVBand="1"/>
        <w:tblDescription w:val="Summary of locally acquired COVID-19 cases in New Zealand, by date."/>
      </w:tblPr>
      <w:tblGrid>
        <w:gridCol w:w="2634"/>
        <w:gridCol w:w="3395"/>
        <w:gridCol w:w="3038"/>
      </w:tblGrid>
      <w:tr w:rsidR="002F5E02" w:rsidRPr="002F5E02" w14:paraId="0A854253" w14:textId="77777777" w:rsidTr="009051AB">
        <w:trPr>
          <w:trHeight w:val="364"/>
          <w:tblHeader/>
        </w:trPr>
        <w:tc>
          <w:tcPr>
            <w:tcW w:w="2634" w:type="dxa"/>
            <w:shd w:val="clear" w:color="auto" w:fill="DBE5F1" w:themeFill="accent1" w:themeFillTint="33"/>
          </w:tcPr>
          <w:p w14:paraId="51C7EB94" w14:textId="77777777" w:rsidR="00B211B6" w:rsidRPr="002F5E02" w:rsidRDefault="00B211B6" w:rsidP="00B211B6">
            <w:pPr>
              <w:spacing w:after="0"/>
              <w:rPr>
                <w:rStyle w:val="Strong"/>
                <w:color w:val="auto"/>
              </w:rPr>
            </w:pPr>
            <w:r w:rsidRPr="002F5E02">
              <w:rPr>
                <w:rStyle w:val="Strong"/>
                <w:color w:val="auto"/>
              </w:rPr>
              <w:t>Date</w:t>
            </w:r>
          </w:p>
        </w:tc>
        <w:tc>
          <w:tcPr>
            <w:tcW w:w="3395" w:type="dxa"/>
            <w:shd w:val="clear" w:color="auto" w:fill="DBE5F1" w:themeFill="accent1" w:themeFillTint="33"/>
          </w:tcPr>
          <w:p w14:paraId="7DA56B9F" w14:textId="77777777" w:rsidR="00B211B6" w:rsidRPr="002F5E02" w:rsidRDefault="00B211B6" w:rsidP="00B211B6">
            <w:pPr>
              <w:spacing w:after="0"/>
              <w:jc w:val="right"/>
              <w:rPr>
                <w:rStyle w:val="Strong"/>
                <w:color w:val="auto"/>
              </w:rPr>
            </w:pPr>
            <w:r w:rsidRPr="002F5E02">
              <w:rPr>
                <w:rStyle w:val="Strong"/>
                <w:color w:val="auto"/>
              </w:rPr>
              <w:t>Locally acquired cases</w:t>
            </w:r>
          </w:p>
        </w:tc>
        <w:tc>
          <w:tcPr>
            <w:tcW w:w="3038" w:type="dxa"/>
            <w:shd w:val="clear" w:color="auto" w:fill="DBE5F1" w:themeFill="accent1" w:themeFillTint="33"/>
          </w:tcPr>
          <w:p w14:paraId="4E1EB151" w14:textId="77777777" w:rsidR="00B211B6" w:rsidRPr="002F5E02" w:rsidRDefault="00B211B6" w:rsidP="00B211B6">
            <w:pPr>
              <w:spacing w:after="0"/>
              <w:jc w:val="right"/>
              <w:rPr>
                <w:rStyle w:val="Strong"/>
                <w:color w:val="auto"/>
              </w:rPr>
            </w:pPr>
            <w:r w:rsidRPr="002F5E02">
              <w:rPr>
                <w:rStyle w:val="Strong"/>
                <w:color w:val="auto"/>
              </w:rPr>
              <w:t>Rolling 3-day average</w:t>
            </w:r>
          </w:p>
        </w:tc>
      </w:tr>
      <w:tr w:rsidR="007C0E67" w:rsidRPr="002F5E02" w14:paraId="6ACFA278" w14:textId="77777777" w:rsidTr="00D811E6">
        <w:trPr>
          <w:trHeight w:val="141"/>
        </w:trPr>
        <w:tc>
          <w:tcPr>
            <w:tcW w:w="2634" w:type="dxa"/>
            <w:tcMar>
              <w:top w:w="28" w:type="dxa"/>
            </w:tcMar>
            <w:vAlign w:val="center"/>
          </w:tcPr>
          <w:p w14:paraId="0C0B8A18" w14:textId="29869119" w:rsidR="007C0E67" w:rsidRDefault="00AA2159" w:rsidP="00AA2159">
            <w:pPr>
              <w:spacing w:after="120"/>
              <w:rPr>
                <w:rStyle w:val="Strong"/>
                <w:b w:val="0"/>
                <w:color w:val="FF0000"/>
              </w:rPr>
            </w:pPr>
            <w:r>
              <w:rPr>
                <w:rStyle w:val="Strong"/>
                <w:b w:val="0"/>
                <w:color w:val="FF0000"/>
              </w:rPr>
              <w:t>11</w:t>
            </w:r>
            <w:r w:rsidR="007C0E67">
              <w:rPr>
                <w:rStyle w:val="Strong"/>
                <w:b w:val="0"/>
                <w:color w:val="FF0000"/>
              </w:rPr>
              <w:t xml:space="preserve"> </w:t>
            </w:r>
            <w:r w:rsidR="00FA20EC">
              <w:rPr>
                <w:rStyle w:val="Strong"/>
                <w:b w:val="0"/>
                <w:color w:val="FF0000"/>
              </w:rPr>
              <w:t>Febr</w:t>
            </w:r>
            <w:r w:rsidR="007C0E67">
              <w:rPr>
                <w:rStyle w:val="Strong"/>
                <w:b w:val="0"/>
                <w:color w:val="FF0000"/>
              </w:rPr>
              <w:t>uary 2021</w:t>
            </w:r>
          </w:p>
        </w:tc>
        <w:tc>
          <w:tcPr>
            <w:tcW w:w="3395" w:type="dxa"/>
            <w:tcMar>
              <w:top w:w="28" w:type="dxa"/>
            </w:tcMar>
            <w:vAlign w:val="center"/>
          </w:tcPr>
          <w:p w14:paraId="31BD8127" w14:textId="422D42D7" w:rsidR="007C0E67" w:rsidRPr="00BC66AD" w:rsidRDefault="00AA2159" w:rsidP="00755C1E">
            <w:pPr>
              <w:spacing w:after="120"/>
              <w:jc w:val="center"/>
              <w:rPr>
                <w:rFonts w:cs="Arial"/>
                <w:color w:val="FF0000"/>
              </w:rPr>
            </w:pPr>
            <w:r>
              <w:rPr>
                <w:rFonts w:cs="Arial"/>
                <w:color w:val="FF0000"/>
              </w:rPr>
              <w:t>0</w:t>
            </w:r>
          </w:p>
        </w:tc>
        <w:tc>
          <w:tcPr>
            <w:tcW w:w="3038" w:type="dxa"/>
            <w:tcMar>
              <w:top w:w="28" w:type="dxa"/>
            </w:tcMar>
            <w:vAlign w:val="center"/>
          </w:tcPr>
          <w:p w14:paraId="4E10851E" w14:textId="2E92910B" w:rsidR="007C0E67" w:rsidRPr="00BC66AD" w:rsidRDefault="00AA2159" w:rsidP="00755C1E">
            <w:pPr>
              <w:spacing w:after="120"/>
              <w:jc w:val="center"/>
              <w:rPr>
                <w:rFonts w:cs="Arial"/>
                <w:color w:val="FF0000"/>
              </w:rPr>
            </w:pPr>
            <w:r>
              <w:rPr>
                <w:rFonts w:cs="Arial"/>
                <w:color w:val="FF0000"/>
              </w:rPr>
              <w:t>0</w:t>
            </w:r>
          </w:p>
        </w:tc>
      </w:tr>
      <w:tr w:rsidR="00CF5CC0" w:rsidRPr="002F5E02" w14:paraId="63EE1F19" w14:textId="77777777" w:rsidTr="00D811E6">
        <w:trPr>
          <w:trHeight w:val="141"/>
        </w:trPr>
        <w:tc>
          <w:tcPr>
            <w:tcW w:w="2634" w:type="dxa"/>
            <w:tcMar>
              <w:top w:w="28" w:type="dxa"/>
            </w:tcMar>
            <w:vAlign w:val="center"/>
          </w:tcPr>
          <w:p w14:paraId="354E3216" w14:textId="4FF120D7" w:rsidR="00CF5CC0" w:rsidRPr="000F073C" w:rsidRDefault="00147564" w:rsidP="00AA2159">
            <w:pPr>
              <w:spacing w:after="120"/>
              <w:rPr>
                <w:rStyle w:val="Strong"/>
                <w:b w:val="0"/>
                <w:color w:val="FF0000"/>
              </w:rPr>
            </w:pPr>
            <w:r>
              <w:rPr>
                <w:rStyle w:val="Strong"/>
                <w:b w:val="0"/>
                <w:color w:val="FF0000"/>
              </w:rPr>
              <w:t>1</w:t>
            </w:r>
            <w:r w:rsidR="00AA2159">
              <w:rPr>
                <w:rStyle w:val="Strong"/>
                <w:b w:val="0"/>
                <w:color w:val="FF0000"/>
              </w:rPr>
              <w:t>2</w:t>
            </w:r>
            <w:r w:rsidR="00014341">
              <w:rPr>
                <w:rStyle w:val="Strong"/>
                <w:b w:val="0"/>
                <w:color w:val="FF0000"/>
              </w:rPr>
              <w:t xml:space="preserve"> </w:t>
            </w:r>
            <w:r w:rsidR="00FA20EC">
              <w:rPr>
                <w:rStyle w:val="Strong"/>
                <w:b w:val="0"/>
                <w:color w:val="FF0000"/>
              </w:rPr>
              <w:t>Febr</w:t>
            </w:r>
            <w:r w:rsidR="00014341">
              <w:rPr>
                <w:rStyle w:val="Strong"/>
                <w:b w:val="0"/>
                <w:color w:val="FF0000"/>
              </w:rPr>
              <w:t>uary</w:t>
            </w:r>
            <w:r w:rsidR="007C0E67">
              <w:rPr>
                <w:rStyle w:val="Strong"/>
                <w:b w:val="0"/>
                <w:color w:val="FF0000"/>
              </w:rPr>
              <w:t xml:space="preserve"> 2021</w:t>
            </w:r>
          </w:p>
        </w:tc>
        <w:tc>
          <w:tcPr>
            <w:tcW w:w="3395" w:type="dxa"/>
            <w:tcMar>
              <w:top w:w="28" w:type="dxa"/>
            </w:tcMar>
            <w:vAlign w:val="center"/>
          </w:tcPr>
          <w:p w14:paraId="13E437DB" w14:textId="374BAE32" w:rsidR="00CF5CC0" w:rsidRPr="00BC66AD" w:rsidRDefault="00AA2159" w:rsidP="00755C1E">
            <w:pPr>
              <w:spacing w:after="120"/>
              <w:jc w:val="center"/>
              <w:rPr>
                <w:color w:val="FF0000"/>
              </w:rPr>
            </w:pPr>
            <w:r>
              <w:rPr>
                <w:color w:val="FF0000"/>
              </w:rPr>
              <w:t>0</w:t>
            </w:r>
          </w:p>
        </w:tc>
        <w:tc>
          <w:tcPr>
            <w:tcW w:w="3038" w:type="dxa"/>
            <w:tcMar>
              <w:top w:w="28" w:type="dxa"/>
            </w:tcMar>
            <w:vAlign w:val="center"/>
          </w:tcPr>
          <w:p w14:paraId="353F9970" w14:textId="62C636C0" w:rsidR="00CF5CC0" w:rsidRPr="00BC66AD" w:rsidRDefault="00AA2159" w:rsidP="00755C1E">
            <w:pPr>
              <w:spacing w:after="120"/>
              <w:jc w:val="center"/>
              <w:rPr>
                <w:color w:val="FF0000"/>
              </w:rPr>
            </w:pPr>
            <w:r>
              <w:rPr>
                <w:color w:val="FF0000"/>
              </w:rPr>
              <w:t>0</w:t>
            </w:r>
          </w:p>
        </w:tc>
      </w:tr>
      <w:tr w:rsidR="00CF5CC0" w:rsidRPr="002F5E02" w14:paraId="79B4B29E" w14:textId="77777777" w:rsidTr="00D811E6">
        <w:trPr>
          <w:trHeight w:val="250"/>
        </w:trPr>
        <w:tc>
          <w:tcPr>
            <w:tcW w:w="2634" w:type="dxa"/>
            <w:tcMar>
              <w:top w:w="28" w:type="dxa"/>
            </w:tcMar>
            <w:vAlign w:val="center"/>
          </w:tcPr>
          <w:p w14:paraId="412BF1E0" w14:textId="727C2F68" w:rsidR="00CF5CC0" w:rsidRPr="000F073C" w:rsidRDefault="00147564" w:rsidP="00AA2159">
            <w:pPr>
              <w:spacing w:after="120"/>
              <w:rPr>
                <w:rStyle w:val="Strong"/>
                <w:b w:val="0"/>
                <w:color w:val="FF0000"/>
              </w:rPr>
            </w:pPr>
            <w:r>
              <w:rPr>
                <w:rStyle w:val="Strong"/>
                <w:b w:val="0"/>
                <w:color w:val="FF0000"/>
              </w:rPr>
              <w:t>1</w:t>
            </w:r>
            <w:r w:rsidR="00AA2159">
              <w:rPr>
                <w:rStyle w:val="Strong"/>
                <w:b w:val="0"/>
                <w:color w:val="FF0000"/>
              </w:rPr>
              <w:t>3</w:t>
            </w:r>
            <w:r w:rsidR="00014341">
              <w:rPr>
                <w:rStyle w:val="Strong"/>
                <w:b w:val="0"/>
                <w:color w:val="FF0000"/>
              </w:rPr>
              <w:t xml:space="preserve"> </w:t>
            </w:r>
            <w:r w:rsidR="00FA20EC">
              <w:rPr>
                <w:rStyle w:val="Strong"/>
                <w:b w:val="0"/>
                <w:color w:val="FF0000"/>
              </w:rPr>
              <w:t>Febr</w:t>
            </w:r>
            <w:r w:rsidR="00014341">
              <w:rPr>
                <w:rStyle w:val="Strong"/>
                <w:b w:val="0"/>
                <w:color w:val="FF0000"/>
              </w:rPr>
              <w:t>uary</w:t>
            </w:r>
            <w:r w:rsidR="007C0E67">
              <w:rPr>
                <w:rStyle w:val="Strong"/>
                <w:b w:val="0"/>
                <w:color w:val="FF0000"/>
              </w:rPr>
              <w:t xml:space="preserve"> 2021</w:t>
            </w:r>
          </w:p>
        </w:tc>
        <w:tc>
          <w:tcPr>
            <w:tcW w:w="3395" w:type="dxa"/>
            <w:tcMar>
              <w:top w:w="28" w:type="dxa"/>
            </w:tcMar>
            <w:vAlign w:val="center"/>
          </w:tcPr>
          <w:p w14:paraId="4DEAF883" w14:textId="57AF2AC4" w:rsidR="00CF5CC0" w:rsidRPr="00BC66AD" w:rsidRDefault="00AA2159" w:rsidP="00755C1E">
            <w:pPr>
              <w:spacing w:after="120"/>
              <w:jc w:val="center"/>
              <w:rPr>
                <w:color w:val="FF0000"/>
              </w:rPr>
            </w:pPr>
            <w:r>
              <w:rPr>
                <w:color w:val="FF0000"/>
              </w:rPr>
              <w:t>0</w:t>
            </w:r>
          </w:p>
        </w:tc>
        <w:tc>
          <w:tcPr>
            <w:tcW w:w="3038" w:type="dxa"/>
            <w:tcMar>
              <w:top w:w="28" w:type="dxa"/>
            </w:tcMar>
            <w:vAlign w:val="center"/>
          </w:tcPr>
          <w:p w14:paraId="4A4CA722" w14:textId="73ED7F47" w:rsidR="00CF5CC0" w:rsidRPr="00BC66AD" w:rsidRDefault="00AA2159" w:rsidP="00E80445">
            <w:pPr>
              <w:spacing w:after="120"/>
              <w:jc w:val="center"/>
              <w:rPr>
                <w:color w:val="FF0000"/>
              </w:rPr>
            </w:pPr>
            <w:r>
              <w:rPr>
                <w:color w:val="FF0000"/>
              </w:rPr>
              <w:t>0</w:t>
            </w:r>
          </w:p>
        </w:tc>
      </w:tr>
      <w:tr w:rsidR="00CF5CC0" w:rsidRPr="002F5E02" w14:paraId="6657F63C" w14:textId="77777777" w:rsidTr="00D811E6">
        <w:trPr>
          <w:trHeight w:val="250"/>
        </w:trPr>
        <w:tc>
          <w:tcPr>
            <w:tcW w:w="2634" w:type="dxa"/>
            <w:tcMar>
              <w:top w:w="28" w:type="dxa"/>
            </w:tcMar>
            <w:vAlign w:val="center"/>
          </w:tcPr>
          <w:p w14:paraId="24354D7D" w14:textId="0DEF45B7" w:rsidR="00CF5CC0" w:rsidRPr="000F073C" w:rsidRDefault="00147564" w:rsidP="00AA2159">
            <w:pPr>
              <w:spacing w:after="120"/>
              <w:rPr>
                <w:rStyle w:val="Strong"/>
                <w:b w:val="0"/>
                <w:color w:val="FF0000"/>
              </w:rPr>
            </w:pPr>
            <w:r>
              <w:rPr>
                <w:rStyle w:val="Strong"/>
                <w:b w:val="0"/>
                <w:color w:val="FF0000"/>
              </w:rPr>
              <w:t>1</w:t>
            </w:r>
            <w:r w:rsidR="00AA2159">
              <w:rPr>
                <w:rStyle w:val="Strong"/>
                <w:b w:val="0"/>
                <w:color w:val="FF0000"/>
              </w:rPr>
              <w:t>4</w:t>
            </w:r>
            <w:r w:rsidR="00A1790B">
              <w:rPr>
                <w:rStyle w:val="Strong"/>
                <w:b w:val="0"/>
                <w:color w:val="FF0000"/>
              </w:rPr>
              <w:t xml:space="preserve"> </w:t>
            </w:r>
            <w:r w:rsidR="00FA20EC">
              <w:rPr>
                <w:rStyle w:val="Strong"/>
                <w:b w:val="0"/>
                <w:color w:val="FF0000"/>
              </w:rPr>
              <w:t>Feb</w:t>
            </w:r>
            <w:r w:rsidR="00755C1E">
              <w:rPr>
                <w:rStyle w:val="Strong"/>
                <w:b w:val="0"/>
                <w:color w:val="FF0000"/>
              </w:rPr>
              <w:t>r</w:t>
            </w:r>
            <w:r w:rsidR="00A1790B">
              <w:rPr>
                <w:rStyle w:val="Strong"/>
                <w:b w:val="0"/>
                <w:color w:val="FF0000"/>
              </w:rPr>
              <w:t>uary 2021</w:t>
            </w:r>
          </w:p>
        </w:tc>
        <w:tc>
          <w:tcPr>
            <w:tcW w:w="3395" w:type="dxa"/>
            <w:tcMar>
              <w:top w:w="28" w:type="dxa"/>
            </w:tcMar>
            <w:vAlign w:val="center"/>
          </w:tcPr>
          <w:p w14:paraId="2BEA7214" w14:textId="12A347E8" w:rsidR="00CF5CC0" w:rsidRPr="00BC66AD" w:rsidRDefault="007702C5" w:rsidP="00755C1E">
            <w:pPr>
              <w:spacing w:after="120"/>
              <w:jc w:val="center"/>
              <w:rPr>
                <w:color w:val="FF0000"/>
              </w:rPr>
            </w:pPr>
            <w:r>
              <w:rPr>
                <w:color w:val="FF0000"/>
              </w:rPr>
              <w:t>2</w:t>
            </w:r>
          </w:p>
        </w:tc>
        <w:tc>
          <w:tcPr>
            <w:tcW w:w="3038" w:type="dxa"/>
            <w:tcMar>
              <w:top w:w="28" w:type="dxa"/>
            </w:tcMar>
            <w:vAlign w:val="center"/>
          </w:tcPr>
          <w:p w14:paraId="5C272F8C" w14:textId="16E65B8E" w:rsidR="00CF5CC0" w:rsidRPr="00BC66AD" w:rsidRDefault="008A2FD8" w:rsidP="00755C1E">
            <w:pPr>
              <w:spacing w:after="120"/>
              <w:jc w:val="center"/>
              <w:rPr>
                <w:color w:val="FF0000"/>
              </w:rPr>
            </w:pPr>
            <w:r>
              <w:rPr>
                <w:color w:val="FF0000"/>
              </w:rPr>
              <w:t>0.67</w:t>
            </w:r>
          </w:p>
        </w:tc>
      </w:tr>
      <w:tr w:rsidR="00CF5CC0" w:rsidRPr="002F5E02" w14:paraId="2A14B26C" w14:textId="77777777" w:rsidTr="00D811E6">
        <w:trPr>
          <w:trHeight w:val="236"/>
        </w:trPr>
        <w:tc>
          <w:tcPr>
            <w:tcW w:w="2634" w:type="dxa"/>
            <w:tcMar>
              <w:top w:w="28" w:type="dxa"/>
            </w:tcMar>
            <w:vAlign w:val="center"/>
          </w:tcPr>
          <w:p w14:paraId="578E369C" w14:textId="6A9F20DC" w:rsidR="00CF5CC0" w:rsidRPr="000F073C" w:rsidRDefault="00147564" w:rsidP="00AA2159">
            <w:pPr>
              <w:spacing w:after="120"/>
              <w:rPr>
                <w:rStyle w:val="Strong"/>
                <w:b w:val="0"/>
                <w:color w:val="FF0000"/>
              </w:rPr>
            </w:pPr>
            <w:r>
              <w:rPr>
                <w:rStyle w:val="Strong"/>
                <w:b w:val="0"/>
                <w:color w:val="FF0000"/>
              </w:rPr>
              <w:t>1</w:t>
            </w:r>
            <w:r w:rsidR="00AA2159">
              <w:rPr>
                <w:rStyle w:val="Strong"/>
                <w:b w:val="0"/>
                <w:color w:val="FF0000"/>
              </w:rPr>
              <w:t>5</w:t>
            </w:r>
            <w:r w:rsidR="00A1790B">
              <w:rPr>
                <w:rStyle w:val="Strong"/>
                <w:b w:val="0"/>
                <w:color w:val="FF0000"/>
              </w:rPr>
              <w:t xml:space="preserve"> </w:t>
            </w:r>
            <w:r w:rsidR="00521CFC">
              <w:rPr>
                <w:rStyle w:val="Strong"/>
                <w:b w:val="0"/>
                <w:color w:val="FF0000"/>
              </w:rPr>
              <w:t>Febr</w:t>
            </w:r>
            <w:r w:rsidR="00A1790B">
              <w:rPr>
                <w:rStyle w:val="Strong"/>
                <w:b w:val="0"/>
                <w:color w:val="FF0000"/>
              </w:rPr>
              <w:t>uary 2021</w:t>
            </w:r>
          </w:p>
        </w:tc>
        <w:tc>
          <w:tcPr>
            <w:tcW w:w="3395" w:type="dxa"/>
            <w:tcMar>
              <w:top w:w="28" w:type="dxa"/>
            </w:tcMar>
            <w:vAlign w:val="center"/>
          </w:tcPr>
          <w:p w14:paraId="05D1DE36" w14:textId="72FBED9D" w:rsidR="00CF5CC0" w:rsidRPr="00BC66AD" w:rsidRDefault="007702C5" w:rsidP="00755C1E">
            <w:pPr>
              <w:spacing w:after="120"/>
              <w:jc w:val="center"/>
              <w:rPr>
                <w:color w:val="FF0000"/>
              </w:rPr>
            </w:pPr>
            <w:r>
              <w:rPr>
                <w:color w:val="FF0000"/>
              </w:rPr>
              <w:t>1</w:t>
            </w:r>
          </w:p>
        </w:tc>
        <w:tc>
          <w:tcPr>
            <w:tcW w:w="3038" w:type="dxa"/>
            <w:tcMar>
              <w:top w:w="28" w:type="dxa"/>
            </w:tcMar>
            <w:vAlign w:val="center"/>
          </w:tcPr>
          <w:p w14:paraId="5F46616E" w14:textId="36105BA2" w:rsidR="00CF5CC0" w:rsidRPr="00BC66AD" w:rsidRDefault="00AA2159" w:rsidP="00755C1E">
            <w:pPr>
              <w:spacing w:after="120"/>
              <w:jc w:val="center"/>
              <w:rPr>
                <w:color w:val="FF0000"/>
              </w:rPr>
            </w:pPr>
            <w:r>
              <w:rPr>
                <w:color w:val="FF0000"/>
              </w:rPr>
              <w:t>1.0</w:t>
            </w:r>
          </w:p>
        </w:tc>
      </w:tr>
      <w:tr w:rsidR="00CF5CC0" w:rsidRPr="002F5E02" w14:paraId="277688A6" w14:textId="77777777" w:rsidTr="00D811E6">
        <w:trPr>
          <w:trHeight w:val="250"/>
        </w:trPr>
        <w:tc>
          <w:tcPr>
            <w:tcW w:w="2634" w:type="dxa"/>
            <w:tcMar>
              <w:top w:w="28" w:type="dxa"/>
            </w:tcMar>
            <w:vAlign w:val="center"/>
          </w:tcPr>
          <w:p w14:paraId="770D9D91" w14:textId="61F3D993" w:rsidR="00CF5CC0" w:rsidRPr="000F073C" w:rsidRDefault="00147564" w:rsidP="00AA2159">
            <w:pPr>
              <w:spacing w:after="120"/>
              <w:rPr>
                <w:rStyle w:val="Strong"/>
                <w:b w:val="0"/>
                <w:color w:val="FF0000"/>
              </w:rPr>
            </w:pPr>
            <w:r>
              <w:rPr>
                <w:rStyle w:val="Strong"/>
                <w:b w:val="0"/>
                <w:color w:val="FF0000"/>
              </w:rPr>
              <w:t>1</w:t>
            </w:r>
            <w:r w:rsidR="00AA2159">
              <w:rPr>
                <w:rStyle w:val="Strong"/>
                <w:b w:val="0"/>
                <w:color w:val="FF0000"/>
              </w:rPr>
              <w:t xml:space="preserve">6 </w:t>
            </w:r>
            <w:r w:rsidR="00521CFC">
              <w:rPr>
                <w:rStyle w:val="Strong"/>
                <w:b w:val="0"/>
                <w:color w:val="FF0000"/>
              </w:rPr>
              <w:t>Febr</w:t>
            </w:r>
            <w:r w:rsidR="00A1790B">
              <w:rPr>
                <w:rStyle w:val="Strong"/>
                <w:b w:val="0"/>
                <w:color w:val="FF0000"/>
              </w:rPr>
              <w:t>uary 2021</w:t>
            </w:r>
          </w:p>
        </w:tc>
        <w:tc>
          <w:tcPr>
            <w:tcW w:w="3395" w:type="dxa"/>
            <w:tcMar>
              <w:top w:w="28" w:type="dxa"/>
            </w:tcMar>
            <w:vAlign w:val="center"/>
          </w:tcPr>
          <w:p w14:paraId="6062B6B0" w14:textId="5DF21ADA" w:rsidR="00CF5CC0" w:rsidRPr="00BC66AD" w:rsidRDefault="00AA2159" w:rsidP="00755C1E">
            <w:pPr>
              <w:spacing w:after="120"/>
              <w:jc w:val="center"/>
              <w:rPr>
                <w:color w:val="FF0000"/>
              </w:rPr>
            </w:pPr>
            <w:r>
              <w:rPr>
                <w:color w:val="FF0000"/>
              </w:rPr>
              <w:t>0</w:t>
            </w:r>
          </w:p>
        </w:tc>
        <w:tc>
          <w:tcPr>
            <w:tcW w:w="3038" w:type="dxa"/>
            <w:tcMar>
              <w:top w:w="28" w:type="dxa"/>
            </w:tcMar>
            <w:vAlign w:val="center"/>
          </w:tcPr>
          <w:p w14:paraId="4607773F" w14:textId="7E9B3F4E" w:rsidR="00CF5CC0" w:rsidRPr="00BC66AD" w:rsidRDefault="00AA2159" w:rsidP="00755C1E">
            <w:pPr>
              <w:spacing w:after="120"/>
              <w:jc w:val="center"/>
              <w:rPr>
                <w:color w:val="FF0000"/>
              </w:rPr>
            </w:pPr>
            <w:r>
              <w:rPr>
                <w:color w:val="FF0000"/>
              </w:rPr>
              <w:t>1.0</w:t>
            </w:r>
          </w:p>
        </w:tc>
      </w:tr>
      <w:tr w:rsidR="00CF5CC0" w:rsidRPr="002F5E02" w14:paraId="0EA620F2" w14:textId="77777777" w:rsidTr="00D811E6">
        <w:trPr>
          <w:trHeight w:val="236"/>
        </w:trPr>
        <w:tc>
          <w:tcPr>
            <w:tcW w:w="2634" w:type="dxa"/>
            <w:tcMar>
              <w:top w:w="28" w:type="dxa"/>
            </w:tcMar>
            <w:vAlign w:val="center"/>
          </w:tcPr>
          <w:p w14:paraId="09651D34" w14:textId="32E625E3" w:rsidR="00CF5CC0" w:rsidRPr="000F073C" w:rsidRDefault="00FA20EC" w:rsidP="00AA2159">
            <w:pPr>
              <w:spacing w:after="120"/>
              <w:rPr>
                <w:rStyle w:val="Strong"/>
                <w:b w:val="0"/>
                <w:color w:val="FF0000"/>
              </w:rPr>
            </w:pPr>
            <w:r>
              <w:rPr>
                <w:rStyle w:val="Strong"/>
                <w:b w:val="0"/>
                <w:color w:val="FF0000"/>
              </w:rPr>
              <w:t>1</w:t>
            </w:r>
            <w:r w:rsidR="00AA2159">
              <w:rPr>
                <w:rStyle w:val="Strong"/>
                <w:b w:val="0"/>
                <w:color w:val="FF0000"/>
              </w:rPr>
              <w:t>7</w:t>
            </w:r>
            <w:r w:rsidR="00521CFC">
              <w:rPr>
                <w:rStyle w:val="Strong"/>
                <w:b w:val="0"/>
                <w:color w:val="FF0000"/>
              </w:rPr>
              <w:t xml:space="preserve"> Febr</w:t>
            </w:r>
            <w:r w:rsidR="00A1790B">
              <w:rPr>
                <w:rStyle w:val="Strong"/>
                <w:b w:val="0"/>
                <w:color w:val="FF0000"/>
              </w:rPr>
              <w:t>uary 2021</w:t>
            </w:r>
          </w:p>
        </w:tc>
        <w:tc>
          <w:tcPr>
            <w:tcW w:w="3395" w:type="dxa"/>
            <w:tcMar>
              <w:top w:w="28" w:type="dxa"/>
            </w:tcMar>
            <w:vAlign w:val="center"/>
          </w:tcPr>
          <w:p w14:paraId="071DFFA7" w14:textId="027AFAEC" w:rsidR="00CF5CC0" w:rsidRPr="00BC66AD" w:rsidRDefault="00AA2159" w:rsidP="00755C1E">
            <w:pPr>
              <w:spacing w:after="120"/>
              <w:jc w:val="center"/>
              <w:rPr>
                <w:color w:val="FF0000"/>
              </w:rPr>
            </w:pPr>
            <w:r>
              <w:rPr>
                <w:color w:val="FF0000"/>
              </w:rPr>
              <w:t>2</w:t>
            </w:r>
          </w:p>
        </w:tc>
        <w:tc>
          <w:tcPr>
            <w:tcW w:w="3038" w:type="dxa"/>
            <w:tcMar>
              <w:top w:w="28" w:type="dxa"/>
            </w:tcMar>
            <w:vAlign w:val="center"/>
          </w:tcPr>
          <w:p w14:paraId="24E56025" w14:textId="05FD565D" w:rsidR="00CF5CC0" w:rsidRPr="00BC66AD" w:rsidRDefault="007702C5" w:rsidP="007702C5">
            <w:pPr>
              <w:spacing w:after="120"/>
              <w:jc w:val="center"/>
              <w:rPr>
                <w:color w:val="FF0000"/>
              </w:rPr>
            </w:pPr>
            <w:r>
              <w:rPr>
                <w:color w:val="FF0000"/>
              </w:rPr>
              <w:t>1.0</w:t>
            </w:r>
          </w:p>
        </w:tc>
      </w:tr>
    </w:tbl>
    <w:p w14:paraId="3D5E370A" w14:textId="441A4FB7" w:rsidR="00B211B6" w:rsidRDefault="00B211B6" w:rsidP="00A24237">
      <w:pPr>
        <w:rPr>
          <w:color w:val="auto"/>
        </w:rPr>
      </w:pPr>
      <w:r w:rsidRPr="002F5E02">
        <w:rPr>
          <w:color w:val="auto"/>
        </w:rPr>
        <w:br w:type="textWrapping" w:clear="all"/>
      </w:r>
    </w:p>
    <w:p w14:paraId="4070F426" w14:textId="6A6CEA37" w:rsidR="006850C5" w:rsidRDefault="006850C5" w:rsidP="006850C5">
      <w:pPr>
        <w:pStyle w:val="BodyText"/>
      </w:pPr>
    </w:p>
    <w:p w14:paraId="6F623098" w14:textId="77777777" w:rsidR="006850C5" w:rsidRPr="006850C5" w:rsidRDefault="006850C5" w:rsidP="006850C5">
      <w:pPr>
        <w:pStyle w:val="BodyText"/>
      </w:pPr>
    </w:p>
    <w:tbl>
      <w:tblPr>
        <w:tblStyle w:val="TableGrid"/>
        <w:tblpPr w:leftFromText="180" w:rightFromText="180" w:vertAnchor="text" w:tblpY="1"/>
        <w:tblOverlap w:val="never"/>
        <w:tblW w:w="0" w:type="auto"/>
        <w:tblLayout w:type="fixed"/>
        <w:tblLook w:val="04A0" w:firstRow="1" w:lastRow="0" w:firstColumn="1" w:lastColumn="0" w:noHBand="0" w:noVBand="1"/>
        <w:tblDescription w:val="Locally acquired COVID-19 cases in New Zealand."/>
      </w:tblPr>
      <w:tblGrid>
        <w:gridCol w:w="5240"/>
        <w:gridCol w:w="1701"/>
        <w:gridCol w:w="2126"/>
      </w:tblGrid>
      <w:tr w:rsidR="002F5E02" w:rsidRPr="002F5E02" w14:paraId="1A6AD677" w14:textId="77777777" w:rsidTr="009051AB">
        <w:trPr>
          <w:trHeight w:val="385"/>
          <w:tblHeader/>
        </w:trPr>
        <w:tc>
          <w:tcPr>
            <w:tcW w:w="5240" w:type="dxa"/>
            <w:tcBorders>
              <w:bottom w:val="single" w:sz="4" w:space="0" w:color="auto"/>
            </w:tcBorders>
            <w:shd w:val="clear" w:color="auto" w:fill="DBE5F1" w:themeFill="accent1" w:themeFillTint="33"/>
          </w:tcPr>
          <w:p w14:paraId="62724170" w14:textId="77777777" w:rsidR="00B211B6" w:rsidRPr="002F5E02" w:rsidRDefault="00B211B6" w:rsidP="00B211B6">
            <w:pPr>
              <w:spacing w:after="120"/>
              <w:rPr>
                <w:rFonts w:cs="Arial"/>
                <w:b/>
                <w:color w:val="auto"/>
                <w:szCs w:val="20"/>
                <w:lang w:val="en"/>
              </w:rPr>
            </w:pPr>
          </w:p>
        </w:tc>
        <w:tc>
          <w:tcPr>
            <w:tcW w:w="1701" w:type="dxa"/>
            <w:shd w:val="clear" w:color="auto" w:fill="DBE5F1" w:themeFill="accent1" w:themeFillTint="33"/>
          </w:tcPr>
          <w:p w14:paraId="5445587A" w14:textId="18FE1733" w:rsidR="00B211B6" w:rsidRPr="002F5E02" w:rsidRDefault="00343B8C" w:rsidP="009E7164">
            <w:pPr>
              <w:spacing w:after="120"/>
              <w:jc w:val="center"/>
              <w:rPr>
                <w:rFonts w:cs="Arial"/>
                <w:b/>
                <w:color w:val="auto"/>
                <w:szCs w:val="20"/>
                <w:lang w:val="en"/>
              </w:rPr>
            </w:pPr>
            <w:r w:rsidRPr="002F5E02">
              <w:rPr>
                <w:rFonts w:cs="Arial"/>
                <w:b/>
                <w:color w:val="auto"/>
                <w:szCs w:val="20"/>
                <w:lang w:val="en"/>
              </w:rPr>
              <w:t>Notification Date</w:t>
            </w:r>
          </w:p>
        </w:tc>
        <w:tc>
          <w:tcPr>
            <w:tcW w:w="2126" w:type="dxa"/>
            <w:shd w:val="clear" w:color="auto" w:fill="DBE5F1" w:themeFill="accent1" w:themeFillTint="33"/>
          </w:tcPr>
          <w:p w14:paraId="036024A7" w14:textId="77777777" w:rsidR="00B211B6" w:rsidRPr="002F5E02" w:rsidRDefault="00B211B6" w:rsidP="00B211B6">
            <w:pPr>
              <w:spacing w:after="120"/>
              <w:jc w:val="right"/>
              <w:rPr>
                <w:rFonts w:cs="Arial"/>
                <w:b/>
                <w:color w:val="auto"/>
                <w:szCs w:val="20"/>
                <w:lang w:val="en"/>
              </w:rPr>
            </w:pPr>
            <w:r w:rsidRPr="002F5E02">
              <w:rPr>
                <w:rFonts w:cs="Arial"/>
                <w:b/>
                <w:color w:val="auto"/>
                <w:szCs w:val="20"/>
                <w:lang w:val="en"/>
              </w:rPr>
              <w:t xml:space="preserve">Number of days </w:t>
            </w:r>
          </w:p>
        </w:tc>
      </w:tr>
      <w:tr w:rsidR="00E75D5E" w:rsidRPr="002F5E02" w14:paraId="5954DFDD" w14:textId="77777777" w:rsidTr="00D811E6">
        <w:trPr>
          <w:trHeight w:val="370"/>
        </w:trPr>
        <w:tc>
          <w:tcPr>
            <w:tcW w:w="5240" w:type="dxa"/>
            <w:tcBorders>
              <w:top w:val="single" w:sz="4" w:space="0" w:color="auto"/>
            </w:tcBorders>
          </w:tcPr>
          <w:p w14:paraId="0FB244C3" w14:textId="77777777" w:rsidR="00E75D5E" w:rsidRPr="002F5E02" w:rsidRDefault="00E75D5E" w:rsidP="00E75D5E">
            <w:pPr>
              <w:spacing w:after="120"/>
              <w:rPr>
                <w:rFonts w:cs="Arial"/>
                <w:color w:val="auto"/>
                <w:szCs w:val="20"/>
                <w:lang w:val="en"/>
              </w:rPr>
            </w:pPr>
            <w:r w:rsidRPr="002F5E02">
              <w:rPr>
                <w:color w:val="auto"/>
              </w:rPr>
              <w:t xml:space="preserve">Last locally acquired case </w:t>
            </w:r>
          </w:p>
        </w:tc>
        <w:tc>
          <w:tcPr>
            <w:tcW w:w="1701" w:type="dxa"/>
            <w:vAlign w:val="center"/>
          </w:tcPr>
          <w:p w14:paraId="4504A2CA" w14:textId="29A0452C" w:rsidR="00E75D5E" w:rsidRPr="00AA2159" w:rsidRDefault="00E75D5E" w:rsidP="00E75D5E">
            <w:pPr>
              <w:spacing w:after="120"/>
              <w:jc w:val="center"/>
              <w:rPr>
                <w:rFonts w:cs="Arial"/>
                <w:color w:val="FF0000"/>
                <w:szCs w:val="20"/>
                <w:lang w:val="en"/>
              </w:rPr>
            </w:pPr>
            <w:r w:rsidRPr="001D07D7">
              <w:rPr>
                <w:rFonts w:cs="Arial"/>
                <w:color w:val="FF0000"/>
                <w:lang w:val="en"/>
              </w:rPr>
              <w:t>17/02/21</w:t>
            </w:r>
          </w:p>
        </w:tc>
        <w:tc>
          <w:tcPr>
            <w:tcW w:w="2126" w:type="dxa"/>
            <w:vAlign w:val="center"/>
          </w:tcPr>
          <w:p w14:paraId="5DE5F0D4" w14:textId="4E1AA93C" w:rsidR="00E75D5E" w:rsidRPr="00AA2159" w:rsidRDefault="00E75D5E" w:rsidP="00E75D5E">
            <w:pPr>
              <w:spacing w:after="120"/>
              <w:jc w:val="center"/>
              <w:rPr>
                <w:rFonts w:cs="Arial"/>
                <w:color w:val="FF0000"/>
                <w:szCs w:val="20"/>
                <w:lang w:val="en"/>
              </w:rPr>
            </w:pPr>
            <w:r w:rsidRPr="001D07D7">
              <w:rPr>
                <w:rFonts w:cs="Arial"/>
                <w:color w:val="FF0000"/>
                <w:lang w:val="en"/>
              </w:rPr>
              <w:t>0</w:t>
            </w:r>
          </w:p>
        </w:tc>
      </w:tr>
      <w:tr w:rsidR="00E75D5E" w:rsidRPr="002F5E02" w14:paraId="5F4A4553" w14:textId="77777777" w:rsidTr="00D811E6">
        <w:trPr>
          <w:trHeight w:val="342"/>
        </w:trPr>
        <w:tc>
          <w:tcPr>
            <w:tcW w:w="5240" w:type="dxa"/>
          </w:tcPr>
          <w:p w14:paraId="281CFBE0" w14:textId="77777777" w:rsidR="00E75D5E" w:rsidRPr="002F5E02" w:rsidRDefault="00E75D5E" w:rsidP="00E75D5E">
            <w:pPr>
              <w:spacing w:after="120"/>
              <w:rPr>
                <w:rFonts w:cs="Arial"/>
                <w:color w:val="auto"/>
                <w:szCs w:val="20"/>
                <w:lang w:val="en"/>
              </w:rPr>
            </w:pPr>
            <w:r w:rsidRPr="002F5E02">
              <w:rPr>
                <w:color w:val="auto"/>
              </w:rPr>
              <w:t xml:space="preserve">Last locally acquired case of unknown source </w:t>
            </w:r>
          </w:p>
        </w:tc>
        <w:tc>
          <w:tcPr>
            <w:tcW w:w="1701" w:type="dxa"/>
            <w:vAlign w:val="center"/>
          </w:tcPr>
          <w:p w14:paraId="7AF78B00" w14:textId="46C0C143" w:rsidR="00E75D5E" w:rsidRPr="00B85810" w:rsidRDefault="00E75D5E" w:rsidP="00E75D5E">
            <w:pPr>
              <w:spacing w:after="120"/>
              <w:jc w:val="center"/>
              <w:rPr>
                <w:color w:val="FF0000"/>
                <w:sz w:val="20"/>
                <w:szCs w:val="20"/>
              </w:rPr>
            </w:pPr>
            <w:r w:rsidRPr="001D07D7">
              <w:rPr>
                <w:rFonts w:cs="Arial"/>
                <w:color w:val="FF0000"/>
                <w:lang w:val="en"/>
              </w:rPr>
              <w:t>13/02/21*</w:t>
            </w:r>
          </w:p>
        </w:tc>
        <w:tc>
          <w:tcPr>
            <w:tcW w:w="2126" w:type="dxa"/>
            <w:vAlign w:val="center"/>
          </w:tcPr>
          <w:p w14:paraId="059C7BE9" w14:textId="309E6F94" w:rsidR="00E75D5E" w:rsidRPr="00B85810" w:rsidRDefault="00E75D5E" w:rsidP="00E75D5E">
            <w:pPr>
              <w:spacing w:after="120"/>
              <w:jc w:val="center"/>
              <w:rPr>
                <w:color w:val="FF0000"/>
                <w:sz w:val="20"/>
                <w:szCs w:val="20"/>
              </w:rPr>
            </w:pPr>
            <w:r w:rsidRPr="001D07D7">
              <w:rPr>
                <w:rFonts w:cs="Arial"/>
                <w:color w:val="FF0000"/>
                <w:lang w:val="en"/>
              </w:rPr>
              <w:t>3</w:t>
            </w:r>
          </w:p>
        </w:tc>
      </w:tr>
    </w:tbl>
    <w:p w14:paraId="2D375A72" w14:textId="150C0124" w:rsidR="00E75D5E" w:rsidRPr="001D07D7" w:rsidRDefault="00B211B6" w:rsidP="00E75D5E">
      <w:pPr>
        <w:rPr>
          <w:rFonts w:cs="Arial"/>
          <w:color w:val="FF0000"/>
          <w:sz w:val="20"/>
          <w:szCs w:val="20"/>
        </w:rPr>
      </w:pPr>
      <w:r w:rsidRPr="002F5E02">
        <w:rPr>
          <w:color w:val="auto"/>
          <w:sz w:val="20"/>
          <w:szCs w:val="20"/>
          <w:lang w:val="en"/>
        </w:rPr>
        <w:br w:type="textWrapping" w:clear="all"/>
      </w:r>
      <w:r w:rsidR="00E75D5E" w:rsidRPr="001D07D7">
        <w:rPr>
          <w:rFonts w:cs="Arial"/>
          <w:color w:val="FF0000"/>
          <w:sz w:val="20"/>
          <w:szCs w:val="20"/>
        </w:rPr>
        <w:t>*There is no identified source of infection for Case A at 17 February 2021, and therefore, this constitutes a c</w:t>
      </w:r>
      <w:r w:rsidR="00E75D5E">
        <w:rPr>
          <w:rFonts w:cs="Arial"/>
          <w:color w:val="FF0000"/>
          <w:sz w:val="20"/>
          <w:szCs w:val="20"/>
        </w:rPr>
        <w:t xml:space="preserve">ase of unknown source. We note </w:t>
      </w:r>
      <w:r w:rsidR="00E75D5E" w:rsidRPr="001D07D7">
        <w:rPr>
          <w:rFonts w:cs="Arial"/>
          <w:color w:val="FF0000"/>
          <w:sz w:val="20"/>
          <w:szCs w:val="20"/>
        </w:rPr>
        <w:t xml:space="preserve">the New Zealand Ministry of Health has not yet classified this case as the last locally acquired of unknown source in New Zealand. </w:t>
      </w:r>
    </w:p>
    <w:p w14:paraId="5AA0F895" w14:textId="42FBF1FC" w:rsidR="0007741B" w:rsidRDefault="0007741B" w:rsidP="009E7164">
      <w:pPr>
        <w:rPr>
          <w:noProof/>
          <w:lang w:eastAsia="en-AU"/>
        </w:rPr>
      </w:pPr>
    </w:p>
    <w:p w14:paraId="733063C6" w14:textId="4FBD9634" w:rsidR="00872F1C" w:rsidRDefault="00872F1C" w:rsidP="0007741B">
      <w:pPr>
        <w:pStyle w:val="BodyText"/>
        <w:rPr>
          <w:noProof/>
          <w:lang w:eastAsia="en-AU"/>
        </w:rPr>
      </w:pPr>
    </w:p>
    <w:p w14:paraId="37382E45" w14:textId="2571407B" w:rsidR="00872F1C" w:rsidRDefault="00872F1C" w:rsidP="0007741B">
      <w:pPr>
        <w:pStyle w:val="BodyText"/>
        <w:rPr>
          <w:noProof/>
          <w:lang w:eastAsia="en-AU"/>
        </w:rPr>
      </w:pPr>
    </w:p>
    <w:p w14:paraId="04C380B2" w14:textId="77777777" w:rsidR="00872F1C" w:rsidRDefault="00872F1C" w:rsidP="0007741B">
      <w:pPr>
        <w:pStyle w:val="BodyText"/>
        <w:rPr>
          <w:noProof/>
          <w:lang w:eastAsia="en-AU"/>
        </w:rPr>
      </w:pPr>
    </w:p>
    <w:p w14:paraId="6C6D601E" w14:textId="0343AA64" w:rsidR="00726BE0" w:rsidRDefault="00726BE0" w:rsidP="0007741B">
      <w:pPr>
        <w:pStyle w:val="BodyText"/>
        <w:rPr>
          <w:color w:val="auto"/>
        </w:rPr>
      </w:pPr>
    </w:p>
    <w:p w14:paraId="55EC7ADF" w14:textId="161FE4A6" w:rsidR="003077BF" w:rsidRDefault="003077BF" w:rsidP="0007741B">
      <w:pPr>
        <w:pStyle w:val="BodyText"/>
        <w:rPr>
          <w:color w:val="auto"/>
        </w:rPr>
      </w:pPr>
    </w:p>
    <w:p w14:paraId="609376D7" w14:textId="77777777" w:rsidR="003077BF" w:rsidRDefault="003077BF" w:rsidP="0007741B">
      <w:pPr>
        <w:pStyle w:val="BodyText"/>
        <w:rPr>
          <w:color w:val="auto"/>
        </w:rPr>
      </w:pPr>
    </w:p>
    <w:p w14:paraId="3B0D3FA2" w14:textId="7FB1631C" w:rsidR="00A1790B" w:rsidRDefault="008222E4" w:rsidP="0007741B">
      <w:pPr>
        <w:pStyle w:val="BodyText"/>
        <w:rPr>
          <w:color w:val="auto"/>
        </w:rPr>
      </w:pPr>
      <w:r>
        <w:rPr>
          <w:noProof/>
          <w:color w:val="auto"/>
          <w:lang w:eastAsia="en-AU"/>
        </w:rPr>
        <w:drawing>
          <wp:inline distT="0" distB="0" distL="0" distR="0" wp14:anchorId="533435A9" wp14:editId="7DA3A630">
            <wp:extent cx="1873250" cy="1041422"/>
            <wp:effectExtent l="0" t="0" r="0" b="6350"/>
            <wp:docPr id="1" name="Picture 1" descr="signatur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s signature correct.jpg"/>
                    <pic:cNvPicPr/>
                  </pic:nvPicPr>
                  <pic:blipFill>
                    <a:blip r:embed="rId11">
                      <a:extLst>
                        <a:ext uri="{28A0092B-C50C-407E-A947-70E740481C1C}">
                          <a14:useLocalDpi xmlns:a14="http://schemas.microsoft.com/office/drawing/2010/main" val="0"/>
                        </a:ext>
                      </a:extLst>
                    </a:blip>
                    <a:stretch>
                      <a:fillRect/>
                    </a:stretch>
                  </pic:blipFill>
                  <pic:spPr>
                    <a:xfrm>
                      <a:off x="0" y="0"/>
                      <a:ext cx="1893324" cy="1052582"/>
                    </a:xfrm>
                    <a:prstGeom prst="rect">
                      <a:avLst/>
                    </a:prstGeom>
                  </pic:spPr>
                </pic:pic>
              </a:graphicData>
            </a:graphic>
          </wp:inline>
        </w:drawing>
      </w:r>
    </w:p>
    <w:p w14:paraId="064EF083" w14:textId="29F6DE46" w:rsidR="00B211B6" w:rsidRPr="002F5E02" w:rsidRDefault="000A5B04" w:rsidP="00B211B6">
      <w:pPr>
        <w:spacing w:after="0"/>
        <w:rPr>
          <w:color w:val="auto"/>
        </w:rPr>
      </w:pPr>
      <w:r>
        <w:rPr>
          <w:color w:val="auto"/>
        </w:rPr>
        <w:t>C</w:t>
      </w:r>
      <w:r w:rsidR="00B211B6" w:rsidRPr="002F5E02">
        <w:rPr>
          <w:color w:val="auto"/>
        </w:rPr>
        <w:t>hief Medical Officer</w:t>
      </w:r>
    </w:p>
    <w:p w14:paraId="1D6D9015" w14:textId="2099B067" w:rsidR="00B211B6" w:rsidRPr="002F5E02" w:rsidRDefault="00B211B6" w:rsidP="00B211B6">
      <w:pPr>
        <w:spacing w:after="0"/>
        <w:rPr>
          <w:color w:val="auto"/>
        </w:rPr>
      </w:pPr>
      <w:r w:rsidRPr="002F5E02">
        <w:rPr>
          <w:color w:val="auto"/>
        </w:rPr>
        <w:lastRenderedPageBreak/>
        <w:t xml:space="preserve">Professor </w:t>
      </w:r>
      <w:r w:rsidR="00872F1C">
        <w:rPr>
          <w:color w:val="auto"/>
        </w:rPr>
        <w:t xml:space="preserve">Paul Kelly </w:t>
      </w:r>
    </w:p>
    <w:p w14:paraId="0F3D3BD7" w14:textId="72F2D738" w:rsidR="00365261" w:rsidRPr="000F073C" w:rsidRDefault="0084065A" w:rsidP="00ED67DE">
      <w:pPr>
        <w:spacing w:after="0"/>
        <w:rPr>
          <w:color w:val="FF0000"/>
        </w:rPr>
      </w:pPr>
      <w:r w:rsidRPr="000F073C">
        <w:rPr>
          <w:noProof/>
          <w:color w:val="FF0000"/>
          <w:lang w:eastAsia="en-AU"/>
        </w:rPr>
        <mc:AlternateContent>
          <mc:Choice Requires="wps">
            <w:drawing>
              <wp:anchor distT="0" distB="0" distL="114300" distR="114300" simplePos="0" relativeHeight="251658240" behindDoc="0" locked="0" layoutInCell="1" allowOverlap="1" wp14:anchorId="3B2D6226" wp14:editId="571B2ABD">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776782E3" w14:textId="77777777" w:rsidR="00FF251E" w:rsidRPr="0084065A" w:rsidRDefault="00FF251E"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5915312E" w14:textId="77777777" w:rsidR="00FF251E" w:rsidRDefault="00FF2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D6226" id="_x0000_t202" coordsize="21600,21600" o:spt="202" path="m,l,21600r21600,l21600,xe">
                <v:stroke joinstyle="miter"/>
                <v:path gradientshapeok="t" o:connecttype="rect"/>
              </v:shapetype>
              <v:shape id="Text Box 3" o:spid="_x0000_s1026" type="#_x0000_t202" style="position:absolute;margin-left:497.7pt;margin-top:5.15pt;width:54.45pt;height:12.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776782E3" w14:textId="77777777" w:rsidR="00FF251E" w:rsidRPr="0084065A" w:rsidRDefault="00FF251E"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5915312E" w14:textId="77777777" w:rsidR="00FF251E" w:rsidRDefault="00FF251E"/>
                  </w:txbxContent>
                </v:textbox>
              </v:shape>
            </w:pict>
          </mc:Fallback>
        </mc:AlternateContent>
      </w:r>
      <w:r w:rsidR="00755C1E">
        <w:rPr>
          <w:color w:val="FF0000"/>
        </w:rPr>
        <w:t>1</w:t>
      </w:r>
      <w:r w:rsidR="008222E4">
        <w:rPr>
          <w:color w:val="FF0000"/>
        </w:rPr>
        <w:t>8</w:t>
      </w:r>
      <w:r w:rsidR="00521CFC">
        <w:rPr>
          <w:color w:val="FF0000"/>
        </w:rPr>
        <w:t xml:space="preserve"> Febr</w:t>
      </w:r>
      <w:r w:rsidR="00A1790B">
        <w:rPr>
          <w:color w:val="FF0000"/>
        </w:rPr>
        <w:t>uary 2021</w:t>
      </w:r>
    </w:p>
    <w:sectPr w:rsidR="00365261" w:rsidRPr="000F073C" w:rsidSect="00940B15">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6AD3C" w14:textId="77777777" w:rsidR="00FF251E" w:rsidRDefault="00FF251E" w:rsidP="003F5DCC">
      <w:pPr>
        <w:spacing w:after="0" w:line="240" w:lineRule="auto"/>
      </w:pPr>
      <w:r>
        <w:separator/>
      </w:r>
    </w:p>
  </w:endnote>
  <w:endnote w:type="continuationSeparator" w:id="0">
    <w:p w14:paraId="78ACD9FD" w14:textId="77777777" w:rsidR="00FF251E" w:rsidRDefault="00FF251E" w:rsidP="003F5DCC">
      <w:pPr>
        <w:spacing w:after="0" w:line="240" w:lineRule="auto"/>
      </w:pPr>
      <w:r>
        <w:continuationSeparator/>
      </w:r>
    </w:p>
  </w:endnote>
  <w:endnote w:type="continuationNotice" w:id="1">
    <w:p w14:paraId="4E8529DD" w14:textId="77777777" w:rsidR="00FF251E" w:rsidRDefault="00FF2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AA410" w14:textId="33C74830" w:rsidR="00FF251E" w:rsidRPr="006A4BBC" w:rsidRDefault="00FF251E"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736F2B">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20BEC" w14:textId="77777777" w:rsidR="00FF251E" w:rsidRDefault="00FF251E" w:rsidP="003F5DCC">
      <w:pPr>
        <w:spacing w:after="0" w:line="240" w:lineRule="auto"/>
      </w:pPr>
      <w:r>
        <w:separator/>
      </w:r>
    </w:p>
  </w:footnote>
  <w:footnote w:type="continuationSeparator" w:id="0">
    <w:p w14:paraId="1AF54A6B" w14:textId="77777777" w:rsidR="00FF251E" w:rsidRDefault="00FF251E" w:rsidP="003F5DCC">
      <w:pPr>
        <w:spacing w:after="0" w:line="240" w:lineRule="auto"/>
      </w:pPr>
      <w:r>
        <w:continuationSeparator/>
      </w:r>
    </w:p>
  </w:footnote>
  <w:footnote w:type="continuationNotice" w:id="1">
    <w:p w14:paraId="3451C3F9" w14:textId="77777777" w:rsidR="00FF251E" w:rsidRDefault="00FF251E">
      <w:pPr>
        <w:spacing w:after="0" w:line="240" w:lineRule="auto"/>
      </w:pPr>
    </w:p>
  </w:footnote>
  <w:footnote w:id="2">
    <w:p w14:paraId="65329006" w14:textId="3F057D7C" w:rsidR="007A46D6" w:rsidRPr="009E7164" w:rsidRDefault="007A46D6">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https://www.health.govt.nz/our-work/diseases-and-conditions/covid-19-novel-coronavirus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0C24" w14:textId="77777777" w:rsidR="00FF251E" w:rsidRDefault="00FF251E"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1CB3CC" w14:textId="77777777" w:rsidR="00FF251E" w:rsidRDefault="00FF251E"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0217" w14:textId="77777777" w:rsidR="00FF251E" w:rsidRDefault="00FF251E" w:rsidP="002376FB">
    <w:pPr>
      <w:pStyle w:val="Header"/>
      <w:ind w:firstLine="360"/>
    </w:pPr>
    <w:r>
      <w:rPr>
        <w:noProof/>
        <w:lang w:eastAsia="en-AU"/>
      </w:rPr>
      <w:drawing>
        <wp:anchor distT="0" distB="0" distL="114300" distR="114300" simplePos="0" relativeHeight="251656192" behindDoc="1" locked="1" layoutInCell="1" allowOverlap="1" wp14:anchorId="75E9EE15" wp14:editId="2A5F940A">
          <wp:simplePos x="0" y="0"/>
          <wp:positionH relativeFrom="page">
            <wp:align>left</wp:align>
          </wp:positionH>
          <wp:positionV relativeFrom="page">
            <wp:align>top</wp:align>
          </wp:positionV>
          <wp:extent cx="7657200" cy="10699200"/>
          <wp:effectExtent l="0" t="0" r="1270" b="6985"/>
          <wp:wrapNone/>
          <wp:docPr id="13" name="Picture 1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D4C7B" w14:textId="77777777" w:rsidR="00FF251E" w:rsidRDefault="00736F2B" w:rsidP="002376FB">
    <w:pPr>
      <w:pStyle w:val="Header"/>
      <w:ind w:right="360"/>
    </w:pPr>
    <w:sdt>
      <w:sdtPr>
        <w:id w:val="2133900075"/>
        <w:docPartObj>
          <w:docPartGallery w:val="Watermarks"/>
          <w:docPartUnique/>
        </w:docPartObj>
      </w:sdtPr>
      <w:sdtEndPr/>
      <w:sdtContent>
        <w:r>
          <w:rPr>
            <w:noProof/>
            <w:lang w:val="en-US"/>
          </w:rPr>
          <w:pict w14:anchorId="2FBF1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FF251E">
      <w:rPr>
        <w:noProof/>
        <w:lang w:eastAsia="en-AU"/>
      </w:rPr>
      <w:drawing>
        <wp:anchor distT="0" distB="0" distL="114300" distR="114300" simplePos="0" relativeHeight="251658240" behindDoc="0" locked="0" layoutInCell="1" allowOverlap="1" wp14:anchorId="5145035A" wp14:editId="5F9E8390">
          <wp:simplePos x="0" y="0"/>
          <wp:positionH relativeFrom="column">
            <wp:posOffset>-875030</wp:posOffset>
          </wp:positionH>
          <wp:positionV relativeFrom="paragraph">
            <wp:posOffset>-243840</wp:posOffset>
          </wp:positionV>
          <wp:extent cx="7698353" cy="10889445"/>
          <wp:effectExtent l="0" t="0" r="0" b="7620"/>
          <wp:wrapNone/>
          <wp:docPr id="14" name="Picture 1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51E">
      <w:rPr>
        <w:noProof/>
        <w:lang w:eastAsia="en-AU"/>
      </w:rPr>
      <w:drawing>
        <wp:anchor distT="0" distB="0" distL="114300" distR="114300" simplePos="0" relativeHeight="251657216" behindDoc="0" locked="0" layoutInCell="1" allowOverlap="1" wp14:anchorId="5F2A0C6B" wp14:editId="6B2B4E4B">
          <wp:simplePos x="0" y="0"/>
          <wp:positionH relativeFrom="column">
            <wp:posOffset>-1028700</wp:posOffset>
          </wp:positionH>
          <wp:positionV relativeFrom="paragraph">
            <wp:posOffset>-395605</wp:posOffset>
          </wp:positionV>
          <wp:extent cx="7698353" cy="10889445"/>
          <wp:effectExtent l="0" t="0" r="0" b="7620"/>
          <wp:wrapNone/>
          <wp:docPr id="15" name="Picture 15"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979"/>
    <w:multiLevelType w:val="hybridMultilevel"/>
    <w:tmpl w:val="B0C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472F6"/>
    <w:multiLevelType w:val="hybridMultilevel"/>
    <w:tmpl w:val="44D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B6077"/>
    <w:multiLevelType w:val="hybridMultilevel"/>
    <w:tmpl w:val="E4F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22492"/>
    <w:multiLevelType w:val="hybridMultilevel"/>
    <w:tmpl w:val="2E3A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371D9A"/>
    <w:multiLevelType w:val="hybridMultilevel"/>
    <w:tmpl w:val="8DC68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3134FE"/>
    <w:multiLevelType w:val="hybridMultilevel"/>
    <w:tmpl w:val="5BC8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658133E"/>
    <w:multiLevelType w:val="hybridMultilevel"/>
    <w:tmpl w:val="AC2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A272E6"/>
    <w:multiLevelType w:val="hybridMultilevel"/>
    <w:tmpl w:val="475C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5E1A56"/>
    <w:multiLevelType w:val="hybridMultilevel"/>
    <w:tmpl w:val="07FC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12370C"/>
    <w:multiLevelType w:val="hybridMultilevel"/>
    <w:tmpl w:val="1C7C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EC0B38"/>
    <w:multiLevelType w:val="hybridMultilevel"/>
    <w:tmpl w:val="1D8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A14EC1"/>
    <w:multiLevelType w:val="hybridMultilevel"/>
    <w:tmpl w:val="2A58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953372"/>
    <w:multiLevelType w:val="hybridMultilevel"/>
    <w:tmpl w:val="CF1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0"/>
  </w:num>
  <w:num w:numId="4">
    <w:abstractNumId w:val="5"/>
  </w:num>
  <w:num w:numId="5">
    <w:abstractNumId w:val="14"/>
  </w:num>
  <w:num w:numId="6">
    <w:abstractNumId w:val="1"/>
  </w:num>
  <w:num w:numId="7">
    <w:abstractNumId w:val="9"/>
  </w:num>
  <w:num w:numId="8">
    <w:abstractNumId w:val="19"/>
  </w:num>
  <w:num w:numId="9">
    <w:abstractNumId w:val="12"/>
  </w:num>
  <w:num w:numId="10">
    <w:abstractNumId w:val="3"/>
  </w:num>
  <w:num w:numId="11">
    <w:abstractNumId w:val="7"/>
  </w:num>
  <w:num w:numId="12">
    <w:abstractNumId w:val="13"/>
  </w:num>
  <w:num w:numId="13">
    <w:abstractNumId w:val="17"/>
  </w:num>
  <w:num w:numId="14">
    <w:abstractNumId w:val="0"/>
  </w:num>
  <w:num w:numId="15">
    <w:abstractNumId w:val="11"/>
  </w:num>
  <w:num w:numId="16">
    <w:abstractNumId w:val="22"/>
  </w:num>
  <w:num w:numId="17">
    <w:abstractNumId w:val="16"/>
  </w:num>
  <w:num w:numId="18">
    <w:abstractNumId w:val="21"/>
  </w:num>
  <w:num w:numId="19">
    <w:abstractNumId w:val="2"/>
  </w:num>
  <w:num w:numId="20">
    <w:abstractNumId w:val="18"/>
  </w:num>
  <w:num w:numId="21">
    <w:abstractNumId w:val="10"/>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C"/>
    <w:rsid w:val="00014341"/>
    <w:rsid w:val="00025ED0"/>
    <w:rsid w:val="0002708E"/>
    <w:rsid w:val="00040026"/>
    <w:rsid w:val="0007741B"/>
    <w:rsid w:val="000860B8"/>
    <w:rsid w:val="00097D19"/>
    <w:rsid w:val="000A5B04"/>
    <w:rsid w:val="000C1DBC"/>
    <w:rsid w:val="000F073C"/>
    <w:rsid w:val="000F5BB7"/>
    <w:rsid w:val="000F7501"/>
    <w:rsid w:val="0010335F"/>
    <w:rsid w:val="00115D98"/>
    <w:rsid w:val="00147564"/>
    <w:rsid w:val="001569AD"/>
    <w:rsid w:val="00170292"/>
    <w:rsid w:val="0018092F"/>
    <w:rsid w:val="001814A0"/>
    <w:rsid w:val="001843DC"/>
    <w:rsid w:val="001846B8"/>
    <w:rsid w:val="00185E09"/>
    <w:rsid w:val="00191F81"/>
    <w:rsid w:val="00192EC7"/>
    <w:rsid w:val="001C2581"/>
    <w:rsid w:val="001C62FF"/>
    <w:rsid w:val="001D2FEF"/>
    <w:rsid w:val="001E047B"/>
    <w:rsid w:val="001E0E4A"/>
    <w:rsid w:val="002063C3"/>
    <w:rsid w:val="002205B1"/>
    <w:rsid w:val="002209EC"/>
    <w:rsid w:val="002210D5"/>
    <w:rsid w:val="00227CE4"/>
    <w:rsid w:val="002329E8"/>
    <w:rsid w:val="002376FB"/>
    <w:rsid w:val="0024135B"/>
    <w:rsid w:val="00241BE8"/>
    <w:rsid w:val="002467A1"/>
    <w:rsid w:val="00256C08"/>
    <w:rsid w:val="0026125D"/>
    <w:rsid w:val="002630ED"/>
    <w:rsid w:val="00263F02"/>
    <w:rsid w:val="002705D3"/>
    <w:rsid w:val="00270AD7"/>
    <w:rsid w:val="00276092"/>
    <w:rsid w:val="00284A3B"/>
    <w:rsid w:val="002B794D"/>
    <w:rsid w:val="002D0DAD"/>
    <w:rsid w:val="002E7AF7"/>
    <w:rsid w:val="002F5E02"/>
    <w:rsid w:val="00300221"/>
    <w:rsid w:val="00304E16"/>
    <w:rsid w:val="003077BF"/>
    <w:rsid w:val="003320C4"/>
    <w:rsid w:val="00337760"/>
    <w:rsid w:val="00343B8C"/>
    <w:rsid w:val="003555FE"/>
    <w:rsid w:val="00365261"/>
    <w:rsid w:val="0038500F"/>
    <w:rsid w:val="00390B4D"/>
    <w:rsid w:val="00391355"/>
    <w:rsid w:val="003A4DBC"/>
    <w:rsid w:val="003D22B2"/>
    <w:rsid w:val="003E1102"/>
    <w:rsid w:val="003F25FE"/>
    <w:rsid w:val="003F5DCC"/>
    <w:rsid w:val="004009C1"/>
    <w:rsid w:val="0040157F"/>
    <w:rsid w:val="00401F86"/>
    <w:rsid w:val="00416B6A"/>
    <w:rsid w:val="004229E8"/>
    <w:rsid w:val="0043061F"/>
    <w:rsid w:val="00433958"/>
    <w:rsid w:val="00470665"/>
    <w:rsid w:val="00472E2A"/>
    <w:rsid w:val="004A0E1F"/>
    <w:rsid w:val="004C3A6B"/>
    <w:rsid w:val="004C49F6"/>
    <w:rsid w:val="004E1B97"/>
    <w:rsid w:val="004F6B1F"/>
    <w:rsid w:val="0050312A"/>
    <w:rsid w:val="005040A5"/>
    <w:rsid w:val="00511B99"/>
    <w:rsid w:val="00521CFC"/>
    <w:rsid w:val="00542E6B"/>
    <w:rsid w:val="005536FF"/>
    <w:rsid w:val="005572F4"/>
    <w:rsid w:val="00567805"/>
    <w:rsid w:val="00581AE2"/>
    <w:rsid w:val="0058410E"/>
    <w:rsid w:val="00596341"/>
    <w:rsid w:val="005B62AD"/>
    <w:rsid w:val="005F201D"/>
    <w:rsid w:val="006060C4"/>
    <w:rsid w:val="0062366B"/>
    <w:rsid w:val="006241BE"/>
    <w:rsid w:val="00662616"/>
    <w:rsid w:val="006850C5"/>
    <w:rsid w:val="00685E34"/>
    <w:rsid w:val="0069566E"/>
    <w:rsid w:val="006968FA"/>
    <w:rsid w:val="006A2F59"/>
    <w:rsid w:val="006B123D"/>
    <w:rsid w:val="006B229F"/>
    <w:rsid w:val="006B5542"/>
    <w:rsid w:val="006B63B0"/>
    <w:rsid w:val="006C1A96"/>
    <w:rsid w:val="006C75E4"/>
    <w:rsid w:val="006C79C8"/>
    <w:rsid w:val="006D5BC7"/>
    <w:rsid w:val="006F1695"/>
    <w:rsid w:val="00726BE0"/>
    <w:rsid w:val="00736F2B"/>
    <w:rsid w:val="0074789B"/>
    <w:rsid w:val="00755C1E"/>
    <w:rsid w:val="007575E7"/>
    <w:rsid w:val="007702C5"/>
    <w:rsid w:val="00771686"/>
    <w:rsid w:val="007A46D6"/>
    <w:rsid w:val="007A6C8A"/>
    <w:rsid w:val="007C0E67"/>
    <w:rsid w:val="0080501F"/>
    <w:rsid w:val="008112D6"/>
    <w:rsid w:val="00813BF4"/>
    <w:rsid w:val="008222E4"/>
    <w:rsid w:val="00822CFB"/>
    <w:rsid w:val="00827705"/>
    <w:rsid w:val="0084065A"/>
    <w:rsid w:val="00872F1C"/>
    <w:rsid w:val="00881BE8"/>
    <w:rsid w:val="00887D60"/>
    <w:rsid w:val="00894401"/>
    <w:rsid w:val="008A2FD8"/>
    <w:rsid w:val="008A7DD1"/>
    <w:rsid w:val="008B05E5"/>
    <w:rsid w:val="008B1D87"/>
    <w:rsid w:val="008B5A8F"/>
    <w:rsid w:val="009051AB"/>
    <w:rsid w:val="00940B15"/>
    <w:rsid w:val="00942848"/>
    <w:rsid w:val="0095330F"/>
    <w:rsid w:val="00955515"/>
    <w:rsid w:val="00957B8A"/>
    <w:rsid w:val="00964674"/>
    <w:rsid w:val="009A175F"/>
    <w:rsid w:val="009B1C8A"/>
    <w:rsid w:val="009C4B3A"/>
    <w:rsid w:val="009C7680"/>
    <w:rsid w:val="009D3C34"/>
    <w:rsid w:val="009D6DEB"/>
    <w:rsid w:val="009E5E2A"/>
    <w:rsid w:val="009E7164"/>
    <w:rsid w:val="00A05D52"/>
    <w:rsid w:val="00A1790B"/>
    <w:rsid w:val="00A24237"/>
    <w:rsid w:val="00A516A0"/>
    <w:rsid w:val="00A6047A"/>
    <w:rsid w:val="00A611FF"/>
    <w:rsid w:val="00A62AF8"/>
    <w:rsid w:val="00A64036"/>
    <w:rsid w:val="00A845B5"/>
    <w:rsid w:val="00AA2159"/>
    <w:rsid w:val="00AC2072"/>
    <w:rsid w:val="00AD0165"/>
    <w:rsid w:val="00AD68CF"/>
    <w:rsid w:val="00AF38A0"/>
    <w:rsid w:val="00B00B16"/>
    <w:rsid w:val="00B211B6"/>
    <w:rsid w:val="00B2382E"/>
    <w:rsid w:val="00B279CB"/>
    <w:rsid w:val="00B365FB"/>
    <w:rsid w:val="00B377B6"/>
    <w:rsid w:val="00B47C40"/>
    <w:rsid w:val="00B63EAA"/>
    <w:rsid w:val="00B67406"/>
    <w:rsid w:val="00B77066"/>
    <w:rsid w:val="00B83628"/>
    <w:rsid w:val="00B85810"/>
    <w:rsid w:val="00B867A8"/>
    <w:rsid w:val="00B968C7"/>
    <w:rsid w:val="00BA274A"/>
    <w:rsid w:val="00BA2E0E"/>
    <w:rsid w:val="00BA525E"/>
    <w:rsid w:val="00BB0833"/>
    <w:rsid w:val="00BC1ACA"/>
    <w:rsid w:val="00BC66AD"/>
    <w:rsid w:val="00BC786F"/>
    <w:rsid w:val="00BF6D6F"/>
    <w:rsid w:val="00C31BB8"/>
    <w:rsid w:val="00C44F9D"/>
    <w:rsid w:val="00C45B64"/>
    <w:rsid w:val="00C91BD6"/>
    <w:rsid w:val="00CC47E8"/>
    <w:rsid w:val="00CC4C1B"/>
    <w:rsid w:val="00CF14FC"/>
    <w:rsid w:val="00CF5CC0"/>
    <w:rsid w:val="00D01F3D"/>
    <w:rsid w:val="00D0327A"/>
    <w:rsid w:val="00D23407"/>
    <w:rsid w:val="00D35673"/>
    <w:rsid w:val="00D415AA"/>
    <w:rsid w:val="00D4409E"/>
    <w:rsid w:val="00D504C8"/>
    <w:rsid w:val="00D52A83"/>
    <w:rsid w:val="00D72BB6"/>
    <w:rsid w:val="00D75434"/>
    <w:rsid w:val="00D80F63"/>
    <w:rsid w:val="00D811E6"/>
    <w:rsid w:val="00D857EA"/>
    <w:rsid w:val="00DB1DD4"/>
    <w:rsid w:val="00DC55C7"/>
    <w:rsid w:val="00DC7086"/>
    <w:rsid w:val="00DE1D7A"/>
    <w:rsid w:val="00E025DA"/>
    <w:rsid w:val="00E11B80"/>
    <w:rsid w:val="00E40EED"/>
    <w:rsid w:val="00E421D6"/>
    <w:rsid w:val="00E47B8E"/>
    <w:rsid w:val="00E66E74"/>
    <w:rsid w:val="00E75D5E"/>
    <w:rsid w:val="00E80445"/>
    <w:rsid w:val="00E820A3"/>
    <w:rsid w:val="00E83222"/>
    <w:rsid w:val="00EA1ED2"/>
    <w:rsid w:val="00EB15C1"/>
    <w:rsid w:val="00EB4ECF"/>
    <w:rsid w:val="00EC1E77"/>
    <w:rsid w:val="00EC43AB"/>
    <w:rsid w:val="00ED67DE"/>
    <w:rsid w:val="00EF3FD8"/>
    <w:rsid w:val="00F057DB"/>
    <w:rsid w:val="00F10259"/>
    <w:rsid w:val="00F102EE"/>
    <w:rsid w:val="00F13CB4"/>
    <w:rsid w:val="00F13DFA"/>
    <w:rsid w:val="00F1508F"/>
    <w:rsid w:val="00F503F4"/>
    <w:rsid w:val="00F60D81"/>
    <w:rsid w:val="00F75E48"/>
    <w:rsid w:val="00F85146"/>
    <w:rsid w:val="00FA20EC"/>
    <w:rsid w:val="00FA4745"/>
    <w:rsid w:val="00FA677D"/>
    <w:rsid w:val="00FD4B34"/>
    <w:rsid w:val="00FD57C2"/>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F82716"/>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B211B6"/>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B211B6"/>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3.xml><?xml version="1.0" encoding="utf-8"?>
<ds:datastoreItem xmlns:ds="http://schemas.openxmlformats.org/officeDocument/2006/customXml" ds:itemID="{B7A2CDD0-89BB-43F4-973D-60F7E5C2F50A}">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244610E-925F-430B-ABED-77BF1951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2531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5 November 2020</dc:title>
  <dc:subject>Communicable diseases; Emergency health management; Travel health</dc:subject>
  <dc:creator>Australian Government Department of Health</dc:creator>
  <cp:keywords>coronavirus; covid-19; statistics; NZ</cp:keywords>
  <dc:description/>
  <cp:lastModifiedBy>EDGE, Felicity</cp:lastModifiedBy>
  <cp:revision>2</cp:revision>
  <cp:lastPrinted>2021-02-18T22:17:00Z</cp:lastPrinted>
  <dcterms:created xsi:type="dcterms:W3CDTF">2021-02-18T23:13:00Z</dcterms:created>
  <dcterms:modified xsi:type="dcterms:W3CDTF">2021-02-18T23:13:00Z</dcterms:modified>
  <cp:category>coronavirus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