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B80" w:rsidRPr="00F37D67" w:rsidRDefault="00E44B80" w:rsidP="00E44B80">
      <w:pPr>
        <w:jc w:val="center"/>
        <w:rPr>
          <w:rFonts w:cstheme="minorHAnsi"/>
          <w:b/>
          <w:szCs w:val="20"/>
        </w:rPr>
      </w:pPr>
      <w:bookmarkStart w:id="0" w:name="_GoBack"/>
      <w:bookmarkEnd w:id="0"/>
      <w:r w:rsidRPr="00F37D67">
        <w:rPr>
          <w:rFonts w:cstheme="minorHAnsi"/>
          <w:b/>
          <w:noProof/>
          <w:szCs w:val="20"/>
          <w:lang w:eastAsia="en-AU"/>
        </w:rPr>
        <w:drawing>
          <wp:inline distT="0" distB="0" distL="0" distR="0" wp14:anchorId="3712ADFF" wp14:editId="62A9DFB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7D471D" w:rsidRPr="00F37D67" w:rsidRDefault="007D471D" w:rsidP="00216291">
      <w:pPr>
        <w:pStyle w:val="Title"/>
        <w:spacing w:before="2400"/>
        <w:rPr>
          <w:rFonts w:asciiTheme="minorHAnsi" w:hAnsiTheme="minorHAnsi" w:cstheme="minorHAnsi"/>
          <w:color w:val="000000" w:themeColor="text1"/>
        </w:rPr>
      </w:pPr>
    </w:p>
    <w:p w:rsidR="008B2610" w:rsidRPr="00F37D67" w:rsidRDefault="00F37D67" w:rsidP="007D471D">
      <w:pPr>
        <w:pStyle w:val="Title"/>
        <w:spacing w:before="360"/>
        <w:rPr>
          <w:rFonts w:asciiTheme="minorHAnsi" w:hAnsiTheme="minorHAnsi" w:cstheme="minorHAnsi"/>
          <w:color w:val="000000" w:themeColor="text1"/>
        </w:rPr>
      </w:pPr>
      <w:r w:rsidRPr="00F37D67">
        <w:rPr>
          <w:rFonts w:asciiTheme="minorHAnsi" w:hAnsiTheme="minorHAnsi" w:cstheme="minorHAnsi"/>
          <w:color w:val="000000" w:themeColor="text1"/>
        </w:rPr>
        <w:t xml:space="preserve">Supplier </w:t>
      </w:r>
      <w:r w:rsidR="00283B9E" w:rsidRPr="00F37D67">
        <w:rPr>
          <w:rFonts w:asciiTheme="minorHAnsi" w:hAnsiTheme="minorHAnsi" w:cstheme="minorHAnsi"/>
          <w:color w:val="000000" w:themeColor="text1"/>
        </w:rPr>
        <w:t>Submission</w:t>
      </w:r>
      <w:r w:rsidRPr="00F37D67">
        <w:rPr>
          <w:rFonts w:asciiTheme="minorHAnsi" w:hAnsiTheme="minorHAnsi" w:cstheme="minorHAnsi"/>
          <w:color w:val="000000" w:themeColor="text1"/>
        </w:rPr>
        <w:t xml:space="preserve"> Form</w:t>
      </w:r>
    </w:p>
    <w:p w:rsidR="0067150D" w:rsidRPr="00F37D67" w:rsidRDefault="0067150D" w:rsidP="0067150D">
      <w:pPr>
        <w:pStyle w:val="TitleBlue"/>
        <w:rPr>
          <w:rFonts w:asciiTheme="minorHAnsi" w:hAnsiTheme="minorHAnsi" w:cstheme="minorHAnsi"/>
          <w:color w:val="000000" w:themeColor="text1"/>
        </w:rPr>
      </w:pPr>
      <w:r w:rsidRPr="00F37D67">
        <w:rPr>
          <w:rFonts w:asciiTheme="minorHAnsi" w:hAnsiTheme="minorHAnsi" w:cstheme="minorHAnsi"/>
          <w:color w:val="000000" w:themeColor="text1"/>
        </w:rPr>
        <w:t>for</w:t>
      </w:r>
    </w:p>
    <w:p w:rsidR="0056015F" w:rsidRPr="00F37D67" w:rsidRDefault="00AB05E7" w:rsidP="0056015F">
      <w:pPr>
        <w:pStyle w:val="TitleBlue"/>
        <w:rPr>
          <w:rFonts w:asciiTheme="minorHAnsi" w:hAnsiTheme="minorHAnsi" w:cstheme="minorHAnsi"/>
          <w:color w:val="000000" w:themeColor="text1"/>
        </w:rPr>
      </w:pPr>
      <w:r>
        <w:rPr>
          <w:rFonts w:asciiTheme="minorHAnsi" w:hAnsiTheme="minorHAnsi" w:cstheme="minorHAnsi"/>
          <w:color w:val="000000" w:themeColor="text1"/>
        </w:rPr>
        <w:t xml:space="preserve">the </w:t>
      </w:r>
      <w:r w:rsidR="00283B9E" w:rsidRPr="00F37D67">
        <w:rPr>
          <w:rFonts w:asciiTheme="minorHAnsi" w:hAnsiTheme="minorHAnsi" w:cstheme="minorHAnsi"/>
          <w:color w:val="000000" w:themeColor="text1"/>
        </w:rPr>
        <w:t xml:space="preserve">Review of </w:t>
      </w:r>
      <w:r w:rsidR="002949B3">
        <w:rPr>
          <w:rFonts w:asciiTheme="minorHAnsi" w:hAnsiTheme="minorHAnsi" w:cstheme="minorHAnsi"/>
          <w:color w:val="000000" w:themeColor="text1"/>
        </w:rPr>
        <w:t>Continuous Glucose Monitoring (</w:t>
      </w:r>
      <w:r w:rsidR="00283B9E" w:rsidRPr="00F37D67">
        <w:rPr>
          <w:rFonts w:asciiTheme="minorHAnsi" w:hAnsiTheme="minorHAnsi" w:cstheme="minorHAnsi"/>
          <w:color w:val="000000" w:themeColor="text1"/>
        </w:rPr>
        <w:t>CGM</w:t>
      </w:r>
      <w:r w:rsidR="002949B3">
        <w:rPr>
          <w:rFonts w:asciiTheme="minorHAnsi" w:hAnsiTheme="minorHAnsi" w:cstheme="minorHAnsi"/>
          <w:color w:val="000000" w:themeColor="text1"/>
        </w:rPr>
        <w:t>)</w:t>
      </w:r>
      <w:r w:rsidR="00DF3C8B">
        <w:rPr>
          <w:rFonts w:asciiTheme="minorHAnsi" w:hAnsiTheme="minorHAnsi" w:cstheme="minorHAnsi"/>
          <w:color w:val="000000" w:themeColor="text1"/>
        </w:rPr>
        <w:t xml:space="preserve"> Product</w:t>
      </w:r>
      <w:r w:rsidR="00283B9E" w:rsidRPr="00F37D67">
        <w:rPr>
          <w:rFonts w:asciiTheme="minorHAnsi" w:hAnsiTheme="minorHAnsi" w:cstheme="minorHAnsi"/>
          <w:color w:val="000000" w:themeColor="text1"/>
        </w:rPr>
        <w:t>s</w:t>
      </w:r>
    </w:p>
    <w:p w:rsidR="00283B9E" w:rsidRPr="00F37D67" w:rsidRDefault="00283B9E" w:rsidP="003F7CB9">
      <w:pPr>
        <w:rPr>
          <w:rFonts w:cstheme="minorHAnsi"/>
        </w:rPr>
      </w:pPr>
    </w:p>
    <w:p w:rsidR="00283B9E" w:rsidRPr="00F37D67" w:rsidRDefault="00283B9E" w:rsidP="003F7CB9">
      <w:pPr>
        <w:rPr>
          <w:rFonts w:cstheme="minorHAnsi"/>
        </w:rPr>
      </w:pPr>
    </w:p>
    <w:p w:rsidR="00283B9E" w:rsidRPr="00F37D67" w:rsidRDefault="00283B9E" w:rsidP="003F7CB9">
      <w:pPr>
        <w:rPr>
          <w:rFonts w:cstheme="minorHAnsi"/>
        </w:rPr>
      </w:pPr>
    </w:p>
    <w:p w:rsidR="00E51E9C" w:rsidRPr="00F37D67" w:rsidRDefault="00E51E9C" w:rsidP="003F7CB9">
      <w:pPr>
        <w:rPr>
          <w:rFonts w:cstheme="minorHAnsi"/>
        </w:rPr>
      </w:pPr>
    </w:p>
    <w:p w:rsidR="00283B9E" w:rsidRPr="00E754F2" w:rsidRDefault="00283B9E" w:rsidP="00EE3C7C">
      <w:pPr>
        <w:spacing w:before="0" w:after="0"/>
        <w:jc w:val="both"/>
        <w:rPr>
          <w:rFonts w:cstheme="minorHAnsi"/>
          <w:szCs w:val="20"/>
        </w:rPr>
      </w:pPr>
      <w:r w:rsidRPr="00E754F2">
        <w:rPr>
          <w:rFonts w:cstheme="minorHAnsi"/>
          <w:szCs w:val="20"/>
        </w:rPr>
        <w:t xml:space="preserve">Please email your submission to: </w:t>
      </w:r>
      <w:hyperlink r:id="rId9" w:history="1">
        <w:r w:rsidRPr="00E754F2">
          <w:rPr>
            <w:rStyle w:val="Hyperlink"/>
            <w:rFonts w:cstheme="minorHAnsi"/>
            <w:color w:val="000000" w:themeColor="text1"/>
            <w:szCs w:val="20"/>
          </w:rPr>
          <w:t>cgm@health.gov.au</w:t>
        </w:r>
      </w:hyperlink>
      <w:r w:rsidRPr="00E754F2">
        <w:rPr>
          <w:rStyle w:val="Hyperlink"/>
          <w:rFonts w:cstheme="minorHAnsi"/>
          <w:color w:val="000000" w:themeColor="text1"/>
          <w:szCs w:val="20"/>
          <w:u w:val="none"/>
        </w:rPr>
        <w:t xml:space="preserve">, </w:t>
      </w:r>
      <w:r w:rsidR="0067150D" w:rsidRPr="00E754F2">
        <w:rPr>
          <w:rStyle w:val="Hyperlink"/>
          <w:rFonts w:cstheme="minorHAnsi"/>
          <w:color w:val="000000" w:themeColor="text1"/>
          <w:szCs w:val="20"/>
          <w:u w:val="none"/>
        </w:rPr>
        <w:t xml:space="preserve">and </w:t>
      </w:r>
      <w:r w:rsidRPr="00E754F2">
        <w:rPr>
          <w:rStyle w:val="Hyperlink"/>
          <w:rFonts w:cstheme="minorHAnsi"/>
          <w:color w:val="000000" w:themeColor="text1"/>
          <w:szCs w:val="20"/>
          <w:u w:val="none"/>
        </w:rPr>
        <w:t xml:space="preserve">cc: </w:t>
      </w:r>
      <w:hyperlink r:id="rId10" w:history="1">
        <w:r w:rsidRPr="00E754F2">
          <w:rPr>
            <w:rStyle w:val="Hyperlink"/>
            <w:rFonts w:cstheme="minorHAnsi"/>
            <w:color w:val="000000" w:themeColor="text1"/>
            <w:szCs w:val="20"/>
          </w:rPr>
          <w:t>hta@health.gov.au</w:t>
        </w:r>
      </w:hyperlink>
      <w:r w:rsidRPr="00E754F2">
        <w:rPr>
          <w:rFonts w:cstheme="minorHAnsi"/>
          <w:color w:val="000000" w:themeColor="text1"/>
          <w:szCs w:val="20"/>
        </w:rPr>
        <w:t>.</w:t>
      </w:r>
    </w:p>
    <w:p w:rsidR="00283B9E" w:rsidRPr="00E754F2" w:rsidRDefault="00283B9E" w:rsidP="00EE3C7C">
      <w:pPr>
        <w:spacing w:before="0" w:after="0"/>
        <w:jc w:val="both"/>
        <w:rPr>
          <w:rFonts w:cstheme="minorHAnsi"/>
          <w:szCs w:val="20"/>
        </w:rPr>
      </w:pPr>
    </w:p>
    <w:p w:rsidR="00283B9E" w:rsidRPr="00E754F2" w:rsidRDefault="00283B9E" w:rsidP="00EE3C7C">
      <w:pPr>
        <w:spacing w:before="0" w:after="0"/>
        <w:jc w:val="both"/>
        <w:rPr>
          <w:rFonts w:cstheme="minorHAnsi"/>
          <w:szCs w:val="20"/>
        </w:rPr>
      </w:pPr>
      <w:r w:rsidRPr="00E754F2">
        <w:rPr>
          <w:rFonts w:cstheme="minorHAnsi"/>
          <w:b/>
          <w:szCs w:val="20"/>
        </w:rPr>
        <w:t>All submissions must be received by 12 pm (AEDT) on 12 February 2021</w:t>
      </w:r>
      <w:r w:rsidRPr="00E754F2">
        <w:rPr>
          <w:rFonts w:cstheme="minorHAnsi"/>
          <w:szCs w:val="20"/>
        </w:rPr>
        <w:t>.</w:t>
      </w:r>
    </w:p>
    <w:p w:rsidR="00A3482F" w:rsidRPr="00F37D67" w:rsidRDefault="00D73646" w:rsidP="00F37D67">
      <w:pPr>
        <w:pStyle w:val="ListParagraph"/>
        <w:numPr>
          <w:ilvl w:val="0"/>
          <w:numId w:val="40"/>
        </w:numPr>
        <w:spacing w:before="0" w:after="0"/>
        <w:ind w:left="426" w:hanging="426"/>
        <w:jc w:val="both"/>
        <w:rPr>
          <w:rStyle w:val="IntenseReference"/>
          <w:rFonts w:cstheme="minorHAnsi"/>
          <w:color w:val="000000" w:themeColor="text1"/>
          <w:sz w:val="20"/>
        </w:rPr>
      </w:pPr>
      <w:bookmarkStart w:id="1" w:name="_Toc443555803"/>
      <w:r w:rsidRPr="00F37D67">
        <w:rPr>
          <w:rStyle w:val="IntenseReference"/>
          <w:rFonts w:cstheme="minorHAnsi"/>
        </w:rPr>
        <w:br w:type="page"/>
      </w:r>
      <w:bookmarkEnd w:id="1"/>
    </w:p>
    <w:p w:rsidR="00F37D67" w:rsidRPr="002F0C62" w:rsidRDefault="00F37D67" w:rsidP="00F37D67">
      <w:pPr>
        <w:pStyle w:val="ListParagraph"/>
        <w:numPr>
          <w:ilvl w:val="0"/>
          <w:numId w:val="41"/>
        </w:numPr>
        <w:spacing w:before="0" w:after="0"/>
        <w:ind w:left="426" w:hanging="426"/>
        <w:jc w:val="both"/>
        <w:rPr>
          <w:rStyle w:val="IntenseReference"/>
          <w:rFonts w:cstheme="minorHAnsi"/>
          <w:b/>
          <w:szCs w:val="28"/>
        </w:rPr>
      </w:pPr>
      <w:r w:rsidRPr="002F0C62">
        <w:rPr>
          <w:rStyle w:val="IntenseReference"/>
          <w:rFonts w:cstheme="minorHAnsi"/>
          <w:b/>
          <w:szCs w:val="28"/>
        </w:rPr>
        <w:lastRenderedPageBreak/>
        <w:t>Introduction</w:t>
      </w:r>
    </w:p>
    <w:p w:rsidR="006C0991" w:rsidRPr="006C0991" w:rsidRDefault="006C0991" w:rsidP="006C0991">
      <w:pPr>
        <w:spacing w:before="0" w:after="0"/>
        <w:jc w:val="both"/>
        <w:rPr>
          <w:rStyle w:val="IntenseReference"/>
          <w:rFonts w:cstheme="minorHAnsi"/>
          <w:color w:val="000000" w:themeColor="text1"/>
          <w:sz w:val="20"/>
        </w:rPr>
      </w:pPr>
    </w:p>
    <w:p w:rsidR="007D471D" w:rsidRPr="00E754F2" w:rsidRDefault="007D471D" w:rsidP="00AD3842">
      <w:pPr>
        <w:pStyle w:val="5Bodytext"/>
        <w:spacing w:after="0"/>
        <w:rPr>
          <w:rFonts w:asciiTheme="minorHAnsi" w:hAnsiTheme="minorHAnsi" w:cstheme="minorHAnsi"/>
          <w:color w:val="000000" w:themeColor="text1"/>
          <w:sz w:val="20"/>
          <w:szCs w:val="20"/>
        </w:rPr>
      </w:pPr>
      <w:r w:rsidRPr="00E754F2">
        <w:rPr>
          <w:rFonts w:asciiTheme="minorHAnsi" w:hAnsiTheme="minorHAnsi" w:cstheme="minorHAnsi"/>
          <w:color w:val="000000" w:themeColor="text1"/>
          <w:sz w:val="20"/>
          <w:szCs w:val="20"/>
        </w:rPr>
        <w:t xml:space="preserve">The Review of </w:t>
      </w:r>
      <w:r w:rsidR="00F37D67" w:rsidRPr="00E754F2">
        <w:rPr>
          <w:rFonts w:asciiTheme="minorHAnsi" w:hAnsiTheme="minorHAnsi" w:cstheme="minorHAnsi"/>
          <w:color w:val="000000" w:themeColor="text1"/>
          <w:sz w:val="20"/>
          <w:szCs w:val="20"/>
        </w:rPr>
        <w:t>C</w:t>
      </w:r>
      <w:r w:rsidR="00836083" w:rsidRPr="00E754F2">
        <w:rPr>
          <w:rFonts w:asciiTheme="minorHAnsi" w:hAnsiTheme="minorHAnsi" w:cstheme="minorHAnsi"/>
          <w:color w:val="000000" w:themeColor="text1"/>
          <w:sz w:val="20"/>
          <w:szCs w:val="20"/>
        </w:rPr>
        <w:t>ontinuous Glucose Monitoring (C</w:t>
      </w:r>
      <w:r w:rsidR="00F37D67" w:rsidRPr="00E754F2">
        <w:rPr>
          <w:rFonts w:asciiTheme="minorHAnsi" w:hAnsiTheme="minorHAnsi" w:cstheme="minorHAnsi"/>
          <w:color w:val="000000" w:themeColor="text1"/>
          <w:sz w:val="20"/>
          <w:szCs w:val="20"/>
        </w:rPr>
        <w:t>GM</w:t>
      </w:r>
      <w:r w:rsidR="00836083" w:rsidRPr="00E754F2">
        <w:rPr>
          <w:rFonts w:asciiTheme="minorHAnsi" w:hAnsiTheme="minorHAnsi" w:cstheme="minorHAnsi"/>
          <w:color w:val="000000" w:themeColor="text1"/>
          <w:sz w:val="20"/>
          <w:szCs w:val="20"/>
        </w:rPr>
        <w:t>)</w:t>
      </w:r>
      <w:r w:rsidR="00F37D67" w:rsidRPr="00E754F2">
        <w:rPr>
          <w:rFonts w:asciiTheme="minorHAnsi" w:hAnsiTheme="minorHAnsi" w:cstheme="minorHAnsi"/>
          <w:color w:val="000000" w:themeColor="text1"/>
          <w:sz w:val="20"/>
          <w:szCs w:val="20"/>
        </w:rPr>
        <w:t xml:space="preserve"> </w:t>
      </w:r>
      <w:r w:rsidRPr="00E754F2">
        <w:rPr>
          <w:rFonts w:asciiTheme="minorHAnsi" w:hAnsiTheme="minorHAnsi" w:cstheme="minorHAnsi"/>
          <w:color w:val="000000" w:themeColor="text1"/>
          <w:sz w:val="20"/>
          <w:szCs w:val="20"/>
        </w:rPr>
        <w:t>Products is consistent with the periodic reviews of publicly funded pharmaceuticals and medical technologies undertaken by the Department. It is intended to ensure government-funding of CGM products, under the CGM Initiative, is based on strong evidence of clinical and cost effectiveness.</w:t>
      </w:r>
    </w:p>
    <w:p w:rsidR="007D471D" w:rsidRPr="00E754F2" w:rsidRDefault="007D471D" w:rsidP="00AD3842">
      <w:pPr>
        <w:pStyle w:val="5Bodytext"/>
        <w:spacing w:after="0"/>
        <w:rPr>
          <w:rFonts w:asciiTheme="minorHAnsi" w:hAnsiTheme="minorHAnsi" w:cstheme="minorHAnsi"/>
          <w:color w:val="000000" w:themeColor="text1"/>
          <w:sz w:val="20"/>
          <w:szCs w:val="20"/>
        </w:rPr>
      </w:pPr>
    </w:p>
    <w:p w:rsidR="007D471D" w:rsidRPr="00E754F2" w:rsidRDefault="007D471D" w:rsidP="00AD3842">
      <w:pPr>
        <w:pStyle w:val="5Bodytext"/>
        <w:spacing w:after="0"/>
        <w:rPr>
          <w:rFonts w:asciiTheme="minorHAnsi" w:hAnsiTheme="minorHAnsi" w:cstheme="minorHAnsi"/>
          <w:color w:val="000000" w:themeColor="text1"/>
          <w:sz w:val="20"/>
          <w:szCs w:val="20"/>
        </w:rPr>
      </w:pPr>
      <w:r w:rsidRPr="00E754F2">
        <w:rPr>
          <w:rFonts w:asciiTheme="minorHAnsi" w:hAnsiTheme="minorHAnsi" w:cstheme="minorHAnsi"/>
          <w:color w:val="000000" w:themeColor="text1"/>
          <w:sz w:val="20"/>
          <w:szCs w:val="20"/>
        </w:rPr>
        <w:t>The Review will be con</w:t>
      </w:r>
      <w:r w:rsidR="00BA4EFD" w:rsidRPr="00E754F2">
        <w:rPr>
          <w:rFonts w:asciiTheme="minorHAnsi" w:hAnsiTheme="minorHAnsi" w:cstheme="minorHAnsi"/>
          <w:color w:val="000000" w:themeColor="text1"/>
          <w:sz w:val="20"/>
          <w:szCs w:val="20"/>
        </w:rPr>
        <w:t xml:space="preserve">sidered by </w:t>
      </w:r>
      <w:r w:rsidRPr="00E754F2">
        <w:rPr>
          <w:rFonts w:asciiTheme="minorHAnsi" w:hAnsiTheme="minorHAnsi" w:cstheme="minorHAnsi"/>
          <w:color w:val="000000" w:themeColor="text1"/>
          <w:sz w:val="20"/>
          <w:szCs w:val="20"/>
        </w:rPr>
        <w:t>the Medical Services Advisory Committee (MSAC), an independent non-statutory committee established in 1998, comprising of individuals with expertise in clinical medicine, health economics and consumer matters.</w:t>
      </w:r>
    </w:p>
    <w:p w:rsidR="002F0C62" w:rsidRPr="00E754F2" w:rsidRDefault="002F0C62" w:rsidP="00AD3842">
      <w:pPr>
        <w:pStyle w:val="5Bodytext"/>
        <w:spacing w:after="0"/>
        <w:rPr>
          <w:rFonts w:asciiTheme="minorHAnsi" w:hAnsiTheme="minorHAnsi" w:cstheme="minorHAnsi"/>
          <w:color w:val="000000" w:themeColor="text1"/>
          <w:sz w:val="20"/>
          <w:szCs w:val="20"/>
        </w:rPr>
      </w:pPr>
    </w:p>
    <w:p w:rsidR="007D471D" w:rsidRPr="00E754F2" w:rsidRDefault="007D471D" w:rsidP="00AD3842">
      <w:pPr>
        <w:pStyle w:val="5Bodytext"/>
        <w:spacing w:after="0"/>
        <w:rPr>
          <w:rFonts w:asciiTheme="minorHAnsi" w:hAnsiTheme="minorHAnsi" w:cstheme="minorHAnsi"/>
          <w:color w:val="000000" w:themeColor="text1"/>
          <w:sz w:val="20"/>
          <w:szCs w:val="20"/>
        </w:rPr>
      </w:pPr>
      <w:r w:rsidRPr="00E754F2">
        <w:rPr>
          <w:rFonts w:asciiTheme="minorHAnsi" w:hAnsiTheme="minorHAnsi" w:cstheme="minorHAnsi"/>
          <w:color w:val="000000" w:themeColor="text1"/>
          <w:sz w:val="20"/>
          <w:szCs w:val="20"/>
        </w:rPr>
        <w:t xml:space="preserve">The Review will include currently subsidised CGM products, and </w:t>
      </w:r>
      <w:r w:rsidR="00836083" w:rsidRPr="00E754F2">
        <w:rPr>
          <w:rFonts w:asciiTheme="minorHAnsi" w:hAnsiTheme="minorHAnsi" w:cstheme="minorHAnsi"/>
          <w:color w:val="000000" w:themeColor="text1"/>
          <w:sz w:val="20"/>
          <w:szCs w:val="20"/>
        </w:rPr>
        <w:t xml:space="preserve">additional </w:t>
      </w:r>
      <w:r w:rsidRPr="00E754F2">
        <w:rPr>
          <w:rFonts w:asciiTheme="minorHAnsi" w:hAnsiTheme="minorHAnsi" w:cstheme="minorHAnsi"/>
          <w:color w:val="000000" w:themeColor="text1"/>
          <w:sz w:val="20"/>
          <w:szCs w:val="20"/>
        </w:rPr>
        <w:t>CGM products for which subsidisation under the initiative is being sought.</w:t>
      </w:r>
    </w:p>
    <w:p w:rsidR="007D471D" w:rsidRPr="00E754F2" w:rsidRDefault="007D471D" w:rsidP="00AD3842">
      <w:pPr>
        <w:pStyle w:val="5Bodytext"/>
        <w:spacing w:after="0"/>
        <w:rPr>
          <w:rFonts w:asciiTheme="minorHAnsi" w:hAnsiTheme="minorHAnsi" w:cstheme="minorHAnsi"/>
          <w:color w:val="000000" w:themeColor="text1"/>
          <w:sz w:val="20"/>
          <w:szCs w:val="20"/>
        </w:rPr>
      </w:pPr>
    </w:p>
    <w:p w:rsidR="007D471D" w:rsidRPr="00E754F2" w:rsidRDefault="00BA4EFD" w:rsidP="00AD3842">
      <w:pPr>
        <w:pStyle w:val="5Bodytext"/>
        <w:spacing w:after="0"/>
        <w:rPr>
          <w:rFonts w:asciiTheme="minorHAnsi" w:hAnsiTheme="minorHAnsi" w:cstheme="minorHAnsi"/>
          <w:color w:val="000000" w:themeColor="text1"/>
          <w:sz w:val="20"/>
          <w:szCs w:val="20"/>
        </w:rPr>
      </w:pPr>
      <w:r w:rsidRPr="00E754F2">
        <w:rPr>
          <w:rFonts w:asciiTheme="minorHAnsi" w:hAnsiTheme="minorHAnsi" w:cstheme="minorHAnsi"/>
          <w:color w:val="000000" w:themeColor="text1"/>
          <w:sz w:val="20"/>
          <w:szCs w:val="20"/>
        </w:rPr>
        <w:t>The o</w:t>
      </w:r>
      <w:r w:rsidR="007D471D" w:rsidRPr="00E754F2">
        <w:rPr>
          <w:rFonts w:asciiTheme="minorHAnsi" w:hAnsiTheme="minorHAnsi" w:cstheme="minorHAnsi"/>
          <w:color w:val="000000" w:themeColor="text1"/>
          <w:sz w:val="20"/>
          <w:szCs w:val="20"/>
        </w:rPr>
        <w:t>utcome</w:t>
      </w:r>
      <w:r w:rsidRPr="00E754F2">
        <w:rPr>
          <w:rFonts w:asciiTheme="minorHAnsi" w:hAnsiTheme="minorHAnsi" w:cstheme="minorHAnsi"/>
          <w:color w:val="000000" w:themeColor="text1"/>
          <w:sz w:val="20"/>
          <w:szCs w:val="20"/>
        </w:rPr>
        <w:t>s</w:t>
      </w:r>
      <w:r w:rsidR="007D471D" w:rsidRPr="00E754F2">
        <w:rPr>
          <w:rFonts w:asciiTheme="minorHAnsi" w:hAnsiTheme="minorHAnsi" w:cstheme="minorHAnsi"/>
          <w:color w:val="000000" w:themeColor="text1"/>
          <w:sz w:val="20"/>
          <w:szCs w:val="20"/>
        </w:rPr>
        <w:t xml:space="preserve"> of the Review will inform a consistent and transparent framework for considering the inclusion of new and emerging CGM products in the CGM Initiative</w:t>
      </w:r>
      <w:r w:rsidR="006C0991" w:rsidRPr="00E754F2">
        <w:rPr>
          <w:rFonts w:asciiTheme="minorHAnsi" w:hAnsiTheme="minorHAnsi" w:cstheme="minorHAnsi"/>
          <w:color w:val="000000" w:themeColor="text1"/>
          <w:sz w:val="20"/>
          <w:szCs w:val="20"/>
        </w:rPr>
        <w:t>.</w:t>
      </w:r>
    </w:p>
    <w:p w:rsidR="006C0991" w:rsidRPr="00E754F2" w:rsidRDefault="006C0991" w:rsidP="00AD3842">
      <w:pPr>
        <w:pStyle w:val="5Bodytext"/>
        <w:spacing w:after="0"/>
        <w:rPr>
          <w:rFonts w:asciiTheme="minorHAnsi" w:hAnsiTheme="minorHAnsi" w:cstheme="minorHAnsi"/>
          <w:sz w:val="20"/>
          <w:szCs w:val="20"/>
        </w:rPr>
      </w:pPr>
    </w:p>
    <w:p w:rsidR="009B4815" w:rsidRPr="00E754F2" w:rsidRDefault="006C0991" w:rsidP="00AD3842">
      <w:pPr>
        <w:pStyle w:val="5Bodytext"/>
        <w:spacing w:after="0"/>
        <w:rPr>
          <w:rFonts w:asciiTheme="minorHAnsi" w:hAnsiTheme="minorHAnsi" w:cstheme="minorHAnsi"/>
          <w:sz w:val="20"/>
          <w:szCs w:val="20"/>
        </w:rPr>
      </w:pPr>
      <w:r w:rsidRPr="00E754F2">
        <w:rPr>
          <w:rFonts w:asciiTheme="minorHAnsi" w:hAnsiTheme="minorHAnsi" w:cstheme="minorHAnsi"/>
          <w:sz w:val="20"/>
          <w:szCs w:val="20"/>
        </w:rPr>
        <w:t xml:space="preserve">Information provided by suppliers will be used to inform and provide input against the Terms of Reference </w:t>
      </w:r>
      <w:r w:rsidR="001A04C6" w:rsidRPr="00E754F2">
        <w:rPr>
          <w:rFonts w:asciiTheme="minorHAnsi" w:hAnsiTheme="minorHAnsi" w:cstheme="minorHAnsi"/>
          <w:sz w:val="20"/>
          <w:szCs w:val="20"/>
        </w:rPr>
        <w:t xml:space="preserve">(ToR) </w:t>
      </w:r>
      <w:r w:rsidRPr="00E754F2">
        <w:rPr>
          <w:rFonts w:asciiTheme="minorHAnsi" w:hAnsiTheme="minorHAnsi" w:cstheme="minorHAnsi"/>
          <w:sz w:val="20"/>
          <w:szCs w:val="20"/>
        </w:rPr>
        <w:t>for the Review of CGM Product</w:t>
      </w:r>
      <w:r w:rsidR="00DD25A2">
        <w:rPr>
          <w:rFonts w:asciiTheme="minorHAnsi" w:hAnsiTheme="minorHAnsi" w:cstheme="minorHAnsi"/>
          <w:sz w:val="20"/>
          <w:szCs w:val="20"/>
        </w:rPr>
        <w:t>s</w:t>
      </w:r>
      <w:r w:rsidRPr="00E754F2">
        <w:rPr>
          <w:rFonts w:asciiTheme="minorHAnsi" w:hAnsiTheme="minorHAnsi" w:cstheme="minorHAnsi"/>
          <w:sz w:val="20"/>
          <w:szCs w:val="20"/>
        </w:rPr>
        <w:t xml:space="preserve"> as discussed below</w:t>
      </w:r>
      <w:r w:rsidR="009B4815" w:rsidRPr="00E754F2">
        <w:rPr>
          <w:rFonts w:asciiTheme="minorHAnsi" w:hAnsiTheme="minorHAnsi" w:cstheme="minorHAnsi"/>
          <w:sz w:val="20"/>
          <w:szCs w:val="20"/>
        </w:rPr>
        <w:t>.</w:t>
      </w:r>
    </w:p>
    <w:p w:rsidR="00611082" w:rsidRPr="00E754F2" w:rsidRDefault="00611082" w:rsidP="00AD3842">
      <w:pPr>
        <w:pStyle w:val="5Bodytext"/>
        <w:spacing w:after="0"/>
        <w:rPr>
          <w:rFonts w:asciiTheme="minorHAnsi" w:hAnsiTheme="minorHAnsi" w:cstheme="minorHAnsi"/>
          <w:sz w:val="20"/>
          <w:szCs w:val="20"/>
        </w:rPr>
      </w:pPr>
    </w:p>
    <w:p w:rsidR="005D0F44" w:rsidRPr="00E754F2" w:rsidRDefault="00611082" w:rsidP="00AD3842">
      <w:pPr>
        <w:pStyle w:val="5Bodytext"/>
        <w:spacing w:after="0"/>
        <w:rPr>
          <w:rFonts w:asciiTheme="minorHAnsi" w:hAnsiTheme="minorHAnsi" w:cstheme="minorHAnsi"/>
          <w:sz w:val="20"/>
          <w:szCs w:val="20"/>
        </w:rPr>
      </w:pPr>
      <w:r w:rsidRPr="00E754F2">
        <w:rPr>
          <w:rFonts w:asciiTheme="minorHAnsi" w:hAnsiTheme="minorHAnsi" w:cstheme="minorHAnsi"/>
          <w:sz w:val="20"/>
          <w:szCs w:val="20"/>
        </w:rPr>
        <w:t>Submission</w:t>
      </w:r>
      <w:r w:rsidR="00974CAB">
        <w:rPr>
          <w:rFonts w:asciiTheme="minorHAnsi" w:hAnsiTheme="minorHAnsi" w:cstheme="minorHAnsi"/>
          <w:sz w:val="20"/>
          <w:szCs w:val="20"/>
        </w:rPr>
        <w:t>s</w:t>
      </w:r>
      <w:r w:rsidRPr="00E754F2">
        <w:rPr>
          <w:rFonts w:asciiTheme="minorHAnsi" w:hAnsiTheme="minorHAnsi" w:cstheme="minorHAnsi"/>
          <w:sz w:val="20"/>
          <w:szCs w:val="20"/>
        </w:rPr>
        <w:t xml:space="preserve"> made by suppliers are subject to </w:t>
      </w:r>
      <w:r w:rsidR="002D0D0F">
        <w:rPr>
          <w:rFonts w:asciiTheme="minorHAnsi" w:hAnsiTheme="minorHAnsi" w:cstheme="minorHAnsi"/>
          <w:sz w:val="20"/>
          <w:szCs w:val="20"/>
        </w:rPr>
        <w:t xml:space="preserve">an assessment and commentary </w:t>
      </w:r>
      <w:r w:rsidR="009B4815" w:rsidRPr="00E754F2">
        <w:rPr>
          <w:rFonts w:asciiTheme="minorHAnsi" w:hAnsiTheme="minorHAnsi" w:cstheme="minorHAnsi"/>
          <w:sz w:val="20"/>
          <w:szCs w:val="20"/>
        </w:rPr>
        <w:t>by an external evaluat</w:t>
      </w:r>
      <w:r w:rsidRPr="00E754F2">
        <w:rPr>
          <w:rFonts w:asciiTheme="minorHAnsi" w:hAnsiTheme="minorHAnsi" w:cstheme="minorHAnsi"/>
          <w:sz w:val="20"/>
          <w:szCs w:val="20"/>
        </w:rPr>
        <w:t>ion group</w:t>
      </w:r>
      <w:r w:rsidR="009B4815" w:rsidRPr="00E754F2">
        <w:rPr>
          <w:rFonts w:asciiTheme="minorHAnsi" w:hAnsiTheme="minorHAnsi" w:cstheme="minorHAnsi"/>
          <w:sz w:val="20"/>
          <w:szCs w:val="20"/>
        </w:rPr>
        <w:t xml:space="preserve">.  </w:t>
      </w:r>
      <w:r w:rsidRPr="00E754F2">
        <w:rPr>
          <w:rFonts w:asciiTheme="minorHAnsi" w:hAnsiTheme="minorHAnsi" w:cstheme="minorHAnsi"/>
          <w:sz w:val="20"/>
          <w:szCs w:val="20"/>
        </w:rPr>
        <w:t xml:space="preserve">External </w:t>
      </w:r>
      <w:r w:rsidR="009B4815" w:rsidRPr="00E754F2">
        <w:rPr>
          <w:rFonts w:asciiTheme="minorHAnsi" w:hAnsiTheme="minorHAnsi" w:cstheme="minorHAnsi"/>
          <w:sz w:val="20"/>
          <w:szCs w:val="20"/>
        </w:rPr>
        <w:t>evaluation reports will be provided to suppliers</w:t>
      </w:r>
      <w:r w:rsidRPr="00E754F2">
        <w:rPr>
          <w:rFonts w:asciiTheme="minorHAnsi" w:hAnsiTheme="minorHAnsi" w:cstheme="minorHAnsi"/>
          <w:sz w:val="20"/>
          <w:szCs w:val="20"/>
        </w:rPr>
        <w:t xml:space="preserve"> as appropriate</w:t>
      </w:r>
      <w:r w:rsidR="002D0D0F">
        <w:rPr>
          <w:rFonts w:asciiTheme="minorHAnsi" w:hAnsiTheme="minorHAnsi" w:cstheme="minorHAnsi"/>
          <w:sz w:val="20"/>
          <w:szCs w:val="20"/>
        </w:rPr>
        <w:t xml:space="preserve"> and su</w:t>
      </w:r>
      <w:r w:rsidR="005D0F44" w:rsidRPr="00E754F2">
        <w:rPr>
          <w:rFonts w:asciiTheme="minorHAnsi" w:hAnsiTheme="minorHAnsi" w:cstheme="minorHAnsi"/>
          <w:sz w:val="20"/>
          <w:szCs w:val="20"/>
        </w:rPr>
        <w:t>ppliers will have an opportunity to make comments on these reports</w:t>
      </w:r>
      <w:r w:rsidR="001A04C6" w:rsidRPr="00E754F2">
        <w:rPr>
          <w:rFonts w:asciiTheme="minorHAnsi" w:hAnsiTheme="minorHAnsi" w:cstheme="minorHAnsi"/>
          <w:sz w:val="20"/>
          <w:szCs w:val="20"/>
        </w:rPr>
        <w:t xml:space="preserve"> </w:t>
      </w:r>
      <w:r w:rsidR="00AB05E7">
        <w:rPr>
          <w:rFonts w:asciiTheme="minorHAnsi" w:hAnsiTheme="minorHAnsi" w:cstheme="minorHAnsi"/>
          <w:sz w:val="20"/>
          <w:szCs w:val="20"/>
        </w:rPr>
        <w:t xml:space="preserve">prior to the Evaluation Sub-Committee </w:t>
      </w:r>
      <w:r w:rsidR="00184AA4">
        <w:rPr>
          <w:rFonts w:asciiTheme="minorHAnsi" w:hAnsiTheme="minorHAnsi" w:cstheme="minorHAnsi"/>
          <w:sz w:val="20"/>
          <w:szCs w:val="20"/>
        </w:rPr>
        <w:t xml:space="preserve">(ESC) </w:t>
      </w:r>
      <w:r w:rsidR="00AB05E7">
        <w:rPr>
          <w:rFonts w:asciiTheme="minorHAnsi" w:hAnsiTheme="minorHAnsi" w:cstheme="minorHAnsi"/>
          <w:sz w:val="20"/>
          <w:szCs w:val="20"/>
        </w:rPr>
        <w:t>and MSAC considerations.</w:t>
      </w:r>
    </w:p>
    <w:p w:rsidR="00611082" w:rsidRPr="00E754F2" w:rsidRDefault="00611082" w:rsidP="00AD3842">
      <w:pPr>
        <w:pStyle w:val="5Bodytext"/>
        <w:spacing w:after="0"/>
        <w:rPr>
          <w:rFonts w:asciiTheme="minorHAnsi" w:hAnsiTheme="minorHAnsi" w:cstheme="minorHAnsi"/>
          <w:sz w:val="20"/>
          <w:szCs w:val="20"/>
        </w:rPr>
      </w:pPr>
    </w:p>
    <w:p w:rsidR="009B4815" w:rsidRPr="00E754F2" w:rsidRDefault="009B4815" w:rsidP="00AD3842">
      <w:pPr>
        <w:spacing w:before="0" w:after="200" w:line="276" w:lineRule="auto"/>
        <w:rPr>
          <w:rFonts w:cstheme="minorHAnsi"/>
          <w:szCs w:val="20"/>
        </w:rPr>
      </w:pPr>
      <w:r w:rsidRPr="00E754F2">
        <w:rPr>
          <w:rFonts w:cstheme="minorHAnsi"/>
          <w:szCs w:val="20"/>
        </w:rPr>
        <w:t xml:space="preserve">It is anticipated that </w:t>
      </w:r>
      <w:r w:rsidR="00974CAB">
        <w:rPr>
          <w:rFonts w:cstheme="minorHAnsi"/>
          <w:szCs w:val="20"/>
        </w:rPr>
        <w:t xml:space="preserve">the </w:t>
      </w:r>
      <w:r w:rsidRPr="00E754F2">
        <w:rPr>
          <w:rFonts w:cstheme="minorHAnsi"/>
          <w:szCs w:val="20"/>
        </w:rPr>
        <w:t xml:space="preserve">CGM </w:t>
      </w:r>
      <w:r w:rsidR="00974CAB">
        <w:rPr>
          <w:rFonts w:cstheme="minorHAnsi"/>
          <w:szCs w:val="20"/>
        </w:rPr>
        <w:t xml:space="preserve">Review </w:t>
      </w:r>
      <w:r w:rsidRPr="00E754F2">
        <w:rPr>
          <w:rFonts w:cstheme="minorHAnsi"/>
          <w:szCs w:val="20"/>
        </w:rPr>
        <w:t xml:space="preserve">will be </w:t>
      </w:r>
      <w:r w:rsidR="00BA4EFD" w:rsidRPr="00E754F2">
        <w:rPr>
          <w:rFonts w:cstheme="minorHAnsi"/>
          <w:szCs w:val="20"/>
        </w:rPr>
        <w:t xml:space="preserve">considered by </w:t>
      </w:r>
      <w:r w:rsidR="00611082" w:rsidRPr="00E754F2">
        <w:rPr>
          <w:rFonts w:cstheme="minorHAnsi"/>
          <w:szCs w:val="20"/>
        </w:rPr>
        <w:t>the ESC in June 2021</w:t>
      </w:r>
      <w:r w:rsidR="00E01765" w:rsidRPr="00E754F2">
        <w:rPr>
          <w:rFonts w:cstheme="minorHAnsi"/>
          <w:szCs w:val="20"/>
        </w:rPr>
        <w:t>,</w:t>
      </w:r>
      <w:r w:rsidR="00611082" w:rsidRPr="00E754F2">
        <w:rPr>
          <w:rFonts w:cstheme="minorHAnsi"/>
          <w:szCs w:val="20"/>
        </w:rPr>
        <w:t xml:space="preserve"> and </w:t>
      </w:r>
      <w:r w:rsidR="00E01765" w:rsidRPr="00E754F2">
        <w:rPr>
          <w:rFonts w:cstheme="minorHAnsi"/>
          <w:szCs w:val="20"/>
        </w:rPr>
        <w:t xml:space="preserve">then by </w:t>
      </w:r>
      <w:r w:rsidRPr="00E754F2">
        <w:rPr>
          <w:rFonts w:cstheme="minorHAnsi"/>
          <w:szCs w:val="20"/>
        </w:rPr>
        <w:t xml:space="preserve">MSAC </w:t>
      </w:r>
      <w:r w:rsidR="00BA4EFD" w:rsidRPr="00E754F2">
        <w:rPr>
          <w:rFonts w:cstheme="minorHAnsi"/>
          <w:szCs w:val="20"/>
        </w:rPr>
        <w:t xml:space="preserve">in </w:t>
      </w:r>
      <w:r w:rsidRPr="00E754F2">
        <w:rPr>
          <w:rFonts w:cstheme="minorHAnsi"/>
          <w:szCs w:val="20"/>
        </w:rPr>
        <w:t>July</w:t>
      </w:r>
      <w:r w:rsidR="00184AA4">
        <w:rPr>
          <w:rFonts w:cstheme="minorHAnsi"/>
          <w:szCs w:val="20"/>
        </w:rPr>
        <w:t> </w:t>
      </w:r>
      <w:r w:rsidRPr="00E754F2">
        <w:rPr>
          <w:rFonts w:cstheme="minorHAnsi"/>
          <w:szCs w:val="20"/>
        </w:rPr>
        <w:t>2021</w:t>
      </w:r>
      <w:r w:rsidR="00611082" w:rsidRPr="00E754F2">
        <w:rPr>
          <w:rFonts w:cstheme="minorHAnsi"/>
          <w:szCs w:val="20"/>
        </w:rPr>
        <w:t xml:space="preserve"> as </w:t>
      </w:r>
      <w:r w:rsidR="00916221" w:rsidRPr="00E754F2">
        <w:rPr>
          <w:rFonts w:cstheme="minorHAnsi"/>
          <w:szCs w:val="20"/>
        </w:rPr>
        <w:t xml:space="preserve">detailed </w:t>
      </w:r>
      <w:r w:rsidR="00611082" w:rsidRPr="00E754F2">
        <w:rPr>
          <w:rFonts w:cstheme="minorHAnsi"/>
          <w:szCs w:val="20"/>
        </w:rPr>
        <w:t xml:space="preserve">on </w:t>
      </w:r>
      <w:r w:rsidR="00974CAB">
        <w:rPr>
          <w:rFonts w:cstheme="minorHAnsi"/>
          <w:szCs w:val="20"/>
        </w:rPr>
        <w:t xml:space="preserve">the </w:t>
      </w:r>
      <w:hyperlink r:id="rId11" w:history="1">
        <w:r w:rsidR="00611082" w:rsidRPr="00E754F2">
          <w:rPr>
            <w:rStyle w:val="Hyperlink"/>
            <w:rFonts w:cstheme="minorHAnsi"/>
            <w:szCs w:val="20"/>
          </w:rPr>
          <w:t>MSAC website</w:t>
        </w:r>
      </w:hyperlink>
      <w:r w:rsidR="002F0C62" w:rsidRPr="00E754F2">
        <w:rPr>
          <w:rFonts w:cstheme="minorHAnsi"/>
          <w:szCs w:val="20"/>
        </w:rPr>
        <w:t>.</w:t>
      </w:r>
    </w:p>
    <w:p w:rsidR="008F7651" w:rsidRPr="00F37D67" w:rsidRDefault="007D471D" w:rsidP="00F37D67">
      <w:pPr>
        <w:pStyle w:val="ListParagraph"/>
        <w:numPr>
          <w:ilvl w:val="0"/>
          <w:numId w:val="41"/>
        </w:numPr>
        <w:spacing w:before="0" w:after="0"/>
        <w:ind w:left="426" w:hanging="426"/>
        <w:jc w:val="both"/>
        <w:rPr>
          <w:rFonts w:cstheme="minorHAnsi"/>
          <w:b/>
          <w:color w:val="000000" w:themeColor="text1"/>
          <w:sz w:val="28"/>
          <w:szCs w:val="28"/>
        </w:rPr>
      </w:pPr>
      <w:r w:rsidRPr="00F37D67">
        <w:rPr>
          <w:rStyle w:val="IntenseReference"/>
          <w:rFonts w:cstheme="minorHAnsi"/>
          <w:b/>
          <w:szCs w:val="28"/>
        </w:rPr>
        <w:t>Terms</w:t>
      </w:r>
      <w:r w:rsidRPr="00F37D67">
        <w:rPr>
          <w:rFonts w:cstheme="minorHAnsi"/>
          <w:b/>
          <w:color w:val="000000" w:themeColor="text1"/>
          <w:sz w:val="28"/>
          <w:szCs w:val="28"/>
        </w:rPr>
        <w:t xml:space="preserve"> of Reference</w:t>
      </w:r>
    </w:p>
    <w:p w:rsidR="006C0991" w:rsidRPr="00E754F2" w:rsidRDefault="006C0991" w:rsidP="008F7651">
      <w:pPr>
        <w:spacing w:before="0" w:after="0"/>
        <w:jc w:val="both"/>
        <w:rPr>
          <w:rFonts w:cstheme="minorHAnsi"/>
          <w:color w:val="000000" w:themeColor="text1"/>
          <w:szCs w:val="20"/>
        </w:rPr>
      </w:pPr>
    </w:p>
    <w:p w:rsidR="007D471D" w:rsidRPr="00E754F2" w:rsidRDefault="008F7651" w:rsidP="008F7651">
      <w:pPr>
        <w:spacing w:before="0" w:after="0"/>
        <w:jc w:val="both"/>
        <w:rPr>
          <w:rFonts w:cstheme="minorHAnsi"/>
          <w:color w:val="000000" w:themeColor="text1"/>
          <w:szCs w:val="20"/>
        </w:rPr>
      </w:pPr>
      <w:r w:rsidRPr="00E754F2">
        <w:rPr>
          <w:rFonts w:cstheme="minorHAnsi"/>
          <w:color w:val="000000" w:themeColor="text1"/>
          <w:szCs w:val="20"/>
        </w:rPr>
        <w:t>The Terms of Reference</w:t>
      </w:r>
      <w:r w:rsidR="007D471D" w:rsidRPr="00E754F2">
        <w:rPr>
          <w:rFonts w:cstheme="minorHAnsi"/>
          <w:color w:val="000000" w:themeColor="text1"/>
          <w:szCs w:val="20"/>
        </w:rPr>
        <w:t xml:space="preserve"> for the Review are:</w:t>
      </w:r>
    </w:p>
    <w:p w:rsidR="007D471D" w:rsidRPr="00E754F2" w:rsidRDefault="007D471D" w:rsidP="007D471D">
      <w:pPr>
        <w:pStyle w:val="ListParagraph"/>
        <w:numPr>
          <w:ilvl w:val="0"/>
          <w:numId w:val="37"/>
        </w:numPr>
        <w:spacing w:before="0" w:after="240"/>
        <w:ind w:left="357" w:hanging="357"/>
        <w:rPr>
          <w:rFonts w:cstheme="minorHAnsi"/>
          <w:color w:val="000000" w:themeColor="text1"/>
          <w:szCs w:val="20"/>
        </w:rPr>
      </w:pPr>
      <w:r w:rsidRPr="00E754F2">
        <w:rPr>
          <w:rFonts w:cstheme="minorHAnsi"/>
          <w:color w:val="000000" w:themeColor="text1"/>
          <w:szCs w:val="20"/>
        </w:rPr>
        <w:t>Review relevant clinical guidelines on management of type 1 diabetes mellitus (T1DM), specifically regarding advice around the frequency and type of monitoring that should be undertaken for each eligible population under the CGM Initiative, taking into account the differing clinical characteristics of patients within each population (e.g. age, glycaemic control, insulin pump users, non-insulin pump users).</w:t>
      </w:r>
    </w:p>
    <w:p w:rsidR="007D471D" w:rsidRPr="00E754F2" w:rsidRDefault="007D471D" w:rsidP="007D471D">
      <w:pPr>
        <w:pStyle w:val="ListParagraph"/>
        <w:spacing w:after="240"/>
        <w:ind w:left="357"/>
        <w:rPr>
          <w:rFonts w:cstheme="minorHAnsi"/>
          <w:color w:val="000000" w:themeColor="text1"/>
          <w:szCs w:val="20"/>
        </w:rPr>
      </w:pPr>
    </w:p>
    <w:p w:rsidR="007D471D" w:rsidRPr="00E754F2" w:rsidRDefault="007D471D" w:rsidP="007D471D">
      <w:pPr>
        <w:pStyle w:val="ListParagraph"/>
        <w:numPr>
          <w:ilvl w:val="0"/>
          <w:numId w:val="37"/>
        </w:numPr>
        <w:spacing w:before="0" w:after="240"/>
        <w:ind w:left="357" w:hanging="357"/>
        <w:rPr>
          <w:rFonts w:cstheme="minorHAnsi"/>
          <w:color w:val="000000" w:themeColor="text1"/>
          <w:szCs w:val="20"/>
        </w:rPr>
      </w:pPr>
      <w:r w:rsidRPr="00E754F2">
        <w:rPr>
          <w:rFonts w:cstheme="minorHAnsi"/>
          <w:color w:val="000000" w:themeColor="text1"/>
          <w:szCs w:val="20"/>
        </w:rPr>
        <w:t>Review the utilisation of CGM products currently subsidised or new products to be considered for subsidy under the CGM Initiative, including any information on the average number of products used per patient per year and product switching.</w:t>
      </w:r>
    </w:p>
    <w:p w:rsidR="007D471D" w:rsidRPr="00E754F2" w:rsidRDefault="007D471D" w:rsidP="007D471D">
      <w:pPr>
        <w:pStyle w:val="ListParagraph"/>
        <w:spacing w:after="240"/>
        <w:ind w:left="357"/>
        <w:rPr>
          <w:rFonts w:cstheme="minorHAnsi"/>
          <w:color w:val="000000" w:themeColor="text1"/>
          <w:szCs w:val="20"/>
        </w:rPr>
      </w:pPr>
    </w:p>
    <w:p w:rsidR="007D471D" w:rsidRPr="00E754F2" w:rsidRDefault="007D471D" w:rsidP="007D471D">
      <w:pPr>
        <w:pStyle w:val="ListParagraph"/>
        <w:numPr>
          <w:ilvl w:val="0"/>
          <w:numId w:val="37"/>
        </w:numPr>
        <w:spacing w:before="0" w:after="240"/>
        <w:ind w:left="357" w:hanging="357"/>
        <w:rPr>
          <w:rFonts w:cstheme="minorHAnsi"/>
          <w:color w:val="000000" w:themeColor="text1"/>
          <w:szCs w:val="20"/>
        </w:rPr>
      </w:pPr>
      <w:r w:rsidRPr="00E754F2">
        <w:rPr>
          <w:rFonts w:cstheme="minorHAnsi"/>
          <w:color w:val="000000" w:themeColor="text1"/>
          <w:szCs w:val="20"/>
        </w:rPr>
        <w:t>Review the clinically relevant outcomes and clinician and patient preferences related to the monitoring of blood glucose levels in patients with T1DM subsidised under the CGM Initiative, taking into account the differing clinical characteristics of patients within each population (e.g. age, glycaemic control, insulin pump users, non-insulin pump users).</w:t>
      </w:r>
    </w:p>
    <w:p w:rsidR="007D471D" w:rsidRPr="00E754F2" w:rsidRDefault="007D471D" w:rsidP="007D471D">
      <w:pPr>
        <w:pStyle w:val="ListParagraph"/>
        <w:spacing w:after="240"/>
        <w:ind w:left="357"/>
        <w:rPr>
          <w:rFonts w:cstheme="minorHAnsi"/>
          <w:color w:val="000000" w:themeColor="text1"/>
          <w:szCs w:val="20"/>
        </w:rPr>
      </w:pPr>
    </w:p>
    <w:p w:rsidR="007D471D" w:rsidRPr="00E754F2" w:rsidRDefault="007D471D" w:rsidP="007D471D">
      <w:pPr>
        <w:pStyle w:val="ListParagraph"/>
        <w:numPr>
          <w:ilvl w:val="0"/>
          <w:numId w:val="37"/>
        </w:numPr>
        <w:spacing w:before="0" w:after="240"/>
        <w:ind w:left="357" w:hanging="357"/>
        <w:rPr>
          <w:rFonts w:cstheme="minorHAnsi"/>
          <w:color w:val="000000" w:themeColor="text1"/>
          <w:szCs w:val="20"/>
        </w:rPr>
      </w:pPr>
      <w:r w:rsidRPr="00E754F2">
        <w:rPr>
          <w:rFonts w:cstheme="minorHAnsi"/>
          <w:color w:val="000000" w:themeColor="text1"/>
          <w:szCs w:val="20"/>
        </w:rPr>
        <w:t>Synthesise and evaluate evidence on the comparative safety and clinical effectiveness of CGM products currently subsidised through the CGM Initiative and other CGM products (noting additional products may be added as part of the submission and consultation activities), compared to self-monitoring of blood glucose levels. Compare the features of each CGM device/device category and how these address the clinical needs of each patient population and sub-population identified in ToR 3.</w:t>
      </w:r>
    </w:p>
    <w:p w:rsidR="007D471D" w:rsidRPr="00E754F2" w:rsidRDefault="007D471D" w:rsidP="007D471D">
      <w:pPr>
        <w:pStyle w:val="ListParagraph"/>
        <w:spacing w:after="360"/>
        <w:ind w:left="357"/>
        <w:rPr>
          <w:rFonts w:cstheme="minorHAnsi"/>
          <w:color w:val="000000" w:themeColor="text1"/>
          <w:szCs w:val="20"/>
        </w:rPr>
      </w:pPr>
    </w:p>
    <w:p w:rsidR="002F0C62" w:rsidRPr="00E754F2" w:rsidRDefault="007D471D" w:rsidP="002F0C62">
      <w:pPr>
        <w:pStyle w:val="ListParagraph"/>
        <w:numPr>
          <w:ilvl w:val="0"/>
          <w:numId w:val="37"/>
        </w:numPr>
        <w:spacing w:before="0" w:after="240"/>
        <w:ind w:left="357" w:hanging="357"/>
        <w:contextualSpacing w:val="0"/>
        <w:rPr>
          <w:rFonts w:cstheme="minorHAnsi"/>
          <w:color w:val="000000" w:themeColor="text1"/>
          <w:szCs w:val="20"/>
        </w:rPr>
      </w:pPr>
      <w:r w:rsidRPr="00E754F2">
        <w:rPr>
          <w:rFonts w:cstheme="minorHAnsi"/>
          <w:color w:val="000000" w:themeColor="text1"/>
          <w:szCs w:val="20"/>
        </w:rPr>
        <w:t xml:space="preserve">Review the cost-effectiveness of CGM products currently subsidised under the CGM initiative, and other CGM products, including any additional products identified through the consultation process, to determine a cost-effective price for individual devices, or by device category, for each patient population and sub-population identified in ToR3, noting that there are patients who require use of specific devices due to the nature of their disease which may preclude a generalisable recommendation on the </w:t>
      </w:r>
      <w:r w:rsidRPr="00E754F2">
        <w:rPr>
          <w:rFonts w:cstheme="minorHAnsi"/>
          <w:color w:val="000000" w:themeColor="text1"/>
          <w:szCs w:val="20"/>
        </w:rPr>
        <w:lastRenderedPageBreak/>
        <w:t>preferential use of those CGM products which are deemed the most cost-effective (e.g. the need to link to an insulin pump).</w:t>
      </w:r>
    </w:p>
    <w:p w:rsidR="00B1012C" w:rsidRPr="002F0C62" w:rsidRDefault="006C0991" w:rsidP="002F0C62">
      <w:pPr>
        <w:pStyle w:val="ListParagraph"/>
        <w:numPr>
          <w:ilvl w:val="0"/>
          <w:numId w:val="41"/>
        </w:numPr>
        <w:spacing w:before="0" w:after="0"/>
        <w:ind w:left="426" w:hanging="426"/>
        <w:jc w:val="both"/>
        <w:rPr>
          <w:rStyle w:val="IntenseReference"/>
          <w:b/>
          <w:szCs w:val="28"/>
        </w:rPr>
      </w:pPr>
      <w:r w:rsidRPr="002F0C62">
        <w:rPr>
          <w:rStyle w:val="IntenseReference"/>
          <w:b/>
          <w:szCs w:val="28"/>
        </w:rPr>
        <w:t xml:space="preserve">Supplier </w:t>
      </w:r>
      <w:r w:rsidR="008F7651" w:rsidRPr="002F0C62">
        <w:rPr>
          <w:rStyle w:val="IntenseReference"/>
          <w:b/>
          <w:szCs w:val="28"/>
        </w:rPr>
        <w:t>materials and documents</w:t>
      </w:r>
    </w:p>
    <w:p w:rsidR="00242BEF" w:rsidRPr="00E754F2" w:rsidRDefault="00242BEF" w:rsidP="00B1012C">
      <w:pPr>
        <w:autoSpaceDE w:val="0"/>
        <w:autoSpaceDN w:val="0"/>
        <w:adjustRightInd w:val="0"/>
        <w:spacing w:before="0" w:after="0"/>
        <w:rPr>
          <w:rFonts w:cstheme="minorHAnsi"/>
          <w:b/>
          <w:bCs/>
          <w:color w:val="000000"/>
          <w:szCs w:val="20"/>
        </w:rPr>
      </w:pPr>
    </w:p>
    <w:p w:rsidR="00B1012C" w:rsidRPr="00E754F2" w:rsidRDefault="00B1012C" w:rsidP="00B1012C">
      <w:pPr>
        <w:autoSpaceDE w:val="0"/>
        <w:autoSpaceDN w:val="0"/>
        <w:adjustRightInd w:val="0"/>
        <w:spacing w:before="0" w:after="0"/>
        <w:rPr>
          <w:rFonts w:cstheme="minorHAnsi"/>
          <w:b/>
          <w:bCs/>
          <w:color w:val="000000"/>
          <w:szCs w:val="20"/>
        </w:rPr>
      </w:pPr>
      <w:r w:rsidRPr="00E754F2">
        <w:rPr>
          <w:rFonts w:cstheme="minorHAnsi"/>
          <w:b/>
          <w:bCs/>
          <w:color w:val="000000"/>
          <w:szCs w:val="20"/>
        </w:rPr>
        <w:t>Commercial-in-Confidence material</w:t>
      </w:r>
    </w:p>
    <w:p w:rsidR="00B1012C" w:rsidRPr="00E754F2" w:rsidRDefault="00B1012C" w:rsidP="00B1012C">
      <w:pPr>
        <w:autoSpaceDE w:val="0"/>
        <w:autoSpaceDN w:val="0"/>
        <w:adjustRightInd w:val="0"/>
        <w:spacing w:before="0" w:after="0"/>
        <w:rPr>
          <w:rFonts w:cstheme="minorHAnsi"/>
          <w:color w:val="000000"/>
          <w:szCs w:val="20"/>
        </w:rPr>
      </w:pPr>
      <w:r w:rsidRPr="00E754F2">
        <w:rPr>
          <w:rFonts w:cstheme="minorHAnsi"/>
          <w:color w:val="000000"/>
          <w:szCs w:val="20"/>
        </w:rPr>
        <w:t xml:space="preserve">Documents in the possession of the Department of Health are subject to the requirements of the </w:t>
      </w:r>
      <w:r w:rsidRPr="00E754F2">
        <w:rPr>
          <w:rFonts w:cstheme="minorHAnsi"/>
          <w:i/>
          <w:iCs/>
          <w:color w:val="000000"/>
          <w:szCs w:val="20"/>
        </w:rPr>
        <w:t>Freedom of</w:t>
      </w:r>
      <w:r w:rsidR="00A3482F" w:rsidRPr="00E754F2">
        <w:rPr>
          <w:rFonts w:cstheme="minorHAnsi"/>
          <w:i/>
          <w:iCs/>
          <w:color w:val="000000"/>
          <w:szCs w:val="20"/>
        </w:rPr>
        <w:t xml:space="preserve"> </w:t>
      </w:r>
      <w:r w:rsidRPr="00E754F2">
        <w:rPr>
          <w:rFonts w:cstheme="minorHAnsi"/>
          <w:i/>
          <w:iCs/>
          <w:color w:val="000000"/>
          <w:szCs w:val="20"/>
        </w:rPr>
        <w:t xml:space="preserve">Information Act 1982 </w:t>
      </w:r>
      <w:r w:rsidRPr="00E754F2">
        <w:rPr>
          <w:rFonts w:cstheme="minorHAnsi"/>
          <w:color w:val="000000"/>
          <w:szCs w:val="20"/>
        </w:rPr>
        <w:t>which means that the Department may be required to grant access to documents in its</w:t>
      </w:r>
      <w:r w:rsidR="00A3482F" w:rsidRPr="00E754F2">
        <w:rPr>
          <w:rFonts w:cstheme="minorHAnsi"/>
          <w:color w:val="000000"/>
          <w:szCs w:val="20"/>
        </w:rPr>
        <w:t xml:space="preserve"> </w:t>
      </w:r>
      <w:r w:rsidRPr="00E754F2">
        <w:rPr>
          <w:rFonts w:cstheme="minorHAnsi"/>
          <w:color w:val="000000"/>
          <w:szCs w:val="20"/>
        </w:rPr>
        <w:t>possession.</w:t>
      </w:r>
    </w:p>
    <w:p w:rsidR="00A3482F" w:rsidRPr="00E754F2" w:rsidRDefault="00A3482F" w:rsidP="00B1012C">
      <w:pPr>
        <w:autoSpaceDE w:val="0"/>
        <w:autoSpaceDN w:val="0"/>
        <w:adjustRightInd w:val="0"/>
        <w:spacing w:before="0" w:after="0"/>
        <w:rPr>
          <w:rFonts w:cstheme="minorHAnsi"/>
          <w:color w:val="000000"/>
          <w:szCs w:val="20"/>
        </w:rPr>
      </w:pPr>
    </w:p>
    <w:p w:rsidR="00B1012C" w:rsidRPr="00E754F2" w:rsidRDefault="00B1012C" w:rsidP="00B1012C">
      <w:pPr>
        <w:autoSpaceDE w:val="0"/>
        <w:autoSpaceDN w:val="0"/>
        <w:adjustRightInd w:val="0"/>
        <w:spacing w:before="0" w:after="0"/>
        <w:rPr>
          <w:rFonts w:cstheme="minorHAnsi"/>
          <w:color w:val="000000"/>
          <w:szCs w:val="20"/>
        </w:rPr>
      </w:pPr>
      <w:r w:rsidRPr="00E754F2">
        <w:rPr>
          <w:rFonts w:cstheme="minorHAnsi"/>
          <w:color w:val="000000"/>
          <w:szCs w:val="20"/>
        </w:rPr>
        <w:t>Even if a document is considered commercial-in-confidence, this does not mean that access under this Act can</w:t>
      </w:r>
      <w:r w:rsidR="00A3482F" w:rsidRPr="00E754F2">
        <w:rPr>
          <w:rFonts w:cstheme="minorHAnsi"/>
          <w:color w:val="000000"/>
          <w:szCs w:val="20"/>
        </w:rPr>
        <w:t xml:space="preserve"> </w:t>
      </w:r>
      <w:r w:rsidRPr="00E754F2">
        <w:rPr>
          <w:rFonts w:cstheme="minorHAnsi"/>
          <w:color w:val="000000"/>
          <w:szCs w:val="20"/>
        </w:rPr>
        <w:t>be denied. The Department is required to consult with the author of the document when that document</w:t>
      </w:r>
      <w:r w:rsidR="00A3482F" w:rsidRPr="00E754F2">
        <w:rPr>
          <w:rFonts w:cstheme="minorHAnsi"/>
          <w:color w:val="000000"/>
          <w:szCs w:val="20"/>
        </w:rPr>
        <w:t xml:space="preserve"> </w:t>
      </w:r>
      <w:r w:rsidRPr="00E754F2">
        <w:rPr>
          <w:rFonts w:cstheme="minorHAnsi"/>
          <w:color w:val="000000"/>
          <w:szCs w:val="20"/>
        </w:rPr>
        <w:t>appears to have commercial-in-confidence material, and take the author’s views into account when deciding</w:t>
      </w:r>
      <w:r w:rsidR="00A3482F" w:rsidRPr="00E754F2">
        <w:rPr>
          <w:rFonts w:cstheme="minorHAnsi"/>
          <w:color w:val="000000"/>
          <w:szCs w:val="20"/>
        </w:rPr>
        <w:t xml:space="preserve"> </w:t>
      </w:r>
      <w:r w:rsidRPr="00E754F2">
        <w:rPr>
          <w:rFonts w:cstheme="minorHAnsi"/>
          <w:color w:val="000000"/>
          <w:szCs w:val="20"/>
        </w:rPr>
        <w:t>to grant / not grant access to documents.</w:t>
      </w:r>
    </w:p>
    <w:p w:rsidR="00A3482F" w:rsidRPr="00E754F2" w:rsidRDefault="00A3482F" w:rsidP="00B1012C">
      <w:pPr>
        <w:autoSpaceDE w:val="0"/>
        <w:autoSpaceDN w:val="0"/>
        <w:adjustRightInd w:val="0"/>
        <w:spacing w:before="0" w:after="0"/>
        <w:rPr>
          <w:rFonts w:cstheme="minorHAnsi"/>
          <w:color w:val="000000"/>
          <w:szCs w:val="20"/>
        </w:rPr>
      </w:pPr>
    </w:p>
    <w:p w:rsidR="00B1012C" w:rsidRPr="00E754F2" w:rsidRDefault="00B1012C" w:rsidP="00B1012C">
      <w:pPr>
        <w:autoSpaceDE w:val="0"/>
        <w:autoSpaceDN w:val="0"/>
        <w:adjustRightInd w:val="0"/>
        <w:spacing w:before="0" w:after="0"/>
        <w:rPr>
          <w:rFonts w:cstheme="minorHAnsi"/>
          <w:b/>
          <w:bCs/>
          <w:color w:val="000000"/>
          <w:szCs w:val="20"/>
        </w:rPr>
      </w:pPr>
      <w:r w:rsidRPr="00E754F2">
        <w:rPr>
          <w:rFonts w:cstheme="minorHAnsi"/>
          <w:b/>
          <w:bCs/>
          <w:color w:val="000000"/>
          <w:szCs w:val="20"/>
        </w:rPr>
        <w:t>Confidential material</w:t>
      </w:r>
    </w:p>
    <w:p w:rsidR="00B1012C" w:rsidRPr="00E754F2" w:rsidRDefault="00B1012C" w:rsidP="00B1012C">
      <w:pPr>
        <w:autoSpaceDE w:val="0"/>
        <w:autoSpaceDN w:val="0"/>
        <w:adjustRightInd w:val="0"/>
        <w:spacing w:before="0" w:after="0"/>
        <w:rPr>
          <w:rFonts w:cstheme="minorHAnsi"/>
          <w:color w:val="000000"/>
          <w:szCs w:val="20"/>
        </w:rPr>
      </w:pPr>
      <w:r w:rsidRPr="00E754F2">
        <w:rPr>
          <w:rFonts w:cstheme="minorHAnsi"/>
          <w:color w:val="000000"/>
          <w:szCs w:val="20"/>
        </w:rPr>
        <w:t xml:space="preserve">It is accepted that documents submitted throughout the MSAC process may contain information the </w:t>
      </w:r>
      <w:r w:rsidR="00A2238F" w:rsidRPr="00E754F2">
        <w:rPr>
          <w:rFonts w:cstheme="minorHAnsi"/>
          <w:color w:val="000000"/>
          <w:szCs w:val="20"/>
        </w:rPr>
        <w:t xml:space="preserve">supplier </w:t>
      </w:r>
      <w:r w:rsidRPr="00E754F2">
        <w:rPr>
          <w:rFonts w:cstheme="minorHAnsi"/>
          <w:color w:val="000000"/>
          <w:szCs w:val="20"/>
        </w:rPr>
        <w:t>believes is confidential.</w:t>
      </w:r>
    </w:p>
    <w:p w:rsidR="00A3482F" w:rsidRPr="00E754F2" w:rsidRDefault="00A3482F" w:rsidP="00B1012C">
      <w:pPr>
        <w:autoSpaceDE w:val="0"/>
        <w:autoSpaceDN w:val="0"/>
        <w:adjustRightInd w:val="0"/>
        <w:spacing w:before="0" w:after="0"/>
        <w:rPr>
          <w:rFonts w:cstheme="minorHAnsi"/>
          <w:color w:val="000000"/>
          <w:szCs w:val="20"/>
        </w:rPr>
      </w:pPr>
    </w:p>
    <w:p w:rsidR="00B1012C" w:rsidRPr="00E754F2" w:rsidRDefault="00B1012C" w:rsidP="00B1012C">
      <w:pPr>
        <w:autoSpaceDE w:val="0"/>
        <w:autoSpaceDN w:val="0"/>
        <w:adjustRightInd w:val="0"/>
        <w:spacing w:before="0" w:after="0"/>
        <w:rPr>
          <w:rFonts w:cstheme="minorHAnsi"/>
          <w:color w:val="000000"/>
          <w:szCs w:val="20"/>
        </w:rPr>
      </w:pPr>
      <w:r w:rsidRPr="00E754F2">
        <w:rPr>
          <w:rFonts w:cstheme="minorHAnsi"/>
          <w:color w:val="000000"/>
          <w:szCs w:val="20"/>
        </w:rPr>
        <w:t>However, these claims will be agreed to by the Department on a case-by-case basis, in line with current</w:t>
      </w:r>
      <w:r w:rsidR="00A3482F" w:rsidRPr="00E754F2">
        <w:rPr>
          <w:rFonts w:cstheme="minorHAnsi"/>
          <w:color w:val="000000"/>
          <w:szCs w:val="20"/>
        </w:rPr>
        <w:t xml:space="preserve"> </w:t>
      </w:r>
      <w:r w:rsidRPr="00E754F2">
        <w:rPr>
          <w:rFonts w:cstheme="minorHAnsi"/>
          <w:color w:val="000000"/>
          <w:szCs w:val="20"/>
        </w:rPr>
        <w:t>Government policies (these include, but are not limited to, statistical data and positions of trust</w:t>
      </w:r>
      <w:r w:rsidR="00A3482F" w:rsidRPr="00E754F2">
        <w:rPr>
          <w:rFonts w:cstheme="minorHAnsi"/>
          <w:color w:val="000000"/>
          <w:szCs w:val="20"/>
        </w:rPr>
        <w:t xml:space="preserve"> </w:t>
      </w:r>
      <w:r w:rsidRPr="00E754F2">
        <w:rPr>
          <w:rFonts w:cstheme="minorHAnsi"/>
          <w:color w:val="000000"/>
          <w:szCs w:val="20"/>
        </w:rPr>
        <w:t>classifications).</w:t>
      </w:r>
    </w:p>
    <w:p w:rsidR="00A3482F" w:rsidRPr="00E754F2" w:rsidRDefault="00A3482F" w:rsidP="00B1012C">
      <w:pPr>
        <w:autoSpaceDE w:val="0"/>
        <w:autoSpaceDN w:val="0"/>
        <w:adjustRightInd w:val="0"/>
        <w:spacing w:before="0" w:after="0"/>
        <w:rPr>
          <w:rFonts w:cstheme="minorHAnsi"/>
          <w:color w:val="000000"/>
          <w:szCs w:val="20"/>
        </w:rPr>
      </w:pPr>
    </w:p>
    <w:p w:rsidR="00A3482F" w:rsidRPr="00E754F2" w:rsidRDefault="00B1012C" w:rsidP="00A3482F">
      <w:pPr>
        <w:autoSpaceDE w:val="0"/>
        <w:autoSpaceDN w:val="0"/>
        <w:adjustRightInd w:val="0"/>
        <w:spacing w:before="0" w:after="0"/>
        <w:rPr>
          <w:rFonts w:cstheme="minorHAnsi"/>
          <w:color w:val="000000"/>
          <w:szCs w:val="20"/>
        </w:rPr>
      </w:pPr>
      <w:r w:rsidRPr="00E754F2">
        <w:rPr>
          <w:rFonts w:cstheme="minorHAnsi"/>
          <w:color w:val="000000"/>
          <w:szCs w:val="20"/>
        </w:rPr>
        <w:t xml:space="preserve">In any claim for confidentiality, the </w:t>
      </w:r>
      <w:r w:rsidR="002B1145" w:rsidRPr="00E754F2">
        <w:rPr>
          <w:rFonts w:cstheme="minorHAnsi"/>
          <w:color w:val="000000"/>
          <w:szCs w:val="20"/>
        </w:rPr>
        <w:t>supplier</w:t>
      </w:r>
      <w:r w:rsidR="00A2238F" w:rsidRPr="00E754F2">
        <w:rPr>
          <w:rFonts w:cstheme="minorHAnsi"/>
          <w:color w:val="000000"/>
          <w:szCs w:val="20"/>
        </w:rPr>
        <w:t xml:space="preserve"> </w:t>
      </w:r>
      <w:r w:rsidRPr="00E754F2">
        <w:rPr>
          <w:rFonts w:cstheme="minorHAnsi"/>
          <w:color w:val="000000"/>
          <w:szCs w:val="20"/>
        </w:rPr>
        <w:t>will be asked to state the basis on which the claim for</w:t>
      </w:r>
      <w:r w:rsidR="00A3482F" w:rsidRPr="00E754F2">
        <w:rPr>
          <w:rFonts w:cstheme="minorHAnsi"/>
          <w:color w:val="000000"/>
          <w:szCs w:val="20"/>
        </w:rPr>
        <w:t xml:space="preserve"> </w:t>
      </w:r>
      <w:r w:rsidRPr="00E754F2">
        <w:rPr>
          <w:rFonts w:cstheme="minorHAnsi"/>
          <w:color w:val="000000"/>
          <w:szCs w:val="20"/>
        </w:rPr>
        <w:t>confidentiality is being made. Further information on the relevant Government policies is available at</w:t>
      </w:r>
      <w:r w:rsidR="00A3482F" w:rsidRPr="00E754F2">
        <w:rPr>
          <w:rFonts w:cstheme="minorHAnsi"/>
          <w:color w:val="000000"/>
          <w:szCs w:val="20"/>
        </w:rPr>
        <w:t xml:space="preserve"> </w:t>
      </w:r>
      <w:r w:rsidRPr="00E754F2">
        <w:rPr>
          <w:rFonts w:cstheme="minorHAnsi"/>
          <w:color w:val="000000"/>
          <w:szCs w:val="20"/>
        </w:rPr>
        <w:t>Australian Governments Solicitors - Legal Briefing - number 64 - "Identifying and Protecting Confidential</w:t>
      </w:r>
      <w:r w:rsidR="00A3482F" w:rsidRPr="00E754F2">
        <w:rPr>
          <w:rFonts w:cstheme="minorHAnsi"/>
          <w:color w:val="000000"/>
          <w:szCs w:val="20"/>
        </w:rPr>
        <w:t xml:space="preserve"> </w:t>
      </w:r>
      <w:r w:rsidRPr="00E754F2">
        <w:rPr>
          <w:rFonts w:cstheme="minorHAnsi"/>
          <w:color w:val="000000"/>
          <w:szCs w:val="20"/>
        </w:rPr>
        <w:t xml:space="preserve">Information" webpage, located at </w:t>
      </w:r>
      <w:hyperlink r:id="rId12" w:history="1">
        <w:r w:rsidR="00A3482F" w:rsidRPr="00E754F2">
          <w:rPr>
            <w:rStyle w:val="Hyperlink"/>
            <w:rFonts w:cstheme="minorHAnsi"/>
            <w:szCs w:val="20"/>
          </w:rPr>
          <w:t>http://www.ags.gov.au/publications/legal-briefing/br64.htm</w:t>
        </w:r>
      </w:hyperlink>
      <w:r w:rsidRPr="00E754F2">
        <w:rPr>
          <w:rFonts w:cstheme="minorHAnsi"/>
          <w:color w:val="000000"/>
          <w:szCs w:val="20"/>
        </w:rPr>
        <w:t>.</w:t>
      </w:r>
    </w:p>
    <w:p w:rsidR="00A3482F" w:rsidRPr="00E754F2" w:rsidRDefault="00A3482F" w:rsidP="00A3482F">
      <w:pPr>
        <w:autoSpaceDE w:val="0"/>
        <w:autoSpaceDN w:val="0"/>
        <w:adjustRightInd w:val="0"/>
        <w:spacing w:before="0" w:after="0"/>
        <w:rPr>
          <w:rFonts w:cstheme="minorHAnsi"/>
          <w:color w:val="000000"/>
          <w:szCs w:val="20"/>
        </w:rPr>
      </w:pPr>
    </w:p>
    <w:p w:rsidR="00A3482F" w:rsidRPr="00E754F2" w:rsidRDefault="00A3482F" w:rsidP="00A3482F">
      <w:pPr>
        <w:autoSpaceDE w:val="0"/>
        <w:autoSpaceDN w:val="0"/>
        <w:adjustRightInd w:val="0"/>
        <w:spacing w:before="0" w:after="0"/>
        <w:rPr>
          <w:rFonts w:cstheme="minorHAnsi"/>
          <w:b/>
          <w:bCs/>
          <w:szCs w:val="20"/>
        </w:rPr>
      </w:pPr>
      <w:r w:rsidRPr="00E754F2">
        <w:rPr>
          <w:rFonts w:cstheme="minorHAnsi"/>
          <w:b/>
          <w:bCs/>
          <w:szCs w:val="20"/>
        </w:rPr>
        <w:t>Dissemination of the Submission Form and Evidence</w:t>
      </w:r>
    </w:p>
    <w:p w:rsidR="00A3482F" w:rsidRPr="00F37D67" w:rsidRDefault="009B4815" w:rsidP="00A3482F">
      <w:pPr>
        <w:autoSpaceDE w:val="0"/>
        <w:autoSpaceDN w:val="0"/>
        <w:adjustRightInd w:val="0"/>
        <w:spacing w:before="0" w:after="0"/>
        <w:rPr>
          <w:rFonts w:cstheme="minorHAnsi"/>
          <w:szCs w:val="20"/>
        </w:rPr>
      </w:pPr>
      <w:r w:rsidRPr="00E754F2">
        <w:rPr>
          <w:rFonts w:cstheme="minorHAnsi"/>
          <w:szCs w:val="20"/>
        </w:rPr>
        <w:t xml:space="preserve">Submissions made by suppliers </w:t>
      </w:r>
      <w:r w:rsidR="00A3482F" w:rsidRPr="00E754F2">
        <w:rPr>
          <w:rFonts w:cstheme="minorHAnsi"/>
          <w:szCs w:val="20"/>
        </w:rPr>
        <w:t xml:space="preserve">will be disseminated to MSAC committee and sub-committees, professional bodies / organisations and other individuals and organisations that the Department has deemed should be consulted with. </w:t>
      </w:r>
    </w:p>
    <w:p w:rsidR="00A3482F" w:rsidRPr="00F37D67" w:rsidRDefault="00A3482F" w:rsidP="00A3482F">
      <w:pPr>
        <w:autoSpaceDE w:val="0"/>
        <w:autoSpaceDN w:val="0"/>
        <w:adjustRightInd w:val="0"/>
        <w:spacing w:before="0" w:after="0"/>
        <w:rPr>
          <w:rFonts w:cstheme="minorHAnsi"/>
          <w:szCs w:val="20"/>
        </w:rPr>
      </w:pPr>
    </w:p>
    <w:p w:rsidR="00836083" w:rsidRDefault="00836083" w:rsidP="00836083">
      <w:pPr>
        <w:pStyle w:val="ListParagraph"/>
        <w:numPr>
          <w:ilvl w:val="0"/>
          <w:numId w:val="41"/>
        </w:numPr>
        <w:spacing w:before="0" w:after="0"/>
        <w:ind w:left="426" w:hanging="426"/>
        <w:jc w:val="both"/>
        <w:rPr>
          <w:rStyle w:val="IntenseReference"/>
          <w:b/>
          <w:szCs w:val="28"/>
        </w:rPr>
      </w:pPr>
      <w:r>
        <w:rPr>
          <w:rStyle w:val="IntenseReference"/>
          <w:b/>
          <w:szCs w:val="28"/>
        </w:rPr>
        <w:t>Making submissions for the CGM Review</w:t>
      </w:r>
    </w:p>
    <w:p w:rsidR="00836083" w:rsidRPr="00E754F2" w:rsidRDefault="00836083" w:rsidP="00F37D67">
      <w:pPr>
        <w:autoSpaceDE w:val="0"/>
        <w:autoSpaceDN w:val="0"/>
        <w:adjustRightInd w:val="0"/>
        <w:spacing w:before="0" w:after="0"/>
        <w:rPr>
          <w:rStyle w:val="IntenseReference"/>
          <w:rFonts w:cstheme="minorHAnsi"/>
          <w:sz w:val="20"/>
          <w:szCs w:val="20"/>
        </w:rPr>
      </w:pPr>
    </w:p>
    <w:p w:rsidR="00836083" w:rsidRDefault="00836083" w:rsidP="00836083">
      <w:pPr>
        <w:spacing w:before="0" w:after="0"/>
        <w:jc w:val="both"/>
        <w:rPr>
          <w:szCs w:val="20"/>
        </w:rPr>
      </w:pPr>
      <w:r w:rsidRPr="00E754F2">
        <w:rPr>
          <w:szCs w:val="20"/>
        </w:rPr>
        <w:t xml:space="preserve">Complete the following form for </w:t>
      </w:r>
      <w:r w:rsidR="00F2188A" w:rsidRPr="00E754F2">
        <w:rPr>
          <w:szCs w:val="20"/>
        </w:rPr>
        <w:t xml:space="preserve">any </w:t>
      </w:r>
      <w:r w:rsidRPr="00E754F2">
        <w:rPr>
          <w:szCs w:val="20"/>
        </w:rPr>
        <w:t xml:space="preserve">products you wish to have considered by the Review.  </w:t>
      </w:r>
    </w:p>
    <w:p w:rsidR="002D0D0F" w:rsidRDefault="002D0D0F" w:rsidP="002D0D0F">
      <w:pPr>
        <w:pStyle w:val="ListParagraph"/>
        <w:numPr>
          <w:ilvl w:val="0"/>
          <w:numId w:val="43"/>
        </w:numPr>
        <w:spacing w:before="0" w:after="0"/>
        <w:jc w:val="both"/>
        <w:rPr>
          <w:szCs w:val="20"/>
        </w:rPr>
      </w:pPr>
      <w:r>
        <w:rPr>
          <w:szCs w:val="20"/>
        </w:rPr>
        <w:t>In case of currently listed/subsidised CGM products, each supplier may make one submission.</w:t>
      </w:r>
    </w:p>
    <w:p w:rsidR="002D0D0F" w:rsidRPr="002D0D0F" w:rsidRDefault="002D0D0F" w:rsidP="002D0D0F">
      <w:pPr>
        <w:pStyle w:val="ListParagraph"/>
        <w:numPr>
          <w:ilvl w:val="0"/>
          <w:numId w:val="43"/>
        </w:numPr>
        <w:spacing w:before="0" w:after="0"/>
        <w:jc w:val="both"/>
        <w:rPr>
          <w:szCs w:val="20"/>
        </w:rPr>
      </w:pPr>
      <w:r>
        <w:rPr>
          <w:szCs w:val="20"/>
        </w:rPr>
        <w:t xml:space="preserve">For additional products that are not currently subsidised by the Commonwealth, a submission made by the supplier does not automatically guarantee subsidisation by the Commonwealth.  </w:t>
      </w:r>
    </w:p>
    <w:p w:rsidR="00836083" w:rsidRPr="00E754F2" w:rsidRDefault="00836083" w:rsidP="00836083">
      <w:pPr>
        <w:spacing w:before="0" w:after="0"/>
        <w:jc w:val="both"/>
        <w:rPr>
          <w:szCs w:val="20"/>
        </w:rPr>
      </w:pPr>
    </w:p>
    <w:p w:rsidR="00F2188A" w:rsidRPr="00E754F2" w:rsidRDefault="00F2188A" w:rsidP="002D0D0F">
      <w:pPr>
        <w:spacing w:before="0" w:after="0"/>
        <w:rPr>
          <w:rFonts w:cstheme="minorHAnsi"/>
          <w:szCs w:val="20"/>
        </w:rPr>
      </w:pPr>
      <w:r w:rsidRPr="00E754F2">
        <w:rPr>
          <w:szCs w:val="20"/>
        </w:rPr>
        <w:t xml:space="preserve">Please email your full submission in PDF </w:t>
      </w:r>
      <w:r w:rsidR="002D0D0F">
        <w:rPr>
          <w:szCs w:val="20"/>
        </w:rPr>
        <w:t xml:space="preserve">and MS Word </w:t>
      </w:r>
      <w:r w:rsidRPr="00E754F2">
        <w:rPr>
          <w:szCs w:val="20"/>
        </w:rPr>
        <w:t xml:space="preserve">format </w:t>
      </w:r>
      <w:r w:rsidRPr="00E754F2">
        <w:rPr>
          <w:rFonts w:cstheme="minorHAnsi"/>
          <w:szCs w:val="20"/>
        </w:rPr>
        <w:t xml:space="preserve">to: </w:t>
      </w:r>
      <w:hyperlink r:id="rId13" w:history="1">
        <w:r w:rsidRPr="00E754F2">
          <w:rPr>
            <w:szCs w:val="20"/>
            <w:u w:val="single"/>
          </w:rPr>
          <w:t>cgm@health.gov.au</w:t>
        </w:r>
      </w:hyperlink>
      <w:r w:rsidRPr="00E754F2">
        <w:rPr>
          <w:szCs w:val="20"/>
        </w:rPr>
        <w:t>, and cc</w:t>
      </w:r>
      <w:r w:rsidRPr="00E754F2">
        <w:rPr>
          <w:rStyle w:val="Hyperlink"/>
          <w:rFonts w:cstheme="minorHAnsi"/>
          <w:color w:val="000000" w:themeColor="text1"/>
          <w:szCs w:val="20"/>
          <w:u w:val="none"/>
        </w:rPr>
        <w:t xml:space="preserve">: </w:t>
      </w:r>
      <w:hyperlink r:id="rId14" w:history="1">
        <w:r w:rsidRPr="00E754F2">
          <w:rPr>
            <w:rStyle w:val="Hyperlink"/>
            <w:rFonts w:cstheme="minorHAnsi"/>
            <w:color w:val="000000" w:themeColor="text1"/>
            <w:szCs w:val="20"/>
          </w:rPr>
          <w:t>hta@health.gov.au</w:t>
        </w:r>
      </w:hyperlink>
      <w:r w:rsidRPr="00E754F2">
        <w:rPr>
          <w:rFonts w:cstheme="minorHAnsi"/>
          <w:color w:val="000000" w:themeColor="text1"/>
          <w:szCs w:val="20"/>
        </w:rPr>
        <w:t>.</w:t>
      </w:r>
    </w:p>
    <w:p w:rsidR="00F2188A" w:rsidRPr="00E754F2" w:rsidRDefault="00F2188A" w:rsidP="00F2188A">
      <w:pPr>
        <w:spacing w:before="0" w:after="0"/>
        <w:jc w:val="both"/>
        <w:rPr>
          <w:rFonts w:cstheme="minorHAnsi"/>
          <w:szCs w:val="20"/>
        </w:rPr>
      </w:pPr>
    </w:p>
    <w:p w:rsidR="00F2188A" w:rsidRPr="00E754F2" w:rsidRDefault="00F2188A" w:rsidP="002D0D0F">
      <w:pPr>
        <w:spacing w:before="0" w:after="0"/>
        <w:rPr>
          <w:rFonts w:cstheme="minorHAnsi"/>
          <w:szCs w:val="20"/>
        </w:rPr>
      </w:pPr>
      <w:r w:rsidRPr="00E754F2">
        <w:rPr>
          <w:rFonts w:cstheme="minorHAnsi"/>
          <w:szCs w:val="20"/>
        </w:rPr>
        <w:t>When you email your submission and attachments, depending on the file size of your document</w:t>
      </w:r>
      <w:r w:rsidR="002D0D0F">
        <w:rPr>
          <w:rFonts w:cstheme="minorHAnsi"/>
          <w:szCs w:val="20"/>
        </w:rPr>
        <w:t>s</w:t>
      </w:r>
      <w:r w:rsidRPr="00E754F2">
        <w:rPr>
          <w:rFonts w:cstheme="minorHAnsi"/>
          <w:szCs w:val="20"/>
        </w:rPr>
        <w:t xml:space="preserve">, you may need to split the files into parts.  If this is the case, please include a list of all parts and </w:t>
      </w:r>
      <w:r w:rsidR="00A13ECC" w:rsidRPr="00E754F2">
        <w:rPr>
          <w:rFonts w:cstheme="minorHAnsi"/>
          <w:szCs w:val="20"/>
        </w:rPr>
        <w:t xml:space="preserve">documents </w:t>
      </w:r>
      <w:r w:rsidRPr="00E754F2">
        <w:rPr>
          <w:rFonts w:cstheme="minorHAnsi"/>
          <w:szCs w:val="20"/>
        </w:rPr>
        <w:t>in each part, so that we can compile your submission in accordance with your list.</w:t>
      </w:r>
    </w:p>
    <w:p w:rsidR="00F2188A" w:rsidRPr="00E754F2" w:rsidRDefault="00F2188A" w:rsidP="00F2188A">
      <w:pPr>
        <w:spacing w:before="0" w:after="0"/>
        <w:jc w:val="both"/>
        <w:rPr>
          <w:rFonts w:cstheme="minorHAnsi"/>
          <w:szCs w:val="20"/>
        </w:rPr>
      </w:pPr>
    </w:p>
    <w:p w:rsidR="00F2188A" w:rsidRPr="00E754F2" w:rsidRDefault="00F2188A" w:rsidP="00F2188A">
      <w:pPr>
        <w:spacing w:before="0" w:after="0"/>
        <w:jc w:val="both"/>
        <w:rPr>
          <w:rFonts w:cstheme="minorHAnsi"/>
          <w:szCs w:val="20"/>
        </w:rPr>
      </w:pPr>
      <w:r w:rsidRPr="00E754F2">
        <w:rPr>
          <w:rFonts w:cstheme="minorHAnsi"/>
          <w:b/>
          <w:szCs w:val="20"/>
        </w:rPr>
        <w:t>All submissions must be received by 12 pm (AEDT) on 12 February 2021</w:t>
      </w:r>
      <w:r w:rsidRPr="00E754F2">
        <w:rPr>
          <w:rFonts w:cstheme="minorHAnsi"/>
          <w:szCs w:val="20"/>
        </w:rPr>
        <w:t>.</w:t>
      </w:r>
    </w:p>
    <w:p w:rsidR="00836083" w:rsidRPr="00E754F2" w:rsidRDefault="00836083" w:rsidP="00836083">
      <w:pPr>
        <w:spacing w:before="0" w:after="0"/>
        <w:jc w:val="both"/>
        <w:rPr>
          <w:rFonts w:cstheme="minorHAnsi"/>
          <w:szCs w:val="20"/>
        </w:rPr>
      </w:pPr>
    </w:p>
    <w:p w:rsidR="007D471D" w:rsidRPr="00E754F2" w:rsidRDefault="007D471D" w:rsidP="00F37D67">
      <w:pPr>
        <w:autoSpaceDE w:val="0"/>
        <w:autoSpaceDN w:val="0"/>
        <w:adjustRightInd w:val="0"/>
        <w:spacing w:before="0" w:after="0"/>
        <w:rPr>
          <w:rStyle w:val="IntenseReference"/>
          <w:rFonts w:cstheme="minorHAnsi"/>
          <w:bCs/>
          <w:color w:val="4F81BD" w:themeColor="accent1"/>
          <w:sz w:val="20"/>
          <w:szCs w:val="20"/>
        </w:rPr>
      </w:pPr>
      <w:r w:rsidRPr="00E754F2">
        <w:rPr>
          <w:rStyle w:val="IntenseReference"/>
          <w:rFonts w:cstheme="minorHAnsi"/>
          <w:sz w:val="20"/>
          <w:szCs w:val="20"/>
        </w:rPr>
        <w:br w:type="page"/>
      </w:r>
    </w:p>
    <w:p w:rsidR="002F0C62" w:rsidRDefault="002F0C62" w:rsidP="002F0C62">
      <w:pPr>
        <w:pStyle w:val="Title"/>
        <w:spacing w:before="120" w:after="120"/>
        <w:rPr>
          <w:rFonts w:asciiTheme="minorHAnsi" w:hAnsiTheme="minorHAnsi" w:cstheme="minorHAnsi"/>
          <w:color w:val="000000" w:themeColor="text1"/>
          <w:sz w:val="32"/>
        </w:rPr>
      </w:pPr>
      <w:r w:rsidRPr="002F0C62">
        <w:rPr>
          <w:rFonts w:asciiTheme="minorHAnsi" w:hAnsiTheme="minorHAnsi" w:cstheme="minorHAnsi"/>
          <w:color w:val="000000" w:themeColor="text1"/>
          <w:sz w:val="32"/>
        </w:rPr>
        <w:lastRenderedPageBreak/>
        <w:t>Supplier Submission Form</w:t>
      </w:r>
      <w:r>
        <w:rPr>
          <w:rFonts w:asciiTheme="minorHAnsi" w:hAnsiTheme="minorHAnsi" w:cstheme="minorHAnsi"/>
          <w:color w:val="000000" w:themeColor="text1"/>
          <w:sz w:val="32"/>
        </w:rPr>
        <w:t xml:space="preserve"> </w:t>
      </w:r>
      <w:r w:rsidRPr="002F0C62">
        <w:rPr>
          <w:rFonts w:asciiTheme="minorHAnsi" w:hAnsiTheme="minorHAnsi" w:cstheme="minorHAnsi"/>
          <w:color w:val="000000" w:themeColor="text1"/>
          <w:sz w:val="32"/>
        </w:rPr>
        <w:t>for</w:t>
      </w:r>
      <w:r>
        <w:rPr>
          <w:rFonts w:asciiTheme="minorHAnsi" w:hAnsiTheme="minorHAnsi" w:cstheme="minorHAnsi"/>
          <w:color w:val="000000" w:themeColor="text1"/>
          <w:sz w:val="32"/>
        </w:rPr>
        <w:t xml:space="preserve"> </w:t>
      </w:r>
      <w:r w:rsidRPr="002F0C62">
        <w:rPr>
          <w:rFonts w:asciiTheme="minorHAnsi" w:hAnsiTheme="minorHAnsi" w:cstheme="minorHAnsi"/>
          <w:color w:val="000000" w:themeColor="text1"/>
          <w:sz w:val="32"/>
        </w:rPr>
        <w:t>Review of CGM Products</w:t>
      </w:r>
    </w:p>
    <w:p w:rsidR="002F0C62" w:rsidRPr="002F0C62" w:rsidRDefault="002F0C62" w:rsidP="002F0C62"/>
    <w:p w:rsidR="00E04FB3" w:rsidRPr="00F37D67" w:rsidRDefault="00494011" w:rsidP="00E51E9C">
      <w:pPr>
        <w:pStyle w:val="Heading1"/>
        <w:spacing w:after="240" w:line="240" w:lineRule="auto"/>
        <w:ind w:left="1559" w:hanging="1559"/>
        <w:rPr>
          <w:rFonts w:cstheme="minorHAnsi"/>
          <w:sz w:val="36"/>
        </w:rPr>
      </w:pPr>
      <w:r w:rsidRPr="00F37D67">
        <w:rPr>
          <w:rFonts w:cstheme="minorHAnsi"/>
          <w:sz w:val="36"/>
        </w:rPr>
        <w:t>PART 1</w:t>
      </w:r>
      <w:r w:rsidR="00F93784" w:rsidRPr="00F37D67">
        <w:rPr>
          <w:rFonts w:cstheme="minorHAnsi"/>
          <w:sz w:val="36"/>
        </w:rPr>
        <w:t xml:space="preserve"> –</w:t>
      </w:r>
      <w:r w:rsidR="001A04C6">
        <w:rPr>
          <w:rFonts w:cstheme="minorHAnsi"/>
          <w:sz w:val="36"/>
        </w:rPr>
        <w:t xml:space="preserve"> PERSON</w:t>
      </w:r>
      <w:r w:rsidR="00A2238F">
        <w:rPr>
          <w:rFonts w:cstheme="minorHAnsi"/>
          <w:sz w:val="36"/>
        </w:rPr>
        <w:t xml:space="preserve">AL AND ORGANISATIONAL </w:t>
      </w:r>
      <w:r w:rsidR="00E04FB3" w:rsidRPr="00F37D67">
        <w:rPr>
          <w:rFonts w:cstheme="minorHAnsi"/>
          <w:sz w:val="36"/>
        </w:rPr>
        <w:t>DETAILS</w:t>
      </w:r>
    </w:p>
    <w:p w:rsidR="00392F00" w:rsidRPr="00E754F2" w:rsidRDefault="002B1145" w:rsidP="00404156">
      <w:pPr>
        <w:pStyle w:val="Heading2"/>
        <w:spacing w:before="240"/>
        <w:ind w:left="357" w:hanging="357"/>
        <w:contextualSpacing w:val="0"/>
        <w:rPr>
          <w:rFonts w:cstheme="minorHAnsi"/>
        </w:rPr>
      </w:pPr>
      <w:r w:rsidRPr="00E754F2">
        <w:rPr>
          <w:rFonts w:cstheme="minorHAnsi"/>
        </w:rPr>
        <w:t>Supplier</w:t>
      </w:r>
      <w:r w:rsidR="00A2238F" w:rsidRPr="00E754F2">
        <w:rPr>
          <w:rFonts w:cstheme="minorHAnsi"/>
        </w:rPr>
        <w:t xml:space="preserve"> </w:t>
      </w:r>
      <w:r w:rsidR="00D57F88" w:rsidRPr="00E754F2">
        <w:rPr>
          <w:rFonts w:cstheme="minorHAnsi"/>
        </w:rPr>
        <w:t>d</w:t>
      </w:r>
      <w:r w:rsidR="00392F00" w:rsidRPr="00E754F2">
        <w:rPr>
          <w:rFonts w:cstheme="minorHAnsi"/>
        </w:rPr>
        <w:t>etails</w:t>
      </w:r>
    </w:p>
    <w:p w:rsidR="00A8507E" w:rsidRPr="00E754F2" w:rsidRDefault="00A8507E" w:rsidP="00A8507E">
      <w:pPr>
        <w:spacing w:before="0" w:after="0"/>
        <w:rPr>
          <w:rFonts w:cstheme="minorHAnsi"/>
          <w:szCs w:val="20"/>
        </w:rPr>
      </w:pPr>
    </w:p>
    <w:p w:rsidR="00A8507E" w:rsidRPr="00E754F2" w:rsidRDefault="00A8507E" w:rsidP="00A8507E">
      <w:pPr>
        <w:spacing w:before="0" w:after="240"/>
        <w:ind w:left="425"/>
        <w:rPr>
          <w:rFonts w:cstheme="minorHAnsi"/>
          <w:szCs w:val="20"/>
        </w:rPr>
      </w:pPr>
      <w:r w:rsidRPr="00E754F2">
        <w:rPr>
          <w:rFonts w:cstheme="minorHAnsi"/>
          <w:szCs w:val="20"/>
        </w:rPr>
        <w:t xml:space="preserve">Entity name (business, corporation or organisation name): </w:t>
      </w:r>
    </w:p>
    <w:p w:rsidR="00A8507E" w:rsidRPr="00E754F2" w:rsidRDefault="00A8507E" w:rsidP="00A8507E">
      <w:pPr>
        <w:spacing w:after="240"/>
        <w:ind w:left="426"/>
        <w:rPr>
          <w:rFonts w:cstheme="minorHAnsi"/>
          <w:szCs w:val="20"/>
        </w:rPr>
      </w:pPr>
      <w:r w:rsidRPr="00E754F2">
        <w:rPr>
          <w:rFonts w:cstheme="minorHAnsi"/>
          <w:szCs w:val="20"/>
        </w:rPr>
        <w:t xml:space="preserve">Trading name: </w:t>
      </w:r>
    </w:p>
    <w:p w:rsidR="00A8507E" w:rsidRPr="00E754F2" w:rsidRDefault="00A8507E" w:rsidP="00A8507E">
      <w:pPr>
        <w:spacing w:after="240"/>
        <w:ind w:left="426"/>
        <w:rPr>
          <w:rFonts w:cstheme="minorHAnsi"/>
          <w:szCs w:val="20"/>
        </w:rPr>
      </w:pPr>
      <w:r w:rsidRPr="00E754F2">
        <w:rPr>
          <w:rFonts w:cstheme="minorHAnsi"/>
          <w:szCs w:val="20"/>
        </w:rPr>
        <w:t xml:space="preserve">ABN: </w:t>
      </w:r>
    </w:p>
    <w:p w:rsidR="00A8507E" w:rsidRPr="00E754F2" w:rsidRDefault="00A8507E" w:rsidP="00A8507E">
      <w:pPr>
        <w:spacing w:after="240"/>
        <w:ind w:left="426"/>
        <w:rPr>
          <w:rFonts w:cstheme="minorHAnsi"/>
          <w:szCs w:val="20"/>
        </w:rPr>
      </w:pPr>
      <w:r w:rsidRPr="00E754F2">
        <w:rPr>
          <w:rFonts w:cstheme="minorHAnsi"/>
          <w:szCs w:val="20"/>
        </w:rPr>
        <w:t>Primary contact (</w:t>
      </w:r>
      <w:r w:rsidR="00E51E9C" w:rsidRPr="00E754F2">
        <w:rPr>
          <w:rFonts w:cstheme="minorHAnsi"/>
          <w:szCs w:val="20"/>
        </w:rPr>
        <w:t>for the purpose of this review</w:t>
      </w:r>
      <w:r w:rsidRPr="00E754F2">
        <w:rPr>
          <w:rFonts w:cstheme="minorHAnsi"/>
          <w:szCs w:val="20"/>
        </w:rPr>
        <w:t xml:space="preserve">): </w:t>
      </w:r>
    </w:p>
    <w:p w:rsidR="00A8507E" w:rsidRPr="00E754F2" w:rsidRDefault="00A8507E" w:rsidP="001A04C6">
      <w:pPr>
        <w:spacing w:after="240"/>
        <w:ind w:left="426"/>
        <w:rPr>
          <w:rFonts w:cstheme="minorHAnsi"/>
          <w:szCs w:val="20"/>
        </w:rPr>
      </w:pPr>
      <w:r w:rsidRPr="00E754F2">
        <w:rPr>
          <w:rFonts w:cstheme="minorHAnsi"/>
          <w:szCs w:val="20"/>
        </w:rPr>
        <w:t xml:space="preserve">Telephone: </w:t>
      </w:r>
      <w:r w:rsidR="001A04C6" w:rsidRPr="00E754F2">
        <w:rPr>
          <w:rFonts w:cstheme="minorHAnsi"/>
          <w:szCs w:val="20"/>
        </w:rPr>
        <w:tab/>
      </w:r>
      <w:r w:rsidR="001A04C6" w:rsidRPr="00E754F2">
        <w:rPr>
          <w:rFonts w:cstheme="minorHAnsi"/>
          <w:szCs w:val="20"/>
        </w:rPr>
        <w:tab/>
      </w:r>
      <w:r w:rsidR="001A04C6" w:rsidRPr="00E754F2">
        <w:rPr>
          <w:rFonts w:cstheme="minorHAnsi"/>
          <w:szCs w:val="20"/>
        </w:rPr>
        <w:tab/>
      </w:r>
      <w:r w:rsidRPr="00E754F2">
        <w:rPr>
          <w:rFonts w:cstheme="minorHAnsi"/>
          <w:szCs w:val="20"/>
        </w:rPr>
        <w:t>Mobile:</w:t>
      </w:r>
      <w:r w:rsidRPr="00E754F2">
        <w:rPr>
          <w:rFonts w:cstheme="minorHAnsi"/>
          <w:szCs w:val="20"/>
        </w:rPr>
        <w:tab/>
      </w:r>
      <w:r w:rsidR="001A04C6" w:rsidRPr="00E754F2">
        <w:rPr>
          <w:rFonts w:cstheme="minorHAnsi"/>
          <w:szCs w:val="20"/>
        </w:rPr>
        <w:tab/>
      </w:r>
      <w:r w:rsidR="001A04C6" w:rsidRPr="00E754F2">
        <w:rPr>
          <w:rFonts w:cstheme="minorHAnsi"/>
          <w:szCs w:val="20"/>
        </w:rPr>
        <w:tab/>
      </w:r>
      <w:r w:rsidR="001A04C6" w:rsidRPr="00E754F2">
        <w:rPr>
          <w:rFonts w:cstheme="minorHAnsi"/>
          <w:szCs w:val="20"/>
        </w:rPr>
        <w:tab/>
      </w:r>
      <w:r w:rsidRPr="00E754F2">
        <w:rPr>
          <w:rFonts w:cstheme="minorHAnsi"/>
          <w:szCs w:val="20"/>
        </w:rPr>
        <w:t>Email:</w:t>
      </w:r>
    </w:p>
    <w:p w:rsidR="00A8507E" w:rsidRPr="00E754F2" w:rsidRDefault="001A04C6" w:rsidP="001A04C6">
      <w:pPr>
        <w:spacing w:after="240"/>
        <w:ind w:left="426"/>
        <w:rPr>
          <w:rFonts w:cstheme="minorHAnsi"/>
          <w:szCs w:val="20"/>
        </w:rPr>
      </w:pPr>
      <w:r w:rsidRPr="00E754F2">
        <w:rPr>
          <w:rFonts w:cstheme="minorHAnsi"/>
          <w:szCs w:val="20"/>
        </w:rPr>
        <w:t>Alternative contact (if primary contact is not available):</w:t>
      </w:r>
    </w:p>
    <w:p w:rsidR="001A04C6" w:rsidRPr="00E754F2" w:rsidRDefault="001A04C6" w:rsidP="001A04C6">
      <w:pPr>
        <w:spacing w:after="240"/>
        <w:ind w:left="426"/>
        <w:rPr>
          <w:rFonts w:cstheme="minorHAnsi"/>
          <w:szCs w:val="20"/>
        </w:rPr>
      </w:pPr>
      <w:r w:rsidRPr="00E754F2">
        <w:rPr>
          <w:rFonts w:cstheme="minorHAnsi"/>
          <w:szCs w:val="20"/>
        </w:rPr>
        <w:t xml:space="preserve">Telephone: </w:t>
      </w:r>
      <w:r w:rsidRPr="00E754F2">
        <w:rPr>
          <w:rFonts w:cstheme="minorHAnsi"/>
          <w:szCs w:val="20"/>
        </w:rPr>
        <w:tab/>
      </w:r>
      <w:r w:rsidRPr="00E754F2">
        <w:rPr>
          <w:rFonts w:cstheme="minorHAnsi"/>
          <w:szCs w:val="20"/>
        </w:rPr>
        <w:tab/>
      </w:r>
      <w:r w:rsidRPr="00E754F2">
        <w:rPr>
          <w:rFonts w:cstheme="minorHAnsi"/>
          <w:szCs w:val="20"/>
        </w:rPr>
        <w:tab/>
        <w:t>Mobile:</w:t>
      </w:r>
      <w:r w:rsidRPr="00E754F2">
        <w:rPr>
          <w:rFonts w:cstheme="minorHAnsi"/>
          <w:szCs w:val="20"/>
        </w:rPr>
        <w:tab/>
      </w:r>
      <w:r w:rsidRPr="00E754F2">
        <w:rPr>
          <w:rFonts w:cstheme="minorHAnsi"/>
          <w:szCs w:val="20"/>
        </w:rPr>
        <w:tab/>
      </w:r>
      <w:r w:rsidRPr="00E754F2">
        <w:rPr>
          <w:rFonts w:cstheme="minorHAnsi"/>
          <w:szCs w:val="20"/>
        </w:rPr>
        <w:tab/>
      </w:r>
      <w:r w:rsidRPr="00E754F2">
        <w:rPr>
          <w:rFonts w:cstheme="minorHAnsi"/>
          <w:szCs w:val="20"/>
        </w:rPr>
        <w:tab/>
        <w:t>Email:</w:t>
      </w:r>
    </w:p>
    <w:p w:rsidR="00534C5F" w:rsidRPr="00E754F2" w:rsidRDefault="00494011" w:rsidP="00A8507E">
      <w:pPr>
        <w:pStyle w:val="Heading2"/>
        <w:spacing w:after="240"/>
        <w:ind w:left="357" w:hanging="357"/>
        <w:contextualSpacing w:val="0"/>
        <w:rPr>
          <w:rFonts w:cstheme="minorHAnsi"/>
        </w:rPr>
      </w:pPr>
      <w:r w:rsidRPr="00E754F2">
        <w:rPr>
          <w:rFonts w:cstheme="minorHAnsi"/>
        </w:rPr>
        <w:t xml:space="preserve">(a) </w:t>
      </w:r>
      <w:r w:rsidR="00534C5F" w:rsidRPr="00E754F2">
        <w:rPr>
          <w:rFonts w:cstheme="minorHAnsi"/>
        </w:rPr>
        <w:t xml:space="preserve">Are you a lobbyist acting on behalf of a </w:t>
      </w:r>
      <w:r w:rsidR="002B1145" w:rsidRPr="00E754F2">
        <w:rPr>
          <w:rFonts w:cstheme="minorHAnsi"/>
        </w:rPr>
        <w:t>supplier</w:t>
      </w:r>
      <w:r w:rsidR="00534C5F" w:rsidRPr="00E754F2">
        <w:rPr>
          <w:rFonts w:cstheme="minorHAnsi"/>
        </w:rPr>
        <w:t>?</w:t>
      </w:r>
    </w:p>
    <w:p w:rsidR="00A6491A" w:rsidRPr="00E754F2" w:rsidRDefault="00A6491A" w:rsidP="00216291">
      <w:pPr>
        <w:ind w:left="425"/>
        <w:rPr>
          <w:rFonts w:cstheme="minorHAnsi"/>
          <w:szCs w:val="20"/>
        </w:rPr>
      </w:pPr>
      <w:r w:rsidRPr="00E754F2">
        <w:rPr>
          <w:rFonts w:cstheme="minorHAnsi"/>
          <w:szCs w:val="20"/>
        </w:rPr>
        <w:fldChar w:fldCharType="begin">
          <w:ffData>
            <w:name w:val="Check1"/>
            <w:enabled/>
            <w:calcOnExit w:val="0"/>
            <w:checkBox>
              <w:sizeAuto/>
              <w:default w:val="0"/>
            </w:checkBox>
          </w:ffData>
        </w:fldChar>
      </w:r>
      <w:r w:rsidRPr="00E754F2">
        <w:rPr>
          <w:rFonts w:cstheme="minorHAnsi"/>
          <w:szCs w:val="20"/>
        </w:rPr>
        <w:instrText xml:space="preserve"> FORMCHECKBOX </w:instrText>
      </w:r>
      <w:r w:rsidR="00B012EA">
        <w:rPr>
          <w:rFonts w:cstheme="minorHAnsi"/>
          <w:szCs w:val="20"/>
        </w:rPr>
      </w:r>
      <w:r w:rsidR="00B012EA">
        <w:rPr>
          <w:rFonts w:cstheme="minorHAnsi"/>
          <w:szCs w:val="20"/>
        </w:rPr>
        <w:fldChar w:fldCharType="separate"/>
      </w:r>
      <w:r w:rsidRPr="00E754F2">
        <w:rPr>
          <w:rFonts w:cstheme="minorHAnsi"/>
          <w:szCs w:val="20"/>
        </w:rPr>
        <w:fldChar w:fldCharType="end"/>
      </w:r>
      <w:r w:rsidRPr="00E754F2">
        <w:rPr>
          <w:rFonts w:cstheme="minorHAnsi"/>
          <w:szCs w:val="20"/>
        </w:rPr>
        <w:t xml:space="preserve"> Yes</w:t>
      </w:r>
    </w:p>
    <w:p w:rsidR="00A6491A" w:rsidRPr="00E754F2" w:rsidRDefault="00A6491A" w:rsidP="00A6491A">
      <w:pPr>
        <w:spacing w:before="0" w:after="0"/>
        <w:ind w:left="426"/>
        <w:rPr>
          <w:rFonts w:cstheme="minorHAnsi"/>
          <w:szCs w:val="20"/>
        </w:rPr>
      </w:pPr>
      <w:r w:rsidRPr="00E754F2">
        <w:rPr>
          <w:rFonts w:cstheme="minorHAnsi"/>
          <w:szCs w:val="20"/>
        </w:rPr>
        <w:fldChar w:fldCharType="begin">
          <w:ffData>
            <w:name w:val="Check2"/>
            <w:enabled/>
            <w:calcOnExit w:val="0"/>
            <w:checkBox>
              <w:sizeAuto/>
              <w:default w:val="0"/>
            </w:checkBox>
          </w:ffData>
        </w:fldChar>
      </w:r>
      <w:r w:rsidRPr="00E754F2">
        <w:rPr>
          <w:rFonts w:cstheme="minorHAnsi"/>
          <w:szCs w:val="20"/>
        </w:rPr>
        <w:instrText xml:space="preserve"> FORMCHECKBOX </w:instrText>
      </w:r>
      <w:r w:rsidR="00B012EA">
        <w:rPr>
          <w:rFonts w:cstheme="minorHAnsi"/>
          <w:szCs w:val="20"/>
        </w:rPr>
      </w:r>
      <w:r w:rsidR="00B012EA">
        <w:rPr>
          <w:rFonts w:cstheme="minorHAnsi"/>
          <w:szCs w:val="20"/>
        </w:rPr>
        <w:fldChar w:fldCharType="separate"/>
      </w:r>
      <w:r w:rsidRPr="00E754F2">
        <w:rPr>
          <w:rFonts w:cstheme="minorHAnsi"/>
          <w:szCs w:val="20"/>
        </w:rPr>
        <w:fldChar w:fldCharType="end"/>
      </w:r>
      <w:r w:rsidRPr="00E754F2">
        <w:rPr>
          <w:rFonts w:cstheme="minorHAnsi"/>
          <w:szCs w:val="20"/>
        </w:rPr>
        <w:t xml:space="preserve"> No  </w:t>
      </w:r>
    </w:p>
    <w:p w:rsidR="00A8507E" w:rsidRPr="00E754F2" w:rsidRDefault="00A8507E" w:rsidP="00A6491A">
      <w:pPr>
        <w:spacing w:before="0" w:after="0"/>
        <w:ind w:left="426"/>
        <w:rPr>
          <w:rFonts w:cstheme="minorHAnsi"/>
          <w:szCs w:val="20"/>
        </w:rPr>
      </w:pPr>
    </w:p>
    <w:p w:rsidR="00534C5F" w:rsidRPr="00E754F2" w:rsidRDefault="00534C5F" w:rsidP="00A8507E">
      <w:pPr>
        <w:pStyle w:val="Heading2"/>
        <w:numPr>
          <w:ilvl w:val="0"/>
          <w:numId w:val="23"/>
        </w:numPr>
        <w:spacing w:after="240"/>
        <w:ind w:left="714" w:hanging="357"/>
        <w:contextualSpacing w:val="0"/>
        <w:rPr>
          <w:rFonts w:cstheme="minorHAnsi"/>
        </w:rPr>
      </w:pPr>
      <w:r w:rsidRPr="00E754F2">
        <w:rPr>
          <w:rFonts w:cstheme="minorHAnsi"/>
        </w:rPr>
        <w:t>If yes, are you listed on the Register of Lobbyists?</w:t>
      </w:r>
    </w:p>
    <w:p w:rsidR="00A6491A" w:rsidRPr="00E754F2" w:rsidRDefault="00A6491A" w:rsidP="00216291">
      <w:pPr>
        <w:ind w:left="425"/>
        <w:rPr>
          <w:rFonts w:cstheme="minorHAnsi"/>
          <w:szCs w:val="20"/>
        </w:rPr>
      </w:pPr>
      <w:r w:rsidRPr="00E754F2">
        <w:rPr>
          <w:rFonts w:cstheme="minorHAnsi"/>
          <w:szCs w:val="20"/>
        </w:rPr>
        <w:fldChar w:fldCharType="begin">
          <w:ffData>
            <w:name w:val="Check1"/>
            <w:enabled/>
            <w:calcOnExit w:val="0"/>
            <w:checkBox>
              <w:sizeAuto/>
              <w:default w:val="0"/>
            </w:checkBox>
          </w:ffData>
        </w:fldChar>
      </w:r>
      <w:r w:rsidRPr="00E754F2">
        <w:rPr>
          <w:rFonts w:cstheme="minorHAnsi"/>
          <w:szCs w:val="20"/>
        </w:rPr>
        <w:instrText xml:space="preserve"> FORMCHECKBOX </w:instrText>
      </w:r>
      <w:r w:rsidR="00B012EA">
        <w:rPr>
          <w:rFonts w:cstheme="minorHAnsi"/>
          <w:szCs w:val="20"/>
        </w:rPr>
      </w:r>
      <w:r w:rsidR="00B012EA">
        <w:rPr>
          <w:rFonts w:cstheme="minorHAnsi"/>
          <w:szCs w:val="20"/>
        </w:rPr>
        <w:fldChar w:fldCharType="separate"/>
      </w:r>
      <w:r w:rsidRPr="00E754F2">
        <w:rPr>
          <w:rFonts w:cstheme="minorHAnsi"/>
          <w:szCs w:val="20"/>
        </w:rPr>
        <w:fldChar w:fldCharType="end"/>
      </w:r>
      <w:r w:rsidRPr="00E754F2">
        <w:rPr>
          <w:rFonts w:cstheme="minorHAnsi"/>
          <w:szCs w:val="20"/>
        </w:rPr>
        <w:t xml:space="preserve"> Yes</w:t>
      </w:r>
    </w:p>
    <w:p w:rsidR="00A6491A" w:rsidRPr="00E754F2" w:rsidRDefault="00A6491A" w:rsidP="00A6491A">
      <w:pPr>
        <w:spacing w:before="0" w:after="0"/>
        <w:ind w:left="426"/>
        <w:rPr>
          <w:rFonts w:cstheme="minorHAnsi"/>
          <w:szCs w:val="20"/>
        </w:rPr>
      </w:pPr>
      <w:r w:rsidRPr="00E754F2">
        <w:rPr>
          <w:rFonts w:cstheme="minorHAnsi"/>
          <w:szCs w:val="20"/>
        </w:rPr>
        <w:fldChar w:fldCharType="begin">
          <w:ffData>
            <w:name w:val="Check2"/>
            <w:enabled/>
            <w:calcOnExit w:val="0"/>
            <w:checkBox>
              <w:sizeAuto/>
              <w:default w:val="0"/>
            </w:checkBox>
          </w:ffData>
        </w:fldChar>
      </w:r>
      <w:r w:rsidRPr="00E754F2">
        <w:rPr>
          <w:rFonts w:cstheme="minorHAnsi"/>
          <w:szCs w:val="20"/>
        </w:rPr>
        <w:instrText xml:space="preserve"> FORMCHECKBOX </w:instrText>
      </w:r>
      <w:r w:rsidR="00B012EA">
        <w:rPr>
          <w:rFonts w:cstheme="minorHAnsi"/>
          <w:szCs w:val="20"/>
        </w:rPr>
      </w:r>
      <w:r w:rsidR="00B012EA">
        <w:rPr>
          <w:rFonts w:cstheme="minorHAnsi"/>
          <w:szCs w:val="20"/>
        </w:rPr>
        <w:fldChar w:fldCharType="separate"/>
      </w:r>
      <w:r w:rsidRPr="00E754F2">
        <w:rPr>
          <w:rFonts w:cstheme="minorHAnsi"/>
          <w:szCs w:val="20"/>
        </w:rPr>
        <w:fldChar w:fldCharType="end"/>
      </w:r>
      <w:r w:rsidRPr="00E754F2">
        <w:rPr>
          <w:rFonts w:cstheme="minorHAnsi"/>
          <w:szCs w:val="20"/>
        </w:rPr>
        <w:t xml:space="preserve"> No  </w:t>
      </w:r>
    </w:p>
    <w:p w:rsidR="00E04FB3" w:rsidRPr="00E754F2" w:rsidRDefault="00E04FB3" w:rsidP="005C333E">
      <w:pPr>
        <w:spacing w:before="0" w:after="0"/>
        <w:ind w:left="426"/>
        <w:rPr>
          <w:rFonts w:cstheme="minorHAnsi"/>
          <w:b/>
          <w:szCs w:val="20"/>
        </w:rPr>
      </w:pPr>
    </w:p>
    <w:p w:rsidR="00626365" w:rsidRPr="00F37D67" w:rsidRDefault="00626365" w:rsidP="00626365">
      <w:pPr>
        <w:spacing w:before="0" w:after="0"/>
        <w:ind w:left="284"/>
        <w:rPr>
          <w:rFonts w:cstheme="minorHAnsi"/>
          <w:szCs w:val="20"/>
        </w:rPr>
      </w:pPr>
      <w:r w:rsidRPr="00F37D67">
        <w:rPr>
          <w:rFonts w:cstheme="minorHAnsi"/>
          <w:szCs w:val="20"/>
        </w:rPr>
        <w:br w:type="page"/>
      </w:r>
    </w:p>
    <w:p w:rsidR="00E51E9C" w:rsidRPr="00F37D67" w:rsidRDefault="00E51E9C" w:rsidP="00E51E9C">
      <w:pPr>
        <w:pStyle w:val="Heading1"/>
        <w:rPr>
          <w:rFonts w:cstheme="minorHAnsi"/>
          <w:sz w:val="36"/>
        </w:rPr>
      </w:pPr>
      <w:r w:rsidRPr="00F37D67">
        <w:rPr>
          <w:rFonts w:cstheme="minorHAnsi"/>
          <w:sz w:val="36"/>
        </w:rPr>
        <w:lastRenderedPageBreak/>
        <w:t>PART 2 – SUBMISSION AGAINST TERMS OF REFERENCE</w:t>
      </w:r>
    </w:p>
    <w:p w:rsidR="00BA4EFD" w:rsidRPr="00E754F2" w:rsidRDefault="00BA4EFD" w:rsidP="00BA4EFD">
      <w:pPr>
        <w:rPr>
          <w:rFonts w:cstheme="minorHAnsi"/>
          <w:szCs w:val="20"/>
        </w:rPr>
      </w:pPr>
      <w:r w:rsidRPr="00E754F2">
        <w:rPr>
          <w:rFonts w:cstheme="minorHAnsi"/>
          <w:szCs w:val="20"/>
        </w:rPr>
        <w:t>Provide a detailed submission against the Terms of Reference (discussed above) in this section.</w:t>
      </w:r>
    </w:p>
    <w:p w:rsidR="00BA4EFD" w:rsidRPr="00E754F2" w:rsidRDefault="00BA4EFD" w:rsidP="00BA4EFD">
      <w:pPr>
        <w:pStyle w:val="ListParagraph"/>
        <w:ind w:left="0"/>
        <w:rPr>
          <w:rFonts w:cstheme="minorHAnsi"/>
          <w:iCs/>
          <w:color w:val="000000"/>
          <w:szCs w:val="20"/>
        </w:rPr>
      </w:pPr>
      <w:r w:rsidRPr="00E754F2">
        <w:rPr>
          <w:rFonts w:cstheme="minorHAnsi"/>
          <w:iCs/>
          <w:szCs w:val="20"/>
        </w:rPr>
        <w:t xml:space="preserve">Your submission should be supported by relevant evidence. Please include a reference list of any key journal articles, </w:t>
      </w:r>
      <w:r w:rsidRPr="00E754F2">
        <w:rPr>
          <w:rFonts w:cstheme="minorHAnsi"/>
          <w:iCs/>
          <w:color w:val="000000"/>
          <w:szCs w:val="20"/>
        </w:rPr>
        <w:t xml:space="preserve">research projects, or yet to be published research that you consider most relevant to informing the CGM Review. </w:t>
      </w:r>
    </w:p>
    <w:p w:rsidR="00BA4EFD" w:rsidRPr="00E754F2" w:rsidRDefault="00BA4EFD" w:rsidP="00BA4EFD">
      <w:pPr>
        <w:pStyle w:val="ListParagraph"/>
        <w:ind w:left="0"/>
        <w:rPr>
          <w:rFonts w:cstheme="minorHAnsi"/>
          <w:iCs/>
          <w:color w:val="000000"/>
          <w:szCs w:val="20"/>
        </w:rPr>
      </w:pPr>
    </w:p>
    <w:p w:rsidR="00BA4EFD" w:rsidRPr="00E754F2" w:rsidRDefault="00BA4EFD" w:rsidP="00BA4EFD">
      <w:pPr>
        <w:pStyle w:val="ListParagraph"/>
        <w:ind w:left="0"/>
        <w:rPr>
          <w:rFonts w:cstheme="minorHAnsi"/>
          <w:iCs/>
          <w:color w:val="000000"/>
          <w:szCs w:val="20"/>
        </w:rPr>
      </w:pPr>
      <w:r w:rsidRPr="00E754F2">
        <w:rPr>
          <w:rFonts w:cstheme="minorHAnsi"/>
          <w:iCs/>
          <w:color w:val="000000"/>
          <w:szCs w:val="20"/>
        </w:rPr>
        <w:t>Please provide full text articles of all the referenced and relevant materials as an attachment to your submission.</w:t>
      </w:r>
    </w:p>
    <w:p w:rsidR="00BA4EFD" w:rsidRPr="00E754F2" w:rsidRDefault="00BA4EFD" w:rsidP="00B62479">
      <w:pPr>
        <w:pStyle w:val="ListParagraph"/>
        <w:ind w:left="0"/>
        <w:rPr>
          <w:rFonts w:cstheme="minorHAnsi"/>
          <w:szCs w:val="20"/>
        </w:rPr>
      </w:pPr>
    </w:p>
    <w:p w:rsidR="00A2238F" w:rsidRPr="00E754F2" w:rsidRDefault="00A2238F" w:rsidP="00B62479">
      <w:pPr>
        <w:pStyle w:val="ListParagraph"/>
        <w:ind w:left="0"/>
        <w:rPr>
          <w:rFonts w:cstheme="minorHAnsi"/>
          <w:szCs w:val="20"/>
        </w:rPr>
      </w:pPr>
      <w:r w:rsidRPr="00E754F2">
        <w:rPr>
          <w:rFonts w:cstheme="minorHAnsi"/>
          <w:szCs w:val="20"/>
        </w:rPr>
        <w:t>As part of your submission, please also include the following information in relation to your CGM product(s):</w:t>
      </w:r>
    </w:p>
    <w:p w:rsidR="00A2238F" w:rsidRPr="00E754F2" w:rsidRDefault="00A2238F" w:rsidP="00B62479">
      <w:pPr>
        <w:pStyle w:val="ListParagraph"/>
        <w:numPr>
          <w:ilvl w:val="0"/>
          <w:numId w:val="42"/>
        </w:numPr>
        <w:spacing w:before="0" w:after="0"/>
        <w:contextualSpacing w:val="0"/>
        <w:rPr>
          <w:rFonts w:cstheme="minorHAnsi"/>
          <w:szCs w:val="20"/>
        </w:rPr>
      </w:pPr>
      <w:r w:rsidRPr="00E754F2">
        <w:rPr>
          <w:rFonts w:cstheme="minorHAnsi"/>
          <w:szCs w:val="20"/>
        </w:rPr>
        <w:t>Name and succinct description of your CGM product</w:t>
      </w:r>
      <w:r w:rsidR="00BA4EFD" w:rsidRPr="00E754F2">
        <w:rPr>
          <w:rFonts w:cstheme="minorHAnsi"/>
          <w:szCs w:val="20"/>
        </w:rPr>
        <w:t xml:space="preserve">(s); </w:t>
      </w:r>
    </w:p>
    <w:p w:rsidR="00A2238F" w:rsidRPr="00E754F2" w:rsidRDefault="00A2238F" w:rsidP="00B62479">
      <w:pPr>
        <w:pStyle w:val="ListParagraph"/>
        <w:numPr>
          <w:ilvl w:val="0"/>
          <w:numId w:val="42"/>
        </w:numPr>
        <w:spacing w:before="0" w:after="0"/>
        <w:contextualSpacing w:val="0"/>
        <w:rPr>
          <w:rFonts w:cstheme="minorHAnsi"/>
          <w:szCs w:val="20"/>
        </w:rPr>
      </w:pPr>
      <w:r w:rsidRPr="00E754F2">
        <w:rPr>
          <w:rFonts w:cstheme="minorHAnsi"/>
          <w:szCs w:val="20"/>
        </w:rPr>
        <w:t>Comparable products available</w:t>
      </w:r>
      <w:r w:rsidR="00BA4EFD" w:rsidRPr="00E754F2">
        <w:rPr>
          <w:rFonts w:cstheme="minorHAnsi"/>
          <w:szCs w:val="20"/>
        </w:rPr>
        <w:t xml:space="preserve">; </w:t>
      </w:r>
    </w:p>
    <w:p w:rsidR="00A2238F" w:rsidRPr="00E754F2" w:rsidRDefault="00BA4EFD" w:rsidP="00B62479">
      <w:pPr>
        <w:pStyle w:val="ListParagraph"/>
        <w:numPr>
          <w:ilvl w:val="0"/>
          <w:numId w:val="42"/>
        </w:numPr>
        <w:spacing w:before="0" w:after="0"/>
        <w:contextualSpacing w:val="0"/>
        <w:rPr>
          <w:rFonts w:cstheme="minorHAnsi"/>
          <w:szCs w:val="20"/>
        </w:rPr>
      </w:pPr>
      <w:r w:rsidRPr="00E754F2">
        <w:rPr>
          <w:rFonts w:cstheme="minorHAnsi"/>
          <w:szCs w:val="20"/>
        </w:rPr>
        <w:t>Detail</w:t>
      </w:r>
      <w:r w:rsidR="00A2238F" w:rsidRPr="00E754F2">
        <w:rPr>
          <w:rFonts w:cstheme="minorHAnsi"/>
          <w:szCs w:val="20"/>
        </w:rPr>
        <w:t xml:space="preserve"> eligible population, including age</w:t>
      </w:r>
      <w:r w:rsidRPr="00E754F2">
        <w:rPr>
          <w:rFonts w:cstheme="minorHAnsi"/>
          <w:szCs w:val="20"/>
        </w:rPr>
        <w:t xml:space="preserve">; </w:t>
      </w:r>
    </w:p>
    <w:p w:rsidR="00A2238F" w:rsidRPr="00E754F2" w:rsidRDefault="00A2238F" w:rsidP="00B62479">
      <w:pPr>
        <w:pStyle w:val="ListParagraph"/>
        <w:numPr>
          <w:ilvl w:val="0"/>
          <w:numId w:val="42"/>
        </w:numPr>
        <w:spacing w:before="0" w:after="0"/>
        <w:contextualSpacing w:val="0"/>
        <w:rPr>
          <w:rFonts w:cstheme="minorHAnsi"/>
          <w:szCs w:val="20"/>
        </w:rPr>
      </w:pPr>
      <w:r w:rsidRPr="00E754F2">
        <w:rPr>
          <w:rFonts w:cstheme="minorHAnsi"/>
          <w:szCs w:val="20"/>
        </w:rPr>
        <w:t>Indicate</w:t>
      </w:r>
      <w:r w:rsidR="00BA4EFD" w:rsidRPr="00E754F2">
        <w:rPr>
          <w:rFonts w:cstheme="minorHAnsi"/>
          <w:szCs w:val="20"/>
        </w:rPr>
        <w:t xml:space="preserve"> if the product is i</w:t>
      </w:r>
      <w:r w:rsidRPr="00E754F2">
        <w:rPr>
          <w:rFonts w:cstheme="minorHAnsi"/>
          <w:szCs w:val="20"/>
        </w:rPr>
        <w:t>n the Australian market and the associated wholesale price</w:t>
      </w:r>
      <w:r w:rsidR="00BA4EFD" w:rsidRPr="00E754F2">
        <w:rPr>
          <w:rFonts w:cstheme="minorHAnsi"/>
          <w:szCs w:val="20"/>
        </w:rPr>
        <w:t xml:space="preserve">/s; </w:t>
      </w:r>
    </w:p>
    <w:p w:rsidR="00BA4EFD" w:rsidRPr="00E754F2" w:rsidRDefault="00BA4EFD" w:rsidP="008C4D68">
      <w:pPr>
        <w:pStyle w:val="ListParagraph"/>
        <w:numPr>
          <w:ilvl w:val="1"/>
          <w:numId w:val="42"/>
        </w:numPr>
        <w:spacing w:before="0" w:after="0"/>
        <w:contextualSpacing w:val="0"/>
        <w:rPr>
          <w:rFonts w:cstheme="minorHAnsi"/>
          <w:szCs w:val="20"/>
        </w:rPr>
      </w:pPr>
      <w:r w:rsidRPr="00E754F2">
        <w:rPr>
          <w:rFonts w:cstheme="minorHAnsi"/>
          <w:szCs w:val="20"/>
        </w:rPr>
        <w:t xml:space="preserve">If the product is not </w:t>
      </w:r>
      <w:r w:rsidR="006C13B5" w:rsidRPr="00E754F2">
        <w:rPr>
          <w:rFonts w:cstheme="minorHAnsi"/>
          <w:szCs w:val="20"/>
        </w:rPr>
        <w:t xml:space="preserve">available </w:t>
      </w:r>
      <w:r w:rsidRPr="00E754F2">
        <w:rPr>
          <w:rFonts w:cstheme="minorHAnsi"/>
          <w:szCs w:val="20"/>
        </w:rPr>
        <w:t>in the Australia</w:t>
      </w:r>
      <w:r w:rsidR="006C13B5" w:rsidRPr="00E754F2">
        <w:rPr>
          <w:rFonts w:cstheme="minorHAnsi"/>
          <w:szCs w:val="20"/>
        </w:rPr>
        <w:t>n</w:t>
      </w:r>
      <w:r w:rsidRPr="00E754F2">
        <w:rPr>
          <w:rFonts w:cstheme="minorHAnsi"/>
          <w:szCs w:val="20"/>
        </w:rPr>
        <w:t xml:space="preserve"> market, </w:t>
      </w:r>
      <w:r w:rsidR="006C13B5" w:rsidRPr="00E754F2">
        <w:rPr>
          <w:rFonts w:cstheme="minorHAnsi"/>
          <w:szCs w:val="20"/>
        </w:rPr>
        <w:t>please advise the registration status of the product with the Therapeutic Goods Administration, and i</w:t>
      </w:r>
      <w:r w:rsidRPr="00E754F2">
        <w:rPr>
          <w:rFonts w:cstheme="minorHAnsi"/>
          <w:szCs w:val="20"/>
        </w:rPr>
        <w:t xml:space="preserve">ndicate </w:t>
      </w:r>
      <w:r w:rsidR="006C13B5" w:rsidRPr="00E754F2">
        <w:rPr>
          <w:rFonts w:cstheme="minorHAnsi"/>
          <w:szCs w:val="20"/>
        </w:rPr>
        <w:t xml:space="preserve">your </w:t>
      </w:r>
      <w:r w:rsidRPr="00E754F2">
        <w:rPr>
          <w:rFonts w:cstheme="minorHAnsi"/>
          <w:szCs w:val="20"/>
        </w:rPr>
        <w:t>plan for bring</w:t>
      </w:r>
      <w:r w:rsidR="006C13B5" w:rsidRPr="00E754F2">
        <w:rPr>
          <w:rFonts w:cstheme="minorHAnsi"/>
          <w:szCs w:val="20"/>
        </w:rPr>
        <w:t>ing</w:t>
      </w:r>
      <w:r w:rsidRPr="00E754F2">
        <w:rPr>
          <w:rFonts w:cstheme="minorHAnsi"/>
          <w:szCs w:val="20"/>
        </w:rPr>
        <w:t xml:space="preserve"> the product to Australia; </w:t>
      </w:r>
    </w:p>
    <w:p w:rsidR="00A2238F" w:rsidRPr="00E754F2" w:rsidRDefault="00B62479" w:rsidP="00B62479">
      <w:pPr>
        <w:pStyle w:val="ListParagraph"/>
        <w:numPr>
          <w:ilvl w:val="0"/>
          <w:numId w:val="42"/>
        </w:numPr>
        <w:spacing w:before="0" w:after="0"/>
        <w:contextualSpacing w:val="0"/>
        <w:rPr>
          <w:rFonts w:cstheme="minorHAnsi"/>
          <w:szCs w:val="20"/>
        </w:rPr>
      </w:pPr>
      <w:r w:rsidRPr="00E754F2">
        <w:rPr>
          <w:rFonts w:cstheme="minorHAnsi"/>
          <w:szCs w:val="20"/>
        </w:rPr>
        <w:t xml:space="preserve">Indicate if </w:t>
      </w:r>
      <w:r w:rsidR="00A2238F" w:rsidRPr="00E754F2">
        <w:rPr>
          <w:rFonts w:cstheme="minorHAnsi"/>
          <w:szCs w:val="20"/>
        </w:rPr>
        <w:t xml:space="preserve">the product </w:t>
      </w:r>
      <w:r w:rsidR="003317A4">
        <w:rPr>
          <w:rFonts w:cstheme="minorHAnsi"/>
          <w:szCs w:val="20"/>
        </w:rPr>
        <w:t xml:space="preserve">is </w:t>
      </w:r>
      <w:r w:rsidR="00A2238F" w:rsidRPr="00E754F2">
        <w:rPr>
          <w:rFonts w:cstheme="minorHAnsi"/>
          <w:szCs w:val="20"/>
        </w:rPr>
        <w:t>currently listed on the CGM Initiative</w:t>
      </w:r>
      <w:r w:rsidR="00BA4EFD" w:rsidRPr="00E754F2">
        <w:rPr>
          <w:rFonts w:cstheme="minorHAnsi"/>
          <w:szCs w:val="20"/>
        </w:rPr>
        <w:t>; and</w:t>
      </w:r>
    </w:p>
    <w:p w:rsidR="00A2238F" w:rsidRPr="00E754F2" w:rsidRDefault="00B62479" w:rsidP="00B62479">
      <w:pPr>
        <w:pStyle w:val="ListParagraph"/>
        <w:numPr>
          <w:ilvl w:val="0"/>
          <w:numId w:val="42"/>
        </w:numPr>
        <w:spacing w:before="0" w:after="0"/>
        <w:contextualSpacing w:val="0"/>
        <w:rPr>
          <w:rFonts w:cstheme="minorHAnsi"/>
          <w:szCs w:val="20"/>
        </w:rPr>
      </w:pPr>
      <w:r w:rsidRPr="00E754F2">
        <w:rPr>
          <w:rFonts w:cstheme="minorHAnsi"/>
          <w:szCs w:val="20"/>
        </w:rPr>
        <w:t>Provide names and co</w:t>
      </w:r>
      <w:r w:rsidR="00A2238F" w:rsidRPr="00E754F2">
        <w:rPr>
          <w:rFonts w:cstheme="minorHAnsi"/>
          <w:szCs w:val="20"/>
        </w:rPr>
        <w:t>st</w:t>
      </w:r>
      <w:r w:rsidRPr="00E754F2">
        <w:rPr>
          <w:rFonts w:cstheme="minorHAnsi"/>
          <w:szCs w:val="20"/>
        </w:rPr>
        <w:t>s</w:t>
      </w:r>
      <w:r w:rsidR="00A2238F" w:rsidRPr="00E754F2">
        <w:rPr>
          <w:rFonts w:cstheme="minorHAnsi"/>
          <w:szCs w:val="20"/>
        </w:rPr>
        <w:t xml:space="preserve"> of any consumables related to the use of your product</w:t>
      </w:r>
      <w:r w:rsidR="00BA4EFD" w:rsidRPr="00E754F2">
        <w:rPr>
          <w:rFonts w:cstheme="minorHAnsi"/>
          <w:szCs w:val="20"/>
        </w:rPr>
        <w:t>.</w:t>
      </w:r>
    </w:p>
    <w:p w:rsidR="00A2238F" w:rsidRPr="00A2238F" w:rsidRDefault="00A2238F" w:rsidP="00A2238F">
      <w:pPr>
        <w:pStyle w:val="ListParagraph"/>
        <w:ind w:left="0"/>
        <w:rPr>
          <w:iCs/>
          <w:color w:val="000000"/>
        </w:rPr>
      </w:pPr>
    </w:p>
    <w:p w:rsidR="00A2238F" w:rsidRPr="00F37D67" w:rsidRDefault="002D0D0F" w:rsidP="007D471D">
      <w:pPr>
        <w:rPr>
          <w:rFonts w:cstheme="minorHAnsi"/>
          <w:szCs w:val="20"/>
        </w:rPr>
      </w:pPr>
      <w:r>
        <w:rPr>
          <w:rFonts w:cstheme="minorHAnsi"/>
          <w:szCs w:val="20"/>
        </w:rPr>
        <w:t>Any confidential materials need to be clearly marked.</w:t>
      </w:r>
    </w:p>
    <w:sectPr w:rsidR="00A2238F" w:rsidRPr="00F37D67" w:rsidSect="00DD308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33B" w:rsidRDefault="004D033B" w:rsidP="00CF2DFA">
      <w:pPr>
        <w:spacing w:after="0"/>
      </w:pPr>
      <w:r>
        <w:separator/>
      </w:r>
    </w:p>
  </w:endnote>
  <w:endnote w:type="continuationSeparator" w:id="0">
    <w:p w:rsidR="004D033B" w:rsidRDefault="004D033B"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szCs w:val="20"/>
      </w:rPr>
      <w:id w:val="-1675955243"/>
      <w:docPartObj>
        <w:docPartGallery w:val="Page Numbers (Bottom of Page)"/>
        <w:docPartUnique/>
      </w:docPartObj>
    </w:sdtPr>
    <w:sdtEndPr/>
    <w:sdtContent>
      <w:p w:rsidR="00283B9E" w:rsidRPr="00910C80" w:rsidRDefault="00283B9E" w:rsidP="00910C80">
        <w:pPr>
          <w:pStyle w:val="Footer"/>
          <w:pBdr>
            <w:top w:val="single" w:sz="4" w:space="1" w:color="D9D9D9" w:themeColor="background1" w:themeShade="D9"/>
          </w:pBdr>
          <w:rPr>
            <w:b/>
            <w:bCs/>
            <w:color w:val="000000" w:themeColor="text1"/>
            <w:szCs w:val="20"/>
          </w:rPr>
        </w:pPr>
        <w:r w:rsidRPr="00910C80">
          <w:rPr>
            <w:rFonts w:ascii="Calibri Light" w:hAnsi="Calibri Light" w:cs="Calibri Light"/>
            <w:color w:val="000000" w:themeColor="text1"/>
            <w:szCs w:val="20"/>
          </w:rPr>
          <w:fldChar w:fldCharType="begin"/>
        </w:r>
        <w:r w:rsidRPr="00910C80">
          <w:rPr>
            <w:rFonts w:ascii="Calibri Light" w:hAnsi="Calibri Light" w:cs="Calibri Light"/>
            <w:color w:val="000000" w:themeColor="text1"/>
            <w:szCs w:val="20"/>
          </w:rPr>
          <w:instrText xml:space="preserve"> PAGE   \* MERGEFORMAT </w:instrText>
        </w:r>
        <w:r w:rsidRPr="00910C80">
          <w:rPr>
            <w:rFonts w:ascii="Calibri Light" w:hAnsi="Calibri Light" w:cs="Calibri Light"/>
            <w:color w:val="000000" w:themeColor="text1"/>
            <w:szCs w:val="20"/>
          </w:rPr>
          <w:fldChar w:fldCharType="separate"/>
        </w:r>
        <w:r w:rsidR="00B012EA" w:rsidRPr="00B012EA">
          <w:rPr>
            <w:rFonts w:ascii="Calibri Light" w:hAnsi="Calibri Light" w:cs="Calibri Light"/>
            <w:b/>
            <w:bCs/>
            <w:noProof/>
            <w:color w:val="000000" w:themeColor="text1"/>
            <w:szCs w:val="20"/>
          </w:rPr>
          <w:t>1</w:t>
        </w:r>
        <w:r w:rsidRPr="00910C80">
          <w:rPr>
            <w:rFonts w:ascii="Calibri Light" w:hAnsi="Calibri Light" w:cs="Calibri Light"/>
            <w:b/>
            <w:bCs/>
            <w:noProof/>
            <w:color w:val="000000" w:themeColor="text1"/>
            <w:szCs w:val="20"/>
          </w:rPr>
          <w:fldChar w:fldCharType="end"/>
        </w:r>
        <w:r w:rsidRPr="00910C80">
          <w:rPr>
            <w:rFonts w:ascii="Calibri Light" w:hAnsi="Calibri Light" w:cs="Calibri Light"/>
            <w:b/>
            <w:bCs/>
            <w:color w:val="000000" w:themeColor="text1"/>
            <w:szCs w:val="20"/>
          </w:rPr>
          <w:t xml:space="preserve"> | </w:t>
        </w:r>
        <w:r w:rsidRPr="00910C80">
          <w:rPr>
            <w:rFonts w:ascii="Calibri Light" w:hAnsi="Calibri Light" w:cs="Calibri Light"/>
            <w:color w:val="000000" w:themeColor="text1"/>
            <w:szCs w:val="20"/>
          </w:rPr>
          <w:t>Page</w:t>
        </w:r>
        <w:r w:rsidR="00910C80" w:rsidRPr="00910C80">
          <w:rPr>
            <w:rFonts w:ascii="Calibri Light" w:hAnsi="Calibri Light" w:cs="Calibri Light"/>
            <w:color w:val="000000" w:themeColor="text1"/>
            <w:szCs w:val="20"/>
          </w:rPr>
          <w:t xml:space="preserve">   -   </w:t>
        </w:r>
        <w:r w:rsidR="009111CD">
          <w:rPr>
            <w:rFonts w:ascii="Calibri Light" w:hAnsi="Calibri Light" w:cs="Calibri Light"/>
            <w:color w:val="000000" w:themeColor="text1"/>
            <w:szCs w:val="20"/>
          </w:rPr>
          <w:t xml:space="preserve">Supplier </w:t>
        </w:r>
        <w:r w:rsidR="00910C80" w:rsidRPr="00910C80">
          <w:rPr>
            <w:rFonts w:ascii="Calibri Light" w:hAnsi="Calibri Light" w:cs="Calibri Light"/>
            <w:color w:val="000000" w:themeColor="text1"/>
            <w:szCs w:val="20"/>
          </w:rPr>
          <w:t xml:space="preserve">Submission </w:t>
        </w:r>
        <w:r w:rsidR="009111CD">
          <w:rPr>
            <w:rFonts w:ascii="Calibri Light" w:hAnsi="Calibri Light" w:cs="Calibri Light"/>
            <w:color w:val="000000" w:themeColor="text1"/>
            <w:szCs w:val="20"/>
          </w:rPr>
          <w:t xml:space="preserve">Form </w:t>
        </w:r>
        <w:r w:rsidR="00844CC9">
          <w:rPr>
            <w:rFonts w:ascii="Calibri Light" w:hAnsi="Calibri Light" w:cs="Calibri Light"/>
            <w:color w:val="000000" w:themeColor="text1"/>
            <w:szCs w:val="20"/>
          </w:rPr>
          <w:t>for Review of CGM Product</w:t>
        </w:r>
        <w:r w:rsidR="00910C80" w:rsidRPr="00910C80">
          <w:rPr>
            <w:rFonts w:ascii="Calibri Light" w:hAnsi="Calibri Light" w:cs="Calibri Light"/>
            <w:color w:val="000000" w:themeColor="text1"/>
            <w:szCs w:val="20"/>
          </w:rPr>
          <w:t>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33B" w:rsidRDefault="004D033B" w:rsidP="00CF2DFA">
      <w:pPr>
        <w:spacing w:after="0"/>
      </w:pPr>
      <w:r>
        <w:separator/>
      </w:r>
    </w:p>
  </w:footnote>
  <w:footnote w:type="continuationSeparator" w:id="0">
    <w:p w:rsidR="004D033B" w:rsidRDefault="004D033B" w:rsidP="00CF2DF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2B4E007A"/>
    <w:multiLevelType w:val="hybridMultilevel"/>
    <w:tmpl w:val="F800BBBE"/>
    <w:lvl w:ilvl="0" w:tplc="5A68B9D6">
      <w:start w:val="1"/>
      <w:numFmt w:val="decimal"/>
      <w:lvlText w:val="%1."/>
      <w:lvlJc w:val="left"/>
      <w:pPr>
        <w:ind w:left="720" w:hanging="360"/>
      </w:pPr>
      <w:rPr>
        <w:rFonts w:cstheme="minorBidi" w:hint="default"/>
        <w:color w:val="auto"/>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3E6B5D"/>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7C1F3A"/>
    <w:multiLevelType w:val="hybridMultilevel"/>
    <w:tmpl w:val="38C8DC12"/>
    <w:lvl w:ilvl="0" w:tplc="E390C0AE">
      <w:start w:val="1"/>
      <w:numFmt w:val="decimal"/>
      <w:lvlText w:val="%1."/>
      <w:lvlJc w:val="left"/>
      <w:pPr>
        <w:ind w:left="720" w:hanging="360"/>
      </w:pPr>
      <w:rPr>
        <w:rFonts w:cstheme="minorBidi" w:hint="default"/>
        <w:color w:val="auto"/>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13D4F1A"/>
    <w:multiLevelType w:val="hybridMultilevel"/>
    <w:tmpl w:val="DBBEB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175020"/>
    <w:multiLevelType w:val="hybridMultilevel"/>
    <w:tmpl w:val="EA3249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11"/>
  </w:num>
  <w:num w:numId="4">
    <w:abstractNumId w:val="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21"/>
  </w:num>
  <w:num w:numId="26">
    <w:abstractNumId w:val="3"/>
  </w:num>
  <w:num w:numId="27">
    <w:abstractNumId w:val="18"/>
  </w:num>
  <w:num w:numId="28">
    <w:abstractNumId w:val="12"/>
  </w:num>
  <w:num w:numId="29">
    <w:abstractNumId w:val="22"/>
  </w:num>
  <w:num w:numId="30">
    <w:abstractNumId w:val="2"/>
  </w:num>
  <w:num w:numId="31">
    <w:abstractNumId w:val="20"/>
  </w:num>
  <w:num w:numId="32">
    <w:abstractNumId w:val="6"/>
  </w:num>
  <w:num w:numId="33">
    <w:abstractNumId w:val="19"/>
  </w:num>
  <w:num w:numId="34">
    <w:abstractNumId w:val="5"/>
  </w:num>
  <w:num w:numId="35">
    <w:abstractNumId w:val="13"/>
  </w:num>
  <w:num w:numId="36">
    <w:abstractNumId w:val="0"/>
  </w:num>
  <w:num w:numId="37">
    <w:abstractNumId w:val="9"/>
  </w:num>
  <w:num w:numId="38">
    <w:abstractNumId w:val="14"/>
  </w:num>
  <w:num w:numId="39">
    <w:abstractNumId w:val="14"/>
  </w:num>
  <w:num w:numId="40">
    <w:abstractNumId w:val="8"/>
  </w:num>
  <w:num w:numId="41">
    <w:abstractNumId w:val="10"/>
  </w:num>
  <w:num w:numId="42">
    <w:abstractNumId w:val="16"/>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7"/>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110DC"/>
    <w:rsid w:val="00014CB9"/>
    <w:rsid w:val="000158AA"/>
    <w:rsid w:val="000159B9"/>
    <w:rsid w:val="00016B6E"/>
    <w:rsid w:val="00023E21"/>
    <w:rsid w:val="00025ABC"/>
    <w:rsid w:val="00026412"/>
    <w:rsid w:val="00031F6F"/>
    <w:rsid w:val="00034010"/>
    <w:rsid w:val="00034D6E"/>
    <w:rsid w:val="00046FFC"/>
    <w:rsid w:val="0005089D"/>
    <w:rsid w:val="000525BC"/>
    <w:rsid w:val="00052C20"/>
    <w:rsid w:val="00073222"/>
    <w:rsid w:val="000770BA"/>
    <w:rsid w:val="00092580"/>
    <w:rsid w:val="000955E7"/>
    <w:rsid w:val="000A110D"/>
    <w:rsid w:val="000A478F"/>
    <w:rsid w:val="000A5B32"/>
    <w:rsid w:val="000B3CD0"/>
    <w:rsid w:val="000D066E"/>
    <w:rsid w:val="000D0831"/>
    <w:rsid w:val="000E47E7"/>
    <w:rsid w:val="000E5439"/>
    <w:rsid w:val="00102686"/>
    <w:rsid w:val="0011036E"/>
    <w:rsid w:val="001130B0"/>
    <w:rsid w:val="0011369B"/>
    <w:rsid w:val="0011742E"/>
    <w:rsid w:val="001203C7"/>
    <w:rsid w:val="00123D10"/>
    <w:rsid w:val="00126B33"/>
    <w:rsid w:val="00154B00"/>
    <w:rsid w:val="001644E9"/>
    <w:rsid w:val="001845D9"/>
    <w:rsid w:val="00184AA4"/>
    <w:rsid w:val="0018630F"/>
    <w:rsid w:val="001906CD"/>
    <w:rsid w:val="00191B99"/>
    <w:rsid w:val="0019694B"/>
    <w:rsid w:val="00197D29"/>
    <w:rsid w:val="001A02E3"/>
    <w:rsid w:val="001A04C6"/>
    <w:rsid w:val="001A1ADF"/>
    <w:rsid w:val="001A365C"/>
    <w:rsid w:val="001B171D"/>
    <w:rsid w:val="001B29A1"/>
    <w:rsid w:val="001B5169"/>
    <w:rsid w:val="001B6164"/>
    <w:rsid w:val="001D77ED"/>
    <w:rsid w:val="001E1180"/>
    <w:rsid w:val="001E23EA"/>
    <w:rsid w:val="001E6919"/>
    <w:rsid w:val="001E6958"/>
    <w:rsid w:val="00201924"/>
    <w:rsid w:val="00202473"/>
    <w:rsid w:val="002053F2"/>
    <w:rsid w:val="00206D63"/>
    <w:rsid w:val="0021185D"/>
    <w:rsid w:val="00216291"/>
    <w:rsid w:val="00226777"/>
    <w:rsid w:val="00235BD1"/>
    <w:rsid w:val="00242B0E"/>
    <w:rsid w:val="00242B12"/>
    <w:rsid w:val="00242BEF"/>
    <w:rsid w:val="00247DF0"/>
    <w:rsid w:val="00254813"/>
    <w:rsid w:val="00257FF2"/>
    <w:rsid w:val="00265822"/>
    <w:rsid w:val="0027105F"/>
    <w:rsid w:val="002711FB"/>
    <w:rsid w:val="00282BE8"/>
    <w:rsid w:val="00283318"/>
    <w:rsid w:val="00283930"/>
    <w:rsid w:val="00283B9E"/>
    <w:rsid w:val="00285525"/>
    <w:rsid w:val="002949B3"/>
    <w:rsid w:val="00294CD8"/>
    <w:rsid w:val="002A270B"/>
    <w:rsid w:val="002A50FD"/>
    <w:rsid w:val="002A6753"/>
    <w:rsid w:val="002B1145"/>
    <w:rsid w:val="002B28D7"/>
    <w:rsid w:val="002B7EB6"/>
    <w:rsid w:val="002C0B61"/>
    <w:rsid w:val="002C15E6"/>
    <w:rsid w:val="002C247D"/>
    <w:rsid w:val="002C3345"/>
    <w:rsid w:val="002D0D0F"/>
    <w:rsid w:val="002D409A"/>
    <w:rsid w:val="002F0C62"/>
    <w:rsid w:val="002F30E7"/>
    <w:rsid w:val="00300EEB"/>
    <w:rsid w:val="003013A9"/>
    <w:rsid w:val="00301958"/>
    <w:rsid w:val="003020B5"/>
    <w:rsid w:val="003027BB"/>
    <w:rsid w:val="00310A10"/>
    <w:rsid w:val="00324B24"/>
    <w:rsid w:val="00326B09"/>
    <w:rsid w:val="00327D25"/>
    <w:rsid w:val="003317A4"/>
    <w:rsid w:val="003319A7"/>
    <w:rsid w:val="00334FE3"/>
    <w:rsid w:val="003421AE"/>
    <w:rsid w:val="003433D1"/>
    <w:rsid w:val="00344B24"/>
    <w:rsid w:val="003456B9"/>
    <w:rsid w:val="0035067D"/>
    <w:rsid w:val="00353A16"/>
    <w:rsid w:val="0035776D"/>
    <w:rsid w:val="00364FD9"/>
    <w:rsid w:val="00367C1B"/>
    <w:rsid w:val="00376B61"/>
    <w:rsid w:val="00382407"/>
    <w:rsid w:val="00386A64"/>
    <w:rsid w:val="00386FA1"/>
    <w:rsid w:val="00390142"/>
    <w:rsid w:val="003904AC"/>
    <w:rsid w:val="00392F00"/>
    <w:rsid w:val="00397377"/>
    <w:rsid w:val="003A22DE"/>
    <w:rsid w:val="003A2860"/>
    <w:rsid w:val="003A3C35"/>
    <w:rsid w:val="003A7D30"/>
    <w:rsid w:val="003B3C5C"/>
    <w:rsid w:val="003C47CA"/>
    <w:rsid w:val="003D6DE1"/>
    <w:rsid w:val="003D795C"/>
    <w:rsid w:val="003E30FB"/>
    <w:rsid w:val="003F2711"/>
    <w:rsid w:val="003F6C70"/>
    <w:rsid w:val="003F7CB9"/>
    <w:rsid w:val="00403333"/>
    <w:rsid w:val="00404156"/>
    <w:rsid w:val="00411735"/>
    <w:rsid w:val="00415C74"/>
    <w:rsid w:val="00420D17"/>
    <w:rsid w:val="0043654D"/>
    <w:rsid w:val="00437F60"/>
    <w:rsid w:val="00451840"/>
    <w:rsid w:val="00460C9A"/>
    <w:rsid w:val="00464924"/>
    <w:rsid w:val="0047581D"/>
    <w:rsid w:val="00480289"/>
    <w:rsid w:val="00481279"/>
    <w:rsid w:val="00483368"/>
    <w:rsid w:val="00485C17"/>
    <w:rsid w:val="00494011"/>
    <w:rsid w:val="004A0BF4"/>
    <w:rsid w:val="004A263B"/>
    <w:rsid w:val="004B68AE"/>
    <w:rsid w:val="004C35B0"/>
    <w:rsid w:val="004C49EF"/>
    <w:rsid w:val="004C4A19"/>
    <w:rsid w:val="004C5570"/>
    <w:rsid w:val="004D00C9"/>
    <w:rsid w:val="004D033B"/>
    <w:rsid w:val="004E16F5"/>
    <w:rsid w:val="004E3CC7"/>
    <w:rsid w:val="004E5B69"/>
    <w:rsid w:val="004F2A87"/>
    <w:rsid w:val="00507C56"/>
    <w:rsid w:val="0052344E"/>
    <w:rsid w:val="00526478"/>
    <w:rsid w:val="00530204"/>
    <w:rsid w:val="00534C5F"/>
    <w:rsid w:val="00540257"/>
    <w:rsid w:val="0054192F"/>
    <w:rsid w:val="00544EB3"/>
    <w:rsid w:val="0054594B"/>
    <w:rsid w:val="0054749B"/>
    <w:rsid w:val="00551CC6"/>
    <w:rsid w:val="00554E7A"/>
    <w:rsid w:val="005551A5"/>
    <w:rsid w:val="0056015F"/>
    <w:rsid w:val="00560541"/>
    <w:rsid w:val="005672D0"/>
    <w:rsid w:val="00572CEB"/>
    <w:rsid w:val="005834C9"/>
    <w:rsid w:val="005A58BA"/>
    <w:rsid w:val="005A5D30"/>
    <w:rsid w:val="005A6AB9"/>
    <w:rsid w:val="005C333E"/>
    <w:rsid w:val="005C3AE7"/>
    <w:rsid w:val="005D0677"/>
    <w:rsid w:val="005D0F44"/>
    <w:rsid w:val="005E294C"/>
    <w:rsid w:val="005E2BE9"/>
    <w:rsid w:val="005E2CE3"/>
    <w:rsid w:val="005F3F07"/>
    <w:rsid w:val="00603D04"/>
    <w:rsid w:val="00606857"/>
    <w:rsid w:val="00611082"/>
    <w:rsid w:val="00615F42"/>
    <w:rsid w:val="006258C2"/>
    <w:rsid w:val="00626365"/>
    <w:rsid w:val="00630E22"/>
    <w:rsid w:val="0063304D"/>
    <w:rsid w:val="0064168C"/>
    <w:rsid w:val="00657B46"/>
    <w:rsid w:val="0067150D"/>
    <w:rsid w:val="00672772"/>
    <w:rsid w:val="006764EC"/>
    <w:rsid w:val="006835FE"/>
    <w:rsid w:val="00690177"/>
    <w:rsid w:val="00693BFD"/>
    <w:rsid w:val="00695065"/>
    <w:rsid w:val="0069709E"/>
    <w:rsid w:val="006A1038"/>
    <w:rsid w:val="006A649A"/>
    <w:rsid w:val="006B1B49"/>
    <w:rsid w:val="006B6390"/>
    <w:rsid w:val="006C0356"/>
    <w:rsid w:val="006C0843"/>
    <w:rsid w:val="006C0991"/>
    <w:rsid w:val="006C13B5"/>
    <w:rsid w:val="006C74B1"/>
    <w:rsid w:val="006D4C36"/>
    <w:rsid w:val="006E57AA"/>
    <w:rsid w:val="006F20CF"/>
    <w:rsid w:val="006F38ED"/>
    <w:rsid w:val="00707D4D"/>
    <w:rsid w:val="00723446"/>
    <w:rsid w:val="00723503"/>
    <w:rsid w:val="00730C04"/>
    <w:rsid w:val="0073597B"/>
    <w:rsid w:val="007378F6"/>
    <w:rsid w:val="0074545D"/>
    <w:rsid w:val="007522E3"/>
    <w:rsid w:val="0075335B"/>
    <w:rsid w:val="00753C44"/>
    <w:rsid w:val="00754383"/>
    <w:rsid w:val="007564D1"/>
    <w:rsid w:val="00757232"/>
    <w:rsid w:val="00760679"/>
    <w:rsid w:val="00763628"/>
    <w:rsid w:val="00767E99"/>
    <w:rsid w:val="00772E62"/>
    <w:rsid w:val="00775A6A"/>
    <w:rsid w:val="0077789B"/>
    <w:rsid w:val="00780D29"/>
    <w:rsid w:val="00783481"/>
    <w:rsid w:val="00791C8D"/>
    <w:rsid w:val="0079354C"/>
    <w:rsid w:val="00794181"/>
    <w:rsid w:val="007A7F6F"/>
    <w:rsid w:val="007B4C76"/>
    <w:rsid w:val="007C2260"/>
    <w:rsid w:val="007D1E52"/>
    <w:rsid w:val="007D2358"/>
    <w:rsid w:val="007D471D"/>
    <w:rsid w:val="007E1134"/>
    <w:rsid w:val="007E39E4"/>
    <w:rsid w:val="007E6FB3"/>
    <w:rsid w:val="007F21B4"/>
    <w:rsid w:val="00802553"/>
    <w:rsid w:val="00803EAB"/>
    <w:rsid w:val="008046B5"/>
    <w:rsid w:val="00810224"/>
    <w:rsid w:val="008127C0"/>
    <w:rsid w:val="00812EDD"/>
    <w:rsid w:val="008139C5"/>
    <w:rsid w:val="0081650F"/>
    <w:rsid w:val="00832B31"/>
    <w:rsid w:val="00836083"/>
    <w:rsid w:val="008403E0"/>
    <w:rsid w:val="00844CC9"/>
    <w:rsid w:val="0084657B"/>
    <w:rsid w:val="00854E77"/>
    <w:rsid w:val="00855944"/>
    <w:rsid w:val="00855C6F"/>
    <w:rsid w:val="00864A18"/>
    <w:rsid w:val="00870833"/>
    <w:rsid w:val="00874571"/>
    <w:rsid w:val="00881F93"/>
    <w:rsid w:val="00882CB5"/>
    <w:rsid w:val="00883641"/>
    <w:rsid w:val="00884E69"/>
    <w:rsid w:val="00890082"/>
    <w:rsid w:val="008A48D2"/>
    <w:rsid w:val="008A7423"/>
    <w:rsid w:val="008B2610"/>
    <w:rsid w:val="008B471D"/>
    <w:rsid w:val="008B49E4"/>
    <w:rsid w:val="008B729C"/>
    <w:rsid w:val="008C4A93"/>
    <w:rsid w:val="008E0E49"/>
    <w:rsid w:val="008E35FD"/>
    <w:rsid w:val="008E6227"/>
    <w:rsid w:val="008E78B9"/>
    <w:rsid w:val="008F7651"/>
    <w:rsid w:val="00901F1C"/>
    <w:rsid w:val="0090543D"/>
    <w:rsid w:val="009056C5"/>
    <w:rsid w:val="00910C80"/>
    <w:rsid w:val="009111CD"/>
    <w:rsid w:val="00916221"/>
    <w:rsid w:val="009206C1"/>
    <w:rsid w:val="009262F2"/>
    <w:rsid w:val="00937791"/>
    <w:rsid w:val="00951933"/>
    <w:rsid w:val="00954343"/>
    <w:rsid w:val="00955271"/>
    <w:rsid w:val="00963C9C"/>
    <w:rsid w:val="00965B6B"/>
    <w:rsid w:val="00971EDB"/>
    <w:rsid w:val="00974CAB"/>
    <w:rsid w:val="00974D50"/>
    <w:rsid w:val="00987ABE"/>
    <w:rsid w:val="00991EE4"/>
    <w:rsid w:val="009939DC"/>
    <w:rsid w:val="00993B9C"/>
    <w:rsid w:val="009A23D8"/>
    <w:rsid w:val="009B4815"/>
    <w:rsid w:val="009B4E1E"/>
    <w:rsid w:val="009B5007"/>
    <w:rsid w:val="009C03FB"/>
    <w:rsid w:val="009C4B4F"/>
    <w:rsid w:val="009F0C02"/>
    <w:rsid w:val="009F5758"/>
    <w:rsid w:val="00A0283F"/>
    <w:rsid w:val="00A04F4A"/>
    <w:rsid w:val="00A13ECC"/>
    <w:rsid w:val="00A2238F"/>
    <w:rsid w:val="00A26343"/>
    <w:rsid w:val="00A3482F"/>
    <w:rsid w:val="00A408B5"/>
    <w:rsid w:val="00A40C1A"/>
    <w:rsid w:val="00A529E2"/>
    <w:rsid w:val="00A539F8"/>
    <w:rsid w:val="00A6491A"/>
    <w:rsid w:val="00A6594E"/>
    <w:rsid w:val="00A727B6"/>
    <w:rsid w:val="00A81CC6"/>
    <w:rsid w:val="00A83EC6"/>
    <w:rsid w:val="00A8507E"/>
    <w:rsid w:val="00A8732C"/>
    <w:rsid w:val="00A9062D"/>
    <w:rsid w:val="00A93F58"/>
    <w:rsid w:val="00A96329"/>
    <w:rsid w:val="00AA0073"/>
    <w:rsid w:val="00AA134B"/>
    <w:rsid w:val="00AA2CFE"/>
    <w:rsid w:val="00AA5FDA"/>
    <w:rsid w:val="00AA6291"/>
    <w:rsid w:val="00AB05E7"/>
    <w:rsid w:val="00AC0C91"/>
    <w:rsid w:val="00AD37D4"/>
    <w:rsid w:val="00AD3842"/>
    <w:rsid w:val="00AD7986"/>
    <w:rsid w:val="00AE1188"/>
    <w:rsid w:val="00AE738C"/>
    <w:rsid w:val="00AF1046"/>
    <w:rsid w:val="00AF4466"/>
    <w:rsid w:val="00AF5D1E"/>
    <w:rsid w:val="00B012EA"/>
    <w:rsid w:val="00B040A9"/>
    <w:rsid w:val="00B1012C"/>
    <w:rsid w:val="00B1711E"/>
    <w:rsid w:val="00B17CBE"/>
    <w:rsid w:val="00B17E26"/>
    <w:rsid w:val="00B231A4"/>
    <w:rsid w:val="00B25D20"/>
    <w:rsid w:val="00B31C99"/>
    <w:rsid w:val="00B53BA6"/>
    <w:rsid w:val="00B5731D"/>
    <w:rsid w:val="00B61F65"/>
    <w:rsid w:val="00B62479"/>
    <w:rsid w:val="00B6378B"/>
    <w:rsid w:val="00B63E3A"/>
    <w:rsid w:val="00B75965"/>
    <w:rsid w:val="00B771AD"/>
    <w:rsid w:val="00B814CB"/>
    <w:rsid w:val="00BA0CF8"/>
    <w:rsid w:val="00BA1ADF"/>
    <w:rsid w:val="00BA4EFD"/>
    <w:rsid w:val="00BA51FC"/>
    <w:rsid w:val="00BB003A"/>
    <w:rsid w:val="00BB1A22"/>
    <w:rsid w:val="00BB3358"/>
    <w:rsid w:val="00BB3382"/>
    <w:rsid w:val="00BB3643"/>
    <w:rsid w:val="00BC3DA0"/>
    <w:rsid w:val="00BC424B"/>
    <w:rsid w:val="00BE0FDE"/>
    <w:rsid w:val="00BE2E82"/>
    <w:rsid w:val="00BF6AC5"/>
    <w:rsid w:val="00C01121"/>
    <w:rsid w:val="00C030A5"/>
    <w:rsid w:val="00C05A45"/>
    <w:rsid w:val="00C0796F"/>
    <w:rsid w:val="00C11B34"/>
    <w:rsid w:val="00C12C5C"/>
    <w:rsid w:val="00C171FB"/>
    <w:rsid w:val="00C209C2"/>
    <w:rsid w:val="00C2267F"/>
    <w:rsid w:val="00C22AD8"/>
    <w:rsid w:val="00C3557E"/>
    <w:rsid w:val="00C3594B"/>
    <w:rsid w:val="00C43102"/>
    <w:rsid w:val="00C44D66"/>
    <w:rsid w:val="00C4696B"/>
    <w:rsid w:val="00C50513"/>
    <w:rsid w:val="00C54503"/>
    <w:rsid w:val="00C556F1"/>
    <w:rsid w:val="00C63055"/>
    <w:rsid w:val="00C73B62"/>
    <w:rsid w:val="00C776B1"/>
    <w:rsid w:val="00C815FE"/>
    <w:rsid w:val="00C81FA0"/>
    <w:rsid w:val="00C847AE"/>
    <w:rsid w:val="00C87A78"/>
    <w:rsid w:val="00CA04C6"/>
    <w:rsid w:val="00CA26DD"/>
    <w:rsid w:val="00CA3A7C"/>
    <w:rsid w:val="00CB0EE1"/>
    <w:rsid w:val="00CB12EC"/>
    <w:rsid w:val="00CC09D7"/>
    <w:rsid w:val="00CC12B8"/>
    <w:rsid w:val="00CC5AB1"/>
    <w:rsid w:val="00CD22E3"/>
    <w:rsid w:val="00CD4E44"/>
    <w:rsid w:val="00CD5AE4"/>
    <w:rsid w:val="00CD7A7D"/>
    <w:rsid w:val="00CF1015"/>
    <w:rsid w:val="00CF2D8E"/>
    <w:rsid w:val="00CF2DFA"/>
    <w:rsid w:val="00CF5AD8"/>
    <w:rsid w:val="00D00122"/>
    <w:rsid w:val="00D01D2A"/>
    <w:rsid w:val="00D06E09"/>
    <w:rsid w:val="00D10B47"/>
    <w:rsid w:val="00D11EB1"/>
    <w:rsid w:val="00D17F17"/>
    <w:rsid w:val="00D23597"/>
    <w:rsid w:val="00D30BDC"/>
    <w:rsid w:val="00D30F4A"/>
    <w:rsid w:val="00D57F88"/>
    <w:rsid w:val="00D7105C"/>
    <w:rsid w:val="00D73646"/>
    <w:rsid w:val="00D777B4"/>
    <w:rsid w:val="00D77A90"/>
    <w:rsid w:val="00D8360B"/>
    <w:rsid w:val="00D85676"/>
    <w:rsid w:val="00D96ADA"/>
    <w:rsid w:val="00DA2886"/>
    <w:rsid w:val="00DA5E50"/>
    <w:rsid w:val="00DA6C00"/>
    <w:rsid w:val="00DA7D0C"/>
    <w:rsid w:val="00DB311C"/>
    <w:rsid w:val="00DB432D"/>
    <w:rsid w:val="00DB519B"/>
    <w:rsid w:val="00DC7694"/>
    <w:rsid w:val="00DC7FBE"/>
    <w:rsid w:val="00DD130E"/>
    <w:rsid w:val="00DD25A2"/>
    <w:rsid w:val="00DD308E"/>
    <w:rsid w:val="00DE3062"/>
    <w:rsid w:val="00DF0C51"/>
    <w:rsid w:val="00DF0D47"/>
    <w:rsid w:val="00DF1652"/>
    <w:rsid w:val="00DF3C8B"/>
    <w:rsid w:val="00DF6D37"/>
    <w:rsid w:val="00E01765"/>
    <w:rsid w:val="00E048ED"/>
    <w:rsid w:val="00E04FB3"/>
    <w:rsid w:val="00E058F2"/>
    <w:rsid w:val="00E05D9C"/>
    <w:rsid w:val="00E06102"/>
    <w:rsid w:val="00E23E71"/>
    <w:rsid w:val="00E24BD8"/>
    <w:rsid w:val="00E30F19"/>
    <w:rsid w:val="00E33C4A"/>
    <w:rsid w:val="00E357B9"/>
    <w:rsid w:val="00E4321E"/>
    <w:rsid w:val="00E44B80"/>
    <w:rsid w:val="00E47623"/>
    <w:rsid w:val="00E51E9C"/>
    <w:rsid w:val="00E60529"/>
    <w:rsid w:val="00E641EF"/>
    <w:rsid w:val="00E70D86"/>
    <w:rsid w:val="00E754F2"/>
    <w:rsid w:val="00E7628E"/>
    <w:rsid w:val="00E82F54"/>
    <w:rsid w:val="00E8649B"/>
    <w:rsid w:val="00E871CD"/>
    <w:rsid w:val="00E90990"/>
    <w:rsid w:val="00E95D3D"/>
    <w:rsid w:val="00EA0E25"/>
    <w:rsid w:val="00EA173C"/>
    <w:rsid w:val="00EC127A"/>
    <w:rsid w:val="00EC1FF9"/>
    <w:rsid w:val="00EC2737"/>
    <w:rsid w:val="00EE2716"/>
    <w:rsid w:val="00EE3C7C"/>
    <w:rsid w:val="00EE6450"/>
    <w:rsid w:val="00F01C2C"/>
    <w:rsid w:val="00F10ED8"/>
    <w:rsid w:val="00F2188A"/>
    <w:rsid w:val="00F222BE"/>
    <w:rsid w:val="00F24179"/>
    <w:rsid w:val="00F301F1"/>
    <w:rsid w:val="00F30C22"/>
    <w:rsid w:val="00F33F1A"/>
    <w:rsid w:val="00F37D67"/>
    <w:rsid w:val="00F547F7"/>
    <w:rsid w:val="00F54CCF"/>
    <w:rsid w:val="00F61D7A"/>
    <w:rsid w:val="00F637B3"/>
    <w:rsid w:val="00F66CF7"/>
    <w:rsid w:val="00F67BCB"/>
    <w:rsid w:val="00F77C57"/>
    <w:rsid w:val="00F813C7"/>
    <w:rsid w:val="00F83566"/>
    <w:rsid w:val="00F83A9D"/>
    <w:rsid w:val="00F906B5"/>
    <w:rsid w:val="00F93784"/>
    <w:rsid w:val="00F971CC"/>
    <w:rsid w:val="00FA2CAA"/>
    <w:rsid w:val="00FA3DA1"/>
    <w:rsid w:val="00FA6554"/>
    <w:rsid w:val="00FE16C1"/>
    <w:rsid w:val="00FE19FF"/>
    <w:rsid w:val="00FE33A6"/>
    <w:rsid w:val="00FE5452"/>
    <w:rsid w:val="00FF29B1"/>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86298D3-D0CD-4188-807E-E3AE4C85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07E"/>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Bullet point,List Paragraph1,List Paragraph11,Bullet Point,Bulletr List Paragraph,Content descriptions,FooterText,L,List Bullet 1,List Paragraph2,List Paragraph21,Listeafsnit1,NFP GP Bulleted List,Paragraphe de liste1,リスト段落"/>
    <w:basedOn w:val="Normal"/>
    <w:link w:val="ListParagraphChar"/>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customStyle="1" w:styleId="5BodytextChar">
    <w:name w:val="5. Body text Char"/>
    <w:basedOn w:val="DefaultParagraphFont"/>
    <w:link w:val="5Bodytext"/>
    <w:locked/>
    <w:rsid w:val="00EE3C7C"/>
    <w:rPr>
      <w:rFonts w:ascii="Tms Rmn" w:hAnsi="Tms Rmn"/>
    </w:rPr>
  </w:style>
  <w:style w:type="paragraph" w:customStyle="1" w:styleId="5Bodytext">
    <w:name w:val="5. Body text"/>
    <w:basedOn w:val="Normal"/>
    <w:link w:val="5BodytextChar"/>
    <w:qFormat/>
    <w:rsid w:val="00EE3C7C"/>
    <w:pPr>
      <w:autoSpaceDE w:val="0"/>
      <w:autoSpaceDN w:val="0"/>
      <w:spacing w:before="0" w:after="240"/>
    </w:pPr>
    <w:rPr>
      <w:rFonts w:ascii="Tms Rmn" w:hAnsi="Tms Rmn"/>
      <w:sz w:val="22"/>
    </w:rPr>
  </w:style>
  <w:style w:type="character" w:customStyle="1" w:styleId="ListParagraphChar">
    <w:name w:val="List Paragraph Char"/>
    <w:aliases w:val="Recommendation Char,Bullet point Char,List Paragraph1 Char,List Paragraph11 Char,Bullet Point Char,Bulletr List Paragraph Char,Content descriptions Char,FooterText Char,L Char,List Bullet 1 Char,List Paragraph2 Char,Listeafsnit1 Char"/>
    <w:basedOn w:val="DefaultParagraphFont"/>
    <w:link w:val="ListParagraph"/>
    <w:uiPriority w:val="34"/>
    <w:qFormat/>
    <w:locked/>
    <w:rsid w:val="007D471D"/>
    <w:rPr>
      <w:sz w:val="20"/>
    </w:rPr>
  </w:style>
  <w:style w:type="character" w:styleId="FollowedHyperlink">
    <w:name w:val="FollowedHyperlink"/>
    <w:basedOn w:val="DefaultParagraphFont"/>
    <w:uiPriority w:val="99"/>
    <w:semiHidden/>
    <w:unhideWhenUsed/>
    <w:rsid w:val="00E017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868103180">
      <w:bodyDiv w:val="1"/>
      <w:marLeft w:val="0"/>
      <w:marRight w:val="0"/>
      <w:marTop w:val="0"/>
      <w:marBottom w:val="0"/>
      <w:divBdr>
        <w:top w:val="none" w:sz="0" w:space="0" w:color="auto"/>
        <w:left w:val="none" w:sz="0" w:space="0" w:color="auto"/>
        <w:bottom w:val="none" w:sz="0" w:space="0" w:color="auto"/>
        <w:right w:val="none" w:sz="0" w:space="0" w:color="auto"/>
      </w:divBdr>
    </w:div>
    <w:div w:id="1832479254">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gm@health.gov.au&amp;cchta@health.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s.gov.au/publications/legal-briefing/br64.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combined-calenda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ta@health.gov.au" TargetMode="External"/><Relationship Id="rId4" Type="http://schemas.openxmlformats.org/officeDocument/2006/relationships/settings" Target="settings.xml"/><Relationship Id="rId9" Type="http://schemas.openxmlformats.org/officeDocument/2006/relationships/hyperlink" Target="mailto:cgm@health.gov.au&amp;cchta@health.gov.au" TargetMode="External"/><Relationship Id="rId14" Type="http://schemas.openxmlformats.org/officeDocument/2006/relationships/hyperlink" Target="mailto:h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C88EE-74AA-4041-9013-85C5DF4D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1308</Words>
  <Characters>7460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CGM products – supplier submission form</dc:title>
  <dc:subject>Chronic conditions</dc:subject>
  <dc:creator>Australian Government Department of Health</dc:creator>
  <cp:keywords>ndss; cgm; review</cp:keywords>
  <cp:lastModifiedBy>MCCAY, Meryl</cp:lastModifiedBy>
  <cp:revision>2</cp:revision>
  <cp:lastPrinted>2021-01-15T01:21:00Z</cp:lastPrinted>
  <dcterms:created xsi:type="dcterms:W3CDTF">2021-01-20T06:56:00Z</dcterms:created>
  <dcterms:modified xsi:type="dcterms:W3CDTF">2021-01-20T06:56:00Z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